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66E3CA4" w:rsidR="009125CE" w:rsidRPr="009125CE" w:rsidRDefault="00F7335E" w:rsidP="006035A3">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w:t>
      </w:r>
      <w:r w:rsidR="009125CE" w:rsidRPr="001902DB">
        <w:rPr>
          <w:rFonts w:ascii="Sakkal Majalla" w:hAnsi="Sakkal Majalla" w:cs="Sakkal Majalla"/>
          <w:b/>
          <w:bCs/>
          <w:sz w:val="28"/>
          <w:szCs w:val="28"/>
          <w:rtl/>
          <w:lang w:bidi="ar-EG"/>
        </w:rPr>
        <w:t xml:space="preserve"> </w:t>
      </w:r>
      <w:r w:rsidR="006035A3">
        <w:rPr>
          <w:rFonts w:ascii="Sakkal Majalla" w:hAnsi="Sakkal Majalla" w:cs="Sakkal Majalla" w:hint="cs"/>
          <w:b/>
          <w:bCs/>
          <w:sz w:val="28"/>
          <w:szCs w:val="28"/>
          <w:rtl/>
          <w:lang w:bidi="ar-EG"/>
        </w:rPr>
        <w:t>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4338705E" w:rsidR="009125CE" w:rsidRPr="00D32329" w:rsidRDefault="001043E8" w:rsidP="001043E8">
      <w:pPr>
        <w:jc w:val="center"/>
        <w:rPr>
          <w:rFonts w:ascii="Sakkal Majalla" w:hAnsi="Sakkal Majalla" w:cs="Sakkal Majalla"/>
          <w:b/>
          <w:bCs/>
          <w:sz w:val="48"/>
          <w:szCs w:val="48"/>
          <w:rtl/>
          <w:lang w:bidi="ar-EG"/>
        </w:rPr>
      </w:pPr>
      <w:r w:rsidRPr="00D32329">
        <w:rPr>
          <w:rFonts w:ascii="Sakkal Majalla" w:hAnsi="Sakkal Majalla" w:cs="Sakkal Majalla"/>
          <w:b/>
          <w:bCs/>
          <w:sz w:val="48"/>
          <w:szCs w:val="48"/>
          <w:rtl/>
          <w:lang w:bidi="ar-EG"/>
        </w:rPr>
        <w:t>دور إدارة مخاطر المؤسسات في التخفيف من مخاطر الأمراض الحيوانية المصدر في ضوء رؤية المملكة العربية السعودية 2030:دراسة تطبيقية على القطاع البيئي والزراعي في الرياض</w:t>
      </w:r>
    </w:p>
    <w:p w14:paraId="232F19A4" w14:textId="77777777" w:rsidR="009125CE" w:rsidRPr="009125CE" w:rsidRDefault="009125CE" w:rsidP="000D5227">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83A7F40" w:rsidR="009125CE" w:rsidRPr="001902DB" w:rsidRDefault="006035A3" w:rsidP="009125CE">
      <w:pPr>
        <w:jc w:val="center"/>
        <w:rPr>
          <w:rFonts w:ascii="Sakkal Majalla" w:hAnsi="Sakkal Majalla" w:cs="Sakkal Majalla"/>
          <w:b/>
          <w:bCs/>
          <w:sz w:val="28"/>
          <w:szCs w:val="28"/>
          <w:rtl/>
          <w:lang w:bidi="ar-EG"/>
        </w:rPr>
      </w:pPr>
      <w:r w:rsidRPr="006035A3">
        <w:rPr>
          <w:rFonts w:ascii="Sakkal Majalla" w:hAnsi="Sakkal Majalla" w:cs="Sakkal Majalla"/>
          <w:b/>
          <w:bCs/>
          <w:sz w:val="28"/>
          <w:szCs w:val="28"/>
          <w:rtl/>
          <w:lang w:bidi="ar-EG"/>
        </w:rPr>
        <w:t>فيصل احمد فراج عسيري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5A7EA3A5" w:rsidR="009125CE" w:rsidRDefault="00F7335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w:t>
      </w:r>
    </w:p>
    <w:p w14:paraId="4758D439" w14:textId="59925479" w:rsidR="00F7335E" w:rsidRPr="001902DB" w:rsidRDefault="00F7335E" w:rsidP="009125CE">
      <w:pPr>
        <w:jc w:val="center"/>
        <w:rPr>
          <w:rFonts w:ascii="Sakkal Majalla" w:hAnsi="Sakkal Majalla" w:cs="Sakkal Majalla"/>
          <w:b/>
          <w:bCs/>
          <w:sz w:val="28"/>
          <w:szCs w:val="28"/>
          <w:rtl/>
          <w:lang w:bidi="ar-EG"/>
        </w:rPr>
      </w:pPr>
      <w:r w:rsidRPr="00F7335E">
        <w:rPr>
          <w:rFonts w:ascii="Sakkal Majalla" w:hAnsi="Sakkal Majalla" w:cs="Sakkal Majalla"/>
          <w:b/>
          <w:bCs/>
          <w:sz w:val="28"/>
          <w:szCs w:val="28"/>
          <w:rtl/>
          <w:lang w:bidi="ar-EG"/>
        </w:rPr>
        <w:t>252000832</w:t>
      </w:r>
    </w:p>
    <w:p w14:paraId="3614F9F4" w14:textId="77777777" w:rsidR="000D5227" w:rsidRPr="000D5227" w:rsidRDefault="000D5227" w:rsidP="000D5227">
      <w:pPr>
        <w:jc w:val="center"/>
        <w:rPr>
          <w:rFonts w:ascii="Sakkal Majalla" w:hAnsi="Sakkal Majalla" w:cs="Sakkal Majalla"/>
          <w:b/>
          <w:bCs/>
          <w:sz w:val="28"/>
          <w:szCs w:val="28"/>
          <w:rtl/>
          <w:lang w:bidi="ar-EG"/>
        </w:rPr>
      </w:pPr>
      <w:r w:rsidRPr="000D5227">
        <w:rPr>
          <w:rFonts w:ascii="Sakkal Majalla" w:hAnsi="Sakkal Majalla" w:cs="Sakkal Majalla"/>
          <w:b/>
          <w:bCs/>
          <w:sz w:val="28"/>
          <w:szCs w:val="28"/>
          <w:rtl/>
          <w:lang w:bidi="ar-EG"/>
        </w:rPr>
        <w:t>إشراف/</w:t>
      </w:r>
    </w:p>
    <w:p w14:paraId="5DC5D716" w14:textId="77777777" w:rsidR="000D5227" w:rsidRPr="000D5227" w:rsidRDefault="000D5227" w:rsidP="000D5227">
      <w:pPr>
        <w:jc w:val="center"/>
        <w:rPr>
          <w:rFonts w:ascii="Sakkal Majalla" w:hAnsi="Sakkal Majalla" w:cs="Sakkal Majalla"/>
          <w:b/>
          <w:bCs/>
          <w:sz w:val="28"/>
          <w:szCs w:val="28"/>
          <w:rtl/>
          <w:lang w:bidi="ar-EG"/>
        </w:rPr>
      </w:pPr>
      <w:proofErr w:type="spellStart"/>
      <w:r w:rsidRPr="000D5227">
        <w:rPr>
          <w:rFonts w:ascii="Sakkal Majalla" w:hAnsi="Sakkal Majalla" w:cs="Sakkal Majalla" w:hint="cs"/>
          <w:b/>
          <w:bCs/>
          <w:sz w:val="28"/>
          <w:szCs w:val="28"/>
          <w:rtl/>
          <w:lang w:bidi="ar-EG"/>
        </w:rPr>
        <w:t>د.الفيصل</w:t>
      </w:r>
      <w:proofErr w:type="spellEnd"/>
      <w:r w:rsidRPr="000D5227">
        <w:rPr>
          <w:rFonts w:ascii="Sakkal Majalla" w:hAnsi="Sakkal Majalla" w:cs="Sakkal Majalla" w:hint="cs"/>
          <w:b/>
          <w:bCs/>
          <w:sz w:val="28"/>
          <w:szCs w:val="28"/>
          <w:rtl/>
          <w:lang w:bidi="ar-EG"/>
        </w:rPr>
        <w:t xml:space="preserve"> عبد الحميد</w:t>
      </w:r>
      <w:r w:rsidRPr="000D5227">
        <w:rPr>
          <w:rFonts w:ascii="Sakkal Majalla" w:hAnsi="Sakkal Majalla" w:cs="Sakkal Majalla"/>
          <w:b/>
          <w:bCs/>
          <w:sz w:val="28"/>
          <w:szCs w:val="28"/>
          <w:rtl/>
          <w:lang w:bidi="ar-EG"/>
        </w:rPr>
        <w:br/>
      </w:r>
      <w:proofErr w:type="spellStart"/>
      <w:r w:rsidRPr="000D5227">
        <w:rPr>
          <w:rFonts w:ascii="Sakkal Majalla" w:hAnsi="Sakkal Majalla" w:cs="Sakkal Majalla" w:hint="cs"/>
          <w:b/>
          <w:bCs/>
          <w:sz w:val="28"/>
          <w:szCs w:val="28"/>
          <w:rtl/>
          <w:lang w:bidi="ar-EG"/>
        </w:rPr>
        <w:t>د.فايز</w:t>
      </w:r>
      <w:proofErr w:type="spellEnd"/>
      <w:r w:rsidRPr="000D5227">
        <w:rPr>
          <w:rFonts w:ascii="Sakkal Majalla" w:hAnsi="Sakkal Majalla" w:cs="Sakkal Majalla" w:hint="cs"/>
          <w:b/>
          <w:bCs/>
          <w:sz w:val="28"/>
          <w:szCs w:val="28"/>
          <w:rtl/>
          <w:lang w:bidi="ar-EG"/>
        </w:rPr>
        <w:t xml:space="preserve"> جراد</w:t>
      </w:r>
    </w:p>
    <w:p w14:paraId="22738CC6" w14:textId="77777777" w:rsidR="009125CE" w:rsidRPr="001902DB" w:rsidRDefault="009125CE" w:rsidP="00F7335E">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74848A8" w14:textId="4B18037D" w:rsidR="006002BB" w:rsidRPr="001902DB" w:rsidRDefault="00D32329" w:rsidP="006002BB">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035BF540" w14:textId="1DFD03CD" w:rsidR="009125CE" w:rsidRPr="00D32329" w:rsidRDefault="00A74F76" w:rsidP="006002BB">
      <w:pPr>
        <w:spacing w:before="240"/>
        <w:rPr>
          <w:rFonts w:ascii="Sakkal Majalla" w:hAnsi="Sakkal Majalla" w:cs="Sakkal Majalla"/>
          <w:b/>
          <w:bCs/>
          <w:sz w:val="32"/>
          <w:szCs w:val="32"/>
          <w:u w:val="single"/>
          <w:rtl/>
        </w:rPr>
      </w:pPr>
      <w:r w:rsidRPr="00D32329">
        <w:rPr>
          <w:rFonts w:ascii="Sakkal Majalla" w:hAnsi="Sakkal Majalla" w:cs="Sakkal Majalla"/>
          <w:b/>
          <w:bCs/>
          <w:sz w:val="32"/>
          <w:szCs w:val="32"/>
          <w:u w:val="single"/>
          <w:rtl/>
        </w:rPr>
        <w:lastRenderedPageBreak/>
        <w:t>مقدمة</w:t>
      </w:r>
      <w:r w:rsidR="009125CE" w:rsidRPr="00D32329">
        <w:rPr>
          <w:rFonts w:ascii="Sakkal Majalla" w:hAnsi="Sakkal Majalla" w:cs="Sakkal Majalla" w:hint="cs"/>
          <w:b/>
          <w:bCs/>
          <w:sz w:val="32"/>
          <w:szCs w:val="32"/>
          <w:u w:val="single"/>
          <w:rtl/>
        </w:rPr>
        <w:t>:</w:t>
      </w:r>
    </w:p>
    <w:p w14:paraId="33882D69" w14:textId="77777777" w:rsidR="00754B17" w:rsidRPr="00803849" w:rsidRDefault="00754B17" w:rsidP="00803849">
      <w:pPr>
        <w:spacing w:line="360" w:lineRule="auto"/>
        <w:jc w:val="both"/>
        <w:rPr>
          <w:rFonts w:ascii="Simplified Arabic" w:eastAsia="Calibri" w:hAnsi="Simplified Arabic" w:cs="Simplified Arabic"/>
          <w:sz w:val="28"/>
          <w:szCs w:val="28"/>
          <w:lang w:val="en-GB"/>
        </w:rPr>
      </w:pPr>
      <w:r w:rsidRPr="00803849">
        <w:rPr>
          <w:rFonts w:ascii="Simplified Arabic" w:eastAsia="Calibri" w:hAnsi="Simplified Arabic" w:cs="Simplified Arabic"/>
          <w:sz w:val="28"/>
          <w:szCs w:val="28"/>
          <w:rtl/>
        </w:rPr>
        <w:t>تُعدّ الأمراض المشتركة</w:t>
      </w:r>
      <w:r w:rsidRPr="00803849">
        <w:rPr>
          <w:rFonts w:ascii="Simplified Arabic" w:eastAsia="Calibri" w:hAnsi="Simplified Arabic" w:cs="Simplified Arabic"/>
          <w:sz w:val="28"/>
          <w:szCs w:val="28"/>
          <w:lang w:val="en-GB"/>
        </w:rPr>
        <w:t xml:space="preserve"> (Zoonotic Diseases) </w:t>
      </w:r>
      <w:r w:rsidRPr="00803849">
        <w:rPr>
          <w:rFonts w:ascii="Simplified Arabic" w:eastAsia="Calibri" w:hAnsi="Simplified Arabic" w:cs="Simplified Arabic"/>
          <w:sz w:val="28"/>
          <w:szCs w:val="28"/>
          <w:rtl/>
        </w:rPr>
        <w:t xml:space="preserve">من أبرز التحديات الصحية والبيئية المعاصرة، إذ تشير تقديرات </w:t>
      </w:r>
      <w:r w:rsidRPr="00803849">
        <w:rPr>
          <w:rFonts w:ascii="Simplified Arabic" w:eastAsia="Calibri" w:hAnsi="Simplified Arabic" w:cs="Simplified Arabic"/>
          <w:sz w:val="28"/>
          <w:szCs w:val="28"/>
          <w:lang w:val="en-GB"/>
        </w:rPr>
        <w:t xml:space="preserve">World Health Organization </w:t>
      </w:r>
      <w:r w:rsidRPr="00803849">
        <w:rPr>
          <w:rFonts w:ascii="Simplified Arabic" w:eastAsia="Calibri" w:hAnsi="Simplified Arabic" w:cs="Simplified Arabic"/>
          <w:sz w:val="28"/>
          <w:szCs w:val="28"/>
          <w:rtl/>
        </w:rPr>
        <w:t>إلى أن ما يقارب 60% من الأمراض المعدية التي تصيب الإنسان ذات منشأ حيواني، كما أن نحو 75% من الأمراض الناشئة خلال العقود الأخيرة تعود إلى مصادر حيوانية</w:t>
      </w:r>
      <w:r w:rsidRPr="00803849">
        <w:rPr>
          <w:rFonts w:ascii="Simplified Arabic" w:eastAsia="Calibri" w:hAnsi="Simplified Arabic" w:cs="Simplified Arabic"/>
          <w:sz w:val="28"/>
          <w:szCs w:val="28"/>
          <w:lang w:val="en-GB"/>
        </w:rPr>
        <w:t xml:space="preserve"> (WHO, 2022). </w:t>
      </w:r>
      <w:r w:rsidRPr="00803849">
        <w:rPr>
          <w:rFonts w:ascii="Simplified Arabic" w:eastAsia="Calibri" w:hAnsi="Simplified Arabic" w:cs="Simplified Arabic"/>
          <w:sz w:val="28"/>
          <w:szCs w:val="28"/>
          <w:rtl/>
        </w:rPr>
        <w:t>ويعكس هذا الواقع تعقيد العلاقة بين الإنسان والحيوان والبيئة، خاصة في ظل التوسع الزراعي والتحضر السريع وسلاسل الإمداد الغذائي العابرة للحدود. وعليه، فإن إدارة هذه المخاطر لم تعد مسؤولية صحية فقط، بل أصبحت مسألة إدارية واستراتيجية تتطلب تخطيطاً مؤسسياً متكاملاً</w:t>
      </w:r>
      <w:r w:rsidRPr="00803849">
        <w:rPr>
          <w:rFonts w:ascii="Simplified Arabic" w:eastAsia="Calibri" w:hAnsi="Simplified Arabic" w:cs="Simplified Arabic"/>
          <w:sz w:val="28"/>
          <w:szCs w:val="28"/>
          <w:lang w:val="en-GB"/>
        </w:rPr>
        <w:t>.</w:t>
      </w:r>
    </w:p>
    <w:p w14:paraId="0A42D7E9" w14:textId="789E536A" w:rsidR="00754B17" w:rsidRPr="00803849" w:rsidRDefault="00754B17" w:rsidP="00803849">
      <w:pPr>
        <w:spacing w:line="360" w:lineRule="auto"/>
        <w:jc w:val="both"/>
        <w:rPr>
          <w:rFonts w:ascii="Simplified Arabic" w:eastAsia="Calibri" w:hAnsi="Simplified Arabic" w:cs="Simplified Arabic"/>
          <w:sz w:val="28"/>
          <w:szCs w:val="28"/>
          <w:lang w:val="en-GB"/>
        </w:rPr>
      </w:pPr>
      <w:r w:rsidRPr="00803849">
        <w:rPr>
          <w:rFonts w:ascii="Simplified Arabic" w:eastAsia="Calibri" w:hAnsi="Simplified Arabic" w:cs="Simplified Arabic"/>
          <w:sz w:val="28"/>
          <w:szCs w:val="28"/>
          <w:rtl/>
        </w:rPr>
        <w:t xml:space="preserve">في هذا السياق، برز مفهوم "الصحة الواحدة" الذي تتبناه كل من </w:t>
      </w:r>
      <w:r w:rsidRPr="00803849">
        <w:rPr>
          <w:rFonts w:ascii="Simplified Arabic" w:eastAsia="Calibri" w:hAnsi="Simplified Arabic" w:cs="Simplified Arabic"/>
          <w:sz w:val="28"/>
          <w:szCs w:val="28"/>
          <w:lang w:val="en-GB"/>
        </w:rPr>
        <w:t xml:space="preserve">World Health Organization </w:t>
      </w:r>
      <w:r w:rsidRPr="00803849">
        <w:rPr>
          <w:rFonts w:ascii="Simplified Arabic" w:eastAsia="Calibri" w:hAnsi="Simplified Arabic" w:cs="Simplified Arabic"/>
          <w:sz w:val="28"/>
          <w:szCs w:val="28"/>
          <w:rtl/>
        </w:rPr>
        <w:t>و</w:t>
      </w:r>
      <w:r w:rsidRPr="00803849">
        <w:rPr>
          <w:rFonts w:ascii="Simplified Arabic" w:eastAsia="Calibri" w:hAnsi="Simplified Arabic" w:cs="Simplified Arabic"/>
          <w:sz w:val="28"/>
          <w:szCs w:val="28"/>
          <w:lang w:val="en-GB"/>
        </w:rPr>
        <w:t xml:space="preserve">Food and Agriculture Organization </w:t>
      </w:r>
      <w:r w:rsidRPr="00803849">
        <w:rPr>
          <w:rFonts w:ascii="Simplified Arabic" w:eastAsia="Calibri" w:hAnsi="Simplified Arabic" w:cs="Simplified Arabic"/>
          <w:sz w:val="28"/>
          <w:szCs w:val="28"/>
          <w:rtl/>
        </w:rPr>
        <w:t>و</w:t>
      </w:r>
      <w:r w:rsidRPr="00803849">
        <w:rPr>
          <w:rFonts w:ascii="Simplified Arabic" w:eastAsia="Calibri" w:hAnsi="Simplified Arabic" w:cs="Simplified Arabic"/>
          <w:sz w:val="28"/>
          <w:szCs w:val="28"/>
          <w:lang w:val="en-GB"/>
        </w:rPr>
        <w:t xml:space="preserve">World Organisation for Animal Health </w:t>
      </w:r>
      <w:r w:rsidRPr="00803849">
        <w:rPr>
          <w:rFonts w:ascii="Simplified Arabic" w:eastAsia="Calibri" w:hAnsi="Simplified Arabic" w:cs="Simplified Arabic"/>
          <w:sz w:val="28"/>
          <w:szCs w:val="28"/>
          <w:rtl/>
        </w:rPr>
        <w:t>باعتباره إطاراً تكاملياً لإدارة المخاطر المشتركة بين الإنسان والحيوان والبيئة</w:t>
      </w:r>
      <w:r w:rsidR="009D5651">
        <w:rPr>
          <w:rFonts w:ascii="Simplified Arabic" w:eastAsia="Calibri" w:hAnsi="Simplified Arabic" w:cs="Simplified Arabic" w:hint="cs"/>
          <w:sz w:val="28"/>
          <w:szCs w:val="28"/>
          <w:rtl/>
        </w:rPr>
        <w:t xml:space="preserve"> </w:t>
      </w:r>
      <w:r w:rsidRPr="00803849">
        <w:rPr>
          <w:rFonts w:ascii="Simplified Arabic" w:eastAsia="Calibri" w:hAnsi="Simplified Arabic" w:cs="Simplified Arabic"/>
          <w:sz w:val="28"/>
          <w:szCs w:val="28"/>
          <w:lang w:val="en-GB"/>
        </w:rPr>
        <w:t xml:space="preserve"> (FAO et al., 2022)</w:t>
      </w:r>
      <w:r w:rsidRPr="00803849">
        <w:rPr>
          <w:rFonts w:ascii="Simplified Arabic" w:eastAsia="Calibri" w:hAnsi="Simplified Arabic" w:cs="Simplified Arabic"/>
          <w:sz w:val="28"/>
          <w:szCs w:val="28"/>
          <w:rtl/>
        </w:rPr>
        <w:t>غير أن تطبيق هذا المفهوم يتطلب وجود خطط إدارية واضحة، وهياكل حوكمة فاعلة، ونظم إنذار مبكر قائمة على تقييم المخاطر المؤسسية</w:t>
      </w:r>
      <w:r w:rsidRPr="00803849">
        <w:rPr>
          <w:rFonts w:ascii="Simplified Arabic" w:eastAsia="Calibri" w:hAnsi="Simplified Arabic" w:cs="Simplified Arabic"/>
          <w:sz w:val="28"/>
          <w:szCs w:val="28"/>
          <w:lang w:val="en-GB"/>
        </w:rPr>
        <w:t>.</w:t>
      </w:r>
    </w:p>
    <w:p w14:paraId="4161B30D" w14:textId="41086E10" w:rsidR="00754B17" w:rsidRPr="00803849" w:rsidRDefault="00754B17" w:rsidP="00803849">
      <w:pPr>
        <w:spacing w:line="360" w:lineRule="auto"/>
        <w:jc w:val="both"/>
        <w:rPr>
          <w:rFonts w:ascii="Simplified Arabic" w:eastAsia="Calibri" w:hAnsi="Simplified Arabic" w:cs="Simplified Arabic"/>
          <w:sz w:val="28"/>
          <w:szCs w:val="28"/>
          <w:lang w:val="en-GB"/>
        </w:rPr>
      </w:pPr>
      <w:r w:rsidRPr="00803849">
        <w:rPr>
          <w:rFonts w:ascii="Simplified Arabic" w:eastAsia="Calibri" w:hAnsi="Simplified Arabic" w:cs="Simplified Arabic"/>
          <w:sz w:val="28"/>
          <w:szCs w:val="28"/>
          <w:rtl/>
        </w:rPr>
        <w:t>ومن هذا المنطلق، فإن إدارة المخاطر المؤسسية</w:t>
      </w:r>
      <w:r w:rsidRPr="00803849">
        <w:rPr>
          <w:rFonts w:ascii="Simplified Arabic" w:eastAsia="Calibri" w:hAnsi="Simplified Arabic" w:cs="Simplified Arabic"/>
          <w:sz w:val="28"/>
          <w:szCs w:val="28"/>
          <w:lang w:val="en-GB"/>
        </w:rPr>
        <w:t xml:space="preserve"> (Enterprise Risk Management) </w:t>
      </w:r>
      <w:r w:rsidRPr="00803849">
        <w:rPr>
          <w:rFonts w:ascii="Simplified Arabic" w:eastAsia="Calibri" w:hAnsi="Simplified Arabic" w:cs="Simplified Arabic"/>
          <w:sz w:val="28"/>
          <w:szCs w:val="28"/>
          <w:rtl/>
        </w:rPr>
        <w:t xml:space="preserve">توفر إطاراً علمياً لتحديد المخاطر وتحليلها والاستجابة لها بشكل استباقي. ويؤكد تقرير </w:t>
      </w:r>
      <w:r w:rsidRPr="00803849">
        <w:rPr>
          <w:rFonts w:ascii="Simplified Arabic" w:eastAsia="Calibri" w:hAnsi="Simplified Arabic" w:cs="Simplified Arabic"/>
          <w:sz w:val="28"/>
          <w:szCs w:val="28"/>
          <w:lang w:val="en-GB"/>
        </w:rPr>
        <w:t xml:space="preserve">Committee of Sponsoring Organizations of the Treadway Commission (COSO, 2017) </w:t>
      </w:r>
      <w:r w:rsidRPr="00803849">
        <w:rPr>
          <w:rFonts w:ascii="Simplified Arabic" w:eastAsia="Calibri" w:hAnsi="Simplified Arabic" w:cs="Simplified Arabic"/>
          <w:sz w:val="28"/>
          <w:szCs w:val="28"/>
          <w:rtl/>
        </w:rPr>
        <w:t>أن فعالية إدارة المخاطر تعتمد على دمجها في التخطيط الاستراتيجي وصنع القرار، وليس التعامل معها كإجراء تشغيلي منفصل. علاوة على ذلك، أظهرت دراسات حديثة أن نضج أنظمة إدارة المخاطر يسهم في تحسين الجاهزية المؤسسية والاستجابة للأزمات الصحية والبيئية</w:t>
      </w:r>
      <w:r w:rsidRPr="00803849">
        <w:rPr>
          <w:rFonts w:ascii="Simplified Arabic" w:eastAsia="Calibri" w:hAnsi="Simplified Arabic" w:cs="Simplified Arabic"/>
          <w:sz w:val="28"/>
          <w:szCs w:val="28"/>
          <w:lang w:val="en-GB"/>
        </w:rPr>
        <w:t xml:space="preserve"> </w:t>
      </w:r>
      <w:r w:rsidR="00630AC8">
        <w:rPr>
          <w:rFonts w:ascii="Simplified Arabic" w:eastAsia="Calibri" w:hAnsi="Simplified Arabic" w:cs="Simplified Arabic"/>
          <w:sz w:val="28"/>
          <w:szCs w:val="28"/>
          <w:lang w:val="en-GB"/>
        </w:rPr>
        <w:t>. (</w:t>
      </w:r>
      <w:proofErr w:type="spellStart"/>
      <w:r w:rsidR="00630AC8" w:rsidRPr="00803849">
        <w:rPr>
          <w:rFonts w:ascii="Simplified Arabic" w:eastAsia="Calibri" w:hAnsi="Simplified Arabic" w:cs="Simplified Arabic"/>
          <w:sz w:val="28"/>
          <w:szCs w:val="28"/>
          <w:lang w:val="en-GB"/>
        </w:rPr>
        <w:t>Aven</w:t>
      </w:r>
      <w:proofErr w:type="spellEnd"/>
      <w:r w:rsidR="00630AC8" w:rsidRPr="00803849">
        <w:rPr>
          <w:rFonts w:ascii="Simplified Arabic" w:eastAsia="Calibri" w:hAnsi="Simplified Arabic" w:cs="Simplified Arabic"/>
          <w:sz w:val="28"/>
          <w:szCs w:val="28"/>
          <w:lang w:val="en-GB"/>
        </w:rPr>
        <w:t>, 2016</w:t>
      </w:r>
      <w:r w:rsidR="00630AC8">
        <w:rPr>
          <w:rFonts w:ascii="Simplified Arabic" w:eastAsia="Calibri" w:hAnsi="Simplified Arabic" w:cs="Simplified Arabic"/>
          <w:sz w:val="28"/>
          <w:szCs w:val="28"/>
          <w:lang w:val="en-GB"/>
        </w:rPr>
        <w:t>)</w:t>
      </w:r>
    </w:p>
    <w:p w14:paraId="5C1ED668" w14:textId="77777777" w:rsidR="00754B17" w:rsidRPr="00803849" w:rsidRDefault="00754B17" w:rsidP="00803849">
      <w:pPr>
        <w:spacing w:line="360" w:lineRule="auto"/>
        <w:jc w:val="both"/>
        <w:rPr>
          <w:rFonts w:ascii="Simplified Arabic" w:eastAsia="Calibri" w:hAnsi="Simplified Arabic" w:cs="Simplified Arabic"/>
          <w:sz w:val="28"/>
          <w:szCs w:val="28"/>
          <w:lang w:val="en-GB"/>
        </w:rPr>
      </w:pPr>
      <w:r w:rsidRPr="00803849">
        <w:rPr>
          <w:rFonts w:ascii="Simplified Arabic" w:eastAsia="Calibri" w:hAnsi="Simplified Arabic" w:cs="Simplified Arabic"/>
          <w:sz w:val="28"/>
          <w:szCs w:val="28"/>
          <w:rtl/>
        </w:rPr>
        <w:lastRenderedPageBreak/>
        <w:t xml:space="preserve">أما في المملكة العربية السعودية، فقد أكدت </w:t>
      </w:r>
      <w:r w:rsidRPr="00803849">
        <w:rPr>
          <w:rFonts w:ascii="Simplified Arabic" w:eastAsia="Calibri" w:hAnsi="Simplified Arabic" w:cs="Simplified Arabic"/>
          <w:sz w:val="28"/>
          <w:szCs w:val="28"/>
          <w:lang w:val="en-GB"/>
        </w:rPr>
        <w:t xml:space="preserve">Saudi Vision 2030 </w:t>
      </w:r>
      <w:r w:rsidRPr="00803849">
        <w:rPr>
          <w:rFonts w:ascii="Simplified Arabic" w:eastAsia="Calibri" w:hAnsi="Simplified Arabic" w:cs="Simplified Arabic"/>
          <w:sz w:val="28"/>
          <w:szCs w:val="28"/>
          <w:rtl/>
        </w:rPr>
        <w:t>على تعزيز الاستدامة البيئية، ورفع كفاءة القطاع الزراعي، وتطوير الحوكمة المؤسسية كمرتكزات للتحول الوطني. وتُعد منطقة الرياض مركزاً رئيسياً للنشاط الزراعي والإداري، ما يجعلها بيئة مناسبة لدراسة العلاقة بين الخطط الإدارية وفعالية إدارة مخاطر الأمراض المشتركة. وفي المقابل، فإن التوسع العمراني والأنشطة الزراعية المكثفة يزيدان من احتمالية التفاعل بين الإنسان والحيوان، وهو ما قد يعزز مخاطر انتقال الأمراض</w:t>
      </w:r>
      <w:r w:rsidRPr="00803849">
        <w:rPr>
          <w:rFonts w:ascii="Simplified Arabic" w:eastAsia="Calibri" w:hAnsi="Simplified Arabic" w:cs="Simplified Arabic"/>
          <w:sz w:val="28"/>
          <w:szCs w:val="28"/>
          <w:lang w:val="en-GB"/>
        </w:rPr>
        <w:t>.</w:t>
      </w:r>
    </w:p>
    <w:p w14:paraId="26144812" w14:textId="77777777" w:rsidR="00754B17" w:rsidRPr="00803849" w:rsidRDefault="00754B17" w:rsidP="00803849">
      <w:pPr>
        <w:spacing w:line="360" w:lineRule="auto"/>
        <w:jc w:val="both"/>
        <w:rPr>
          <w:rFonts w:ascii="Simplified Arabic" w:eastAsia="Calibri" w:hAnsi="Simplified Arabic" w:cs="Simplified Arabic"/>
          <w:sz w:val="28"/>
          <w:szCs w:val="28"/>
          <w:lang w:val="en-GB"/>
        </w:rPr>
      </w:pPr>
      <w:r w:rsidRPr="00803849">
        <w:rPr>
          <w:rFonts w:ascii="Simplified Arabic" w:eastAsia="Calibri" w:hAnsi="Simplified Arabic" w:cs="Simplified Arabic"/>
          <w:sz w:val="28"/>
          <w:szCs w:val="28"/>
          <w:rtl/>
        </w:rPr>
        <w:t>وعليه، تبرز الحاجة إلى تحليل دور الخطط الإدارية في تقليل هذه المخاطر ضمن إطار استراتيجي يتماشى مع مستهدفات رؤية 2030. فالإدارة الفاعلة لا تقتصر على الاستجابة بعد وقوع الحدث، بل تعتمد على التخطيط الاستباقي، وتكامل البيانات، وتحديد المسؤوليات المؤسسية بوضوح. ومن هنا، تنطلق هذه الدراسة لتحليل مدى فعالية الخطط الإدارية الحالية في القطاع البيئي والزراعي بمنطقة الرياض في الحد من مخاطر الأمراض المشتركة، وقياس مستوى تكاملها مع مبادئ إدارة المخاطر الحديثة</w:t>
      </w:r>
      <w:r w:rsidRPr="00803849">
        <w:rPr>
          <w:rFonts w:ascii="Simplified Arabic" w:eastAsia="Calibri" w:hAnsi="Simplified Arabic" w:cs="Simplified Arabic"/>
          <w:sz w:val="28"/>
          <w:szCs w:val="28"/>
          <w:lang w:val="en-GB"/>
        </w:rPr>
        <w:t>.</w:t>
      </w:r>
    </w:p>
    <w:p w14:paraId="40A61660" w14:textId="14A4FE81" w:rsidR="009125CE" w:rsidRPr="009D5651" w:rsidRDefault="00A74F76" w:rsidP="006002BB">
      <w:pPr>
        <w:spacing w:before="240"/>
        <w:rPr>
          <w:rFonts w:ascii="Sakkal Majalla" w:hAnsi="Sakkal Majalla" w:cs="Sakkal Majalla"/>
          <w:b/>
          <w:bCs/>
          <w:sz w:val="32"/>
          <w:szCs w:val="32"/>
          <w:u w:val="single"/>
        </w:rPr>
      </w:pPr>
      <w:r w:rsidRPr="009D5651">
        <w:rPr>
          <w:rFonts w:ascii="Sakkal Majalla" w:hAnsi="Sakkal Majalla" w:cs="Sakkal Majalla"/>
          <w:b/>
          <w:bCs/>
          <w:sz w:val="32"/>
          <w:szCs w:val="32"/>
          <w:u w:val="single"/>
          <w:rtl/>
        </w:rPr>
        <w:t>مشكلة الدراسة</w:t>
      </w:r>
      <w:r w:rsidR="009125CE" w:rsidRPr="009D5651">
        <w:rPr>
          <w:rFonts w:ascii="Sakkal Majalla" w:hAnsi="Sakkal Majalla" w:cs="Sakkal Majalla" w:hint="cs"/>
          <w:b/>
          <w:bCs/>
          <w:sz w:val="32"/>
          <w:szCs w:val="32"/>
          <w:u w:val="single"/>
          <w:rtl/>
        </w:rPr>
        <w:t>:</w:t>
      </w:r>
    </w:p>
    <w:p w14:paraId="2571FE6F" w14:textId="4E98C7AF" w:rsidR="00630AC8" w:rsidRDefault="00754B17" w:rsidP="00630AC8">
      <w:pPr>
        <w:spacing w:line="360" w:lineRule="auto"/>
        <w:jc w:val="both"/>
        <w:rPr>
          <w:rFonts w:ascii="Simplified Arabic" w:eastAsia="Calibri" w:hAnsi="Simplified Arabic" w:cs="Simplified Arabic"/>
          <w:sz w:val="28"/>
          <w:szCs w:val="28"/>
          <w:rtl/>
        </w:rPr>
      </w:pPr>
      <w:r w:rsidRPr="00826A18">
        <w:rPr>
          <w:rFonts w:ascii="Simplified Arabic" w:eastAsia="Calibri" w:hAnsi="Simplified Arabic" w:cs="Simplified Arabic"/>
          <w:sz w:val="28"/>
          <w:szCs w:val="28"/>
          <w:rtl/>
        </w:rPr>
        <w:t xml:space="preserve">تشير تقارير </w:t>
      </w:r>
      <w:r w:rsidRPr="00826A18">
        <w:rPr>
          <w:rFonts w:ascii="Simplified Arabic" w:eastAsia="Calibri" w:hAnsi="Simplified Arabic" w:cs="Simplified Arabic"/>
          <w:sz w:val="28"/>
          <w:szCs w:val="28"/>
          <w:lang w:val="en-GB"/>
        </w:rPr>
        <w:t xml:space="preserve">World Health Organization </w:t>
      </w:r>
      <w:r w:rsidRPr="00826A18">
        <w:rPr>
          <w:rFonts w:ascii="Simplified Arabic" w:eastAsia="Calibri" w:hAnsi="Simplified Arabic" w:cs="Simplified Arabic"/>
          <w:sz w:val="28"/>
          <w:szCs w:val="28"/>
          <w:rtl/>
        </w:rPr>
        <w:t>إلى أن الأمراض المشتركة تشكل عبئاً صحياً واقتصادياً متزايداً، خاصة في المناطق التي تشهد تداخلاً بين النشاط الزراعي والتوسع الحضري</w:t>
      </w:r>
      <w:r w:rsidR="00630AC8">
        <w:rPr>
          <w:rFonts w:ascii="Simplified Arabic" w:eastAsia="Calibri" w:hAnsi="Simplified Arabic" w:cs="Simplified Arabic"/>
          <w:sz w:val="28"/>
          <w:szCs w:val="28"/>
        </w:rPr>
        <w:t xml:space="preserve"> </w:t>
      </w:r>
      <w:r w:rsidR="00630AC8">
        <w:rPr>
          <w:rFonts w:ascii="Simplified Arabic" w:eastAsia="Calibri" w:hAnsi="Simplified Arabic" w:cs="Simplified Arabic" w:hint="cs"/>
          <w:sz w:val="28"/>
          <w:szCs w:val="28"/>
          <w:rtl/>
        </w:rPr>
        <w:t xml:space="preserve"> (</w:t>
      </w:r>
      <w:r w:rsidR="001732E7" w:rsidRPr="00826A18">
        <w:rPr>
          <w:rFonts w:ascii="Simplified Arabic" w:eastAsia="Calibri" w:hAnsi="Simplified Arabic" w:cs="Simplified Arabic"/>
          <w:sz w:val="28"/>
          <w:szCs w:val="28"/>
          <w:lang w:val="en-GB"/>
        </w:rPr>
        <w:t>WHO, 2022</w:t>
      </w:r>
      <w:r w:rsidR="00630AC8">
        <w:rPr>
          <w:rFonts w:ascii="Simplified Arabic" w:eastAsia="Calibri" w:hAnsi="Simplified Arabic" w:cs="Simplified Arabic" w:hint="cs"/>
          <w:sz w:val="28"/>
          <w:szCs w:val="28"/>
          <w:rtl/>
        </w:rPr>
        <w:t>).</w:t>
      </w:r>
    </w:p>
    <w:p w14:paraId="7C68E1D6" w14:textId="5FDE10AE" w:rsidR="001732E7" w:rsidRPr="00826A18" w:rsidRDefault="00754B17" w:rsidP="001732E7">
      <w:pPr>
        <w:spacing w:line="360" w:lineRule="auto"/>
        <w:jc w:val="both"/>
        <w:rPr>
          <w:rFonts w:ascii="Simplified Arabic" w:eastAsia="Calibri" w:hAnsi="Simplified Arabic" w:cs="Simplified Arabic"/>
          <w:sz w:val="28"/>
          <w:szCs w:val="28"/>
          <w:lang w:val="en-GB"/>
        </w:rPr>
      </w:pPr>
      <w:r w:rsidRPr="00826A18">
        <w:rPr>
          <w:rFonts w:ascii="Simplified Arabic" w:eastAsia="Calibri" w:hAnsi="Simplified Arabic" w:cs="Simplified Arabic"/>
          <w:sz w:val="28"/>
          <w:szCs w:val="28"/>
          <w:lang w:val="en-GB"/>
        </w:rPr>
        <w:t xml:space="preserve"> </w:t>
      </w:r>
      <w:r w:rsidRPr="00826A18">
        <w:rPr>
          <w:rFonts w:ascii="Simplified Arabic" w:eastAsia="Calibri" w:hAnsi="Simplified Arabic" w:cs="Simplified Arabic"/>
          <w:sz w:val="28"/>
          <w:szCs w:val="28"/>
          <w:rtl/>
        </w:rPr>
        <w:t xml:space="preserve">كما تؤكد </w:t>
      </w:r>
      <w:r w:rsidRPr="00826A18">
        <w:rPr>
          <w:rFonts w:ascii="Simplified Arabic" w:eastAsia="Calibri" w:hAnsi="Simplified Arabic" w:cs="Simplified Arabic"/>
          <w:sz w:val="28"/>
          <w:szCs w:val="28"/>
          <w:lang w:val="en-GB"/>
        </w:rPr>
        <w:t xml:space="preserve">Food and Agriculture Organization </w:t>
      </w:r>
      <w:r w:rsidRPr="00826A18">
        <w:rPr>
          <w:rFonts w:ascii="Simplified Arabic" w:eastAsia="Calibri" w:hAnsi="Simplified Arabic" w:cs="Simplified Arabic"/>
          <w:sz w:val="28"/>
          <w:szCs w:val="28"/>
          <w:rtl/>
        </w:rPr>
        <w:t>أن ضعف التنسيق المؤسسي ونقص التخطيط الاستباقي يزيدان من احتمالية تفشي الأمراض ذات المنشأ الحيواني</w:t>
      </w:r>
      <w:r w:rsidR="001732E7" w:rsidRPr="001732E7">
        <w:rPr>
          <w:rFonts w:ascii="Simplified Arabic" w:eastAsia="Calibri" w:hAnsi="Simplified Arabic" w:cs="Simplified Arabic"/>
          <w:kern w:val="0"/>
          <w:sz w:val="28"/>
          <w:szCs w:val="28"/>
          <w:rtl/>
          <w14:ligatures w14:val="none"/>
        </w:rPr>
        <w:t xml:space="preserve"> </w:t>
      </w:r>
      <w:r w:rsidR="001732E7">
        <w:rPr>
          <w:rFonts w:ascii="Simplified Arabic" w:eastAsia="Calibri" w:hAnsi="Simplified Arabic" w:cs="Simplified Arabic"/>
          <w:kern w:val="0"/>
          <w:sz w:val="28"/>
          <w:szCs w:val="28"/>
          <w:rtl/>
          <w14:ligatures w14:val="none"/>
        </w:rPr>
        <w:t>(</w:t>
      </w:r>
      <w:r w:rsidR="001732E7">
        <w:rPr>
          <w:rFonts w:ascii="Simplified Arabic" w:eastAsia="Calibri" w:hAnsi="Simplified Arabic" w:cs="Simplified Arabic"/>
          <w:kern w:val="0"/>
          <w:sz w:val="28"/>
          <w:szCs w:val="28"/>
          <w:lang w:val="en-GB"/>
          <w14:ligatures w14:val="none"/>
        </w:rPr>
        <w:t>FAO, 2022</w:t>
      </w:r>
      <w:r w:rsidR="001732E7">
        <w:rPr>
          <w:rFonts w:ascii="Simplified Arabic" w:eastAsia="Calibri" w:hAnsi="Simplified Arabic" w:cs="Simplified Arabic"/>
          <w:kern w:val="0"/>
          <w:sz w:val="28"/>
          <w:szCs w:val="28"/>
          <w:rtl/>
          <w14:ligatures w14:val="none"/>
        </w:rPr>
        <w:t>).</w:t>
      </w:r>
    </w:p>
    <w:p w14:paraId="71CE922A" w14:textId="77777777" w:rsidR="00754B17" w:rsidRPr="00826A18" w:rsidRDefault="00754B17" w:rsidP="00826A18">
      <w:pPr>
        <w:spacing w:line="360" w:lineRule="auto"/>
        <w:jc w:val="both"/>
        <w:rPr>
          <w:rFonts w:ascii="Simplified Arabic" w:eastAsia="Calibri" w:hAnsi="Simplified Arabic" w:cs="Simplified Arabic"/>
          <w:sz w:val="28"/>
          <w:szCs w:val="28"/>
          <w:lang w:val="en-GB"/>
        </w:rPr>
      </w:pPr>
      <w:r w:rsidRPr="00826A18">
        <w:rPr>
          <w:rFonts w:ascii="Simplified Arabic" w:eastAsia="Calibri" w:hAnsi="Simplified Arabic" w:cs="Simplified Arabic"/>
          <w:sz w:val="28"/>
          <w:szCs w:val="28"/>
          <w:rtl/>
        </w:rPr>
        <w:t>وعلى الرغم من الجهود التنظيمية في المملكة، إلا أن الدراسات التطبيقية التي تقيس فعالية الخطط الإدارية في القطاع البيئي والزراعي فيما يتعلق بإدارة مخاطر الأمراض المشتركة ما تزال محدودة. كما أن التركيز غالباً ما يكون على الجانب الصحي دون تقييم البعد الإداري المؤسسي</w:t>
      </w:r>
      <w:r w:rsidRPr="00826A18">
        <w:rPr>
          <w:rFonts w:ascii="Simplified Arabic" w:eastAsia="Calibri" w:hAnsi="Simplified Arabic" w:cs="Simplified Arabic"/>
          <w:sz w:val="28"/>
          <w:szCs w:val="28"/>
          <w:lang w:val="en-GB"/>
        </w:rPr>
        <w:t>.</w:t>
      </w:r>
    </w:p>
    <w:p w14:paraId="1CCA5191" w14:textId="77777777" w:rsidR="00754B17" w:rsidRPr="00826A18" w:rsidRDefault="00754B17" w:rsidP="00826A18">
      <w:pPr>
        <w:spacing w:line="360" w:lineRule="auto"/>
        <w:jc w:val="both"/>
        <w:rPr>
          <w:rFonts w:ascii="Simplified Arabic" w:eastAsia="Calibri" w:hAnsi="Simplified Arabic" w:cs="Simplified Arabic"/>
          <w:sz w:val="28"/>
          <w:szCs w:val="28"/>
          <w:lang w:val="en-GB"/>
        </w:rPr>
      </w:pPr>
      <w:r w:rsidRPr="00826A18">
        <w:rPr>
          <w:rFonts w:ascii="Simplified Arabic" w:eastAsia="Calibri" w:hAnsi="Simplified Arabic" w:cs="Simplified Arabic"/>
          <w:sz w:val="28"/>
          <w:szCs w:val="28"/>
          <w:rtl/>
        </w:rPr>
        <w:lastRenderedPageBreak/>
        <w:t>وبالتالي، تكمن المشكلة البحثية في غياب تقييم علمي لمدى كفاءة الخطط الإدارية الحالية في تقليل مخاطر الأمراض المشتركة في منطقة الرياض، ومدى اتساقها مع مبادئ إدارة المخاطر ورؤية 2030</w:t>
      </w:r>
      <w:r w:rsidRPr="00826A18">
        <w:rPr>
          <w:rFonts w:ascii="Simplified Arabic" w:eastAsia="Calibri" w:hAnsi="Simplified Arabic" w:cs="Simplified Arabic"/>
          <w:sz w:val="28"/>
          <w:szCs w:val="28"/>
          <w:lang w:val="en-GB"/>
        </w:rPr>
        <w:t>.</w:t>
      </w:r>
    </w:p>
    <w:p w14:paraId="108B7E46" w14:textId="5277F8B4" w:rsidR="006002BB" w:rsidRPr="006002BB" w:rsidRDefault="00754B17" w:rsidP="006002BB">
      <w:pPr>
        <w:spacing w:line="360" w:lineRule="auto"/>
        <w:jc w:val="both"/>
        <w:rPr>
          <w:rFonts w:ascii="Simplified Arabic" w:eastAsia="Calibri" w:hAnsi="Simplified Arabic" w:cs="Simplified Arabic"/>
          <w:b/>
          <w:bCs/>
          <w:sz w:val="28"/>
          <w:szCs w:val="28"/>
          <w:rtl/>
          <w:lang w:val="en-GB"/>
        </w:rPr>
      </w:pPr>
      <w:r w:rsidRPr="00826A18">
        <w:rPr>
          <w:rFonts w:ascii="Simplified Arabic" w:eastAsia="Calibri" w:hAnsi="Simplified Arabic" w:cs="Simplified Arabic"/>
          <w:b/>
          <w:bCs/>
          <w:sz w:val="28"/>
          <w:szCs w:val="28"/>
          <w:rtl/>
        </w:rPr>
        <w:t>وستحاول هذه الدراسة حل هذه المشكلة من خلال تقييم فعالية الخطط الإدارية الحالية واقتراح إطار عمل متطور لإدارة المخاطر في القطاع البيئي والزراعي بمنطقة الرياض</w:t>
      </w:r>
      <w:r w:rsidRPr="00826A18">
        <w:rPr>
          <w:rFonts w:ascii="Simplified Arabic" w:eastAsia="Calibri" w:hAnsi="Simplified Arabic" w:cs="Simplified Arabic"/>
          <w:b/>
          <w:bCs/>
          <w:sz w:val="28"/>
          <w:szCs w:val="28"/>
          <w:lang w:val="en-GB"/>
        </w:rPr>
        <w:t>.</w:t>
      </w:r>
    </w:p>
    <w:p w14:paraId="2EA6585C" w14:textId="7F83F7B8" w:rsidR="009125CE" w:rsidRPr="00137D53" w:rsidRDefault="00A74F76" w:rsidP="006002BB">
      <w:pPr>
        <w:spacing w:before="240"/>
        <w:rPr>
          <w:rFonts w:ascii="Sakkal Majalla" w:hAnsi="Sakkal Majalla" w:cs="Sakkal Majalla"/>
          <w:b/>
          <w:bCs/>
          <w:sz w:val="32"/>
          <w:szCs w:val="32"/>
          <w:u w:val="single"/>
          <w:rtl/>
        </w:rPr>
      </w:pPr>
      <w:r w:rsidRPr="009D5651">
        <w:rPr>
          <w:rFonts w:ascii="Sakkal Majalla" w:hAnsi="Sakkal Majalla" w:cs="Sakkal Majalla"/>
          <w:b/>
          <w:bCs/>
          <w:sz w:val="32"/>
          <w:szCs w:val="32"/>
          <w:u w:val="single"/>
          <w:rtl/>
        </w:rPr>
        <w:t>أهمية الدراس</w:t>
      </w:r>
      <w:r w:rsidRPr="009D5651">
        <w:rPr>
          <w:rFonts w:ascii="Sakkal Majalla" w:hAnsi="Sakkal Majalla" w:cs="Sakkal Majalla" w:hint="cs"/>
          <w:b/>
          <w:bCs/>
          <w:sz w:val="32"/>
          <w:szCs w:val="32"/>
          <w:u w:val="single"/>
          <w:rtl/>
        </w:rPr>
        <w:t>ة:</w:t>
      </w:r>
    </w:p>
    <w:p w14:paraId="0C1DA01F" w14:textId="77777777" w:rsidR="00633FEB" w:rsidRPr="001732E7" w:rsidRDefault="00633FEB" w:rsidP="001732E7">
      <w:pPr>
        <w:pStyle w:val="a5"/>
        <w:numPr>
          <w:ilvl w:val="0"/>
          <w:numId w:val="17"/>
        </w:numPr>
        <w:rPr>
          <w:rFonts w:ascii="Times New Roman" w:eastAsia="Calibri" w:hAnsi="Times New Roman" w:cs="Simplified Arabic"/>
          <w:b/>
          <w:bCs/>
          <w:sz w:val="28"/>
          <w:szCs w:val="28"/>
          <w:lang w:val="en-GB"/>
        </w:rPr>
      </w:pPr>
      <w:r w:rsidRPr="001732E7">
        <w:rPr>
          <w:rFonts w:ascii="Times New Roman" w:eastAsia="Calibri" w:hAnsi="Times New Roman" w:cs="Simplified Arabic"/>
          <w:b/>
          <w:bCs/>
          <w:sz w:val="28"/>
          <w:szCs w:val="28"/>
          <w:rtl/>
        </w:rPr>
        <w:t>أولًا: الأهمية العلمية</w:t>
      </w:r>
    </w:p>
    <w:p w14:paraId="67946DA5" w14:textId="77777777" w:rsidR="00633FEB" w:rsidRPr="00826A18" w:rsidRDefault="00633FEB" w:rsidP="00826A18">
      <w:pPr>
        <w:spacing w:line="360" w:lineRule="auto"/>
        <w:jc w:val="both"/>
        <w:rPr>
          <w:rFonts w:ascii="Simplified Arabic" w:eastAsia="Calibri" w:hAnsi="Simplified Arabic" w:cs="Simplified Arabic"/>
          <w:sz w:val="28"/>
          <w:szCs w:val="28"/>
          <w:lang w:val="en-GB"/>
        </w:rPr>
      </w:pPr>
      <w:r w:rsidRPr="00826A18">
        <w:rPr>
          <w:rFonts w:ascii="Simplified Arabic" w:eastAsia="Calibri" w:hAnsi="Simplified Arabic" w:cs="Simplified Arabic"/>
          <w:sz w:val="28"/>
          <w:szCs w:val="28"/>
          <w:rtl/>
        </w:rPr>
        <w:t xml:space="preserve">تنبع الأهمية العلمية لهذه الدراسة من تناولها لموضوع يتقاطع فيه حقل إدارة المخاطر المؤسسية مع مجال إدارة مخاطر الأمراض المشتركة ضمن سياق بيئي وزراعي محلي. فعلى الرغم من وفرة الدراسات التي تناولت مفهوم الصحة الواحدة وإدارة الأمراض ذات المنشأ الحيواني، كما أشارت إليه </w:t>
      </w:r>
      <w:r w:rsidRPr="00826A18">
        <w:rPr>
          <w:rFonts w:ascii="Simplified Arabic" w:eastAsia="Calibri" w:hAnsi="Simplified Arabic" w:cs="Simplified Arabic"/>
          <w:sz w:val="28"/>
          <w:szCs w:val="28"/>
          <w:lang w:val="en-GB"/>
        </w:rPr>
        <w:t>World Health Organization (2022)</w:t>
      </w:r>
      <w:r w:rsidRPr="00826A18">
        <w:rPr>
          <w:rFonts w:ascii="Simplified Arabic" w:eastAsia="Calibri" w:hAnsi="Simplified Arabic" w:cs="Simplified Arabic"/>
          <w:sz w:val="28"/>
          <w:szCs w:val="28"/>
          <w:rtl/>
        </w:rPr>
        <w:t>، إلا أن الربط المنهجي بين الخطط الإدارية كأداة تنظيمية وبين فعالية الحد من المخاطر الوبائية ما يزال محدوداً في الأدبيات العربية، وخاصة في البيئة السعودية</w:t>
      </w:r>
      <w:r w:rsidRPr="00826A18">
        <w:rPr>
          <w:rFonts w:ascii="Simplified Arabic" w:eastAsia="Calibri" w:hAnsi="Simplified Arabic" w:cs="Simplified Arabic"/>
          <w:sz w:val="28"/>
          <w:szCs w:val="28"/>
          <w:lang w:val="en-GB"/>
        </w:rPr>
        <w:t>.</w:t>
      </w:r>
    </w:p>
    <w:p w14:paraId="443F4F79" w14:textId="77777777" w:rsidR="00633FEB" w:rsidRPr="00826A18" w:rsidRDefault="00633FEB" w:rsidP="00826A18">
      <w:pPr>
        <w:spacing w:line="360" w:lineRule="auto"/>
        <w:jc w:val="both"/>
        <w:rPr>
          <w:rFonts w:ascii="Simplified Arabic" w:eastAsia="Calibri" w:hAnsi="Simplified Arabic" w:cs="Simplified Arabic"/>
          <w:sz w:val="28"/>
          <w:szCs w:val="28"/>
          <w:lang w:val="en-GB"/>
        </w:rPr>
      </w:pPr>
      <w:r w:rsidRPr="00826A18">
        <w:rPr>
          <w:rFonts w:ascii="Simplified Arabic" w:eastAsia="Calibri" w:hAnsi="Simplified Arabic" w:cs="Simplified Arabic"/>
          <w:sz w:val="28"/>
          <w:szCs w:val="28"/>
          <w:rtl/>
        </w:rPr>
        <w:t xml:space="preserve">علاوة على ذلك، فإن الأدبيات الدولية ركزت على الأبعاد الصحية والبيطرية للأمراض المشتركة، بينما لم تحظَ البنية الإدارية المؤسسية بذات القدر من التحليل الكمي، رغم تأكيد </w:t>
      </w:r>
      <w:r w:rsidRPr="00826A18">
        <w:rPr>
          <w:rFonts w:ascii="Simplified Arabic" w:eastAsia="Calibri" w:hAnsi="Simplified Arabic" w:cs="Simplified Arabic"/>
          <w:sz w:val="28"/>
          <w:szCs w:val="28"/>
          <w:lang w:val="en-GB"/>
        </w:rPr>
        <w:t xml:space="preserve">Committee of Sponsoring Organizations of the Treadway Commission (2017) </w:t>
      </w:r>
      <w:r w:rsidRPr="00826A18">
        <w:rPr>
          <w:rFonts w:ascii="Simplified Arabic" w:eastAsia="Calibri" w:hAnsi="Simplified Arabic" w:cs="Simplified Arabic"/>
          <w:sz w:val="28"/>
          <w:szCs w:val="28"/>
          <w:rtl/>
        </w:rPr>
        <w:t>أن فعالية إدارة المخاطر تعتمد على تكاملها مع التخطيط الاستراتيجي والحوكمة. ومن هذا المنطلق، تسهم الدراسة في سد فجوة معرفية من خلال اختبار العلاقة الإحصائية بين نضج الخطط الإدارية وفعالية إدارة مخاطر الأمراض المشتركة، ضمن إطار وصفي تحليلي قابل للقياس</w:t>
      </w:r>
      <w:r w:rsidRPr="00826A18">
        <w:rPr>
          <w:rFonts w:ascii="Simplified Arabic" w:eastAsia="Calibri" w:hAnsi="Simplified Arabic" w:cs="Simplified Arabic"/>
          <w:sz w:val="28"/>
          <w:szCs w:val="28"/>
          <w:lang w:val="en-GB"/>
        </w:rPr>
        <w:t>.</w:t>
      </w:r>
    </w:p>
    <w:p w14:paraId="4BD8AA73" w14:textId="77777777" w:rsidR="00633FEB" w:rsidRPr="00826A18" w:rsidRDefault="00633FEB" w:rsidP="00826A18">
      <w:pPr>
        <w:spacing w:line="360" w:lineRule="auto"/>
        <w:jc w:val="both"/>
        <w:rPr>
          <w:rFonts w:ascii="Simplified Arabic" w:eastAsia="Calibri" w:hAnsi="Simplified Arabic" w:cs="Simplified Arabic"/>
          <w:sz w:val="28"/>
          <w:szCs w:val="28"/>
          <w:lang w:val="en-GB"/>
        </w:rPr>
      </w:pPr>
      <w:r w:rsidRPr="00826A18">
        <w:rPr>
          <w:rFonts w:ascii="Simplified Arabic" w:eastAsia="Calibri" w:hAnsi="Simplified Arabic" w:cs="Simplified Arabic"/>
          <w:sz w:val="28"/>
          <w:szCs w:val="28"/>
          <w:rtl/>
        </w:rPr>
        <w:lastRenderedPageBreak/>
        <w:t xml:space="preserve">كما تضيف الدراسة بعداً تحليلياً يرتبط بالسياق الوطني لرؤية </w:t>
      </w:r>
      <w:r w:rsidRPr="00826A18">
        <w:rPr>
          <w:rFonts w:ascii="Simplified Arabic" w:eastAsia="Calibri" w:hAnsi="Simplified Arabic" w:cs="Simplified Arabic"/>
          <w:sz w:val="28"/>
          <w:szCs w:val="28"/>
          <w:lang w:val="en-GB"/>
        </w:rPr>
        <w:t>Saudi Vision 2030</w:t>
      </w:r>
      <w:r w:rsidRPr="00826A18">
        <w:rPr>
          <w:rFonts w:ascii="Simplified Arabic" w:eastAsia="Calibri" w:hAnsi="Simplified Arabic" w:cs="Simplified Arabic"/>
          <w:sz w:val="28"/>
          <w:szCs w:val="28"/>
          <w:rtl/>
        </w:rPr>
        <w:t>، من خلال تحويل مستهدفات الحوكمة والاستدامة إلى متغيرات قابلة للقياس، مما يعزز القيمة النظرية للبحث ويجعله مرجعاً أكاديمياً للدراسات المستقبلية في مجال إدارة المخاطر الصحية البيئية</w:t>
      </w:r>
      <w:r w:rsidRPr="00826A18">
        <w:rPr>
          <w:rFonts w:ascii="Simplified Arabic" w:eastAsia="Calibri" w:hAnsi="Simplified Arabic" w:cs="Simplified Arabic"/>
          <w:sz w:val="28"/>
          <w:szCs w:val="28"/>
          <w:lang w:val="en-GB"/>
        </w:rPr>
        <w:t>.</w:t>
      </w:r>
    </w:p>
    <w:p w14:paraId="46426963" w14:textId="77777777" w:rsidR="00633FEB" w:rsidRPr="001732E7" w:rsidRDefault="00633FEB" w:rsidP="001732E7">
      <w:pPr>
        <w:pStyle w:val="a5"/>
        <w:numPr>
          <w:ilvl w:val="0"/>
          <w:numId w:val="17"/>
        </w:numPr>
        <w:rPr>
          <w:rFonts w:ascii="Times New Roman" w:eastAsia="Calibri" w:hAnsi="Times New Roman" w:cs="Simplified Arabic"/>
          <w:b/>
          <w:bCs/>
          <w:sz w:val="28"/>
          <w:szCs w:val="28"/>
        </w:rPr>
      </w:pPr>
      <w:r w:rsidRPr="001732E7">
        <w:rPr>
          <w:rFonts w:ascii="Times New Roman" w:eastAsia="Calibri" w:hAnsi="Times New Roman" w:cs="Simplified Arabic"/>
          <w:b/>
          <w:bCs/>
          <w:sz w:val="28"/>
          <w:szCs w:val="28"/>
          <w:rtl/>
        </w:rPr>
        <w:t>ثانيًا: الأهمية العملية (التطبيقية)</w:t>
      </w:r>
    </w:p>
    <w:p w14:paraId="7CD1D9D2" w14:textId="77777777" w:rsidR="00633FEB" w:rsidRPr="00826A18" w:rsidRDefault="00633FEB" w:rsidP="00826A18">
      <w:pPr>
        <w:spacing w:line="360" w:lineRule="auto"/>
        <w:jc w:val="both"/>
        <w:rPr>
          <w:rFonts w:ascii="Simplified Arabic" w:eastAsia="Calibri" w:hAnsi="Simplified Arabic" w:cs="Simplified Arabic"/>
          <w:sz w:val="28"/>
          <w:szCs w:val="28"/>
        </w:rPr>
      </w:pPr>
      <w:r w:rsidRPr="00826A18">
        <w:rPr>
          <w:rFonts w:ascii="Simplified Arabic" w:eastAsia="Calibri" w:hAnsi="Simplified Arabic" w:cs="Simplified Arabic"/>
          <w:sz w:val="28"/>
          <w:szCs w:val="28"/>
          <w:rtl/>
        </w:rPr>
        <w:t>تكمن الأهمية التطبيقية للدراسة في أنها تقدم تقييماً علمياً لمدى فاعلية الخطط الإدارية المعمول بها في القطاع البيئي والزراعي بمنطقة الرياض في مواجهة مخاطر الأمراض المشتركة. فبدلاً من الاكتفاء بوصف الإجراءات التنظيمية، تسعى الدراسة إلى قياس درجة تأثيرها الفعلي باستخدام أدوات تحليل إحصائي، وهو ما يوفر مؤشرات أداء يمكن الاستفادة منها في تطوير السياسات العامة</w:t>
      </w:r>
      <w:r w:rsidRPr="00826A18">
        <w:rPr>
          <w:rFonts w:ascii="Simplified Arabic" w:eastAsia="Calibri" w:hAnsi="Simplified Arabic" w:cs="Simplified Arabic"/>
          <w:sz w:val="28"/>
          <w:szCs w:val="28"/>
        </w:rPr>
        <w:t>.</w:t>
      </w:r>
    </w:p>
    <w:p w14:paraId="199E4BD8" w14:textId="77777777" w:rsidR="00633FEB" w:rsidRPr="00826A18" w:rsidRDefault="00633FEB" w:rsidP="00826A18">
      <w:pPr>
        <w:spacing w:line="360" w:lineRule="auto"/>
        <w:jc w:val="both"/>
        <w:rPr>
          <w:rFonts w:ascii="Simplified Arabic" w:eastAsia="Calibri" w:hAnsi="Simplified Arabic" w:cs="Simplified Arabic"/>
          <w:sz w:val="28"/>
          <w:szCs w:val="28"/>
        </w:rPr>
      </w:pPr>
      <w:r w:rsidRPr="00826A18">
        <w:rPr>
          <w:rFonts w:ascii="Simplified Arabic" w:eastAsia="Calibri" w:hAnsi="Simplified Arabic" w:cs="Simplified Arabic"/>
          <w:sz w:val="28"/>
          <w:szCs w:val="28"/>
          <w:rtl/>
        </w:rPr>
        <w:t>علاوة على ذلك، يمكن أن تسهم نتائج الدراسة في دعم صناع القرار من خلال تحديد نقاط القوة والقصور في التخطيط الإداري الحالي، واقتراح إطار تطويري يستند إلى مبادئ إدارة المخاطر المؤسسية الحديثة. كما يمكن للجهات التنفيذية في القطاع البيئي والزراعي استخدام النتائج لتعزيز التكامل المؤسسي، وتحسين آليات الاستجابة المبكرة، وتقليل احتمالية انتقال الأمراض ذات المنشأ الحيواني</w:t>
      </w:r>
      <w:r w:rsidRPr="00826A18">
        <w:rPr>
          <w:rFonts w:ascii="Simplified Arabic" w:eastAsia="Calibri" w:hAnsi="Simplified Arabic" w:cs="Simplified Arabic"/>
          <w:sz w:val="28"/>
          <w:szCs w:val="28"/>
        </w:rPr>
        <w:t>.</w:t>
      </w:r>
    </w:p>
    <w:p w14:paraId="32BDF63E" w14:textId="77337B10" w:rsidR="009125CE" w:rsidRDefault="00633FEB" w:rsidP="00826A18">
      <w:pPr>
        <w:spacing w:line="360" w:lineRule="auto"/>
        <w:jc w:val="both"/>
        <w:rPr>
          <w:rFonts w:ascii="Simplified Arabic" w:eastAsia="Calibri" w:hAnsi="Simplified Arabic" w:cs="Simplified Arabic"/>
          <w:sz w:val="28"/>
          <w:szCs w:val="28"/>
          <w:rtl/>
        </w:rPr>
      </w:pPr>
      <w:r w:rsidRPr="00826A18">
        <w:rPr>
          <w:rFonts w:ascii="Simplified Arabic" w:eastAsia="Calibri" w:hAnsi="Simplified Arabic" w:cs="Simplified Arabic"/>
          <w:sz w:val="28"/>
          <w:szCs w:val="28"/>
          <w:rtl/>
        </w:rPr>
        <w:t>ومن الناحية الاستراتيجية، فإن الدراسة تدعم توجهات التحول الوطني نحو تعزيز الحوكمة والجاهزية للمخاطر، بما يتماشى مع أولويات الاستدامة والأمن الغذائي. وبالتالي، فإن القيمة التطبيقية للبحث لا تقتصر على الإطار الأكاديمي، بل تمتد إلى تحسين الأداء المؤسسي ورفع كفاءة إدارة المخاطر في منطقة الرياض تحديداً</w:t>
      </w:r>
      <w:r w:rsidRPr="00826A18">
        <w:rPr>
          <w:rFonts w:ascii="Simplified Arabic" w:eastAsia="Calibri" w:hAnsi="Simplified Arabic" w:cs="Simplified Arabic"/>
          <w:sz w:val="28"/>
          <w:szCs w:val="28"/>
        </w:rPr>
        <w:t>.</w:t>
      </w:r>
    </w:p>
    <w:p w14:paraId="0D051D43" w14:textId="18403DFA" w:rsidR="006002BB" w:rsidRDefault="006002BB" w:rsidP="00826A18">
      <w:pPr>
        <w:spacing w:line="360" w:lineRule="auto"/>
        <w:jc w:val="both"/>
        <w:rPr>
          <w:rFonts w:ascii="Simplified Arabic" w:eastAsia="Calibri" w:hAnsi="Simplified Arabic" w:cs="Simplified Arabic"/>
          <w:sz w:val="28"/>
          <w:szCs w:val="28"/>
          <w:rtl/>
        </w:rPr>
      </w:pPr>
    </w:p>
    <w:p w14:paraId="739660DB" w14:textId="77777777" w:rsidR="006002BB" w:rsidRPr="00826A18" w:rsidRDefault="006002BB" w:rsidP="00826A18">
      <w:pPr>
        <w:spacing w:line="360" w:lineRule="auto"/>
        <w:jc w:val="both"/>
        <w:rPr>
          <w:rFonts w:ascii="Simplified Arabic" w:eastAsia="Calibri" w:hAnsi="Simplified Arabic" w:cs="Simplified Arabic"/>
          <w:sz w:val="28"/>
          <w:szCs w:val="28"/>
          <w:rtl/>
        </w:rPr>
      </w:pPr>
    </w:p>
    <w:p w14:paraId="44DB923D" w14:textId="2F47E589" w:rsidR="009125CE" w:rsidRPr="009D5651" w:rsidRDefault="00A74F76" w:rsidP="006002BB">
      <w:pPr>
        <w:spacing w:before="240"/>
        <w:rPr>
          <w:rFonts w:ascii="Sakkal Majalla" w:hAnsi="Sakkal Majalla" w:cs="Sakkal Majalla"/>
          <w:b/>
          <w:bCs/>
          <w:sz w:val="32"/>
          <w:szCs w:val="32"/>
          <w:u w:val="single"/>
          <w:rtl/>
        </w:rPr>
      </w:pPr>
      <w:r w:rsidRPr="009D5651">
        <w:rPr>
          <w:rFonts w:ascii="Sakkal Majalla" w:hAnsi="Sakkal Majalla" w:cs="Sakkal Majalla"/>
          <w:b/>
          <w:bCs/>
          <w:sz w:val="32"/>
          <w:szCs w:val="32"/>
          <w:u w:val="single"/>
          <w:rtl/>
        </w:rPr>
        <w:lastRenderedPageBreak/>
        <w:t>أهداف الدراسة</w:t>
      </w:r>
      <w:r w:rsidR="009125CE" w:rsidRPr="009D5651">
        <w:rPr>
          <w:rFonts w:ascii="Sakkal Majalla" w:hAnsi="Sakkal Majalla" w:cs="Sakkal Majalla" w:hint="cs"/>
          <w:b/>
          <w:bCs/>
          <w:sz w:val="32"/>
          <w:szCs w:val="32"/>
          <w:u w:val="single"/>
          <w:rtl/>
        </w:rPr>
        <w:t>:</w:t>
      </w:r>
    </w:p>
    <w:p w14:paraId="7F1AD822" w14:textId="77777777" w:rsidR="007E6C8D" w:rsidRPr="007E6C8D" w:rsidRDefault="007E6C8D" w:rsidP="007E6C8D">
      <w:pPr>
        <w:rPr>
          <w:rFonts w:ascii="Sakkal Majalla" w:hAnsi="Sakkal Majalla" w:cs="Sakkal Majalla"/>
          <w:b/>
          <w:bCs/>
          <w:sz w:val="28"/>
          <w:szCs w:val="28"/>
          <w:lang w:val="en-GB"/>
        </w:rPr>
      </w:pPr>
      <w:r w:rsidRPr="007E6C8D">
        <w:rPr>
          <w:rFonts w:ascii="Sakkal Majalla" w:hAnsi="Sakkal Majalla" w:cs="Sakkal Majalla"/>
          <w:b/>
          <w:bCs/>
          <w:sz w:val="28"/>
          <w:szCs w:val="28"/>
          <w:rtl/>
        </w:rPr>
        <w:t>الهدف الرئيس</w:t>
      </w:r>
      <w:r w:rsidRPr="007E6C8D">
        <w:rPr>
          <w:rFonts w:ascii="Sakkal Majalla" w:hAnsi="Sakkal Majalla" w:cs="Sakkal Majalla"/>
          <w:b/>
          <w:bCs/>
          <w:sz w:val="28"/>
          <w:szCs w:val="28"/>
          <w:lang w:val="en-GB"/>
        </w:rPr>
        <w:t>:</w:t>
      </w:r>
    </w:p>
    <w:p w14:paraId="43E283E4" w14:textId="77777777" w:rsidR="007E6C8D" w:rsidRPr="00826A18" w:rsidRDefault="007E6C8D" w:rsidP="007E6C8D">
      <w:pPr>
        <w:rPr>
          <w:rFonts w:ascii="Simplified Arabic" w:hAnsi="Simplified Arabic" w:cs="Simplified Arabic"/>
          <w:sz w:val="28"/>
          <w:szCs w:val="28"/>
          <w:lang w:val="en-GB"/>
        </w:rPr>
      </w:pPr>
      <w:r w:rsidRPr="00826A18">
        <w:rPr>
          <w:rFonts w:ascii="Simplified Arabic" w:hAnsi="Simplified Arabic" w:cs="Simplified Arabic"/>
          <w:sz w:val="28"/>
          <w:szCs w:val="28"/>
          <w:rtl/>
        </w:rPr>
        <w:t>تحليل أثر الخطط الإدارية بأبعادها المختلفة على فعالية الحد من مخاطر الأمراض المشتركة في القطاع البيئي والزراعي بمنطقة الرياض</w:t>
      </w:r>
      <w:r w:rsidRPr="00826A18">
        <w:rPr>
          <w:rFonts w:ascii="Simplified Arabic" w:hAnsi="Simplified Arabic" w:cs="Simplified Arabic"/>
          <w:sz w:val="28"/>
          <w:szCs w:val="28"/>
          <w:lang w:val="en-GB"/>
        </w:rPr>
        <w:t>.</w:t>
      </w:r>
    </w:p>
    <w:p w14:paraId="63EA9F43" w14:textId="77777777" w:rsidR="007E6C8D" w:rsidRPr="007E6C8D" w:rsidRDefault="007E6C8D" w:rsidP="007E6C8D">
      <w:pPr>
        <w:rPr>
          <w:rFonts w:ascii="Sakkal Majalla" w:hAnsi="Sakkal Majalla" w:cs="Sakkal Majalla"/>
          <w:b/>
          <w:bCs/>
          <w:sz w:val="28"/>
          <w:szCs w:val="28"/>
          <w:lang w:val="en-GB"/>
        </w:rPr>
      </w:pPr>
      <w:r w:rsidRPr="007E6C8D">
        <w:rPr>
          <w:rFonts w:ascii="Sakkal Majalla" w:hAnsi="Sakkal Majalla" w:cs="Sakkal Majalla"/>
          <w:b/>
          <w:bCs/>
          <w:sz w:val="28"/>
          <w:szCs w:val="28"/>
          <w:rtl/>
        </w:rPr>
        <w:t>الأهداف الفرعية</w:t>
      </w:r>
      <w:r w:rsidRPr="007E6C8D">
        <w:rPr>
          <w:rFonts w:ascii="Sakkal Majalla" w:hAnsi="Sakkal Majalla" w:cs="Sakkal Majalla"/>
          <w:b/>
          <w:bCs/>
          <w:sz w:val="28"/>
          <w:szCs w:val="28"/>
          <w:lang w:val="en-GB"/>
        </w:rPr>
        <w:t>:</w:t>
      </w:r>
    </w:p>
    <w:p w14:paraId="3AECBA96" w14:textId="77777777" w:rsidR="007E6C8D" w:rsidRPr="00826A18" w:rsidRDefault="007E6C8D" w:rsidP="00826A18">
      <w:pPr>
        <w:pStyle w:val="a5"/>
        <w:numPr>
          <w:ilvl w:val="0"/>
          <w:numId w:val="16"/>
        </w:numPr>
        <w:rPr>
          <w:rFonts w:ascii="Simplified Arabic" w:hAnsi="Simplified Arabic" w:cs="Simplified Arabic"/>
          <w:sz w:val="28"/>
          <w:szCs w:val="28"/>
        </w:rPr>
      </w:pPr>
      <w:r w:rsidRPr="00826A18">
        <w:rPr>
          <w:rFonts w:ascii="Simplified Arabic" w:hAnsi="Simplified Arabic" w:cs="Simplified Arabic"/>
          <w:sz w:val="28"/>
          <w:szCs w:val="28"/>
          <w:rtl/>
        </w:rPr>
        <w:t>قياس مستوى نضج التخطيط الإداري في القطاع البيئي والزراعي بمنطقة الرياض</w:t>
      </w:r>
      <w:r w:rsidRPr="00826A18">
        <w:rPr>
          <w:rFonts w:ascii="Simplified Arabic" w:hAnsi="Simplified Arabic" w:cs="Simplified Arabic"/>
          <w:sz w:val="28"/>
          <w:szCs w:val="28"/>
        </w:rPr>
        <w:t>.</w:t>
      </w:r>
    </w:p>
    <w:p w14:paraId="26BEDFE4" w14:textId="77777777" w:rsidR="007E6C8D" w:rsidRPr="00826A18" w:rsidRDefault="007E6C8D" w:rsidP="00826A18">
      <w:pPr>
        <w:pStyle w:val="a5"/>
        <w:numPr>
          <w:ilvl w:val="0"/>
          <w:numId w:val="16"/>
        </w:numPr>
        <w:rPr>
          <w:rFonts w:ascii="Simplified Arabic" w:hAnsi="Simplified Arabic" w:cs="Simplified Arabic"/>
          <w:sz w:val="28"/>
          <w:szCs w:val="28"/>
        </w:rPr>
      </w:pPr>
      <w:r w:rsidRPr="00826A18">
        <w:rPr>
          <w:rFonts w:ascii="Simplified Arabic" w:hAnsi="Simplified Arabic" w:cs="Simplified Arabic"/>
          <w:sz w:val="28"/>
          <w:szCs w:val="28"/>
          <w:rtl/>
        </w:rPr>
        <w:t>تقييم درجة التكامل المؤسسي بين الجهات المعنية بإدارة المخاطر</w:t>
      </w:r>
      <w:r w:rsidRPr="00826A18">
        <w:rPr>
          <w:rFonts w:ascii="Simplified Arabic" w:hAnsi="Simplified Arabic" w:cs="Simplified Arabic"/>
          <w:sz w:val="28"/>
          <w:szCs w:val="28"/>
        </w:rPr>
        <w:t>.</w:t>
      </w:r>
    </w:p>
    <w:p w14:paraId="039FE7AD" w14:textId="77777777" w:rsidR="007E6C8D" w:rsidRPr="00826A18" w:rsidRDefault="007E6C8D" w:rsidP="00826A18">
      <w:pPr>
        <w:pStyle w:val="a5"/>
        <w:numPr>
          <w:ilvl w:val="0"/>
          <w:numId w:val="16"/>
        </w:numPr>
        <w:rPr>
          <w:rFonts w:ascii="Simplified Arabic" w:hAnsi="Simplified Arabic" w:cs="Simplified Arabic"/>
          <w:sz w:val="28"/>
          <w:szCs w:val="28"/>
        </w:rPr>
      </w:pPr>
      <w:r w:rsidRPr="00826A18">
        <w:rPr>
          <w:rFonts w:ascii="Simplified Arabic" w:hAnsi="Simplified Arabic" w:cs="Simplified Arabic"/>
          <w:sz w:val="28"/>
          <w:szCs w:val="28"/>
          <w:rtl/>
        </w:rPr>
        <w:t>تحليل فعالية آليات المتابعة والتقييم المرتبطة بإدارة المخاطر</w:t>
      </w:r>
      <w:r w:rsidRPr="00826A18">
        <w:rPr>
          <w:rFonts w:ascii="Simplified Arabic" w:hAnsi="Simplified Arabic" w:cs="Simplified Arabic"/>
          <w:sz w:val="28"/>
          <w:szCs w:val="28"/>
        </w:rPr>
        <w:t>.</w:t>
      </w:r>
    </w:p>
    <w:p w14:paraId="28879404" w14:textId="77777777" w:rsidR="007E6C8D" w:rsidRPr="00826A18" w:rsidRDefault="007E6C8D" w:rsidP="00826A18">
      <w:pPr>
        <w:pStyle w:val="a5"/>
        <w:numPr>
          <w:ilvl w:val="0"/>
          <w:numId w:val="16"/>
        </w:numPr>
        <w:rPr>
          <w:rFonts w:ascii="Simplified Arabic" w:hAnsi="Simplified Arabic" w:cs="Simplified Arabic"/>
          <w:sz w:val="28"/>
          <w:szCs w:val="28"/>
        </w:rPr>
      </w:pPr>
      <w:r w:rsidRPr="00826A18">
        <w:rPr>
          <w:rFonts w:ascii="Simplified Arabic" w:hAnsi="Simplified Arabic" w:cs="Simplified Arabic"/>
          <w:sz w:val="28"/>
          <w:szCs w:val="28"/>
          <w:rtl/>
        </w:rPr>
        <w:t>قياس مستوى فعالية إدارة مخاطر الأمراض المشتركة من حيث الجاهزية والاستجابة والتنسيق</w:t>
      </w:r>
      <w:r w:rsidRPr="00826A18">
        <w:rPr>
          <w:rFonts w:ascii="Simplified Arabic" w:hAnsi="Simplified Arabic" w:cs="Simplified Arabic"/>
          <w:sz w:val="28"/>
          <w:szCs w:val="28"/>
        </w:rPr>
        <w:t>.</w:t>
      </w:r>
    </w:p>
    <w:p w14:paraId="432A0A13" w14:textId="3E2967C2" w:rsidR="00A74F76" w:rsidRPr="00826A18" w:rsidRDefault="007E6C8D" w:rsidP="00826A18">
      <w:pPr>
        <w:pStyle w:val="a5"/>
        <w:numPr>
          <w:ilvl w:val="0"/>
          <w:numId w:val="16"/>
        </w:numPr>
        <w:rPr>
          <w:rFonts w:ascii="Sakkal Majalla" w:hAnsi="Sakkal Majalla" w:cs="Sakkal Majalla"/>
          <w:sz w:val="28"/>
          <w:szCs w:val="28"/>
          <w:rtl/>
          <w:lang w:val="en-GB"/>
        </w:rPr>
      </w:pPr>
      <w:r w:rsidRPr="00826A18">
        <w:rPr>
          <w:rFonts w:ascii="Simplified Arabic" w:hAnsi="Simplified Arabic" w:cs="Simplified Arabic"/>
          <w:sz w:val="28"/>
          <w:szCs w:val="28"/>
          <w:rtl/>
        </w:rPr>
        <w:t>اختبار أثر كل بعد من أبعاد الخطط الإدارية على فعالية إدارة المخاطر إحصائيًا</w:t>
      </w:r>
      <w:r w:rsidRPr="00826A18">
        <w:rPr>
          <w:rFonts w:ascii="Sakkal Majalla" w:hAnsi="Sakkal Majalla" w:cs="Sakkal Majalla"/>
          <w:sz w:val="28"/>
          <w:szCs w:val="28"/>
          <w:lang w:val="en-GB"/>
        </w:rPr>
        <w:t>.</w:t>
      </w:r>
    </w:p>
    <w:p w14:paraId="30D688FF" w14:textId="77777777" w:rsidR="00754B17" w:rsidRPr="009D5651" w:rsidRDefault="00D22171" w:rsidP="006002BB">
      <w:pPr>
        <w:spacing w:before="240"/>
        <w:rPr>
          <w:rFonts w:ascii="Sakkal Majalla" w:hAnsi="Sakkal Majalla" w:cs="Sakkal Majalla"/>
          <w:b/>
          <w:bCs/>
          <w:sz w:val="32"/>
          <w:szCs w:val="32"/>
          <w:u w:val="single"/>
          <w:rtl/>
        </w:rPr>
      </w:pPr>
      <w:r w:rsidRPr="009D5651">
        <w:rPr>
          <w:rFonts w:ascii="Sakkal Majalla" w:hAnsi="Sakkal Majalla" w:cs="Sakkal Majalla"/>
          <w:b/>
          <w:bCs/>
          <w:sz w:val="32"/>
          <w:szCs w:val="32"/>
          <w:u w:val="single"/>
          <w:rtl/>
        </w:rPr>
        <w:t>تساؤلات الدراسة</w:t>
      </w:r>
    </w:p>
    <w:p w14:paraId="0A8DC79A" w14:textId="77777777" w:rsidR="007E6C8D" w:rsidRPr="007E6C8D" w:rsidRDefault="007E6C8D" w:rsidP="007E6C8D">
      <w:pPr>
        <w:rPr>
          <w:rFonts w:ascii="Times New Roman" w:eastAsia="Calibri" w:hAnsi="Times New Roman" w:cs="Simplified Arabic"/>
          <w:b/>
          <w:bCs/>
          <w:sz w:val="28"/>
          <w:szCs w:val="28"/>
          <w:lang w:val="en-GB"/>
        </w:rPr>
      </w:pPr>
      <w:r w:rsidRPr="007E6C8D">
        <w:rPr>
          <w:rFonts w:ascii="Times New Roman" w:eastAsia="Calibri" w:hAnsi="Times New Roman" w:cs="Simplified Arabic"/>
          <w:b/>
          <w:bCs/>
          <w:sz w:val="28"/>
          <w:szCs w:val="28"/>
          <w:rtl/>
        </w:rPr>
        <w:t>السؤال الرئيسي</w:t>
      </w:r>
      <w:r w:rsidRPr="007E6C8D">
        <w:rPr>
          <w:rFonts w:ascii="Times New Roman" w:eastAsia="Calibri" w:hAnsi="Times New Roman" w:cs="Simplified Arabic"/>
          <w:b/>
          <w:bCs/>
          <w:sz w:val="28"/>
          <w:szCs w:val="28"/>
          <w:lang w:val="en-GB"/>
        </w:rPr>
        <w:t>:</w:t>
      </w:r>
    </w:p>
    <w:p w14:paraId="7C2F0442" w14:textId="77777777" w:rsidR="007E6C8D" w:rsidRPr="007E6C8D" w:rsidRDefault="007E6C8D" w:rsidP="007E6C8D">
      <w:pPr>
        <w:rPr>
          <w:rFonts w:ascii="Times New Roman" w:eastAsia="Calibri" w:hAnsi="Times New Roman" w:cs="Simplified Arabic"/>
          <w:sz w:val="28"/>
          <w:szCs w:val="28"/>
          <w:lang w:val="en-GB"/>
        </w:rPr>
      </w:pPr>
      <w:r w:rsidRPr="007E6C8D">
        <w:rPr>
          <w:rFonts w:ascii="Times New Roman" w:eastAsia="Calibri" w:hAnsi="Times New Roman" w:cs="Simplified Arabic"/>
          <w:sz w:val="28"/>
          <w:szCs w:val="28"/>
          <w:rtl/>
        </w:rPr>
        <w:t>ما أثر الخطط الإدارية بأبعادها المختلفة على فعالية الحد من مخاطر الأمراض المشتركة في القطاع البيئي والزراعي بمنطقة الرياض؟</w:t>
      </w:r>
    </w:p>
    <w:p w14:paraId="32C3435A" w14:textId="77777777" w:rsidR="007E6C8D" w:rsidRPr="007E6C8D" w:rsidRDefault="007E6C8D" w:rsidP="007E6C8D">
      <w:pPr>
        <w:rPr>
          <w:rFonts w:ascii="Times New Roman" w:eastAsia="Calibri" w:hAnsi="Times New Roman" w:cs="Simplified Arabic"/>
          <w:b/>
          <w:bCs/>
          <w:sz w:val="28"/>
          <w:szCs w:val="28"/>
          <w:lang w:val="en-GB"/>
        </w:rPr>
      </w:pPr>
      <w:r w:rsidRPr="007E6C8D">
        <w:rPr>
          <w:rFonts w:ascii="Times New Roman" w:eastAsia="Calibri" w:hAnsi="Times New Roman" w:cs="Simplified Arabic"/>
          <w:b/>
          <w:bCs/>
          <w:sz w:val="28"/>
          <w:szCs w:val="28"/>
          <w:rtl/>
        </w:rPr>
        <w:t>الأسئلة الفرعية</w:t>
      </w:r>
      <w:r w:rsidRPr="007E6C8D">
        <w:rPr>
          <w:rFonts w:ascii="Times New Roman" w:eastAsia="Calibri" w:hAnsi="Times New Roman" w:cs="Simplified Arabic"/>
          <w:b/>
          <w:bCs/>
          <w:sz w:val="28"/>
          <w:szCs w:val="28"/>
          <w:lang w:val="en-GB"/>
        </w:rPr>
        <w:t>:</w:t>
      </w:r>
    </w:p>
    <w:p w14:paraId="07FB926A" w14:textId="77777777" w:rsidR="007E6C8D" w:rsidRPr="007E6C8D" w:rsidRDefault="007E6C8D" w:rsidP="007E6C8D">
      <w:pPr>
        <w:numPr>
          <w:ilvl w:val="0"/>
          <w:numId w:val="8"/>
        </w:numPr>
        <w:rPr>
          <w:rFonts w:ascii="Times New Roman" w:eastAsia="Calibri" w:hAnsi="Times New Roman" w:cs="Simplified Arabic"/>
          <w:sz w:val="28"/>
          <w:szCs w:val="28"/>
          <w:lang w:val="en-GB"/>
        </w:rPr>
      </w:pPr>
      <w:r w:rsidRPr="007E6C8D">
        <w:rPr>
          <w:rFonts w:ascii="Times New Roman" w:eastAsia="Calibri" w:hAnsi="Times New Roman" w:cs="Simplified Arabic"/>
          <w:sz w:val="28"/>
          <w:szCs w:val="28"/>
          <w:rtl/>
        </w:rPr>
        <w:t>ما مستوى نضج التخطيط الإداري في إدارة مخاطر الأمراض المشتركة؟</w:t>
      </w:r>
    </w:p>
    <w:p w14:paraId="592CA142" w14:textId="77777777" w:rsidR="007E6C8D" w:rsidRPr="007E6C8D" w:rsidRDefault="007E6C8D" w:rsidP="007E6C8D">
      <w:pPr>
        <w:numPr>
          <w:ilvl w:val="0"/>
          <w:numId w:val="8"/>
        </w:numPr>
        <w:rPr>
          <w:rFonts w:ascii="Times New Roman" w:eastAsia="Calibri" w:hAnsi="Times New Roman" w:cs="Simplified Arabic"/>
          <w:sz w:val="28"/>
          <w:szCs w:val="28"/>
          <w:lang w:val="en-GB"/>
        </w:rPr>
      </w:pPr>
      <w:r w:rsidRPr="007E6C8D">
        <w:rPr>
          <w:rFonts w:ascii="Times New Roman" w:eastAsia="Calibri" w:hAnsi="Times New Roman" w:cs="Simplified Arabic"/>
          <w:sz w:val="28"/>
          <w:szCs w:val="28"/>
          <w:rtl/>
        </w:rPr>
        <w:t>ما درجة التكامل المؤسسي بين الجهات المعنية بإدارة المخاطر؟</w:t>
      </w:r>
    </w:p>
    <w:p w14:paraId="20333606" w14:textId="77777777" w:rsidR="007E6C8D" w:rsidRPr="007E6C8D" w:rsidRDefault="007E6C8D" w:rsidP="007E6C8D">
      <w:pPr>
        <w:numPr>
          <w:ilvl w:val="0"/>
          <w:numId w:val="8"/>
        </w:numPr>
        <w:rPr>
          <w:rFonts w:ascii="Times New Roman" w:eastAsia="Calibri" w:hAnsi="Times New Roman" w:cs="Simplified Arabic"/>
          <w:sz w:val="28"/>
          <w:szCs w:val="28"/>
          <w:lang w:val="en-GB"/>
        </w:rPr>
      </w:pPr>
      <w:r w:rsidRPr="007E6C8D">
        <w:rPr>
          <w:rFonts w:ascii="Times New Roman" w:eastAsia="Calibri" w:hAnsi="Times New Roman" w:cs="Simplified Arabic"/>
          <w:sz w:val="28"/>
          <w:szCs w:val="28"/>
          <w:rtl/>
        </w:rPr>
        <w:t>ما مدى فاعلية آليات المتابعة والتقييم في إدارة المخاطر؟</w:t>
      </w:r>
    </w:p>
    <w:p w14:paraId="67AC3DDF" w14:textId="77777777" w:rsidR="007E6C8D" w:rsidRPr="007E6C8D" w:rsidRDefault="007E6C8D" w:rsidP="007E6C8D">
      <w:pPr>
        <w:numPr>
          <w:ilvl w:val="0"/>
          <w:numId w:val="8"/>
        </w:numPr>
        <w:rPr>
          <w:rFonts w:ascii="Times New Roman" w:eastAsia="Calibri" w:hAnsi="Times New Roman" w:cs="Simplified Arabic"/>
          <w:sz w:val="28"/>
          <w:szCs w:val="28"/>
          <w:lang w:val="en-GB"/>
        </w:rPr>
      </w:pPr>
      <w:r w:rsidRPr="007E6C8D">
        <w:rPr>
          <w:rFonts w:ascii="Times New Roman" w:eastAsia="Calibri" w:hAnsi="Times New Roman" w:cs="Simplified Arabic"/>
          <w:sz w:val="28"/>
          <w:szCs w:val="28"/>
          <w:rtl/>
        </w:rPr>
        <w:t>ما مستوى فعالية إدارة مخاطر الأمراض المشتركة من حيث الجاهزية والاستجابة والتنسيق؟</w:t>
      </w:r>
    </w:p>
    <w:p w14:paraId="61B196F8" w14:textId="6B0EA4DF" w:rsidR="00A74F76" w:rsidRPr="006002BB" w:rsidRDefault="007E6C8D" w:rsidP="00826A18">
      <w:pPr>
        <w:numPr>
          <w:ilvl w:val="0"/>
          <w:numId w:val="8"/>
        </w:numPr>
        <w:rPr>
          <w:rFonts w:ascii="Times New Roman" w:eastAsia="Calibri" w:hAnsi="Times New Roman" w:cs="Simplified Arabic"/>
          <w:sz w:val="28"/>
          <w:szCs w:val="28"/>
          <w:lang w:val="en-GB"/>
        </w:rPr>
      </w:pPr>
      <w:r w:rsidRPr="007E6C8D">
        <w:rPr>
          <w:rFonts w:ascii="Times New Roman" w:eastAsia="Calibri" w:hAnsi="Times New Roman" w:cs="Simplified Arabic"/>
          <w:sz w:val="28"/>
          <w:szCs w:val="28"/>
          <w:rtl/>
        </w:rPr>
        <w:t>هل يوجد أثر ذو دلالة إحصائية لأبعاد الخطط الإدارية على فعالية إدارة المخاطر؟</w:t>
      </w:r>
    </w:p>
    <w:p w14:paraId="2BD7EDD5" w14:textId="15CBD0BC" w:rsidR="006002BB" w:rsidRDefault="006002BB" w:rsidP="006002BB">
      <w:pPr>
        <w:ind w:left="720"/>
        <w:rPr>
          <w:rFonts w:ascii="Times New Roman" w:eastAsia="Calibri" w:hAnsi="Times New Roman" w:cs="Simplified Arabic"/>
          <w:sz w:val="28"/>
          <w:szCs w:val="28"/>
          <w:rtl/>
        </w:rPr>
      </w:pPr>
    </w:p>
    <w:p w14:paraId="4713734B" w14:textId="77777777" w:rsidR="006002BB" w:rsidRPr="00826A18" w:rsidRDefault="006002BB" w:rsidP="006002BB">
      <w:pPr>
        <w:ind w:left="720"/>
        <w:rPr>
          <w:rFonts w:ascii="Times New Roman" w:eastAsia="Calibri" w:hAnsi="Times New Roman" w:cs="Simplified Arabic"/>
          <w:sz w:val="28"/>
          <w:szCs w:val="28"/>
          <w:rtl/>
          <w:lang w:val="en-GB"/>
        </w:rPr>
      </w:pPr>
    </w:p>
    <w:p w14:paraId="56B19CA7" w14:textId="67082C38" w:rsidR="00D22171" w:rsidRPr="009D5651" w:rsidRDefault="00A74F76" w:rsidP="006002BB">
      <w:pPr>
        <w:spacing w:before="240"/>
        <w:rPr>
          <w:rFonts w:ascii="Sakkal Majalla" w:hAnsi="Sakkal Majalla" w:cs="Sakkal Majalla"/>
          <w:b/>
          <w:bCs/>
          <w:sz w:val="32"/>
          <w:szCs w:val="32"/>
          <w:u w:val="single"/>
          <w:rtl/>
        </w:rPr>
      </w:pPr>
      <w:r w:rsidRPr="009D5651">
        <w:rPr>
          <w:rFonts w:ascii="Sakkal Majalla" w:hAnsi="Sakkal Majalla" w:cs="Sakkal Majalla" w:hint="cs"/>
          <w:b/>
          <w:bCs/>
          <w:sz w:val="32"/>
          <w:szCs w:val="32"/>
          <w:u w:val="single"/>
          <w:rtl/>
        </w:rPr>
        <w:lastRenderedPageBreak/>
        <w:t>فروض الدراسة:</w:t>
      </w:r>
    </w:p>
    <w:p w14:paraId="369BAFF8" w14:textId="77777777" w:rsidR="007E6C8D" w:rsidRPr="007E6C8D" w:rsidRDefault="007E6C8D" w:rsidP="007E6C8D">
      <w:pPr>
        <w:rPr>
          <w:rFonts w:ascii="Sakkal Majalla" w:hAnsi="Sakkal Majalla" w:cs="Sakkal Majalla"/>
          <w:sz w:val="36"/>
          <w:szCs w:val="36"/>
          <w:lang w:val="en-GB"/>
        </w:rPr>
      </w:pPr>
      <w:r w:rsidRPr="007E6C8D">
        <w:rPr>
          <w:rFonts w:ascii="Sakkal Majalla" w:hAnsi="Sakkal Majalla" w:cs="Sakkal Majalla"/>
          <w:sz w:val="36"/>
          <w:szCs w:val="36"/>
          <w:rtl/>
        </w:rPr>
        <w:t>الفرضية الرئيسة</w:t>
      </w:r>
      <w:r w:rsidRPr="007E6C8D">
        <w:rPr>
          <w:rFonts w:ascii="Sakkal Majalla" w:hAnsi="Sakkal Majalla" w:cs="Sakkal Majalla"/>
          <w:sz w:val="36"/>
          <w:szCs w:val="36"/>
          <w:lang w:val="en-GB"/>
        </w:rPr>
        <w:t>:</w:t>
      </w:r>
    </w:p>
    <w:p w14:paraId="7C44E6D3" w14:textId="77777777" w:rsidR="00137D53" w:rsidRPr="00137D53" w:rsidRDefault="007E6C8D" w:rsidP="00137D53">
      <w:pPr>
        <w:pStyle w:val="a5"/>
        <w:numPr>
          <w:ilvl w:val="0"/>
          <w:numId w:val="13"/>
        </w:numPr>
        <w:rPr>
          <w:rFonts w:ascii="Sakkal Majalla" w:hAnsi="Sakkal Majalla" w:cs="Sakkal Majalla"/>
          <w:sz w:val="36"/>
          <w:szCs w:val="36"/>
          <w:rtl/>
          <w:lang w:val="en-GB"/>
        </w:rPr>
      </w:pPr>
      <w:r w:rsidRPr="00137D53">
        <w:rPr>
          <w:rFonts w:ascii="Sakkal Majalla" w:hAnsi="Sakkal Majalla" w:cs="Sakkal Majalla"/>
          <w:sz w:val="36"/>
          <w:szCs w:val="36"/>
          <w:lang w:val="en-GB"/>
        </w:rPr>
        <w:t xml:space="preserve">: </w:t>
      </w:r>
      <w:r w:rsidR="00137D53" w:rsidRPr="00137D53">
        <w:rPr>
          <w:rFonts w:ascii="Sakkal Majalla" w:hAnsi="Sakkal Majalla" w:cs="Sakkal Majalla"/>
          <w:sz w:val="36"/>
          <w:szCs w:val="36"/>
          <w:lang w:val="en-GB"/>
        </w:rPr>
        <w:t>H0</w:t>
      </w:r>
      <w:r w:rsidRPr="00137D53">
        <w:rPr>
          <w:rFonts w:ascii="Sakkal Majalla" w:hAnsi="Sakkal Majalla" w:cs="Sakkal Majalla"/>
          <w:sz w:val="36"/>
          <w:szCs w:val="36"/>
          <w:rtl/>
        </w:rPr>
        <w:t>لا يوجد أثر ذو دلالة إحصائية للخطط الإدارية على فعالية الحد من مخاطر الأمراض المشتركة</w:t>
      </w:r>
      <w:r w:rsidRPr="00137D53">
        <w:rPr>
          <w:rFonts w:ascii="Sakkal Majalla" w:hAnsi="Sakkal Majalla" w:cs="Sakkal Majalla"/>
          <w:sz w:val="36"/>
          <w:szCs w:val="36"/>
          <w:lang w:val="en-GB"/>
        </w:rPr>
        <w:t>.</w:t>
      </w:r>
    </w:p>
    <w:p w14:paraId="0DBA8195" w14:textId="7A5839E4" w:rsidR="007E6C8D" w:rsidRPr="00137D53" w:rsidRDefault="007E6C8D" w:rsidP="00137D53">
      <w:pPr>
        <w:pStyle w:val="a5"/>
        <w:numPr>
          <w:ilvl w:val="0"/>
          <w:numId w:val="13"/>
        </w:numPr>
        <w:rPr>
          <w:rFonts w:ascii="Sakkal Majalla" w:hAnsi="Sakkal Majalla" w:cs="Sakkal Majalla"/>
          <w:sz w:val="36"/>
          <w:szCs w:val="36"/>
          <w:lang w:val="en-GB"/>
        </w:rPr>
      </w:pPr>
      <w:r w:rsidRPr="00137D53">
        <w:rPr>
          <w:rFonts w:ascii="Sakkal Majalla" w:hAnsi="Sakkal Majalla" w:cs="Sakkal Majalla"/>
          <w:sz w:val="36"/>
          <w:szCs w:val="36"/>
          <w:lang w:val="en-GB"/>
        </w:rPr>
        <w:t xml:space="preserve">: </w:t>
      </w:r>
      <w:r w:rsidR="00137D53" w:rsidRPr="00137D53">
        <w:rPr>
          <w:rFonts w:ascii="Sakkal Majalla" w:hAnsi="Sakkal Majalla" w:cs="Sakkal Majalla"/>
          <w:sz w:val="36"/>
          <w:szCs w:val="36"/>
          <w:lang w:val="en-GB"/>
        </w:rPr>
        <w:t>H1</w:t>
      </w:r>
      <w:r w:rsidRPr="00137D53">
        <w:rPr>
          <w:rFonts w:ascii="Sakkal Majalla" w:hAnsi="Sakkal Majalla" w:cs="Sakkal Majalla"/>
          <w:sz w:val="36"/>
          <w:szCs w:val="36"/>
          <w:rtl/>
        </w:rPr>
        <w:t>يوجد أثر ذو دلالة إحصائية للخطط الإدارية على فعالية الحد من مخاطر الأمراض المشتركة</w:t>
      </w:r>
      <w:r w:rsidRPr="00137D53">
        <w:rPr>
          <w:rFonts w:ascii="Sakkal Majalla" w:hAnsi="Sakkal Majalla" w:cs="Sakkal Majalla"/>
          <w:sz w:val="36"/>
          <w:szCs w:val="36"/>
          <w:lang w:val="en-GB"/>
        </w:rPr>
        <w:t>.</w:t>
      </w:r>
    </w:p>
    <w:p w14:paraId="4709E55B" w14:textId="77777777" w:rsidR="007E6C8D" w:rsidRPr="00137D53" w:rsidRDefault="007E6C8D" w:rsidP="007E6C8D">
      <w:pPr>
        <w:rPr>
          <w:rFonts w:ascii="Sakkal Majalla" w:hAnsi="Sakkal Majalla" w:cs="Sakkal Majalla"/>
          <w:b/>
          <w:bCs/>
          <w:sz w:val="36"/>
          <w:szCs w:val="36"/>
          <w:lang w:val="en-GB"/>
        </w:rPr>
      </w:pPr>
      <w:r w:rsidRPr="00137D53">
        <w:rPr>
          <w:rFonts w:ascii="Sakkal Majalla" w:hAnsi="Sakkal Majalla" w:cs="Sakkal Majalla"/>
          <w:b/>
          <w:bCs/>
          <w:sz w:val="36"/>
          <w:szCs w:val="36"/>
          <w:rtl/>
        </w:rPr>
        <w:t>الفرضيات الفرعية</w:t>
      </w:r>
      <w:r w:rsidRPr="00137D53">
        <w:rPr>
          <w:rFonts w:ascii="Sakkal Majalla" w:hAnsi="Sakkal Majalla" w:cs="Sakkal Majalla"/>
          <w:b/>
          <w:bCs/>
          <w:sz w:val="36"/>
          <w:szCs w:val="36"/>
          <w:lang w:val="en-GB"/>
        </w:rPr>
        <w:t>:</w:t>
      </w:r>
    </w:p>
    <w:p w14:paraId="61B09EAF" w14:textId="53D4BA39" w:rsidR="007E6C8D" w:rsidRPr="001732E7" w:rsidRDefault="007E6C8D" w:rsidP="001732E7">
      <w:pPr>
        <w:pStyle w:val="a5"/>
        <w:numPr>
          <w:ilvl w:val="0"/>
          <w:numId w:val="18"/>
        </w:numPr>
        <w:rPr>
          <w:rFonts w:ascii="Sakkal Majalla" w:hAnsi="Sakkal Majalla" w:cs="Sakkal Majalla"/>
          <w:sz w:val="36"/>
          <w:szCs w:val="36"/>
          <w:lang w:val="en-GB"/>
        </w:rPr>
      </w:pPr>
      <w:r w:rsidRPr="001732E7">
        <w:rPr>
          <w:rFonts w:ascii="Sakkal Majalla" w:hAnsi="Sakkal Majalla" w:cs="Sakkal Majalla"/>
          <w:sz w:val="36"/>
          <w:szCs w:val="36"/>
          <w:lang w:val="en-GB"/>
        </w:rPr>
        <w:t xml:space="preserve">: </w:t>
      </w:r>
      <w:r w:rsidR="00137D53" w:rsidRPr="001732E7">
        <w:rPr>
          <w:rFonts w:ascii="Sakkal Majalla" w:hAnsi="Sakkal Majalla" w:cs="Sakkal Majalla"/>
          <w:sz w:val="36"/>
          <w:szCs w:val="36"/>
          <w:lang w:val="en-GB"/>
        </w:rPr>
        <w:t>H1a</w:t>
      </w:r>
      <w:r w:rsidR="00137D53" w:rsidRPr="001732E7">
        <w:rPr>
          <w:rFonts w:ascii="Sakkal Majalla" w:hAnsi="Sakkal Majalla" w:cs="Sakkal Majalla"/>
          <w:sz w:val="36"/>
          <w:szCs w:val="36"/>
          <w:rtl/>
        </w:rPr>
        <w:t xml:space="preserve"> </w:t>
      </w:r>
      <w:r w:rsidRPr="001732E7">
        <w:rPr>
          <w:rFonts w:ascii="Sakkal Majalla" w:hAnsi="Sakkal Majalla" w:cs="Sakkal Majalla"/>
          <w:sz w:val="36"/>
          <w:szCs w:val="36"/>
          <w:rtl/>
        </w:rPr>
        <w:t>يوجد أثر ذو دلالة إحصائية لنضج التخطيط الإداري على فعالية الحد من مخاطر الأمراض المشتركة</w:t>
      </w:r>
      <w:r w:rsidRPr="001732E7">
        <w:rPr>
          <w:rFonts w:ascii="Sakkal Majalla" w:hAnsi="Sakkal Majalla" w:cs="Sakkal Majalla"/>
          <w:sz w:val="36"/>
          <w:szCs w:val="36"/>
          <w:lang w:val="en-GB"/>
        </w:rPr>
        <w:t>.</w:t>
      </w:r>
    </w:p>
    <w:p w14:paraId="4FC49C7B" w14:textId="74DD9CE5" w:rsidR="007E6C8D" w:rsidRPr="001732E7" w:rsidRDefault="007E6C8D" w:rsidP="001732E7">
      <w:pPr>
        <w:pStyle w:val="a5"/>
        <w:numPr>
          <w:ilvl w:val="0"/>
          <w:numId w:val="18"/>
        </w:numPr>
        <w:rPr>
          <w:rFonts w:ascii="Sakkal Majalla" w:hAnsi="Sakkal Majalla" w:cs="Sakkal Majalla"/>
          <w:sz w:val="36"/>
          <w:szCs w:val="36"/>
          <w:lang w:val="en-GB"/>
        </w:rPr>
      </w:pPr>
      <w:r w:rsidRPr="001732E7">
        <w:rPr>
          <w:rFonts w:ascii="Sakkal Majalla" w:hAnsi="Sakkal Majalla" w:cs="Sakkal Majalla"/>
          <w:sz w:val="36"/>
          <w:szCs w:val="36"/>
          <w:lang w:val="en-GB"/>
        </w:rPr>
        <w:t xml:space="preserve">: </w:t>
      </w:r>
      <w:r w:rsidR="00137D53" w:rsidRPr="001732E7">
        <w:rPr>
          <w:rFonts w:ascii="Sakkal Majalla" w:hAnsi="Sakkal Majalla" w:cs="Sakkal Majalla"/>
          <w:sz w:val="36"/>
          <w:szCs w:val="36"/>
          <w:lang w:val="en-GB"/>
        </w:rPr>
        <w:t>H1b</w:t>
      </w:r>
      <w:r w:rsidR="00137D53" w:rsidRPr="001732E7">
        <w:rPr>
          <w:rFonts w:ascii="Sakkal Majalla" w:hAnsi="Sakkal Majalla" w:cs="Sakkal Majalla"/>
          <w:sz w:val="36"/>
          <w:szCs w:val="36"/>
          <w:rtl/>
        </w:rPr>
        <w:t xml:space="preserve"> </w:t>
      </w:r>
      <w:r w:rsidRPr="001732E7">
        <w:rPr>
          <w:rFonts w:ascii="Sakkal Majalla" w:hAnsi="Sakkal Majalla" w:cs="Sakkal Majalla"/>
          <w:sz w:val="36"/>
          <w:szCs w:val="36"/>
          <w:rtl/>
        </w:rPr>
        <w:t>يوجد أثر ذو دلالة إحصائية للتكامل المؤسسي على فعالية الحد من مخاطر الأمراض المشتركة</w:t>
      </w:r>
      <w:r w:rsidRPr="001732E7">
        <w:rPr>
          <w:rFonts w:ascii="Sakkal Majalla" w:hAnsi="Sakkal Majalla" w:cs="Sakkal Majalla"/>
          <w:sz w:val="36"/>
          <w:szCs w:val="36"/>
          <w:lang w:val="en-GB"/>
        </w:rPr>
        <w:t>.</w:t>
      </w:r>
    </w:p>
    <w:p w14:paraId="65FC8D97" w14:textId="606A37C2" w:rsidR="00A74F76" w:rsidRDefault="007E6C8D" w:rsidP="001732E7">
      <w:pPr>
        <w:pStyle w:val="a5"/>
        <w:numPr>
          <w:ilvl w:val="0"/>
          <w:numId w:val="18"/>
        </w:numPr>
        <w:rPr>
          <w:rFonts w:ascii="Sakkal Majalla" w:hAnsi="Sakkal Majalla" w:cs="Sakkal Majalla"/>
          <w:sz w:val="36"/>
          <w:szCs w:val="36"/>
          <w:lang w:val="en-GB"/>
        </w:rPr>
      </w:pPr>
      <w:r w:rsidRPr="001732E7">
        <w:rPr>
          <w:rFonts w:ascii="Sakkal Majalla" w:hAnsi="Sakkal Majalla" w:cs="Sakkal Majalla"/>
          <w:sz w:val="36"/>
          <w:szCs w:val="36"/>
          <w:lang w:val="en-GB"/>
        </w:rPr>
        <w:t xml:space="preserve">: </w:t>
      </w:r>
      <w:r w:rsidR="00137D53" w:rsidRPr="001732E7">
        <w:rPr>
          <w:rFonts w:ascii="Sakkal Majalla" w:hAnsi="Sakkal Majalla" w:cs="Sakkal Majalla"/>
          <w:sz w:val="36"/>
          <w:szCs w:val="36"/>
          <w:lang w:val="en-GB"/>
        </w:rPr>
        <w:t>H1c</w:t>
      </w:r>
      <w:r w:rsidR="00137D53" w:rsidRPr="001732E7">
        <w:rPr>
          <w:rFonts w:ascii="Sakkal Majalla" w:hAnsi="Sakkal Majalla" w:cs="Sakkal Majalla"/>
          <w:sz w:val="36"/>
          <w:szCs w:val="36"/>
          <w:rtl/>
        </w:rPr>
        <w:t xml:space="preserve"> </w:t>
      </w:r>
      <w:r w:rsidRPr="001732E7">
        <w:rPr>
          <w:rFonts w:ascii="Sakkal Majalla" w:hAnsi="Sakkal Majalla" w:cs="Sakkal Majalla"/>
          <w:sz w:val="36"/>
          <w:szCs w:val="36"/>
          <w:rtl/>
        </w:rPr>
        <w:t>يوجد أثر ذو دلالة إحصائية لآليات المتابعة والتقييم على فعالية الحد من مخاطر الأمراض المشتركة</w:t>
      </w:r>
      <w:r w:rsidRPr="001732E7">
        <w:rPr>
          <w:rFonts w:ascii="Sakkal Majalla" w:hAnsi="Sakkal Majalla" w:cs="Sakkal Majalla"/>
          <w:sz w:val="36"/>
          <w:szCs w:val="36"/>
          <w:lang w:val="en-GB"/>
        </w:rPr>
        <w:t>.</w:t>
      </w:r>
    </w:p>
    <w:p w14:paraId="65E9F0C1" w14:textId="2C4C6932" w:rsidR="006002BB" w:rsidRDefault="006002BB" w:rsidP="006002BB">
      <w:pPr>
        <w:rPr>
          <w:rFonts w:ascii="Sakkal Majalla" w:hAnsi="Sakkal Majalla" w:cs="Sakkal Majalla"/>
          <w:sz w:val="36"/>
          <w:szCs w:val="36"/>
          <w:rtl/>
          <w:lang w:val="en-GB"/>
        </w:rPr>
      </w:pPr>
    </w:p>
    <w:p w14:paraId="0A6C6A33" w14:textId="7C32E17E" w:rsidR="006002BB" w:rsidRDefault="006002BB" w:rsidP="006002BB">
      <w:pPr>
        <w:rPr>
          <w:rFonts w:ascii="Sakkal Majalla" w:hAnsi="Sakkal Majalla" w:cs="Sakkal Majalla"/>
          <w:sz w:val="36"/>
          <w:szCs w:val="36"/>
          <w:rtl/>
          <w:lang w:val="en-GB"/>
        </w:rPr>
      </w:pPr>
    </w:p>
    <w:p w14:paraId="47019D1A" w14:textId="23F4D1E1" w:rsidR="006002BB" w:rsidRDefault="006002BB" w:rsidP="006002BB">
      <w:pPr>
        <w:rPr>
          <w:rFonts w:ascii="Sakkal Majalla" w:hAnsi="Sakkal Majalla" w:cs="Sakkal Majalla"/>
          <w:sz w:val="36"/>
          <w:szCs w:val="36"/>
          <w:rtl/>
          <w:lang w:val="en-GB"/>
        </w:rPr>
      </w:pPr>
    </w:p>
    <w:p w14:paraId="022459A4" w14:textId="478FA532" w:rsidR="006002BB" w:rsidRDefault="006002BB" w:rsidP="006002BB">
      <w:pPr>
        <w:rPr>
          <w:rFonts w:ascii="Sakkal Majalla" w:hAnsi="Sakkal Majalla" w:cs="Sakkal Majalla"/>
          <w:sz w:val="36"/>
          <w:szCs w:val="36"/>
          <w:rtl/>
          <w:lang w:val="en-GB"/>
        </w:rPr>
      </w:pPr>
    </w:p>
    <w:p w14:paraId="6CC146FB" w14:textId="4DCCF788" w:rsidR="006002BB" w:rsidRDefault="006002BB" w:rsidP="006002BB">
      <w:pPr>
        <w:rPr>
          <w:rFonts w:ascii="Sakkal Majalla" w:hAnsi="Sakkal Majalla" w:cs="Sakkal Majalla"/>
          <w:sz w:val="36"/>
          <w:szCs w:val="36"/>
          <w:rtl/>
          <w:lang w:val="en-GB"/>
        </w:rPr>
      </w:pPr>
    </w:p>
    <w:p w14:paraId="4B40E90F" w14:textId="1439B753" w:rsidR="006002BB" w:rsidRDefault="006002BB" w:rsidP="006002BB">
      <w:pPr>
        <w:rPr>
          <w:rFonts w:ascii="Sakkal Majalla" w:hAnsi="Sakkal Majalla" w:cs="Sakkal Majalla"/>
          <w:sz w:val="36"/>
          <w:szCs w:val="36"/>
          <w:rtl/>
          <w:lang w:val="en-GB"/>
        </w:rPr>
      </w:pPr>
    </w:p>
    <w:p w14:paraId="053A9A96" w14:textId="34491F25" w:rsidR="006002BB" w:rsidRDefault="006002BB" w:rsidP="006002BB">
      <w:pPr>
        <w:rPr>
          <w:rFonts w:ascii="Sakkal Majalla" w:hAnsi="Sakkal Majalla" w:cs="Sakkal Majalla"/>
          <w:sz w:val="36"/>
          <w:szCs w:val="36"/>
          <w:rtl/>
          <w:lang w:val="en-GB"/>
        </w:rPr>
      </w:pPr>
    </w:p>
    <w:p w14:paraId="51B5295D" w14:textId="77777777" w:rsidR="006002BB" w:rsidRPr="006002BB" w:rsidRDefault="006002BB" w:rsidP="006002BB">
      <w:pPr>
        <w:rPr>
          <w:rFonts w:ascii="Sakkal Majalla" w:hAnsi="Sakkal Majalla" w:cs="Sakkal Majalla"/>
          <w:sz w:val="36"/>
          <w:szCs w:val="36"/>
          <w:rtl/>
          <w:lang w:val="en-GB"/>
        </w:rPr>
      </w:pPr>
    </w:p>
    <w:p w14:paraId="720FA162" w14:textId="77777777" w:rsidR="005D66B2" w:rsidRDefault="00D22171" w:rsidP="006002BB">
      <w:pPr>
        <w:spacing w:before="240"/>
        <w:rPr>
          <w:rFonts w:ascii="Sakkal Majalla" w:hAnsi="Sakkal Majalla" w:cs="Sakkal Majalla"/>
          <w:b/>
          <w:bCs/>
          <w:sz w:val="32"/>
          <w:szCs w:val="32"/>
          <w:u w:val="single"/>
          <w:rtl/>
        </w:rPr>
      </w:pPr>
      <w:r w:rsidRPr="009D5651">
        <w:rPr>
          <w:rFonts w:ascii="Sakkal Majalla" w:hAnsi="Sakkal Majalla" w:cs="Sakkal Majalla"/>
          <w:b/>
          <w:bCs/>
          <w:sz w:val="32"/>
          <w:szCs w:val="32"/>
          <w:u w:val="single"/>
          <w:rtl/>
        </w:rPr>
        <w:lastRenderedPageBreak/>
        <w:t>الدراسات السابقة</w:t>
      </w:r>
      <w:r w:rsidR="00A74F76" w:rsidRPr="009D5651">
        <w:rPr>
          <w:rFonts w:ascii="Sakkal Majalla" w:hAnsi="Sakkal Majalla" w:cs="Sakkal Majalla" w:hint="cs"/>
          <w:b/>
          <w:bCs/>
          <w:sz w:val="32"/>
          <w:szCs w:val="32"/>
          <w:u w:val="single"/>
          <w:rtl/>
        </w:rPr>
        <w:t>:</w:t>
      </w:r>
    </w:p>
    <w:p w14:paraId="26C69CB0" w14:textId="36C30124" w:rsidR="005D66B2" w:rsidRPr="005D66B2" w:rsidRDefault="005D66B2" w:rsidP="005D66B2">
      <w:pPr>
        <w:jc w:val="both"/>
        <w:rPr>
          <w:rFonts w:ascii="Simplified Arabic" w:hAnsi="Simplified Arabic" w:cs="Simplified Arabic"/>
          <w:sz w:val="32"/>
          <w:szCs w:val="32"/>
          <w:u w:val="single"/>
        </w:rPr>
      </w:pPr>
      <w:r w:rsidRPr="005D66B2">
        <w:rPr>
          <w:rFonts w:ascii="Simplified Arabic" w:eastAsia="Calibri" w:hAnsi="Simplified Arabic" w:cs="Simplified Arabic"/>
          <w:sz w:val="28"/>
          <w:szCs w:val="28"/>
          <w:rtl/>
        </w:rPr>
        <w:t>يهدف هذا الفصل إلى استعراض وتحليل الدراسات السابقة ذات الصلة بمتغيرات الدراسة الحالية، والمتمثلة في</w:t>
      </w:r>
      <w:r w:rsidRPr="005D66B2">
        <w:rPr>
          <w:rFonts w:ascii="Simplified Arabic" w:eastAsia="Calibri" w:hAnsi="Simplified Arabic" w:cs="Simplified Arabic"/>
          <w:sz w:val="28"/>
          <w:szCs w:val="28"/>
          <w:lang w:val="en-GB"/>
        </w:rPr>
        <w:t xml:space="preserve"> </w:t>
      </w:r>
      <w:r w:rsidRPr="005D66B2">
        <w:rPr>
          <w:rFonts w:ascii="Simplified Arabic" w:eastAsia="Calibri" w:hAnsi="Simplified Arabic" w:cs="Simplified Arabic"/>
          <w:sz w:val="28"/>
          <w:szCs w:val="28"/>
          <w:rtl/>
        </w:rPr>
        <w:t>الخطط الإدارية</w:t>
      </w:r>
      <w:r w:rsidRPr="005D66B2">
        <w:rPr>
          <w:rFonts w:ascii="Simplified Arabic" w:eastAsia="Calibri" w:hAnsi="Simplified Arabic" w:cs="Simplified Arabic"/>
          <w:sz w:val="28"/>
          <w:szCs w:val="28"/>
          <w:lang w:val="en-GB"/>
        </w:rPr>
        <w:t xml:space="preserve"> </w:t>
      </w:r>
      <w:r w:rsidRPr="005D66B2">
        <w:rPr>
          <w:rFonts w:ascii="Simplified Arabic" w:eastAsia="Calibri" w:hAnsi="Simplified Arabic" w:cs="Simplified Arabic"/>
          <w:sz w:val="28"/>
          <w:szCs w:val="28"/>
          <w:rtl/>
        </w:rPr>
        <w:t>كمتغير مستقل بأبعاده (نضج التخطيط الإداري، التكامل المؤسسي، آليات المتابعة والتقييم)، وفعالية إدارة مخاطر الأمراض المشتركة</w:t>
      </w:r>
      <w:r w:rsidRPr="005D66B2">
        <w:rPr>
          <w:rFonts w:ascii="Simplified Arabic" w:eastAsia="Calibri" w:hAnsi="Simplified Arabic" w:cs="Simplified Arabic"/>
          <w:sz w:val="28"/>
          <w:szCs w:val="28"/>
          <w:lang w:val="en-GB"/>
        </w:rPr>
        <w:t xml:space="preserve"> </w:t>
      </w:r>
      <w:r w:rsidRPr="005D66B2">
        <w:rPr>
          <w:rFonts w:ascii="Simplified Arabic" w:eastAsia="Calibri" w:hAnsi="Simplified Arabic" w:cs="Simplified Arabic"/>
          <w:sz w:val="28"/>
          <w:szCs w:val="28"/>
          <w:rtl/>
        </w:rPr>
        <w:t>كمتغير تابع بأبعاده (الجاهزية الوقائية، سرعة الاستجابة، التنسيق بين الجهات، تقليل احتمالية الانتشار)</w:t>
      </w:r>
      <w:r w:rsidRPr="005D66B2">
        <w:rPr>
          <w:rFonts w:ascii="Simplified Arabic" w:eastAsia="Calibri" w:hAnsi="Simplified Arabic" w:cs="Simplified Arabic"/>
          <w:sz w:val="28"/>
          <w:szCs w:val="28"/>
          <w:lang w:val="en-GB"/>
        </w:rPr>
        <w:t>.</w:t>
      </w:r>
    </w:p>
    <w:p w14:paraId="7F43EE31" w14:textId="0079EC48" w:rsidR="006002BB" w:rsidRPr="006002BB" w:rsidRDefault="005D66B2" w:rsidP="006002BB">
      <w:pPr>
        <w:jc w:val="both"/>
        <w:rPr>
          <w:rFonts w:ascii="Simplified Arabic" w:eastAsia="Calibri" w:hAnsi="Simplified Arabic" w:cs="Simplified Arabic"/>
          <w:sz w:val="28"/>
          <w:szCs w:val="28"/>
          <w:lang w:val="en-GB"/>
        </w:rPr>
      </w:pPr>
      <w:r w:rsidRPr="005D66B2">
        <w:rPr>
          <w:rFonts w:ascii="Simplified Arabic" w:eastAsia="Calibri" w:hAnsi="Simplified Arabic" w:cs="Simplified Arabic"/>
          <w:sz w:val="28"/>
          <w:szCs w:val="28"/>
          <w:rtl/>
        </w:rPr>
        <w:t>وقد تم تنظيم الدراسات في محورين رئيسين بما ينسجم مع البناء المفاهيمي للدراسة، وذلك بهدف الوقوف على ما توصلت إليه الأدبيات العلمية، وتحليل أوجه الاتفاق والاختلاف، وصولًا إلى تحديد الفجوة البحثية التي تنطلق منها الدراسة الحالية</w:t>
      </w:r>
      <w:r w:rsidRPr="005D66B2">
        <w:rPr>
          <w:rFonts w:ascii="Simplified Arabic" w:eastAsia="Calibri" w:hAnsi="Simplified Arabic" w:cs="Simplified Arabic"/>
          <w:sz w:val="28"/>
          <w:szCs w:val="28"/>
          <w:lang w:val="en-GB"/>
        </w:rPr>
        <w:t>.</w:t>
      </w:r>
    </w:p>
    <w:p w14:paraId="7183E035" w14:textId="77777777" w:rsidR="005D66B2" w:rsidRPr="005D66B2" w:rsidRDefault="005D66B2" w:rsidP="005D66B2">
      <w:pPr>
        <w:rPr>
          <w:rFonts w:ascii="Times New Roman" w:eastAsia="Calibri" w:hAnsi="Times New Roman" w:cs="Simplified Arabic"/>
          <w:b/>
          <w:bCs/>
          <w:sz w:val="28"/>
          <w:szCs w:val="28"/>
          <w:lang w:val="en-GB"/>
        </w:rPr>
      </w:pPr>
      <w:r w:rsidRPr="005D66B2">
        <w:rPr>
          <w:rFonts w:ascii="Times New Roman" w:eastAsia="Calibri" w:hAnsi="Times New Roman" w:cs="Simplified Arabic"/>
          <w:b/>
          <w:bCs/>
          <w:sz w:val="28"/>
          <w:szCs w:val="28"/>
          <w:rtl/>
        </w:rPr>
        <w:t>المحور الأول</w:t>
      </w:r>
      <w:r>
        <w:rPr>
          <w:rFonts w:ascii="Times New Roman" w:eastAsia="Calibri" w:hAnsi="Times New Roman" w:cs="Simplified Arabic" w:hint="cs"/>
          <w:b/>
          <w:bCs/>
          <w:sz w:val="28"/>
          <w:szCs w:val="28"/>
          <w:rtl/>
          <w:lang w:val="en-GB"/>
        </w:rPr>
        <w:t xml:space="preserve"> :</w:t>
      </w:r>
      <w:r w:rsidRPr="005D66B2">
        <w:rPr>
          <w:rFonts w:ascii="Times New Roman" w:eastAsia="Calibri" w:hAnsi="Times New Roman" w:cs="Simplified Arabic"/>
          <w:b/>
          <w:bCs/>
          <w:sz w:val="28"/>
          <w:szCs w:val="28"/>
          <w:rtl/>
        </w:rPr>
        <w:t>دراسات حول الخطط الإدارية وإدارة المخاطر المؤسسية</w:t>
      </w:r>
    </w:p>
    <w:p w14:paraId="6B3D4730" w14:textId="2894BDBD" w:rsidR="005D66B2" w:rsidRPr="00715A87" w:rsidRDefault="005D66B2" w:rsidP="00715A87">
      <w:pPr>
        <w:pStyle w:val="a5"/>
        <w:numPr>
          <w:ilvl w:val="0"/>
          <w:numId w:val="14"/>
        </w:numPr>
        <w:rPr>
          <w:rFonts w:ascii="Times New Roman" w:eastAsia="Calibri" w:hAnsi="Times New Roman" w:cs="Simplified Arabic"/>
          <w:sz w:val="28"/>
          <w:szCs w:val="28"/>
          <w:lang w:val="en-GB"/>
        </w:rPr>
      </w:pPr>
      <w:r w:rsidRPr="00715A87">
        <w:rPr>
          <w:rFonts w:ascii="Times New Roman" w:eastAsia="Calibri" w:hAnsi="Times New Roman" w:cs="Simplified Arabic"/>
          <w:b/>
          <w:bCs/>
          <w:sz w:val="28"/>
          <w:szCs w:val="28"/>
          <w:rtl/>
        </w:rPr>
        <w:t>دراسة</w:t>
      </w:r>
      <w:r w:rsidRPr="00715A87">
        <w:rPr>
          <w:rFonts w:ascii="Times New Roman" w:eastAsia="Calibri" w:hAnsi="Times New Roman" w:cs="Simplified Arabic"/>
          <w:b/>
          <w:bCs/>
          <w:sz w:val="28"/>
          <w:szCs w:val="28"/>
          <w:lang w:val="en-GB"/>
        </w:rPr>
        <w:t xml:space="preserve"> Farrell &amp; Gallagher (2015)</w:t>
      </w:r>
    </w:p>
    <w:p w14:paraId="28E0F90C"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هدفت هذه الدراسة إلى قياس أثر نضج إدارة المخاطر المؤسسية</w:t>
      </w:r>
      <w:r w:rsidRPr="005D66B2">
        <w:rPr>
          <w:rFonts w:ascii="Times New Roman" w:eastAsia="Calibri" w:hAnsi="Times New Roman" w:cs="Simplified Arabic"/>
          <w:sz w:val="28"/>
          <w:szCs w:val="28"/>
          <w:lang w:val="en-GB"/>
        </w:rPr>
        <w:t xml:space="preserve"> (ERM Maturity) </w:t>
      </w:r>
      <w:r w:rsidRPr="005D66B2">
        <w:rPr>
          <w:rFonts w:ascii="Times New Roman" w:eastAsia="Calibri" w:hAnsi="Times New Roman" w:cs="Simplified Arabic"/>
          <w:sz w:val="28"/>
          <w:szCs w:val="28"/>
          <w:rtl/>
        </w:rPr>
        <w:t>على الأداء المؤسسي في الشركات المدرجة. اعتمد الباحثان منهجًا كميًا تحليليًا قائمًا على بيانات مالية طولية، إلى جانب مؤشرات لقياس مستوى نضج إدارة المخاطر داخل المؤسسات. وقد تم استخدام نماذج الانحدار المتعدد لاختبار العلاقة بين مستوى نضج</w:t>
      </w:r>
      <w:r w:rsidRPr="005D66B2">
        <w:rPr>
          <w:rFonts w:ascii="Times New Roman" w:eastAsia="Calibri" w:hAnsi="Times New Roman" w:cs="Simplified Arabic"/>
          <w:sz w:val="28"/>
          <w:szCs w:val="28"/>
          <w:lang w:val="en-GB"/>
        </w:rPr>
        <w:t xml:space="preserve"> ERM </w:t>
      </w:r>
      <w:r w:rsidRPr="005D66B2">
        <w:rPr>
          <w:rFonts w:ascii="Times New Roman" w:eastAsia="Calibri" w:hAnsi="Times New Roman" w:cs="Simplified Arabic"/>
          <w:sz w:val="28"/>
          <w:szCs w:val="28"/>
          <w:rtl/>
        </w:rPr>
        <w:t>والقيمة السوقية ومؤشرات الأداء المالي</w:t>
      </w:r>
      <w:r w:rsidRPr="005D66B2">
        <w:rPr>
          <w:rFonts w:ascii="Times New Roman" w:eastAsia="Calibri" w:hAnsi="Times New Roman" w:cs="Simplified Arabic"/>
          <w:sz w:val="28"/>
          <w:szCs w:val="28"/>
          <w:lang w:val="en-GB"/>
        </w:rPr>
        <w:t>.</w:t>
      </w:r>
    </w:p>
    <w:p w14:paraId="59BEF788"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أظهرت النتائج وجود علاقة إيجابية ذات دلالة إحصائية بين ارتفاع مستوى نضج إدارة المخاطر وتحسن الأداء المؤسسي، كما بينت أن المؤسسات التي تدمج إدارة المخاطر ضمن التخطيط الاستراتيجي تتمتع بقدرة أعلى على التعامل مع عدم اليقين وتقليل التعرض للمخاطر غير المتوقعة. وأوصت الدراسة بضرورة تعزيز البنية المؤسسية لإدارة المخاطر وربطها بعمليات اتخاذ القرار على المستوى الاستراتيجي</w:t>
      </w:r>
      <w:r w:rsidRPr="005D66B2">
        <w:rPr>
          <w:rFonts w:ascii="Times New Roman" w:eastAsia="Calibri" w:hAnsi="Times New Roman" w:cs="Simplified Arabic"/>
          <w:sz w:val="28"/>
          <w:szCs w:val="28"/>
          <w:lang w:val="en-GB"/>
        </w:rPr>
        <w:t>.</w:t>
      </w:r>
    </w:p>
    <w:p w14:paraId="0E2B02C3" w14:textId="07D27520" w:rsidR="005D66B2" w:rsidRPr="005D66B2" w:rsidRDefault="005D66B2" w:rsidP="00826A18">
      <w:pPr>
        <w:pStyle w:val="a5"/>
        <w:numPr>
          <w:ilvl w:val="0"/>
          <w:numId w:val="14"/>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دراسة</w:t>
      </w:r>
      <w:r w:rsidRPr="005D66B2">
        <w:rPr>
          <w:rFonts w:ascii="Times New Roman" w:eastAsia="Calibri" w:hAnsi="Times New Roman" w:cs="Simplified Arabic"/>
          <w:b/>
          <w:bCs/>
          <w:sz w:val="28"/>
          <w:szCs w:val="28"/>
        </w:rPr>
        <w:t xml:space="preserve"> ERM Maturity in Public Sector Organizations (2020)</w:t>
      </w:r>
    </w:p>
    <w:p w14:paraId="2315AAF7"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ركزت هذه الدراسة المنشورة في</w:t>
      </w:r>
      <w:r w:rsidRPr="005D66B2">
        <w:rPr>
          <w:rFonts w:ascii="Times New Roman" w:eastAsia="Calibri" w:hAnsi="Times New Roman" w:cs="Simplified Arabic"/>
          <w:sz w:val="28"/>
          <w:szCs w:val="28"/>
          <w:lang w:val="en-GB"/>
        </w:rPr>
        <w:t xml:space="preserve"> </w:t>
      </w:r>
      <w:r w:rsidRPr="005D66B2">
        <w:rPr>
          <w:rFonts w:ascii="Times New Roman" w:eastAsia="Calibri" w:hAnsi="Times New Roman" w:cs="Simplified Arabic"/>
          <w:i/>
          <w:iCs/>
          <w:sz w:val="28"/>
          <w:szCs w:val="28"/>
          <w:lang w:val="en-GB"/>
        </w:rPr>
        <w:t>Public Money &amp; Management</w:t>
      </w:r>
      <w:r w:rsidRPr="005D66B2">
        <w:rPr>
          <w:rFonts w:ascii="Times New Roman" w:eastAsia="Calibri" w:hAnsi="Times New Roman" w:cs="Simplified Arabic"/>
          <w:sz w:val="28"/>
          <w:szCs w:val="28"/>
          <w:lang w:val="en-GB"/>
        </w:rPr>
        <w:t xml:space="preserve"> </w:t>
      </w:r>
      <w:r w:rsidRPr="005D66B2">
        <w:rPr>
          <w:rFonts w:ascii="Times New Roman" w:eastAsia="Calibri" w:hAnsi="Times New Roman" w:cs="Simplified Arabic"/>
          <w:sz w:val="28"/>
          <w:szCs w:val="28"/>
          <w:rtl/>
        </w:rPr>
        <w:t xml:space="preserve">على قياس مستوى نضج إدارة المخاطر المؤسسية في منظمات القطاع العام، وتحليل مدى تكاملها مع عمليات التخطيط وصنع القرار. </w:t>
      </w:r>
      <w:r w:rsidRPr="005D66B2">
        <w:rPr>
          <w:rFonts w:ascii="Times New Roman" w:eastAsia="Calibri" w:hAnsi="Times New Roman" w:cs="Simplified Arabic"/>
          <w:sz w:val="28"/>
          <w:szCs w:val="28"/>
          <w:rtl/>
        </w:rPr>
        <w:lastRenderedPageBreak/>
        <w:t>اعتمدت الدراسة منهجًا تحليليًا تقييميًا، واستندت إلى أدوات قياس معيارية لمستويات نضج</w:t>
      </w:r>
      <w:r w:rsidRPr="005D66B2">
        <w:rPr>
          <w:rFonts w:ascii="Times New Roman" w:eastAsia="Calibri" w:hAnsi="Times New Roman" w:cs="Simplified Arabic"/>
          <w:sz w:val="28"/>
          <w:szCs w:val="28"/>
          <w:lang w:val="en-GB"/>
        </w:rPr>
        <w:t xml:space="preserve"> ERM </w:t>
      </w:r>
      <w:r w:rsidRPr="005D66B2">
        <w:rPr>
          <w:rFonts w:ascii="Times New Roman" w:eastAsia="Calibri" w:hAnsi="Times New Roman" w:cs="Simplified Arabic"/>
          <w:sz w:val="28"/>
          <w:szCs w:val="28"/>
          <w:rtl/>
        </w:rPr>
        <w:t>في المؤسسات الحكومية</w:t>
      </w:r>
      <w:r w:rsidRPr="005D66B2">
        <w:rPr>
          <w:rFonts w:ascii="Times New Roman" w:eastAsia="Calibri" w:hAnsi="Times New Roman" w:cs="Simplified Arabic"/>
          <w:sz w:val="28"/>
          <w:szCs w:val="28"/>
          <w:lang w:val="en-GB"/>
        </w:rPr>
        <w:t>.</w:t>
      </w:r>
    </w:p>
    <w:p w14:paraId="3E1A94B1" w14:textId="516FAA23"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أظهرت النتائج تفاوتًا واضحًا في مستويات النضج بين الجهات الحكومية، وربطت بين وضوح الهياكل الحاكمة، وتفعيل آليات المتابعة والتقييم، وبين تحسن القدرة المؤسسية على إدارة المخاطر المعقدة. كما أكدت الدراسة أهمية دعم الإدارة العليا وتبني ثقافة تنظيمية تعزز الوعي بالمخاطر في القطاع العام</w:t>
      </w:r>
      <w:r w:rsidRPr="005D66B2">
        <w:rPr>
          <w:rFonts w:ascii="Times New Roman" w:eastAsia="Calibri" w:hAnsi="Times New Roman" w:cs="Simplified Arabic"/>
          <w:sz w:val="28"/>
          <w:szCs w:val="28"/>
          <w:lang w:val="en-GB"/>
        </w:rPr>
        <w:t>.</w:t>
      </w:r>
    </w:p>
    <w:p w14:paraId="1CC72FC2" w14:textId="56D0EF0B" w:rsidR="005D66B2" w:rsidRPr="005D66B2" w:rsidRDefault="005D66B2" w:rsidP="00826A18">
      <w:pPr>
        <w:pStyle w:val="a5"/>
        <w:numPr>
          <w:ilvl w:val="0"/>
          <w:numId w:val="14"/>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دراسة</w:t>
      </w:r>
      <w:r w:rsidRPr="005D66B2">
        <w:rPr>
          <w:rFonts w:ascii="Times New Roman" w:eastAsia="Calibri" w:hAnsi="Times New Roman" w:cs="Simplified Arabic"/>
          <w:b/>
          <w:bCs/>
          <w:sz w:val="28"/>
          <w:szCs w:val="28"/>
        </w:rPr>
        <w:t xml:space="preserve"> </w:t>
      </w:r>
      <w:proofErr w:type="spellStart"/>
      <w:r w:rsidRPr="005D66B2">
        <w:rPr>
          <w:rFonts w:ascii="Times New Roman" w:eastAsia="Calibri" w:hAnsi="Times New Roman" w:cs="Simplified Arabic"/>
          <w:b/>
          <w:bCs/>
          <w:sz w:val="28"/>
          <w:szCs w:val="28"/>
        </w:rPr>
        <w:t>Aven</w:t>
      </w:r>
      <w:proofErr w:type="spellEnd"/>
      <w:r w:rsidRPr="005D66B2">
        <w:rPr>
          <w:rFonts w:ascii="Times New Roman" w:eastAsia="Calibri" w:hAnsi="Times New Roman" w:cs="Simplified Arabic"/>
          <w:b/>
          <w:bCs/>
          <w:sz w:val="28"/>
          <w:szCs w:val="28"/>
        </w:rPr>
        <w:t xml:space="preserve"> &amp; </w:t>
      </w:r>
      <w:proofErr w:type="spellStart"/>
      <w:r w:rsidRPr="005D66B2">
        <w:rPr>
          <w:rFonts w:ascii="Times New Roman" w:eastAsia="Calibri" w:hAnsi="Times New Roman" w:cs="Simplified Arabic"/>
          <w:b/>
          <w:bCs/>
          <w:sz w:val="28"/>
          <w:szCs w:val="28"/>
        </w:rPr>
        <w:t>Renn</w:t>
      </w:r>
      <w:proofErr w:type="spellEnd"/>
      <w:r w:rsidRPr="005D66B2">
        <w:rPr>
          <w:rFonts w:ascii="Times New Roman" w:eastAsia="Calibri" w:hAnsi="Times New Roman" w:cs="Simplified Arabic"/>
          <w:b/>
          <w:bCs/>
          <w:sz w:val="28"/>
          <w:szCs w:val="28"/>
        </w:rPr>
        <w:t xml:space="preserve"> (2018)</w:t>
      </w:r>
    </w:p>
    <w:p w14:paraId="207FD6B5"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هدفت هذه الدراسة إلى تطوير إطار متكامل لحوكمة المخاطر في المؤسسات الحكومية، من خلال تحليل نظري وسياساتي لمبادئ الشفافية والمساءلة والتنسيق المؤسسي. اعتمدت الدراسة منهجًا تحليليًا مفاهيميًا قائمًا على مراجعة الأدبيات والسياسات العامة</w:t>
      </w:r>
      <w:r w:rsidRPr="005D66B2">
        <w:rPr>
          <w:rFonts w:ascii="Times New Roman" w:eastAsia="Calibri" w:hAnsi="Times New Roman" w:cs="Simplified Arabic"/>
          <w:sz w:val="28"/>
          <w:szCs w:val="28"/>
          <w:lang w:val="en-GB"/>
        </w:rPr>
        <w:t>.</w:t>
      </w:r>
    </w:p>
    <w:p w14:paraId="732D9FBB" w14:textId="43DED65C"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خلصت الدراسة إلى أن فعالية إدارة المخاطر تعتمد على وضوح توزيع المسؤوليات، ووجود أنظمة متابعة وتقييم مستمرة، إضافة إلى تكامل الأدوار بين الجهات المختلفة. كما بينت أن ضعف التنسيق المؤسسي يؤدي إلى انخفاض جودة الاستجابة للمخاطر المعقدة، وأوصت بدمج إدارة المخاطر ضمن البنية الاستراتيجية للحوكمة العامة</w:t>
      </w:r>
      <w:r w:rsidRPr="005D66B2">
        <w:rPr>
          <w:rFonts w:ascii="Times New Roman" w:eastAsia="Calibri" w:hAnsi="Times New Roman" w:cs="Simplified Arabic"/>
          <w:sz w:val="28"/>
          <w:szCs w:val="28"/>
          <w:lang w:val="en-GB"/>
        </w:rPr>
        <w:t>.</w:t>
      </w:r>
    </w:p>
    <w:p w14:paraId="3855B249" w14:textId="286F4D84" w:rsidR="005D66B2" w:rsidRPr="005D66B2" w:rsidRDefault="005D66B2" w:rsidP="00826A18">
      <w:pPr>
        <w:pStyle w:val="a5"/>
        <w:numPr>
          <w:ilvl w:val="0"/>
          <w:numId w:val="14"/>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دراسة</w:t>
      </w:r>
      <w:r w:rsidRPr="005D66B2">
        <w:rPr>
          <w:rFonts w:ascii="Times New Roman" w:eastAsia="Calibri" w:hAnsi="Times New Roman" w:cs="Simplified Arabic"/>
          <w:b/>
          <w:bCs/>
          <w:sz w:val="28"/>
          <w:szCs w:val="28"/>
        </w:rPr>
        <w:t xml:space="preserve"> </w:t>
      </w:r>
      <w:proofErr w:type="spellStart"/>
      <w:r w:rsidRPr="005D66B2">
        <w:rPr>
          <w:rFonts w:ascii="Times New Roman" w:eastAsia="Calibri" w:hAnsi="Times New Roman" w:cs="Simplified Arabic"/>
          <w:b/>
          <w:bCs/>
          <w:sz w:val="28"/>
          <w:szCs w:val="28"/>
        </w:rPr>
        <w:t>Brustbauer</w:t>
      </w:r>
      <w:proofErr w:type="spellEnd"/>
      <w:r w:rsidRPr="005D66B2">
        <w:rPr>
          <w:rFonts w:ascii="Times New Roman" w:eastAsia="Calibri" w:hAnsi="Times New Roman" w:cs="Simplified Arabic"/>
          <w:b/>
          <w:bCs/>
          <w:sz w:val="28"/>
          <w:szCs w:val="28"/>
        </w:rPr>
        <w:t xml:space="preserve"> (2016)</w:t>
      </w:r>
    </w:p>
    <w:p w14:paraId="4AA55CFB"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تناولت هذه الدراسة العلاقة بين التخطيط الاستراتيجي وإدارة المخاطر في الشركات الصغيرة والمتوسطة. اعتمدت منهجًا وصفيًا تحليليًا باستخدام استبانة ميدانية، إلى جانب تحليل انحدار لاختبار تأثير دمج إدارة المخاطر في التخطيط على الاستقرار التنظيمي</w:t>
      </w:r>
      <w:r w:rsidRPr="005D66B2">
        <w:rPr>
          <w:rFonts w:ascii="Times New Roman" w:eastAsia="Calibri" w:hAnsi="Times New Roman" w:cs="Simplified Arabic"/>
          <w:sz w:val="28"/>
          <w:szCs w:val="28"/>
          <w:lang w:val="en-GB"/>
        </w:rPr>
        <w:t>.</w:t>
      </w:r>
    </w:p>
    <w:p w14:paraId="4F77C738" w14:textId="56D25280"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lastRenderedPageBreak/>
        <w:t>أظهرت النتائج أن المؤسسات التي تعتمد تخطيطًا قائمًا على تحليل المخاطر تتمتع بمرونة تنظيمية أعلى وقدرة أفضل على مواجهة الأزمات، كما أكدت أن إدماج إدارة المخاطر في العمليات الإدارية اليومية يسهم في تعزيز فاعلية الحوكمة الداخلية وتقليل احتمالات الفشل التنظيمي</w:t>
      </w:r>
      <w:r w:rsidRPr="005D66B2">
        <w:rPr>
          <w:rFonts w:ascii="Times New Roman" w:eastAsia="Calibri" w:hAnsi="Times New Roman" w:cs="Simplified Arabic"/>
          <w:sz w:val="28"/>
          <w:szCs w:val="28"/>
          <w:lang w:val="en-GB"/>
        </w:rPr>
        <w:t>.</w:t>
      </w:r>
    </w:p>
    <w:p w14:paraId="4122A222" w14:textId="50FD9698" w:rsidR="005D66B2" w:rsidRPr="005D66B2" w:rsidRDefault="005D66B2" w:rsidP="00826A18">
      <w:pPr>
        <w:pStyle w:val="a5"/>
        <w:numPr>
          <w:ilvl w:val="0"/>
          <w:numId w:val="14"/>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تقرير</w:t>
      </w:r>
      <w:r w:rsidRPr="005D66B2">
        <w:rPr>
          <w:rFonts w:ascii="Times New Roman" w:eastAsia="Calibri" w:hAnsi="Times New Roman" w:cs="Simplified Arabic"/>
          <w:b/>
          <w:bCs/>
          <w:sz w:val="28"/>
          <w:szCs w:val="28"/>
        </w:rPr>
        <w:t xml:space="preserve"> OECD (2020)</w:t>
      </w:r>
    </w:p>
    <w:p w14:paraId="68B2D6AE"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حلل تقرير منظمة التعاون الاقتصادي والتنمية</w:t>
      </w:r>
      <w:r w:rsidRPr="005D66B2">
        <w:rPr>
          <w:rFonts w:ascii="Times New Roman" w:eastAsia="Calibri" w:hAnsi="Times New Roman" w:cs="Simplified Arabic"/>
          <w:sz w:val="28"/>
          <w:szCs w:val="28"/>
          <w:lang w:val="en-GB"/>
        </w:rPr>
        <w:t xml:space="preserve"> (OECD) </w:t>
      </w:r>
      <w:r w:rsidRPr="005D66B2">
        <w:rPr>
          <w:rFonts w:ascii="Times New Roman" w:eastAsia="Calibri" w:hAnsi="Times New Roman" w:cs="Simplified Arabic"/>
          <w:sz w:val="28"/>
          <w:szCs w:val="28"/>
          <w:rtl/>
        </w:rPr>
        <w:t>استجابات الدول للأزمات من منظور حوكمة المخاطر والتنسيق المؤسسي. اعتمد التقرير تحليلًا مقارنًا للسياسات العامة، وركز على دور الخطط الإدارية وآليات التنسيق في تحسين سرعة الاستجابة وتقليل آثار الأزمات</w:t>
      </w:r>
      <w:r w:rsidRPr="005D66B2">
        <w:rPr>
          <w:rFonts w:ascii="Times New Roman" w:eastAsia="Calibri" w:hAnsi="Times New Roman" w:cs="Simplified Arabic"/>
          <w:sz w:val="28"/>
          <w:szCs w:val="28"/>
          <w:lang w:val="en-GB"/>
        </w:rPr>
        <w:t>.</w:t>
      </w:r>
    </w:p>
    <w:p w14:paraId="6B119158" w14:textId="1820FB5F" w:rsidR="005D66B2" w:rsidRPr="005D66B2" w:rsidRDefault="005D66B2" w:rsidP="000F347B">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أظهرت النتائج أن ضعف التنسيق بين الجهات الحكومية يؤدي إلى تضاعف آثار الأزمات، بينما يسهم وجود خطط إدارية واضحة وتكامل مؤسسي فعال في تحسين إدارة المخاطر وتقليل الخسائر. وأوصى التقرير بتعزيز نظم المتابعة الرقابية والتكامل بين القطاعات كشرط أساسي لفعالية إدارة المخاطر</w:t>
      </w:r>
      <w:r w:rsidRPr="005D66B2">
        <w:rPr>
          <w:rFonts w:ascii="Times New Roman" w:eastAsia="Calibri" w:hAnsi="Times New Roman" w:cs="Simplified Arabic"/>
          <w:sz w:val="28"/>
          <w:szCs w:val="28"/>
          <w:lang w:val="en-GB"/>
        </w:rPr>
        <w:t>.</w:t>
      </w:r>
    </w:p>
    <w:p w14:paraId="09F707B4" w14:textId="28C4C1F7" w:rsidR="005D66B2" w:rsidRPr="005D66B2" w:rsidRDefault="005D66B2" w:rsidP="00826A18">
      <w:pPr>
        <w:spacing w:line="360" w:lineRule="auto"/>
        <w:jc w:val="both"/>
        <w:rPr>
          <w:rFonts w:ascii="Times New Roman" w:eastAsia="Calibri" w:hAnsi="Times New Roman" w:cs="Simplified Arabic"/>
          <w:b/>
          <w:bCs/>
          <w:sz w:val="28"/>
          <w:szCs w:val="28"/>
          <w:lang w:val="en-GB"/>
        </w:rPr>
      </w:pPr>
      <w:r w:rsidRPr="005D66B2">
        <w:rPr>
          <w:rFonts w:ascii="Times New Roman" w:eastAsia="Calibri" w:hAnsi="Times New Roman" w:cs="Simplified Arabic"/>
          <w:b/>
          <w:bCs/>
          <w:sz w:val="28"/>
          <w:szCs w:val="28"/>
          <w:rtl/>
        </w:rPr>
        <w:t>المحور الثاني</w:t>
      </w:r>
      <w:r w:rsidR="00715A87">
        <w:rPr>
          <w:rFonts w:ascii="Times New Roman" w:eastAsia="Calibri" w:hAnsi="Times New Roman" w:cs="Simplified Arabic" w:hint="cs"/>
          <w:b/>
          <w:bCs/>
          <w:sz w:val="28"/>
          <w:szCs w:val="28"/>
          <w:rtl/>
          <w:lang w:val="en-GB"/>
        </w:rPr>
        <w:t xml:space="preserve"> :</w:t>
      </w:r>
      <w:r w:rsidRPr="005D66B2">
        <w:rPr>
          <w:rFonts w:ascii="Times New Roman" w:eastAsia="Calibri" w:hAnsi="Times New Roman" w:cs="Simplified Arabic"/>
          <w:b/>
          <w:bCs/>
          <w:sz w:val="28"/>
          <w:szCs w:val="28"/>
          <w:rtl/>
        </w:rPr>
        <w:t>دراسات حول فعالية إدارة مخاطر الأمراض المشتركة</w:t>
      </w:r>
    </w:p>
    <w:p w14:paraId="64EF42E1" w14:textId="5DBC2E92" w:rsidR="005D66B2" w:rsidRPr="001029A5" w:rsidRDefault="005D66B2" w:rsidP="00826A18">
      <w:pPr>
        <w:pStyle w:val="a5"/>
        <w:numPr>
          <w:ilvl w:val="0"/>
          <w:numId w:val="15"/>
        </w:numPr>
        <w:spacing w:line="360" w:lineRule="auto"/>
        <w:jc w:val="both"/>
        <w:rPr>
          <w:rFonts w:ascii="Times New Roman" w:eastAsia="Calibri" w:hAnsi="Times New Roman" w:cs="Simplified Arabic"/>
          <w:sz w:val="28"/>
          <w:szCs w:val="28"/>
          <w:lang w:val="en-GB"/>
        </w:rPr>
      </w:pPr>
      <w:r w:rsidRPr="001029A5">
        <w:rPr>
          <w:rFonts w:ascii="Times New Roman" w:eastAsia="Calibri" w:hAnsi="Times New Roman" w:cs="Simplified Arabic"/>
          <w:b/>
          <w:bCs/>
          <w:sz w:val="28"/>
          <w:szCs w:val="28"/>
          <w:rtl/>
        </w:rPr>
        <w:t>دراسة</w:t>
      </w:r>
      <w:r w:rsidRPr="001029A5">
        <w:rPr>
          <w:rFonts w:ascii="Times New Roman" w:eastAsia="Calibri" w:hAnsi="Times New Roman" w:cs="Simplified Arabic"/>
          <w:b/>
          <w:bCs/>
          <w:sz w:val="28"/>
          <w:szCs w:val="28"/>
          <w:lang w:val="en-GB"/>
        </w:rPr>
        <w:t xml:space="preserve"> Jones </w:t>
      </w:r>
      <w:r w:rsidRPr="001029A5">
        <w:rPr>
          <w:rFonts w:ascii="Times New Roman" w:eastAsia="Calibri" w:hAnsi="Times New Roman" w:cs="Simplified Arabic"/>
          <w:b/>
          <w:bCs/>
          <w:sz w:val="28"/>
          <w:szCs w:val="28"/>
          <w:rtl/>
        </w:rPr>
        <w:t>وآخرون</w:t>
      </w:r>
    </w:p>
    <w:p w14:paraId="49E59E4F"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هدفت هذه الدراسة المنشورة في</w:t>
      </w:r>
      <w:r w:rsidRPr="005D66B2">
        <w:rPr>
          <w:rFonts w:ascii="Times New Roman" w:eastAsia="Calibri" w:hAnsi="Times New Roman" w:cs="Simplified Arabic"/>
          <w:sz w:val="28"/>
          <w:szCs w:val="28"/>
          <w:lang w:val="en-GB"/>
        </w:rPr>
        <w:t xml:space="preserve"> </w:t>
      </w:r>
      <w:r w:rsidRPr="005D66B2">
        <w:rPr>
          <w:rFonts w:ascii="Times New Roman" w:eastAsia="Calibri" w:hAnsi="Times New Roman" w:cs="Simplified Arabic"/>
          <w:i/>
          <w:iCs/>
          <w:sz w:val="28"/>
          <w:szCs w:val="28"/>
          <w:lang w:val="en-GB"/>
        </w:rPr>
        <w:t>Nature</w:t>
      </w:r>
      <w:r w:rsidRPr="005D66B2">
        <w:rPr>
          <w:rFonts w:ascii="Times New Roman" w:eastAsia="Calibri" w:hAnsi="Times New Roman" w:cs="Simplified Arabic"/>
          <w:sz w:val="28"/>
          <w:szCs w:val="28"/>
          <w:lang w:val="en-GB"/>
        </w:rPr>
        <w:t xml:space="preserve"> </w:t>
      </w:r>
      <w:r w:rsidRPr="005D66B2">
        <w:rPr>
          <w:rFonts w:ascii="Times New Roman" w:eastAsia="Calibri" w:hAnsi="Times New Roman" w:cs="Simplified Arabic"/>
          <w:sz w:val="28"/>
          <w:szCs w:val="28"/>
          <w:rtl/>
        </w:rPr>
        <w:t>إلى تحليل الاتجاهات العالمية للأمراض المعدية الناشئة، من خلال تحليل بيانات وبائية ممتدة زمنيًا ومكانيًا. استخدمت الدراسة نماذج إحصائية لرصد أنماط ظهور الأمراض ذات المنشأ الحيواني</w:t>
      </w:r>
      <w:r w:rsidRPr="005D66B2">
        <w:rPr>
          <w:rFonts w:ascii="Times New Roman" w:eastAsia="Calibri" w:hAnsi="Times New Roman" w:cs="Simplified Arabic"/>
          <w:sz w:val="28"/>
          <w:szCs w:val="28"/>
          <w:lang w:val="en-GB"/>
        </w:rPr>
        <w:t>.</w:t>
      </w:r>
    </w:p>
    <w:p w14:paraId="0B4AD0BF" w14:textId="208AA414"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أظهرت النتائج أن نسبة كبيرة من الأمراض الناشئة ذات منشأ حيواني وترتبط بالتغيرات البيئية والتوسع الزراعي، وأكدت أن غياب أنظمة المراقبة المبكرة والتخطيط الوقائي يزيد من احتمالية الانتشار. وأوصت بتعزيز نظم الرصد والتدخل المبكر للحد من مخاطر الأمراض المشتركة</w:t>
      </w:r>
      <w:r w:rsidRPr="005D66B2">
        <w:rPr>
          <w:rFonts w:ascii="Times New Roman" w:eastAsia="Calibri" w:hAnsi="Times New Roman" w:cs="Simplified Arabic"/>
          <w:sz w:val="28"/>
          <w:szCs w:val="28"/>
          <w:lang w:val="en-GB"/>
        </w:rPr>
        <w:t>.</w:t>
      </w:r>
    </w:p>
    <w:p w14:paraId="5036E82F" w14:textId="6FA17A06" w:rsidR="005D66B2" w:rsidRPr="005D66B2" w:rsidRDefault="005D66B2" w:rsidP="00826A18">
      <w:pPr>
        <w:pStyle w:val="a5"/>
        <w:numPr>
          <w:ilvl w:val="0"/>
          <w:numId w:val="15"/>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lastRenderedPageBreak/>
        <w:t>دراسة</w:t>
      </w:r>
      <w:r w:rsidRPr="005D66B2">
        <w:rPr>
          <w:rFonts w:ascii="Times New Roman" w:eastAsia="Calibri" w:hAnsi="Times New Roman" w:cs="Simplified Arabic"/>
          <w:b/>
          <w:bCs/>
          <w:sz w:val="28"/>
          <w:szCs w:val="28"/>
        </w:rPr>
        <w:t xml:space="preserve"> Allen </w:t>
      </w:r>
      <w:r w:rsidRPr="005D66B2">
        <w:rPr>
          <w:rFonts w:ascii="Times New Roman" w:eastAsia="Calibri" w:hAnsi="Times New Roman" w:cs="Simplified Arabic"/>
          <w:b/>
          <w:bCs/>
          <w:sz w:val="28"/>
          <w:szCs w:val="28"/>
          <w:rtl/>
        </w:rPr>
        <w:t>وآخرون (2017</w:t>
      </w:r>
      <w:r w:rsidR="001029A5" w:rsidRPr="001029A5">
        <w:rPr>
          <w:rFonts w:ascii="Times New Roman" w:eastAsia="Calibri" w:hAnsi="Times New Roman" w:cs="Simplified Arabic" w:hint="cs"/>
          <w:b/>
          <w:bCs/>
          <w:sz w:val="28"/>
          <w:szCs w:val="28"/>
          <w:rtl/>
        </w:rPr>
        <w:t>)</w:t>
      </w:r>
    </w:p>
    <w:p w14:paraId="657620C6"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ركزت هذه الدراسة المنشورة في</w:t>
      </w:r>
      <w:r w:rsidRPr="005D66B2">
        <w:rPr>
          <w:rFonts w:ascii="Times New Roman" w:eastAsia="Calibri" w:hAnsi="Times New Roman" w:cs="Simplified Arabic"/>
          <w:sz w:val="28"/>
          <w:szCs w:val="28"/>
          <w:lang w:val="en-GB"/>
        </w:rPr>
        <w:t xml:space="preserve"> </w:t>
      </w:r>
      <w:r w:rsidRPr="005D66B2">
        <w:rPr>
          <w:rFonts w:ascii="Times New Roman" w:eastAsia="Calibri" w:hAnsi="Times New Roman" w:cs="Simplified Arabic"/>
          <w:i/>
          <w:iCs/>
          <w:sz w:val="28"/>
          <w:szCs w:val="28"/>
          <w:lang w:val="en-GB"/>
        </w:rPr>
        <w:t>Nature Communications</w:t>
      </w:r>
      <w:r w:rsidRPr="005D66B2">
        <w:rPr>
          <w:rFonts w:ascii="Times New Roman" w:eastAsia="Calibri" w:hAnsi="Times New Roman" w:cs="Simplified Arabic"/>
          <w:sz w:val="28"/>
          <w:szCs w:val="28"/>
          <w:lang w:val="en-GB"/>
        </w:rPr>
        <w:t xml:space="preserve"> </w:t>
      </w:r>
      <w:r w:rsidRPr="005D66B2">
        <w:rPr>
          <w:rFonts w:ascii="Times New Roman" w:eastAsia="Calibri" w:hAnsi="Times New Roman" w:cs="Simplified Arabic"/>
          <w:sz w:val="28"/>
          <w:szCs w:val="28"/>
          <w:rtl/>
        </w:rPr>
        <w:t>على تحديد “البؤر الساخنة” لمخاطر الأمراض المشتركة عالميًا، باستخدام تحليل مكاني متقدم لبيانات الأمراض الناشئة. ربطت الدراسة بين الكثافة الزراعية والتغير البيئي وارتفاع احتمالية انتقال العدوى</w:t>
      </w:r>
      <w:r w:rsidRPr="005D66B2">
        <w:rPr>
          <w:rFonts w:ascii="Times New Roman" w:eastAsia="Calibri" w:hAnsi="Times New Roman" w:cs="Simplified Arabic"/>
          <w:sz w:val="28"/>
          <w:szCs w:val="28"/>
          <w:lang w:val="en-GB"/>
        </w:rPr>
        <w:t>.</w:t>
      </w:r>
    </w:p>
    <w:p w14:paraId="0ACD9051" w14:textId="7D6B82EC"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أظهرت النتائج أن المناطق ذات الضغط البيئي المرتفع تمثل بيئات خصبة لانتقال الأمراض المشتركة، وأكدت أهمية التدخلات الوقائية المبكرة وتحسين نظم الإدارة البيئية للحد من المخاطر</w:t>
      </w:r>
      <w:r w:rsidRPr="005D66B2">
        <w:rPr>
          <w:rFonts w:ascii="Times New Roman" w:eastAsia="Calibri" w:hAnsi="Times New Roman" w:cs="Simplified Arabic"/>
          <w:sz w:val="28"/>
          <w:szCs w:val="28"/>
          <w:lang w:val="en-GB"/>
        </w:rPr>
        <w:t>.</w:t>
      </w:r>
    </w:p>
    <w:p w14:paraId="0B262B67" w14:textId="1A56289B" w:rsidR="005D66B2" w:rsidRPr="005D66B2" w:rsidRDefault="005D66B2" w:rsidP="00826A18">
      <w:pPr>
        <w:pStyle w:val="a5"/>
        <w:numPr>
          <w:ilvl w:val="0"/>
          <w:numId w:val="15"/>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دراسة</w:t>
      </w:r>
      <w:r w:rsidRPr="005D66B2">
        <w:rPr>
          <w:rFonts w:ascii="Times New Roman" w:eastAsia="Calibri" w:hAnsi="Times New Roman" w:cs="Simplified Arabic"/>
          <w:b/>
          <w:bCs/>
          <w:sz w:val="28"/>
          <w:szCs w:val="28"/>
        </w:rPr>
        <w:t xml:space="preserve"> Saleem </w:t>
      </w:r>
      <w:r w:rsidRPr="005D66B2">
        <w:rPr>
          <w:rFonts w:ascii="Times New Roman" w:eastAsia="Calibri" w:hAnsi="Times New Roman" w:cs="Simplified Arabic"/>
          <w:b/>
          <w:bCs/>
          <w:sz w:val="28"/>
          <w:szCs w:val="28"/>
          <w:rtl/>
        </w:rPr>
        <w:t>وآخرون (2025</w:t>
      </w:r>
      <w:r w:rsidR="001029A5" w:rsidRPr="001029A5">
        <w:rPr>
          <w:rFonts w:ascii="Times New Roman" w:eastAsia="Calibri" w:hAnsi="Times New Roman" w:cs="Simplified Arabic" w:hint="cs"/>
          <w:b/>
          <w:bCs/>
          <w:sz w:val="28"/>
          <w:szCs w:val="28"/>
          <w:rtl/>
        </w:rPr>
        <w:t>)</w:t>
      </w:r>
    </w:p>
    <w:p w14:paraId="525BB5D4"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هدفت هذه الدراسة إلى تطوير برامج دعم القرار لإدارة تجارة الحياة البرية بما يسهم في تقليل مخاطر انتقال الأمراض المشتركة. اعتمدت الدراسة نماذج تقييم مخاطر ونظم دعم قرار رقمية لتحليل احتمالات انتقال العدوى عبر سلاسل التجارة الحيوانية</w:t>
      </w:r>
      <w:r w:rsidRPr="005D66B2">
        <w:rPr>
          <w:rFonts w:ascii="Times New Roman" w:eastAsia="Calibri" w:hAnsi="Times New Roman" w:cs="Simplified Arabic"/>
          <w:sz w:val="28"/>
          <w:szCs w:val="28"/>
          <w:lang w:val="en-GB"/>
        </w:rPr>
        <w:t>.</w:t>
      </w:r>
    </w:p>
    <w:p w14:paraId="1E2DE7DA" w14:textId="445821C3" w:rsidR="006002BB" w:rsidRPr="005D66B2" w:rsidRDefault="005D66B2" w:rsidP="000F347B">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أظهرت النتائج أن استخدام أدوات تحليل استباقية يسهم في خفض احتمالية انتقال الأمراض، كما أكدت أهمية اعتماد سياسات تنظيمية قائمة على تقييم المخاطر في القطاعات المرتبطة بالحياة البرية</w:t>
      </w:r>
      <w:r w:rsidRPr="005D66B2">
        <w:rPr>
          <w:rFonts w:ascii="Times New Roman" w:eastAsia="Calibri" w:hAnsi="Times New Roman" w:cs="Simplified Arabic"/>
          <w:sz w:val="28"/>
          <w:szCs w:val="28"/>
          <w:lang w:val="en-GB"/>
        </w:rPr>
        <w:t>.</w:t>
      </w:r>
    </w:p>
    <w:p w14:paraId="1A337C6E" w14:textId="20D31EC2" w:rsidR="005D66B2" w:rsidRPr="005D66B2" w:rsidRDefault="005D66B2" w:rsidP="00826A18">
      <w:pPr>
        <w:pStyle w:val="a5"/>
        <w:numPr>
          <w:ilvl w:val="0"/>
          <w:numId w:val="15"/>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دراسة</w:t>
      </w:r>
      <w:r w:rsidRPr="005D66B2">
        <w:rPr>
          <w:rFonts w:ascii="Times New Roman" w:eastAsia="Calibri" w:hAnsi="Times New Roman" w:cs="Simplified Arabic"/>
          <w:b/>
          <w:bCs/>
          <w:sz w:val="28"/>
          <w:szCs w:val="28"/>
        </w:rPr>
        <w:t xml:space="preserve"> </w:t>
      </w:r>
      <w:proofErr w:type="spellStart"/>
      <w:r w:rsidRPr="005D66B2">
        <w:rPr>
          <w:rFonts w:ascii="Times New Roman" w:eastAsia="Calibri" w:hAnsi="Times New Roman" w:cs="Simplified Arabic"/>
          <w:b/>
          <w:bCs/>
          <w:sz w:val="28"/>
          <w:szCs w:val="28"/>
        </w:rPr>
        <w:t>Ecke</w:t>
      </w:r>
      <w:proofErr w:type="spellEnd"/>
      <w:r w:rsidRPr="005D66B2">
        <w:rPr>
          <w:rFonts w:ascii="Times New Roman" w:eastAsia="Calibri" w:hAnsi="Times New Roman" w:cs="Simplified Arabic"/>
          <w:b/>
          <w:bCs/>
          <w:sz w:val="28"/>
          <w:szCs w:val="28"/>
        </w:rPr>
        <w:t xml:space="preserve"> </w:t>
      </w:r>
      <w:r w:rsidRPr="005D66B2">
        <w:rPr>
          <w:rFonts w:ascii="Times New Roman" w:eastAsia="Calibri" w:hAnsi="Times New Roman" w:cs="Simplified Arabic"/>
          <w:b/>
          <w:bCs/>
          <w:sz w:val="28"/>
          <w:szCs w:val="28"/>
          <w:rtl/>
        </w:rPr>
        <w:t>وآخرون</w:t>
      </w:r>
    </w:p>
    <w:p w14:paraId="44394B3F"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تناولت هذه الدراسة أثر الاستعادة التكيفية للنظم البيئية في تقليل مخاطر الأمراض المشتركة. اعتمدت مقاربة تكاملية تجمع بين النماذج البيئية والوبائية، لتحليل العلاقة بين تدهور النظم البيئية وارتفاع احتمالية انتقال العدوى من الحيوان إلى الإنسان</w:t>
      </w:r>
      <w:r w:rsidRPr="005D66B2">
        <w:rPr>
          <w:rFonts w:ascii="Times New Roman" w:eastAsia="Calibri" w:hAnsi="Times New Roman" w:cs="Simplified Arabic"/>
          <w:sz w:val="28"/>
          <w:szCs w:val="28"/>
          <w:lang w:val="en-GB"/>
        </w:rPr>
        <w:t>.</w:t>
      </w:r>
    </w:p>
    <w:p w14:paraId="143F2EBF" w14:textId="01C54EFD"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lastRenderedPageBreak/>
        <w:t>أظهرت النتائج أن تدهور البيئة يزيد من مخاطر الانتقال الحيواني-البشري، وأن التدخلات البيئية الوقائية طويلة المدى تمثل استراتيجية فعالة للحد من المخاطر، مما يعزز أهمية الإدارة الوقائية الشاملة في تقليل احتمالية ظهور الأمراض المشتركة</w:t>
      </w:r>
      <w:r w:rsidRPr="005D66B2">
        <w:rPr>
          <w:rFonts w:ascii="Times New Roman" w:eastAsia="Calibri" w:hAnsi="Times New Roman" w:cs="Simplified Arabic"/>
          <w:sz w:val="28"/>
          <w:szCs w:val="28"/>
          <w:lang w:val="en-GB"/>
        </w:rPr>
        <w:t>.</w:t>
      </w:r>
    </w:p>
    <w:p w14:paraId="56F0FF92" w14:textId="60EE9519" w:rsidR="005D66B2" w:rsidRPr="005D66B2" w:rsidRDefault="005D66B2" w:rsidP="00826A18">
      <w:pPr>
        <w:pStyle w:val="a5"/>
        <w:numPr>
          <w:ilvl w:val="0"/>
          <w:numId w:val="15"/>
        </w:numPr>
        <w:spacing w:line="360" w:lineRule="auto"/>
        <w:jc w:val="both"/>
        <w:rPr>
          <w:rFonts w:ascii="Times New Roman" w:eastAsia="Calibri" w:hAnsi="Times New Roman" w:cs="Simplified Arabic"/>
          <w:b/>
          <w:bCs/>
          <w:sz w:val="28"/>
          <w:szCs w:val="28"/>
        </w:rPr>
      </w:pPr>
      <w:r w:rsidRPr="005D66B2">
        <w:rPr>
          <w:rFonts w:ascii="Times New Roman" w:eastAsia="Calibri" w:hAnsi="Times New Roman" w:cs="Simplified Arabic"/>
          <w:b/>
          <w:bCs/>
          <w:sz w:val="28"/>
          <w:szCs w:val="28"/>
          <w:rtl/>
        </w:rPr>
        <w:t>خطة العمل المشتركة للصحة الواحدة (2022–2026</w:t>
      </w:r>
      <w:r w:rsidR="001029A5" w:rsidRPr="001029A5">
        <w:rPr>
          <w:rFonts w:ascii="Times New Roman" w:eastAsia="Calibri" w:hAnsi="Times New Roman" w:cs="Simplified Arabic" w:hint="cs"/>
          <w:b/>
          <w:bCs/>
          <w:sz w:val="28"/>
          <w:szCs w:val="28"/>
          <w:rtl/>
        </w:rPr>
        <w:t>)</w:t>
      </w:r>
    </w:p>
    <w:p w14:paraId="768967FE" w14:textId="77777777" w:rsidR="005D66B2" w:rsidRPr="005D66B2" w:rsidRDefault="005D66B2" w:rsidP="00826A18">
      <w:pPr>
        <w:spacing w:line="360" w:lineRule="auto"/>
        <w:jc w:val="both"/>
        <w:rPr>
          <w:rFonts w:ascii="Times New Roman" w:eastAsia="Calibri" w:hAnsi="Times New Roman" w:cs="Simplified Arabic"/>
          <w:sz w:val="28"/>
          <w:szCs w:val="28"/>
          <w:lang w:val="en-GB"/>
        </w:rPr>
      </w:pPr>
      <w:r w:rsidRPr="005D66B2">
        <w:rPr>
          <w:rFonts w:ascii="Times New Roman" w:eastAsia="Calibri" w:hAnsi="Times New Roman" w:cs="Simplified Arabic"/>
          <w:sz w:val="28"/>
          <w:szCs w:val="28"/>
          <w:rtl/>
        </w:rPr>
        <w:t>قدمت الخطة المشتركة الصادرة عن المنظمات الدولية المعنية بالصحة الحيوانية والبشرية إطارًا عالميًا لإدارة مخاطر الأمراض المشتركة عبر التنسيق بين القطاعات الصحية والزراعية والبيئية. أكدت الخطة أن فعالية الإدارة تعتمد على التخطيط المتكامل، والجاهزية المؤسسية، ونظم المراقبة المبكرة، والتنسيق متعدد القطاعات</w:t>
      </w:r>
      <w:r w:rsidRPr="005D66B2">
        <w:rPr>
          <w:rFonts w:ascii="Times New Roman" w:eastAsia="Calibri" w:hAnsi="Times New Roman" w:cs="Simplified Arabic"/>
          <w:sz w:val="28"/>
          <w:szCs w:val="28"/>
          <w:lang w:val="en-GB"/>
        </w:rPr>
        <w:t>.</w:t>
      </w:r>
    </w:p>
    <w:p w14:paraId="6D5E0CE7" w14:textId="37CB6D51" w:rsidR="00A74F76" w:rsidRPr="000362EE" w:rsidRDefault="005D66B2" w:rsidP="000362EE">
      <w:pPr>
        <w:spacing w:line="360" w:lineRule="auto"/>
        <w:jc w:val="both"/>
        <w:rPr>
          <w:rFonts w:ascii="Times New Roman" w:eastAsia="Calibri" w:hAnsi="Times New Roman" w:cs="Simplified Arabic"/>
          <w:b/>
          <w:bCs/>
          <w:sz w:val="28"/>
          <w:szCs w:val="28"/>
          <w:rtl/>
          <w:lang w:val="en-GB"/>
        </w:rPr>
      </w:pPr>
      <w:r w:rsidRPr="005D66B2">
        <w:rPr>
          <w:rFonts w:ascii="Times New Roman" w:eastAsia="Calibri" w:hAnsi="Times New Roman" w:cs="Simplified Arabic"/>
          <w:sz w:val="28"/>
          <w:szCs w:val="28"/>
          <w:rtl/>
        </w:rPr>
        <w:t>وشددت على أن غياب التكامل المؤسسي يضعف قدرة الدول على الوقاية والاستجابة، وأوصت بتبني نهج الصحة الواحدة كأساس لإدارة المخاطر الوبائية المعقدة</w:t>
      </w:r>
      <w:r w:rsidRPr="005D66B2">
        <w:rPr>
          <w:rFonts w:ascii="Times New Roman" w:eastAsia="Calibri" w:hAnsi="Times New Roman" w:cs="Simplified Arabic"/>
          <w:sz w:val="28"/>
          <w:szCs w:val="28"/>
          <w:lang w:val="en-GB"/>
        </w:rPr>
        <w:t>.</w:t>
      </w:r>
    </w:p>
    <w:p w14:paraId="1E576951" w14:textId="77777777" w:rsidR="001029A5" w:rsidRDefault="001029A5" w:rsidP="00826A18">
      <w:pPr>
        <w:spacing w:line="360" w:lineRule="auto"/>
        <w:jc w:val="both"/>
        <w:rPr>
          <w:rFonts w:ascii="Times New Roman" w:eastAsia="Calibri" w:hAnsi="Times New Roman" w:cs="Simplified Arabic"/>
          <w:b/>
          <w:bCs/>
          <w:sz w:val="32"/>
          <w:szCs w:val="32"/>
          <w:rtl/>
        </w:rPr>
      </w:pPr>
      <w:r w:rsidRPr="001029A5">
        <w:rPr>
          <w:rFonts w:ascii="Times New Roman" w:eastAsia="Calibri" w:hAnsi="Times New Roman" w:cs="Simplified Arabic"/>
          <w:b/>
          <w:bCs/>
          <w:sz w:val="32"/>
          <w:szCs w:val="32"/>
          <w:rtl/>
        </w:rPr>
        <w:t>تحليل الدراسات السابقة وربطها بالدراسة الحالية</w:t>
      </w:r>
    </w:p>
    <w:p w14:paraId="048CD811" w14:textId="77777777" w:rsidR="0038262A" w:rsidRPr="0038262A" w:rsidRDefault="0038262A" w:rsidP="00826A18">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t>أظهرت دراسة</w:t>
      </w:r>
      <w:r w:rsidRPr="0038262A">
        <w:rPr>
          <w:rFonts w:ascii="Times New Roman" w:eastAsia="Calibri" w:hAnsi="Times New Roman" w:cs="Simplified Arabic"/>
          <w:sz w:val="28"/>
          <w:szCs w:val="28"/>
          <w:lang w:val="en-GB"/>
        </w:rPr>
        <w:t xml:space="preserve"> Farrell &amp; Gallagher (2015) </w:t>
      </w:r>
      <w:r w:rsidRPr="0038262A">
        <w:rPr>
          <w:rFonts w:ascii="Times New Roman" w:eastAsia="Calibri" w:hAnsi="Times New Roman" w:cs="Simplified Arabic"/>
          <w:sz w:val="28"/>
          <w:szCs w:val="28"/>
          <w:rtl/>
        </w:rPr>
        <w:t>أن نضج إدارة المخاطر المؤسسية يمثل عاملًا حاسمًا في تحسين الأداء المؤسسي، حيث أثبتت النتائج وجود علاقة إيجابية ذات دلالة إحصائية بين مستوى نضج</w:t>
      </w:r>
      <w:r w:rsidRPr="0038262A">
        <w:rPr>
          <w:rFonts w:ascii="Times New Roman" w:eastAsia="Calibri" w:hAnsi="Times New Roman" w:cs="Simplified Arabic"/>
          <w:sz w:val="28"/>
          <w:szCs w:val="28"/>
          <w:lang w:val="en-GB"/>
        </w:rPr>
        <w:t xml:space="preserve"> ERM </w:t>
      </w:r>
      <w:r w:rsidRPr="0038262A">
        <w:rPr>
          <w:rFonts w:ascii="Times New Roman" w:eastAsia="Calibri" w:hAnsi="Times New Roman" w:cs="Simplified Arabic"/>
          <w:sz w:val="28"/>
          <w:szCs w:val="28"/>
          <w:rtl/>
        </w:rPr>
        <w:t>وتحسن القيمة السوقية ومؤشرات الأداء المالي. ويشير ذلك إلى أن المؤسسات التي تدمج إدارة المخاطر ضمن التخطيط الاستراتيجي تكون أكثر قدرة على اتخاذ قرارات رشيدة وتقليل التعرض للصدمات المفاجئة. وتُعد هذه النتيجة ذات أهمية مباشرة للدراسة الحالية، إذ تدعم بعد "نضج التخطيط الإداري" كعنصر مؤثر في فعالية إدارة المخاطر</w:t>
      </w:r>
      <w:r w:rsidRPr="0038262A">
        <w:rPr>
          <w:rFonts w:ascii="Times New Roman" w:eastAsia="Calibri" w:hAnsi="Times New Roman" w:cs="Simplified Arabic"/>
          <w:sz w:val="28"/>
          <w:szCs w:val="28"/>
          <w:lang w:val="en-GB"/>
        </w:rPr>
        <w:t>.</w:t>
      </w:r>
    </w:p>
    <w:p w14:paraId="2A49BF4C" w14:textId="77777777" w:rsidR="0038262A" w:rsidRPr="0038262A" w:rsidRDefault="0038262A" w:rsidP="00826A18">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lastRenderedPageBreak/>
        <w:t>أما دراسة</w:t>
      </w:r>
      <w:r w:rsidRPr="0038262A">
        <w:rPr>
          <w:rFonts w:ascii="Times New Roman" w:eastAsia="Calibri" w:hAnsi="Times New Roman" w:cs="Simplified Arabic"/>
          <w:sz w:val="28"/>
          <w:szCs w:val="28"/>
          <w:lang w:val="en-GB"/>
        </w:rPr>
        <w:t xml:space="preserve"> ERM Maturity in Public Sector Organizations (2020) </w:t>
      </w:r>
      <w:r w:rsidRPr="0038262A">
        <w:rPr>
          <w:rFonts w:ascii="Times New Roman" w:eastAsia="Calibri" w:hAnsi="Times New Roman" w:cs="Simplified Arabic"/>
          <w:sz w:val="28"/>
          <w:szCs w:val="28"/>
          <w:rtl/>
        </w:rPr>
        <w:t>فقد نقلت هذا الطرح إلى سياق القطاع العام، مؤكدة أن وضوح الهياكل الحاكمة، ودعم الإدارة العليا، وتفعيل آليات المتابعة، جميعها ترتبط بارتفاع القدرة المؤسسية على إدارة المخاطر المعقدة. وتبرز أهمية هذه الدراسة بالنسبة للبحث الحالي في كونها تركز على مؤسسات عامة، وهو ما ينسجم مع طبيعة القطاع البيئي والزراعي في منطقة الرياض الذي يتسم بطابع تنظيمي حكومي أو شبه حكومي</w:t>
      </w:r>
      <w:r w:rsidRPr="0038262A">
        <w:rPr>
          <w:rFonts w:ascii="Times New Roman" w:eastAsia="Calibri" w:hAnsi="Times New Roman" w:cs="Simplified Arabic"/>
          <w:sz w:val="28"/>
          <w:szCs w:val="28"/>
          <w:lang w:val="en-GB"/>
        </w:rPr>
        <w:t>.</w:t>
      </w:r>
    </w:p>
    <w:p w14:paraId="6A3C8625" w14:textId="77777777" w:rsidR="0038262A" w:rsidRPr="0038262A" w:rsidRDefault="0038262A" w:rsidP="00826A18">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t>وفي الإطار النظري لحوكمة المخاطر، قدمت دراسة</w:t>
      </w:r>
      <w:r w:rsidRPr="0038262A">
        <w:rPr>
          <w:rFonts w:ascii="Times New Roman" w:eastAsia="Calibri" w:hAnsi="Times New Roman" w:cs="Simplified Arabic"/>
          <w:sz w:val="28"/>
          <w:szCs w:val="28"/>
          <w:lang w:val="en-GB"/>
        </w:rPr>
        <w:t xml:space="preserve"> </w:t>
      </w:r>
      <w:proofErr w:type="spellStart"/>
      <w:r w:rsidRPr="0038262A">
        <w:rPr>
          <w:rFonts w:ascii="Times New Roman" w:eastAsia="Calibri" w:hAnsi="Times New Roman" w:cs="Simplified Arabic"/>
          <w:sz w:val="28"/>
          <w:szCs w:val="28"/>
          <w:lang w:val="en-GB"/>
        </w:rPr>
        <w:t>Aven</w:t>
      </w:r>
      <w:proofErr w:type="spellEnd"/>
      <w:r w:rsidRPr="0038262A">
        <w:rPr>
          <w:rFonts w:ascii="Times New Roman" w:eastAsia="Calibri" w:hAnsi="Times New Roman" w:cs="Simplified Arabic"/>
          <w:sz w:val="28"/>
          <w:szCs w:val="28"/>
          <w:lang w:val="en-GB"/>
        </w:rPr>
        <w:t xml:space="preserve"> &amp; </w:t>
      </w:r>
      <w:proofErr w:type="spellStart"/>
      <w:r w:rsidRPr="0038262A">
        <w:rPr>
          <w:rFonts w:ascii="Times New Roman" w:eastAsia="Calibri" w:hAnsi="Times New Roman" w:cs="Simplified Arabic"/>
          <w:sz w:val="28"/>
          <w:szCs w:val="28"/>
          <w:lang w:val="en-GB"/>
        </w:rPr>
        <w:t>Renn</w:t>
      </w:r>
      <w:proofErr w:type="spellEnd"/>
      <w:r w:rsidRPr="0038262A">
        <w:rPr>
          <w:rFonts w:ascii="Times New Roman" w:eastAsia="Calibri" w:hAnsi="Times New Roman" w:cs="Simplified Arabic"/>
          <w:sz w:val="28"/>
          <w:szCs w:val="28"/>
          <w:lang w:val="en-GB"/>
        </w:rPr>
        <w:t xml:space="preserve"> (2018) </w:t>
      </w:r>
      <w:r w:rsidRPr="0038262A">
        <w:rPr>
          <w:rFonts w:ascii="Times New Roman" w:eastAsia="Calibri" w:hAnsi="Times New Roman" w:cs="Simplified Arabic"/>
          <w:sz w:val="28"/>
          <w:szCs w:val="28"/>
          <w:rtl/>
        </w:rPr>
        <w:t>تصورًا متكاملًا لمفهوم</w:t>
      </w:r>
      <w:r w:rsidRPr="0038262A">
        <w:rPr>
          <w:rFonts w:ascii="Times New Roman" w:eastAsia="Calibri" w:hAnsi="Times New Roman" w:cs="Simplified Arabic"/>
          <w:sz w:val="28"/>
          <w:szCs w:val="28"/>
          <w:lang w:val="en-GB"/>
        </w:rPr>
        <w:t xml:space="preserve"> Risk Governance</w:t>
      </w:r>
      <w:r w:rsidRPr="0038262A">
        <w:rPr>
          <w:rFonts w:ascii="Times New Roman" w:eastAsia="Calibri" w:hAnsi="Times New Roman" w:cs="Simplified Arabic"/>
          <w:sz w:val="28"/>
          <w:szCs w:val="28"/>
          <w:rtl/>
        </w:rPr>
        <w:t>، مؤكدة أن فعالية إدارة المخاطر تعتمد على التكامل بين الجهات، ووضوح توزيع المسؤوليات، ووجود أنظمة متابعة وتقييم مستمرة. وقد أبرزت الدراسة أن المخاطر المعقدة، خاصة تلك ذات الطابع النظامي أو البيئي، لا يمكن إدارتها بفعالية في ظل غياب التنسيق المؤسسي. ويشكل هذا الطرح أساسًا نظريًا مهمًا للدراسة الحالية، حيث يُعد التكامل المؤسسي أحد الأبعاد الرئيسة للمتغير المستقل</w:t>
      </w:r>
      <w:r w:rsidRPr="0038262A">
        <w:rPr>
          <w:rFonts w:ascii="Times New Roman" w:eastAsia="Calibri" w:hAnsi="Times New Roman" w:cs="Simplified Arabic"/>
          <w:sz w:val="28"/>
          <w:szCs w:val="28"/>
          <w:lang w:val="en-GB"/>
        </w:rPr>
        <w:t>.</w:t>
      </w:r>
    </w:p>
    <w:p w14:paraId="2EF33AD8" w14:textId="77777777" w:rsidR="0038262A" w:rsidRPr="0038262A" w:rsidRDefault="0038262A" w:rsidP="00826A18">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t>كما أكدت دراسة</w:t>
      </w:r>
      <w:r w:rsidRPr="0038262A">
        <w:rPr>
          <w:rFonts w:ascii="Times New Roman" w:eastAsia="Calibri" w:hAnsi="Times New Roman" w:cs="Simplified Arabic"/>
          <w:sz w:val="28"/>
          <w:szCs w:val="28"/>
          <w:lang w:val="en-GB"/>
        </w:rPr>
        <w:t xml:space="preserve"> </w:t>
      </w:r>
      <w:proofErr w:type="spellStart"/>
      <w:r w:rsidRPr="0038262A">
        <w:rPr>
          <w:rFonts w:ascii="Times New Roman" w:eastAsia="Calibri" w:hAnsi="Times New Roman" w:cs="Simplified Arabic"/>
          <w:sz w:val="28"/>
          <w:szCs w:val="28"/>
          <w:lang w:val="en-GB"/>
        </w:rPr>
        <w:t>Brustbauer</w:t>
      </w:r>
      <w:proofErr w:type="spellEnd"/>
      <w:r w:rsidRPr="0038262A">
        <w:rPr>
          <w:rFonts w:ascii="Times New Roman" w:eastAsia="Calibri" w:hAnsi="Times New Roman" w:cs="Simplified Arabic"/>
          <w:sz w:val="28"/>
          <w:szCs w:val="28"/>
          <w:lang w:val="en-GB"/>
        </w:rPr>
        <w:t xml:space="preserve"> (2016) </w:t>
      </w:r>
      <w:r w:rsidRPr="0038262A">
        <w:rPr>
          <w:rFonts w:ascii="Times New Roman" w:eastAsia="Calibri" w:hAnsi="Times New Roman" w:cs="Simplified Arabic"/>
          <w:sz w:val="28"/>
          <w:szCs w:val="28"/>
          <w:rtl/>
        </w:rPr>
        <w:t>أن دمج إدارة المخاطر ضمن التخطيط الاستراتيجي يعزز مرونة المؤسسات وقدرتها على التكيف مع الأزمات، مشيرة إلى أن المؤسسات التي تعتمد تخطيطًا قائمًا على تحليل المخاطر تحقق استقرارًا تنظيميًا أعلى. ويتقاطع هذا الطرح مع فرضيات الدراسة الحالية التي تفترض وجود أثر لأبعاد الخطط الإدارية على فعالية إدارة مخاطر الأمراض المشتركة</w:t>
      </w:r>
      <w:r w:rsidRPr="0038262A">
        <w:rPr>
          <w:rFonts w:ascii="Times New Roman" w:eastAsia="Calibri" w:hAnsi="Times New Roman" w:cs="Simplified Arabic"/>
          <w:sz w:val="28"/>
          <w:szCs w:val="28"/>
          <w:lang w:val="en-GB"/>
        </w:rPr>
        <w:t>.</w:t>
      </w:r>
    </w:p>
    <w:p w14:paraId="44253E8B" w14:textId="77777777" w:rsidR="0038262A" w:rsidRPr="0038262A" w:rsidRDefault="0038262A" w:rsidP="00826A18">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t>أما تقرير</w:t>
      </w:r>
      <w:r w:rsidRPr="0038262A">
        <w:rPr>
          <w:rFonts w:ascii="Times New Roman" w:eastAsia="Calibri" w:hAnsi="Times New Roman" w:cs="Simplified Arabic"/>
          <w:sz w:val="28"/>
          <w:szCs w:val="28"/>
          <w:lang w:val="en-GB"/>
        </w:rPr>
        <w:t xml:space="preserve"> OECD (2020) </w:t>
      </w:r>
      <w:r w:rsidRPr="0038262A">
        <w:rPr>
          <w:rFonts w:ascii="Times New Roman" w:eastAsia="Calibri" w:hAnsi="Times New Roman" w:cs="Simplified Arabic"/>
          <w:sz w:val="28"/>
          <w:szCs w:val="28"/>
          <w:rtl/>
        </w:rPr>
        <w:t>فقد أبرز من خلال تحليل مقارن لاستجابات الدول للأزمات أن وجود خطط إدارية واضحة وآليات تنسيق فعالة يسهمان في تحسين سرعة الاستجابة وتقليل الآثار السلبية للأزمات. وقد بين التقرير أن ضعف التنسيق المؤسسي يمثل أحد أبرز أسباب تعثر الاستجابة للأزمات المعقدة. ويعزز ذلك أهمية بعد "المتابعة والتقييم والتكامل المؤسسي" في الدراسة الحالية</w:t>
      </w:r>
      <w:r w:rsidRPr="0038262A">
        <w:rPr>
          <w:rFonts w:ascii="Times New Roman" w:eastAsia="Calibri" w:hAnsi="Times New Roman" w:cs="Simplified Arabic"/>
          <w:sz w:val="28"/>
          <w:szCs w:val="28"/>
          <w:lang w:val="en-GB"/>
        </w:rPr>
        <w:t>.</w:t>
      </w:r>
    </w:p>
    <w:p w14:paraId="14CDF0B7" w14:textId="77777777" w:rsidR="0038262A" w:rsidRPr="0038262A" w:rsidRDefault="0038262A" w:rsidP="00826A18">
      <w:pPr>
        <w:spacing w:line="360" w:lineRule="auto"/>
        <w:jc w:val="both"/>
        <w:rPr>
          <w:rFonts w:ascii="Times New Roman" w:eastAsia="Calibri" w:hAnsi="Times New Roman" w:cs="Simplified Arabic"/>
          <w:sz w:val="28"/>
          <w:szCs w:val="28"/>
        </w:rPr>
      </w:pPr>
      <w:r w:rsidRPr="0038262A">
        <w:rPr>
          <w:rFonts w:ascii="Times New Roman" w:eastAsia="Calibri" w:hAnsi="Times New Roman" w:cs="Simplified Arabic"/>
          <w:sz w:val="28"/>
          <w:szCs w:val="28"/>
          <w:rtl/>
        </w:rPr>
        <w:lastRenderedPageBreak/>
        <w:t>ركزت دراسة</w:t>
      </w:r>
      <w:r w:rsidRPr="0038262A">
        <w:rPr>
          <w:rFonts w:ascii="Times New Roman" w:eastAsia="Calibri" w:hAnsi="Times New Roman" w:cs="Simplified Arabic"/>
          <w:sz w:val="28"/>
          <w:szCs w:val="28"/>
        </w:rPr>
        <w:t xml:space="preserve"> Jones </w:t>
      </w:r>
      <w:r w:rsidRPr="0038262A">
        <w:rPr>
          <w:rFonts w:ascii="Times New Roman" w:eastAsia="Calibri" w:hAnsi="Times New Roman" w:cs="Simplified Arabic"/>
          <w:sz w:val="28"/>
          <w:szCs w:val="28"/>
          <w:rtl/>
        </w:rPr>
        <w:t>وآخرين على تحليل الاتجاهات العالمية للأمراض المعدية الناشئة، وأثبتت أن نسبة كبيرة منها ذات منشأ حيواني وترتبط بالتغيرات البيئية والتوسع الزراعي. وتُبرز هذه النتيجة العلاقة البنيوية بين الأنشطة البيئية والزراعية وبين ارتفاع مخاطر انتقال الأمراض، مما يجعل القطاع البيئي والزراعي محورًا أساسيًا في إدارة هذه المخاطر</w:t>
      </w:r>
      <w:r w:rsidRPr="0038262A">
        <w:rPr>
          <w:rFonts w:ascii="Times New Roman" w:eastAsia="Calibri" w:hAnsi="Times New Roman" w:cs="Simplified Arabic"/>
          <w:sz w:val="28"/>
          <w:szCs w:val="28"/>
        </w:rPr>
        <w:t>.</w:t>
      </w:r>
    </w:p>
    <w:p w14:paraId="3B985161" w14:textId="77777777" w:rsidR="0038262A" w:rsidRPr="0038262A" w:rsidRDefault="0038262A" w:rsidP="00826A18">
      <w:pPr>
        <w:spacing w:line="360" w:lineRule="auto"/>
        <w:jc w:val="both"/>
        <w:rPr>
          <w:rFonts w:ascii="Times New Roman" w:eastAsia="Calibri" w:hAnsi="Times New Roman" w:cs="Simplified Arabic"/>
          <w:sz w:val="28"/>
          <w:szCs w:val="28"/>
        </w:rPr>
      </w:pPr>
      <w:r w:rsidRPr="0038262A">
        <w:rPr>
          <w:rFonts w:ascii="Times New Roman" w:eastAsia="Calibri" w:hAnsi="Times New Roman" w:cs="Simplified Arabic"/>
          <w:sz w:val="28"/>
          <w:szCs w:val="28"/>
          <w:rtl/>
        </w:rPr>
        <w:t>كما بينت دراسة</w:t>
      </w:r>
      <w:r w:rsidRPr="0038262A">
        <w:rPr>
          <w:rFonts w:ascii="Times New Roman" w:eastAsia="Calibri" w:hAnsi="Times New Roman" w:cs="Simplified Arabic"/>
          <w:sz w:val="28"/>
          <w:szCs w:val="28"/>
        </w:rPr>
        <w:t xml:space="preserve"> Allen </w:t>
      </w:r>
      <w:r w:rsidRPr="0038262A">
        <w:rPr>
          <w:rFonts w:ascii="Times New Roman" w:eastAsia="Calibri" w:hAnsi="Times New Roman" w:cs="Simplified Arabic"/>
          <w:sz w:val="28"/>
          <w:szCs w:val="28"/>
          <w:rtl/>
        </w:rPr>
        <w:t>وآخرين (2017) أن هناك مناطق جغرافية تُعد بؤرًا ساخنة لانتقال الأمراض المشتركة، وأن هذه المناطق غالبًا ما تتسم بكثافة زراعية مرتفعة وضغط بيئي كبير. وتشير هذه النتائج إلى أهمية التدخل الوقائي المبكر وتعزيز نظم الإدارة البيئية للحد من احتمالات الانتشار، وهو ما يدعم بعد "تقليل احتمالية الانتشار" في المتغير التابع للدراسة الحالية</w:t>
      </w:r>
      <w:r w:rsidRPr="0038262A">
        <w:rPr>
          <w:rFonts w:ascii="Times New Roman" w:eastAsia="Calibri" w:hAnsi="Times New Roman" w:cs="Simplified Arabic"/>
          <w:sz w:val="28"/>
          <w:szCs w:val="28"/>
        </w:rPr>
        <w:t>.</w:t>
      </w:r>
    </w:p>
    <w:p w14:paraId="5D76D938" w14:textId="77777777" w:rsidR="0038262A" w:rsidRPr="0038262A" w:rsidRDefault="0038262A" w:rsidP="00826A18">
      <w:pPr>
        <w:spacing w:line="360" w:lineRule="auto"/>
        <w:jc w:val="both"/>
        <w:rPr>
          <w:rFonts w:ascii="Times New Roman" w:eastAsia="Calibri" w:hAnsi="Times New Roman" w:cs="Simplified Arabic"/>
          <w:sz w:val="28"/>
          <w:szCs w:val="28"/>
        </w:rPr>
      </w:pPr>
      <w:r w:rsidRPr="0038262A">
        <w:rPr>
          <w:rFonts w:ascii="Times New Roman" w:eastAsia="Calibri" w:hAnsi="Times New Roman" w:cs="Simplified Arabic"/>
          <w:sz w:val="28"/>
          <w:szCs w:val="28"/>
          <w:rtl/>
        </w:rPr>
        <w:t>أما دراسة</w:t>
      </w:r>
      <w:r w:rsidRPr="0038262A">
        <w:rPr>
          <w:rFonts w:ascii="Times New Roman" w:eastAsia="Calibri" w:hAnsi="Times New Roman" w:cs="Simplified Arabic"/>
          <w:sz w:val="28"/>
          <w:szCs w:val="28"/>
        </w:rPr>
        <w:t xml:space="preserve"> Saleem </w:t>
      </w:r>
      <w:r w:rsidRPr="0038262A">
        <w:rPr>
          <w:rFonts w:ascii="Times New Roman" w:eastAsia="Calibri" w:hAnsi="Times New Roman" w:cs="Simplified Arabic"/>
          <w:sz w:val="28"/>
          <w:szCs w:val="28"/>
          <w:rtl/>
        </w:rPr>
        <w:t>وآخرين (2025) فقد ركزت على تطوير برامج دعم القرار لإدارة تجارة الحياة البرية بهدف تقليل مخاطر</w:t>
      </w:r>
      <w:r w:rsidRPr="0038262A">
        <w:rPr>
          <w:rFonts w:ascii="Times New Roman" w:eastAsia="Calibri" w:hAnsi="Times New Roman" w:cs="Simplified Arabic"/>
          <w:sz w:val="28"/>
          <w:szCs w:val="28"/>
        </w:rPr>
        <w:t xml:space="preserve"> zoonosis</w:t>
      </w:r>
      <w:r w:rsidRPr="0038262A">
        <w:rPr>
          <w:rFonts w:ascii="Times New Roman" w:eastAsia="Calibri" w:hAnsi="Times New Roman" w:cs="Simplified Arabic"/>
          <w:sz w:val="28"/>
          <w:szCs w:val="28"/>
          <w:rtl/>
        </w:rPr>
        <w:t>، وأظهرت أن استخدام أدوات تحليل مخاطر استباقية يسهم في خفض احتمالية انتقال الأمراض عبر سلاسل التجارة الحيوانية. وتؤكد هذه الدراسة أن التخطيط المبني على تقييم المخاطر يمثل أداة فعالة في الحد من المخاطر قبل وقوعها، وهو ما يتقاطع مع مفهوم الجاهزية الوقائية في الدراسة الحالية</w:t>
      </w:r>
      <w:r w:rsidRPr="0038262A">
        <w:rPr>
          <w:rFonts w:ascii="Times New Roman" w:eastAsia="Calibri" w:hAnsi="Times New Roman" w:cs="Simplified Arabic"/>
          <w:sz w:val="28"/>
          <w:szCs w:val="28"/>
        </w:rPr>
        <w:t>.</w:t>
      </w:r>
    </w:p>
    <w:p w14:paraId="33781129" w14:textId="77777777" w:rsidR="0038262A" w:rsidRPr="0038262A" w:rsidRDefault="0038262A" w:rsidP="00826A18">
      <w:pPr>
        <w:spacing w:line="360" w:lineRule="auto"/>
        <w:jc w:val="both"/>
        <w:rPr>
          <w:rFonts w:ascii="Times New Roman" w:eastAsia="Calibri" w:hAnsi="Times New Roman" w:cs="Simplified Arabic"/>
          <w:sz w:val="28"/>
          <w:szCs w:val="28"/>
        </w:rPr>
      </w:pPr>
      <w:r w:rsidRPr="0038262A">
        <w:rPr>
          <w:rFonts w:ascii="Times New Roman" w:eastAsia="Calibri" w:hAnsi="Times New Roman" w:cs="Simplified Arabic"/>
          <w:sz w:val="28"/>
          <w:szCs w:val="28"/>
          <w:rtl/>
        </w:rPr>
        <w:t>وفي السياق البيئي، أثبتت دراسة</w:t>
      </w:r>
      <w:r w:rsidRPr="0038262A">
        <w:rPr>
          <w:rFonts w:ascii="Times New Roman" w:eastAsia="Calibri" w:hAnsi="Times New Roman" w:cs="Simplified Arabic"/>
          <w:sz w:val="28"/>
          <w:szCs w:val="28"/>
        </w:rPr>
        <w:t xml:space="preserve"> </w:t>
      </w:r>
      <w:proofErr w:type="spellStart"/>
      <w:r w:rsidRPr="0038262A">
        <w:rPr>
          <w:rFonts w:ascii="Times New Roman" w:eastAsia="Calibri" w:hAnsi="Times New Roman" w:cs="Simplified Arabic"/>
          <w:sz w:val="28"/>
          <w:szCs w:val="28"/>
        </w:rPr>
        <w:t>Ecke</w:t>
      </w:r>
      <w:proofErr w:type="spellEnd"/>
      <w:r w:rsidRPr="0038262A">
        <w:rPr>
          <w:rFonts w:ascii="Times New Roman" w:eastAsia="Calibri" w:hAnsi="Times New Roman" w:cs="Simplified Arabic"/>
          <w:sz w:val="28"/>
          <w:szCs w:val="28"/>
        </w:rPr>
        <w:t xml:space="preserve"> </w:t>
      </w:r>
      <w:r w:rsidRPr="0038262A">
        <w:rPr>
          <w:rFonts w:ascii="Times New Roman" w:eastAsia="Calibri" w:hAnsi="Times New Roman" w:cs="Simplified Arabic"/>
          <w:sz w:val="28"/>
          <w:szCs w:val="28"/>
          <w:rtl/>
        </w:rPr>
        <w:t>وآخرين أن تدهور النظم البيئية يزيد من احتمالية انتقال الأمراض من الحيوان إلى الإنسان، وأن استعادة التوازن البيئي تمثل استراتيجية طويلة المدى لتقليل المخاطر. وتوضح هذه النتائج أن فعالية إدارة مخاطر الأمراض المشتركة لا تقتصر على الاستجابة الصحية، بل تمتد إلى التخطيط البيئي الاستباقي</w:t>
      </w:r>
      <w:r w:rsidRPr="0038262A">
        <w:rPr>
          <w:rFonts w:ascii="Times New Roman" w:eastAsia="Calibri" w:hAnsi="Times New Roman" w:cs="Simplified Arabic"/>
          <w:sz w:val="28"/>
          <w:szCs w:val="28"/>
        </w:rPr>
        <w:t>.</w:t>
      </w:r>
    </w:p>
    <w:p w14:paraId="2037273D" w14:textId="77777777" w:rsidR="0038262A" w:rsidRPr="0038262A" w:rsidRDefault="0038262A" w:rsidP="00826A18">
      <w:pPr>
        <w:spacing w:line="360" w:lineRule="auto"/>
        <w:jc w:val="both"/>
        <w:rPr>
          <w:rFonts w:ascii="Times New Roman" w:eastAsia="Calibri" w:hAnsi="Times New Roman" w:cs="Simplified Arabic"/>
          <w:sz w:val="28"/>
          <w:szCs w:val="28"/>
        </w:rPr>
      </w:pPr>
      <w:r w:rsidRPr="0038262A">
        <w:rPr>
          <w:rFonts w:ascii="Times New Roman" w:eastAsia="Calibri" w:hAnsi="Times New Roman" w:cs="Simplified Arabic"/>
          <w:sz w:val="28"/>
          <w:szCs w:val="28"/>
          <w:rtl/>
        </w:rPr>
        <w:lastRenderedPageBreak/>
        <w:t>أما خطة العمل المشتركة للصحة الواحدة (2022–2026) فقد أكدت أن فعالية إدارة مخاطر الأمراض المشتركة تعتمد على التنسيق متعدد القطاعات، والجاهزية المؤسسية، وتكامل السياسات الصحية والبيئية والزراعية. ويعزز هذا الطرح أهمية بعد التنسيق المؤسسي كعنصر حاسم في فعالية إدارة المخاطر</w:t>
      </w:r>
      <w:r w:rsidRPr="0038262A">
        <w:rPr>
          <w:rFonts w:ascii="Times New Roman" w:eastAsia="Calibri" w:hAnsi="Times New Roman" w:cs="Simplified Arabic"/>
          <w:sz w:val="28"/>
          <w:szCs w:val="28"/>
        </w:rPr>
        <w:t>.</w:t>
      </w:r>
    </w:p>
    <w:p w14:paraId="340F0E9D" w14:textId="2C9CF65D" w:rsidR="0038262A" w:rsidRPr="0038262A" w:rsidRDefault="0038262A" w:rsidP="000F71AC">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t>من خلال التحليل السابق يتضح أن هناك مسارين معرفيين متوازيين</w:t>
      </w:r>
      <w:r w:rsidRPr="0038262A">
        <w:rPr>
          <w:rFonts w:ascii="Times New Roman" w:eastAsia="Calibri" w:hAnsi="Times New Roman" w:cs="Simplified Arabic"/>
          <w:sz w:val="28"/>
          <w:szCs w:val="28"/>
          <w:lang w:val="en-GB"/>
        </w:rPr>
        <w:t>:</w:t>
      </w:r>
      <w:r w:rsidRPr="0038262A">
        <w:rPr>
          <w:rFonts w:ascii="Times New Roman" w:eastAsia="Calibri" w:hAnsi="Times New Roman" w:cs="Simplified Arabic"/>
          <w:sz w:val="28"/>
          <w:szCs w:val="28"/>
          <w:rtl/>
        </w:rPr>
        <w:t>مسار إداري تنظيمي يركز على نضج إدارة المخاطر والحوكمة والتكامل المؤسسي،</w:t>
      </w:r>
      <w:r w:rsidR="000F71AC">
        <w:rPr>
          <w:rFonts w:ascii="Times New Roman" w:eastAsia="Calibri" w:hAnsi="Times New Roman" w:cs="Simplified Arabic" w:hint="cs"/>
          <w:sz w:val="28"/>
          <w:szCs w:val="28"/>
          <w:rtl/>
          <w:lang w:val="en-GB"/>
        </w:rPr>
        <w:t xml:space="preserve"> </w:t>
      </w:r>
      <w:r w:rsidRPr="0038262A">
        <w:rPr>
          <w:rFonts w:ascii="Times New Roman" w:eastAsia="Calibri" w:hAnsi="Times New Roman" w:cs="Simplified Arabic"/>
          <w:sz w:val="28"/>
          <w:szCs w:val="28"/>
          <w:rtl/>
        </w:rPr>
        <w:t>ومسار صحي بيئي يركز على تقليل مخاطر الأمراض المشتركة عبر الوقاية البيئية والتنسيق متعدد القطاعات</w:t>
      </w:r>
      <w:r w:rsidRPr="0038262A">
        <w:rPr>
          <w:rFonts w:ascii="Times New Roman" w:eastAsia="Calibri" w:hAnsi="Times New Roman" w:cs="Simplified Arabic"/>
          <w:sz w:val="28"/>
          <w:szCs w:val="28"/>
          <w:lang w:val="en-GB"/>
        </w:rPr>
        <w:t>.</w:t>
      </w:r>
    </w:p>
    <w:p w14:paraId="40B06BDC" w14:textId="77777777" w:rsidR="0038262A" w:rsidRPr="0038262A" w:rsidRDefault="0038262A" w:rsidP="00826A18">
      <w:pPr>
        <w:spacing w:line="360" w:lineRule="auto"/>
        <w:jc w:val="both"/>
        <w:rPr>
          <w:rFonts w:ascii="Times New Roman" w:eastAsia="Calibri" w:hAnsi="Times New Roman" w:cs="Simplified Arabic"/>
          <w:sz w:val="28"/>
          <w:szCs w:val="28"/>
          <w:lang w:val="en-GB"/>
        </w:rPr>
      </w:pPr>
      <w:r w:rsidRPr="0038262A">
        <w:rPr>
          <w:rFonts w:ascii="Times New Roman" w:eastAsia="Calibri" w:hAnsi="Times New Roman" w:cs="Simplified Arabic"/>
          <w:sz w:val="28"/>
          <w:szCs w:val="28"/>
          <w:rtl/>
        </w:rPr>
        <w:t>إلا أن الربط السببي بين المسارين لم يتم اختباره بصورة ميدانية مباشرة، خاصة في سياق قطاع بيئي زراعي محلي. وعليه، فإن الدراسة الحالية تمثل محاولة لدمج هذين المسارين ضمن نموذج تحليلي واحد، يقوم على اختبار أثر أبعاد الخطط الإدارية على فعالية إدارة مخاطر الأمراض المشتركة في القطاع البيئي والزراعي بمنطقة الرياض</w:t>
      </w:r>
      <w:r w:rsidRPr="0038262A">
        <w:rPr>
          <w:rFonts w:ascii="Times New Roman" w:eastAsia="Calibri" w:hAnsi="Times New Roman" w:cs="Simplified Arabic"/>
          <w:sz w:val="28"/>
          <w:szCs w:val="28"/>
          <w:lang w:val="en-GB"/>
        </w:rPr>
        <w:t>.</w:t>
      </w:r>
    </w:p>
    <w:p w14:paraId="4B26B40F" w14:textId="62245655" w:rsidR="0038262A" w:rsidRDefault="0038262A" w:rsidP="00826A18">
      <w:pPr>
        <w:spacing w:line="360" w:lineRule="auto"/>
        <w:jc w:val="both"/>
        <w:rPr>
          <w:rFonts w:ascii="Times New Roman" w:eastAsia="Calibri" w:hAnsi="Times New Roman" w:cs="Simplified Arabic"/>
          <w:sz w:val="28"/>
          <w:szCs w:val="28"/>
          <w:rtl/>
          <w:lang w:val="en-GB"/>
        </w:rPr>
      </w:pPr>
      <w:r w:rsidRPr="0038262A">
        <w:rPr>
          <w:rFonts w:ascii="Times New Roman" w:eastAsia="Calibri" w:hAnsi="Times New Roman" w:cs="Simplified Arabic"/>
          <w:sz w:val="28"/>
          <w:szCs w:val="28"/>
          <w:rtl/>
        </w:rPr>
        <w:t>وبذلك تسعى الدراسة الحالية إلى سد فجوة معرفية تتمثل في غياب تحليل تطبيقي يربط بين الحوكمة الإدارية وإدارة المخاطر المؤسسية من جهة، وفعالية إدارة المخاطر الصحية البيئية من جهة أخرى، ضمن إطار استراتيجي يتماشى مع متطلبات الحوكمة والاستدامة في ضوء رؤية السعودية 2030</w:t>
      </w:r>
      <w:r w:rsidRPr="0038262A">
        <w:rPr>
          <w:rFonts w:ascii="Times New Roman" w:eastAsia="Calibri" w:hAnsi="Times New Roman" w:cs="Simplified Arabic"/>
          <w:sz w:val="28"/>
          <w:szCs w:val="28"/>
          <w:lang w:val="en-GB"/>
        </w:rPr>
        <w:t>.</w:t>
      </w:r>
    </w:p>
    <w:p w14:paraId="2710E74D" w14:textId="0413FCCD" w:rsidR="006002BB" w:rsidRDefault="006002BB" w:rsidP="00826A18">
      <w:pPr>
        <w:spacing w:line="360" w:lineRule="auto"/>
        <w:jc w:val="both"/>
        <w:rPr>
          <w:rFonts w:ascii="Times New Roman" w:eastAsia="Calibri" w:hAnsi="Times New Roman" w:cs="Simplified Arabic"/>
          <w:sz w:val="28"/>
          <w:szCs w:val="28"/>
          <w:rtl/>
          <w:lang w:val="en-GB"/>
        </w:rPr>
      </w:pPr>
    </w:p>
    <w:p w14:paraId="0DD5F87A" w14:textId="64AA160B" w:rsidR="000F347B" w:rsidRDefault="000F347B" w:rsidP="00826A18">
      <w:pPr>
        <w:spacing w:line="360" w:lineRule="auto"/>
        <w:jc w:val="both"/>
        <w:rPr>
          <w:rFonts w:ascii="Times New Roman" w:eastAsia="Calibri" w:hAnsi="Times New Roman" w:cs="Simplified Arabic"/>
          <w:sz w:val="28"/>
          <w:szCs w:val="28"/>
          <w:rtl/>
          <w:lang w:val="en-GB"/>
        </w:rPr>
      </w:pPr>
    </w:p>
    <w:p w14:paraId="6C1C86E6" w14:textId="77777777" w:rsidR="000F347B" w:rsidRDefault="000F347B" w:rsidP="00826A18">
      <w:pPr>
        <w:spacing w:line="360" w:lineRule="auto"/>
        <w:jc w:val="both"/>
        <w:rPr>
          <w:rFonts w:ascii="Times New Roman" w:eastAsia="Calibri" w:hAnsi="Times New Roman" w:cs="Simplified Arabic"/>
          <w:sz w:val="28"/>
          <w:szCs w:val="28"/>
          <w:rtl/>
          <w:lang w:val="en-GB"/>
        </w:rPr>
      </w:pPr>
    </w:p>
    <w:p w14:paraId="1095FE3B" w14:textId="6546D57A" w:rsidR="006002BB" w:rsidRDefault="006002BB" w:rsidP="00826A18">
      <w:pPr>
        <w:spacing w:line="360" w:lineRule="auto"/>
        <w:jc w:val="both"/>
        <w:rPr>
          <w:rFonts w:ascii="Times New Roman" w:eastAsia="Calibri" w:hAnsi="Times New Roman" w:cs="Simplified Arabic"/>
          <w:sz w:val="28"/>
          <w:szCs w:val="28"/>
          <w:rtl/>
          <w:lang w:val="en-GB"/>
        </w:rPr>
      </w:pPr>
    </w:p>
    <w:p w14:paraId="6978A46D" w14:textId="77777777" w:rsidR="006002BB" w:rsidRPr="0038262A" w:rsidRDefault="006002BB" w:rsidP="00826A18">
      <w:pPr>
        <w:spacing w:line="360" w:lineRule="auto"/>
        <w:jc w:val="both"/>
        <w:rPr>
          <w:rFonts w:ascii="Times New Roman" w:eastAsia="Calibri" w:hAnsi="Times New Roman" w:cs="Simplified Arabic"/>
          <w:sz w:val="28"/>
          <w:szCs w:val="28"/>
          <w:lang w:val="en-GB"/>
        </w:rPr>
      </w:pPr>
    </w:p>
    <w:p w14:paraId="0F731D52" w14:textId="3C72C8CA" w:rsidR="00A74F76" w:rsidRPr="009D5651" w:rsidRDefault="00A74F76" w:rsidP="006002BB">
      <w:pPr>
        <w:spacing w:before="240"/>
        <w:rPr>
          <w:rFonts w:ascii="Sakkal Majalla" w:hAnsi="Sakkal Majalla" w:cs="Sakkal Majalla"/>
          <w:b/>
          <w:bCs/>
          <w:sz w:val="32"/>
          <w:szCs w:val="32"/>
          <w:u w:val="single"/>
          <w:rtl/>
        </w:rPr>
      </w:pPr>
      <w:r w:rsidRPr="009D5651">
        <w:rPr>
          <w:rFonts w:ascii="Sakkal Majalla" w:hAnsi="Sakkal Majalla" w:cs="Sakkal Majalla" w:hint="cs"/>
          <w:b/>
          <w:bCs/>
          <w:sz w:val="32"/>
          <w:szCs w:val="32"/>
          <w:u w:val="single"/>
          <w:rtl/>
        </w:rPr>
        <w:lastRenderedPageBreak/>
        <w:t>المنطلقات النظرية للدراسة:</w:t>
      </w:r>
    </w:p>
    <w:p w14:paraId="733854E7" w14:textId="77777777"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 xml:space="preserve">تعتمد هذه الدراسة على مجموعة من الأطر النظرية التي تفسر العلاقة بين </w:t>
      </w:r>
      <w:r w:rsidRPr="00E30C0A">
        <w:rPr>
          <w:rFonts w:ascii="Times New Roman" w:eastAsia="Calibri" w:hAnsi="Times New Roman" w:cs="Simplified Arabic"/>
          <w:b/>
          <w:bCs/>
          <w:sz w:val="28"/>
          <w:szCs w:val="28"/>
          <w:rtl/>
        </w:rPr>
        <w:t>الخطط الإدارية</w:t>
      </w:r>
      <w:r w:rsidRPr="00E30C0A">
        <w:rPr>
          <w:rFonts w:ascii="Times New Roman" w:eastAsia="Calibri" w:hAnsi="Times New Roman" w:cs="Simplified Arabic"/>
          <w:sz w:val="28"/>
          <w:szCs w:val="28"/>
          <w:rtl/>
        </w:rPr>
        <w:t xml:space="preserve"> و</w:t>
      </w:r>
      <w:r w:rsidRPr="00E30C0A">
        <w:rPr>
          <w:rFonts w:ascii="Times New Roman" w:eastAsia="Calibri" w:hAnsi="Times New Roman" w:cs="Simplified Arabic"/>
          <w:b/>
          <w:bCs/>
          <w:sz w:val="28"/>
          <w:szCs w:val="28"/>
          <w:rtl/>
        </w:rPr>
        <w:t>فعالية الحد من مخاطر الأمراض المشتركة</w:t>
      </w:r>
      <w:r w:rsidRPr="00E30C0A">
        <w:rPr>
          <w:rFonts w:ascii="Times New Roman" w:eastAsia="Calibri" w:hAnsi="Times New Roman" w:cs="Simplified Arabic"/>
          <w:sz w:val="28"/>
          <w:szCs w:val="28"/>
          <w:rtl/>
        </w:rPr>
        <w:t>، وذلك ضمن سياق التحول المؤسسي الذي تشهده المملكة العربية السعودية. وقد تم اختيار هذه المنطلقات بناءً على صلتها المباشرة بموضوع إدارة المخاطر الصحية ذات المنشأ الحيواني، وبما يخدم البناء السببي للنموذج البحثي</w:t>
      </w:r>
      <w:r w:rsidRPr="00E30C0A">
        <w:rPr>
          <w:rFonts w:ascii="Times New Roman" w:eastAsia="Calibri" w:hAnsi="Times New Roman" w:cs="Simplified Arabic"/>
          <w:sz w:val="28"/>
          <w:szCs w:val="28"/>
          <w:lang w:val="en-GB"/>
        </w:rPr>
        <w:t>.</w:t>
      </w:r>
    </w:p>
    <w:p w14:paraId="43C56B64" w14:textId="77777777" w:rsidR="00E30C0A" w:rsidRPr="00E30C0A" w:rsidRDefault="00E30C0A" w:rsidP="00826A18">
      <w:pPr>
        <w:spacing w:line="360" w:lineRule="auto"/>
        <w:jc w:val="both"/>
        <w:rPr>
          <w:rFonts w:ascii="Times New Roman" w:eastAsia="Calibri" w:hAnsi="Times New Roman" w:cs="Simplified Arabic"/>
          <w:b/>
          <w:bCs/>
          <w:sz w:val="28"/>
          <w:szCs w:val="28"/>
          <w:lang w:val="en-GB"/>
        </w:rPr>
      </w:pPr>
      <w:r w:rsidRPr="00E30C0A">
        <w:rPr>
          <w:rFonts w:ascii="Times New Roman" w:eastAsia="Calibri" w:hAnsi="Times New Roman" w:cs="Simplified Arabic"/>
          <w:b/>
          <w:bCs/>
          <w:sz w:val="28"/>
          <w:szCs w:val="28"/>
          <w:rtl/>
        </w:rPr>
        <w:t>أولًا: نظرية إدارة المخاطر المؤسسية</w:t>
      </w:r>
      <w:r w:rsidRPr="00E30C0A">
        <w:rPr>
          <w:rFonts w:ascii="Times New Roman" w:eastAsia="Calibri" w:hAnsi="Times New Roman" w:cs="Simplified Arabic"/>
          <w:b/>
          <w:bCs/>
          <w:sz w:val="28"/>
          <w:szCs w:val="28"/>
          <w:lang w:val="en-GB"/>
        </w:rPr>
        <w:t xml:space="preserve"> (Enterprise Risk Management Theory)</w:t>
      </w:r>
    </w:p>
    <w:p w14:paraId="07B5B865" w14:textId="77777777"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 xml:space="preserve">تُعد إدارة المخاطر المؤسسية إطارًا تنظيميًا شاملاً يهدف إلى تحديد المخاطر وتحليلها وإدارتها بصورة متكاملة ضمن الاستراتيجية المؤسسية. ويؤكد إطار </w:t>
      </w:r>
      <w:r w:rsidRPr="00E30C0A">
        <w:rPr>
          <w:rFonts w:ascii="Times New Roman" w:eastAsia="Calibri" w:hAnsi="Times New Roman" w:cs="Simplified Arabic"/>
          <w:sz w:val="28"/>
          <w:szCs w:val="28"/>
          <w:lang w:val="en-GB"/>
        </w:rPr>
        <w:t xml:space="preserve">Committee of Sponsoring Organizations of the Treadway Commission (COSO, 2017) </w:t>
      </w:r>
      <w:r w:rsidRPr="00E30C0A">
        <w:rPr>
          <w:rFonts w:ascii="Times New Roman" w:eastAsia="Calibri" w:hAnsi="Times New Roman" w:cs="Simplified Arabic"/>
          <w:sz w:val="28"/>
          <w:szCs w:val="28"/>
          <w:rtl/>
        </w:rPr>
        <w:t>أن فعالية إدارة المخاطر ترتبط بدرجة دمجها في التخطيط الاستراتيجي، ووضوح المسؤوليات، وتفعيل آليات المتابعة والتقييم</w:t>
      </w:r>
      <w:r w:rsidRPr="00E30C0A">
        <w:rPr>
          <w:rFonts w:ascii="Times New Roman" w:eastAsia="Calibri" w:hAnsi="Times New Roman" w:cs="Simplified Arabic"/>
          <w:sz w:val="28"/>
          <w:szCs w:val="28"/>
          <w:lang w:val="en-GB"/>
        </w:rPr>
        <w:t>.</w:t>
      </w:r>
    </w:p>
    <w:p w14:paraId="616F9EBB" w14:textId="77777777"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من هذا المنطلق، فإن نضج الخطط الإدارية والتكامل المؤسسي يمثلان مكونين أساسيين في رفع كفاءة الاستجابة للمخاطر المعقدة، ومنها المخاطر الوبائية ذات المنشأ الحيواني. كما يشير</w:t>
      </w:r>
      <w:r w:rsidRPr="00E30C0A">
        <w:rPr>
          <w:rFonts w:ascii="Times New Roman" w:eastAsia="Calibri" w:hAnsi="Times New Roman" w:cs="Simplified Arabic"/>
          <w:sz w:val="28"/>
          <w:szCs w:val="28"/>
          <w:lang w:val="en-GB"/>
        </w:rPr>
        <w:t xml:space="preserve"> </w:t>
      </w:r>
      <w:proofErr w:type="spellStart"/>
      <w:r w:rsidRPr="00E30C0A">
        <w:rPr>
          <w:rFonts w:ascii="Times New Roman" w:eastAsia="Calibri" w:hAnsi="Times New Roman" w:cs="Simplified Arabic"/>
          <w:sz w:val="28"/>
          <w:szCs w:val="28"/>
          <w:lang w:val="en-GB"/>
        </w:rPr>
        <w:t>Aven</w:t>
      </w:r>
      <w:proofErr w:type="spellEnd"/>
      <w:r w:rsidRPr="00E30C0A">
        <w:rPr>
          <w:rFonts w:ascii="Times New Roman" w:eastAsia="Calibri" w:hAnsi="Times New Roman" w:cs="Simplified Arabic"/>
          <w:sz w:val="28"/>
          <w:szCs w:val="28"/>
          <w:lang w:val="en-GB"/>
        </w:rPr>
        <w:t xml:space="preserve"> (2016) </w:t>
      </w:r>
      <w:r w:rsidRPr="00E30C0A">
        <w:rPr>
          <w:rFonts w:ascii="Times New Roman" w:eastAsia="Calibri" w:hAnsi="Times New Roman" w:cs="Simplified Arabic"/>
          <w:sz w:val="28"/>
          <w:szCs w:val="28"/>
          <w:rtl/>
        </w:rPr>
        <w:t>إلى أن المؤسسات التي تعتمد منهجًا استباقيًا في تقييم المخاطر تكون أكثر قدرة على تقليل آثار الأزمات الصحية والبيئية</w:t>
      </w:r>
      <w:r w:rsidRPr="00E30C0A">
        <w:rPr>
          <w:rFonts w:ascii="Times New Roman" w:eastAsia="Calibri" w:hAnsi="Times New Roman" w:cs="Simplified Arabic"/>
          <w:sz w:val="28"/>
          <w:szCs w:val="28"/>
          <w:lang w:val="en-GB"/>
        </w:rPr>
        <w:t>.</w:t>
      </w:r>
    </w:p>
    <w:p w14:paraId="122953F0" w14:textId="77777777"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وعليه، تستند الدراسة إلى هذه النظرية لتفسير أثر أبعاد التخطيط الإداري على فعالية إدارة مخاطر الأمراض المشتركة</w:t>
      </w:r>
      <w:r w:rsidRPr="00E30C0A">
        <w:rPr>
          <w:rFonts w:ascii="Times New Roman" w:eastAsia="Calibri" w:hAnsi="Times New Roman" w:cs="Simplified Arabic"/>
          <w:sz w:val="28"/>
          <w:szCs w:val="28"/>
          <w:lang w:val="en-GB"/>
        </w:rPr>
        <w:t>.</w:t>
      </w:r>
    </w:p>
    <w:p w14:paraId="6775B0AB" w14:textId="77777777" w:rsidR="00E30C0A" w:rsidRPr="00E30C0A" w:rsidRDefault="00E30C0A" w:rsidP="00826A18">
      <w:pPr>
        <w:spacing w:line="360" w:lineRule="auto"/>
        <w:jc w:val="both"/>
        <w:rPr>
          <w:rFonts w:ascii="Times New Roman" w:eastAsia="Calibri" w:hAnsi="Times New Roman" w:cs="Simplified Arabic"/>
          <w:b/>
          <w:bCs/>
          <w:sz w:val="28"/>
          <w:szCs w:val="28"/>
          <w:lang w:val="en-GB"/>
        </w:rPr>
      </w:pPr>
      <w:r w:rsidRPr="00E30C0A">
        <w:rPr>
          <w:rFonts w:ascii="Times New Roman" w:eastAsia="Calibri" w:hAnsi="Times New Roman" w:cs="Simplified Arabic"/>
          <w:b/>
          <w:bCs/>
          <w:sz w:val="28"/>
          <w:szCs w:val="28"/>
          <w:rtl/>
        </w:rPr>
        <w:t>ثانيًا: إطار الصحة الواحدة</w:t>
      </w:r>
      <w:r w:rsidRPr="00E30C0A">
        <w:rPr>
          <w:rFonts w:ascii="Times New Roman" w:eastAsia="Calibri" w:hAnsi="Times New Roman" w:cs="Simplified Arabic"/>
          <w:b/>
          <w:bCs/>
          <w:sz w:val="28"/>
          <w:szCs w:val="28"/>
          <w:lang w:val="en-GB"/>
        </w:rPr>
        <w:t xml:space="preserve"> (One Health Framework)</w:t>
      </w:r>
    </w:p>
    <w:p w14:paraId="29077ECB" w14:textId="2E803AB2" w:rsidR="00E30C0A" w:rsidRPr="00E30C0A" w:rsidRDefault="00E30C0A" w:rsidP="00055144">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 xml:space="preserve">ينطلق مفهوم الصحة الواحدة من فرضية أن صحة الإنسان والحيوان والبيئة مترابطة بصورة بنيوية، وأن إدارة المخاطر الوبائية تتطلب تنسيقًا مؤسسيًا متعدد القطاعات. وقد تبنت كل من </w:t>
      </w:r>
      <w:r w:rsidRPr="00E30C0A">
        <w:rPr>
          <w:rFonts w:ascii="Times New Roman" w:eastAsia="Calibri" w:hAnsi="Times New Roman" w:cs="Simplified Arabic"/>
          <w:sz w:val="28"/>
          <w:szCs w:val="28"/>
          <w:lang w:val="en-GB"/>
        </w:rPr>
        <w:t xml:space="preserve">World Health </w:t>
      </w:r>
      <w:r w:rsidRPr="00E30C0A">
        <w:rPr>
          <w:rFonts w:ascii="Times New Roman" w:eastAsia="Calibri" w:hAnsi="Times New Roman" w:cs="Simplified Arabic"/>
          <w:sz w:val="28"/>
          <w:szCs w:val="28"/>
          <w:lang w:val="en-GB"/>
        </w:rPr>
        <w:lastRenderedPageBreak/>
        <w:t xml:space="preserve">Organization </w:t>
      </w:r>
      <w:r w:rsidRPr="00E30C0A">
        <w:rPr>
          <w:rFonts w:ascii="Times New Roman" w:eastAsia="Calibri" w:hAnsi="Times New Roman" w:cs="Simplified Arabic"/>
          <w:sz w:val="28"/>
          <w:szCs w:val="28"/>
          <w:rtl/>
        </w:rPr>
        <w:t>و</w:t>
      </w:r>
      <w:r w:rsidRPr="00E30C0A">
        <w:rPr>
          <w:rFonts w:ascii="Times New Roman" w:eastAsia="Calibri" w:hAnsi="Times New Roman" w:cs="Simplified Arabic"/>
          <w:sz w:val="28"/>
          <w:szCs w:val="28"/>
          <w:lang w:val="en-GB"/>
        </w:rPr>
        <w:t xml:space="preserve">Food and Agriculture Organization </w:t>
      </w:r>
      <w:r w:rsidRPr="00E30C0A">
        <w:rPr>
          <w:rFonts w:ascii="Times New Roman" w:eastAsia="Calibri" w:hAnsi="Times New Roman" w:cs="Simplified Arabic"/>
          <w:sz w:val="28"/>
          <w:szCs w:val="28"/>
          <w:rtl/>
        </w:rPr>
        <w:t>و</w:t>
      </w:r>
      <w:r w:rsidRPr="00E30C0A">
        <w:rPr>
          <w:rFonts w:ascii="Times New Roman" w:eastAsia="Calibri" w:hAnsi="Times New Roman" w:cs="Simplified Arabic"/>
          <w:sz w:val="28"/>
          <w:szCs w:val="28"/>
          <w:lang w:val="en-GB"/>
        </w:rPr>
        <w:t xml:space="preserve">World Organisation for Animal Health </w:t>
      </w:r>
      <w:r w:rsidRPr="00E30C0A">
        <w:rPr>
          <w:rFonts w:ascii="Times New Roman" w:eastAsia="Calibri" w:hAnsi="Times New Roman" w:cs="Simplified Arabic"/>
          <w:sz w:val="28"/>
          <w:szCs w:val="28"/>
          <w:rtl/>
        </w:rPr>
        <w:t>هذا الإطار في خطتها المشتركة (2022–2026)، مؤكدين أن غياب التنسيق الإداري يعد أحد أسباب ضعف الجاهزية الوبائية</w:t>
      </w:r>
      <w:r w:rsidR="00055144" w:rsidRPr="00055144">
        <w:rPr>
          <w:rFonts w:ascii="Simplified Arabic" w:eastAsia="Calibri" w:hAnsi="Simplified Arabic" w:cs="Simplified Arabic"/>
          <w:kern w:val="0"/>
          <w:sz w:val="28"/>
          <w:szCs w:val="28"/>
          <w:rtl/>
          <w14:ligatures w14:val="none"/>
        </w:rPr>
        <w:t xml:space="preserve"> </w:t>
      </w:r>
      <w:r w:rsidR="00055144">
        <w:rPr>
          <w:rFonts w:ascii="Simplified Arabic" w:eastAsia="Calibri" w:hAnsi="Simplified Arabic" w:cs="Simplified Arabic"/>
          <w:kern w:val="0"/>
          <w:sz w:val="28"/>
          <w:szCs w:val="28"/>
          <w:rtl/>
          <w14:ligatures w14:val="none"/>
        </w:rPr>
        <w:t>(</w:t>
      </w:r>
      <w:r w:rsidR="00055144">
        <w:rPr>
          <w:rFonts w:ascii="Times New Roman" w:eastAsia="Calibri" w:hAnsi="Times New Roman" w:cs="Simplified Arabic"/>
          <w:kern w:val="0"/>
          <w:sz w:val="28"/>
          <w:szCs w:val="28"/>
          <w:lang w:val="en-GB"/>
          <w14:ligatures w14:val="none"/>
        </w:rPr>
        <w:t>FAO et al., 2022</w:t>
      </w:r>
      <w:r w:rsidR="00055144">
        <w:rPr>
          <w:rFonts w:ascii="Simplified Arabic" w:eastAsia="Calibri" w:hAnsi="Simplified Arabic" w:cs="Simplified Arabic"/>
          <w:kern w:val="0"/>
          <w:sz w:val="28"/>
          <w:szCs w:val="28"/>
          <w:rtl/>
          <w14:ligatures w14:val="none"/>
        </w:rPr>
        <w:t>).</w:t>
      </w:r>
    </w:p>
    <w:p w14:paraId="1F97F017" w14:textId="7A8F598A"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وتشير الأدبيات إلى أن ما يقارب 60% من الأمراض المعدية البشرية ذات منشأ حيواني، وهو ما يعزز أهمية تبني نماذج إدارية تكاملية في القطاعات الزراعية والبيئية</w:t>
      </w:r>
      <w:r w:rsidRPr="00E30C0A">
        <w:rPr>
          <w:rFonts w:ascii="Times New Roman" w:eastAsia="Calibri" w:hAnsi="Times New Roman" w:cs="Simplified Arabic"/>
          <w:sz w:val="28"/>
          <w:szCs w:val="28"/>
          <w:lang w:val="en-GB"/>
        </w:rPr>
        <w:t xml:space="preserve"> </w:t>
      </w:r>
      <w:r w:rsidR="00055144">
        <w:rPr>
          <w:rFonts w:ascii="Simplified Arabic" w:eastAsia="Calibri" w:hAnsi="Simplified Arabic" w:cs="Simplified Arabic"/>
          <w:kern w:val="0"/>
          <w:sz w:val="28"/>
          <w:szCs w:val="28"/>
          <w:rtl/>
          <w14:ligatures w14:val="none"/>
        </w:rPr>
        <w:t>(</w:t>
      </w:r>
      <w:r w:rsidR="00055144">
        <w:rPr>
          <w:rFonts w:ascii="Times New Roman" w:eastAsia="Calibri" w:hAnsi="Times New Roman" w:cs="Simplified Arabic"/>
          <w:kern w:val="0"/>
          <w:sz w:val="28"/>
          <w:szCs w:val="28"/>
          <w:lang w:val="en-GB"/>
          <w14:ligatures w14:val="none"/>
        </w:rPr>
        <w:t>WHO, 2022</w:t>
      </w:r>
      <w:r w:rsidR="00055144">
        <w:rPr>
          <w:rFonts w:ascii="Simplified Arabic" w:eastAsia="Calibri" w:hAnsi="Simplified Arabic" w:cs="Simplified Arabic"/>
          <w:kern w:val="0"/>
          <w:sz w:val="28"/>
          <w:szCs w:val="28"/>
          <w:rtl/>
          <w14:ligatures w14:val="none"/>
        </w:rPr>
        <w:t>).</w:t>
      </w:r>
      <w:r w:rsidRPr="00E30C0A">
        <w:rPr>
          <w:rFonts w:ascii="Times New Roman" w:eastAsia="Calibri" w:hAnsi="Times New Roman" w:cs="Simplified Arabic"/>
          <w:sz w:val="28"/>
          <w:szCs w:val="28"/>
          <w:rtl/>
        </w:rPr>
        <w:t>ومن هذا المنطلق، فإن التكامل المؤسسي يمثل بعدًا حاسمًا في تفسير فعالية الحد من المخاطر، وهو ما تعتمده الدراسة كأحد الأبعاد المركزية للمتغير المستقل</w:t>
      </w:r>
      <w:r w:rsidRPr="00E30C0A">
        <w:rPr>
          <w:rFonts w:ascii="Times New Roman" w:eastAsia="Calibri" w:hAnsi="Times New Roman" w:cs="Simplified Arabic"/>
          <w:sz w:val="28"/>
          <w:szCs w:val="28"/>
          <w:lang w:val="en-GB"/>
        </w:rPr>
        <w:t>.</w:t>
      </w:r>
    </w:p>
    <w:p w14:paraId="60BB95C6" w14:textId="77777777" w:rsidR="00E30C0A" w:rsidRPr="00E30C0A" w:rsidRDefault="00E30C0A" w:rsidP="00826A18">
      <w:pPr>
        <w:spacing w:line="360" w:lineRule="auto"/>
        <w:jc w:val="both"/>
        <w:rPr>
          <w:rFonts w:ascii="Times New Roman" w:eastAsia="Calibri" w:hAnsi="Times New Roman" w:cs="Simplified Arabic"/>
          <w:b/>
          <w:bCs/>
          <w:sz w:val="28"/>
          <w:szCs w:val="28"/>
          <w:lang w:val="en-GB"/>
        </w:rPr>
      </w:pPr>
      <w:r w:rsidRPr="00E30C0A">
        <w:rPr>
          <w:rFonts w:ascii="Times New Roman" w:eastAsia="Calibri" w:hAnsi="Times New Roman" w:cs="Simplified Arabic"/>
          <w:b/>
          <w:bCs/>
          <w:sz w:val="28"/>
          <w:szCs w:val="28"/>
          <w:rtl/>
        </w:rPr>
        <w:t>ثالثًا: نظرية الحوكمة المؤسسية</w:t>
      </w:r>
      <w:r w:rsidRPr="00E30C0A">
        <w:rPr>
          <w:rFonts w:ascii="Times New Roman" w:eastAsia="Calibri" w:hAnsi="Times New Roman" w:cs="Simplified Arabic"/>
          <w:b/>
          <w:bCs/>
          <w:sz w:val="28"/>
          <w:szCs w:val="28"/>
          <w:lang w:val="en-GB"/>
        </w:rPr>
        <w:t xml:space="preserve"> (Governance Theory)</w:t>
      </w:r>
    </w:p>
    <w:p w14:paraId="176DAB1E" w14:textId="3610D39F"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تؤكد نظرية الحوكمة أن وضوح الأدوار، والمساءلة، والتنسيق بين الجهات، تمثل عناصر جوهرية في إدارة المخاطر المعقدة. ويرتبط نجاح التخطيط الإداري بوجود نظام رقابي فعال وآليات متابعة مستمرة. وفي السياق الصحي والبيئي، تشير الدراسات إلى أن ضعف الحوكمة يزيد من احتمالية تفشي الأمراض ذات المنشأ الحيواني نتيجة غياب التنسيق بين القطاعات</w:t>
      </w:r>
      <w:r w:rsidR="00055144" w:rsidRPr="00055144">
        <w:rPr>
          <w:rFonts w:ascii="Simplified Arabic" w:eastAsia="Calibri" w:hAnsi="Simplified Arabic" w:cs="Simplified Arabic"/>
          <w:kern w:val="0"/>
          <w:sz w:val="28"/>
          <w:szCs w:val="28"/>
          <w:rtl/>
          <w14:ligatures w14:val="none"/>
        </w:rPr>
        <w:t xml:space="preserve"> </w:t>
      </w:r>
      <w:r w:rsidR="00055144">
        <w:rPr>
          <w:rFonts w:ascii="Simplified Arabic" w:eastAsia="Calibri" w:hAnsi="Simplified Arabic" w:cs="Simplified Arabic"/>
          <w:kern w:val="0"/>
          <w:sz w:val="28"/>
          <w:szCs w:val="28"/>
          <w:rtl/>
          <w14:ligatures w14:val="none"/>
        </w:rPr>
        <w:t>(</w:t>
      </w:r>
      <w:r w:rsidR="00055144">
        <w:rPr>
          <w:rFonts w:ascii="Times New Roman" w:eastAsia="Calibri" w:hAnsi="Times New Roman" w:cs="Simplified Arabic"/>
          <w:kern w:val="0"/>
          <w:sz w:val="28"/>
          <w:szCs w:val="28"/>
          <w:lang w:val="en-GB"/>
          <w14:ligatures w14:val="none"/>
        </w:rPr>
        <w:t>OECD, 2020</w:t>
      </w:r>
      <w:r w:rsidR="00055144">
        <w:rPr>
          <w:rFonts w:ascii="Simplified Arabic" w:eastAsia="Calibri" w:hAnsi="Simplified Arabic" w:cs="Simplified Arabic"/>
          <w:kern w:val="0"/>
          <w:sz w:val="28"/>
          <w:szCs w:val="28"/>
          <w:rtl/>
          <w14:ligatures w14:val="none"/>
        </w:rPr>
        <w:t>).</w:t>
      </w:r>
    </w:p>
    <w:p w14:paraId="654A5DBC" w14:textId="77777777"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وبالتالي، فإن بعد “آليات المتابعة والتقييم” في هذه الدراسة يستند إلى هذا الإطار النظري، حيث يُفترض أن فعالية الحوكمة تنعكس مباشرة على تقليل المخاطر وتحسين الاستجابة المؤسسية</w:t>
      </w:r>
      <w:r w:rsidRPr="00E30C0A">
        <w:rPr>
          <w:rFonts w:ascii="Times New Roman" w:eastAsia="Calibri" w:hAnsi="Times New Roman" w:cs="Simplified Arabic"/>
          <w:sz w:val="28"/>
          <w:szCs w:val="28"/>
          <w:lang w:val="en-GB"/>
        </w:rPr>
        <w:t>.</w:t>
      </w:r>
    </w:p>
    <w:p w14:paraId="65449135" w14:textId="77777777" w:rsidR="00E30C0A" w:rsidRPr="00E30C0A" w:rsidRDefault="00E30C0A" w:rsidP="00826A18">
      <w:pPr>
        <w:spacing w:line="360" w:lineRule="auto"/>
        <w:jc w:val="both"/>
        <w:rPr>
          <w:rFonts w:ascii="Times New Roman" w:eastAsia="Calibri" w:hAnsi="Times New Roman" w:cs="Simplified Arabic"/>
          <w:b/>
          <w:bCs/>
          <w:sz w:val="28"/>
          <w:szCs w:val="28"/>
          <w:lang w:val="en-GB"/>
        </w:rPr>
      </w:pPr>
      <w:r w:rsidRPr="00E30C0A">
        <w:rPr>
          <w:rFonts w:ascii="Times New Roman" w:eastAsia="Calibri" w:hAnsi="Times New Roman" w:cs="Simplified Arabic"/>
          <w:b/>
          <w:bCs/>
          <w:sz w:val="28"/>
          <w:szCs w:val="28"/>
          <w:rtl/>
        </w:rPr>
        <w:t>رابعًا: منظور التحول الوطني والاستدامة المؤسسية</w:t>
      </w:r>
    </w:p>
    <w:p w14:paraId="12838416" w14:textId="77777777" w:rsidR="00E30C0A" w:rsidRPr="00E30C0A" w:rsidRDefault="00E30C0A" w:rsidP="00826A18">
      <w:pPr>
        <w:spacing w:line="360" w:lineRule="auto"/>
        <w:jc w:val="both"/>
        <w:rPr>
          <w:rFonts w:ascii="Times New Roman" w:eastAsia="Calibri" w:hAnsi="Times New Roman" w:cs="Simplified Arabic"/>
          <w:sz w:val="28"/>
          <w:szCs w:val="28"/>
          <w:lang w:val="en-GB"/>
        </w:rPr>
      </w:pPr>
      <w:r w:rsidRPr="00E30C0A">
        <w:rPr>
          <w:rFonts w:ascii="Times New Roman" w:eastAsia="Calibri" w:hAnsi="Times New Roman" w:cs="Simplified Arabic"/>
          <w:sz w:val="28"/>
          <w:szCs w:val="28"/>
          <w:rtl/>
        </w:rPr>
        <w:t xml:space="preserve">ترتكز الدراسة كذلك على البعد الاستراتيجي المرتبط بـ </w:t>
      </w:r>
      <w:r w:rsidRPr="00E30C0A">
        <w:rPr>
          <w:rFonts w:ascii="Times New Roman" w:eastAsia="Calibri" w:hAnsi="Times New Roman" w:cs="Simplified Arabic"/>
          <w:sz w:val="28"/>
          <w:szCs w:val="28"/>
          <w:lang w:val="en-GB"/>
        </w:rPr>
        <w:t>Saudi Vision 2030</w:t>
      </w:r>
      <w:r w:rsidRPr="00E30C0A">
        <w:rPr>
          <w:rFonts w:ascii="Times New Roman" w:eastAsia="Calibri" w:hAnsi="Times New Roman" w:cs="Simplified Arabic"/>
          <w:sz w:val="28"/>
          <w:szCs w:val="28"/>
          <w:rtl/>
        </w:rPr>
        <w:t>، والذي يؤكد على تعزيز الحوكمة، ورفع كفاءة الأداء المؤسسي، وتحقيق الاستدامة البيئية. ويُفهم من هذا المنظور أن الخطط الإدارية ليست مجرد أدوات تشغيلية، بل تمثل ركيزة استراتيجية لتحقيق الأمن الصحي والغذائي</w:t>
      </w:r>
      <w:r w:rsidRPr="00E30C0A">
        <w:rPr>
          <w:rFonts w:ascii="Times New Roman" w:eastAsia="Calibri" w:hAnsi="Times New Roman" w:cs="Simplified Arabic"/>
          <w:sz w:val="28"/>
          <w:szCs w:val="28"/>
          <w:lang w:val="en-GB"/>
        </w:rPr>
        <w:t>.</w:t>
      </w:r>
    </w:p>
    <w:p w14:paraId="6816A0CC" w14:textId="1CA40995" w:rsidR="00A74F76" w:rsidRPr="000F71AC" w:rsidRDefault="00E30C0A" w:rsidP="000F71AC">
      <w:pPr>
        <w:spacing w:line="360" w:lineRule="auto"/>
        <w:jc w:val="both"/>
        <w:rPr>
          <w:rFonts w:ascii="Times New Roman" w:eastAsia="Calibri" w:hAnsi="Times New Roman" w:cs="Simplified Arabic"/>
          <w:sz w:val="28"/>
          <w:szCs w:val="28"/>
          <w:rtl/>
          <w:lang w:val="en-GB"/>
        </w:rPr>
      </w:pPr>
      <w:r w:rsidRPr="00E30C0A">
        <w:rPr>
          <w:rFonts w:ascii="Times New Roman" w:eastAsia="Calibri" w:hAnsi="Times New Roman" w:cs="Simplified Arabic"/>
          <w:sz w:val="28"/>
          <w:szCs w:val="28"/>
          <w:rtl/>
        </w:rPr>
        <w:lastRenderedPageBreak/>
        <w:t>ومن هذا المنطلق، فإن تقييم الخطط الإدارية في القطاع البيئي والزراعي بمنطقة الرياض ينسجم مع توجهات التحول الوطني، ويعزز فهم العلاقة بين التخطيط المؤسسي والاستعداد للمخاطر البيئية والوبائية</w:t>
      </w:r>
      <w:r w:rsidRPr="00E30C0A">
        <w:rPr>
          <w:rFonts w:ascii="Times New Roman" w:eastAsia="Calibri" w:hAnsi="Times New Roman" w:cs="Simplified Arabic"/>
          <w:sz w:val="28"/>
          <w:szCs w:val="28"/>
          <w:lang w:val="en-GB"/>
        </w:rPr>
        <w:t>.</w:t>
      </w:r>
    </w:p>
    <w:p w14:paraId="2E715580" w14:textId="4E387CC0" w:rsidR="00D22171" w:rsidRPr="00D32329" w:rsidRDefault="00D22171" w:rsidP="006002BB">
      <w:pPr>
        <w:spacing w:before="240"/>
        <w:rPr>
          <w:rFonts w:ascii="Sakkal Majalla" w:hAnsi="Sakkal Majalla" w:cs="Sakkal Majalla"/>
          <w:b/>
          <w:bCs/>
          <w:sz w:val="32"/>
          <w:szCs w:val="32"/>
          <w:u w:val="single"/>
          <w:rtl/>
        </w:rPr>
      </w:pPr>
      <w:r w:rsidRPr="00D32329">
        <w:rPr>
          <w:rFonts w:ascii="Sakkal Majalla" w:hAnsi="Sakkal Majalla" w:cs="Sakkal Majalla"/>
          <w:b/>
          <w:bCs/>
          <w:sz w:val="32"/>
          <w:szCs w:val="32"/>
          <w:u w:val="single"/>
          <w:rtl/>
        </w:rPr>
        <w:t>المنهجية وطرق البحث</w:t>
      </w:r>
      <w:r w:rsidR="00A74F76" w:rsidRPr="00D32329">
        <w:rPr>
          <w:rFonts w:ascii="Sakkal Majalla" w:hAnsi="Sakkal Majalla" w:cs="Sakkal Majalla"/>
          <w:b/>
          <w:bCs/>
          <w:sz w:val="32"/>
          <w:szCs w:val="32"/>
          <w:u w:val="single"/>
          <w:rtl/>
        </w:rPr>
        <w:t>:</w:t>
      </w:r>
    </w:p>
    <w:p w14:paraId="6D2830A4" w14:textId="77777777" w:rsidR="00380109" w:rsidRPr="00826A18" w:rsidRDefault="00FB3785" w:rsidP="00826A18">
      <w:pPr>
        <w:spacing w:line="360" w:lineRule="auto"/>
        <w:jc w:val="both"/>
        <w:rPr>
          <w:rFonts w:ascii="Simplified Arabic" w:hAnsi="Simplified Arabic" w:cs="Simplified Arabic"/>
          <w:sz w:val="28"/>
          <w:szCs w:val="28"/>
          <w:lang w:val="en-GB"/>
        </w:rPr>
      </w:pPr>
      <w:r w:rsidRPr="00826A18">
        <w:rPr>
          <w:rFonts w:ascii="Simplified Arabic" w:hAnsi="Simplified Arabic" w:cs="Simplified Arabic"/>
          <w:sz w:val="28"/>
          <w:szCs w:val="28"/>
          <w:rtl/>
        </w:rPr>
        <w:t xml:space="preserve">تعتمد الدراسة على المنهج الوصفي التحليلي بوصفه الأنسب لطبيعة البحث الذي يهدف إلى قياس فعالية الخطط </w:t>
      </w:r>
      <w:r w:rsidR="00380109" w:rsidRPr="00826A18">
        <w:rPr>
          <w:rFonts w:ascii="Simplified Arabic" w:hAnsi="Simplified Arabic" w:cs="Simplified Arabic"/>
          <w:sz w:val="28"/>
          <w:szCs w:val="28"/>
          <w:rtl/>
        </w:rPr>
        <w:t xml:space="preserve">تعتمد هذه الدراسة على </w:t>
      </w:r>
      <w:r w:rsidR="00380109" w:rsidRPr="00826A18">
        <w:rPr>
          <w:rFonts w:ascii="Simplified Arabic" w:hAnsi="Simplified Arabic" w:cs="Simplified Arabic"/>
          <w:b/>
          <w:bCs/>
          <w:sz w:val="28"/>
          <w:szCs w:val="28"/>
          <w:rtl/>
        </w:rPr>
        <w:t>المنهج الوصفي التحليلي</w:t>
      </w:r>
      <w:r w:rsidR="00380109" w:rsidRPr="00826A18">
        <w:rPr>
          <w:rFonts w:ascii="Simplified Arabic" w:hAnsi="Simplified Arabic" w:cs="Simplified Arabic"/>
          <w:sz w:val="28"/>
          <w:szCs w:val="28"/>
          <w:rtl/>
        </w:rPr>
        <w:t xml:space="preserve"> بوصفه المنهج الأنسب لطبيعة المشكلة البحثية وأهدافها. فالمنهج الوصفي يُستخدم لرصد الظواهر كما هي في الواقع، وتحليل خصائصها وعلاقاتها دون تدخل مباشر من الباحث، في حين يتيح البعد التحليلي اختبار العلاقات الإحصائية بين المتغيرات وتفسيرها في ضوء الإطار النظري المعتمد</w:t>
      </w:r>
      <w:r w:rsidR="00380109" w:rsidRPr="00826A18">
        <w:rPr>
          <w:rFonts w:ascii="Simplified Arabic" w:hAnsi="Simplified Arabic" w:cs="Simplified Arabic"/>
          <w:sz w:val="28"/>
          <w:szCs w:val="28"/>
          <w:lang w:val="en-GB"/>
        </w:rPr>
        <w:t>.</w:t>
      </w:r>
    </w:p>
    <w:p w14:paraId="39DEF1B9" w14:textId="5448D425" w:rsidR="00380109" w:rsidRDefault="00380109" w:rsidP="00826A18">
      <w:pPr>
        <w:spacing w:line="360" w:lineRule="auto"/>
        <w:jc w:val="both"/>
        <w:rPr>
          <w:rFonts w:ascii="Simplified Arabic" w:hAnsi="Simplified Arabic" w:cs="Simplified Arabic"/>
          <w:sz w:val="28"/>
          <w:szCs w:val="28"/>
          <w:rtl/>
          <w:lang w:val="en-GB"/>
        </w:rPr>
      </w:pPr>
      <w:r w:rsidRPr="00826A18">
        <w:rPr>
          <w:rFonts w:ascii="Simplified Arabic" w:hAnsi="Simplified Arabic" w:cs="Simplified Arabic"/>
          <w:sz w:val="28"/>
          <w:szCs w:val="28"/>
          <w:rtl/>
        </w:rPr>
        <w:t>وقد تم اختيار هذا المنهج لملاءمته لطبيعة الدراسة التي تسعى إلى قياس مستوى تطبيق الخطط الإدارية في القطاع البيئي والزراعي بمنطقة الرياض، وتحليل أثرها على فعالية الحد من مخاطر الأمراض المشتركة. كما أن صياغة الدراسة في صورة فرضيات سببية تستلزم استخدام أدوات تحليل إحصائي لقياس درجة التأثير بين المتغير المستقل (الخطط الإدارية بأبعادها) والمتغير التابع (فعالية إدارة مخاطر الأمراض المشتركة). وبالتالي، فإن المنهج الوصفي التحليلي يخدم مشكلة الدراسة من خلال توفير بيانات كمية قابلة للتحليل، وتمكين الباحث من اختبار الفرضيات والتحقق من دلالتها الإحصائية بصورة موضوعية</w:t>
      </w:r>
      <w:r w:rsidRPr="00826A18">
        <w:rPr>
          <w:rFonts w:ascii="Simplified Arabic" w:hAnsi="Simplified Arabic" w:cs="Simplified Arabic"/>
          <w:sz w:val="28"/>
          <w:szCs w:val="28"/>
          <w:lang w:val="en-GB"/>
        </w:rPr>
        <w:t>.</w:t>
      </w:r>
    </w:p>
    <w:p w14:paraId="08FF7486" w14:textId="4B25ED6E" w:rsidR="006002BB" w:rsidRDefault="006002BB" w:rsidP="00826A18">
      <w:pPr>
        <w:spacing w:line="360" w:lineRule="auto"/>
        <w:jc w:val="both"/>
        <w:rPr>
          <w:rFonts w:ascii="Simplified Arabic" w:hAnsi="Simplified Arabic" w:cs="Simplified Arabic"/>
          <w:sz w:val="28"/>
          <w:szCs w:val="28"/>
          <w:rtl/>
          <w:lang w:val="en-GB"/>
        </w:rPr>
      </w:pPr>
    </w:p>
    <w:p w14:paraId="09126A02" w14:textId="2279886C" w:rsidR="006002BB" w:rsidRDefault="006002BB" w:rsidP="00826A18">
      <w:pPr>
        <w:spacing w:line="360" w:lineRule="auto"/>
        <w:jc w:val="both"/>
        <w:rPr>
          <w:rFonts w:ascii="Simplified Arabic" w:hAnsi="Simplified Arabic" w:cs="Simplified Arabic"/>
          <w:sz w:val="28"/>
          <w:szCs w:val="28"/>
          <w:rtl/>
          <w:lang w:val="en-GB"/>
        </w:rPr>
      </w:pPr>
    </w:p>
    <w:p w14:paraId="2B736BD4" w14:textId="77777777" w:rsidR="006002BB" w:rsidRPr="00826A18" w:rsidRDefault="006002BB" w:rsidP="00826A18">
      <w:pPr>
        <w:spacing w:line="360" w:lineRule="auto"/>
        <w:jc w:val="both"/>
        <w:rPr>
          <w:rFonts w:ascii="Simplified Arabic" w:hAnsi="Simplified Arabic" w:cs="Simplified Arabic"/>
          <w:sz w:val="28"/>
          <w:szCs w:val="28"/>
          <w:lang w:val="en-GB"/>
        </w:rPr>
      </w:pPr>
    </w:p>
    <w:p w14:paraId="4194229B" w14:textId="659005F9" w:rsidR="00380109" w:rsidRPr="00D32329" w:rsidRDefault="00380109" w:rsidP="006002BB">
      <w:pPr>
        <w:spacing w:before="240"/>
        <w:rPr>
          <w:rFonts w:ascii="Sakkal Majalla" w:hAnsi="Sakkal Majalla" w:cs="Sakkal Majalla"/>
          <w:b/>
          <w:bCs/>
          <w:sz w:val="32"/>
          <w:szCs w:val="32"/>
          <w:u w:val="single"/>
        </w:rPr>
      </w:pPr>
      <w:r w:rsidRPr="00D32329">
        <w:rPr>
          <w:rFonts w:ascii="Sakkal Majalla" w:hAnsi="Sakkal Majalla" w:cs="Sakkal Majalla"/>
          <w:b/>
          <w:bCs/>
          <w:sz w:val="32"/>
          <w:szCs w:val="32"/>
          <w:u w:val="single"/>
          <w:rtl/>
        </w:rPr>
        <w:lastRenderedPageBreak/>
        <w:t>مجتمع الدراسة وعينتها</w:t>
      </w:r>
    </w:p>
    <w:p w14:paraId="6B005A71" w14:textId="77777777" w:rsidR="00380109" w:rsidRPr="00826A18" w:rsidRDefault="00380109" w:rsidP="00826A18">
      <w:pPr>
        <w:spacing w:line="360" w:lineRule="auto"/>
        <w:jc w:val="both"/>
        <w:rPr>
          <w:rFonts w:ascii="Simplified Arabic" w:hAnsi="Simplified Arabic" w:cs="Simplified Arabic"/>
          <w:b/>
          <w:bCs/>
          <w:sz w:val="28"/>
          <w:szCs w:val="28"/>
          <w:lang w:val="en-GB"/>
        </w:rPr>
      </w:pPr>
      <w:r w:rsidRPr="00826A18">
        <w:rPr>
          <w:rFonts w:ascii="Simplified Arabic" w:hAnsi="Simplified Arabic" w:cs="Simplified Arabic"/>
          <w:b/>
          <w:bCs/>
          <w:sz w:val="28"/>
          <w:szCs w:val="28"/>
          <w:rtl/>
          <w:lang w:val="en-GB"/>
        </w:rPr>
        <w:t>مجتمع الدراسة</w:t>
      </w:r>
    </w:p>
    <w:p w14:paraId="079A927F" w14:textId="77777777" w:rsidR="00380109" w:rsidRPr="00826A18" w:rsidRDefault="00380109" w:rsidP="00826A18">
      <w:pPr>
        <w:spacing w:line="360" w:lineRule="auto"/>
        <w:jc w:val="both"/>
        <w:rPr>
          <w:rFonts w:ascii="Simplified Arabic" w:hAnsi="Simplified Arabic" w:cs="Simplified Arabic"/>
          <w:sz w:val="28"/>
          <w:szCs w:val="28"/>
        </w:rPr>
      </w:pPr>
      <w:r w:rsidRPr="00826A18">
        <w:rPr>
          <w:rFonts w:ascii="Simplified Arabic" w:hAnsi="Simplified Arabic" w:cs="Simplified Arabic"/>
          <w:sz w:val="28"/>
          <w:szCs w:val="28"/>
          <w:rtl/>
        </w:rPr>
        <w:t>يتكون مجتمع الدراسة من جميع المختصين والعاملين في الجهات ذات العلاقة بإدارة المخاطر في القطاع البيئي والزراعي بمنطقة الرياض، ويشمل ذلك المسؤولين الإداريين، ومديري الإدارات، والمختصين في التخطيط وإدارة المخاطر، والعاملين في وحدات الصحة البيئية أو الرقابة الزراعية. ويُعد هذا المجتمع مناسبًا للدراسة لكونه الفئة الأكثر اطلاعًا على طبيعة الخطط الإدارية المعتمدة وآليات تنفيذها، وكذلك على إجراءات التعامل مع مخاطر الأمراض المشتركة</w:t>
      </w:r>
      <w:r w:rsidRPr="00826A18">
        <w:rPr>
          <w:rFonts w:ascii="Simplified Arabic" w:hAnsi="Simplified Arabic" w:cs="Simplified Arabic"/>
          <w:sz w:val="28"/>
          <w:szCs w:val="28"/>
        </w:rPr>
        <w:t>.</w:t>
      </w:r>
    </w:p>
    <w:p w14:paraId="4FF2C5E9" w14:textId="77777777" w:rsidR="00380109" w:rsidRPr="00D32329" w:rsidRDefault="00380109" w:rsidP="00D32329">
      <w:pPr>
        <w:rPr>
          <w:rFonts w:ascii="Sakkal Majalla" w:hAnsi="Sakkal Majalla" w:cs="Sakkal Majalla"/>
          <w:b/>
          <w:bCs/>
          <w:sz w:val="32"/>
          <w:szCs w:val="32"/>
          <w:u w:val="single"/>
        </w:rPr>
      </w:pPr>
      <w:r w:rsidRPr="00D32329">
        <w:rPr>
          <w:rFonts w:ascii="Sakkal Majalla" w:hAnsi="Sakkal Majalla" w:cs="Sakkal Majalla"/>
          <w:b/>
          <w:bCs/>
          <w:sz w:val="32"/>
          <w:szCs w:val="32"/>
          <w:u w:val="single"/>
          <w:rtl/>
        </w:rPr>
        <w:t>عينة الدراسة</w:t>
      </w:r>
    </w:p>
    <w:p w14:paraId="2F9F6931" w14:textId="77777777" w:rsidR="00380109" w:rsidRPr="00826A18" w:rsidRDefault="00380109" w:rsidP="00826A18">
      <w:pPr>
        <w:spacing w:line="360" w:lineRule="auto"/>
        <w:jc w:val="both"/>
        <w:rPr>
          <w:rFonts w:ascii="Simplified Arabic" w:hAnsi="Simplified Arabic" w:cs="Simplified Arabic"/>
          <w:sz w:val="28"/>
          <w:szCs w:val="28"/>
        </w:rPr>
      </w:pPr>
      <w:r w:rsidRPr="00826A18">
        <w:rPr>
          <w:rFonts w:ascii="Simplified Arabic" w:hAnsi="Simplified Arabic" w:cs="Simplified Arabic"/>
          <w:sz w:val="28"/>
          <w:szCs w:val="28"/>
          <w:rtl/>
        </w:rPr>
        <w:t>سيتم اختيار عينة من مجتمع الدراسة باستخدام العينة الطبقية العشوائية، وذلك لضمان تمثيل مختلف الجهات أو الإدارات ذات العلاقة ضمن القطاع البيئي والزراعي. ويُبرَّر اختيار هذا النوع من العينات بكون المجتمع يتكون من فئات تنظيمية متعددة، ما يستدعي ضمان تمثيل متوازن لكل فئة عند جمع البيانات</w:t>
      </w:r>
      <w:r w:rsidRPr="00826A18">
        <w:rPr>
          <w:rFonts w:ascii="Simplified Arabic" w:hAnsi="Simplified Arabic" w:cs="Simplified Arabic"/>
          <w:sz w:val="28"/>
          <w:szCs w:val="28"/>
        </w:rPr>
        <w:t>.</w:t>
      </w:r>
    </w:p>
    <w:p w14:paraId="3F29780D" w14:textId="05FC80A2" w:rsidR="00D7580E" w:rsidRDefault="00380109" w:rsidP="000F71AC">
      <w:pPr>
        <w:spacing w:line="360" w:lineRule="auto"/>
        <w:jc w:val="both"/>
        <w:rPr>
          <w:rFonts w:ascii="Simplified Arabic" w:hAnsi="Simplified Arabic" w:cs="Simplified Arabic"/>
          <w:sz w:val="28"/>
          <w:szCs w:val="28"/>
          <w:rtl/>
        </w:rPr>
      </w:pPr>
      <w:r w:rsidRPr="00826A18">
        <w:rPr>
          <w:rFonts w:ascii="Simplified Arabic" w:hAnsi="Simplified Arabic" w:cs="Simplified Arabic"/>
          <w:sz w:val="28"/>
          <w:szCs w:val="28"/>
          <w:rtl/>
        </w:rPr>
        <w:t>وسيُحدد حجم العينة بناءً على حجم المجتمع الكلي، مع الاسترشاد بالجداول الإحصائية المعتمدة لتحديد الحد الأدنى المناسب لضمان تمثيل كافٍ، مع مراعاة مستوى الثقة (95%) وهامش الخطأ المقبول (5%). كما سيُراعى في اختيار أفراد العينة توفر الخبرة المهنية ذات الصلة بإدارة المخاطر أو التخطيط الإداري، لضمان جودة ودقة الاستجابات</w:t>
      </w:r>
      <w:r w:rsidRPr="00826A18">
        <w:rPr>
          <w:rFonts w:ascii="Simplified Arabic" w:hAnsi="Simplified Arabic" w:cs="Simplified Arabic"/>
          <w:sz w:val="28"/>
          <w:szCs w:val="28"/>
        </w:rPr>
        <w:t>.</w:t>
      </w:r>
    </w:p>
    <w:p w14:paraId="42DF6772" w14:textId="0F905AC8" w:rsidR="006002BB" w:rsidRDefault="006002BB" w:rsidP="000F71AC">
      <w:pPr>
        <w:spacing w:line="360" w:lineRule="auto"/>
        <w:jc w:val="both"/>
        <w:rPr>
          <w:rFonts w:ascii="Simplified Arabic" w:hAnsi="Simplified Arabic" w:cs="Simplified Arabic"/>
          <w:sz w:val="28"/>
          <w:szCs w:val="28"/>
          <w:rtl/>
        </w:rPr>
      </w:pPr>
    </w:p>
    <w:p w14:paraId="2FF76062" w14:textId="40394C25" w:rsidR="006002BB" w:rsidRDefault="006002BB" w:rsidP="000F71AC">
      <w:pPr>
        <w:spacing w:line="360" w:lineRule="auto"/>
        <w:jc w:val="both"/>
        <w:rPr>
          <w:rFonts w:ascii="Simplified Arabic" w:hAnsi="Simplified Arabic" w:cs="Simplified Arabic"/>
          <w:sz w:val="28"/>
          <w:szCs w:val="28"/>
          <w:rtl/>
        </w:rPr>
      </w:pPr>
    </w:p>
    <w:p w14:paraId="712AF849" w14:textId="77777777" w:rsidR="006002BB" w:rsidRPr="000F71AC" w:rsidRDefault="006002BB" w:rsidP="000F71AC">
      <w:pPr>
        <w:spacing w:line="360" w:lineRule="auto"/>
        <w:jc w:val="both"/>
        <w:rPr>
          <w:rFonts w:ascii="Simplified Arabic" w:hAnsi="Simplified Arabic" w:cs="Simplified Arabic"/>
          <w:sz w:val="28"/>
          <w:szCs w:val="28"/>
          <w:rtl/>
        </w:rPr>
      </w:pPr>
    </w:p>
    <w:p w14:paraId="4B62A515" w14:textId="780CEB57" w:rsidR="00A74F76" w:rsidRPr="00D32329" w:rsidRDefault="00D22171" w:rsidP="006002BB">
      <w:pPr>
        <w:spacing w:before="240"/>
        <w:rPr>
          <w:rFonts w:ascii="Sakkal Majalla" w:hAnsi="Sakkal Majalla" w:cs="Sakkal Majalla"/>
          <w:b/>
          <w:bCs/>
          <w:sz w:val="32"/>
          <w:szCs w:val="32"/>
          <w:u w:val="single"/>
          <w:rtl/>
        </w:rPr>
      </w:pPr>
      <w:r w:rsidRPr="00D32329">
        <w:rPr>
          <w:rFonts w:ascii="Sakkal Majalla" w:hAnsi="Sakkal Majalla" w:cs="Sakkal Majalla"/>
          <w:b/>
          <w:bCs/>
          <w:sz w:val="32"/>
          <w:szCs w:val="32"/>
          <w:u w:val="single"/>
          <w:rtl/>
        </w:rPr>
        <w:lastRenderedPageBreak/>
        <w:t xml:space="preserve">أدوات الدراسة </w:t>
      </w:r>
      <w:r w:rsidR="00A74F76" w:rsidRPr="00D32329">
        <w:rPr>
          <w:rFonts w:ascii="Sakkal Majalla" w:hAnsi="Sakkal Majalla" w:cs="Sakkal Majalla" w:hint="cs"/>
          <w:b/>
          <w:bCs/>
          <w:sz w:val="32"/>
          <w:szCs w:val="32"/>
          <w:u w:val="single"/>
          <w:rtl/>
        </w:rPr>
        <w:t>:</w:t>
      </w:r>
    </w:p>
    <w:p w14:paraId="48F8FC99" w14:textId="77777777" w:rsidR="00D7580E" w:rsidRPr="0038262A" w:rsidRDefault="00D7580E" w:rsidP="000F71AC">
      <w:pPr>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تعتمد الدراسة على الاستبانة كأداة رئيسة لجمع البيانات، نظرًا لملاءمتها لطبيعة المنهج الوصفي التحليلي، وقدرتها على جمع بيانات كمية من عدد كبير من المبحوثين في فترة زمنية محدودة. كما تتيح الاستبانة قياس اتجاهات وآراء المختصين بصورة معيارية قابلة للتحليل الإحصائي، وهو ما يخدم اختبار فرضيات الدراسة</w:t>
      </w:r>
      <w:r w:rsidRPr="0038262A">
        <w:rPr>
          <w:rFonts w:ascii="Simplified Arabic" w:hAnsi="Simplified Arabic" w:cs="Simplified Arabic"/>
          <w:sz w:val="28"/>
          <w:szCs w:val="28"/>
        </w:rPr>
        <w:t>.</w:t>
      </w:r>
    </w:p>
    <w:p w14:paraId="12FF4BB5" w14:textId="77777777" w:rsidR="00D7580E" w:rsidRPr="0038262A" w:rsidRDefault="00D7580E" w:rsidP="000F71AC">
      <w:pPr>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وقد تم إعداد الاستبانة بالاستناد إلى الأدبيات النظرية والدراسات السابقة في مجال إدارة المخاطر المؤسسية وإدارة مخاطر الأمراض المشتركة، مع تكييف البنود بما يتلاءم مع السياق المحلي للقطاع البيئي والزراعي في منطقة الرياض</w:t>
      </w:r>
      <w:r w:rsidRPr="0038262A">
        <w:rPr>
          <w:rFonts w:ascii="Simplified Arabic" w:hAnsi="Simplified Arabic" w:cs="Simplified Arabic"/>
          <w:sz w:val="28"/>
          <w:szCs w:val="28"/>
        </w:rPr>
        <w:t>.</w:t>
      </w:r>
    </w:p>
    <w:p w14:paraId="6708153A" w14:textId="77777777" w:rsidR="00D7580E" w:rsidRPr="0038262A" w:rsidRDefault="00D7580E" w:rsidP="000F71AC">
      <w:pPr>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وتتكون الاستبانة من محورين رئيسين</w:t>
      </w:r>
      <w:r w:rsidRPr="0038262A">
        <w:rPr>
          <w:rFonts w:ascii="Simplified Arabic" w:hAnsi="Simplified Arabic" w:cs="Simplified Arabic"/>
          <w:sz w:val="28"/>
          <w:szCs w:val="28"/>
        </w:rPr>
        <w:t>:</w:t>
      </w:r>
    </w:p>
    <w:p w14:paraId="3C232DEF" w14:textId="77777777" w:rsidR="00D7580E" w:rsidRPr="0038262A" w:rsidRDefault="00D7580E" w:rsidP="000F71AC">
      <w:pPr>
        <w:tabs>
          <w:tab w:val="num" w:pos="72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المحور الأول: الخطط الإدارية، ويشمل الأبعاد التالية</w:t>
      </w:r>
      <w:r w:rsidRPr="0038262A">
        <w:rPr>
          <w:rFonts w:ascii="Simplified Arabic" w:hAnsi="Simplified Arabic" w:cs="Simplified Arabic"/>
          <w:sz w:val="28"/>
          <w:szCs w:val="28"/>
        </w:rPr>
        <w:t>:</w:t>
      </w:r>
    </w:p>
    <w:p w14:paraId="2CA5F7D3" w14:textId="77777777" w:rsidR="00D7580E" w:rsidRPr="0038262A" w:rsidRDefault="00D7580E" w:rsidP="000F71AC">
      <w:pPr>
        <w:pStyle w:val="a5"/>
        <w:numPr>
          <w:ilvl w:val="0"/>
          <w:numId w:val="11"/>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نضج التخطيط الإداري</w:t>
      </w:r>
      <w:r w:rsidRPr="0038262A">
        <w:rPr>
          <w:rFonts w:ascii="Simplified Arabic" w:hAnsi="Simplified Arabic" w:cs="Simplified Arabic"/>
          <w:sz w:val="28"/>
          <w:szCs w:val="28"/>
        </w:rPr>
        <w:t>.</w:t>
      </w:r>
    </w:p>
    <w:p w14:paraId="762136DC" w14:textId="77777777" w:rsidR="00D7580E" w:rsidRPr="0038262A" w:rsidRDefault="00D7580E" w:rsidP="000F71AC">
      <w:pPr>
        <w:pStyle w:val="a5"/>
        <w:numPr>
          <w:ilvl w:val="0"/>
          <w:numId w:val="11"/>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التكامل المؤسسي</w:t>
      </w:r>
      <w:r w:rsidRPr="0038262A">
        <w:rPr>
          <w:rFonts w:ascii="Simplified Arabic" w:hAnsi="Simplified Arabic" w:cs="Simplified Arabic"/>
          <w:sz w:val="28"/>
          <w:szCs w:val="28"/>
        </w:rPr>
        <w:t>.</w:t>
      </w:r>
    </w:p>
    <w:p w14:paraId="7342949F" w14:textId="77777777" w:rsidR="00D7580E" w:rsidRPr="0038262A" w:rsidRDefault="00D7580E" w:rsidP="000F71AC">
      <w:pPr>
        <w:pStyle w:val="a5"/>
        <w:numPr>
          <w:ilvl w:val="0"/>
          <w:numId w:val="11"/>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آليات المتابعة والتقييم</w:t>
      </w:r>
      <w:r w:rsidRPr="0038262A">
        <w:rPr>
          <w:rFonts w:ascii="Simplified Arabic" w:hAnsi="Simplified Arabic" w:cs="Simplified Arabic"/>
          <w:sz w:val="28"/>
          <w:szCs w:val="28"/>
        </w:rPr>
        <w:t>.</w:t>
      </w:r>
    </w:p>
    <w:p w14:paraId="5C4C9DF5" w14:textId="77777777" w:rsidR="00D7580E" w:rsidRPr="0038262A" w:rsidRDefault="00D7580E" w:rsidP="000F71AC">
      <w:pPr>
        <w:tabs>
          <w:tab w:val="num" w:pos="72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المحور الثاني: فعالية الحد من مخاطر الأمراض المشتركة، ويشمل الأبعاد التالية</w:t>
      </w:r>
      <w:r w:rsidRPr="0038262A">
        <w:rPr>
          <w:rFonts w:ascii="Simplified Arabic" w:hAnsi="Simplified Arabic" w:cs="Simplified Arabic"/>
          <w:sz w:val="28"/>
          <w:szCs w:val="28"/>
        </w:rPr>
        <w:t>:</w:t>
      </w:r>
    </w:p>
    <w:p w14:paraId="0254A623" w14:textId="77777777" w:rsidR="00D7580E" w:rsidRPr="0038262A" w:rsidRDefault="00D7580E" w:rsidP="000F71AC">
      <w:pPr>
        <w:pStyle w:val="a5"/>
        <w:numPr>
          <w:ilvl w:val="0"/>
          <w:numId w:val="12"/>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الجاهزية الوقائية</w:t>
      </w:r>
      <w:r w:rsidRPr="0038262A">
        <w:rPr>
          <w:rFonts w:ascii="Simplified Arabic" w:hAnsi="Simplified Arabic" w:cs="Simplified Arabic"/>
          <w:sz w:val="28"/>
          <w:szCs w:val="28"/>
        </w:rPr>
        <w:t>.</w:t>
      </w:r>
    </w:p>
    <w:p w14:paraId="04762FEF" w14:textId="77777777" w:rsidR="00D7580E" w:rsidRPr="0038262A" w:rsidRDefault="00D7580E" w:rsidP="000F71AC">
      <w:pPr>
        <w:pStyle w:val="a5"/>
        <w:numPr>
          <w:ilvl w:val="0"/>
          <w:numId w:val="12"/>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سرعة الاستجابة</w:t>
      </w:r>
      <w:r w:rsidRPr="0038262A">
        <w:rPr>
          <w:rFonts w:ascii="Simplified Arabic" w:hAnsi="Simplified Arabic" w:cs="Simplified Arabic"/>
          <w:sz w:val="28"/>
          <w:szCs w:val="28"/>
        </w:rPr>
        <w:t>.</w:t>
      </w:r>
    </w:p>
    <w:p w14:paraId="4519A58A" w14:textId="77777777" w:rsidR="00D7580E" w:rsidRPr="0038262A" w:rsidRDefault="00D7580E" w:rsidP="000F71AC">
      <w:pPr>
        <w:pStyle w:val="a5"/>
        <w:numPr>
          <w:ilvl w:val="0"/>
          <w:numId w:val="12"/>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مستوى التنسيق بين الجهات</w:t>
      </w:r>
      <w:r w:rsidRPr="0038262A">
        <w:rPr>
          <w:rFonts w:ascii="Simplified Arabic" w:hAnsi="Simplified Arabic" w:cs="Simplified Arabic"/>
          <w:sz w:val="28"/>
          <w:szCs w:val="28"/>
        </w:rPr>
        <w:t>.</w:t>
      </w:r>
    </w:p>
    <w:p w14:paraId="03F07512" w14:textId="77777777" w:rsidR="00D7580E" w:rsidRPr="0038262A" w:rsidRDefault="00D7580E" w:rsidP="000F71AC">
      <w:pPr>
        <w:pStyle w:val="a5"/>
        <w:numPr>
          <w:ilvl w:val="0"/>
          <w:numId w:val="12"/>
        </w:numPr>
        <w:tabs>
          <w:tab w:val="num" w:pos="1440"/>
        </w:tabs>
        <w:spacing w:line="360" w:lineRule="auto"/>
        <w:jc w:val="both"/>
        <w:rPr>
          <w:rFonts w:ascii="Simplified Arabic" w:hAnsi="Simplified Arabic" w:cs="Simplified Arabic"/>
          <w:sz w:val="28"/>
          <w:szCs w:val="28"/>
        </w:rPr>
      </w:pPr>
      <w:r w:rsidRPr="0038262A">
        <w:rPr>
          <w:rFonts w:ascii="Simplified Arabic" w:hAnsi="Simplified Arabic" w:cs="Simplified Arabic"/>
          <w:sz w:val="28"/>
          <w:szCs w:val="28"/>
          <w:rtl/>
        </w:rPr>
        <w:t>تقليل احتمالية انتشار المخاطر</w:t>
      </w:r>
      <w:r w:rsidRPr="0038262A">
        <w:rPr>
          <w:rFonts w:ascii="Simplified Arabic" w:hAnsi="Simplified Arabic" w:cs="Simplified Arabic"/>
          <w:sz w:val="28"/>
          <w:szCs w:val="28"/>
        </w:rPr>
        <w:t>.</w:t>
      </w:r>
    </w:p>
    <w:p w14:paraId="745A7CBE" w14:textId="382A0128" w:rsidR="00A74F76" w:rsidRPr="00826A18" w:rsidRDefault="00D7580E" w:rsidP="000F71AC">
      <w:pPr>
        <w:spacing w:line="360" w:lineRule="auto"/>
        <w:jc w:val="both"/>
        <w:rPr>
          <w:rFonts w:ascii="Simplified Arabic" w:hAnsi="Simplified Arabic" w:cs="Simplified Arabic"/>
          <w:sz w:val="28"/>
          <w:szCs w:val="28"/>
          <w:rtl/>
        </w:rPr>
      </w:pPr>
      <w:r w:rsidRPr="0038262A">
        <w:rPr>
          <w:rFonts w:ascii="Simplified Arabic" w:hAnsi="Simplified Arabic" w:cs="Simplified Arabic"/>
          <w:sz w:val="28"/>
          <w:szCs w:val="28"/>
          <w:rtl/>
        </w:rPr>
        <w:lastRenderedPageBreak/>
        <w:t xml:space="preserve">وسيتم استخدام مقياس </w:t>
      </w:r>
      <w:proofErr w:type="spellStart"/>
      <w:r w:rsidRPr="0038262A">
        <w:rPr>
          <w:rFonts w:ascii="Simplified Arabic" w:hAnsi="Simplified Arabic" w:cs="Simplified Arabic"/>
          <w:sz w:val="28"/>
          <w:szCs w:val="28"/>
          <w:rtl/>
        </w:rPr>
        <w:t>ليكرت</w:t>
      </w:r>
      <w:proofErr w:type="spellEnd"/>
      <w:r w:rsidRPr="0038262A">
        <w:rPr>
          <w:rFonts w:ascii="Simplified Arabic" w:hAnsi="Simplified Arabic" w:cs="Simplified Arabic"/>
          <w:sz w:val="28"/>
          <w:szCs w:val="28"/>
          <w:rtl/>
        </w:rPr>
        <w:t xml:space="preserve"> الخماسي لقياس درجة الموافقة على عبارات الاستبانة، بما يتيح تحويل الاستجابات إلى بيانات كمية قابلة للتحليل</w:t>
      </w:r>
    </w:p>
    <w:p w14:paraId="466A5D0B" w14:textId="63A5EDCC" w:rsidR="00D22171" w:rsidRPr="00D32329" w:rsidRDefault="00A74F76" w:rsidP="006002BB">
      <w:pPr>
        <w:spacing w:before="240"/>
        <w:rPr>
          <w:rFonts w:ascii="Sakkal Majalla" w:hAnsi="Sakkal Majalla" w:cs="Sakkal Majalla"/>
          <w:b/>
          <w:bCs/>
          <w:sz w:val="32"/>
          <w:szCs w:val="32"/>
          <w:u w:val="single"/>
          <w:rtl/>
        </w:rPr>
      </w:pPr>
      <w:r w:rsidRPr="00D32329">
        <w:rPr>
          <w:rFonts w:ascii="Sakkal Majalla" w:hAnsi="Sakkal Majalla" w:cs="Sakkal Majalla" w:hint="cs"/>
          <w:b/>
          <w:bCs/>
          <w:sz w:val="32"/>
          <w:szCs w:val="32"/>
          <w:u w:val="single"/>
          <w:rtl/>
        </w:rPr>
        <w:t>حدود</w:t>
      </w:r>
      <w:r w:rsidR="00D22171" w:rsidRPr="00D32329">
        <w:rPr>
          <w:rFonts w:ascii="Sakkal Majalla" w:hAnsi="Sakkal Majalla" w:cs="Sakkal Majalla"/>
          <w:b/>
          <w:bCs/>
          <w:sz w:val="32"/>
          <w:szCs w:val="32"/>
          <w:u w:val="single"/>
          <w:rtl/>
        </w:rPr>
        <w:t xml:space="preserve"> الدراسة </w:t>
      </w:r>
      <w:r w:rsidRPr="00D32329">
        <w:rPr>
          <w:rFonts w:ascii="Sakkal Majalla" w:hAnsi="Sakkal Majalla" w:cs="Sakkal Majalla" w:hint="cs"/>
          <w:b/>
          <w:bCs/>
          <w:sz w:val="32"/>
          <w:szCs w:val="32"/>
          <w:u w:val="single"/>
          <w:rtl/>
        </w:rPr>
        <w:t>:</w:t>
      </w:r>
    </w:p>
    <w:p w14:paraId="0DF2A3A1" w14:textId="77777777" w:rsidR="0066690D" w:rsidRPr="0066690D" w:rsidRDefault="0066690D" w:rsidP="0066690D">
      <w:pPr>
        <w:rPr>
          <w:rFonts w:ascii="Simplified Arabic" w:hAnsi="Simplified Arabic" w:cs="Simplified Arabic"/>
          <w:sz w:val="28"/>
          <w:szCs w:val="28"/>
        </w:rPr>
      </w:pPr>
      <w:r w:rsidRPr="0066690D">
        <w:rPr>
          <w:rFonts w:ascii="Sakkal Majalla" w:hAnsi="Sakkal Majalla" w:cs="Sakkal Majalla"/>
          <w:b/>
          <w:bCs/>
          <w:sz w:val="28"/>
          <w:szCs w:val="28"/>
          <w:u w:val="single"/>
          <w:rtl/>
        </w:rPr>
        <w:t>أولًا: الحدود الموضوعية</w:t>
      </w:r>
      <w:r w:rsidRPr="0066690D">
        <w:rPr>
          <w:rFonts w:ascii="Sakkal Majalla" w:hAnsi="Sakkal Majalla" w:cs="Sakkal Majalla"/>
          <w:sz w:val="28"/>
          <w:szCs w:val="28"/>
          <w:u w:val="single"/>
          <w:lang w:val="en-GB"/>
        </w:rPr>
        <w:br/>
      </w:r>
      <w:r w:rsidRPr="0066690D">
        <w:rPr>
          <w:rFonts w:ascii="Simplified Arabic" w:hAnsi="Simplified Arabic" w:cs="Simplified Arabic"/>
          <w:sz w:val="28"/>
          <w:szCs w:val="28"/>
          <w:rtl/>
        </w:rPr>
        <w:t>تقتصر الدراسة على تحليل أثر الخطط الإدارية بأبعادها (نضج التخطيط، التكامل المؤسسي، المتابعة والتقييم) على فعالية إدارة مخاطر الأمراض المشتركة بأبعادها (الجاهزية، الاستجابة، التنسيق، تقليل الانتشار)، دون التطرق إلى الجوانب الطبية أو التحليل الوبائي التفصيلي</w:t>
      </w:r>
      <w:r w:rsidRPr="0066690D">
        <w:rPr>
          <w:rFonts w:ascii="Simplified Arabic" w:hAnsi="Simplified Arabic" w:cs="Simplified Arabic"/>
          <w:sz w:val="28"/>
          <w:szCs w:val="28"/>
        </w:rPr>
        <w:t>.</w:t>
      </w:r>
    </w:p>
    <w:p w14:paraId="307C1BFA" w14:textId="77777777" w:rsidR="0066690D" w:rsidRPr="0066690D" w:rsidRDefault="0066690D" w:rsidP="0066690D">
      <w:pPr>
        <w:rPr>
          <w:rFonts w:ascii="Simplified Arabic" w:hAnsi="Simplified Arabic" w:cs="Simplified Arabic"/>
          <w:sz w:val="28"/>
          <w:szCs w:val="28"/>
        </w:rPr>
      </w:pPr>
      <w:r w:rsidRPr="0066690D">
        <w:rPr>
          <w:rFonts w:ascii="Sakkal Majalla" w:hAnsi="Sakkal Majalla" w:cs="Sakkal Majalla"/>
          <w:b/>
          <w:bCs/>
          <w:sz w:val="28"/>
          <w:szCs w:val="28"/>
          <w:rtl/>
        </w:rPr>
        <w:t>ثانيًا: الحدود المكانية</w:t>
      </w:r>
      <w:r w:rsidRPr="0066690D">
        <w:rPr>
          <w:rFonts w:ascii="Sakkal Majalla" w:hAnsi="Sakkal Majalla" w:cs="Sakkal Majalla"/>
          <w:sz w:val="28"/>
          <w:szCs w:val="28"/>
          <w:lang w:val="en-GB"/>
        </w:rPr>
        <w:br/>
      </w:r>
      <w:r w:rsidRPr="0066690D">
        <w:rPr>
          <w:rFonts w:ascii="Simplified Arabic" w:hAnsi="Simplified Arabic" w:cs="Simplified Arabic"/>
          <w:sz w:val="28"/>
          <w:szCs w:val="28"/>
          <w:rtl/>
        </w:rPr>
        <w:t>تُطبق الدراسة في القطاع البيئي والزراعي بمنطقة الرياض، وبالتالي فإن نتائجها ترتبط بهذا الإطار الجغرافي ولا تُعمم تلقائيًا على مناطق أخرى</w:t>
      </w:r>
      <w:r w:rsidRPr="0066690D">
        <w:rPr>
          <w:rFonts w:ascii="Simplified Arabic" w:hAnsi="Simplified Arabic" w:cs="Simplified Arabic"/>
          <w:sz w:val="28"/>
          <w:szCs w:val="28"/>
        </w:rPr>
        <w:t>.</w:t>
      </w:r>
    </w:p>
    <w:p w14:paraId="244A058D" w14:textId="77777777" w:rsidR="0066690D" w:rsidRPr="0066690D" w:rsidRDefault="0066690D" w:rsidP="0066690D">
      <w:pPr>
        <w:rPr>
          <w:rFonts w:ascii="Sakkal Majalla" w:hAnsi="Sakkal Majalla" w:cs="Sakkal Majalla"/>
          <w:sz w:val="28"/>
          <w:szCs w:val="28"/>
          <w:lang w:val="en-GB"/>
        </w:rPr>
      </w:pPr>
      <w:r w:rsidRPr="0066690D">
        <w:rPr>
          <w:rFonts w:ascii="Sakkal Majalla" w:hAnsi="Sakkal Majalla" w:cs="Sakkal Majalla"/>
          <w:b/>
          <w:bCs/>
          <w:sz w:val="28"/>
          <w:szCs w:val="28"/>
          <w:rtl/>
        </w:rPr>
        <w:t>ثالثًا: الحدود البشرية</w:t>
      </w:r>
      <w:r w:rsidRPr="0066690D">
        <w:rPr>
          <w:rFonts w:ascii="Sakkal Majalla" w:hAnsi="Sakkal Majalla" w:cs="Sakkal Majalla"/>
          <w:sz w:val="28"/>
          <w:szCs w:val="28"/>
          <w:lang w:val="en-GB"/>
        </w:rPr>
        <w:br/>
      </w:r>
      <w:r w:rsidRPr="0066690D">
        <w:rPr>
          <w:rFonts w:ascii="Simplified Arabic" w:hAnsi="Simplified Arabic" w:cs="Simplified Arabic"/>
          <w:sz w:val="28"/>
          <w:szCs w:val="28"/>
          <w:rtl/>
        </w:rPr>
        <w:t>تقتصر الدراسة على المختصين والعاملين في الجهات المعنية بإدارة المخاطر في القطاع البيئي والزراعي</w:t>
      </w:r>
      <w:r w:rsidRPr="0066690D">
        <w:rPr>
          <w:rFonts w:ascii="Sakkal Majalla" w:hAnsi="Sakkal Majalla" w:cs="Sakkal Majalla"/>
          <w:sz w:val="28"/>
          <w:szCs w:val="28"/>
          <w:lang w:val="en-GB"/>
        </w:rPr>
        <w:t>.</w:t>
      </w:r>
    </w:p>
    <w:p w14:paraId="46C3A523" w14:textId="77777777" w:rsidR="0066690D" w:rsidRPr="0066690D" w:rsidRDefault="0066690D" w:rsidP="0066690D">
      <w:pPr>
        <w:rPr>
          <w:rFonts w:ascii="Simplified Arabic" w:hAnsi="Simplified Arabic" w:cs="Simplified Arabic"/>
          <w:sz w:val="28"/>
          <w:szCs w:val="28"/>
        </w:rPr>
      </w:pPr>
      <w:r w:rsidRPr="0066690D">
        <w:rPr>
          <w:rFonts w:ascii="Sakkal Majalla" w:hAnsi="Sakkal Majalla" w:cs="Sakkal Majalla"/>
          <w:b/>
          <w:bCs/>
          <w:sz w:val="28"/>
          <w:szCs w:val="28"/>
          <w:rtl/>
        </w:rPr>
        <w:t>رابعًا: الحدود الزمنية</w:t>
      </w:r>
      <w:r w:rsidRPr="0066690D">
        <w:rPr>
          <w:rFonts w:ascii="Sakkal Majalla" w:hAnsi="Sakkal Majalla" w:cs="Sakkal Majalla"/>
          <w:sz w:val="28"/>
          <w:szCs w:val="28"/>
          <w:lang w:val="en-GB"/>
        </w:rPr>
        <w:br/>
      </w:r>
      <w:r w:rsidRPr="0066690D">
        <w:rPr>
          <w:rFonts w:ascii="Simplified Arabic" w:hAnsi="Simplified Arabic" w:cs="Simplified Arabic"/>
          <w:sz w:val="28"/>
          <w:szCs w:val="28"/>
          <w:rtl/>
        </w:rPr>
        <w:t>تعكس النتائج الواقع التنظيمي خلال فترة تطبيق الدراسة فقط</w:t>
      </w:r>
      <w:r w:rsidRPr="0066690D">
        <w:rPr>
          <w:rFonts w:ascii="Simplified Arabic" w:hAnsi="Simplified Arabic" w:cs="Simplified Arabic"/>
          <w:sz w:val="28"/>
          <w:szCs w:val="28"/>
        </w:rPr>
        <w:t>.</w:t>
      </w:r>
    </w:p>
    <w:p w14:paraId="5AA306AB" w14:textId="77777777" w:rsidR="0066690D" w:rsidRPr="0066690D" w:rsidRDefault="0066690D" w:rsidP="0066690D">
      <w:pPr>
        <w:rPr>
          <w:rFonts w:ascii="Simplified Arabic" w:hAnsi="Simplified Arabic" w:cs="Simplified Arabic"/>
          <w:sz w:val="28"/>
          <w:szCs w:val="28"/>
        </w:rPr>
      </w:pPr>
      <w:r w:rsidRPr="0066690D">
        <w:rPr>
          <w:rFonts w:ascii="Sakkal Majalla" w:hAnsi="Sakkal Majalla" w:cs="Sakkal Majalla"/>
          <w:b/>
          <w:bCs/>
          <w:sz w:val="28"/>
          <w:szCs w:val="28"/>
          <w:rtl/>
        </w:rPr>
        <w:t>خامسًا: الحدود المنهجية</w:t>
      </w:r>
      <w:r w:rsidRPr="0066690D">
        <w:rPr>
          <w:rFonts w:ascii="Sakkal Majalla" w:hAnsi="Sakkal Majalla" w:cs="Sakkal Majalla"/>
          <w:sz w:val="28"/>
          <w:szCs w:val="28"/>
          <w:lang w:val="en-GB"/>
        </w:rPr>
        <w:br/>
      </w:r>
      <w:r w:rsidRPr="0066690D">
        <w:rPr>
          <w:rFonts w:ascii="Simplified Arabic" w:hAnsi="Simplified Arabic" w:cs="Simplified Arabic"/>
          <w:sz w:val="28"/>
          <w:szCs w:val="28"/>
          <w:rtl/>
        </w:rPr>
        <w:t>تعتمد الدراسة على المنهج الوصفي التحليلي باستخدام الاستبانة كأداة رئيسة لجمع البيانات، مما يجعل النتائج مرتبطة بمدى دقة استجابات أفراد العينة</w:t>
      </w:r>
      <w:r w:rsidRPr="0066690D">
        <w:rPr>
          <w:rFonts w:ascii="Simplified Arabic" w:hAnsi="Simplified Arabic" w:cs="Simplified Arabic"/>
          <w:sz w:val="28"/>
          <w:szCs w:val="28"/>
        </w:rPr>
        <w:t>.</w:t>
      </w:r>
    </w:p>
    <w:p w14:paraId="254EC98E" w14:textId="22AD606B" w:rsidR="00A74F76" w:rsidRDefault="00A74F76" w:rsidP="00D22171">
      <w:pPr>
        <w:rPr>
          <w:rFonts w:ascii="Sakkal Majalla" w:hAnsi="Sakkal Majalla" w:cs="Sakkal Majalla"/>
          <w:sz w:val="28"/>
          <w:szCs w:val="28"/>
          <w:u w:val="single"/>
          <w:rtl/>
        </w:rPr>
      </w:pPr>
    </w:p>
    <w:p w14:paraId="7058AD6E" w14:textId="15023685" w:rsidR="000F71AC" w:rsidRDefault="000F71AC" w:rsidP="00D22171">
      <w:pPr>
        <w:rPr>
          <w:rFonts w:ascii="Sakkal Majalla" w:hAnsi="Sakkal Majalla" w:cs="Sakkal Majalla"/>
          <w:sz w:val="28"/>
          <w:szCs w:val="28"/>
          <w:u w:val="single"/>
          <w:rtl/>
        </w:rPr>
      </w:pPr>
    </w:p>
    <w:p w14:paraId="10F252FA" w14:textId="3B65FF50" w:rsidR="000F71AC" w:rsidRDefault="000F71AC" w:rsidP="00D22171">
      <w:pPr>
        <w:rPr>
          <w:rFonts w:ascii="Sakkal Majalla" w:hAnsi="Sakkal Majalla" w:cs="Sakkal Majalla"/>
          <w:sz w:val="28"/>
          <w:szCs w:val="28"/>
          <w:u w:val="single"/>
          <w:rtl/>
        </w:rPr>
      </w:pPr>
    </w:p>
    <w:p w14:paraId="53006645" w14:textId="51604679" w:rsidR="000F71AC" w:rsidRDefault="000F71AC" w:rsidP="00D22171">
      <w:pPr>
        <w:rPr>
          <w:rFonts w:ascii="Sakkal Majalla" w:hAnsi="Sakkal Majalla" w:cs="Sakkal Majalla"/>
          <w:sz w:val="28"/>
          <w:szCs w:val="28"/>
          <w:u w:val="single"/>
          <w:rtl/>
        </w:rPr>
      </w:pPr>
    </w:p>
    <w:p w14:paraId="27C3AD9D" w14:textId="77777777" w:rsidR="000F71AC" w:rsidRDefault="000F71AC"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6C886887" w:rsidR="00A74F76" w:rsidRPr="00D32329" w:rsidRDefault="00A74F76" w:rsidP="006002BB">
      <w:pPr>
        <w:spacing w:before="240"/>
        <w:rPr>
          <w:rFonts w:ascii="Sakkal Majalla" w:hAnsi="Sakkal Majalla" w:cs="Sakkal Majalla"/>
          <w:b/>
          <w:bCs/>
          <w:sz w:val="32"/>
          <w:szCs w:val="32"/>
          <w:u w:val="single"/>
          <w:rtl/>
        </w:rPr>
      </w:pPr>
      <w:r w:rsidRPr="00D32329">
        <w:rPr>
          <w:rFonts w:ascii="Sakkal Majalla" w:hAnsi="Sakkal Majalla" w:cs="Sakkal Majalla" w:hint="cs"/>
          <w:b/>
          <w:bCs/>
          <w:sz w:val="32"/>
          <w:szCs w:val="32"/>
          <w:u w:val="single"/>
          <w:rtl/>
        </w:rPr>
        <w:lastRenderedPageBreak/>
        <w:t>المراجع:</w:t>
      </w:r>
      <w:r w:rsidRPr="00D32329">
        <w:rPr>
          <w:rFonts w:ascii="Sakkal Majalla" w:hAnsi="Sakkal Majalla" w:cs="Sakkal Majalla"/>
          <w:b/>
          <w:bCs/>
          <w:sz w:val="32"/>
          <w:szCs w:val="32"/>
          <w:u w:val="single"/>
          <w:rtl/>
        </w:rPr>
        <w:t xml:space="preserve"> </w:t>
      </w:r>
    </w:p>
    <w:p w14:paraId="7D57688E"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r w:rsidRPr="00055144">
        <w:rPr>
          <w:rFonts w:asciiTheme="majorBidi" w:hAnsiTheme="majorBidi" w:cstheme="majorBidi"/>
          <w:sz w:val="28"/>
          <w:szCs w:val="28"/>
        </w:rPr>
        <w:t xml:space="preserve">Allen, T., Murray, K. A., </w:t>
      </w:r>
      <w:proofErr w:type="spellStart"/>
      <w:r w:rsidRPr="00055144">
        <w:rPr>
          <w:rFonts w:asciiTheme="majorBidi" w:hAnsiTheme="majorBidi" w:cstheme="majorBidi"/>
          <w:sz w:val="28"/>
          <w:szCs w:val="28"/>
        </w:rPr>
        <w:t>Zambrana-Torrelio</w:t>
      </w:r>
      <w:proofErr w:type="spellEnd"/>
      <w:r w:rsidRPr="00055144">
        <w:rPr>
          <w:rFonts w:asciiTheme="majorBidi" w:hAnsiTheme="majorBidi" w:cstheme="majorBidi"/>
          <w:sz w:val="28"/>
          <w:szCs w:val="28"/>
        </w:rPr>
        <w:t xml:space="preserve">, C., Morse, S. S., </w:t>
      </w:r>
      <w:proofErr w:type="spellStart"/>
      <w:r w:rsidRPr="00055144">
        <w:rPr>
          <w:rFonts w:asciiTheme="majorBidi" w:hAnsiTheme="majorBidi" w:cstheme="majorBidi"/>
          <w:sz w:val="28"/>
          <w:szCs w:val="28"/>
        </w:rPr>
        <w:t>Rondinini</w:t>
      </w:r>
      <w:proofErr w:type="spellEnd"/>
      <w:r w:rsidRPr="00055144">
        <w:rPr>
          <w:rFonts w:asciiTheme="majorBidi" w:hAnsiTheme="majorBidi" w:cstheme="majorBidi"/>
          <w:sz w:val="28"/>
          <w:szCs w:val="28"/>
        </w:rPr>
        <w:t xml:space="preserve">, C., Di Marco, M., </w:t>
      </w:r>
      <w:proofErr w:type="spellStart"/>
      <w:r w:rsidRPr="00055144">
        <w:rPr>
          <w:rFonts w:asciiTheme="majorBidi" w:hAnsiTheme="majorBidi" w:cstheme="majorBidi"/>
          <w:sz w:val="28"/>
          <w:szCs w:val="28"/>
        </w:rPr>
        <w:t>Breit</w:t>
      </w:r>
      <w:proofErr w:type="spellEnd"/>
      <w:r w:rsidRPr="00055144">
        <w:rPr>
          <w:rFonts w:asciiTheme="majorBidi" w:hAnsiTheme="majorBidi" w:cstheme="majorBidi"/>
          <w:sz w:val="28"/>
          <w:szCs w:val="28"/>
        </w:rPr>
        <w:t xml:space="preserve">, N., </w:t>
      </w:r>
      <w:proofErr w:type="spellStart"/>
      <w:r w:rsidRPr="00055144">
        <w:rPr>
          <w:rFonts w:asciiTheme="majorBidi" w:hAnsiTheme="majorBidi" w:cstheme="majorBidi"/>
          <w:sz w:val="28"/>
          <w:szCs w:val="28"/>
        </w:rPr>
        <w:t>Olival</w:t>
      </w:r>
      <w:proofErr w:type="spellEnd"/>
      <w:r w:rsidRPr="00055144">
        <w:rPr>
          <w:rFonts w:asciiTheme="majorBidi" w:hAnsiTheme="majorBidi" w:cstheme="majorBidi"/>
          <w:sz w:val="28"/>
          <w:szCs w:val="28"/>
        </w:rPr>
        <w:t xml:space="preserve">, K. J., &amp; </w:t>
      </w:r>
      <w:proofErr w:type="spellStart"/>
      <w:r w:rsidRPr="00055144">
        <w:rPr>
          <w:rFonts w:asciiTheme="majorBidi" w:hAnsiTheme="majorBidi" w:cstheme="majorBidi"/>
          <w:sz w:val="28"/>
          <w:szCs w:val="28"/>
        </w:rPr>
        <w:t>Daszak</w:t>
      </w:r>
      <w:proofErr w:type="spellEnd"/>
      <w:r w:rsidRPr="00055144">
        <w:rPr>
          <w:rFonts w:asciiTheme="majorBidi" w:hAnsiTheme="majorBidi" w:cstheme="majorBidi"/>
          <w:sz w:val="28"/>
          <w:szCs w:val="28"/>
        </w:rPr>
        <w:t xml:space="preserve">, P. (2017). Global Hotspots and Correlates of Emerging Zoonotic Diseases. </w:t>
      </w:r>
      <w:r w:rsidRPr="00055144">
        <w:rPr>
          <w:rFonts w:asciiTheme="majorBidi" w:hAnsiTheme="majorBidi" w:cstheme="majorBidi"/>
          <w:i/>
          <w:iCs/>
          <w:sz w:val="28"/>
          <w:szCs w:val="28"/>
        </w:rPr>
        <w:t>Nature Communications</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8</w:t>
      </w:r>
      <w:r w:rsidRPr="00055144">
        <w:rPr>
          <w:rFonts w:asciiTheme="majorBidi" w:hAnsiTheme="majorBidi" w:cstheme="majorBidi"/>
          <w:sz w:val="28"/>
          <w:szCs w:val="28"/>
        </w:rPr>
        <w:t xml:space="preserve">(1), 1124. </w:t>
      </w:r>
      <w:hyperlink r:id="rId8" w:history="1">
        <w:r w:rsidRPr="00055144">
          <w:rPr>
            <w:rStyle w:val="Hyperlink"/>
            <w:rFonts w:asciiTheme="majorBidi" w:hAnsiTheme="majorBidi" w:cstheme="majorBidi"/>
            <w:sz w:val="28"/>
            <w:szCs w:val="28"/>
            <w:u w:val="none"/>
          </w:rPr>
          <w:t>https://doi.org/10.1038/s41467-017-00923-8</w:t>
        </w:r>
      </w:hyperlink>
    </w:p>
    <w:p w14:paraId="1D5308E6"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proofErr w:type="spellStart"/>
      <w:r w:rsidRPr="00055144">
        <w:rPr>
          <w:rFonts w:asciiTheme="majorBidi" w:hAnsiTheme="majorBidi" w:cstheme="majorBidi"/>
          <w:sz w:val="28"/>
          <w:szCs w:val="28"/>
        </w:rPr>
        <w:t>Aven</w:t>
      </w:r>
      <w:proofErr w:type="spellEnd"/>
      <w:r w:rsidRPr="00055144">
        <w:rPr>
          <w:rFonts w:asciiTheme="majorBidi" w:hAnsiTheme="majorBidi" w:cstheme="majorBidi"/>
          <w:sz w:val="28"/>
          <w:szCs w:val="28"/>
        </w:rPr>
        <w:t xml:space="preserve">, T. (2016). Risk assessment and risk management: Review of recent advances on their foundation. </w:t>
      </w:r>
      <w:r w:rsidRPr="00055144">
        <w:rPr>
          <w:rFonts w:asciiTheme="majorBidi" w:hAnsiTheme="majorBidi" w:cstheme="majorBidi"/>
          <w:i/>
          <w:iCs/>
          <w:sz w:val="28"/>
          <w:szCs w:val="28"/>
        </w:rPr>
        <w:t>European Journal of Operational Research</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253</w:t>
      </w:r>
      <w:r w:rsidRPr="00055144">
        <w:rPr>
          <w:rFonts w:asciiTheme="majorBidi" w:hAnsiTheme="majorBidi" w:cstheme="majorBidi"/>
          <w:sz w:val="28"/>
          <w:szCs w:val="28"/>
        </w:rPr>
        <w:t xml:space="preserve">(1), 1–13. Science Direct. </w:t>
      </w:r>
      <w:hyperlink r:id="rId9" w:history="1">
        <w:r w:rsidRPr="00055144">
          <w:rPr>
            <w:rStyle w:val="Hyperlink"/>
            <w:rFonts w:asciiTheme="majorBidi" w:hAnsiTheme="majorBidi" w:cstheme="majorBidi"/>
            <w:sz w:val="28"/>
            <w:szCs w:val="28"/>
            <w:u w:val="none"/>
          </w:rPr>
          <w:t>https://doi.org/10.1016/j.ejor.2015.12.023</w:t>
        </w:r>
      </w:hyperlink>
    </w:p>
    <w:p w14:paraId="15891608"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proofErr w:type="spellStart"/>
      <w:r w:rsidRPr="00055144">
        <w:rPr>
          <w:rFonts w:asciiTheme="majorBidi" w:hAnsiTheme="majorBidi" w:cstheme="majorBidi"/>
          <w:sz w:val="28"/>
          <w:szCs w:val="28"/>
        </w:rPr>
        <w:t>Aven</w:t>
      </w:r>
      <w:proofErr w:type="spellEnd"/>
      <w:r w:rsidRPr="00055144">
        <w:rPr>
          <w:rFonts w:asciiTheme="majorBidi" w:hAnsiTheme="majorBidi" w:cstheme="majorBidi"/>
          <w:sz w:val="28"/>
          <w:szCs w:val="28"/>
        </w:rPr>
        <w:t xml:space="preserve">, T., &amp; </w:t>
      </w:r>
      <w:proofErr w:type="spellStart"/>
      <w:r w:rsidRPr="00055144">
        <w:rPr>
          <w:rFonts w:asciiTheme="majorBidi" w:hAnsiTheme="majorBidi" w:cstheme="majorBidi"/>
          <w:sz w:val="28"/>
          <w:szCs w:val="28"/>
        </w:rPr>
        <w:t>Renn</w:t>
      </w:r>
      <w:proofErr w:type="spellEnd"/>
      <w:r w:rsidRPr="00055144">
        <w:rPr>
          <w:rFonts w:asciiTheme="majorBidi" w:hAnsiTheme="majorBidi" w:cstheme="majorBidi"/>
          <w:sz w:val="28"/>
          <w:szCs w:val="28"/>
        </w:rPr>
        <w:t xml:space="preserve">, O. (2018). Improving government policy on risk: Eight key principles. </w:t>
      </w:r>
      <w:r w:rsidRPr="00055144">
        <w:rPr>
          <w:rFonts w:asciiTheme="majorBidi" w:hAnsiTheme="majorBidi" w:cstheme="majorBidi"/>
          <w:i/>
          <w:iCs/>
          <w:sz w:val="28"/>
          <w:szCs w:val="28"/>
        </w:rPr>
        <w:t>Reliability Engineering &amp; System Safety</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176</w:t>
      </w:r>
      <w:r w:rsidRPr="00055144">
        <w:rPr>
          <w:rFonts w:asciiTheme="majorBidi" w:hAnsiTheme="majorBidi" w:cstheme="majorBidi"/>
          <w:sz w:val="28"/>
          <w:szCs w:val="28"/>
        </w:rPr>
        <w:t xml:space="preserve">, 230–241. </w:t>
      </w:r>
      <w:hyperlink r:id="rId10" w:history="1">
        <w:r w:rsidRPr="00055144">
          <w:rPr>
            <w:rStyle w:val="Hyperlink"/>
            <w:rFonts w:asciiTheme="majorBidi" w:hAnsiTheme="majorBidi" w:cstheme="majorBidi"/>
            <w:sz w:val="28"/>
            <w:szCs w:val="28"/>
            <w:u w:val="none"/>
          </w:rPr>
          <w:t>https://doi.org/10.1016/j.ress.2018.04.018</w:t>
        </w:r>
      </w:hyperlink>
    </w:p>
    <w:p w14:paraId="471EE668"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proofErr w:type="spellStart"/>
      <w:r w:rsidRPr="00055144">
        <w:rPr>
          <w:rFonts w:asciiTheme="majorBidi" w:hAnsiTheme="majorBidi" w:cstheme="majorBidi"/>
          <w:sz w:val="28"/>
          <w:szCs w:val="28"/>
        </w:rPr>
        <w:t>Brustbauer</w:t>
      </w:r>
      <w:proofErr w:type="spellEnd"/>
      <w:r w:rsidRPr="00055144">
        <w:rPr>
          <w:rFonts w:asciiTheme="majorBidi" w:hAnsiTheme="majorBidi" w:cstheme="majorBidi"/>
          <w:sz w:val="28"/>
          <w:szCs w:val="28"/>
        </w:rPr>
        <w:t xml:space="preserve">, J. (2014). Enterprise risk management in </w:t>
      </w:r>
      <w:proofErr w:type="spellStart"/>
      <w:r w:rsidRPr="00055144">
        <w:rPr>
          <w:rFonts w:asciiTheme="majorBidi" w:hAnsiTheme="majorBidi" w:cstheme="majorBidi"/>
          <w:sz w:val="28"/>
          <w:szCs w:val="28"/>
        </w:rPr>
        <w:t>smes</w:t>
      </w:r>
      <w:proofErr w:type="spellEnd"/>
      <w:r w:rsidRPr="00055144">
        <w:rPr>
          <w:rFonts w:asciiTheme="majorBidi" w:hAnsiTheme="majorBidi" w:cstheme="majorBidi"/>
          <w:sz w:val="28"/>
          <w:szCs w:val="28"/>
        </w:rPr>
        <w:t xml:space="preserve">: Towards a structural model. </w:t>
      </w:r>
      <w:r w:rsidRPr="00055144">
        <w:rPr>
          <w:rFonts w:asciiTheme="majorBidi" w:hAnsiTheme="majorBidi" w:cstheme="majorBidi"/>
          <w:i/>
          <w:iCs/>
          <w:sz w:val="28"/>
          <w:szCs w:val="28"/>
        </w:rPr>
        <w:t>International Small Business Journal: Researching Entrepreneurship</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34</w:t>
      </w:r>
      <w:r w:rsidRPr="00055144">
        <w:rPr>
          <w:rFonts w:asciiTheme="majorBidi" w:hAnsiTheme="majorBidi" w:cstheme="majorBidi"/>
          <w:sz w:val="28"/>
          <w:szCs w:val="28"/>
        </w:rPr>
        <w:t xml:space="preserve">(1), 70–85. </w:t>
      </w:r>
      <w:hyperlink r:id="rId11" w:history="1">
        <w:r w:rsidRPr="00055144">
          <w:rPr>
            <w:rStyle w:val="Hyperlink"/>
            <w:rFonts w:asciiTheme="majorBidi" w:hAnsiTheme="majorBidi" w:cstheme="majorBidi"/>
            <w:sz w:val="28"/>
            <w:szCs w:val="28"/>
            <w:u w:val="none"/>
          </w:rPr>
          <w:t>https://doi.org/10.1177/0266242614542853</w:t>
        </w:r>
      </w:hyperlink>
    </w:p>
    <w:p w14:paraId="0779F1C9"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proofErr w:type="spellStart"/>
      <w:r w:rsidRPr="00055144">
        <w:rPr>
          <w:rFonts w:asciiTheme="majorBidi" w:hAnsiTheme="majorBidi" w:cstheme="majorBidi"/>
          <w:sz w:val="28"/>
          <w:szCs w:val="28"/>
        </w:rPr>
        <w:t>Destoumieux</w:t>
      </w:r>
      <w:proofErr w:type="spellEnd"/>
      <w:r w:rsidRPr="00055144">
        <w:rPr>
          <w:rFonts w:asciiTheme="majorBidi" w:hAnsiTheme="majorBidi" w:cstheme="majorBidi"/>
          <w:sz w:val="28"/>
          <w:szCs w:val="28"/>
        </w:rPr>
        <w:t xml:space="preserve">-Garzón, D., </w:t>
      </w:r>
      <w:proofErr w:type="spellStart"/>
      <w:r w:rsidRPr="00055144">
        <w:rPr>
          <w:rFonts w:asciiTheme="majorBidi" w:hAnsiTheme="majorBidi" w:cstheme="majorBidi"/>
          <w:sz w:val="28"/>
          <w:szCs w:val="28"/>
        </w:rPr>
        <w:t>Mavingui</w:t>
      </w:r>
      <w:proofErr w:type="spellEnd"/>
      <w:r w:rsidRPr="00055144">
        <w:rPr>
          <w:rFonts w:asciiTheme="majorBidi" w:hAnsiTheme="majorBidi" w:cstheme="majorBidi"/>
          <w:sz w:val="28"/>
          <w:szCs w:val="28"/>
        </w:rPr>
        <w:t xml:space="preserve">, P., </w:t>
      </w:r>
      <w:proofErr w:type="spellStart"/>
      <w:r w:rsidRPr="00055144">
        <w:rPr>
          <w:rFonts w:asciiTheme="majorBidi" w:hAnsiTheme="majorBidi" w:cstheme="majorBidi"/>
          <w:sz w:val="28"/>
          <w:szCs w:val="28"/>
        </w:rPr>
        <w:t>Boetsch</w:t>
      </w:r>
      <w:proofErr w:type="spellEnd"/>
      <w:r w:rsidRPr="00055144">
        <w:rPr>
          <w:rFonts w:asciiTheme="majorBidi" w:hAnsiTheme="majorBidi" w:cstheme="majorBidi"/>
          <w:sz w:val="28"/>
          <w:szCs w:val="28"/>
        </w:rPr>
        <w:t xml:space="preserve">, G., </w:t>
      </w:r>
      <w:proofErr w:type="spellStart"/>
      <w:r w:rsidRPr="00055144">
        <w:rPr>
          <w:rFonts w:asciiTheme="majorBidi" w:hAnsiTheme="majorBidi" w:cstheme="majorBidi"/>
          <w:sz w:val="28"/>
          <w:szCs w:val="28"/>
        </w:rPr>
        <w:t>Boissier</w:t>
      </w:r>
      <w:proofErr w:type="spellEnd"/>
      <w:r w:rsidRPr="00055144">
        <w:rPr>
          <w:rFonts w:asciiTheme="majorBidi" w:hAnsiTheme="majorBidi" w:cstheme="majorBidi"/>
          <w:sz w:val="28"/>
          <w:szCs w:val="28"/>
        </w:rPr>
        <w:t xml:space="preserve">, J., </w:t>
      </w:r>
      <w:proofErr w:type="spellStart"/>
      <w:r w:rsidRPr="00055144">
        <w:rPr>
          <w:rFonts w:asciiTheme="majorBidi" w:hAnsiTheme="majorBidi" w:cstheme="majorBidi"/>
          <w:sz w:val="28"/>
          <w:szCs w:val="28"/>
        </w:rPr>
        <w:t>Darriet</w:t>
      </w:r>
      <w:proofErr w:type="spellEnd"/>
      <w:r w:rsidRPr="00055144">
        <w:rPr>
          <w:rFonts w:asciiTheme="majorBidi" w:hAnsiTheme="majorBidi" w:cstheme="majorBidi"/>
          <w:sz w:val="28"/>
          <w:szCs w:val="28"/>
        </w:rPr>
        <w:t xml:space="preserve">, F., </w:t>
      </w:r>
      <w:proofErr w:type="spellStart"/>
      <w:r w:rsidRPr="00055144">
        <w:rPr>
          <w:rFonts w:asciiTheme="majorBidi" w:hAnsiTheme="majorBidi" w:cstheme="majorBidi"/>
          <w:sz w:val="28"/>
          <w:szCs w:val="28"/>
        </w:rPr>
        <w:t>Duboz</w:t>
      </w:r>
      <w:proofErr w:type="spellEnd"/>
      <w:r w:rsidRPr="00055144">
        <w:rPr>
          <w:rFonts w:asciiTheme="majorBidi" w:hAnsiTheme="majorBidi" w:cstheme="majorBidi"/>
          <w:sz w:val="28"/>
          <w:szCs w:val="28"/>
        </w:rPr>
        <w:t xml:space="preserve">, P., Fritsch, C., Giraudoux, P., Le Roux, F., </w:t>
      </w:r>
      <w:proofErr w:type="spellStart"/>
      <w:r w:rsidRPr="00055144">
        <w:rPr>
          <w:rFonts w:asciiTheme="majorBidi" w:hAnsiTheme="majorBidi" w:cstheme="majorBidi"/>
          <w:sz w:val="28"/>
          <w:szCs w:val="28"/>
        </w:rPr>
        <w:t>Morand</w:t>
      </w:r>
      <w:proofErr w:type="spellEnd"/>
      <w:r w:rsidRPr="00055144">
        <w:rPr>
          <w:rFonts w:asciiTheme="majorBidi" w:hAnsiTheme="majorBidi" w:cstheme="majorBidi"/>
          <w:sz w:val="28"/>
          <w:szCs w:val="28"/>
        </w:rPr>
        <w:t xml:space="preserve">, S., Paillard, C., </w:t>
      </w:r>
      <w:proofErr w:type="spellStart"/>
      <w:r w:rsidRPr="00055144">
        <w:rPr>
          <w:rFonts w:asciiTheme="majorBidi" w:hAnsiTheme="majorBidi" w:cstheme="majorBidi"/>
          <w:sz w:val="28"/>
          <w:szCs w:val="28"/>
        </w:rPr>
        <w:t>Pontier</w:t>
      </w:r>
      <w:proofErr w:type="spellEnd"/>
      <w:r w:rsidRPr="00055144">
        <w:rPr>
          <w:rFonts w:asciiTheme="majorBidi" w:hAnsiTheme="majorBidi" w:cstheme="majorBidi"/>
          <w:sz w:val="28"/>
          <w:szCs w:val="28"/>
        </w:rPr>
        <w:t xml:space="preserve">, D., Sueur, C., &amp; </w:t>
      </w:r>
      <w:proofErr w:type="spellStart"/>
      <w:r w:rsidRPr="00055144">
        <w:rPr>
          <w:rFonts w:asciiTheme="majorBidi" w:hAnsiTheme="majorBidi" w:cstheme="majorBidi"/>
          <w:sz w:val="28"/>
          <w:szCs w:val="28"/>
        </w:rPr>
        <w:t>Voituron</w:t>
      </w:r>
      <w:proofErr w:type="spellEnd"/>
      <w:r w:rsidRPr="00055144">
        <w:rPr>
          <w:rFonts w:asciiTheme="majorBidi" w:hAnsiTheme="majorBidi" w:cstheme="majorBidi"/>
          <w:sz w:val="28"/>
          <w:szCs w:val="28"/>
        </w:rPr>
        <w:t xml:space="preserve">, Y. (2018). The One Health Concept: 10 Years Old and a Long Road Ahead. </w:t>
      </w:r>
      <w:r w:rsidRPr="00055144">
        <w:rPr>
          <w:rFonts w:asciiTheme="majorBidi" w:hAnsiTheme="majorBidi" w:cstheme="majorBidi"/>
          <w:i/>
          <w:iCs/>
          <w:sz w:val="28"/>
          <w:szCs w:val="28"/>
        </w:rPr>
        <w:t>Frontiers in Veterinary Science</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5</w:t>
      </w:r>
      <w:r w:rsidRPr="00055144">
        <w:rPr>
          <w:rFonts w:asciiTheme="majorBidi" w:hAnsiTheme="majorBidi" w:cstheme="majorBidi"/>
          <w:sz w:val="28"/>
          <w:szCs w:val="28"/>
        </w:rPr>
        <w:t xml:space="preserve">(14). </w:t>
      </w:r>
      <w:hyperlink r:id="rId12" w:history="1">
        <w:r w:rsidRPr="00055144">
          <w:rPr>
            <w:rStyle w:val="Hyperlink"/>
            <w:rFonts w:asciiTheme="majorBidi" w:hAnsiTheme="majorBidi" w:cstheme="majorBidi"/>
            <w:sz w:val="28"/>
            <w:szCs w:val="28"/>
            <w:u w:val="none"/>
          </w:rPr>
          <w:t>https://doi.org/10.3389/fvets.2018.00014</w:t>
        </w:r>
      </w:hyperlink>
    </w:p>
    <w:p w14:paraId="6C3D62DD"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proofErr w:type="spellStart"/>
      <w:r w:rsidRPr="00055144">
        <w:rPr>
          <w:rFonts w:asciiTheme="majorBidi" w:hAnsiTheme="majorBidi" w:cstheme="majorBidi"/>
          <w:sz w:val="28"/>
          <w:szCs w:val="28"/>
        </w:rPr>
        <w:t>Ecke</w:t>
      </w:r>
      <w:proofErr w:type="spellEnd"/>
      <w:r w:rsidRPr="00055144">
        <w:rPr>
          <w:rFonts w:asciiTheme="majorBidi" w:hAnsiTheme="majorBidi" w:cstheme="majorBidi"/>
          <w:sz w:val="28"/>
          <w:szCs w:val="28"/>
        </w:rPr>
        <w:t xml:space="preserve">, F., </w:t>
      </w:r>
      <w:proofErr w:type="spellStart"/>
      <w:r w:rsidRPr="00055144">
        <w:rPr>
          <w:rFonts w:asciiTheme="majorBidi" w:hAnsiTheme="majorBidi" w:cstheme="majorBidi"/>
          <w:sz w:val="28"/>
          <w:szCs w:val="28"/>
        </w:rPr>
        <w:t>Semenza</w:t>
      </w:r>
      <w:proofErr w:type="spellEnd"/>
      <w:r w:rsidRPr="00055144">
        <w:rPr>
          <w:rFonts w:asciiTheme="majorBidi" w:hAnsiTheme="majorBidi" w:cstheme="majorBidi"/>
          <w:sz w:val="28"/>
          <w:szCs w:val="28"/>
        </w:rPr>
        <w:t xml:space="preserve">, J. C., Buzan, E., Costa, F., Giorgi, E., Guo, J., Kirkpatrick, L., Knauf, S., Yonas </w:t>
      </w:r>
      <w:proofErr w:type="spellStart"/>
      <w:r w:rsidRPr="00055144">
        <w:rPr>
          <w:rFonts w:asciiTheme="majorBidi" w:hAnsiTheme="majorBidi" w:cstheme="majorBidi"/>
          <w:sz w:val="28"/>
          <w:szCs w:val="28"/>
        </w:rPr>
        <w:t>Meheretu</w:t>
      </w:r>
      <w:proofErr w:type="spellEnd"/>
      <w:r w:rsidRPr="00055144">
        <w:rPr>
          <w:rFonts w:asciiTheme="majorBidi" w:hAnsiTheme="majorBidi" w:cstheme="majorBidi"/>
          <w:sz w:val="28"/>
          <w:szCs w:val="28"/>
        </w:rPr>
        <w:t xml:space="preserve">, Singh, N., Henrik </w:t>
      </w:r>
      <w:proofErr w:type="spellStart"/>
      <w:r w:rsidRPr="00055144">
        <w:rPr>
          <w:rFonts w:asciiTheme="majorBidi" w:hAnsiTheme="majorBidi" w:cstheme="majorBidi"/>
          <w:sz w:val="28"/>
          <w:szCs w:val="28"/>
        </w:rPr>
        <w:t>Sjödin</w:t>
      </w:r>
      <w:proofErr w:type="spellEnd"/>
      <w:r w:rsidRPr="00055144">
        <w:rPr>
          <w:rFonts w:asciiTheme="majorBidi" w:hAnsiTheme="majorBidi" w:cstheme="majorBidi"/>
          <w:sz w:val="28"/>
          <w:szCs w:val="28"/>
        </w:rPr>
        <w:t xml:space="preserve">, Timperley, M., </w:t>
      </w:r>
      <w:proofErr w:type="spellStart"/>
      <w:r w:rsidRPr="00055144">
        <w:rPr>
          <w:rFonts w:asciiTheme="majorBidi" w:hAnsiTheme="majorBidi" w:cstheme="majorBidi"/>
          <w:sz w:val="28"/>
          <w:szCs w:val="28"/>
        </w:rPr>
        <w:t>Treskova</w:t>
      </w:r>
      <w:proofErr w:type="spellEnd"/>
      <w:r w:rsidRPr="00055144">
        <w:rPr>
          <w:rFonts w:asciiTheme="majorBidi" w:hAnsiTheme="majorBidi" w:cstheme="majorBidi"/>
          <w:sz w:val="28"/>
          <w:szCs w:val="28"/>
        </w:rPr>
        <w:t xml:space="preserve">, M., Ulrich, R. G., </w:t>
      </w:r>
      <w:proofErr w:type="spellStart"/>
      <w:r w:rsidRPr="00055144">
        <w:rPr>
          <w:rFonts w:asciiTheme="majorBidi" w:hAnsiTheme="majorBidi" w:cstheme="majorBidi"/>
          <w:sz w:val="28"/>
          <w:szCs w:val="28"/>
        </w:rPr>
        <w:t>Caio</w:t>
      </w:r>
      <w:proofErr w:type="spellEnd"/>
      <w:r w:rsidRPr="00055144">
        <w:rPr>
          <w:rFonts w:asciiTheme="majorBidi" w:hAnsiTheme="majorBidi" w:cstheme="majorBidi"/>
          <w:sz w:val="28"/>
          <w:szCs w:val="28"/>
        </w:rPr>
        <w:t xml:space="preserve"> Graco </w:t>
      </w:r>
      <w:proofErr w:type="spellStart"/>
      <w:r w:rsidRPr="00055144">
        <w:rPr>
          <w:rFonts w:asciiTheme="majorBidi" w:hAnsiTheme="majorBidi" w:cstheme="majorBidi"/>
          <w:sz w:val="28"/>
          <w:szCs w:val="28"/>
        </w:rPr>
        <w:t>Zeppelini</w:t>
      </w:r>
      <w:proofErr w:type="spellEnd"/>
      <w:r w:rsidRPr="00055144">
        <w:rPr>
          <w:rFonts w:asciiTheme="majorBidi" w:hAnsiTheme="majorBidi" w:cstheme="majorBidi"/>
          <w:sz w:val="28"/>
          <w:szCs w:val="28"/>
        </w:rPr>
        <w:t xml:space="preserve">, &amp; </w:t>
      </w:r>
      <w:proofErr w:type="spellStart"/>
      <w:r w:rsidRPr="00055144">
        <w:rPr>
          <w:rFonts w:asciiTheme="majorBidi" w:hAnsiTheme="majorBidi" w:cstheme="majorBidi"/>
          <w:sz w:val="28"/>
          <w:szCs w:val="28"/>
        </w:rPr>
        <w:t>Joacim</w:t>
      </w:r>
      <w:proofErr w:type="spellEnd"/>
      <w:r w:rsidRPr="00055144">
        <w:rPr>
          <w:rFonts w:asciiTheme="majorBidi" w:hAnsiTheme="majorBidi" w:cstheme="majorBidi"/>
          <w:sz w:val="28"/>
          <w:szCs w:val="28"/>
        </w:rPr>
        <w:t xml:space="preserve"> </w:t>
      </w:r>
      <w:proofErr w:type="spellStart"/>
      <w:r w:rsidRPr="00055144">
        <w:rPr>
          <w:rFonts w:asciiTheme="majorBidi" w:hAnsiTheme="majorBidi" w:cstheme="majorBidi"/>
          <w:sz w:val="28"/>
          <w:szCs w:val="28"/>
        </w:rPr>
        <w:t>Rocklöv</w:t>
      </w:r>
      <w:proofErr w:type="spellEnd"/>
      <w:r w:rsidRPr="00055144">
        <w:rPr>
          <w:rFonts w:asciiTheme="majorBidi" w:hAnsiTheme="majorBidi" w:cstheme="majorBidi"/>
          <w:sz w:val="28"/>
          <w:szCs w:val="28"/>
        </w:rPr>
        <w:t xml:space="preserve">. (2025). Adaptive ecosystem restoration to mitigate zoonotic risks. </w:t>
      </w:r>
      <w:r w:rsidRPr="00055144">
        <w:rPr>
          <w:rFonts w:asciiTheme="majorBidi" w:hAnsiTheme="majorBidi" w:cstheme="majorBidi"/>
          <w:i/>
          <w:iCs/>
          <w:sz w:val="28"/>
          <w:szCs w:val="28"/>
        </w:rPr>
        <w:t>Nature Ecology &amp; Evolution</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9</w:t>
      </w:r>
      <w:r w:rsidRPr="00055144">
        <w:rPr>
          <w:rFonts w:asciiTheme="majorBidi" w:hAnsiTheme="majorBidi" w:cstheme="majorBidi"/>
          <w:sz w:val="28"/>
          <w:szCs w:val="28"/>
        </w:rPr>
        <w:t xml:space="preserve">(11), 1979–1988. </w:t>
      </w:r>
      <w:hyperlink r:id="rId13" w:history="1">
        <w:r w:rsidRPr="00055144">
          <w:rPr>
            <w:rStyle w:val="Hyperlink"/>
            <w:rFonts w:asciiTheme="majorBidi" w:hAnsiTheme="majorBidi" w:cstheme="majorBidi"/>
            <w:sz w:val="28"/>
            <w:szCs w:val="28"/>
            <w:u w:val="none"/>
          </w:rPr>
          <w:t>https://doi.org/10.1038/s41559-025-02869-3</w:t>
        </w:r>
      </w:hyperlink>
    </w:p>
    <w:p w14:paraId="0A06B6FE"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r w:rsidRPr="00055144">
        <w:rPr>
          <w:rFonts w:asciiTheme="majorBidi" w:hAnsiTheme="majorBidi" w:cstheme="majorBidi"/>
          <w:sz w:val="28"/>
          <w:szCs w:val="28"/>
        </w:rPr>
        <w:lastRenderedPageBreak/>
        <w:t xml:space="preserve">Farrell, M., &amp; Gallagher, R. (2014). The valuation implications of enterprise risk management maturity. </w:t>
      </w:r>
      <w:r w:rsidRPr="00055144">
        <w:rPr>
          <w:rFonts w:asciiTheme="majorBidi" w:hAnsiTheme="majorBidi" w:cstheme="majorBidi"/>
          <w:i/>
          <w:iCs/>
          <w:sz w:val="28"/>
          <w:szCs w:val="28"/>
        </w:rPr>
        <w:t>Journal of Risk and Insurance</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82</w:t>
      </w:r>
      <w:r w:rsidRPr="00055144">
        <w:rPr>
          <w:rFonts w:asciiTheme="majorBidi" w:hAnsiTheme="majorBidi" w:cstheme="majorBidi"/>
          <w:sz w:val="28"/>
          <w:szCs w:val="28"/>
        </w:rPr>
        <w:t xml:space="preserve">(3), 625–657. </w:t>
      </w:r>
      <w:hyperlink r:id="rId14" w:history="1">
        <w:r w:rsidRPr="00055144">
          <w:rPr>
            <w:rStyle w:val="Hyperlink"/>
            <w:rFonts w:asciiTheme="majorBidi" w:hAnsiTheme="majorBidi" w:cstheme="majorBidi"/>
            <w:sz w:val="28"/>
            <w:szCs w:val="28"/>
            <w:u w:val="none"/>
          </w:rPr>
          <w:t>https://doi.org/10.1111/jori.12035</w:t>
        </w:r>
      </w:hyperlink>
    </w:p>
    <w:p w14:paraId="3EA6E7BE"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r w:rsidRPr="00055144">
        <w:rPr>
          <w:rFonts w:asciiTheme="majorBidi" w:hAnsiTheme="majorBidi" w:cstheme="majorBidi"/>
          <w:sz w:val="28"/>
          <w:szCs w:val="28"/>
        </w:rPr>
        <w:t xml:space="preserve">Jones, K. E., Patel, N. G., Levy, M. A., </w:t>
      </w:r>
      <w:proofErr w:type="spellStart"/>
      <w:r w:rsidRPr="00055144">
        <w:rPr>
          <w:rFonts w:asciiTheme="majorBidi" w:hAnsiTheme="majorBidi" w:cstheme="majorBidi"/>
          <w:sz w:val="28"/>
          <w:szCs w:val="28"/>
        </w:rPr>
        <w:t>Storeygard</w:t>
      </w:r>
      <w:proofErr w:type="spellEnd"/>
      <w:r w:rsidRPr="00055144">
        <w:rPr>
          <w:rFonts w:asciiTheme="majorBidi" w:hAnsiTheme="majorBidi" w:cstheme="majorBidi"/>
          <w:sz w:val="28"/>
          <w:szCs w:val="28"/>
        </w:rPr>
        <w:t xml:space="preserve">, A., Balk, D., </w:t>
      </w:r>
      <w:proofErr w:type="spellStart"/>
      <w:r w:rsidRPr="00055144">
        <w:rPr>
          <w:rFonts w:asciiTheme="majorBidi" w:hAnsiTheme="majorBidi" w:cstheme="majorBidi"/>
          <w:sz w:val="28"/>
          <w:szCs w:val="28"/>
        </w:rPr>
        <w:t>Gittleman</w:t>
      </w:r>
      <w:proofErr w:type="spellEnd"/>
      <w:r w:rsidRPr="00055144">
        <w:rPr>
          <w:rFonts w:asciiTheme="majorBidi" w:hAnsiTheme="majorBidi" w:cstheme="majorBidi"/>
          <w:sz w:val="28"/>
          <w:szCs w:val="28"/>
        </w:rPr>
        <w:t xml:space="preserve">, J. L., &amp; </w:t>
      </w:r>
      <w:proofErr w:type="spellStart"/>
      <w:r w:rsidRPr="00055144">
        <w:rPr>
          <w:rFonts w:asciiTheme="majorBidi" w:hAnsiTheme="majorBidi" w:cstheme="majorBidi"/>
          <w:sz w:val="28"/>
          <w:szCs w:val="28"/>
        </w:rPr>
        <w:t>Daszak</w:t>
      </w:r>
      <w:proofErr w:type="spellEnd"/>
      <w:r w:rsidRPr="00055144">
        <w:rPr>
          <w:rFonts w:asciiTheme="majorBidi" w:hAnsiTheme="majorBidi" w:cstheme="majorBidi"/>
          <w:sz w:val="28"/>
          <w:szCs w:val="28"/>
        </w:rPr>
        <w:t xml:space="preserve">, P. (2008). Global Trends in Emerging Infectious Diseases. </w:t>
      </w:r>
      <w:r w:rsidRPr="00055144">
        <w:rPr>
          <w:rFonts w:asciiTheme="majorBidi" w:hAnsiTheme="majorBidi" w:cstheme="majorBidi"/>
          <w:i/>
          <w:iCs/>
          <w:sz w:val="28"/>
          <w:szCs w:val="28"/>
        </w:rPr>
        <w:t>Nature</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451</w:t>
      </w:r>
      <w:r w:rsidRPr="00055144">
        <w:rPr>
          <w:rFonts w:asciiTheme="majorBidi" w:hAnsiTheme="majorBidi" w:cstheme="majorBidi"/>
          <w:sz w:val="28"/>
          <w:szCs w:val="28"/>
        </w:rPr>
        <w:t xml:space="preserve">(7181), 990–993. </w:t>
      </w:r>
      <w:hyperlink r:id="rId15" w:history="1">
        <w:r w:rsidRPr="00055144">
          <w:rPr>
            <w:rStyle w:val="Hyperlink"/>
            <w:rFonts w:asciiTheme="majorBidi" w:hAnsiTheme="majorBidi" w:cstheme="majorBidi"/>
            <w:sz w:val="28"/>
            <w:szCs w:val="28"/>
            <w:u w:val="none"/>
          </w:rPr>
          <w:t>https://www.nature.com/articles/nature06536</w:t>
        </w:r>
      </w:hyperlink>
    </w:p>
    <w:p w14:paraId="2EFF467D" w14:textId="77777777" w:rsidR="0066690D" w:rsidRPr="00055144" w:rsidRDefault="00803849" w:rsidP="00055144">
      <w:pPr>
        <w:pStyle w:val="a5"/>
        <w:numPr>
          <w:ilvl w:val="0"/>
          <w:numId w:val="19"/>
        </w:numPr>
        <w:bidi w:val="0"/>
        <w:spacing w:before="240" w:line="360" w:lineRule="auto"/>
        <w:rPr>
          <w:rFonts w:asciiTheme="majorBidi" w:hAnsiTheme="majorBidi" w:cstheme="majorBidi"/>
          <w:sz w:val="28"/>
          <w:szCs w:val="28"/>
          <w:rtl/>
        </w:rPr>
      </w:pPr>
      <w:r w:rsidRPr="00055144">
        <w:rPr>
          <w:rFonts w:asciiTheme="majorBidi" w:hAnsiTheme="majorBidi" w:cstheme="majorBidi"/>
          <w:sz w:val="28"/>
          <w:szCs w:val="28"/>
        </w:rPr>
        <w:t xml:space="preserve">Mahama, H., </w:t>
      </w:r>
      <w:proofErr w:type="spellStart"/>
      <w:r w:rsidRPr="00055144">
        <w:rPr>
          <w:rFonts w:asciiTheme="majorBidi" w:hAnsiTheme="majorBidi" w:cstheme="majorBidi"/>
          <w:sz w:val="28"/>
          <w:szCs w:val="28"/>
        </w:rPr>
        <w:t>Elbashir</w:t>
      </w:r>
      <w:proofErr w:type="spellEnd"/>
      <w:r w:rsidRPr="00055144">
        <w:rPr>
          <w:rFonts w:asciiTheme="majorBidi" w:hAnsiTheme="majorBidi" w:cstheme="majorBidi"/>
          <w:sz w:val="28"/>
          <w:szCs w:val="28"/>
        </w:rPr>
        <w:t>, M., Sutton, S., &amp; Arnold, V. (2020). New development: Enabling enterprise risk management maturity in public sector organizations.</w:t>
      </w:r>
    </w:p>
    <w:p w14:paraId="283DAC46" w14:textId="77777777" w:rsidR="0066690D" w:rsidRPr="00055144" w:rsidRDefault="00803849" w:rsidP="00055144">
      <w:pPr>
        <w:pStyle w:val="a5"/>
        <w:numPr>
          <w:ilvl w:val="0"/>
          <w:numId w:val="19"/>
        </w:numPr>
        <w:bidi w:val="0"/>
        <w:spacing w:before="240" w:line="360" w:lineRule="auto"/>
        <w:rPr>
          <w:rFonts w:asciiTheme="majorBidi" w:hAnsiTheme="majorBidi" w:cstheme="majorBidi"/>
          <w:sz w:val="28"/>
          <w:szCs w:val="28"/>
          <w:rtl/>
        </w:rPr>
      </w:pPr>
      <w:r w:rsidRPr="00055144">
        <w:rPr>
          <w:rFonts w:asciiTheme="majorBidi" w:hAnsiTheme="majorBidi" w:cstheme="majorBidi"/>
          <w:i/>
          <w:iCs/>
          <w:sz w:val="28"/>
          <w:szCs w:val="28"/>
        </w:rPr>
        <w:t>Public Money &amp; Management</w:t>
      </w:r>
      <w:r w:rsidRPr="00055144">
        <w:rPr>
          <w:rFonts w:asciiTheme="majorBidi" w:hAnsiTheme="majorBidi" w:cstheme="majorBidi"/>
          <w:sz w:val="28"/>
          <w:szCs w:val="28"/>
        </w:rPr>
        <w:t>, 1</w:t>
      </w:r>
    </w:p>
    <w:p w14:paraId="24154A14" w14:textId="71048D99" w:rsidR="00803849" w:rsidRPr="00055144" w:rsidRDefault="00A61292" w:rsidP="00055144">
      <w:pPr>
        <w:pStyle w:val="a5"/>
        <w:numPr>
          <w:ilvl w:val="0"/>
          <w:numId w:val="19"/>
        </w:numPr>
        <w:bidi w:val="0"/>
        <w:spacing w:before="240" w:line="360" w:lineRule="auto"/>
        <w:rPr>
          <w:rFonts w:asciiTheme="majorBidi" w:hAnsiTheme="majorBidi" w:cstheme="majorBidi"/>
          <w:sz w:val="28"/>
          <w:szCs w:val="28"/>
        </w:rPr>
      </w:pPr>
      <w:hyperlink r:id="rId16" w:history="1">
        <w:r w:rsidR="0066690D" w:rsidRPr="00055144">
          <w:rPr>
            <w:rStyle w:val="Hyperlink"/>
            <w:rFonts w:asciiTheme="majorBidi" w:hAnsiTheme="majorBidi" w:cstheme="majorBidi"/>
            <w:sz w:val="28"/>
            <w:szCs w:val="28"/>
          </w:rPr>
          <w:t>https://doi.org/10.1080/09540962.2020.1769314</w:t>
        </w:r>
      </w:hyperlink>
    </w:p>
    <w:p w14:paraId="5FC7A3E0" w14:textId="77777777" w:rsidR="00803849" w:rsidRPr="00055144" w:rsidRDefault="00803849" w:rsidP="00055144">
      <w:pPr>
        <w:pStyle w:val="a5"/>
        <w:numPr>
          <w:ilvl w:val="0"/>
          <w:numId w:val="19"/>
        </w:numPr>
        <w:bidi w:val="0"/>
        <w:spacing w:before="240" w:line="360" w:lineRule="auto"/>
        <w:rPr>
          <w:rFonts w:asciiTheme="majorBidi" w:hAnsiTheme="majorBidi" w:cstheme="majorBidi"/>
          <w:sz w:val="28"/>
          <w:szCs w:val="28"/>
        </w:rPr>
      </w:pPr>
      <w:proofErr w:type="spellStart"/>
      <w:r w:rsidRPr="00055144">
        <w:rPr>
          <w:rFonts w:asciiTheme="majorBidi" w:hAnsiTheme="majorBidi" w:cstheme="majorBidi"/>
          <w:sz w:val="28"/>
          <w:szCs w:val="28"/>
        </w:rPr>
        <w:t>Prewett</w:t>
      </w:r>
      <w:proofErr w:type="spellEnd"/>
      <w:r w:rsidRPr="00055144">
        <w:rPr>
          <w:rFonts w:asciiTheme="majorBidi" w:hAnsiTheme="majorBidi" w:cstheme="majorBidi"/>
          <w:sz w:val="28"/>
          <w:szCs w:val="28"/>
        </w:rPr>
        <w:t xml:space="preserve">, K., &amp; Terry, A. (2018). COSO’s updated enterprise risk management framework-a quest for depth and clarity. </w:t>
      </w:r>
      <w:r w:rsidRPr="00055144">
        <w:rPr>
          <w:rFonts w:asciiTheme="majorBidi" w:hAnsiTheme="majorBidi" w:cstheme="majorBidi"/>
          <w:i/>
          <w:iCs/>
          <w:sz w:val="28"/>
          <w:szCs w:val="28"/>
        </w:rPr>
        <w:t>Journal of Corporate Accounting &amp; Finance</w:t>
      </w:r>
      <w:r w:rsidRPr="00055144">
        <w:rPr>
          <w:rFonts w:asciiTheme="majorBidi" w:hAnsiTheme="majorBidi" w:cstheme="majorBidi"/>
          <w:sz w:val="28"/>
          <w:szCs w:val="28"/>
        </w:rPr>
        <w:t xml:space="preserve">, </w:t>
      </w:r>
      <w:r w:rsidRPr="00055144">
        <w:rPr>
          <w:rFonts w:asciiTheme="majorBidi" w:hAnsiTheme="majorBidi" w:cstheme="majorBidi"/>
          <w:i/>
          <w:iCs/>
          <w:sz w:val="28"/>
          <w:szCs w:val="28"/>
        </w:rPr>
        <w:t>29</w:t>
      </w:r>
      <w:r w:rsidRPr="00055144">
        <w:rPr>
          <w:rFonts w:asciiTheme="majorBidi" w:hAnsiTheme="majorBidi" w:cstheme="majorBidi"/>
          <w:sz w:val="28"/>
          <w:szCs w:val="28"/>
        </w:rPr>
        <w:t xml:space="preserve">(3), 16–23. </w:t>
      </w:r>
      <w:hyperlink r:id="rId17" w:history="1">
        <w:r w:rsidRPr="00055144">
          <w:rPr>
            <w:rStyle w:val="Hyperlink"/>
            <w:rFonts w:asciiTheme="majorBidi" w:hAnsiTheme="majorBidi" w:cstheme="majorBidi"/>
            <w:sz w:val="28"/>
            <w:szCs w:val="28"/>
            <w:u w:val="none"/>
          </w:rPr>
          <w:t>https://doi.org/10.1002/jcaf.22346</w:t>
        </w:r>
      </w:hyperlink>
    </w:p>
    <w:p w14:paraId="29EA1341" w14:textId="77777777" w:rsidR="0066690D" w:rsidRPr="00055144" w:rsidRDefault="00803849" w:rsidP="00055144">
      <w:pPr>
        <w:pStyle w:val="a5"/>
        <w:numPr>
          <w:ilvl w:val="0"/>
          <w:numId w:val="19"/>
        </w:numPr>
        <w:bidi w:val="0"/>
        <w:spacing w:before="240" w:line="360" w:lineRule="auto"/>
        <w:rPr>
          <w:rFonts w:asciiTheme="majorBidi" w:hAnsiTheme="majorBidi" w:cstheme="majorBidi"/>
          <w:sz w:val="28"/>
          <w:szCs w:val="28"/>
          <w:rtl/>
        </w:rPr>
      </w:pPr>
      <w:r w:rsidRPr="00055144">
        <w:rPr>
          <w:rFonts w:asciiTheme="majorBidi" w:hAnsiTheme="majorBidi" w:cstheme="majorBidi"/>
          <w:i/>
          <w:iCs/>
          <w:sz w:val="28"/>
          <w:szCs w:val="28"/>
        </w:rPr>
        <w:t>Vision realization programs</w:t>
      </w:r>
      <w:r w:rsidRPr="00055144">
        <w:rPr>
          <w:rFonts w:asciiTheme="majorBidi" w:hAnsiTheme="majorBidi" w:cstheme="majorBidi"/>
          <w:sz w:val="28"/>
          <w:szCs w:val="28"/>
        </w:rPr>
        <w:t>. (2024). Vision2030.Gov.sa.</w:t>
      </w:r>
    </w:p>
    <w:p w14:paraId="08E6B493" w14:textId="7A1B60AF" w:rsidR="00803849" w:rsidRPr="00055144" w:rsidRDefault="00A61292" w:rsidP="00055144">
      <w:pPr>
        <w:pStyle w:val="a5"/>
        <w:numPr>
          <w:ilvl w:val="0"/>
          <w:numId w:val="19"/>
        </w:numPr>
        <w:bidi w:val="0"/>
        <w:spacing w:before="240" w:line="360" w:lineRule="auto"/>
        <w:rPr>
          <w:rFonts w:asciiTheme="majorBidi" w:hAnsiTheme="majorBidi" w:cstheme="majorBidi"/>
          <w:sz w:val="28"/>
          <w:szCs w:val="28"/>
        </w:rPr>
      </w:pPr>
      <w:hyperlink r:id="rId18" w:history="1">
        <w:r w:rsidR="0066690D" w:rsidRPr="00055144">
          <w:rPr>
            <w:rStyle w:val="Hyperlink"/>
            <w:rFonts w:asciiTheme="majorBidi" w:hAnsiTheme="majorBidi" w:cstheme="majorBidi"/>
            <w:sz w:val="28"/>
            <w:szCs w:val="28"/>
          </w:rPr>
          <w:t>https://www.vision2030.gov.sa/en/explore/programs</w:t>
        </w:r>
      </w:hyperlink>
    </w:p>
    <w:p w14:paraId="32E2811F" w14:textId="7B7FFDBF" w:rsidR="00826A18" w:rsidRPr="00055144" w:rsidRDefault="00803849" w:rsidP="00055144">
      <w:pPr>
        <w:pStyle w:val="a5"/>
        <w:numPr>
          <w:ilvl w:val="0"/>
          <w:numId w:val="19"/>
        </w:numPr>
        <w:bidi w:val="0"/>
        <w:spacing w:before="240" w:line="360" w:lineRule="auto"/>
        <w:rPr>
          <w:rFonts w:asciiTheme="majorBidi" w:hAnsiTheme="majorBidi" w:cstheme="majorBidi"/>
          <w:sz w:val="28"/>
          <w:szCs w:val="28"/>
          <w:rtl/>
        </w:rPr>
      </w:pPr>
      <w:r w:rsidRPr="00055144">
        <w:rPr>
          <w:rFonts w:asciiTheme="majorBidi" w:hAnsiTheme="majorBidi" w:cstheme="majorBidi"/>
          <w:sz w:val="28"/>
          <w:szCs w:val="28"/>
        </w:rPr>
        <w:t xml:space="preserve">World Health Organization. (2022a, October 14). </w:t>
      </w:r>
      <w:r w:rsidRPr="00055144">
        <w:rPr>
          <w:rFonts w:asciiTheme="majorBidi" w:hAnsiTheme="majorBidi" w:cstheme="majorBidi"/>
          <w:i/>
          <w:iCs/>
          <w:sz w:val="28"/>
          <w:szCs w:val="28"/>
        </w:rPr>
        <w:t>One health joint plan of action (</w:t>
      </w:r>
      <w:r w:rsidRPr="00055144">
        <w:rPr>
          <w:rFonts w:asciiTheme="majorBidi" w:hAnsiTheme="majorBidi" w:cstheme="majorBidi"/>
          <w:i/>
          <w:iCs/>
          <w:sz w:val="28"/>
          <w:szCs w:val="28"/>
          <w:cs/>
        </w:rPr>
        <w:t>‎</w:t>
      </w:r>
      <w:r w:rsidRPr="00055144">
        <w:rPr>
          <w:rFonts w:asciiTheme="majorBidi" w:hAnsiTheme="majorBidi" w:cstheme="majorBidi"/>
          <w:i/>
          <w:iCs/>
          <w:sz w:val="28"/>
          <w:szCs w:val="28"/>
        </w:rPr>
        <w:t>2022‒2026)</w:t>
      </w:r>
      <w:r w:rsidRPr="00055144">
        <w:rPr>
          <w:rFonts w:asciiTheme="majorBidi" w:hAnsiTheme="majorBidi" w:cstheme="majorBidi"/>
          <w:i/>
          <w:iCs/>
          <w:sz w:val="28"/>
          <w:szCs w:val="28"/>
          <w:cs/>
        </w:rPr>
        <w:t>‎</w:t>
      </w:r>
      <w:r w:rsidRPr="00055144">
        <w:rPr>
          <w:rFonts w:asciiTheme="majorBidi" w:hAnsiTheme="majorBidi" w:cstheme="majorBidi"/>
          <w:i/>
          <w:iCs/>
          <w:sz w:val="28"/>
          <w:szCs w:val="28"/>
        </w:rPr>
        <w:t>: Working together for the health of humans, animals, plants and the environment</w:t>
      </w:r>
      <w:r w:rsidRPr="00055144">
        <w:rPr>
          <w:rFonts w:asciiTheme="majorBidi" w:hAnsiTheme="majorBidi" w:cstheme="majorBidi"/>
          <w:sz w:val="28"/>
          <w:szCs w:val="28"/>
        </w:rPr>
        <w:t xml:space="preserve">. </w:t>
      </w:r>
      <w:hyperlink r:id="rId19" w:history="1">
        <w:r w:rsidR="00826A18" w:rsidRPr="00055144">
          <w:rPr>
            <w:rStyle w:val="Hyperlink"/>
            <w:rFonts w:asciiTheme="majorBidi" w:hAnsiTheme="majorBidi" w:cstheme="majorBidi"/>
            <w:sz w:val="28"/>
            <w:szCs w:val="28"/>
          </w:rPr>
          <w:t>Www.who.int</w:t>
        </w:r>
      </w:hyperlink>
      <w:r w:rsidRPr="00055144">
        <w:rPr>
          <w:rFonts w:asciiTheme="majorBidi" w:hAnsiTheme="majorBidi" w:cstheme="majorBidi"/>
          <w:sz w:val="28"/>
          <w:szCs w:val="28"/>
        </w:rPr>
        <w:t>.</w:t>
      </w:r>
    </w:p>
    <w:p w14:paraId="15AA29F8" w14:textId="62C8228E" w:rsidR="00803849" w:rsidRPr="00055144" w:rsidRDefault="00A61292" w:rsidP="00055144">
      <w:pPr>
        <w:pStyle w:val="a5"/>
        <w:numPr>
          <w:ilvl w:val="0"/>
          <w:numId w:val="19"/>
        </w:numPr>
        <w:bidi w:val="0"/>
        <w:spacing w:before="240" w:line="360" w:lineRule="auto"/>
        <w:rPr>
          <w:rFonts w:asciiTheme="majorBidi" w:hAnsiTheme="majorBidi" w:cstheme="majorBidi"/>
          <w:sz w:val="28"/>
          <w:szCs w:val="28"/>
        </w:rPr>
      </w:pPr>
      <w:hyperlink r:id="rId20" w:history="1">
        <w:r w:rsidR="00803849" w:rsidRPr="00055144">
          <w:rPr>
            <w:rStyle w:val="Hyperlink"/>
            <w:rFonts w:asciiTheme="majorBidi" w:hAnsiTheme="majorBidi" w:cstheme="majorBidi"/>
            <w:sz w:val="28"/>
            <w:szCs w:val="28"/>
            <w:u w:val="none"/>
          </w:rPr>
          <w:t>https://www.who.int/publications/i/item/9789240059139</w:t>
        </w:r>
      </w:hyperlink>
    </w:p>
    <w:p w14:paraId="083189D1" w14:textId="4CEEFAD1" w:rsidR="00826A18" w:rsidRPr="00055144" w:rsidRDefault="00803849" w:rsidP="00055144">
      <w:pPr>
        <w:pStyle w:val="a5"/>
        <w:numPr>
          <w:ilvl w:val="0"/>
          <w:numId w:val="19"/>
        </w:numPr>
        <w:bidi w:val="0"/>
        <w:spacing w:before="240" w:line="360" w:lineRule="auto"/>
        <w:rPr>
          <w:rFonts w:asciiTheme="majorBidi" w:hAnsiTheme="majorBidi" w:cstheme="majorBidi"/>
          <w:sz w:val="28"/>
          <w:szCs w:val="28"/>
          <w:rtl/>
        </w:rPr>
      </w:pPr>
      <w:r w:rsidRPr="00055144">
        <w:rPr>
          <w:rFonts w:asciiTheme="majorBidi" w:hAnsiTheme="majorBidi" w:cstheme="majorBidi"/>
          <w:sz w:val="28"/>
          <w:szCs w:val="28"/>
        </w:rPr>
        <w:t xml:space="preserve">World Health Organization. (2022b, October 14). </w:t>
      </w:r>
      <w:r w:rsidRPr="00055144">
        <w:rPr>
          <w:rFonts w:asciiTheme="majorBidi" w:hAnsiTheme="majorBidi" w:cstheme="majorBidi"/>
          <w:i/>
          <w:iCs/>
          <w:sz w:val="28"/>
          <w:szCs w:val="28"/>
        </w:rPr>
        <w:t>One health joint plan of action (</w:t>
      </w:r>
      <w:r w:rsidRPr="00055144">
        <w:rPr>
          <w:rFonts w:asciiTheme="majorBidi" w:hAnsiTheme="majorBidi" w:cstheme="majorBidi"/>
          <w:i/>
          <w:iCs/>
          <w:sz w:val="28"/>
          <w:szCs w:val="28"/>
          <w:cs/>
        </w:rPr>
        <w:t>‎</w:t>
      </w:r>
      <w:r w:rsidRPr="00055144">
        <w:rPr>
          <w:rFonts w:asciiTheme="majorBidi" w:hAnsiTheme="majorBidi" w:cstheme="majorBidi"/>
          <w:i/>
          <w:iCs/>
          <w:sz w:val="28"/>
          <w:szCs w:val="28"/>
        </w:rPr>
        <w:t>2022‒2026)</w:t>
      </w:r>
      <w:r w:rsidRPr="00055144">
        <w:rPr>
          <w:rFonts w:asciiTheme="majorBidi" w:hAnsiTheme="majorBidi" w:cstheme="majorBidi"/>
          <w:i/>
          <w:iCs/>
          <w:sz w:val="28"/>
          <w:szCs w:val="28"/>
          <w:cs/>
        </w:rPr>
        <w:t>‎</w:t>
      </w:r>
      <w:r w:rsidRPr="00055144">
        <w:rPr>
          <w:rFonts w:asciiTheme="majorBidi" w:hAnsiTheme="majorBidi" w:cstheme="majorBidi"/>
          <w:i/>
          <w:iCs/>
          <w:sz w:val="28"/>
          <w:szCs w:val="28"/>
        </w:rPr>
        <w:t>: Working together for the health of humans, animals, plants and the environment</w:t>
      </w:r>
      <w:r w:rsidRPr="00055144">
        <w:rPr>
          <w:rFonts w:asciiTheme="majorBidi" w:hAnsiTheme="majorBidi" w:cstheme="majorBidi"/>
          <w:sz w:val="28"/>
          <w:szCs w:val="28"/>
        </w:rPr>
        <w:t xml:space="preserve">. </w:t>
      </w:r>
      <w:hyperlink r:id="rId21" w:history="1">
        <w:r w:rsidR="00826A18" w:rsidRPr="00055144">
          <w:rPr>
            <w:rStyle w:val="Hyperlink"/>
            <w:rFonts w:asciiTheme="majorBidi" w:hAnsiTheme="majorBidi" w:cstheme="majorBidi"/>
            <w:sz w:val="28"/>
            <w:szCs w:val="28"/>
          </w:rPr>
          <w:t>Www.who.int</w:t>
        </w:r>
      </w:hyperlink>
      <w:r w:rsidRPr="00055144">
        <w:rPr>
          <w:rFonts w:asciiTheme="majorBidi" w:hAnsiTheme="majorBidi" w:cstheme="majorBidi"/>
          <w:sz w:val="28"/>
          <w:szCs w:val="28"/>
        </w:rPr>
        <w:t>.</w:t>
      </w:r>
    </w:p>
    <w:p w14:paraId="3C18DC45" w14:textId="25BABEAC" w:rsidR="00803849" w:rsidRPr="00055144" w:rsidRDefault="00A61292" w:rsidP="00055144">
      <w:pPr>
        <w:pStyle w:val="a5"/>
        <w:numPr>
          <w:ilvl w:val="0"/>
          <w:numId w:val="19"/>
        </w:numPr>
        <w:bidi w:val="0"/>
        <w:spacing w:before="240" w:line="360" w:lineRule="auto"/>
        <w:rPr>
          <w:rFonts w:asciiTheme="majorBidi" w:hAnsiTheme="majorBidi" w:cstheme="majorBidi"/>
          <w:sz w:val="28"/>
          <w:szCs w:val="28"/>
        </w:rPr>
      </w:pPr>
      <w:hyperlink r:id="rId22" w:history="1">
        <w:r w:rsidR="00803849" w:rsidRPr="00055144">
          <w:rPr>
            <w:rStyle w:val="Hyperlink"/>
            <w:rFonts w:asciiTheme="majorBidi" w:hAnsiTheme="majorBidi" w:cstheme="majorBidi"/>
            <w:sz w:val="28"/>
            <w:szCs w:val="28"/>
            <w:u w:val="none"/>
          </w:rPr>
          <w:t>https://www.who.int/publications/i/item/9789240059139</w:t>
        </w:r>
      </w:hyperlink>
    </w:p>
    <w:p w14:paraId="6E52896B" w14:textId="6AF01B41" w:rsidR="009125CE" w:rsidRPr="00055144" w:rsidRDefault="00803849" w:rsidP="00055144">
      <w:pPr>
        <w:pStyle w:val="a5"/>
        <w:numPr>
          <w:ilvl w:val="0"/>
          <w:numId w:val="19"/>
        </w:numPr>
        <w:bidi w:val="0"/>
        <w:spacing w:before="240" w:line="360" w:lineRule="auto"/>
        <w:rPr>
          <w:rFonts w:asciiTheme="majorBidi" w:hAnsiTheme="majorBidi" w:cstheme="majorBidi"/>
          <w:sz w:val="28"/>
          <w:szCs w:val="28"/>
        </w:rPr>
      </w:pPr>
      <w:r w:rsidRPr="00055144">
        <w:rPr>
          <w:rFonts w:asciiTheme="majorBidi" w:hAnsiTheme="majorBidi" w:cstheme="majorBidi"/>
          <w:sz w:val="28"/>
          <w:szCs w:val="28"/>
        </w:rPr>
        <w:t xml:space="preserve">World Health Organization. (2023, October 23). </w:t>
      </w:r>
      <w:r w:rsidRPr="00055144">
        <w:rPr>
          <w:rFonts w:asciiTheme="majorBidi" w:hAnsiTheme="majorBidi" w:cstheme="majorBidi"/>
          <w:i/>
          <w:iCs/>
          <w:sz w:val="28"/>
          <w:szCs w:val="28"/>
        </w:rPr>
        <w:t>One health</w:t>
      </w:r>
      <w:r w:rsidRPr="00055144">
        <w:rPr>
          <w:rFonts w:asciiTheme="majorBidi" w:hAnsiTheme="majorBidi" w:cstheme="majorBidi"/>
          <w:sz w:val="28"/>
          <w:szCs w:val="28"/>
        </w:rPr>
        <w:t xml:space="preserve">. Www.who.int. </w:t>
      </w:r>
      <w:hyperlink r:id="rId23" w:history="1">
        <w:r w:rsidRPr="00055144">
          <w:rPr>
            <w:rStyle w:val="Hyperlink"/>
            <w:rFonts w:asciiTheme="majorBidi" w:hAnsiTheme="majorBidi" w:cstheme="majorBidi"/>
            <w:sz w:val="28"/>
            <w:szCs w:val="28"/>
            <w:u w:val="none"/>
          </w:rPr>
          <w:t>https://www.who.int/news-room/fact-sheets/detail/one-health</w:t>
        </w:r>
      </w:hyperlink>
    </w:p>
    <w:sectPr w:rsidR="009125CE" w:rsidRPr="00055144"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8C174" w14:textId="77777777" w:rsidR="00A61292" w:rsidRDefault="00A61292" w:rsidP="009125CE">
      <w:pPr>
        <w:spacing w:after="0" w:line="240" w:lineRule="auto"/>
      </w:pPr>
      <w:r>
        <w:separator/>
      </w:r>
    </w:p>
  </w:endnote>
  <w:endnote w:type="continuationSeparator" w:id="0">
    <w:p w14:paraId="35C8EFA7" w14:textId="77777777" w:rsidR="00A61292" w:rsidRDefault="00A612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749FF" w14:textId="77777777" w:rsidR="00A61292" w:rsidRDefault="00A61292" w:rsidP="009125CE">
      <w:pPr>
        <w:spacing w:after="0" w:line="240" w:lineRule="auto"/>
      </w:pPr>
      <w:r>
        <w:separator/>
      </w:r>
    </w:p>
  </w:footnote>
  <w:footnote w:type="continuationSeparator" w:id="0">
    <w:p w14:paraId="54425D22" w14:textId="77777777" w:rsidR="00A61292" w:rsidRDefault="00A612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72E45"/>
    <w:multiLevelType w:val="hybridMultilevel"/>
    <w:tmpl w:val="B6EC29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D6A74"/>
    <w:multiLevelType w:val="multilevel"/>
    <w:tmpl w:val="4A82E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B1235D"/>
    <w:multiLevelType w:val="multilevel"/>
    <w:tmpl w:val="9E4C3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D90D5B"/>
    <w:multiLevelType w:val="multilevel"/>
    <w:tmpl w:val="1C5EC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2904A0"/>
    <w:multiLevelType w:val="hybridMultilevel"/>
    <w:tmpl w:val="4732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B7F91"/>
    <w:multiLevelType w:val="multilevel"/>
    <w:tmpl w:val="7FD6DD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25552"/>
    <w:multiLevelType w:val="hybridMultilevel"/>
    <w:tmpl w:val="D5F22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D113C6"/>
    <w:multiLevelType w:val="hybridMultilevel"/>
    <w:tmpl w:val="7128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111B33"/>
    <w:multiLevelType w:val="multilevel"/>
    <w:tmpl w:val="58820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ED266D"/>
    <w:multiLevelType w:val="hybridMultilevel"/>
    <w:tmpl w:val="AEDEE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AA247F"/>
    <w:multiLevelType w:val="hybridMultilevel"/>
    <w:tmpl w:val="BFCA1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A539EA"/>
    <w:multiLevelType w:val="hybridMultilevel"/>
    <w:tmpl w:val="24308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1674B"/>
    <w:multiLevelType w:val="hybridMultilevel"/>
    <w:tmpl w:val="D4BA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C9087C"/>
    <w:multiLevelType w:val="hybridMultilevel"/>
    <w:tmpl w:val="77B4A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1D181E"/>
    <w:multiLevelType w:val="hybridMultilevel"/>
    <w:tmpl w:val="ED28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964DB"/>
    <w:multiLevelType w:val="multilevel"/>
    <w:tmpl w:val="D2965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3E400B"/>
    <w:multiLevelType w:val="hybridMultilevel"/>
    <w:tmpl w:val="77B4A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8F169E"/>
    <w:multiLevelType w:val="multilevel"/>
    <w:tmpl w:val="DE9A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5D04D3"/>
    <w:multiLevelType w:val="hybridMultilevel"/>
    <w:tmpl w:val="960A9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7"/>
  </w:num>
  <w:num w:numId="4">
    <w:abstractNumId w:val="9"/>
  </w:num>
  <w:num w:numId="5">
    <w:abstractNumId w:val="3"/>
  </w:num>
  <w:num w:numId="6">
    <w:abstractNumId w:val="10"/>
  </w:num>
  <w:num w:numId="7">
    <w:abstractNumId w:val="1"/>
  </w:num>
  <w:num w:numId="8">
    <w:abstractNumId w:val="8"/>
  </w:num>
  <w:num w:numId="9">
    <w:abstractNumId w:val="15"/>
  </w:num>
  <w:num w:numId="10">
    <w:abstractNumId w:val="5"/>
  </w:num>
  <w:num w:numId="11">
    <w:abstractNumId w:val="4"/>
  </w:num>
  <w:num w:numId="12">
    <w:abstractNumId w:val="7"/>
  </w:num>
  <w:num w:numId="13">
    <w:abstractNumId w:val="11"/>
  </w:num>
  <w:num w:numId="14">
    <w:abstractNumId w:val="16"/>
  </w:num>
  <w:num w:numId="15">
    <w:abstractNumId w:val="13"/>
  </w:num>
  <w:num w:numId="16">
    <w:abstractNumId w:val="18"/>
  </w:num>
  <w:num w:numId="17">
    <w:abstractNumId w:val="12"/>
  </w:num>
  <w:num w:numId="18">
    <w:abstractNumId w:val="1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2EE"/>
    <w:rsid w:val="00055144"/>
    <w:rsid w:val="000D5227"/>
    <w:rsid w:val="000F347B"/>
    <w:rsid w:val="000F44B4"/>
    <w:rsid w:val="000F71AC"/>
    <w:rsid w:val="001029A5"/>
    <w:rsid w:val="001043E8"/>
    <w:rsid w:val="00122B25"/>
    <w:rsid w:val="00137D53"/>
    <w:rsid w:val="001732E7"/>
    <w:rsid w:val="001902DB"/>
    <w:rsid w:val="001C2162"/>
    <w:rsid w:val="00200A3A"/>
    <w:rsid w:val="002B38C0"/>
    <w:rsid w:val="00350355"/>
    <w:rsid w:val="00380109"/>
    <w:rsid w:val="0038262A"/>
    <w:rsid w:val="003A6770"/>
    <w:rsid w:val="00455724"/>
    <w:rsid w:val="005349F8"/>
    <w:rsid w:val="00547052"/>
    <w:rsid w:val="00590B27"/>
    <w:rsid w:val="005D66B2"/>
    <w:rsid w:val="006002BB"/>
    <w:rsid w:val="006035A3"/>
    <w:rsid w:val="0062761F"/>
    <w:rsid w:val="00630AC8"/>
    <w:rsid w:val="00633FEB"/>
    <w:rsid w:val="00635258"/>
    <w:rsid w:val="0066690D"/>
    <w:rsid w:val="006948DE"/>
    <w:rsid w:val="00715A87"/>
    <w:rsid w:val="00754B17"/>
    <w:rsid w:val="007B0E54"/>
    <w:rsid w:val="007E3A20"/>
    <w:rsid w:val="007E6C8D"/>
    <w:rsid w:val="00803849"/>
    <w:rsid w:val="00826A18"/>
    <w:rsid w:val="00877AAC"/>
    <w:rsid w:val="008A638D"/>
    <w:rsid w:val="008F1EAE"/>
    <w:rsid w:val="009125CE"/>
    <w:rsid w:val="009A10AE"/>
    <w:rsid w:val="009B6888"/>
    <w:rsid w:val="009C0161"/>
    <w:rsid w:val="009C6DA4"/>
    <w:rsid w:val="009D108D"/>
    <w:rsid w:val="009D5651"/>
    <w:rsid w:val="009E1436"/>
    <w:rsid w:val="009E5668"/>
    <w:rsid w:val="00A61292"/>
    <w:rsid w:val="00A74F76"/>
    <w:rsid w:val="00A844D0"/>
    <w:rsid w:val="00AA79E9"/>
    <w:rsid w:val="00AB0A70"/>
    <w:rsid w:val="00B60201"/>
    <w:rsid w:val="00B63B0F"/>
    <w:rsid w:val="00B7678A"/>
    <w:rsid w:val="00C57908"/>
    <w:rsid w:val="00C71E18"/>
    <w:rsid w:val="00D22171"/>
    <w:rsid w:val="00D32329"/>
    <w:rsid w:val="00D71FBB"/>
    <w:rsid w:val="00D7580E"/>
    <w:rsid w:val="00E30C0A"/>
    <w:rsid w:val="00E71C79"/>
    <w:rsid w:val="00EA6B5D"/>
    <w:rsid w:val="00F546CE"/>
    <w:rsid w:val="00F7335E"/>
    <w:rsid w:val="00FB37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29A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55724"/>
    <w:pPr>
      <w:ind w:left="720"/>
      <w:contextualSpacing/>
    </w:pPr>
  </w:style>
  <w:style w:type="paragraph" w:styleId="a6">
    <w:name w:val="Normal (Web)"/>
    <w:basedOn w:val="a"/>
    <w:uiPriority w:val="99"/>
    <w:semiHidden/>
    <w:unhideWhenUsed/>
    <w:rsid w:val="00380109"/>
    <w:rPr>
      <w:rFonts w:ascii="Times New Roman" w:hAnsi="Times New Roman" w:cs="Times New Roman"/>
      <w:sz w:val="24"/>
      <w:szCs w:val="24"/>
    </w:rPr>
  </w:style>
  <w:style w:type="character" w:styleId="Hyperlink">
    <w:name w:val="Hyperlink"/>
    <w:basedOn w:val="a0"/>
    <w:uiPriority w:val="99"/>
    <w:unhideWhenUsed/>
    <w:rsid w:val="00803849"/>
    <w:rPr>
      <w:color w:val="0563C1" w:themeColor="hyperlink"/>
      <w:u w:val="single"/>
    </w:rPr>
  </w:style>
  <w:style w:type="character" w:styleId="a7">
    <w:name w:val="Unresolved Mention"/>
    <w:basedOn w:val="a0"/>
    <w:uiPriority w:val="99"/>
    <w:semiHidden/>
    <w:unhideWhenUsed/>
    <w:rsid w:val="00803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84850">
      <w:bodyDiv w:val="1"/>
      <w:marLeft w:val="0"/>
      <w:marRight w:val="0"/>
      <w:marTop w:val="0"/>
      <w:marBottom w:val="0"/>
      <w:divBdr>
        <w:top w:val="none" w:sz="0" w:space="0" w:color="auto"/>
        <w:left w:val="none" w:sz="0" w:space="0" w:color="auto"/>
        <w:bottom w:val="none" w:sz="0" w:space="0" w:color="auto"/>
        <w:right w:val="none" w:sz="0" w:space="0" w:color="auto"/>
      </w:divBdr>
    </w:div>
    <w:div w:id="210534175">
      <w:bodyDiv w:val="1"/>
      <w:marLeft w:val="0"/>
      <w:marRight w:val="0"/>
      <w:marTop w:val="0"/>
      <w:marBottom w:val="0"/>
      <w:divBdr>
        <w:top w:val="none" w:sz="0" w:space="0" w:color="auto"/>
        <w:left w:val="none" w:sz="0" w:space="0" w:color="auto"/>
        <w:bottom w:val="none" w:sz="0" w:space="0" w:color="auto"/>
        <w:right w:val="none" w:sz="0" w:space="0" w:color="auto"/>
      </w:divBdr>
    </w:div>
    <w:div w:id="218057686">
      <w:bodyDiv w:val="1"/>
      <w:marLeft w:val="0"/>
      <w:marRight w:val="0"/>
      <w:marTop w:val="0"/>
      <w:marBottom w:val="0"/>
      <w:divBdr>
        <w:top w:val="none" w:sz="0" w:space="0" w:color="auto"/>
        <w:left w:val="none" w:sz="0" w:space="0" w:color="auto"/>
        <w:bottom w:val="none" w:sz="0" w:space="0" w:color="auto"/>
        <w:right w:val="none" w:sz="0" w:space="0" w:color="auto"/>
      </w:divBdr>
    </w:div>
    <w:div w:id="349571359">
      <w:bodyDiv w:val="1"/>
      <w:marLeft w:val="0"/>
      <w:marRight w:val="0"/>
      <w:marTop w:val="0"/>
      <w:marBottom w:val="0"/>
      <w:divBdr>
        <w:top w:val="none" w:sz="0" w:space="0" w:color="auto"/>
        <w:left w:val="none" w:sz="0" w:space="0" w:color="auto"/>
        <w:bottom w:val="none" w:sz="0" w:space="0" w:color="auto"/>
        <w:right w:val="none" w:sz="0" w:space="0" w:color="auto"/>
      </w:divBdr>
    </w:div>
    <w:div w:id="463037168">
      <w:bodyDiv w:val="1"/>
      <w:marLeft w:val="0"/>
      <w:marRight w:val="0"/>
      <w:marTop w:val="0"/>
      <w:marBottom w:val="0"/>
      <w:divBdr>
        <w:top w:val="none" w:sz="0" w:space="0" w:color="auto"/>
        <w:left w:val="none" w:sz="0" w:space="0" w:color="auto"/>
        <w:bottom w:val="none" w:sz="0" w:space="0" w:color="auto"/>
        <w:right w:val="none" w:sz="0" w:space="0" w:color="auto"/>
      </w:divBdr>
    </w:div>
    <w:div w:id="474756706">
      <w:bodyDiv w:val="1"/>
      <w:marLeft w:val="0"/>
      <w:marRight w:val="0"/>
      <w:marTop w:val="0"/>
      <w:marBottom w:val="0"/>
      <w:divBdr>
        <w:top w:val="none" w:sz="0" w:space="0" w:color="auto"/>
        <w:left w:val="none" w:sz="0" w:space="0" w:color="auto"/>
        <w:bottom w:val="none" w:sz="0" w:space="0" w:color="auto"/>
        <w:right w:val="none" w:sz="0" w:space="0" w:color="auto"/>
      </w:divBdr>
    </w:div>
    <w:div w:id="488833829">
      <w:bodyDiv w:val="1"/>
      <w:marLeft w:val="0"/>
      <w:marRight w:val="0"/>
      <w:marTop w:val="0"/>
      <w:marBottom w:val="0"/>
      <w:divBdr>
        <w:top w:val="none" w:sz="0" w:space="0" w:color="auto"/>
        <w:left w:val="none" w:sz="0" w:space="0" w:color="auto"/>
        <w:bottom w:val="none" w:sz="0" w:space="0" w:color="auto"/>
        <w:right w:val="none" w:sz="0" w:space="0" w:color="auto"/>
      </w:divBdr>
    </w:div>
    <w:div w:id="522016426">
      <w:bodyDiv w:val="1"/>
      <w:marLeft w:val="0"/>
      <w:marRight w:val="0"/>
      <w:marTop w:val="0"/>
      <w:marBottom w:val="0"/>
      <w:divBdr>
        <w:top w:val="none" w:sz="0" w:space="0" w:color="auto"/>
        <w:left w:val="none" w:sz="0" w:space="0" w:color="auto"/>
        <w:bottom w:val="none" w:sz="0" w:space="0" w:color="auto"/>
        <w:right w:val="none" w:sz="0" w:space="0" w:color="auto"/>
      </w:divBdr>
    </w:div>
    <w:div w:id="576133830">
      <w:bodyDiv w:val="1"/>
      <w:marLeft w:val="0"/>
      <w:marRight w:val="0"/>
      <w:marTop w:val="0"/>
      <w:marBottom w:val="0"/>
      <w:divBdr>
        <w:top w:val="none" w:sz="0" w:space="0" w:color="auto"/>
        <w:left w:val="none" w:sz="0" w:space="0" w:color="auto"/>
        <w:bottom w:val="none" w:sz="0" w:space="0" w:color="auto"/>
        <w:right w:val="none" w:sz="0" w:space="0" w:color="auto"/>
      </w:divBdr>
    </w:div>
    <w:div w:id="686444093">
      <w:bodyDiv w:val="1"/>
      <w:marLeft w:val="0"/>
      <w:marRight w:val="0"/>
      <w:marTop w:val="0"/>
      <w:marBottom w:val="0"/>
      <w:divBdr>
        <w:top w:val="none" w:sz="0" w:space="0" w:color="auto"/>
        <w:left w:val="none" w:sz="0" w:space="0" w:color="auto"/>
        <w:bottom w:val="none" w:sz="0" w:space="0" w:color="auto"/>
        <w:right w:val="none" w:sz="0" w:space="0" w:color="auto"/>
      </w:divBdr>
    </w:div>
    <w:div w:id="701637797">
      <w:bodyDiv w:val="1"/>
      <w:marLeft w:val="0"/>
      <w:marRight w:val="0"/>
      <w:marTop w:val="0"/>
      <w:marBottom w:val="0"/>
      <w:divBdr>
        <w:top w:val="none" w:sz="0" w:space="0" w:color="auto"/>
        <w:left w:val="none" w:sz="0" w:space="0" w:color="auto"/>
        <w:bottom w:val="none" w:sz="0" w:space="0" w:color="auto"/>
        <w:right w:val="none" w:sz="0" w:space="0" w:color="auto"/>
      </w:divBdr>
    </w:div>
    <w:div w:id="820543262">
      <w:bodyDiv w:val="1"/>
      <w:marLeft w:val="0"/>
      <w:marRight w:val="0"/>
      <w:marTop w:val="0"/>
      <w:marBottom w:val="0"/>
      <w:divBdr>
        <w:top w:val="none" w:sz="0" w:space="0" w:color="auto"/>
        <w:left w:val="none" w:sz="0" w:space="0" w:color="auto"/>
        <w:bottom w:val="none" w:sz="0" w:space="0" w:color="auto"/>
        <w:right w:val="none" w:sz="0" w:space="0" w:color="auto"/>
      </w:divBdr>
    </w:div>
    <w:div w:id="884752842">
      <w:bodyDiv w:val="1"/>
      <w:marLeft w:val="0"/>
      <w:marRight w:val="0"/>
      <w:marTop w:val="0"/>
      <w:marBottom w:val="0"/>
      <w:divBdr>
        <w:top w:val="none" w:sz="0" w:space="0" w:color="auto"/>
        <w:left w:val="none" w:sz="0" w:space="0" w:color="auto"/>
        <w:bottom w:val="none" w:sz="0" w:space="0" w:color="auto"/>
        <w:right w:val="none" w:sz="0" w:space="0" w:color="auto"/>
      </w:divBdr>
    </w:div>
    <w:div w:id="992300107">
      <w:bodyDiv w:val="1"/>
      <w:marLeft w:val="0"/>
      <w:marRight w:val="0"/>
      <w:marTop w:val="0"/>
      <w:marBottom w:val="0"/>
      <w:divBdr>
        <w:top w:val="none" w:sz="0" w:space="0" w:color="auto"/>
        <w:left w:val="none" w:sz="0" w:space="0" w:color="auto"/>
        <w:bottom w:val="none" w:sz="0" w:space="0" w:color="auto"/>
        <w:right w:val="none" w:sz="0" w:space="0" w:color="auto"/>
      </w:divBdr>
    </w:div>
    <w:div w:id="1317101855">
      <w:bodyDiv w:val="1"/>
      <w:marLeft w:val="0"/>
      <w:marRight w:val="0"/>
      <w:marTop w:val="0"/>
      <w:marBottom w:val="0"/>
      <w:divBdr>
        <w:top w:val="none" w:sz="0" w:space="0" w:color="auto"/>
        <w:left w:val="none" w:sz="0" w:space="0" w:color="auto"/>
        <w:bottom w:val="none" w:sz="0" w:space="0" w:color="auto"/>
        <w:right w:val="none" w:sz="0" w:space="0" w:color="auto"/>
      </w:divBdr>
    </w:div>
    <w:div w:id="1379620997">
      <w:bodyDiv w:val="1"/>
      <w:marLeft w:val="0"/>
      <w:marRight w:val="0"/>
      <w:marTop w:val="0"/>
      <w:marBottom w:val="0"/>
      <w:divBdr>
        <w:top w:val="none" w:sz="0" w:space="0" w:color="auto"/>
        <w:left w:val="none" w:sz="0" w:space="0" w:color="auto"/>
        <w:bottom w:val="none" w:sz="0" w:space="0" w:color="auto"/>
        <w:right w:val="none" w:sz="0" w:space="0" w:color="auto"/>
      </w:divBdr>
    </w:div>
    <w:div w:id="1407803840">
      <w:bodyDiv w:val="1"/>
      <w:marLeft w:val="0"/>
      <w:marRight w:val="0"/>
      <w:marTop w:val="0"/>
      <w:marBottom w:val="0"/>
      <w:divBdr>
        <w:top w:val="none" w:sz="0" w:space="0" w:color="auto"/>
        <w:left w:val="none" w:sz="0" w:space="0" w:color="auto"/>
        <w:bottom w:val="none" w:sz="0" w:space="0" w:color="auto"/>
        <w:right w:val="none" w:sz="0" w:space="0" w:color="auto"/>
      </w:divBdr>
    </w:div>
    <w:div w:id="1577596284">
      <w:bodyDiv w:val="1"/>
      <w:marLeft w:val="0"/>
      <w:marRight w:val="0"/>
      <w:marTop w:val="0"/>
      <w:marBottom w:val="0"/>
      <w:divBdr>
        <w:top w:val="none" w:sz="0" w:space="0" w:color="auto"/>
        <w:left w:val="none" w:sz="0" w:space="0" w:color="auto"/>
        <w:bottom w:val="none" w:sz="0" w:space="0" w:color="auto"/>
        <w:right w:val="none" w:sz="0" w:space="0" w:color="auto"/>
      </w:divBdr>
    </w:div>
    <w:div w:id="1592158838">
      <w:bodyDiv w:val="1"/>
      <w:marLeft w:val="0"/>
      <w:marRight w:val="0"/>
      <w:marTop w:val="0"/>
      <w:marBottom w:val="0"/>
      <w:divBdr>
        <w:top w:val="none" w:sz="0" w:space="0" w:color="auto"/>
        <w:left w:val="none" w:sz="0" w:space="0" w:color="auto"/>
        <w:bottom w:val="none" w:sz="0" w:space="0" w:color="auto"/>
        <w:right w:val="none" w:sz="0" w:space="0" w:color="auto"/>
      </w:divBdr>
    </w:div>
    <w:div w:id="1986624204">
      <w:bodyDiv w:val="1"/>
      <w:marLeft w:val="0"/>
      <w:marRight w:val="0"/>
      <w:marTop w:val="0"/>
      <w:marBottom w:val="0"/>
      <w:divBdr>
        <w:top w:val="none" w:sz="0" w:space="0" w:color="auto"/>
        <w:left w:val="none" w:sz="0" w:space="0" w:color="auto"/>
        <w:bottom w:val="none" w:sz="0" w:space="0" w:color="auto"/>
        <w:right w:val="none" w:sz="0" w:space="0" w:color="auto"/>
      </w:divBdr>
    </w:div>
    <w:div w:id="2021807921">
      <w:bodyDiv w:val="1"/>
      <w:marLeft w:val="0"/>
      <w:marRight w:val="0"/>
      <w:marTop w:val="0"/>
      <w:marBottom w:val="0"/>
      <w:divBdr>
        <w:top w:val="none" w:sz="0" w:space="0" w:color="auto"/>
        <w:left w:val="none" w:sz="0" w:space="0" w:color="auto"/>
        <w:bottom w:val="none" w:sz="0" w:space="0" w:color="auto"/>
        <w:right w:val="none" w:sz="0" w:space="0" w:color="auto"/>
      </w:divBdr>
    </w:div>
    <w:div w:id="2121101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467-017-00923-8" TargetMode="External"/><Relationship Id="rId13" Type="http://schemas.openxmlformats.org/officeDocument/2006/relationships/hyperlink" Target="https://doi.org/10.1038/s41559-025-02869-3" TargetMode="External"/><Relationship Id="rId18" Type="http://schemas.openxmlformats.org/officeDocument/2006/relationships/hyperlink" Target="https://www.vision2030.gov.sa/en/explore/programs" TargetMode="External"/><Relationship Id="rId3" Type="http://schemas.openxmlformats.org/officeDocument/2006/relationships/settings" Target="settings.xml"/><Relationship Id="rId21" Type="http://schemas.openxmlformats.org/officeDocument/2006/relationships/hyperlink" Target="http://Www.who.int" TargetMode="External"/><Relationship Id="rId7" Type="http://schemas.openxmlformats.org/officeDocument/2006/relationships/image" Target="media/image1.png"/><Relationship Id="rId12" Type="http://schemas.openxmlformats.org/officeDocument/2006/relationships/hyperlink" Target="https://doi.org/10.3389/fvets.2018.00014" TargetMode="External"/><Relationship Id="rId17" Type="http://schemas.openxmlformats.org/officeDocument/2006/relationships/hyperlink" Target="https://doi.org/10.1002/jcaf.2234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9540962.2020.1769314" TargetMode="External"/><Relationship Id="rId20" Type="http://schemas.openxmlformats.org/officeDocument/2006/relationships/hyperlink" Target="https://www.who.int/publications/i/item/97892400591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26624261454285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ature.com/articles/nature06536" TargetMode="External"/><Relationship Id="rId23" Type="http://schemas.openxmlformats.org/officeDocument/2006/relationships/hyperlink" Target="https://www.who.int/news-room/fact-sheets/detail/one-health" TargetMode="External"/><Relationship Id="rId10" Type="http://schemas.openxmlformats.org/officeDocument/2006/relationships/hyperlink" Target="https://doi.org/10.1016/j.ress.2018.04.018" TargetMode="External"/><Relationship Id="rId19" Type="http://schemas.openxmlformats.org/officeDocument/2006/relationships/hyperlink" Target="http://Www.who.int" TargetMode="External"/><Relationship Id="rId4" Type="http://schemas.openxmlformats.org/officeDocument/2006/relationships/webSettings" Target="webSettings.xml"/><Relationship Id="rId9" Type="http://schemas.openxmlformats.org/officeDocument/2006/relationships/hyperlink" Target="https://doi.org/10.1016/j.ejor.2015.12.023" TargetMode="External"/><Relationship Id="rId14" Type="http://schemas.openxmlformats.org/officeDocument/2006/relationships/hyperlink" Target="https://doi.org/10.1111/jori.12035" TargetMode="External"/><Relationship Id="rId22" Type="http://schemas.openxmlformats.org/officeDocument/2006/relationships/hyperlink" Target="https://www.who.int/publications/i/item/97892400591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4358</Words>
  <Characters>24843</Characters>
  <Application>Microsoft Office Word</Application>
  <DocSecurity>0</DocSecurity>
  <Lines>207</Lines>
  <Paragraphs>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E.W</cp:lastModifiedBy>
  <cp:revision>2</cp:revision>
  <cp:lastPrinted>2026-02-19T21:41:00Z</cp:lastPrinted>
  <dcterms:created xsi:type="dcterms:W3CDTF">2026-02-19T23:11:00Z</dcterms:created>
  <dcterms:modified xsi:type="dcterms:W3CDTF">2026-02-19T23:11:00Z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