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E26C6" w14:textId="77777777" w:rsidR="00CA4E06" w:rsidRPr="002522ED" w:rsidRDefault="00CA4E06" w:rsidP="004B6E5C">
      <w:pPr>
        <w:shd w:val="clear" w:color="auto" w:fill="FFFFFF"/>
        <w:bidi/>
        <w:spacing w:before="240" w:after="240"/>
        <w:jc w:val="center"/>
        <w:rPr>
          <w:rFonts w:eastAsia="Times New Roman" w:cstheme="majorBidi"/>
          <w:color w:val="0F1115"/>
          <w:kern w:val="0"/>
          <w:rtl/>
          <w14:ligatures w14:val="none"/>
        </w:rPr>
      </w:pPr>
    </w:p>
    <w:p w14:paraId="7B926766" w14:textId="1CD868B0" w:rsidR="00CA4E06" w:rsidRPr="002522ED" w:rsidRDefault="001763DE" w:rsidP="004B6E5C">
      <w:pPr>
        <w:shd w:val="clear" w:color="auto" w:fill="FFFFFF"/>
        <w:bidi/>
        <w:spacing w:before="240" w:after="240"/>
        <w:jc w:val="center"/>
        <w:rPr>
          <w:rFonts w:eastAsia="Times New Roman" w:cstheme="majorBidi"/>
          <w:color w:val="0F1115"/>
          <w:kern w:val="0"/>
          <w:rtl/>
          <w14:ligatures w14:val="none"/>
        </w:rPr>
      </w:pPr>
      <w:r w:rsidRPr="002522ED">
        <w:rPr>
          <w:rFonts w:eastAsia="Times New Roman" w:cstheme="majorBidi"/>
          <w:color w:val="0F1115"/>
          <w:kern w:val="0"/>
          <w:rtl/>
          <w14:ligatures w14:val="none"/>
        </w:rPr>
        <w:t>الدور الوسيط للاستشراف الاستراتيجي</w:t>
      </w:r>
      <w:r w:rsidR="00EA793F" w:rsidRPr="002522ED">
        <w:rPr>
          <w:rFonts w:eastAsia="Times New Roman" w:cstheme="majorBidi"/>
          <w:color w:val="0F1115"/>
          <w:kern w:val="0"/>
          <w:rtl/>
          <w14:ligatures w14:val="none"/>
        </w:rPr>
        <w:t xml:space="preserve"> </w:t>
      </w:r>
      <w:r w:rsidR="00B02D9D" w:rsidRPr="002522ED">
        <w:rPr>
          <w:rFonts w:eastAsia="Times New Roman" w:cstheme="majorBidi"/>
          <w:color w:val="0F1115"/>
          <w:kern w:val="0"/>
          <w:rtl/>
          <w14:ligatures w14:val="none"/>
        </w:rPr>
        <w:t xml:space="preserve">في </w:t>
      </w:r>
      <w:r w:rsidR="00EA793F" w:rsidRPr="002522ED">
        <w:rPr>
          <w:rFonts w:eastAsia="Times New Roman" w:cstheme="majorBidi"/>
          <w:color w:val="0F1115"/>
          <w:kern w:val="0"/>
          <w:rtl/>
          <w14:ligatures w14:val="none"/>
        </w:rPr>
        <w:t xml:space="preserve">العلاقة بين الابتكار الإداري وتنمية القدرات التوليدية-دراسة ميدانية في الشركات التقنية السعودية الخاصة </w:t>
      </w:r>
      <w:r w:rsidR="00CA4E06" w:rsidRPr="002522ED">
        <w:rPr>
          <w:rFonts w:eastAsia="Times New Roman" w:cstheme="majorBidi"/>
          <w:color w:val="0F1115"/>
          <w:kern w:val="0"/>
          <w:rtl/>
          <w14:ligatures w14:val="none"/>
        </w:rPr>
        <w:t>(2021-2026)</w:t>
      </w:r>
    </w:p>
    <w:p w14:paraId="56371FA8" w14:textId="1983B3EE" w:rsidR="005F6248" w:rsidRPr="002522ED" w:rsidRDefault="005F6248" w:rsidP="004B6E5C">
      <w:pPr>
        <w:shd w:val="clear" w:color="auto" w:fill="FFFFFF"/>
        <w:bidi/>
        <w:spacing w:before="240" w:after="240"/>
        <w:jc w:val="center"/>
        <w:rPr>
          <w:rFonts w:eastAsia="Times New Roman" w:cstheme="majorBidi"/>
          <w:color w:val="0F1115"/>
          <w:kern w:val="0"/>
          <w14:ligatures w14:val="none"/>
        </w:rPr>
      </w:pPr>
      <w:r w:rsidRPr="002522ED">
        <w:rPr>
          <w:rFonts w:eastAsia="Times New Roman" w:cstheme="majorBidi"/>
          <w:color w:val="0F1115"/>
          <w:kern w:val="0"/>
          <w14:ligatures w14:val="none"/>
        </w:rPr>
        <w:t>The Mediating Role of Strategic Foresight in the Relationship Between Administrative Innovation and the Development of Generative Capabilities: A Field Study in Private Saudi Tech Companies (2021–2026)</w:t>
      </w:r>
    </w:p>
    <w:p w14:paraId="250D9367" w14:textId="704EB210" w:rsidR="00E90F9B" w:rsidRPr="002522ED" w:rsidRDefault="00E90F9B" w:rsidP="005651E0">
      <w:pPr>
        <w:shd w:val="clear" w:color="auto" w:fill="FFFFFF"/>
        <w:bidi/>
        <w:spacing w:before="240" w:after="240"/>
        <w:jc w:val="center"/>
        <w:rPr>
          <w:rFonts w:eastAsia="Times New Roman" w:cstheme="majorBidi"/>
          <w:color w:val="0F1115"/>
          <w:kern w:val="0"/>
          <w:rtl/>
          <w14:ligatures w14:val="none"/>
        </w:rPr>
      </w:pPr>
    </w:p>
    <w:p w14:paraId="5CC0B65E"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4710C4DE" w14:textId="40A4D4F8" w:rsidR="00CA4E06" w:rsidRPr="002522ED" w:rsidRDefault="00CA4E06" w:rsidP="005651E0">
      <w:pPr>
        <w:shd w:val="clear" w:color="auto" w:fill="FFFFFF"/>
        <w:bidi/>
        <w:spacing w:before="240" w:after="240"/>
        <w:jc w:val="center"/>
        <w:rPr>
          <w:rFonts w:eastAsia="Times New Roman" w:cstheme="majorBidi"/>
          <w:color w:val="0F1115"/>
          <w:kern w:val="0"/>
          <w14:ligatures w14:val="none"/>
        </w:rPr>
      </w:pPr>
      <w:r w:rsidRPr="002522ED">
        <w:rPr>
          <w:rFonts w:eastAsia="Times New Roman" w:cstheme="majorBidi"/>
          <w:color w:val="0F1115"/>
          <w:kern w:val="0"/>
          <w:rtl/>
          <w14:ligatures w14:val="none"/>
        </w:rPr>
        <w:t>إعداد</w:t>
      </w:r>
    </w:p>
    <w:p w14:paraId="039CB64B" w14:textId="3F8C89C6" w:rsidR="00CA4E06" w:rsidRPr="002522ED" w:rsidRDefault="00CA4E06" w:rsidP="005651E0">
      <w:pPr>
        <w:shd w:val="clear" w:color="auto" w:fill="FFFFFF"/>
        <w:bidi/>
        <w:spacing w:before="240" w:after="240"/>
        <w:jc w:val="center"/>
        <w:rPr>
          <w:rFonts w:eastAsia="Times New Roman" w:cstheme="majorBidi"/>
          <w:color w:val="0F1115"/>
          <w:kern w:val="0"/>
          <w14:ligatures w14:val="none"/>
        </w:rPr>
      </w:pPr>
      <w:r w:rsidRPr="002522ED">
        <w:rPr>
          <w:rFonts w:eastAsia="Times New Roman" w:cstheme="majorBidi"/>
          <w:color w:val="0F1115"/>
          <w:kern w:val="0"/>
          <w:rtl/>
          <w14:ligatures w14:val="none"/>
        </w:rPr>
        <w:t>اسم الباحث</w:t>
      </w:r>
      <w:r w:rsidR="009074FA" w:rsidRPr="002522ED">
        <w:rPr>
          <w:rFonts w:eastAsia="Times New Roman" w:cstheme="majorBidi"/>
          <w:color w:val="0F1115"/>
          <w:kern w:val="0"/>
          <w14:ligatures w14:val="none"/>
        </w:rPr>
        <w:t xml:space="preserve"> </w:t>
      </w:r>
      <w:r w:rsidRPr="002522ED">
        <w:rPr>
          <w:rFonts w:eastAsia="Times New Roman" w:cstheme="majorBidi"/>
          <w:color w:val="0F1115"/>
          <w:kern w:val="0"/>
          <w14:ligatures w14:val="none"/>
        </w:rPr>
        <w:t xml:space="preserve"> :</w:t>
      </w:r>
      <w:r w:rsidR="00FF5384" w:rsidRPr="002522ED">
        <w:rPr>
          <w:rFonts w:eastAsia="Times New Roman" w:cstheme="majorBidi"/>
          <w:color w:val="0F1115"/>
          <w:kern w:val="0"/>
          <w:rtl/>
          <w14:ligatures w14:val="none"/>
        </w:rPr>
        <w:t>امل حسين الحربي</w:t>
      </w:r>
    </w:p>
    <w:p w14:paraId="51C5BB6D" w14:textId="36970FD6" w:rsidR="00CA4E06" w:rsidRPr="002522ED" w:rsidRDefault="00CA4E06" w:rsidP="005651E0">
      <w:pPr>
        <w:shd w:val="clear" w:color="auto" w:fill="FFFFFF"/>
        <w:bidi/>
        <w:spacing w:before="240" w:after="240"/>
        <w:jc w:val="center"/>
        <w:rPr>
          <w:rFonts w:eastAsia="Times New Roman" w:cstheme="majorBidi"/>
          <w:color w:val="0F1115"/>
          <w:kern w:val="0"/>
          <w:rtl/>
          <w14:ligatures w14:val="none"/>
        </w:rPr>
      </w:pPr>
      <w:r w:rsidRPr="002522ED">
        <w:rPr>
          <w:rFonts w:eastAsia="Times New Roman" w:cstheme="majorBidi"/>
          <w:color w:val="0F1115"/>
          <w:kern w:val="0"/>
          <w:rtl/>
          <w14:ligatures w14:val="none"/>
        </w:rPr>
        <w:t>الرقم الأكاديمي</w:t>
      </w:r>
      <w:r w:rsidRPr="002522ED">
        <w:rPr>
          <w:rFonts w:eastAsia="Times New Roman" w:cstheme="majorBidi"/>
          <w:color w:val="0F1115"/>
          <w:kern w:val="0"/>
          <w14:ligatures w14:val="none"/>
        </w:rPr>
        <w:t xml:space="preserve"> :</w:t>
      </w:r>
      <w:r w:rsidR="00FF5384" w:rsidRPr="002522ED">
        <w:rPr>
          <w:rFonts w:eastAsia="Times New Roman" w:cstheme="majorBidi"/>
          <w:color w:val="0F1115"/>
          <w:kern w:val="0"/>
          <w:rtl/>
          <w14:ligatures w14:val="none"/>
        </w:rPr>
        <w:t xml:space="preserve"> 233000836</w:t>
      </w:r>
    </w:p>
    <w:p w14:paraId="3C6E3440" w14:textId="68AC8AFC" w:rsidR="00737D8D" w:rsidRPr="002522ED" w:rsidRDefault="00737D8D" w:rsidP="005651E0">
      <w:pPr>
        <w:shd w:val="clear" w:color="auto" w:fill="FFFFFF"/>
        <w:bidi/>
        <w:spacing w:before="240" w:after="240"/>
        <w:jc w:val="center"/>
        <w:rPr>
          <w:rFonts w:eastAsia="Times New Roman" w:cstheme="majorBidi"/>
          <w:color w:val="0F1115"/>
          <w:kern w:val="0"/>
          <w14:ligatures w14:val="none"/>
        </w:rPr>
      </w:pPr>
      <w:r w:rsidRPr="002522ED">
        <w:rPr>
          <w:rFonts w:eastAsia="Times New Roman" w:cstheme="majorBidi"/>
          <w:color w:val="0F1115"/>
          <w:kern w:val="0"/>
          <w:rtl/>
          <w14:ligatures w14:val="none"/>
        </w:rPr>
        <w:t>الكلية : كلية الادارة</w:t>
      </w:r>
    </w:p>
    <w:p w14:paraId="5CDF64C4" w14:textId="0654B228" w:rsidR="00E85ADA" w:rsidRPr="002522ED" w:rsidRDefault="00CA4E06" w:rsidP="005651E0">
      <w:pPr>
        <w:shd w:val="clear" w:color="auto" w:fill="FFFFFF"/>
        <w:bidi/>
        <w:spacing w:before="240" w:after="240"/>
        <w:jc w:val="center"/>
        <w:rPr>
          <w:rFonts w:eastAsia="Times New Roman" w:cstheme="majorBidi"/>
          <w:color w:val="0F1115"/>
          <w:kern w:val="0"/>
          <w:rtl/>
          <w14:ligatures w14:val="none"/>
        </w:rPr>
      </w:pPr>
      <w:r w:rsidRPr="002522ED">
        <w:rPr>
          <w:rFonts w:eastAsia="Times New Roman" w:cstheme="majorBidi"/>
          <w:color w:val="0F1115"/>
          <w:kern w:val="0"/>
          <w14:ligatures w14:val="none"/>
        </w:rPr>
        <w:t xml:space="preserve">1447 </w:t>
      </w:r>
      <w:r w:rsidRPr="002522ED">
        <w:rPr>
          <w:rFonts w:eastAsia="Times New Roman" w:cstheme="majorBidi"/>
          <w:color w:val="0F1115"/>
          <w:kern w:val="0"/>
          <w:rtl/>
          <w14:ligatures w14:val="none"/>
        </w:rPr>
        <w:t xml:space="preserve">هـ - </w:t>
      </w:r>
      <w:r w:rsidRPr="002522ED">
        <w:rPr>
          <w:rFonts w:eastAsia="Times New Roman" w:cstheme="majorBidi"/>
          <w:color w:val="0F1115"/>
          <w:kern w:val="0"/>
          <w14:ligatures w14:val="none"/>
        </w:rPr>
        <w:t>2026</w:t>
      </w:r>
      <w:r w:rsidRPr="002522ED">
        <w:rPr>
          <w:rFonts w:eastAsia="Times New Roman" w:cstheme="majorBidi"/>
          <w:color w:val="0F1115"/>
          <w:kern w:val="0"/>
          <w:rtl/>
          <w14:ligatures w14:val="none"/>
        </w:rPr>
        <w:t xml:space="preserve"> م</w:t>
      </w:r>
    </w:p>
    <w:p w14:paraId="3564AA85"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632F0C18"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72CDFEDB"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02902029"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05D59CD2"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37B47245" w14:textId="77777777" w:rsidR="00E85ADA" w:rsidRPr="002522ED" w:rsidRDefault="00E85ADA" w:rsidP="005651E0">
      <w:pPr>
        <w:shd w:val="clear" w:color="auto" w:fill="FFFFFF"/>
        <w:bidi/>
        <w:spacing w:before="240" w:after="240"/>
        <w:jc w:val="both"/>
        <w:rPr>
          <w:rFonts w:eastAsia="Times New Roman" w:cstheme="majorBidi"/>
          <w:color w:val="0F1115"/>
          <w:kern w:val="0"/>
          <w:rtl/>
          <w14:ligatures w14:val="none"/>
        </w:rPr>
      </w:pPr>
    </w:p>
    <w:p w14:paraId="64F59A93" w14:textId="77777777" w:rsidR="00E85ADA" w:rsidRPr="002522ED" w:rsidRDefault="00E85ADA" w:rsidP="005651E0">
      <w:pPr>
        <w:shd w:val="clear" w:color="auto" w:fill="FFFFFF"/>
        <w:bidi/>
        <w:spacing w:before="240" w:after="240"/>
        <w:jc w:val="both"/>
        <w:rPr>
          <w:rFonts w:eastAsia="Times New Roman" w:cstheme="majorBidi"/>
          <w:color w:val="0F1115"/>
          <w:kern w:val="0"/>
          <w:rtl/>
          <w14:ligatures w14:val="none"/>
        </w:rPr>
      </w:pPr>
    </w:p>
    <w:p w14:paraId="245064EF" w14:textId="77777777" w:rsidR="00E85ADA" w:rsidRPr="002522ED" w:rsidRDefault="00E85ADA" w:rsidP="005651E0">
      <w:pPr>
        <w:shd w:val="clear" w:color="auto" w:fill="FFFFFF"/>
        <w:bidi/>
        <w:spacing w:before="240" w:after="240"/>
        <w:jc w:val="both"/>
        <w:rPr>
          <w:rFonts w:eastAsia="Times New Roman" w:cstheme="majorBidi"/>
          <w:color w:val="0F1115"/>
          <w:kern w:val="0"/>
          <w:rtl/>
          <w14:ligatures w14:val="none"/>
        </w:rPr>
      </w:pPr>
    </w:p>
    <w:p w14:paraId="3825C065" w14:textId="0BB85CE1" w:rsidR="00B0244C" w:rsidRPr="002522ED" w:rsidRDefault="00E002A0" w:rsidP="005651E0">
      <w:pPr>
        <w:pStyle w:val="Heading1"/>
        <w:jc w:val="both"/>
        <w:rPr>
          <w:rFonts w:eastAsia="Times New Roman"/>
          <w:rtl/>
        </w:rPr>
      </w:pPr>
      <w:r w:rsidRPr="002522ED">
        <w:rPr>
          <w:rtl/>
        </w:rPr>
        <w:lastRenderedPageBreak/>
        <w:t>المقدمة</w:t>
      </w:r>
      <w:r w:rsidR="00B0244C" w:rsidRPr="002522ED">
        <w:rPr>
          <w:rFonts w:eastAsia="Times New Roman"/>
          <w:rtl/>
        </w:rPr>
        <w:t xml:space="preserve">: </w:t>
      </w:r>
    </w:p>
    <w:p w14:paraId="670A2A34" w14:textId="77777777" w:rsidR="00890E45" w:rsidRPr="002522ED" w:rsidRDefault="00890E45" w:rsidP="005651E0">
      <w:pPr>
        <w:shd w:val="clear" w:color="auto" w:fill="FFFFFF"/>
        <w:bidi/>
        <w:spacing w:after="0"/>
        <w:jc w:val="both"/>
        <w:rPr>
          <w:rFonts w:eastAsia="Times New Roman" w:cstheme="majorBidi"/>
          <w:color w:val="222222"/>
          <w:kern w:val="0"/>
          <w14:ligatures w14:val="none"/>
        </w:rPr>
      </w:pPr>
      <w:r w:rsidRPr="002522ED">
        <w:rPr>
          <w:rFonts w:eastAsia="Times New Roman" w:cstheme="majorBidi"/>
          <w:color w:val="222222"/>
          <w:kern w:val="0"/>
          <w:rtl/>
          <w14:ligatures w14:val="none"/>
        </w:rPr>
        <w:t>تشهد المنظمات المعاصرة، لا سيما الشركات التقنية، تحولات متسارعة في بيئات الأعمال نتيجة التقدم التكنولوجي والتغيرات المتلاحقة في الأسواق، الأمر الذي فرض عليها ضرورة تعزيز قدراتها الداخلية لمواكبة هذه التحولات. وفي هذا السياق، برزت القدرات التوليدية</w:t>
      </w:r>
      <w:r w:rsidRPr="002522ED">
        <w:rPr>
          <w:rFonts w:eastAsia="Times New Roman" w:cstheme="majorBidi"/>
          <w:color w:val="222222"/>
          <w:kern w:val="0"/>
          <w14:ligatures w14:val="none"/>
        </w:rPr>
        <w:t xml:space="preserve"> (Generative Capabilities) </w:t>
      </w:r>
      <w:r w:rsidRPr="002522ED">
        <w:rPr>
          <w:rFonts w:eastAsia="Times New Roman" w:cstheme="majorBidi"/>
          <w:color w:val="222222"/>
          <w:kern w:val="0"/>
          <w:rtl/>
          <w14:ligatures w14:val="none"/>
        </w:rPr>
        <w:t>كأحد أهم الركائز التي تعتمد عليها المنظمات لتحقيق الابتكار المستمر وتعزيز قدرتها على التكيف والاستجابة الفعالة للتغيرات. إذ تمكّن هذه القدرات المنظمات من إنتاج أفكار جديدة وتطوير حلول مبتكرة بشكل مستدام، بما يسهم في تحقيق ميزة تنافسية طويلة الأمد، من خلال توظيف المعرفة والتعلم التنظيمي والتقنيات الحديثة في دعم عمليات الابتكار</w:t>
      </w:r>
      <w:r w:rsidRPr="002522ED">
        <w:rPr>
          <w:rFonts w:eastAsia="Times New Roman" w:cstheme="majorBidi"/>
          <w:color w:val="222222"/>
          <w:kern w:val="0"/>
          <w14:ligatures w14:val="none"/>
        </w:rPr>
        <w:t xml:space="preserve"> (Guo et al., 2022; Teece, 2018).</w:t>
      </w:r>
    </w:p>
    <w:p w14:paraId="0C01EA7B" w14:textId="77777777" w:rsidR="00890E45" w:rsidRPr="002522ED" w:rsidRDefault="00890E45" w:rsidP="005651E0">
      <w:pPr>
        <w:shd w:val="clear" w:color="auto" w:fill="FFFFFF"/>
        <w:bidi/>
        <w:spacing w:after="180"/>
        <w:jc w:val="both"/>
        <w:rPr>
          <w:rFonts w:eastAsia="Times New Roman" w:cstheme="majorBidi"/>
          <w:color w:val="222222"/>
          <w:kern w:val="0"/>
          <w14:ligatures w14:val="none"/>
        </w:rPr>
      </w:pPr>
    </w:p>
    <w:p w14:paraId="408D1F24" w14:textId="3274A75E" w:rsidR="00890E45" w:rsidRPr="002522ED" w:rsidRDefault="00890E45"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xml:space="preserve">وتُعد القدرات التوليدية امتدادًا لمفاهيم الإبداع والابتكار التنظيمي، حيث ترتكز على القدرة المستمرة للمنظمة على توليد الأفكار وتطويرها وتحويلها إلى تطبيقات عملية قابلة للتنفيذ، وهو ما يتطلب بيئة تنظيمية داعمة تعتمد على التعلم المستمر والتجريب والتكيف مع المتغيرات </w:t>
      </w:r>
      <w:r w:rsidR="00B65C56" w:rsidRPr="002522ED">
        <w:rPr>
          <w:rFonts w:eastAsia="Times New Roman" w:cstheme="majorBidi"/>
          <w:color w:val="222222"/>
          <w:kern w:val="0"/>
          <w14:ligatures w14:val="none"/>
        </w:rPr>
        <w:t>(</w:t>
      </w:r>
      <w:r w:rsidRPr="002522ED">
        <w:rPr>
          <w:rFonts w:eastAsia="Times New Roman" w:cstheme="majorBidi"/>
          <w:color w:val="222222"/>
          <w:kern w:val="0"/>
          <w14:ligatures w14:val="none"/>
        </w:rPr>
        <w:t>Nonaka</w:t>
      </w:r>
      <w:r w:rsidR="00B65C56" w:rsidRPr="002522ED">
        <w:rPr>
          <w:rFonts w:eastAsia="Times New Roman" w:cstheme="majorBidi"/>
          <w:color w:val="222222"/>
          <w:kern w:val="0"/>
          <w14:ligatures w14:val="none"/>
        </w:rPr>
        <w:t xml:space="preserve"> &amp;</w:t>
      </w:r>
      <w:r w:rsidRPr="002522ED">
        <w:rPr>
          <w:rFonts w:eastAsia="Times New Roman" w:cstheme="majorBidi"/>
          <w:color w:val="222222"/>
          <w:kern w:val="0"/>
          <w:rtl/>
          <w14:ligatures w14:val="none"/>
        </w:rPr>
        <w:t xml:space="preserve">  </w:t>
      </w:r>
      <w:r w:rsidRPr="002522ED">
        <w:rPr>
          <w:rFonts w:eastAsia="Times New Roman" w:cstheme="majorBidi"/>
          <w:color w:val="222222"/>
          <w:kern w:val="0"/>
          <w14:ligatures w14:val="none"/>
        </w:rPr>
        <w:t>Takeuchi, 1995; Amabile, 1996; Dorow et al., 2015</w:t>
      </w:r>
      <w:r w:rsidR="00B65C56" w:rsidRPr="002522ED">
        <w:rPr>
          <w:rFonts w:eastAsia="Times New Roman" w:cstheme="majorBidi"/>
          <w:color w:val="222222"/>
          <w:kern w:val="0"/>
          <w14:ligatures w14:val="none"/>
        </w:rPr>
        <w:t>)</w:t>
      </w:r>
      <w:r w:rsidRPr="002522ED">
        <w:rPr>
          <w:rFonts w:eastAsia="Times New Roman" w:cstheme="majorBidi"/>
          <w:color w:val="222222"/>
          <w:kern w:val="0"/>
          <w:rtl/>
          <w14:ligatures w14:val="none"/>
        </w:rPr>
        <w:t>. كما أن تعزيز هذه القدرات يسهم في تحسين الأداء المؤسسي ورفع كفاءة الاستجابة للتحديات المستقبلية في ظل بيئات أعمال تتسم بعدم اليقين والتعقيد.</w:t>
      </w:r>
    </w:p>
    <w:p w14:paraId="73825B0D" w14:textId="6BF0E138" w:rsidR="008C0CEA" w:rsidRPr="002522ED" w:rsidRDefault="00890E45"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وفي هذا الإطار، برز الابتكار الإداري (</w:t>
      </w:r>
      <w:r w:rsidRPr="002522ED">
        <w:rPr>
          <w:rFonts w:eastAsia="Times New Roman" w:cstheme="majorBidi"/>
          <w:color w:val="222222"/>
          <w:kern w:val="0"/>
          <w14:ligatures w14:val="none"/>
        </w:rPr>
        <w:t>Administrative Innovation</w:t>
      </w:r>
      <w:r w:rsidRPr="002522ED">
        <w:rPr>
          <w:rFonts w:eastAsia="Times New Roman" w:cstheme="majorBidi"/>
          <w:color w:val="222222"/>
          <w:kern w:val="0"/>
          <w:rtl/>
          <w14:ligatures w14:val="none"/>
        </w:rPr>
        <w:t>) كأحد العوامل الجوهرية التي تسهم في تنمية القدرات التوليدية، حيث لا يقتصر على تحسين الهياكل التنظيمية أو الإجراءات الإدارية، بل يمتد ليشمل تطوير الممارسات الإدارية وأساليب اتخاذ القرار، بما يعزز كفاءة الأداء التنظيمي ويحفز الإبداع داخل المنظمة. ويُعد الابتكار الإداري عملية ديناميكية تتضمن إدخال تغييرات جوهرية في أساليب الإدارة والعمل التنظيمي، بما يسهم في تحسين استخدام الموارد وتحقيق الأهداف الاستراتيجية بكفاءة وفعالية</w:t>
      </w:r>
      <w:r w:rsidR="00657B78" w:rsidRPr="002522ED">
        <w:rPr>
          <w:rFonts w:eastAsia="Times New Roman" w:cstheme="majorBidi"/>
          <w:color w:val="222222"/>
          <w:kern w:val="0"/>
          <w14:ligatures w14:val="none"/>
        </w:rPr>
        <w:t xml:space="preserve"> </w:t>
      </w:r>
    </w:p>
    <w:p w14:paraId="23817F65" w14:textId="21D01D0B" w:rsidR="00890E45" w:rsidRPr="002522ED" w:rsidRDefault="00657B78" w:rsidP="00ED557B">
      <w:pPr>
        <w:shd w:val="clear" w:color="auto" w:fill="FFFFFF"/>
        <w:spacing w:after="180"/>
        <w:jc w:val="both"/>
        <w:rPr>
          <w:rFonts w:eastAsia="Times New Roman" w:cstheme="majorBidi"/>
          <w:color w:val="222222"/>
          <w:kern w:val="0"/>
          <w14:ligatures w14:val="none"/>
        </w:rPr>
      </w:pPr>
      <w:r w:rsidRPr="002522ED">
        <w:rPr>
          <w:rFonts w:eastAsia="Times New Roman" w:cstheme="majorBidi"/>
          <w:color w:val="222222"/>
          <w:kern w:val="0"/>
          <w14:ligatures w14:val="none"/>
        </w:rPr>
        <w:t xml:space="preserve"> </w:t>
      </w:r>
      <w:r w:rsidR="00890E45" w:rsidRPr="002522ED">
        <w:rPr>
          <w:rFonts w:eastAsia="Times New Roman" w:cstheme="majorBidi"/>
          <w:color w:val="222222"/>
          <w:kern w:val="0"/>
          <w:rtl/>
          <w14:ligatures w14:val="none"/>
        </w:rPr>
        <w:t xml:space="preserve"> </w:t>
      </w:r>
      <w:r w:rsidR="00B65C56" w:rsidRPr="002522ED">
        <w:rPr>
          <w:rFonts w:eastAsia="Times New Roman" w:cstheme="majorBidi"/>
          <w:color w:val="222222"/>
          <w:kern w:val="0"/>
          <w14:ligatures w14:val="none"/>
        </w:rPr>
        <w:t>(</w:t>
      </w:r>
      <w:r w:rsidR="00890E45" w:rsidRPr="002522ED">
        <w:rPr>
          <w:rFonts w:eastAsia="Times New Roman" w:cstheme="majorBidi"/>
          <w:color w:val="222222"/>
          <w:kern w:val="0"/>
          <w14:ligatures w14:val="none"/>
        </w:rPr>
        <w:t xml:space="preserve">Birkinshaw et al., 2008; </w:t>
      </w:r>
      <w:proofErr w:type="spellStart"/>
      <w:r w:rsidR="00890E45" w:rsidRPr="002522ED">
        <w:rPr>
          <w:rFonts w:eastAsia="Times New Roman" w:cstheme="majorBidi"/>
          <w:color w:val="222222"/>
          <w:kern w:val="0"/>
          <w14:ligatures w14:val="none"/>
        </w:rPr>
        <w:t>Damanpour</w:t>
      </w:r>
      <w:proofErr w:type="spellEnd"/>
      <w:r w:rsidR="00890E45" w:rsidRPr="002522ED">
        <w:rPr>
          <w:rFonts w:eastAsia="Times New Roman" w:cstheme="majorBidi"/>
          <w:color w:val="222222"/>
          <w:kern w:val="0"/>
          <w:rtl/>
          <w14:ligatures w14:val="none"/>
        </w:rPr>
        <w:t xml:space="preserve"> </w:t>
      </w:r>
      <w:r w:rsidR="00B65C56" w:rsidRPr="002522ED">
        <w:rPr>
          <w:rFonts w:eastAsia="Times New Roman" w:cstheme="majorBidi"/>
          <w:color w:val="222222"/>
          <w:kern w:val="0"/>
          <w14:ligatures w14:val="none"/>
        </w:rPr>
        <w:t>&amp;</w:t>
      </w:r>
      <w:r w:rsidR="00890E45" w:rsidRPr="002522ED">
        <w:rPr>
          <w:rFonts w:eastAsia="Times New Roman" w:cstheme="majorBidi"/>
          <w:color w:val="222222"/>
          <w:kern w:val="0"/>
          <w14:ligatures w14:val="none"/>
        </w:rPr>
        <w:t>Aravind, 2012; Daft, 2021</w:t>
      </w:r>
      <w:r w:rsidR="00847C2C" w:rsidRPr="002522ED">
        <w:rPr>
          <w:rFonts w:eastAsia="Times New Roman" w:cstheme="majorBidi"/>
          <w:color w:val="222222"/>
          <w:kern w:val="0"/>
          <w14:ligatures w14:val="none"/>
        </w:rPr>
        <w:t>)</w:t>
      </w:r>
      <w:r w:rsidR="00890E45" w:rsidRPr="002522ED">
        <w:rPr>
          <w:rFonts w:eastAsia="Times New Roman" w:cstheme="majorBidi"/>
          <w:color w:val="222222"/>
          <w:kern w:val="0"/>
          <w:rtl/>
          <w14:ligatures w14:val="none"/>
        </w:rPr>
        <w:t>.</w:t>
      </w:r>
    </w:p>
    <w:p w14:paraId="3A00FAD1" w14:textId="77777777" w:rsidR="00890E45" w:rsidRPr="002522ED" w:rsidRDefault="00890E45" w:rsidP="005651E0">
      <w:pPr>
        <w:shd w:val="clear" w:color="auto" w:fill="FFFFFF"/>
        <w:bidi/>
        <w:spacing w:after="180"/>
        <w:jc w:val="both"/>
        <w:rPr>
          <w:rFonts w:eastAsia="Times New Roman" w:cstheme="majorBidi"/>
          <w:color w:val="222222"/>
          <w:kern w:val="0"/>
          <w:rtl/>
          <w14:ligatures w14:val="none"/>
        </w:rPr>
      </w:pPr>
    </w:p>
    <w:p w14:paraId="52A300F3" w14:textId="441A4730" w:rsidR="00890E45" w:rsidRPr="002522ED" w:rsidRDefault="00890E45"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ومع تزايد تعقيد البيئات التنظيمية وتسارع التغيرات المستقبلية، أصبح من الضروري تبني أدوات حديثة تدعم هذا التوجه، ومن أبرزها الاستشراف الاستراتيجي (</w:t>
      </w:r>
      <w:r w:rsidRPr="002522ED">
        <w:rPr>
          <w:rFonts w:eastAsia="Times New Roman" w:cstheme="majorBidi"/>
          <w:color w:val="222222"/>
          <w:kern w:val="0"/>
          <w14:ligatures w14:val="none"/>
        </w:rPr>
        <w:t>Strategic Foresight</w:t>
      </w:r>
      <w:r w:rsidRPr="002522ED">
        <w:rPr>
          <w:rFonts w:eastAsia="Times New Roman" w:cstheme="majorBidi"/>
          <w:color w:val="222222"/>
          <w:kern w:val="0"/>
          <w:rtl/>
          <w14:ligatures w14:val="none"/>
        </w:rPr>
        <w:t xml:space="preserve">)، الذي يُعد منهجية استباقية تهدف إلى استكشاف المستقبل وتحليل الاتجاهات وبناء السيناريوهات المختلفة، بما يسهم في تحسين جودة القرارات الاستراتيجية وتعزيز قدرة المنظمة على التكيف مع التغيرات المستقبلية. ويعمل الاستشراف الاستراتيجي على تمكين القيادات من اتخاذ قرارات أكثر وعيًا واستباقية، من خلال فهم أعمق للفرص والتحديات المستقبلية </w:t>
      </w:r>
      <w:r w:rsidR="00847C2C" w:rsidRPr="002522ED">
        <w:rPr>
          <w:rFonts w:eastAsia="Times New Roman" w:cstheme="majorBidi"/>
          <w:color w:val="222222"/>
          <w:kern w:val="0"/>
          <w14:ligatures w14:val="none"/>
        </w:rPr>
        <w:t>(</w:t>
      </w:r>
      <w:r w:rsidRPr="002522ED">
        <w:rPr>
          <w:rFonts w:eastAsia="Times New Roman" w:cstheme="majorBidi"/>
          <w:color w:val="222222"/>
          <w:kern w:val="0"/>
          <w14:ligatures w14:val="none"/>
        </w:rPr>
        <w:t>Rohrbeck et al., 2015; OECD, 2022</w:t>
      </w:r>
      <w:r w:rsidR="00847C2C" w:rsidRPr="002522ED">
        <w:rPr>
          <w:rFonts w:eastAsia="Times New Roman" w:cstheme="majorBidi"/>
          <w:color w:val="222222"/>
          <w:kern w:val="0"/>
          <w14:ligatures w14:val="none"/>
        </w:rPr>
        <w:t>)</w:t>
      </w:r>
      <w:r w:rsidRPr="002522ED">
        <w:rPr>
          <w:rFonts w:eastAsia="Times New Roman" w:cstheme="majorBidi"/>
          <w:color w:val="222222"/>
          <w:kern w:val="0"/>
          <w:rtl/>
          <w14:ligatures w14:val="none"/>
        </w:rPr>
        <w:t>.</w:t>
      </w:r>
    </w:p>
    <w:p w14:paraId="52684457" w14:textId="77777777" w:rsidR="00890E45" w:rsidRPr="002522ED" w:rsidRDefault="00890E45" w:rsidP="005651E0">
      <w:pPr>
        <w:shd w:val="clear" w:color="auto" w:fill="FFFFFF"/>
        <w:bidi/>
        <w:spacing w:after="180"/>
        <w:jc w:val="both"/>
        <w:rPr>
          <w:rFonts w:eastAsia="Times New Roman" w:cstheme="majorBidi"/>
          <w:color w:val="222222"/>
          <w:kern w:val="0"/>
          <w:rtl/>
          <w14:ligatures w14:val="none"/>
        </w:rPr>
      </w:pPr>
    </w:p>
    <w:p w14:paraId="0512A430" w14:textId="77777777" w:rsidR="00890E45" w:rsidRPr="002522ED" w:rsidRDefault="00890E45"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lastRenderedPageBreak/>
        <w:t>كما يسهم الاستشراف الاستراتيجي في دعم الابتكار الإداري من خلال توجيه الجهود التنظيمية نحو استثمار الفرص المستقبلية، وتعزيز التفكير الاستراتيجي، وربط الحاضر بالمستقبل، بما ينعكس إيجابًا على قدرة المنظمة في توليد الأفكار وتطويرها وتحويلها إلى ممارسات إدارية مبتكرة.</w:t>
      </w:r>
    </w:p>
    <w:p w14:paraId="37316C1A" w14:textId="77777777" w:rsidR="00890E45" w:rsidRPr="002522ED" w:rsidRDefault="00890E45" w:rsidP="005651E0">
      <w:pPr>
        <w:shd w:val="clear" w:color="auto" w:fill="FFFFFF"/>
        <w:bidi/>
        <w:spacing w:after="180"/>
        <w:jc w:val="both"/>
        <w:rPr>
          <w:rFonts w:eastAsia="Times New Roman" w:cstheme="majorBidi"/>
          <w:color w:val="222222"/>
          <w:kern w:val="0"/>
          <w:rtl/>
          <w14:ligatures w14:val="none"/>
        </w:rPr>
      </w:pPr>
    </w:p>
    <w:p w14:paraId="168364F7" w14:textId="77777777" w:rsidR="00A57C93" w:rsidRPr="002522ED" w:rsidRDefault="00890E45" w:rsidP="005651E0">
      <w:pPr>
        <w:shd w:val="clear" w:color="auto" w:fill="FFFFFF"/>
        <w:bidi/>
        <w:spacing w:after="180"/>
        <w:jc w:val="both"/>
        <w:rPr>
          <w:rFonts w:eastAsia="Times New Roman" w:cstheme="majorBidi"/>
          <w:color w:val="0F1115"/>
          <w:kern w:val="0"/>
          <w14:ligatures w14:val="none"/>
        </w:rPr>
      </w:pPr>
      <w:r w:rsidRPr="002522ED">
        <w:rPr>
          <w:rFonts w:eastAsia="Times New Roman" w:cstheme="majorBidi"/>
          <w:color w:val="222222"/>
          <w:kern w:val="0"/>
          <w:rtl/>
          <w14:ligatures w14:val="none"/>
        </w:rPr>
        <w:t>وانطلاقًا من ذلك، يُتوقع أن يلعب الاستشراف الاستراتيجي دورًا وسيطًا مهمًا في تعزيز العلاقة بين الابتكار الإداري والقدرات التوليدية، من خلال توجيه الممارسات الإدارية نحو استثمار الفرص المستقبلية وتحفيز الابتكار المستدام.</w:t>
      </w:r>
      <w:r w:rsidR="00A57C93" w:rsidRPr="002522ED">
        <w:rPr>
          <w:rFonts w:eastAsia="Times New Roman" w:cstheme="majorBidi"/>
          <w:color w:val="0F1115"/>
          <w:kern w:val="0"/>
          <w:rtl/>
          <w14:ligatures w14:val="none"/>
        </w:rPr>
        <w:t xml:space="preserve"> </w:t>
      </w:r>
    </w:p>
    <w:p w14:paraId="517E834C" w14:textId="255E28D5" w:rsidR="00890E45" w:rsidRPr="002522ED" w:rsidRDefault="007F17E2"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هناك فجوة بحثية تتمثل في عدم وضوح طبيعة العلاقة بين الابتكار الإداري والقدرات التوليدية، وكذلك عدم اختبار تأثير الاستشراف الاستراتيجي كمتغير وسيط في هذه العلاقة، خاصة في سياق الشركات التقنية الخاصة في المملكة العربية السعودية، التي تمثل بيئة ديناميكية تتطلب مستويات عالية من الابتكار والتكيف مع التغيرات.</w:t>
      </w:r>
    </w:p>
    <w:p w14:paraId="7D7FD5A5" w14:textId="0D1C420C" w:rsidR="00890E45" w:rsidRPr="002522ED" w:rsidRDefault="00890E45"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وبناءً عليه، تسعى هذه الدراسة إلى تحليل تأثير الابتكار الإداري على القدرات التوليدية، ودراسة الدور الوسيط للاستشراف الاستراتيجي في هذه العلاقة، وذلك في الشركات التقنية الخاصة في المملكة العربية السعودية</w:t>
      </w:r>
    </w:p>
    <w:p w14:paraId="38C55666" w14:textId="0B8C86D4" w:rsidR="000C6CFC" w:rsidRPr="002522ED" w:rsidRDefault="000C6CFC" w:rsidP="005651E0">
      <w:pPr>
        <w:pStyle w:val="Heading1"/>
        <w:jc w:val="both"/>
      </w:pPr>
      <w:r w:rsidRPr="002522ED">
        <w:rPr>
          <w:rtl/>
        </w:rPr>
        <w:t xml:space="preserve">مشكلة الدراسة وأسئلتها </w:t>
      </w:r>
    </w:p>
    <w:p w14:paraId="59A03A1C" w14:textId="77777777" w:rsidR="002D4DC9" w:rsidRPr="002522ED" w:rsidRDefault="000C7E78" w:rsidP="005651E0">
      <w:pPr>
        <w:pStyle w:val="NormalWeb"/>
        <w:shd w:val="clear" w:color="auto" w:fill="FFFFFF"/>
        <w:bidi/>
        <w:spacing w:after="180"/>
        <w:jc w:val="both"/>
        <w:rPr>
          <w:rFonts w:asciiTheme="majorBidi" w:eastAsia="Times New Roman" w:hAnsiTheme="majorBidi" w:cstheme="majorBidi"/>
          <w:color w:val="222222"/>
          <w:kern w:val="0"/>
          <w14:ligatures w14:val="none"/>
        </w:rPr>
      </w:pPr>
      <w:r w:rsidRPr="002522ED">
        <w:rPr>
          <w:rFonts w:asciiTheme="majorBidi" w:eastAsia="Times New Roman" w:hAnsiTheme="majorBidi" w:cstheme="majorBidi"/>
          <w:color w:val="222222"/>
          <w:kern w:val="0"/>
          <w:rtl/>
          <w14:ligatures w14:val="none"/>
        </w:rPr>
        <w:t xml:space="preserve"> على الرغم من الاهتمام الكبير في الأدبيات الإدارية بدراسة الابتكار الإداري ودوره في تحسين الأداء المؤسسي، إلا أن معظم الدراسات ركزت على الابتكار التقني أو التنظيمي، بينما لا تزال الدراسات التي تناولت الابتكار الإداري بوصفه متغيرًا مستقلاً متكامل الأبعاد محدودة</w:t>
      </w:r>
      <w:r w:rsidR="002D4DC9" w:rsidRPr="002522ED">
        <w:rPr>
          <w:rFonts w:asciiTheme="majorBidi" w:eastAsia="Times New Roman" w:hAnsiTheme="majorBidi" w:cstheme="majorBidi"/>
          <w:color w:val="222222"/>
          <w:kern w:val="0"/>
          <w14:ligatures w14:val="none"/>
        </w:rPr>
        <w:t xml:space="preserve"> </w:t>
      </w:r>
    </w:p>
    <w:p w14:paraId="055D31DA" w14:textId="654669FB" w:rsidR="000C7E78" w:rsidRPr="002522ED" w:rsidRDefault="0020687F" w:rsidP="005651E0">
      <w:pPr>
        <w:pStyle w:val="NormalWeb"/>
        <w:shd w:val="clear" w:color="auto" w:fill="FFFFFF"/>
        <w:spacing w:after="180"/>
        <w:jc w:val="both"/>
        <w:rPr>
          <w:rFonts w:asciiTheme="majorBidi" w:eastAsia="Times New Roman" w:hAnsiTheme="majorBidi" w:cstheme="majorBidi"/>
          <w:color w:val="222222"/>
          <w:kern w:val="0"/>
          <w14:ligatures w14:val="none"/>
        </w:rPr>
      </w:pPr>
      <w:r w:rsidRPr="002522ED">
        <w:rPr>
          <w:rFonts w:asciiTheme="majorBidi" w:eastAsia="Times New Roman" w:hAnsiTheme="majorBidi" w:cstheme="majorBidi"/>
          <w:color w:val="222222"/>
          <w:kern w:val="0"/>
          <w14:ligatures w14:val="none"/>
        </w:rPr>
        <w:t>(</w:t>
      </w:r>
      <w:proofErr w:type="spellStart"/>
      <w:r w:rsidR="000C7E78" w:rsidRPr="002522ED">
        <w:rPr>
          <w:rFonts w:asciiTheme="majorBidi" w:eastAsia="Times New Roman" w:hAnsiTheme="majorBidi" w:cstheme="majorBidi"/>
          <w:color w:val="222222"/>
          <w:kern w:val="0"/>
          <w14:ligatures w14:val="none"/>
        </w:rPr>
        <w:t>Damanpour</w:t>
      </w:r>
      <w:proofErr w:type="spellEnd"/>
      <w:r w:rsidR="000C7E78" w:rsidRPr="002522ED">
        <w:rPr>
          <w:rFonts w:asciiTheme="majorBidi" w:eastAsia="Times New Roman" w:hAnsiTheme="majorBidi" w:cstheme="majorBidi"/>
          <w:color w:val="222222"/>
          <w:kern w:val="0"/>
          <w:rtl/>
          <w14:ligatures w14:val="none"/>
        </w:rPr>
        <w:t xml:space="preserve"> &amp; </w:t>
      </w:r>
      <w:r w:rsidR="000C7E78" w:rsidRPr="002522ED">
        <w:rPr>
          <w:rFonts w:asciiTheme="majorBidi" w:eastAsia="Times New Roman" w:hAnsiTheme="majorBidi" w:cstheme="majorBidi"/>
          <w:color w:val="222222"/>
          <w:kern w:val="0"/>
          <w14:ligatures w14:val="none"/>
        </w:rPr>
        <w:t>Aravind, 2012</w:t>
      </w:r>
      <w:r w:rsidR="00C02461" w:rsidRPr="002522ED">
        <w:rPr>
          <w:rFonts w:asciiTheme="majorBidi" w:eastAsia="Times New Roman" w:hAnsiTheme="majorBidi" w:cstheme="majorBidi"/>
          <w:color w:val="222222"/>
          <w:kern w:val="0"/>
          <w14:ligatures w14:val="none"/>
        </w:rPr>
        <w:t>)</w:t>
      </w:r>
    </w:p>
    <w:p w14:paraId="634E1E08" w14:textId="77777777" w:rsidR="000C7E78" w:rsidRPr="002522ED" w:rsidRDefault="000C7E78" w:rsidP="005651E0">
      <w:pPr>
        <w:shd w:val="clear" w:color="auto" w:fill="FFFFFF"/>
        <w:bidi/>
        <w:spacing w:after="180"/>
        <w:jc w:val="both"/>
        <w:rPr>
          <w:rFonts w:eastAsia="Times New Roman" w:cstheme="majorBidi"/>
          <w:color w:val="222222"/>
          <w:kern w:val="0"/>
          <w:rtl/>
          <w14:ligatures w14:val="none"/>
        </w:rPr>
      </w:pPr>
    </w:p>
    <w:p w14:paraId="46E30EB2" w14:textId="3FA5CEF0" w:rsidR="000C7E78" w:rsidRPr="002522ED" w:rsidRDefault="000C7E78"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xml:space="preserve">كما أن الدراسات التي تناولت القدرات التوليدية ركزت في سياق الإبداع الفردي أو فرق العمل، دون ربطها بصورة مباشرة ومنهجية بالابتكار الإداري على المستوى المؤسسي، مما يشير إلى وجود قصور في تفسير كيفية تنمية هذه القدرات من خلال الممارسات الإدارية الحديثة </w:t>
      </w:r>
      <w:r w:rsidR="00547848" w:rsidRPr="002522ED">
        <w:rPr>
          <w:rFonts w:eastAsia="Times New Roman" w:cstheme="majorBidi"/>
          <w:color w:val="222222"/>
          <w:kern w:val="0"/>
          <w14:ligatures w14:val="none"/>
        </w:rPr>
        <w:t>(</w:t>
      </w:r>
      <w:r w:rsidRPr="002522ED">
        <w:rPr>
          <w:rFonts w:eastAsia="Times New Roman" w:cstheme="majorBidi"/>
          <w:color w:val="222222"/>
          <w:kern w:val="0"/>
          <w14:ligatures w14:val="none"/>
        </w:rPr>
        <w:t>Dorow et al., 2015</w:t>
      </w:r>
      <w:r w:rsidR="00547848" w:rsidRPr="002522ED">
        <w:rPr>
          <w:rFonts w:eastAsia="Times New Roman" w:cstheme="majorBidi"/>
          <w:color w:val="222222"/>
          <w:kern w:val="0"/>
          <w14:ligatures w14:val="none"/>
        </w:rPr>
        <w:t>)</w:t>
      </w:r>
    </w:p>
    <w:p w14:paraId="0F55710F" w14:textId="77777777" w:rsidR="000C7E78" w:rsidRPr="002522ED" w:rsidRDefault="000C7E78"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ومن جهة أخرى، وعلى الرغم من تزايد الاهتمام بمفهوم الاستشراف الاستراتيجي في المؤسسات الدولية والحكومية، إلا أن الأدبيات العربية والأجنبية ما تزال تعاني من نقص في الدراسات التي بحثت دوره كعامل تكاملي أو كمتغير وسيط في دعم الابتكار الإداري وتعزيز القدرات التوليدية داخل المنظمات، خاصة في البيئات الديناميكية (</w:t>
      </w:r>
      <w:r w:rsidRPr="002522ED">
        <w:rPr>
          <w:rFonts w:eastAsia="Times New Roman" w:cstheme="majorBidi"/>
          <w:color w:val="222222"/>
          <w:kern w:val="0"/>
          <w14:ligatures w14:val="none"/>
        </w:rPr>
        <w:t>OECD, 2022; UNESCWA, 2021</w:t>
      </w:r>
      <w:r w:rsidRPr="002522ED">
        <w:rPr>
          <w:rFonts w:eastAsia="Times New Roman" w:cstheme="majorBidi"/>
          <w:color w:val="222222"/>
          <w:kern w:val="0"/>
          <w:rtl/>
          <w14:ligatures w14:val="none"/>
        </w:rPr>
        <w:t>).</w:t>
      </w:r>
    </w:p>
    <w:p w14:paraId="5BDF0CF6" w14:textId="77777777" w:rsidR="000C7E78" w:rsidRPr="002522ED" w:rsidRDefault="000C7E78" w:rsidP="005651E0">
      <w:pPr>
        <w:shd w:val="clear" w:color="auto" w:fill="FFFFFF"/>
        <w:bidi/>
        <w:spacing w:after="180"/>
        <w:jc w:val="both"/>
        <w:rPr>
          <w:rFonts w:eastAsia="Times New Roman" w:cstheme="majorBidi"/>
          <w:color w:val="222222"/>
          <w:kern w:val="0"/>
          <w:rtl/>
          <w14:ligatures w14:val="none"/>
        </w:rPr>
      </w:pPr>
    </w:p>
    <w:p w14:paraId="17012245" w14:textId="2F33E33A" w:rsidR="000C7E78" w:rsidRPr="002522ED" w:rsidRDefault="000C7E78" w:rsidP="00625B85">
      <w:pPr>
        <w:bidi/>
        <w:jc w:val="both"/>
      </w:pPr>
      <w:r w:rsidRPr="002522ED">
        <w:rPr>
          <w:rtl/>
        </w:rPr>
        <w:lastRenderedPageBreak/>
        <w:t xml:space="preserve">كما تشير الأدبيات الحديثة إلى أن قدرة المنظمات على تحقيق التكيف الاستراتيجي وتعزيز الابتكار ترتبط ارتباطًا وثيقًا بالممارسات الإدارية وهياكل التنظيم. وقد أكد </w:t>
      </w:r>
      <w:r w:rsidRPr="002522ED">
        <w:t>Henry Mintzberg</w:t>
      </w:r>
      <w:r w:rsidRPr="002522ED">
        <w:rPr>
          <w:rtl/>
        </w:rPr>
        <w:t xml:space="preserve"> أن الاستراتيجية لا تتشكل فقط من خلال التخطيط الرسمي، بل تنشأ أيضًا من التعلم التنظيمي والتفاعل المستمر داخل المنظمة، مما يعزز أهمية الابتكار الإداري في تطوير الممارسات التنظيمية. وفي السياق ذاته، يرى </w:t>
      </w:r>
      <w:r w:rsidRPr="002522ED">
        <w:t>Richard L. Daft</w:t>
      </w:r>
      <w:r w:rsidRPr="002522ED">
        <w:rPr>
          <w:rtl/>
        </w:rPr>
        <w:t xml:space="preserve"> أن الهياكل التنظيمية وأساليب الإدارة تمثل عنصرًا جوهريًا في تعزيز الأداء التنظيمي وبناء قدرات المنظمة على الاستجابة للتغيرات </w:t>
      </w:r>
      <w:proofErr w:type="gramStart"/>
      <w:r w:rsidRPr="002522ED">
        <w:rPr>
          <w:rtl/>
        </w:rPr>
        <w:t xml:space="preserve">المستقبلية </w:t>
      </w:r>
      <w:r w:rsidR="00ED557B">
        <w:rPr>
          <w:rFonts w:hint="cs"/>
          <w:rtl/>
        </w:rPr>
        <w:t xml:space="preserve"> </w:t>
      </w:r>
      <w:r w:rsidR="00547848" w:rsidRPr="002522ED">
        <w:t>(</w:t>
      </w:r>
      <w:proofErr w:type="gramEnd"/>
      <w:r w:rsidRPr="002522ED">
        <w:t>Mintzberg, 2009; Daft, 2021</w:t>
      </w:r>
      <w:r w:rsidR="00547848" w:rsidRPr="002522ED">
        <w:t>)</w:t>
      </w:r>
    </w:p>
    <w:p w14:paraId="23AEE683" w14:textId="77777777" w:rsidR="000C7E78" w:rsidRPr="002522ED" w:rsidRDefault="000C7E78"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وعلى الرغم من هذه الأهمية، لا تزال هناك فجوة بحثية تتمثل في عدم وضوح طبيعة العلاقة بين الابتكار الإداري والقدرات التوليدية، وكذلك عدم اختبار تأثير الاستشراف الاستراتيجي كمتغير وسيط في هذه العلاقة، خاصة في سياق الشركات التقنية الخاصة في المملكة العربية السعودية، التي تمثل بيئة ديناميكية تتطلب مستويات عالية من الابتكار والتكيف مع التغيرات.</w:t>
      </w:r>
    </w:p>
    <w:p w14:paraId="3CA6B91D" w14:textId="1C6F1BEF" w:rsidR="000C7E78" w:rsidRPr="002522ED" w:rsidRDefault="000C7E78"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وعليه، تتمثل مشكلة الدراسة في وجود فجوة بحثية تتعلق بعدم وضوح تأثير الابتكار الإداري على القدرات التوليدية، وعدم اختبار تأثير الاستشراف الاستراتيجي كمتغير وسيط في هذه العلاقة داخل الشركات التقنية الخاصة في المملكة العربية السعودية.</w:t>
      </w:r>
      <w:r w:rsidRPr="002522ED">
        <w:rPr>
          <w:rFonts w:eastAsia="Times New Roman" w:cstheme="majorBidi"/>
          <w:b/>
          <w:bCs/>
          <w:color w:val="222222"/>
          <w:kern w:val="0"/>
          <w14:ligatures w14:val="none"/>
        </w:rPr>
        <w:t> </w:t>
      </w:r>
    </w:p>
    <w:p w14:paraId="6C2744AA" w14:textId="77777777" w:rsidR="000C7E78" w:rsidRPr="002522ED" w:rsidRDefault="000C7E78"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في ضوء ما سبق، يمكن صياغة مشكلة الدراسة في التساؤل الرئيسي الآتي:</w:t>
      </w:r>
    </w:p>
    <w:p w14:paraId="05EBB4BD" w14:textId="49E5EA97" w:rsidR="000C7E78" w:rsidRPr="002522ED" w:rsidRDefault="000C7E78" w:rsidP="005651E0">
      <w:pPr>
        <w:pStyle w:val="ListParagraph"/>
        <w:numPr>
          <w:ilvl w:val="0"/>
          <w:numId w:val="67"/>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ما تأثير الابتكار الإداري على القدرات التوليدية في الشركات التقنية الخاصة في المملكة العربية السعودية، وما دور الاستشراف الاستراتيجي كمتغير وسيط في هذه العلاقة؟</w:t>
      </w:r>
    </w:p>
    <w:p w14:paraId="60FE877D" w14:textId="42F676C2" w:rsidR="000C7E78" w:rsidRPr="002522ED" w:rsidRDefault="00FF4970"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التساؤلات الفرعية</w:t>
      </w:r>
      <w:r w:rsidRPr="002522ED">
        <w:rPr>
          <w:rFonts w:eastAsia="Times New Roman" w:cstheme="majorBidi"/>
          <w:color w:val="222222"/>
          <w:kern w:val="0"/>
          <w14:ligatures w14:val="none"/>
        </w:rPr>
        <w:t>:</w:t>
      </w:r>
    </w:p>
    <w:p w14:paraId="1FA0A605"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ما مستوى ممارسة الابتكار الإداري في الشركات التقنية الخاصة في المملكة العربية السعودية؟</w:t>
      </w:r>
    </w:p>
    <w:p w14:paraId="710DDEF6"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ما مستوى تطبيق الاستشراف الاستراتيجي لدى القيادات العليا؟</w:t>
      </w:r>
    </w:p>
    <w:p w14:paraId="3C2F78B5"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ما مستوى توافر القدرات التوليدية داخل الشركات التقنية الخاصة؟</w:t>
      </w:r>
    </w:p>
    <w:p w14:paraId="04367C9E"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هل يوجد تأثير ذو دلالة إحصائية للابتكار الإداري على القدرات التوليدية؟</w:t>
      </w:r>
    </w:p>
    <w:p w14:paraId="39576A1A"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هل يوجد تأثير ذو دلالة إحصائية للابتكار الإداري على الاستشراف الاستراتيجي؟</w:t>
      </w:r>
    </w:p>
    <w:p w14:paraId="698E43D4"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هل يوجد تأثير ذو دلالة إحصائية للاستشراف الاستراتيجي على القدرات التوليدية؟</w:t>
      </w:r>
    </w:p>
    <w:p w14:paraId="11CD1ACC"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هل يلعب الاستشراف الاستراتيجي دورًا وسيطًا في العلاقة بين الابتكار الإداري والقدرات التوليدية؟</w:t>
      </w:r>
    </w:p>
    <w:p w14:paraId="1BD6B17D" w14:textId="2FBD4986" w:rsidR="00711BCB" w:rsidRPr="002522ED" w:rsidRDefault="00711BCB" w:rsidP="005651E0">
      <w:pPr>
        <w:shd w:val="clear" w:color="auto" w:fill="FFFFFF"/>
        <w:bidi/>
        <w:spacing w:after="0"/>
        <w:ind w:right="225"/>
        <w:jc w:val="both"/>
        <w:rPr>
          <w:rFonts w:eastAsia="Times New Roman" w:cstheme="majorBidi"/>
          <w:color w:val="222222"/>
          <w:kern w:val="0"/>
          <w:rtl/>
          <w14:ligatures w14:val="none"/>
        </w:rPr>
      </w:pPr>
    </w:p>
    <w:p w14:paraId="09B9A70E" w14:textId="4ACB6B63" w:rsidR="007F0858" w:rsidRPr="002522ED" w:rsidRDefault="007F0858" w:rsidP="005651E0">
      <w:pPr>
        <w:pStyle w:val="Heading1"/>
        <w:jc w:val="both"/>
        <w:rPr>
          <w:rtl/>
        </w:rPr>
      </w:pPr>
      <w:r w:rsidRPr="002522ED">
        <w:rPr>
          <w:rtl/>
        </w:rPr>
        <w:lastRenderedPageBreak/>
        <w:t>أهمية الدراسة النظرية والتطبيقية:</w:t>
      </w:r>
    </w:p>
    <w:p w14:paraId="04B46C69" w14:textId="77777777" w:rsidR="00DD0478" w:rsidRPr="002522ED" w:rsidRDefault="00B12091" w:rsidP="005651E0">
      <w:pPr>
        <w:pStyle w:val="Heading2"/>
        <w:bidi/>
        <w:jc w:val="both"/>
        <w:rPr>
          <w:rFonts w:asciiTheme="majorBidi" w:hAnsiTheme="majorBidi"/>
          <w:sz w:val="24"/>
          <w:szCs w:val="24"/>
          <w:rtl/>
        </w:rPr>
      </w:pPr>
      <w:r w:rsidRPr="002522ED">
        <w:rPr>
          <w:rFonts w:asciiTheme="majorBidi" w:hAnsiTheme="majorBidi"/>
          <w:sz w:val="24"/>
          <w:szCs w:val="24"/>
          <w:rtl/>
        </w:rPr>
        <w:t>الأهمية النظرية</w:t>
      </w:r>
      <w:r w:rsidR="00B105ED" w:rsidRPr="002522ED">
        <w:rPr>
          <w:rFonts w:asciiTheme="majorBidi" w:hAnsiTheme="majorBidi"/>
          <w:sz w:val="24"/>
          <w:szCs w:val="24"/>
          <w:rtl/>
        </w:rPr>
        <w:t xml:space="preserve">: </w:t>
      </w:r>
    </w:p>
    <w:p w14:paraId="6DEAE035" w14:textId="1B621638" w:rsidR="007F0858" w:rsidRPr="002522ED" w:rsidRDefault="00784B14" w:rsidP="002C2F6E">
      <w:pPr>
        <w:bidi/>
        <w:jc w:val="both"/>
        <w:rPr>
          <w:rtl/>
        </w:rPr>
      </w:pPr>
      <w:r w:rsidRPr="002522ED">
        <w:rPr>
          <w:rtl/>
        </w:rPr>
        <w:t>تكتسب الدراسة أهميتها من كونها توفر إطارا متكاملا لفهم العلاقة بين الابتكار الإداري والاستشراف الاستراتيجي والقدرات التوليدية وتقدم توصيات عملية لتطوير الأداء المؤسسي وتعزيز الابتكار داخل المنظمات</w:t>
      </w:r>
      <w:r w:rsidR="00252B46" w:rsidRPr="002522ED">
        <w:rPr>
          <w:rtl/>
        </w:rPr>
        <w:t xml:space="preserve">. حيث </w:t>
      </w:r>
      <w:r w:rsidR="00B105ED" w:rsidRPr="002522ED">
        <w:rPr>
          <w:rtl/>
        </w:rPr>
        <w:t>يتناول البحث</w:t>
      </w:r>
      <w:r w:rsidR="004122C2" w:rsidRPr="002522ED">
        <w:rPr>
          <w:rtl/>
        </w:rPr>
        <w:t xml:space="preserve"> العلاق</w:t>
      </w:r>
      <w:r w:rsidR="00EB5AF3" w:rsidRPr="002522ED">
        <w:rPr>
          <w:rtl/>
        </w:rPr>
        <w:t>ة بين المتغيرات وهي الابتكار الإداري</w:t>
      </w:r>
      <w:r w:rsidR="00D56103" w:rsidRPr="002522ED">
        <w:rPr>
          <w:rtl/>
        </w:rPr>
        <w:t xml:space="preserve"> القدرات التوليدية والاستشراف الاستراتيجي. وقد تبين</w:t>
      </w:r>
      <w:r w:rsidR="00E268AB" w:rsidRPr="002522ED">
        <w:rPr>
          <w:rtl/>
        </w:rPr>
        <w:t xml:space="preserve"> من خلال العرض والتحليل الأدبي للبحوث السابقة وجود العديد من البحوث التي تناولت</w:t>
      </w:r>
      <w:r w:rsidR="00427559" w:rsidRPr="002522ED">
        <w:rPr>
          <w:rtl/>
        </w:rPr>
        <w:t xml:space="preserve"> الابتكار الإداري</w:t>
      </w:r>
      <w:r w:rsidR="00282D22" w:rsidRPr="002522ED">
        <w:rPr>
          <w:rtl/>
        </w:rPr>
        <w:t xml:space="preserve"> ودوره في الأداء المؤسسي</w:t>
      </w:r>
      <w:r w:rsidR="00CB1608" w:rsidRPr="002522ED">
        <w:rPr>
          <w:rtl/>
        </w:rPr>
        <w:t xml:space="preserve"> كما هناك دراسات تناولت القدرات التوليدية</w:t>
      </w:r>
      <w:r w:rsidR="004C5896" w:rsidRPr="002522ED">
        <w:rPr>
          <w:rtl/>
        </w:rPr>
        <w:t>.</w:t>
      </w:r>
      <w:r w:rsidR="008D1707" w:rsidRPr="002522ED">
        <w:rPr>
          <w:rtl/>
        </w:rPr>
        <w:t xml:space="preserve"> وعلى العكس من ذلك فإن هناك </w:t>
      </w:r>
      <w:r w:rsidR="00D946DF" w:rsidRPr="002522ED">
        <w:rPr>
          <w:rtl/>
        </w:rPr>
        <w:t>محدودية</w:t>
      </w:r>
      <w:r w:rsidR="008D1707" w:rsidRPr="002522ED">
        <w:rPr>
          <w:rtl/>
        </w:rPr>
        <w:t xml:space="preserve"> واضحة في البحوث التي تناولت الابتكار </w:t>
      </w:r>
      <w:r w:rsidR="00D946DF" w:rsidRPr="002522ED">
        <w:rPr>
          <w:rtl/>
        </w:rPr>
        <w:t>الإداري كمتغير مستقل وكذلك</w:t>
      </w:r>
      <w:r w:rsidR="001F4678" w:rsidRPr="002522ED">
        <w:rPr>
          <w:rtl/>
        </w:rPr>
        <w:t xml:space="preserve"> لا توجد درسات</w:t>
      </w:r>
      <w:r w:rsidR="00271661" w:rsidRPr="002522ED">
        <w:rPr>
          <w:rtl/>
        </w:rPr>
        <w:t xml:space="preserve"> تناولت </w:t>
      </w:r>
      <w:r w:rsidR="008A48E5" w:rsidRPr="002522ED">
        <w:rPr>
          <w:rtl/>
        </w:rPr>
        <w:t>ربط القدرات التوليدية بشكل مباشر بالابتكار الإداري و</w:t>
      </w:r>
      <w:r w:rsidR="00C565E6" w:rsidRPr="002522ED">
        <w:rPr>
          <w:rtl/>
        </w:rPr>
        <w:t xml:space="preserve"> أيضا</w:t>
      </w:r>
      <w:r w:rsidR="008A48E5" w:rsidRPr="002522ED">
        <w:rPr>
          <w:rtl/>
        </w:rPr>
        <w:t>هناك ندرة</w:t>
      </w:r>
      <w:r w:rsidR="003D0088" w:rsidRPr="002522ED">
        <w:rPr>
          <w:rtl/>
        </w:rPr>
        <w:t xml:space="preserve"> واضحة في البحوث</w:t>
      </w:r>
      <w:r w:rsidR="00C565E6" w:rsidRPr="002522ED">
        <w:rPr>
          <w:rtl/>
        </w:rPr>
        <w:t xml:space="preserve"> العربية</w:t>
      </w:r>
      <w:r w:rsidR="003D0088" w:rsidRPr="002522ED">
        <w:rPr>
          <w:rtl/>
        </w:rPr>
        <w:t xml:space="preserve"> التي تناولت</w:t>
      </w:r>
      <w:r w:rsidR="00166061" w:rsidRPr="002522ED">
        <w:rPr>
          <w:rtl/>
        </w:rPr>
        <w:t xml:space="preserve"> الاستشراف الاستراتيجي</w:t>
      </w:r>
      <w:r w:rsidR="00C565E6" w:rsidRPr="002522ED">
        <w:rPr>
          <w:rtl/>
        </w:rPr>
        <w:t xml:space="preserve"> كوسيط أو دور تكاملي</w:t>
      </w:r>
      <w:r w:rsidR="00FA72B1" w:rsidRPr="002522ED">
        <w:rPr>
          <w:rtl/>
        </w:rPr>
        <w:t xml:space="preserve"> لدعم الابتكار الإداري وتعزيز القدرات التوليدية</w:t>
      </w:r>
      <w:r w:rsidR="000A6F1C" w:rsidRPr="002522ED">
        <w:rPr>
          <w:rtl/>
        </w:rPr>
        <w:t>,</w:t>
      </w:r>
      <w:r w:rsidR="000731BE" w:rsidRPr="002522ED">
        <w:rPr>
          <w:rtl/>
        </w:rPr>
        <w:t xml:space="preserve"> ومن ثم يستمد البحث أهميته كونه يسعى للمساهمة في سد هذه الفجوة </w:t>
      </w:r>
      <w:r w:rsidR="00F0034D" w:rsidRPr="002522ED">
        <w:rPr>
          <w:rtl/>
        </w:rPr>
        <w:t>ينبغي</w:t>
      </w:r>
      <w:r w:rsidR="003217C7" w:rsidRPr="002522ED">
        <w:rPr>
          <w:rtl/>
        </w:rPr>
        <w:t xml:space="preserve"> التصدي لها</w:t>
      </w:r>
      <w:r w:rsidR="001E6BD6" w:rsidRPr="002522ED">
        <w:rPr>
          <w:rtl/>
        </w:rPr>
        <w:t xml:space="preserve"> </w:t>
      </w:r>
      <w:r w:rsidR="000731BE" w:rsidRPr="002522ED">
        <w:rPr>
          <w:rtl/>
        </w:rPr>
        <w:t>من خلال العرض والتأصيل النظري لهذه المتغيرات ومناقشة وتحليل البيانات الخاصة بها.</w:t>
      </w:r>
      <w:r w:rsidR="00741E22" w:rsidRPr="002522ED">
        <w:rPr>
          <w:rtl/>
        </w:rPr>
        <w:t xml:space="preserve"> وبحث العلاقة بينهما وذلك خطوة لقياس التأثير المباشر والغير مباشر</w:t>
      </w:r>
      <w:r w:rsidR="007C1ED6" w:rsidRPr="002522ED">
        <w:rPr>
          <w:rtl/>
        </w:rPr>
        <w:t xml:space="preserve"> للابتكار الإداري على </w:t>
      </w:r>
      <w:r w:rsidR="00B852BD" w:rsidRPr="002522ED">
        <w:rPr>
          <w:rtl/>
        </w:rPr>
        <w:t xml:space="preserve">تنمية </w:t>
      </w:r>
      <w:r w:rsidR="007C1ED6" w:rsidRPr="002522ED">
        <w:rPr>
          <w:rtl/>
        </w:rPr>
        <w:t>القدرات التوليدية عبر الاستشراف الاستراتيجي.</w:t>
      </w:r>
      <w:r w:rsidR="00607D1C" w:rsidRPr="002522ED">
        <w:rPr>
          <w:rtl/>
        </w:rPr>
        <w:t xml:space="preserve"> ومن هنا يعتبر البحث-</w:t>
      </w:r>
      <w:r w:rsidR="001E6EEC" w:rsidRPr="002522ED">
        <w:rPr>
          <w:rtl/>
        </w:rPr>
        <w:t xml:space="preserve"> </w:t>
      </w:r>
      <w:r w:rsidR="00B04E09" w:rsidRPr="002522ED">
        <w:rPr>
          <w:rtl/>
        </w:rPr>
        <w:t>وذلك على حد علم الباحث-</w:t>
      </w:r>
      <w:r w:rsidR="001E6EEC" w:rsidRPr="002522ED">
        <w:rPr>
          <w:rtl/>
        </w:rPr>
        <w:t xml:space="preserve"> </w:t>
      </w:r>
      <w:r w:rsidR="00B04E09" w:rsidRPr="002522ED">
        <w:rPr>
          <w:rtl/>
        </w:rPr>
        <w:t>من أوائل البحوث التي تتناول</w:t>
      </w:r>
      <w:r w:rsidR="00226500" w:rsidRPr="002522ED">
        <w:rPr>
          <w:rtl/>
        </w:rPr>
        <w:t xml:space="preserve"> الابتكار الإداري كمتغير مستقل</w:t>
      </w:r>
      <w:r w:rsidR="00212D6E" w:rsidRPr="002522ED">
        <w:rPr>
          <w:rtl/>
        </w:rPr>
        <w:t xml:space="preserve"> وتأثيره على المتغير التابع القدرات التوليدية والدور الوسيط</w:t>
      </w:r>
      <w:r w:rsidR="00B73141" w:rsidRPr="002522ED">
        <w:rPr>
          <w:rtl/>
        </w:rPr>
        <w:t xml:space="preserve"> لتلك المتغيرات</w:t>
      </w:r>
      <w:r w:rsidR="00213586" w:rsidRPr="002522ED">
        <w:rPr>
          <w:rtl/>
        </w:rPr>
        <w:t xml:space="preserve"> </w:t>
      </w:r>
      <w:r w:rsidR="006456E3" w:rsidRPr="002522ED">
        <w:rPr>
          <w:rtl/>
        </w:rPr>
        <w:t xml:space="preserve">الاستشراف الاستراتيجي </w:t>
      </w:r>
      <w:r w:rsidR="00213586" w:rsidRPr="002522ED">
        <w:rPr>
          <w:rtl/>
        </w:rPr>
        <w:t>ضمن هذا الإطار</w:t>
      </w:r>
      <w:r w:rsidR="00022225" w:rsidRPr="002522ED">
        <w:rPr>
          <w:rtl/>
        </w:rPr>
        <w:t>,</w:t>
      </w:r>
      <w:r w:rsidR="000D4E35" w:rsidRPr="002522ED">
        <w:rPr>
          <w:rtl/>
        </w:rPr>
        <w:t xml:space="preserve"> ليصبح مكملا</w:t>
      </w:r>
      <w:r w:rsidR="00B57B79" w:rsidRPr="002522ED">
        <w:rPr>
          <w:rtl/>
        </w:rPr>
        <w:t xml:space="preserve"> لما سبقه من بحوث في مجال الابتكار الإداري.</w:t>
      </w:r>
      <w:r w:rsidR="00503EF4" w:rsidRPr="002522ED">
        <w:rPr>
          <w:rtl/>
        </w:rPr>
        <w:t xml:space="preserve"> ومن ثم يأمل الباحث </w:t>
      </w:r>
      <w:r w:rsidR="00036B32" w:rsidRPr="002522ED">
        <w:rPr>
          <w:rtl/>
        </w:rPr>
        <w:t>أن يجذب البحث اهتمام الباحثين</w:t>
      </w:r>
      <w:r w:rsidR="0066456C" w:rsidRPr="002522ED">
        <w:rPr>
          <w:rtl/>
        </w:rPr>
        <w:t xml:space="preserve"> </w:t>
      </w:r>
      <w:r w:rsidR="00E95252" w:rsidRPr="002522ED">
        <w:rPr>
          <w:rtl/>
        </w:rPr>
        <w:t xml:space="preserve">مقارنة أثر الابتكار الإداري والاستشراف في بيئات متنوعة ويشمل منظمات مختلفة وقطاعات أخرى </w:t>
      </w:r>
      <w:r w:rsidR="0066456C" w:rsidRPr="002522ED">
        <w:rPr>
          <w:rtl/>
        </w:rPr>
        <w:t>وأن يكون ذو أثر إيجابي على المنظمات والمجتمع ككل.</w:t>
      </w:r>
    </w:p>
    <w:p w14:paraId="241417CC" w14:textId="5FCC7B37" w:rsidR="0066456C" w:rsidRPr="002522ED" w:rsidRDefault="00496E7F" w:rsidP="005651E0">
      <w:pPr>
        <w:pStyle w:val="Heading2"/>
        <w:bidi/>
        <w:jc w:val="both"/>
        <w:rPr>
          <w:rFonts w:asciiTheme="majorBidi" w:eastAsia="Times New Roman" w:hAnsiTheme="majorBidi"/>
          <w:sz w:val="24"/>
          <w:szCs w:val="24"/>
          <w:rtl/>
        </w:rPr>
      </w:pPr>
      <w:r w:rsidRPr="002522ED">
        <w:rPr>
          <w:rFonts w:asciiTheme="majorBidi" w:eastAsia="Times New Roman" w:hAnsiTheme="majorBidi"/>
          <w:sz w:val="24"/>
          <w:szCs w:val="24"/>
          <w:rtl/>
        </w:rPr>
        <w:t>الأهمية التطبيقية</w:t>
      </w:r>
      <w:r w:rsidR="00B4187F" w:rsidRPr="002522ED">
        <w:rPr>
          <w:rFonts w:asciiTheme="majorBidi" w:eastAsia="Times New Roman" w:hAnsiTheme="majorBidi"/>
          <w:sz w:val="24"/>
          <w:szCs w:val="24"/>
          <w:rtl/>
        </w:rPr>
        <w:t>:</w:t>
      </w:r>
    </w:p>
    <w:p w14:paraId="15F05121" w14:textId="1CFB2E8C" w:rsidR="007F0858" w:rsidRPr="002522ED" w:rsidRDefault="00A74FE4" w:rsidP="005651E0">
      <w:pPr>
        <w:shd w:val="clear" w:color="auto" w:fill="FFFFFF"/>
        <w:bidi/>
        <w:spacing w:before="240" w:after="240"/>
        <w:jc w:val="both"/>
        <w:rPr>
          <w:rFonts w:eastAsia="Times New Roman" w:cstheme="majorBidi"/>
          <w:color w:val="0F1115"/>
          <w:kern w:val="0"/>
          <w:rtl/>
          <w14:ligatures w14:val="none"/>
        </w:rPr>
      </w:pPr>
      <w:r w:rsidRPr="002522ED">
        <w:rPr>
          <w:rFonts w:eastAsia="Times New Roman" w:cstheme="majorBidi"/>
          <w:color w:val="0F1115"/>
          <w:kern w:val="0"/>
          <w:rtl/>
          <w14:ligatures w14:val="none"/>
        </w:rPr>
        <w:t>إن هذه الدراسة تستمد أهميتها من أهمية مجال التطبيق في إحدى القطاعات الحيوية والاستراتيجية في البيئة السعودية,</w:t>
      </w:r>
      <w:r w:rsidR="008276A8" w:rsidRPr="002522ED">
        <w:rPr>
          <w:rFonts w:eastAsia="Times New Roman" w:cstheme="majorBidi"/>
          <w:color w:val="0F1115"/>
          <w:kern w:val="0"/>
          <w:rtl/>
          <w14:ligatures w14:val="none"/>
        </w:rPr>
        <w:t xml:space="preserve"> وهو قطاع شركات التقنية السعودية الخاصة,</w:t>
      </w:r>
      <w:r w:rsidR="007B527E" w:rsidRPr="002522ED">
        <w:rPr>
          <w:rFonts w:eastAsia="Times New Roman" w:cstheme="majorBidi"/>
          <w:color w:val="0F1115"/>
          <w:kern w:val="0"/>
          <w:rtl/>
          <w14:ligatures w14:val="none"/>
        </w:rPr>
        <w:t xml:space="preserve"> </w:t>
      </w:r>
      <w:r w:rsidR="005B6EF3" w:rsidRPr="002522ED">
        <w:rPr>
          <w:rFonts w:eastAsia="Times New Roman" w:cstheme="majorBidi"/>
          <w:color w:val="0F1115"/>
          <w:kern w:val="0"/>
          <w:rtl/>
          <w14:ligatures w14:val="none"/>
        </w:rPr>
        <w:t>وتتمثل في تزويد القيادات العليا في الشركات التقنية الخاصة السعودية بإطار عملي يوضح كيفية توظيف الابتكار الإداري والاستشراف الاستراتيجي في تنمية القدرات التوليدية, بما يعزز مرونة الشركات وقدرتها على الابتكار وتحقيق ميزة تنافسية مستدامة في بيئة أعمال متغيرة.</w:t>
      </w:r>
    </w:p>
    <w:p w14:paraId="24E3C0FF" w14:textId="77777777" w:rsidR="007F0858" w:rsidRPr="002522ED" w:rsidRDefault="007F0858" w:rsidP="005651E0">
      <w:pPr>
        <w:shd w:val="clear" w:color="auto" w:fill="FFFFFF"/>
        <w:bidi/>
        <w:spacing w:before="240" w:after="240"/>
        <w:jc w:val="both"/>
        <w:rPr>
          <w:rFonts w:eastAsia="Times New Roman" w:cstheme="majorBidi"/>
          <w:color w:val="0F1115"/>
          <w:kern w:val="0"/>
          <w14:ligatures w14:val="none"/>
        </w:rPr>
      </w:pPr>
    </w:p>
    <w:p w14:paraId="6F1E7AB4" w14:textId="33709641" w:rsidR="000C6CFC" w:rsidRPr="002522ED" w:rsidRDefault="000C6CFC" w:rsidP="005651E0">
      <w:pPr>
        <w:pStyle w:val="Heading1"/>
        <w:jc w:val="both"/>
        <w:rPr>
          <w:rFonts w:eastAsia="Times New Roman"/>
          <w:rtl/>
        </w:rPr>
      </w:pPr>
      <w:r w:rsidRPr="002522ED">
        <w:rPr>
          <w:rFonts w:eastAsia="Times New Roman"/>
          <w:rtl/>
        </w:rPr>
        <w:t xml:space="preserve">أهداف الدراسة </w:t>
      </w:r>
    </w:p>
    <w:p w14:paraId="7E8738AC" w14:textId="799F065F" w:rsidR="00B852BD" w:rsidRPr="002522ED" w:rsidRDefault="00B852BD" w:rsidP="005651E0">
      <w:pPr>
        <w:pStyle w:val="Heading2"/>
        <w:bidi/>
        <w:jc w:val="both"/>
        <w:rPr>
          <w:rFonts w:asciiTheme="majorBidi" w:eastAsia="Times New Roman" w:hAnsiTheme="majorBidi"/>
          <w:sz w:val="24"/>
          <w:szCs w:val="24"/>
          <w:rtl/>
        </w:rPr>
      </w:pPr>
      <w:r w:rsidRPr="002522ED">
        <w:rPr>
          <w:rFonts w:asciiTheme="majorBidi" w:eastAsia="Times New Roman" w:hAnsiTheme="majorBidi"/>
          <w:sz w:val="24"/>
          <w:szCs w:val="24"/>
          <w:rtl/>
        </w:rPr>
        <w:t>الهدف الرئيسي للدراسة:</w:t>
      </w:r>
    </w:p>
    <w:p w14:paraId="5FD40DEA" w14:textId="304D9DE3" w:rsidR="00B852BD" w:rsidRPr="002522ED" w:rsidRDefault="00B852BD" w:rsidP="005651E0">
      <w:pPr>
        <w:shd w:val="clear" w:color="auto" w:fill="FFFFFF"/>
        <w:bidi/>
        <w:spacing w:before="240" w:after="240"/>
        <w:jc w:val="both"/>
        <w:outlineLvl w:val="3"/>
        <w:rPr>
          <w:rFonts w:eastAsia="Times New Roman" w:cstheme="majorBidi"/>
          <w:color w:val="0F1115"/>
          <w:kern w:val="0"/>
          <w:rtl/>
          <w14:ligatures w14:val="none"/>
        </w:rPr>
      </w:pPr>
      <w:r w:rsidRPr="002522ED">
        <w:rPr>
          <w:rFonts w:eastAsia="Times New Roman" w:cstheme="majorBidi"/>
          <w:color w:val="0F1115"/>
          <w:kern w:val="0"/>
          <w:rtl/>
          <w14:ligatures w14:val="none"/>
        </w:rPr>
        <w:t xml:space="preserve">تهدف هذه الدراسة إلى تحليل </w:t>
      </w:r>
      <w:r w:rsidR="00920C41" w:rsidRPr="002522ED">
        <w:rPr>
          <w:rFonts w:eastAsia="Times New Roman" w:cstheme="majorBidi"/>
          <w:color w:val="0F1115"/>
          <w:kern w:val="0"/>
          <w:rtl/>
          <w14:ligatures w14:val="none"/>
        </w:rPr>
        <w:t>تأثير</w:t>
      </w:r>
      <w:r w:rsidRPr="002522ED">
        <w:rPr>
          <w:rFonts w:eastAsia="Times New Roman" w:cstheme="majorBidi"/>
          <w:color w:val="0F1115"/>
          <w:kern w:val="0"/>
          <w:rtl/>
          <w14:ligatures w14:val="none"/>
        </w:rPr>
        <w:t>الابتكار الإداري في تنمية القدرات التوليدية في الشركات التقنية الخاصة السعودية مع اختبار الدور الوسيط للاستشراف الاستراتيجي في هذه العلاقة.</w:t>
      </w:r>
    </w:p>
    <w:p w14:paraId="0B41D932" w14:textId="77777777" w:rsidR="00E30899" w:rsidRPr="002522ED" w:rsidRDefault="00E30899" w:rsidP="005651E0">
      <w:pPr>
        <w:pStyle w:val="Heading2"/>
        <w:bidi/>
        <w:jc w:val="both"/>
        <w:rPr>
          <w:rFonts w:asciiTheme="majorBidi" w:eastAsia="Times New Roman" w:hAnsiTheme="majorBidi"/>
          <w:sz w:val="24"/>
          <w:szCs w:val="24"/>
        </w:rPr>
      </w:pPr>
      <w:r w:rsidRPr="002522ED">
        <w:rPr>
          <w:rFonts w:asciiTheme="majorBidi" w:eastAsia="Times New Roman" w:hAnsiTheme="majorBidi"/>
          <w:sz w:val="24"/>
          <w:szCs w:val="24"/>
          <w:rtl/>
        </w:rPr>
        <w:lastRenderedPageBreak/>
        <w:t>الأهداف الفرعية</w:t>
      </w:r>
    </w:p>
    <w:p w14:paraId="2B59E6C6" w14:textId="72739C4A"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قياس مستوى ممارسة الابتكار الإداري في الشركات التقنية الخاصة السعودية.</w:t>
      </w:r>
    </w:p>
    <w:p w14:paraId="49B035E8" w14:textId="557D0D3B"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التعرف على مستوى تطبيق الاستشراف الاستراتيجي لدى القيادات العليا في الشركات التقنية.</w:t>
      </w:r>
    </w:p>
    <w:p w14:paraId="08443158" w14:textId="61DA4DEB"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قياس مستوى توافر القدرات التوليدية داخل الشركات التقنية الخاصة.</w:t>
      </w:r>
    </w:p>
    <w:p w14:paraId="326A1A82" w14:textId="27BA79F2"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xml:space="preserve">تحليل </w:t>
      </w:r>
      <w:r w:rsidR="00C9797C"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الابتكار الإداري على القدرات التوليدية.</w:t>
      </w:r>
    </w:p>
    <w:p w14:paraId="0E99FAA4" w14:textId="7F5DC2CD"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xml:space="preserve">اختبار </w:t>
      </w:r>
      <w:r w:rsidR="00C9797C"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الابتكار الإداري على الاستشراف الاستراتيجي.</w:t>
      </w:r>
    </w:p>
    <w:p w14:paraId="2C97C8DE" w14:textId="6AC8F352"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xml:space="preserve">تحليل </w:t>
      </w:r>
      <w:r w:rsidR="00C9797C"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الاستشراف الاستراتيجي على القدرات التوليدية.</w:t>
      </w:r>
    </w:p>
    <w:p w14:paraId="32F77F68" w14:textId="0EB136EA" w:rsidR="00BB2B52"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اختبار الدور الوسيط للاستشراف الاستراتيجي في العلاقة بين الابتكار الإداري والقدرات التوليدية.</w:t>
      </w:r>
    </w:p>
    <w:p w14:paraId="1013A29F" w14:textId="00439C56" w:rsidR="00E30899" w:rsidRPr="002522ED" w:rsidRDefault="009323DE" w:rsidP="005651E0">
      <w:pPr>
        <w:pStyle w:val="Heading1"/>
        <w:jc w:val="both"/>
        <w:rPr>
          <w:rFonts w:eastAsia="Times New Roman"/>
          <w:rtl/>
        </w:rPr>
      </w:pPr>
      <w:r w:rsidRPr="002522ED">
        <w:rPr>
          <w:rFonts w:eastAsia="Times New Roman"/>
          <w:rtl/>
        </w:rPr>
        <w:t>الفرضيات</w:t>
      </w:r>
    </w:p>
    <w:p w14:paraId="7F584F2B" w14:textId="269FAFE8" w:rsidR="00E30899" w:rsidRPr="002522ED" w:rsidRDefault="00E30899"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الفرضية ال</w:t>
      </w:r>
      <w:r w:rsidR="0093737D" w:rsidRPr="002522ED">
        <w:rPr>
          <w:rFonts w:eastAsia="Times New Roman" w:cstheme="majorBidi"/>
          <w:color w:val="222222"/>
          <w:kern w:val="0"/>
          <w:rtl/>
          <w14:ligatures w14:val="none"/>
        </w:rPr>
        <w:t>اولى</w:t>
      </w:r>
      <w:r w:rsidRPr="002522ED">
        <w:rPr>
          <w:rFonts w:eastAsia="Times New Roman" w:cstheme="majorBidi"/>
          <w:color w:val="222222"/>
          <w:kern w:val="0"/>
          <w:rtl/>
          <w14:ligatures w14:val="none"/>
        </w:rPr>
        <w:t>:</w:t>
      </w:r>
    </w:p>
    <w:p w14:paraId="79E214C9" w14:textId="5970A938" w:rsidR="00E30899" w:rsidRPr="002522ED" w:rsidRDefault="00E30899"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14:ligatures w14:val="none"/>
        </w:rPr>
        <w:t>H1</w:t>
      </w:r>
      <w:r w:rsidRPr="002522ED">
        <w:rPr>
          <w:rFonts w:eastAsia="Times New Roman" w:cstheme="majorBidi"/>
          <w:color w:val="222222"/>
          <w:kern w:val="0"/>
          <w:rtl/>
          <w14:ligatures w14:val="none"/>
        </w:rPr>
        <w:t xml:space="preserve">: يوجد </w:t>
      </w:r>
      <w:r w:rsidR="005F21B5"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ذو دلالة إحصائية للابتكار الإداري </w:t>
      </w:r>
      <w:r w:rsidR="0093737D" w:rsidRPr="002522ED">
        <w:rPr>
          <w:rFonts w:eastAsia="Times New Roman" w:cstheme="majorBidi"/>
          <w:color w:val="222222"/>
          <w:kern w:val="0"/>
          <w:rtl/>
          <w14:ligatures w14:val="none"/>
        </w:rPr>
        <w:t xml:space="preserve">في تنمية </w:t>
      </w:r>
      <w:r w:rsidRPr="002522ED">
        <w:rPr>
          <w:rFonts w:eastAsia="Times New Roman" w:cstheme="majorBidi"/>
          <w:color w:val="222222"/>
          <w:kern w:val="0"/>
          <w:rtl/>
          <w14:ligatures w14:val="none"/>
        </w:rPr>
        <w:t>القدرات التوليدية في الشركات التقنية</w:t>
      </w:r>
      <w:r w:rsidR="00D802A5" w:rsidRPr="002522ED">
        <w:rPr>
          <w:rFonts w:eastAsia="Times New Roman" w:cstheme="majorBidi"/>
          <w:color w:val="222222"/>
          <w:kern w:val="0"/>
          <w:rtl/>
          <w14:ligatures w14:val="none"/>
        </w:rPr>
        <w:t xml:space="preserve"> </w:t>
      </w:r>
      <w:r w:rsidRPr="002522ED">
        <w:rPr>
          <w:rFonts w:eastAsia="Times New Roman" w:cstheme="majorBidi"/>
          <w:color w:val="222222"/>
          <w:kern w:val="0"/>
          <w:rtl/>
          <w14:ligatures w14:val="none"/>
        </w:rPr>
        <w:t>السعودي</w:t>
      </w:r>
      <w:r w:rsidR="0093737D" w:rsidRPr="002522ED">
        <w:rPr>
          <w:rFonts w:eastAsia="Times New Roman" w:cstheme="majorBidi"/>
          <w:color w:val="222222"/>
          <w:kern w:val="0"/>
          <w:rtl/>
          <w14:ligatures w14:val="none"/>
        </w:rPr>
        <w:t xml:space="preserve">ة </w:t>
      </w:r>
      <w:r w:rsidR="00D802A5" w:rsidRPr="002522ED">
        <w:rPr>
          <w:rFonts w:eastAsia="Times New Roman" w:cstheme="majorBidi"/>
          <w:color w:val="222222"/>
          <w:kern w:val="0"/>
          <w:rtl/>
          <w14:ligatures w14:val="none"/>
        </w:rPr>
        <w:t xml:space="preserve">الخاصة </w:t>
      </w:r>
      <w:r w:rsidR="0093737D" w:rsidRPr="002522ED">
        <w:rPr>
          <w:rFonts w:eastAsia="Times New Roman" w:cstheme="majorBidi"/>
          <w:color w:val="222222"/>
          <w:kern w:val="0"/>
          <w:rtl/>
          <w14:ligatures w14:val="none"/>
        </w:rPr>
        <w:t>لدى القيادات العليا.</w:t>
      </w:r>
    </w:p>
    <w:p w14:paraId="5C248DC9" w14:textId="7475648F" w:rsidR="00E30899" w:rsidRPr="002522ED" w:rsidRDefault="00E30899"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الفرضي</w:t>
      </w:r>
      <w:r w:rsidR="00CD30D8" w:rsidRPr="002522ED">
        <w:rPr>
          <w:rFonts w:eastAsia="Times New Roman" w:cstheme="majorBidi"/>
          <w:color w:val="222222"/>
          <w:kern w:val="0"/>
          <w:rtl/>
          <w14:ligatures w14:val="none"/>
        </w:rPr>
        <w:t>ة</w:t>
      </w:r>
      <w:r w:rsidRPr="002522ED">
        <w:rPr>
          <w:rFonts w:eastAsia="Times New Roman" w:cstheme="majorBidi"/>
          <w:color w:val="222222"/>
          <w:kern w:val="0"/>
          <w:rtl/>
          <w14:ligatures w14:val="none"/>
        </w:rPr>
        <w:t xml:space="preserve"> ال</w:t>
      </w:r>
      <w:r w:rsidR="00CD30D8" w:rsidRPr="002522ED">
        <w:rPr>
          <w:rFonts w:eastAsia="Times New Roman" w:cstheme="majorBidi"/>
          <w:color w:val="222222"/>
          <w:kern w:val="0"/>
          <w:rtl/>
          <w14:ligatures w14:val="none"/>
        </w:rPr>
        <w:t>ثانية</w:t>
      </w:r>
      <w:r w:rsidRPr="002522ED">
        <w:rPr>
          <w:rFonts w:eastAsia="Times New Roman" w:cstheme="majorBidi"/>
          <w:color w:val="222222"/>
          <w:kern w:val="0"/>
          <w:rtl/>
          <w14:ligatures w14:val="none"/>
        </w:rPr>
        <w:t>:</w:t>
      </w:r>
    </w:p>
    <w:p w14:paraId="016037C8" w14:textId="5C7D8AD9" w:rsidR="00E30899" w:rsidRPr="002522ED" w:rsidRDefault="00E30899"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14:ligatures w14:val="none"/>
        </w:rPr>
        <w:t>H</w:t>
      </w:r>
      <w:r w:rsidR="00CD30D8" w:rsidRPr="002522ED">
        <w:rPr>
          <w:rFonts w:eastAsia="Times New Roman" w:cstheme="majorBidi"/>
          <w:color w:val="222222"/>
          <w:kern w:val="0"/>
          <w14:ligatures w14:val="none"/>
        </w:rPr>
        <w:t>2</w:t>
      </w:r>
      <w:r w:rsidRPr="002522ED">
        <w:rPr>
          <w:rFonts w:eastAsia="Times New Roman" w:cstheme="majorBidi"/>
          <w:color w:val="222222"/>
          <w:kern w:val="0"/>
          <w:rtl/>
          <w14:ligatures w14:val="none"/>
        </w:rPr>
        <w:t xml:space="preserve">: يوجد </w:t>
      </w:r>
      <w:r w:rsidR="005F21B5"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ذو دلالة إحصائية للابتكار الإداري على الاستشراف الاستراتيج</w:t>
      </w:r>
      <w:r w:rsidR="00CD30D8" w:rsidRPr="002522ED">
        <w:rPr>
          <w:rFonts w:eastAsia="Times New Roman" w:cstheme="majorBidi"/>
          <w:color w:val="222222"/>
          <w:kern w:val="0"/>
          <w:rtl/>
          <w14:ligatures w14:val="none"/>
        </w:rPr>
        <w:t xml:space="preserve">ي في الشركات التقنية </w:t>
      </w:r>
      <w:r w:rsidR="00D802A5" w:rsidRPr="002522ED">
        <w:rPr>
          <w:rFonts w:eastAsia="Times New Roman" w:cstheme="majorBidi"/>
          <w:color w:val="222222"/>
          <w:kern w:val="0"/>
          <w:rtl/>
          <w14:ligatures w14:val="none"/>
        </w:rPr>
        <w:t xml:space="preserve">السعودية </w:t>
      </w:r>
      <w:proofErr w:type="gramStart"/>
      <w:r w:rsidR="00CD30D8" w:rsidRPr="002522ED">
        <w:rPr>
          <w:rFonts w:eastAsia="Times New Roman" w:cstheme="majorBidi"/>
          <w:color w:val="222222"/>
          <w:kern w:val="0"/>
          <w:rtl/>
          <w14:ligatures w14:val="none"/>
        </w:rPr>
        <w:t xml:space="preserve">الخاصة </w:t>
      </w:r>
      <w:r w:rsidR="00D802A5" w:rsidRPr="002522ED">
        <w:rPr>
          <w:rFonts w:eastAsia="Times New Roman" w:cstheme="majorBidi"/>
          <w:color w:val="222222"/>
          <w:kern w:val="0"/>
          <w:rtl/>
          <w14:ligatures w14:val="none"/>
        </w:rPr>
        <w:t>.</w:t>
      </w:r>
      <w:proofErr w:type="gramEnd"/>
    </w:p>
    <w:p w14:paraId="3C2CF6B3" w14:textId="6936EC97" w:rsidR="00E30899" w:rsidRPr="002522ED" w:rsidRDefault="00E30899" w:rsidP="005651E0">
      <w:pPr>
        <w:shd w:val="clear" w:color="auto" w:fill="FFFFFF"/>
        <w:bidi/>
        <w:spacing w:after="21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الفرضية الثا</w:t>
      </w:r>
      <w:r w:rsidR="00CD30D8" w:rsidRPr="002522ED">
        <w:rPr>
          <w:rFonts w:eastAsia="Times New Roman" w:cstheme="majorBidi"/>
          <w:color w:val="222222"/>
          <w:kern w:val="0"/>
          <w:rtl/>
          <w14:ligatures w14:val="none"/>
        </w:rPr>
        <w:t>لثة:</w:t>
      </w:r>
    </w:p>
    <w:p w14:paraId="58A8A5B2" w14:textId="5410C617" w:rsidR="00E30899" w:rsidRPr="002522ED" w:rsidRDefault="00E30899"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14:ligatures w14:val="none"/>
        </w:rPr>
        <w:t>H</w:t>
      </w:r>
      <w:r w:rsidR="00CD30D8" w:rsidRPr="002522ED">
        <w:rPr>
          <w:rFonts w:eastAsia="Times New Roman" w:cstheme="majorBidi"/>
          <w:color w:val="222222"/>
          <w:kern w:val="0"/>
          <w14:ligatures w14:val="none"/>
        </w:rPr>
        <w:t>3</w:t>
      </w:r>
      <w:r w:rsidRPr="002522ED">
        <w:rPr>
          <w:rFonts w:eastAsia="Times New Roman" w:cstheme="majorBidi"/>
          <w:color w:val="222222"/>
          <w:kern w:val="0"/>
          <w:rtl/>
          <w14:ligatures w14:val="none"/>
        </w:rPr>
        <w:t xml:space="preserve">: يوجد </w:t>
      </w:r>
      <w:r w:rsidR="00116506"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ذو دلالة إحصائية للاستشراف الاستراتيجي على القدرات التوليدية</w:t>
      </w:r>
      <w:r w:rsidR="00CD30D8" w:rsidRPr="002522ED">
        <w:rPr>
          <w:rFonts w:eastAsia="Times New Roman" w:cstheme="majorBidi"/>
          <w:color w:val="222222"/>
          <w:kern w:val="0"/>
          <w:rtl/>
          <w14:ligatures w14:val="none"/>
        </w:rPr>
        <w:t xml:space="preserve"> في الشركات التقنية </w:t>
      </w:r>
      <w:r w:rsidR="00D802A5" w:rsidRPr="002522ED">
        <w:rPr>
          <w:rFonts w:eastAsia="Times New Roman" w:cstheme="majorBidi"/>
          <w:color w:val="222222"/>
          <w:kern w:val="0"/>
          <w:rtl/>
          <w14:ligatures w14:val="none"/>
        </w:rPr>
        <w:t xml:space="preserve">السعودية </w:t>
      </w:r>
      <w:proofErr w:type="gramStart"/>
      <w:r w:rsidR="00CD30D8" w:rsidRPr="002522ED">
        <w:rPr>
          <w:rFonts w:eastAsia="Times New Roman" w:cstheme="majorBidi"/>
          <w:color w:val="222222"/>
          <w:kern w:val="0"/>
          <w:rtl/>
          <w14:ligatures w14:val="none"/>
        </w:rPr>
        <w:t xml:space="preserve">الخاصة </w:t>
      </w:r>
      <w:r w:rsidR="00D802A5" w:rsidRPr="002522ED">
        <w:rPr>
          <w:rFonts w:eastAsia="Times New Roman" w:cstheme="majorBidi"/>
          <w:color w:val="222222"/>
          <w:kern w:val="0"/>
          <w:rtl/>
          <w14:ligatures w14:val="none"/>
        </w:rPr>
        <w:t>.</w:t>
      </w:r>
      <w:proofErr w:type="gramEnd"/>
    </w:p>
    <w:p w14:paraId="51500CCC" w14:textId="0D3612A6" w:rsidR="00E30899" w:rsidRPr="002522ED" w:rsidRDefault="00E30899"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الفرضية ال</w:t>
      </w:r>
      <w:r w:rsidR="00CD30D8" w:rsidRPr="002522ED">
        <w:rPr>
          <w:rFonts w:eastAsia="Times New Roman" w:cstheme="majorBidi"/>
          <w:color w:val="222222"/>
          <w:kern w:val="0"/>
          <w:rtl/>
          <w14:ligatures w14:val="none"/>
        </w:rPr>
        <w:t>رابعة</w:t>
      </w:r>
      <w:r w:rsidRPr="002522ED">
        <w:rPr>
          <w:rFonts w:eastAsia="Times New Roman" w:cstheme="majorBidi"/>
          <w:color w:val="222222"/>
          <w:kern w:val="0"/>
          <w:rtl/>
          <w14:ligatures w14:val="none"/>
        </w:rPr>
        <w:t>:</w:t>
      </w:r>
    </w:p>
    <w:p w14:paraId="457B4C78" w14:textId="5463C8F5" w:rsidR="0006027D" w:rsidRPr="002522ED" w:rsidRDefault="00E30899"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14:ligatures w14:val="none"/>
        </w:rPr>
        <w:t>H</w:t>
      </w:r>
      <w:r w:rsidR="00CD30D8" w:rsidRPr="002522ED">
        <w:rPr>
          <w:rFonts w:eastAsia="Times New Roman" w:cstheme="majorBidi"/>
          <w:color w:val="222222"/>
          <w:kern w:val="0"/>
          <w14:ligatures w14:val="none"/>
        </w:rPr>
        <w:t>4</w:t>
      </w:r>
      <w:r w:rsidRPr="002522ED">
        <w:rPr>
          <w:rFonts w:eastAsia="Times New Roman" w:cstheme="majorBidi"/>
          <w:color w:val="222222"/>
          <w:kern w:val="0"/>
          <w:rtl/>
          <w14:ligatures w14:val="none"/>
        </w:rPr>
        <w:t xml:space="preserve">: </w:t>
      </w:r>
      <w:r w:rsidR="00D802A5" w:rsidRPr="002522ED">
        <w:rPr>
          <w:rFonts w:eastAsia="Times New Roman" w:cstheme="majorBidi"/>
          <w:color w:val="222222"/>
          <w:kern w:val="0"/>
          <w:rtl/>
          <w14:ligatures w14:val="none"/>
        </w:rPr>
        <w:t>يتوسط الاستشراف الاستراتيجي العلاقة بين الابتكار الإداري وتنمية القدرات التوليدية في الشركات التقنية السعودية الخاصة لدى القيادات العليا.</w:t>
      </w:r>
    </w:p>
    <w:p w14:paraId="159691E8" w14:textId="5BF9C274" w:rsidR="003C6397" w:rsidRPr="002522ED" w:rsidRDefault="0082670A" w:rsidP="005651E0">
      <w:pPr>
        <w:pStyle w:val="Heading1"/>
        <w:jc w:val="both"/>
        <w:rPr>
          <w:rtl/>
        </w:rPr>
      </w:pPr>
      <w:r w:rsidRPr="002522ED">
        <w:rPr>
          <w:rtl/>
        </w:rPr>
        <w:t>نموذج الدراسة:</w:t>
      </w:r>
    </w:p>
    <w:p w14:paraId="5C0BFD84" w14:textId="016BB0CA" w:rsidR="00554FB9" w:rsidRPr="002522ED" w:rsidRDefault="00554FB9" w:rsidP="005651E0">
      <w:pPr>
        <w:bidi/>
        <w:jc w:val="both"/>
        <w:rPr>
          <w:rFonts w:cstheme="majorBidi"/>
          <w:rtl/>
        </w:rPr>
      </w:pPr>
      <w:r w:rsidRPr="002522ED">
        <w:rPr>
          <w:rFonts w:cstheme="majorBidi"/>
          <w:rtl/>
        </w:rPr>
        <w:t xml:space="preserve">يقوم نموذج الدراسة الحالية على تحليل العلاقة بين الابتكار الإداري و القدرات التوليدية في الشركات التقنية السعودية الخاصة مع اختبار الدور الوسيط للاستشراف الاستراتيجي. إذ يفترض أن الابتكار الإداري يسهم في تطوير الممارسات التنظيمية والهياكل الإدارية الداعمة للإبداع, مما يعزز قدرة المنظمة على استشراف المستقبل وتحليل الاتجاهات الناشئة, وهو ما يؤدي بدوره إلى تنمية القدرات التوليدية المتمثلة في إنتاج الأفكار والحلول الابتكارية بصورة مستمرة. وبناء عليه, يتوقع أن يعمل الاستشراف </w:t>
      </w:r>
      <w:r w:rsidRPr="002522ED">
        <w:rPr>
          <w:rFonts w:cstheme="majorBidi"/>
          <w:rtl/>
        </w:rPr>
        <w:lastRenderedPageBreak/>
        <w:t>الاستراتيجي كآلية تفسيرية تنقل أثر الابتكار الإداري إلى القدرات التوليدية مما يعزز الأداء الابتكاري والاستدامة التنظيمية في الشركات التقنية,,</w:t>
      </w:r>
    </w:p>
    <w:p w14:paraId="2B4F46FB" w14:textId="58C42DE0" w:rsidR="00554FB9" w:rsidRPr="002522ED" w:rsidRDefault="00554FB9" w:rsidP="005651E0">
      <w:pPr>
        <w:bidi/>
        <w:jc w:val="both"/>
        <w:rPr>
          <w:rFonts w:cstheme="majorBidi"/>
        </w:rPr>
      </w:pPr>
      <w:r w:rsidRPr="002522ED">
        <w:rPr>
          <w:rFonts w:cstheme="majorBidi"/>
          <w:rtl/>
        </w:rPr>
        <w:t>و</w:t>
      </w:r>
      <w:r w:rsidR="00C51557" w:rsidRPr="002522ED">
        <w:rPr>
          <w:rFonts w:cstheme="majorBidi"/>
          <w:rtl/>
        </w:rPr>
        <w:t>يوضح نموذج ا لدراسة العلاقة السببية بين الابتكار الإداري بوصفة متغير مستقل, والقدرات التوليدية كمتغير تابع, مع إدراج الاستشراف الاستراتيجي كمتغير الوسيط يفسر آلية انتقال التأثير داخل المنظمات التقنية ويعكس النموذج افتراضا أساسيا مفاده إن تطوير الممارسات الإدارية المبتكرة يعزز قدرة المنظمة على استشراف المستقبل, الأمر الذي يسهم في بناء قدرات توليدية تدعم الابتكار المستدام والميزة التنافسية.</w:t>
      </w:r>
    </w:p>
    <w:p w14:paraId="47FCD27C" w14:textId="2734A2F4" w:rsidR="00CA0449" w:rsidRPr="002522ED" w:rsidRDefault="00CA0449" w:rsidP="005651E0">
      <w:pPr>
        <w:bidi/>
        <w:jc w:val="both"/>
        <w:rPr>
          <w:rFonts w:cstheme="majorBidi"/>
          <w:rtl/>
        </w:rPr>
      </w:pPr>
      <w:r w:rsidRPr="002522ED">
        <w:rPr>
          <w:rFonts w:cstheme="majorBidi"/>
          <w:noProof/>
          <w:rtl/>
          <w:lang w:val="ar-SA"/>
        </w:rPr>
        <mc:AlternateContent>
          <mc:Choice Requires="wps">
            <w:drawing>
              <wp:anchor distT="0" distB="0" distL="114300" distR="114300" simplePos="0" relativeHeight="251664384" behindDoc="0" locked="0" layoutInCell="1" allowOverlap="1" wp14:anchorId="295C2E14" wp14:editId="1B3A28CA">
                <wp:simplePos x="0" y="0"/>
                <wp:positionH relativeFrom="column">
                  <wp:posOffset>1727200</wp:posOffset>
                </wp:positionH>
                <wp:positionV relativeFrom="paragraph">
                  <wp:posOffset>130810</wp:posOffset>
                </wp:positionV>
                <wp:extent cx="736600" cy="127000"/>
                <wp:effectExtent l="38100" t="0" r="25400" b="82550"/>
                <wp:wrapNone/>
                <wp:docPr id="431151435" name="Straight Arrow Connector 6"/>
                <wp:cNvGraphicFramePr/>
                <a:graphic xmlns:a="http://schemas.openxmlformats.org/drawingml/2006/main">
                  <a:graphicData uri="http://schemas.microsoft.com/office/word/2010/wordprocessingShape">
                    <wps:wsp>
                      <wps:cNvCnPr/>
                      <wps:spPr>
                        <a:xfrm flipH="1">
                          <a:off x="0" y="0"/>
                          <a:ext cx="736600" cy="127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172DC95D" id="_x0000_t32" coordsize="21600,21600" o:spt="32" o:oned="t" path="m,l21600,21600e" filled="f">
                <v:path arrowok="t" fillok="f" o:connecttype="none"/>
                <o:lock v:ext="edit" shapetype="t"/>
              </v:shapetype>
              <v:shape id="Straight Arrow Connector 6" o:spid="_x0000_s1026" type="#_x0000_t32" style="position:absolute;margin-left:136pt;margin-top:10.3pt;width:58pt;height:10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" strokecolor="#156082 [3204]" strokeweight="1.5pt">
                <v:stroke endarrow="block" joinstyle="miter"/>
              </v:shape>
            </w:pict>
          </mc:Fallback>
        </mc:AlternateContent>
      </w:r>
      <w:r w:rsidRPr="002522ED">
        <w:rPr>
          <w:rFonts w:cstheme="majorBidi"/>
          <w:noProof/>
          <w:rtl/>
          <w:lang w:val="ar-SA"/>
        </w:rPr>
        <mc:AlternateContent>
          <mc:Choice Requires="wps">
            <w:drawing>
              <wp:anchor distT="0" distB="0" distL="114300" distR="114300" simplePos="0" relativeHeight="251662336" behindDoc="0" locked="0" layoutInCell="1" allowOverlap="1" wp14:anchorId="5B7413F2" wp14:editId="20675B30">
                <wp:simplePos x="0" y="0"/>
                <wp:positionH relativeFrom="column">
                  <wp:posOffset>3746500</wp:posOffset>
                </wp:positionH>
                <wp:positionV relativeFrom="paragraph">
                  <wp:posOffset>124460</wp:posOffset>
                </wp:positionV>
                <wp:extent cx="1377950" cy="260350"/>
                <wp:effectExtent l="19050" t="57150" r="12700" b="25400"/>
                <wp:wrapNone/>
                <wp:docPr id="752182258" name="Straight Arrow Connector 4"/>
                <wp:cNvGraphicFramePr/>
                <a:graphic xmlns:a="http://schemas.openxmlformats.org/drawingml/2006/main">
                  <a:graphicData uri="http://schemas.microsoft.com/office/word/2010/wordprocessingShape">
                    <wps:wsp>
                      <wps:cNvCnPr/>
                      <wps:spPr>
                        <a:xfrm flipH="1" flipV="1">
                          <a:off x="0" y="0"/>
                          <a:ext cx="1377950" cy="260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6C389EB" id="Straight Arrow Connector 4" o:spid="_x0000_s1026" type="#_x0000_t32" style="position:absolute;margin-left:295pt;margin-top:9.8pt;width:108.5pt;height:20.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" strokecolor="#156082 [3204]" strokeweight="1.5pt">
                <v:stroke endarrow="block" joinstyle="miter"/>
              </v:shape>
            </w:pict>
          </mc:Fallback>
        </mc:AlternateContent>
      </w:r>
      <w:r w:rsidRPr="002522ED">
        <w:rPr>
          <w:rFonts w:cstheme="majorBidi"/>
          <w:rtl/>
        </w:rPr>
        <w:t xml:space="preserve">                                                     الاستشراف الاستراتيجي</w:t>
      </w:r>
    </w:p>
    <w:p w14:paraId="7B16CC80" w14:textId="700349E2" w:rsidR="00CA0449" w:rsidRPr="002522ED" w:rsidRDefault="00CA0449" w:rsidP="005651E0">
      <w:pPr>
        <w:bidi/>
        <w:jc w:val="both"/>
        <w:rPr>
          <w:rFonts w:cstheme="majorBidi"/>
        </w:rPr>
      </w:pPr>
      <w:r w:rsidRPr="002522ED">
        <w:rPr>
          <w:rFonts w:cstheme="majorBidi"/>
          <w:noProof/>
          <w:rtl/>
          <w:lang w:val="ar-SA"/>
        </w:rPr>
        <mc:AlternateContent>
          <mc:Choice Requires="wps">
            <w:drawing>
              <wp:anchor distT="0" distB="0" distL="114300" distR="114300" simplePos="0" relativeHeight="251663360" behindDoc="0" locked="0" layoutInCell="1" allowOverlap="1" wp14:anchorId="49364EB3" wp14:editId="1CCD4CF2">
                <wp:simplePos x="0" y="0"/>
                <wp:positionH relativeFrom="column">
                  <wp:posOffset>1949450</wp:posOffset>
                </wp:positionH>
                <wp:positionV relativeFrom="paragraph">
                  <wp:posOffset>95250</wp:posOffset>
                </wp:positionV>
                <wp:extent cx="3187700" cy="63500"/>
                <wp:effectExtent l="19050" t="76200" r="12700" b="31750"/>
                <wp:wrapNone/>
                <wp:docPr id="1976650485" name="Straight Arrow Connector 5"/>
                <wp:cNvGraphicFramePr/>
                <a:graphic xmlns:a="http://schemas.openxmlformats.org/drawingml/2006/main">
                  <a:graphicData uri="http://schemas.microsoft.com/office/word/2010/wordprocessingShape">
                    <wps:wsp>
                      <wps:cNvCnPr/>
                      <wps:spPr>
                        <a:xfrm flipH="1" flipV="1">
                          <a:off x="0" y="0"/>
                          <a:ext cx="3187700" cy="635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858A184" id="Straight Arrow Connector 5" o:spid="_x0000_s1026" type="#_x0000_t32" style="position:absolute;margin-left:153.5pt;margin-top:7.5pt;width:251pt;height: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" strokecolor="#156082 [3204]" strokeweight="1.5pt">
                <v:stroke endarrow="block" joinstyle="miter"/>
              </v:shape>
            </w:pict>
          </mc:Fallback>
        </mc:AlternateContent>
      </w:r>
      <w:r w:rsidRPr="002522ED">
        <w:rPr>
          <w:rFonts w:cstheme="majorBidi"/>
          <w:rtl/>
        </w:rPr>
        <w:t>الابتكار الاداري                                                                            القدرات التوليدية</w:t>
      </w:r>
    </w:p>
    <w:p w14:paraId="6FAFBE5B" w14:textId="318D452C" w:rsidR="00554FB9" w:rsidRPr="002522ED" w:rsidRDefault="00554FB9" w:rsidP="005651E0">
      <w:pPr>
        <w:bidi/>
        <w:jc w:val="both"/>
        <w:rPr>
          <w:rFonts w:cstheme="majorBidi"/>
          <w:rtl/>
        </w:rPr>
      </w:pPr>
    </w:p>
    <w:p w14:paraId="04FA04A0" w14:textId="78C4D6D9" w:rsidR="004A1B7E" w:rsidRPr="002522ED" w:rsidRDefault="004A1B7E" w:rsidP="005651E0">
      <w:pPr>
        <w:bidi/>
        <w:jc w:val="both"/>
        <w:rPr>
          <w:rFonts w:cstheme="majorBidi"/>
        </w:rPr>
      </w:pPr>
      <w:r w:rsidRPr="002522ED">
        <w:rPr>
          <w:rFonts w:cstheme="majorBidi"/>
          <w:rtl/>
        </w:rPr>
        <w:t xml:space="preserve">واستند ا نموذج الدراسة الحالية إلى الأدبيات النظرية والدراسات السابقة في مجالات الابتكار الإداري والاستشراف الاستراتيجي ونظرية القدرات الديناميكية, </w:t>
      </w:r>
    </w:p>
    <w:p w14:paraId="0C832F23" w14:textId="1C8000FF" w:rsidR="004A1B7E" w:rsidRPr="002522ED" w:rsidRDefault="004A1B7E" w:rsidP="005651E0">
      <w:pPr>
        <w:bidi/>
        <w:jc w:val="both"/>
        <w:rPr>
          <w:rFonts w:cstheme="majorBidi"/>
          <w:rtl/>
        </w:rPr>
      </w:pPr>
      <w:r w:rsidRPr="002522ED">
        <w:rPr>
          <w:rFonts w:cstheme="majorBidi"/>
        </w:rPr>
        <w:t>(Birkinshaw et al.,2008</w:t>
      </w:r>
      <w:proofErr w:type="gramStart"/>
      <w:r w:rsidR="007A599E" w:rsidRPr="002522ED">
        <w:rPr>
          <w:rFonts w:cstheme="majorBidi"/>
        </w:rPr>
        <w:t>’,Daft</w:t>
      </w:r>
      <w:proofErr w:type="gramEnd"/>
      <w:r w:rsidR="007A599E" w:rsidRPr="002522ED">
        <w:rPr>
          <w:rFonts w:cstheme="majorBidi"/>
        </w:rPr>
        <w:t>,2023</w:t>
      </w:r>
      <w:proofErr w:type="gramStart"/>
      <w:r w:rsidR="007A599E" w:rsidRPr="002522ED">
        <w:rPr>
          <w:rFonts w:cstheme="majorBidi"/>
        </w:rPr>
        <w:t>’,Rohrbeck</w:t>
      </w:r>
      <w:proofErr w:type="gramEnd"/>
      <w:r w:rsidR="00165D57" w:rsidRPr="002522ED">
        <w:rPr>
          <w:rFonts w:cstheme="majorBidi"/>
        </w:rPr>
        <w:t>&amp;Gem</w:t>
      </w:r>
      <w:r w:rsidR="00387B6E" w:rsidRPr="002522ED">
        <w:rPr>
          <w:rFonts w:cstheme="majorBidi"/>
        </w:rPr>
        <w:t>unden</w:t>
      </w:r>
      <w:r w:rsidR="002E248B" w:rsidRPr="002522ED">
        <w:rPr>
          <w:rFonts w:cstheme="majorBidi"/>
        </w:rPr>
        <w:t xml:space="preserve">,2011; </w:t>
      </w:r>
      <w:r w:rsidR="007A599E" w:rsidRPr="002522ED">
        <w:rPr>
          <w:rFonts w:cstheme="majorBidi"/>
        </w:rPr>
        <w:t>Teece,2018)</w:t>
      </w:r>
    </w:p>
    <w:p w14:paraId="0A3D56F3" w14:textId="7E4803E8" w:rsidR="00554FB9" w:rsidRPr="002522ED" w:rsidRDefault="00554FB9" w:rsidP="005651E0">
      <w:pPr>
        <w:pStyle w:val="Heading1"/>
        <w:jc w:val="both"/>
      </w:pPr>
      <w:r w:rsidRPr="002522ED">
        <w:rPr>
          <w:rtl/>
        </w:rPr>
        <w:t>الدراسات المرجعية:</w:t>
      </w:r>
    </w:p>
    <w:p w14:paraId="26720D07" w14:textId="7388A961" w:rsidR="005750A7" w:rsidRPr="002522ED" w:rsidRDefault="005750A7" w:rsidP="005651E0">
      <w:pPr>
        <w:bidi/>
        <w:jc w:val="both"/>
        <w:rPr>
          <w:rFonts w:cstheme="majorBidi"/>
        </w:rPr>
      </w:pPr>
      <w:r w:rsidRPr="002522ED">
        <w:rPr>
          <w:rFonts w:cstheme="majorBidi"/>
          <w:rtl/>
        </w:rPr>
        <w:t xml:space="preserve"> أولا: الابتكار الإداري:</w:t>
      </w:r>
    </w:p>
    <w:p w14:paraId="0E2AD17C" w14:textId="4739CA65" w:rsidR="00792B9D" w:rsidRDefault="00EA076C" w:rsidP="005651E0">
      <w:pPr>
        <w:pStyle w:val="NormalWeb"/>
        <w:bidi/>
        <w:spacing w:after="210"/>
        <w:jc w:val="both"/>
        <w:rPr>
          <w:rFonts w:asciiTheme="majorBidi" w:hAnsiTheme="majorBidi" w:cstheme="majorBidi"/>
          <w:rtl/>
        </w:rPr>
      </w:pPr>
      <w:r w:rsidRPr="002522ED">
        <w:rPr>
          <w:rFonts w:asciiTheme="majorBidi" w:hAnsiTheme="majorBidi" w:cstheme="majorBidi"/>
          <w:rtl/>
        </w:rPr>
        <w:t>الدراسات السابقة العربية</w:t>
      </w:r>
      <w:r w:rsidR="00977D67">
        <w:rPr>
          <w:rFonts w:asciiTheme="majorBidi" w:eastAsia="Times New Roman" w:hAnsiTheme="majorBidi" w:cstheme="majorBidi" w:hint="cs"/>
          <w:b/>
          <w:bCs/>
          <w:color w:val="000000"/>
          <w:kern w:val="0"/>
          <w:rtl/>
          <w14:ligatures w14:val="none"/>
        </w:rPr>
        <w:t>:</w:t>
      </w:r>
    </w:p>
    <w:p w14:paraId="5B9AC966" w14:textId="2C5733BB" w:rsidR="00977D67" w:rsidRDefault="00C734F8" w:rsidP="00977D67">
      <w:pPr>
        <w:pStyle w:val="NormalWeb"/>
        <w:bidi/>
        <w:spacing w:after="210"/>
        <w:jc w:val="both"/>
        <w:rPr>
          <w:rFonts w:asciiTheme="majorBidi" w:hAnsiTheme="majorBidi" w:cstheme="majorBidi"/>
          <w:rtl/>
        </w:rPr>
      </w:pPr>
      <w:r>
        <w:rPr>
          <w:rFonts w:asciiTheme="majorBidi" w:hAnsiTheme="majorBidi" w:cstheme="majorBidi" w:hint="cs"/>
          <w:rtl/>
        </w:rPr>
        <w:t xml:space="preserve">1/ دراسة  </w:t>
      </w:r>
      <w:proofErr w:type="spellStart"/>
      <w:r w:rsidRPr="002522ED">
        <w:rPr>
          <w:rFonts w:asciiTheme="majorBidi" w:eastAsia="Times New Roman" w:hAnsiTheme="majorBidi" w:cstheme="majorBidi"/>
          <w:b/>
          <w:bCs/>
          <w:color w:val="000000"/>
          <w:kern w:val="0"/>
          <w14:ligatures w14:val="none"/>
        </w:rPr>
        <w:t>Aljouni</w:t>
      </w:r>
      <w:proofErr w:type="spellEnd"/>
      <w:r w:rsidRPr="002522ED">
        <w:rPr>
          <w:rFonts w:asciiTheme="majorBidi" w:eastAsia="Times New Roman" w:hAnsiTheme="majorBidi" w:cstheme="majorBidi"/>
          <w:b/>
          <w:bCs/>
          <w:color w:val="000000"/>
          <w:kern w:val="0"/>
          <w14:ligatures w14:val="none"/>
        </w:rPr>
        <w:t xml:space="preserve"> and Effendi (2025)</w:t>
      </w:r>
    </w:p>
    <w:p w14:paraId="4800E693" w14:textId="0E5EDE51" w:rsidR="00321B3D" w:rsidRPr="002522ED" w:rsidRDefault="00792B9D" w:rsidP="00F6715E">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 xml:space="preserve">هدفت دراسة </w:t>
      </w:r>
      <w:proofErr w:type="spellStart"/>
      <w:r w:rsidRPr="002522ED">
        <w:rPr>
          <w:rFonts w:eastAsia="Times New Roman" w:cstheme="majorBidi"/>
          <w:color w:val="000000"/>
          <w:kern w:val="0"/>
          <w14:ligatures w14:val="none"/>
        </w:rPr>
        <w:t>Aljouni</w:t>
      </w:r>
      <w:proofErr w:type="spellEnd"/>
      <w:r w:rsidRPr="002522ED">
        <w:rPr>
          <w:rFonts w:eastAsia="Times New Roman" w:cstheme="majorBidi"/>
          <w:color w:val="000000"/>
          <w:kern w:val="0"/>
          <w14:ligatures w14:val="none"/>
        </w:rPr>
        <w:t xml:space="preserve"> and Effendi</w:t>
      </w:r>
      <w:r w:rsidRPr="002522ED">
        <w:rPr>
          <w:rFonts w:eastAsia="Times New Roman" w:cstheme="majorBidi"/>
          <w:color w:val="000000"/>
          <w:kern w:val="0"/>
          <w:rtl/>
          <w14:ligatures w14:val="none"/>
        </w:rPr>
        <w:t xml:space="preserve"> (2025) إلى التعرف على دور التفويض الفعّال في تعزيز الابتكار الإداري ورفع كفاءة الأداء الوظيفي في القطاع الحكومي من منظور الإدارة الاستراتيجية. واعتمدت الدراسة المنهج الوصفي التحليلي، وطُبقت على عينة بلغت (211) موظفًا في الدوائر الحكومية بمدينة إربد في الأردن، باستخدام الاستبانة أداةً لجمع البيانات. وقد توصلت الدراسة إلى وجود علاقة ذات دلالة إحصائية بين التفويض الفعّال والابتكار الإداري، كما أظهرت النتائج وجود أثر إيجابي للتفويض في تحسين الأداء الوظيفي. وبينت الدراسة كذلك أن أبعاد التفويض من أكثر العوامل تأثيرًا في الأداء، مع عدم وجود فروق دالة تعزى للمتغيرات الديموغرافية باستثناء سنوات الخبرة. وتفيد هذه الدراسة البحث الحالي في تأكيد أهمية الممارسات الإدارية الحديثة في دعم الابتكار الإداري وتحسين كفاءة الأداء المؤسسي.</w:t>
      </w:r>
    </w:p>
    <w:p w14:paraId="1B0A21C7" w14:textId="3C66D022" w:rsidR="000C4669" w:rsidRPr="002522ED" w:rsidRDefault="00814E44" w:rsidP="005651E0">
      <w:pPr>
        <w:bidi/>
        <w:spacing w:after="210"/>
        <w:jc w:val="both"/>
        <w:rPr>
          <w:rFonts w:eastAsia="Times New Roman" w:cstheme="majorBidi"/>
          <w:color w:val="000000"/>
          <w:kern w:val="0"/>
          <w14:ligatures w14:val="none"/>
        </w:rPr>
      </w:pPr>
      <w:r>
        <w:rPr>
          <w:rFonts w:eastAsia="Times New Roman" w:cstheme="majorBidi" w:hint="cs"/>
          <w:b/>
          <w:bCs/>
          <w:color w:val="000000"/>
          <w:kern w:val="0"/>
          <w:rtl/>
          <w14:ligatures w14:val="none"/>
        </w:rPr>
        <w:t>2</w:t>
      </w:r>
      <w:r w:rsidR="000C4669" w:rsidRPr="002522ED">
        <w:rPr>
          <w:rFonts w:eastAsia="Times New Roman" w:cstheme="majorBidi"/>
          <w:b/>
          <w:bCs/>
          <w:color w:val="000000"/>
          <w:kern w:val="0"/>
          <w:rtl/>
          <w14:ligatures w14:val="none"/>
        </w:rPr>
        <w:t xml:space="preserve">/ دراسة نصر الدين والإدريسي (2023 </w:t>
      </w:r>
      <w:r w:rsidR="00C734F8">
        <w:rPr>
          <w:rFonts w:eastAsia="Times New Roman" w:cstheme="majorBidi" w:hint="cs"/>
          <w:b/>
          <w:bCs/>
          <w:color w:val="000000"/>
          <w:kern w:val="0"/>
          <w:rtl/>
          <w14:ligatures w14:val="none"/>
        </w:rPr>
        <w:t>)</w:t>
      </w:r>
    </w:p>
    <w:p w14:paraId="1F2CBFE9" w14:textId="2DA0DDEE" w:rsidR="000C4669" w:rsidRPr="002522ED" w:rsidRDefault="000C4669" w:rsidP="00F6715E">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lastRenderedPageBreak/>
        <w:t>هدفت دراسة نصر الدين والإدريسي (2023) إلى تحليل دور الابتكار في تحقيق التميز الصناعي وتطوير الخدمات اللوجستية في المملكة العربية السعودية، وقياس أثره في تحسين الأداء الصناعي واللوجستي على المستوى الوطني. واعتمدت الدراسة المنهج التحليلي الكمي من خلال استخدام بيانات زمنية للفترة (2010–2021)، وتطبيق نماذج الانحدار الخطي المتعدد لتحليل العلاقة بين الابتكار والأداء الاقتصادي. وأظهرت النتائج وجود علاقة إيجابية ذات دلالة إحصائية بين الابتكار والتميز الصناعي، خاصة فيما يتعلق بقطاع تكنولوجيا المعلومات والصادرات التكنولوجية، في حين لم يظهر الإنفاق على البحث والتطوير تأثيرًا معنويًا واضحًا خلال فترة الدراسة. كما أوضحت النتائج أن أثر الابتكار على أداء الخدمات اللوجستية كان متفاوتًا تبعًا لطبيعة السياسات الاقتصادية ومستوى التطبيق العملي للابتكار. وتؤكد هذه الدراسة أهمية تبني الممارسات الابتكارية في دعم التنمية وتحسين الأداء المؤسسي.</w:t>
      </w:r>
    </w:p>
    <w:p w14:paraId="1830B6D9" w14:textId="22B1DB70" w:rsidR="000C4669" w:rsidRPr="004B6E5C" w:rsidRDefault="00F6715E" w:rsidP="00F6715E">
      <w:pPr>
        <w:bidi/>
        <w:spacing w:after="180"/>
        <w:jc w:val="both"/>
        <w:rPr>
          <w:rFonts w:eastAsia="Times New Roman" w:cstheme="majorBidi"/>
          <w:b/>
          <w:bCs/>
          <w:color w:val="000000"/>
          <w:kern w:val="0"/>
          <w14:ligatures w14:val="none"/>
        </w:rPr>
      </w:pPr>
      <w:r w:rsidRPr="004B6E5C">
        <w:rPr>
          <w:rFonts w:eastAsia="Times New Roman" w:cstheme="majorBidi" w:hint="cs"/>
          <w:b/>
          <w:bCs/>
          <w:color w:val="000000"/>
          <w:kern w:val="0"/>
          <w:rtl/>
          <w14:ligatures w14:val="none"/>
        </w:rPr>
        <w:t xml:space="preserve">3/ دراسة  </w:t>
      </w:r>
      <w:r w:rsidRPr="004B6E5C">
        <w:rPr>
          <w:rFonts w:eastAsia="Times New Roman" w:cstheme="majorBidi"/>
          <w:b/>
          <w:bCs/>
          <w:color w:val="000000"/>
          <w:kern w:val="0"/>
          <w14:ligatures w14:val="none"/>
        </w:rPr>
        <w:t xml:space="preserve">Abu </w:t>
      </w:r>
      <w:proofErr w:type="spellStart"/>
      <w:r w:rsidRPr="004B6E5C">
        <w:rPr>
          <w:rFonts w:eastAsia="Times New Roman" w:cstheme="majorBidi"/>
          <w:b/>
          <w:bCs/>
          <w:color w:val="000000"/>
          <w:kern w:val="0"/>
          <w14:ligatures w14:val="none"/>
        </w:rPr>
        <w:t>Tabeekh</w:t>
      </w:r>
      <w:proofErr w:type="spellEnd"/>
      <w:r w:rsidRPr="004B6E5C">
        <w:rPr>
          <w:rFonts w:eastAsia="Times New Roman" w:cstheme="majorBidi"/>
          <w:b/>
          <w:bCs/>
          <w:color w:val="000000"/>
          <w:kern w:val="0"/>
          <w14:ligatures w14:val="none"/>
        </w:rPr>
        <w:t xml:space="preserve"> and Abdullah (2025)</w:t>
      </w:r>
      <w:r w:rsidR="000100C3" w:rsidRPr="004B6E5C">
        <w:rPr>
          <w:rFonts w:eastAsia="Times New Roman" w:cstheme="majorBidi"/>
          <w:b/>
          <w:bCs/>
          <w:color w:val="000000"/>
          <w:kern w:val="0"/>
          <w:rtl/>
          <w14:ligatures w14:val="none"/>
        </w:rPr>
        <w:t xml:space="preserve"> </w:t>
      </w:r>
    </w:p>
    <w:p w14:paraId="0DCBF5F8" w14:textId="04B64B92" w:rsidR="005750A7" w:rsidRPr="002522ED" w:rsidRDefault="000C4669" w:rsidP="00F6715E">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 xml:space="preserve">Abu </w:t>
      </w:r>
      <w:proofErr w:type="spellStart"/>
      <w:r w:rsidRPr="002522ED">
        <w:rPr>
          <w:rFonts w:eastAsia="Times New Roman" w:cstheme="majorBidi"/>
          <w:color w:val="000000"/>
          <w:kern w:val="0"/>
          <w14:ligatures w14:val="none"/>
        </w:rPr>
        <w:t>Tabeekh</w:t>
      </w:r>
      <w:proofErr w:type="spellEnd"/>
      <w:r w:rsidRPr="002522ED">
        <w:rPr>
          <w:rFonts w:eastAsia="Times New Roman" w:cstheme="majorBidi"/>
          <w:color w:val="000000"/>
          <w:kern w:val="0"/>
          <w14:ligatures w14:val="none"/>
        </w:rPr>
        <w:t xml:space="preserve"> and Abdullah</w:t>
      </w:r>
      <w:r w:rsidRPr="002522ED">
        <w:rPr>
          <w:rFonts w:eastAsia="Times New Roman" w:cstheme="majorBidi"/>
          <w:color w:val="000000"/>
          <w:kern w:val="0"/>
          <w:rtl/>
          <w14:ligatures w14:val="none"/>
        </w:rPr>
        <w:t xml:space="preserve"> (2025) إلى الكشف عن أثر التجديد الاستراتيجي في تعزيز الابتكار التنظيمي داخل المؤسسات الحديثة. واعتمدت الدراسة المنهج الوصفي التحليلي، واستخدمت الاستبانة لجمع البيانات من عينة مكونة من (165) عاملًا في شركة ربان السفينة في العراق، مع تحليل البيانات باستخدام برنامجي </w:t>
      </w:r>
      <w:r w:rsidRPr="002522ED">
        <w:rPr>
          <w:rFonts w:eastAsia="Times New Roman" w:cstheme="majorBidi"/>
          <w:color w:val="000000"/>
          <w:kern w:val="0"/>
          <w14:ligatures w14:val="none"/>
        </w:rPr>
        <w:t>SPSS</w:t>
      </w:r>
      <w:r w:rsidRPr="002522ED">
        <w:rPr>
          <w:rFonts w:eastAsia="Times New Roman" w:cstheme="majorBidi"/>
          <w:color w:val="000000"/>
          <w:kern w:val="0"/>
          <w:rtl/>
          <w14:ligatures w14:val="none"/>
        </w:rPr>
        <w:t xml:space="preserve"> و </w:t>
      </w:r>
      <w:r w:rsidRPr="002522ED">
        <w:rPr>
          <w:rFonts w:eastAsia="Times New Roman" w:cstheme="majorBidi"/>
          <w:color w:val="000000"/>
          <w:kern w:val="0"/>
          <w14:ligatures w14:val="none"/>
        </w:rPr>
        <w:t>Smart PLS</w:t>
      </w:r>
      <w:r w:rsidRPr="002522ED">
        <w:rPr>
          <w:rFonts w:eastAsia="Times New Roman" w:cstheme="majorBidi"/>
          <w:color w:val="000000"/>
          <w:kern w:val="0"/>
          <w:rtl/>
          <w14:ligatures w14:val="none"/>
        </w:rPr>
        <w:t>. وقد أظهرت النتائج وجود تأثير إيجابي مباشر ودال إحصائيًا للتجديد الاستراتيجي في تعزيز الابتكار التنظيمي، كما بينت أن تبني استراتيجيات التجديد يسهم في تطوير الممارسات الإدارية وزيادة قدرة المؤسسات على التكيف مع التغيرات البيئية وتحقيق التطور المؤسسي المستدام. وتبرز أهمية هذه الدراسة بالنسبة للبحث الحالي في تأكيد الدور الذي تؤديه التوجهات الاستراتيجية الحديثة في دعم الابتكار داخل المنظمات.</w:t>
      </w:r>
    </w:p>
    <w:p w14:paraId="59336FD7" w14:textId="11723723" w:rsidR="00141CF0" w:rsidRPr="004B6E5C" w:rsidRDefault="00EA076C" w:rsidP="00F6715E">
      <w:pPr>
        <w:shd w:val="clear" w:color="auto" w:fill="FFFFFF"/>
        <w:bidi/>
        <w:spacing w:after="0"/>
        <w:jc w:val="both"/>
        <w:rPr>
          <w:rFonts w:eastAsia="Times New Roman" w:cstheme="majorBidi"/>
          <w:b/>
          <w:bCs/>
          <w:kern w:val="0"/>
          <w:rtl/>
          <w14:ligatures w14:val="none"/>
        </w:rPr>
      </w:pPr>
      <w:r w:rsidRPr="004B6E5C">
        <w:rPr>
          <w:rFonts w:eastAsia="Times New Roman" w:cstheme="majorBidi"/>
          <w:b/>
          <w:bCs/>
          <w:kern w:val="0"/>
          <w:rtl/>
          <w14:ligatures w14:val="none"/>
        </w:rPr>
        <w:t>الدرسات السابقة الأجنبية</w:t>
      </w:r>
      <w:r w:rsidR="003A4DBC" w:rsidRPr="004B6E5C">
        <w:rPr>
          <w:rFonts w:eastAsia="Times New Roman" w:cstheme="majorBidi"/>
          <w:b/>
          <w:bCs/>
          <w:kern w:val="0"/>
          <w14:ligatures w14:val="none"/>
        </w:rPr>
        <w:t>.</w:t>
      </w:r>
    </w:p>
    <w:p w14:paraId="3AC1E0CF" w14:textId="77777777" w:rsidR="008945F6" w:rsidRPr="002522ED" w:rsidRDefault="008945F6" w:rsidP="008945F6">
      <w:pPr>
        <w:shd w:val="clear" w:color="auto" w:fill="FFFFFF"/>
        <w:bidi/>
        <w:spacing w:after="0"/>
        <w:jc w:val="both"/>
        <w:rPr>
          <w:rFonts w:eastAsia="Times New Roman" w:cstheme="majorBidi"/>
          <w:kern w:val="0"/>
          <w:rtl/>
          <w14:ligatures w14:val="none"/>
        </w:rPr>
      </w:pPr>
    </w:p>
    <w:p w14:paraId="1753056E" w14:textId="4115797C" w:rsidR="00141CF0" w:rsidRPr="002522ED" w:rsidRDefault="00141CF0" w:rsidP="005651E0">
      <w:pPr>
        <w:bidi/>
        <w:spacing w:after="210"/>
        <w:jc w:val="both"/>
        <w:rPr>
          <w:rFonts w:eastAsia="Times New Roman" w:cstheme="majorBidi"/>
          <w:color w:val="000000"/>
          <w:kern w:val="0"/>
          <w:rtl/>
          <w14:ligatures w14:val="none"/>
        </w:rPr>
      </w:pPr>
      <w:r w:rsidRPr="002522ED">
        <w:rPr>
          <w:rFonts w:eastAsia="Times New Roman" w:cstheme="majorBidi"/>
          <w:b/>
          <w:bCs/>
          <w:color w:val="000000"/>
          <w:kern w:val="0"/>
          <w:rtl/>
          <w14:ligatures w14:val="none"/>
        </w:rPr>
        <w:t>1/ دراسة</w:t>
      </w:r>
      <w:r w:rsidR="000100C3" w:rsidRPr="002522ED">
        <w:rPr>
          <w:rFonts w:eastAsia="Times New Roman" w:cstheme="majorBidi"/>
          <w:b/>
          <w:bCs/>
          <w:color w:val="000000"/>
          <w:kern w:val="0"/>
          <w:rtl/>
          <w14:ligatures w14:val="none"/>
        </w:rPr>
        <w:t xml:space="preserve">  </w:t>
      </w:r>
      <w:r w:rsidR="000100C3" w:rsidRPr="002522ED">
        <w:rPr>
          <w:rFonts w:eastAsia="Times New Roman" w:cstheme="majorBidi"/>
          <w:b/>
          <w:bCs/>
          <w:color w:val="000000"/>
          <w:kern w:val="0"/>
          <w14:ligatures w14:val="none"/>
        </w:rPr>
        <w:t>(2023)</w:t>
      </w:r>
      <w:r w:rsidR="000100C3" w:rsidRPr="002522ED">
        <w:rPr>
          <w:rFonts w:eastAsia="Times New Roman" w:cstheme="majorBidi"/>
          <w:b/>
          <w:bCs/>
          <w:color w:val="000000"/>
          <w:kern w:val="0"/>
          <w:rtl/>
          <w14:ligatures w14:val="none"/>
        </w:rPr>
        <w:t xml:space="preserve">  </w:t>
      </w:r>
      <w:r w:rsidR="000100C3" w:rsidRPr="002522ED">
        <w:rPr>
          <w:rFonts w:eastAsia="Times New Roman" w:cstheme="majorBidi"/>
          <w:b/>
          <w:bCs/>
          <w:color w:val="000000"/>
          <w:kern w:val="0"/>
          <w14:ligatures w14:val="none"/>
        </w:rPr>
        <w:t>Ozen</w:t>
      </w:r>
      <w:r w:rsidR="000100C3" w:rsidRPr="002522ED">
        <w:rPr>
          <w:rFonts w:eastAsia="Times New Roman" w:cstheme="majorBidi"/>
          <w:b/>
          <w:bCs/>
          <w:color w:val="000000"/>
          <w:kern w:val="0"/>
          <w:rtl/>
          <w14:ligatures w14:val="none"/>
        </w:rPr>
        <w:t xml:space="preserve"> &amp; </w:t>
      </w:r>
      <w:r w:rsidR="000100C3" w:rsidRPr="002522ED">
        <w:rPr>
          <w:rFonts w:eastAsia="Times New Roman" w:cstheme="majorBidi"/>
          <w:b/>
          <w:bCs/>
          <w:color w:val="000000"/>
          <w:kern w:val="0"/>
          <w14:ligatures w14:val="none"/>
        </w:rPr>
        <w:t>Ozturk-Kose</w:t>
      </w:r>
    </w:p>
    <w:p w14:paraId="219FA2B2" w14:textId="7CF3070D" w:rsidR="00141CF0" w:rsidRPr="002522ED" w:rsidRDefault="00141CF0"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Ozen and Ozturk-Kose</w:t>
      </w:r>
      <w:r w:rsidRPr="002522ED">
        <w:rPr>
          <w:rFonts w:eastAsia="Times New Roman" w:cstheme="majorBidi"/>
          <w:color w:val="000000"/>
          <w:kern w:val="0"/>
          <w:rtl/>
          <w14:ligatures w14:val="none"/>
        </w:rPr>
        <w:t xml:space="preserve"> (2023) إلى تحليل العوامل الداخلية والخارجية المؤثرة في الابتكار الإداري داخل الشركات، مع التركيز على دور الانتماء إلى مجموعات الأعمال (</w:t>
      </w:r>
      <w:r w:rsidRPr="002522ED">
        <w:rPr>
          <w:rFonts w:eastAsia="Times New Roman" w:cstheme="majorBidi"/>
          <w:color w:val="000000"/>
          <w:kern w:val="0"/>
          <w14:ligatures w14:val="none"/>
        </w:rPr>
        <w:t>Business Groups</w:t>
      </w:r>
      <w:r w:rsidRPr="002522ED">
        <w:rPr>
          <w:rFonts w:eastAsia="Times New Roman" w:cstheme="majorBidi"/>
          <w:color w:val="000000"/>
          <w:kern w:val="0"/>
          <w:rtl/>
          <w14:ligatures w14:val="none"/>
        </w:rPr>
        <w:t>) في تعزيز هذا الابتكار، وذلك في سياق الاقتصادات الناشئة.</w:t>
      </w:r>
    </w:p>
    <w:p w14:paraId="717612E4" w14:textId="12627443" w:rsidR="00141CF0" w:rsidRPr="002522ED" w:rsidRDefault="00141CF0"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اعتمدت الدراسة على المنهج الكمي التجريبي (</w:t>
      </w:r>
      <w:r w:rsidRPr="002522ED">
        <w:rPr>
          <w:rFonts w:eastAsia="Times New Roman" w:cstheme="majorBidi"/>
          <w:color w:val="000000"/>
          <w:kern w:val="0"/>
          <w14:ligatures w14:val="none"/>
        </w:rPr>
        <w:t>Empirical Quantitative Study</w:t>
      </w:r>
      <w:r w:rsidRPr="002522ED">
        <w:rPr>
          <w:rFonts w:eastAsia="Times New Roman" w:cstheme="majorBidi"/>
          <w:color w:val="000000"/>
          <w:kern w:val="0"/>
          <w:rtl/>
          <w14:ligatures w14:val="none"/>
        </w:rPr>
        <w:t xml:space="preserve">)، حيث تم تحليل بيانات شركات تعمل ضمن مجموعات أعمال وشركات مستقلة في عدد من الدول الآسيوية، باستخدام نماذج إحصائية متقدمة، وقد نُشرت الدراسة في مجلة </w:t>
      </w:r>
      <w:r w:rsidRPr="002522ED">
        <w:rPr>
          <w:rFonts w:eastAsia="Times New Roman" w:cstheme="majorBidi"/>
          <w:color w:val="000000"/>
          <w:kern w:val="0"/>
          <w14:ligatures w14:val="none"/>
        </w:rPr>
        <w:t>Journal of Business Research</w:t>
      </w:r>
      <w:r w:rsidRPr="002522ED">
        <w:rPr>
          <w:rFonts w:eastAsia="Times New Roman" w:cstheme="majorBidi"/>
          <w:color w:val="000000"/>
          <w:kern w:val="0"/>
          <w:rtl/>
          <w14:ligatures w14:val="none"/>
        </w:rPr>
        <w:t xml:space="preserve"> (المجلد 164).</w:t>
      </w:r>
    </w:p>
    <w:p w14:paraId="299C70B9" w14:textId="6612EF9A" w:rsidR="00141CF0" w:rsidRPr="002522ED" w:rsidRDefault="00141CF0"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وتوصلت الدراسة إلى مجموعة من النتائج المهمة، أبرزها:</w:t>
      </w:r>
    </w:p>
    <w:p w14:paraId="719D2F30" w14:textId="77777777" w:rsidR="00141CF0" w:rsidRPr="002522ED" w:rsidRDefault="00141CF0" w:rsidP="005651E0">
      <w:pPr>
        <w:numPr>
          <w:ilvl w:val="0"/>
          <w:numId w:val="5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وجود تأثير إيجابي قوي لتدريب الموظفين والإبداع الوظيفي في تعزيز الابتكار الإداري داخل الشركات.</w:t>
      </w:r>
    </w:p>
    <w:p w14:paraId="3628374E" w14:textId="77777777" w:rsidR="00141CF0" w:rsidRPr="002522ED" w:rsidRDefault="00141CF0" w:rsidP="005651E0">
      <w:pPr>
        <w:numPr>
          <w:ilvl w:val="0"/>
          <w:numId w:val="5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يُعد الدعم الحكومي والعقود الحكومية من أهم العوامل الخارجية المحفزة للابتكار الإداري.</w:t>
      </w:r>
    </w:p>
    <w:p w14:paraId="3FDE7058" w14:textId="77777777" w:rsidR="00141CF0" w:rsidRPr="002522ED" w:rsidRDefault="00141CF0" w:rsidP="005651E0">
      <w:pPr>
        <w:numPr>
          <w:ilvl w:val="0"/>
          <w:numId w:val="5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lastRenderedPageBreak/>
        <w:t>الشركات التابعة لمجموعات الأعمال تحقق مستويات أعلى من الابتكار مقارنة بالشركات المستقلة.</w:t>
      </w:r>
    </w:p>
    <w:p w14:paraId="5388C4F9" w14:textId="77777777" w:rsidR="00141CF0" w:rsidRPr="002522ED" w:rsidRDefault="00141CF0" w:rsidP="005651E0">
      <w:pPr>
        <w:numPr>
          <w:ilvl w:val="0"/>
          <w:numId w:val="5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لم يظهر تأثير واضح للاستعانة بالمستشارين الخارجيين على الابتكار الإداري.</w:t>
      </w:r>
    </w:p>
    <w:p w14:paraId="0E0A42DC" w14:textId="247893D1" w:rsidR="00141CF0" w:rsidRPr="002522ED" w:rsidRDefault="00141CF0" w:rsidP="005651E0">
      <w:pPr>
        <w:numPr>
          <w:ilvl w:val="0"/>
          <w:numId w:val="5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يسهم الابتكار الإداري بشكل مباشر في تعزيز القدرة التنافسية للشركات في الاقتصادات الناشئة.</w:t>
      </w:r>
    </w:p>
    <w:p w14:paraId="3B48E59F" w14:textId="526BA23E" w:rsidR="001B1E37" w:rsidRPr="008945F6" w:rsidRDefault="00141CF0" w:rsidP="008945F6">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وتستفيد الدراسة الحالية من هذه النتائج في تأكيد أهمية العوامل التنظيمية والاستراتيجية في دعم الابتكار الإداري، خاصة ما يتعلق بدور الموارد البشرية والدعم المؤسسي، مما يعزز الإطار النظري الذي تنطلق منه الدراسة في تحليل العلاقة بين الابتكار الإداري والقدرات التوليدية.</w:t>
      </w:r>
    </w:p>
    <w:p w14:paraId="74D47948" w14:textId="3E70256C" w:rsidR="00ED6018" w:rsidRPr="002522ED" w:rsidRDefault="00FB5101" w:rsidP="00D62718">
      <w:pPr>
        <w:bidi/>
        <w:spacing w:after="210"/>
        <w:jc w:val="both"/>
        <w:rPr>
          <w:rFonts w:eastAsia="Times New Roman" w:cstheme="majorBidi"/>
          <w:color w:val="000000"/>
          <w:kern w:val="0"/>
          <w14:ligatures w14:val="none"/>
        </w:rPr>
      </w:pPr>
      <w:r w:rsidRPr="002522ED">
        <w:rPr>
          <w:rFonts w:eastAsia="Times New Roman" w:cstheme="majorBidi"/>
          <w:b/>
          <w:bCs/>
          <w:color w:val="000000"/>
          <w:kern w:val="0"/>
          <w:rtl/>
          <w14:ligatures w14:val="none"/>
        </w:rPr>
        <w:t xml:space="preserve"> </w:t>
      </w:r>
      <w:r w:rsidR="00D62718">
        <w:rPr>
          <w:rFonts w:eastAsia="Times New Roman" w:cstheme="majorBidi" w:hint="cs"/>
          <w:b/>
          <w:bCs/>
          <w:color w:val="000000"/>
          <w:kern w:val="0"/>
          <w:rtl/>
          <w14:ligatures w14:val="none"/>
        </w:rPr>
        <w:t>2/ دراسة</w:t>
      </w:r>
      <w:r w:rsidRPr="002522ED">
        <w:rPr>
          <w:rFonts w:eastAsia="Times New Roman" w:cstheme="majorBidi"/>
          <w:b/>
          <w:bCs/>
          <w:color w:val="000000"/>
          <w:kern w:val="0"/>
          <w:rtl/>
          <w14:ligatures w14:val="none"/>
        </w:rPr>
        <w:t xml:space="preserve"> </w:t>
      </w:r>
      <w:r w:rsidR="00D62718">
        <w:rPr>
          <w:rFonts w:eastAsia="Times New Roman" w:cstheme="majorBidi" w:hint="cs"/>
          <w:b/>
          <w:bCs/>
          <w:color w:val="000000"/>
          <w:kern w:val="0"/>
          <w:rtl/>
          <w14:ligatures w14:val="none"/>
        </w:rPr>
        <w:t>(</w:t>
      </w:r>
      <w:r w:rsidR="00DB07D4">
        <w:rPr>
          <w:rFonts w:eastAsia="Times New Roman" w:cstheme="majorBidi" w:hint="cs"/>
          <w:b/>
          <w:bCs/>
          <w:color w:val="000000"/>
          <w:kern w:val="0"/>
          <w:rtl/>
          <w14:ligatures w14:val="none"/>
        </w:rPr>
        <w:t>2023)</w:t>
      </w:r>
      <w:r w:rsidRPr="002522ED">
        <w:rPr>
          <w:rFonts w:eastAsia="Times New Roman" w:cstheme="majorBidi"/>
          <w:b/>
          <w:bCs/>
          <w:color w:val="000000"/>
          <w:kern w:val="0"/>
          <w:rtl/>
          <w14:ligatures w14:val="none"/>
        </w:rPr>
        <w:t xml:space="preserve"> </w:t>
      </w:r>
      <w:r w:rsidRPr="002522ED">
        <w:rPr>
          <w:rFonts w:eastAsia="Times New Roman" w:cstheme="majorBidi"/>
          <w:b/>
          <w:bCs/>
          <w:color w:val="000000"/>
          <w:kern w:val="0"/>
          <w14:ligatures w14:val="none"/>
        </w:rPr>
        <w:t xml:space="preserve">Pu, Li, &amp; </w:t>
      </w:r>
      <w:proofErr w:type="spellStart"/>
      <w:r w:rsidRPr="002522ED">
        <w:rPr>
          <w:rFonts w:eastAsia="Times New Roman" w:cstheme="majorBidi"/>
          <w:b/>
          <w:bCs/>
          <w:color w:val="000000"/>
          <w:kern w:val="0"/>
          <w14:ligatures w14:val="none"/>
        </w:rPr>
        <w:t>Zulkafli</w:t>
      </w:r>
      <w:proofErr w:type="spellEnd"/>
      <w:r w:rsidRPr="002522ED">
        <w:rPr>
          <w:rFonts w:eastAsia="Times New Roman" w:cstheme="majorBidi"/>
          <w:b/>
          <w:bCs/>
          <w:color w:val="000000"/>
          <w:kern w:val="0"/>
          <w:rtl/>
          <w14:ligatures w14:val="none"/>
        </w:rPr>
        <w:t xml:space="preserve"> </w:t>
      </w:r>
    </w:p>
    <w:p w14:paraId="4F4E817A" w14:textId="494A9275" w:rsidR="00ED6018" w:rsidRPr="002522ED" w:rsidRDefault="00ED6018"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 xml:space="preserve">Pu, Li, and </w:t>
      </w:r>
      <w:proofErr w:type="spellStart"/>
      <w:r w:rsidRPr="002522ED">
        <w:rPr>
          <w:rFonts w:eastAsia="Times New Roman" w:cstheme="majorBidi"/>
          <w:color w:val="000000"/>
          <w:kern w:val="0"/>
          <w14:ligatures w14:val="none"/>
        </w:rPr>
        <w:t>Zulkafli</w:t>
      </w:r>
      <w:proofErr w:type="spellEnd"/>
      <w:r w:rsidRPr="002522ED">
        <w:rPr>
          <w:rFonts w:eastAsia="Times New Roman" w:cstheme="majorBidi"/>
          <w:color w:val="000000"/>
          <w:kern w:val="0"/>
          <w:rtl/>
          <w14:ligatures w14:val="none"/>
        </w:rPr>
        <w:t xml:space="preserve"> (2023) إلى تحليل أثر التحول الرقمي في تعزيز الابتكار المؤسسي، مع التركيز على الابتكار التنظيمي والإداري داخل الشركات، وكذلك الكشف عن الآليات التي تفسر العلاقة بين التحول الرقمي والابتكار.</w:t>
      </w:r>
    </w:p>
    <w:p w14:paraId="0DCD13E1" w14:textId="4CE15FAE" w:rsidR="00ED6018" w:rsidRPr="002522ED" w:rsidRDefault="00ED6018"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اعتمدت الدراسة على المنهج الكمي التجريبي، حيث تم تحليل بيانات طولية لعدد من الشركات المدرجة في الصين خلال الفترة (2012–2021)، وذلك باستخدام تقنيات التعلم الآلي والنماذج الاقتصادية القياسية لفحص العلاقات بين متغيرات الدراسة.</w:t>
      </w:r>
    </w:p>
    <w:p w14:paraId="4A600853" w14:textId="7D20737E" w:rsidR="00ED6018" w:rsidRPr="002522ED" w:rsidRDefault="00ED6018"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وقد توصلت الدراسة إلى مجموعة من النتائج المهمة، أبرزها:</w:t>
      </w:r>
    </w:p>
    <w:p w14:paraId="612C2268" w14:textId="77777777" w:rsidR="00ED6018" w:rsidRPr="002522ED" w:rsidRDefault="00ED6018" w:rsidP="005651E0">
      <w:pPr>
        <w:numPr>
          <w:ilvl w:val="0"/>
          <w:numId w:val="55"/>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وجود تأثير إيجابي مباشر للتحول الرقمي في تعزيز الابتكار المؤسسي والإداري داخل الشركات.</w:t>
      </w:r>
    </w:p>
    <w:p w14:paraId="7530C9D8" w14:textId="77777777" w:rsidR="00ED6018" w:rsidRPr="002522ED" w:rsidRDefault="00ED6018" w:rsidP="005651E0">
      <w:pPr>
        <w:numPr>
          <w:ilvl w:val="0"/>
          <w:numId w:val="55"/>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يسهم الإنفاق على البحث والتطوير في تفسير جزء كبير من العلاقة بين التحول الرقمي والابتكار.</w:t>
      </w:r>
    </w:p>
    <w:p w14:paraId="6BBC4A0B" w14:textId="77777777" w:rsidR="00ED6018" w:rsidRPr="002522ED" w:rsidRDefault="00ED6018" w:rsidP="005651E0">
      <w:pPr>
        <w:numPr>
          <w:ilvl w:val="0"/>
          <w:numId w:val="55"/>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يؤدي التحول الرقمي إلى تحسين كفاءة وجودة الابتكار داخل المؤسسات.</w:t>
      </w:r>
    </w:p>
    <w:p w14:paraId="5BD3B260" w14:textId="487B9D33" w:rsidR="00ED6018" w:rsidRPr="002522ED" w:rsidRDefault="00ED6018" w:rsidP="005651E0">
      <w:pPr>
        <w:numPr>
          <w:ilvl w:val="0"/>
          <w:numId w:val="55"/>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يظهر تأثير التحول الرقمي بشكل أكبر في الشركات التي تتبنى ممارسات إدارية حديثة.</w:t>
      </w:r>
    </w:p>
    <w:p w14:paraId="3258E128" w14:textId="3F90BEA4" w:rsidR="00373091" w:rsidRDefault="00ED6018" w:rsidP="00D15FEB">
      <w:pPr>
        <w:pStyle w:val="NormalWeb"/>
        <w:bidi/>
        <w:spacing w:after="0"/>
        <w:ind w:right="225"/>
        <w:jc w:val="both"/>
        <w:rPr>
          <w:rFonts w:asciiTheme="majorBidi" w:eastAsia="Times New Roman" w:hAnsiTheme="majorBidi" w:cstheme="majorBidi"/>
          <w:color w:val="000000"/>
          <w:kern w:val="0"/>
          <w:rtl/>
          <w14:ligatures w14:val="none"/>
        </w:rPr>
      </w:pPr>
      <w:r w:rsidRPr="002522ED">
        <w:rPr>
          <w:rFonts w:asciiTheme="majorBidi" w:eastAsia="Times New Roman" w:hAnsiTheme="majorBidi" w:cstheme="majorBidi"/>
          <w:color w:val="000000"/>
          <w:kern w:val="0"/>
          <w:rtl/>
          <w14:ligatures w14:val="none"/>
        </w:rPr>
        <w:t>وتفيد هذه الدراسة البحث الحالي في تأكيد الدور المحوري للتقنيات الحديثة والتحول الرقمي في دعم الابتكار الإداري، وهو ما يتقاطع مع مفهوم الابتكار الإداري التوليدي الذي تعتمد عليه الدراسة الحالية، خاصة في بيئات الشركات التقنية</w:t>
      </w:r>
      <w:r w:rsidR="00D01CAA" w:rsidRPr="002522ED">
        <w:rPr>
          <w:rFonts w:asciiTheme="majorBidi" w:eastAsia="Times New Roman" w:hAnsiTheme="majorBidi" w:cstheme="majorBidi"/>
          <w:color w:val="000000"/>
          <w:kern w:val="0"/>
          <w:rtl/>
          <w14:ligatures w14:val="none"/>
        </w:rPr>
        <w:t xml:space="preserve"> وتختلف هذه الدراسة عن الدراسة الحالية في أنها ركزت على أثر التحول الرقمي في الابتكار المؤسسي، في حين تسعى الدراسة الحالية إلى تحليل أثر الابتكار الإداري في تنمية القدرات التوليدية، مع دراسة دور الاستشراف الاستراتيجي كمتغير وسيط في هذه العلاقة.</w:t>
      </w:r>
    </w:p>
    <w:p w14:paraId="0ACC18B2" w14:textId="77777777" w:rsidR="00D15FEB" w:rsidRPr="002522ED" w:rsidRDefault="00D15FEB" w:rsidP="00D15FEB">
      <w:pPr>
        <w:pStyle w:val="NormalWeb"/>
        <w:bidi/>
        <w:spacing w:after="0"/>
        <w:ind w:right="225"/>
        <w:jc w:val="both"/>
        <w:rPr>
          <w:rFonts w:asciiTheme="majorBidi" w:eastAsia="Times New Roman" w:hAnsiTheme="majorBidi" w:cstheme="majorBidi"/>
          <w:color w:val="000000"/>
          <w:kern w:val="0"/>
          <w:rtl/>
          <w14:ligatures w14:val="none"/>
        </w:rPr>
      </w:pPr>
    </w:p>
    <w:p w14:paraId="636EE404" w14:textId="01B07F26" w:rsidR="00ED6018" w:rsidRPr="004B6E5C" w:rsidRDefault="00321B3D" w:rsidP="005651E0">
      <w:pPr>
        <w:bidi/>
        <w:spacing w:after="180"/>
        <w:jc w:val="both"/>
        <w:rPr>
          <w:rFonts w:eastAsia="Times New Roman" w:cstheme="majorBidi"/>
          <w:b/>
          <w:bCs/>
          <w:color w:val="000000"/>
          <w:kern w:val="0"/>
          <w:rtl/>
          <w14:ligatures w14:val="none"/>
        </w:rPr>
      </w:pPr>
      <w:r w:rsidRPr="004B6E5C">
        <w:rPr>
          <w:rFonts w:eastAsia="Times New Roman" w:cstheme="majorBidi"/>
          <w:b/>
          <w:bCs/>
          <w:color w:val="000000"/>
          <w:kern w:val="0"/>
          <w:rtl/>
          <w14:ligatures w14:val="none"/>
        </w:rPr>
        <w:t xml:space="preserve">ثانيا </w:t>
      </w:r>
      <w:r w:rsidR="0087030F" w:rsidRPr="004B6E5C">
        <w:rPr>
          <w:rFonts w:eastAsia="Times New Roman" w:cstheme="majorBidi" w:hint="cs"/>
          <w:b/>
          <w:bCs/>
          <w:color w:val="000000"/>
          <w:kern w:val="0"/>
          <w:rtl/>
          <w14:ligatures w14:val="none"/>
        </w:rPr>
        <w:t>:</w:t>
      </w:r>
      <w:r w:rsidRPr="004B6E5C">
        <w:rPr>
          <w:rFonts w:eastAsia="Times New Roman" w:cstheme="majorBidi"/>
          <w:b/>
          <w:bCs/>
          <w:color w:val="000000"/>
          <w:kern w:val="0"/>
          <w:rtl/>
          <w14:ligatures w14:val="none"/>
        </w:rPr>
        <w:t>القدرات التوليدية:</w:t>
      </w:r>
    </w:p>
    <w:p w14:paraId="4CEBB183" w14:textId="2C31FE3B" w:rsidR="00D01CAA" w:rsidRPr="002522ED" w:rsidRDefault="00321B3D"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 الدراسات العربية السابقة:</w:t>
      </w:r>
    </w:p>
    <w:p w14:paraId="49792469" w14:textId="52DC2075" w:rsidR="00D2489A" w:rsidRPr="002522ED" w:rsidRDefault="00321B3D" w:rsidP="005651E0">
      <w:pPr>
        <w:bidi/>
        <w:spacing w:after="224"/>
        <w:jc w:val="both"/>
        <w:rPr>
          <w:rFonts w:eastAsia="Times New Roman" w:cstheme="majorBidi"/>
          <w:color w:val="000000"/>
          <w:kern w:val="0"/>
          <w14:ligatures w14:val="none"/>
        </w:rPr>
      </w:pPr>
      <w:r w:rsidRPr="002522ED">
        <w:rPr>
          <w:rFonts w:eastAsia="Times New Roman" w:cstheme="majorBidi"/>
          <w:b/>
          <w:bCs/>
          <w:color w:val="000000"/>
          <w:kern w:val="0"/>
          <w:rtl/>
          <w14:ligatures w14:val="none"/>
        </w:rPr>
        <w:t xml:space="preserve">1/ </w:t>
      </w:r>
      <w:r w:rsidR="00D2489A" w:rsidRPr="002522ED">
        <w:rPr>
          <w:rFonts w:eastAsia="Times New Roman" w:cstheme="majorBidi"/>
          <w:b/>
          <w:bCs/>
          <w:color w:val="000000"/>
          <w:kern w:val="0"/>
          <w:rtl/>
          <w14:ligatures w14:val="none"/>
        </w:rPr>
        <w:t>دراسة الزهراني (2018</w:t>
      </w:r>
      <w:r w:rsidR="00D15FEB">
        <w:rPr>
          <w:rFonts w:eastAsia="Times New Roman" w:cstheme="majorBidi" w:hint="cs"/>
          <w:b/>
          <w:bCs/>
          <w:color w:val="000000"/>
          <w:kern w:val="0"/>
          <w:rtl/>
          <w14:ligatures w14:val="none"/>
        </w:rPr>
        <w:t>)</w:t>
      </w:r>
    </w:p>
    <w:p w14:paraId="2F892D07" w14:textId="2BB9BB72"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lastRenderedPageBreak/>
        <w:t>هدفت دراسة الزهراني (2018) إلى التعرف على أثر القيادة الاستراتيجية في تطوير قدرات التعلم التنظيمي داخل المؤسسات التعليمية، من خلال دراسة ميدانية في جامعة أم القرى.</w:t>
      </w:r>
    </w:p>
    <w:p w14:paraId="2B676235" w14:textId="65DB5E33"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اعتمدت الدراسة على المنهج الوصفي التحليلي، حيث تم جمع البيانات باستخدام الاستبانة من عينة من القيادات الأكاديمية، بهدف تحليل أثر ممارسات القيادة الاستراتيجية في تعزيز قدرات التعلم التنظيمي.</w:t>
      </w:r>
    </w:p>
    <w:p w14:paraId="09130BC3" w14:textId="50158D52"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نتائج الدراسة وجود علاقة إيجابية ذات دلالة إحصائية بين القيادة الاستراتيجية وتطوير قدرات التعلم التنظيمي، كما بينت أن تبني القيادات لأساليب القيادة الاستراتيجية يسهم في تعزيز إنتاج المعرفة والأفكار الجديدة داخل المنظمة، بما يدعم الابتكار المؤسسي.</w:t>
      </w:r>
    </w:p>
    <w:p w14:paraId="7FBEADD2" w14:textId="6B189ACF" w:rsidR="00D2489A" w:rsidRPr="002522ED" w:rsidRDefault="00D2489A" w:rsidP="00D15FEB">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وتفيد هذه الدراسة البحث الحالي في تأكيد أن القدرات التوليدية ترتبط ارتباطًا وثيقًا بقدرات التعلم التنظيمي وإنتاج المعرفة، وهو ما يشكل أساسًا نظريًا مهمًا لمتغير القدرات التوليدية في الدراسة الحالية.</w:t>
      </w:r>
    </w:p>
    <w:p w14:paraId="6039F755" w14:textId="29F7E20C" w:rsidR="00D2489A" w:rsidRPr="002522ED" w:rsidRDefault="00321B3D" w:rsidP="005651E0">
      <w:pPr>
        <w:bidi/>
        <w:spacing w:after="224"/>
        <w:jc w:val="both"/>
        <w:rPr>
          <w:rFonts w:eastAsia="Times New Roman" w:cstheme="majorBidi"/>
          <w:color w:val="000000"/>
          <w:kern w:val="0"/>
          <w14:ligatures w14:val="none"/>
        </w:rPr>
      </w:pPr>
      <w:r w:rsidRPr="002522ED">
        <w:rPr>
          <w:rFonts w:eastAsia="Times New Roman" w:cstheme="majorBidi"/>
          <w:b/>
          <w:bCs/>
          <w:color w:val="000000"/>
          <w:kern w:val="0"/>
          <w:rtl/>
          <w14:ligatures w14:val="none"/>
        </w:rPr>
        <w:t xml:space="preserve">2/ </w:t>
      </w:r>
      <w:r w:rsidR="00D2489A" w:rsidRPr="002522ED">
        <w:rPr>
          <w:rFonts w:eastAsia="Times New Roman" w:cstheme="majorBidi"/>
          <w:b/>
          <w:bCs/>
          <w:color w:val="000000"/>
          <w:kern w:val="0"/>
          <w:rtl/>
          <w14:ligatures w14:val="none"/>
        </w:rPr>
        <w:t>دراسة هاشم (2026</w:t>
      </w:r>
      <w:r w:rsidR="00D15FEB">
        <w:rPr>
          <w:rFonts w:eastAsia="Times New Roman" w:cstheme="majorBidi" w:hint="cs"/>
          <w:b/>
          <w:bCs/>
          <w:color w:val="000000"/>
          <w:kern w:val="0"/>
          <w:rtl/>
          <w14:ligatures w14:val="none"/>
        </w:rPr>
        <w:t>)</w:t>
      </w:r>
    </w:p>
    <w:p w14:paraId="621A0B91" w14:textId="30689681"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دراسة هاشم (2026) إلى تحليل دور الذكاء الاصطناعي التوليدي في نجاح إدارة المشاريع الرقمية، من خلال استكشاف العلاقة بين استخدام تقنيات الذكاء الاصطناعي التوليدي وكفاءة الأداء التنظيمي في بيئات البيانات الرقمية الحديثة.</w:t>
      </w:r>
    </w:p>
    <w:p w14:paraId="0E7EFD86" w14:textId="631DF240"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واعتمدت الدراسة على المنهج التحليلي، حيث ركزت على تحليل أثر استخدام الذكاء الاصطناعي التوليدي في تحسين عمليات إدارة المشاريع وتعزيز كفاءة اتخاذ القرار، مع إبراز دور التفاعل بين الإنسان والتقنية في دعم الابتكار.</w:t>
      </w:r>
    </w:p>
    <w:p w14:paraId="3B84C20C" w14:textId="3C109481"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 استخدام الذكاء الاصطناعي التوليدي يسهم في:</w:t>
      </w:r>
    </w:p>
    <w:p w14:paraId="6F150A51" w14:textId="77777777" w:rsidR="00D2489A" w:rsidRPr="002522ED" w:rsidRDefault="00D2489A" w:rsidP="005651E0">
      <w:pPr>
        <w:numPr>
          <w:ilvl w:val="0"/>
          <w:numId w:val="56"/>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تحسين دقة التخطيط واتخاذ القرار</w:t>
      </w:r>
    </w:p>
    <w:p w14:paraId="1539BBF7" w14:textId="77777777" w:rsidR="00D2489A" w:rsidRPr="002522ED" w:rsidRDefault="00D2489A" w:rsidP="005651E0">
      <w:pPr>
        <w:numPr>
          <w:ilvl w:val="0"/>
          <w:numId w:val="56"/>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تعزيز القدرة على تحليل البيانات</w:t>
      </w:r>
    </w:p>
    <w:p w14:paraId="62ECB3FE" w14:textId="77777777" w:rsidR="00D2489A" w:rsidRPr="002522ED" w:rsidRDefault="00D2489A" w:rsidP="005651E0">
      <w:pPr>
        <w:numPr>
          <w:ilvl w:val="0"/>
          <w:numId w:val="56"/>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دعم تطوير القدرات التوليدية داخل المنظمات</w:t>
      </w:r>
    </w:p>
    <w:p w14:paraId="7F2E87F1" w14:textId="3FAC4D12" w:rsidR="00D2489A" w:rsidRPr="002522ED" w:rsidRDefault="00D2489A" w:rsidP="005651E0">
      <w:pPr>
        <w:numPr>
          <w:ilvl w:val="0"/>
          <w:numId w:val="56"/>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رفع مستوى الكفاءة والابتكار في إدارة المشاريع</w:t>
      </w:r>
    </w:p>
    <w:p w14:paraId="0A9A7EC3" w14:textId="4FCA129B" w:rsidR="00D2489A" w:rsidRPr="002522ED" w:rsidRDefault="00D2489A" w:rsidP="00D15FEB">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وتبرز أهمية هذه الدراسة في دعم التوجه الحديث الذي يربط بين التقنيات الذكية والقدرات التوليدية، وهو ما يتقاطع مع الدراسة الحالية التي تركز على تنمية هذه القدرات في الشركات التقنية.</w:t>
      </w:r>
    </w:p>
    <w:p w14:paraId="7AD0AA8A" w14:textId="305775F2" w:rsidR="00D2489A" w:rsidRPr="002522ED" w:rsidRDefault="00D2489A" w:rsidP="005651E0">
      <w:pPr>
        <w:bidi/>
        <w:spacing w:after="224"/>
        <w:jc w:val="both"/>
        <w:rPr>
          <w:rFonts w:eastAsia="Times New Roman" w:cstheme="majorBidi"/>
          <w:color w:val="000000"/>
          <w:kern w:val="0"/>
          <w14:ligatures w14:val="none"/>
        </w:rPr>
      </w:pPr>
      <w:r w:rsidRPr="002522ED">
        <w:rPr>
          <w:rFonts w:eastAsia="Times New Roman" w:cstheme="majorBidi"/>
          <w:b/>
          <w:bCs/>
          <w:color w:val="000000"/>
          <w:kern w:val="0"/>
          <w:rtl/>
          <w14:ligatures w14:val="none"/>
        </w:rPr>
        <w:t>3/ دراسة</w:t>
      </w:r>
      <w:r w:rsidR="00460CCC" w:rsidRPr="002522ED">
        <w:rPr>
          <w:rFonts w:eastAsia="Times New Roman" w:cstheme="majorBidi"/>
          <w:b/>
          <w:bCs/>
          <w:color w:val="000000"/>
          <w:kern w:val="0"/>
          <w:rtl/>
          <w14:ligatures w14:val="none"/>
        </w:rPr>
        <w:t xml:space="preserve"> الشريدة والجهني (2025)</w:t>
      </w:r>
    </w:p>
    <w:p w14:paraId="5636C02F" w14:textId="0D77A837" w:rsidR="00460CCC"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00460CCC" w:rsidRPr="002522ED">
        <w:rPr>
          <w:rFonts w:eastAsia="Times New Roman" w:cstheme="majorBidi"/>
          <w:color w:val="000000"/>
          <w:kern w:val="0"/>
          <w:rtl/>
          <w14:ligatures w14:val="none"/>
        </w:rPr>
        <w:t>الشريدة و الجهني</w:t>
      </w:r>
      <w:r w:rsidRPr="002522ED">
        <w:rPr>
          <w:rFonts w:eastAsia="Times New Roman" w:cstheme="majorBidi"/>
          <w:color w:val="000000"/>
          <w:kern w:val="0"/>
          <w:rtl/>
          <w14:ligatures w14:val="none"/>
        </w:rPr>
        <w:t>(202</w:t>
      </w:r>
      <w:r w:rsidR="00460CCC" w:rsidRPr="002522ED">
        <w:rPr>
          <w:rFonts w:eastAsia="Times New Roman" w:cstheme="majorBidi"/>
          <w:color w:val="000000"/>
          <w:kern w:val="0"/>
          <w:rtl/>
          <w14:ligatures w14:val="none"/>
        </w:rPr>
        <w:t>5</w:t>
      </w:r>
      <w:r w:rsidRPr="002522ED">
        <w:rPr>
          <w:rFonts w:eastAsia="Times New Roman" w:cstheme="majorBidi"/>
          <w:color w:val="000000"/>
          <w:kern w:val="0"/>
          <w:rtl/>
          <w14:ligatures w14:val="none"/>
        </w:rPr>
        <w:t xml:space="preserve">) </w:t>
      </w:r>
      <w:r w:rsidR="00460CCC" w:rsidRPr="002522ED">
        <w:rPr>
          <w:rFonts w:eastAsia="Times New Roman" w:cstheme="majorBidi"/>
          <w:color w:val="000000"/>
          <w:kern w:val="0"/>
          <w:rtl/>
          <w14:ligatures w14:val="none"/>
        </w:rPr>
        <w:t>إلى التعرف على درجة قبول معلمات رياض الأطفال في المدينة المنورة لاستخدام تقنيات الذكاء الاصطناعي التوليدي في العملية التعليمية، وذلك</w:t>
      </w:r>
      <w:r w:rsidRPr="002522ED">
        <w:rPr>
          <w:rFonts w:eastAsia="Times New Roman" w:cstheme="majorBidi"/>
          <w:color w:val="000000"/>
          <w:kern w:val="0"/>
          <w:rtl/>
          <w14:ligatures w14:val="none"/>
        </w:rPr>
        <w:t xml:space="preserve"> في ضوء النظرية الموحدة لقبول واستخدام التكنولوجيا (</w:t>
      </w:r>
      <w:r w:rsidRPr="002522ED">
        <w:rPr>
          <w:rFonts w:eastAsia="Times New Roman" w:cstheme="majorBidi"/>
          <w:color w:val="000000"/>
          <w:kern w:val="0"/>
          <w14:ligatures w14:val="none"/>
        </w:rPr>
        <w:t>UTAUT</w:t>
      </w:r>
      <w:r w:rsidRPr="002522ED">
        <w:rPr>
          <w:rFonts w:eastAsia="Times New Roman" w:cstheme="majorBidi"/>
          <w:color w:val="000000"/>
          <w:kern w:val="0"/>
          <w:rtl/>
          <w14:ligatures w14:val="none"/>
        </w:rPr>
        <w:t xml:space="preserve">)، </w:t>
      </w:r>
      <w:r w:rsidR="00460CCC" w:rsidRPr="002522ED">
        <w:rPr>
          <w:rFonts w:eastAsia="Times New Roman" w:cstheme="majorBidi"/>
          <w:color w:val="000000"/>
          <w:kern w:val="0"/>
          <w:rtl/>
          <w14:ligatures w14:val="none"/>
        </w:rPr>
        <w:t>من خلال تحليل العوامل المؤثرة في نية الاستخدام والسلوك الفعلي.</w:t>
      </w:r>
    </w:p>
    <w:p w14:paraId="5F0B655F" w14:textId="5CEA3883"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lastRenderedPageBreak/>
        <w:t xml:space="preserve">واعتمدت الدراسة على المنهج الوصفي ، </w:t>
      </w:r>
      <w:r w:rsidR="00460CCC" w:rsidRPr="002522ED">
        <w:rPr>
          <w:rFonts w:eastAsia="Times New Roman" w:cstheme="majorBidi"/>
          <w:color w:val="000000"/>
          <w:kern w:val="0"/>
          <w:rtl/>
          <w14:ligatures w14:val="none"/>
        </w:rPr>
        <w:t>حيث تم استخدام الاستبانة كأداة رئيسية لجمع البيانات، وطبقت  على عينة بلغت 67 معلمة. وقد ركزت الدراسة على أبعاد نموذج (</w:t>
      </w:r>
      <w:r w:rsidR="00460CCC" w:rsidRPr="002522ED">
        <w:rPr>
          <w:rFonts w:eastAsia="Times New Roman" w:cstheme="majorBidi"/>
          <w:color w:val="000000"/>
          <w:kern w:val="0"/>
          <w14:ligatures w14:val="none"/>
        </w:rPr>
        <w:t>UTAUT</w:t>
      </w:r>
      <w:r w:rsidR="00460CCC" w:rsidRPr="002522ED">
        <w:rPr>
          <w:rFonts w:eastAsia="Times New Roman" w:cstheme="majorBidi"/>
          <w:color w:val="000000"/>
          <w:kern w:val="0"/>
          <w:rtl/>
          <w14:ligatures w14:val="none"/>
        </w:rPr>
        <w:t>)، السلام عليكم ولا التي تشمل: توقع الأداء، وتوقع الجهد، والتأثير الاجتماعي، والتسهيلات المتاحة.</w:t>
      </w:r>
    </w:p>
    <w:p w14:paraId="7429DDED" w14:textId="2BE5E339" w:rsidR="00460CCC" w:rsidRPr="002522ED" w:rsidRDefault="00460CCC"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نتائج الدراسة وجود مستوى مرتفع من قبول استخدام تقنيات الذكاء الاصطناعي التوليدي في التعليم، حيث جاء توقع الأداء ك أكثر العوامل تأثيرا في نية الاستخدام، يليه التأثير الاجتماعي، بينما كان لكل من الجهد المتوقع والتسهيلات المتاحة تأثير بدرجة أقل. كما كشفت النتائج عن اتجاهات إيجابية لدى المعلمات نحو تبني هذه التقنيات في البيئة التعليمية.</w:t>
      </w:r>
    </w:p>
    <w:p w14:paraId="29237A92" w14:textId="38720587" w:rsidR="00460CCC" w:rsidRPr="002522ED" w:rsidRDefault="00460CCC"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وأوصت الدراسة بضرورة تعزيز البنية التحتية التقنية، وتوفير برامج تدريبية للمعلمين، بما يسهم في دعم الاستخدام الفعال لتطبيقات الذكاء الاصطناعي التوليدي في التعليم.</w:t>
      </w:r>
    </w:p>
    <w:p w14:paraId="16204648" w14:textId="3D8F2C94" w:rsidR="00460CCC" w:rsidRPr="002522ED" w:rsidRDefault="00460CCC"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تتفق هذه الدراسة مع توجه البحث الحالي في إبراز أهمية العوامل التنظيمية والتقنية في تبني التقنيات الحديثة </w:t>
      </w:r>
      <w:r w:rsidR="004128B2" w:rsidRPr="002522ED">
        <w:rPr>
          <w:rFonts w:eastAsia="Times New Roman" w:cstheme="majorBidi"/>
          <w:color w:val="000000"/>
          <w:kern w:val="0"/>
          <w:rtl/>
          <w14:ligatures w14:val="none"/>
        </w:rPr>
        <w:t>،</w:t>
      </w:r>
      <w:r w:rsidRPr="002522ED">
        <w:rPr>
          <w:rFonts w:eastAsia="Times New Roman" w:cstheme="majorBidi"/>
          <w:color w:val="000000"/>
          <w:kern w:val="0"/>
          <w:rtl/>
          <w14:ligatures w14:val="none"/>
        </w:rPr>
        <w:t xml:space="preserve">إلى أنها ركزت على جوانب القبول والاستخدام في البيئة التعليمية </w:t>
      </w:r>
      <w:r w:rsidR="004128B2" w:rsidRPr="002522ED">
        <w:rPr>
          <w:rFonts w:eastAsia="Times New Roman" w:cstheme="majorBidi"/>
          <w:color w:val="000000"/>
          <w:kern w:val="0"/>
          <w:rtl/>
          <w14:ligatures w14:val="none"/>
        </w:rPr>
        <w:t>،</w:t>
      </w:r>
      <w:r w:rsidRPr="002522ED">
        <w:rPr>
          <w:rFonts w:eastAsia="Times New Roman" w:cstheme="majorBidi"/>
          <w:color w:val="000000"/>
          <w:kern w:val="0"/>
          <w:rtl/>
          <w14:ligatures w14:val="none"/>
        </w:rPr>
        <w:t>دون التطرق إلى دور الابتكار الإداري أو الاستشراف الاستراتيجي في تنمية القدرات التوليدية وهو ما تسعى الدراسة الحالية إلى معالجته.</w:t>
      </w:r>
    </w:p>
    <w:p w14:paraId="707E594C" w14:textId="366975BE" w:rsidR="005A32C7" w:rsidRPr="002522ED" w:rsidRDefault="005A32C7"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الدراسات الأجنبية السابقة:</w:t>
      </w:r>
    </w:p>
    <w:p w14:paraId="69DEAC71" w14:textId="71BE7A7E" w:rsidR="00785926" w:rsidRPr="002522ED" w:rsidRDefault="000B5224" w:rsidP="005651E0">
      <w:pPr>
        <w:bidi/>
        <w:spacing w:after="224"/>
        <w:jc w:val="both"/>
        <w:rPr>
          <w:rFonts w:eastAsia="Times New Roman" w:cstheme="majorBidi"/>
          <w:color w:val="000000"/>
          <w:kern w:val="0"/>
          <w14:ligatures w14:val="none"/>
        </w:rPr>
      </w:pPr>
      <w:r w:rsidRPr="002522ED">
        <w:rPr>
          <w:rFonts w:eastAsia="Times New Roman" w:cstheme="majorBidi"/>
          <w:b/>
          <w:bCs/>
          <w:color w:val="000000"/>
          <w:kern w:val="0"/>
          <w:rtl/>
          <w14:ligatures w14:val="none"/>
        </w:rPr>
        <w:t xml:space="preserve">  </w:t>
      </w:r>
      <w:r w:rsidR="00E40D4C">
        <w:rPr>
          <w:rFonts w:eastAsia="Times New Roman" w:cstheme="majorBidi" w:hint="cs"/>
          <w:b/>
          <w:bCs/>
          <w:color w:val="000000"/>
          <w:kern w:val="0"/>
          <w:rtl/>
          <w14:ligatures w14:val="none"/>
        </w:rPr>
        <w:t>1/ دراسة</w:t>
      </w:r>
      <w:r w:rsidR="009849E0">
        <w:rPr>
          <w:rFonts w:eastAsia="Times New Roman" w:cstheme="majorBidi" w:hint="cs"/>
          <w:b/>
          <w:bCs/>
          <w:color w:val="000000"/>
          <w:kern w:val="0"/>
          <w:rtl/>
          <w14:ligatures w14:val="none"/>
        </w:rPr>
        <w:t xml:space="preserve"> </w:t>
      </w:r>
      <w:r w:rsidR="00E40D4C">
        <w:rPr>
          <w:rFonts w:eastAsia="Times New Roman" w:cstheme="majorBidi" w:hint="cs"/>
          <w:b/>
          <w:bCs/>
          <w:color w:val="000000"/>
          <w:kern w:val="0"/>
          <w:rtl/>
          <w14:ligatures w14:val="none"/>
        </w:rPr>
        <w:t>(2026)</w:t>
      </w:r>
      <w:r w:rsidRPr="002522ED">
        <w:rPr>
          <w:rFonts w:eastAsia="Times New Roman" w:cstheme="majorBidi"/>
          <w:b/>
          <w:bCs/>
          <w:color w:val="000000"/>
          <w:kern w:val="0"/>
          <w:rtl/>
          <w14:ligatures w14:val="none"/>
        </w:rPr>
        <w:t xml:space="preserve"> </w:t>
      </w:r>
      <w:r w:rsidRPr="002522ED">
        <w:rPr>
          <w:rFonts w:eastAsia="Times New Roman" w:cstheme="majorBidi"/>
          <w:b/>
          <w:bCs/>
          <w:color w:val="000000"/>
          <w:kern w:val="0"/>
          <w14:ligatures w14:val="none"/>
        </w:rPr>
        <w:t>Saito</w:t>
      </w:r>
    </w:p>
    <w:p w14:paraId="0B1B436B" w14:textId="7DBEEC41" w:rsidR="00785926" w:rsidRPr="002522ED" w:rsidRDefault="00785926" w:rsidP="006628AE">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Saito</w:t>
      </w:r>
      <w:r w:rsidRPr="002522ED">
        <w:rPr>
          <w:rFonts w:eastAsia="Times New Roman" w:cstheme="majorBidi"/>
          <w:color w:val="000000"/>
          <w:kern w:val="0"/>
          <w:rtl/>
          <w14:ligatures w14:val="none"/>
        </w:rPr>
        <w:t xml:space="preserve"> (2026) إلى تطوير إطار بحثي قائم على مدخل القدرات (</w:t>
      </w:r>
      <w:r w:rsidRPr="002522ED">
        <w:rPr>
          <w:rFonts w:eastAsia="Times New Roman" w:cstheme="majorBidi"/>
          <w:color w:val="000000"/>
          <w:kern w:val="0"/>
          <w14:ligatures w14:val="none"/>
        </w:rPr>
        <w:t>Capability Approach</w:t>
      </w:r>
      <w:r w:rsidRPr="002522ED">
        <w:rPr>
          <w:rFonts w:eastAsia="Times New Roman" w:cstheme="majorBidi"/>
          <w:color w:val="000000"/>
          <w:kern w:val="0"/>
          <w:rtl/>
          <w14:ligatures w14:val="none"/>
        </w:rPr>
        <w:t>) لفهم دور الذكاء الاصطناعي التوليدي في تعزيز القدرات البشرية والتعلم داخل البيئات التعليمية.</w:t>
      </w:r>
      <w:r w:rsidR="006628AE">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واعتمدت الدراسة على المنهج التحليلي النظري، من خلال بناء نموذج مفاهيمي يفسر العلاقة بين القدرات التوليدية والتقنيات الذكية.</w:t>
      </w:r>
    </w:p>
    <w:p w14:paraId="11170F10" w14:textId="42A15A5D" w:rsidR="00785926" w:rsidRPr="002522ED" w:rsidRDefault="00785926"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3CA99DBF" w14:textId="77777777" w:rsidR="00785926" w:rsidRPr="002522ED" w:rsidRDefault="00785926" w:rsidP="005651E0">
      <w:pPr>
        <w:numPr>
          <w:ilvl w:val="0"/>
          <w:numId w:val="58"/>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التقنيات التوليدية تسهم في توسيع القدرات المعرفية والإبداعية للأفراد</w:t>
      </w:r>
    </w:p>
    <w:p w14:paraId="5215866C" w14:textId="77777777" w:rsidR="00785926" w:rsidRPr="002522ED" w:rsidRDefault="00785926" w:rsidP="005651E0">
      <w:pPr>
        <w:numPr>
          <w:ilvl w:val="0"/>
          <w:numId w:val="58"/>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ضرورة إعادة تعريف دور الإنسان كشريك معرفي مع الذكاء الاصطناعي</w:t>
      </w:r>
    </w:p>
    <w:p w14:paraId="04D5A218" w14:textId="5A4CC841" w:rsidR="00785926" w:rsidRPr="002522ED" w:rsidRDefault="00785926" w:rsidP="005651E0">
      <w:pPr>
        <w:numPr>
          <w:ilvl w:val="0"/>
          <w:numId w:val="58"/>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تمثل القدرات التوليدية عنصرًا أساسيًا في تحسين جودة التعلم والتحول الرقمي</w:t>
      </w:r>
    </w:p>
    <w:p w14:paraId="53EEDF94" w14:textId="397AAEFC" w:rsidR="00785926" w:rsidRPr="002522ED" w:rsidRDefault="00785926" w:rsidP="004A5C5C">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وتفيد هذه الدراسة في دعم الأساس النظري لمفهوم القدرات التوليدية باعتبارها قدرات ديناميكية ترتبط بإنتاج المعرفة والابتكار.</w:t>
      </w:r>
    </w:p>
    <w:p w14:paraId="0E04159F" w14:textId="14704EF3" w:rsidR="00785926" w:rsidRPr="002522ED" w:rsidRDefault="000B5224" w:rsidP="005651E0">
      <w:pPr>
        <w:bidi/>
        <w:spacing w:after="224"/>
        <w:jc w:val="both"/>
        <w:rPr>
          <w:rFonts w:eastAsia="Times New Roman" w:cstheme="majorBidi"/>
          <w:color w:val="000000"/>
          <w:kern w:val="0"/>
          <w14:ligatures w14:val="none"/>
        </w:rPr>
      </w:pPr>
      <w:r w:rsidRPr="002522ED">
        <w:rPr>
          <w:rFonts w:eastAsia="Times New Roman" w:cstheme="majorBidi"/>
          <w:b/>
          <w:bCs/>
          <w:color w:val="000000"/>
          <w:kern w:val="0"/>
          <w:rtl/>
          <w14:ligatures w14:val="none"/>
        </w:rPr>
        <w:t xml:space="preserve"> </w:t>
      </w:r>
      <w:r w:rsidR="004A5C5C">
        <w:rPr>
          <w:rFonts w:eastAsia="Times New Roman" w:cstheme="majorBidi" w:hint="cs"/>
          <w:b/>
          <w:bCs/>
          <w:color w:val="000000"/>
          <w:kern w:val="0"/>
          <w:rtl/>
          <w14:ligatures w14:val="none"/>
        </w:rPr>
        <w:t>2/ دراسة</w:t>
      </w:r>
      <w:r w:rsidR="009849E0">
        <w:rPr>
          <w:rFonts w:eastAsia="Times New Roman" w:cstheme="majorBidi" w:hint="cs"/>
          <w:b/>
          <w:bCs/>
          <w:color w:val="000000"/>
          <w:kern w:val="0"/>
          <w:rtl/>
          <w14:ligatures w14:val="none"/>
        </w:rPr>
        <w:t xml:space="preserve"> (2025)</w:t>
      </w:r>
      <w:r w:rsidRPr="002522ED">
        <w:rPr>
          <w:rFonts w:eastAsia="Times New Roman" w:cstheme="majorBidi"/>
          <w:b/>
          <w:bCs/>
          <w:color w:val="000000"/>
          <w:kern w:val="0"/>
          <w:rtl/>
          <w14:ligatures w14:val="none"/>
        </w:rPr>
        <w:t xml:space="preserve"> </w:t>
      </w:r>
      <w:r w:rsidRPr="002522ED">
        <w:rPr>
          <w:rFonts w:eastAsia="Times New Roman" w:cstheme="majorBidi"/>
          <w:b/>
          <w:bCs/>
          <w:color w:val="000000"/>
          <w:kern w:val="0"/>
          <w14:ligatures w14:val="none"/>
        </w:rPr>
        <w:t>Ettinger</w:t>
      </w:r>
    </w:p>
    <w:p w14:paraId="71F605BF" w14:textId="3C9BD6D2" w:rsidR="00785926" w:rsidRPr="002522ED" w:rsidRDefault="00785926"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Ettinger</w:t>
      </w:r>
      <w:r w:rsidRPr="002522ED">
        <w:rPr>
          <w:rFonts w:eastAsia="Times New Roman" w:cstheme="majorBidi"/>
          <w:color w:val="000000"/>
          <w:kern w:val="0"/>
          <w:rtl/>
          <w14:ligatures w14:val="none"/>
        </w:rPr>
        <w:t xml:space="preserve"> (2025) إلى تحليل دور البنية المؤسسية (</w:t>
      </w:r>
      <w:r w:rsidRPr="002522ED">
        <w:rPr>
          <w:rFonts w:eastAsia="Times New Roman" w:cstheme="majorBidi"/>
          <w:color w:val="000000"/>
          <w:kern w:val="0"/>
          <w14:ligatures w14:val="none"/>
        </w:rPr>
        <w:t>Enterprise Architecture</w:t>
      </w:r>
      <w:r w:rsidRPr="002522ED">
        <w:rPr>
          <w:rFonts w:eastAsia="Times New Roman" w:cstheme="majorBidi"/>
          <w:color w:val="000000"/>
          <w:kern w:val="0"/>
          <w:rtl/>
          <w14:ligatures w14:val="none"/>
        </w:rPr>
        <w:t>) كقدرة ديناميكية تمكّن المؤسسات من تبني الذكاء الاصطناعي التوليدي بشكل مستدام.</w:t>
      </w:r>
    </w:p>
    <w:p w14:paraId="7A0B2CD0" w14:textId="418CF814" w:rsidR="00785926" w:rsidRPr="002522ED" w:rsidRDefault="00785926"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واعتمدت الدراسة على المنهج النوعي من خلال مقابلات مع خبراء في مؤسسات متعددة الصناعات.</w:t>
      </w:r>
    </w:p>
    <w:p w14:paraId="6F82F464" w14:textId="5815DD2C" w:rsidR="00785926" w:rsidRPr="002522ED" w:rsidRDefault="00785926"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lastRenderedPageBreak/>
        <w:t>وأظهرت النتائج أن:</w:t>
      </w:r>
    </w:p>
    <w:p w14:paraId="0DE6A10F" w14:textId="77777777" w:rsidR="00785926" w:rsidRPr="002522ED" w:rsidRDefault="00785926" w:rsidP="005651E0">
      <w:pPr>
        <w:numPr>
          <w:ilvl w:val="0"/>
          <w:numId w:val="59"/>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القدرات الديناميكية (الاستشعار – الاستغلال – التحول) تعزز تبني الابتكار التوليدي</w:t>
      </w:r>
    </w:p>
    <w:p w14:paraId="63BD7252" w14:textId="77777777" w:rsidR="00785926" w:rsidRPr="002522ED" w:rsidRDefault="00785926" w:rsidP="005651E0">
      <w:pPr>
        <w:numPr>
          <w:ilvl w:val="0"/>
          <w:numId w:val="59"/>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يوجد ارتباط قوي بين القدرات التوليدية والمرونة التنظيمية</w:t>
      </w:r>
    </w:p>
    <w:p w14:paraId="0E3299CC" w14:textId="656321E5" w:rsidR="00785926" w:rsidRPr="002522ED" w:rsidRDefault="00785926" w:rsidP="005651E0">
      <w:pPr>
        <w:numPr>
          <w:ilvl w:val="0"/>
          <w:numId w:val="59"/>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تمثل البنية المؤسسية ركيزة أساسية لدعم الابتكار المستدام</w:t>
      </w:r>
    </w:p>
    <w:p w14:paraId="75A6F447" w14:textId="09DA989B" w:rsidR="00785926" w:rsidRDefault="00785926" w:rsidP="009849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وتبرز أهمية هذه الدراسة في الربط بين القدرات الديناميكية والقدرات التوليدية داخل المنظمات.</w:t>
      </w:r>
    </w:p>
    <w:p w14:paraId="4E6F75AE" w14:textId="2AC982C6" w:rsidR="005C0D9B" w:rsidRPr="004B6E5C" w:rsidRDefault="005C0D9B" w:rsidP="00E03F2A">
      <w:pPr>
        <w:bidi/>
        <w:spacing w:after="224"/>
        <w:jc w:val="both"/>
        <w:rPr>
          <w:rFonts w:eastAsia="Times New Roman" w:cstheme="majorBidi"/>
          <w:b/>
          <w:bCs/>
          <w:color w:val="000000"/>
          <w:kern w:val="0"/>
          <w14:ligatures w14:val="none"/>
        </w:rPr>
      </w:pPr>
      <w:r w:rsidRPr="004B6E5C">
        <w:rPr>
          <w:rFonts w:eastAsia="Times New Roman" w:cstheme="majorBidi" w:hint="cs"/>
          <w:b/>
          <w:bCs/>
          <w:color w:val="000000"/>
          <w:kern w:val="0"/>
          <w:rtl/>
          <w14:ligatures w14:val="none"/>
        </w:rPr>
        <w:t>3/ دراسة (2025)</w:t>
      </w:r>
      <w:r w:rsidR="00E03F2A" w:rsidRPr="004B6E5C">
        <w:rPr>
          <w:rFonts w:eastAsia="Times New Roman" w:cstheme="majorBidi" w:hint="cs"/>
          <w:b/>
          <w:bCs/>
          <w:color w:val="000000"/>
          <w:kern w:val="0"/>
          <w:rtl/>
          <w14:ligatures w14:val="none"/>
        </w:rPr>
        <w:t xml:space="preserve">  </w:t>
      </w:r>
      <w:r w:rsidR="00E03F2A" w:rsidRPr="004B6E5C">
        <w:rPr>
          <w:rFonts w:eastAsia="Times New Roman" w:cstheme="majorBidi"/>
          <w:b/>
          <w:bCs/>
          <w:color w:val="000000"/>
          <w:kern w:val="0"/>
          <w14:ligatures w14:val="none"/>
        </w:rPr>
        <w:t>Sanchez</w:t>
      </w:r>
    </w:p>
    <w:p w14:paraId="4DF5D5B5" w14:textId="304B57EE" w:rsidR="00785926" w:rsidRPr="002522ED" w:rsidRDefault="00785926" w:rsidP="000B3C8E">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Sanchez</w:t>
      </w:r>
      <w:r w:rsidRPr="002522ED">
        <w:rPr>
          <w:rFonts w:eastAsia="Times New Roman" w:cstheme="majorBidi"/>
          <w:color w:val="000000"/>
          <w:kern w:val="0"/>
          <w:rtl/>
          <w14:ligatures w14:val="none"/>
        </w:rPr>
        <w:t xml:space="preserve"> (2025) إلى تحليل كيفية خلق القيمة التنظيمية من خلال الذكاء الاصطناعي التوليدي داخل المؤسسات، عبر مراجعة منهجية للأدبيات العلمية.</w:t>
      </w:r>
      <w:r w:rsidR="000B3C8E">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واعتمدت الدراسة على المنهج التحليلي (</w:t>
      </w:r>
      <w:r w:rsidRPr="002522ED">
        <w:rPr>
          <w:rFonts w:eastAsia="Times New Roman" w:cstheme="majorBidi"/>
          <w:color w:val="000000"/>
          <w:kern w:val="0"/>
          <w14:ligatures w14:val="none"/>
        </w:rPr>
        <w:t>Systematic Review</w:t>
      </w:r>
      <w:r w:rsidRPr="002522ED">
        <w:rPr>
          <w:rFonts w:eastAsia="Times New Roman" w:cstheme="majorBidi"/>
          <w:color w:val="000000"/>
          <w:kern w:val="0"/>
          <w:rtl/>
          <w14:ligatures w14:val="none"/>
        </w:rPr>
        <w:t>).</w:t>
      </w:r>
    </w:p>
    <w:p w14:paraId="07B62174" w14:textId="61070627" w:rsidR="00785926" w:rsidRPr="002522ED" w:rsidRDefault="00785926"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712E184F" w14:textId="77777777" w:rsidR="00785926" w:rsidRPr="002522ED" w:rsidRDefault="00785926" w:rsidP="005651E0">
      <w:pPr>
        <w:numPr>
          <w:ilvl w:val="0"/>
          <w:numId w:val="60"/>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الذكاء الاصطناعي التوليدي يعزز الإبداع التنظيمي وكفاءة العمليات</w:t>
      </w:r>
    </w:p>
    <w:p w14:paraId="10677F3F" w14:textId="77777777" w:rsidR="00785926" w:rsidRPr="002522ED" w:rsidRDefault="00785926" w:rsidP="005651E0">
      <w:pPr>
        <w:numPr>
          <w:ilvl w:val="0"/>
          <w:numId w:val="60"/>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نجاح المؤسسات يعتمد على التكامل بين القدرات البشرية والتقنية</w:t>
      </w:r>
    </w:p>
    <w:p w14:paraId="577BD7AA" w14:textId="1C6350B7" w:rsidR="00785926" w:rsidRPr="002522ED" w:rsidRDefault="00785926" w:rsidP="005651E0">
      <w:pPr>
        <w:numPr>
          <w:ilvl w:val="0"/>
          <w:numId w:val="60"/>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تمثل القدرات التوليدية محركًا استراتيجيًا للابتكار طويل المدى</w:t>
      </w:r>
    </w:p>
    <w:p w14:paraId="48A4A50A" w14:textId="59B87A66" w:rsidR="00796432" w:rsidRDefault="00785926" w:rsidP="00796432">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وتفيد هذه الدراسة في دعم العلاقة بين القدرات التوليدية والابتكار التنظيمي.</w:t>
      </w:r>
    </w:p>
    <w:p w14:paraId="278E233E" w14:textId="77777777" w:rsidR="00184637" w:rsidRPr="00796432" w:rsidRDefault="00184637" w:rsidP="00184637">
      <w:pPr>
        <w:bidi/>
        <w:spacing w:after="180"/>
        <w:jc w:val="both"/>
        <w:rPr>
          <w:rFonts w:eastAsia="Times New Roman" w:cstheme="majorBidi"/>
          <w:color w:val="000000"/>
          <w:kern w:val="0"/>
          <w:rtl/>
          <w14:ligatures w14:val="none"/>
        </w:rPr>
      </w:pPr>
    </w:p>
    <w:p w14:paraId="640D7A53" w14:textId="01C908FC" w:rsidR="002800FB" w:rsidRPr="004B6E5C" w:rsidRDefault="00B04BE3"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 xml:space="preserve">ثالثا : </w:t>
      </w:r>
      <w:r w:rsidR="002800FB" w:rsidRPr="004B6E5C">
        <w:rPr>
          <w:rFonts w:eastAsia="Times New Roman" w:cstheme="majorBidi"/>
          <w:b/>
          <w:bCs/>
          <w:color w:val="222222"/>
          <w:kern w:val="0"/>
          <w:rtl/>
          <w14:ligatures w14:val="none"/>
        </w:rPr>
        <w:t>الاستشراف الاستراتيجي:</w:t>
      </w:r>
    </w:p>
    <w:p w14:paraId="1901C628" w14:textId="6E3009C0" w:rsidR="002800FB" w:rsidRPr="002522ED" w:rsidRDefault="002800FB"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الدراسات السابقة العربية:</w:t>
      </w:r>
    </w:p>
    <w:p w14:paraId="214751BB" w14:textId="6CC3E491" w:rsidR="00203FAF" w:rsidRPr="002522ED" w:rsidRDefault="00203FAF" w:rsidP="005651E0">
      <w:pPr>
        <w:bidi/>
        <w:spacing w:after="224"/>
        <w:jc w:val="both"/>
        <w:rPr>
          <w:rFonts w:eastAsia="Times New Roman" w:cstheme="majorBidi"/>
          <w:color w:val="000000"/>
          <w:kern w:val="0"/>
          <w14:ligatures w14:val="none"/>
        </w:rPr>
      </w:pPr>
      <w:r w:rsidRPr="002522ED">
        <w:rPr>
          <w:rFonts w:eastAsia="Times New Roman" w:cstheme="majorBidi"/>
          <w:b/>
          <w:bCs/>
          <w:color w:val="000000"/>
          <w:kern w:val="0"/>
          <w:rtl/>
          <w14:ligatures w14:val="none"/>
        </w:rPr>
        <w:t xml:space="preserve"> </w:t>
      </w:r>
      <w:r w:rsidR="003C500F" w:rsidRPr="002522ED">
        <w:rPr>
          <w:rFonts w:eastAsia="Times New Roman" w:cstheme="majorBidi"/>
          <w:b/>
          <w:bCs/>
          <w:color w:val="000000"/>
          <w:kern w:val="0"/>
          <w:rtl/>
          <w14:ligatures w14:val="none"/>
        </w:rPr>
        <w:t>1/</w:t>
      </w:r>
      <w:r w:rsidR="00184637">
        <w:rPr>
          <w:rFonts w:eastAsia="Times New Roman" w:cstheme="majorBidi" w:hint="cs"/>
          <w:b/>
          <w:bCs/>
          <w:color w:val="000000"/>
          <w:kern w:val="0"/>
          <w:rtl/>
          <w14:ligatures w14:val="none"/>
        </w:rPr>
        <w:t xml:space="preserve"> </w:t>
      </w:r>
      <w:r w:rsidR="003C500F" w:rsidRPr="002522ED">
        <w:rPr>
          <w:rFonts w:eastAsia="Times New Roman" w:cstheme="majorBidi"/>
          <w:b/>
          <w:bCs/>
          <w:color w:val="000000"/>
          <w:kern w:val="0"/>
          <w:rtl/>
          <w14:ligatures w14:val="none"/>
        </w:rPr>
        <w:t>دراسة بدر (2023)</w:t>
      </w:r>
    </w:p>
    <w:p w14:paraId="3FE0A580" w14:textId="5E2D4B1F"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إلى دراسة دور الاستشراف الاستراتيجي في إدارة المخاطر المؤسسية.</w:t>
      </w:r>
    </w:p>
    <w:p w14:paraId="526198D0" w14:textId="33BD6694"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w:t>
      </w:r>
    </w:p>
    <w:p w14:paraId="05304067" w14:textId="77777777" w:rsidR="00203FAF" w:rsidRPr="002522ED" w:rsidRDefault="00203FAF" w:rsidP="005651E0">
      <w:pPr>
        <w:numPr>
          <w:ilvl w:val="0"/>
          <w:numId w:val="61"/>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وجود أثر دال للاستشراف الاستراتيجي في تحسين إدارة المخاطر</w:t>
      </w:r>
    </w:p>
    <w:p w14:paraId="13E86EBA" w14:textId="3EE008C6" w:rsidR="00203FAF" w:rsidRPr="002522ED" w:rsidRDefault="00203FAF" w:rsidP="005651E0">
      <w:pPr>
        <w:numPr>
          <w:ilvl w:val="0"/>
          <w:numId w:val="61"/>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دور للحوسبة السحابية في دعم هذه العلاقة</w:t>
      </w:r>
    </w:p>
    <w:p w14:paraId="0583321E" w14:textId="23702648" w:rsidR="00203FAF" w:rsidRPr="002522ED" w:rsidRDefault="00203FAF" w:rsidP="00184637">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lastRenderedPageBreak/>
        <w:t xml:space="preserve"> تفيد</w:t>
      </w:r>
      <w:r w:rsidR="003C500F" w:rsidRPr="002522ED">
        <w:rPr>
          <w:rFonts w:eastAsia="Times New Roman" w:cstheme="majorBidi"/>
          <w:color w:val="000000"/>
          <w:kern w:val="0"/>
          <w:rtl/>
          <w14:ligatures w14:val="none"/>
        </w:rPr>
        <w:t xml:space="preserve"> هذه الدراسة</w:t>
      </w:r>
      <w:r w:rsidRPr="002522ED">
        <w:rPr>
          <w:rFonts w:eastAsia="Times New Roman" w:cstheme="majorBidi"/>
          <w:color w:val="000000"/>
          <w:kern w:val="0"/>
          <w:rtl/>
          <w14:ligatures w14:val="none"/>
        </w:rPr>
        <w:t xml:space="preserve"> في</w:t>
      </w:r>
      <w:r w:rsidR="003C500F" w:rsidRPr="002522ED">
        <w:rPr>
          <w:rFonts w:eastAsia="Times New Roman" w:cstheme="majorBidi"/>
          <w:color w:val="000000"/>
          <w:kern w:val="0"/>
          <w:rtl/>
          <w14:ligatures w14:val="none"/>
        </w:rPr>
        <w:t xml:space="preserve"> </w:t>
      </w:r>
      <w:r w:rsidRPr="002522ED">
        <w:rPr>
          <w:rFonts w:eastAsia="Times New Roman" w:cstheme="majorBidi"/>
          <w:color w:val="000000"/>
          <w:kern w:val="0"/>
          <w:rtl/>
          <w14:ligatures w14:val="none"/>
        </w:rPr>
        <w:t>إبراز أهمية الاستشراف الاستراتيجي</w:t>
      </w:r>
      <w:r w:rsidR="003C500F" w:rsidRPr="002522ED">
        <w:rPr>
          <w:rFonts w:eastAsia="Times New Roman" w:cstheme="majorBidi"/>
          <w:color w:val="000000"/>
          <w:kern w:val="0"/>
          <w:rtl/>
          <w14:ligatures w14:val="none"/>
        </w:rPr>
        <w:t>، حيث ركزت على تحليل أثر الاستشراف الاستراتيجي في تحسين إدارة المخاطر المؤسسية، في حين تتناول الدراسة الحالية دور الاستشراف الاستراتيجي كمتغير وسيط في العلاقة بين الابتكار الإداري وتنمية القدرات التوليدية.</w:t>
      </w:r>
    </w:p>
    <w:p w14:paraId="0E689CEE" w14:textId="20796928" w:rsidR="00203FAF" w:rsidRPr="002522ED" w:rsidRDefault="00203FAF" w:rsidP="005651E0">
      <w:pPr>
        <w:bidi/>
        <w:spacing w:after="224"/>
        <w:jc w:val="both"/>
        <w:rPr>
          <w:rFonts w:eastAsia="Times New Roman" w:cstheme="majorBidi"/>
          <w:color w:val="000000"/>
          <w:kern w:val="0"/>
          <w14:ligatures w14:val="none"/>
        </w:rPr>
      </w:pPr>
      <w:r w:rsidRPr="002522ED">
        <w:rPr>
          <w:rFonts w:eastAsia="Times New Roman" w:cstheme="majorBidi"/>
          <w:b/>
          <w:bCs/>
          <w:color w:val="000000"/>
          <w:kern w:val="0"/>
          <w:rtl/>
          <w14:ligatures w14:val="none"/>
        </w:rPr>
        <w:t>2/</w:t>
      </w:r>
      <w:r w:rsidR="00184637">
        <w:rPr>
          <w:rFonts w:eastAsia="Times New Roman" w:cstheme="majorBidi" w:hint="cs"/>
          <w:b/>
          <w:bCs/>
          <w:color w:val="000000"/>
          <w:kern w:val="0"/>
          <w:rtl/>
          <w14:ligatures w14:val="none"/>
        </w:rPr>
        <w:t xml:space="preserve"> </w:t>
      </w:r>
      <w:r w:rsidRPr="002522ED">
        <w:rPr>
          <w:rFonts w:eastAsia="Times New Roman" w:cstheme="majorBidi"/>
          <w:b/>
          <w:bCs/>
          <w:color w:val="000000"/>
          <w:kern w:val="0"/>
          <w:rtl/>
          <w14:ligatures w14:val="none"/>
        </w:rPr>
        <w:t>دراسة عبد الله، شمعة، محمد،(2024)</w:t>
      </w:r>
    </w:p>
    <w:p w14:paraId="1C546608" w14:textId="2BF46C1C"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إلى تحليل دور الاستشراف الاستراتيجي كمتغير وسيط بين رأس المال البشري والميزة التنافسية.</w:t>
      </w:r>
    </w:p>
    <w:p w14:paraId="264E6BBE" w14:textId="5AE4295D"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w:t>
      </w:r>
    </w:p>
    <w:p w14:paraId="2988194A" w14:textId="77777777" w:rsidR="00203FAF" w:rsidRPr="002522ED" w:rsidRDefault="00203FAF" w:rsidP="005651E0">
      <w:pPr>
        <w:numPr>
          <w:ilvl w:val="0"/>
          <w:numId w:val="62"/>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وجود علاقة إيجابية بين رأس المال البشري والميزة التنافسية</w:t>
      </w:r>
    </w:p>
    <w:p w14:paraId="653EE760" w14:textId="77777777" w:rsidR="00203FAF" w:rsidRPr="002522ED" w:rsidRDefault="00203FAF" w:rsidP="005651E0">
      <w:pPr>
        <w:numPr>
          <w:ilvl w:val="0"/>
          <w:numId w:val="62"/>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الاستشراف الاستراتيجي يلعب دورًا وسيطًا</w:t>
      </w:r>
    </w:p>
    <w:p w14:paraId="38A0FE18" w14:textId="1A5E798F" w:rsidR="00203FAF" w:rsidRPr="002522ED" w:rsidRDefault="00203FAF" w:rsidP="005651E0">
      <w:pPr>
        <w:numPr>
          <w:ilvl w:val="0"/>
          <w:numId w:val="62"/>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تعزيز الأداء التنافسي</w:t>
      </w:r>
    </w:p>
    <w:p w14:paraId="20DAE9BA" w14:textId="19979337" w:rsidR="00203FAF" w:rsidRPr="002522ED" w:rsidRDefault="00203FAF" w:rsidP="00184637">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 xml:space="preserve"> تفيد</w:t>
      </w:r>
      <w:r w:rsidR="0069767D" w:rsidRPr="002522ED">
        <w:rPr>
          <w:rFonts w:eastAsia="Times New Roman" w:cstheme="majorBidi"/>
          <w:color w:val="000000"/>
          <w:kern w:val="0"/>
          <w:rtl/>
          <w14:ligatures w14:val="none"/>
        </w:rPr>
        <w:t xml:space="preserve"> الدراسة</w:t>
      </w:r>
      <w:r w:rsidRPr="002522ED">
        <w:rPr>
          <w:rFonts w:eastAsia="Times New Roman" w:cstheme="majorBidi"/>
          <w:color w:val="000000"/>
          <w:kern w:val="0"/>
          <w:rtl/>
          <w14:ligatures w14:val="none"/>
        </w:rPr>
        <w:t xml:space="preserve"> في دعم الدور الوسيط للاستشراف</w:t>
      </w:r>
      <w:r w:rsidR="0069767D" w:rsidRPr="002522ED">
        <w:rPr>
          <w:rFonts w:eastAsia="Times New Roman" w:cstheme="majorBidi"/>
          <w:color w:val="000000"/>
          <w:kern w:val="0"/>
          <w:rtl/>
          <w14:ligatures w14:val="none"/>
        </w:rPr>
        <w:t>، حيث أنها تناولت دور الاستشراف الاستراتيجي كم تغير الوسيط في العلاقة بين رأس المال البشري والميزة التنافسية، في حين تركز الدراسة الحالية على تحليل الدور الوسيط الاستشراف الاستراتيجي في العلاقة بين الابتكار الإداري وتنمية القدرات التوليدية. كما أن الدراسة السابقة ركزت على الموارد البشرية كمصدر للتنافسية، بينما تتناول الدراسة الحالية الابتكار الإداري كمدخل رئيسي لتعزيز وتوليد المعرفة والأفكار داخل المنظمات التقنية، مما يمنحها بعدا أكثر ارتباطا بالابتكار والتحول الرقمي.</w:t>
      </w:r>
    </w:p>
    <w:p w14:paraId="280F3CCD" w14:textId="66F75502" w:rsidR="00203FAF" w:rsidRPr="002522ED" w:rsidRDefault="00C84A47" w:rsidP="005651E0">
      <w:pPr>
        <w:bidi/>
        <w:spacing w:after="224"/>
        <w:jc w:val="both"/>
        <w:rPr>
          <w:rFonts w:eastAsia="Times New Roman" w:cstheme="majorBidi"/>
          <w:color w:val="000000"/>
          <w:kern w:val="0"/>
          <w14:ligatures w14:val="none"/>
        </w:rPr>
      </w:pPr>
      <w:r w:rsidRPr="002522ED">
        <w:rPr>
          <w:rFonts w:eastAsia="Times New Roman" w:cstheme="majorBidi"/>
          <w:b/>
          <w:bCs/>
          <w:color w:val="000000"/>
          <w:kern w:val="0"/>
          <w:rtl/>
          <w14:ligatures w14:val="none"/>
        </w:rPr>
        <w:t>3/</w:t>
      </w:r>
      <w:r w:rsidR="00184637">
        <w:rPr>
          <w:rFonts w:eastAsia="Times New Roman" w:cstheme="majorBidi" w:hint="cs"/>
          <w:b/>
          <w:bCs/>
          <w:color w:val="000000"/>
          <w:kern w:val="0"/>
          <w:rtl/>
          <w14:ligatures w14:val="none"/>
        </w:rPr>
        <w:t xml:space="preserve"> </w:t>
      </w:r>
      <w:r w:rsidRPr="002522ED">
        <w:rPr>
          <w:rFonts w:eastAsia="Times New Roman" w:cstheme="majorBidi"/>
          <w:b/>
          <w:bCs/>
          <w:color w:val="000000"/>
          <w:kern w:val="0"/>
          <w:rtl/>
          <w14:ligatures w14:val="none"/>
        </w:rPr>
        <w:t>دراسة العجمي، النجار،(2022)</w:t>
      </w:r>
    </w:p>
    <w:p w14:paraId="64D0234A" w14:textId="52259FB0"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إلى دراسة أثر التفكير الاستراتيجي في التميز التنظيمي من خلال الدور الوسيط للاستشراف الاستراتيجي.</w:t>
      </w:r>
    </w:p>
    <w:p w14:paraId="728E89E8" w14:textId="086BF85C"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w:t>
      </w:r>
    </w:p>
    <w:p w14:paraId="614D74F4" w14:textId="77777777" w:rsidR="00203FAF" w:rsidRPr="002522ED" w:rsidRDefault="00203FAF" w:rsidP="005651E0">
      <w:pPr>
        <w:numPr>
          <w:ilvl w:val="0"/>
          <w:numId w:val="63"/>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تأثير إيجابي للتفكير الاستراتيجي على التميز</w:t>
      </w:r>
    </w:p>
    <w:p w14:paraId="738C8F3A" w14:textId="77777777" w:rsidR="00203FAF" w:rsidRPr="002522ED" w:rsidRDefault="00203FAF" w:rsidP="005651E0">
      <w:pPr>
        <w:numPr>
          <w:ilvl w:val="0"/>
          <w:numId w:val="63"/>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الاستشراف الاستراتيجي يلعب دورًا وسيطًا</w:t>
      </w:r>
    </w:p>
    <w:p w14:paraId="3B983E1B" w14:textId="09CE9D49" w:rsidR="00203FAF" w:rsidRPr="002522ED" w:rsidRDefault="00203FAF" w:rsidP="005651E0">
      <w:pPr>
        <w:numPr>
          <w:ilvl w:val="0"/>
          <w:numId w:val="63"/>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ضرورة تعزيز ممارسات الاستشراف</w:t>
      </w:r>
    </w:p>
    <w:p w14:paraId="0796DC41" w14:textId="7F99A1B6" w:rsidR="00A07C51"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 تفيد في دعم ال</w:t>
      </w:r>
      <w:r w:rsidR="0069767D" w:rsidRPr="002522ED">
        <w:rPr>
          <w:rFonts w:eastAsia="Times New Roman" w:cstheme="majorBidi"/>
          <w:color w:val="000000"/>
          <w:kern w:val="0"/>
          <w:rtl/>
          <w14:ligatures w14:val="none"/>
        </w:rPr>
        <w:t>دور الوسيط للاستشراف حيث و تناولت أثر التفكير الاستراتيجي في التميز التنظيمي من خلال دور الوسيط للاستشراف الاستراتيجي، وكذلك ركزت على التفكير الإستراتيجي كمدخل للتميز، في حين أن الدراسة الحالية تركز على تحليل الدور الوسيط للاستشراف الاستراتيجي في العلاقة بين الابتكار الإداري وتنمية القدرات التوليدية. وكذلك تتناول الابتكار الإداري كعامل رئيسي في تعزيز توليد المعرفة والأفكار داخل المنظمات التقنية، مما يمنحها بعدا أكثر ارتباطا بالابتكار والتحول الرقمي.</w:t>
      </w:r>
    </w:p>
    <w:p w14:paraId="418C66E8" w14:textId="77777777" w:rsidR="00A07C51" w:rsidRPr="002522ED" w:rsidRDefault="00A07C51" w:rsidP="005651E0">
      <w:pPr>
        <w:shd w:val="clear" w:color="auto" w:fill="FFFFFF"/>
        <w:bidi/>
        <w:spacing w:after="180"/>
        <w:jc w:val="both"/>
        <w:rPr>
          <w:rFonts w:eastAsia="Times New Roman" w:cstheme="majorBidi"/>
          <w:color w:val="222222"/>
          <w:kern w:val="0"/>
          <w:rtl/>
          <w14:ligatures w14:val="none"/>
        </w:rPr>
      </w:pPr>
    </w:p>
    <w:p w14:paraId="51A71A81" w14:textId="1A083B54" w:rsidR="00C50D1E" w:rsidRPr="004B6E5C" w:rsidRDefault="00B80B66"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الدرسات السابقة الاجنبية:</w:t>
      </w:r>
    </w:p>
    <w:p w14:paraId="5BED00B2" w14:textId="1CA1C337" w:rsidR="001315F9" w:rsidRPr="004B6E5C" w:rsidRDefault="00937F84" w:rsidP="001315F9">
      <w:pPr>
        <w:shd w:val="clear" w:color="auto" w:fill="FFFFFF"/>
        <w:bidi/>
        <w:spacing w:after="180"/>
        <w:jc w:val="both"/>
        <w:rPr>
          <w:rFonts w:eastAsia="Times New Roman" w:cstheme="majorBidi"/>
          <w:b/>
          <w:bCs/>
          <w:color w:val="222222"/>
          <w:kern w:val="0"/>
          <w14:ligatures w14:val="none"/>
        </w:rPr>
      </w:pPr>
      <w:r w:rsidRPr="004B6E5C">
        <w:rPr>
          <w:rFonts w:eastAsia="Times New Roman" w:cstheme="majorBidi" w:hint="cs"/>
          <w:b/>
          <w:bCs/>
          <w:color w:val="222222"/>
          <w:kern w:val="0"/>
          <w:rtl/>
          <w14:ligatures w14:val="none"/>
        </w:rPr>
        <w:t xml:space="preserve">1/ دراسة  </w:t>
      </w:r>
      <w:proofErr w:type="spellStart"/>
      <w:r w:rsidR="009D3B1D" w:rsidRPr="004B6E5C">
        <w:rPr>
          <w:rFonts w:eastAsia="Times New Roman" w:cstheme="majorBidi"/>
          <w:b/>
          <w:bCs/>
          <w:color w:val="222222"/>
          <w:kern w:val="0"/>
          <w14:ligatures w14:val="none"/>
        </w:rPr>
        <w:t>M</w:t>
      </w:r>
      <w:r w:rsidR="00BC13F0" w:rsidRPr="004B6E5C">
        <w:rPr>
          <w:rFonts w:eastAsia="Times New Roman" w:cstheme="majorBidi"/>
          <w:b/>
          <w:bCs/>
          <w:color w:val="222222"/>
          <w:kern w:val="0"/>
          <w14:ligatures w14:val="none"/>
        </w:rPr>
        <w:t>ubrak</w:t>
      </w:r>
      <w:proofErr w:type="spellEnd"/>
      <w:r w:rsidR="00BC13F0" w:rsidRPr="004B6E5C">
        <w:rPr>
          <w:rFonts w:eastAsia="Times New Roman" w:cstheme="majorBidi"/>
          <w:b/>
          <w:bCs/>
          <w:color w:val="222222"/>
          <w:kern w:val="0"/>
          <w14:ligatures w14:val="none"/>
        </w:rPr>
        <w:t xml:space="preserve"> et al.</w:t>
      </w:r>
      <w:r w:rsidR="006E73DC" w:rsidRPr="004B6E5C">
        <w:rPr>
          <w:rFonts w:eastAsia="Times New Roman" w:cstheme="majorBidi"/>
          <w:b/>
          <w:bCs/>
          <w:color w:val="222222"/>
          <w:kern w:val="0"/>
          <w14:ligatures w14:val="none"/>
        </w:rPr>
        <w:t>(2025)</w:t>
      </w:r>
      <w:r w:rsidR="00BC13F0" w:rsidRPr="004B6E5C">
        <w:rPr>
          <w:rFonts w:eastAsia="Times New Roman" w:cstheme="majorBidi"/>
          <w:b/>
          <w:bCs/>
          <w:color w:val="222222"/>
          <w:kern w:val="0"/>
          <w14:ligatures w14:val="none"/>
        </w:rPr>
        <w:t xml:space="preserve"> </w:t>
      </w:r>
    </w:p>
    <w:p w14:paraId="06B5777F" w14:textId="28F3115C" w:rsidR="00C50D1E" w:rsidRPr="002522ED" w:rsidRDefault="00C50D1E" w:rsidP="00E07BAB">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دراسة</w:t>
      </w:r>
      <w:r w:rsidR="002E74E0">
        <w:rPr>
          <w:rFonts w:eastAsia="Times New Roman" w:cstheme="majorBidi" w:hint="cs"/>
          <w:color w:val="000000"/>
          <w:kern w:val="0"/>
          <w:rtl/>
          <w14:ligatures w14:val="none"/>
        </w:rPr>
        <w:t xml:space="preserve"> (2025).</w:t>
      </w:r>
      <w:r w:rsidRPr="002522ED">
        <w:rPr>
          <w:rFonts w:eastAsia="Times New Roman" w:cstheme="majorBidi"/>
          <w:color w:val="000000"/>
          <w:kern w:val="0"/>
          <w:rtl/>
          <w14:ligatures w14:val="none"/>
        </w:rPr>
        <w:t xml:space="preserve"> </w:t>
      </w:r>
      <w:r w:rsidRPr="002522ED">
        <w:rPr>
          <w:rFonts w:eastAsia="Times New Roman" w:cstheme="majorBidi"/>
          <w:color w:val="000000"/>
          <w:kern w:val="0"/>
          <w14:ligatures w14:val="none"/>
        </w:rPr>
        <w:t>Mubarak et al</w:t>
      </w:r>
      <w:r w:rsidRPr="002522ED">
        <w:rPr>
          <w:rFonts w:eastAsia="Times New Roman" w:cstheme="majorBidi"/>
          <w:color w:val="000000"/>
          <w:kern w:val="0"/>
          <w:rtl/>
          <w14:ligatures w14:val="none"/>
        </w:rPr>
        <w:t xml:space="preserve"> إلى تحليل دور الاستشراف الاستراتيجي وإدارة المعرفة في تعزيز الابتكار المفتوح ونجاح تطوير المنتجات الجديدة.</w:t>
      </w:r>
      <w:r w:rsidR="00E07BAB">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واعتمدت الدراسة على المنهج الكمي من خلال تطبيقها على 298 شركة تكنولوجية.</w:t>
      </w:r>
    </w:p>
    <w:p w14:paraId="32C84AF1" w14:textId="6158BCCB" w:rsidR="00C50D1E" w:rsidRPr="002522ED" w:rsidRDefault="00C50D1E"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48EFBB45" w14:textId="77777777" w:rsidR="00C50D1E" w:rsidRPr="002522ED" w:rsidRDefault="00C50D1E" w:rsidP="005651E0">
      <w:pPr>
        <w:numPr>
          <w:ilvl w:val="0"/>
          <w:numId w:val="64"/>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الاستشراف الاستراتيجي يؤثر إيجابيًا في الابتكار المفتوح</w:t>
      </w:r>
    </w:p>
    <w:p w14:paraId="2FF016FE" w14:textId="77777777" w:rsidR="00C50D1E" w:rsidRPr="002522ED" w:rsidRDefault="00C50D1E" w:rsidP="005651E0">
      <w:pPr>
        <w:numPr>
          <w:ilvl w:val="0"/>
          <w:numId w:val="6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إدارة المعرفة تعزز نجاح تطوير المنتجات</w:t>
      </w:r>
    </w:p>
    <w:p w14:paraId="0289D302" w14:textId="20332897" w:rsidR="00C50D1E" w:rsidRPr="002522ED" w:rsidRDefault="00C50D1E" w:rsidP="005651E0">
      <w:pPr>
        <w:numPr>
          <w:ilvl w:val="0"/>
          <w:numId w:val="64"/>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التكامل بين الاستشراف وإدارة المعرفة يزيد من الأداء الابتكاري</w:t>
      </w:r>
    </w:p>
    <w:p w14:paraId="679FCAA1" w14:textId="225A727C" w:rsidR="00C50D1E" w:rsidRDefault="00C50D1E" w:rsidP="00130B80">
      <w:pPr>
        <w:bidi/>
        <w:spacing w:after="180"/>
        <w:jc w:val="both"/>
        <w:rPr>
          <w:rFonts w:eastAsia="Times New Roman" w:cstheme="majorBidi"/>
          <w:b/>
          <w:bCs/>
          <w:color w:val="000000"/>
          <w:kern w:val="0"/>
          <w:rtl/>
          <w14:ligatures w14:val="none"/>
        </w:rPr>
      </w:pPr>
      <w:r w:rsidRPr="002522ED">
        <w:rPr>
          <w:rFonts w:eastAsia="Times New Roman" w:cstheme="majorBidi"/>
          <w:color w:val="000000"/>
          <w:kern w:val="0"/>
          <w:rtl/>
          <w14:ligatures w14:val="none"/>
        </w:rPr>
        <w:t>وتفيد هذه الدراسة في دعم دور الاستشراف الاستراتيجي كمتغير مؤثر في الابتكار. وتختلف هذه الدراسة عن الدراسة الحالية أنها ركزت على تحليل دور الاستشراف الاستراتيجي وإدارة المعرفة في تعزيز الابتكار المفتوح ونجاح تطوير المنتجات داخل الشركات التكنولوجية حيث تناولت الاستشراف كمتغير مستقل ضمن نموذج متعدد المتغيرات، أما الدراسة الحالية تركز على تحليل الدور الوسيط للاستشراف الاستراتيجي في العلاقة بين الابتكار الإداري وتنمية القدرات التوليدية حيث تقدم نموذجا تفسيريا يبرز دور الاستشراف كمتغير الوسيط يربط بين الابتكار الإداري وتوليد المعرفة والأفكار داخل المنظمات.</w:t>
      </w:r>
      <w:r w:rsidRPr="002522ED">
        <w:rPr>
          <w:rFonts w:eastAsia="Times New Roman" w:cstheme="majorBidi"/>
          <w:b/>
          <w:bCs/>
          <w:color w:val="000000"/>
          <w:kern w:val="0"/>
          <w14:ligatures w14:val="none"/>
        </w:rPr>
        <w:t> </w:t>
      </w:r>
    </w:p>
    <w:p w14:paraId="2B10EE17" w14:textId="65DDE416" w:rsidR="001A24C9" w:rsidRPr="002522ED" w:rsidRDefault="001A24C9" w:rsidP="001A24C9">
      <w:pPr>
        <w:bidi/>
        <w:spacing w:after="224"/>
        <w:jc w:val="both"/>
        <w:rPr>
          <w:rFonts w:eastAsia="Times New Roman" w:cstheme="majorBidi"/>
          <w:color w:val="000000"/>
          <w:kern w:val="0"/>
          <w14:ligatures w14:val="none"/>
        </w:rPr>
      </w:pPr>
      <w:r>
        <w:rPr>
          <w:rFonts w:eastAsia="Times New Roman" w:cstheme="majorBidi" w:hint="cs"/>
          <w:b/>
          <w:bCs/>
          <w:color w:val="000000"/>
          <w:kern w:val="0"/>
          <w:rtl/>
          <w14:ligatures w14:val="none"/>
        </w:rPr>
        <w:t xml:space="preserve">2/ دراسة  </w:t>
      </w:r>
      <w:r w:rsidRPr="002522ED">
        <w:rPr>
          <w:rFonts w:eastAsia="Times New Roman" w:cstheme="majorBidi"/>
          <w:b/>
          <w:bCs/>
          <w:color w:val="000000"/>
          <w:kern w:val="0"/>
          <w14:ligatures w14:val="none"/>
        </w:rPr>
        <w:t xml:space="preserve">Ali &amp; </w:t>
      </w:r>
      <w:proofErr w:type="spellStart"/>
      <w:r w:rsidRPr="002522ED">
        <w:rPr>
          <w:rFonts w:eastAsia="Times New Roman" w:cstheme="majorBidi"/>
          <w:color w:val="000000"/>
          <w:kern w:val="0"/>
          <w14:ligatures w14:val="none"/>
        </w:rPr>
        <w:t>Moghadamrad</w:t>
      </w:r>
      <w:proofErr w:type="spellEnd"/>
      <w:r w:rsidRPr="002522ED">
        <w:rPr>
          <w:rFonts w:eastAsia="Times New Roman" w:cstheme="majorBidi"/>
          <w:b/>
          <w:bCs/>
          <w:color w:val="000000"/>
          <w:kern w:val="0"/>
          <w14:ligatures w14:val="none"/>
        </w:rPr>
        <w:t xml:space="preserve"> (2024)</w:t>
      </w:r>
    </w:p>
    <w:p w14:paraId="2302150C" w14:textId="4B2DBBEC" w:rsidR="00C50D1E" w:rsidRPr="002522ED" w:rsidRDefault="00C50D1E" w:rsidP="00E07BAB">
      <w:pPr>
        <w:bidi/>
        <w:spacing w:after="224"/>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دراسة</w:t>
      </w:r>
      <w:r w:rsidR="001A24C9">
        <w:rPr>
          <w:rFonts w:eastAsia="Times New Roman" w:cstheme="majorBidi" w:hint="cs"/>
          <w:color w:val="000000"/>
          <w:kern w:val="0"/>
          <w:rtl/>
          <w14:ligatures w14:val="none"/>
        </w:rPr>
        <w:t xml:space="preserve"> </w:t>
      </w:r>
      <w:r w:rsidR="00E07BAB">
        <w:rPr>
          <w:rFonts w:eastAsia="Times New Roman" w:cstheme="majorBidi" w:hint="cs"/>
          <w:color w:val="000000"/>
          <w:kern w:val="0"/>
          <w:rtl/>
          <w14:ligatures w14:val="none"/>
        </w:rPr>
        <w:t>(2024)</w:t>
      </w:r>
      <w:r w:rsidRPr="002522ED">
        <w:rPr>
          <w:rFonts w:eastAsia="Times New Roman" w:cstheme="majorBidi"/>
          <w:color w:val="000000"/>
          <w:kern w:val="0"/>
          <w:rtl/>
          <w14:ligatures w14:val="none"/>
        </w:rPr>
        <w:t xml:space="preserve"> </w:t>
      </w:r>
      <w:proofErr w:type="spellStart"/>
      <w:r w:rsidRPr="002522ED">
        <w:rPr>
          <w:rFonts w:eastAsia="Times New Roman" w:cstheme="majorBidi"/>
          <w:color w:val="000000"/>
          <w:kern w:val="0"/>
          <w14:ligatures w14:val="none"/>
        </w:rPr>
        <w:t>Moghadamrad</w:t>
      </w:r>
      <w:proofErr w:type="spellEnd"/>
      <w:r w:rsidRPr="002522ED">
        <w:rPr>
          <w:rFonts w:eastAsia="Times New Roman" w:cstheme="majorBidi"/>
          <w:color w:val="000000"/>
          <w:kern w:val="0"/>
          <w:rtl/>
          <w14:ligatures w14:val="none"/>
        </w:rPr>
        <w:t xml:space="preserve"> &amp; </w:t>
      </w:r>
      <w:r w:rsidRPr="002522ED">
        <w:rPr>
          <w:rFonts w:eastAsia="Times New Roman" w:cstheme="majorBidi"/>
          <w:color w:val="000000"/>
          <w:kern w:val="0"/>
          <w14:ligatures w14:val="none"/>
        </w:rPr>
        <w:t>Ali</w:t>
      </w:r>
      <w:r w:rsidR="00E07BAB">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إلى تحليل أثر الاستشراف الاستراتيجي في ابتكار نموذج العمل، مع دراسة الدور الوسيط لكل من فهم المعنى (</w:t>
      </w:r>
      <w:r w:rsidRPr="002522ED">
        <w:rPr>
          <w:rFonts w:eastAsia="Times New Roman" w:cstheme="majorBidi"/>
          <w:color w:val="000000"/>
          <w:kern w:val="0"/>
          <w14:ligatures w14:val="none"/>
        </w:rPr>
        <w:t>Sensemaking</w:t>
      </w:r>
      <w:r w:rsidRPr="002522ED">
        <w:rPr>
          <w:rFonts w:eastAsia="Times New Roman" w:cstheme="majorBidi"/>
          <w:color w:val="000000"/>
          <w:kern w:val="0"/>
          <w:rtl/>
          <w14:ligatures w14:val="none"/>
        </w:rPr>
        <w:t>) والتعلم التنظيمي.</w:t>
      </w:r>
      <w:r w:rsidR="00E07BAB">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واعتمدت الدراسة على المنهج الكمي من خلال مسح شمل 146 منظمة.</w:t>
      </w:r>
    </w:p>
    <w:p w14:paraId="483D7A1A" w14:textId="3D019EEE" w:rsidR="00C50D1E" w:rsidRPr="002522ED" w:rsidRDefault="00C50D1E"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79821B06" w14:textId="77777777" w:rsidR="00C50D1E" w:rsidRPr="002522ED" w:rsidRDefault="00C50D1E" w:rsidP="005651E0">
      <w:pPr>
        <w:numPr>
          <w:ilvl w:val="0"/>
          <w:numId w:val="65"/>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الاستشراف الاستراتيجي يؤثر إيجابيًا في ابتكار نموذج العمل</w:t>
      </w:r>
    </w:p>
    <w:p w14:paraId="0F539E62" w14:textId="77777777" w:rsidR="00C50D1E" w:rsidRPr="002522ED" w:rsidRDefault="00C50D1E" w:rsidP="005651E0">
      <w:pPr>
        <w:numPr>
          <w:ilvl w:val="0"/>
          <w:numId w:val="65"/>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يلعب التعلم التنظيمي دورًا وسيطًا مهمًا</w:t>
      </w:r>
    </w:p>
    <w:p w14:paraId="2BC62844" w14:textId="68E81A5F" w:rsidR="00C50D1E" w:rsidRPr="002522ED" w:rsidRDefault="00C50D1E" w:rsidP="005651E0">
      <w:pPr>
        <w:numPr>
          <w:ilvl w:val="0"/>
          <w:numId w:val="65"/>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يسهم فهم المعنى في تفسير العلاقة بين المتغيرات</w:t>
      </w:r>
    </w:p>
    <w:p w14:paraId="56AB5D03" w14:textId="4CB9F802" w:rsidR="00C50D1E" w:rsidRPr="002522ED" w:rsidRDefault="006C416A" w:rsidP="005651E0">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 xml:space="preserve">وتفيد هذه الدراسة في دعم أهمية الاستشراف الإستراتيجي كأحد العوامل المؤثرة في الابتكار، كما تؤكد على الدور الوسيط للمتغيرات التنظيمية في تفسير العلاقات بين المتغيرات الاستراتيجية. وهذا يفيدنا في دراستنا الحالية في تبني مفهوم الدور الوسيط، </w:t>
      </w:r>
      <w:r w:rsidRPr="002522ED">
        <w:rPr>
          <w:rFonts w:eastAsia="Times New Roman" w:cstheme="majorBidi"/>
          <w:color w:val="000000"/>
          <w:kern w:val="0"/>
          <w:rtl/>
          <w14:ligatures w14:val="none"/>
        </w:rPr>
        <w:lastRenderedPageBreak/>
        <w:t>وتختلف في اعتبار الاستشراف الإستراتيجي ذاته متغيرا وسيطا يربط بين الابتكار الإداري وتنمية القدرات التوليدية، مما يسهم في تقديم نموذج تفسيري أكثر تكاملا لآليات توليد المعرفة داخل المنظمات.</w:t>
      </w:r>
    </w:p>
    <w:p w14:paraId="071C2FC8" w14:textId="6F0A3EF2" w:rsidR="00C50D1E" w:rsidRPr="004B6E5C" w:rsidRDefault="009B55DE" w:rsidP="005651E0">
      <w:pPr>
        <w:bidi/>
        <w:spacing w:after="180"/>
        <w:jc w:val="both"/>
        <w:rPr>
          <w:rFonts w:eastAsia="Times New Roman" w:cstheme="majorBidi"/>
          <w:b/>
          <w:bCs/>
          <w:color w:val="000000"/>
          <w:kern w:val="0"/>
          <w14:ligatures w14:val="none"/>
        </w:rPr>
      </w:pPr>
      <w:r w:rsidRPr="004B6E5C">
        <w:rPr>
          <w:rFonts w:eastAsia="Times New Roman" w:cstheme="majorBidi" w:hint="cs"/>
          <w:b/>
          <w:bCs/>
          <w:color w:val="000000"/>
          <w:kern w:val="0"/>
          <w:rtl/>
          <w14:ligatures w14:val="none"/>
        </w:rPr>
        <w:t>3/</w:t>
      </w:r>
      <w:r w:rsidR="00E17149" w:rsidRPr="004B6E5C">
        <w:rPr>
          <w:rFonts w:eastAsia="Times New Roman" w:cstheme="majorBidi" w:hint="cs"/>
          <w:b/>
          <w:bCs/>
          <w:color w:val="000000"/>
          <w:kern w:val="0"/>
          <w:rtl/>
          <w14:ligatures w14:val="none"/>
        </w:rPr>
        <w:t xml:space="preserve"> دراسة  </w:t>
      </w:r>
      <w:r w:rsidR="00E17149" w:rsidRPr="004B6E5C">
        <w:rPr>
          <w:rFonts w:eastAsia="Times New Roman" w:cstheme="majorBidi"/>
          <w:b/>
          <w:bCs/>
          <w:color w:val="000000"/>
          <w:kern w:val="0"/>
          <w14:ligatures w14:val="none"/>
        </w:rPr>
        <w:t>Niguse et al. (2025)</w:t>
      </w:r>
    </w:p>
    <w:p w14:paraId="602ACF18" w14:textId="686E158F" w:rsidR="00C50D1E" w:rsidRPr="002522ED" w:rsidRDefault="00C50D1E" w:rsidP="007E4A07">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Niguse et al</w:t>
      </w:r>
      <w:r w:rsidRPr="002522ED">
        <w:rPr>
          <w:rFonts w:eastAsia="Times New Roman" w:cstheme="majorBidi"/>
          <w:color w:val="000000"/>
          <w:kern w:val="0"/>
          <w:rtl/>
          <w14:ligatures w14:val="none"/>
        </w:rPr>
        <w:t>. (2025) إلى تحليل أثر التوافق الاستراتيجي والاستشراف الاستراتيجي في تحقيق الميزة التنافسية، مع دراسة الدور الوسيط لرأس المال البشري.</w:t>
      </w:r>
      <w:r w:rsidR="007E4A07">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واعتمدت الدراسة على المنهج الكمي في شركات صناعية في إثيوبيا.</w:t>
      </w:r>
    </w:p>
    <w:p w14:paraId="7214C6FA" w14:textId="17EC5F27" w:rsidR="00C50D1E" w:rsidRPr="002522ED" w:rsidRDefault="00C50D1E"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22224DF2" w14:textId="77777777" w:rsidR="00C50D1E" w:rsidRPr="002522ED" w:rsidRDefault="00C50D1E" w:rsidP="005651E0">
      <w:pPr>
        <w:numPr>
          <w:ilvl w:val="0"/>
          <w:numId w:val="66"/>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الاستشراف الاستراتيجي يرتبط إيجابيًا بالميزة التنافسية</w:t>
      </w:r>
    </w:p>
    <w:p w14:paraId="191510C3" w14:textId="77777777" w:rsidR="00C50D1E" w:rsidRPr="002522ED" w:rsidRDefault="00C50D1E" w:rsidP="005651E0">
      <w:pPr>
        <w:numPr>
          <w:ilvl w:val="0"/>
          <w:numId w:val="66"/>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رأس المال البشري يلعب دورًا وسيطًا في هذه العلاقة</w:t>
      </w:r>
    </w:p>
    <w:p w14:paraId="12976527" w14:textId="6472498E" w:rsidR="00C50D1E" w:rsidRPr="002522ED" w:rsidRDefault="00C50D1E" w:rsidP="005651E0">
      <w:pPr>
        <w:numPr>
          <w:ilvl w:val="0"/>
          <w:numId w:val="66"/>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الاستثمار في القدرات البشرية يعزز نتائج الاستشراف</w:t>
      </w:r>
    </w:p>
    <w:p w14:paraId="375C8928" w14:textId="27461749" w:rsidR="007D0CA4" w:rsidRDefault="008727E1" w:rsidP="00E054CB">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تفيد هذه الدراسة في دعم أهمية الاستشراف الاستراتيجي في تحقيق الميزة التنافسية، كما تؤكد على الدور الوسيط للمتغيرات التنظيمية، حيث أظهرت أن رأس المال البشري يلعب دورا وسيطا في العلاقة بين المتغيرات الاستراتيجية. إلا أنها تختلف عن دراستنا في أنها تناولت الاستشراف كمتغير مستقل، في حين تركز الدراسة الحالية على دورة كمتغير الوسيط يربط بين الابتكار الإداري وتنمية القدرات التوليدية، مما يسهم  في تقديم تفسير أكثر عمقا لآليات توليد المعرفة داخل المنظمات.</w:t>
      </w:r>
    </w:p>
    <w:p w14:paraId="34FB176B" w14:textId="77777777" w:rsidR="00E054CB" w:rsidRPr="00E054CB" w:rsidRDefault="00E054CB" w:rsidP="00E054CB">
      <w:pPr>
        <w:bidi/>
        <w:spacing w:after="180"/>
        <w:jc w:val="both"/>
        <w:rPr>
          <w:rFonts w:eastAsia="Times New Roman" w:cstheme="majorBidi"/>
          <w:color w:val="000000"/>
          <w:kern w:val="0"/>
          <w:rtl/>
          <w14:ligatures w14:val="none"/>
        </w:rPr>
      </w:pPr>
    </w:p>
    <w:p w14:paraId="2A3CE10D" w14:textId="10355F05" w:rsidR="00B80B66" w:rsidRPr="004B6E5C" w:rsidRDefault="00F44F87" w:rsidP="005651E0">
      <w:pPr>
        <w:shd w:val="clear" w:color="auto" w:fill="FFFFFF"/>
        <w:bidi/>
        <w:spacing w:after="180"/>
        <w:jc w:val="both"/>
        <w:rPr>
          <w:rFonts w:eastAsia="Times New Roman" w:cstheme="majorBidi"/>
          <w:b/>
          <w:bCs/>
          <w:color w:val="222222"/>
          <w:kern w:val="0"/>
          <w14:ligatures w14:val="none"/>
        </w:rPr>
      </w:pPr>
      <w:r w:rsidRPr="004B6E5C">
        <w:rPr>
          <w:rFonts w:eastAsia="Times New Roman" w:cstheme="majorBidi"/>
          <w:b/>
          <w:bCs/>
          <w:color w:val="222222"/>
          <w:kern w:val="0"/>
          <w:rtl/>
          <w14:ligatures w14:val="none"/>
        </w:rPr>
        <w:t>التعليق على الدراسات السابقة والفجوة البحثية</w:t>
      </w:r>
      <w:r w:rsidR="005D2AAB" w:rsidRPr="004B6E5C">
        <w:rPr>
          <w:rFonts w:eastAsia="Times New Roman" w:cstheme="majorBidi"/>
          <w:b/>
          <w:bCs/>
          <w:color w:val="222222"/>
          <w:kern w:val="0"/>
          <w:rtl/>
          <w14:ligatures w14:val="none"/>
        </w:rPr>
        <w:t>:</w:t>
      </w:r>
    </w:p>
    <w:p w14:paraId="7A5A62CD" w14:textId="13DA9707" w:rsidR="000A7924" w:rsidRPr="002522ED" w:rsidRDefault="00F17CC3" w:rsidP="005651E0">
      <w:pPr>
        <w:pStyle w:val="NormalWeb"/>
        <w:bidi/>
        <w:spacing w:after="180"/>
        <w:jc w:val="both"/>
        <w:rPr>
          <w:rFonts w:asciiTheme="majorBidi" w:eastAsia="Times New Roman" w:hAnsiTheme="majorBidi" w:cstheme="majorBidi"/>
          <w:color w:val="000000"/>
          <w:kern w:val="0"/>
          <w:rtl/>
          <w14:ligatures w14:val="none"/>
        </w:rPr>
      </w:pPr>
      <w:r w:rsidRPr="002522ED">
        <w:rPr>
          <w:rFonts w:asciiTheme="majorBidi" w:eastAsia="Times New Roman" w:hAnsiTheme="majorBidi" w:cstheme="majorBidi"/>
          <w:color w:val="000000"/>
          <w:kern w:val="0"/>
          <w:rtl/>
          <w14:ligatures w14:val="none"/>
        </w:rPr>
        <w:t>تشير الدراسات السابقة إلى اهتمام واضح بموضوعات الابتكار الإداري، والاستشراف الاستراتيجي، والقدرات التوليدية، إلا أن هذا الاهتمام جاء في الغالب بصورة جزئية أو من خلال علاقات ثنائية بين بعض المتغيرات. فقد تناولت بعض الدراسات الابتكار الإداري بوصفه عاملًا مؤثرًا في الأداء والتطوير التنظيمي، في حين ركزت دراسات أخرى على القدرات التوليدية في سياقات تقنية أو معرفية، بينما عالجت دراسات أخرى الاستشراف الاستراتيجي بوصفه متغيرًا مباشرًا أو وسيطًا في علاقات تنظيمية مختلفة. ومع ذلك، لم تُظهر الدراسات السابقة معالجة مباشرة ومتكاملة للدور الوسيط للاستشراف الاستراتيجي في العلاقة بين الابتكار الإداري وتنمية القدرات التوليدية، خاصة في الشركات التقنية السعودية الخاصة، وهو ما تسعى الدراسة الحالية إلى معالجته والإسهام فيه.</w:t>
      </w:r>
      <w:r w:rsidR="000A7924" w:rsidRPr="002522ED">
        <w:rPr>
          <w:rFonts w:asciiTheme="majorBidi" w:eastAsia="Times New Roman" w:hAnsiTheme="majorBidi" w:cstheme="majorBidi"/>
          <w:color w:val="000000"/>
          <w:kern w:val="0"/>
          <w:rtl/>
          <w14:ligatures w14:val="none"/>
        </w:rPr>
        <w:t xml:space="preserve">وعلى الرغم من تنوع الدراسات السابقة التي تناولت موضوعات الابتكار الإداري، والاستشراف الاستراتيجي، والقدرات التوليدية، إلا أن تحليلها يكشف عن وجود فجوة بحثية واضحة تتمثل في أن معظم هذه الدراسات تناولت هذه المتغيرات بصورة منفصلة أو ضمن علاقات ثنائية، دون تقديم نموذج تكاملي يربط بينها في إطار واحد. كما ركزت الدراسات التي تناولت الابتكار الإداري على أثره في الأداء التنظيمي أو الميزة التنافسية، دون التعمق في دوره في تنمية القدرات التوليدية، في حين عالجت الدراسات التي تناولت القدرات التوليدية هذا المفهوم غالبًا في سياقات تقنية أو تعليمية، دون النظر إليه كمتغير تابع يتأثر بالممارسات الإدارية داخل المنظمات. أما الدراسات التي تناولت الاستشراف الاستراتيجي، فقد ركزت على دوره </w:t>
      </w:r>
      <w:r w:rsidR="000A7924" w:rsidRPr="002522ED">
        <w:rPr>
          <w:rFonts w:asciiTheme="majorBidi" w:eastAsia="Times New Roman" w:hAnsiTheme="majorBidi" w:cstheme="majorBidi"/>
          <w:color w:val="000000"/>
          <w:kern w:val="0"/>
          <w:rtl/>
          <w14:ligatures w14:val="none"/>
        </w:rPr>
        <w:lastRenderedPageBreak/>
        <w:t>المباشر أو كمتغير وسيط في علاقات متعددة، مثل علاقته برأس المال البشري أو الابتكار أو التميز التنظيمي، دون اختبار دوره الوسيط تحديدًا في العلاقة بين الابتكار الإداري وتنمية القدرات التوليدية.</w:t>
      </w:r>
    </w:p>
    <w:p w14:paraId="3A20EE3A" w14:textId="2886AA07" w:rsidR="00EA076C" w:rsidRPr="002522ED" w:rsidRDefault="000A7924" w:rsidP="002E151D">
      <w:pPr>
        <w:bidi/>
        <w:spacing w:after="180"/>
        <w:jc w:val="mediumKashida"/>
        <w:rPr>
          <w:rFonts w:eastAsia="Times New Roman" w:cstheme="majorBidi"/>
          <w:color w:val="000000"/>
          <w:kern w:val="0"/>
          <w14:ligatures w14:val="none"/>
        </w:rPr>
      </w:pPr>
      <w:r w:rsidRPr="002522ED">
        <w:rPr>
          <w:rFonts w:eastAsia="Times New Roman" w:cstheme="majorBidi"/>
          <w:color w:val="000000"/>
          <w:kern w:val="0"/>
          <w:rtl/>
          <w14:ligatures w14:val="none"/>
        </w:rPr>
        <w:t>وعليه، تتمثل الفجوة البحثية في غياب دراسات سابقة تناولت بشكل متكامل الدور الوسيط للاستشراف الاستراتيجي في العلاقة بين الابتكار الإداري وتنمية القدرات التوليدية، خاصة في بيئة الشركات التقنية، وهو ما تسعى الدراسة الحالية إلى معالجته من خلال بناء نموذج تفسيري يوضح هذه العلاقة ويختبرها ميدانيًا.</w:t>
      </w:r>
      <w:r w:rsidRPr="002522ED">
        <w:rPr>
          <w:rFonts w:eastAsia="Times New Roman" w:cstheme="majorBidi"/>
          <w:color w:val="000000"/>
          <w:kern w:val="0"/>
          <w14:ligatures w14:val="none"/>
        </w:rPr>
        <w:br/>
      </w:r>
    </w:p>
    <w:p w14:paraId="3FF0267E" w14:textId="75EE47A1" w:rsidR="009C7A77" w:rsidRPr="002E151D" w:rsidRDefault="00EA076C" w:rsidP="002E151D">
      <w:pPr>
        <w:pStyle w:val="Heading1"/>
        <w:jc w:val="both"/>
        <w:rPr>
          <w:rFonts w:eastAsia="Times New Roman"/>
          <w:rtl/>
        </w:rPr>
      </w:pPr>
      <w:r w:rsidRPr="002522ED">
        <w:rPr>
          <w:rFonts w:eastAsia="Times New Roman"/>
          <w:rtl/>
        </w:rPr>
        <w:t>مصطلحات التعريفات</w:t>
      </w:r>
    </w:p>
    <w:p w14:paraId="750CACB6" w14:textId="58F5BAED" w:rsidR="009C7A77" w:rsidRPr="002522ED" w:rsidRDefault="009C7A77" w:rsidP="005651E0">
      <w:pPr>
        <w:shd w:val="clear" w:color="auto" w:fill="FFFFFF"/>
        <w:bidi/>
        <w:spacing w:after="210"/>
        <w:jc w:val="both"/>
        <w:rPr>
          <w:rFonts w:eastAsia="Times New Roman" w:cstheme="majorBidi"/>
          <w:color w:val="222222"/>
          <w:kern w:val="0"/>
          <w:rtl/>
          <w14:ligatures w14:val="none"/>
        </w:rPr>
      </w:pPr>
      <w:r w:rsidRPr="002522ED">
        <w:rPr>
          <w:rFonts w:eastAsia="Times New Roman" w:cstheme="majorBidi"/>
          <w:b/>
          <w:bCs/>
          <w:color w:val="222222"/>
          <w:kern w:val="0"/>
          <w:rtl/>
          <w14:ligatures w14:val="none"/>
        </w:rPr>
        <w:t>1/الابتكار الإداري (</w:t>
      </w:r>
      <w:r w:rsidRPr="002522ED">
        <w:rPr>
          <w:rFonts w:eastAsia="Times New Roman" w:cstheme="majorBidi"/>
          <w:b/>
          <w:bCs/>
          <w:color w:val="222222"/>
          <w:kern w:val="0"/>
          <w14:ligatures w14:val="none"/>
        </w:rPr>
        <w:t>Administrative Innovation</w:t>
      </w:r>
      <w:r w:rsidRPr="002522ED">
        <w:rPr>
          <w:rFonts w:eastAsia="Times New Roman" w:cstheme="majorBidi"/>
          <w:b/>
          <w:bCs/>
          <w:color w:val="222222"/>
          <w:kern w:val="0"/>
          <w:rtl/>
          <w14:ligatures w14:val="none"/>
        </w:rPr>
        <w:t>)</w:t>
      </w:r>
    </w:p>
    <w:p w14:paraId="098C0FD9" w14:textId="1251D0A6" w:rsidR="009C7A77" w:rsidRPr="002522ED" w:rsidRDefault="009C7A77" w:rsidP="0049669D">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1- يُعرف الابتكار الإداري بأنه اختراع وتطبيق ممارسات أو عمليات أو هياكل أو تقنيات إدارية جديدة على مستوى المنظمة، بهدف تحسين الأداء وتحقيق الأهداف التنظيمية (</w:t>
      </w:r>
      <w:r w:rsidRPr="002522ED">
        <w:rPr>
          <w:rFonts w:eastAsia="Times New Roman" w:cstheme="majorBidi"/>
          <w:color w:val="222222"/>
          <w:kern w:val="0"/>
          <w14:ligatures w14:val="none"/>
        </w:rPr>
        <w:t xml:space="preserve">et al., </w:t>
      </w:r>
      <w:proofErr w:type="gramStart"/>
      <w:r w:rsidRPr="002522ED">
        <w:rPr>
          <w:rFonts w:eastAsia="Times New Roman" w:cstheme="majorBidi"/>
          <w:color w:val="222222"/>
          <w:kern w:val="0"/>
          <w14:ligatures w14:val="none"/>
        </w:rPr>
        <w:t>2008</w:t>
      </w:r>
      <w:r w:rsidR="00AE5D9D">
        <w:rPr>
          <w:rFonts w:eastAsia="Times New Roman" w:cstheme="majorBidi" w:hint="cs"/>
          <w:color w:val="222222"/>
          <w:kern w:val="0"/>
          <w:rtl/>
          <w14:ligatures w14:val="none"/>
        </w:rPr>
        <w:t xml:space="preserve">  </w:t>
      </w:r>
      <w:r w:rsidR="00F53F39" w:rsidRPr="002522ED">
        <w:rPr>
          <w:rFonts w:eastAsia="Times New Roman" w:cstheme="majorBidi"/>
          <w:color w:val="0000EE"/>
          <w:kern w:val="0"/>
          <w14:ligatures w14:val="none"/>
        </w:rPr>
        <w:t>Julian</w:t>
      </w:r>
      <w:proofErr w:type="gramEnd"/>
      <w:r w:rsidR="00F53F39" w:rsidRPr="002522ED">
        <w:rPr>
          <w:rFonts w:eastAsia="Times New Roman" w:cstheme="majorBidi"/>
          <w:color w:val="0000EE"/>
          <w:kern w:val="0"/>
          <w14:ligatures w14:val="none"/>
        </w:rPr>
        <w:t xml:space="preserve"> </w:t>
      </w:r>
      <w:proofErr w:type="gramStart"/>
      <w:r w:rsidR="00F53F39" w:rsidRPr="002522ED">
        <w:rPr>
          <w:rFonts w:eastAsia="Times New Roman" w:cstheme="majorBidi"/>
          <w:color w:val="0000EE"/>
          <w:kern w:val="0"/>
          <w14:ligatures w14:val="none"/>
        </w:rPr>
        <w:t>Birkinshaw</w:t>
      </w:r>
      <w:r w:rsidR="00F53F39" w:rsidRPr="002522ED">
        <w:rPr>
          <w:rFonts w:eastAsia="Times New Roman" w:cstheme="majorBidi"/>
          <w:color w:val="222222"/>
          <w:kern w:val="0"/>
          <w:rtl/>
          <w14:ligatures w14:val="none"/>
        </w:rPr>
        <w:t> </w:t>
      </w:r>
      <w:r w:rsidR="0005405C">
        <w:rPr>
          <w:rFonts w:eastAsia="Times New Roman" w:cstheme="majorBidi" w:hint="cs"/>
          <w:color w:val="222222"/>
          <w:kern w:val="0"/>
          <w:rtl/>
          <w14:ligatures w14:val="none"/>
        </w:rPr>
        <w:t xml:space="preserve"> </w:t>
      </w:r>
      <w:r w:rsidRPr="002522ED">
        <w:rPr>
          <w:rFonts w:eastAsia="Times New Roman" w:cstheme="majorBidi"/>
          <w:color w:val="222222"/>
          <w:kern w:val="0"/>
          <w:rtl/>
          <w14:ligatures w14:val="none"/>
        </w:rPr>
        <w:t>)</w:t>
      </w:r>
      <w:proofErr w:type="gramEnd"/>
      <w:r w:rsidRPr="002522ED">
        <w:rPr>
          <w:rFonts w:eastAsia="Times New Roman" w:cstheme="majorBidi"/>
          <w:color w:val="222222"/>
          <w:kern w:val="0"/>
          <w:rtl/>
          <w14:ligatures w14:val="none"/>
        </w:rPr>
        <w:t>.</w:t>
      </w:r>
    </w:p>
    <w:p w14:paraId="189A1BD1" w14:textId="7C68840A" w:rsidR="00962812" w:rsidRDefault="009C7A77" w:rsidP="00821CE2">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2- كما يُعرّف بأنه تبني أساليب تنظيمية جديدة في ممارسات الأعمال أو تنظيم بيئة العمل أو إدارة العلاقات الخارجية بما يسهم في تحسين كفاءة وفعالية الأداء التنظيمي,</w:t>
      </w:r>
      <w:r w:rsidR="005C1370">
        <w:rPr>
          <w:rFonts w:eastAsia="Times New Roman" w:cstheme="majorBidi" w:hint="cs"/>
          <w:color w:val="222222"/>
          <w:kern w:val="0"/>
          <w:rtl/>
          <w14:ligatures w14:val="none"/>
        </w:rPr>
        <w:t>(</w:t>
      </w:r>
      <w:r w:rsidRPr="002522ED">
        <w:rPr>
          <w:rFonts w:eastAsia="Times New Roman" w:cstheme="majorBidi"/>
          <w:color w:val="222222"/>
          <w:kern w:val="0"/>
          <w:rtl/>
          <w14:ligatures w14:val="none"/>
        </w:rPr>
        <w:t xml:space="preserve"> 2012</w:t>
      </w:r>
      <w:r w:rsidR="00B340FD">
        <w:rPr>
          <w:rFonts w:eastAsia="Times New Roman" w:cstheme="majorBidi" w:hint="cs"/>
          <w:color w:val="222222"/>
          <w:kern w:val="0"/>
          <w:rtl/>
          <w14:ligatures w14:val="none"/>
        </w:rPr>
        <w:t xml:space="preserve">  </w:t>
      </w:r>
      <w:r w:rsidR="005C1370">
        <w:rPr>
          <w:rFonts w:eastAsia="Times New Roman" w:cstheme="majorBidi" w:hint="cs"/>
          <w:color w:val="222222"/>
          <w:kern w:val="0"/>
          <w:rtl/>
          <w14:ligatures w14:val="none"/>
        </w:rPr>
        <w:t>,</w:t>
      </w:r>
      <w:r w:rsidR="00B32FA6">
        <w:rPr>
          <w:rFonts w:eastAsia="Times New Roman" w:cstheme="majorBidi" w:hint="cs"/>
          <w:color w:val="222222"/>
          <w:kern w:val="0"/>
          <w:rtl/>
          <w14:ligatures w14:val="none"/>
        </w:rPr>
        <w:t xml:space="preserve">  </w:t>
      </w:r>
      <w:r w:rsidR="0059405F" w:rsidRPr="002522ED">
        <w:rPr>
          <w:rFonts w:eastAsia="Times New Roman" w:cstheme="majorBidi"/>
          <w:color w:val="0000EE"/>
          <w:kern w:val="0"/>
          <w14:ligatures w14:val="none"/>
        </w:rPr>
        <w:t xml:space="preserve">Fariborz </w:t>
      </w:r>
      <w:proofErr w:type="spellStart"/>
      <w:r w:rsidR="0059405F" w:rsidRPr="002522ED">
        <w:rPr>
          <w:rFonts w:eastAsia="Times New Roman" w:cstheme="majorBidi"/>
          <w:color w:val="0000EE"/>
          <w:kern w:val="0"/>
          <w14:ligatures w14:val="none"/>
        </w:rPr>
        <w:t>Damanpour</w:t>
      </w:r>
      <w:proofErr w:type="spellEnd"/>
      <w:r w:rsidR="0059405F" w:rsidRPr="002522ED">
        <w:rPr>
          <w:rFonts w:eastAsia="Times New Roman" w:cstheme="majorBidi"/>
          <w:color w:val="222222"/>
          <w:kern w:val="0"/>
          <w:rtl/>
          <w14:ligatures w14:val="none"/>
        </w:rPr>
        <w:t> </w:t>
      </w:r>
      <w:r w:rsidR="00B32FA6">
        <w:rPr>
          <w:rFonts w:eastAsia="Times New Roman" w:cstheme="majorBidi" w:hint="cs"/>
          <w:color w:val="222222"/>
          <w:kern w:val="0"/>
          <w:rtl/>
          <w14:ligatures w14:val="none"/>
        </w:rPr>
        <w:t xml:space="preserve"> </w:t>
      </w:r>
      <w:r w:rsidR="000A40FE" w:rsidRPr="002522ED">
        <w:rPr>
          <w:rFonts w:eastAsia="Times New Roman" w:cstheme="majorBidi"/>
          <w:color w:val="222222"/>
          <w:kern w:val="0"/>
          <w:rtl/>
          <w14:ligatures w14:val="none"/>
        </w:rPr>
        <w:t>&amp; </w:t>
      </w:r>
      <w:r w:rsidR="000A40FE" w:rsidRPr="002522ED">
        <w:rPr>
          <w:rFonts w:eastAsia="Times New Roman" w:cstheme="majorBidi"/>
          <w:color w:val="0000EE"/>
          <w:kern w:val="0"/>
          <w14:ligatures w14:val="none"/>
        </w:rPr>
        <w:t>Dheeraj Aravind</w:t>
      </w:r>
      <w:r w:rsidR="00B32FA6">
        <w:rPr>
          <w:rFonts w:eastAsia="Times New Roman" w:cstheme="majorBidi" w:hint="cs"/>
          <w:color w:val="222222"/>
          <w:kern w:val="0"/>
          <w:rtl/>
          <w14:ligatures w14:val="none"/>
        </w:rPr>
        <w:t xml:space="preserve">  </w:t>
      </w:r>
      <w:r w:rsidRPr="002522ED">
        <w:rPr>
          <w:rFonts w:eastAsia="Times New Roman" w:cstheme="majorBidi"/>
          <w:color w:val="222222"/>
          <w:kern w:val="0"/>
          <w:rtl/>
          <w14:ligatures w14:val="none"/>
        </w:rPr>
        <w:t>).</w:t>
      </w:r>
    </w:p>
    <w:p w14:paraId="612F625D" w14:textId="2B00DFB6" w:rsidR="009C7A77" w:rsidRPr="002522ED" w:rsidRDefault="009C7A77" w:rsidP="00962812">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14:ligatures w14:val="none"/>
        </w:rPr>
        <w:br/>
      </w:r>
      <w:r w:rsidR="00120D5E" w:rsidRPr="002522ED">
        <w:rPr>
          <w:rFonts w:eastAsia="Times New Roman" w:cstheme="majorBidi"/>
          <w:color w:val="222222"/>
          <w:kern w:val="0"/>
          <w:rtl/>
          <w14:ligatures w14:val="none"/>
        </w:rPr>
        <w:t>3- يُعرف الابتكار الإداري (</w:t>
      </w:r>
      <w:r w:rsidR="00120D5E" w:rsidRPr="002522ED">
        <w:rPr>
          <w:rFonts w:eastAsia="Times New Roman" w:cstheme="majorBidi"/>
          <w:color w:val="222222"/>
          <w:kern w:val="0"/>
          <w14:ligatures w14:val="none"/>
        </w:rPr>
        <w:t>Administrative Innovation</w:t>
      </w:r>
      <w:r w:rsidR="00120D5E" w:rsidRPr="002522ED">
        <w:rPr>
          <w:rFonts w:eastAsia="Times New Roman" w:cstheme="majorBidi"/>
          <w:color w:val="222222"/>
          <w:kern w:val="0"/>
          <w:rtl/>
          <w14:ligatures w14:val="none"/>
        </w:rPr>
        <w:t>) بأنه تحول جوهري عن المبادئ والعمليات والممارسات الإدارية التقليدية، بما يؤدي إلى تغيير ملحوظ في طريقة أداء العمل الإداري داخل المنظمة (2006</w:t>
      </w:r>
      <w:r w:rsidR="00EF1C75">
        <w:rPr>
          <w:rFonts w:eastAsia="Times New Roman" w:cstheme="majorBidi" w:hint="cs"/>
          <w:color w:val="222222"/>
          <w:kern w:val="0"/>
          <w:rtl/>
          <w14:ligatures w14:val="none"/>
        </w:rPr>
        <w:t>,</w:t>
      </w:r>
      <w:r w:rsidR="00A84C62" w:rsidRPr="00A84C62">
        <w:rPr>
          <w:rFonts w:eastAsia="Times New Roman" w:cstheme="majorBidi"/>
          <w:color w:val="0000EE"/>
          <w:kern w:val="0"/>
          <w14:ligatures w14:val="none"/>
        </w:rPr>
        <w:t xml:space="preserve"> </w:t>
      </w:r>
      <w:r w:rsidR="00A84C62" w:rsidRPr="002522ED">
        <w:rPr>
          <w:rFonts w:eastAsia="Times New Roman" w:cstheme="majorBidi"/>
          <w:color w:val="0000EE"/>
          <w:kern w:val="0"/>
          <w14:ligatures w14:val="none"/>
        </w:rPr>
        <w:t>Gary Hamel</w:t>
      </w:r>
      <w:r w:rsidR="00120D5E" w:rsidRPr="002522ED">
        <w:rPr>
          <w:rFonts w:eastAsia="Times New Roman" w:cstheme="majorBidi"/>
          <w:color w:val="222222"/>
          <w:kern w:val="0"/>
          <w:rtl/>
          <w14:ligatures w14:val="none"/>
        </w:rPr>
        <w:t>).</w:t>
      </w:r>
    </w:p>
    <w:p w14:paraId="69A17243" w14:textId="00759ED4" w:rsidR="009C7A77" w:rsidRPr="002522ED" w:rsidRDefault="009C7A77"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b/>
          <w:bCs/>
          <w:color w:val="222222"/>
          <w:kern w:val="0"/>
          <w:rtl/>
          <w14:ligatures w14:val="none"/>
        </w:rPr>
        <w:t>2/ الابتكار التنظيمي (</w:t>
      </w:r>
      <w:r w:rsidRPr="002522ED">
        <w:rPr>
          <w:rFonts w:eastAsia="Times New Roman" w:cstheme="majorBidi"/>
          <w:b/>
          <w:bCs/>
          <w:color w:val="222222"/>
          <w:kern w:val="0"/>
          <w14:ligatures w14:val="none"/>
        </w:rPr>
        <w:t>Organizational Innovation</w:t>
      </w:r>
      <w:r w:rsidRPr="002522ED">
        <w:rPr>
          <w:rFonts w:eastAsia="Times New Roman" w:cstheme="majorBidi"/>
          <w:b/>
          <w:bCs/>
          <w:color w:val="222222"/>
          <w:kern w:val="0"/>
          <w:rtl/>
          <w14:ligatures w14:val="none"/>
        </w:rPr>
        <w:t>)</w:t>
      </w:r>
    </w:p>
    <w:p w14:paraId="0B3D4EFF" w14:textId="7C623036" w:rsidR="009C7A77" w:rsidRPr="002522ED" w:rsidRDefault="009C7A77" w:rsidP="00497CF9">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يُعرف الابتكار التنظيمي (</w:t>
      </w:r>
      <w:r w:rsidRPr="002522ED">
        <w:rPr>
          <w:rFonts w:eastAsia="Times New Roman" w:cstheme="majorBidi"/>
          <w:color w:val="222222"/>
          <w:kern w:val="0"/>
          <w14:ligatures w14:val="none"/>
        </w:rPr>
        <w:t>Organizational Innovation</w:t>
      </w:r>
      <w:r w:rsidRPr="002522ED">
        <w:rPr>
          <w:rFonts w:eastAsia="Times New Roman" w:cstheme="majorBidi"/>
          <w:color w:val="222222"/>
          <w:kern w:val="0"/>
          <w:rtl/>
          <w14:ligatures w14:val="none"/>
        </w:rPr>
        <w:t>) بأنه تطبيق أسلوب تنظيمي جديد في ممارسات الأعمال داخل المنظمة، أو في تنظيم بيئة العمل، أو في إدارة العلاقات الخارجية، بما يسهم في تحسين الأداء وتعزيز كفاءة العمليات التنظيمية (</w:t>
      </w:r>
      <w:r w:rsidRPr="002522ED">
        <w:rPr>
          <w:rFonts w:eastAsia="Times New Roman" w:cstheme="majorBidi"/>
          <w:color w:val="222222"/>
          <w:kern w:val="0"/>
          <w14:ligatures w14:val="none"/>
        </w:rPr>
        <w:t>OECD/Eurostat, 2018</w:t>
      </w:r>
      <w:r w:rsidRPr="002522ED">
        <w:rPr>
          <w:rFonts w:eastAsia="Times New Roman" w:cstheme="majorBidi"/>
          <w:color w:val="222222"/>
          <w:kern w:val="0"/>
          <w:rtl/>
          <w14:ligatures w14:val="none"/>
        </w:rPr>
        <w:t>).</w:t>
      </w:r>
    </w:p>
    <w:p w14:paraId="4188C598" w14:textId="0C431627" w:rsidR="009C7A77" w:rsidRPr="002522ED" w:rsidRDefault="00120D5E"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b/>
          <w:bCs/>
          <w:color w:val="222222"/>
          <w:kern w:val="0"/>
          <w:rtl/>
          <w14:ligatures w14:val="none"/>
        </w:rPr>
        <w:t>3/</w:t>
      </w:r>
      <w:r w:rsidR="009C7A77" w:rsidRPr="002522ED">
        <w:rPr>
          <w:rFonts w:eastAsia="Times New Roman" w:cstheme="majorBidi"/>
          <w:b/>
          <w:bCs/>
          <w:color w:val="222222"/>
          <w:kern w:val="0"/>
          <w:rtl/>
          <w14:ligatures w14:val="none"/>
        </w:rPr>
        <w:t> التعلم التوليدي (</w:t>
      </w:r>
      <w:r w:rsidR="009C7A77" w:rsidRPr="002522ED">
        <w:rPr>
          <w:rFonts w:eastAsia="Times New Roman" w:cstheme="majorBidi"/>
          <w:b/>
          <w:bCs/>
          <w:color w:val="222222"/>
          <w:kern w:val="0"/>
          <w14:ligatures w14:val="none"/>
        </w:rPr>
        <w:t>Generative Learning</w:t>
      </w:r>
      <w:r w:rsidR="009C7A77" w:rsidRPr="002522ED">
        <w:rPr>
          <w:rFonts w:eastAsia="Times New Roman" w:cstheme="majorBidi"/>
          <w:b/>
          <w:bCs/>
          <w:color w:val="222222"/>
          <w:kern w:val="0"/>
          <w:rtl/>
          <w14:ligatures w14:val="none"/>
        </w:rPr>
        <w:t>)</w:t>
      </w:r>
    </w:p>
    <w:p w14:paraId="2D9E38F3" w14:textId="0FA0E45D" w:rsidR="009C7A77" w:rsidRPr="002522ED" w:rsidRDefault="009C7A77" w:rsidP="00497CF9">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يُعرف التعلم التوليدي (</w:t>
      </w:r>
      <w:r w:rsidRPr="002522ED">
        <w:rPr>
          <w:rFonts w:eastAsia="Times New Roman" w:cstheme="majorBidi"/>
          <w:color w:val="222222"/>
          <w:kern w:val="0"/>
          <w14:ligatures w14:val="none"/>
        </w:rPr>
        <w:t>Generative Learning</w:t>
      </w:r>
      <w:r w:rsidRPr="002522ED">
        <w:rPr>
          <w:rFonts w:eastAsia="Times New Roman" w:cstheme="majorBidi"/>
          <w:color w:val="222222"/>
          <w:kern w:val="0"/>
          <w:rtl/>
          <w14:ligatures w14:val="none"/>
        </w:rPr>
        <w:t>) بأنه قدرة المنظمة على الإبداع وابتكار واقع جديد من خلال التعلم العميق، بما يتجاوز مجرد التكيف مع التغيرات إلى خلق فرص جديدة (</w:t>
      </w:r>
      <w:r w:rsidRPr="002522ED">
        <w:rPr>
          <w:rFonts w:eastAsia="Times New Roman" w:cstheme="majorBidi"/>
          <w:color w:val="222222"/>
          <w:kern w:val="0"/>
          <w14:ligatures w14:val="none"/>
        </w:rPr>
        <w:t>Senge, 1990</w:t>
      </w:r>
      <w:r w:rsidRPr="002522ED">
        <w:rPr>
          <w:rFonts w:eastAsia="Times New Roman" w:cstheme="majorBidi"/>
          <w:color w:val="222222"/>
          <w:kern w:val="0"/>
          <w:rtl/>
          <w14:ligatures w14:val="none"/>
        </w:rPr>
        <w:t>).</w:t>
      </w:r>
    </w:p>
    <w:p w14:paraId="25B3DB7A" w14:textId="65070422" w:rsidR="009C7A77" w:rsidRPr="002522ED" w:rsidRDefault="009C7A77"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b/>
          <w:bCs/>
          <w:color w:val="222222"/>
          <w:kern w:val="0"/>
          <w:rtl/>
          <w14:ligatures w14:val="none"/>
        </w:rPr>
        <w:t> </w:t>
      </w:r>
      <w:r w:rsidR="00120D5E" w:rsidRPr="002522ED">
        <w:rPr>
          <w:rFonts w:eastAsia="Times New Roman" w:cstheme="majorBidi"/>
          <w:b/>
          <w:bCs/>
          <w:color w:val="222222"/>
          <w:kern w:val="0"/>
          <w:rtl/>
          <w14:ligatures w14:val="none"/>
        </w:rPr>
        <w:t xml:space="preserve">4/ </w:t>
      </w:r>
      <w:r w:rsidRPr="002522ED">
        <w:rPr>
          <w:rFonts w:eastAsia="Times New Roman" w:cstheme="majorBidi"/>
          <w:b/>
          <w:bCs/>
          <w:color w:val="222222"/>
          <w:kern w:val="0"/>
          <w:rtl/>
          <w14:ligatures w14:val="none"/>
        </w:rPr>
        <w:t>القدرات الديناميكية (</w:t>
      </w:r>
      <w:r w:rsidRPr="002522ED">
        <w:rPr>
          <w:rFonts w:eastAsia="Times New Roman" w:cstheme="majorBidi"/>
          <w:b/>
          <w:bCs/>
          <w:color w:val="222222"/>
          <w:kern w:val="0"/>
          <w14:ligatures w14:val="none"/>
        </w:rPr>
        <w:t>Dynamic Capabilities</w:t>
      </w:r>
      <w:r w:rsidRPr="002522ED">
        <w:rPr>
          <w:rFonts w:eastAsia="Times New Roman" w:cstheme="majorBidi"/>
          <w:b/>
          <w:bCs/>
          <w:color w:val="222222"/>
          <w:kern w:val="0"/>
          <w:rtl/>
          <w14:ligatures w14:val="none"/>
        </w:rPr>
        <w:t>)</w:t>
      </w:r>
    </w:p>
    <w:p w14:paraId="7FF7A4A5" w14:textId="77777777" w:rsidR="009C7A77" w:rsidRPr="002522ED" w:rsidRDefault="009C7A77"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تُعرف القدرات الديناميكية (</w:t>
      </w:r>
      <w:r w:rsidRPr="002522ED">
        <w:rPr>
          <w:rFonts w:eastAsia="Times New Roman" w:cstheme="majorBidi"/>
          <w:color w:val="222222"/>
          <w:kern w:val="0"/>
          <w14:ligatures w14:val="none"/>
        </w:rPr>
        <w:t>Dynamic Capabilities</w:t>
      </w:r>
      <w:r w:rsidRPr="002522ED">
        <w:rPr>
          <w:rFonts w:eastAsia="Times New Roman" w:cstheme="majorBidi"/>
          <w:color w:val="222222"/>
          <w:kern w:val="0"/>
          <w:rtl/>
          <w14:ligatures w14:val="none"/>
        </w:rPr>
        <w:t>) بأنها قدرة المنظمة على دمج وبناء وإعادة تشكيل مواردها وكفاءاتها الداخلية والخارجية، بما يمكنها من الاستجابة الفعالة للتغيرات السريعة في البيئة (</w:t>
      </w:r>
      <w:r w:rsidRPr="002522ED">
        <w:rPr>
          <w:rFonts w:eastAsia="Times New Roman" w:cstheme="majorBidi"/>
          <w:color w:val="222222"/>
          <w:kern w:val="0"/>
          <w14:ligatures w14:val="none"/>
        </w:rPr>
        <w:t>Teece, 2007</w:t>
      </w:r>
      <w:r w:rsidRPr="002522ED">
        <w:rPr>
          <w:rFonts w:eastAsia="Times New Roman" w:cstheme="majorBidi"/>
          <w:color w:val="222222"/>
          <w:kern w:val="0"/>
          <w:rtl/>
          <w14:ligatures w14:val="none"/>
        </w:rPr>
        <w:t>).</w:t>
      </w:r>
    </w:p>
    <w:p w14:paraId="6ECD5B70" w14:textId="77777777" w:rsidR="009C7A77" w:rsidRPr="002522ED" w:rsidRDefault="009C7A77" w:rsidP="005651E0">
      <w:pPr>
        <w:shd w:val="clear" w:color="auto" w:fill="FFFFFF"/>
        <w:bidi/>
        <w:spacing w:after="180"/>
        <w:jc w:val="both"/>
        <w:rPr>
          <w:rFonts w:eastAsia="Times New Roman" w:cstheme="majorBidi"/>
          <w:color w:val="222222"/>
          <w:kern w:val="0"/>
          <w:rtl/>
          <w14:ligatures w14:val="none"/>
        </w:rPr>
      </w:pPr>
    </w:p>
    <w:p w14:paraId="3F99D185" w14:textId="1568188D" w:rsidR="009C7A77" w:rsidRPr="002522ED" w:rsidRDefault="00120D5E"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b/>
          <w:bCs/>
          <w:noProof/>
          <w:color w:val="222222"/>
          <w:kern w:val="0"/>
          <w:rtl/>
          <w14:ligatures w14:val="none"/>
        </w:rPr>
        <w:t>5/</w:t>
      </w:r>
      <w:r w:rsidR="009C7A77" w:rsidRPr="002522ED">
        <w:rPr>
          <w:rFonts w:eastAsia="Times New Roman" w:cstheme="majorBidi"/>
          <w:b/>
          <w:bCs/>
          <w:color w:val="222222"/>
          <w:kern w:val="0"/>
          <w:rtl/>
          <w14:ligatures w14:val="none"/>
        </w:rPr>
        <w:t> القدرة الاستيعابية (</w:t>
      </w:r>
      <w:r w:rsidR="009C7A77" w:rsidRPr="002522ED">
        <w:rPr>
          <w:rFonts w:eastAsia="Times New Roman" w:cstheme="majorBidi"/>
          <w:b/>
          <w:bCs/>
          <w:color w:val="222222"/>
          <w:kern w:val="0"/>
          <w14:ligatures w14:val="none"/>
        </w:rPr>
        <w:t>Absorptive Capacity</w:t>
      </w:r>
      <w:r w:rsidR="009C7A77" w:rsidRPr="002522ED">
        <w:rPr>
          <w:rFonts w:eastAsia="Times New Roman" w:cstheme="majorBidi"/>
          <w:b/>
          <w:bCs/>
          <w:color w:val="222222"/>
          <w:kern w:val="0"/>
          <w:rtl/>
          <w14:ligatures w14:val="none"/>
        </w:rPr>
        <w:t>)</w:t>
      </w:r>
    </w:p>
    <w:p w14:paraId="7B9AB56C" w14:textId="5304E348" w:rsidR="009C7A77" w:rsidRPr="002522ED" w:rsidRDefault="009C7A77" w:rsidP="00497CF9">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تُعرف القدرة الاستيعابية (</w:t>
      </w:r>
      <w:r w:rsidRPr="002522ED">
        <w:rPr>
          <w:rFonts w:eastAsia="Times New Roman" w:cstheme="majorBidi"/>
          <w:color w:val="222222"/>
          <w:kern w:val="0"/>
          <w14:ligatures w14:val="none"/>
        </w:rPr>
        <w:t>Absorptive Capacity</w:t>
      </w:r>
      <w:r w:rsidRPr="002522ED">
        <w:rPr>
          <w:rFonts w:eastAsia="Times New Roman" w:cstheme="majorBidi"/>
          <w:color w:val="222222"/>
          <w:kern w:val="0"/>
          <w:rtl/>
          <w14:ligatures w14:val="none"/>
        </w:rPr>
        <w:t>) بأنها قدرة المنظمة على التعرف على قيمة المعرفة الخارجية الجديدة، واستيعابها، وتطبيقها بما يحقق منفعة تجارية أو تنظيمية (</w:t>
      </w:r>
      <w:r w:rsidRPr="002522ED">
        <w:rPr>
          <w:rFonts w:eastAsia="Times New Roman" w:cstheme="majorBidi"/>
          <w:color w:val="222222"/>
          <w:kern w:val="0"/>
          <w14:ligatures w14:val="none"/>
        </w:rPr>
        <w:t>Levinthal, 1990</w:t>
      </w:r>
      <w:r w:rsidR="00321DB4">
        <w:rPr>
          <w:rFonts w:eastAsia="Times New Roman" w:cstheme="majorBidi" w:hint="cs"/>
          <w:color w:val="222222"/>
          <w:kern w:val="0"/>
          <w:rtl/>
          <w14:ligatures w14:val="none"/>
        </w:rPr>
        <w:t xml:space="preserve">  </w:t>
      </w:r>
      <w:r w:rsidR="00321DB4" w:rsidRPr="002522ED">
        <w:rPr>
          <w:rFonts w:eastAsia="Times New Roman" w:cstheme="majorBidi"/>
          <w:color w:val="222222"/>
          <w:kern w:val="0"/>
          <w:rtl/>
          <w14:ligatures w14:val="none"/>
        </w:rPr>
        <w:t>&amp;</w:t>
      </w:r>
      <w:r w:rsidR="00321DB4">
        <w:rPr>
          <w:rFonts w:eastAsia="Times New Roman" w:cstheme="majorBidi" w:hint="cs"/>
          <w:color w:val="222222"/>
          <w:kern w:val="0"/>
          <w:rtl/>
          <w14:ligatures w14:val="none"/>
        </w:rPr>
        <w:t xml:space="preserve"> </w:t>
      </w:r>
      <w:r w:rsidR="00050FEE" w:rsidRPr="002522ED">
        <w:rPr>
          <w:rFonts w:eastAsia="Times New Roman" w:cstheme="majorBidi"/>
          <w:color w:val="222222"/>
          <w:kern w:val="0"/>
          <w14:ligatures w14:val="none"/>
        </w:rPr>
        <w:t>Cohen</w:t>
      </w:r>
      <w:r w:rsidR="00050FEE">
        <w:rPr>
          <w:rFonts w:eastAsia="Times New Roman" w:cstheme="majorBidi" w:hint="cs"/>
          <w:color w:val="222222"/>
          <w:kern w:val="0"/>
          <w:rtl/>
          <w14:ligatures w14:val="none"/>
        </w:rPr>
        <w:t xml:space="preserve">  </w:t>
      </w:r>
      <w:r w:rsidRPr="002522ED">
        <w:rPr>
          <w:rFonts w:eastAsia="Times New Roman" w:cstheme="majorBidi"/>
          <w:color w:val="222222"/>
          <w:kern w:val="0"/>
          <w:rtl/>
          <w14:ligatures w14:val="none"/>
        </w:rPr>
        <w:t>)</w:t>
      </w:r>
    </w:p>
    <w:p w14:paraId="604CF45B" w14:textId="7BDD515E" w:rsidR="009C7A77" w:rsidRPr="004B6E5C" w:rsidRDefault="00120D5E" w:rsidP="005651E0">
      <w:pPr>
        <w:shd w:val="clear" w:color="auto" w:fill="FFFFFF"/>
        <w:bidi/>
        <w:spacing w:after="224"/>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6/ القدرات التوليدية (</w:t>
      </w:r>
      <w:r w:rsidRPr="004B6E5C">
        <w:rPr>
          <w:rFonts w:eastAsia="Times New Roman" w:cstheme="majorBidi"/>
          <w:b/>
          <w:bCs/>
          <w:color w:val="222222"/>
          <w:kern w:val="0"/>
          <w14:ligatures w14:val="none"/>
        </w:rPr>
        <w:t>Generative Capabilities</w:t>
      </w:r>
      <w:r w:rsidRPr="004B6E5C">
        <w:rPr>
          <w:rFonts w:eastAsia="Times New Roman" w:cstheme="majorBidi"/>
          <w:b/>
          <w:bCs/>
          <w:color w:val="222222"/>
          <w:kern w:val="0"/>
          <w:rtl/>
          <w14:ligatures w14:val="none"/>
        </w:rPr>
        <w:t>)</w:t>
      </w:r>
    </w:p>
    <w:p w14:paraId="03473F66" w14:textId="77777777" w:rsidR="009C7A77" w:rsidRPr="002522ED" w:rsidRDefault="009C7A77" w:rsidP="005651E0">
      <w:pPr>
        <w:shd w:val="clear" w:color="auto" w:fill="FFFFFF"/>
        <w:bidi/>
        <w:spacing w:after="0"/>
        <w:ind w:right="225"/>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تُعرف القدرات التوليدية (</w:t>
      </w:r>
      <w:r w:rsidRPr="002522ED">
        <w:rPr>
          <w:rFonts w:eastAsia="Times New Roman" w:cstheme="majorBidi"/>
          <w:color w:val="222222"/>
          <w:kern w:val="0"/>
          <w14:ligatures w14:val="none"/>
        </w:rPr>
        <w:t>Generative Capabilities</w:t>
      </w:r>
      <w:r w:rsidRPr="002522ED">
        <w:rPr>
          <w:rFonts w:eastAsia="Times New Roman" w:cstheme="majorBidi"/>
          <w:color w:val="222222"/>
          <w:kern w:val="0"/>
          <w:rtl/>
          <w14:ligatures w14:val="none"/>
        </w:rPr>
        <w:t>) بأنها مجموعة من القدرات التنظيمية الديناميكية التي تمكّن المنظمة من إنتاج وتوليد أفكار ومعارف جديدة بشكل مستمر، وإعادة توظيف مواردها وخبراتها بما يعزز الابتكار المستدام ويدعم قدرتها على الاستجابة الفعالة للتغيرات البيئية وتحقيق ميزة تنافسية (</w:t>
      </w:r>
      <w:r w:rsidRPr="002522ED">
        <w:rPr>
          <w:rFonts w:eastAsia="Times New Roman" w:cstheme="majorBidi"/>
          <w:color w:val="222222"/>
          <w:kern w:val="0"/>
          <w14:ligatures w14:val="none"/>
        </w:rPr>
        <w:t>Guo et al., 2022</w:t>
      </w:r>
      <w:r w:rsidRPr="002522ED">
        <w:rPr>
          <w:rFonts w:eastAsia="Times New Roman" w:cstheme="majorBidi"/>
          <w:color w:val="222222"/>
          <w:kern w:val="0"/>
          <w:rtl/>
          <w14:ligatures w14:val="none"/>
        </w:rPr>
        <w:t>).</w:t>
      </w:r>
    </w:p>
    <w:p w14:paraId="3DB7AD4A" w14:textId="2A504C58" w:rsidR="009C7A77" w:rsidRPr="002522ED" w:rsidRDefault="009C7A77" w:rsidP="005651E0">
      <w:pPr>
        <w:shd w:val="clear" w:color="auto" w:fill="FFFFFF"/>
        <w:bidi/>
        <w:spacing w:after="0"/>
        <w:jc w:val="both"/>
        <w:rPr>
          <w:rFonts w:eastAsia="Times New Roman" w:cstheme="majorBidi"/>
          <w:color w:val="222222"/>
          <w:kern w:val="0"/>
          <w:rtl/>
          <w14:ligatures w14:val="none"/>
        </w:rPr>
      </w:pPr>
    </w:p>
    <w:p w14:paraId="503CE61C" w14:textId="5E62EB58" w:rsidR="00120D5E" w:rsidRPr="004B6E5C" w:rsidRDefault="00120D5E" w:rsidP="005651E0">
      <w:pPr>
        <w:shd w:val="clear" w:color="auto" w:fill="FFFFFF"/>
        <w:bidi/>
        <w:spacing w:after="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7/</w:t>
      </w:r>
      <w:r w:rsidR="00782092" w:rsidRPr="004B6E5C">
        <w:rPr>
          <w:rFonts w:eastAsia="Times New Roman" w:cstheme="majorBidi" w:hint="cs"/>
          <w:b/>
          <w:bCs/>
          <w:color w:val="222222"/>
          <w:kern w:val="0"/>
          <w:rtl/>
          <w14:ligatures w14:val="none"/>
        </w:rPr>
        <w:t xml:space="preserve"> </w:t>
      </w:r>
      <w:r w:rsidRPr="004B6E5C">
        <w:rPr>
          <w:rFonts w:eastAsia="Times New Roman" w:cstheme="majorBidi"/>
          <w:b/>
          <w:bCs/>
          <w:color w:val="222222"/>
          <w:kern w:val="0"/>
          <w:rtl/>
          <w14:ligatures w14:val="none"/>
        </w:rPr>
        <w:t>خلق المعرفة التنظيمية  (</w:t>
      </w:r>
      <w:r w:rsidRPr="004B6E5C">
        <w:rPr>
          <w:rFonts w:eastAsia="Times New Roman" w:cstheme="majorBidi"/>
          <w:b/>
          <w:bCs/>
          <w:color w:val="222222"/>
          <w:kern w:val="0"/>
          <w14:ligatures w14:val="none"/>
        </w:rPr>
        <w:t>Organizational Knowledge Creation</w:t>
      </w:r>
      <w:r w:rsidRPr="004B6E5C">
        <w:rPr>
          <w:rFonts w:eastAsia="Times New Roman" w:cstheme="majorBidi"/>
          <w:b/>
          <w:bCs/>
          <w:color w:val="222222"/>
          <w:kern w:val="0"/>
          <w:rtl/>
          <w14:ligatures w14:val="none"/>
        </w:rPr>
        <w:t>)</w:t>
      </w:r>
    </w:p>
    <w:p w14:paraId="3F7326BF" w14:textId="77777777" w:rsidR="00120D5E" w:rsidRPr="002522ED" w:rsidRDefault="00120D5E" w:rsidP="005651E0">
      <w:pPr>
        <w:shd w:val="clear" w:color="auto" w:fill="FFFFFF"/>
        <w:bidi/>
        <w:spacing w:after="0"/>
        <w:jc w:val="both"/>
        <w:rPr>
          <w:rFonts w:eastAsia="Times New Roman" w:cstheme="majorBidi"/>
          <w:color w:val="222222"/>
          <w:kern w:val="0"/>
          <w:rtl/>
          <w14:ligatures w14:val="none"/>
        </w:rPr>
      </w:pPr>
    </w:p>
    <w:p w14:paraId="4A7FCBD2" w14:textId="78279A8B" w:rsidR="009C7A77" w:rsidRPr="002522ED" w:rsidRDefault="009C7A77" w:rsidP="005651E0">
      <w:pPr>
        <w:shd w:val="clear" w:color="auto" w:fill="FFFFFF"/>
        <w:bidi/>
        <w:spacing w:after="0"/>
        <w:ind w:right="225"/>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يُشير خلق المعرفة التنظيمية (</w:t>
      </w:r>
      <w:r w:rsidRPr="002522ED">
        <w:rPr>
          <w:rFonts w:eastAsia="Times New Roman" w:cstheme="majorBidi"/>
          <w:color w:val="222222"/>
          <w:kern w:val="0"/>
          <w14:ligatures w14:val="none"/>
        </w:rPr>
        <w:t>Organizational Knowledge Creation</w:t>
      </w:r>
      <w:r w:rsidRPr="002522ED">
        <w:rPr>
          <w:rFonts w:eastAsia="Times New Roman" w:cstheme="majorBidi"/>
          <w:color w:val="222222"/>
          <w:kern w:val="0"/>
          <w:rtl/>
          <w14:ligatures w14:val="none"/>
        </w:rPr>
        <w:t>) إلى قدرة المنظمة على توليد المعرفة الجديدة بشكل مستمر، ونشرها عبر مختلف مستوياتها التنظيمية، وتحويلها إلى تطبيقات عملية تسهم في تطوير المنتجات والخدمات وتعزيز الابتكار المستدام (</w:t>
      </w:r>
      <w:r w:rsidRPr="002522ED">
        <w:rPr>
          <w:rFonts w:eastAsia="Times New Roman" w:cstheme="majorBidi"/>
          <w:color w:val="222222"/>
          <w:kern w:val="0"/>
          <w14:ligatures w14:val="none"/>
        </w:rPr>
        <w:t>Takeuchi, 1995</w:t>
      </w:r>
      <w:r w:rsidR="00BF0CEA">
        <w:rPr>
          <w:rFonts w:eastAsia="Times New Roman" w:cstheme="majorBidi" w:hint="cs"/>
          <w:color w:val="222222"/>
          <w:kern w:val="0"/>
          <w:rtl/>
          <w14:ligatures w14:val="none"/>
        </w:rPr>
        <w:t xml:space="preserve"> </w:t>
      </w:r>
      <w:r w:rsidR="00BF0CEA" w:rsidRPr="002522ED">
        <w:rPr>
          <w:rFonts w:eastAsia="Times New Roman" w:cstheme="majorBidi"/>
          <w:color w:val="222222"/>
          <w:kern w:val="0"/>
          <w:rtl/>
          <w14:ligatures w14:val="none"/>
        </w:rPr>
        <w:t>&amp;</w:t>
      </w:r>
      <w:r w:rsidR="00F66AEA" w:rsidRPr="00F66AEA">
        <w:rPr>
          <w:rFonts w:eastAsia="Times New Roman" w:cstheme="majorBidi"/>
          <w:color w:val="222222"/>
          <w:kern w:val="0"/>
          <w14:ligatures w14:val="none"/>
        </w:rPr>
        <w:t xml:space="preserve"> </w:t>
      </w:r>
      <w:r w:rsidR="00F66AEA" w:rsidRPr="002522ED">
        <w:rPr>
          <w:rFonts w:eastAsia="Times New Roman" w:cstheme="majorBidi"/>
          <w:color w:val="222222"/>
          <w:kern w:val="0"/>
          <w14:ligatures w14:val="none"/>
        </w:rPr>
        <w:t>Nonaka</w:t>
      </w:r>
      <w:r w:rsidRPr="002522ED">
        <w:rPr>
          <w:rFonts w:eastAsia="Times New Roman" w:cstheme="majorBidi"/>
          <w:color w:val="222222"/>
          <w:kern w:val="0"/>
          <w:rtl/>
          <w14:ligatures w14:val="none"/>
        </w:rPr>
        <w:t>).</w:t>
      </w:r>
    </w:p>
    <w:p w14:paraId="59D21911" w14:textId="77777777" w:rsidR="009C7A77" w:rsidRPr="002522ED" w:rsidRDefault="009C7A77" w:rsidP="005651E0">
      <w:pPr>
        <w:shd w:val="clear" w:color="auto" w:fill="FFFFFF"/>
        <w:bidi/>
        <w:spacing w:after="180"/>
        <w:jc w:val="both"/>
        <w:rPr>
          <w:rFonts w:eastAsia="Times New Roman" w:cstheme="majorBidi"/>
          <w:color w:val="222222"/>
          <w:kern w:val="0"/>
          <w:rtl/>
          <w14:ligatures w14:val="none"/>
        </w:rPr>
      </w:pPr>
    </w:p>
    <w:p w14:paraId="4618DD1F" w14:textId="06F6AB26" w:rsidR="009C7A77" w:rsidRPr="002522ED" w:rsidRDefault="00120D5E"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b/>
          <w:bCs/>
          <w:color w:val="222222"/>
          <w:kern w:val="0"/>
          <w:rtl/>
          <w14:ligatures w14:val="none"/>
        </w:rPr>
        <w:t xml:space="preserve">8/ </w:t>
      </w:r>
      <w:r w:rsidR="009C7A77" w:rsidRPr="002522ED">
        <w:rPr>
          <w:rFonts w:eastAsia="Times New Roman" w:cstheme="majorBidi"/>
          <w:b/>
          <w:bCs/>
          <w:color w:val="222222"/>
          <w:kern w:val="0"/>
          <w:rtl/>
          <w14:ligatures w14:val="none"/>
        </w:rPr>
        <w:t>الاستشراف الاستراتيجي (</w:t>
      </w:r>
      <w:r w:rsidR="009C7A77" w:rsidRPr="002522ED">
        <w:rPr>
          <w:rFonts w:eastAsia="Times New Roman" w:cstheme="majorBidi"/>
          <w:b/>
          <w:bCs/>
          <w:color w:val="222222"/>
          <w:kern w:val="0"/>
          <w14:ligatures w14:val="none"/>
        </w:rPr>
        <w:t>Strategic Foresight</w:t>
      </w:r>
      <w:r w:rsidR="009C7A77" w:rsidRPr="002522ED">
        <w:rPr>
          <w:rFonts w:eastAsia="Times New Roman" w:cstheme="majorBidi"/>
          <w:b/>
          <w:bCs/>
          <w:color w:val="222222"/>
          <w:kern w:val="0"/>
          <w:rtl/>
          <w14:ligatures w14:val="none"/>
        </w:rPr>
        <w:t>)</w:t>
      </w:r>
    </w:p>
    <w:p w14:paraId="4899D0D6" w14:textId="20062465" w:rsidR="009607CA" w:rsidRPr="002522ED" w:rsidRDefault="009607CA" w:rsidP="00F45154">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 xml:space="preserve">1- </w:t>
      </w:r>
      <w:r w:rsidR="009C7A77" w:rsidRPr="002522ED">
        <w:rPr>
          <w:rFonts w:eastAsia="Times New Roman" w:cstheme="majorBidi"/>
          <w:color w:val="222222"/>
          <w:kern w:val="0"/>
          <w:rtl/>
          <w14:ligatures w14:val="none"/>
        </w:rPr>
        <w:t>يُعرف الاستشراف الاستراتيجي (</w:t>
      </w:r>
      <w:r w:rsidR="009C7A77" w:rsidRPr="002522ED">
        <w:rPr>
          <w:rFonts w:eastAsia="Times New Roman" w:cstheme="majorBidi"/>
          <w:color w:val="222222"/>
          <w:kern w:val="0"/>
          <w14:ligatures w14:val="none"/>
        </w:rPr>
        <w:t>Strategic Foresight</w:t>
      </w:r>
      <w:r w:rsidR="009C7A77" w:rsidRPr="002522ED">
        <w:rPr>
          <w:rFonts w:eastAsia="Times New Roman" w:cstheme="majorBidi"/>
          <w:color w:val="222222"/>
          <w:kern w:val="0"/>
          <w:rtl/>
          <w14:ligatures w14:val="none"/>
        </w:rPr>
        <w:t>) بأنه قدرة تنظيمية تشمل تحديد ومراقبة وتفسير العوامل المحفزة للتغيير، وتحليل آثارها المحتملة على المنظمة، بما يدعم اتخاذ استجابات تنظيمية مناسبة (</w:t>
      </w:r>
      <w:r w:rsidR="009C7A77" w:rsidRPr="002522ED">
        <w:rPr>
          <w:rFonts w:eastAsia="Times New Roman" w:cstheme="majorBidi"/>
          <w:color w:val="222222"/>
          <w:kern w:val="0"/>
          <w14:ligatures w14:val="none"/>
        </w:rPr>
        <w:t>Rohrbeck</w:t>
      </w:r>
      <w:r w:rsidR="009C7A77" w:rsidRPr="002522ED">
        <w:rPr>
          <w:rFonts w:eastAsia="Times New Roman" w:cstheme="majorBidi"/>
          <w:color w:val="222222"/>
          <w:kern w:val="0"/>
          <w:rtl/>
          <w14:ligatures w14:val="none"/>
        </w:rPr>
        <w:t xml:space="preserve"> &amp; </w:t>
      </w:r>
      <w:proofErr w:type="spellStart"/>
      <w:r w:rsidR="009C7A77" w:rsidRPr="002522ED">
        <w:rPr>
          <w:rFonts w:eastAsia="Times New Roman" w:cstheme="majorBidi"/>
          <w:color w:val="222222"/>
          <w:kern w:val="0"/>
          <w14:ligatures w14:val="none"/>
        </w:rPr>
        <w:t>Gemünden</w:t>
      </w:r>
      <w:proofErr w:type="spellEnd"/>
      <w:r w:rsidR="009C7A77" w:rsidRPr="002522ED">
        <w:rPr>
          <w:rFonts w:eastAsia="Times New Roman" w:cstheme="majorBidi"/>
          <w:color w:val="222222"/>
          <w:kern w:val="0"/>
          <w14:ligatures w14:val="none"/>
        </w:rPr>
        <w:t xml:space="preserve">, </w:t>
      </w:r>
      <w:r w:rsidR="0079262F">
        <w:rPr>
          <w:rFonts w:eastAsia="Times New Roman" w:cstheme="majorBidi" w:hint="cs"/>
          <w:color w:val="222222"/>
          <w:kern w:val="0"/>
          <w:rtl/>
          <w14:ligatures w14:val="none"/>
        </w:rPr>
        <w:t>(</w:t>
      </w:r>
      <w:r w:rsidR="0066331B">
        <w:rPr>
          <w:rFonts w:eastAsia="Times New Roman" w:cstheme="majorBidi" w:hint="cs"/>
          <w:color w:val="222222"/>
          <w:kern w:val="0"/>
          <w:rtl/>
          <w14:ligatures w14:val="none"/>
        </w:rPr>
        <w:t>2011</w:t>
      </w:r>
    </w:p>
    <w:p w14:paraId="33CF06CB" w14:textId="798F0B28" w:rsidR="009C7A77" w:rsidRPr="002522ED" w:rsidRDefault="009607CA" w:rsidP="00F45154">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 xml:space="preserve">2- </w:t>
      </w:r>
      <w:r w:rsidR="009C7A77" w:rsidRPr="002522ED">
        <w:rPr>
          <w:rFonts w:eastAsia="Times New Roman" w:cstheme="majorBidi"/>
          <w:color w:val="222222"/>
          <w:kern w:val="0"/>
          <w:rtl/>
          <w14:ligatures w14:val="none"/>
        </w:rPr>
        <w:t>يُعرف الاستشراف الاستراتيجي (</w:t>
      </w:r>
      <w:r w:rsidR="009C7A77" w:rsidRPr="002522ED">
        <w:rPr>
          <w:rFonts w:eastAsia="Times New Roman" w:cstheme="majorBidi"/>
          <w:color w:val="222222"/>
          <w:kern w:val="0"/>
          <w14:ligatures w14:val="none"/>
        </w:rPr>
        <w:t>Strategic Foresight</w:t>
      </w:r>
      <w:r w:rsidR="009C7A77" w:rsidRPr="002522ED">
        <w:rPr>
          <w:rFonts w:eastAsia="Times New Roman" w:cstheme="majorBidi"/>
          <w:color w:val="222222"/>
          <w:kern w:val="0"/>
          <w:rtl/>
          <w14:ligatures w14:val="none"/>
        </w:rPr>
        <w:t>) بأنه قدرة المنظمة على التنبؤ بالتطورات المستقبلية وتحليلها وتفسيرها، والاستعداد لمجموعة من السيناريوهات المستقبلية المحتملة بما يدعم اتخاذ قرارات استراتيجية فعّالة (</w:t>
      </w:r>
      <w:r w:rsidR="009C7A77" w:rsidRPr="002522ED">
        <w:rPr>
          <w:rFonts w:eastAsia="Times New Roman" w:cstheme="majorBidi"/>
          <w:color w:val="222222"/>
          <w:kern w:val="0"/>
          <w14:ligatures w14:val="none"/>
        </w:rPr>
        <w:t>Schoemaker et al., 2013</w:t>
      </w:r>
      <w:r w:rsidR="009C7A77" w:rsidRPr="002522ED">
        <w:rPr>
          <w:rFonts w:eastAsia="Times New Roman" w:cstheme="majorBidi"/>
          <w:color w:val="222222"/>
          <w:kern w:val="0"/>
          <w:rtl/>
          <w14:ligatures w14:val="none"/>
        </w:rPr>
        <w:t>)</w:t>
      </w:r>
    </w:p>
    <w:p w14:paraId="2D97A41B" w14:textId="353B5C2E" w:rsidR="00390281" w:rsidRPr="002522ED" w:rsidRDefault="009607CA"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 xml:space="preserve">3- </w:t>
      </w:r>
      <w:r w:rsidR="009C7A77" w:rsidRPr="002522ED">
        <w:rPr>
          <w:rFonts w:eastAsia="Times New Roman" w:cstheme="majorBidi"/>
          <w:color w:val="222222"/>
          <w:kern w:val="0"/>
          <w:rtl/>
          <w14:ligatures w14:val="none"/>
        </w:rPr>
        <w:t>يُعرف الاستشراف الاستراتيجي (</w:t>
      </w:r>
      <w:r w:rsidR="009C7A77" w:rsidRPr="002522ED">
        <w:rPr>
          <w:rFonts w:eastAsia="Times New Roman" w:cstheme="majorBidi"/>
          <w:color w:val="222222"/>
          <w:kern w:val="0"/>
          <w14:ligatures w14:val="none"/>
        </w:rPr>
        <w:t>Strategic Foresight</w:t>
      </w:r>
      <w:r w:rsidR="009C7A77" w:rsidRPr="002522ED">
        <w:rPr>
          <w:rFonts w:eastAsia="Times New Roman" w:cstheme="majorBidi"/>
          <w:color w:val="222222"/>
          <w:kern w:val="0"/>
          <w:rtl/>
          <w14:ligatures w14:val="none"/>
        </w:rPr>
        <w:t>) بأنه قدرة المنظمة على الكشف المبكر عن التغيرات غير المتوقعة، وتفسير آثارها المحتملة، وصياغة استجابات فعّالة تمكّنها من التعامل مع هذه التغيرات بكفاءة (</w:t>
      </w:r>
      <w:r w:rsidR="009C7A77" w:rsidRPr="002522ED">
        <w:rPr>
          <w:rFonts w:eastAsia="Times New Roman" w:cstheme="majorBidi"/>
          <w:color w:val="222222"/>
          <w:kern w:val="0"/>
          <w14:ligatures w14:val="none"/>
        </w:rPr>
        <w:t xml:space="preserve">Rohrbeck, </w:t>
      </w:r>
      <w:proofErr w:type="spellStart"/>
      <w:r w:rsidR="009C7A77" w:rsidRPr="002522ED">
        <w:rPr>
          <w:rFonts w:eastAsia="Times New Roman" w:cstheme="majorBidi"/>
          <w:color w:val="222222"/>
          <w:kern w:val="0"/>
          <w14:ligatures w14:val="none"/>
        </w:rPr>
        <w:t>Huizingh</w:t>
      </w:r>
      <w:proofErr w:type="spellEnd"/>
      <w:r w:rsidR="009C7A77" w:rsidRPr="002522ED">
        <w:rPr>
          <w:rFonts w:eastAsia="Times New Roman" w:cstheme="majorBidi"/>
          <w:color w:val="222222"/>
          <w:kern w:val="0"/>
          <w14:ligatures w14:val="none"/>
        </w:rPr>
        <w:t>, 2015</w:t>
      </w:r>
      <w:r w:rsidR="006F458F">
        <w:rPr>
          <w:rFonts w:eastAsia="Times New Roman" w:cstheme="majorBidi" w:hint="cs"/>
          <w:color w:val="222222"/>
          <w:kern w:val="0"/>
          <w:rtl/>
          <w14:ligatures w14:val="none"/>
        </w:rPr>
        <w:t xml:space="preserve"> </w:t>
      </w:r>
      <w:r w:rsidR="00820C55" w:rsidRPr="002522ED">
        <w:rPr>
          <w:rFonts w:eastAsia="Times New Roman" w:cstheme="majorBidi"/>
          <w:color w:val="222222"/>
          <w:kern w:val="0"/>
          <w:rtl/>
          <w14:ligatures w14:val="none"/>
        </w:rPr>
        <w:t>&amp;</w:t>
      </w:r>
      <w:r w:rsidR="00820C55" w:rsidRPr="00820C55">
        <w:rPr>
          <w:rFonts w:eastAsia="Times New Roman" w:cstheme="majorBidi"/>
          <w:color w:val="222222"/>
          <w:kern w:val="0"/>
          <w14:ligatures w14:val="none"/>
        </w:rPr>
        <w:t xml:space="preserve"> </w:t>
      </w:r>
      <w:r w:rsidR="00820C55" w:rsidRPr="002522ED">
        <w:rPr>
          <w:rFonts w:eastAsia="Times New Roman" w:cstheme="majorBidi"/>
          <w:color w:val="222222"/>
          <w:kern w:val="0"/>
          <w14:ligatures w14:val="none"/>
        </w:rPr>
        <w:t>Battistella</w:t>
      </w:r>
      <w:r w:rsidR="009C7A77" w:rsidRPr="002522ED">
        <w:rPr>
          <w:rFonts w:eastAsia="Times New Roman" w:cstheme="majorBidi"/>
          <w:color w:val="222222"/>
          <w:kern w:val="0"/>
          <w:rtl/>
          <w14:ligatures w14:val="none"/>
        </w:rPr>
        <w:t>).</w:t>
      </w:r>
    </w:p>
    <w:p w14:paraId="0A92215C" w14:textId="77777777" w:rsidR="00B728EB" w:rsidRPr="002522ED" w:rsidRDefault="00B728EB" w:rsidP="005651E0">
      <w:pPr>
        <w:shd w:val="clear" w:color="auto" w:fill="FFFFFF"/>
        <w:bidi/>
        <w:spacing w:after="180"/>
        <w:jc w:val="both"/>
        <w:rPr>
          <w:rFonts w:eastAsia="Times New Roman" w:cstheme="majorBidi"/>
          <w:color w:val="222222"/>
          <w:kern w:val="0"/>
          <w:rtl/>
          <w14:ligatures w14:val="none"/>
        </w:rPr>
      </w:pPr>
    </w:p>
    <w:p w14:paraId="3140B35D" w14:textId="4BF981EA" w:rsidR="00B728EB" w:rsidRPr="004B6E5C" w:rsidRDefault="00B728EB"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lastRenderedPageBreak/>
        <w:t>9/ القيادات العليا</w:t>
      </w:r>
    </w:p>
    <w:p w14:paraId="33C7D23F" w14:textId="440C80F7" w:rsidR="00B728EB" w:rsidRPr="002522ED" w:rsidRDefault="00B728EB"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يقصد القيادات العليا الأفراد الذين يشغلون المناصب القيادية العليا في المنظمة، مثل المديرين التنفيذيين مديرية إدارات العليا، والذين يقع على عاتقهم مسؤولية اتخاذ القرارات الاستراتيجية وتحديد التوجيهات المستقبلية للمنظمة.</w:t>
      </w:r>
    </w:p>
    <w:p w14:paraId="0B197ED1" w14:textId="71CBB23A" w:rsidR="00B728EB" w:rsidRPr="004B6E5C" w:rsidRDefault="00B728EB"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التعريف الإجرائي:</w:t>
      </w:r>
    </w:p>
    <w:p w14:paraId="2FD189A2" w14:textId="52B4DFF3" w:rsidR="00B728EB" w:rsidRPr="002522ED" w:rsidRDefault="00B728EB"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يقصد القيادات العليا في هذه الدراسة المديرين التنفيذيون ومديرو الإدارات العليا في الشركات التقنية الخاصة في المملكة العربية السعودية الذين يشاركون في عملية صنع القرار الإستراتيجي داخل المنظمة.</w:t>
      </w:r>
    </w:p>
    <w:p w14:paraId="245C2B17" w14:textId="621F816A" w:rsidR="00B728EB" w:rsidRPr="004B6E5C" w:rsidRDefault="00B728EB"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10/ الشركات التقنية الخاصة:</w:t>
      </w:r>
    </w:p>
    <w:p w14:paraId="45A22F09" w14:textId="558A1AA6" w:rsidR="00B728EB" w:rsidRPr="002522ED" w:rsidRDefault="00B728EB"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يقصد الشركات التقنية الخاصة الشركات التي تعمل في مجال تطوير أو استخدام التقنيات الحديثة مثل تقنيات المعلومات والاتصالات والذكاء الاصطناعي والتقنيات الرقمية المختلفة، والتي تركز أنشطتها على تقديم منتجات أو خدمات قائمة على التكنولوجيا والابتكار.</w:t>
      </w:r>
    </w:p>
    <w:p w14:paraId="18B53A14" w14:textId="727654FC" w:rsidR="00B728EB" w:rsidRPr="004B6E5C" w:rsidRDefault="00B728EB"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التعريف الإجرائي:</w:t>
      </w:r>
    </w:p>
    <w:p w14:paraId="68C98CEA" w14:textId="25F92550" w:rsidR="00B728EB" w:rsidRPr="002522ED" w:rsidRDefault="00B728EB"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يقصد بالشركات التقنية الخاصة في هذه الدراسة الشركات التقنية المملوكة لقطاع الخاص في المملكة العربية السعودية والتي تعمل في مجالات التقنية الرقمية أو التقنية المتقدمة، والتي سيتم اختيار القيادات العليا فيها كعينة للدراسة.</w:t>
      </w:r>
    </w:p>
    <w:p w14:paraId="2C1BF94B" w14:textId="4E759AA4" w:rsidR="0082442B" w:rsidRPr="002522ED" w:rsidRDefault="00814E95" w:rsidP="005651E0">
      <w:pPr>
        <w:pStyle w:val="Heading1"/>
        <w:jc w:val="both"/>
        <w:rPr>
          <w:rFonts w:eastAsia="Times New Roman"/>
          <w:rtl/>
        </w:rPr>
      </w:pPr>
      <w:r w:rsidRPr="002522ED">
        <w:rPr>
          <w:rFonts w:eastAsia="Times New Roman"/>
          <w:rtl/>
        </w:rPr>
        <w:t>إجراءات الدراسة:</w:t>
      </w:r>
    </w:p>
    <w:p w14:paraId="357641A6" w14:textId="01F2838E" w:rsidR="00814E95" w:rsidRPr="002522ED" w:rsidRDefault="00814E95"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منهج الدراسة:</w:t>
      </w:r>
      <w:r w:rsidR="00F27352" w:rsidRPr="002522ED">
        <w:rPr>
          <w:rFonts w:eastAsia="Times New Roman" w:cstheme="majorBidi"/>
          <w:color w:val="222222"/>
          <w:kern w:val="0"/>
          <w:rtl/>
          <w14:ligatures w14:val="none"/>
        </w:rPr>
        <w:t xml:space="preserve">  </w:t>
      </w:r>
      <w:r w:rsidR="007C4D05" w:rsidRPr="002522ED">
        <w:rPr>
          <w:rFonts w:eastAsia="Times New Roman" w:cstheme="majorBidi"/>
          <w:color w:val="222222"/>
          <w:kern w:val="0"/>
          <w:rtl/>
          <w14:ligatures w14:val="none"/>
        </w:rPr>
        <w:t>تعتمد هذه الدراسة على المنهج الوصفي التحليلي، وذلك لملاءمته لطبيعة الدراسة التي تهدف إلى تحليل العلاقات بين المتغيرات، كما تم استخدام الأسلوب المسح الكمي من خلال أداة الاستبانة في جمع البيانات من عينة الدراسة، ومن ثم تحليلها باستخدام الأساليب الإحصائية المناسبة لاختبار فرضيات الدراسة.</w:t>
      </w:r>
    </w:p>
    <w:p w14:paraId="5921CDA3" w14:textId="4EB64FCB" w:rsidR="00814E95" w:rsidRPr="004B6E5C" w:rsidRDefault="00814E95" w:rsidP="005651E0">
      <w:pPr>
        <w:pStyle w:val="Heading2"/>
        <w:bidi/>
        <w:jc w:val="both"/>
        <w:rPr>
          <w:rFonts w:asciiTheme="majorBidi" w:eastAsia="Times New Roman" w:hAnsiTheme="majorBidi"/>
          <w:b/>
          <w:bCs/>
          <w:sz w:val="24"/>
          <w:szCs w:val="24"/>
          <w:rtl/>
        </w:rPr>
      </w:pPr>
      <w:r w:rsidRPr="004B6E5C">
        <w:rPr>
          <w:rFonts w:asciiTheme="majorBidi" w:eastAsia="Times New Roman" w:hAnsiTheme="majorBidi"/>
          <w:b/>
          <w:bCs/>
          <w:sz w:val="24"/>
          <w:szCs w:val="24"/>
          <w:rtl/>
        </w:rPr>
        <w:t>مجتمع عينة الدراسة</w:t>
      </w:r>
    </w:p>
    <w:p w14:paraId="23EE8523" w14:textId="05447934" w:rsidR="00814E95" w:rsidRPr="002522ED" w:rsidRDefault="00814E95"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مجتمع الدراسة:</w:t>
      </w:r>
      <w:r w:rsidR="00AC311F" w:rsidRPr="002522ED">
        <w:rPr>
          <w:rFonts w:eastAsia="Times New Roman" w:cstheme="majorBidi"/>
          <w:color w:val="222222"/>
          <w:kern w:val="0"/>
          <w:rtl/>
          <w14:ligatures w14:val="none"/>
        </w:rPr>
        <w:t xml:space="preserve"> يتكون مجتمع الدراسة من موظفي الشركات التقنية الخاصة في المملكة العربية السعودية، وذلك لكون هذه الشركات تمثل بيئة خصبة لتطبيق مفاهيم الابتكار الإداري والاستشراف الاستراتيجي، إضافة إلى دورها المحوري في تنمية القدرات التوليدية في ظل التغيرات التكنولوجية المتسارعة</w:t>
      </w:r>
      <w:r w:rsidRPr="002522ED">
        <w:rPr>
          <w:rFonts w:eastAsia="Times New Roman" w:cstheme="majorBidi"/>
          <w:color w:val="222222"/>
          <w:kern w:val="0"/>
          <w:rtl/>
          <w14:ligatures w14:val="none"/>
        </w:rPr>
        <w:t>.</w:t>
      </w:r>
    </w:p>
    <w:p w14:paraId="099220DF" w14:textId="000C8E8A" w:rsidR="00814E95" w:rsidRPr="002522ED" w:rsidRDefault="00814E95" w:rsidP="005651E0">
      <w:pPr>
        <w:numPr>
          <w:ilvl w:val="0"/>
          <w:numId w:val="43"/>
        </w:numPr>
        <w:shd w:val="clear" w:color="auto" w:fill="FFFFFF"/>
        <w:bidi/>
        <w:spacing w:after="0"/>
        <w:jc w:val="both"/>
        <w:rPr>
          <w:rFonts w:eastAsia="Times New Roman" w:cstheme="majorBidi"/>
          <w:color w:val="222222"/>
          <w:kern w:val="0"/>
          <w14:ligatures w14:val="none"/>
        </w:rPr>
      </w:pPr>
      <w:r w:rsidRPr="002522ED">
        <w:rPr>
          <w:rFonts w:eastAsia="Times New Roman" w:cstheme="majorBidi"/>
          <w:color w:val="222222"/>
          <w:kern w:val="0"/>
          <w:rtl/>
          <w14:ligatures w14:val="none"/>
        </w:rPr>
        <w:t>عينة الدراسة:</w:t>
      </w:r>
      <w:r w:rsidR="00652CEF" w:rsidRPr="002522ED">
        <w:rPr>
          <w:rFonts w:eastAsia="Times New Roman" w:cstheme="majorBidi"/>
          <w:color w:val="222222"/>
          <w:kern w:val="0"/>
          <w:rtl/>
          <w14:ligatures w14:val="none"/>
        </w:rPr>
        <w:t xml:space="preserve"> </w:t>
      </w:r>
      <w:r w:rsidR="00AC311F" w:rsidRPr="002522ED">
        <w:rPr>
          <w:rFonts w:eastAsia="Times New Roman" w:cstheme="majorBidi"/>
          <w:color w:val="222222"/>
          <w:kern w:val="0"/>
          <w:rtl/>
          <w14:ligatures w14:val="none"/>
        </w:rPr>
        <w:t>اختيار عينة الدراسة باستخدام أسلوب العينة القصدية، حيث اقتصرت على القيادات العليا في الشركات التقنية الخاصة في المملكة العربية السعودية، مثل(الرؤساء التنفيذيين، ومديري الإدارات العليا)، نظرا لقدرتهم على تقديم تقييم دقيق لممارسات الابتكار الإداري ومستوى تطبيق الاستشراف الاستراتيجي وتنمية القدرات التوليدية داخل منظماتهم.</w:t>
      </w:r>
    </w:p>
    <w:p w14:paraId="2D7B34E7" w14:textId="22726EB9" w:rsidR="00AC311F" w:rsidRPr="002522ED" w:rsidRDefault="00AC311F" w:rsidP="005651E0">
      <w:pPr>
        <w:numPr>
          <w:ilvl w:val="0"/>
          <w:numId w:val="43"/>
        </w:numPr>
        <w:shd w:val="clear" w:color="auto" w:fill="FFFFFF"/>
        <w:bidi/>
        <w:spacing w:after="0"/>
        <w:jc w:val="both"/>
        <w:rPr>
          <w:rFonts w:eastAsia="Times New Roman" w:cstheme="majorBidi"/>
          <w:color w:val="222222"/>
          <w:kern w:val="0"/>
          <w14:ligatures w14:val="none"/>
        </w:rPr>
      </w:pPr>
      <w:r w:rsidRPr="002522ED">
        <w:rPr>
          <w:rFonts w:eastAsia="Times New Roman" w:cstheme="majorBidi"/>
          <w:color w:val="222222"/>
          <w:kern w:val="0"/>
          <w:rtl/>
          <w14:ligatures w14:val="none"/>
        </w:rPr>
        <w:lastRenderedPageBreak/>
        <w:t>وقد بلغ حجم العينة(200) مفردة، بما يتناسب مع متطلبات التحليل الإحصائي وإمكانية تعميم النتائج.</w:t>
      </w:r>
    </w:p>
    <w:p w14:paraId="175C6258" w14:textId="77777777" w:rsidR="00814E95" w:rsidRPr="002522ED" w:rsidRDefault="00814E95" w:rsidP="005651E0">
      <w:pPr>
        <w:shd w:val="clear" w:color="auto" w:fill="FFFFFF"/>
        <w:bidi/>
        <w:spacing w:after="180"/>
        <w:jc w:val="both"/>
        <w:rPr>
          <w:rFonts w:eastAsia="Times New Roman" w:cstheme="majorBidi"/>
          <w:color w:val="222222"/>
          <w:kern w:val="0"/>
          <w:rtl/>
          <w14:ligatures w14:val="none"/>
        </w:rPr>
      </w:pPr>
    </w:p>
    <w:p w14:paraId="78EBA41D" w14:textId="660E2704" w:rsidR="00814E95" w:rsidRPr="004B6E5C" w:rsidRDefault="00814E95" w:rsidP="005651E0">
      <w:pPr>
        <w:pStyle w:val="Heading2"/>
        <w:bidi/>
        <w:jc w:val="both"/>
        <w:rPr>
          <w:rFonts w:asciiTheme="majorBidi" w:eastAsia="Times New Roman" w:hAnsiTheme="majorBidi"/>
          <w:b/>
          <w:bCs/>
          <w:sz w:val="24"/>
          <w:szCs w:val="24"/>
          <w:rtl/>
        </w:rPr>
      </w:pPr>
      <w:r w:rsidRPr="004B6E5C">
        <w:rPr>
          <w:rFonts w:asciiTheme="majorBidi" w:eastAsia="Times New Roman" w:hAnsiTheme="majorBidi"/>
          <w:b/>
          <w:bCs/>
          <w:sz w:val="24"/>
          <w:szCs w:val="24"/>
          <w:rtl/>
        </w:rPr>
        <w:t>حدود الدراسة:( المكانية والزمنية والبشرية)</w:t>
      </w:r>
    </w:p>
    <w:p w14:paraId="1551CE05" w14:textId="66588434" w:rsidR="00412894" w:rsidRPr="002522ED" w:rsidRDefault="00F27352" w:rsidP="005651E0">
      <w:pPr>
        <w:numPr>
          <w:ilvl w:val="0"/>
          <w:numId w:val="44"/>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222222"/>
          <w:kern w:val="0"/>
          <w:rtl/>
          <w14:ligatures w14:val="none"/>
        </w:rPr>
        <w:t xml:space="preserve">الحدود المكانية: الشركات </w:t>
      </w:r>
      <w:r w:rsidR="004D521D" w:rsidRPr="002522ED">
        <w:rPr>
          <w:rFonts w:eastAsia="Times New Roman" w:cstheme="majorBidi"/>
          <w:color w:val="222222"/>
          <w:kern w:val="0"/>
          <w:rtl/>
          <w14:ligatures w14:val="none"/>
        </w:rPr>
        <w:t>التقنية الخاصة في المملكة العربية السعودية،</w:t>
      </w:r>
    </w:p>
    <w:p w14:paraId="1F25DAFC" w14:textId="43290CAC" w:rsidR="00CB58BB" w:rsidRPr="002522ED" w:rsidRDefault="00F27352" w:rsidP="005651E0">
      <w:pPr>
        <w:numPr>
          <w:ilvl w:val="0"/>
          <w:numId w:val="45"/>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222222"/>
          <w:kern w:val="0"/>
          <w:rtl/>
          <w14:ligatures w14:val="none"/>
        </w:rPr>
        <w:t xml:space="preserve">الحدود الزمنية: </w:t>
      </w:r>
      <w:r w:rsidR="004D521D" w:rsidRPr="002522ED">
        <w:rPr>
          <w:rFonts w:eastAsia="Times New Roman" w:cstheme="majorBidi"/>
          <w:color w:val="0F1115"/>
          <w:kern w:val="0"/>
          <w:rtl/>
          <w14:ligatures w14:val="none"/>
        </w:rPr>
        <w:t>تقتصر الدراسة على الفترة الزمنية التي تم فيها تطبيق الدراسة ميدانيا.</w:t>
      </w:r>
    </w:p>
    <w:p w14:paraId="79647DE7" w14:textId="536B70A9" w:rsidR="004E3323" w:rsidRPr="002522ED" w:rsidRDefault="00F27352" w:rsidP="005651E0">
      <w:pPr>
        <w:numPr>
          <w:ilvl w:val="0"/>
          <w:numId w:val="43"/>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222222"/>
          <w:kern w:val="0"/>
          <w:rtl/>
          <w14:ligatures w14:val="none"/>
        </w:rPr>
        <w:t xml:space="preserve">الحدود البشرية: تقتصر </w:t>
      </w:r>
      <w:r w:rsidR="004D521D" w:rsidRPr="002522ED">
        <w:rPr>
          <w:rFonts w:eastAsia="Times New Roman" w:cstheme="majorBidi"/>
          <w:color w:val="222222"/>
          <w:kern w:val="0"/>
          <w:rtl/>
          <w14:ligatures w14:val="none"/>
        </w:rPr>
        <w:t>الدراسة على عينة قصدية من القيادات العليا في الشركات التقنية الخاصة في المملكة العربية السعودية.</w:t>
      </w:r>
    </w:p>
    <w:p w14:paraId="1F3EEFD2" w14:textId="77777777" w:rsidR="004E3323" w:rsidRPr="002522ED" w:rsidRDefault="004E3323" w:rsidP="005651E0">
      <w:pPr>
        <w:numPr>
          <w:ilvl w:val="1"/>
          <w:numId w:val="43"/>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0F1115"/>
          <w:kern w:val="0"/>
          <w:rtl/>
          <w14:ligatures w14:val="none"/>
        </w:rPr>
        <w:t>المدراء التنفيذيون المساعدون</w:t>
      </w:r>
    </w:p>
    <w:p w14:paraId="4C830A27" w14:textId="77777777" w:rsidR="004E3323" w:rsidRPr="002522ED" w:rsidRDefault="004E3323" w:rsidP="005651E0">
      <w:pPr>
        <w:numPr>
          <w:ilvl w:val="1"/>
          <w:numId w:val="43"/>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0F1115"/>
          <w:kern w:val="0"/>
          <w:rtl/>
          <w14:ligatures w14:val="none"/>
        </w:rPr>
        <w:t>مدراء الابتكار والتطوير</w:t>
      </w:r>
    </w:p>
    <w:p w14:paraId="5A296337" w14:textId="77777777" w:rsidR="004E3323" w:rsidRPr="002522ED" w:rsidRDefault="004E3323" w:rsidP="005651E0">
      <w:pPr>
        <w:numPr>
          <w:ilvl w:val="1"/>
          <w:numId w:val="43"/>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0F1115"/>
          <w:kern w:val="0"/>
          <w:rtl/>
          <w14:ligatures w14:val="none"/>
        </w:rPr>
        <w:t>مدراء التخطيط الاستراتيجي</w:t>
      </w:r>
    </w:p>
    <w:p w14:paraId="00D02826" w14:textId="77777777" w:rsidR="004E3323" w:rsidRPr="002522ED" w:rsidRDefault="004E3323" w:rsidP="005651E0">
      <w:pPr>
        <w:numPr>
          <w:ilvl w:val="1"/>
          <w:numId w:val="43"/>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0F1115"/>
          <w:kern w:val="0"/>
          <w:rtl/>
          <w14:ligatures w14:val="none"/>
        </w:rPr>
        <w:t>مدراء الموارد البشرية (باعتبار دورهم في بناء الثقافة التنظيمية)</w:t>
      </w:r>
    </w:p>
    <w:p w14:paraId="377CDFE4" w14:textId="7C6FEEF5" w:rsidR="00814E95" w:rsidRPr="002522ED" w:rsidRDefault="00814E95" w:rsidP="005651E0">
      <w:pPr>
        <w:shd w:val="clear" w:color="auto" w:fill="FFFFFF"/>
        <w:bidi/>
        <w:spacing w:after="180"/>
        <w:jc w:val="both"/>
        <w:rPr>
          <w:rFonts w:eastAsia="Times New Roman" w:cstheme="majorBidi"/>
          <w:color w:val="222222"/>
          <w:kern w:val="0"/>
          <w:rtl/>
          <w14:ligatures w14:val="none"/>
        </w:rPr>
      </w:pPr>
    </w:p>
    <w:p w14:paraId="12AF9076" w14:textId="77777777" w:rsidR="005E3EF4" w:rsidRPr="004B6E5C" w:rsidRDefault="00814E95" w:rsidP="005651E0">
      <w:pPr>
        <w:pStyle w:val="Heading2"/>
        <w:bidi/>
        <w:jc w:val="both"/>
        <w:rPr>
          <w:rFonts w:asciiTheme="majorBidi" w:eastAsia="Times New Roman" w:hAnsiTheme="majorBidi"/>
          <w:b/>
          <w:bCs/>
          <w:sz w:val="24"/>
          <w:szCs w:val="24"/>
          <w:rtl/>
        </w:rPr>
      </w:pPr>
      <w:r w:rsidRPr="004B6E5C">
        <w:rPr>
          <w:rFonts w:asciiTheme="majorBidi" w:eastAsia="Times New Roman" w:hAnsiTheme="majorBidi"/>
          <w:b/>
          <w:bCs/>
          <w:sz w:val="24"/>
          <w:szCs w:val="24"/>
          <w:rtl/>
        </w:rPr>
        <w:t>وسائل جمع بيانات الدراسة:</w:t>
      </w:r>
      <w:r w:rsidR="005E3EF4" w:rsidRPr="004B6E5C">
        <w:rPr>
          <w:rFonts w:asciiTheme="majorBidi" w:eastAsia="Times New Roman" w:hAnsiTheme="majorBidi"/>
          <w:b/>
          <w:bCs/>
          <w:sz w:val="24"/>
          <w:szCs w:val="24"/>
          <w:rtl/>
        </w:rPr>
        <w:t xml:space="preserve"> </w:t>
      </w:r>
    </w:p>
    <w:p w14:paraId="29DD37B7" w14:textId="69483895" w:rsidR="005E3EF4" w:rsidRPr="002522ED" w:rsidRDefault="005E3EF4" w:rsidP="005651E0">
      <w:pPr>
        <w:pStyle w:val="NormalWeb"/>
        <w:shd w:val="clear" w:color="auto" w:fill="FFFFFF"/>
        <w:bidi/>
        <w:spacing w:after="0"/>
        <w:ind w:right="225"/>
        <w:jc w:val="both"/>
        <w:rPr>
          <w:rFonts w:asciiTheme="majorBidi" w:eastAsia="Times New Roman" w:hAnsiTheme="majorBidi" w:cstheme="majorBidi"/>
          <w:color w:val="222222"/>
          <w:kern w:val="0"/>
          <w:rtl/>
          <w14:ligatures w14:val="none"/>
        </w:rPr>
      </w:pPr>
      <w:r w:rsidRPr="002522ED">
        <w:rPr>
          <w:rFonts w:asciiTheme="majorBidi" w:eastAsia="Times New Roman" w:hAnsiTheme="majorBidi" w:cstheme="majorBidi"/>
          <w:color w:val="222222"/>
          <w:kern w:val="0"/>
          <w:rtl/>
          <w14:ligatures w14:val="none"/>
        </w:rPr>
        <w:t>جمع البيانات الأولية من خلال الاستبانة الإلكترونية الموجهة إلى القيادات العليا في الشركات التقنية الخاصة السعودية، وذلك لقياس متغيرات الدراسة المتمثلة في الابتكار الإداري، والاستشراف الاستراتيجي، والقدرات التوليدية.</w:t>
      </w:r>
    </w:p>
    <w:p w14:paraId="3216BD49" w14:textId="77777777" w:rsidR="005E3EF4" w:rsidRPr="002522ED" w:rsidRDefault="005E3EF4" w:rsidP="005651E0">
      <w:pPr>
        <w:pStyle w:val="NormalWeb"/>
        <w:shd w:val="clear" w:color="auto" w:fill="FFFFFF"/>
        <w:bidi/>
        <w:spacing w:after="0"/>
        <w:ind w:right="225"/>
        <w:jc w:val="both"/>
        <w:rPr>
          <w:rFonts w:asciiTheme="majorBidi" w:eastAsia="Times New Roman" w:hAnsiTheme="majorBidi" w:cstheme="majorBidi"/>
          <w:color w:val="222222"/>
          <w:kern w:val="0"/>
          <w:rtl/>
          <w14:ligatures w14:val="none"/>
        </w:rPr>
      </w:pPr>
    </w:p>
    <w:p w14:paraId="392B2C30" w14:textId="1BB58E13" w:rsidR="00814E95" w:rsidRPr="002522ED" w:rsidRDefault="00E019B5" w:rsidP="00BB396F">
      <w:pPr>
        <w:shd w:val="clear" w:color="auto" w:fill="FFFFFF"/>
        <w:bidi/>
        <w:spacing w:after="0"/>
        <w:ind w:right="225"/>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 xml:space="preserve">الاعتماد على البيانات الثانوية من خلال مراجعة الأدبيات العلمية المنشورة في المجلات المحكمة، والكتب العلمية، وقواعد البيانات العالمية مثل </w:t>
      </w:r>
      <w:r w:rsidRPr="002522ED">
        <w:rPr>
          <w:rFonts w:eastAsia="Times New Roman" w:cstheme="majorBidi"/>
          <w:color w:val="222222"/>
          <w:kern w:val="0"/>
          <w14:ligatures w14:val="none"/>
        </w:rPr>
        <w:t>Scopus</w:t>
      </w:r>
      <w:r w:rsidRPr="002522ED">
        <w:rPr>
          <w:rFonts w:eastAsia="Times New Roman" w:cstheme="majorBidi"/>
          <w:color w:val="222222"/>
          <w:kern w:val="0"/>
          <w:rtl/>
          <w14:ligatures w14:val="none"/>
        </w:rPr>
        <w:t xml:space="preserve"> و</w:t>
      </w:r>
      <w:r w:rsidRPr="002522ED">
        <w:rPr>
          <w:rFonts w:eastAsia="Times New Roman" w:cstheme="majorBidi"/>
          <w:color w:val="222222"/>
          <w:kern w:val="0"/>
          <w14:ligatures w14:val="none"/>
        </w:rPr>
        <w:t>Web of Science</w:t>
      </w:r>
      <w:r w:rsidRPr="002522ED">
        <w:rPr>
          <w:rFonts w:eastAsia="Times New Roman" w:cstheme="majorBidi"/>
          <w:color w:val="222222"/>
          <w:kern w:val="0"/>
          <w:rtl/>
          <w14:ligatures w14:val="none"/>
        </w:rPr>
        <w:t>، بالإضافة إلى التقارير الرسمية المتعلقة بقطاع التقنية في المملكة العربية السعودية.</w:t>
      </w:r>
    </w:p>
    <w:p w14:paraId="03236C4B" w14:textId="0E26CFEC" w:rsidR="00814E95" w:rsidRPr="004B6E5C" w:rsidRDefault="00814E95" w:rsidP="005651E0">
      <w:pPr>
        <w:pStyle w:val="Heading2"/>
        <w:bidi/>
        <w:jc w:val="both"/>
        <w:rPr>
          <w:rFonts w:asciiTheme="majorBidi" w:eastAsia="Times New Roman" w:hAnsiTheme="majorBidi"/>
          <w:b/>
          <w:bCs/>
          <w:sz w:val="24"/>
          <w:szCs w:val="24"/>
          <w:rtl/>
        </w:rPr>
      </w:pPr>
      <w:r w:rsidRPr="004B6E5C">
        <w:rPr>
          <w:rFonts w:asciiTheme="majorBidi" w:eastAsia="Times New Roman" w:hAnsiTheme="majorBidi"/>
          <w:b/>
          <w:bCs/>
          <w:sz w:val="24"/>
          <w:szCs w:val="24"/>
          <w:rtl/>
        </w:rPr>
        <w:t>المعالجات الإحصائية المقترحة:</w:t>
      </w:r>
    </w:p>
    <w:p w14:paraId="7B4B344D" w14:textId="4ECBE100" w:rsidR="00814E95" w:rsidRPr="002522ED" w:rsidRDefault="006A36BA"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سوف يتم تحليل البيانات المتعلقة بالدراسة باستخدام برنامج الحزم الإحصائية للعلوم الاجتماعية</w:t>
      </w:r>
      <w:r w:rsidRPr="002522ED">
        <w:rPr>
          <w:rFonts w:eastAsia="Times New Roman" w:cstheme="majorBidi"/>
          <w:color w:val="222222"/>
          <w:kern w:val="0"/>
          <w14:ligatures w14:val="none"/>
        </w:rPr>
        <w:t xml:space="preserve"> </w:t>
      </w:r>
      <w:r w:rsidRPr="002522ED">
        <w:rPr>
          <w:rFonts w:eastAsia="Times New Roman" w:cstheme="majorBidi"/>
          <w:color w:val="222222"/>
          <w:kern w:val="0"/>
          <w:rtl/>
          <w14:ligatures w14:val="none"/>
        </w:rPr>
        <w:t>و وكذلك سوف يستخدم مجموعة من الأساليب الإحصائية الوصفية والاستدلالية لاختبار فرضيات الدراسة وتحليل العلاقات بين المتغيرات.</w:t>
      </w:r>
    </w:p>
    <w:p w14:paraId="76F9BD77" w14:textId="77777777" w:rsidR="00F24EB6" w:rsidRPr="002522ED" w:rsidRDefault="00F24EB6" w:rsidP="005651E0">
      <w:pPr>
        <w:shd w:val="clear" w:color="auto" w:fill="FFFFFF"/>
        <w:bidi/>
        <w:spacing w:after="180"/>
        <w:jc w:val="both"/>
        <w:rPr>
          <w:rFonts w:eastAsia="Times New Roman" w:cstheme="majorBidi"/>
          <w:color w:val="222222"/>
          <w:kern w:val="0"/>
          <w:rtl/>
          <w14:ligatures w14:val="none"/>
        </w:rPr>
      </w:pPr>
    </w:p>
    <w:p w14:paraId="2DF50454" w14:textId="194B4098" w:rsidR="00814E95" w:rsidRPr="004B6E5C" w:rsidRDefault="00814E95" w:rsidP="005651E0">
      <w:pPr>
        <w:pStyle w:val="Heading2"/>
        <w:bidi/>
        <w:jc w:val="both"/>
        <w:rPr>
          <w:rFonts w:asciiTheme="majorBidi" w:eastAsia="Times New Roman" w:hAnsiTheme="majorBidi"/>
          <w:b/>
          <w:bCs/>
          <w:sz w:val="24"/>
          <w:szCs w:val="24"/>
          <w:rtl/>
        </w:rPr>
      </w:pPr>
      <w:r w:rsidRPr="004B6E5C">
        <w:rPr>
          <w:rFonts w:asciiTheme="majorBidi" w:eastAsia="Times New Roman" w:hAnsiTheme="majorBidi"/>
          <w:b/>
          <w:bCs/>
          <w:sz w:val="24"/>
          <w:szCs w:val="24"/>
          <w:rtl/>
        </w:rPr>
        <w:t>خطوات تنفيذ خطة الدراسة:</w:t>
      </w:r>
    </w:p>
    <w:p w14:paraId="792DF1AB" w14:textId="0A77416B"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الأولى: الإعداد العلمي</w:t>
      </w:r>
    </w:p>
    <w:p w14:paraId="3A602723" w14:textId="63A6C215"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مشكلة الدراسة</w:t>
      </w:r>
    </w:p>
    <w:p w14:paraId="15CA3159" w14:textId="77777777" w:rsidR="00E019B5" w:rsidRPr="002522ED" w:rsidRDefault="00E019B5" w:rsidP="005651E0">
      <w:pPr>
        <w:numPr>
          <w:ilvl w:val="0"/>
          <w:numId w:val="24"/>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صياغة المشكلة بوضوح.</w:t>
      </w:r>
    </w:p>
    <w:p w14:paraId="08D3EFB0" w14:textId="77777777" w:rsidR="00E019B5" w:rsidRPr="002522ED" w:rsidRDefault="00E019B5" w:rsidP="005651E0">
      <w:pPr>
        <w:numPr>
          <w:ilvl w:val="0"/>
          <w:numId w:val="24"/>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lastRenderedPageBreak/>
        <w:t>تحديد الفجوة البحثية.</w:t>
      </w:r>
    </w:p>
    <w:p w14:paraId="52AB4533" w14:textId="5B59690C" w:rsidR="00E019B5" w:rsidRPr="002522ED" w:rsidRDefault="00E019B5" w:rsidP="005651E0">
      <w:pPr>
        <w:numPr>
          <w:ilvl w:val="0"/>
          <w:numId w:val="24"/>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ربط المشكلة بواقع الشركات التقنية السعودية.</w:t>
      </w:r>
    </w:p>
    <w:p w14:paraId="596EEFDB" w14:textId="19270B14"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أهداف الدراسة</w:t>
      </w:r>
    </w:p>
    <w:p w14:paraId="0FF4897E" w14:textId="77777777" w:rsidR="00E019B5" w:rsidRPr="002522ED" w:rsidRDefault="00E019B5" w:rsidP="005651E0">
      <w:pPr>
        <w:numPr>
          <w:ilvl w:val="0"/>
          <w:numId w:val="25"/>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قياس أثر الابتكار الإداري.</w:t>
      </w:r>
    </w:p>
    <w:p w14:paraId="334B4D96" w14:textId="77777777" w:rsidR="00E019B5" w:rsidRPr="002522ED" w:rsidRDefault="00E019B5" w:rsidP="005651E0">
      <w:pPr>
        <w:numPr>
          <w:ilvl w:val="0"/>
          <w:numId w:val="25"/>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اختبار دور الاستشراف الاستراتيجي كوسيط.</w:t>
      </w:r>
    </w:p>
    <w:p w14:paraId="6AEC50C7" w14:textId="77777777" w:rsidR="00E019B5" w:rsidRPr="002522ED" w:rsidRDefault="00E019B5" w:rsidP="005651E0">
      <w:pPr>
        <w:numPr>
          <w:ilvl w:val="0"/>
          <w:numId w:val="25"/>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قياس تأثير ذلك على القدرات التوليدية.</w:t>
      </w:r>
    </w:p>
    <w:p w14:paraId="229F2CA7" w14:textId="6B5C9B82"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صياغة أسئلة الدراسة</w:t>
      </w:r>
    </w:p>
    <w:p w14:paraId="4F80D2D7" w14:textId="77777777" w:rsidR="00E019B5" w:rsidRPr="002522ED" w:rsidRDefault="00E019B5" w:rsidP="005651E0">
      <w:pPr>
        <w:numPr>
          <w:ilvl w:val="0"/>
          <w:numId w:val="26"/>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هل يؤثر الابتكار الإداري على القدرات التوليدية؟</w:t>
      </w:r>
    </w:p>
    <w:p w14:paraId="1C256995" w14:textId="77777777" w:rsidR="00E019B5" w:rsidRPr="002522ED" w:rsidRDefault="00E019B5" w:rsidP="005651E0">
      <w:pPr>
        <w:numPr>
          <w:ilvl w:val="0"/>
          <w:numId w:val="26"/>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هل يؤثر الابتكار الإداري على الاستشراف الاستراتيجي؟</w:t>
      </w:r>
    </w:p>
    <w:p w14:paraId="006BDA6E" w14:textId="0E7F45A2" w:rsidR="00E019B5" w:rsidRPr="002522ED" w:rsidRDefault="00E019B5" w:rsidP="005651E0">
      <w:pPr>
        <w:numPr>
          <w:ilvl w:val="0"/>
          <w:numId w:val="26"/>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هل يلعب الاستشراف الاستراتيجي دورًا وسيطًا؟</w:t>
      </w:r>
    </w:p>
    <w:p w14:paraId="488561BA" w14:textId="2ACBEDD6"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صياغة الفرضيات</w:t>
      </w:r>
    </w:p>
    <w:p w14:paraId="37736D6C" w14:textId="11CE3D3D" w:rsidR="00E019B5" w:rsidRPr="002522ED" w:rsidRDefault="00E019B5" w:rsidP="005651E0">
      <w:pPr>
        <w:numPr>
          <w:ilvl w:val="0"/>
          <w:numId w:val="27"/>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صياغة الفرضيات الرئيسية والفرعية بصيغة إحصائية.</w:t>
      </w:r>
    </w:p>
    <w:p w14:paraId="2A7F0C8E" w14:textId="2D7453BC"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الثانية: بناء الإطار النظري</w:t>
      </w:r>
    </w:p>
    <w:p w14:paraId="11710B06" w14:textId="3B88B231"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مراجعة الأدبيات والدراسات السابقة</w:t>
      </w:r>
    </w:p>
    <w:p w14:paraId="38C09B81" w14:textId="77777777" w:rsidR="00E019B5" w:rsidRPr="002522ED" w:rsidRDefault="00E019B5" w:rsidP="005651E0">
      <w:pPr>
        <w:numPr>
          <w:ilvl w:val="0"/>
          <w:numId w:val="28"/>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جمع المراجع الأجنبية والعربية.</w:t>
      </w:r>
    </w:p>
    <w:p w14:paraId="501A71CA" w14:textId="77777777" w:rsidR="00E019B5" w:rsidRPr="002522ED" w:rsidRDefault="00E019B5" w:rsidP="005651E0">
      <w:pPr>
        <w:numPr>
          <w:ilvl w:val="0"/>
          <w:numId w:val="28"/>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تحليل التعريفات والأبعاد.</w:t>
      </w:r>
    </w:p>
    <w:p w14:paraId="012296FC" w14:textId="2FAE3233" w:rsidR="00E019B5" w:rsidRPr="002522ED" w:rsidRDefault="00E019B5" w:rsidP="005651E0">
      <w:pPr>
        <w:numPr>
          <w:ilvl w:val="0"/>
          <w:numId w:val="28"/>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تحديد النموذج النظري.</w:t>
      </w:r>
    </w:p>
    <w:p w14:paraId="282AADE7" w14:textId="47749A12"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المتغيرات وأبعادها</w:t>
      </w:r>
    </w:p>
    <w:p w14:paraId="085E34F6" w14:textId="77777777" w:rsidR="00E019B5" w:rsidRPr="002522ED" w:rsidRDefault="00E019B5" w:rsidP="005651E0">
      <w:pPr>
        <w:numPr>
          <w:ilvl w:val="0"/>
          <w:numId w:val="2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الابتكار الإداري (المستقل)</w:t>
      </w:r>
    </w:p>
    <w:p w14:paraId="21228421" w14:textId="77777777" w:rsidR="00E019B5" w:rsidRPr="002522ED" w:rsidRDefault="00E019B5" w:rsidP="005651E0">
      <w:pPr>
        <w:numPr>
          <w:ilvl w:val="0"/>
          <w:numId w:val="29"/>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الاستشراف الاستراتيجي (الوسيط)</w:t>
      </w:r>
    </w:p>
    <w:p w14:paraId="4FE3F0B8" w14:textId="377C5BCA" w:rsidR="00E019B5" w:rsidRPr="002522ED" w:rsidRDefault="00E019B5" w:rsidP="005651E0">
      <w:pPr>
        <w:numPr>
          <w:ilvl w:val="0"/>
          <w:numId w:val="2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القدرات التوليدية (التابع)</w:t>
      </w:r>
    </w:p>
    <w:p w14:paraId="763F6F96" w14:textId="64C8E82B"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الثالثة: التصميم المنهجي</w:t>
      </w:r>
    </w:p>
    <w:p w14:paraId="49CAEEDB" w14:textId="246D95F9"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lastRenderedPageBreak/>
        <w:t> </w:t>
      </w:r>
      <w:r w:rsidRPr="002522ED">
        <w:rPr>
          <w:rFonts w:eastAsia="Times New Roman" w:cstheme="majorBidi"/>
          <w:color w:val="222222"/>
          <w:kern w:val="0"/>
          <w:rtl/>
          <w14:ligatures w14:val="none"/>
        </w:rPr>
        <w:t>تحديد المنهج</w:t>
      </w:r>
    </w:p>
    <w:p w14:paraId="65825445" w14:textId="5EC06367" w:rsidR="00E019B5" w:rsidRPr="002522ED" w:rsidRDefault="00E019B5" w:rsidP="005651E0">
      <w:pPr>
        <w:numPr>
          <w:ilvl w:val="0"/>
          <w:numId w:val="30"/>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المنهج الوصفي التحليلي.</w:t>
      </w:r>
    </w:p>
    <w:p w14:paraId="28C37AF1" w14:textId="21400A88"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مجتمع الدراسة</w:t>
      </w:r>
    </w:p>
    <w:p w14:paraId="1449CE47" w14:textId="42887C3E" w:rsidR="00E019B5" w:rsidRPr="002522ED" w:rsidRDefault="00E019B5" w:rsidP="005651E0">
      <w:pPr>
        <w:numPr>
          <w:ilvl w:val="0"/>
          <w:numId w:val="31"/>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الشركات التقنية الخاصة السعودية</w:t>
      </w:r>
    </w:p>
    <w:p w14:paraId="6E7B440B" w14:textId="243103C0"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عينة الدراسة</w:t>
      </w:r>
    </w:p>
    <w:p w14:paraId="30770355" w14:textId="77777777" w:rsidR="00E019B5" w:rsidRPr="002522ED" w:rsidRDefault="00E019B5" w:rsidP="005651E0">
      <w:pPr>
        <w:numPr>
          <w:ilvl w:val="0"/>
          <w:numId w:val="32"/>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القيادات العليا.</w:t>
      </w:r>
    </w:p>
    <w:p w14:paraId="4FED0D80" w14:textId="51A47E38" w:rsidR="00E019B5" w:rsidRPr="002522ED" w:rsidRDefault="00E019B5" w:rsidP="005651E0">
      <w:pPr>
        <w:numPr>
          <w:ilvl w:val="0"/>
          <w:numId w:val="32"/>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تحديد حجم العينة المناسب.</w:t>
      </w:r>
    </w:p>
    <w:p w14:paraId="0ACCD89B" w14:textId="05E2518D"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إعداد أداة الدراسة (الاستبانة)</w:t>
      </w:r>
    </w:p>
    <w:p w14:paraId="6F9E56B9" w14:textId="77777777" w:rsidR="00E019B5" w:rsidRPr="002522ED" w:rsidRDefault="00E019B5" w:rsidP="005651E0">
      <w:pPr>
        <w:numPr>
          <w:ilvl w:val="0"/>
          <w:numId w:val="33"/>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صياغة الفقرات من مقاييس علمية.</w:t>
      </w:r>
    </w:p>
    <w:p w14:paraId="2871DBB0" w14:textId="77777777" w:rsidR="00E019B5" w:rsidRPr="002522ED" w:rsidRDefault="00E019B5" w:rsidP="005651E0">
      <w:pPr>
        <w:numPr>
          <w:ilvl w:val="0"/>
          <w:numId w:val="33"/>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عرضها على محكمين (صدق ظاهري).</w:t>
      </w:r>
    </w:p>
    <w:p w14:paraId="40357526" w14:textId="04A3D0A4" w:rsidR="00E019B5" w:rsidRPr="002522ED" w:rsidRDefault="00E019B5" w:rsidP="005651E0">
      <w:pPr>
        <w:numPr>
          <w:ilvl w:val="0"/>
          <w:numId w:val="33"/>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اختبار الصدق والثبات تجريبيًا.</w:t>
      </w:r>
    </w:p>
    <w:p w14:paraId="0D4C5844" w14:textId="3CC5E70D"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الرابعة: جمع البيانات</w:t>
      </w:r>
    </w:p>
    <w:p w14:paraId="32B10020" w14:textId="0A440143"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توزيع الاستبانة</w:t>
      </w:r>
    </w:p>
    <w:p w14:paraId="4B5EA504" w14:textId="77777777" w:rsidR="00E019B5" w:rsidRPr="002522ED" w:rsidRDefault="00E019B5" w:rsidP="005651E0">
      <w:pPr>
        <w:numPr>
          <w:ilvl w:val="0"/>
          <w:numId w:val="34"/>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إلكترونيًا.</w:t>
      </w:r>
    </w:p>
    <w:p w14:paraId="08ED58AF" w14:textId="77777777" w:rsidR="00E019B5" w:rsidRPr="002522ED" w:rsidRDefault="00E019B5" w:rsidP="005651E0">
      <w:pPr>
        <w:numPr>
          <w:ilvl w:val="0"/>
          <w:numId w:val="34"/>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بخطاب رسمي إن أمكن.</w:t>
      </w:r>
    </w:p>
    <w:p w14:paraId="20FAF6BC" w14:textId="3DFC1A3A" w:rsidR="00E019B5" w:rsidRPr="002522ED" w:rsidRDefault="00E019B5" w:rsidP="005651E0">
      <w:pPr>
        <w:numPr>
          <w:ilvl w:val="0"/>
          <w:numId w:val="34"/>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متابعة الاستجابات.</w:t>
      </w:r>
    </w:p>
    <w:p w14:paraId="0D5ED97B" w14:textId="3F175653"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تنقية البيانات</w:t>
      </w:r>
    </w:p>
    <w:p w14:paraId="0AC9FCEF" w14:textId="77777777" w:rsidR="00E019B5" w:rsidRPr="002522ED" w:rsidRDefault="00E019B5" w:rsidP="005651E0">
      <w:pPr>
        <w:numPr>
          <w:ilvl w:val="0"/>
          <w:numId w:val="35"/>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حذف الاستجابات غير المكتملة.</w:t>
      </w:r>
    </w:p>
    <w:p w14:paraId="2A5C2373" w14:textId="0677BB01" w:rsidR="00E019B5" w:rsidRPr="002522ED" w:rsidRDefault="00E019B5" w:rsidP="005651E0">
      <w:pPr>
        <w:numPr>
          <w:ilvl w:val="0"/>
          <w:numId w:val="35"/>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التأكد من جودة البيانات.</w:t>
      </w:r>
    </w:p>
    <w:p w14:paraId="33C3FC7A" w14:textId="32C96199"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الخامسة: التحليل الإحصائي</w:t>
      </w:r>
    </w:p>
    <w:p w14:paraId="2BB18CAA" w14:textId="191532B3"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التحليل الوصفي</w:t>
      </w:r>
    </w:p>
    <w:p w14:paraId="03C252E7" w14:textId="5815E710" w:rsidR="00E019B5" w:rsidRPr="002522ED" w:rsidRDefault="00E019B5" w:rsidP="005651E0">
      <w:pPr>
        <w:numPr>
          <w:ilvl w:val="0"/>
          <w:numId w:val="36"/>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lastRenderedPageBreak/>
        <w:t>المتوسطات والانحرافات.</w:t>
      </w:r>
    </w:p>
    <w:p w14:paraId="279E3AEA" w14:textId="441BA00D"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اختبار الثبات والصدق</w:t>
      </w:r>
    </w:p>
    <w:p w14:paraId="7C46F174" w14:textId="77777777" w:rsidR="00E019B5" w:rsidRPr="002522ED" w:rsidRDefault="00E019B5" w:rsidP="005651E0">
      <w:pPr>
        <w:numPr>
          <w:ilvl w:val="0"/>
          <w:numId w:val="37"/>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14:ligatures w14:val="none"/>
        </w:rPr>
        <w:t>Cronbach’s Alpha</w:t>
      </w:r>
    </w:p>
    <w:p w14:paraId="72B0FE8D" w14:textId="1F108F64" w:rsidR="00E019B5" w:rsidRPr="002522ED" w:rsidRDefault="00E019B5" w:rsidP="005651E0">
      <w:pPr>
        <w:numPr>
          <w:ilvl w:val="0"/>
          <w:numId w:val="37"/>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معاملات الارتباط.</w:t>
      </w:r>
    </w:p>
    <w:p w14:paraId="20C7BBB6" w14:textId="47C99601"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اختبار الفرضيات</w:t>
      </w:r>
    </w:p>
    <w:p w14:paraId="2978EFF0" w14:textId="77777777" w:rsidR="00E019B5" w:rsidRPr="002522ED" w:rsidRDefault="00E019B5" w:rsidP="005651E0">
      <w:pPr>
        <w:numPr>
          <w:ilvl w:val="0"/>
          <w:numId w:val="38"/>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معامل بيرسون.</w:t>
      </w:r>
    </w:p>
    <w:p w14:paraId="1F999438" w14:textId="77777777" w:rsidR="00E019B5" w:rsidRPr="002522ED" w:rsidRDefault="00E019B5" w:rsidP="005651E0">
      <w:pPr>
        <w:numPr>
          <w:ilvl w:val="0"/>
          <w:numId w:val="38"/>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الانحدار البسيط.</w:t>
      </w:r>
    </w:p>
    <w:p w14:paraId="61D7ED80" w14:textId="77777777" w:rsidR="00E019B5" w:rsidRPr="002522ED" w:rsidRDefault="00E019B5" w:rsidP="005651E0">
      <w:pPr>
        <w:numPr>
          <w:ilvl w:val="0"/>
          <w:numId w:val="38"/>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الانحدار المتعدد.</w:t>
      </w:r>
    </w:p>
    <w:p w14:paraId="1FC02414" w14:textId="3DBD6DC6" w:rsidR="00E019B5" w:rsidRPr="002522ED" w:rsidRDefault="00E019B5" w:rsidP="005651E0">
      <w:pPr>
        <w:numPr>
          <w:ilvl w:val="0"/>
          <w:numId w:val="38"/>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اختبار الوساطة.</w:t>
      </w:r>
    </w:p>
    <w:p w14:paraId="78D9BACD" w14:textId="3630D058"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السادسة: تفسير النتائج</w:t>
      </w:r>
    </w:p>
    <w:p w14:paraId="719F4399" w14:textId="5F1D0150"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تحليل النتائج</w:t>
      </w:r>
    </w:p>
    <w:p w14:paraId="05F14324" w14:textId="77777777" w:rsidR="00E019B5" w:rsidRPr="002522ED" w:rsidRDefault="00E019B5" w:rsidP="005651E0">
      <w:pPr>
        <w:numPr>
          <w:ilvl w:val="0"/>
          <w:numId w:val="3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مقارنة النتائج بالدراسات السابقة.</w:t>
      </w:r>
    </w:p>
    <w:p w14:paraId="541423E1" w14:textId="791D6A68" w:rsidR="00E019B5" w:rsidRPr="002522ED" w:rsidRDefault="00E019B5" w:rsidP="005651E0">
      <w:pPr>
        <w:numPr>
          <w:ilvl w:val="0"/>
          <w:numId w:val="3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تفسير العلاقة بين المتغيرات.</w:t>
      </w:r>
    </w:p>
    <w:p w14:paraId="6830BCBD" w14:textId="64730377"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مناقشة النتائج</w:t>
      </w:r>
    </w:p>
    <w:p w14:paraId="30C58C35" w14:textId="77777777" w:rsidR="00E019B5" w:rsidRPr="002522ED" w:rsidRDefault="00E019B5" w:rsidP="005651E0">
      <w:pPr>
        <w:numPr>
          <w:ilvl w:val="0"/>
          <w:numId w:val="40"/>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تفسير منطقي.</w:t>
      </w:r>
    </w:p>
    <w:p w14:paraId="6DD5355E" w14:textId="6CBD3373" w:rsidR="00E019B5" w:rsidRPr="002522ED" w:rsidRDefault="00E019B5" w:rsidP="005651E0">
      <w:pPr>
        <w:numPr>
          <w:ilvl w:val="0"/>
          <w:numId w:val="40"/>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ربطها ببيئة الشركات التقنية السعودية.</w:t>
      </w:r>
    </w:p>
    <w:p w14:paraId="0F0A11D9" w14:textId="5AFB6EFF"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السابعة: التوصيات والاستنتاجات</w:t>
      </w:r>
    </w:p>
    <w:p w14:paraId="1F4AAF9A" w14:textId="3FC2EFAA"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صياغة التوصيات</w:t>
      </w:r>
    </w:p>
    <w:p w14:paraId="0F3F5B79" w14:textId="77777777" w:rsidR="00E019B5" w:rsidRPr="002522ED" w:rsidRDefault="00E019B5" w:rsidP="005651E0">
      <w:pPr>
        <w:numPr>
          <w:ilvl w:val="0"/>
          <w:numId w:val="41"/>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توصيات تطبيقية للشركات.</w:t>
      </w:r>
    </w:p>
    <w:p w14:paraId="10BA5C0A" w14:textId="420B6DEA" w:rsidR="00E019B5" w:rsidRPr="002522ED" w:rsidRDefault="00E019B5" w:rsidP="005651E0">
      <w:pPr>
        <w:numPr>
          <w:ilvl w:val="0"/>
          <w:numId w:val="41"/>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توصيات بحثية مستقبلية.</w:t>
      </w:r>
    </w:p>
    <w:p w14:paraId="264480CB" w14:textId="379195F9" w:rsidR="00D60F02" w:rsidRPr="002522ED" w:rsidRDefault="00E019B5" w:rsidP="00335B72">
      <w:pPr>
        <w:shd w:val="clear" w:color="auto" w:fill="FFFFFF"/>
        <w:bidi/>
        <w:spacing w:after="210"/>
        <w:jc w:val="both"/>
        <w:rPr>
          <w:rFonts w:eastAsia="Times New Roman" w:cstheme="majorBidi"/>
          <w:color w:val="222222"/>
          <w:kern w:val="0"/>
          <w:rtl/>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كتابة الخاتمة</w:t>
      </w:r>
    </w:p>
    <w:p w14:paraId="3A0418A8" w14:textId="08D3FC20" w:rsidR="008F770C" w:rsidRPr="002522ED" w:rsidRDefault="008F770C" w:rsidP="005651E0">
      <w:pPr>
        <w:pStyle w:val="Heading1"/>
        <w:jc w:val="both"/>
        <w:rPr>
          <w:rFonts w:eastAsia="Times New Roman"/>
        </w:rPr>
      </w:pPr>
      <w:r w:rsidRPr="002522ED">
        <w:rPr>
          <w:rFonts w:eastAsia="Times New Roman"/>
          <w:rtl/>
        </w:rPr>
        <w:lastRenderedPageBreak/>
        <w:t xml:space="preserve">قائمة المراجع </w:t>
      </w:r>
    </w:p>
    <w:p w14:paraId="0A6E132C" w14:textId="77777777" w:rsidR="008F770C" w:rsidRPr="002522ED" w:rsidRDefault="008F770C" w:rsidP="002E12D2">
      <w:pPr>
        <w:shd w:val="clear" w:color="auto" w:fill="FFFFFF"/>
        <w:bidi/>
        <w:spacing w:after="0"/>
        <w:rPr>
          <w:rFonts w:eastAsia="Times New Roman" w:cstheme="majorBidi"/>
          <w:color w:val="808080"/>
          <w:kern w:val="0"/>
          <w14:ligatures w14:val="none"/>
        </w:rPr>
      </w:pPr>
    </w:p>
    <w:p w14:paraId="4B71C863"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Abu Tabeekh, L. S., &amp; Abdullah, A. M. (2025). The impact of strategic renewal on organizational innovation. </w:t>
      </w:r>
      <w:r w:rsidRPr="002522ED">
        <w:rPr>
          <w:rFonts w:eastAsia="Times New Roman" w:cstheme="majorBidi"/>
          <w:i/>
          <w:iCs/>
          <w:color w:val="222222"/>
          <w:kern w:val="0"/>
          <w14:ligatures w14:val="none"/>
        </w:rPr>
        <w:t>Journal of Kufa Studies Center</w:t>
      </w:r>
      <w:r w:rsidRPr="002522ED">
        <w:rPr>
          <w:rFonts w:eastAsia="Times New Roman" w:cstheme="majorBidi"/>
          <w:color w:val="222222"/>
          <w:kern w:val="0"/>
          <w14:ligatures w14:val="none"/>
        </w:rPr>
        <w:t xml:space="preserve">. </w:t>
      </w:r>
      <w:hyperlink r:id="rId8" w:tgtFrame="_new" w:history="1">
        <w:r w:rsidRPr="002522ED">
          <w:rPr>
            <w:rStyle w:val="Hyperlink"/>
            <w:rFonts w:eastAsia="Times New Roman" w:cstheme="majorBidi"/>
            <w:kern w:val="0"/>
            <w14:ligatures w14:val="none"/>
          </w:rPr>
          <w:t>https://journal.uokufa.edu.iq/index.php/ksc/article/view/19745</w:t>
        </w:r>
      </w:hyperlink>
    </w:p>
    <w:p w14:paraId="6721510F" w14:textId="77777777" w:rsidR="00081675" w:rsidRPr="002522ED" w:rsidRDefault="00081675" w:rsidP="002E12D2">
      <w:pPr>
        <w:shd w:val="clear" w:color="auto" w:fill="FFFFFF"/>
        <w:bidi/>
        <w:spacing w:after="180"/>
        <w:rPr>
          <w:rFonts w:eastAsia="Times New Roman" w:cstheme="majorBidi"/>
          <w:color w:val="222222"/>
          <w:kern w:val="0"/>
          <w14:ligatures w14:val="none"/>
        </w:rPr>
      </w:pPr>
      <w:proofErr w:type="spellStart"/>
      <w:r w:rsidRPr="002522ED">
        <w:rPr>
          <w:rFonts w:eastAsia="Times New Roman" w:cstheme="majorBidi"/>
          <w:color w:val="222222"/>
          <w:kern w:val="0"/>
          <w14:ligatures w14:val="none"/>
        </w:rPr>
        <w:t>Ajlouni</w:t>
      </w:r>
      <w:proofErr w:type="spellEnd"/>
      <w:r w:rsidRPr="002522ED">
        <w:rPr>
          <w:rFonts w:eastAsia="Times New Roman" w:cstheme="majorBidi"/>
          <w:color w:val="222222"/>
          <w:kern w:val="0"/>
          <w14:ligatures w14:val="none"/>
        </w:rPr>
        <w:t xml:space="preserve">, A. S. A., &amp; Effendi, A. H. (2025). The role of effective delegation in enhancing administrative innovation and improving job performance efficiency in the government sector: An applied study from the supervisory management perspective. </w:t>
      </w:r>
      <w:r w:rsidRPr="002522ED">
        <w:rPr>
          <w:rFonts w:eastAsia="Times New Roman" w:cstheme="majorBidi"/>
          <w:i/>
          <w:iCs/>
          <w:color w:val="222222"/>
          <w:kern w:val="0"/>
          <w14:ligatures w14:val="none"/>
        </w:rPr>
        <w:t>An-Najah University Journal for Law and Economics, 2</w:t>
      </w:r>
      <w:r w:rsidRPr="002522ED">
        <w:rPr>
          <w:rFonts w:eastAsia="Times New Roman" w:cstheme="majorBidi"/>
          <w:color w:val="222222"/>
          <w:kern w:val="0"/>
          <w14:ligatures w14:val="none"/>
        </w:rPr>
        <w:t xml:space="preserve">(2), 83–100. </w:t>
      </w:r>
      <w:hyperlink r:id="rId9" w:tgtFrame="_new" w:history="1">
        <w:r w:rsidRPr="002522ED">
          <w:rPr>
            <w:rStyle w:val="Hyperlink"/>
            <w:rFonts w:eastAsia="Times New Roman" w:cstheme="majorBidi"/>
            <w:kern w:val="0"/>
            <w14:ligatures w14:val="none"/>
          </w:rPr>
          <w:t>https://doi.org/10.35552/anujrle.2.2.2595</w:t>
        </w:r>
      </w:hyperlink>
    </w:p>
    <w:p w14:paraId="042F9727"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Amabile, T. M. (1996). </w:t>
      </w:r>
      <w:r w:rsidRPr="002522ED">
        <w:rPr>
          <w:rFonts w:eastAsia="Times New Roman" w:cstheme="majorBidi"/>
          <w:i/>
          <w:iCs/>
          <w:color w:val="222222"/>
          <w:kern w:val="0"/>
          <w14:ligatures w14:val="none"/>
        </w:rPr>
        <w:t>Creativity in context</w:t>
      </w:r>
      <w:r w:rsidRPr="002522ED">
        <w:rPr>
          <w:rFonts w:eastAsia="Times New Roman" w:cstheme="majorBidi"/>
          <w:color w:val="222222"/>
          <w:kern w:val="0"/>
          <w14:ligatures w14:val="none"/>
        </w:rPr>
        <w:t>. Westview Press.</w:t>
      </w:r>
    </w:p>
    <w:p w14:paraId="30C65975"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Birkinshaw, J., Hamel, G., &amp; Mol, M. J. (2008). Management innovation. </w:t>
      </w:r>
      <w:r w:rsidRPr="002522ED">
        <w:rPr>
          <w:rFonts w:eastAsia="Times New Roman" w:cstheme="majorBidi"/>
          <w:i/>
          <w:iCs/>
          <w:color w:val="222222"/>
          <w:kern w:val="0"/>
          <w14:ligatures w14:val="none"/>
        </w:rPr>
        <w:t>Academy of Management Review, 33</w:t>
      </w:r>
      <w:r w:rsidRPr="002522ED">
        <w:rPr>
          <w:rFonts w:eastAsia="Times New Roman" w:cstheme="majorBidi"/>
          <w:color w:val="222222"/>
          <w:kern w:val="0"/>
          <w14:ligatures w14:val="none"/>
        </w:rPr>
        <w:t xml:space="preserve">(4), 825–845. </w:t>
      </w:r>
      <w:hyperlink r:id="rId10" w:tgtFrame="_new" w:history="1">
        <w:r w:rsidRPr="002522ED">
          <w:rPr>
            <w:rStyle w:val="Hyperlink"/>
            <w:rFonts w:eastAsia="Times New Roman" w:cstheme="majorBidi"/>
            <w:kern w:val="0"/>
            <w14:ligatures w14:val="none"/>
          </w:rPr>
          <w:t>https://doi.org/10.5465/amr.2008.34421969</w:t>
        </w:r>
      </w:hyperlink>
    </w:p>
    <w:p w14:paraId="4462B060"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Cohen, W. M., &amp; Levinthal, D. A. (1990). Absorptive capacity: A new perspective on learning and innovation. </w:t>
      </w:r>
      <w:r w:rsidRPr="002522ED">
        <w:rPr>
          <w:rFonts w:eastAsia="Times New Roman" w:cstheme="majorBidi"/>
          <w:i/>
          <w:iCs/>
          <w:color w:val="222222"/>
          <w:kern w:val="0"/>
          <w14:ligatures w14:val="none"/>
        </w:rPr>
        <w:t>Administrative Science Quarterly, 35</w:t>
      </w:r>
      <w:r w:rsidRPr="002522ED">
        <w:rPr>
          <w:rFonts w:eastAsia="Times New Roman" w:cstheme="majorBidi"/>
          <w:color w:val="222222"/>
          <w:kern w:val="0"/>
          <w14:ligatures w14:val="none"/>
        </w:rPr>
        <w:t xml:space="preserve">(1), 128–152. </w:t>
      </w:r>
      <w:hyperlink r:id="rId11" w:tgtFrame="_new" w:history="1">
        <w:r w:rsidRPr="002522ED">
          <w:rPr>
            <w:rStyle w:val="Hyperlink"/>
            <w:rFonts w:eastAsia="Times New Roman" w:cstheme="majorBidi"/>
            <w:kern w:val="0"/>
            <w14:ligatures w14:val="none"/>
          </w:rPr>
          <w:t>https://doi.org/10.2307/2393553</w:t>
        </w:r>
      </w:hyperlink>
    </w:p>
    <w:p w14:paraId="191528AC"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Daft, R. L., &amp; Marcic, D. (2023). </w:t>
      </w:r>
      <w:r w:rsidRPr="002522ED">
        <w:rPr>
          <w:rFonts w:eastAsia="Times New Roman" w:cstheme="majorBidi"/>
          <w:i/>
          <w:iCs/>
          <w:color w:val="222222"/>
          <w:kern w:val="0"/>
          <w14:ligatures w14:val="none"/>
        </w:rPr>
        <w:t>Understanding management</w:t>
      </w:r>
      <w:r w:rsidRPr="002522ED">
        <w:rPr>
          <w:rFonts w:eastAsia="Times New Roman" w:cstheme="majorBidi"/>
          <w:color w:val="222222"/>
          <w:kern w:val="0"/>
          <w14:ligatures w14:val="none"/>
        </w:rPr>
        <w:t xml:space="preserve"> (12th ed.). Cengage Learning.</w:t>
      </w:r>
    </w:p>
    <w:p w14:paraId="5BC60122" w14:textId="77777777" w:rsidR="00081675" w:rsidRPr="002522ED" w:rsidRDefault="00081675" w:rsidP="002E12D2">
      <w:pPr>
        <w:shd w:val="clear" w:color="auto" w:fill="FFFFFF"/>
        <w:bidi/>
        <w:spacing w:after="180"/>
        <w:rPr>
          <w:rFonts w:eastAsia="Times New Roman" w:cstheme="majorBidi"/>
          <w:color w:val="222222"/>
          <w:kern w:val="0"/>
          <w14:ligatures w14:val="none"/>
        </w:rPr>
      </w:pPr>
      <w:proofErr w:type="spellStart"/>
      <w:r w:rsidRPr="002522ED">
        <w:rPr>
          <w:rFonts w:eastAsia="Times New Roman" w:cstheme="majorBidi"/>
          <w:color w:val="222222"/>
          <w:kern w:val="0"/>
          <w14:ligatures w14:val="none"/>
        </w:rPr>
        <w:t>Damanpour</w:t>
      </w:r>
      <w:proofErr w:type="spellEnd"/>
      <w:r w:rsidRPr="002522ED">
        <w:rPr>
          <w:rFonts w:eastAsia="Times New Roman" w:cstheme="majorBidi"/>
          <w:color w:val="222222"/>
          <w:kern w:val="0"/>
          <w14:ligatures w14:val="none"/>
        </w:rPr>
        <w:t xml:space="preserve">, F. (1991). Organizational innovation: A meta-analysis of effects of determinants and moderators. </w:t>
      </w:r>
      <w:r w:rsidRPr="002522ED">
        <w:rPr>
          <w:rFonts w:eastAsia="Times New Roman" w:cstheme="majorBidi"/>
          <w:i/>
          <w:iCs/>
          <w:color w:val="222222"/>
          <w:kern w:val="0"/>
          <w14:ligatures w14:val="none"/>
        </w:rPr>
        <w:t>Academy of Management Journal, 34</w:t>
      </w:r>
      <w:r w:rsidRPr="002522ED">
        <w:rPr>
          <w:rFonts w:eastAsia="Times New Roman" w:cstheme="majorBidi"/>
          <w:color w:val="222222"/>
          <w:kern w:val="0"/>
          <w14:ligatures w14:val="none"/>
        </w:rPr>
        <w:t xml:space="preserve">(3), 555–590. </w:t>
      </w:r>
      <w:hyperlink r:id="rId12" w:tgtFrame="_new" w:history="1">
        <w:r w:rsidRPr="002522ED">
          <w:rPr>
            <w:rStyle w:val="Hyperlink"/>
            <w:rFonts w:eastAsia="Times New Roman" w:cstheme="majorBidi"/>
            <w:kern w:val="0"/>
            <w14:ligatures w14:val="none"/>
          </w:rPr>
          <w:t>https://doi.org/10.5465/256406</w:t>
        </w:r>
      </w:hyperlink>
    </w:p>
    <w:p w14:paraId="56266D76" w14:textId="77777777" w:rsidR="00081675" w:rsidRPr="002522ED" w:rsidRDefault="00081675" w:rsidP="002E12D2">
      <w:pPr>
        <w:shd w:val="clear" w:color="auto" w:fill="FFFFFF"/>
        <w:bidi/>
        <w:spacing w:after="180"/>
        <w:rPr>
          <w:rFonts w:eastAsia="Times New Roman" w:cstheme="majorBidi"/>
          <w:color w:val="222222"/>
          <w:kern w:val="0"/>
          <w14:ligatures w14:val="none"/>
        </w:rPr>
      </w:pPr>
      <w:proofErr w:type="spellStart"/>
      <w:r w:rsidRPr="002522ED">
        <w:rPr>
          <w:rFonts w:eastAsia="Times New Roman" w:cstheme="majorBidi"/>
          <w:color w:val="222222"/>
          <w:kern w:val="0"/>
          <w14:ligatures w14:val="none"/>
        </w:rPr>
        <w:t>Damanpour</w:t>
      </w:r>
      <w:proofErr w:type="spellEnd"/>
      <w:r w:rsidRPr="002522ED">
        <w:rPr>
          <w:rFonts w:eastAsia="Times New Roman" w:cstheme="majorBidi"/>
          <w:color w:val="222222"/>
          <w:kern w:val="0"/>
          <w14:ligatures w14:val="none"/>
        </w:rPr>
        <w:t xml:space="preserve">, F., &amp; Aravind, D. (2012). Managerial innovation: Conceptions, processes, and antecedents. </w:t>
      </w:r>
      <w:r w:rsidRPr="002522ED">
        <w:rPr>
          <w:rFonts w:eastAsia="Times New Roman" w:cstheme="majorBidi"/>
          <w:i/>
          <w:iCs/>
          <w:color w:val="222222"/>
          <w:kern w:val="0"/>
          <w14:ligatures w14:val="none"/>
        </w:rPr>
        <w:t>Management and Organization Review, 8</w:t>
      </w:r>
      <w:r w:rsidRPr="002522ED">
        <w:rPr>
          <w:rFonts w:eastAsia="Times New Roman" w:cstheme="majorBidi"/>
          <w:color w:val="222222"/>
          <w:kern w:val="0"/>
          <w14:ligatures w14:val="none"/>
        </w:rPr>
        <w:t xml:space="preserve">(2), 423–454. </w:t>
      </w:r>
      <w:hyperlink r:id="rId13" w:tgtFrame="_new" w:history="1">
        <w:r w:rsidRPr="002522ED">
          <w:rPr>
            <w:rStyle w:val="Hyperlink"/>
            <w:rFonts w:eastAsia="Times New Roman" w:cstheme="majorBidi"/>
            <w:kern w:val="0"/>
            <w14:ligatures w14:val="none"/>
          </w:rPr>
          <w:t>https://doi.org/10.1111/j.1740-8784.2011.00233.x</w:t>
        </w:r>
      </w:hyperlink>
    </w:p>
    <w:p w14:paraId="1B42283A"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Dorow, P. F., Iriarte, J., &amp; Silva, C. (2015). Idea generation for innovation: A systematic review and future research directions. </w:t>
      </w:r>
      <w:r w:rsidRPr="002522ED">
        <w:rPr>
          <w:rFonts w:eastAsia="Times New Roman" w:cstheme="majorBidi"/>
          <w:i/>
          <w:iCs/>
          <w:color w:val="222222"/>
          <w:kern w:val="0"/>
          <w14:ligatures w14:val="none"/>
        </w:rPr>
        <w:t>International Journal of Innovation Management, 19</w:t>
      </w:r>
      <w:r w:rsidRPr="002522ED">
        <w:rPr>
          <w:rFonts w:eastAsia="Times New Roman" w:cstheme="majorBidi"/>
          <w:color w:val="222222"/>
          <w:kern w:val="0"/>
          <w14:ligatures w14:val="none"/>
        </w:rPr>
        <w:t xml:space="preserve">(1), 1530001. </w:t>
      </w:r>
      <w:hyperlink r:id="rId14" w:tgtFrame="_new" w:history="1">
        <w:r w:rsidRPr="002522ED">
          <w:rPr>
            <w:rStyle w:val="Hyperlink"/>
            <w:rFonts w:eastAsia="Times New Roman" w:cstheme="majorBidi"/>
            <w:kern w:val="0"/>
            <w14:ligatures w14:val="none"/>
          </w:rPr>
          <w:t>https://doi.org/10.1142/S1363919615300015</w:t>
        </w:r>
      </w:hyperlink>
    </w:p>
    <w:p w14:paraId="540E032C"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lastRenderedPageBreak/>
        <w:t xml:space="preserve">Ettinger, A. (2025). Enterprise architecture as a dynamic capability for scalable and sustainable generative AI adoption: Bridging innovation and governance in large </w:t>
      </w:r>
      <w:proofErr w:type="spellStart"/>
      <w:r w:rsidRPr="002522ED">
        <w:rPr>
          <w:rFonts w:eastAsia="Times New Roman" w:cstheme="majorBidi"/>
          <w:color w:val="222222"/>
          <w:kern w:val="0"/>
          <w14:ligatures w14:val="none"/>
        </w:rPr>
        <w:t>organisations</w:t>
      </w:r>
      <w:proofErr w:type="spellEnd"/>
      <w:r w:rsidRPr="002522ED">
        <w:rPr>
          <w:rFonts w:eastAsia="Times New Roman" w:cstheme="majorBidi"/>
          <w:color w:val="222222"/>
          <w:kern w:val="0"/>
          <w14:ligatures w14:val="none"/>
        </w:rPr>
        <w:t xml:space="preserve">. </w:t>
      </w:r>
      <w:proofErr w:type="spellStart"/>
      <w:r w:rsidRPr="002522ED">
        <w:rPr>
          <w:rFonts w:eastAsia="Times New Roman" w:cstheme="majorBidi"/>
          <w:i/>
          <w:iCs/>
          <w:color w:val="222222"/>
          <w:kern w:val="0"/>
          <w14:ligatures w14:val="none"/>
        </w:rPr>
        <w:t>arXiv</w:t>
      </w:r>
      <w:proofErr w:type="spellEnd"/>
      <w:r w:rsidRPr="002522ED">
        <w:rPr>
          <w:rFonts w:eastAsia="Times New Roman" w:cstheme="majorBidi"/>
          <w:color w:val="222222"/>
          <w:kern w:val="0"/>
          <w14:ligatures w14:val="none"/>
        </w:rPr>
        <w:t xml:space="preserve">. </w:t>
      </w:r>
      <w:hyperlink r:id="rId15" w:tgtFrame="_new" w:history="1">
        <w:r w:rsidRPr="002522ED">
          <w:rPr>
            <w:rStyle w:val="Hyperlink"/>
            <w:rFonts w:eastAsia="Times New Roman" w:cstheme="majorBidi"/>
            <w:kern w:val="0"/>
            <w14:ligatures w14:val="none"/>
          </w:rPr>
          <w:t>https://doi.org/10.48550/arXiv.2505.06326</w:t>
        </w:r>
      </w:hyperlink>
    </w:p>
    <w:p w14:paraId="389CA17A"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Guo, J., Cui, L., Sun, S. L., &amp; Zou, B. (2022). How to innovate continuously? Conceptualizing generative capability. </w:t>
      </w:r>
      <w:r w:rsidRPr="002522ED">
        <w:rPr>
          <w:rFonts w:eastAsia="Times New Roman" w:cstheme="majorBidi"/>
          <w:i/>
          <w:iCs/>
          <w:color w:val="222222"/>
          <w:kern w:val="0"/>
          <w14:ligatures w14:val="none"/>
        </w:rPr>
        <w:t>Journal of Innovation &amp; Knowledge, 7</w:t>
      </w:r>
      <w:r w:rsidRPr="002522ED">
        <w:rPr>
          <w:rFonts w:eastAsia="Times New Roman" w:cstheme="majorBidi"/>
          <w:color w:val="222222"/>
          <w:kern w:val="0"/>
          <w14:ligatures w14:val="none"/>
        </w:rPr>
        <w:t xml:space="preserve">(2), 100177. </w:t>
      </w:r>
      <w:hyperlink r:id="rId16" w:tgtFrame="_new" w:history="1">
        <w:r w:rsidRPr="002522ED">
          <w:rPr>
            <w:rStyle w:val="Hyperlink"/>
            <w:rFonts w:eastAsia="Times New Roman" w:cstheme="majorBidi"/>
            <w:kern w:val="0"/>
            <w14:ligatures w14:val="none"/>
          </w:rPr>
          <w:t>https://doi.org/10.1016/j.jik.2022.100177</w:t>
        </w:r>
      </w:hyperlink>
    </w:p>
    <w:p w14:paraId="6BEB8DC6"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Hamel, G. (2006). The why, what, and how of management innovation. </w:t>
      </w:r>
      <w:r w:rsidRPr="002522ED">
        <w:rPr>
          <w:rFonts w:eastAsia="Times New Roman" w:cstheme="majorBidi"/>
          <w:i/>
          <w:iCs/>
          <w:color w:val="222222"/>
          <w:kern w:val="0"/>
          <w14:ligatures w14:val="none"/>
        </w:rPr>
        <w:t>Harvard Business Review, 84</w:t>
      </w:r>
      <w:r w:rsidRPr="002522ED">
        <w:rPr>
          <w:rFonts w:eastAsia="Times New Roman" w:cstheme="majorBidi"/>
          <w:color w:val="222222"/>
          <w:kern w:val="0"/>
          <w14:ligatures w14:val="none"/>
        </w:rPr>
        <w:t>(2), 72–84.</w:t>
      </w:r>
    </w:p>
    <w:p w14:paraId="46AAD792" w14:textId="77777777" w:rsidR="00081675" w:rsidRPr="002522ED" w:rsidRDefault="00081675" w:rsidP="002E12D2">
      <w:pPr>
        <w:shd w:val="clear" w:color="auto" w:fill="FFFFFF"/>
        <w:bidi/>
        <w:spacing w:after="180"/>
        <w:rPr>
          <w:rFonts w:eastAsia="Times New Roman" w:cstheme="majorBidi"/>
          <w:color w:val="222222"/>
          <w:kern w:val="0"/>
          <w14:ligatures w14:val="none"/>
        </w:rPr>
      </w:pPr>
      <w:proofErr w:type="spellStart"/>
      <w:r w:rsidRPr="002522ED">
        <w:rPr>
          <w:rFonts w:eastAsia="Times New Roman" w:cstheme="majorBidi"/>
          <w:color w:val="222222"/>
          <w:kern w:val="0"/>
          <w14:ligatures w14:val="none"/>
        </w:rPr>
        <w:t>Moghadamrad</w:t>
      </w:r>
      <w:proofErr w:type="spellEnd"/>
      <w:r w:rsidRPr="002522ED">
        <w:rPr>
          <w:rFonts w:eastAsia="Times New Roman" w:cstheme="majorBidi"/>
          <w:color w:val="222222"/>
          <w:kern w:val="0"/>
          <w14:ligatures w14:val="none"/>
        </w:rPr>
        <w:t xml:space="preserve">, S., &amp; Ali, M. (2024). Strategic foresight and business model innovation: The sequential mediating role of sensemaking and learning. </w:t>
      </w:r>
      <w:r w:rsidRPr="002522ED">
        <w:rPr>
          <w:rFonts w:eastAsia="Times New Roman" w:cstheme="majorBidi"/>
          <w:i/>
          <w:iCs/>
          <w:color w:val="222222"/>
          <w:kern w:val="0"/>
          <w14:ligatures w14:val="none"/>
        </w:rPr>
        <w:t>Technological Forecasting and Social Change, 200</w:t>
      </w:r>
      <w:r w:rsidRPr="002522ED">
        <w:rPr>
          <w:rFonts w:eastAsia="Times New Roman" w:cstheme="majorBidi"/>
          <w:color w:val="222222"/>
          <w:kern w:val="0"/>
          <w14:ligatures w14:val="none"/>
        </w:rPr>
        <w:t xml:space="preserve">, 123095. </w:t>
      </w:r>
      <w:hyperlink r:id="rId17" w:tgtFrame="_new" w:history="1">
        <w:r w:rsidRPr="002522ED">
          <w:rPr>
            <w:rStyle w:val="Hyperlink"/>
            <w:rFonts w:eastAsia="Times New Roman" w:cstheme="majorBidi"/>
            <w:kern w:val="0"/>
            <w14:ligatures w14:val="none"/>
          </w:rPr>
          <w:t>https://doi.org/10.1016/j.techfore.2023.123095</w:t>
        </w:r>
      </w:hyperlink>
    </w:p>
    <w:p w14:paraId="231CD295"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Mubarak, M. F., Jucevicius, G., Shabbir, M., </w:t>
      </w:r>
      <w:proofErr w:type="spellStart"/>
      <w:r w:rsidRPr="002522ED">
        <w:rPr>
          <w:rFonts w:eastAsia="Times New Roman" w:cstheme="majorBidi"/>
          <w:color w:val="222222"/>
          <w:kern w:val="0"/>
          <w14:ligatures w14:val="none"/>
        </w:rPr>
        <w:t>Petraite</w:t>
      </w:r>
      <w:proofErr w:type="spellEnd"/>
      <w:r w:rsidRPr="002522ED">
        <w:rPr>
          <w:rFonts w:eastAsia="Times New Roman" w:cstheme="majorBidi"/>
          <w:color w:val="222222"/>
          <w:kern w:val="0"/>
          <w14:ligatures w14:val="none"/>
        </w:rPr>
        <w:t xml:space="preserve">̇, M., </w:t>
      </w:r>
      <w:proofErr w:type="spellStart"/>
      <w:r w:rsidRPr="002522ED">
        <w:rPr>
          <w:rFonts w:eastAsia="Times New Roman" w:cstheme="majorBidi"/>
          <w:color w:val="222222"/>
          <w:kern w:val="0"/>
          <w14:ligatures w14:val="none"/>
        </w:rPr>
        <w:t>Ghobakhloo</w:t>
      </w:r>
      <w:proofErr w:type="spellEnd"/>
      <w:r w:rsidRPr="002522ED">
        <w:rPr>
          <w:rFonts w:eastAsia="Times New Roman" w:cstheme="majorBidi"/>
          <w:color w:val="222222"/>
          <w:kern w:val="0"/>
          <w14:ligatures w14:val="none"/>
        </w:rPr>
        <w:t xml:space="preserve">, M., &amp; Evans, R. (2025). Strategic foresight, knowledge management, and open innovation: Drivers of new product development success. </w:t>
      </w:r>
      <w:r w:rsidRPr="002522ED">
        <w:rPr>
          <w:rFonts w:eastAsia="Times New Roman" w:cstheme="majorBidi"/>
          <w:i/>
          <w:iCs/>
          <w:color w:val="222222"/>
          <w:kern w:val="0"/>
          <w14:ligatures w14:val="none"/>
        </w:rPr>
        <w:t>Journal of Innovation &amp; Knowledge, 10</w:t>
      </w:r>
      <w:r w:rsidRPr="002522ED">
        <w:rPr>
          <w:rFonts w:eastAsia="Times New Roman" w:cstheme="majorBidi"/>
          <w:color w:val="222222"/>
          <w:kern w:val="0"/>
          <w14:ligatures w14:val="none"/>
        </w:rPr>
        <w:t xml:space="preserve">(2), 100654. </w:t>
      </w:r>
      <w:hyperlink r:id="rId18" w:tgtFrame="_new" w:history="1">
        <w:r w:rsidRPr="002522ED">
          <w:rPr>
            <w:rStyle w:val="Hyperlink"/>
            <w:rFonts w:eastAsia="Times New Roman" w:cstheme="majorBidi"/>
            <w:kern w:val="0"/>
            <w14:ligatures w14:val="none"/>
          </w:rPr>
          <w:t>https://doi.org/10.1016/j.jik.2024.100654</w:t>
        </w:r>
      </w:hyperlink>
    </w:p>
    <w:p w14:paraId="23C7701A"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Niguse, T., Tessema, M., &amp; Kebede, Y. (2025). Effect of strategic alignment and strategic foresight on competitive advantage: The mediating role of human capital. </w:t>
      </w:r>
      <w:r w:rsidRPr="002522ED">
        <w:rPr>
          <w:rFonts w:eastAsia="Times New Roman" w:cstheme="majorBidi"/>
          <w:i/>
          <w:iCs/>
          <w:color w:val="222222"/>
          <w:kern w:val="0"/>
          <w14:ligatures w14:val="none"/>
        </w:rPr>
        <w:t>Future Business Journal, 11</w:t>
      </w:r>
      <w:r w:rsidRPr="002522ED">
        <w:rPr>
          <w:rFonts w:eastAsia="Times New Roman" w:cstheme="majorBidi"/>
          <w:color w:val="222222"/>
          <w:kern w:val="0"/>
          <w14:ligatures w14:val="none"/>
        </w:rPr>
        <w:t xml:space="preserve">, 161. </w:t>
      </w:r>
      <w:hyperlink r:id="rId19" w:tgtFrame="_new" w:history="1">
        <w:r w:rsidRPr="002522ED">
          <w:rPr>
            <w:rStyle w:val="Hyperlink"/>
            <w:rFonts w:eastAsia="Times New Roman" w:cstheme="majorBidi"/>
            <w:kern w:val="0"/>
            <w14:ligatures w14:val="none"/>
          </w:rPr>
          <w:t>https://doi.org/10.1186/s43093-025-00361-0</w:t>
        </w:r>
      </w:hyperlink>
    </w:p>
    <w:p w14:paraId="35246459"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Nonaka, I., &amp; Takeuchi, H. (1995). </w:t>
      </w:r>
      <w:r w:rsidRPr="002522ED">
        <w:rPr>
          <w:rFonts w:eastAsia="Times New Roman" w:cstheme="majorBidi"/>
          <w:i/>
          <w:iCs/>
          <w:color w:val="222222"/>
          <w:kern w:val="0"/>
          <w14:ligatures w14:val="none"/>
        </w:rPr>
        <w:t>The knowledge-creating company: How Japanese companies create the dynamics of innovation</w:t>
      </w:r>
      <w:r w:rsidRPr="002522ED">
        <w:rPr>
          <w:rFonts w:eastAsia="Times New Roman" w:cstheme="majorBidi"/>
          <w:color w:val="222222"/>
          <w:kern w:val="0"/>
          <w14:ligatures w14:val="none"/>
        </w:rPr>
        <w:t>. Oxford University Press.</w:t>
      </w:r>
    </w:p>
    <w:p w14:paraId="502A6813"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OECD. (2022). </w:t>
      </w:r>
      <w:r w:rsidRPr="002522ED">
        <w:rPr>
          <w:rFonts w:eastAsia="Times New Roman" w:cstheme="majorBidi"/>
          <w:i/>
          <w:iCs/>
          <w:color w:val="222222"/>
          <w:kern w:val="0"/>
          <w14:ligatures w14:val="none"/>
        </w:rPr>
        <w:t>Strategic foresight for better policies: Building effective governance in the face of uncertainty</w:t>
      </w:r>
      <w:r w:rsidRPr="002522ED">
        <w:rPr>
          <w:rFonts w:eastAsia="Times New Roman" w:cstheme="majorBidi"/>
          <w:color w:val="222222"/>
          <w:kern w:val="0"/>
          <w14:ligatures w14:val="none"/>
        </w:rPr>
        <w:t xml:space="preserve">. OECD Publishing. </w:t>
      </w:r>
      <w:hyperlink r:id="rId20" w:tgtFrame="_new" w:history="1">
        <w:r w:rsidRPr="002522ED">
          <w:rPr>
            <w:rStyle w:val="Hyperlink"/>
            <w:rFonts w:eastAsia="Times New Roman" w:cstheme="majorBidi"/>
            <w:kern w:val="0"/>
            <w14:ligatures w14:val="none"/>
          </w:rPr>
          <w:t>https://doi.org/10.1787/0a4f7a5e-en</w:t>
        </w:r>
      </w:hyperlink>
    </w:p>
    <w:p w14:paraId="05E76E28"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OECD/Eurostat. (2018). </w:t>
      </w:r>
      <w:r w:rsidRPr="002522ED">
        <w:rPr>
          <w:rFonts w:eastAsia="Times New Roman" w:cstheme="majorBidi"/>
          <w:i/>
          <w:iCs/>
          <w:color w:val="222222"/>
          <w:kern w:val="0"/>
          <w14:ligatures w14:val="none"/>
        </w:rPr>
        <w:t>Oslo manual 2018: Guidelines for collecting, reporting and using data on innovation</w:t>
      </w:r>
      <w:r w:rsidRPr="002522ED">
        <w:rPr>
          <w:rFonts w:eastAsia="Times New Roman" w:cstheme="majorBidi"/>
          <w:color w:val="222222"/>
          <w:kern w:val="0"/>
          <w14:ligatures w14:val="none"/>
        </w:rPr>
        <w:t xml:space="preserve"> (4th ed.). OECD Publishing. </w:t>
      </w:r>
      <w:hyperlink r:id="rId21" w:tgtFrame="_new" w:history="1">
        <w:r w:rsidRPr="002522ED">
          <w:rPr>
            <w:rStyle w:val="Hyperlink"/>
            <w:rFonts w:eastAsia="Times New Roman" w:cstheme="majorBidi"/>
            <w:kern w:val="0"/>
            <w14:ligatures w14:val="none"/>
          </w:rPr>
          <w:t>https://doi.org/10.1787/9789264304604-en</w:t>
        </w:r>
      </w:hyperlink>
    </w:p>
    <w:p w14:paraId="1A79B26D"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Ozen, O., &amp; Ozturk-Kose, E. (2023). Management innovation: The role of internal, external factors, and business group affiliation. </w:t>
      </w:r>
      <w:r w:rsidRPr="002522ED">
        <w:rPr>
          <w:rFonts w:eastAsia="Times New Roman" w:cstheme="majorBidi"/>
          <w:i/>
          <w:iCs/>
          <w:color w:val="222222"/>
          <w:kern w:val="0"/>
          <w14:ligatures w14:val="none"/>
        </w:rPr>
        <w:t>Journal of Business Research, 164</w:t>
      </w:r>
      <w:r w:rsidRPr="002522ED">
        <w:rPr>
          <w:rFonts w:eastAsia="Times New Roman" w:cstheme="majorBidi"/>
          <w:color w:val="222222"/>
          <w:kern w:val="0"/>
          <w14:ligatures w14:val="none"/>
        </w:rPr>
        <w:t xml:space="preserve">, 113964. </w:t>
      </w:r>
      <w:hyperlink r:id="rId22" w:tgtFrame="_new" w:history="1">
        <w:r w:rsidRPr="002522ED">
          <w:rPr>
            <w:rStyle w:val="Hyperlink"/>
            <w:rFonts w:eastAsia="Times New Roman" w:cstheme="majorBidi"/>
            <w:kern w:val="0"/>
            <w14:ligatures w14:val="none"/>
          </w:rPr>
          <w:t>https://doi.org/10.1016/j.jbusres.2023.113964</w:t>
        </w:r>
      </w:hyperlink>
    </w:p>
    <w:p w14:paraId="49BEB46C"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lastRenderedPageBreak/>
        <w:t xml:space="preserve">Pu, T., Li, Y., &amp; </w:t>
      </w:r>
      <w:proofErr w:type="spellStart"/>
      <w:r w:rsidRPr="002522ED">
        <w:rPr>
          <w:rFonts w:eastAsia="Times New Roman" w:cstheme="majorBidi"/>
          <w:color w:val="222222"/>
          <w:kern w:val="0"/>
          <w14:ligatures w14:val="none"/>
        </w:rPr>
        <w:t>Zulkafli</w:t>
      </w:r>
      <w:proofErr w:type="spellEnd"/>
      <w:r w:rsidRPr="002522ED">
        <w:rPr>
          <w:rFonts w:eastAsia="Times New Roman" w:cstheme="majorBidi"/>
          <w:color w:val="222222"/>
          <w:kern w:val="0"/>
          <w14:ligatures w14:val="none"/>
        </w:rPr>
        <w:t xml:space="preserve">, A. H. (2023). Digital transformation and corporate innovation: Empirical discovery based on machine learning. </w:t>
      </w:r>
      <w:r w:rsidRPr="002522ED">
        <w:rPr>
          <w:rFonts w:eastAsia="Times New Roman" w:cstheme="majorBidi"/>
          <w:i/>
          <w:iCs/>
          <w:color w:val="222222"/>
          <w:kern w:val="0"/>
          <w14:ligatures w14:val="none"/>
        </w:rPr>
        <w:t>Sustainability, 15</w:t>
      </w:r>
      <w:r w:rsidRPr="002522ED">
        <w:rPr>
          <w:rFonts w:eastAsia="Times New Roman" w:cstheme="majorBidi"/>
          <w:color w:val="222222"/>
          <w:kern w:val="0"/>
          <w14:ligatures w14:val="none"/>
        </w:rPr>
        <w:t xml:space="preserve">(3), 3157. </w:t>
      </w:r>
      <w:hyperlink r:id="rId23" w:tgtFrame="_new" w:history="1">
        <w:r w:rsidRPr="002522ED">
          <w:rPr>
            <w:rStyle w:val="Hyperlink"/>
            <w:rFonts w:eastAsia="Times New Roman" w:cstheme="majorBidi"/>
            <w:kern w:val="0"/>
            <w14:ligatures w14:val="none"/>
          </w:rPr>
          <w:t>https://doi.org/10.3390/su15033157</w:t>
        </w:r>
      </w:hyperlink>
    </w:p>
    <w:p w14:paraId="341C6F3F"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Rohrbeck, R., Battistella, C., &amp; </w:t>
      </w:r>
      <w:proofErr w:type="spellStart"/>
      <w:r w:rsidRPr="002522ED">
        <w:rPr>
          <w:rFonts w:eastAsia="Times New Roman" w:cstheme="majorBidi"/>
          <w:color w:val="222222"/>
          <w:kern w:val="0"/>
          <w14:ligatures w14:val="none"/>
        </w:rPr>
        <w:t>Huizingh</w:t>
      </w:r>
      <w:proofErr w:type="spellEnd"/>
      <w:r w:rsidRPr="002522ED">
        <w:rPr>
          <w:rFonts w:eastAsia="Times New Roman" w:cstheme="majorBidi"/>
          <w:color w:val="222222"/>
          <w:kern w:val="0"/>
          <w14:ligatures w14:val="none"/>
        </w:rPr>
        <w:t xml:space="preserve">, E. (2015). Corporate foresight: An emerging field with a rich tradition. </w:t>
      </w:r>
      <w:r w:rsidRPr="002522ED">
        <w:rPr>
          <w:rFonts w:eastAsia="Times New Roman" w:cstheme="majorBidi"/>
          <w:i/>
          <w:iCs/>
          <w:color w:val="222222"/>
          <w:kern w:val="0"/>
          <w14:ligatures w14:val="none"/>
        </w:rPr>
        <w:t>Technological Forecasting and Social Change, 101</w:t>
      </w:r>
      <w:r w:rsidRPr="002522ED">
        <w:rPr>
          <w:rFonts w:eastAsia="Times New Roman" w:cstheme="majorBidi"/>
          <w:color w:val="222222"/>
          <w:kern w:val="0"/>
          <w14:ligatures w14:val="none"/>
        </w:rPr>
        <w:t xml:space="preserve">, 1–9. </w:t>
      </w:r>
      <w:hyperlink r:id="rId24" w:tgtFrame="_new" w:history="1">
        <w:r w:rsidRPr="002522ED">
          <w:rPr>
            <w:rStyle w:val="Hyperlink"/>
            <w:rFonts w:eastAsia="Times New Roman" w:cstheme="majorBidi"/>
            <w:kern w:val="0"/>
            <w14:ligatures w14:val="none"/>
          </w:rPr>
          <w:t>https://doi.org/10.1016/j.techfore.2015.11.002</w:t>
        </w:r>
      </w:hyperlink>
    </w:p>
    <w:p w14:paraId="41E49FD3"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Rohrbeck, R., &amp; </w:t>
      </w:r>
      <w:proofErr w:type="spellStart"/>
      <w:r w:rsidRPr="002522ED">
        <w:rPr>
          <w:rFonts w:eastAsia="Times New Roman" w:cstheme="majorBidi"/>
          <w:color w:val="222222"/>
          <w:kern w:val="0"/>
          <w14:ligatures w14:val="none"/>
        </w:rPr>
        <w:t>Gemünden</w:t>
      </w:r>
      <w:proofErr w:type="spellEnd"/>
      <w:r w:rsidRPr="002522ED">
        <w:rPr>
          <w:rFonts w:eastAsia="Times New Roman" w:cstheme="majorBidi"/>
          <w:color w:val="222222"/>
          <w:kern w:val="0"/>
          <w14:ligatures w14:val="none"/>
        </w:rPr>
        <w:t xml:space="preserve">, H. G. (2011). Corporate foresight: Its three roles in enhancing the innovation capacity of a firm. </w:t>
      </w:r>
      <w:r w:rsidRPr="002522ED">
        <w:rPr>
          <w:rFonts w:eastAsia="Times New Roman" w:cstheme="majorBidi"/>
          <w:i/>
          <w:iCs/>
          <w:color w:val="222222"/>
          <w:kern w:val="0"/>
          <w14:ligatures w14:val="none"/>
        </w:rPr>
        <w:t>Technological Forecasting and Social Change, 78</w:t>
      </w:r>
      <w:r w:rsidRPr="002522ED">
        <w:rPr>
          <w:rFonts w:eastAsia="Times New Roman" w:cstheme="majorBidi"/>
          <w:color w:val="222222"/>
          <w:kern w:val="0"/>
          <w14:ligatures w14:val="none"/>
        </w:rPr>
        <w:t xml:space="preserve">(2), 231–243. </w:t>
      </w:r>
      <w:hyperlink r:id="rId25" w:tgtFrame="_new" w:history="1">
        <w:r w:rsidRPr="002522ED">
          <w:rPr>
            <w:rStyle w:val="Hyperlink"/>
            <w:rFonts w:eastAsia="Times New Roman" w:cstheme="majorBidi"/>
            <w:kern w:val="0"/>
            <w14:ligatures w14:val="none"/>
          </w:rPr>
          <w:t>https://doi.org/10.1016/j.techfore.2010.06.019</w:t>
        </w:r>
      </w:hyperlink>
    </w:p>
    <w:p w14:paraId="7AD4369E"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Saito, T. (2026). Redefining agency: A capability-driven research agenda for generative AI in education. </w:t>
      </w:r>
      <w:r w:rsidRPr="002522ED">
        <w:rPr>
          <w:rFonts w:eastAsia="Times New Roman" w:cstheme="majorBidi"/>
          <w:i/>
          <w:iCs/>
          <w:color w:val="222222"/>
          <w:kern w:val="0"/>
          <w14:ligatures w14:val="none"/>
        </w:rPr>
        <w:t>Education Sciences, 16</w:t>
      </w:r>
      <w:r w:rsidRPr="002522ED">
        <w:rPr>
          <w:rFonts w:eastAsia="Times New Roman" w:cstheme="majorBidi"/>
          <w:color w:val="222222"/>
          <w:kern w:val="0"/>
          <w14:ligatures w14:val="none"/>
        </w:rPr>
        <w:t xml:space="preserve">(1), 155. </w:t>
      </w:r>
      <w:hyperlink r:id="rId26" w:tgtFrame="_new" w:history="1">
        <w:r w:rsidRPr="002522ED">
          <w:rPr>
            <w:rStyle w:val="Hyperlink"/>
            <w:rFonts w:eastAsia="Times New Roman" w:cstheme="majorBidi"/>
            <w:kern w:val="0"/>
            <w14:ligatures w14:val="none"/>
          </w:rPr>
          <w:t>https://doi.org/10.3390/educsci16010155</w:t>
        </w:r>
      </w:hyperlink>
    </w:p>
    <w:p w14:paraId="3A404ADA"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Sánchez, M. A. (2025). Exploring value creation of generative artificial intelligence in organizations: A systematic review. </w:t>
      </w:r>
      <w:r w:rsidRPr="002522ED">
        <w:rPr>
          <w:rFonts w:eastAsia="Times New Roman" w:cstheme="majorBidi"/>
          <w:i/>
          <w:iCs/>
          <w:color w:val="222222"/>
          <w:kern w:val="0"/>
          <w14:ligatures w14:val="none"/>
        </w:rPr>
        <w:t>Strategic Business Research, 1</w:t>
      </w:r>
      <w:r w:rsidRPr="002522ED">
        <w:rPr>
          <w:rFonts w:eastAsia="Times New Roman" w:cstheme="majorBidi"/>
          <w:color w:val="222222"/>
          <w:kern w:val="0"/>
          <w14:ligatures w14:val="none"/>
        </w:rPr>
        <w:t xml:space="preserve">(1), e100015. </w:t>
      </w:r>
      <w:hyperlink r:id="rId27" w:tgtFrame="_new" w:history="1">
        <w:r w:rsidRPr="002522ED">
          <w:rPr>
            <w:rStyle w:val="Hyperlink"/>
            <w:rFonts w:eastAsia="Times New Roman" w:cstheme="majorBidi"/>
            <w:kern w:val="0"/>
            <w14:ligatures w14:val="none"/>
          </w:rPr>
          <w:t>https://doi.org/10.1016/j.sbr.2025.100015</w:t>
        </w:r>
      </w:hyperlink>
    </w:p>
    <w:p w14:paraId="4F8465FC"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Schoemaker, P. J. H., Heaton, S., &amp; Teece, D. J. (2013). Innovation, dynamic capabilities, and leadership. </w:t>
      </w:r>
      <w:r w:rsidRPr="002522ED">
        <w:rPr>
          <w:rFonts w:eastAsia="Times New Roman" w:cstheme="majorBidi"/>
          <w:i/>
          <w:iCs/>
          <w:color w:val="222222"/>
          <w:kern w:val="0"/>
          <w14:ligatures w14:val="none"/>
        </w:rPr>
        <w:t>California Management Review, 55</w:t>
      </w:r>
      <w:r w:rsidRPr="002522ED">
        <w:rPr>
          <w:rFonts w:eastAsia="Times New Roman" w:cstheme="majorBidi"/>
          <w:color w:val="222222"/>
          <w:kern w:val="0"/>
          <w14:ligatures w14:val="none"/>
        </w:rPr>
        <w:t xml:space="preserve">(4), 15–42. </w:t>
      </w:r>
      <w:hyperlink r:id="rId28" w:tgtFrame="_new" w:history="1">
        <w:r w:rsidRPr="002522ED">
          <w:rPr>
            <w:rStyle w:val="Hyperlink"/>
            <w:rFonts w:eastAsia="Times New Roman" w:cstheme="majorBidi"/>
            <w:kern w:val="0"/>
            <w14:ligatures w14:val="none"/>
          </w:rPr>
          <w:t>https://doi.org/10.1525/cmr.2013.55.4.15</w:t>
        </w:r>
      </w:hyperlink>
    </w:p>
    <w:p w14:paraId="254957C1"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Senge, P. M. (1990). </w:t>
      </w:r>
      <w:r w:rsidRPr="002522ED">
        <w:rPr>
          <w:rFonts w:eastAsia="Times New Roman" w:cstheme="majorBidi"/>
          <w:i/>
          <w:iCs/>
          <w:color w:val="222222"/>
          <w:kern w:val="0"/>
          <w14:ligatures w14:val="none"/>
        </w:rPr>
        <w:t>The fifth discipline: The art and practice of the learning organization</w:t>
      </w:r>
      <w:r w:rsidRPr="002522ED">
        <w:rPr>
          <w:rFonts w:eastAsia="Times New Roman" w:cstheme="majorBidi"/>
          <w:color w:val="222222"/>
          <w:kern w:val="0"/>
          <w14:ligatures w14:val="none"/>
        </w:rPr>
        <w:t>. Doubleday.</w:t>
      </w:r>
    </w:p>
    <w:p w14:paraId="09B84D79"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Teece, D. J. (2007). Explicating dynamic capabilities: The nature and </w:t>
      </w:r>
      <w:proofErr w:type="spellStart"/>
      <w:r w:rsidRPr="002522ED">
        <w:rPr>
          <w:rFonts w:eastAsia="Times New Roman" w:cstheme="majorBidi"/>
          <w:color w:val="222222"/>
          <w:kern w:val="0"/>
          <w14:ligatures w14:val="none"/>
        </w:rPr>
        <w:t>microfoundations</w:t>
      </w:r>
      <w:proofErr w:type="spellEnd"/>
      <w:r w:rsidRPr="002522ED">
        <w:rPr>
          <w:rFonts w:eastAsia="Times New Roman" w:cstheme="majorBidi"/>
          <w:color w:val="222222"/>
          <w:kern w:val="0"/>
          <w14:ligatures w14:val="none"/>
        </w:rPr>
        <w:t xml:space="preserve"> of (sustainable) enterprise performance. </w:t>
      </w:r>
      <w:r w:rsidRPr="002522ED">
        <w:rPr>
          <w:rFonts w:eastAsia="Times New Roman" w:cstheme="majorBidi"/>
          <w:i/>
          <w:iCs/>
          <w:color w:val="222222"/>
          <w:kern w:val="0"/>
          <w14:ligatures w14:val="none"/>
        </w:rPr>
        <w:t>Strategic Management Journal, 28</w:t>
      </w:r>
      <w:r w:rsidRPr="002522ED">
        <w:rPr>
          <w:rFonts w:eastAsia="Times New Roman" w:cstheme="majorBidi"/>
          <w:color w:val="222222"/>
          <w:kern w:val="0"/>
          <w14:ligatures w14:val="none"/>
        </w:rPr>
        <w:t xml:space="preserve">(13), 1319–1350. </w:t>
      </w:r>
      <w:hyperlink r:id="rId29" w:tgtFrame="_new" w:history="1">
        <w:r w:rsidRPr="002522ED">
          <w:rPr>
            <w:rStyle w:val="Hyperlink"/>
            <w:rFonts w:eastAsia="Times New Roman" w:cstheme="majorBidi"/>
            <w:kern w:val="0"/>
            <w14:ligatures w14:val="none"/>
          </w:rPr>
          <w:t>https://doi.org/10.1002/smj.640</w:t>
        </w:r>
      </w:hyperlink>
    </w:p>
    <w:p w14:paraId="7E80E3EF"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Teece, D. J. (2018). Business models and dynamic capabilities. </w:t>
      </w:r>
      <w:r w:rsidRPr="002522ED">
        <w:rPr>
          <w:rFonts w:eastAsia="Times New Roman" w:cstheme="majorBidi"/>
          <w:i/>
          <w:iCs/>
          <w:color w:val="222222"/>
          <w:kern w:val="0"/>
          <w14:ligatures w14:val="none"/>
        </w:rPr>
        <w:t>Long Range Planning, 51</w:t>
      </w:r>
      <w:r w:rsidRPr="002522ED">
        <w:rPr>
          <w:rFonts w:eastAsia="Times New Roman" w:cstheme="majorBidi"/>
          <w:color w:val="222222"/>
          <w:kern w:val="0"/>
          <w14:ligatures w14:val="none"/>
        </w:rPr>
        <w:t xml:space="preserve">(1), 40–49. </w:t>
      </w:r>
      <w:hyperlink r:id="rId30" w:tgtFrame="_new" w:history="1">
        <w:r w:rsidRPr="002522ED">
          <w:rPr>
            <w:rStyle w:val="Hyperlink"/>
            <w:rFonts w:eastAsia="Times New Roman" w:cstheme="majorBidi"/>
            <w:kern w:val="0"/>
            <w14:ligatures w14:val="none"/>
          </w:rPr>
          <w:t>https://doi.org/10.1016/j.lrp.2017.06.007</w:t>
        </w:r>
      </w:hyperlink>
    </w:p>
    <w:p w14:paraId="3BE224D3" w14:textId="77777777" w:rsidR="008F770C" w:rsidRPr="002522ED" w:rsidRDefault="008F770C" w:rsidP="002E12D2">
      <w:pPr>
        <w:shd w:val="clear" w:color="auto" w:fill="FFFFFF"/>
        <w:bidi/>
        <w:spacing w:after="180"/>
        <w:rPr>
          <w:rFonts w:eastAsia="Times New Roman" w:cstheme="majorBidi"/>
          <w:color w:val="222222"/>
          <w:kern w:val="0"/>
          <w14:ligatures w14:val="none"/>
        </w:rPr>
      </w:pPr>
    </w:p>
    <w:p w14:paraId="6DAB8213" w14:textId="77777777" w:rsidR="008F770C" w:rsidRPr="002522ED" w:rsidRDefault="008F770C" w:rsidP="005651E0">
      <w:pPr>
        <w:shd w:val="clear" w:color="auto" w:fill="FFFFFF"/>
        <w:bidi/>
        <w:spacing w:after="180"/>
        <w:jc w:val="both"/>
        <w:rPr>
          <w:rFonts w:eastAsia="Times New Roman" w:cstheme="majorBidi"/>
          <w:color w:val="222222"/>
          <w:kern w:val="0"/>
          <w14:ligatures w14:val="none"/>
        </w:rPr>
      </w:pPr>
    </w:p>
    <w:p w14:paraId="67AA016B" w14:textId="1D5798C1" w:rsidR="008F770C" w:rsidRPr="002522ED" w:rsidRDefault="008F770C" w:rsidP="005651E0">
      <w:pPr>
        <w:shd w:val="clear" w:color="auto" w:fill="FFFFFF"/>
        <w:bidi/>
        <w:spacing w:after="242"/>
        <w:jc w:val="both"/>
        <w:rPr>
          <w:rFonts w:eastAsia="Times New Roman" w:cstheme="majorBidi"/>
          <w:color w:val="222222"/>
          <w:kern w:val="0"/>
          <w14:ligatures w14:val="none"/>
        </w:rPr>
      </w:pPr>
      <w:r w:rsidRPr="002522ED">
        <w:rPr>
          <w:rFonts w:eastAsia="Times New Roman" w:cstheme="majorBidi"/>
          <w:color w:val="222222"/>
          <w:kern w:val="0"/>
          <w:rtl/>
          <w14:ligatures w14:val="none"/>
        </w:rPr>
        <w:lastRenderedPageBreak/>
        <w:t>المراجع العربية</w:t>
      </w:r>
      <w:r w:rsidR="008D0F90" w:rsidRPr="002522ED">
        <w:rPr>
          <w:rFonts w:eastAsia="Times New Roman" w:cstheme="majorBidi"/>
          <w:color w:val="222222"/>
          <w:kern w:val="0"/>
          <w14:ligatures w14:val="none"/>
        </w:rPr>
        <w:t xml:space="preserve">  </w:t>
      </w:r>
    </w:p>
    <w:p w14:paraId="7F873BBF" w14:textId="77777777" w:rsidR="009D200A" w:rsidRPr="002522ED" w:rsidRDefault="009D200A" w:rsidP="005651E0">
      <w:pPr>
        <w:bidi/>
        <w:jc w:val="both"/>
        <w:rPr>
          <w:rFonts w:cstheme="majorBidi"/>
        </w:rPr>
      </w:pPr>
      <w:r w:rsidRPr="002522ED">
        <w:rPr>
          <w:rFonts w:cstheme="majorBidi"/>
          <w:rtl/>
        </w:rPr>
        <w:t>الزهراني، إبراهيم بن حنش سعيد. (2018). القيادة الاستراتيجية وأثرها في تطوير قدرات التعلم التنظيمي: دراسة ميدانية بجامعة أم القرى</w:t>
      </w:r>
      <w:r w:rsidRPr="002522ED">
        <w:rPr>
          <w:rFonts w:cstheme="majorBidi"/>
        </w:rPr>
        <w:t xml:space="preserve">. </w:t>
      </w:r>
      <w:r w:rsidRPr="002522ED">
        <w:rPr>
          <w:rFonts w:cstheme="majorBidi"/>
          <w:i/>
          <w:iCs/>
          <w:rtl/>
        </w:rPr>
        <w:t>المجلة الدولية للأبحاث التربوية، 42</w:t>
      </w:r>
      <w:r w:rsidRPr="002522ED">
        <w:rPr>
          <w:rFonts w:cstheme="majorBidi"/>
        </w:rPr>
        <w:t>(2)</w:t>
      </w:r>
      <w:r w:rsidRPr="002522ED">
        <w:rPr>
          <w:rFonts w:cstheme="majorBidi"/>
          <w:rtl/>
        </w:rPr>
        <w:t>، 189</w:t>
      </w:r>
      <w:r w:rsidRPr="002522ED">
        <w:rPr>
          <w:rFonts w:cstheme="majorBidi"/>
        </w:rPr>
        <w:t>–238.</w:t>
      </w:r>
    </w:p>
    <w:p w14:paraId="48834658" w14:textId="5071C666" w:rsidR="00506EC3" w:rsidRPr="002522ED" w:rsidRDefault="00506EC3"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الشريدة، مزنة بنت سعد، والجهني، ليلى بنت سعيد. (2025).</w:t>
      </w:r>
      <w:r w:rsidR="00B229A5" w:rsidRPr="002522ED">
        <w:rPr>
          <w:rFonts w:eastAsia="Times New Roman" w:cstheme="majorBidi"/>
          <w:color w:val="222222"/>
          <w:kern w:val="0"/>
          <w14:ligatures w14:val="none"/>
        </w:rPr>
        <w:t xml:space="preserve"> </w:t>
      </w:r>
      <w:r w:rsidRPr="002522ED">
        <w:rPr>
          <w:rFonts w:eastAsia="Times New Roman" w:cstheme="majorBidi"/>
          <w:color w:val="222222"/>
          <w:kern w:val="0"/>
          <w:rtl/>
          <w14:ligatures w14:val="none"/>
        </w:rPr>
        <w:t>درجة قبول معلمات رياض الأطفال في المدينة المنورة لاستخدام تقنيات الذكاء الاصطناعي التوليدي في التعليم وفق النظرية الموحدة لقبول واستخدام التكنولوجيا (</w:t>
      </w:r>
      <w:r w:rsidRPr="002522ED">
        <w:rPr>
          <w:rFonts w:eastAsia="Times New Roman" w:cstheme="majorBidi"/>
          <w:color w:val="222222"/>
          <w:kern w:val="0"/>
          <w14:ligatures w14:val="none"/>
        </w:rPr>
        <w:t>UTAUT</w:t>
      </w:r>
      <w:r w:rsidRPr="002522ED">
        <w:rPr>
          <w:rFonts w:eastAsia="Times New Roman" w:cstheme="majorBidi"/>
          <w:color w:val="222222"/>
          <w:kern w:val="0"/>
          <w:rtl/>
          <w14:ligatures w14:val="none"/>
        </w:rPr>
        <w:t>).</w:t>
      </w:r>
      <w:r w:rsidR="00916F6D" w:rsidRPr="002522ED">
        <w:rPr>
          <w:rFonts w:eastAsia="Times New Roman" w:cstheme="majorBidi"/>
          <w:color w:val="222222"/>
          <w:kern w:val="0"/>
          <w14:ligatures w14:val="none"/>
        </w:rPr>
        <w:t xml:space="preserve"> </w:t>
      </w:r>
      <w:r w:rsidRPr="002522ED">
        <w:rPr>
          <w:rFonts w:eastAsia="Times New Roman" w:cstheme="majorBidi"/>
          <w:color w:val="222222"/>
          <w:kern w:val="0"/>
          <w:rtl/>
          <w14:ligatures w14:val="none"/>
        </w:rPr>
        <w:t>المجلة العربية للعلوم التربوية والنفسية.</w:t>
      </w:r>
      <w:hyperlink r:id="rId31" w:tgtFrame="_blank" w:history="1">
        <w:r w:rsidRPr="002522ED">
          <w:rPr>
            <w:rFonts w:eastAsia="Times New Roman" w:cstheme="majorBidi"/>
            <w:color w:val="1155CC"/>
            <w:kern w:val="0"/>
            <w:u w:val="single"/>
            <w14:ligatures w14:val="none"/>
          </w:rPr>
          <w:t>https://doi.org/10.21608/jasep.2025.446333</w:t>
        </w:r>
      </w:hyperlink>
    </w:p>
    <w:p w14:paraId="020C05AD" w14:textId="1D10128C" w:rsidR="009D200A" w:rsidRPr="002522ED" w:rsidRDefault="009D200A" w:rsidP="005651E0">
      <w:pPr>
        <w:bidi/>
        <w:jc w:val="both"/>
        <w:rPr>
          <w:rFonts w:cstheme="majorBidi"/>
        </w:rPr>
      </w:pPr>
      <w:r w:rsidRPr="002522ED">
        <w:rPr>
          <w:rFonts w:cstheme="majorBidi"/>
          <w:rtl/>
        </w:rPr>
        <w:t>العج</w:t>
      </w:r>
      <w:r w:rsidR="008A6B7C" w:rsidRPr="002522ED">
        <w:rPr>
          <w:rFonts w:cstheme="majorBidi"/>
          <w:rtl/>
        </w:rPr>
        <w:t>مي</w:t>
      </w:r>
      <w:r w:rsidRPr="002522ED">
        <w:rPr>
          <w:rFonts w:cstheme="majorBidi"/>
          <w:rtl/>
        </w:rPr>
        <w:t xml:space="preserve">، آمنة </w:t>
      </w:r>
      <w:r w:rsidR="008A6B7C" w:rsidRPr="002522ED">
        <w:rPr>
          <w:rFonts w:cstheme="majorBidi"/>
          <w:rtl/>
        </w:rPr>
        <w:t>مصلح</w:t>
      </w:r>
      <w:r w:rsidRPr="002522ED">
        <w:rPr>
          <w:rFonts w:cstheme="majorBidi"/>
          <w:rtl/>
        </w:rPr>
        <w:t xml:space="preserve">، </w:t>
      </w:r>
      <w:r w:rsidR="008A6B7C" w:rsidRPr="002522ED">
        <w:rPr>
          <w:rFonts w:cstheme="majorBidi"/>
          <w:rtl/>
        </w:rPr>
        <w:t>و</w:t>
      </w:r>
      <w:r w:rsidRPr="002522ED">
        <w:rPr>
          <w:rFonts w:cstheme="majorBidi"/>
          <w:rtl/>
        </w:rPr>
        <w:t>النجار، فايز جمعة صالح. (2022). أثر التفكير الاستراتيجي في التميز المنظمي: الدور الوسيط للاستشراف الاستراتيجي في المنظمات الفائزة بجائزة الملك عبد الله الثاني للتميز للقطاع الخاص في الأردن</w:t>
      </w:r>
      <w:r w:rsidRPr="002522ED">
        <w:rPr>
          <w:rFonts w:cstheme="majorBidi"/>
        </w:rPr>
        <w:t xml:space="preserve">. </w:t>
      </w:r>
      <w:r w:rsidRPr="002522ED">
        <w:rPr>
          <w:rFonts w:cstheme="majorBidi"/>
          <w:i/>
          <w:iCs/>
          <w:rtl/>
        </w:rPr>
        <w:t>مجلة الزرقاء للبحوث والدراسات الإنسانية، 22</w:t>
      </w:r>
      <w:r w:rsidRPr="002522ED">
        <w:rPr>
          <w:rFonts w:cstheme="majorBidi"/>
        </w:rPr>
        <w:t>(1)</w:t>
      </w:r>
      <w:r w:rsidRPr="002522ED">
        <w:rPr>
          <w:rFonts w:cstheme="majorBidi"/>
          <w:rtl/>
        </w:rPr>
        <w:t>، 15</w:t>
      </w:r>
      <w:r w:rsidRPr="002522ED">
        <w:rPr>
          <w:rFonts w:cstheme="majorBidi"/>
        </w:rPr>
        <w:t xml:space="preserve">–33. </w:t>
      </w:r>
      <w:hyperlink r:id="rId32" w:tgtFrame="_new" w:history="1">
        <w:r w:rsidRPr="002522ED">
          <w:rPr>
            <w:rStyle w:val="Hyperlink"/>
            <w:rFonts w:cstheme="majorBidi"/>
          </w:rPr>
          <w:t>https://doi.org/10.34028/1069-022-001-002</w:t>
        </w:r>
      </w:hyperlink>
    </w:p>
    <w:p w14:paraId="224277EB" w14:textId="77777777" w:rsidR="009D200A" w:rsidRPr="002522ED" w:rsidRDefault="009D200A" w:rsidP="005651E0">
      <w:pPr>
        <w:bidi/>
        <w:jc w:val="both"/>
        <w:rPr>
          <w:rFonts w:cstheme="majorBidi"/>
        </w:rPr>
      </w:pPr>
      <w:r w:rsidRPr="002522ED">
        <w:rPr>
          <w:rFonts w:cstheme="majorBidi"/>
          <w:rtl/>
        </w:rPr>
        <w:t>بدر، باسمة سليم. (2023). الاستشراف الاستراتيجي وأثره في إدارة المخاطر المؤسسية: الدور المعدل للحوسبة السحابية: دراسة ميدانية في دائرة الجمارك الأردنية في ظل جائحة كورونا</w:t>
      </w:r>
      <w:r w:rsidRPr="002522ED">
        <w:rPr>
          <w:rFonts w:cstheme="majorBidi"/>
        </w:rPr>
        <w:t xml:space="preserve">. </w:t>
      </w:r>
      <w:r w:rsidRPr="002522ED">
        <w:rPr>
          <w:rFonts w:cstheme="majorBidi"/>
          <w:i/>
          <w:iCs/>
          <w:rtl/>
        </w:rPr>
        <w:t>مجلة إربد للبحوث والدراسات، 76</w:t>
      </w:r>
      <w:r w:rsidRPr="002522ED">
        <w:rPr>
          <w:rFonts w:cstheme="majorBidi"/>
          <w:rtl/>
        </w:rPr>
        <w:t>، 27</w:t>
      </w:r>
      <w:r w:rsidRPr="002522ED">
        <w:rPr>
          <w:rFonts w:cstheme="majorBidi"/>
        </w:rPr>
        <w:t>–102.</w:t>
      </w:r>
    </w:p>
    <w:p w14:paraId="6AFF4372" w14:textId="4C3792F1" w:rsidR="009D200A" w:rsidRPr="002522ED" w:rsidRDefault="009D200A" w:rsidP="005651E0">
      <w:pPr>
        <w:bidi/>
        <w:jc w:val="both"/>
        <w:rPr>
          <w:rFonts w:cstheme="majorBidi"/>
        </w:rPr>
      </w:pPr>
      <w:r w:rsidRPr="002522ED">
        <w:rPr>
          <w:rFonts w:cstheme="majorBidi"/>
          <w:rtl/>
        </w:rPr>
        <w:t>عبد الله، سعيد نظمي محمد، ش</w:t>
      </w:r>
      <w:r w:rsidR="00506EC3" w:rsidRPr="002522ED">
        <w:rPr>
          <w:rFonts w:cstheme="majorBidi"/>
          <w:rtl/>
        </w:rPr>
        <w:t>م</w:t>
      </w:r>
      <w:r w:rsidRPr="002522ED">
        <w:rPr>
          <w:rFonts w:cstheme="majorBidi"/>
          <w:rtl/>
        </w:rPr>
        <w:t>عة، رانية عبد المنعم،</w:t>
      </w:r>
      <w:r w:rsidRPr="002522ED">
        <w:rPr>
          <w:rFonts w:cstheme="majorBidi"/>
        </w:rPr>
        <w:t xml:space="preserve"> </w:t>
      </w:r>
      <w:r w:rsidRPr="002522ED">
        <w:rPr>
          <w:rFonts w:cstheme="majorBidi"/>
          <w:rtl/>
        </w:rPr>
        <w:t>محمد، رغدة أحمد أبو العلا. (2024). تحليل دور الاستشراف الاستراتيجي في العلاقة بين رأس المال البشري والميزة التنافسية: دراسة ميدانية على شركات صناعة الأدوية في مصر</w:t>
      </w:r>
      <w:r w:rsidRPr="002522ED">
        <w:rPr>
          <w:rFonts w:cstheme="majorBidi"/>
        </w:rPr>
        <w:t xml:space="preserve">. </w:t>
      </w:r>
      <w:r w:rsidRPr="002522ED">
        <w:rPr>
          <w:rFonts w:cstheme="majorBidi"/>
          <w:i/>
          <w:iCs/>
          <w:rtl/>
        </w:rPr>
        <w:t>مجلة البحوث الإدارية والمالية والكمية، 4</w:t>
      </w:r>
      <w:r w:rsidRPr="002522ED">
        <w:rPr>
          <w:rFonts w:cstheme="majorBidi"/>
        </w:rPr>
        <w:t>(2)</w:t>
      </w:r>
      <w:r w:rsidRPr="002522ED">
        <w:rPr>
          <w:rFonts w:cstheme="majorBidi"/>
          <w:rtl/>
        </w:rPr>
        <w:t>، 50</w:t>
      </w:r>
      <w:r w:rsidRPr="002522ED">
        <w:rPr>
          <w:rFonts w:cstheme="majorBidi"/>
        </w:rPr>
        <w:t>–98.</w:t>
      </w:r>
    </w:p>
    <w:p w14:paraId="5DCB4B6C" w14:textId="0BE4578C" w:rsidR="009D200A" w:rsidRPr="002522ED" w:rsidRDefault="009D200A" w:rsidP="005651E0">
      <w:pPr>
        <w:bidi/>
        <w:jc w:val="both"/>
        <w:rPr>
          <w:rFonts w:cstheme="majorBidi"/>
        </w:rPr>
      </w:pPr>
      <w:r w:rsidRPr="002522ED">
        <w:rPr>
          <w:rFonts w:cstheme="majorBidi"/>
          <w:rtl/>
        </w:rPr>
        <w:t xml:space="preserve">نصر الدين، فيفيان محمد صالح، </w:t>
      </w:r>
      <w:r w:rsidR="00506EC3" w:rsidRPr="002522ED">
        <w:rPr>
          <w:rFonts w:cstheme="majorBidi"/>
          <w:rtl/>
        </w:rPr>
        <w:t>و</w:t>
      </w:r>
      <w:r w:rsidRPr="002522ED">
        <w:rPr>
          <w:rFonts w:cstheme="majorBidi"/>
        </w:rPr>
        <w:t xml:space="preserve"> </w:t>
      </w:r>
      <w:r w:rsidRPr="002522ED">
        <w:rPr>
          <w:rFonts w:cstheme="majorBidi"/>
          <w:rtl/>
        </w:rPr>
        <w:t>الإدريسي، ثراء حسن عمر. (2023). الابتكار ودوره في التميز الصناعي وتطوير الخدمات اللوجستية في المملكة العربية السعودية</w:t>
      </w:r>
      <w:r w:rsidRPr="002522ED">
        <w:rPr>
          <w:rFonts w:cstheme="majorBidi"/>
        </w:rPr>
        <w:t xml:space="preserve">. </w:t>
      </w:r>
      <w:r w:rsidRPr="002522ED">
        <w:rPr>
          <w:rFonts w:cstheme="majorBidi"/>
          <w:i/>
          <w:iCs/>
          <w:rtl/>
        </w:rPr>
        <w:t>مجلة العلوم الاقتصادية والإدارية والقانونية، 7</w:t>
      </w:r>
      <w:r w:rsidRPr="002522ED">
        <w:rPr>
          <w:rFonts w:cstheme="majorBidi"/>
        </w:rPr>
        <w:t>(7)</w:t>
      </w:r>
      <w:r w:rsidRPr="002522ED">
        <w:rPr>
          <w:rFonts w:cstheme="majorBidi"/>
          <w:rtl/>
        </w:rPr>
        <w:t>، 1</w:t>
      </w:r>
      <w:r w:rsidRPr="002522ED">
        <w:rPr>
          <w:rFonts w:cstheme="majorBidi"/>
        </w:rPr>
        <w:t>–19.</w:t>
      </w:r>
    </w:p>
    <w:p w14:paraId="5B19545C" w14:textId="77777777" w:rsidR="009D200A" w:rsidRPr="002522ED" w:rsidRDefault="009D200A" w:rsidP="005651E0">
      <w:pPr>
        <w:bidi/>
        <w:jc w:val="both"/>
        <w:rPr>
          <w:rFonts w:cstheme="majorBidi"/>
        </w:rPr>
      </w:pPr>
      <w:r w:rsidRPr="002522ED">
        <w:rPr>
          <w:rFonts w:cstheme="majorBidi"/>
          <w:rtl/>
        </w:rPr>
        <w:t>هاشم، منتهى معنته. (2026). دور الذكاء الاصطناعي التوليدي في نجاح إدارة المشاريع الرقمية</w:t>
      </w:r>
      <w:r w:rsidRPr="002522ED">
        <w:rPr>
          <w:rFonts w:cstheme="majorBidi"/>
        </w:rPr>
        <w:t xml:space="preserve">. </w:t>
      </w:r>
      <w:r w:rsidRPr="002522ED">
        <w:rPr>
          <w:rFonts w:cstheme="majorBidi"/>
          <w:i/>
          <w:iCs/>
          <w:rtl/>
        </w:rPr>
        <w:t>مجلة</w:t>
      </w:r>
      <w:r w:rsidRPr="002522ED">
        <w:rPr>
          <w:rFonts w:cstheme="majorBidi"/>
          <w:i/>
          <w:iCs/>
        </w:rPr>
        <w:t xml:space="preserve"> Academia Open </w:t>
      </w:r>
      <w:r w:rsidRPr="002522ED">
        <w:rPr>
          <w:rFonts w:cstheme="majorBidi"/>
          <w:i/>
          <w:iCs/>
          <w:rtl/>
        </w:rPr>
        <w:t>للعلوم الاقتصادية والإدارية</w:t>
      </w:r>
      <w:r w:rsidRPr="002522ED">
        <w:rPr>
          <w:rFonts w:cstheme="majorBidi"/>
        </w:rPr>
        <w:t xml:space="preserve">. </w:t>
      </w:r>
      <w:r w:rsidRPr="002522ED">
        <w:rPr>
          <w:rFonts w:cstheme="majorBidi"/>
          <w:rtl/>
        </w:rPr>
        <w:t>منشور إلكترونيًا قبل الطباعة</w:t>
      </w:r>
      <w:r w:rsidRPr="002522ED">
        <w:rPr>
          <w:rFonts w:cstheme="majorBidi"/>
        </w:rPr>
        <w:t>.</w:t>
      </w:r>
    </w:p>
    <w:p w14:paraId="6DC099CA" w14:textId="77777777" w:rsidR="00527417" w:rsidRPr="002522ED" w:rsidRDefault="00527417" w:rsidP="005651E0">
      <w:pPr>
        <w:bidi/>
        <w:jc w:val="both"/>
        <w:rPr>
          <w:rFonts w:cstheme="majorBidi"/>
        </w:rPr>
      </w:pPr>
    </w:p>
    <w:sectPr w:rsidR="00527417" w:rsidRPr="002522ED" w:rsidSect="000457E2">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D80CF" w14:textId="77777777" w:rsidR="00AB5CF4" w:rsidRDefault="00AB5CF4" w:rsidP="00554FB9">
      <w:pPr>
        <w:spacing w:after="0" w:line="240" w:lineRule="auto"/>
      </w:pPr>
      <w:r>
        <w:separator/>
      </w:r>
    </w:p>
  </w:endnote>
  <w:endnote w:type="continuationSeparator" w:id="0">
    <w:p w14:paraId="077A8479" w14:textId="77777777" w:rsidR="00AB5CF4" w:rsidRDefault="00AB5CF4" w:rsidP="00554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B324" w14:textId="77777777" w:rsidR="000457E2" w:rsidRDefault="000457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329559"/>
      <w:docPartObj>
        <w:docPartGallery w:val="Page Numbers (Bottom of Page)"/>
        <w:docPartUnique/>
      </w:docPartObj>
    </w:sdtPr>
    <w:sdtEndPr>
      <w:rPr>
        <w:noProof/>
      </w:rPr>
    </w:sdtEndPr>
    <w:sdtContent>
      <w:p w14:paraId="0B41AFC7" w14:textId="7EBA85E7" w:rsidR="000457E2" w:rsidRDefault="000457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84788E" w14:textId="77777777" w:rsidR="00D36C0C" w:rsidRDefault="00D36C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18BE2" w14:textId="77777777" w:rsidR="000457E2" w:rsidRDefault="00045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FD6DF" w14:textId="77777777" w:rsidR="00AB5CF4" w:rsidRDefault="00AB5CF4" w:rsidP="00554FB9">
      <w:pPr>
        <w:spacing w:after="0" w:line="240" w:lineRule="auto"/>
      </w:pPr>
      <w:r>
        <w:separator/>
      </w:r>
    </w:p>
  </w:footnote>
  <w:footnote w:type="continuationSeparator" w:id="0">
    <w:p w14:paraId="6B6C33D1" w14:textId="77777777" w:rsidR="00AB5CF4" w:rsidRDefault="00AB5CF4" w:rsidP="00554F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EFA92" w14:textId="77777777" w:rsidR="000457E2" w:rsidRDefault="000457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9A4D2" w14:textId="77777777" w:rsidR="000457E2" w:rsidRDefault="000457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231D6" w14:textId="77777777" w:rsidR="000457E2" w:rsidRDefault="000457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B57"/>
    <w:multiLevelType w:val="multilevel"/>
    <w:tmpl w:val="FFFC22E8"/>
    <w:lvl w:ilvl="0">
      <w:start w:val="1"/>
      <w:numFmt w:val="decimal"/>
      <w:lvlText w:val="%1."/>
      <w:lvlJc w:val="left"/>
      <w:pPr>
        <w:tabs>
          <w:tab w:val="num" w:pos="4677"/>
        </w:tabs>
        <w:ind w:left="4677" w:hanging="360"/>
      </w:pPr>
    </w:lvl>
    <w:lvl w:ilvl="1" w:tentative="1">
      <w:start w:val="1"/>
      <w:numFmt w:val="decimal"/>
      <w:lvlText w:val="%2."/>
      <w:lvlJc w:val="left"/>
      <w:pPr>
        <w:tabs>
          <w:tab w:val="num" w:pos="5397"/>
        </w:tabs>
        <w:ind w:left="5397" w:hanging="360"/>
      </w:pPr>
    </w:lvl>
    <w:lvl w:ilvl="2" w:tentative="1">
      <w:start w:val="1"/>
      <w:numFmt w:val="decimal"/>
      <w:lvlText w:val="%3."/>
      <w:lvlJc w:val="left"/>
      <w:pPr>
        <w:tabs>
          <w:tab w:val="num" w:pos="6117"/>
        </w:tabs>
        <w:ind w:left="6117" w:hanging="360"/>
      </w:pPr>
    </w:lvl>
    <w:lvl w:ilvl="3" w:tentative="1">
      <w:start w:val="1"/>
      <w:numFmt w:val="decimal"/>
      <w:lvlText w:val="%4."/>
      <w:lvlJc w:val="left"/>
      <w:pPr>
        <w:tabs>
          <w:tab w:val="num" w:pos="6837"/>
        </w:tabs>
        <w:ind w:left="6837" w:hanging="360"/>
      </w:pPr>
    </w:lvl>
    <w:lvl w:ilvl="4" w:tentative="1">
      <w:start w:val="1"/>
      <w:numFmt w:val="decimal"/>
      <w:lvlText w:val="%5."/>
      <w:lvlJc w:val="left"/>
      <w:pPr>
        <w:tabs>
          <w:tab w:val="num" w:pos="7557"/>
        </w:tabs>
        <w:ind w:left="7557" w:hanging="360"/>
      </w:pPr>
    </w:lvl>
    <w:lvl w:ilvl="5" w:tentative="1">
      <w:start w:val="1"/>
      <w:numFmt w:val="decimal"/>
      <w:lvlText w:val="%6."/>
      <w:lvlJc w:val="left"/>
      <w:pPr>
        <w:tabs>
          <w:tab w:val="num" w:pos="8277"/>
        </w:tabs>
        <w:ind w:left="8277" w:hanging="360"/>
      </w:pPr>
    </w:lvl>
    <w:lvl w:ilvl="6" w:tentative="1">
      <w:start w:val="1"/>
      <w:numFmt w:val="decimal"/>
      <w:lvlText w:val="%7."/>
      <w:lvlJc w:val="left"/>
      <w:pPr>
        <w:tabs>
          <w:tab w:val="num" w:pos="8997"/>
        </w:tabs>
        <w:ind w:left="8997" w:hanging="360"/>
      </w:pPr>
    </w:lvl>
    <w:lvl w:ilvl="7" w:tentative="1">
      <w:start w:val="1"/>
      <w:numFmt w:val="decimal"/>
      <w:lvlText w:val="%8."/>
      <w:lvlJc w:val="left"/>
      <w:pPr>
        <w:tabs>
          <w:tab w:val="num" w:pos="9717"/>
        </w:tabs>
        <w:ind w:left="9717" w:hanging="360"/>
      </w:pPr>
    </w:lvl>
    <w:lvl w:ilvl="8" w:tentative="1">
      <w:start w:val="1"/>
      <w:numFmt w:val="decimal"/>
      <w:lvlText w:val="%9."/>
      <w:lvlJc w:val="left"/>
      <w:pPr>
        <w:tabs>
          <w:tab w:val="num" w:pos="10437"/>
        </w:tabs>
        <w:ind w:left="10437" w:hanging="360"/>
      </w:pPr>
    </w:lvl>
  </w:abstractNum>
  <w:abstractNum w:abstractNumId="1" w15:restartNumberingAfterBreak="0">
    <w:nsid w:val="02605C66"/>
    <w:multiLevelType w:val="multilevel"/>
    <w:tmpl w:val="F636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44A25"/>
    <w:multiLevelType w:val="multilevel"/>
    <w:tmpl w:val="7ACE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7500D"/>
    <w:multiLevelType w:val="multilevel"/>
    <w:tmpl w:val="7DF2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03D1E"/>
    <w:multiLevelType w:val="multilevel"/>
    <w:tmpl w:val="B802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16169"/>
    <w:multiLevelType w:val="multilevel"/>
    <w:tmpl w:val="AB9E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A0D96"/>
    <w:multiLevelType w:val="multilevel"/>
    <w:tmpl w:val="C0C6E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5C095F"/>
    <w:multiLevelType w:val="multilevel"/>
    <w:tmpl w:val="6CA0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35016"/>
    <w:multiLevelType w:val="hybridMultilevel"/>
    <w:tmpl w:val="27F07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EF2406"/>
    <w:multiLevelType w:val="multilevel"/>
    <w:tmpl w:val="8BAC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362F35"/>
    <w:multiLevelType w:val="multilevel"/>
    <w:tmpl w:val="6516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610648"/>
    <w:multiLevelType w:val="multilevel"/>
    <w:tmpl w:val="3642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66E69"/>
    <w:multiLevelType w:val="hybridMultilevel"/>
    <w:tmpl w:val="B0E23DD8"/>
    <w:lvl w:ilvl="0" w:tplc="0409000B">
      <w:start w:val="1"/>
      <w:numFmt w:val="bullet"/>
      <w:lvlText w:val=""/>
      <w:lvlJc w:val="left"/>
      <w:pPr>
        <w:ind w:left="800" w:hanging="360"/>
      </w:pPr>
      <w:rPr>
        <w:rFonts w:ascii="Wingdings" w:hAnsi="Wingdings"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3" w15:restartNumberingAfterBreak="0">
    <w:nsid w:val="241152BC"/>
    <w:multiLevelType w:val="hybridMultilevel"/>
    <w:tmpl w:val="855A5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445C7D"/>
    <w:multiLevelType w:val="multilevel"/>
    <w:tmpl w:val="C4FED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A7B18"/>
    <w:multiLevelType w:val="multilevel"/>
    <w:tmpl w:val="23C4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60429"/>
    <w:multiLevelType w:val="multilevel"/>
    <w:tmpl w:val="991E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DE6CEE"/>
    <w:multiLevelType w:val="multilevel"/>
    <w:tmpl w:val="618C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2F5623"/>
    <w:multiLevelType w:val="multilevel"/>
    <w:tmpl w:val="7C20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7D7D16"/>
    <w:multiLevelType w:val="multilevel"/>
    <w:tmpl w:val="103E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74461D"/>
    <w:multiLevelType w:val="multilevel"/>
    <w:tmpl w:val="26E2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144426"/>
    <w:multiLevelType w:val="multilevel"/>
    <w:tmpl w:val="7398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186943"/>
    <w:multiLevelType w:val="multilevel"/>
    <w:tmpl w:val="1D2E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3B61A6"/>
    <w:multiLevelType w:val="multilevel"/>
    <w:tmpl w:val="EF205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E8540E"/>
    <w:multiLevelType w:val="multilevel"/>
    <w:tmpl w:val="CB38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6A28BA"/>
    <w:multiLevelType w:val="multilevel"/>
    <w:tmpl w:val="3BD0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61047"/>
    <w:multiLevelType w:val="multilevel"/>
    <w:tmpl w:val="67C2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13097C"/>
    <w:multiLevelType w:val="multilevel"/>
    <w:tmpl w:val="05AA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5E5F2A"/>
    <w:multiLevelType w:val="multilevel"/>
    <w:tmpl w:val="245C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E917BD"/>
    <w:multiLevelType w:val="multilevel"/>
    <w:tmpl w:val="E2EC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5D3AFA"/>
    <w:multiLevelType w:val="multilevel"/>
    <w:tmpl w:val="A5B6A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7B2529"/>
    <w:multiLevelType w:val="multilevel"/>
    <w:tmpl w:val="BBA0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F31E71"/>
    <w:multiLevelType w:val="multilevel"/>
    <w:tmpl w:val="0846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C47714"/>
    <w:multiLevelType w:val="multilevel"/>
    <w:tmpl w:val="FBC4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FB3C6E"/>
    <w:multiLevelType w:val="multilevel"/>
    <w:tmpl w:val="F706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4E5EAF"/>
    <w:multiLevelType w:val="hybridMultilevel"/>
    <w:tmpl w:val="3C8C3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0E7785A"/>
    <w:multiLevelType w:val="multilevel"/>
    <w:tmpl w:val="E6BA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7A6BE0"/>
    <w:multiLevelType w:val="multilevel"/>
    <w:tmpl w:val="8FB2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8A4756"/>
    <w:multiLevelType w:val="multilevel"/>
    <w:tmpl w:val="C85E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CA73EA"/>
    <w:multiLevelType w:val="multilevel"/>
    <w:tmpl w:val="73B0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F023F6"/>
    <w:multiLevelType w:val="multilevel"/>
    <w:tmpl w:val="8BD2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6E58FE"/>
    <w:multiLevelType w:val="multilevel"/>
    <w:tmpl w:val="8DD4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452064"/>
    <w:multiLevelType w:val="multilevel"/>
    <w:tmpl w:val="937A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F61706"/>
    <w:multiLevelType w:val="multilevel"/>
    <w:tmpl w:val="DFE6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ED5072"/>
    <w:multiLevelType w:val="multilevel"/>
    <w:tmpl w:val="FB80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0C6EE6"/>
    <w:multiLevelType w:val="multilevel"/>
    <w:tmpl w:val="707CD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940EAC"/>
    <w:multiLevelType w:val="multilevel"/>
    <w:tmpl w:val="25BE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E251D3"/>
    <w:multiLevelType w:val="multilevel"/>
    <w:tmpl w:val="82EAB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FB60F35"/>
    <w:multiLevelType w:val="multilevel"/>
    <w:tmpl w:val="262C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5566C5"/>
    <w:multiLevelType w:val="multilevel"/>
    <w:tmpl w:val="C414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314DA2"/>
    <w:multiLevelType w:val="multilevel"/>
    <w:tmpl w:val="F55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37D7BF4"/>
    <w:multiLevelType w:val="multilevel"/>
    <w:tmpl w:val="0630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A80320"/>
    <w:multiLevelType w:val="multilevel"/>
    <w:tmpl w:val="3BA0C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B66DCE"/>
    <w:multiLevelType w:val="multilevel"/>
    <w:tmpl w:val="8EAE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FD10C2"/>
    <w:multiLevelType w:val="multilevel"/>
    <w:tmpl w:val="1D96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201459"/>
    <w:multiLevelType w:val="multilevel"/>
    <w:tmpl w:val="80E08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336B1C"/>
    <w:multiLevelType w:val="multilevel"/>
    <w:tmpl w:val="DC7A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9C24C9"/>
    <w:multiLevelType w:val="multilevel"/>
    <w:tmpl w:val="E1BA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CFE10C9"/>
    <w:multiLevelType w:val="multilevel"/>
    <w:tmpl w:val="29CC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05E0BE5"/>
    <w:multiLevelType w:val="multilevel"/>
    <w:tmpl w:val="2170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8121C7"/>
    <w:multiLevelType w:val="multilevel"/>
    <w:tmpl w:val="FC24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131F9D"/>
    <w:multiLevelType w:val="multilevel"/>
    <w:tmpl w:val="F2B49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51F6AD0"/>
    <w:multiLevelType w:val="multilevel"/>
    <w:tmpl w:val="DBBE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591CDE"/>
    <w:multiLevelType w:val="multilevel"/>
    <w:tmpl w:val="60CA8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FF30EA"/>
    <w:multiLevelType w:val="multilevel"/>
    <w:tmpl w:val="5FD6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806EA6"/>
    <w:multiLevelType w:val="multilevel"/>
    <w:tmpl w:val="6D46B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EB9648B"/>
    <w:multiLevelType w:val="multilevel"/>
    <w:tmpl w:val="E87A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5354125">
    <w:abstractNumId w:val="52"/>
  </w:num>
  <w:num w:numId="2" w16cid:durableId="659624930">
    <w:abstractNumId w:val="23"/>
  </w:num>
  <w:num w:numId="3" w16cid:durableId="528296388">
    <w:abstractNumId w:val="59"/>
  </w:num>
  <w:num w:numId="4" w16cid:durableId="1249121823">
    <w:abstractNumId w:val="0"/>
  </w:num>
  <w:num w:numId="5" w16cid:durableId="591865482">
    <w:abstractNumId w:val="53"/>
  </w:num>
  <w:num w:numId="6" w16cid:durableId="444274439">
    <w:abstractNumId w:val="19"/>
  </w:num>
  <w:num w:numId="7" w16cid:durableId="855462702">
    <w:abstractNumId w:val="6"/>
  </w:num>
  <w:num w:numId="8" w16cid:durableId="439759676">
    <w:abstractNumId w:val="48"/>
  </w:num>
  <w:num w:numId="9" w16cid:durableId="715356132">
    <w:abstractNumId w:val="24"/>
  </w:num>
  <w:num w:numId="10" w16cid:durableId="1245798228">
    <w:abstractNumId w:val="25"/>
  </w:num>
  <w:num w:numId="11" w16cid:durableId="18429940">
    <w:abstractNumId w:val="30"/>
  </w:num>
  <w:num w:numId="12" w16cid:durableId="1272395907">
    <w:abstractNumId w:val="18"/>
  </w:num>
  <w:num w:numId="13" w16cid:durableId="1442215333">
    <w:abstractNumId w:val="65"/>
  </w:num>
  <w:num w:numId="14" w16cid:durableId="587202631">
    <w:abstractNumId w:val="16"/>
  </w:num>
  <w:num w:numId="15" w16cid:durableId="574508386">
    <w:abstractNumId w:val="40"/>
  </w:num>
  <w:num w:numId="16" w16cid:durableId="283656566">
    <w:abstractNumId w:val="66"/>
  </w:num>
  <w:num w:numId="17" w16cid:durableId="809245920">
    <w:abstractNumId w:val="28"/>
  </w:num>
  <w:num w:numId="18" w16cid:durableId="1938250938">
    <w:abstractNumId w:val="55"/>
  </w:num>
  <w:num w:numId="19" w16cid:durableId="1413893810">
    <w:abstractNumId w:val="5"/>
  </w:num>
  <w:num w:numId="20" w16cid:durableId="1192065999">
    <w:abstractNumId w:val="31"/>
  </w:num>
  <w:num w:numId="21" w16cid:durableId="928543579">
    <w:abstractNumId w:val="62"/>
  </w:num>
  <w:num w:numId="22" w16cid:durableId="166948444">
    <w:abstractNumId w:val="32"/>
  </w:num>
  <w:num w:numId="23" w16cid:durableId="334378930">
    <w:abstractNumId w:val="9"/>
  </w:num>
  <w:num w:numId="24" w16cid:durableId="1971472658">
    <w:abstractNumId w:val="39"/>
  </w:num>
  <w:num w:numId="25" w16cid:durableId="1369063088">
    <w:abstractNumId w:val="1"/>
  </w:num>
  <w:num w:numId="26" w16cid:durableId="498079913">
    <w:abstractNumId w:val="17"/>
  </w:num>
  <w:num w:numId="27" w16cid:durableId="989019392">
    <w:abstractNumId w:val="36"/>
  </w:num>
  <w:num w:numId="28" w16cid:durableId="11423240">
    <w:abstractNumId w:val="64"/>
  </w:num>
  <w:num w:numId="29" w16cid:durableId="1023747282">
    <w:abstractNumId w:val="46"/>
  </w:num>
  <w:num w:numId="30" w16cid:durableId="327221904">
    <w:abstractNumId w:val="42"/>
  </w:num>
  <w:num w:numId="31" w16cid:durableId="895970750">
    <w:abstractNumId w:val="3"/>
  </w:num>
  <w:num w:numId="32" w16cid:durableId="1703630678">
    <w:abstractNumId w:val="37"/>
  </w:num>
  <w:num w:numId="33" w16cid:durableId="1833566890">
    <w:abstractNumId w:val="27"/>
  </w:num>
  <w:num w:numId="34" w16cid:durableId="56635388">
    <w:abstractNumId w:val="43"/>
  </w:num>
  <w:num w:numId="35" w16cid:durableId="1727758149">
    <w:abstractNumId w:val="2"/>
  </w:num>
  <w:num w:numId="36" w16cid:durableId="744768937">
    <w:abstractNumId w:val="49"/>
  </w:num>
  <w:num w:numId="37" w16cid:durableId="754015507">
    <w:abstractNumId w:val="20"/>
  </w:num>
  <w:num w:numId="38" w16cid:durableId="886644981">
    <w:abstractNumId w:val="60"/>
  </w:num>
  <w:num w:numId="39" w16cid:durableId="1802722040">
    <w:abstractNumId w:val="7"/>
  </w:num>
  <w:num w:numId="40" w16cid:durableId="1480264991">
    <w:abstractNumId w:val="15"/>
  </w:num>
  <w:num w:numId="41" w16cid:durableId="1164053610">
    <w:abstractNumId w:val="10"/>
  </w:num>
  <w:num w:numId="42" w16cid:durableId="877815108">
    <w:abstractNumId w:val="22"/>
  </w:num>
  <w:num w:numId="43" w16cid:durableId="578444306">
    <w:abstractNumId w:val="14"/>
  </w:num>
  <w:num w:numId="44" w16cid:durableId="134445555">
    <w:abstractNumId w:val="50"/>
  </w:num>
  <w:num w:numId="45" w16cid:durableId="1118136309">
    <w:abstractNumId w:val="29"/>
  </w:num>
  <w:num w:numId="46" w16cid:durableId="1350133799">
    <w:abstractNumId w:val="26"/>
  </w:num>
  <w:num w:numId="47" w16cid:durableId="472406963">
    <w:abstractNumId w:val="8"/>
  </w:num>
  <w:num w:numId="48" w16cid:durableId="901208675">
    <w:abstractNumId w:val="35"/>
  </w:num>
  <w:num w:numId="49" w16cid:durableId="388655044">
    <w:abstractNumId w:val="13"/>
  </w:num>
  <w:num w:numId="50" w16cid:durableId="1461025760">
    <w:abstractNumId w:val="45"/>
  </w:num>
  <w:num w:numId="51" w16cid:durableId="2061589952">
    <w:abstractNumId w:val="4"/>
  </w:num>
  <w:num w:numId="52" w16cid:durableId="1289317618">
    <w:abstractNumId w:val="44"/>
  </w:num>
  <w:num w:numId="53" w16cid:durableId="498883698">
    <w:abstractNumId w:val="41"/>
  </w:num>
  <w:num w:numId="54" w16cid:durableId="894926230">
    <w:abstractNumId w:val="51"/>
  </w:num>
  <w:num w:numId="55" w16cid:durableId="963265624">
    <w:abstractNumId w:val="57"/>
  </w:num>
  <w:num w:numId="56" w16cid:durableId="1909461088">
    <w:abstractNumId w:val="61"/>
  </w:num>
  <w:num w:numId="57" w16cid:durableId="1024287859">
    <w:abstractNumId w:val="63"/>
  </w:num>
  <w:num w:numId="58" w16cid:durableId="1549030516">
    <w:abstractNumId w:val="38"/>
  </w:num>
  <w:num w:numId="59" w16cid:durableId="1923054431">
    <w:abstractNumId w:val="21"/>
  </w:num>
  <w:num w:numId="60" w16cid:durableId="486483303">
    <w:abstractNumId w:val="33"/>
  </w:num>
  <w:num w:numId="61" w16cid:durableId="1457065861">
    <w:abstractNumId w:val="47"/>
  </w:num>
  <w:num w:numId="62" w16cid:durableId="1956983883">
    <w:abstractNumId w:val="11"/>
  </w:num>
  <w:num w:numId="63" w16cid:durableId="1960649114">
    <w:abstractNumId w:val="54"/>
  </w:num>
  <w:num w:numId="64" w16cid:durableId="519971514">
    <w:abstractNumId w:val="58"/>
  </w:num>
  <w:num w:numId="65" w16cid:durableId="197620695">
    <w:abstractNumId w:val="56"/>
  </w:num>
  <w:num w:numId="66" w16cid:durableId="310452432">
    <w:abstractNumId w:val="34"/>
  </w:num>
  <w:num w:numId="67" w16cid:durableId="4667066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FC"/>
    <w:rsid w:val="000100C3"/>
    <w:rsid w:val="000138C2"/>
    <w:rsid w:val="00014CFF"/>
    <w:rsid w:val="0001667F"/>
    <w:rsid w:val="00022225"/>
    <w:rsid w:val="000231B3"/>
    <w:rsid w:val="00027585"/>
    <w:rsid w:val="000343F3"/>
    <w:rsid w:val="00034EC9"/>
    <w:rsid w:val="00036B32"/>
    <w:rsid w:val="0004204C"/>
    <w:rsid w:val="000457E2"/>
    <w:rsid w:val="00046B25"/>
    <w:rsid w:val="00046DC0"/>
    <w:rsid w:val="00050FEE"/>
    <w:rsid w:val="000513F6"/>
    <w:rsid w:val="0005172E"/>
    <w:rsid w:val="0005405C"/>
    <w:rsid w:val="0005406C"/>
    <w:rsid w:val="00054444"/>
    <w:rsid w:val="00054F03"/>
    <w:rsid w:val="00056B3C"/>
    <w:rsid w:val="000572DB"/>
    <w:rsid w:val="0006027D"/>
    <w:rsid w:val="00060803"/>
    <w:rsid w:val="00071DFF"/>
    <w:rsid w:val="000731BE"/>
    <w:rsid w:val="000738AD"/>
    <w:rsid w:val="000774D4"/>
    <w:rsid w:val="00081675"/>
    <w:rsid w:val="00083071"/>
    <w:rsid w:val="00083FF9"/>
    <w:rsid w:val="00086402"/>
    <w:rsid w:val="000A3B77"/>
    <w:rsid w:val="000A40FE"/>
    <w:rsid w:val="000A6F1C"/>
    <w:rsid w:val="000A7924"/>
    <w:rsid w:val="000B2127"/>
    <w:rsid w:val="000B2CF1"/>
    <w:rsid w:val="000B3C1B"/>
    <w:rsid w:val="000B3C8E"/>
    <w:rsid w:val="000B4725"/>
    <w:rsid w:val="000B5224"/>
    <w:rsid w:val="000B6E79"/>
    <w:rsid w:val="000B7061"/>
    <w:rsid w:val="000C4669"/>
    <w:rsid w:val="000C6CFC"/>
    <w:rsid w:val="000C7E78"/>
    <w:rsid w:val="000D04DE"/>
    <w:rsid w:val="000D1866"/>
    <w:rsid w:val="000D4E35"/>
    <w:rsid w:val="000D7ECA"/>
    <w:rsid w:val="000E110A"/>
    <w:rsid w:val="000E7AAF"/>
    <w:rsid w:val="000F2839"/>
    <w:rsid w:val="000F34F0"/>
    <w:rsid w:val="000F4A7A"/>
    <w:rsid w:val="000F629B"/>
    <w:rsid w:val="00105B34"/>
    <w:rsid w:val="00114577"/>
    <w:rsid w:val="00115944"/>
    <w:rsid w:val="00116506"/>
    <w:rsid w:val="00120D5E"/>
    <w:rsid w:val="00130B80"/>
    <w:rsid w:val="001315F9"/>
    <w:rsid w:val="00132045"/>
    <w:rsid w:val="001328BC"/>
    <w:rsid w:val="00133D82"/>
    <w:rsid w:val="00141CF0"/>
    <w:rsid w:val="0015264E"/>
    <w:rsid w:val="00165D57"/>
    <w:rsid w:val="00166061"/>
    <w:rsid w:val="00170DD0"/>
    <w:rsid w:val="001763DE"/>
    <w:rsid w:val="00183593"/>
    <w:rsid w:val="00184637"/>
    <w:rsid w:val="001855FD"/>
    <w:rsid w:val="00192D63"/>
    <w:rsid w:val="0019543E"/>
    <w:rsid w:val="00195A7C"/>
    <w:rsid w:val="00196FFD"/>
    <w:rsid w:val="001A24C9"/>
    <w:rsid w:val="001B1E37"/>
    <w:rsid w:val="001B5A3C"/>
    <w:rsid w:val="001C3D6B"/>
    <w:rsid w:val="001C66B5"/>
    <w:rsid w:val="001C687E"/>
    <w:rsid w:val="001C6DBE"/>
    <w:rsid w:val="001D27E5"/>
    <w:rsid w:val="001E6BD6"/>
    <w:rsid w:val="001E6EEC"/>
    <w:rsid w:val="001F3964"/>
    <w:rsid w:val="001F3D50"/>
    <w:rsid w:val="001F4678"/>
    <w:rsid w:val="001F611C"/>
    <w:rsid w:val="00203FAF"/>
    <w:rsid w:val="0020681F"/>
    <w:rsid w:val="0020687F"/>
    <w:rsid w:val="00212D6E"/>
    <w:rsid w:val="00213586"/>
    <w:rsid w:val="00216167"/>
    <w:rsid w:val="0021725B"/>
    <w:rsid w:val="002237B7"/>
    <w:rsid w:val="00225925"/>
    <w:rsid w:val="00226500"/>
    <w:rsid w:val="00226E45"/>
    <w:rsid w:val="00231C24"/>
    <w:rsid w:val="00232EA9"/>
    <w:rsid w:val="00241E8C"/>
    <w:rsid w:val="0024226D"/>
    <w:rsid w:val="0024704F"/>
    <w:rsid w:val="00247724"/>
    <w:rsid w:val="00250015"/>
    <w:rsid w:val="002522ED"/>
    <w:rsid w:val="00252B46"/>
    <w:rsid w:val="00252F40"/>
    <w:rsid w:val="00253769"/>
    <w:rsid w:val="00255780"/>
    <w:rsid w:val="00263EDC"/>
    <w:rsid w:val="00266C2E"/>
    <w:rsid w:val="00271661"/>
    <w:rsid w:val="0027376C"/>
    <w:rsid w:val="002765D3"/>
    <w:rsid w:val="002800FB"/>
    <w:rsid w:val="002808F2"/>
    <w:rsid w:val="0028219C"/>
    <w:rsid w:val="00282D22"/>
    <w:rsid w:val="00292383"/>
    <w:rsid w:val="00296A38"/>
    <w:rsid w:val="002A360C"/>
    <w:rsid w:val="002A4070"/>
    <w:rsid w:val="002C2B94"/>
    <w:rsid w:val="002C2F6E"/>
    <w:rsid w:val="002C3707"/>
    <w:rsid w:val="002C5818"/>
    <w:rsid w:val="002C5E75"/>
    <w:rsid w:val="002C626B"/>
    <w:rsid w:val="002D4DC9"/>
    <w:rsid w:val="002D547C"/>
    <w:rsid w:val="002D6D8F"/>
    <w:rsid w:val="002E0463"/>
    <w:rsid w:val="002E12D2"/>
    <w:rsid w:val="002E151D"/>
    <w:rsid w:val="002E227F"/>
    <w:rsid w:val="002E248B"/>
    <w:rsid w:val="002E599B"/>
    <w:rsid w:val="002E74E0"/>
    <w:rsid w:val="002F245E"/>
    <w:rsid w:val="002F507A"/>
    <w:rsid w:val="002F69C8"/>
    <w:rsid w:val="002F7337"/>
    <w:rsid w:val="00305CF3"/>
    <w:rsid w:val="0032079D"/>
    <w:rsid w:val="003217C7"/>
    <w:rsid w:val="00321B3D"/>
    <w:rsid w:val="00321DB4"/>
    <w:rsid w:val="0032218A"/>
    <w:rsid w:val="0032423F"/>
    <w:rsid w:val="00327B1E"/>
    <w:rsid w:val="00335842"/>
    <w:rsid w:val="00335B72"/>
    <w:rsid w:val="00342A70"/>
    <w:rsid w:val="00364E35"/>
    <w:rsid w:val="00373091"/>
    <w:rsid w:val="003741CC"/>
    <w:rsid w:val="00381333"/>
    <w:rsid w:val="00381C0D"/>
    <w:rsid w:val="00384C2A"/>
    <w:rsid w:val="003863A6"/>
    <w:rsid w:val="00387B6E"/>
    <w:rsid w:val="00390281"/>
    <w:rsid w:val="003A06F7"/>
    <w:rsid w:val="003A2182"/>
    <w:rsid w:val="003A4DBC"/>
    <w:rsid w:val="003A4FB3"/>
    <w:rsid w:val="003B1313"/>
    <w:rsid w:val="003C3718"/>
    <w:rsid w:val="003C500F"/>
    <w:rsid w:val="003C6397"/>
    <w:rsid w:val="003D0088"/>
    <w:rsid w:val="003D0271"/>
    <w:rsid w:val="003D1676"/>
    <w:rsid w:val="003D56A6"/>
    <w:rsid w:val="003D6FE5"/>
    <w:rsid w:val="003D7AAE"/>
    <w:rsid w:val="003E2304"/>
    <w:rsid w:val="003F1FF1"/>
    <w:rsid w:val="004071D2"/>
    <w:rsid w:val="004122C2"/>
    <w:rsid w:val="00412894"/>
    <w:rsid w:val="004128B2"/>
    <w:rsid w:val="00413B83"/>
    <w:rsid w:val="00413EF5"/>
    <w:rsid w:val="00417195"/>
    <w:rsid w:val="0042182B"/>
    <w:rsid w:val="00427559"/>
    <w:rsid w:val="00433069"/>
    <w:rsid w:val="004347EC"/>
    <w:rsid w:val="00434903"/>
    <w:rsid w:val="00436281"/>
    <w:rsid w:val="00437536"/>
    <w:rsid w:val="00446EAC"/>
    <w:rsid w:val="00447546"/>
    <w:rsid w:val="00447AA8"/>
    <w:rsid w:val="00451F15"/>
    <w:rsid w:val="0045760E"/>
    <w:rsid w:val="00460CCC"/>
    <w:rsid w:val="00464EA1"/>
    <w:rsid w:val="00470B69"/>
    <w:rsid w:val="004772AC"/>
    <w:rsid w:val="00480600"/>
    <w:rsid w:val="00480E5B"/>
    <w:rsid w:val="00481CBF"/>
    <w:rsid w:val="0048732E"/>
    <w:rsid w:val="00490436"/>
    <w:rsid w:val="004914C9"/>
    <w:rsid w:val="0049669D"/>
    <w:rsid w:val="00496E7F"/>
    <w:rsid w:val="00497CF9"/>
    <w:rsid w:val="004A1B7E"/>
    <w:rsid w:val="004A5168"/>
    <w:rsid w:val="004A5B9E"/>
    <w:rsid w:val="004A5C5C"/>
    <w:rsid w:val="004A613F"/>
    <w:rsid w:val="004B016B"/>
    <w:rsid w:val="004B6E5C"/>
    <w:rsid w:val="004C098E"/>
    <w:rsid w:val="004C2D63"/>
    <w:rsid w:val="004C373D"/>
    <w:rsid w:val="004C5896"/>
    <w:rsid w:val="004C7348"/>
    <w:rsid w:val="004D114F"/>
    <w:rsid w:val="004D521D"/>
    <w:rsid w:val="004E26AF"/>
    <w:rsid w:val="004E326E"/>
    <w:rsid w:val="004E3323"/>
    <w:rsid w:val="004F19DD"/>
    <w:rsid w:val="004F2E3C"/>
    <w:rsid w:val="00503EF4"/>
    <w:rsid w:val="005048BE"/>
    <w:rsid w:val="00506EC3"/>
    <w:rsid w:val="00511A1A"/>
    <w:rsid w:val="0051768C"/>
    <w:rsid w:val="00527417"/>
    <w:rsid w:val="00544B03"/>
    <w:rsid w:val="00546776"/>
    <w:rsid w:val="0054782A"/>
    <w:rsid w:val="00547848"/>
    <w:rsid w:val="00554FB9"/>
    <w:rsid w:val="005571F6"/>
    <w:rsid w:val="00560BFA"/>
    <w:rsid w:val="0056310A"/>
    <w:rsid w:val="005651E0"/>
    <w:rsid w:val="005750A7"/>
    <w:rsid w:val="00575AEE"/>
    <w:rsid w:val="00580B73"/>
    <w:rsid w:val="005815CA"/>
    <w:rsid w:val="00582B40"/>
    <w:rsid w:val="005927A7"/>
    <w:rsid w:val="005932BA"/>
    <w:rsid w:val="0059405F"/>
    <w:rsid w:val="0059430D"/>
    <w:rsid w:val="005A32C7"/>
    <w:rsid w:val="005A3E40"/>
    <w:rsid w:val="005B0B94"/>
    <w:rsid w:val="005B4449"/>
    <w:rsid w:val="005B4549"/>
    <w:rsid w:val="005B6EF3"/>
    <w:rsid w:val="005C0D9B"/>
    <w:rsid w:val="005C0E49"/>
    <w:rsid w:val="005C1370"/>
    <w:rsid w:val="005C37D1"/>
    <w:rsid w:val="005C4AAD"/>
    <w:rsid w:val="005C4DD4"/>
    <w:rsid w:val="005C71E2"/>
    <w:rsid w:val="005D2AAB"/>
    <w:rsid w:val="005E2825"/>
    <w:rsid w:val="005E3EF4"/>
    <w:rsid w:val="005F21B5"/>
    <w:rsid w:val="005F25B6"/>
    <w:rsid w:val="005F4902"/>
    <w:rsid w:val="005F6070"/>
    <w:rsid w:val="005F6248"/>
    <w:rsid w:val="00600CEE"/>
    <w:rsid w:val="00606466"/>
    <w:rsid w:val="00607D1C"/>
    <w:rsid w:val="00616688"/>
    <w:rsid w:val="006179C0"/>
    <w:rsid w:val="006206C2"/>
    <w:rsid w:val="00625379"/>
    <w:rsid w:val="00625B85"/>
    <w:rsid w:val="00626807"/>
    <w:rsid w:val="006302EA"/>
    <w:rsid w:val="006305C5"/>
    <w:rsid w:val="006305F7"/>
    <w:rsid w:val="006374D0"/>
    <w:rsid w:val="00640DB2"/>
    <w:rsid w:val="00642080"/>
    <w:rsid w:val="006456E3"/>
    <w:rsid w:val="00645EEA"/>
    <w:rsid w:val="00647F80"/>
    <w:rsid w:val="00652CEF"/>
    <w:rsid w:val="00657B78"/>
    <w:rsid w:val="006628AE"/>
    <w:rsid w:val="0066331B"/>
    <w:rsid w:val="0066456C"/>
    <w:rsid w:val="00670031"/>
    <w:rsid w:val="00677212"/>
    <w:rsid w:val="00683A50"/>
    <w:rsid w:val="00687E7E"/>
    <w:rsid w:val="00695941"/>
    <w:rsid w:val="0069767D"/>
    <w:rsid w:val="006A3514"/>
    <w:rsid w:val="006A36BA"/>
    <w:rsid w:val="006A48F9"/>
    <w:rsid w:val="006A62EF"/>
    <w:rsid w:val="006B2F60"/>
    <w:rsid w:val="006B7A81"/>
    <w:rsid w:val="006C05DE"/>
    <w:rsid w:val="006C14BC"/>
    <w:rsid w:val="006C416A"/>
    <w:rsid w:val="006C5A97"/>
    <w:rsid w:val="006D6686"/>
    <w:rsid w:val="006E47B9"/>
    <w:rsid w:val="006E73DC"/>
    <w:rsid w:val="006F0D09"/>
    <w:rsid w:val="006F3676"/>
    <w:rsid w:val="006F458F"/>
    <w:rsid w:val="007037C7"/>
    <w:rsid w:val="00704F4C"/>
    <w:rsid w:val="00711BCB"/>
    <w:rsid w:val="00712F4E"/>
    <w:rsid w:val="00724473"/>
    <w:rsid w:val="00737D8D"/>
    <w:rsid w:val="00741E22"/>
    <w:rsid w:val="0075023F"/>
    <w:rsid w:val="00750E44"/>
    <w:rsid w:val="00753397"/>
    <w:rsid w:val="00753728"/>
    <w:rsid w:val="007564BA"/>
    <w:rsid w:val="00761789"/>
    <w:rsid w:val="00763549"/>
    <w:rsid w:val="00764A0C"/>
    <w:rsid w:val="007668BF"/>
    <w:rsid w:val="007672BA"/>
    <w:rsid w:val="00780715"/>
    <w:rsid w:val="00782092"/>
    <w:rsid w:val="00784ACC"/>
    <w:rsid w:val="00784B14"/>
    <w:rsid w:val="00785926"/>
    <w:rsid w:val="007910B5"/>
    <w:rsid w:val="0079262F"/>
    <w:rsid w:val="00792B9D"/>
    <w:rsid w:val="00794BE4"/>
    <w:rsid w:val="00796432"/>
    <w:rsid w:val="00796A39"/>
    <w:rsid w:val="007A3278"/>
    <w:rsid w:val="007A3B25"/>
    <w:rsid w:val="007A3B3B"/>
    <w:rsid w:val="007A431C"/>
    <w:rsid w:val="007A599E"/>
    <w:rsid w:val="007A63FB"/>
    <w:rsid w:val="007B3C85"/>
    <w:rsid w:val="007B4EE2"/>
    <w:rsid w:val="007B527E"/>
    <w:rsid w:val="007C1ED6"/>
    <w:rsid w:val="007C4D05"/>
    <w:rsid w:val="007C526E"/>
    <w:rsid w:val="007C6D3B"/>
    <w:rsid w:val="007D0CA4"/>
    <w:rsid w:val="007D1D55"/>
    <w:rsid w:val="007D2B89"/>
    <w:rsid w:val="007D7E29"/>
    <w:rsid w:val="007E1CF1"/>
    <w:rsid w:val="007E4A07"/>
    <w:rsid w:val="007F0657"/>
    <w:rsid w:val="007F0858"/>
    <w:rsid w:val="007F17E2"/>
    <w:rsid w:val="00801F73"/>
    <w:rsid w:val="00802ED4"/>
    <w:rsid w:val="00803CDC"/>
    <w:rsid w:val="0080556D"/>
    <w:rsid w:val="00805AF6"/>
    <w:rsid w:val="00814E44"/>
    <w:rsid w:val="00814E95"/>
    <w:rsid w:val="00816F19"/>
    <w:rsid w:val="00817E2C"/>
    <w:rsid w:val="00820C55"/>
    <w:rsid w:val="00821CE2"/>
    <w:rsid w:val="00822DC0"/>
    <w:rsid w:val="008239D0"/>
    <w:rsid w:val="0082442B"/>
    <w:rsid w:val="0082670A"/>
    <w:rsid w:val="008276A8"/>
    <w:rsid w:val="00830FF9"/>
    <w:rsid w:val="00833F0C"/>
    <w:rsid w:val="008358BC"/>
    <w:rsid w:val="008404DC"/>
    <w:rsid w:val="00841B1F"/>
    <w:rsid w:val="0084444C"/>
    <w:rsid w:val="00847C2C"/>
    <w:rsid w:val="0085430E"/>
    <w:rsid w:val="00857A7C"/>
    <w:rsid w:val="00857EEC"/>
    <w:rsid w:val="00866F8F"/>
    <w:rsid w:val="0087030F"/>
    <w:rsid w:val="008727E1"/>
    <w:rsid w:val="00872D2D"/>
    <w:rsid w:val="008767A0"/>
    <w:rsid w:val="00883D5B"/>
    <w:rsid w:val="00884EF8"/>
    <w:rsid w:val="00885D12"/>
    <w:rsid w:val="00890739"/>
    <w:rsid w:val="00890E45"/>
    <w:rsid w:val="008939DA"/>
    <w:rsid w:val="008945F6"/>
    <w:rsid w:val="008948A1"/>
    <w:rsid w:val="008A0EF3"/>
    <w:rsid w:val="008A48E5"/>
    <w:rsid w:val="008A6B7C"/>
    <w:rsid w:val="008B14A7"/>
    <w:rsid w:val="008B2BB7"/>
    <w:rsid w:val="008B5A7A"/>
    <w:rsid w:val="008B5F54"/>
    <w:rsid w:val="008B6DC9"/>
    <w:rsid w:val="008C0CEA"/>
    <w:rsid w:val="008C0E0D"/>
    <w:rsid w:val="008C2C4C"/>
    <w:rsid w:val="008D0F90"/>
    <w:rsid w:val="008D1707"/>
    <w:rsid w:val="008D278A"/>
    <w:rsid w:val="008D7F1B"/>
    <w:rsid w:val="008E4EAE"/>
    <w:rsid w:val="008F0B65"/>
    <w:rsid w:val="008F0D4E"/>
    <w:rsid w:val="008F2BBC"/>
    <w:rsid w:val="008F2F32"/>
    <w:rsid w:val="008F770C"/>
    <w:rsid w:val="00900B0C"/>
    <w:rsid w:val="00904BA6"/>
    <w:rsid w:val="009074FA"/>
    <w:rsid w:val="00912CF2"/>
    <w:rsid w:val="00916F6D"/>
    <w:rsid w:val="00917FA8"/>
    <w:rsid w:val="00920C41"/>
    <w:rsid w:val="009251FB"/>
    <w:rsid w:val="009323DE"/>
    <w:rsid w:val="009365E8"/>
    <w:rsid w:val="00937207"/>
    <w:rsid w:val="0093737D"/>
    <w:rsid w:val="00937F84"/>
    <w:rsid w:val="00942DD5"/>
    <w:rsid w:val="009439C6"/>
    <w:rsid w:val="0094779A"/>
    <w:rsid w:val="009607CA"/>
    <w:rsid w:val="00962812"/>
    <w:rsid w:val="009649EC"/>
    <w:rsid w:val="0096549B"/>
    <w:rsid w:val="00965EC9"/>
    <w:rsid w:val="00967888"/>
    <w:rsid w:val="009700BB"/>
    <w:rsid w:val="0097270F"/>
    <w:rsid w:val="00977D67"/>
    <w:rsid w:val="00980464"/>
    <w:rsid w:val="00984795"/>
    <w:rsid w:val="009849E0"/>
    <w:rsid w:val="00984B52"/>
    <w:rsid w:val="00984C10"/>
    <w:rsid w:val="00987605"/>
    <w:rsid w:val="009B23E5"/>
    <w:rsid w:val="009B3430"/>
    <w:rsid w:val="009B46F2"/>
    <w:rsid w:val="009B55DE"/>
    <w:rsid w:val="009C35C9"/>
    <w:rsid w:val="009C44C9"/>
    <w:rsid w:val="009C7A77"/>
    <w:rsid w:val="009D200A"/>
    <w:rsid w:val="009D3B1D"/>
    <w:rsid w:val="009E331A"/>
    <w:rsid w:val="009E4537"/>
    <w:rsid w:val="009E78E4"/>
    <w:rsid w:val="009F00F8"/>
    <w:rsid w:val="009F0362"/>
    <w:rsid w:val="009F09DE"/>
    <w:rsid w:val="009F31E4"/>
    <w:rsid w:val="009F6936"/>
    <w:rsid w:val="009F6C49"/>
    <w:rsid w:val="009F7AC3"/>
    <w:rsid w:val="00A07BA9"/>
    <w:rsid w:val="00A07C51"/>
    <w:rsid w:val="00A14538"/>
    <w:rsid w:val="00A14829"/>
    <w:rsid w:val="00A201BF"/>
    <w:rsid w:val="00A216FB"/>
    <w:rsid w:val="00A37665"/>
    <w:rsid w:val="00A404B1"/>
    <w:rsid w:val="00A5036F"/>
    <w:rsid w:val="00A53606"/>
    <w:rsid w:val="00A53A60"/>
    <w:rsid w:val="00A547E2"/>
    <w:rsid w:val="00A57C93"/>
    <w:rsid w:val="00A57EF7"/>
    <w:rsid w:val="00A6050E"/>
    <w:rsid w:val="00A72C31"/>
    <w:rsid w:val="00A74FE4"/>
    <w:rsid w:val="00A822F7"/>
    <w:rsid w:val="00A84C62"/>
    <w:rsid w:val="00A8570E"/>
    <w:rsid w:val="00A905F7"/>
    <w:rsid w:val="00A91E20"/>
    <w:rsid w:val="00A9671C"/>
    <w:rsid w:val="00A96F07"/>
    <w:rsid w:val="00AA4954"/>
    <w:rsid w:val="00AA4DFC"/>
    <w:rsid w:val="00AA60EE"/>
    <w:rsid w:val="00AA6550"/>
    <w:rsid w:val="00AA6EDF"/>
    <w:rsid w:val="00AB1D7B"/>
    <w:rsid w:val="00AB4304"/>
    <w:rsid w:val="00AB5CF4"/>
    <w:rsid w:val="00AB5F0F"/>
    <w:rsid w:val="00AC18C1"/>
    <w:rsid w:val="00AC311F"/>
    <w:rsid w:val="00AC6F32"/>
    <w:rsid w:val="00AD642E"/>
    <w:rsid w:val="00AD704E"/>
    <w:rsid w:val="00AE3846"/>
    <w:rsid w:val="00AE5D9D"/>
    <w:rsid w:val="00AF6B4B"/>
    <w:rsid w:val="00B0244C"/>
    <w:rsid w:val="00B02D9D"/>
    <w:rsid w:val="00B04BE3"/>
    <w:rsid w:val="00B04E09"/>
    <w:rsid w:val="00B06B9A"/>
    <w:rsid w:val="00B105ED"/>
    <w:rsid w:val="00B12091"/>
    <w:rsid w:val="00B229A5"/>
    <w:rsid w:val="00B24E82"/>
    <w:rsid w:val="00B32ED4"/>
    <w:rsid w:val="00B32FA6"/>
    <w:rsid w:val="00B340FD"/>
    <w:rsid w:val="00B34C69"/>
    <w:rsid w:val="00B4187F"/>
    <w:rsid w:val="00B529EA"/>
    <w:rsid w:val="00B57B79"/>
    <w:rsid w:val="00B62F16"/>
    <w:rsid w:val="00B6485F"/>
    <w:rsid w:val="00B649EF"/>
    <w:rsid w:val="00B64B04"/>
    <w:rsid w:val="00B65433"/>
    <w:rsid w:val="00B65C56"/>
    <w:rsid w:val="00B728EB"/>
    <w:rsid w:val="00B73141"/>
    <w:rsid w:val="00B743BE"/>
    <w:rsid w:val="00B74EFA"/>
    <w:rsid w:val="00B80B66"/>
    <w:rsid w:val="00B83500"/>
    <w:rsid w:val="00B852BD"/>
    <w:rsid w:val="00B85A1D"/>
    <w:rsid w:val="00B85C0C"/>
    <w:rsid w:val="00B877ED"/>
    <w:rsid w:val="00B93FC8"/>
    <w:rsid w:val="00B946E3"/>
    <w:rsid w:val="00BA0FA3"/>
    <w:rsid w:val="00BA2893"/>
    <w:rsid w:val="00BA6D9D"/>
    <w:rsid w:val="00BB2B52"/>
    <w:rsid w:val="00BB3436"/>
    <w:rsid w:val="00BB396F"/>
    <w:rsid w:val="00BB790E"/>
    <w:rsid w:val="00BC13F0"/>
    <w:rsid w:val="00BD1F25"/>
    <w:rsid w:val="00BD711C"/>
    <w:rsid w:val="00BF0CEA"/>
    <w:rsid w:val="00BF3332"/>
    <w:rsid w:val="00C02461"/>
    <w:rsid w:val="00C02CCE"/>
    <w:rsid w:val="00C053A7"/>
    <w:rsid w:val="00C118F8"/>
    <w:rsid w:val="00C132B0"/>
    <w:rsid w:val="00C2068E"/>
    <w:rsid w:val="00C2362D"/>
    <w:rsid w:val="00C34885"/>
    <w:rsid w:val="00C373CE"/>
    <w:rsid w:val="00C4007D"/>
    <w:rsid w:val="00C50D1E"/>
    <w:rsid w:val="00C51557"/>
    <w:rsid w:val="00C548B4"/>
    <w:rsid w:val="00C54B95"/>
    <w:rsid w:val="00C562BA"/>
    <w:rsid w:val="00C565E6"/>
    <w:rsid w:val="00C57A70"/>
    <w:rsid w:val="00C615C0"/>
    <w:rsid w:val="00C61D7B"/>
    <w:rsid w:val="00C625E2"/>
    <w:rsid w:val="00C66A63"/>
    <w:rsid w:val="00C66B64"/>
    <w:rsid w:val="00C71CD7"/>
    <w:rsid w:val="00C71F6D"/>
    <w:rsid w:val="00C734F8"/>
    <w:rsid w:val="00C73E42"/>
    <w:rsid w:val="00C75307"/>
    <w:rsid w:val="00C75E51"/>
    <w:rsid w:val="00C81493"/>
    <w:rsid w:val="00C816E4"/>
    <w:rsid w:val="00C81C0B"/>
    <w:rsid w:val="00C829F7"/>
    <w:rsid w:val="00C834CC"/>
    <w:rsid w:val="00C84A47"/>
    <w:rsid w:val="00C90DFE"/>
    <w:rsid w:val="00C969BF"/>
    <w:rsid w:val="00C9773B"/>
    <w:rsid w:val="00C9797C"/>
    <w:rsid w:val="00CA0449"/>
    <w:rsid w:val="00CA2915"/>
    <w:rsid w:val="00CA4E06"/>
    <w:rsid w:val="00CA54CB"/>
    <w:rsid w:val="00CB0172"/>
    <w:rsid w:val="00CB1608"/>
    <w:rsid w:val="00CB422C"/>
    <w:rsid w:val="00CB531D"/>
    <w:rsid w:val="00CB58BB"/>
    <w:rsid w:val="00CC6D31"/>
    <w:rsid w:val="00CD30D8"/>
    <w:rsid w:val="00CD7E8C"/>
    <w:rsid w:val="00CE17C5"/>
    <w:rsid w:val="00CF1155"/>
    <w:rsid w:val="00CF2F52"/>
    <w:rsid w:val="00CF38A9"/>
    <w:rsid w:val="00D01CAA"/>
    <w:rsid w:val="00D1329B"/>
    <w:rsid w:val="00D15FEB"/>
    <w:rsid w:val="00D172FC"/>
    <w:rsid w:val="00D23A15"/>
    <w:rsid w:val="00D2489A"/>
    <w:rsid w:val="00D26E43"/>
    <w:rsid w:val="00D33B31"/>
    <w:rsid w:val="00D36B78"/>
    <w:rsid w:val="00D36C0C"/>
    <w:rsid w:val="00D42BDC"/>
    <w:rsid w:val="00D443FE"/>
    <w:rsid w:val="00D4647F"/>
    <w:rsid w:val="00D50661"/>
    <w:rsid w:val="00D53F97"/>
    <w:rsid w:val="00D55285"/>
    <w:rsid w:val="00D55691"/>
    <w:rsid w:val="00D56047"/>
    <w:rsid w:val="00D56103"/>
    <w:rsid w:val="00D5639C"/>
    <w:rsid w:val="00D56ABD"/>
    <w:rsid w:val="00D60D78"/>
    <w:rsid w:val="00D60F02"/>
    <w:rsid w:val="00D62718"/>
    <w:rsid w:val="00D640E9"/>
    <w:rsid w:val="00D65349"/>
    <w:rsid w:val="00D65D28"/>
    <w:rsid w:val="00D66EFA"/>
    <w:rsid w:val="00D75343"/>
    <w:rsid w:val="00D77CF2"/>
    <w:rsid w:val="00D802A5"/>
    <w:rsid w:val="00D85E00"/>
    <w:rsid w:val="00D946DF"/>
    <w:rsid w:val="00D951FC"/>
    <w:rsid w:val="00D954EF"/>
    <w:rsid w:val="00D96C25"/>
    <w:rsid w:val="00D975CF"/>
    <w:rsid w:val="00DA5225"/>
    <w:rsid w:val="00DA5658"/>
    <w:rsid w:val="00DB07D4"/>
    <w:rsid w:val="00DB665D"/>
    <w:rsid w:val="00DD0478"/>
    <w:rsid w:val="00DD1DF7"/>
    <w:rsid w:val="00DD2129"/>
    <w:rsid w:val="00DF042B"/>
    <w:rsid w:val="00DF60DD"/>
    <w:rsid w:val="00DF7C91"/>
    <w:rsid w:val="00E002A0"/>
    <w:rsid w:val="00E019B5"/>
    <w:rsid w:val="00E03F2A"/>
    <w:rsid w:val="00E043D3"/>
    <w:rsid w:val="00E054CB"/>
    <w:rsid w:val="00E05CEE"/>
    <w:rsid w:val="00E07BAB"/>
    <w:rsid w:val="00E112CD"/>
    <w:rsid w:val="00E115D4"/>
    <w:rsid w:val="00E14A65"/>
    <w:rsid w:val="00E161DA"/>
    <w:rsid w:val="00E17149"/>
    <w:rsid w:val="00E22328"/>
    <w:rsid w:val="00E251DB"/>
    <w:rsid w:val="00E268AB"/>
    <w:rsid w:val="00E30899"/>
    <w:rsid w:val="00E35D62"/>
    <w:rsid w:val="00E40722"/>
    <w:rsid w:val="00E40D4C"/>
    <w:rsid w:val="00E44094"/>
    <w:rsid w:val="00E45DC4"/>
    <w:rsid w:val="00E46FD7"/>
    <w:rsid w:val="00E50DC9"/>
    <w:rsid w:val="00E5382E"/>
    <w:rsid w:val="00E54953"/>
    <w:rsid w:val="00E559C8"/>
    <w:rsid w:val="00E5653C"/>
    <w:rsid w:val="00E60CA9"/>
    <w:rsid w:val="00E63118"/>
    <w:rsid w:val="00E72B32"/>
    <w:rsid w:val="00E730C4"/>
    <w:rsid w:val="00E74EF3"/>
    <w:rsid w:val="00E8223D"/>
    <w:rsid w:val="00E8246A"/>
    <w:rsid w:val="00E831C6"/>
    <w:rsid w:val="00E851F4"/>
    <w:rsid w:val="00E85ADA"/>
    <w:rsid w:val="00E90F9B"/>
    <w:rsid w:val="00E91407"/>
    <w:rsid w:val="00E94D92"/>
    <w:rsid w:val="00E95252"/>
    <w:rsid w:val="00EA076C"/>
    <w:rsid w:val="00EA25CD"/>
    <w:rsid w:val="00EA2DBF"/>
    <w:rsid w:val="00EA59BD"/>
    <w:rsid w:val="00EA793F"/>
    <w:rsid w:val="00EB0FCC"/>
    <w:rsid w:val="00EB42D5"/>
    <w:rsid w:val="00EB5AF3"/>
    <w:rsid w:val="00EC18D8"/>
    <w:rsid w:val="00EC1C6C"/>
    <w:rsid w:val="00EC5206"/>
    <w:rsid w:val="00EC6610"/>
    <w:rsid w:val="00ED19A2"/>
    <w:rsid w:val="00ED20B2"/>
    <w:rsid w:val="00ED557B"/>
    <w:rsid w:val="00ED6018"/>
    <w:rsid w:val="00ED60F6"/>
    <w:rsid w:val="00EE0C0B"/>
    <w:rsid w:val="00EF1C75"/>
    <w:rsid w:val="00EF63AD"/>
    <w:rsid w:val="00F0034D"/>
    <w:rsid w:val="00F00439"/>
    <w:rsid w:val="00F0611F"/>
    <w:rsid w:val="00F066C0"/>
    <w:rsid w:val="00F102C8"/>
    <w:rsid w:val="00F16695"/>
    <w:rsid w:val="00F16FA3"/>
    <w:rsid w:val="00F17CC3"/>
    <w:rsid w:val="00F24EB6"/>
    <w:rsid w:val="00F27352"/>
    <w:rsid w:val="00F27A6D"/>
    <w:rsid w:val="00F3052A"/>
    <w:rsid w:val="00F30B8D"/>
    <w:rsid w:val="00F30D5B"/>
    <w:rsid w:val="00F32035"/>
    <w:rsid w:val="00F328A6"/>
    <w:rsid w:val="00F33A87"/>
    <w:rsid w:val="00F341EC"/>
    <w:rsid w:val="00F34CFA"/>
    <w:rsid w:val="00F403C2"/>
    <w:rsid w:val="00F42532"/>
    <w:rsid w:val="00F44F87"/>
    <w:rsid w:val="00F45154"/>
    <w:rsid w:val="00F46992"/>
    <w:rsid w:val="00F50130"/>
    <w:rsid w:val="00F53F39"/>
    <w:rsid w:val="00F5435D"/>
    <w:rsid w:val="00F634FF"/>
    <w:rsid w:val="00F63F3B"/>
    <w:rsid w:val="00F64996"/>
    <w:rsid w:val="00F650A7"/>
    <w:rsid w:val="00F66AEA"/>
    <w:rsid w:val="00F6715E"/>
    <w:rsid w:val="00F70DB1"/>
    <w:rsid w:val="00F72183"/>
    <w:rsid w:val="00F75958"/>
    <w:rsid w:val="00F84856"/>
    <w:rsid w:val="00F8542F"/>
    <w:rsid w:val="00F863C0"/>
    <w:rsid w:val="00F94A91"/>
    <w:rsid w:val="00F951F1"/>
    <w:rsid w:val="00F958E0"/>
    <w:rsid w:val="00FA0AAC"/>
    <w:rsid w:val="00FA2C23"/>
    <w:rsid w:val="00FA558E"/>
    <w:rsid w:val="00FA5C43"/>
    <w:rsid w:val="00FA72B1"/>
    <w:rsid w:val="00FB0B27"/>
    <w:rsid w:val="00FB44EC"/>
    <w:rsid w:val="00FB5101"/>
    <w:rsid w:val="00FB7752"/>
    <w:rsid w:val="00FB78B2"/>
    <w:rsid w:val="00FD0871"/>
    <w:rsid w:val="00FD0A7A"/>
    <w:rsid w:val="00FD1EB9"/>
    <w:rsid w:val="00FD28E9"/>
    <w:rsid w:val="00FD7E47"/>
    <w:rsid w:val="00FE174B"/>
    <w:rsid w:val="00FE3467"/>
    <w:rsid w:val="00FE70FF"/>
    <w:rsid w:val="00FE78E7"/>
    <w:rsid w:val="00FF3086"/>
    <w:rsid w:val="00FF4970"/>
    <w:rsid w:val="00FF5384"/>
    <w:rsid w:val="00FF78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B1877"/>
  <w15:chartTrackingRefBased/>
  <w15:docId w15:val="{268296DA-1757-4FDB-AC25-53D373DE2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2ED"/>
    <w:pPr>
      <w:spacing w:line="360" w:lineRule="auto"/>
      <w:jc w:val="right"/>
    </w:pPr>
    <w:rPr>
      <w:rFonts w:asciiTheme="majorBidi" w:hAnsiTheme="majorBidi"/>
    </w:rPr>
  </w:style>
  <w:style w:type="paragraph" w:styleId="Heading1">
    <w:name w:val="heading 1"/>
    <w:basedOn w:val="Normal"/>
    <w:next w:val="Normal"/>
    <w:link w:val="Heading1Char"/>
    <w:uiPriority w:val="9"/>
    <w:qFormat/>
    <w:rsid w:val="002522ED"/>
    <w:pPr>
      <w:keepNext/>
      <w:keepLines/>
      <w:bidi/>
      <w:spacing w:before="360" w:after="80"/>
      <w:jc w:val="left"/>
      <w:outlineLvl w:val="0"/>
    </w:pPr>
    <w:rPr>
      <w:rFonts w:eastAsiaTheme="majorEastAsia" w:cstheme="majorBidi"/>
      <w:b/>
      <w:color w:val="000000" w:themeColor="text1"/>
      <w:sz w:val="36"/>
      <w:szCs w:val="36"/>
    </w:rPr>
  </w:style>
  <w:style w:type="paragraph" w:styleId="Heading2">
    <w:name w:val="heading 2"/>
    <w:basedOn w:val="Normal"/>
    <w:next w:val="Normal"/>
    <w:link w:val="Heading2Char"/>
    <w:uiPriority w:val="9"/>
    <w:unhideWhenUsed/>
    <w:qFormat/>
    <w:rsid w:val="007D1D55"/>
    <w:pPr>
      <w:keepNext/>
      <w:keepLines/>
      <w:spacing w:before="160" w:after="80"/>
      <w:outlineLvl w:val="1"/>
    </w:pPr>
    <w:rPr>
      <w:rFonts w:ascii="Arial" w:eastAsiaTheme="majorEastAsia" w:hAnsi="Arial" w:cstheme="majorBidi"/>
      <w:color w:val="000000" w:themeColor="text1"/>
      <w:sz w:val="32"/>
      <w:szCs w:val="32"/>
    </w:rPr>
  </w:style>
  <w:style w:type="paragraph" w:styleId="Heading3">
    <w:name w:val="heading 3"/>
    <w:basedOn w:val="Normal"/>
    <w:next w:val="Normal"/>
    <w:link w:val="Heading3Char"/>
    <w:uiPriority w:val="9"/>
    <w:semiHidden/>
    <w:unhideWhenUsed/>
    <w:qFormat/>
    <w:rsid w:val="000C6C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C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C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C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C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C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C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2ED"/>
    <w:rPr>
      <w:rFonts w:asciiTheme="majorBidi" w:eastAsiaTheme="majorEastAsia" w:hAnsiTheme="majorBidi" w:cstheme="majorBidi"/>
      <w:b/>
      <w:color w:val="000000" w:themeColor="text1"/>
      <w:sz w:val="36"/>
      <w:szCs w:val="36"/>
    </w:rPr>
  </w:style>
  <w:style w:type="character" w:customStyle="1" w:styleId="Heading2Char">
    <w:name w:val="Heading 2 Char"/>
    <w:basedOn w:val="DefaultParagraphFont"/>
    <w:link w:val="Heading2"/>
    <w:uiPriority w:val="9"/>
    <w:rsid w:val="007D1D55"/>
    <w:rPr>
      <w:rFonts w:ascii="Arial" w:eastAsiaTheme="majorEastAsia" w:hAnsi="Arial" w:cstheme="majorBidi"/>
      <w:color w:val="000000" w:themeColor="text1"/>
      <w:sz w:val="32"/>
      <w:szCs w:val="32"/>
    </w:rPr>
  </w:style>
  <w:style w:type="character" w:customStyle="1" w:styleId="Heading3Char">
    <w:name w:val="Heading 3 Char"/>
    <w:basedOn w:val="DefaultParagraphFont"/>
    <w:link w:val="Heading3"/>
    <w:uiPriority w:val="9"/>
    <w:semiHidden/>
    <w:rsid w:val="000C6C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C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C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C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C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C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CFC"/>
    <w:rPr>
      <w:rFonts w:eastAsiaTheme="majorEastAsia" w:cstheme="majorBidi"/>
      <w:color w:val="272727" w:themeColor="text1" w:themeTint="D8"/>
    </w:rPr>
  </w:style>
  <w:style w:type="paragraph" w:styleId="Title">
    <w:name w:val="Title"/>
    <w:basedOn w:val="Normal"/>
    <w:next w:val="Normal"/>
    <w:link w:val="TitleChar"/>
    <w:uiPriority w:val="10"/>
    <w:qFormat/>
    <w:rsid w:val="000C6C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C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C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C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CFC"/>
    <w:pPr>
      <w:spacing w:before="160"/>
      <w:jc w:val="center"/>
    </w:pPr>
    <w:rPr>
      <w:i/>
      <w:iCs/>
      <w:color w:val="404040" w:themeColor="text1" w:themeTint="BF"/>
    </w:rPr>
  </w:style>
  <w:style w:type="character" w:customStyle="1" w:styleId="QuoteChar">
    <w:name w:val="Quote Char"/>
    <w:basedOn w:val="DefaultParagraphFont"/>
    <w:link w:val="Quote"/>
    <w:uiPriority w:val="29"/>
    <w:rsid w:val="000C6CFC"/>
    <w:rPr>
      <w:i/>
      <w:iCs/>
      <w:color w:val="404040" w:themeColor="text1" w:themeTint="BF"/>
    </w:rPr>
  </w:style>
  <w:style w:type="paragraph" w:styleId="ListParagraph">
    <w:name w:val="List Paragraph"/>
    <w:basedOn w:val="Normal"/>
    <w:uiPriority w:val="34"/>
    <w:qFormat/>
    <w:rsid w:val="000C6CFC"/>
    <w:pPr>
      <w:ind w:left="720"/>
      <w:contextualSpacing/>
    </w:pPr>
  </w:style>
  <w:style w:type="character" w:styleId="IntenseEmphasis">
    <w:name w:val="Intense Emphasis"/>
    <w:basedOn w:val="DefaultParagraphFont"/>
    <w:uiPriority w:val="21"/>
    <w:qFormat/>
    <w:rsid w:val="000C6CFC"/>
    <w:rPr>
      <w:i/>
      <w:iCs/>
      <w:color w:val="0F4761" w:themeColor="accent1" w:themeShade="BF"/>
    </w:rPr>
  </w:style>
  <w:style w:type="paragraph" w:styleId="IntenseQuote">
    <w:name w:val="Intense Quote"/>
    <w:basedOn w:val="Normal"/>
    <w:next w:val="Normal"/>
    <w:link w:val="IntenseQuoteChar"/>
    <w:uiPriority w:val="30"/>
    <w:qFormat/>
    <w:rsid w:val="000C6C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CFC"/>
    <w:rPr>
      <w:i/>
      <w:iCs/>
      <w:color w:val="0F4761" w:themeColor="accent1" w:themeShade="BF"/>
    </w:rPr>
  </w:style>
  <w:style w:type="character" w:styleId="IntenseReference">
    <w:name w:val="Intense Reference"/>
    <w:basedOn w:val="DefaultParagraphFont"/>
    <w:uiPriority w:val="32"/>
    <w:qFormat/>
    <w:rsid w:val="000C6CFC"/>
    <w:rPr>
      <w:b/>
      <w:bCs/>
      <w:smallCaps/>
      <w:color w:val="0F4761" w:themeColor="accent1" w:themeShade="BF"/>
      <w:spacing w:val="5"/>
    </w:rPr>
  </w:style>
  <w:style w:type="paragraph" w:styleId="Header">
    <w:name w:val="header"/>
    <w:basedOn w:val="Normal"/>
    <w:link w:val="HeaderChar"/>
    <w:uiPriority w:val="99"/>
    <w:unhideWhenUsed/>
    <w:rsid w:val="00554F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FB9"/>
  </w:style>
  <w:style w:type="paragraph" w:styleId="Footer">
    <w:name w:val="footer"/>
    <w:basedOn w:val="Normal"/>
    <w:link w:val="FooterChar"/>
    <w:uiPriority w:val="99"/>
    <w:unhideWhenUsed/>
    <w:rsid w:val="00554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FB9"/>
  </w:style>
  <w:style w:type="paragraph" w:styleId="NormalWeb">
    <w:name w:val="Normal (Web)"/>
    <w:basedOn w:val="Normal"/>
    <w:uiPriority w:val="99"/>
    <w:unhideWhenUsed/>
    <w:rsid w:val="00C75307"/>
    <w:rPr>
      <w:rFonts w:ascii="Times New Roman" w:hAnsi="Times New Roman" w:cs="Times New Roman"/>
    </w:rPr>
  </w:style>
  <w:style w:type="character" w:styleId="Hyperlink">
    <w:name w:val="Hyperlink"/>
    <w:basedOn w:val="DefaultParagraphFont"/>
    <w:uiPriority w:val="99"/>
    <w:unhideWhenUsed/>
    <w:rsid w:val="00081675"/>
    <w:rPr>
      <w:color w:val="467886" w:themeColor="hyperlink"/>
      <w:u w:val="single"/>
    </w:rPr>
  </w:style>
  <w:style w:type="character" w:styleId="UnresolvedMention">
    <w:name w:val="Unresolved Mention"/>
    <w:basedOn w:val="DefaultParagraphFont"/>
    <w:uiPriority w:val="99"/>
    <w:semiHidden/>
    <w:unhideWhenUsed/>
    <w:rsid w:val="00081675"/>
    <w:rPr>
      <w:color w:val="605E5C"/>
      <w:shd w:val="clear" w:color="auto" w:fill="E1DFDD"/>
    </w:rPr>
  </w:style>
  <w:style w:type="paragraph" w:styleId="NoSpacing">
    <w:name w:val="No Spacing"/>
    <w:uiPriority w:val="1"/>
    <w:qFormat/>
    <w:rsid w:val="002522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1740-8784.2011.00233.x" TargetMode="External"/><Relationship Id="rId18" Type="http://schemas.openxmlformats.org/officeDocument/2006/relationships/hyperlink" Target="https://doi.org/10.1016/j.jik.2024.100654" TargetMode="External"/><Relationship Id="rId26" Type="http://schemas.openxmlformats.org/officeDocument/2006/relationships/hyperlink" Target="https://doi.org/10.3390/educsci16010155" TargetMode="External"/><Relationship Id="rId39" Type="http://schemas.openxmlformats.org/officeDocument/2006/relationships/fontTable" Target="fontTable.xml"/><Relationship Id="rId21" Type="http://schemas.openxmlformats.org/officeDocument/2006/relationships/hyperlink" Target="https://doi.org/10.1787/9789264304604-en"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i.org/10.5465/256406" TargetMode="External"/><Relationship Id="rId17" Type="http://schemas.openxmlformats.org/officeDocument/2006/relationships/hyperlink" Target="https://doi.org/10.1016/j.techfore.2023.123095" TargetMode="External"/><Relationship Id="rId25" Type="http://schemas.openxmlformats.org/officeDocument/2006/relationships/hyperlink" Target="https://doi.org/10.1016/j.techfore.2010.06.019"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i.org/10.1016/j.jik.2022.100177" TargetMode="External"/><Relationship Id="rId20" Type="http://schemas.openxmlformats.org/officeDocument/2006/relationships/hyperlink" Target="https://doi.org/10.1787/0a4f7a5e-en" TargetMode="External"/><Relationship Id="rId29" Type="http://schemas.openxmlformats.org/officeDocument/2006/relationships/hyperlink" Target="https://doi.org/10.1002/smj.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393553" TargetMode="External"/><Relationship Id="rId24" Type="http://schemas.openxmlformats.org/officeDocument/2006/relationships/hyperlink" Target="https://doi.org/10.1016/j.techfore.2015.11.002" TargetMode="External"/><Relationship Id="rId32" Type="http://schemas.openxmlformats.org/officeDocument/2006/relationships/hyperlink" Target="https://doi.org/10.34028/1069-022-001-002"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48550/arXiv.2505.06326" TargetMode="External"/><Relationship Id="rId23" Type="http://schemas.openxmlformats.org/officeDocument/2006/relationships/hyperlink" Target="https://doi.org/10.3390/su15033157" TargetMode="External"/><Relationship Id="rId28" Type="http://schemas.openxmlformats.org/officeDocument/2006/relationships/hyperlink" Target="https://doi.org/10.1525/cmr.2013.55.4.15" TargetMode="External"/><Relationship Id="rId36" Type="http://schemas.openxmlformats.org/officeDocument/2006/relationships/footer" Target="footer2.xml"/><Relationship Id="rId10" Type="http://schemas.openxmlformats.org/officeDocument/2006/relationships/hyperlink" Target="https://doi.org/10.5465/amr.2008.34421969" TargetMode="External"/><Relationship Id="rId19" Type="http://schemas.openxmlformats.org/officeDocument/2006/relationships/hyperlink" Target="https://doi.org/10.1186/s43093-025-00361-0" TargetMode="External"/><Relationship Id="rId31" Type="http://schemas.openxmlformats.org/officeDocument/2006/relationships/hyperlink" Target="https://doi.org/10.21608/jasep.2025.446333" TargetMode="External"/><Relationship Id="rId4" Type="http://schemas.openxmlformats.org/officeDocument/2006/relationships/settings" Target="settings.xml"/><Relationship Id="rId9" Type="http://schemas.openxmlformats.org/officeDocument/2006/relationships/hyperlink" Target="https://doi.org/10.35552/anujrle.2.2.2595" TargetMode="External"/><Relationship Id="rId14" Type="http://schemas.openxmlformats.org/officeDocument/2006/relationships/hyperlink" Target="https://doi.org/10.1142/S1363919615300015" TargetMode="External"/><Relationship Id="rId22" Type="http://schemas.openxmlformats.org/officeDocument/2006/relationships/hyperlink" Target="https://doi.org/10.1016/j.jbusres.2023.113964" TargetMode="External"/><Relationship Id="rId27" Type="http://schemas.openxmlformats.org/officeDocument/2006/relationships/hyperlink" Target="https://doi.org/10.1016/j.sbr.2025.100015" TargetMode="External"/><Relationship Id="rId30" Type="http://schemas.openxmlformats.org/officeDocument/2006/relationships/hyperlink" Target="https://doi.org/10.1016/j.lrp.2017.06.007" TargetMode="External"/><Relationship Id="rId35" Type="http://schemas.openxmlformats.org/officeDocument/2006/relationships/footer" Target="footer1.xml"/><Relationship Id="rId8" Type="http://schemas.openxmlformats.org/officeDocument/2006/relationships/hyperlink" Target="https://journal.uokufa.edu.iq/index.php/ksc/article/view/19745"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66828-A97E-49FE-8198-C6E67D9F5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2062</TotalTime>
  <Pages>26</Pages>
  <Words>6685</Words>
  <Characters>38110</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Alharbi</dc:creator>
  <cp:keywords/>
  <dc:description/>
  <cp:lastModifiedBy>Amal Alharbi</cp:lastModifiedBy>
  <cp:revision>792</cp:revision>
  <dcterms:created xsi:type="dcterms:W3CDTF">2026-02-23T19:11:00Z</dcterms:created>
  <dcterms:modified xsi:type="dcterms:W3CDTF">2026-04-04T14:59:00Z</dcterms:modified>
</cp:coreProperties>
</file>