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D65" w:rsidRDefault="00EC3D65" w:rsidP="00EC3D65">
      <w:pPr>
        <w:pStyle w:val="Heading1"/>
      </w:pPr>
      <w:bookmarkStart w:id="0" w:name="_GoBack"/>
      <w:r>
        <w:t>Chapter 3: Methodology</w:t>
      </w:r>
    </w:p>
    <w:bookmarkEnd w:id="0"/>
    <w:p w:rsidR="00EC3D65" w:rsidRDefault="00EC3D65" w:rsidP="00EC3D65">
      <w:pPr>
        <w:pStyle w:val="Heading2"/>
        <w:spacing w:before="280" w:after="140"/>
      </w:pPr>
      <w:r>
        <w:t>3.1 Introduction</w:t>
      </w:r>
    </w:p>
    <w:p w:rsidR="00EC3D65" w:rsidRDefault="00EC3D65" w:rsidP="00EC3D65">
      <w:r>
        <w:t xml:space="preserve">This chapter presents the methodology used to develop and evaluate the plant leaf disease classification system proposed in this thesis. Three convolutional neural network backbones — ResNet50, EfficientNetB0, and MobileNetV2 — are adapted through transfer learning and trained under an identical experimental protocol, so that their performance can be compared fairly in Chapter 4. Each backbone is implemented in its own notebook that follows the same sequence of stages: dataset preparation and splitting, data quality control, augmentation and model-specific preprocessing, transfer-learning model construction, training, and a standardized evaluation procedure that </w:t>
      </w:r>
      <w:proofErr w:type="gramStart"/>
      <w:r>
        <w:t>persists</w:t>
      </w:r>
      <w:proofErr w:type="gramEnd"/>
      <w:r>
        <w:t xml:space="preserve"> metrics and confusion matrices for later comparison. This chapter intentionally avoids presenting accuracy, precision, recall, or other performance figures; all numerical findings are reported in Chapter 4.</w:t>
      </w:r>
    </w:p>
    <w:p w:rsidR="00EC3D65" w:rsidRDefault="00EC3D65" w:rsidP="00EC3D65">
      <w:r>
        <w:t xml:space="preserve">Transfer learning is adopted for all three models rather than training </w:t>
      </w:r>
      <w:proofErr w:type="gramStart"/>
      <w:r>
        <w:t>each architecture</w:t>
      </w:r>
      <w:proofErr w:type="gramEnd"/>
      <w:r>
        <w:t xml:space="preserve"> from scratch. With 20,638 images across 15 classes, the </w:t>
      </w:r>
      <w:proofErr w:type="spellStart"/>
      <w:r>
        <w:t>PlantVillage</w:t>
      </w:r>
      <w:proofErr w:type="spellEnd"/>
      <w:r>
        <w:t xml:space="preserve"> dataset used here is comparatively modest for training a deep CNN from random initialization, whereas reusing ImageNet-</w:t>
      </w:r>
      <w:proofErr w:type="spellStart"/>
      <w:r>
        <w:t>pretrained</w:t>
      </w:r>
      <w:proofErr w:type="spellEnd"/>
      <w:r>
        <w:t xml:space="preserve"> convolutional features — as reviewed in the transfer-learning </w:t>
      </w:r>
      <w:proofErr w:type="gramStart"/>
      <w:r>
        <w:t>studies discussed in Chapter 2 — has</w:t>
      </w:r>
      <w:proofErr w:type="gramEnd"/>
      <w:r>
        <w:t xml:space="preserve"> consistently achieved high accuracy on this dataset with substantially less training data and time.</w:t>
      </w:r>
    </w:p>
    <w:p w:rsidR="00EC3D65" w:rsidRDefault="00EC3D65" w:rsidP="00EC3D65">
      <w:pPr>
        <w:pStyle w:val="Heading2"/>
        <w:spacing w:before="280" w:after="140"/>
      </w:pPr>
      <w:r>
        <w:t>3.2 Dataset Description</w:t>
      </w:r>
    </w:p>
    <w:p w:rsidR="00EC3D65" w:rsidRDefault="00EC3D65" w:rsidP="00EC3D65">
      <w:r>
        <w:t xml:space="preserve">The dataset used in this study is </w:t>
      </w:r>
      <w:proofErr w:type="spellStart"/>
      <w:r>
        <w:t>PlantVillage</w:t>
      </w:r>
      <w:proofErr w:type="spellEnd"/>
      <w:r>
        <w:t xml:space="preserve">, a publicly available collection of leaf images obtained from </w:t>
      </w:r>
      <w:proofErr w:type="spellStart"/>
      <w:r>
        <w:t>Kaggle</w:t>
      </w:r>
      <w:proofErr w:type="spellEnd"/>
      <w:r>
        <w:t>. The corpus used in the experiments comprises 20,638 images distributed across 15 classes spanning three crops — pepper, potato, and tomato — covering both diseased and healthy leaf conditions. The class names, exactly as used in the classification pipeline, are as follows:</w:t>
      </w:r>
    </w:p>
    <w:p w:rsidR="00EC3D65" w:rsidRDefault="00EC3D65" w:rsidP="00EC3D65">
      <w:r>
        <w:t xml:space="preserve">Pepper bell Bacterial spot; Pepper bell healthy; Potato Early blight; Potato Late blight; Potato healthy; Tomato Bacterial spot; Tomato Early blight; Tomato Late blight; Tomato Leaf Mold; Tomato </w:t>
      </w:r>
      <w:proofErr w:type="spellStart"/>
      <w:r>
        <w:t>Septoria</w:t>
      </w:r>
      <w:proofErr w:type="spellEnd"/>
      <w:r>
        <w:t xml:space="preserve"> leaf spot; Tomato Spider mites Two spotted spider mite; Tomato Target Spot; Tomato </w:t>
      </w:r>
      <w:proofErr w:type="spellStart"/>
      <w:r>
        <w:t>Tomato</w:t>
      </w:r>
      <w:proofErr w:type="spellEnd"/>
      <w:r>
        <w:t xml:space="preserve"> </w:t>
      </w:r>
      <w:proofErr w:type="spellStart"/>
      <w:r>
        <w:t>YellowLeaf</w:t>
      </w:r>
      <w:proofErr w:type="spellEnd"/>
      <w:r>
        <w:t xml:space="preserve"> Curl Virus; Tomato </w:t>
      </w:r>
      <w:proofErr w:type="spellStart"/>
      <w:r>
        <w:t>Tomato</w:t>
      </w:r>
      <w:proofErr w:type="spellEnd"/>
      <w:r>
        <w:t xml:space="preserve"> mosaic virus; Tomato healthy.</w:t>
      </w:r>
    </w:p>
    <w:p w:rsidR="00EC3D65" w:rsidRDefault="00EC3D65" w:rsidP="00EC3D65">
      <w:r>
        <w:t>The dataset is naturally imbalanced across classes. Table 3.1 reports the number of images per class in the held-out test subset (20% of the data, described in Section 3.3), which is representative of the class proportions across the full dataset. The smallest class, Potato healthy, contributes 31 test images, while the largest class, Tomato Yellow Leaf Curl Virus, contributes 643 test images — a ratio of roughly 1:21. This imbalance is discussed in Chapter 4 in relation to per-class performance.</w:t>
      </w:r>
    </w:p>
    <w:p w:rsidR="00EC3D65" w:rsidRDefault="00EC3D65" w:rsidP="00EC3D65"/>
    <w:p w:rsidR="00EC3D65" w:rsidRDefault="00EC3D65" w:rsidP="00EC3D65"/>
    <w:p w:rsidR="00EC3D65" w:rsidRDefault="00EC3D65" w:rsidP="00EC3D65"/>
    <w:tbl>
      <w:tblPr>
        <w:tblW w:w="950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500"/>
        <w:gridCol w:w="2000"/>
      </w:tblGrid>
      <w:tr w:rsidR="00EC3D65" w:rsidTr="00601EBF">
        <w:tc>
          <w:tcPr>
            <w:tcW w:w="7500" w:type="dxa"/>
            <w:shd w:val="clear" w:color="auto" w:fill="D9E2F3"/>
            <w:tcMar>
              <w:top w:w="60" w:type="dxa"/>
              <w:left w:w="100" w:type="dxa"/>
              <w:bottom w:w="60" w:type="dxa"/>
              <w:right w:w="100" w:type="dxa"/>
            </w:tcMar>
          </w:tcPr>
          <w:p w:rsidR="00EC3D65" w:rsidRDefault="00EC3D65" w:rsidP="00601EBF">
            <w:r>
              <w:rPr>
                <w:b/>
                <w:bCs/>
                <w:sz w:val="19"/>
                <w:szCs w:val="19"/>
              </w:rPr>
              <w:lastRenderedPageBreak/>
              <w:t>Class</w:t>
            </w:r>
          </w:p>
        </w:tc>
        <w:tc>
          <w:tcPr>
            <w:tcW w:w="2000" w:type="dxa"/>
            <w:shd w:val="clear" w:color="auto" w:fill="D9E2F3"/>
            <w:tcMar>
              <w:top w:w="60" w:type="dxa"/>
              <w:left w:w="100" w:type="dxa"/>
              <w:bottom w:w="60" w:type="dxa"/>
              <w:right w:w="100" w:type="dxa"/>
            </w:tcMar>
          </w:tcPr>
          <w:p w:rsidR="00EC3D65" w:rsidRDefault="00EC3D65" w:rsidP="00601EBF">
            <w:r>
              <w:rPr>
                <w:b/>
                <w:bCs/>
                <w:sz w:val="19"/>
                <w:szCs w:val="19"/>
              </w:rPr>
              <w:t>Test images</w:t>
            </w:r>
          </w:p>
        </w:tc>
      </w:tr>
      <w:tr w:rsidR="00EC3D65" w:rsidTr="00601EBF">
        <w:tc>
          <w:tcPr>
            <w:tcW w:w="7500" w:type="dxa"/>
            <w:tcMar>
              <w:top w:w="60" w:type="dxa"/>
              <w:left w:w="100" w:type="dxa"/>
              <w:bottom w:w="60" w:type="dxa"/>
              <w:right w:w="100" w:type="dxa"/>
            </w:tcMar>
          </w:tcPr>
          <w:p w:rsidR="00EC3D65" w:rsidRDefault="00EC3D65" w:rsidP="00601EBF">
            <w:r>
              <w:rPr>
                <w:sz w:val="19"/>
                <w:szCs w:val="19"/>
              </w:rPr>
              <w:t>Pepper bell Bacterial spot</w:t>
            </w:r>
          </w:p>
        </w:tc>
        <w:tc>
          <w:tcPr>
            <w:tcW w:w="2000" w:type="dxa"/>
            <w:tcMar>
              <w:top w:w="60" w:type="dxa"/>
              <w:left w:w="100" w:type="dxa"/>
              <w:bottom w:w="60" w:type="dxa"/>
              <w:right w:w="100" w:type="dxa"/>
            </w:tcMar>
          </w:tcPr>
          <w:p w:rsidR="00EC3D65" w:rsidRDefault="00EC3D65" w:rsidP="00601EBF">
            <w:r>
              <w:rPr>
                <w:sz w:val="19"/>
                <w:szCs w:val="19"/>
              </w:rPr>
              <w:t>201</w:t>
            </w:r>
          </w:p>
        </w:tc>
      </w:tr>
      <w:tr w:rsidR="00EC3D65" w:rsidTr="00601EBF">
        <w:tc>
          <w:tcPr>
            <w:tcW w:w="7500" w:type="dxa"/>
            <w:tcMar>
              <w:top w:w="60" w:type="dxa"/>
              <w:left w:w="100" w:type="dxa"/>
              <w:bottom w:w="60" w:type="dxa"/>
              <w:right w:w="100" w:type="dxa"/>
            </w:tcMar>
          </w:tcPr>
          <w:p w:rsidR="00EC3D65" w:rsidRDefault="00EC3D65" w:rsidP="00601EBF">
            <w:r>
              <w:rPr>
                <w:sz w:val="19"/>
                <w:szCs w:val="19"/>
              </w:rPr>
              <w:t>Pepper bell healthy</w:t>
            </w:r>
          </w:p>
        </w:tc>
        <w:tc>
          <w:tcPr>
            <w:tcW w:w="2000" w:type="dxa"/>
            <w:tcMar>
              <w:top w:w="60" w:type="dxa"/>
              <w:left w:w="100" w:type="dxa"/>
              <w:bottom w:w="60" w:type="dxa"/>
              <w:right w:w="100" w:type="dxa"/>
            </w:tcMar>
          </w:tcPr>
          <w:p w:rsidR="00EC3D65" w:rsidRDefault="00EC3D65" w:rsidP="00601EBF">
            <w:r>
              <w:rPr>
                <w:sz w:val="19"/>
                <w:szCs w:val="19"/>
              </w:rPr>
              <w:t>297</w:t>
            </w:r>
          </w:p>
        </w:tc>
      </w:tr>
      <w:tr w:rsidR="00EC3D65" w:rsidTr="00601EBF">
        <w:tc>
          <w:tcPr>
            <w:tcW w:w="7500" w:type="dxa"/>
            <w:tcMar>
              <w:top w:w="60" w:type="dxa"/>
              <w:left w:w="100" w:type="dxa"/>
              <w:bottom w:w="60" w:type="dxa"/>
              <w:right w:w="100" w:type="dxa"/>
            </w:tcMar>
          </w:tcPr>
          <w:p w:rsidR="00EC3D65" w:rsidRDefault="00EC3D65" w:rsidP="00601EBF">
            <w:r>
              <w:rPr>
                <w:sz w:val="19"/>
                <w:szCs w:val="19"/>
              </w:rPr>
              <w:t>Potato Early blight</w:t>
            </w:r>
          </w:p>
        </w:tc>
        <w:tc>
          <w:tcPr>
            <w:tcW w:w="2000" w:type="dxa"/>
            <w:tcMar>
              <w:top w:w="60" w:type="dxa"/>
              <w:left w:w="100" w:type="dxa"/>
              <w:bottom w:w="60" w:type="dxa"/>
              <w:right w:w="100" w:type="dxa"/>
            </w:tcMar>
          </w:tcPr>
          <w:p w:rsidR="00EC3D65" w:rsidRDefault="00EC3D65" w:rsidP="00601EBF">
            <w:r>
              <w:rPr>
                <w:sz w:val="19"/>
                <w:szCs w:val="19"/>
              </w:rPr>
              <w:t>200</w:t>
            </w:r>
          </w:p>
        </w:tc>
      </w:tr>
      <w:tr w:rsidR="00EC3D65" w:rsidTr="00601EBF">
        <w:tc>
          <w:tcPr>
            <w:tcW w:w="7500" w:type="dxa"/>
            <w:tcMar>
              <w:top w:w="60" w:type="dxa"/>
              <w:left w:w="100" w:type="dxa"/>
              <w:bottom w:w="60" w:type="dxa"/>
              <w:right w:w="100" w:type="dxa"/>
            </w:tcMar>
          </w:tcPr>
          <w:p w:rsidR="00EC3D65" w:rsidRDefault="00EC3D65" w:rsidP="00601EBF">
            <w:r>
              <w:rPr>
                <w:sz w:val="19"/>
                <w:szCs w:val="19"/>
              </w:rPr>
              <w:t>Potato Late blight</w:t>
            </w:r>
          </w:p>
        </w:tc>
        <w:tc>
          <w:tcPr>
            <w:tcW w:w="2000" w:type="dxa"/>
            <w:tcMar>
              <w:top w:w="60" w:type="dxa"/>
              <w:left w:w="100" w:type="dxa"/>
              <w:bottom w:w="60" w:type="dxa"/>
              <w:right w:w="100" w:type="dxa"/>
            </w:tcMar>
          </w:tcPr>
          <w:p w:rsidR="00EC3D65" w:rsidRDefault="00EC3D65" w:rsidP="00601EBF">
            <w:r>
              <w:rPr>
                <w:sz w:val="19"/>
                <w:szCs w:val="19"/>
              </w:rPr>
              <w:t>200</w:t>
            </w:r>
          </w:p>
        </w:tc>
      </w:tr>
      <w:tr w:rsidR="00EC3D65" w:rsidTr="00601EBF">
        <w:tc>
          <w:tcPr>
            <w:tcW w:w="7500" w:type="dxa"/>
            <w:tcMar>
              <w:top w:w="60" w:type="dxa"/>
              <w:left w:w="100" w:type="dxa"/>
              <w:bottom w:w="60" w:type="dxa"/>
              <w:right w:w="100" w:type="dxa"/>
            </w:tcMar>
          </w:tcPr>
          <w:p w:rsidR="00EC3D65" w:rsidRDefault="00EC3D65" w:rsidP="00601EBF">
            <w:r>
              <w:rPr>
                <w:sz w:val="19"/>
                <w:szCs w:val="19"/>
              </w:rPr>
              <w:t>Potato healthy</w:t>
            </w:r>
          </w:p>
        </w:tc>
        <w:tc>
          <w:tcPr>
            <w:tcW w:w="2000" w:type="dxa"/>
            <w:tcMar>
              <w:top w:w="60" w:type="dxa"/>
              <w:left w:w="100" w:type="dxa"/>
              <w:bottom w:w="60" w:type="dxa"/>
              <w:right w:w="100" w:type="dxa"/>
            </w:tcMar>
          </w:tcPr>
          <w:p w:rsidR="00EC3D65" w:rsidRDefault="00EC3D65" w:rsidP="00601EBF">
            <w:r>
              <w:rPr>
                <w:sz w:val="19"/>
                <w:szCs w:val="19"/>
              </w:rPr>
              <w:t>31</w:t>
            </w:r>
          </w:p>
        </w:tc>
      </w:tr>
      <w:tr w:rsidR="00EC3D65" w:rsidTr="00601EBF">
        <w:tc>
          <w:tcPr>
            <w:tcW w:w="7500" w:type="dxa"/>
            <w:tcMar>
              <w:top w:w="60" w:type="dxa"/>
              <w:left w:w="100" w:type="dxa"/>
              <w:bottom w:w="60" w:type="dxa"/>
              <w:right w:w="100" w:type="dxa"/>
            </w:tcMar>
          </w:tcPr>
          <w:p w:rsidR="00EC3D65" w:rsidRDefault="00EC3D65" w:rsidP="00601EBF">
            <w:r>
              <w:rPr>
                <w:sz w:val="19"/>
                <w:szCs w:val="19"/>
              </w:rPr>
              <w:t>Tomato Bacterial spot</w:t>
            </w:r>
          </w:p>
        </w:tc>
        <w:tc>
          <w:tcPr>
            <w:tcW w:w="2000" w:type="dxa"/>
            <w:tcMar>
              <w:top w:w="60" w:type="dxa"/>
              <w:left w:w="100" w:type="dxa"/>
              <w:bottom w:w="60" w:type="dxa"/>
              <w:right w:w="100" w:type="dxa"/>
            </w:tcMar>
          </w:tcPr>
          <w:p w:rsidR="00EC3D65" w:rsidRDefault="00EC3D65" w:rsidP="00601EBF">
            <w:r>
              <w:rPr>
                <w:sz w:val="19"/>
                <w:szCs w:val="19"/>
              </w:rPr>
              <w:t>427</w:t>
            </w:r>
          </w:p>
        </w:tc>
      </w:tr>
      <w:tr w:rsidR="00EC3D65" w:rsidTr="00601EBF">
        <w:tc>
          <w:tcPr>
            <w:tcW w:w="7500" w:type="dxa"/>
            <w:tcMar>
              <w:top w:w="60" w:type="dxa"/>
              <w:left w:w="100" w:type="dxa"/>
              <w:bottom w:w="60" w:type="dxa"/>
              <w:right w:w="100" w:type="dxa"/>
            </w:tcMar>
          </w:tcPr>
          <w:p w:rsidR="00EC3D65" w:rsidRDefault="00EC3D65" w:rsidP="00601EBF">
            <w:r>
              <w:rPr>
                <w:sz w:val="19"/>
                <w:szCs w:val="19"/>
              </w:rPr>
              <w:t>Tomato Early blight</w:t>
            </w:r>
          </w:p>
        </w:tc>
        <w:tc>
          <w:tcPr>
            <w:tcW w:w="2000" w:type="dxa"/>
            <w:tcMar>
              <w:top w:w="60" w:type="dxa"/>
              <w:left w:w="100" w:type="dxa"/>
              <w:bottom w:w="60" w:type="dxa"/>
              <w:right w:w="100" w:type="dxa"/>
            </w:tcMar>
          </w:tcPr>
          <w:p w:rsidR="00EC3D65" w:rsidRDefault="00EC3D65" w:rsidP="00601EBF">
            <w:r>
              <w:rPr>
                <w:sz w:val="19"/>
                <w:szCs w:val="19"/>
              </w:rPr>
              <w:t>200</w:t>
            </w:r>
          </w:p>
        </w:tc>
      </w:tr>
      <w:tr w:rsidR="00EC3D65" w:rsidTr="00601EBF">
        <w:tc>
          <w:tcPr>
            <w:tcW w:w="7500" w:type="dxa"/>
            <w:tcMar>
              <w:top w:w="60" w:type="dxa"/>
              <w:left w:w="100" w:type="dxa"/>
              <w:bottom w:w="60" w:type="dxa"/>
              <w:right w:w="100" w:type="dxa"/>
            </w:tcMar>
          </w:tcPr>
          <w:p w:rsidR="00EC3D65" w:rsidRDefault="00EC3D65" w:rsidP="00601EBF">
            <w:r>
              <w:rPr>
                <w:sz w:val="19"/>
                <w:szCs w:val="19"/>
              </w:rPr>
              <w:t>Tomato Late blight</w:t>
            </w:r>
          </w:p>
        </w:tc>
        <w:tc>
          <w:tcPr>
            <w:tcW w:w="2000" w:type="dxa"/>
            <w:tcMar>
              <w:top w:w="60" w:type="dxa"/>
              <w:left w:w="100" w:type="dxa"/>
              <w:bottom w:w="60" w:type="dxa"/>
              <w:right w:w="100" w:type="dxa"/>
            </w:tcMar>
          </w:tcPr>
          <w:p w:rsidR="00EC3D65" w:rsidRDefault="00EC3D65" w:rsidP="00601EBF">
            <w:r>
              <w:rPr>
                <w:sz w:val="19"/>
                <w:szCs w:val="19"/>
              </w:rPr>
              <w:t>383</w:t>
            </w:r>
          </w:p>
        </w:tc>
      </w:tr>
      <w:tr w:rsidR="00EC3D65" w:rsidTr="00601EBF">
        <w:tc>
          <w:tcPr>
            <w:tcW w:w="7500" w:type="dxa"/>
            <w:tcMar>
              <w:top w:w="60" w:type="dxa"/>
              <w:left w:w="100" w:type="dxa"/>
              <w:bottom w:w="60" w:type="dxa"/>
              <w:right w:w="100" w:type="dxa"/>
            </w:tcMar>
          </w:tcPr>
          <w:p w:rsidR="00EC3D65" w:rsidRDefault="00EC3D65" w:rsidP="00601EBF">
            <w:r>
              <w:rPr>
                <w:sz w:val="19"/>
                <w:szCs w:val="19"/>
              </w:rPr>
              <w:t>Tomato Leaf Mold</w:t>
            </w:r>
          </w:p>
        </w:tc>
        <w:tc>
          <w:tcPr>
            <w:tcW w:w="2000" w:type="dxa"/>
            <w:tcMar>
              <w:top w:w="60" w:type="dxa"/>
              <w:left w:w="100" w:type="dxa"/>
              <w:bottom w:w="60" w:type="dxa"/>
              <w:right w:w="100" w:type="dxa"/>
            </w:tcMar>
          </w:tcPr>
          <w:p w:rsidR="00EC3D65" w:rsidRDefault="00EC3D65" w:rsidP="00601EBF">
            <w:r>
              <w:rPr>
                <w:sz w:val="19"/>
                <w:szCs w:val="19"/>
              </w:rPr>
              <w:t>191</w:t>
            </w:r>
          </w:p>
        </w:tc>
      </w:tr>
      <w:tr w:rsidR="00EC3D65" w:rsidTr="00601EBF">
        <w:tc>
          <w:tcPr>
            <w:tcW w:w="7500" w:type="dxa"/>
            <w:tcMar>
              <w:top w:w="60" w:type="dxa"/>
              <w:left w:w="100" w:type="dxa"/>
              <w:bottom w:w="60" w:type="dxa"/>
              <w:right w:w="100" w:type="dxa"/>
            </w:tcMar>
          </w:tcPr>
          <w:p w:rsidR="00EC3D65" w:rsidRDefault="00EC3D65" w:rsidP="00601EBF">
            <w:r>
              <w:rPr>
                <w:sz w:val="19"/>
                <w:szCs w:val="19"/>
              </w:rPr>
              <w:t xml:space="preserve">Tomato </w:t>
            </w:r>
            <w:proofErr w:type="spellStart"/>
            <w:r>
              <w:rPr>
                <w:sz w:val="19"/>
                <w:szCs w:val="19"/>
              </w:rPr>
              <w:t>Septoria</w:t>
            </w:r>
            <w:proofErr w:type="spellEnd"/>
            <w:r>
              <w:rPr>
                <w:sz w:val="19"/>
                <w:szCs w:val="19"/>
              </w:rPr>
              <w:t xml:space="preserve"> leaf spot</w:t>
            </w:r>
          </w:p>
        </w:tc>
        <w:tc>
          <w:tcPr>
            <w:tcW w:w="2000" w:type="dxa"/>
            <w:tcMar>
              <w:top w:w="60" w:type="dxa"/>
              <w:left w:w="100" w:type="dxa"/>
              <w:bottom w:w="60" w:type="dxa"/>
              <w:right w:w="100" w:type="dxa"/>
            </w:tcMar>
          </w:tcPr>
          <w:p w:rsidR="00EC3D65" w:rsidRDefault="00EC3D65" w:rsidP="00601EBF">
            <w:r>
              <w:rPr>
                <w:sz w:val="19"/>
                <w:szCs w:val="19"/>
              </w:rPr>
              <w:t>355</w:t>
            </w:r>
          </w:p>
        </w:tc>
      </w:tr>
      <w:tr w:rsidR="00EC3D65" w:rsidTr="00601EBF">
        <w:tc>
          <w:tcPr>
            <w:tcW w:w="7500" w:type="dxa"/>
            <w:tcMar>
              <w:top w:w="60" w:type="dxa"/>
              <w:left w:w="100" w:type="dxa"/>
              <w:bottom w:w="60" w:type="dxa"/>
              <w:right w:w="100" w:type="dxa"/>
            </w:tcMar>
          </w:tcPr>
          <w:p w:rsidR="00EC3D65" w:rsidRDefault="00EC3D65" w:rsidP="00601EBF">
            <w:r>
              <w:rPr>
                <w:sz w:val="19"/>
                <w:szCs w:val="19"/>
              </w:rPr>
              <w:t>Tomato Spider mites Two spotted spider mite</w:t>
            </w:r>
          </w:p>
        </w:tc>
        <w:tc>
          <w:tcPr>
            <w:tcW w:w="2000" w:type="dxa"/>
            <w:tcMar>
              <w:top w:w="60" w:type="dxa"/>
              <w:left w:w="100" w:type="dxa"/>
              <w:bottom w:w="60" w:type="dxa"/>
              <w:right w:w="100" w:type="dxa"/>
            </w:tcMar>
          </w:tcPr>
          <w:p w:rsidR="00EC3D65" w:rsidRDefault="00EC3D65" w:rsidP="00601EBF">
            <w:r>
              <w:rPr>
                <w:sz w:val="19"/>
                <w:szCs w:val="19"/>
              </w:rPr>
              <w:t>336</w:t>
            </w:r>
          </w:p>
        </w:tc>
      </w:tr>
      <w:tr w:rsidR="00EC3D65" w:rsidTr="00601EBF">
        <w:tc>
          <w:tcPr>
            <w:tcW w:w="7500" w:type="dxa"/>
            <w:tcMar>
              <w:top w:w="60" w:type="dxa"/>
              <w:left w:w="100" w:type="dxa"/>
              <w:bottom w:w="60" w:type="dxa"/>
              <w:right w:w="100" w:type="dxa"/>
            </w:tcMar>
          </w:tcPr>
          <w:p w:rsidR="00EC3D65" w:rsidRDefault="00EC3D65" w:rsidP="00601EBF">
            <w:r>
              <w:rPr>
                <w:sz w:val="19"/>
                <w:szCs w:val="19"/>
              </w:rPr>
              <w:t>Tomato Target Spot</w:t>
            </w:r>
          </w:p>
        </w:tc>
        <w:tc>
          <w:tcPr>
            <w:tcW w:w="2000" w:type="dxa"/>
            <w:tcMar>
              <w:top w:w="60" w:type="dxa"/>
              <w:left w:w="100" w:type="dxa"/>
              <w:bottom w:w="60" w:type="dxa"/>
              <w:right w:w="100" w:type="dxa"/>
            </w:tcMar>
          </w:tcPr>
          <w:p w:rsidR="00EC3D65" w:rsidRDefault="00EC3D65" w:rsidP="00601EBF">
            <w:r>
              <w:rPr>
                <w:sz w:val="19"/>
                <w:szCs w:val="19"/>
              </w:rPr>
              <w:t>282</w:t>
            </w:r>
          </w:p>
        </w:tc>
      </w:tr>
      <w:tr w:rsidR="00EC3D65" w:rsidTr="00601EBF">
        <w:tc>
          <w:tcPr>
            <w:tcW w:w="7500" w:type="dxa"/>
            <w:tcMar>
              <w:top w:w="60" w:type="dxa"/>
              <w:left w:w="100" w:type="dxa"/>
              <w:bottom w:w="60" w:type="dxa"/>
              <w:right w:w="100" w:type="dxa"/>
            </w:tcMar>
          </w:tcPr>
          <w:p w:rsidR="00EC3D65" w:rsidRDefault="00EC3D65" w:rsidP="00601EBF">
            <w:r>
              <w:rPr>
                <w:sz w:val="19"/>
                <w:szCs w:val="19"/>
              </w:rPr>
              <w:t xml:space="preserve">Tomato </w:t>
            </w:r>
            <w:proofErr w:type="spellStart"/>
            <w:r>
              <w:rPr>
                <w:sz w:val="19"/>
                <w:szCs w:val="19"/>
              </w:rPr>
              <w:t>Tomato</w:t>
            </w:r>
            <w:proofErr w:type="spellEnd"/>
            <w:r>
              <w:rPr>
                <w:sz w:val="19"/>
                <w:szCs w:val="19"/>
              </w:rPr>
              <w:t xml:space="preserve"> </w:t>
            </w:r>
            <w:proofErr w:type="spellStart"/>
            <w:r>
              <w:rPr>
                <w:sz w:val="19"/>
                <w:szCs w:val="19"/>
              </w:rPr>
              <w:t>YellowLeaf</w:t>
            </w:r>
            <w:proofErr w:type="spellEnd"/>
            <w:r>
              <w:rPr>
                <w:sz w:val="19"/>
                <w:szCs w:val="19"/>
              </w:rPr>
              <w:t xml:space="preserve"> Curl Virus</w:t>
            </w:r>
          </w:p>
        </w:tc>
        <w:tc>
          <w:tcPr>
            <w:tcW w:w="2000" w:type="dxa"/>
            <w:tcMar>
              <w:top w:w="60" w:type="dxa"/>
              <w:left w:w="100" w:type="dxa"/>
              <w:bottom w:w="60" w:type="dxa"/>
              <w:right w:w="100" w:type="dxa"/>
            </w:tcMar>
          </w:tcPr>
          <w:p w:rsidR="00EC3D65" w:rsidRDefault="00EC3D65" w:rsidP="00601EBF">
            <w:r>
              <w:rPr>
                <w:sz w:val="19"/>
                <w:szCs w:val="19"/>
              </w:rPr>
              <w:t>643</w:t>
            </w:r>
          </w:p>
        </w:tc>
      </w:tr>
      <w:tr w:rsidR="00EC3D65" w:rsidTr="00601EBF">
        <w:tc>
          <w:tcPr>
            <w:tcW w:w="7500" w:type="dxa"/>
            <w:tcMar>
              <w:top w:w="60" w:type="dxa"/>
              <w:left w:w="100" w:type="dxa"/>
              <w:bottom w:w="60" w:type="dxa"/>
              <w:right w:w="100" w:type="dxa"/>
            </w:tcMar>
          </w:tcPr>
          <w:p w:rsidR="00EC3D65" w:rsidRDefault="00EC3D65" w:rsidP="00601EBF">
            <w:r>
              <w:rPr>
                <w:sz w:val="19"/>
                <w:szCs w:val="19"/>
              </w:rPr>
              <w:t xml:space="preserve">Tomato </w:t>
            </w:r>
            <w:proofErr w:type="spellStart"/>
            <w:r>
              <w:rPr>
                <w:sz w:val="19"/>
                <w:szCs w:val="19"/>
              </w:rPr>
              <w:t>Tomato</w:t>
            </w:r>
            <w:proofErr w:type="spellEnd"/>
            <w:r>
              <w:rPr>
                <w:sz w:val="19"/>
                <w:szCs w:val="19"/>
              </w:rPr>
              <w:t xml:space="preserve"> mosaic virus</w:t>
            </w:r>
          </w:p>
        </w:tc>
        <w:tc>
          <w:tcPr>
            <w:tcW w:w="2000" w:type="dxa"/>
            <w:tcMar>
              <w:top w:w="60" w:type="dxa"/>
              <w:left w:w="100" w:type="dxa"/>
              <w:bottom w:w="60" w:type="dxa"/>
              <w:right w:w="100" w:type="dxa"/>
            </w:tcMar>
          </w:tcPr>
          <w:p w:rsidR="00EC3D65" w:rsidRDefault="00EC3D65" w:rsidP="00601EBF">
            <w:r>
              <w:rPr>
                <w:sz w:val="19"/>
                <w:szCs w:val="19"/>
              </w:rPr>
              <w:t>75</w:t>
            </w:r>
          </w:p>
        </w:tc>
      </w:tr>
      <w:tr w:rsidR="00EC3D65" w:rsidTr="00601EBF">
        <w:tc>
          <w:tcPr>
            <w:tcW w:w="7500" w:type="dxa"/>
            <w:tcMar>
              <w:top w:w="60" w:type="dxa"/>
              <w:left w:w="100" w:type="dxa"/>
              <w:bottom w:w="60" w:type="dxa"/>
              <w:right w:w="100" w:type="dxa"/>
            </w:tcMar>
          </w:tcPr>
          <w:p w:rsidR="00EC3D65" w:rsidRDefault="00EC3D65" w:rsidP="00601EBF">
            <w:r>
              <w:rPr>
                <w:sz w:val="19"/>
                <w:szCs w:val="19"/>
              </w:rPr>
              <w:t>Tomato healthy</w:t>
            </w:r>
          </w:p>
        </w:tc>
        <w:tc>
          <w:tcPr>
            <w:tcW w:w="2000" w:type="dxa"/>
            <w:tcMar>
              <w:top w:w="60" w:type="dxa"/>
              <w:left w:w="100" w:type="dxa"/>
              <w:bottom w:w="60" w:type="dxa"/>
              <w:right w:w="100" w:type="dxa"/>
            </w:tcMar>
          </w:tcPr>
          <w:p w:rsidR="00EC3D65" w:rsidRDefault="00EC3D65" w:rsidP="00601EBF">
            <w:r>
              <w:rPr>
                <w:sz w:val="19"/>
                <w:szCs w:val="19"/>
              </w:rPr>
              <w:t>319</w:t>
            </w:r>
          </w:p>
        </w:tc>
      </w:tr>
    </w:tbl>
    <w:p w:rsidR="00EC3D65" w:rsidRDefault="00EC3D65" w:rsidP="00EC3D65">
      <w:pPr>
        <w:spacing w:before="80" w:after="240"/>
        <w:jc w:val="center"/>
      </w:pPr>
      <w:proofErr w:type="gramStart"/>
      <w:r>
        <w:rPr>
          <w:i/>
          <w:iCs/>
          <w:sz w:val="20"/>
          <w:szCs w:val="20"/>
        </w:rPr>
        <w:t>Table 3.1.</w:t>
      </w:r>
      <w:proofErr w:type="gramEnd"/>
      <w:r>
        <w:rPr>
          <w:i/>
          <w:iCs/>
          <w:sz w:val="20"/>
          <w:szCs w:val="20"/>
        </w:rPr>
        <w:t xml:space="preserve"> Class distribution in the held-out test subset (total = 4140 images).</w:t>
      </w:r>
    </w:p>
    <w:p w:rsidR="00EC3D65" w:rsidRDefault="00EC3D65" w:rsidP="00EC3D65">
      <w:pPr>
        <w:pStyle w:val="Heading2"/>
        <w:spacing w:before="280" w:after="140"/>
      </w:pPr>
      <w:r>
        <w:t>3.3 Data Preparation and Splitting</w:t>
      </w:r>
    </w:p>
    <w:p w:rsidR="00EC3D65" w:rsidRDefault="00EC3D65" w:rsidP="00EC3D65">
      <w:r>
        <w:t xml:space="preserve">The raw </w:t>
      </w:r>
      <w:proofErr w:type="spellStart"/>
      <w:r>
        <w:t>PlantVillage</w:t>
      </w:r>
      <w:proofErr w:type="spellEnd"/>
      <w:r>
        <w:t xml:space="preserve"> archive is stored on Google Drive under a fixed project path (</w:t>
      </w:r>
      <w:proofErr w:type="spellStart"/>
      <w:r>
        <w:t>MidOcean</w:t>
      </w:r>
      <w:proofErr w:type="spellEnd"/>
      <w:r>
        <w:t xml:space="preserve">/Practical/PLANT_DISEASE/). At the start of each notebook run, the archive is unzipped to the local </w:t>
      </w:r>
      <w:proofErr w:type="spellStart"/>
      <w:r>
        <w:t>Colab</w:t>
      </w:r>
      <w:proofErr w:type="spellEnd"/>
      <w:r>
        <w:t xml:space="preserve"> filesystem (/content) rather than being read directly from Drive, since local storage substantially reduces per-batch I/O latency during training.</w:t>
      </w:r>
    </w:p>
    <w:p w:rsidR="00EC3D65" w:rsidRDefault="00EC3D65" w:rsidP="00EC3D65">
      <w:r>
        <w:t xml:space="preserve">The unzipped images are then split into training, validation, and test subsets using the </w:t>
      </w:r>
      <w:proofErr w:type="spellStart"/>
      <w:r>
        <w:t>splitfolders</w:t>
      </w:r>
      <w:proofErr w:type="spellEnd"/>
      <w:r>
        <w:t xml:space="preserve"> library with a fixed random seed (seed = 42) and a ratio of 70% training, 10% validation, and 20% test. Any stale </w:t>
      </w:r>
      <w:r>
        <w:lastRenderedPageBreak/>
        <w:t xml:space="preserve">split directory from a previous run is removed with </w:t>
      </w:r>
      <w:proofErr w:type="spellStart"/>
      <w:r>
        <w:t>shutil.rmtree</w:t>
      </w:r>
      <w:proofErr w:type="spellEnd"/>
      <w:r>
        <w:t xml:space="preserve"> before the split is rebuilt, ensuring that each run starts from a clean, reproducible partition. This procedure produced 14,440 training images, 2,058 validation images, and 4,140 test images, identically across all three model notebooks.</w:t>
      </w:r>
    </w:p>
    <w:p w:rsidR="00EC3D65" w:rsidRDefault="00EC3D65" w:rsidP="00EC3D65">
      <w:pPr>
        <w:pStyle w:val="Heading2"/>
        <w:spacing w:before="280" w:after="140"/>
      </w:pPr>
      <w:r>
        <w:t>3.4 Data Quality Control</w:t>
      </w:r>
    </w:p>
    <w:p w:rsidR="00EC3D65" w:rsidRDefault="00EC3D65" w:rsidP="00EC3D65">
      <w:r>
        <w:t xml:space="preserve">Before training, every image in the split dataset is checked for corruption using PIL's </w:t>
      </w:r>
      <w:proofErr w:type="gramStart"/>
      <w:r>
        <w:t>verify(</w:t>
      </w:r>
      <w:proofErr w:type="gramEnd"/>
      <w:r>
        <w:t xml:space="preserve">) method; one corrupted file was detected and removed from the corpus. Light Gaussian </w:t>
      </w:r>
      <w:proofErr w:type="spellStart"/>
      <w:r>
        <w:t>denoising</w:t>
      </w:r>
      <w:proofErr w:type="spellEnd"/>
      <w:r>
        <w:t xml:space="preserve"> (a 3×3 kernel) is then applied to the remaining images to reduce sensor noise while preserving leaf texture and lesion boundaries relevant to disease diagnosis. This step is applied to the local split copy only, so the archived copy on Drive remains unmodified.</w:t>
      </w:r>
    </w:p>
    <w:p w:rsidR="00EC3D65" w:rsidRDefault="00EC3D65" w:rsidP="00EC3D65">
      <w:pPr>
        <w:pStyle w:val="Heading2"/>
        <w:spacing w:before="280" w:after="140"/>
      </w:pPr>
      <w:r>
        <w:t>3.5 Data Augmentation and Model-Specific Preprocessing</w:t>
      </w:r>
    </w:p>
    <w:p w:rsidR="00EC3D65" w:rsidRDefault="00EC3D65" w:rsidP="00EC3D65">
      <w:r>
        <w:t xml:space="preserve">Image generators are built with </w:t>
      </w:r>
      <w:proofErr w:type="spellStart"/>
      <w:r>
        <w:t>Keras</w:t>
      </w:r>
      <w:proofErr w:type="spellEnd"/>
      <w:r>
        <w:t xml:space="preserve">' </w:t>
      </w:r>
      <w:proofErr w:type="spellStart"/>
      <w:r>
        <w:t>ImageDataGenerator</w:t>
      </w:r>
      <w:proofErr w:type="spellEnd"/>
      <w:r>
        <w:t>. For the training subset, augmentation is applied to increase visual variability and reduce overfitting: rotation of up to 20°, width and height shifts of up to 20%, zoom of up to 20%, and random horizontal flipping, with the fill mode set to ‘nearest’ for pixels introduced by these transformations. Validation and test generators apply no augmentation, since these subsets are used only to measure genuine model performance.</w:t>
      </w:r>
    </w:p>
    <w:p w:rsidR="00EC3D65" w:rsidRDefault="00EC3D65" w:rsidP="00EC3D65">
      <w:r>
        <w:t>The augmentation ranges are chosen to reflect realistic variation in how a leaf might be photographed in the field — moderate rotation, shift, and zoom account for changes in camera angle and distance, while horizontal flipping is safe to apply since leaf disease symptoms are not orientation-dependent — without distorting the lesion patterns that distinguish one disease from another.</w:t>
      </w:r>
    </w:p>
    <w:p w:rsidR="00EC3D65" w:rsidRDefault="00EC3D65" w:rsidP="00EC3D65">
      <w:r>
        <w:t xml:space="preserve">A key methodological requirement, applied consistently across all three notebooks, is that each backbone uses its own </w:t>
      </w:r>
      <w:proofErr w:type="spellStart"/>
      <w:r>
        <w:t>Keras</w:t>
      </w:r>
      <w:proofErr w:type="spellEnd"/>
      <w:r>
        <w:t xml:space="preserve"> </w:t>
      </w:r>
      <w:proofErr w:type="spellStart"/>
      <w:r>
        <w:t>preprocess_input</w:t>
      </w:r>
      <w:proofErr w:type="spellEnd"/>
      <w:r>
        <w:t xml:space="preserve"> function — rather than a generic 1/255 rescale — for training, validation, and test data alike. Each </w:t>
      </w:r>
      <w:proofErr w:type="spellStart"/>
      <w:r>
        <w:t>pretrained</w:t>
      </w:r>
      <w:proofErr w:type="spellEnd"/>
      <w:r>
        <w:t xml:space="preserve"> ImageNet backbone expects its inputs to be normalized according to the specific statistics used during its original </w:t>
      </w:r>
      <w:proofErr w:type="spellStart"/>
      <w:r>
        <w:t>pretraining</w:t>
      </w:r>
      <w:proofErr w:type="spellEnd"/>
      <w:r>
        <w:t xml:space="preserve">; applying a fixed 1/255 rescale on top of (or instead of) this architecture-specific function would distort the input distribution the network was trained to expect, degrading its ability to reuse </w:t>
      </w:r>
      <w:proofErr w:type="spellStart"/>
      <w:r>
        <w:t>pretrained</w:t>
      </w:r>
      <w:proofErr w:type="spellEnd"/>
      <w:r>
        <w:t xml:space="preserve"> features. Using the matched preprocessing function for each backbone ensures that all three models receive inputs in the numerical range and distribution their convolutional weights were optimized for, which is essential for a methodologically fair comparison.</w:t>
      </w:r>
    </w:p>
    <w:p w:rsidR="00EC3D65" w:rsidRDefault="00EC3D65" w:rsidP="00EC3D65">
      <w:pPr>
        <w:pStyle w:val="Heading2"/>
        <w:spacing w:before="280" w:after="140"/>
      </w:pPr>
      <w:r>
        <w:t>3.6 Transfer Learning Architecture</w:t>
      </w:r>
    </w:p>
    <w:p w:rsidR="00EC3D65" w:rsidRDefault="00EC3D65" w:rsidP="00EC3D65">
      <w:r>
        <w:t>All three models share an identical classification head placed on top of a frozen, ImageNet-</w:t>
      </w:r>
      <w:proofErr w:type="spellStart"/>
      <w:r>
        <w:t>pretrained</w:t>
      </w:r>
      <w:proofErr w:type="spellEnd"/>
      <w:r>
        <w:t xml:space="preserve"> convolutional base. The base network (with </w:t>
      </w:r>
      <w:proofErr w:type="spellStart"/>
      <w:r>
        <w:t>include_top</w:t>
      </w:r>
      <w:proofErr w:type="spellEnd"/>
      <w:r>
        <w:t xml:space="preserve">=False and an input shape of 224×224×3) is loaded with its ImageNet weights and its layers are frozen (trainable = False), so that only the newly added head is updated during training. The shared head consists of a GlobalAveragePooling2D layer, a </w:t>
      </w:r>
      <w:proofErr w:type="gramStart"/>
      <w:r>
        <w:t>Dense</w:t>
      </w:r>
      <w:proofErr w:type="gramEnd"/>
      <w:r>
        <w:t xml:space="preserve"> layer of 256 units with </w:t>
      </w:r>
      <w:proofErr w:type="spellStart"/>
      <w:r>
        <w:t>ReLU</w:t>
      </w:r>
      <w:proofErr w:type="spellEnd"/>
      <w:r>
        <w:t xml:space="preserve"> activation, a Dropout layer with a rate of 0.5, and a final Dense output layer of 15 units with </w:t>
      </w:r>
      <w:proofErr w:type="spellStart"/>
      <w:r>
        <w:t>softmax</w:t>
      </w:r>
      <w:proofErr w:type="spellEnd"/>
      <w:r>
        <w:t xml:space="preserve"> activation, corresponding to the 15 target classes.</w:t>
      </w:r>
    </w:p>
    <w:p w:rsidR="00EC3D65" w:rsidRDefault="00EC3D65" w:rsidP="00EC3D65">
      <w:r>
        <w:lastRenderedPageBreak/>
        <w:t>The convolutional base is kept frozen, rather than fine-tuned, because the ImageNet-</w:t>
      </w:r>
      <w:proofErr w:type="spellStart"/>
      <w:r>
        <w:t>pretrained</w:t>
      </w:r>
      <w:proofErr w:type="spellEnd"/>
      <w:r>
        <w:t xml:space="preserve"> filters already encode general low- and mid-level visual features (edges, textures, color gradients) that transfer well to leaf imagery; freezing them lets the comparison focus on how well each architecture's </w:t>
      </w:r>
      <w:proofErr w:type="spellStart"/>
      <w:r>
        <w:t>pretrained</w:t>
      </w:r>
      <w:proofErr w:type="spellEnd"/>
      <w:r>
        <w:t xml:space="preserve"> representation suits this task, while keeping the number of trainable parameters and the training time small and comparable across all three models. The 256-unit dense layer and 0.5 dropout rate are standard, moderate choices for a classification head of this kind: large enough to combine the pooled convolutional features into class-discriminative patterns, while the dropout rate mitigates overfitting given the relatively small number of trainable parameters relative to the dataset size.</w:t>
      </w:r>
    </w:p>
    <w:p w:rsidR="00EC3D65" w:rsidRDefault="00EC3D65" w:rsidP="00EC3D65">
      <w:r>
        <w:t>The three backbones differ substantially in size, as summarized in Table 3.2. This is a structural property of each network and is reported here for completeness; the corresponding performance results are presented in Chapter 4.</w:t>
      </w:r>
    </w:p>
    <w:tbl>
      <w:tblPr>
        <w:tblW w:w="950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2800"/>
        <w:gridCol w:w="2500"/>
        <w:gridCol w:w="2000"/>
      </w:tblGrid>
      <w:tr w:rsidR="00EC3D65" w:rsidTr="00601EBF">
        <w:tc>
          <w:tcPr>
            <w:tcW w:w="2200" w:type="dxa"/>
            <w:shd w:val="clear" w:color="auto" w:fill="D9E2F3"/>
            <w:tcMar>
              <w:top w:w="60" w:type="dxa"/>
              <w:left w:w="100" w:type="dxa"/>
              <w:bottom w:w="60" w:type="dxa"/>
              <w:right w:w="100" w:type="dxa"/>
            </w:tcMar>
          </w:tcPr>
          <w:p w:rsidR="00EC3D65" w:rsidRDefault="00EC3D65" w:rsidP="00601EBF">
            <w:r>
              <w:rPr>
                <w:b/>
                <w:bCs/>
                <w:sz w:val="19"/>
                <w:szCs w:val="19"/>
              </w:rPr>
              <w:t>Backbone</w:t>
            </w:r>
          </w:p>
        </w:tc>
        <w:tc>
          <w:tcPr>
            <w:tcW w:w="2800" w:type="dxa"/>
            <w:shd w:val="clear" w:color="auto" w:fill="D9E2F3"/>
            <w:tcMar>
              <w:top w:w="60" w:type="dxa"/>
              <w:left w:w="100" w:type="dxa"/>
              <w:bottom w:w="60" w:type="dxa"/>
              <w:right w:w="100" w:type="dxa"/>
            </w:tcMar>
          </w:tcPr>
          <w:p w:rsidR="00EC3D65" w:rsidRDefault="00EC3D65" w:rsidP="00601EBF">
            <w:r>
              <w:rPr>
                <w:b/>
                <w:bCs/>
                <w:sz w:val="19"/>
                <w:szCs w:val="19"/>
              </w:rPr>
              <w:t>Trainable parameters (head only)</w:t>
            </w:r>
          </w:p>
        </w:tc>
        <w:tc>
          <w:tcPr>
            <w:tcW w:w="2500" w:type="dxa"/>
            <w:shd w:val="clear" w:color="auto" w:fill="D9E2F3"/>
            <w:tcMar>
              <w:top w:w="60" w:type="dxa"/>
              <w:left w:w="100" w:type="dxa"/>
              <w:bottom w:w="60" w:type="dxa"/>
              <w:right w:w="100" w:type="dxa"/>
            </w:tcMar>
          </w:tcPr>
          <w:p w:rsidR="00EC3D65" w:rsidRDefault="00EC3D65" w:rsidP="00601EBF">
            <w:r>
              <w:rPr>
                <w:b/>
                <w:bCs/>
                <w:sz w:val="19"/>
                <w:szCs w:val="19"/>
              </w:rPr>
              <w:t>Total parameters</w:t>
            </w:r>
          </w:p>
        </w:tc>
        <w:tc>
          <w:tcPr>
            <w:tcW w:w="2000" w:type="dxa"/>
            <w:shd w:val="clear" w:color="auto" w:fill="D9E2F3"/>
            <w:tcMar>
              <w:top w:w="60" w:type="dxa"/>
              <w:left w:w="100" w:type="dxa"/>
              <w:bottom w:w="60" w:type="dxa"/>
              <w:right w:w="100" w:type="dxa"/>
            </w:tcMar>
          </w:tcPr>
          <w:p w:rsidR="00EC3D65" w:rsidRDefault="00EC3D65" w:rsidP="00601EBF">
            <w:r>
              <w:rPr>
                <w:b/>
                <w:bCs/>
                <w:sz w:val="19"/>
                <w:szCs w:val="19"/>
              </w:rPr>
              <w:t>Family</w:t>
            </w:r>
          </w:p>
        </w:tc>
      </w:tr>
      <w:tr w:rsidR="00EC3D65" w:rsidTr="00601EBF">
        <w:tc>
          <w:tcPr>
            <w:tcW w:w="2200" w:type="dxa"/>
            <w:tcMar>
              <w:top w:w="60" w:type="dxa"/>
              <w:left w:w="100" w:type="dxa"/>
              <w:bottom w:w="60" w:type="dxa"/>
              <w:right w:w="100" w:type="dxa"/>
            </w:tcMar>
          </w:tcPr>
          <w:p w:rsidR="00EC3D65" w:rsidRDefault="00EC3D65" w:rsidP="00601EBF">
            <w:r>
              <w:rPr>
                <w:sz w:val="19"/>
                <w:szCs w:val="19"/>
              </w:rPr>
              <w:t>ResNet50</w:t>
            </w:r>
          </w:p>
        </w:tc>
        <w:tc>
          <w:tcPr>
            <w:tcW w:w="2800" w:type="dxa"/>
            <w:tcMar>
              <w:top w:w="60" w:type="dxa"/>
              <w:left w:w="100" w:type="dxa"/>
              <w:bottom w:w="60" w:type="dxa"/>
              <w:right w:w="100" w:type="dxa"/>
            </w:tcMar>
          </w:tcPr>
          <w:p w:rsidR="00EC3D65" w:rsidRDefault="00EC3D65" w:rsidP="00601EBF">
            <w:r>
              <w:rPr>
                <w:sz w:val="19"/>
                <w:szCs w:val="19"/>
              </w:rPr>
              <w:t>frozen base + head</w:t>
            </w:r>
          </w:p>
        </w:tc>
        <w:tc>
          <w:tcPr>
            <w:tcW w:w="2500" w:type="dxa"/>
            <w:tcMar>
              <w:top w:w="60" w:type="dxa"/>
              <w:left w:w="100" w:type="dxa"/>
              <w:bottom w:w="60" w:type="dxa"/>
              <w:right w:w="100" w:type="dxa"/>
            </w:tcMar>
          </w:tcPr>
          <w:p w:rsidR="00EC3D65" w:rsidRDefault="00EC3D65" w:rsidP="00601EBF">
            <w:r>
              <w:rPr>
                <w:sz w:val="19"/>
                <w:szCs w:val="19"/>
              </w:rPr>
              <w:t>24,116,111</w:t>
            </w:r>
          </w:p>
        </w:tc>
        <w:tc>
          <w:tcPr>
            <w:tcW w:w="2000" w:type="dxa"/>
            <w:tcMar>
              <w:top w:w="60" w:type="dxa"/>
              <w:left w:w="100" w:type="dxa"/>
              <w:bottom w:w="60" w:type="dxa"/>
              <w:right w:w="100" w:type="dxa"/>
            </w:tcMar>
          </w:tcPr>
          <w:p w:rsidR="00EC3D65" w:rsidRDefault="00EC3D65" w:rsidP="00601EBF">
            <w:r>
              <w:rPr>
                <w:sz w:val="19"/>
                <w:szCs w:val="19"/>
              </w:rPr>
              <w:t>Residual CNN</w:t>
            </w:r>
          </w:p>
        </w:tc>
      </w:tr>
      <w:tr w:rsidR="00EC3D65" w:rsidTr="00601EBF">
        <w:tc>
          <w:tcPr>
            <w:tcW w:w="2200" w:type="dxa"/>
            <w:tcMar>
              <w:top w:w="60" w:type="dxa"/>
              <w:left w:w="100" w:type="dxa"/>
              <w:bottom w:w="60" w:type="dxa"/>
              <w:right w:w="100" w:type="dxa"/>
            </w:tcMar>
          </w:tcPr>
          <w:p w:rsidR="00EC3D65" w:rsidRDefault="00EC3D65" w:rsidP="00601EBF">
            <w:r>
              <w:rPr>
                <w:sz w:val="19"/>
                <w:szCs w:val="19"/>
              </w:rPr>
              <w:t>EfficientNetB0</w:t>
            </w:r>
          </w:p>
        </w:tc>
        <w:tc>
          <w:tcPr>
            <w:tcW w:w="2800" w:type="dxa"/>
            <w:tcMar>
              <w:top w:w="60" w:type="dxa"/>
              <w:left w:w="100" w:type="dxa"/>
              <w:bottom w:w="60" w:type="dxa"/>
              <w:right w:w="100" w:type="dxa"/>
            </w:tcMar>
          </w:tcPr>
          <w:p w:rsidR="00EC3D65" w:rsidRDefault="00EC3D65" w:rsidP="00601EBF">
            <w:r>
              <w:rPr>
                <w:sz w:val="19"/>
                <w:szCs w:val="19"/>
              </w:rPr>
              <w:t>frozen base + head</w:t>
            </w:r>
          </w:p>
        </w:tc>
        <w:tc>
          <w:tcPr>
            <w:tcW w:w="2500" w:type="dxa"/>
            <w:tcMar>
              <w:top w:w="60" w:type="dxa"/>
              <w:left w:w="100" w:type="dxa"/>
              <w:bottom w:w="60" w:type="dxa"/>
              <w:right w:w="100" w:type="dxa"/>
            </w:tcMar>
          </w:tcPr>
          <w:p w:rsidR="00EC3D65" w:rsidRDefault="00EC3D65" w:rsidP="00601EBF">
            <w:r>
              <w:rPr>
                <w:sz w:val="19"/>
                <w:szCs w:val="19"/>
              </w:rPr>
              <w:t>4,381,362</w:t>
            </w:r>
          </w:p>
        </w:tc>
        <w:tc>
          <w:tcPr>
            <w:tcW w:w="2000" w:type="dxa"/>
            <w:tcMar>
              <w:top w:w="60" w:type="dxa"/>
              <w:left w:w="100" w:type="dxa"/>
              <w:bottom w:w="60" w:type="dxa"/>
              <w:right w:w="100" w:type="dxa"/>
            </w:tcMar>
          </w:tcPr>
          <w:p w:rsidR="00EC3D65" w:rsidRDefault="00EC3D65" w:rsidP="00601EBF">
            <w:r>
              <w:rPr>
                <w:sz w:val="19"/>
                <w:szCs w:val="19"/>
              </w:rPr>
              <w:t>Compound-scaled CNN</w:t>
            </w:r>
          </w:p>
        </w:tc>
      </w:tr>
      <w:tr w:rsidR="00EC3D65" w:rsidTr="00601EBF">
        <w:tc>
          <w:tcPr>
            <w:tcW w:w="2200" w:type="dxa"/>
            <w:tcMar>
              <w:top w:w="60" w:type="dxa"/>
              <w:left w:w="100" w:type="dxa"/>
              <w:bottom w:w="60" w:type="dxa"/>
              <w:right w:w="100" w:type="dxa"/>
            </w:tcMar>
          </w:tcPr>
          <w:p w:rsidR="00EC3D65" w:rsidRDefault="00EC3D65" w:rsidP="00601EBF">
            <w:r>
              <w:rPr>
                <w:sz w:val="19"/>
                <w:szCs w:val="19"/>
              </w:rPr>
              <w:t>MobileNetV2</w:t>
            </w:r>
          </w:p>
        </w:tc>
        <w:tc>
          <w:tcPr>
            <w:tcW w:w="2800" w:type="dxa"/>
            <w:tcMar>
              <w:top w:w="60" w:type="dxa"/>
              <w:left w:w="100" w:type="dxa"/>
              <w:bottom w:w="60" w:type="dxa"/>
              <w:right w:w="100" w:type="dxa"/>
            </w:tcMar>
          </w:tcPr>
          <w:p w:rsidR="00EC3D65" w:rsidRDefault="00EC3D65" w:rsidP="00601EBF">
            <w:r>
              <w:rPr>
                <w:sz w:val="19"/>
                <w:szCs w:val="19"/>
              </w:rPr>
              <w:t>frozen base + head</w:t>
            </w:r>
          </w:p>
        </w:tc>
        <w:tc>
          <w:tcPr>
            <w:tcW w:w="2500" w:type="dxa"/>
            <w:tcMar>
              <w:top w:w="60" w:type="dxa"/>
              <w:left w:w="100" w:type="dxa"/>
              <w:bottom w:w="60" w:type="dxa"/>
              <w:right w:w="100" w:type="dxa"/>
            </w:tcMar>
          </w:tcPr>
          <w:p w:rsidR="00EC3D65" w:rsidRDefault="00EC3D65" w:rsidP="00601EBF">
            <w:r>
              <w:rPr>
                <w:sz w:val="19"/>
                <w:szCs w:val="19"/>
              </w:rPr>
              <w:t>2,589,775</w:t>
            </w:r>
          </w:p>
        </w:tc>
        <w:tc>
          <w:tcPr>
            <w:tcW w:w="2000" w:type="dxa"/>
            <w:tcMar>
              <w:top w:w="60" w:type="dxa"/>
              <w:left w:w="100" w:type="dxa"/>
              <w:bottom w:w="60" w:type="dxa"/>
              <w:right w:w="100" w:type="dxa"/>
            </w:tcMar>
          </w:tcPr>
          <w:p w:rsidR="00EC3D65" w:rsidRDefault="00EC3D65" w:rsidP="00601EBF">
            <w:proofErr w:type="spellStart"/>
            <w:r>
              <w:rPr>
                <w:sz w:val="19"/>
                <w:szCs w:val="19"/>
              </w:rPr>
              <w:t>Depthwise</w:t>
            </w:r>
            <w:proofErr w:type="spellEnd"/>
            <w:r>
              <w:rPr>
                <w:sz w:val="19"/>
                <w:szCs w:val="19"/>
              </w:rPr>
              <w:t>-separable CNN</w:t>
            </w:r>
          </w:p>
        </w:tc>
      </w:tr>
    </w:tbl>
    <w:p w:rsidR="00EC3D65" w:rsidRDefault="00EC3D65" w:rsidP="00EC3D65">
      <w:pPr>
        <w:spacing w:before="80" w:after="240"/>
        <w:jc w:val="center"/>
      </w:pPr>
      <w:proofErr w:type="gramStart"/>
      <w:r>
        <w:rPr>
          <w:i/>
          <w:iCs/>
          <w:sz w:val="20"/>
          <w:szCs w:val="20"/>
        </w:rPr>
        <w:t>Table 3.2.</w:t>
      </w:r>
      <w:proofErr w:type="gramEnd"/>
      <w:r>
        <w:rPr>
          <w:i/>
          <w:iCs/>
          <w:sz w:val="20"/>
          <w:szCs w:val="20"/>
        </w:rPr>
        <w:t xml:space="preserve"> Total parameter counts of the three transfer-learning models (frozen ImageNet base + trainable classification head).</w:t>
      </w:r>
    </w:p>
    <w:p w:rsidR="00EC3D65" w:rsidRDefault="00EC3D65" w:rsidP="00EC3D65">
      <w:pPr>
        <w:pStyle w:val="Heading2"/>
        <w:spacing w:before="280" w:after="140"/>
      </w:pPr>
      <w:r>
        <w:t>3.7 Training Configuration</w:t>
      </w:r>
    </w:p>
    <w:p w:rsidR="00EC3D65" w:rsidRDefault="00EC3D65" w:rsidP="00EC3D65">
      <w:r>
        <w:t xml:space="preserve">Each model is compiled with the Adam optimizer at a learning rate of 0.001, categorical cross-entropy loss, and accuracy as the monitored training metric. Training uses a batch size of 32 for a maximum of 20 epochs. Two callbacks are applied identically across all three notebooks: </w:t>
      </w:r>
      <w:proofErr w:type="spellStart"/>
      <w:r>
        <w:t>EarlyStopping</w:t>
      </w:r>
      <w:proofErr w:type="spellEnd"/>
      <w:r>
        <w:t xml:space="preserve">, which monitors validation loss with a patience of 5 epochs and restores the best-performing weights when triggered, and </w:t>
      </w:r>
      <w:proofErr w:type="spellStart"/>
      <w:r>
        <w:t>ModelCheckpoint</w:t>
      </w:r>
      <w:proofErr w:type="spellEnd"/>
      <w:r>
        <w:t>, which monitors validation accuracy and saves only the best-performing model checkpoint (in HDF5 format) to Google Drive. Applying the same optimizer, loss function, batch size, epoch budget, and callback configuration to all three backbones ensures that observed performance differences in Chapter 4 reflect the architectures themselves rather than differences in the training protocol.</w:t>
      </w:r>
    </w:p>
    <w:p w:rsidR="00EC3D65" w:rsidRDefault="00EC3D65" w:rsidP="00EC3D65">
      <w:pPr>
        <w:pStyle w:val="Heading2"/>
        <w:spacing w:before="280" w:after="140"/>
      </w:pPr>
      <w:r>
        <w:t>3.8 Evaluation Protocol</w:t>
      </w:r>
    </w:p>
    <w:p w:rsidR="00EC3D65" w:rsidRDefault="00EC3D65" w:rsidP="00EC3D65">
      <w:r>
        <w:t xml:space="preserve">After training, each model is evaluated on the held-out test subset using a test generator with shuffle disabled, so that predicted labels remain correctly aligned with ground-truth labels. Predicted class probabilities are converted to class labels via </w:t>
      </w:r>
      <w:proofErr w:type="spellStart"/>
      <w:r>
        <w:t>arg</w:t>
      </w:r>
      <w:proofErr w:type="spellEnd"/>
      <w:r>
        <w:t>-max. From these predictions, accuracy, macro-averaged and weighted-</w:t>
      </w:r>
      <w:proofErr w:type="spellStart"/>
      <w:r>
        <w:t>averaged</w:t>
      </w:r>
      <w:proofErr w:type="spellEnd"/>
      <w:r>
        <w:t xml:space="preserve"> precision, recall, and F1-score are computed using </w:t>
      </w:r>
      <w:proofErr w:type="spellStart"/>
      <w:r>
        <w:t>scikit-learn's</w:t>
      </w:r>
      <w:proofErr w:type="spellEnd"/>
      <w:r>
        <w:t xml:space="preserve"> </w:t>
      </w:r>
      <w:proofErr w:type="spellStart"/>
      <w:r>
        <w:lastRenderedPageBreak/>
        <w:t>precision_recall_fscore_support</w:t>
      </w:r>
      <w:proofErr w:type="spellEnd"/>
      <w:r>
        <w:t xml:space="preserve">, alongside a full per-class classification report and a confusion matrix, the latter also visualized as a </w:t>
      </w:r>
      <w:proofErr w:type="spellStart"/>
      <w:r>
        <w:t>heatmap</w:t>
      </w:r>
      <w:proofErr w:type="spellEnd"/>
      <w:r>
        <w:t xml:space="preserve"> and saved as an image file.</w:t>
      </w:r>
    </w:p>
    <w:p w:rsidR="00EC3D65" w:rsidRDefault="00EC3D65" w:rsidP="00EC3D65">
      <w:r>
        <w:t>For each model, the standard evaluation block — identical across all three notebooks — writes a JSON file containing the model name, all aggregate and per-class metrics, the parameter count, the training time, and the full confusion matrix, together with a saved confusion matrix image, into a shared results/ directory on Google Drive. A separate comparison notebook subsequently loads the three metrics files, ranks the models, and produces the comparative tables, bar chart, and side-by-side confusion matrices presented in Chapter 4.</w:t>
      </w:r>
    </w:p>
    <w:p w:rsidR="00EC3D65" w:rsidRDefault="00EC3D65" w:rsidP="00EC3D65">
      <w:pPr>
        <w:pStyle w:val="Heading2"/>
        <w:spacing w:before="280" w:after="140"/>
      </w:pPr>
      <w:r>
        <w:t>3.9 Experimental Setup and Reproducibility</w:t>
      </w:r>
    </w:p>
    <w:p w:rsidR="00EC3D65" w:rsidRDefault="00EC3D65" w:rsidP="00EC3D65">
      <w:r>
        <w:t xml:space="preserve">All experiments were implemented in Python using </w:t>
      </w:r>
      <w:proofErr w:type="spellStart"/>
      <w:r>
        <w:t>TensorFlow</w:t>
      </w:r>
      <w:proofErr w:type="spellEnd"/>
      <w:r>
        <w:t>/</w:t>
      </w:r>
      <w:proofErr w:type="spellStart"/>
      <w:r>
        <w:t>Keras</w:t>
      </w:r>
      <w:proofErr w:type="spellEnd"/>
      <w:r>
        <w:t xml:space="preserve"> (</w:t>
      </w:r>
      <w:proofErr w:type="spellStart"/>
      <w:r>
        <w:t>TensorFlow</w:t>
      </w:r>
      <w:proofErr w:type="spellEnd"/>
      <w:r>
        <w:t xml:space="preserve"> 2.20.0) and executed on Google </w:t>
      </w:r>
      <w:proofErr w:type="spellStart"/>
      <w:r>
        <w:t>Colab</w:t>
      </w:r>
      <w:proofErr w:type="spellEnd"/>
      <w:r>
        <w:t xml:space="preserve"> with GPU acceleration. The dataset, trained model checkpoints, and evaluation outputs are stored under a fixed Google Drive project structure (</w:t>
      </w:r>
      <w:proofErr w:type="spellStart"/>
      <w:r>
        <w:t>MidOcean</w:t>
      </w:r>
      <w:proofErr w:type="spellEnd"/>
      <w:r>
        <w:t>/Practical/PLANT_DISEASE/), with a dedicated results/ subdirectory for the metrics and figures consumed by the comparison notebook. A fixed random seed (seed = 42) is used consistently for the dataset split and the data generators to support reproducibility of the reported partitions across the three model notebooks.</w:t>
      </w:r>
    </w:p>
    <w:p w:rsidR="00EC3D65" w:rsidRDefault="00EC3D65" w:rsidP="00EC3D65">
      <w:pPr>
        <w:pStyle w:val="Heading2"/>
        <w:spacing w:before="280" w:after="140"/>
      </w:pPr>
      <w:r>
        <w:t>3.10 Summary</w:t>
      </w:r>
    </w:p>
    <w:p w:rsidR="00EC3D65" w:rsidRPr="00F75F0C" w:rsidRDefault="00EC3D65" w:rsidP="00EC3D65">
      <w:r>
        <w:t xml:space="preserve">This chapter presented the shared methodology applied to all three transfer-learning models evaluated in this thesis: dataset preparation and a fixed 70/10/20 split, data quality control, training-time augmentation combined with architecture-specific preprocessing, a common frozen-base classification head, an identical training configuration, and a standardized evaluation protocol that persists comparable metrics for each model. The numerical results produced by this methodology, including per-class performance, confusion matrices, and the comparative ranking of ResNet50, EfficientNetB0, and MobileNetV2, are presented and discussed in Chapter </w:t>
      </w:r>
    </w:p>
    <w:p w:rsidR="00EC3D65" w:rsidRDefault="00EC3D65" w:rsidP="00EC3D65">
      <w:pPr>
        <w:pStyle w:val="ListParagraph"/>
        <w:ind w:left="1440"/>
        <w:rPr>
          <w:rFonts w:asciiTheme="majorBidi" w:hAnsiTheme="majorBidi" w:cstheme="majorBidi"/>
        </w:rPr>
      </w:pPr>
    </w:p>
    <w:p w:rsidR="009058EE" w:rsidRPr="00EC3D65" w:rsidRDefault="00EC3D65" w:rsidP="00EC3D65"/>
    <w:sectPr w:rsidR="009058EE" w:rsidRPr="00EC3D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3E4"/>
    <w:rsid w:val="00010E37"/>
    <w:rsid w:val="002263E4"/>
    <w:rsid w:val="007F3B29"/>
    <w:rsid w:val="00EC3D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D65"/>
  </w:style>
  <w:style w:type="paragraph" w:styleId="Heading1">
    <w:name w:val="heading 1"/>
    <w:basedOn w:val="Normal"/>
    <w:link w:val="Heading1Char"/>
    <w:uiPriority w:val="9"/>
    <w:qFormat/>
    <w:rsid w:val="002263E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2263E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63E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263E4"/>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2263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63E4"/>
    <w:rPr>
      <w:rFonts w:ascii="Tahoma" w:hAnsi="Tahoma" w:cs="Tahoma"/>
      <w:sz w:val="16"/>
      <w:szCs w:val="16"/>
    </w:rPr>
  </w:style>
  <w:style w:type="paragraph" w:styleId="ListParagraph">
    <w:name w:val="List Paragraph"/>
    <w:basedOn w:val="Normal"/>
    <w:uiPriority w:val="34"/>
    <w:qFormat/>
    <w:rsid w:val="00EC3D6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D65"/>
  </w:style>
  <w:style w:type="paragraph" w:styleId="Heading1">
    <w:name w:val="heading 1"/>
    <w:basedOn w:val="Normal"/>
    <w:link w:val="Heading1Char"/>
    <w:uiPriority w:val="9"/>
    <w:qFormat/>
    <w:rsid w:val="002263E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2263E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63E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263E4"/>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2263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63E4"/>
    <w:rPr>
      <w:rFonts w:ascii="Tahoma" w:hAnsi="Tahoma" w:cs="Tahoma"/>
      <w:sz w:val="16"/>
      <w:szCs w:val="16"/>
    </w:rPr>
  </w:style>
  <w:style w:type="paragraph" w:styleId="ListParagraph">
    <w:name w:val="List Paragraph"/>
    <w:basedOn w:val="Normal"/>
    <w:uiPriority w:val="34"/>
    <w:qFormat/>
    <w:rsid w:val="00EC3D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5</Pages>
  <Words>1745</Words>
  <Characters>9949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MAHMOOD ALRAE</dc:creator>
  <cp:lastModifiedBy>MAHMOOD ALRAE</cp:lastModifiedBy>
  <cp:revision>1</cp:revision>
  <dcterms:created xsi:type="dcterms:W3CDTF">2026-07-04T14:14:00Z</dcterms:created>
  <dcterms:modified xsi:type="dcterms:W3CDTF">2026-07-04T15:53:00Z</dcterms:modified>
</cp:coreProperties>
</file>