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4A684" w14:textId="77777777" w:rsidR="00646977" w:rsidRDefault="00646977">
      <w:pPr>
        <w:spacing w:after="160"/>
      </w:pPr>
    </w:p>
    <w:p w14:paraId="3564F15E" w14:textId="77777777" w:rsidR="00646977" w:rsidRDefault="00000000">
      <w:pPr>
        <w:spacing w:after="60"/>
        <w:jc w:val="center"/>
      </w:pPr>
      <w:r>
        <w:rPr>
          <w:b/>
          <w:bCs/>
          <w:color w:val="1F4E79"/>
          <w:sz w:val="36"/>
          <w:szCs w:val="36"/>
        </w:rPr>
        <w:t>MIDOCEAN UNIVERSITY</w:t>
      </w:r>
    </w:p>
    <w:p w14:paraId="7C8C6DB3" w14:textId="77777777" w:rsidR="00646977" w:rsidRDefault="00000000">
      <w:pPr>
        <w:spacing w:after="60"/>
        <w:jc w:val="center"/>
      </w:pPr>
      <w:r>
        <w:rPr>
          <w:color w:val="444444"/>
          <w:sz w:val="24"/>
          <w:szCs w:val="24"/>
        </w:rPr>
        <w:t>College of Information Technology</w:t>
      </w:r>
    </w:p>
    <w:p w14:paraId="325961F7" w14:textId="77777777" w:rsidR="00646977" w:rsidRDefault="00000000">
      <w:pPr>
        <w:spacing w:after="240"/>
        <w:jc w:val="center"/>
      </w:pPr>
      <w:r>
        <w:rPr>
          <w:color w:val="666666"/>
        </w:rPr>
        <w:t>Doctor of Philosophy in IT Program</w:t>
      </w:r>
    </w:p>
    <w:p w14:paraId="2A1016F9" w14:textId="77777777" w:rsidR="00646977" w:rsidRDefault="00000000">
      <w:pPr>
        <w:pBdr>
          <w:top w:val="single" w:sz="12" w:space="4" w:color="2E75B6"/>
          <w:bottom w:val="single" w:sz="12" w:space="4" w:color="2E75B6"/>
        </w:pBdr>
        <w:spacing w:before="120" w:after="120"/>
        <w:jc w:val="center"/>
      </w:pPr>
      <w:r>
        <w:rPr>
          <w:b/>
          <w:bCs/>
          <w:caps/>
          <w:color w:val="1F4E79"/>
          <w:sz w:val="28"/>
          <w:szCs w:val="28"/>
        </w:rPr>
        <w:t>RESEARCH PROPOSAL</w:t>
      </w:r>
    </w:p>
    <w:p w14:paraId="464E2AEB" w14:textId="77777777" w:rsidR="00646977" w:rsidRDefault="00646977">
      <w:pPr>
        <w:spacing w:after="160"/>
      </w:pPr>
    </w:p>
    <w:p w14:paraId="3FD158C1" w14:textId="77777777" w:rsidR="00646977" w:rsidRDefault="00000000">
      <w:pPr>
        <w:spacing w:after="160"/>
        <w:jc w:val="center"/>
      </w:pPr>
      <w:r>
        <w:rPr>
          <w:b/>
          <w:bCs/>
          <w:color w:val="1F4E79"/>
          <w:sz w:val="28"/>
          <w:szCs w:val="28"/>
        </w:rPr>
        <w:t>Cybersecurity Governance in Modern Operational Technology Environments: A Framework for Managing Emerging Technology Integration Risks at the IT/OT Boundary</w:t>
      </w:r>
    </w:p>
    <w:p w14:paraId="5D46C6B8" w14:textId="7D2B09A2" w:rsidR="00646977" w:rsidRDefault="00000000">
      <w:pPr>
        <w:spacing w:after="360"/>
        <w:jc w:val="center"/>
      </w:pPr>
      <w:proofErr w:type="spellStart"/>
      <w:r w:rsidRPr="00A843A1">
        <w:rPr>
          <w:b/>
          <w:bCs/>
          <w:color w:val="1F4E79"/>
          <w:sz w:val="28"/>
          <w:szCs w:val="28"/>
        </w:rPr>
        <w:t>حوكمة</w:t>
      </w:r>
      <w:proofErr w:type="spellEnd"/>
      <w:r w:rsidRPr="00A843A1">
        <w:rPr>
          <w:b/>
          <w:bCs/>
          <w:color w:val="1F4E79"/>
          <w:sz w:val="28"/>
          <w:szCs w:val="28"/>
        </w:rPr>
        <w:t xml:space="preserve"> </w:t>
      </w:r>
      <w:proofErr w:type="spellStart"/>
      <w:r w:rsidRPr="00A843A1">
        <w:rPr>
          <w:b/>
          <w:bCs/>
          <w:color w:val="1F4E79"/>
          <w:sz w:val="28"/>
          <w:szCs w:val="28"/>
        </w:rPr>
        <w:t>الأمن</w:t>
      </w:r>
      <w:proofErr w:type="spellEnd"/>
      <w:r w:rsidRPr="00A843A1">
        <w:rPr>
          <w:b/>
          <w:bCs/>
          <w:color w:val="1F4E79"/>
          <w:sz w:val="28"/>
          <w:szCs w:val="28"/>
        </w:rPr>
        <w:t xml:space="preserve"> </w:t>
      </w:r>
      <w:proofErr w:type="spellStart"/>
      <w:r w:rsidRPr="00A843A1">
        <w:rPr>
          <w:b/>
          <w:bCs/>
          <w:color w:val="1F4E79"/>
          <w:sz w:val="28"/>
          <w:szCs w:val="28"/>
        </w:rPr>
        <w:t>السيبراني</w:t>
      </w:r>
      <w:proofErr w:type="spellEnd"/>
      <w:r w:rsidRPr="00A843A1">
        <w:rPr>
          <w:b/>
          <w:bCs/>
          <w:color w:val="1F4E79"/>
          <w:sz w:val="28"/>
          <w:szCs w:val="28"/>
        </w:rPr>
        <w:t xml:space="preserve"> </w:t>
      </w:r>
      <w:proofErr w:type="spellStart"/>
      <w:r w:rsidRPr="00A843A1">
        <w:rPr>
          <w:b/>
          <w:bCs/>
          <w:color w:val="1F4E79"/>
          <w:sz w:val="28"/>
          <w:szCs w:val="28"/>
        </w:rPr>
        <w:t>في</w:t>
      </w:r>
      <w:proofErr w:type="spellEnd"/>
      <w:r w:rsidRPr="00A843A1">
        <w:rPr>
          <w:b/>
          <w:bCs/>
          <w:color w:val="1F4E79"/>
          <w:sz w:val="28"/>
          <w:szCs w:val="28"/>
        </w:rPr>
        <w:t xml:space="preserve"> </w:t>
      </w:r>
      <w:proofErr w:type="spellStart"/>
      <w:r w:rsidRPr="00A843A1">
        <w:rPr>
          <w:b/>
          <w:bCs/>
          <w:color w:val="1F4E79"/>
          <w:sz w:val="28"/>
          <w:szCs w:val="28"/>
        </w:rPr>
        <w:t>بيئات</w:t>
      </w:r>
      <w:proofErr w:type="spellEnd"/>
      <w:r w:rsidRPr="00A843A1">
        <w:rPr>
          <w:b/>
          <w:bCs/>
          <w:color w:val="1F4E79"/>
          <w:sz w:val="28"/>
          <w:szCs w:val="28"/>
        </w:rPr>
        <w:t xml:space="preserve"> </w:t>
      </w:r>
      <w:proofErr w:type="spellStart"/>
      <w:r w:rsidRPr="00A843A1">
        <w:rPr>
          <w:b/>
          <w:bCs/>
          <w:color w:val="1F4E79"/>
          <w:sz w:val="28"/>
          <w:szCs w:val="28"/>
        </w:rPr>
        <w:t>التقنية</w:t>
      </w:r>
      <w:proofErr w:type="spellEnd"/>
      <w:r w:rsidRPr="00A843A1">
        <w:rPr>
          <w:b/>
          <w:bCs/>
          <w:color w:val="1F4E79"/>
          <w:sz w:val="28"/>
          <w:szCs w:val="28"/>
        </w:rPr>
        <w:t xml:space="preserve"> </w:t>
      </w:r>
      <w:proofErr w:type="spellStart"/>
      <w:r w:rsidRPr="00A843A1">
        <w:rPr>
          <w:b/>
          <w:bCs/>
          <w:color w:val="1F4E79"/>
          <w:sz w:val="28"/>
          <w:szCs w:val="28"/>
        </w:rPr>
        <w:t>التشغيلية</w:t>
      </w:r>
      <w:proofErr w:type="spellEnd"/>
      <w:r w:rsidRPr="00A843A1">
        <w:rPr>
          <w:b/>
          <w:bCs/>
          <w:color w:val="1F4E79"/>
          <w:sz w:val="28"/>
          <w:szCs w:val="28"/>
        </w:rPr>
        <w:t xml:space="preserve"> </w:t>
      </w:r>
      <w:proofErr w:type="spellStart"/>
      <w:r w:rsidRPr="00A843A1">
        <w:rPr>
          <w:b/>
          <w:bCs/>
          <w:color w:val="1F4E79"/>
          <w:sz w:val="28"/>
          <w:szCs w:val="28"/>
        </w:rPr>
        <w:t>الحديثة</w:t>
      </w:r>
      <w:proofErr w:type="spellEnd"/>
      <w:r w:rsidRPr="00A843A1">
        <w:rPr>
          <w:b/>
          <w:bCs/>
          <w:color w:val="1F4E79"/>
          <w:sz w:val="28"/>
          <w:szCs w:val="28"/>
        </w:rPr>
        <w:t xml:space="preserve">: </w:t>
      </w:r>
      <w:proofErr w:type="spellStart"/>
      <w:r w:rsidRPr="00A843A1">
        <w:rPr>
          <w:b/>
          <w:bCs/>
          <w:color w:val="1F4E79"/>
          <w:sz w:val="28"/>
          <w:szCs w:val="28"/>
        </w:rPr>
        <w:t>إطار</w:t>
      </w:r>
      <w:proofErr w:type="spellEnd"/>
      <w:r w:rsidRPr="00A843A1">
        <w:rPr>
          <w:b/>
          <w:bCs/>
          <w:color w:val="1F4E79"/>
          <w:sz w:val="28"/>
          <w:szCs w:val="28"/>
        </w:rPr>
        <w:t xml:space="preserve"> </w:t>
      </w:r>
      <w:proofErr w:type="spellStart"/>
      <w:r w:rsidRPr="00A843A1">
        <w:rPr>
          <w:b/>
          <w:bCs/>
          <w:color w:val="1F4E79"/>
          <w:sz w:val="28"/>
          <w:szCs w:val="28"/>
        </w:rPr>
        <w:t>عمل</w:t>
      </w:r>
      <w:proofErr w:type="spellEnd"/>
      <w:r w:rsidRPr="00A843A1">
        <w:rPr>
          <w:b/>
          <w:bCs/>
          <w:color w:val="1F4E79"/>
          <w:sz w:val="28"/>
          <w:szCs w:val="28"/>
        </w:rPr>
        <w:t xml:space="preserve"> </w:t>
      </w:r>
      <w:proofErr w:type="spellStart"/>
      <w:r w:rsidRPr="00A843A1">
        <w:rPr>
          <w:b/>
          <w:bCs/>
          <w:color w:val="1F4E79"/>
          <w:sz w:val="28"/>
          <w:szCs w:val="28"/>
        </w:rPr>
        <w:t>لإدارة</w:t>
      </w:r>
      <w:proofErr w:type="spellEnd"/>
      <w:r w:rsidRPr="00A843A1">
        <w:rPr>
          <w:b/>
          <w:bCs/>
          <w:color w:val="1F4E79"/>
          <w:sz w:val="28"/>
          <w:szCs w:val="28"/>
        </w:rPr>
        <w:t xml:space="preserve"> </w:t>
      </w:r>
      <w:proofErr w:type="spellStart"/>
      <w:r w:rsidRPr="00A843A1">
        <w:rPr>
          <w:b/>
          <w:bCs/>
          <w:color w:val="1F4E79"/>
          <w:sz w:val="28"/>
          <w:szCs w:val="28"/>
        </w:rPr>
        <w:t>مخاطر</w:t>
      </w:r>
      <w:proofErr w:type="spellEnd"/>
      <w:r w:rsidRPr="00A843A1">
        <w:rPr>
          <w:b/>
          <w:bCs/>
          <w:color w:val="1F4E79"/>
          <w:sz w:val="28"/>
          <w:szCs w:val="28"/>
        </w:rPr>
        <w:t xml:space="preserve"> </w:t>
      </w:r>
      <w:proofErr w:type="spellStart"/>
      <w:r w:rsidRPr="00A843A1">
        <w:rPr>
          <w:b/>
          <w:bCs/>
          <w:color w:val="1F4E79"/>
          <w:sz w:val="28"/>
          <w:szCs w:val="28"/>
        </w:rPr>
        <w:t>ربط</w:t>
      </w:r>
      <w:proofErr w:type="spellEnd"/>
      <w:r w:rsidRPr="00A843A1">
        <w:rPr>
          <w:b/>
          <w:bCs/>
          <w:color w:val="1F4E79"/>
          <w:sz w:val="28"/>
          <w:szCs w:val="28"/>
        </w:rPr>
        <w:t xml:space="preserve"> </w:t>
      </w:r>
      <w:proofErr w:type="spellStart"/>
      <w:r w:rsidRPr="00A843A1">
        <w:rPr>
          <w:b/>
          <w:bCs/>
          <w:color w:val="1F4E79"/>
          <w:sz w:val="28"/>
          <w:szCs w:val="28"/>
        </w:rPr>
        <w:t>التقنيات</w:t>
      </w:r>
      <w:proofErr w:type="spellEnd"/>
      <w:r w:rsidRPr="00A843A1">
        <w:rPr>
          <w:b/>
          <w:bCs/>
          <w:color w:val="1F4E79"/>
          <w:sz w:val="28"/>
          <w:szCs w:val="28"/>
        </w:rPr>
        <w:t xml:space="preserve"> </w:t>
      </w:r>
      <w:r w:rsidR="00A843A1" w:rsidRPr="00A843A1">
        <w:rPr>
          <w:b/>
          <w:bCs/>
          <w:color w:val="1F4E79"/>
          <w:sz w:val="28"/>
          <w:szCs w:val="28"/>
        </w:rPr>
        <w:t>(IT/OT Boundary)</w:t>
      </w:r>
      <w:r w:rsidR="00A843A1">
        <w:rPr>
          <w:b/>
          <w:bCs/>
          <w:color w:val="1F4E79"/>
          <w:sz w:val="28"/>
          <w:szCs w:val="28"/>
        </w:rPr>
        <w:t xml:space="preserve"> </w:t>
      </w:r>
      <w:proofErr w:type="spellStart"/>
      <w:r w:rsidRPr="00A843A1">
        <w:rPr>
          <w:b/>
          <w:bCs/>
          <w:color w:val="1F4E79"/>
          <w:sz w:val="28"/>
          <w:szCs w:val="28"/>
        </w:rPr>
        <w:t>الحديثة</w:t>
      </w:r>
      <w:proofErr w:type="spellEnd"/>
      <w:r w:rsidRPr="00A843A1">
        <w:rPr>
          <w:b/>
          <w:bCs/>
          <w:color w:val="1F4E79"/>
          <w:sz w:val="28"/>
          <w:szCs w:val="28"/>
        </w:rPr>
        <w:t xml:space="preserve"> </w:t>
      </w:r>
      <w:proofErr w:type="spellStart"/>
      <w:r w:rsidRPr="00A843A1">
        <w:rPr>
          <w:b/>
          <w:bCs/>
          <w:color w:val="1F4E79"/>
          <w:sz w:val="28"/>
          <w:szCs w:val="28"/>
        </w:rPr>
        <w:t>بين</w:t>
      </w:r>
      <w:proofErr w:type="spellEnd"/>
      <w:r w:rsidRPr="00A843A1">
        <w:rPr>
          <w:b/>
          <w:bCs/>
          <w:color w:val="1F4E79"/>
          <w:sz w:val="28"/>
          <w:szCs w:val="28"/>
        </w:rPr>
        <w:t xml:space="preserve"> </w:t>
      </w:r>
      <w:proofErr w:type="spellStart"/>
      <w:r w:rsidRPr="00A843A1">
        <w:rPr>
          <w:b/>
          <w:bCs/>
          <w:color w:val="1F4E79"/>
          <w:sz w:val="28"/>
          <w:szCs w:val="28"/>
        </w:rPr>
        <w:t>حدود</w:t>
      </w:r>
      <w:proofErr w:type="spellEnd"/>
      <w:r w:rsidRPr="00A843A1">
        <w:rPr>
          <w:b/>
          <w:bCs/>
          <w:color w:val="1F4E79"/>
          <w:sz w:val="28"/>
          <w:szCs w:val="28"/>
        </w:rPr>
        <w:t xml:space="preserve"> </w:t>
      </w:r>
      <w:proofErr w:type="spellStart"/>
      <w:r w:rsidRPr="00A843A1">
        <w:rPr>
          <w:b/>
          <w:bCs/>
          <w:color w:val="1F4E79"/>
          <w:sz w:val="28"/>
          <w:szCs w:val="28"/>
        </w:rPr>
        <w:t>تقنية</w:t>
      </w:r>
      <w:proofErr w:type="spellEnd"/>
      <w:r w:rsidRPr="00A843A1">
        <w:rPr>
          <w:b/>
          <w:bCs/>
          <w:color w:val="1F4E79"/>
          <w:sz w:val="28"/>
          <w:szCs w:val="28"/>
        </w:rPr>
        <w:t xml:space="preserve"> </w:t>
      </w:r>
      <w:proofErr w:type="spellStart"/>
      <w:r w:rsidRPr="00A843A1">
        <w:rPr>
          <w:b/>
          <w:bCs/>
          <w:color w:val="1F4E79"/>
          <w:sz w:val="28"/>
          <w:szCs w:val="28"/>
        </w:rPr>
        <w:t>المعلومات</w:t>
      </w:r>
      <w:proofErr w:type="spellEnd"/>
      <w:r>
        <w:rPr>
          <w:color w:val="444444"/>
        </w:rPr>
        <w:t xml:space="preserve"> </w:t>
      </w:r>
      <w:proofErr w:type="spellStart"/>
      <w:r w:rsidRPr="00A843A1">
        <w:rPr>
          <w:b/>
          <w:bCs/>
          <w:color w:val="1F4E79"/>
          <w:sz w:val="28"/>
          <w:szCs w:val="28"/>
        </w:rPr>
        <w:t>والتقنية</w:t>
      </w:r>
      <w:proofErr w:type="spellEnd"/>
      <w:r w:rsidRPr="00A843A1">
        <w:rPr>
          <w:b/>
          <w:bCs/>
          <w:color w:val="1F4E79"/>
          <w:sz w:val="28"/>
          <w:szCs w:val="28"/>
        </w:rPr>
        <w:t xml:space="preserve"> </w:t>
      </w:r>
      <w:proofErr w:type="spellStart"/>
      <w:r w:rsidRPr="00A843A1">
        <w:rPr>
          <w:b/>
          <w:bCs/>
          <w:color w:val="1F4E79"/>
          <w:sz w:val="28"/>
          <w:szCs w:val="28"/>
        </w:rPr>
        <w:t>التشغيلية</w:t>
      </w:r>
      <w:proofErr w:type="spellEnd"/>
    </w:p>
    <w:p w14:paraId="7F425C2E" w14:textId="77777777" w:rsidR="00646977" w:rsidRDefault="00646977">
      <w:pPr>
        <w:spacing w:after="80"/>
      </w:pPr>
    </w:p>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4500"/>
      </w:tblGrid>
      <w:tr w:rsidR="00646977" w14:paraId="5D8ABCD0"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D73AA9" w14:textId="77777777" w:rsidR="00646977" w:rsidRDefault="00000000">
            <w:r>
              <w:rPr>
                <w:b/>
                <w:bCs/>
                <w:color w:val="1F4E79"/>
                <w:sz w:val="20"/>
                <w:szCs w:val="20"/>
              </w:rPr>
              <w:t>Researcher Name</w:t>
            </w:r>
          </w:p>
        </w:tc>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F2393D" w14:textId="77777777" w:rsidR="00646977" w:rsidRDefault="00000000">
            <w:r>
              <w:rPr>
                <w:sz w:val="20"/>
                <w:szCs w:val="20"/>
              </w:rPr>
              <w:t>Abdulaziz Alarfaj</w:t>
            </w:r>
          </w:p>
        </w:tc>
      </w:tr>
      <w:tr w:rsidR="00646977" w14:paraId="1B5498F2"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7A67E2" w14:textId="77777777" w:rsidR="00646977" w:rsidRDefault="00000000">
            <w:r>
              <w:rPr>
                <w:b/>
                <w:bCs/>
                <w:color w:val="1F4E79"/>
                <w:sz w:val="20"/>
                <w:szCs w:val="20"/>
              </w:rPr>
              <w:t>Academic ID</w:t>
            </w:r>
          </w:p>
        </w:tc>
        <w:tc>
          <w:tcPr>
            <w:tcW w:w="4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8F0074B" w14:textId="77777777" w:rsidR="00646977" w:rsidRDefault="00000000">
            <w:r>
              <w:rPr>
                <w:sz w:val="20"/>
                <w:szCs w:val="20"/>
              </w:rPr>
              <w:t>251002116</w:t>
            </w:r>
          </w:p>
        </w:tc>
      </w:tr>
      <w:tr w:rsidR="00646977" w14:paraId="0B395D4C"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77C4772" w14:textId="77777777" w:rsidR="00646977" w:rsidRDefault="00000000">
            <w:r>
              <w:rPr>
                <w:b/>
                <w:bCs/>
                <w:color w:val="1F4E79"/>
                <w:sz w:val="20"/>
                <w:szCs w:val="20"/>
              </w:rPr>
              <w:t>College</w:t>
            </w:r>
          </w:p>
        </w:tc>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CD977D" w14:textId="77777777" w:rsidR="00646977" w:rsidRDefault="00000000">
            <w:r>
              <w:rPr>
                <w:sz w:val="20"/>
                <w:szCs w:val="20"/>
              </w:rPr>
              <w:t>College of Information Technology</w:t>
            </w:r>
          </w:p>
        </w:tc>
      </w:tr>
      <w:tr w:rsidR="00646977" w14:paraId="3053298D"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2BCD9A4" w14:textId="77777777" w:rsidR="00646977" w:rsidRDefault="00000000">
            <w:r>
              <w:rPr>
                <w:b/>
                <w:bCs/>
                <w:color w:val="1F4E79"/>
                <w:sz w:val="20"/>
                <w:szCs w:val="20"/>
              </w:rPr>
              <w:t>Program</w:t>
            </w:r>
          </w:p>
        </w:tc>
        <w:tc>
          <w:tcPr>
            <w:tcW w:w="4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1F648CA" w14:textId="4C1264A1" w:rsidR="00646977" w:rsidRDefault="00000000">
            <w:r>
              <w:rPr>
                <w:sz w:val="20"/>
                <w:szCs w:val="20"/>
              </w:rPr>
              <w:t xml:space="preserve">Doctor of Philosophy in </w:t>
            </w:r>
            <w:r w:rsidR="00A843A1">
              <w:rPr>
                <w:sz w:val="20"/>
                <w:szCs w:val="20"/>
              </w:rPr>
              <w:t>Cybersecurity</w:t>
            </w:r>
          </w:p>
        </w:tc>
      </w:tr>
      <w:tr w:rsidR="00646977" w14:paraId="1D61176C"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6DDA99" w14:textId="77777777" w:rsidR="00646977" w:rsidRDefault="00000000">
            <w:r>
              <w:rPr>
                <w:b/>
                <w:bCs/>
                <w:color w:val="1F4E79"/>
                <w:sz w:val="20"/>
                <w:szCs w:val="20"/>
              </w:rPr>
              <w:t>Academic Year</w:t>
            </w:r>
          </w:p>
        </w:tc>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67C0EC" w14:textId="77777777" w:rsidR="00646977" w:rsidRDefault="00000000">
            <w:r>
              <w:rPr>
                <w:sz w:val="20"/>
                <w:szCs w:val="20"/>
              </w:rPr>
              <w:t>2026</w:t>
            </w:r>
          </w:p>
        </w:tc>
      </w:tr>
      <w:tr w:rsidR="00646977" w14:paraId="6CB2C2CF"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0CC48A7" w14:textId="77777777" w:rsidR="00646977" w:rsidRDefault="00000000">
            <w:r>
              <w:rPr>
                <w:b/>
                <w:bCs/>
                <w:color w:val="1F4E79"/>
                <w:sz w:val="20"/>
                <w:szCs w:val="20"/>
              </w:rPr>
              <w:t>Year of Study</w:t>
            </w:r>
          </w:p>
        </w:tc>
        <w:tc>
          <w:tcPr>
            <w:tcW w:w="4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80BEDE9" w14:textId="77777777" w:rsidR="00646977" w:rsidRDefault="00000000">
            <w:r>
              <w:rPr>
                <w:sz w:val="20"/>
                <w:szCs w:val="20"/>
              </w:rPr>
              <w:t>Year 2 of 3 (Target Completion: 2027)</w:t>
            </w:r>
          </w:p>
        </w:tc>
      </w:tr>
      <w:tr w:rsidR="00646977" w14:paraId="79CEA693" w14:textId="77777777">
        <w:tblPrEx>
          <w:tblCellMar>
            <w:top w:w="0" w:type="dxa"/>
            <w:bottom w:w="0" w:type="dxa"/>
          </w:tblCellMar>
        </w:tblPrEx>
        <w:tc>
          <w:tcPr>
            <w:tcW w:w="27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0E85DC3" w14:textId="77777777" w:rsidR="00646977" w:rsidRDefault="00000000">
            <w:r>
              <w:rPr>
                <w:b/>
                <w:bCs/>
                <w:color w:val="1F4E79"/>
                <w:sz w:val="20"/>
                <w:szCs w:val="20"/>
              </w:rPr>
              <w:t>NCA Alignment</w:t>
            </w:r>
          </w:p>
        </w:tc>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61BE4F" w14:textId="77777777" w:rsidR="00646977" w:rsidRDefault="00000000">
            <w:r>
              <w:rPr>
                <w:sz w:val="20"/>
                <w:szCs w:val="20"/>
              </w:rPr>
              <w:t>OT Systems Security | Cybersecurity-related Public Policies</w:t>
            </w:r>
          </w:p>
        </w:tc>
      </w:tr>
    </w:tbl>
    <w:p w14:paraId="07D9595B" w14:textId="77777777" w:rsidR="00646977" w:rsidRDefault="00000000">
      <w:r>
        <w:br w:type="page"/>
      </w:r>
    </w:p>
    <w:p w14:paraId="3845A697" w14:textId="77777777" w:rsidR="00646977" w:rsidRDefault="00000000">
      <w:pPr>
        <w:pStyle w:val="Heading1"/>
      </w:pPr>
      <w:r>
        <w:lastRenderedPageBreak/>
        <w:t>1. Abstract</w:t>
      </w:r>
    </w:p>
    <w:p w14:paraId="6314C0FA" w14:textId="77777777" w:rsidR="00646977" w:rsidRDefault="00646977">
      <w:pPr>
        <w:pBdr>
          <w:bottom w:val="single" w:sz="6" w:space="1" w:color="2E75B6"/>
        </w:pBdr>
        <w:spacing w:before="120" w:after="120"/>
      </w:pPr>
    </w:p>
    <w:p w14:paraId="2E3C13A8" w14:textId="77777777" w:rsidR="00646977" w:rsidRDefault="00000000">
      <w:pPr>
        <w:spacing w:before="80" w:after="120"/>
        <w:jc w:val="both"/>
      </w:pPr>
      <w:r>
        <w:t>Modern Operational Technology (OT) environments, defined as those newly designed, technology-integrated, and built without legacy constraints, represent a paradigm shift in industrial cybersecurity (Stouffer et al., 2023). Unlike legacy OT systems, these environments are increasingly architected with emerging technologies including AI-driven analytics, 5G-connected sensors, and cloud-based SCADA systems interfacing at the IT/OT boundary. This integration introduces novel cybersecurity risks that existing frameworks, primarily designed for traditional or legacy OT, fail to adequately address (Knowles et al., 2015; ENISA, 2022).</w:t>
      </w:r>
    </w:p>
    <w:p w14:paraId="51CAEFE4" w14:textId="77777777" w:rsidR="00646977" w:rsidRDefault="00000000">
      <w:pPr>
        <w:spacing w:before="80" w:after="120"/>
        <w:jc w:val="both"/>
      </w:pPr>
      <w:r>
        <w:t>This research investigates the cybersecurity governance challenges specific to modern OT environments, with a particular focus on risks introduced by emerging technologies at the IT/OT boundary. Using a mixed-methods approach that incorporates a quantitative survey, expert interviews, and a real-world case study, the research aims to develop and validate a comprehensive governance framework that addresses these challenges at both the organizational and national policy levels (Creswell &amp; Creswell, 2018).</w:t>
      </w:r>
    </w:p>
    <w:p w14:paraId="7161F230" w14:textId="77777777" w:rsidR="00646977" w:rsidRDefault="00000000">
      <w:pPr>
        <w:spacing w:before="80" w:after="120"/>
        <w:jc w:val="both"/>
      </w:pPr>
      <w:r>
        <w:t>The proposed framework directly supports two of Saudi Arabia's National Cybersecurity Authority (NCA) priority research areas: Operational Technology Systems Security and Cybersecurity-related Public Policies (NCA, 2021</w:t>
      </w:r>
      <w:proofErr w:type="gramStart"/>
      <w:r>
        <w:t>), and</w:t>
      </w:r>
      <w:proofErr w:type="gramEnd"/>
      <w:r>
        <w:t xml:space="preserve"> contributes an original academic contribution in a domain with limited peer-reviewed literature.</w:t>
      </w:r>
    </w:p>
    <w:p w14:paraId="55951F03" w14:textId="77777777" w:rsidR="00646977" w:rsidRDefault="00646977">
      <w:pPr>
        <w:spacing w:after="80"/>
      </w:pPr>
    </w:p>
    <w:p w14:paraId="54D38E6E" w14:textId="77777777" w:rsidR="00646977" w:rsidRDefault="00000000">
      <w:r>
        <w:br w:type="page"/>
      </w:r>
    </w:p>
    <w:p w14:paraId="530BF1B8" w14:textId="77777777" w:rsidR="00646977" w:rsidRDefault="00000000">
      <w:pPr>
        <w:pStyle w:val="Heading1"/>
      </w:pPr>
      <w:r>
        <w:lastRenderedPageBreak/>
        <w:t>2. Introduction</w:t>
      </w:r>
    </w:p>
    <w:p w14:paraId="0C44FEEE" w14:textId="77777777" w:rsidR="00646977" w:rsidRDefault="00646977">
      <w:pPr>
        <w:pBdr>
          <w:bottom w:val="single" w:sz="6" w:space="1" w:color="2E75B6"/>
        </w:pBdr>
        <w:spacing w:before="120" w:after="120"/>
      </w:pPr>
    </w:p>
    <w:p w14:paraId="4DF4B731" w14:textId="77777777" w:rsidR="00646977" w:rsidRDefault="00000000">
      <w:pPr>
        <w:pStyle w:val="Heading2"/>
      </w:pPr>
      <w:r>
        <w:t>2.1 The Rise of Modern OT Environments</w:t>
      </w:r>
    </w:p>
    <w:p w14:paraId="4024BE9F" w14:textId="77777777" w:rsidR="00646977" w:rsidRDefault="00000000">
      <w:pPr>
        <w:spacing w:before="80" w:after="120"/>
        <w:jc w:val="both"/>
      </w:pPr>
      <w:r>
        <w:t>Operational Technology (OT), which refers to the hardware and software that monitors and controls physical processes in industrial environments, has historically operated in isolation from Information Technology (IT) systems (Stouffer et al., 2023). IT refers to the computing infrastructure, networks, and software systems used to process, store, and communicate data across enterprise functions. The traditional air-gapped, proprietary OT environment prioritized availability and safety over confidentiality, operating under the assumption that physical separation provided adequate security (Lee et al., 2016).</w:t>
      </w:r>
    </w:p>
    <w:p w14:paraId="5CB1C236" w14:textId="77777777" w:rsidR="00646977" w:rsidRDefault="00000000">
      <w:pPr>
        <w:spacing w:before="80" w:after="120"/>
        <w:jc w:val="both"/>
      </w:pPr>
      <w:r>
        <w:t>This paradigm is rapidly changing. A new generation of OT environments, including greenfield installations and recently modernized plants, are being architected with digital-first principles from inception (Dragos, 2024). Unlike their legacy counterparts, these modern OT environments integrate cloud connectivity, AI-powered process monitoring, and 5G-enabled sensor networks as foundational design choices rather than retrofitted additions (Boyes et al., 2018).</w:t>
      </w:r>
    </w:p>
    <w:p w14:paraId="2A747366" w14:textId="77777777" w:rsidR="00646977" w:rsidRDefault="00000000">
      <w:pPr>
        <w:spacing w:before="80" w:after="120"/>
        <w:jc w:val="both"/>
      </w:pPr>
      <w:r>
        <w:t>Saudi Arabia's Vision 2030 industrial transformation program has accelerated this trend significantly, with large-scale infrastructure projects being built simultaneously with their digital architecture (Vision 2030, 2016). The NEOM development, which encompasses hydrogen production, renewable energy, and smart city infrastructure, exemplifies this new generation of OT-intensive, digitally integrated industrial environments.</w:t>
      </w:r>
    </w:p>
    <w:p w14:paraId="507BEB77" w14:textId="77777777" w:rsidR="00646977" w:rsidRDefault="00646977">
      <w:pPr>
        <w:spacing w:after="80"/>
      </w:pPr>
    </w:p>
    <w:p w14:paraId="3D052526" w14:textId="77777777" w:rsidR="00646977" w:rsidRDefault="00000000">
      <w:r>
        <w:br w:type="page"/>
      </w:r>
    </w:p>
    <w:p w14:paraId="096EF262" w14:textId="77777777" w:rsidR="00646977" w:rsidRDefault="00000000">
      <w:pPr>
        <w:pStyle w:val="Heading1"/>
      </w:pPr>
      <w:r>
        <w:lastRenderedPageBreak/>
        <w:t>3. Problem Statement</w:t>
      </w:r>
    </w:p>
    <w:p w14:paraId="00554956" w14:textId="77777777" w:rsidR="00646977" w:rsidRDefault="00646977">
      <w:pPr>
        <w:pBdr>
          <w:bottom w:val="single" w:sz="6" w:space="1" w:color="2E75B6"/>
        </w:pBdr>
        <w:spacing w:before="120" w:after="120"/>
      </w:pPr>
    </w:p>
    <w:p w14:paraId="62EB1067" w14:textId="77777777" w:rsidR="00646977" w:rsidRDefault="00000000">
      <w:pPr>
        <w:spacing w:before="80" w:after="120"/>
        <w:jc w:val="both"/>
      </w:pPr>
      <w:r>
        <w:t>The cybersecurity challenge in modern OT environments is fundamentally different from that in legacy OT. Three interconnected problems define this space:</w:t>
      </w:r>
    </w:p>
    <w:p w14:paraId="6EE1270B" w14:textId="77777777" w:rsidR="00646977" w:rsidRDefault="00000000">
      <w:pPr>
        <w:pStyle w:val="ListParagraph"/>
        <w:numPr>
          <w:ilvl w:val="0"/>
          <w:numId w:val="2"/>
        </w:numPr>
        <w:spacing w:before="60" w:after="60"/>
      </w:pPr>
      <w:r>
        <w:t>Existing frameworks are legacy-oriented: The dominant OT cybersecurity standards, namely IEC 62443 (International Society of Automation, 2018), NIST SP 800-82 (Stouffer et al., 2023), and NERC CIP (NERC, 2020), were developed primarily in response to incidents and vulnerabilities in mature, legacy OT installations. Their assumptions about network topology, asset lifecycle, and threat models do not map cleanly onto environments designed with cloud-native and AI-integrated architectures (</w:t>
      </w:r>
      <w:proofErr w:type="spellStart"/>
      <w:r>
        <w:t>Cheminod</w:t>
      </w:r>
      <w:proofErr w:type="spellEnd"/>
      <w:r>
        <w:t xml:space="preserve"> et al., 2013). Saudi Arabia has responded to this gap by issuing the Operational Technology Cybersecurity Controls (OTCC-1:2022) (National Cybersecurity Authority, 2022), though empirical research on their application in modern OT environments remains scarce.</w:t>
      </w:r>
    </w:p>
    <w:p w14:paraId="4EA3C13D" w14:textId="77777777" w:rsidR="00646977" w:rsidRDefault="00000000">
      <w:pPr>
        <w:pStyle w:val="ListParagraph"/>
        <w:numPr>
          <w:ilvl w:val="0"/>
          <w:numId w:val="2"/>
        </w:numPr>
        <w:spacing w:before="60" w:after="60"/>
      </w:pPr>
      <w:r>
        <w:t>The IT/OT boundary has become the primary attack surface: Modern OT environments, while maintaining architectural separation through DMZ and zone-conduit models, enable bidirectional data flows between IT and OT layers for operational efficiency (Dragos, 2024). Emerging technologies such as AI analytics platforms, digital twins, and cloud SCADA sit in or adjacent to this boundary, creating new vectors for lateral movement from IT into OT (Lee et al., 2016).</w:t>
      </w:r>
    </w:p>
    <w:p w14:paraId="7B391EE4" w14:textId="77777777" w:rsidR="00646977" w:rsidRDefault="00000000">
      <w:pPr>
        <w:pStyle w:val="ListParagraph"/>
        <w:numPr>
          <w:ilvl w:val="0"/>
          <w:numId w:val="2"/>
        </w:numPr>
        <w:spacing w:before="60" w:after="60"/>
      </w:pPr>
      <w:r>
        <w:t>Governance models have not kept pace: As OT and IT security converge, organizational governance structures, including roles, responsibilities, policies, and escalation paths, remain poorly defined (Knowles et al., 2015). The CISO function, traditionally IT-oriented, must now govern OT risks it was not originally designed to manage. No widely accepted governance model exists for this integrated responsibility (ENISA, 2022).</w:t>
      </w:r>
    </w:p>
    <w:p w14:paraId="596319F2" w14:textId="77777777" w:rsidR="00646977" w:rsidRDefault="00000000">
      <w:pPr>
        <w:pStyle w:val="Heading2"/>
      </w:pPr>
      <w:r>
        <w:t>3.1 National Strategic Context</w:t>
      </w:r>
    </w:p>
    <w:p w14:paraId="49E74256" w14:textId="77777777" w:rsidR="00646977" w:rsidRDefault="00000000">
      <w:pPr>
        <w:spacing w:before="80" w:after="120"/>
        <w:jc w:val="both"/>
      </w:pPr>
      <w:r>
        <w:t>The Saudi National Cybersecurity Authority (NCA) has identified Operational Technology Systems Security and Cybersecurity-related Public Policies as two of its four priority research domains (NCA, 2021). This research sits at the intersection of both, contributing not only to organizational practice but to the national policy conversation on how Saudi Arabia should govern cybersecurity in its rapidly expanding OT infrastructure, including critical projects in energy, hydrogen, water, and smart cities (Vision 2030, 2016).</w:t>
      </w:r>
    </w:p>
    <w:p w14:paraId="47E8CCE3" w14:textId="77777777" w:rsidR="00646977" w:rsidRDefault="00646977">
      <w:pPr>
        <w:spacing w:after="80"/>
      </w:pPr>
    </w:p>
    <w:p w14:paraId="4908ECAB" w14:textId="77777777" w:rsidR="00646977" w:rsidRDefault="00000000">
      <w:r>
        <w:br w:type="page"/>
      </w:r>
    </w:p>
    <w:p w14:paraId="766C2B8B" w14:textId="77777777" w:rsidR="00646977" w:rsidRDefault="00000000">
      <w:pPr>
        <w:pStyle w:val="Heading1"/>
      </w:pPr>
      <w:r>
        <w:lastRenderedPageBreak/>
        <w:t>4. Research Question and Objectives</w:t>
      </w:r>
    </w:p>
    <w:p w14:paraId="2ECF6204" w14:textId="77777777" w:rsidR="00646977" w:rsidRDefault="00646977">
      <w:pPr>
        <w:pBdr>
          <w:bottom w:val="single" w:sz="6" w:space="1" w:color="2E75B6"/>
        </w:pBdr>
        <w:spacing w:before="120" w:after="120"/>
      </w:pPr>
    </w:p>
    <w:p w14:paraId="64F00A4B" w14:textId="77777777" w:rsidR="00646977" w:rsidRDefault="00000000">
      <w:pPr>
        <w:pStyle w:val="Heading2"/>
      </w:pPr>
      <w:r>
        <w:t>4.1 Primary Research Question</w:t>
      </w:r>
    </w:p>
    <w:p w14:paraId="67C7CD17"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646977" w14:paraId="5D5AE32E"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20" w:type="dxa"/>
              <w:left w:w="180" w:type="dxa"/>
              <w:bottom w:w="120" w:type="dxa"/>
              <w:right w:w="180" w:type="dxa"/>
            </w:tcMar>
          </w:tcPr>
          <w:p w14:paraId="7713D022" w14:textId="77777777" w:rsidR="00646977" w:rsidRDefault="00000000">
            <w:pPr>
              <w:spacing w:before="60" w:after="60"/>
            </w:pPr>
            <w:r>
              <w:rPr>
                <w:b/>
                <w:bCs/>
                <w:color w:val="1F4E79"/>
              </w:rPr>
              <w:t>How should cybersecurity governance be structured in modern Operational Technology environments,</w:t>
            </w:r>
          </w:p>
          <w:p w14:paraId="4E248DF4" w14:textId="77777777" w:rsidR="00646977" w:rsidRDefault="00000000">
            <w:pPr>
              <w:spacing w:before="60" w:after="60"/>
            </w:pPr>
            <w:r>
              <w:rPr>
                <w:b/>
                <w:bCs/>
                <w:color w:val="1F4E79"/>
              </w:rPr>
              <w:t>and what framework is needed to manage the risks introduced by emerging technologies</w:t>
            </w:r>
          </w:p>
          <w:p w14:paraId="6B66AF2B" w14:textId="77777777" w:rsidR="00646977" w:rsidRDefault="00000000">
            <w:pPr>
              <w:spacing w:before="60" w:after="60"/>
            </w:pPr>
            <w:r>
              <w:rPr>
                <w:b/>
                <w:bCs/>
                <w:color w:val="1F4E79"/>
              </w:rPr>
              <w:t>at the IT/OT boundary, with implications for both organizational practice and national policy?</w:t>
            </w:r>
          </w:p>
        </w:tc>
      </w:tr>
    </w:tbl>
    <w:p w14:paraId="02CA3E8C" w14:textId="77777777" w:rsidR="00646977" w:rsidRDefault="00646977">
      <w:pPr>
        <w:spacing w:after="80"/>
      </w:pPr>
    </w:p>
    <w:p w14:paraId="23CE2461" w14:textId="77777777" w:rsidR="00646977" w:rsidRDefault="00000000">
      <w:pPr>
        <w:pStyle w:val="Heading2"/>
      </w:pPr>
      <w:r>
        <w:t>4.2 Sub-Questions</w:t>
      </w:r>
    </w:p>
    <w:p w14:paraId="36565477" w14:textId="77777777" w:rsidR="00646977" w:rsidRDefault="00000000">
      <w:pPr>
        <w:pStyle w:val="ListParagraph"/>
        <w:numPr>
          <w:ilvl w:val="0"/>
          <w:numId w:val="3"/>
        </w:numPr>
        <w:spacing w:before="60" w:after="60"/>
      </w:pPr>
      <w:r>
        <w:t>What distinguishes the cybersecurity risk profile of modern OT environments from legacy OT, and what governance gaps does this create?</w:t>
      </w:r>
    </w:p>
    <w:p w14:paraId="28F31EB1" w14:textId="77777777" w:rsidR="00646977" w:rsidRDefault="00000000">
      <w:pPr>
        <w:pStyle w:val="ListParagraph"/>
        <w:numPr>
          <w:ilvl w:val="0"/>
          <w:numId w:val="3"/>
        </w:numPr>
        <w:spacing w:before="60" w:after="60"/>
      </w:pPr>
      <w:r>
        <w:t>How does the integration of emerging technologies at the IT/OT boundary, specifically AI analytics, 5G connectivity, and cloud-based systems, introduce or amplify cybersecurity risks to OT environments, even when architectural separation is maintained?</w:t>
      </w:r>
    </w:p>
    <w:p w14:paraId="11ED2E64" w14:textId="77777777" w:rsidR="00646977" w:rsidRDefault="00000000">
      <w:pPr>
        <w:pStyle w:val="ListParagraph"/>
        <w:numPr>
          <w:ilvl w:val="0"/>
          <w:numId w:val="3"/>
        </w:numPr>
        <w:spacing w:before="60" w:after="60"/>
      </w:pPr>
      <w:r>
        <w:t>What governance structures and policies are currently applied to OT cybersecurity, and where do they fall short in modern environments?</w:t>
      </w:r>
    </w:p>
    <w:p w14:paraId="53196DBF" w14:textId="77777777" w:rsidR="00646977" w:rsidRDefault="00000000">
      <w:pPr>
        <w:pStyle w:val="ListParagraph"/>
        <w:numPr>
          <w:ilvl w:val="0"/>
          <w:numId w:val="3"/>
        </w:numPr>
        <w:spacing w:before="60" w:after="60"/>
      </w:pPr>
      <w:r>
        <w:t>What framework can be proposed and validated to guide both organizational practice and national policy in securing modern OT environments?</w:t>
      </w:r>
    </w:p>
    <w:p w14:paraId="119413CD" w14:textId="77777777" w:rsidR="00646977" w:rsidRDefault="00646977">
      <w:pPr>
        <w:spacing w:after="80"/>
      </w:pPr>
    </w:p>
    <w:p w14:paraId="78C86A06" w14:textId="77777777" w:rsidR="00646977" w:rsidRDefault="00000000">
      <w:pPr>
        <w:pStyle w:val="Heading2"/>
      </w:pPr>
      <w:r>
        <w:t>4.3 Research Objectives</w:t>
      </w:r>
    </w:p>
    <w:p w14:paraId="3B985E1E" w14:textId="77777777" w:rsidR="00646977" w:rsidRDefault="00000000">
      <w:pPr>
        <w:pStyle w:val="ListParagraph"/>
        <w:numPr>
          <w:ilvl w:val="0"/>
          <w:numId w:val="2"/>
        </w:numPr>
        <w:spacing w:before="60" w:after="60"/>
      </w:pPr>
      <w:r>
        <w:t>To conduct a systematic literature review of OT cybersecurity governance, emerging technology integration risks, and IT/OT boundary security</w:t>
      </w:r>
    </w:p>
    <w:p w14:paraId="5F5F7B24" w14:textId="77777777" w:rsidR="00646977" w:rsidRDefault="00000000">
      <w:pPr>
        <w:pStyle w:val="ListParagraph"/>
        <w:numPr>
          <w:ilvl w:val="0"/>
          <w:numId w:val="2"/>
        </w:numPr>
        <w:spacing w:before="60" w:after="60"/>
      </w:pPr>
      <w:r>
        <w:t>To identify and characterize the specific cybersecurity risk profile of modern OT environments through a quantitative survey, expert interviews, and case analysis</w:t>
      </w:r>
    </w:p>
    <w:p w14:paraId="6D03F08A" w14:textId="77777777" w:rsidR="00646977" w:rsidRDefault="00000000">
      <w:pPr>
        <w:pStyle w:val="ListParagraph"/>
        <w:numPr>
          <w:ilvl w:val="0"/>
          <w:numId w:val="2"/>
        </w:numPr>
        <w:spacing w:before="60" w:after="60"/>
      </w:pPr>
      <w:r>
        <w:t>To analyze the adequacy of current governance frameworks, including IEC 62443 (International Society of Automation, 2018), NIST SP 800-82 (Stouffer et al., 2023), and NCA guidelines (NCA, 2021), against the needs of modern OT environments</w:t>
      </w:r>
    </w:p>
    <w:p w14:paraId="4B2FBD84" w14:textId="77777777" w:rsidR="00646977" w:rsidRDefault="00000000">
      <w:pPr>
        <w:pStyle w:val="ListParagraph"/>
        <w:numPr>
          <w:ilvl w:val="0"/>
          <w:numId w:val="2"/>
        </w:numPr>
        <w:spacing w:before="60" w:after="60"/>
      </w:pPr>
      <w:r>
        <w:t>To develop an original governance framework addressing the identified gaps, with recommendations applicable at both organizational and national policy levels</w:t>
      </w:r>
    </w:p>
    <w:p w14:paraId="018653A3" w14:textId="77777777" w:rsidR="00646977" w:rsidRDefault="00000000">
      <w:pPr>
        <w:pStyle w:val="ListParagraph"/>
        <w:numPr>
          <w:ilvl w:val="0"/>
          <w:numId w:val="2"/>
        </w:numPr>
        <w:spacing w:before="60" w:after="60"/>
      </w:pPr>
      <w:r>
        <w:t>To validate the proposed framework through a Delphi expert panel and empirical assessment</w:t>
      </w:r>
    </w:p>
    <w:p w14:paraId="19435029" w14:textId="77777777" w:rsidR="00646977" w:rsidRDefault="00646977">
      <w:pPr>
        <w:spacing w:after="80"/>
      </w:pPr>
    </w:p>
    <w:p w14:paraId="4666F45C" w14:textId="77777777" w:rsidR="00646977" w:rsidRDefault="00000000">
      <w:r>
        <w:br w:type="page"/>
      </w:r>
    </w:p>
    <w:p w14:paraId="76B94CFD" w14:textId="77777777" w:rsidR="00646977" w:rsidRDefault="00000000">
      <w:pPr>
        <w:pStyle w:val="Heading1"/>
      </w:pPr>
      <w:r>
        <w:lastRenderedPageBreak/>
        <w:t>5. Definitions of Key Terms</w:t>
      </w:r>
    </w:p>
    <w:p w14:paraId="3DCB8D15" w14:textId="77777777" w:rsidR="00646977" w:rsidRDefault="00646977">
      <w:pPr>
        <w:pBdr>
          <w:bottom w:val="single" w:sz="6" w:space="1" w:color="2E75B6"/>
        </w:pBdr>
        <w:spacing w:before="120" w:after="120"/>
      </w:pPr>
    </w:p>
    <w:p w14:paraId="44F02C2E" w14:textId="77777777" w:rsidR="00646977" w:rsidRDefault="00000000">
      <w:pPr>
        <w:spacing w:before="80" w:after="120"/>
        <w:jc w:val="both"/>
      </w:pPr>
      <w:r>
        <w:t xml:space="preserve">The following operational definitions are provided to ensure conceptual clarity and measurement consistency throughout the research. Each term is defined </w:t>
      </w:r>
      <w:proofErr w:type="gramStart"/>
      <w:r>
        <w:t>as it will be</w:t>
      </w:r>
      <w:proofErr w:type="gramEnd"/>
      <w:r>
        <w:t xml:space="preserve"> </w:t>
      </w:r>
      <w:proofErr w:type="spellStart"/>
      <w:r>
        <w:t>operationalised</w:t>
      </w:r>
      <w:proofErr w:type="spellEnd"/>
      <w:r>
        <w:t xml:space="preserve"> in the study instruments.</w:t>
      </w:r>
    </w:p>
    <w:p w14:paraId="4CDBBA79"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5B20B826"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48DA507" w14:textId="77777777" w:rsidR="00646977" w:rsidRDefault="00000000">
            <w:r>
              <w:rPr>
                <w:b/>
                <w:bCs/>
                <w:color w:val="FFFFFF"/>
                <w:sz w:val="21"/>
                <w:szCs w:val="21"/>
              </w:rPr>
              <w:t>Term</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6900B4B0" w14:textId="77777777" w:rsidR="00646977" w:rsidRDefault="00000000">
            <w:r>
              <w:rPr>
                <w:b/>
                <w:bCs/>
                <w:color w:val="FFFFFF"/>
                <w:sz w:val="21"/>
                <w:szCs w:val="21"/>
              </w:rPr>
              <w:t>Operational Definition</w:t>
            </w:r>
          </w:p>
        </w:tc>
      </w:tr>
      <w:tr w:rsidR="00646977" w14:paraId="01070FD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457F72" w14:textId="77777777" w:rsidR="00646977" w:rsidRDefault="00000000">
            <w:r>
              <w:rPr>
                <w:sz w:val="21"/>
                <w:szCs w:val="21"/>
              </w:rPr>
              <w:t>Operational Technology (OT)</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36F2A2" w14:textId="77777777" w:rsidR="00646977" w:rsidRDefault="00000000">
            <w:r>
              <w:rPr>
                <w:sz w:val="21"/>
                <w:szCs w:val="21"/>
              </w:rPr>
              <w:t>Hardware and software that monitors, controls, and manages physical industrial processes, including industrial control systems (ICS), SCADA systems, distributed control systems (DCS), and programmable logic controllers (PLC) (Stouffer et al., 2023)</w:t>
            </w:r>
          </w:p>
        </w:tc>
      </w:tr>
      <w:tr w:rsidR="00646977" w14:paraId="5B1F628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6F8510E" w14:textId="77777777" w:rsidR="00646977" w:rsidRDefault="00000000">
            <w:r>
              <w:rPr>
                <w:sz w:val="21"/>
                <w:szCs w:val="21"/>
              </w:rPr>
              <w:t>Information Technology (IT)</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F4A294D" w14:textId="77777777" w:rsidR="00646977" w:rsidRDefault="00000000">
            <w:r>
              <w:rPr>
                <w:sz w:val="21"/>
                <w:szCs w:val="21"/>
              </w:rPr>
              <w:t xml:space="preserve">Computing infrastructure, enterprise networks, and software systems used to process, store, and communicate </w:t>
            </w:r>
            <w:proofErr w:type="spellStart"/>
            <w:r>
              <w:rPr>
                <w:sz w:val="21"/>
                <w:szCs w:val="21"/>
              </w:rPr>
              <w:t>organisational</w:t>
            </w:r>
            <w:proofErr w:type="spellEnd"/>
            <w:r>
              <w:rPr>
                <w:sz w:val="21"/>
                <w:szCs w:val="21"/>
              </w:rPr>
              <w:t xml:space="preserve"> data, including enterprise resource planning (ERP), business intelligence platforms, and corporate network systems</w:t>
            </w:r>
          </w:p>
        </w:tc>
      </w:tr>
      <w:tr w:rsidR="00646977" w14:paraId="246B6427"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1488EC" w14:textId="77777777" w:rsidR="00646977" w:rsidRDefault="00000000">
            <w:r>
              <w:rPr>
                <w:sz w:val="21"/>
                <w:szCs w:val="21"/>
              </w:rPr>
              <w:t>Modern OT Environment</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4D5AD6F" w14:textId="77777777" w:rsidR="00646977" w:rsidRDefault="00000000">
            <w:r>
              <w:rPr>
                <w:sz w:val="21"/>
                <w:szCs w:val="21"/>
              </w:rPr>
              <w:t>An OT installation designed from inception with digital integration principles, incorporating cloud connectivity, AI-based monitoring, and/or 5G communication as core architectural components, as opposed to legacy OT systems designed for air-gapped operation (Dragos, 2024)</w:t>
            </w:r>
          </w:p>
        </w:tc>
      </w:tr>
      <w:tr w:rsidR="00646977" w14:paraId="240B5DFA"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6EDE410" w14:textId="77777777" w:rsidR="00646977" w:rsidRDefault="00000000">
            <w:r>
              <w:rPr>
                <w:sz w:val="21"/>
                <w:szCs w:val="21"/>
              </w:rPr>
              <w:t>IT/OT Boundary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F5326FC" w14:textId="77777777" w:rsidR="00646977" w:rsidRDefault="00000000">
            <w:r>
              <w:rPr>
                <w:sz w:val="21"/>
                <w:szCs w:val="21"/>
              </w:rPr>
              <w:t xml:space="preserve">The interface zone between IT and OT network layers, typically implemented through a </w:t>
            </w:r>
            <w:proofErr w:type="spellStart"/>
            <w:r>
              <w:rPr>
                <w:sz w:val="21"/>
                <w:szCs w:val="21"/>
              </w:rPr>
              <w:t>demilitarised</w:t>
            </w:r>
            <w:proofErr w:type="spellEnd"/>
            <w:r>
              <w:rPr>
                <w:sz w:val="21"/>
                <w:szCs w:val="21"/>
              </w:rPr>
              <w:t xml:space="preserve"> zone (DMZ), unidirectional gateways, or data diodes, through which data flows between enterprise and operational systems (Lee et al., 2016)</w:t>
            </w:r>
          </w:p>
        </w:tc>
      </w:tr>
      <w:tr w:rsidR="00646977" w14:paraId="4E88983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20FDC9" w14:textId="77777777" w:rsidR="00646977" w:rsidRDefault="00000000">
            <w:r>
              <w:rPr>
                <w:sz w:val="21"/>
                <w:szCs w:val="21"/>
              </w:rPr>
              <w:t>Emerging Technology Adoption Level</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B4EA2E" w14:textId="77777777" w:rsidR="00646977" w:rsidRDefault="00000000">
            <w:r>
              <w:rPr>
                <w:sz w:val="21"/>
                <w:szCs w:val="21"/>
              </w:rPr>
              <w:t>Independent variable. The degree to which AI analytics, 5G connectivity, and cloud-based systems have been integrated at or adjacent to the IT/OT boundary, measured on a low/medium/high scale (Boyes et al., 2018). This specifically captures integration at the boundary layer, which is where emerging technology risks to OT governance are most pronounced (Lee et al., 2016)</w:t>
            </w:r>
          </w:p>
        </w:tc>
      </w:tr>
      <w:tr w:rsidR="00646977" w14:paraId="171D9945"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9453878" w14:textId="77777777" w:rsidR="00646977" w:rsidRDefault="00000000">
            <w:r>
              <w:rPr>
                <w:sz w:val="21"/>
                <w:szCs w:val="21"/>
              </w:rPr>
              <w:t>Operational Complexity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F944B68" w14:textId="77777777" w:rsidR="00646977" w:rsidRDefault="00000000">
            <w:r>
              <w:rPr>
                <w:sz w:val="21"/>
                <w:szCs w:val="21"/>
              </w:rPr>
              <w:t xml:space="preserve">Mediating variable. The degree of interdependency, integration burden, and coordination requirements introduced by the convergence of IT and OT systems and the </w:t>
            </w:r>
            <w:r>
              <w:rPr>
                <w:sz w:val="21"/>
                <w:szCs w:val="21"/>
              </w:rPr>
              <w:lastRenderedPageBreak/>
              <w:t>adoption of emerging technologies (Baron &amp; Kenny, 1986)</w:t>
            </w:r>
          </w:p>
        </w:tc>
      </w:tr>
      <w:tr w:rsidR="00646977" w14:paraId="2F4592E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8DA04A" w14:textId="77777777" w:rsidR="00646977" w:rsidRDefault="00000000">
            <w:r>
              <w:rPr>
                <w:sz w:val="21"/>
                <w:szCs w:val="21"/>
              </w:rPr>
              <w:lastRenderedPageBreak/>
              <w:t>Cybersecurity Governance Effectiveness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4B27E1" w14:textId="77777777" w:rsidR="00646977" w:rsidRDefault="00000000">
            <w:r>
              <w:rPr>
                <w:sz w:val="21"/>
                <w:szCs w:val="21"/>
              </w:rPr>
              <w:t xml:space="preserve">Primary dependent variable. The degree to which an </w:t>
            </w:r>
            <w:proofErr w:type="spellStart"/>
            <w:r>
              <w:rPr>
                <w:sz w:val="21"/>
                <w:szCs w:val="21"/>
              </w:rPr>
              <w:t>organisation's</w:t>
            </w:r>
            <w:proofErr w:type="spellEnd"/>
            <w:r>
              <w:rPr>
                <w:sz w:val="21"/>
                <w:szCs w:val="21"/>
              </w:rPr>
              <w:t xml:space="preserve"> security governance structures, policies, and processes successfully </w:t>
            </w:r>
            <w:proofErr w:type="gramStart"/>
            <w:r>
              <w:rPr>
                <w:sz w:val="21"/>
                <w:szCs w:val="21"/>
              </w:rPr>
              <w:t>manage</w:t>
            </w:r>
            <w:proofErr w:type="gramEnd"/>
            <w:r>
              <w:rPr>
                <w:sz w:val="21"/>
                <w:szCs w:val="21"/>
              </w:rPr>
              <w:t xml:space="preserve"> OT cybersecurity risks, measured through incident response speed, compliance rate, and risk maturity level (Paulk et al., 1993)</w:t>
            </w:r>
          </w:p>
        </w:tc>
      </w:tr>
      <w:tr w:rsidR="00646977" w14:paraId="721B59C0"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B221358" w14:textId="77777777" w:rsidR="00646977" w:rsidRDefault="00000000">
            <w:r>
              <w:rPr>
                <w:sz w:val="21"/>
                <w:szCs w:val="21"/>
              </w:rPr>
              <w:t>Framework Adequacy Score</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54CE5DF" w14:textId="77777777" w:rsidR="00646977" w:rsidRDefault="00000000">
            <w:r>
              <w:rPr>
                <w:sz w:val="21"/>
                <w:szCs w:val="21"/>
              </w:rPr>
              <w:t>Secondary dependent variable. The degree to which existing OT security standards, including IEC 62443 and NIST SP 800-82, are perceived to adequately address governance needs in the respondent's modern OT environment</w:t>
            </w:r>
          </w:p>
        </w:tc>
      </w:tr>
      <w:tr w:rsidR="00646977" w14:paraId="0AB03CB2"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4F0E5E" w14:textId="77777777" w:rsidR="00646977" w:rsidRDefault="00000000">
            <w:r>
              <w:rPr>
                <w:sz w:val="21"/>
                <w:szCs w:val="21"/>
              </w:rPr>
              <w:t>Governance Framework</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E6EA1D" w14:textId="77777777" w:rsidR="00646977" w:rsidRDefault="00000000">
            <w:r>
              <w:rPr>
                <w:sz w:val="21"/>
                <w:szCs w:val="21"/>
              </w:rPr>
              <w:t xml:space="preserve">A structured set of policies, roles, responsibilities, processes, and controls that guide an </w:t>
            </w:r>
            <w:proofErr w:type="spellStart"/>
            <w:r>
              <w:rPr>
                <w:sz w:val="21"/>
                <w:szCs w:val="21"/>
              </w:rPr>
              <w:t>organisation's</w:t>
            </w:r>
            <w:proofErr w:type="spellEnd"/>
            <w:r>
              <w:rPr>
                <w:sz w:val="21"/>
                <w:szCs w:val="21"/>
              </w:rPr>
              <w:t xml:space="preserve"> approach to managing cybersecurity risk in OT environments (ENISA, 2022)</w:t>
            </w:r>
          </w:p>
        </w:tc>
      </w:tr>
    </w:tbl>
    <w:p w14:paraId="26152A32" w14:textId="77777777" w:rsidR="00646977" w:rsidRDefault="00646977">
      <w:pPr>
        <w:spacing w:after="80"/>
      </w:pPr>
    </w:p>
    <w:p w14:paraId="1500761E" w14:textId="77777777" w:rsidR="00646977" w:rsidRDefault="00000000">
      <w:r>
        <w:br w:type="page"/>
      </w:r>
    </w:p>
    <w:p w14:paraId="4DC007FB" w14:textId="77777777" w:rsidR="00646977" w:rsidRDefault="00000000">
      <w:pPr>
        <w:pStyle w:val="Heading1"/>
      </w:pPr>
      <w:r>
        <w:lastRenderedPageBreak/>
        <w:t>6. Research Scope</w:t>
      </w:r>
    </w:p>
    <w:p w14:paraId="5AFF1308" w14:textId="77777777" w:rsidR="00646977" w:rsidRDefault="00646977">
      <w:pPr>
        <w:pBdr>
          <w:bottom w:val="single" w:sz="6" w:space="1" w:color="2E75B6"/>
        </w:pBdr>
        <w:spacing w:before="120" w:after="120"/>
      </w:pPr>
    </w:p>
    <w:p w14:paraId="0689F480" w14:textId="77777777" w:rsidR="00646977" w:rsidRDefault="00000000">
      <w:pPr>
        <w:pStyle w:val="Heading2"/>
      </w:pPr>
      <w:r>
        <w:t>6.1 Geographic Scope</w:t>
      </w:r>
    </w:p>
    <w:p w14:paraId="757576C3" w14:textId="77777777" w:rsidR="00646977" w:rsidRDefault="00000000">
      <w:pPr>
        <w:spacing w:before="80" w:after="120"/>
        <w:jc w:val="both"/>
      </w:pPr>
      <w:r>
        <w:t>The primary geographic focus of this research is Saudi Arabia, reflecting both the researcher's professional context and the national strategic significance of OT cybersecurity governance within Vision 2030 infrastructure programs (Vision 2030, 2016). Saudi Arabia represents a uniquely relevant setting: it is simultaneously home to the world's largest energy OT installations (Aramco, SABIC) and a rapidly growing portfolio of modern, digitally integrated OT environments in emerging sectors including green hydrogen, smart cities, and renewable energy.</w:t>
      </w:r>
    </w:p>
    <w:p w14:paraId="365A13BF" w14:textId="77777777" w:rsidR="00646977" w:rsidRDefault="00000000">
      <w:pPr>
        <w:spacing w:before="80" w:after="120"/>
        <w:jc w:val="both"/>
      </w:pPr>
      <w:r>
        <w:t>The quantitative survey will extend beyond Saudi Arabia to include GCC countries and international OT security professionals, ensuring findings are generalizable beyond a single national context (Creswell &amp; Creswell, 2018). Expert interviews will similarly draw from both Saudi/GCC practitioners and international OT security specialists to provide comparative perspective.</w:t>
      </w:r>
    </w:p>
    <w:p w14:paraId="38B4586F" w14:textId="77777777" w:rsidR="00646977" w:rsidRDefault="00000000">
      <w:pPr>
        <w:pStyle w:val="Heading2"/>
      </w:pPr>
      <w:r>
        <w:t>6.2 Time Scope</w:t>
      </w:r>
    </w:p>
    <w:p w14:paraId="79B17030" w14:textId="77777777" w:rsidR="00646977" w:rsidRDefault="00000000">
      <w:pPr>
        <w:spacing w:before="80" w:after="120"/>
        <w:jc w:val="both"/>
      </w:pPr>
      <w:r>
        <w:t xml:space="preserve">The research focuses on the current state of OT cybersecurity governance as of 2025 onward. This temporal boundary is deliberate: the convergence of IT and OT, and the integration of AI, 5G, and cloud into OT environments, has accelerated markedly since 2020 (Dragos, 2024; </w:t>
      </w:r>
      <w:proofErr w:type="spellStart"/>
      <w:r>
        <w:t>Claroty</w:t>
      </w:r>
      <w:proofErr w:type="spellEnd"/>
      <w:r>
        <w:t>, 2024). Research prior to this period may not reflect the current threat landscape or architectural realities of modern OT environments.</w:t>
      </w:r>
    </w:p>
    <w:p w14:paraId="2729E7C9" w14:textId="77777777" w:rsidR="00646977" w:rsidRDefault="00000000">
      <w:pPr>
        <w:spacing w:before="80" w:after="120"/>
        <w:jc w:val="both"/>
      </w:pPr>
      <w:r>
        <w:t>The study period for data collection spans 2025-2026, with the governance framework reflecting best practice as defined at the time of research. The framework will be designed with adaptability principles to remain relevant as the technology landscape evolves.</w:t>
      </w:r>
    </w:p>
    <w:p w14:paraId="0DADD7B9" w14:textId="77777777" w:rsidR="00646977" w:rsidRDefault="00000000">
      <w:pPr>
        <w:pStyle w:val="Heading2"/>
      </w:pPr>
      <w:r>
        <w:t>6.3 Target Groups and Audience</w:t>
      </w:r>
    </w:p>
    <w:p w14:paraId="6139958B" w14:textId="77777777" w:rsidR="00646977" w:rsidRDefault="00000000">
      <w:pPr>
        <w:spacing w:before="80" w:after="120"/>
        <w:jc w:val="both"/>
      </w:pPr>
      <w:r>
        <w:t>This research engages three distinct target groups across its data collection and impact dimensions:</w:t>
      </w:r>
    </w:p>
    <w:p w14:paraId="792ADE51"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2584E0A7"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7C9FCE0C" w14:textId="77777777" w:rsidR="00646977" w:rsidRDefault="00000000">
            <w:r>
              <w:rPr>
                <w:b/>
                <w:bCs/>
                <w:color w:val="FFFFFF"/>
                <w:sz w:val="21"/>
                <w:szCs w:val="21"/>
              </w:rPr>
              <w:t>Group</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9B08FAF" w14:textId="77777777" w:rsidR="00646977" w:rsidRDefault="00000000">
            <w:r>
              <w:rPr>
                <w:b/>
                <w:bCs/>
                <w:color w:val="FFFFFF"/>
                <w:sz w:val="21"/>
                <w:szCs w:val="21"/>
              </w:rPr>
              <w:t>Description</w:t>
            </w:r>
          </w:p>
        </w:tc>
      </w:tr>
      <w:tr w:rsidR="00646977" w14:paraId="41E9458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AB235B" w14:textId="77777777" w:rsidR="00646977" w:rsidRDefault="00000000">
            <w:r>
              <w:rPr>
                <w:sz w:val="21"/>
                <w:szCs w:val="21"/>
              </w:rPr>
              <w:t>Primary Research Participants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785F35" w14:textId="77777777" w:rsidR="00646977" w:rsidRDefault="00000000">
            <w:r>
              <w:rPr>
                <w:sz w:val="21"/>
                <w:szCs w:val="21"/>
              </w:rPr>
              <w:t xml:space="preserve">OT security professionals including CISOs, OT Security Managers, ICS/SCADA engineers, and IT/OT governance leads across energy, utilities, manufacturing, and critical infrastructure sectors. Expert interview participants must have a minimum of 10 years of OT security experience or hold internationally </w:t>
            </w:r>
            <w:proofErr w:type="spellStart"/>
            <w:r>
              <w:rPr>
                <w:sz w:val="21"/>
                <w:szCs w:val="21"/>
              </w:rPr>
              <w:t>recognised</w:t>
            </w:r>
            <w:proofErr w:type="spellEnd"/>
            <w:r>
              <w:rPr>
                <w:sz w:val="21"/>
                <w:szCs w:val="21"/>
              </w:rPr>
              <w:t xml:space="preserve"> certifications such as GICSP, CISSP, or IEC 62443 Cybersecurity Expert</w:t>
            </w:r>
          </w:p>
        </w:tc>
      </w:tr>
      <w:tr w:rsidR="00646977" w14:paraId="6A8ACAF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D1E0F23" w14:textId="77777777" w:rsidR="00646977" w:rsidRDefault="00000000">
            <w:r>
              <w:rPr>
                <w:sz w:val="21"/>
                <w:szCs w:val="21"/>
              </w:rPr>
              <w:t>Secondary Research Participants</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5376E2E" w14:textId="77777777" w:rsidR="00646977" w:rsidRDefault="00000000">
            <w:r>
              <w:rPr>
                <w:sz w:val="21"/>
                <w:szCs w:val="21"/>
              </w:rPr>
              <w:t>National cybersecurity authority representatives, policymakers, and regulatory bodies with responsibility for OT security standards (NCA Saudi Arabia and equivalents)</w:t>
            </w:r>
          </w:p>
        </w:tc>
      </w:tr>
      <w:tr w:rsidR="00646977" w14:paraId="6AD66AC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98D060" w14:textId="77777777" w:rsidR="00646977" w:rsidRDefault="00000000">
            <w:r>
              <w:rPr>
                <w:sz w:val="21"/>
                <w:szCs w:val="21"/>
              </w:rPr>
              <w:lastRenderedPageBreak/>
              <w:t>Intended Beneficiaries: Practice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7ED5A2" w14:textId="77777777" w:rsidR="00646977" w:rsidRDefault="00000000">
            <w:r>
              <w:rPr>
                <w:sz w:val="21"/>
                <w:szCs w:val="21"/>
              </w:rPr>
              <w:t xml:space="preserve">Organizations operating or designing modern OT </w:t>
            </w:r>
            <w:proofErr w:type="gramStart"/>
            <w:r>
              <w:rPr>
                <w:sz w:val="21"/>
                <w:szCs w:val="21"/>
              </w:rPr>
              <w:t>environments who</w:t>
            </w:r>
            <w:proofErr w:type="gramEnd"/>
            <w:r>
              <w:rPr>
                <w:sz w:val="21"/>
                <w:szCs w:val="21"/>
              </w:rPr>
              <w:t xml:space="preserve"> require a practical, validated governance framework for IT/OT security integration</w:t>
            </w:r>
          </w:p>
        </w:tc>
      </w:tr>
      <w:tr w:rsidR="00646977" w14:paraId="415B2E0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ECA9C8C" w14:textId="77777777" w:rsidR="00646977" w:rsidRDefault="00000000">
            <w:r>
              <w:rPr>
                <w:sz w:val="21"/>
                <w:szCs w:val="21"/>
              </w:rPr>
              <w:t>Intended Beneficiaries: Policy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DE47B4D" w14:textId="77777777" w:rsidR="00646977" w:rsidRDefault="00000000">
            <w:r>
              <w:rPr>
                <w:sz w:val="21"/>
                <w:szCs w:val="21"/>
              </w:rPr>
              <w:t xml:space="preserve">National cybersecurity authorities developing OT security regulations, particularly in rapidly </w:t>
            </w:r>
            <w:proofErr w:type="spellStart"/>
            <w:r>
              <w:rPr>
                <w:sz w:val="21"/>
                <w:szCs w:val="21"/>
              </w:rPr>
              <w:t>industrialising</w:t>
            </w:r>
            <w:proofErr w:type="spellEnd"/>
            <w:r>
              <w:rPr>
                <w:sz w:val="21"/>
                <w:szCs w:val="21"/>
              </w:rPr>
              <w:t xml:space="preserve"> economies with modern OT infrastructure</w:t>
            </w:r>
          </w:p>
        </w:tc>
      </w:tr>
      <w:tr w:rsidR="00646977" w14:paraId="0ED9A70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00F870" w14:textId="77777777" w:rsidR="00646977" w:rsidRDefault="00000000">
            <w:r>
              <w:rPr>
                <w:sz w:val="21"/>
                <w:szCs w:val="21"/>
              </w:rPr>
              <w:t>Academic Audience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47C83D" w14:textId="77777777" w:rsidR="00646977" w:rsidRDefault="00000000">
            <w:r>
              <w:rPr>
                <w:sz w:val="21"/>
                <w:szCs w:val="21"/>
              </w:rPr>
              <w:t>Researchers in ICS/OT security, cybersecurity governance, critical infrastructure protection, and industrial IoT, contributing to a nascent but growing body of literature (Knowles et al., 2015)</w:t>
            </w:r>
          </w:p>
        </w:tc>
      </w:tr>
    </w:tbl>
    <w:p w14:paraId="4EEA5DDC" w14:textId="77777777" w:rsidR="00646977" w:rsidRDefault="00646977">
      <w:pPr>
        <w:spacing w:after="80"/>
      </w:pPr>
    </w:p>
    <w:p w14:paraId="101FAD59" w14:textId="77777777" w:rsidR="00646977" w:rsidRDefault="00000000">
      <w:r>
        <w:br w:type="page"/>
      </w:r>
    </w:p>
    <w:p w14:paraId="2A49DC71" w14:textId="77777777" w:rsidR="00646977" w:rsidRDefault="00000000">
      <w:pPr>
        <w:pStyle w:val="Heading1"/>
      </w:pPr>
      <w:r>
        <w:lastRenderedPageBreak/>
        <w:t>7. Literature Review Strategy</w:t>
      </w:r>
    </w:p>
    <w:p w14:paraId="6E9A9BDC" w14:textId="77777777" w:rsidR="00646977" w:rsidRDefault="00646977">
      <w:pPr>
        <w:pBdr>
          <w:bottom w:val="single" w:sz="6" w:space="1" w:color="2E75B6"/>
        </w:pBdr>
        <w:spacing w:before="120" w:after="120"/>
      </w:pPr>
    </w:p>
    <w:p w14:paraId="3C5A4BB2" w14:textId="77777777" w:rsidR="00646977" w:rsidRDefault="00000000">
      <w:pPr>
        <w:spacing w:before="80" w:after="120"/>
        <w:jc w:val="both"/>
      </w:pPr>
      <w:r>
        <w:t>The literature review will be conducted systematically across four thematic clusters, each corresponding to a dimension of the research problem, following PRISMA guidelines (Page et al., 2021). Given the novelty of modern OT environments as a research context, the review will deliberately draw from adjacent fields where direct literature is sparse.</w:t>
      </w:r>
    </w:p>
    <w:p w14:paraId="6F16C068" w14:textId="77777777" w:rsidR="00646977" w:rsidRDefault="00000000">
      <w:pPr>
        <w:pStyle w:val="Heading2"/>
      </w:pPr>
      <w:r>
        <w:t>7.1 Thematic Clusters</w:t>
      </w:r>
    </w:p>
    <w:p w14:paraId="56E04054"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1DD612D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7410BBBE" w14:textId="77777777" w:rsidR="00646977" w:rsidRDefault="00000000">
            <w:r>
              <w:rPr>
                <w:b/>
                <w:bCs/>
                <w:color w:val="FFFFFF"/>
                <w:sz w:val="21"/>
                <w:szCs w:val="21"/>
              </w:rPr>
              <w:t>Thematic Cluster</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0FF5113" w14:textId="77777777" w:rsidR="00646977" w:rsidRDefault="00000000">
            <w:r>
              <w:rPr>
                <w:b/>
                <w:bCs/>
                <w:color w:val="FFFFFF"/>
                <w:sz w:val="21"/>
                <w:szCs w:val="21"/>
              </w:rPr>
              <w:t>Key Topics and Sources</w:t>
            </w:r>
          </w:p>
        </w:tc>
      </w:tr>
      <w:tr w:rsidR="00646977" w14:paraId="0E7C6770"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9E23F1" w14:textId="77777777" w:rsidR="00646977" w:rsidRDefault="00000000">
            <w:r>
              <w:rPr>
                <w:sz w:val="21"/>
                <w:szCs w:val="21"/>
              </w:rPr>
              <w:t>OT Cybersecurity Fundamentals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D599DD" w14:textId="77777777" w:rsidR="00646977" w:rsidRDefault="00000000">
            <w:r>
              <w:rPr>
                <w:sz w:val="21"/>
                <w:szCs w:val="21"/>
              </w:rPr>
              <w:t>IEC 62443 (International Society of Automation, 2018); NIST SP 800-82 (Stouffer et al., 2023); NERC CIP (NERC, 2020); Purdue Model (Williams, 1994); zone/conduit architecture; legacy vs. modern OT security (</w:t>
            </w:r>
            <w:proofErr w:type="spellStart"/>
            <w:r>
              <w:rPr>
                <w:sz w:val="21"/>
                <w:szCs w:val="21"/>
              </w:rPr>
              <w:t>Cheminod</w:t>
            </w:r>
            <w:proofErr w:type="spellEnd"/>
            <w:r>
              <w:rPr>
                <w:sz w:val="21"/>
                <w:szCs w:val="21"/>
              </w:rPr>
              <w:t xml:space="preserve"> et al., 2013)</w:t>
            </w:r>
          </w:p>
        </w:tc>
      </w:tr>
      <w:tr w:rsidR="00646977" w14:paraId="434B673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598F759" w14:textId="77777777" w:rsidR="00646977" w:rsidRDefault="00000000">
            <w:r>
              <w:rPr>
                <w:sz w:val="21"/>
                <w:szCs w:val="21"/>
              </w:rPr>
              <w:t>IT/OT Convergence and Boundary Security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855EBFE" w14:textId="77777777" w:rsidR="00646977" w:rsidRDefault="00000000">
            <w:r>
              <w:rPr>
                <w:sz w:val="21"/>
                <w:szCs w:val="21"/>
              </w:rPr>
              <w:t>IT/OT integration architectures, DMZ models, lateral movement risks, convergence governance, industrial network segmentation (Lee et al., 2016; Dragos, 2024)</w:t>
            </w:r>
          </w:p>
        </w:tc>
      </w:tr>
      <w:tr w:rsidR="00646977" w14:paraId="448142AE"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C43B38" w14:textId="77777777" w:rsidR="00646977" w:rsidRDefault="00000000">
            <w:r>
              <w:rPr>
                <w:sz w:val="21"/>
                <w:szCs w:val="21"/>
              </w:rPr>
              <w:t>Emerging Technologies in OT</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20A5B2" w14:textId="77777777" w:rsidR="00646977" w:rsidRDefault="00000000">
            <w:r>
              <w:rPr>
                <w:sz w:val="21"/>
                <w:szCs w:val="21"/>
              </w:rPr>
              <w:t xml:space="preserve">AI/ML in industrial control systems, 5G in OT environments, cloud SCADA, digital twins, attack surface expansion (Boyes et al., 2018; </w:t>
            </w:r>
            <w:proofErr w:type="spellStart"/>
            <w:r>
              <w:rPr>
                <w:sz w:val="21"/>
                <w:szCs w:val="21"/>
              </w:rPr>
              <w:t>Claroty</w:t>
            </w:r>
            <w:proofErr w:type="spellEnd"/>
            <w:r>
              <w:rPr>
                <w:sz w:val="21"/>
                <w:szCs w:val="21"/>
              </w:rPr>
              <w:t>, 2024)</w:t>
            </w:r>
          </w:p>
        </w:tc>
      </w:tr>
      <w:tr w:rsidR="00646977" w14:paraId="483B7A2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DE7DCB6" w14:textId="77777777" w:rsidR="00646977" w:rsidRDefault="00000000">
            <w:r>
              <w:rPr>
                <w:sz w:val="21"/>
                <w:szCs w:val="21"/>
              </w:rPr>
              <w:t>OT Cybersecurity Governance and Policy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30B013E" w14:textId="77777777" w:rsidR="00646977" w:rsidRDefault="00000000">
            <w:r>
              <w:rPr>
                <w:sz w:val="21"/>
                <w:szCs w:val="21"/>
              </w:rPr>
              <w:t>CISO role in OT, governance models, national OT security policies, NCA frameworks (NCA, 2021), critical infrastructure protection policy (ENISA, 2022)</w:t>
            </w:r>
          </w:p>
        </w:tc>
      </w:tr>
    </w:tbl>
    <w:p w14:paraId="2CCAAAE0" w14:textId="77777777" w:rsidR="00646977" w:rsidRDefault="00646977">
      <w:pPr>
        <w:spacing w:after="80"/>
      </w:pPr>
    </w:p>
    <w:p w14:paraId="760A1263" w14:textId="77777777" w:rsidR="00646977" w:rsidRDefault="00000000">
      <w:pPr>
        <w:pStyle w:val="Heading2"/>
      </w:pPr>
      <w:r>
        <w:t>7.2 Identified Research Gaps</w:t>
      </w:r>
    </w:p>
    <w:p w14:paraId="7B7056F3" w14:textId="77777777" w:rsidR="00646977" w:rsidRDefault="00000000">
      <w:pPr>
        <w:spacing w:before="80" w:after="120"/>
        <w:jc w:val="both"/>
      </w:pPr>
      <w:r>
        <w:t>Preliminary scoping confirms the following gaps in existing literature that this research will address:</w:t>
      </w:r>
    </w:p>
    <w:p w14:paraId="1FC49334" w14:textId="77777777" w:rsidR="00646977" w:rsidRDefault="00000000">
      <w:pPr>
        <w:pStyle w:val="ListParagraph"/>
        <w:numPr>
          <w:ilvl w:val="0"/>
          <w:numId w:val="2"/>
        </w:numPr>
        <w:spacing w:before="60" w:after="60"/>
      </w:pPr>
      <w:r>
        <w:t>No peer-reviewed framework specifically addresses cybersecurity governance in modern (non-legacy) OT environments (Knowles et al., 2015; ENISA, 2022)</w:t>
      </w:r>
    </w:p>
    <w:p w14:paraId="534FED28" w14:textId="77777777" w:rsidR="00646977" w:rsidRDefault="00000000">
      <w:pPr>
        <w:pStyle w:val="ListParagraph"/>
        <w:numPr>
          <w:ilvl w:val="0"/>
          <w:numId w:val="2"/>
        </w:numPr>
        <w:spacing w:before="60" w:after="60"/>
      </w:pPr>
      <w:r>
        <w:t>Limited empirical research on cybersecurity risks introduced at the IT/OT boundary through AI, 5G, and cloud integration, as distinct from direct OT network compromise (Boyes et al., 2018)</w:t>
      </w:r>
    </w:p>
    <w:p w14:paraId="3C4A0B5F" w14:textId="77777777" w:rsidR="00646977" w:rsidRDefault="00000000">
      <w:pPr>
        <w:pStyle w:val="ListParagraph"/>
        <w:numPr>
          <w:ilvl w:val="0"/>
          <w:numId w:val="2"/>
        </w:numPr>
        <w:spacing w:before="60" w:after="60"/>
      </w:pPr>
      <w:r>
        <w:t>Governance models for integrated CISO responsibility over both IT and OT remain largely practitioner-driven with limited academic validation (Dragos, 2024)</w:t>
      </w:r>
    </w:p>
    <w:p w14:paraId="7FA30E4E" w14:textId="77777777" w:rsidR="00646977" w:rsidRDefault="00000000">
      <w:pPr>
        <w:pStyle w:val="ListParagraph"/>
        <w:numPr>
          <w:ilvl w:val="0"/>
          <w:numId w:val="2"/>
        </w:numPr>
        <w:spacing w:before="60" w:after="60"/>
      </w:pPr>
      <w:r>
        <w:t>Saudi Arabia and GCC-specific OT cybersecurity governance literature remains limited. While studies exist on NCA-ECC compliance (</w:t>
      </w:r>
      <w:proofErr w:type="spellStart"/>
      <w:r>
        <w:t>Alsahafi</w:t>
      </w:r>
      <w:proofErr w:type="spellEnd"/>
      <w:r>
        <w:t xml:space="preserve"> et al., 2022) and cross-national cybersecurity governance (</w:t>
      </w:r>
      <w:proofErr w:type="spellStart"/>
      <w:r>
        <w:t>Rawindaran</w:t>
      </w:r>
      <w:proofErr w:type="spellEnd"/>
      <w:r>
        <w:t xml:space="preserve"> et al., 2023), OT-specific governance in modern Saudi environments remains largely unstudied.</w:t>
      </w:r>
    </w:p>
    <w:p w14:paraId="2D68BB86" w14:textId="77777777" w:rsidR="00646977" w:rsidRDefault="00000000">
      <w:pPr>
        <w:pStyle w:val="Heading2"/>
      </w:pPr>
      <w:r>
        <w:lastRenderedPageBreak/>
        <w:t>7.3 Key Databases and Sources</w:t>
      </w:r>
    </w:p>
    <w:p w14:paraId="25EEE0D1" w14:textId="77777777" w:rsidR="00646977" w:rsidRDefault="00000000">
      <w:pPr>
        <w:pStyle w:val="ListParagraph"/>
        <w:numPr>
          <w:ilvl w:val="0"/>
          <w:numId w:val="2"/>
        </w:numPr>
        <w:spacing w:before="60" w:after="60"/>
      </w:pPr>
      <w:r>
        <w:t>Academic: IEEE Xplore, ACM Digital Library, ScienceDirect, Scopus, Google Scholar</w:t>
      </w:r>
    </w:p>
    <w:p w14:paraId="5833834C" w14:textId="77777777" w:rsidR="00646977" w:rsidRDefault="00000000">
      <w:pPr>
        <w:pStyle w:val="ListParagraph"/>
        <w:numPr>
          <w:ilvl w:val="0"/>
          <w:numId w:val="2"/>
        </w:numPr>
        <w:spacing w:before="60" w:after="60"/>
      </w:pPr>
      <w:r>
        <w:t>Standards bodies: ISA/IEC, NIST, ENISA, NCA Saudi Arabia</w:t>
      </w:r>
    </w:p>
    <w:p w14:paraId="4B40DE7D" w14:textId="77777777" w:rsidR="00646977" w:rsidRDefault="00000000">
      <w:pPr>
        <w:pStyle w:val="ListParagraph"/>
        <w:numPr>
          <w:ilvl w:val="0"/>
          <w:numId w:val="2"/>
        </w:numPr>
        <w:spacing w:before="60" w:after="60"/>
      </w:pPr>
      <w:r>
        <w:t xml:space="preserve">Industry reports: Gartner, Dragos (2024), </w:t>
      </w:r>
      <w:proofErr w:type="spellStart"/>
      <w:r>
        <w:t>Claroty</w:t>
      </w:r>
      <w:proofErr w:type="spellEnd"/>
      <w:r>
        <w:t xml:space="preserve"> (2024), Fortinet OT security reports</w:t>
      </w:r>
    </w:p>
    <w:p w14:paraId="12A4401F" w14:textId="77777777" w:rsidR="00646977" w:rsidRDefault="00000000">
      <w:pPr>
        <w:pStyle w:val="ListParagraph"/>
        <w:numPr>
          <w:ilvl w:val="0"/>
          <w:numId w:val="2"/>
        </w:numPr>
        <w:spacing w:before="60" w:after="60"/>
      </w:pPr>
      <w:r>
        <w:t>Policy sources: NCA National Cybersecurity Strategy (NCA, 2021), Saudi Vision 2030 digital infrastructure documents (Vision 2030, 2016)</w:t>
      </w:r>
    </w:p>
    <w:p w14:paraId="423CAF84" w14:textId="77777777" w:rsidR="00646977" w:rsidRDefault="00646977">
      <w:pPr>
        <w:spacing w:after="80"/>
      </w:pPr>
    </w:p>
    <w:p w14:paraId="2D263505" w14:textId="77777777" w:rsidR="00646977" w:rsidRDefault="00000000">
      <w:r>
        <w:br w:type="page"/>
      </w:r>
    </w:p>
    <w:p w14:paraId="2DCCC108" w14:textId="77777777" w:rsidR="00646977" w:rsidRDefault="00000000">
      <w:pPr>
        <w:pStyle w:val="Heading1"/>
      </w:pPr>
      <w:r>
        <w:lastRenderedPageBreak/>
        <w:t>8. Research Variables</w:t>
      </w:r>
    </w:p>
    <w:p w14:paraId="23161CEF" w14:textId="77777777" w:rsidR="00646977" w:rsidRDefault="00646977">
      <w:pPr>
        <w:pBdr>
          <w:bottom w:val="single" w:sz="6" w:space="1" w:color="2E75B6"/>
        </w:pBdr>
        <w:spacing w:before="120" w:after="120"/>
      </w:pPr>
    </w:p>
    <w:p w14:paraId="2260CC2D" w14:textId="77777777" w:rsidR="00646977" w:rsidRDefault="00000000">
      <w:pPr>
        <w:spacing w:before="80" w:after="120"/>
        <w:jc w:val="both"/>
      </w:pPr>
      <w:r>
        <w:t xml:space="preserve">Given the mixed-methods design, which incorporates a quantitative survey component, this research operates with a deliberately streamlined variable model (Creswell &amp; Creswell, 2018). With a target sample of 50 to 100 respondents, parsimony is essential for statistical power and model integrity (Field, 2018). The model consists of two independent variables, one mediating variable, and two dependent variables. CISO mandate scope, national regulatory context, sector, and </w:t>
      </w:r>
      <w:proofErr w:type="spellStart"/>
      <w:r>
        <w:t>organisational</w:t>
      </w:r>
      <w:proofErr w:type="spellEnd"/>
      <w:r>
        <w:t xml:space="preserve"> size are retained as contextual variables, collected descriptively and explored qualitatively through expert interviews rather than tested statistically.</w:t>
      </w:r>
    </w:p>
    <w:p w14:paraId="76859B88" w14:textId="77777777" w:rsidR="00646977" w:rsidRDefault="00000000">
      <w:pPr>
        <w:pStyle w:val="Heading2"/>
      </w:pPr>
      <w:r>
        <w:t>8.1 Independent Variables</w:t>
      </w:r>
    </w:p>
    <w:p w14:paraId="7EACB1A7" w14:textId="77777777" w:rsidR="00646977" w:rsidRDefault="00000000">
      <w:pPr>
        <w:spacing w:before="80" w:after="120"/>
        <w:jc w:val="both"/>
      </w:pPr>
      <w:r>
        <w:t>Two independent variables form the core drivers of the research model (Field, 2018):</w:t>
      </w:r>
    </w:p>
    <w:p w14:paraId="4228609C"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563DC35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20F0DC6" w14:textId="77777777" w:rsidR="00646977" w:rsidRDefault="00000000">
            <w:r>
              <w:rPr>
                <w:b/>
                <w:bCs/>
                <w:color w:val="FFFFFF"/>
                <w:sz w:val="21"/>
                <w:szCs w:val="21"/>
              </w:rPr>
              <w:t>Independent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6903B3F" w14:textId="77777777" w:rsidR="00646977" w:rsidRDefault="00000000">
            <w:r>
              <w:rPr>
                <w:b/>
                <w:bCs/>
                <w:color w:val="FFFFFF"/>
                <w:sz w:val="21"/>
                <w:szCs w:val="21"/>
              </w:rPr>
              <w:t>Definition</w:t>
            </w:r>
          </w:p>
        </w:tc>
      </w:tr>
      <w:tr w:rsidR="00646977" w14:paraId="30F14630"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7AD5B1" w14:textId="77777777" w:rsidR="00646977" w:rsidRDefault="00000000">
            <w:r>
              <w:rPr>
                <w:sz w:val="21"/>
                <w:szCs w:val="21"/>
              </w:rPr>
              <w:t>OT Environment Type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64A3EA" w14:textId="77777777" w:rsidR="00646977" w:rsidRDefault="00000000">
            <w:r>
              <w:rPr>
                <w:sz w:val="21"/>
                <w:szCs w:val="21"/>
              </w:rPr>
              <w:t>Modern (newly built/digitally integrated) versus Legacy (retrofitted/traditional). This is the primary distinguishing variable of this research and the foundation of the research problem (Stouffer et al., 2023)</w:t>
            </w:r>
          </w:p>
        </w:tc>
      </w:tr>
      <w:tr w:rsidR="00646977" w14:paraId="7EC35F2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31E74C8" w14:textId="77777777" w:rsidR="00646977" w:rsidRDefault="00000000">
            <w:r>
              <w:rPr>
                <w:sz w:val="21"/>
                <w:szCs w:val="21"/>
              </w:rPr>
              <w:t>Emerging Technology Adoption Level</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272F23A" w14:textId="77777777" w:rsidR="00646977" w:rsidRDefault="00000000">
            <w:r>
              <w:rPr>
                <w:sz w:val="21"/>
                <w:szCs w:val="21"/>
              </w:rPr>
              <w:t>Degree of AI, 5G, and cloud integration at or adjacent to the IT/OT boundary, measured on a low/medium/high scale (Boyes et al., 2018). This variable specifically captures integration at the boundary layer rather than general technology adoption. Note: correlation with OT environment type is anticipated; multicollinearity will be assessed and managed during statistical analysis (Field, 2018)</w:t>
            </w:r>
          </w:p>
        </w:tc>
      </w:tr>
    </w:tbl>
    <w:p w14:paraId="282745D3" w14:textId="77777777" w:rsidR="00646977" w:rsidRDefault="00646977">
      <w:pPr>
        <w:spacing w:after="80"/>
      </w:pPr>
    </w:p>
    <w:p w14:paraId="05AE6887" w14:textId="77777777" w:rsidR="00646977" w:rsidRDefault="00000000">
      <w:pPr>
        <w:pStyle w:val="Heading2"/>
      </w:pPr>
      <w:r>
        <w:t>8.2 Mediating Variable</w:t>
      </w:r>
    </w:p>
    <w:p w14:paraId="0EECB15A" w14:textId="77777777" w:rsidR="00646977" w:rsidRDefault="00000000">
      <w:pPr>
        <w:spacing w:before="80" w:after="120"/>
        <w:jc w:val="both"/>
      </w:pPr>
      <w:r>
        <w:t>Operational complexity is introduced as a mediating variable between the independent variables and governance outcomes, following Baron and Kenny (1986). Emerging technologies do not directly reduce governance effectiveness; rather, they increase operational complexity, and this complexity in turn strains traditional governance structures. This two-stage mechanism is theoretically more precise and statistically more testable than a direct IV-DV relationship. Operational complexity will be measured through survey items capturing system interdependency, cross-team coordination burden, and integration-related incident frequency.</w:t>
      </w:r>
    </w:p>
    <w:p w14:paraId="295C86EA" w14:textId="77777777" w:rsidR="00646977" w:rsidRDefault="00646977">
      <w:pPr>
        <w:spacing w:after="80"/>
      </w:pPr>
    </w:p>
    <w:p w14:paraId="5DB081D8" w14:textId="77777777" w:rsidR="00646977" w:rsidRDefault="00000000">
      <w:pPr>
        <w:pStyle w:val="Heading2"/>
      </w:pPr>
      <w:r>
        <w:t>8.3 Dependent Variables</w:t>
      </w:r>
    </w:p>
    <w:p w14:paraId="57721635" w14:textId="77777777" w:rsidR="00646977" w:rsidRDefault="00000000">
      <w:pPr>
        <w:spacing w:before="80" w:after="120"/>
        <w:jc w:val="both"/>
      </w:pPr>
      <w:r>
        <w:t>Two dependent variables capture the governance outcomes that the research seeks to explain and improve (Field, 2018):</w:t>
      </w:r>
    </w:p>
    <w:p w14:paraId="4ECAC7D2"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73F4959E"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4609197" w14:textId="77777777" w:rsidR="00646977" w:rsidRDefault="00000000">
            <w:r>
              <w:rPr>
                <w:b/>
                <w:bCs/>
                <w:color w:val="FFFFFF"/>
                <w:sz w:val="21"/>
                <w:szCs w:val="21"/>
              </w:rPr>
              <w:lastRenderedPageBreak/>
              <w:t>Dependent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7BE2094" w14:textId="77777777" w:rsidR="00646977" w:rsidRDefault="00000000">
            <w:r>
              <w:rPr>
                <w:b/>
                <w:bCs/>
                <w:color w:val="FFFFFF"/>
                <w:sz w:val="21"/>
                <w:szCs w:val="21"/>
              </w:rPr>
              <w:t>Operational Definition</w:t>
            </w:r>
          </w:p>
        </w:tc>
      </w:tr>
      <w:tr w:rsidR="00646977" w14:paraId="0E2128B5"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1CD606" w14:textId="77777777" w:rsidR="00646977" w:rsidRDefault="00000000">
            <w:r>
              <w:rPr>
                <w:sz w:val="21"/>
                <w:szCs w:val="21"/>
              </w:rPr>
              <w:t>Cybersecurity Governance Effectiveness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4B4EF7" w14:textId="77777777" w:rsidR="00646977" w:rsidRDefault="00000000">
            <w:r>
              <w:rPr>
                <w:sz w:val="21"/>
                <w:szCs w:val="21"/>
              </w:rPr>
              <w:t>The primary outcome variable. Operationally defined as a composite score measuring: (1) incident response speed, as mean time to detect and respond to OT security events; (2) compliance rate with applicable OT security standards; and (3) risk maturity level based on an adapted CMMI scale (Paulk et al., 1993). Measured via validated Likert-scale survey items</w:t>
            </w:r>
          </w:p>
        </w:tc>
      </w:tr>
      <w:tr w:rsidR="00646977" w14:paraId="0839E00E"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9236C77" w14:textId="77777777" w:rsidR="00646977" w:rsidRDefault="00000000">
            <w:r>
              <w:rPr>
                <w:sz w:val="21"/>
                <w:szCs w:val="21"/>
              </w:rPr>
              <w:t>Framework Adequacy Score</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F04DA5C" w14:textId="77777777" w:rsidR="00646977" w:rsidRDefault="00000000">
            <w:r>
              <w:rPr>
                <w:sz w:val="21"/>
                <w:szCs w:val="21"/>
              </w:rPr>
              <w:t>The secondary outcome variable. Degree to which existing standards, including IEC 62443 (International Society of Automation, 2018) and NIST SP 800-82 (Stouffer et al., 2023), are perceived to adequately address governance needs in the respondent's modern OT environment. Measured on a 5-point Likert scale</w:t>
            </w:r>
          </w:p>
        </w:tc>
      </w:tr>
    </w:tbl>
    <w:p w14:paraId="2F552A64" w14:textId="77777777" w:rsidR="00646977" w:rsidRDefault="00646977">
      <w:pPr>
        <w:spacing w:after="80"/>
      </w:pPr>
    </w:p>
    <w:p w14:paraId="714805BB" w14:textId="77777777" w:rsidR="00646977" w:rsidRDefault="00000000">
      <w:pPr>
        <w:pStyle w:val="Heading2"/>
      </w:pPr>
      <w:r>
        <w:t>8.4 Contextual Variables</w:t>
      </w:r>
    </w:p>
    <w:p w14:paraId="7310DB1B" w14:textId="77777777" w:rsidR="00646977" w:rsidRDefault="00000000">
      <w:pPr>
        <w:spacing w:before="80" w:after="120"/>
        <w:jc w:val="both"/>
      </w:pPr>
      <w:r>
        <w:t>The following variables will be collected as background data and used to enrich the qualitative interpretation of findings. They are not tested as statistical moderators, ensuring the model remains feasible and statistically robust within the available sample size (Field, 2018):</w:t>
      </w:r>
    </w:p>
    <w:p w14:paraId="68B28488"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631607B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3933AA3" w14:textId="77777777" w:rsidR="00646977" w:rsidRDefault="00000000">
            <w:r>
              <w:rPr>
                <w:b/>
                <w:bCs/>
                <w:color w:val="FFFFFF"/>
                <w:sz w:val="21"/>
                <w:szCs w:val="21"/>
              </w:rPr>
              <w:t>Contextual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623D41E6" w14:textId="77777777" w:rsidR="00646977" w:rsidRDefault="00000000">
            <w:r>
              <w:rPr>
                <w:b/>
                <w:bCs/>
                <w:color w:val="FFFFFF"/>
                <w:sz w:val="21"/>
                <w:szCs w:val="21"/>
              </w:rPr>
              <w:t>Purpose</w:t>
            </w:r>
          </w:p>
        </w:tc>
      </w:tr>
      <w:tr w:rsidR="00646977" w14:paraId="7BDAB01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32FEA6" w14:textId="77777777" w:rsidR="00646977" w:rsidRDefault="00000000">
            <w:r>
              <w:rPr>
                <w:sz w:val="21"/>
                <w:szCs w:val="21"/>
              </w:rPr>
              <w:t>CISO Mandate Scope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601A38" w14:textId="77777777" w:rsidR="00646977" w:rsidRDefault="00000000">
            <w:r>
              <w:rPr>
                <w:sz w:val="21"/>
                <w:szCs w:val="21"/>
              </w:rPr>
              <w:t>Whether the CISO holds formal responsibility for OT security, IT security only, or a hybrid mandate. This will be explored descriptively and through expert interviews to understand its practical influence on governance</w:t>
            </w:r>
          </w:p>
        </w:tc>
      </w:tr>
      <w:tr w:rsidR="00646977" w14:paraId="028AF43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FA2ECE1" w14:textId="77777777" w:rsidR="00646977" w:rsidRDefault="00000000">
            <w:r>
              <w:rPr>
                <w:sz w:val="21"/>
                <w:szCs w:val="21"/>
              </w:rPr>
              <w:t>National Regulatory Context</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8662AF5" w14:textId="77777777" w:rsidR="00646977" w:rsidRDefault="00000000">
            <w:r>
              <w:rPr>
                <w:sz w:val="21"/>
                <w:szCs w:val="21"/>
              </w:rPr>
              <w:t>Presence and maturity of national OT cybersecurity regulations, such as NCA Essential Cybersecurity Controls (NCA, 2021). Will inform the policy recommendations of the governance framework</w:t>
            </w:r>
          </w:p>
        </w:tc>
      </w:tr>
      <w:tr w:rsidR="00646977" w14:paraId="7B4B9B0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C6A098" w14:textId="77777777" w:rsidR="00646977" w:rsidRDefault="00000000">
            <w:r>
              <w:rPr>
                <w:sz w:val="21"/>
                <w:szCs w:val="21"/>
              </w:rPr>
              <w:t>Sector</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0BA1D2" w14:textId="77777777" w:rsidR="00646977" w:rsidRDefault="00000000">
            <w:r>
              <w:rPr>
                <w:sz w:val="21"/>
                <w:szCs w:val="21"/>
              </w:rPr>
              <w:t xml:space="preserve">Energy, utilities, manufacturing, water, hydrogen, or smart city. Collected as a demographic variable and reported descriptively to </w:t>
            </w:r>
            <w:proofErr w:type="spellStart"/>
            <w:r>
              <w:rPr>
                <w:sz w:val="21"/>
                <w:szCs w:val="21"/>
              </w:rPr>
              <w:t>contextualise</w:t>
            </w:r>
            <w:proofErr w:type="spellEnd"/>
            <w:r>
              <w:rPr>
                <w:sz w:val="21"/>
                <w:szCs w:val="21"/>
              </w:rPr>
              <w:t xml:space="preserve"> findings</w:t>
            </w:r>
          </w:p>
        </w:tc>
      </w:tr>
      <w:tr w:rsidR="00646977" w14:paraId="4882323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E88308B" w14:textId="77777777" w:rsidR="00646977" w:rsidRDefault="00000000">
            <w:proofErr w:type="spellStart"/>
            <w:r>
              <w:rPr>
                <w:sz w:val="21"/>
                <w:szCs w:val="21"/>
              </w:rPr>
              <w:t>Organisational</w:t>
            </w:r>
            <w:proofErr w:type="spellEnd"/>
            <w:r>
              <w:rPr>
                <w:sz w:val="21"/>
                <w:szCs w:val="21"/>
              </w:rPr>
              <w:t xml:space="preserve"> Size</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9BB10D9" w14:textId="77777777" w:rsidR="00646977" w:rsidRDefault="00000000">
            <w:r>
              <w:rPr>
                <w:sz w:val="21"/>
                <w:szCs w:val="21"/>
              </w:rPr>
              <w:t>Number of OT assets, operational sites, and security personnel. Collected as a demographic variable to describe the research sample</w:t>
            </w:r>
          </w:p>
        </w:tc>
      </w:tr>
    </w:tbl>
    <w:p w14:paraId="45CC6814" w14:textId="77777777" w:rsidR="00646977" w:rsidRDefault="00646977">
      <w:pPr>
        <w:spacing w:after="80"/>
      </w:pPr>
    </w:p>
    <w:p w14:paraId="4DC19EC8" w14:textId="77777777" w:rsidR="00646977" w:rsidRDefault="00000000">
      <w:pPr>
        <w:pStyle w:val="Heading2"/>
      </w:pPr>
      <w:r>
        <w:t>8.5 Research Hypotheses (Null Form)</w:t>
      </w:r>
    </w:p>
    <w:p w14:paraId="17F53E7E" w14:textId="77777777" w:rsidR="00646977" w:rsidRDefault="00000000">
      <w:pPr>
        <w:spacing w:before="80" w:after="120"/>
        <w:jc w:val="both"/>
      </w:pPr>
      <w:r>
        <w:lastRenderedPageBreak/>
        <w:t>Three null hypotheses are proposed, each testing a distinct and theoretically justified path within the research model. Null form is used to enable formal statistical testing and rejection (Field, 2018). Framework adequacy (DV2) is addressed through the research sub-questions and discussed in findings rather than as a formal hypothesis, keeping the model focused and statistically feasible within the available sample size.</w:t>
      </w:r>
    </w:p>
    <w:p w14:paraId="366B2777" w14:textId="77777777" w:rsidR="00646977" w:rsidRDefault="00000000">
      <w:pPr>
        <w:pStyle w:val="ListParagraph"/>
        <w:numPr>
          <w:ilvl w:val="0"/>
          <w:numId w:val="3"/>
        </w:numPr>
        <w:spacing w:before="60" w:after="60"/>
      </w:pPr>
      <w:r>
        <w:t>H0(1): There is no statistically significant difference in cybersecurity governance effectiveness between modern OT environments and legacy OT environments.</w:t>
      </w:r>
    </w:p>
    <w:p w14:paraId="47D5C2D7" w14:textId="77777777" w:rsidR="00646977" w:rsidRDefault="00000000">
      <w:pPr>
        <w:pStyle w:val="ListParagraph"/>
        <w:numPr>
          <w:ilvl w:val="0"/>
          <w:numId w:val="3"/>
        </w:numPr>
        <w:spacing w:before="60" w:after="60"/>
      </w:pPr>
      <w:r>
        <w:t>H0(2): The integration of emerging technologies at the IT/OT boundary is not significantly associated with increased operational complexity in OT environments.</w:t>
      </w:r>
    </w:p>
    <w:p w14:paraId="6EA09E4D" w14:textId="77777777" w:rsidR="00646977" w:rsidRDefault="00000000">
      <w:pPr>
        <w:pStyle w:val="ListParagraph"/>
        <w:numPr>
          <w:ilvl w:val="0"/>
          <w:numId w:val="3"/>
        </w:numPr>
        <w:spacing w:before="60" w:after="60"/>
      </w:pPr>
      <w:r>
        <w:t>H0(3): Operational complexity does not mediate the relationship between emerging technology integration at the IT/OT boundary and cybersecurity governance effectiveness in OT environments.</w:t>
      </w:r>
    </w:p>
    <w:p w14:paraId="22E5D4E7" w14:textId="77777777" w:rsidR="00646977" w:rsidRDefault="00646977">
      <w:pPr>
        <w:spacing w:after="80"/>
      </w:pPr>
    </w:p>
    <w:p w14:paraId="66256F2B" w14:textId="77777777" w:rsidR="00646977" w:rsidRDefault="00000000">
      <w:pPr>
        <w:spacing w:before="80" w:after="120"/>
        <w:jc w:val="both"/>
      </w:pPr>
      <w:r>
        <w:t>Note: H0(3) tests the mediation pathway and represents the most novel theoretical contribution of this model. Its confirmation would establish operational complexity as the mechanism through which emerging technology adoption erodes governance effectiveness (Baron &amp; Kenny, 1986).</w:t>
      </w:r>
    </w:p>
    <w:p w14:paraId="4526A8E0" w14:textId="77777777" w:rsidR="00646977" w:rsidRDefault="00646977">
      <w:pPr>
        <w:spacing w:after="80"/>
      </w:pPr>
    </w:p>
    <w:p w14:paraId="7729748F" w14:textId="77777777" w:rsidR="00646977" w:rsidRDefault="00000000">
      <w:r>
        <w:br w:type="page"/>
      </w:r>
    </w:p>
    <w:p w14:paraId="0C699454" w14:textId="77777777" w:rsidR="00646977" w:rsidRDefault="00000000">
      <w:pPr>
        <w:pStyle w:val="Heading1"/>
      </w:pPr>
      <w:r>
        <w:lastRenderedPageBreak/>
        <w:t>9. Research Methodology</w:t>
      </w:r>
    </w:p>
    <w:p w14:paraId="496C1017" w14:textId="77777777" w:rsidR="00646977" w:rsidRDefault="00646977">
      <w:pPr>
        <w:pBdr>
          <w:bottom w:val="single" w:sz="6" w:space="1" w:color="2E75B6"/>
        </w:pBdr>
        <w:spacing w:before="120" w:after="120"/>
      </w:pPr>
    </w:p>
    <w:p w14:paraId="51B21753" w14:textId="77777777" w:rsidR="00646977" w:rsidRDefault="00000000">
      <w:pPr>
        <w:spacing w:before="80" w:after="120"/>
        <w:jc w:val="both"/>
      </w:pPr>
      <w:r>
        <w:t xml:space="preserve">This research adopts an explanatory sequential mixed-methods design. The study begins with quantitative survey data to measure the prevalence and severity of OT governance gaps, followed by qualitative expert interviews and case study analysis to explain and </w:t>
      </w:r>
      <w:proofErr w:type="spellStart"/>
      <w:r>
        <w:t>contextualise</w:t>
      </w:r>
      <w:proofErr w:type="spellEnd"/>
      <w:r>
        <w:t xml:space="preserve"> those findings (Creswell &amp; Creswell, 2018). The integrated approach enables both statistical </w:t>
      </w:r>
      <w:proofErr w:type="spellStart"/>
      <w:r>
        <w:t>generalisation</w:t>
      </w:r>
      <w:proofErr w:type="spellEnd"/>
      <w:r>
        <w:t xml:space="preserve"> and rich interpretive </w:t>
      </w:r>
      <w:proofErr w:type="gramStart"/>
      <w:r>
        <w:t>depth, and</w:t>
      </w:r>
      <w:proofErr w:type="gramEnd"/>
      <w:r>
        <w:t xml:space="preserve"> produces clearly defined research variables. The methodology is designed to be rigorous, feasible within a two-year timeline, and appropriate for a part-time PhD candidate with full-time professional responsibilities.</w:t>
      </w:r>
    </w:p>
    <w:p w14:paraId="3835A43E" w14:textId="77777777" w:rsidR="00646977" w:rsidRDefault="00000000">
      <w:pPr>
        <w:pStyle w:val="Heading2"/>
      </w:pPr>
      <w:r>
        <w:t>9.1 Research Philosophy and Approach</w:t>
      </w:r>
    </w:p>
    <w:p w14:paraId="7CEAB73C" w14:textId="77777777" w:rsidR="00646977" w:rsidRDefault="00000000">
      <w:pPr>
        <w:spacing w:before="80" w:after="120"/>
        <w:jc w:val="both"/>
      </w:pPr>
      <w:r>
        <w:t xml:space="preserve">The research is positioned within an interpretivist-pragmatist paradigm (Creswell &amp; Creswell, 2018). Given that cybersecurity governance involves human judgment, organizational culture, and policy interpretation, a purely positivist approach would be insufficient. The pragmatist lens allows the research to </w:t>
      </w:r>
      <w:proofErr w:type="spellStart"/>
      <w:r>
        <w:t>prioritise</w:t>
      </w:r>
      <w:proofErr w:type="spellEnd"/>
      <w:r>
        <w:t xml:space="preserve"> practical utility of outcomes alongside theoretical contribution, consistent with framework-development research in applied cybersecurity (Yin, 2018).</w:t>
      </w:r>
    </w:p>
    <w:p w14:paraId="53847B65" w14:textId="77777777" w:rsidR="00646977" w:rsidRDefault="00000000">
      <w:pPr>
        <w:pStyle w:val="Heading2"/>
      </w:pPr>
      <w:r>
        <w:t>9.2 Research Design</w:t>
      </w:r>
    </w:p>
    <w:p w14:paraId="1C7EC29C"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5560"/>
        <w:gridCol w:w="1900"/>
      </w:tblGrid>
      <w:tr w:rsidR="00646977" w14:paraId="49452E61"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5FCAA3F" w14:textId="77777777" w:rsidR="00646977" w:rsidRDefault="00000000">
            <w:r>
              <w:rPr>
                <w:b/>
                <w:bCs/>
                <w:color w:val="FFFFFF"/>
                <w:sz w:val="21"/>
                <w:szCs w:val="21"/>
              </w:rPr>
              <w:t>Phase</w:t>
            </w:r>
          </w:p>
        </w:tc>
        <w:tc>
          <w:tcPr>
            <w:tcW w:w="556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091C08FC" w14:textId="77777777" w:rsidR="00646977" w:rsidRDefault="00000000">
            <w:r>
              <w:rPr>
                <w:b/>
                <w:bCs/>
                <w:color w:val="FFFFFF"/>
                <w:sz w:val="21"/>
                <w:szCs w:val="21"/>
              </w:rPr>
              <w:t>Activity</w:t>
            </w:r>
          </w:p>
        </w:tc>
        <w:tc>
          <w:tcPr>
            <w:tcW w:w="19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39153B6" w14:textId="77777777" w:rsidR="00646977" w:rsidRDefault="00000000">
            <w:r>
              <w:rPr>
                <w:b/>
                <w:bCs/>
                <w:color w:val="FFFFFF"/>
                <w:sz w:val="21"/>
                <w:szCs w:val="21"/>
              </w:rPr>
              <w:t>Timeline</w:t>
            </w:r>
          </w:p>
        </w:tc>
      </w:tr>
      <w:tr w:rsidR="00646977" w14:paraId="247EBEA2"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112117" w14:textId="77777777" w:rsidR="00646977" w:rsidRDefault="00000000">
            <w:r>
              <w:rPr>
                <w:sz w:val="21"/>
                <w:szCs w:val="21"/>
              </w:rPr>
              <w:t>Phase 1</w:t>
            </w:r>
          </w:p>
        </w:tc>
        <w:tc>
          <w:tcPr>
            <w:tcW w:w="5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2F7819" w14:textId="77777777" w:rsidR="00646977" w:rsidRDefault="00000000">
            <w:r>
              <w:rPr>
                <w:sz w:val="21"/>
                <w:szCs w:val="21"/>
              </w:rPr>
              <w:t>Systematic Literature Review: mapping existing knowledge, confirming gaps, and establishing theoretical foundation (Page et al., 2021)</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1F43F4" w14:textId="77777777" w:rsidR="00646977" w:rsidRDefault="00000000">
            <w:r>
              <w:rPr>
                <w:sz w:val="21"/>
                <w:szCs w:val="21"/>
              </w:rPr>
              <w:t>Months 1-5</w:t>
            </w:r>
          </w:p>
        </w:tc>
      </w:tr>
      <w:tr w:rsidR="00646977" w14:paraId="64A8C93E"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D642245" w14:textId="77777777" w:rsidR="00646977" w:rsidRDefault="00000000">
            <w:r>
              <w:rPr>
                <w:sz w:val="21"/>
                <w:szCs w:val="21"/>
              </w:rPr>
              <w:t>Phase 2</w:t>
            </w:r>
          </w:p>
        </w:tc>
        <w:tc>
          <w:tcPr>
            <w:tcW w:w="5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5838D9A" w14:textId="77777777" w:rsidR="00646977" w:rsidRDefault="00000000">
            <w:r>
              <w:rPr>
                <w:sz w:val="21"/>
                <w:szCs w:val="21"/>
              </w:rPr>
              <w:t>Quantitative Survey: structured survey of 50 to 100 OT security professionals to measure governance gap prevalence and test null hypotheses (Field, 2018)</w:t>
            </w:r>
          </w:p>
        </w:tc>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2DC334C" w14:textId="77777777" w:rsidR="00646977" w:rsidRDefault="00000000">
            <w:r>
              <w:rPr>
                <w:sz w:val="21"/>
                <w:szCs w:val="21"/>
              </w:rPr>
              <w:t>Months 4-7</w:t>
            </w:r>
          </w:p>
        </w:tc>
      </w:tr>
      <w:tr w:rsidR="00646977" w14:paraId="6D3CCD33"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3D392C" w14:textId="77777777" w:rsidR="00646977" w:rsidRDefault="00000000">
            <w:r>
              <w:rPr>
                <w:sz w:val="21"/>
                <w:szCs w:val="21"/>
              </w:rPr>
              <w:t>Phase 3</w:t>
            </w:r>
          </w:p>
        </w:tc>
        <w:tc>
          <w:tcPr>
            <w:tcW w:w="5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C72B2B" w14:textId="77777777" w:rsidR="00646977" w:rsidRDefault="00000000">
            <w:r>
              <w:rPr>
                <w:sz w:val="21"/>
                <w:szCs w:val="21"/>
              </w:rPr>
              <w:t>Expert Interviews: semi-structured interviews with 15 to 20 OT security professionals to explain survey findings (Braun &amp; Clarke, 2006)</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CFF6D3" w14:textId="77777777" w:rsidR="00646977" w:rsidRDefault="00000000">
            <w:r>
              <w:rPr>
                <w:sz w:val="21"/>
                <w:szCs w:val="21"/>
              </w:rPr>
              <w:t>Months 6-10</w:t>
            </w:r>
          </w:p>
        </w:tc>
      </w:tr>
      <w:tr w:rsidR="00646977" w14:paraId="4EB09F97"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099017B" w14:textId="77777777" w:rsidR="00646977" w:rsidRDefault="00000000">
            <w:r>
              <w:rPr>
                <w:sz w:val="21"/>
                <w:szCs w:val="21"/>
              </w:rPr>
              <w:t>Phase 4</w:t>
            </w:r>
          </w:p>
        </w:tc>
        <w:tc>
          <w:tcPr>
            <w:tcW w:w="5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8DAB184" w14:textId="77777777" w:rsidR="00646977" w:rsidRDefault="00000000">
            <w:r>
              <w:rPr>
                <w:sz w:val="21"/>
                <w:szCs w:val="21"/>
              </w:rPr>
              <w:t>Case Study Analysis: in-depth analysis of a modern OT environment with appropriate confidentiality controls (Yin, 2018)</w:t>
            </w:r>
          </w:p>
        </w:tc>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8D8C2A9" w14:textId="77777777" w:rsidR="00646977" w:rsidRDefault="00000000">
            <w:r>
              <w:rPr>
                <w:sz w:val="21"/>
                <w:szCs w:val="21"/>
              </w:rPr>
              <w:t>Months 8-12</w:t>
            </w:r>
          </w:p>
        </w:tc>
      </w:tr>
      <w:tr w:rsidR="00646977" w14:paraId="73402B0B"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E747A8" w14:textId="77777777" w:rsidR="00646977" w:rsidRDefault="00000000">
            <w:r>
              <w:rPr>
                <w:sz w:val="21"/>
                <w:szCs w:val="21"/>
              </w:rPr>
              <w:t>Phase 5</w:t>
            </w:r>
          </w:p>
        </w:tc>
        <w:tc>
          <w:tcPr>
            <w:tcW w:w="5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B4F624" w14:textId="77777777" w:rsidR="00646977" w:rsidRDefault="00000000">
            <w:r>
              <w:rPr>
                <w:sz w:val="21"/>
                <w:szCs w:val="21"/>
              </w:rPr>
              <w:t xml:space="preserve">Framework Development: </w:t>
            </w:r>
            <w:proofErr w:type="spellStart"/>
            <w:r>
              <w:rPr>
                <w:sz w:val="21"/>
                <w:szCs w:val="21"/>
              </w:rPr>
              <w:t>synthesising</w:t>
            </w:r>
            <w:proofErr w:type="spellEnd"/>
            <w:r>
              <w:rPr>
                <w:sz w:val="21"/>
                <w:szCs w:val="21"/>
              </w:rPr>
              <w:t xml:space="preserve"> all findings into a governance framework</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536B17" w14:textId="77777777" w:rsidR="00646977" w:rsidRDefault="00000000">
            <w:r>
              <w:rPr>
                <w:sz w:val="21"/>
                <w:szCs w:val="21"/>
              </w:rPr>
              <w:t>Months 11-15</w:t>
            </w:r>
          </w:p>
        </w:tc>
      </w:tr>
      <w:tr w:rsidR="00646977" w14:paraId="2B19E1A7"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FC02F17" w14:textId="77777777" w:rsidR="00646977" w:rsidRDefault="00000000">
            <w:r>
              <w:rPr>
                <w:sz w:val="21"/>
                <w:szCs w:val="21"/>
              </w:rPr>
              <w:t>Phase 6</w:t>
            </w:r>
          </w:p>
        </w:tc>
        <w:tc>
          <w:tcPr>
            <w:tcW w:w="5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ADB8D5B" w14:textId="77777777" w:rsidR="00646977" w:rsidRDefault="00000000">
            <w:r>
              <w:rPr>
                <w:sz w:val="21"/>
                <w:szCs w:val="21"/>
              </w:rPr>
              <w:t>Framework Validation: Delphi method with expert panel to validate and refine the framework (Hasson et al., 2000)</w:t>
            </w:r>
          </w:p>
        </w:tc>
        <w:tc>
          <w:tcPr>
            <w:tcW w:w="19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3CA8340" w14:textId="77777777" w:rsidR="00646977" w:rsidRDefault="00000000">
            <w:r>
              <w:rPr>
                <w:sz w:val="21"/>
                <w:szCs w:val="21"/>
              </w:rPr>
              <w:t>Months 14-18</w:t>
            </w:r>
          </w:p>
        </w:tc>
      </w:tr>
      <w:tr w:rsidR="00646977" w14:paraId="37E6962E"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F28E60" w14:textId="77777777" w:rsidR="00646977" w:rsidRDefault="00000000">
            <w:r>
              <w:rPr>
                <w:sz w:val="21"/>
                <w:szCs w:val="21"/>
              </w:rPr>
              <w:t>Phase 7</w:t>
            </w:r>
          </w:p>
        </w:tc>
        <w:tc>
          <w:tcPr>
            <w:tcW w:w="5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4CB005" w14:textId="77777777" w:rsidR="00646977" w:rsidRDefault="00000000">
            <w:r>
              <w:rPr>
                <w:sz w:val="21"/>
                <w:szCs w:val="21"/>
              </w:rPr>
              <w:t>Writing, Revision and Submission</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09A408" w14:textId="77777777" w:rsidR="00646977" w:rsidRDefault="00000000">
            <w:r>
              <w:rPr>
                <w:sz w:val="21"/>
                <w:szCs w:val="21"/>
              </w:rPr>
              <w:t>Months 16-24</w:t>
            </w:r>
          </w:p>
        </w:tc>
      </w:tr>
    </w:tbl>
    <w:p w14:paraId="241C434C" w14:textId="77777777" w:rsidR="00646977" w:rsidRDefault="00646977">
      <w:pPr>
        <w:spacing w:after="80"/>
      </w:pPr>
    </w:p>
    <w:p w14:paraId="6B4E7341" w14:textId="77777777" w:rsidR="00646977" w:rsidRDefault="00000000">
      <w:pPr>
        <w:pStyle w:val="Heading2"/>
      </w:pPr>
      <w:r>
        <w:t>9.3 Data Collection Methods</w:t>
      </w:r>
    </w:p>
    <w:p w14:paraId="3BA86ABE" w14:textId="77777777" w:rsidR="00646977" w:rsidRDefault="00000000">
      <w:pPr>
        <w:pStyle w:val="Heading3"/>
      </w:pPr>
      <w:r>
        <w:t>9.3.1 Systematic Literature Review</w:t>
      </w:r>
    </w:p>
    <w:p w14:paraId="4713C4AE" w14:textId="77777777" w:rsidR="00646977" w:rsidRDefault="00000000">
      <w:pPr>
        <w:spacing w:before="80" w:after="120"/>
        <w:jc w:val="both"/>
      </w:pPr>
      <w:r>
        <w:lastRenderedPageBreak/>
        <w:t>A structured review using PRISMA guidelines (Page et al., 2021) will map the existing body of knowledge. Search terms will combine OT security, governance, emerging technologies, IT/OT convergence, and modern OT environments. Inclusion and exclusion criteria will be defined and documented for reproducibility.</w:t>
      </w:r>
    </w:p>
    <w:p w14:paraId="5C6D0FE4" w14:textId="77777777" w:rsidR="00646977" w:rsidRDefault="00000000">
      <w:pPr>
        <w:pStyle w:val="Heading3"/>
      </w:pPr>
      <w:r>
        <w:t>9.3.2 Quantitative Survey</w:t>
      </w:r>
    </w:p>
    <w:p w14:paraId="5F077F02" w14:textId="77777777" w:rsidR="00646977" w:rsidRDefault="00000000">
      <w:pPr>
        <w:spacing w:before="80" w:after="120"/>
        <w:jc w:val="both"/>
      </w:pPr>
      <w:r>
        <w:t>A structured online survey will be administered to OT security professionals to quantitatively measure the prevalence and severity of cybersecurity governance gaps in modern OT environments. The survey instrument will consist of Likert-scale items and categorical questions covering governance maturity, emerging technology integration risks, and IT/OT boundary security practices (Field, 2018).</w:t>
      </w:r>
    </w:p>
    <w:p w14:paraId="3DA0601F" w14:textId="77777777" w:rsidR="00646977" w:rsidRDefault="00000000">
      <w:pPr>
        <w:spacing w:before="80" w:after="120"/>
        <w:jc w:val="both"/>
      </w:pPr>
      <w:r>
        <w:t xml:space="preserve">Target sample: 50 to 100 respondents drawn from OT/ICS security practitioners across energy, utilities, manufacturing, and critical infrastructure sectors, including OT field engineers alongside cybersecurity professionals to ensure operational realism. Distribution channels will include professional networks (ISA, ISACA, ICS-CERT communities) and the researcher's professional contacts. Data will be </w:t>
      </w:r>
      <w:proofErr w:type="spellStart"/>
      <w:r>
        <w:t>analysed</w:t>
      </w:r>
      <w:proofErr w:type="spellEnd"/>
      <w:r>
        <w:t xml:space="preserve"> using descriptive statistics, correlation analysis, and mediation analysis (SPSS/R) to test the three null hypotheses.</w:t>
      </w:r>
    </w:p>
    <w:p w14:paraId="4C944A6C" w14:textId="77777777" w:rsidR="00646977" w:rsidRDefault="00000000">
      <w:pPr>
        <w:pStyle w:val="Heading3"/>
      </w:pPr>
      <w:r>
        <w:t>9.3.3 Expert Interviews</w:t>
      </w:r>
    </w:p>
    <w:p w14:paraId="6FF7DDCF" w14:textId="77777777" w:rsidR="00646977" w:rsidRDefault="00000000">
      <w:pPr>
        <w:spacing w:before="80" w:after="120"/>
        <w:jc w:val="both"/>
      </w:pPr>
      <w:r>
        <w:t xml:space="preserve">Semi-structured interviews of 45 to 60 minutes each will be conducted with 15 to 20 professionals. Inclusion criteria require a minimum of 10 years of OT security experience, or internationally </w:t>
      </w:r>
      <w:proofErr w:type="spellStart"/>
      <w:r>
        <w:t>recognised</w:t>
      </w:r>
      <w:proofErr w:type="spellEnd"/>
      <w:r>
        <w:t xml:space="preserve"> certifications such as GICSP, CISSP, or IEC 62443 Cybersecurity Expert. Participants will be drawn from:</w:t>
      </w:r>
    </w:p>
    <w:p w14:paraId="13054078" w14:textId="77777777" w:rsidR="00646977" w:rsidRDefault="00000000">
      <w:pPr>
        <w:pStyle w:val="ListParagraph"/>
        <w:numPr>
          <w:ilvl w:val="0"/>
          <w:numId w:val="2"/>
        </w:numPr>
        <w:spacing w:before="60" w:after="60"/>
      </w:pPr>
      <w:r>
        <w:t>OT/ICS security practitioners including CISOs and OT Security Managers</w:t>
      </w:r>
    </w:p>
    <w:p w14:paraId="4B86EF38" w14:textId="77777777" w:rsidR="00646977" w:rsidRDefault="00000000">
      <w:pPr>
        <w:pStyle w:val="ListParagraph"/>
        <w:numPr>
          <w:ilvl w:val="0"/>
          <w:numId w:val="2"/>
        </w:numPr>
        <w:spacing w:before="60" w:after="60"/>
      </w:pPr>
      <w:r>
        <w:t>Industrial control system vendors and integrators</w:t>
      </w:r>
    </w:p>
    <w:p w14:paraId="129416F5" w14:textId="77777777" w:rsidR="00646977" w:rsidRDefault="00000000">
      <w:pPr>
        <w:pStyle w:val="ListParagraph"/>
        <w:numPr>
          <w:ilvl w:val="0"/>
          <w:numId w:val="2"/>
        </w:numPr>
        <w:spacing w:before="60" w:after="60"/>
      </w:pPr>
      <w:r>
        <w:t>National cybersecurity authority representatives</w:t>
      </w:r>
    </w:p>
    <w:p w14:paraId="56415FC9" w14:textId="77777777" w:rsidR="00646977" w:rsidRDefault="00000000">
      <w:pPr>
        <w:pStyle w:val="ListParagraph"/>
        <w:numPr>
          <w:ilvl w:val="0"/>
          <w:numId w:val="2"/>
        </w:numPr>
        <w:spacing w:before="60" w:after="60"/>
      </w:pPr>
      <w:r>
        <w:t>OT field engineers from energy, water, and transport sectors</w:t>
      </w:r>
    </w:p>
    <w:p w14:paraId="2504975C" w14:textId="77777777" w:rsidR="00646977" w:rsidRDefault="00000000">
      <w:pPr>
        <w:pStyle w:val="ListParagraph"/>
        <w:numPr>
          <w:ilvl w:val="0"/>
          <w:numId w:val="2"/>
        </w:numPr>
        <w:spacing w:before="60" w:after="60"/>
      </w:pPr>
      <w:r>
        <w:t>Academic researchers in OT security and industrial IoT</w:t>
      </w:r>
    </w:p>
    <w:p w14:paraId="3C2F6922" w14:textId="77777777" w:rsidR="00646977" w:rsidRDefault="00000000">
      <w:pPr>
        <w:spacing w:before="80" w:after="120"/>
        <w:jc w:val="both"/>
      </w:pPr>
      <w:r>
        <w:t xml:space="preserve">Interviews will be conducted online, recorded with consent, and </w:t>
      </w:r>
      <w:proofErr w:type="spellStart"/>
      <w:r>
        <w:t>analysed</w:t>
      </w:r>
      <w:proofErr w:type="spellEnd"/>
      <w:r>
        <w:t xml:space="preserve"> using thematic analysis (Braun &amp; Clarke, 2006).</w:t>
      </w:r>
    </w:p>
    <w:p w14:paraId="01E1067C" w14:textId="77777777" w:rsidR="00646977" w:rsidRDefault="00000000">
      <w:pPr>
        <w:pStyle w:val="Heading3"/>
      </w:pPr>
      <w:r>
        <w:t>9.3.4 Case Study</w:t>
      </w:r>
    </w:p>
    <w:p w14:paraId="30C28150" w14:textId="77777777" w:rsidR="00646977" w:rsidRDefault="00000000">
      <w:pPr>
        <w:spacing w:before="80" w:after="120"/>
        <w:jc w:val="both"/>
      </w:pPr>
      <w:r>
        <w:t>A single embedded case study of a modern OT environment will provide empirical grounding, following Yin (2018) case study methodology. Confidentiality agreements and ethical approval will govern data handling. Where organizational data cannot be disclosed, the case study will employ anonymization protocols consistent with academic research standards.</w:t>
      </w:r>
    </w:p>
    <w:p w14:paraId="30E7B1BB" w14:textId="77777777" w:rsidR="00646977" w:rsidRDefault="00000000">
      <w:pPr>
        <w:pStyle w:val="Heading2"/>
      </w:pPr>
      <w:r>
        <w:t>9.4 Framework Development and Validation</w:t>
      </w:r>
    </w:p>
    <w:p w14:paraId="439A3158" w14:textId="77777777" w:rsidR="00646977" w:rsidRDefault="00000000">
      <w:pPr>
        <w:spacing w:before="80" w:after="120"/>
        <w:jc w:val="both"/>
      </w:pPr>
      <w:r>
        <w:t>The governance framework will be developed through iterative synthesis of literature review findings, survey results, interview themes, and case study insights. Validation will employ a two-round Delphi method with a panel of 8 to 12 subject matter experts (Hasson et al., 2000), measuring consensus through statistical analysis of panel ratings. The Delphi approach is well-established in cybersecurity and governance framework development research.</w:t>
      </w:r>
    </w:p>
    <w:p w14:paraId="0D63D1B7" w14:textId="77777777" w:rsidR="00646977" w:rsidRDefault="00000000">
      <w:pPr>
        <w:pStyle w:val="Heading2"/>
      </w:pPr>
      <w:r>
        <w:t>9.5 Ethical Considerations</w:t>
      </w:r>
    </w:p>
    <w:p w14:paraId="49711DAA" w14:textId="77777777" w:rsidR="00646977" w:rsidRDefault="00000000">
      <w:pPr>
        <w:pStyle w:val="ListParagraph"/>
        <w:numPr>
          <w:ilvl w:val="0"/>
          <w:numId w:val="2"/>
        </w:numPr>
        <w:spacing w:before="60" w:after="60"/>
      </w:pPr>
      <w:r>
        <w:t>Ethical approval will be sought from Midocean University's research ethics committee prior to data collection</w:t>
      </w:r>
    </w:p>
    <w:p w14:paraId="138BE7D7" w14:textId="77777777" w:rsidR="00646977" w:rsidRDefault="00000000">
      <w:pPr>
        <w:pStyle w:val="ListParagraph"/>
        <w:numPr>
          <w:ilvl w:val="0"/>
          <w:numId w:val="2"/>
        </w:numPr>
        <w:spacing w:before="60" w:after="60"/>
      </w:pPr>
      <w:r>
        <w:lastRenderedPageBreak/>
        <w:t>All interview participants will provide informed consent; anonymity will be preserved in reporting</w:t>
      </w:r>
    </w:p>
    <w:p w14:paraId="7949D7DA" w14:textId="77777777" w:rsidR="00646977" w:rsidRDefault="00000000">
      <w:pPr>
        <w:pStyle w:val="ListParagraph"/>
        <w:numPr>
          <w:ilvl w:val="0"/>
          <w:numId w:val="2"/>
        </w:numPr>
        <w:spacing w:before="60" w:after="60"/>
      </w:pPr>
      <w:r>
        <w:t>Case study data will be handled under a confidentiality framework; sensitive operational details will be abstracted</w:t>
      </w:r>
    </w:p>
    <w:p w14:paraId="20EAC19B" w14:textId="77777777" w:rsidR="00646977" w:rsidRDefault="00000000">
      <w:pPr>
        <w:pStyle w:val="ListParagraph"/>
        <w:numPr>
          <w:ilvl w:val="0"/>
          <w:numId w:val="2"/>
        </w:numPr>
        <w:spacing w:before="60" w:after="60"/>
      </w:pPr>
      <w:r>
        <w:t>The researcher's dual role as practitioner and researcher will be managed through reflexivity documentation (Creswell &amp; Creswell, 2018)</w:t>
      </w:r>
    </w:p>
    <w:p w14:paraId="69121113" w14:textId="77777777" w:rsidR="00646977" w:rsidRDefault="00646977">
      <w:pPr>
        <w:spacing w:after="80"/>
      </w:pPr>
    </w:p>
    <w:p w14:paraId="752607D3" w14:textId="77777777" w:rsidR="00646977" w:rsidRDefault="00000000">
      <w:r>
        <w:br w:type="page"/>
      </w:r>
    </w:p>
    <w:p w14:paraId="4F072881" w14:textId="77777777" w:rsidR="00646977" w:rsidRDefault="00000000">
      <w:pPr>
        <w:pStyle w:val="Heading1"/>
      </w:pPr>
      <w:r>
        <w:lastRenderedPageBreak/>
        <w:t>10. Expected Contributions</w:t>
      </w:r>
    </w:p>
    <w:p w14:paraId="60A9CAA2" w14:textId="77777777" w:rsidR="00646977" w:rsidRDefault="00646977">
      <w:pPr>
        <w:pBdr>
          <w:bottom w:val="single" w:sz="6" w:space="1" w:color="2E75B6"/>
        </w:pBdr>
        <w:spacing w:before="120" w:after="120"/>
      </w:pPr>
    </w:p>
    <w:p w14:paraId="6CCF86A9" w14:textId="77777777" w:rsidR="00646977" w:rsidRDefault="00000000">
      <w:pPr>
        <w:spacing w:before="80" w:after="120"/>
        <w:jc w:val="both"/>
      </w:pPr>
      <w:r>
        <w:t>This research is expected to deliver three distinct layers of contribution:</w:t>
      </w:r>
    </w:p>
    <w:p w14:paraId="706DEB1E"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07891886"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3E1C320" w14:textId="77777777" w:rsidR="00646977" w:rsidRDefault="00000000">
            <w:r>
              <w:rPr>
                <w:b/>
                <w:bCs/>
                <w:color w:val="FFFFFF"/>
                <w:sz w:val="21"/>
                <w:szCs w:val="21"/>
              </w:rPr>
              <w:t>Contribution Type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7078BC0" w14:textId="77777777" w:rsidR="00646977" w:rsidRDefault="00000000">
            <w:r>
              <w:rPr>
                <w:b/>
                <w:bCs/>
                <w:color w:val="FFFFFF"/>
                <w:sz w:val="21"/>
                <w:szCs w:val="21"/>
              </w:rPr>
              <w:t>Description</w:t>
            </w:r>
          </w:p>
        </w:tc>
      </w:tr>
      <w:tr w:rsidR="00646977" w14:paraId="5B106C20"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7E8301" w14:textId="77777777" w:rsidR="00646977" w:rsidRDefault="00000000">
            <w:r>
              <w:rPr>
                <w:sz w:val="21"/>
                <w:szCs w:val="21"/>
              </w:rPr>
              <w:t>Theoretical</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748B4A" w14:textId="77777777" w:rsidR="00646977" w:rsidRDefault="00000000">
            <w:r>
              <w:rPr>
                <w:sz w:val="21"/>
                <w:szCs w:val="21"/>
              </w:rPr>
              <w:t>First peer-reviewed academic framework specifically addressing cybersecurity governance in modern OT environments, filling a confirmed gap in the literature (Knowles et al., 2015; ENISA, 2022)</w:t>
            </w:r>
          </w:p>
        </w:tc>
      </w:tr>
      <w:tr w:rsidR="00646977" w14:paraId="17F3E87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010E417" w14:textId="77777777" w:rsidR="00646977" w:rsidRDefault="00000000">
            <w:r>
              <w:rPr>
                <w:sz w:val="21"/>
                <w:szCs w:val="21"/>
              </w:rPr>
              <w:t>Practical</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30AFF60" w14:textId="77777777" w:rsidR="00646977" w:rsidRDefault="00000000">
            <w:r>
              <w:rPr>
                <w:sz w:val="21"/>
                <w:szCs w:val="21"/>
              </w:rPr>
              <w:t xml:space="preserve">A validated governance framework that OT-responsible CISOs and security teams can </w:t>
            </w:r>
            <w:proofErr w:type="gramStart"/>
            <w:r>
              <w:rPr>
                <w:sz w:val="21"/>
                <w:szCs w:val="21"/>
              </w:rPr>
              <w:t>operationalize</w:t>
            </w:r>
            <w:proofErr w:type="gramEnd"/>
            <w:r>
              <w:rPr>
                <w:sz w:val="21"/>
                <w:szCs w:val="21"/>
              </w:rPr>
              <w:t xml:space="preserve"> to manage IT/OT boundary risks introduced by emerging technologies (Dragos, 2024)</w:t>
            </w:r>
          </w:p>
        </w:tc>
      </w:tr>
      <w:tr w:rsidR="00646977" w14:paraId="4E6D39E6"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2A9206" w14:textId="77777777" w:rsidR="00646977" w:rsidRDefault="00000000">
            <w:r>
              <w:rPr>
                <w:sz w:val="21"/>
                <w:szCs w:val="21"/>
              </w:rPr>
              <w:t>Policy</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30B3C5" w14:textId="77777777" w:rsidR="00646977" w:rsidRDefault="00000000">
            <w:r>
              <w:rPr>
                <w:sz w:val="21"/>
                <w:szCs w:val="21"/>
              </w:rPr>
              <w:t>Evidence-based recommendations for national cybersecurity policy, directly applicable to NCA priority areas in OT Systems Security and Public Policy (NCA, 2021), with relevance for Saudi Vision 2030 infrastructure programs (Vision 2030, 2016)</w:t>
            </w:r>
          </w:p>
        </w:tc>
      </w:tr>
    </w:tbl>
    <w:p w14:paraId="4F531946" w14:textId="77777777" w:rsidR="00646977" w:rsidRDefault="00646977">
      <w:pPr>
        <w:spacing w:after="80"/>
      </w:pPr>
    </w:p>
    <w:p w14:paraId="41FD81C6" w14:textId="77777777" w:rsidR="00646977" w:rsidRDefault="00000000">
      <w:pPr>
        <w:spacing w:before="80" w:after="120"/>
        <w:jc w:val="both"/>
      </w:pPr>
      <w:r>
        <w:t>The research will also produce a minimum of two peer-reviewed journal articles submitted to relevant publications in the ICS/OT security and cybersecurity governance domains.</w:t>
      </w:r>
    </w:p>
    <w:p w14:paraId="35685F9F" w14:textId="77777777" w:rsidR="00646977" w:rsidRDefault="00646977">
      <w:pPr>
        <w:spacing w:after="80"/>
      </w:pPr>
    </w:p>
    <w:p w14:paraId="002936AD" w14:textId="77777777" w:rsidR="00646977" w:rsidRDefault="00000000">
      <w:r>
        <w:br w:type="page"/>
      </w:r>
    </w:p>
    <w:p w14:paraId="48232B24" w14:textId="77777777" w:rsidR="00646977" w:rsidRDefault="00000000">
      <w:pPr>
        <w:pStyle w:val="Heading1"/>
      </w:pPr>
      <w:r>
        <w:lastRenderedPageBreak/>
        <w:t>11. Research Timeline</w:t>
      </w:r>
    </w:p>
    <w:p w14:paraId="083AE8F0" w14:textId="77777777" w:rsidR="00646977" w:rsidRDefault="00646977">
      <w:pPr>
        <w:pBdr>
          <w:bottom w:val="single" w:sz="6" w:space="1" w:color="2E75B6"/>
        </w:pBdr>
        <w:spacing w:before="120" w:after="120"/>
      </w:pPr>
    </w:p>
    <w:p w14:paraId="5706ED6B" w14:textId="77777777" w:rsidR="00646977" w:rsidRDefault="00000000">
      <w:pPr>
        <w:spacing w:before="80" w:after="120"/>
        <w:jc w:val="both"/>
      </w:pPr>
      <w:r>
        <w:t>The research is designed to be completed within 24 months (Years 2 and 3 of the PhD program), targeting final submission by end of 2027.</w:t>
      </w:r>
    </w:p>
    <w:p w14:paraId="3FCEFE7C"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5960"/>
        <w:gridCol w:w="1700"/>
      </w:tblGrid>
      <w:tr w:rsidR="00646977" w14:paraId="56953FEE"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0305A202" w14:textId="77777777" w:rsidR="00646977" w:rsidRDefault="00000000">
            <w:r>
              <w:rPr>
                <w:b/>
                <w:bCs/>
                <w:color w:val="FFFFFF"/>
                <w:sz w:val="21"/>
                <w:szCs w:val="21"/>
              </w:rPr>
              <w:t>Period</w:t>
            </w:r>
          </w:p>
        </w:tc>
        <w:tc>
          <w:tcPr>
            <w:tcW w:w="596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0A24DABB" w14:textId="77777777" w:rsidR="00646977" w:rsidRDefault="00000000">
            <w:r>
              <w:rPr>
                <w:b/>
                <w:bCs/>
                <w:color w:val="FFFFFF"/>
                <w:sz w:val="21"/>
                <w:szCs w:val="21"/>
              </w:rPr>
              <w:t>Key Activities</w:t>
            </w:r>
          </w:p>
        </w:tc>
        <w:tc>
          <w:tcPr>
            <w:tcW w:w="17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2E7EDA9" w14:textId="77777777" w:rsidR="00646977" w:rsidRDefault="00000000">
            <w:r>
              <w:rPr>
                <w:b/>
                <w:bCs/>
                <w:color w:val="FFFFFF"/>
                <w:sz w:val="21"/>
                <w:szCs w:val="21"/>
              </w:rPr>
              <w:t>Milestone</w:t>
            </w:r>
          </w:p>
        </w:tc>
      </w:tr>
      <w:tr w:rsidR="00646977" w14:paraId="661D65B0"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C26C52" w14:textId="77777777" w:rsidR="00646977" w:rsidRDefault="00000000">
            <w:r>
              <w:rPr>
                <w:sz w:val="20"/>
                <w:szCs w:val="20"/>
              </w:rPr>
              <w:t>Months 1-3</w:t>
            </w:r>
          </w:p>
        </w:tc>
        <w:tc>
          <w:tcPr>
            <w:tcW w:w="59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C25DFA" w14:textId="77777777" w:rsidR="00646977" w:rsidRDefault="00000000">
            <w:proofErr w:type="spellStart"/>
            <w:r>
              <w:rPr>
                <w:sz w:val="20"/>
                <w:szCs w:val="20"/>
              </w:rPr>
              <w:t>Finalise</w:t>
            </w:r>
            <w:proofErr w:type="spellEnd"/>
            <w:r>
              <w:rPr>
                <w:sz w:val="20"/>
                <w:szCs w:val="20"/>
              </w:rPr>
              <w:t xml:space="preserve"> research proposal; supervisor approval; ethics application; begin systematic literature review</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9C3801" w14:textId="77777777" w:rsidR="00646977" w:rsidRDefault="00000000">
            <w:r>
              <w:rPr>
                <w:b/>
                <w:bCs/>
                <w:sz w:val="20"/>
                <w:szCs w:val="20"/>
              </w:rPr>
              <w:t>Proposal Approved</w:t>
            </w:r>
          </w:p>
        </w:tc>
      </w:tr>
      <w:tr w:rsidR="00646977" w14:paraId="765DAB91"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0D2FD49" w14:textId="77777777" w:rsidR="00646977" w:rsidRDefault="00000000">
            <w:r>
              <w:rPr>
                <w:sz w:val="20"/>
                <w:szCs w:val="20"/>
              </w:rPr>
              <w:t>Months 4-6</w:t>
            </w:r>
          </w:p>
        </w:tc>
        <w:tc>
          <w:tcPr>
            <w:tcW w:w="59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94BA606" w14:textId="77777777" w:rsidR="00646977" w:rsidRDefault="00000000">
            <w:r>
              <w:rPr>
                <w:sz w:val="20"/>
                <w:szCs w:val="20"/>
              </w:rPr>
              <w:t>Complete systematic literature review; design and pilot survey instrument; identify interview participants</w:t>
            </w:r>
          </w:p>
        </w:tc>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62CF91D" w14:textId="77777777" w:rsidR="00646977" w:rsidRDefault="00000000">
            <w:r>
              <w:rPr>
                <w:b/>
                <w:bCs/>
                <w:sz w:val="20"/>
                <w:szCs w:val="20"/>
              </w:rPr>
              <w:t>Literature Review Complete</w:t>
            </w:r>
          </w:p>
        </w:tc>
      </w:tr>
      <w:tr w:rsidR="00646977" w14:paraId="5CDD9B85"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8BD84F" w14:textId="77777777" w:rsidR="00646977" w:rsidRDefault="00000000">
            <w:r>
              <w:rPr>
                <w:sz w:val="20"/>
                <w:szCs w:val="20"/>
              </w:rPr>
              <w:t>Months 5-7</w:t>
            </w:r>
          </w:p>
        </w:tc>
        <w:tc>
          <w:tcPr>
            <w:tcW w:w="59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F60147" w14:textId="77777777" w:rsidR="00646977" w:rsidRDefault="00000000">
            <w:r>
              <w:rPr>
                <w:sz w:val="20"/>
                <w:szCs w:val="20"/>
              </w:rPr>
              <w:t>Administer quantitative survey; conduct statistical analysis of survey data</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9BCB92" w14:textId="77777777" w:rsidR="00646977" w:rsidRDefault="00000000">
            <w:r>
              <w:rPr>
                <w:b/>
                <w:bCs/>
                <w:sz w:val="20"/>
                <w:szCs w:val="20"/>
              </w:rPr>
              <w:t>Survey Data Collected</w:t>
            </w:r>
          </w:p>
        </w:tc>
      </w:tr>
      <w:tr w:rsidR="00646977" w14:paraId="71E81311"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CA42458" w14:textId="77777777" w:rsidR="00646977" w:rsidRDefault="00000000">
            <w:r>
              <w:rPr>
                <w:sz w:val="20"/>
                <w:szCs w:val="20"/>
              </w:rPr>
              <w:t>Months 6-10</w:t>
            </w:r>
          </w:p>
        </w:tc>
        <w:tc>
          <w:tcPr>
            <w:tcW w:w="59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0131472" w14:textId="77777777" w:rsidR="00646977" w:rsidRDefault="00000000">
            <w:r>
              <w:rPr>
                <w:sz w:val="20"/>
                <w:szCs w:val="20"/>
              </w:rPr>
              <w:t>Conduct expert interviews; thematic analysis of qualitative data</w:t>
            </w:r>
          </w:p>
        </w:tc>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7041009" w14:textId="77777777" w:rsidR="00646977" w:rsidRDefault="00000000">
            <w:r>
              <w:rPr>
                <w:b/>
                <w:bCs/>
                <w:sz w:val="20"/>
                <w:szCs w:val="20"/>
              </w:rPr>
              <w:t>Interviews Complete</w:t>
            </w:r>
          </w:p>
        </w:tc>
      </w:tr>
      <w:tr w:rsidR="00646977" w14:paraId="5A753D39"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306D15" w14:textId="77777777" w:rsidR="00646977" w:rsidRDefault="00000000">
            <w:r>
              <w:rPr>
                <w:sz w:val="20"/>
                <w:szCs w:val="20"/>
              </w:rPr>
              <w:t>Months 8-12</w:t>
            </w:r>
          </w:p>
        </w:tc>
        <w:tc>
          <w:tcPr>
            <w:tcW w:w="59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D5ACDA" w14:textId="77777777" w:rsidR="00646977" w:rsidRDefault="00000000">
            <w:r>
              <w:rPr>
                <w:sz w:val="20"/>
                <w:szCs w:val="20"/>
              </w:rPr>
              <w:t xml:space="preserve">Case study data collection and analysis; initial framework </w:t>
            </w:r>
            <w:proofErr w:type="spellStart"/>
            <w:r>
              <w:rPr>
                <w:sz w:val="20"/>
                <w:szCs w:val="20"/>
              </w:rPr>
              <w:t>conceptualisation</w:t>
            </w:r>
            <w:proofErr w:type="spellEnd"/>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54E22A" w14:textId="77777777" w:rsidR="00646977" w:rsidRDefault="00000000">
            <w:r>
              <w:rPr>
                <w:b/>
                <w:bCs/>
                <w:sz w:val="20"/>
                <w:szCs w:val="20"/>
              </w:rPr>
              <w:t>Case Study Complete</w:t>
            </w:r>
          </w:p>
        </w:tc>
      </w:tr>
      <w:tr w:rsidR="00646977" w14:paraId="485AD8E2"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EBA96FC" w14:textId="77777777" w:rsidR="00646977" w:rsidRDefault="00000000">
            <w:r>
              <w:rPr>
                <w:sz w:val="20"/>
                <w:szCs w:val="20"/>
              </w:rPr>
              <w:t>Months 11-15</w:t>
            </w:r>
          </w:p>
        </w:tc>
        <w:tc>
          <w:tcPr>
            <w:tcW w:w="59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73F353D" w14:textId="77777777" w:rsidR="00646977" w:rsidRDefault="00000000">
            <w:r>
              <w:rPr>
                <w:sz w:val="20"/>
                <w:szCs w:val="20"/>
              </w:rPr>
              <w:t>Draft governance framework; write Chapters 1 to 5</w:t>
            </w:r>
          </w:p>
        </w:tc>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EEA2A06" w14:textId="77777777" w:rsidR="00646977" w:rsidRDefault="00000000">
            <w:r>
              <w:rPr>
                <w:b/>
                <w:bCs/>
                <w:sz w:val="20"/>
                <w:szCs w:val="20"/>
              </w:rPr>
              <w:t>Framework Draft</w:t>
            </w:r>
          </w:p>
        </w:tc>
      </w:tr>
      <w:tr w:rsidR="00646977" w14:paraId="54A31A46"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3F327D" w14:textId="77777777" w:rsidR="00646977" w:rsidRDefault="00000000">
            <w:r>
              <w:rPr>
                <w:sz w:val="20"/>
                <w:szCs w:val="20"/>
              </w:rPr>
              <w:t>Months 14-18</w:t>
            </w:r>
          </w:p>
        </w:tc>
        <w:tc>
          <w:tcPr>
            <w:tcW w:w="59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80BDD3" w14:textId="77777777" w:rsidR="00646977" w:rsidRDefault="00000000">
            <w:r>
              <w:rPr>
                <w:sz w:val="20"/>
                <w:szCs w:val="20"/>
              </w:rPr>
              <w:t>Delphi validation rounds; refine framework based on expert panel (Hasson et al., 2000)</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FF2E61" w14:textId="77777777" w:rsidR="00646977" w:rsidRDefault="00000000">
            <w:r>
              <w:rPr>
                <w:b/>
                <w:bCs/>
                <w:sz w:val="20"/>
                <w:szCs w:val="20"/>
              </w:rPr>
              <w:t>Framework Validated</w:t>
            </w:r>
          </w:p>
        </w:tc>
      </w:tr>
      <w:tr w:rsidR="00646977" w14:paraId="4F2049EE"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033E3DF" w14:textId="77777777" w:rsidR="00646977" w:rsidRDefault="00000000">
            <w:r>
              <w:rPr>
                <w:sz w:val="20"/>
                <w:szCs w:val="20"/>
              </w:rPr>
              <w:t>Months 19-21</w:t>
            </w:r>
          </w:p>
        </w:tc>
        <w:tc>
          <w:tcPr>
            <w:tcW w:w="59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1B99FD4" w14:textId="77777777" w:rsidR="00646977" w:rsidRDefault="00000000">
            <w:r>
              <w:rPr>
                <w:sz w:val="20"/>
                <w:szCs w:val="20"/>
              </w:rPr>
              <w:t>Write Chapters 6 and 7; journal article submissions</w:t>
            </w:r>
          </w:p>
        </w:tc>
        <w:tc>
          <w:tcPr>
            <w:tcW w:w="17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9355C3C" w14:textId="77777777" w:rsidR="00646977" w:rsidRDefault="00000000">
            <w:r>
              <w:rPr>
                <w:b/>
                <w:bCs/>
                <w:sz w:val="20"/>
                <w:szCs w:val="20"/>
              </w:rPr>
              <w:t>Draft Thesis 70%</w:t>
            </w:r>
          </w:p>
        </w:tc>
      </w:tr>
      <w:tr w:rsidR="00646977" w14:paraId="6F88C6C4" w14:textId="77777777">
        <w:tblPrEx>
          <w:tblCellMar>
            <w:top w:w="0" w:type="dxa"/>
            <w:bottom w:w="0" w:type="dxa"/>
          </w:tblCellMar>
        </w:tblPrEx>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C10B06" w14:textId="77777777" w:rsidR="00646977" w:rsidRDefault="00000000">
            <w:r>
              <w:rPr>
                <w:sz w:val="20"/>
                <w:szCs w:val="20"/>
              </w:rPr>
              <w:t>Months 22-24</w:t>
            </w:r>
          </w:p>
        </w:tc>
        <w:tc>
          <w:tcPr>
            <w:tcW w:w="59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D0BDAC" w14:textId="77777777" w:rsidR="00646977" w:rsidRDefault="00000000">
            <w:r>
              <w:rPr>
                <w:sz w:val="20"/>
                <w:szCs w:val="20"/>
              </w:rPr>
              <w:t>Final thesis writing; internal review; submission</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0936D2" w14:textId="77777777" w:rsidR="00646977" w:rsidRDefault="00000000">
            <w:r>
              <w:rPr>
                <w:b/>
                <w:bCs/>
                <w:sz w:val="20"/>
                <w:szCs w:val="20"/>
              </w:rPr>
              <w:t>Thesis Submitted</w:t>
            </w:r>
          </w:p>
        </w:tc>
      </w:tr>
    </w:tbl>
    <w:p w14:paraId="6D3E3B0C" w14:textId="77777777" w:rsidR="00646977" w:rsidRDefault="00646977">
      <w:pPr>
        <w:spacing w:after="80"/>
      </w:pPr>
    </w:p>
    <w:p w14:paraId="076C204B" w14:textId="77777777" w:rsidR="00646977" w:rsidRDefault="00000000">
      <w:r>
        <w:br w:type="page"/>
      </w:r>
    </w:p>
    <w:p w14:paraId="5A1F8422" w14:textId="77777777" w:rsidR="00646977" w:rsidRDefault="00000000">
      <w:pPr>
        <w:pStyle w:val="Heading1"/>
      </w:pPr>
      <w:r>
        <w:lastRenderedPageBreak/>
        <w:t>12. National Cybersecurity Authority Alignment</w:t>
      </w:r>
    </w:p>
    <w:p w14:paraId="061CF09C" w14:textId="77777777" w:rsidR="00646977" w:rsidRDefault="00646977">
      <w:pPr>
        <w:pBdr>
          <w:bottom w:val="single" w:sz="6" w:space="1" w:color="2E75B6"/>
        </w:pBdr>
        <w:spacing w:before="120" w:after="120"/>
      </w:pPr>
    </w:p>
    <w:p w14:paraId="1F474580" w14:textId="77777777" w:rsidR="00646977" w:rsidRDefault="00000000">
      <w:pPr>
        <w:spacing w:before="80" w:after="120"/>
        <w:jc w:val="both"/>
      </w:pPr>
      <w:r>
        <w:t>This research is explicitly designed to support Saudi Arabia's national cybersecurity priorities as articulated by the NCA (NCA, 2021). The table below maps each NCA scholarship research focus area to the relevant dimensions of this research:</w:t>
      </w:r>
    </w:p>
    <w:p w14:paraId="0C41F527" w14:textId="77777777" w:rsidR="00646977" w:rsidRDefault="00646977">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646977" w14:paraId="74FD605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9668EBE" w14:textId="77777777" w:rsidR="00646977" w:rsidRDefault="00000000">
            <w:r>
              <w:rPr>
                <w:b/>
                <w:bCs/>
                <w:color w:val="FFFFFF"/>
                <w:sz w:val="21"/>
                <w:szCs w:val="21"/>
              </w:rPr>
              <w:t>NCA Priority Area</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E7EE3FE" w14:textId="77777777" w:rsidR="00646977" w:rsidRDefault="00000000">
            <w:r>
              <w:rPr>
                <w:b/>
                <w:bCs/>
                <w:color w:val="FFFFFF"/>
                <w:sz w:val="21"/>
                <w:szCs w:val="21"/>
              </w:rPr>
              <w:t>Research Alignment</w:t>
            </w:r>
          </w:p>
        </w:tc>
      </w:tr>
      <w:tr w:rsidR="00646977" w14:paraId="58EAA72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66A880" w14:textId="77777777" w:rsidR="00646977" w:rsidRDefault="00000000">
            <w:r>
              <w:rPr>
                <w:sz w:val="21"/>
                <w:szCs w:val="21"/>
              </w:rPr>
              <w:t>Operational Technology Systems Security</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5B12BC" w14:textId="77777777" w:rsidR="00646977" w:rsidRDefault="00000000">
            <w:r>
              <w:rPr>
                <w:sz w:val="21"/>
                <w:szCs w:val="21"/>
              </w:rPr>
              <w:t xml:space="preserve">This is the core research focus. The entire framework development, expert interviews, and case study analysis are </w:t>
            </w:r>
            <w:proofErr w:type="spellStart"/>
            <w:r>
              <w:rPr>
                <w:sz w:val="21"/>
                <w:szCs w:val="21"/>
              </w:rPr>
              <w:t>centred</w:t>
            </w:r>
            <w:proofErr w:type="spellEnd"/>
            <w:r>
              <w:rPr>
                <w:sz w:val="21"/>
                <w:szCs w:val="21"/>
              </w:rPr>
              <w:t xml:space="preserve"> on OT security governance in modern industrial environments, directly addressing NCA's priority (NCA, 2021)</w:t>
            </w:r>
          </w:p>
        </w:tc>
      </w:tr>
      <w:tr w:rsidR="00646977" w14:paraId="1547665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D1AD8D6" w14:textId="77777777" w:rsidR="00646977" w:rsidRDefault="00000000">
            <w:r>
              <w:rPr>
                <w:sz w:val="21"/>
                <w:szCs w:val="21"/>
              </w:rPr>
              <w:t>Cybersecurity-related Public Policies</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9FD4B87" w14:textId="77777777" w:rsidR="00646977" w:rsidRDefault="00000000">
            <w:r>
              <w:rPr>
                <w:sz w:val="21"/>
                <w:szCs w:val="21"/>
              </w:rPr>
              <w:t>Policy contribution is an explicit research output. The validated framework will include national policy recommendations applicable to NCA guidelines and Saudi Vision 2030 infrastructure strategy (Vision 2030, 2016)</w:t>
            </w:r>
          </w:p>
        </w:tc>
      </w:tr>
      <w:tr w:rsidR="00646977" w14:paraId="60B580F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2CF6F5" w14:textId="77777777" w:rsidR="00646977" w:rsidRDefault="00000000">
            <w:r>
              <w:rPr>
                <w:sz w:val="21"/>
                <w:szCs w:val="21"/>
              </w:rPr>
              <w:t>Cybersecurity in Emerging Technologies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0B046D" w14:textId="77777777" w:rsidR="00646977" w:rsidRDefault="00000000">
            <w:r>
              <w:rPr>
                <w:sz w:val="21"/>
                <w:szCs w:val="21"/>
              </w:rPr>
              <w:t xml:space="preserve">Addressed as a primary risk dimension. AI, 5G, and cloud integration at the IT/OT boundary are investigated as the key emerging technology risk vectors within OT environments (Boyes et al., 2018; </w:t>
            </w:r>
            <w:proofErr w:type="spellStart"/>
            <w:r>
              <w:rPr>
                <w:sz w:val="21"/>
                <w:szCs w:val="21"/>
              </w:rPr>
              <w:t>Claroty</w:t>
            </w:r>
            <w:proofErr w:type="spellEnd"/>
            <w:r>
              <w:rPr>
                <w:sz w:val="21"/>
                <w:szCs w:val="21"/>
              </w:rPr>
              <w:t>, 2024)</w:t>
            </w:r>
          </w:p>
        </w:tc>
      </w:tr>
    </w:tbl>
    <w:p w14:paraId="2E218CDA" w14:textId="77777777" w:rsidR="00646977" w:rsidRDefault="00646977">
      <w:pPr>
        <w:spacing w:after="80"/>
      </w:pPr>
    </w:p>
    <w:p w14:paraId="58254A1B" w14:textId="77777777" w:rsidR="00646977" w:rsidRDefault="00000000">
      <w:pPr>
        <w:spacing w:before="80" w:after="120"/>
        <w:jc w:val="both"/>
      </w:pPr>
      <w:r>
        <w:t>While this research is independently conducted, its alignment with NCA priority areas ensures that findings will be directly relevant to Saudi Arabia's cybersecurity strategy and could contribute to future NCA guidance on OT security governance.</w:t>
      </w:r>
    </w:p>
    <w:p w14:paraId="2998CF84" w14:textId="77777777" w:rsidR="00646977" w:rsidRDefault="00646977">
      <w:pPr>
        <w:spacing w:after="80"/>
      </w:pPr>
    </w:p>
    <w:p w14:paraId="665DCF65" w14:textId="77777777" w:rsidR="00646977" w:rsidRDefault="00000000">
      <w:r>
        <w:br w:type="page"/>
      </w:r>
    </w:p>
    <w:p w14:paraId="37EA4ABB" w14:textId="77777777" w:rsidR="00646977" w:rsidRDefault="00000000">
      <w:pPr>
        <w:pStyle w:val="Heading1"/>
      </w:pPr>
      <w:r>
        <w:lastRenderedPageBreak/>
        <w:t>13. Researcher Positionality and Unique Advantage</w:t>
      </w:r>
    </w:p>
    <w:p w14:paraId="3241B722" w14:textId="77777777" w:rsidR="00646977" w:rsidRDefault="00646977">
      <w:pPr>
        <w:pBdr>
          <w:bottom w:val="single" w:sz="6" w:space="1" w:color="2E75B6"/>
        </w:pBdr>
        <w:spacing w:before="120" w:after="120"/>
      </w:pPr>
    </w:p>
    <w:p w14:paraId="1E1B6CF8" w14:textId="77777777" w:rsidR="00646977" w:rsidRDefault="00000000">
      <w:pPr>
        <w:spacing w:before="80" w:after="120"/>
        <w:jc w:val="both"/>
      </w:pPr>
      <w:r>
        <w:t>The researcher brings an exceptionally relevant practitioner background to this PhD. As the CISO of NEOM Green Hydrogen Company, the researcher oversees cybersecurity governance for one of the world's most prominent modern OT environments: a greenfield industrial installation integrating hydrogen production, renewable energy systems, and advanced digital infrastructure.</w:t>
      </w:r>
    </w:p>
    <w:p w14:paraId="1D3022DD" w14:textId="77777777" w:rsidR="00646977" w:rsidRDefault="00000000">
      <w:pPr>
        <w:spacing w:before="80" w:after="120"/>
        <w:jc w:val="both"/>
      </w:pPr>
      <w:r>
        <w:t xml:space="preserve">This positionality </w:t>
      </w:r>
      <w:proofErr w:type="gramStart"/>
      <w:r>
        <w:t>confers</w:t>
      </w:r>
      <w:proofErr w:type="gramEnd"/>
      <w:r>
        <w:t xml:space="preserve"> several research advantages:</w:t>
      </w:r>
    </w:p>
    <w:p w14:paraId="5AB637AC" w14:textId="77777777" w:rsidR="00646977" w:rsidRDefault="00000000">
      <w:pPr>
        <w:pStyle w:val="ListParagraph"/>
        <w:numPr>
          <w:ilvl w:val="0"/>
          <w:numId w:val="2"/>
        </w:numPr>
        <w:spacing w:before="60" w:after="60"/>
      </w:pPr>
      <w:r>
        <w:t>Direct access to real-world governance challenges that form the empirical foundation of the research problem</w:t>
      </w:r>
    </w:p>
    <w:p w14:paraId="1B82B4F4" w14:textId="77777777" w:rsidR="00646977" w:rsidRDefault="00000000">
      <w:pPr>
        <w:pStyle w:val="ListParagraph"/>
        <w:numPr>
          <w:ilvl w:val="0"/>
          <w:numId w:val="2"/>
        </w:numPr>
        <w:spacing w:before="60" w:after="60"/>
      </w:pPr>
      <w:r>
        <w:t>Professional networks within the OT security, ICS, and critical infrastructure communities that facilitate expert interview and survey recruitment</w:t>
      </w:r>
    </w:p>
    <w:p w14:paraId="0064A499" w14:textId="77777777" w:rsidR="00646977" w:rsidRDefault="00000000">
      <w:pPr>
        <w:pStyle w:val="ListParagraph"/>
        <w:numPr>
          <w:ilvl w:val="0"/>
          <w:numId w:val="2"/>
        </w:numPr>
        <w:spacing w:before="60" w:after="60"/>
      </w:pPr>
      <w:r>
        <w:t>Practitioner credibility that enhances the quality and depth of expert interviews</w:t>
      </w:r>
    </w:p>
    <w:p w14:paraId="300B3EA6" w14:textId="77777777" w:rsidR="00646977" w:rsidRDefault="00000000">
      <w:pPr>
        <w:pStyle w:val="ListParagraph"/>
        <w:numPr>
          <w:ilvl w:val="0"/>
          <w:numId w:val="2"/>
        </w:numPr>
        <w:spacing w:before="60" w:after="60"/>
      </w:pPr>
      <w:r>
        <w:t>Insider knowledge of the specific gaps between academic frameworks and operational reality</w:t>
      </w:r>
    </w:p>
    <w:p w14:paraId="3A6F4192" w14:textId="77777777" w:rsidR="00646977" w:rsidRDefault="00000000">
      <w:pPr>
        <w:spacing w:before="80" w:after="120"/>
        <w:jc w:val="both"/>
      </w:pPr>
      <w:r>
        <w:t>The researcher is aware of the methodological implications of insider research and will address these through reflexivity documentation, clear boundary-setting between organizational and research roles, and rigorous confidentiality protocols (Creswell &amp; Creswell, 2018).</w:t>
      </w:r>
    </w:p>
    <w:p w14:paraId="5933490B" w14:textId="77777777" w:rsidR="00646977" w:rsidRDefault="00646977">
      <w:pPr>
        <w:spacing w:after="80"/>
      </w:pPr>
    </w:p>
    <w:p w14:paraId="1F85FE05" w14:textId="77777777" w:rsidR="00646977" w:rsidRDefault="00000000">
      <w:r>
        <w:br w:type="page"/>
      </w:r>
    </w:p>
    <w:p w14:paraId="726EC32E" w14:textId="77777777" w:rsidR="00646977" w:rsidRDefault="00000000">
      <w:pPr>
        <w:pStyle w:val="Heading1"/>
      </w:pPr>
      <w:r>
        <w:lastRenderedPageBreak/>
        <w:t>14. References</w:t>
      </w:r>
    </w:p>
    <w:p w14:paraId="1E42B2D9" w14:textId="77777777" w:rsidR="00646977" w:rsidRDefault="00646977">
      <w:pPr>
        <w:pBdr>
          <w:bottom w:val="single" w:sz="6" w:space="1" w:color="2E75B6"/>
        </w:pBdr>
        <w:spacing w:before="120" w:after="120"/>
      </w:pPr>
    </w:p>
    <w:p w14:paraId="7FD40179" w14:textId="77777777" w:rsidR="00646977" w:rsidRDefault="00000000">
      <w:pPr>
        <w:spacing w:before="80" w:after="120"/>
        <w:jc w:val="both"/>
      </w:pPr>
      <w:r>
        <w:t>All references are formatted in accordance with APA 7th Edition. A comprehensive bibliography will be developed as the systematic literature review is completed.</w:t>
      </w:r>
    </w:p>
    <w:p w14:paraId="03498C93" w14:textId="77777777" w:rsidR="00646977" w:rsidRDefault="00646977">
      <w:pPr>
        <w:spacing w:after="80"/>
      </w:pPr>
    </w:p>
    <w:p w14:paraId="37A2A291" w14:textId="77777777" w:rsidR="00646977" w:rsidRDefault="00000000">
      <w:pPr>
        <w:spacing w:before="80" w:after="40"/>
        <w:jc w:val="both"/>
      </w:pPr>
      <w:r>
        <w:t>Baron, R. M., &amp; Kenny, D. A. (1986). The moderator-mediator variable distinction in social psychological research: Conceptual, strategic, and statistical considerations. Journal of Personality and Social Psychology, 51(6), 1173-1182. https://doi.org/10.1037/0022-3514.51.6.1173</w:t>
      </w:r>
    </w:p>
    <w:p w14:paraId="7543733C" w14:textId="77777777" w:rsidR="00646977" w:rsidRDefault="00646977"/>
    <w:p w14:paraId="37A8BE7B" w14:textId="77777777" w:rsidR="00646977" w:rsidRDefault="00000000">
      <w:pPr>
        <w:spacing w:before="80" w:after="40"/>
        <w:jc w:val="both"/>
      </w:pPr>
      <w:r>
        <w:t>Boyes, H., Hallaq, B., Cunningham, J., &amp; Watson, T. (2018). The industrial internet of things (</w:t>
      </w:r>
      <w:proofErr w:type="spellStart"/>
      <w:r>
        <w:t>IIoT</w:t>
      </w:r>
      <w:proofErr w:type="spellEnd"/>
      <w:r>
        <w:t>): An analysis framework. Computers in Industry, 101, 1-12. https://doi.org/10.1016/j.compind.2018.04.015</w:t>
      </w:r>
    </w:p>
    <w:p w14:paraId="5FA04DEC" w14:textId="77777777" w:rsidR="00646977" w:rsidRDefault="00646977"/>
    <w:p w14:paraId="23DA3D63" w14:textId="77777777" w:rsidR="00646977" w:rsidRDefault="00000000">
      <w:pPr>
        <w:spacing w:before="80" w:after="40"/>
        <w:jc w:val="both"/>
      </w:pPr>
      <w:r>
        <w:t>Braun, V., &amp; Clarke, V. (2006). Using thematic analysis in psychology. Qualitative Research in Psychology, 3(2), 77-101. https://doi.org/10.1191/1478088706qp063oa</w:t>
      </w:r>
    </w:p>
    <w:p w14:paraId="0671D2F7" w14:textId="77777777" w:rsidR="00646977" w:rsidRDefault="00646977"/>
    <w:p w14:paraId="57B6F298" w14:textId="77777777" w:rsidR="00646977" w:rsidRDefault="00000000">
      <w:pPr>
        <w:spacing w:before="80" w:after="40"/>
        <w:jc w:val="both"/>
      </w:pPr>
      <w:proofErr w:type="spellStart"/>
      <w:r>
        <w:t>Cheminod</w:t>
      </w:r>
      <w:proofErr w:type="spellEnd"/>
      <w:r>
        <w:t>, M., Durante, L., &amp; Valenzano, A. (2013). Review of security issues in industrial networks. IEEE Transactions on Industrial Informatics, 9(1), 277-293. https://doi.org/10.1109/TII.2012.2198666</w:t>
      </w:r>
    </w:p>
    <w:p w14:paraId="20859926" w14:textId="77777777" w:rsidR="00646977" w:rsidRDefault="00646977"/>
    <w:p w14:paraId="4050F7CF" w14:textId="77777777" w:rsidR="00646977" w:rsidRDefault="00000000">
      <w:pPr>
        <w:spacing w:before="80" w:after="40"/>
        <w:jc w:val="both"/>
      </w:pPr>
      <w:proofErr w:type="spellStart"/>
      <w:r>
        <w:t>Claroty</w:t>
      </w:r>
      <w:proofErr w:type="spellEnd"/>
      <w:r>
        <w:t xml:space="preserve">. (2024). The global state of industrial cybersecurity 2024. </w:t>
      </w:r>
      <w:proofErr w:type="spellStart"/>
      <w:r>
        <w:t>Claroty</w:t>
      </w:r>
      <w:proofErr w:type="spellEnd"/>
      <w:r>
        <w:t xml:space="preserve"> Research. Retrieved April 2026, from https://claroty.com/resources/reports</w:t>
      </w:r>
    </w:p>
    <w:p w14:paraId="7D3F9218" w14:textId="77777777" w:rsidR="00646977" w:rsidRDefault="00646977"/>
    <w:p w14:paraId="0AD49104" w14:textId="77777777" w:rsidR="00646977" w:rsidRDefault="00000000">
      <w:pPr>
        <w:spacing w:before="80" w:after="40"/>
        <w:jc w:val="both"/>
      </w:pPr>
      <w:r>
        <w:t xml:space="preserve">Creswell, J. W., &amp; Creswell, J. D. (2018). Research design: Qualitative, quantitative, and mixed methods </w:t>
      </w:r>
      <w:proofErr w:type="gramStart"/>
      <w:r>
        <w:t>approaches</w:t>
      </w:r>
      <w:proofErr w:type="gramEnd"/>
      <w:r>
        <w:t xml:space="preserve"> (5th ed.). SAGE Publications.</w:t>
      </w:r>
    </w:p>
    <w:p w14:paraId="17CC0851" w14:textId="77777777" w:rsidR="00646977" w:rsidRDefault="00646977"/>
    <w:p w14:paraId="0967D84E" w14:textId="77777777" w:rsidR="00646977" w:rsidRDefault="00000000">
      <w:pPr>
        <w:spacing w:before="80" w:after="40"/>
        <w:jc w:val="both"/>
      </w:pPr>
      <w:r>
        <w:t>Dragos, Inc. (2024). ICS/OT cybersecurity year in review 2024. Dragos, Inc. Retrieved April 2026, from https://www.dragos.com/year-in-review/</w:t>
      </w:r>
    </w:p>
    <w:p w14:paraId="6FE1E9BF" w14:textId="77777777" w:rsidR="00646977" w:rsidRDefault="00646977"/>
    <w:p w14:paraId="48D1342E" w14:textId="77777777" w:rsidR="00646977" w:rsidRDefault="00000000">
      <w:pPr>
        <w:spacing w:before="80" w:after="40"/>
        <w:jc w:val="both"/>
      </w:pPr>
      <w:r>
        <w:t>ENISA. (2022). Good practices for security of industrial control systems. European Union Agency for Cybersecurity. https://doi.org/10.2824/18400</w:t>
      </w:r>
    </w:p>
    <w:p w14:paraId="1CCBA2DA" w14:textId="77777777" w:rsidR="00646977" w:rsidRDefault="00646977"/>
    <w:p w14:paraId="4B334C60" w14:textId="77777777" w:rsidR="00646977" w:rsidRDefault="00000000">
      <w:pPr>
        <w:spacing w:before="80" w:after="40"/>
        <w:jc w:val="both"/>
      </w:pPr>
      <w:r>
        <w:t>Field, A. (2018). Discovering statistics using IBM SPSS statistics (5th ed.). SAGE Publications.</w:t>
      </w:r>
    </w:p>
    <w:p w14:paraId="0A05EE26" w14:textId="77777777" w:rsidR="00646977" w:rsidRDefault="00646977"/>
    <w:p w14:paraId="208DD12B" w14:textId="77777777" w:rsidR="00646977" w:rsidRDefault="00000000">
      <w:pPr>
        <w:spacing w:before="80" w:after="40"/>
        <w:jc w:val="both"/>
      </w:pPr>
      <w:r>
        <w:t>Hasson, F., Keeney, S., &amp; McKenna, H. (2000). Research guidelines for the Delphi survey technique. Journal of Advanced Nursing, 32(4), 1008-1015. https://doi.org/10.1046/j.1365-2648.2000.t01-1-01567.x</w:t>
      </w:r>
    </w:p>
    <w:p w14:paraId="7B9E1C49" w14:textId="77777777" w:rsidR="00646977" w:rsidRDefault="00646977"/>
    <w:p w14:paraId="7BB0092A" w14:textId="77777777" w:rsidR="00646977" w:rsidRDefault="00000000">
      <w:pPr>
        <w:spacing w:before="80" w:after="40"/>
        <w:jc w:val="both"/>
      </w:pPr>
      <w:r>
        <w:t>International Society of Automation. (2018). ISA/IEC 62443 series: Security for industrial automation and control systems. ISA. https://www.isa.org/standards-and-publications/isa-standards/isa-iec-62443-series-of-standards</w:t>
      </w:r>
    </w:p>
    <w:p w14:paraId="2B5C78C9" w14:textId="77777777" w:rsidR="00646977" w:rsidRDefault="00646977"/>
    <w:p w14:paraId="1592797C" w14:textId="77777777" w:rsidR="00646977" w:rsidRDefault="00000000">
      <w:pPr>
        <w:spacing w:before="80" w:after="40"/>
        <w:jc w:val="both"/>
      </w:pPr>
      <w:r>
        <w:lastRenderedPageBreak/>
        <w:t xml:space="preserve">Knowles, W., Prince, D., Hutchison, D., </w:t>
      </w:r>
      <w:proofErr w:type="spellStart"/>
      <w:r>
        <w:t>Disso</w:t>
      </w:r>
      <w:proofErr w:type="spellEnd"/>
      <w:r>
        <w:t>, J. F. P., &amp; Jones, K. (2015). A survey of cyber security management in industrial control systems. International Journal of Critical Infrastructure Protection, 9, 52-80. https://doi.org/10.1016/j.ijcip.2015.02.002</w:t>
      </w:r>
    </w:p>
    <w:p w14:paraId="2F4B41F2" w14:textId="77777777" w:rsidR="00646977" w:rsidRDefault="00646977"/>
    <w:p w14:paraId="752DA7B8" w14:textId="77777777" w:rsidR="00646977" w:rsidRDefault="00000000">
      <w:pPr>
        <w:spacing w:before="80" w:after="40"/>
        <w:jc w:val="both"/>
      </w:pPr>
      <w:r>
        <w:t>Langner, R. (2011). Stuxnet: Dissecting a cyberweapon. IEEE Security and Privacy, 9(3), 49-51. https://doi.org/10.1109/MSP.2011.67</w:t>
      </w:r>
    </w:p>
    <w:p w14:paraId="738830A2" w14:textId="77777777" w:rsidR="00646977" w:rsidRDefault="00646977"/>
    <w:p w14:paraId="4ABE9B2E" w14:textId="77777777" w:rsidR="00646977" w:rsidRDefault="00000000">
      <w:pPr>
        <w:spacing w:before="80" w:after="40"/>
        <w:jc w:val="both"/>
      </w:pPr>
      <w:r>
        <w:t xml:space="preserve">Lee, R. M., Assante, M. J., &amp; Conway, T. (2016). Analysis of the </w:t>
      </w:r>
      <w:proofErr w:type="spellStart"/>
      <w:r>
        <w:t>cyber attack</w:t>
      </w:r>
      <w:proofErr w:type="spellEnd"/>
      <w:r>
        <w:t xml:space="preserve"> on the Ukrainian power grid. SANS ICS and E-ISAC. https://www.nerc.com/pa/CI/ESISAC/Documents/E-ISAC_SANS_Ukraine_DUC_18Mar2016.pdf</w:t>
      </w:r>
    </w:p>
    <w:p w14:paraId="0D5415F2" w14:textId="77777777" w:rsidR="00646977" w:rsidRDefault="00646977"/>
    <w:p w14:paraId="6DDA9D68" w14:textId="77777777" w:rsidR="00646977" w:rsidRDefault="00000000">
      <w:pPr>
        <w:spacing w:before="80" w:after="40"/>
        <w:jc w:val="both"/>
      </w:pPr>
      <w:r>
        <w:t>National Cybersecurity Authority. (2021). National cybersecurity strategy. Kingdom of Saudi Arabia. https://nca.gov.sa</w:t>
      </w:r>
    </w:p>
    <w:p w14:paraId="76D59D55" w14:textId="77777777" w:rsidR="00646977" w:rsidRDefault="00646977"/>
    <w:p w14:paraId="7C01BE23" w14:textId="77777777" w:rsidR="00646977" w:rsidRDefault="00000000">
      <w:pPr>
        <w:spacing w:before="80" w:after="40"/>
        <w:jc w:val="both"/>
      </w:pPr>
      <w:r>
        <w:t>NERC. (2020). NERC CIP standards: Critical infrastructure protection. North American Electric Reliability Corporation. https://www.nerc.com/pa/Stand/Pages/CIPStandards.aspx</w:t>
      </w:r>
    </w:p>
    <w:p w14:paraId="69E83315" w14:textId="77777777" w:rsidR="00646977" w:rsidRDefault="00646977"/>
    <w:p w14:paraId="0BFC9BE7" w14:textId="77777777" w:rsidR="00646977" w:rsidRDefault="00000000">
      <w:pPr>
        <w:spacing w:before="80" w:after="40"/>
        <w:jc w:val="both"/>
      </w:pPr>
      <w:r>
        <w:t xml:space="preserve">Page, M. J., McKenzie, J. E., Bossuyt, P. M., </w:t>
      </w:r>
      <w:proofErr w:type="spellStart"/>
      <w:r>
        <w:t>Boutron</w:t>
      </w:r>
      <w:proofErr w:type="spellEnd"/>
      <w:r>
        <w:t>, I., Hoffmann, T. C., Mulrow, C. D., &amp; Moher, D. (2021). The PRISMA 2020 statement: An updated guideline for reporting systematic reviews. BMJ, 372, n71. https://doi.org/10.1136/bmj.n71</w:t>
      </w:r>
    </w:p>
    <w:p w14:paraId="74F59647" w14:textId="77777777" w:rsidR="00646977" w:rsidRDefault="00646977"/>
    <w:p w14:paraId="0C9305D3" w14:textId="77777777" w:rsidR="00646977" w:rsidRDefault="00000000">
      <w:pPr>
        <w:spacing w:before="80" w:after="40"/>
        <w:jc w:val="both"/>
      </w:pPr>
      <w:r>
        <w:t xml:space="preserve">Paulk, M. C., Curtis, B., </w:t>
      </w:r>
      <w:proofErr w:type="spellStart"/>
      <w:r>
        <w:t>Chrissis</w:t>
      </w:r>
      <w:proofErr w:type="spellEnd"/>
      <w:r>
        <w:t>, M. B., &amp; Weber, C. V. (1993). Capability maturity model for software, version 1.1 (CMU/SEI-93-TR-024). Software Engineering Institute, Carnegie Mellon University.</w:t>
      </w:r>
    </w:p>
    <w:p w14:paraId="7F533602" w14:textId="77777777" w:rsidR="00646977" w:rsidRDefault="00646977"/>
    <w:p w14:paraId="364BDA12" w14:textId="77777777" w:rsidR="00646977" w:rsidRDefault="00000000">
      <w:pPr>
        <w:spacing w:before="80" w:after="40"/>
        <w:jc w:val="both"/>
      </w:pPr>
      <w:r>
        <w:t>Stouffer, K., Lightman, S., Pillitteri, V., Abrams, M., &amp; Hahn, A. (2023). Guide to operational technology (OT) security (NIST Special Publication 800-82, Rev. 3). National Institute of Standards and Technology. https://doi.org/10.6028/NIST.SP.800-82r3</w:t>
      </w:r>
    </w:p>
    <w:p w14:paraId="16F9BB62" w14:textId="77777777" w:rsidR="00646977" w:rsidRDefault="00646977"/>
    <w:p w14:paraId="05966616" w14:textId="77777777" w:rsidR="00646977" w:rsidRDefault="00000000">
      <w:pPr>
        <w:spacing w:before="80" w:after="40"/>
        <w:jc w:val="both"/>
      </w:pPr>
      <w:r>
        <w:t>Vision 2030. (2016). Vision 2030 Kingdom of Saudi Arabia. Kingdom of Saudi Arabia. https://www.vision2030.gov.sa</w:t>
      </w:r>
    </w:p>
    <w:p w14:paraId="75D71868" w14:textId="77777777" w:rsidR="00646977" w:rsidRDefault="00646977"/>
    <w:p w14:paraId="57D03362" w14:textId="77777777" w:rsidR="00646977" w:rsidRDefault="00000000">
      <w:pPr>
        <w:spacing w:before="80" w:after="40"/>
        <w:jc w:val="both"/>
      </w:pPr>
      <w:r>
        <w:t>Williams, T. J. (1994). The Purdue enterprise reference architecture. Computers in Industry, 24(2-3), 141-158. https://doi.org/10.1016/0166-3615(94)90017-5</w:t>
      </w:r>
    </w:p>
    <w:p w14:paraId="69501C21" w14:textId="77777777" w:rsidR="00646977" w:rsidRDefault="00646977"/>
    <w:p w14:paraId="4153FC8C" w14:textId="77777777" w:rsidR="00646977" w:rsidRDefault="00000000">
      <w:pPr>
        <w:spacing w:before="80" w:after="40"/>
        <w:jc w:val="both"/>
      </w:pPr>
      <w:r>
        <w:t>Yin, R. K. (2018). Case study research and applications: Design and methods (6th ed.). SAGE Publications.</w:t>
      </w:r>
    </w:p>
    <w:p w14:paraId="4E0C698A" w14:textId="77777777" w:rsidR="00646977" w:rsidRDefault="00646977"/>
    <w:p w14:paraId="4D39B570" w14:textId="77777777" w:rsidR="00646977" w:rsidRDefault="00000000">
      <w:pPr>
        <w:spacing w:before="80" w:after="40"/>
        <w:jc w:val="both"/>
      </w:pPr>
      <w:r>
        <w:t xml:space="preserve">Alsahafi, T., Halboob, W., &amp; </w:t>
      </w:r>
      <w:proofErr w:type="spellStart"/>
      <w:r>
        <w:t>Almuhtadi</w:t>
      </w:r>
      <w:proofErr w:type="spellEnd"/>
      <w:r>
        <w:t xml:space="preserve">, J. (2022). Compliance with Saudi NCA-ECC based on ISO/IEC 27001. </w:t>
      </w:r>
      <w:proofErr w:type="spellStart"/>
      <w:r>
        <w:t>Tehnicki</w:t>
      </w:r>
      <w:proofErr w:type="spellEnd"/>
      <w:r>
        <w:t xml:space="preserve"> Vjesnik, 29(6), 2090-2097. https://doi.org/10.17559/TV-20220307162849</w:t>
      </w:r>
    </w:p>
    <w:p w14:paraId="39F26F84" w14:textId="77777777" w:rsidR="00646977" w:rsidRDefault="00646977"/>
    <w:p w14:paraId="24ACEF06" w14:textId="77777777" w:rsidR="00646977" w:rsidRDefault="00000000">
      <w:pPr>
        <w:spacing w:before="80" w:after="40"/>
        <w:jc w:val="both"/>
      </w:pPr>
      <w:r>
        <w:t>National Cybersecurity Authority. (2022). Operational Technology Cybersecurity Controls (OTCC-1:2022). Kingdom of Saudi Arabia. https://nca.gov.sa/en/pages/otcc</w:t>
      </w:r>
    </w:p>
    <w:p w14:paraId="195A8B61" w14:textId="77777777" w:rsidR="00646977" w:rsidRDefault="00646977"/>
    <w:p w14:paraId="41A1C5AE" w14:textId="77777777" w:rsidR="00646977" w:rsidRDefault="00000000">
      <w:pPr>
        <w:spacing w:before="80" w:after="40"/>
        <w:jc w:val="both"/>
      </w:pPr>
      <w:proofErr w:type="spellStart"/>
      <w:r>
        <w:lastRenderedPageBreak/>
        <w:t>Rawindaran</w:t>
      </w:r>
      <w:proofErr w:type="spellEnd"/>
      <w:r>
        <w:t xml:space="preserve">, N., Nawaf, L., </w:t>
      </w:r>
      <w:proofErr w:type="spellStart"/>
      <w:r>
        <w:t>Alarifi</w:t>
      </w:r>
      <w:proofErr w:type="spellEnd"/>
      <w:r>
        <w:t xml:space="preserve">, S., </w:t>
      </w:r>
      <w:proofErr w:type="spellStart"/>
      <w:r>
        <w:t>Alghazzawi</w:t>
      </w:r>
      <w:proofErr w:type="spellEnd"/>
      <w:r>
        <w:t>, D., Carroll, F., Katib, I., &amp; Hewage, C. (2023). Enhancing cyber security governance and policy for SMEs in industry 5.0: A comparative study between Saudi Arabia and the United Kingdom. Digital, 3(3), 200-231. https://doi.org/10.3390/digital3030014</w:t>
      </w:r>
    </w:p>
    <w:p w14:paraId="76297BF3" w14:textId="77777777" w:rsidR="00646977" w:rsidRDefault="00646977"/>
    <w:sectPr w:rsidR="00646977">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BF753" w14:textId="77777777" w:rsidR="00173FAF" w:rsidRDefault="00173FAF">
      <w:r>
        <w:separator/>
      </w:r>
    </w:p>
  </w:endnote>
  <w:endnote w:type="continuationSeparator" w:id="0">
    <w:p w14:paraId="7CFF4A81" w14:textId="77777777" w:rsidR="00173FAF" w:rsidRDefault="00173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81781" w14:textId="77777777" w:rsidR="00646977" w:rsidRDefault="00000000">
    <w:pPr>
      <w:pBdr>
        <w:top w:val="single" w:sz="6" w:space="1" w:color="2E75B6"/>
      </w:pBdr>
      <w:tabs>
        <w:tab w:val="right" w:pos="9026"/>
      </w:tabs>
    </w:pPr>
    <w:r>
      <w:rPr>
        <w:color w:val="888888"/>
        <w:sz w:val="18"/>
        <w:szCs w:val="18"/>
      </w:rPr>
      <w:t xml:space="preserve">Abdulaziz </w:t>
    </w:r>
    <w:proofErr w:type="gramStart"/>
    <w:r>
      <w:rPr>
        <w:color w:val="888888"/>
        <w:sz w:val="18"/>
        <w:szCs w:val="18"/>
      </w:rPr>
      <w:t>Alarfaj  |</w:t>
    </w:r>
    <w:proofErr w:type="gramEnd"/>
    <w:r>
      <w:rPr>
        <w:color w:val="888888"/>
        <w:sz w:val="18"/>
        <w:szCs w:val="18"/>
      </w:rPr>
      <w:t xml:space="preserve">  </w:t>
    </w:r>
    <w:proofErr w:type="gramStart"/>
    <w:r>
      <w:rPr>
        <w:color w:val="888888"/>
        <w:sz w:val="18"/>
        <w:szCs w:val="18"/>
      </w:rPr>
      <w:t>251002116  |</w:t>
    </w:r>
    <w:proofErr w:type="gramEnd"/>
    <w:r>
      <w:rPr>
        <w:color w:val="888888"/>
        <w:sz w:val="18"/>
        <w:szCs w:val="18"/>
      </w:rPr>
      <w:t xml:space="preserve">  Academic Year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11BF" w14:textId="77777777" w:rsidR="00173FAF" w:rsidRDefault="00173FAF">
      <w:r>
        <w:separator/>
      </w:r>
    </w:p>
  </w:footnote>
  <w:footnote w:type="continuationSeparator" w:id="0">
    <w:p w14:paraId="57431E82" w14:textId="77777777" w:rsidR="00173FAF" w:rsidRDefault="00173F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D93A4" w14:textId="77777777" w:rsidR="00646977" w:rsidRDefault="00000000">
    <w:pPr>
      <w:pBdr>
        <w:bottom w:val="single" w:sz="6" w:space="1" w:color="2E75B6"/>
      </w:pBdr>
    </w:pPr>
    <w:r>
      <w:rPr>
        <w:color w:val="888888"/>
        <w:sz w:val="18"/>
        <w:szCs w:val="18"/>
      </w:rPr>
      <w:t xml:space="preserve">PhD Research </w:t>
    </w:r>
    <w:proofErr w:type="gramStart"/>
    <w:r>
      <w:rPr>
        <w:color w:val="888888"/>
        <w:sz w:val="18"/>
        <w:szCs w:val="18"/>
      </w:rPr>
      <w:t>Proposal  |</w:t>
    </w:r>
    <w:proofErr w:type="gramEnd"/>
    <w:r>
      <w:rPr>
        <w:color w:val="888888"/>
        <w:sz w:val="18"/>
        <w:szCs w:val="18"/>
      </w:rPr>
      <w:t xml:space="preserve">  OT Cybersecurity </w:t>
    </w:r>
    <w:proofErr w:type="gramStart"/>
    <w:r>
      <w:rPr>
        <w:color w:val="888888"/>
        <w:sz w:val="18"/>
        <w:szCs w:val="18"/>
      </w:rPr>
      <w:t>Governance  |</w:t>
    </w:r>
    <w:proofErr w:type="gramEnd"/>
    <w:r>
      <w:rPr>
        <w:color w:val="888888"/>
        <w:sz w:val="18"/>
        <w:szCs w:val="18"/>
      </w:rPr>
      <w:t xml:space="preserve">  Midocean University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5BCC"/>
    <w:multiLevelType w:val="hybridMultilevel"/>
    <w:tmpl w:val="E0C6994A"/>
    <w:lvl w:ilvl="0" w:tplc="48FAFD84">
      <w:start w:val="1"/>
      <w:numFmt w:val="bullet"/>
      <w:lvlText w:val="●"/>
      <w:lvlJc w:val="left"/>
      <w:pPr>
        <w:ind w:left="720" w:hanging="360"/>
      </w:pPr>
    </w:lvl>
    <w:lvl w:ilvl="1" w:tplc="791211EC">
      <w:start w:val="1"/>
      <w:numFmt w:val="bullet"/>
      <w:lvlText w:val="○"/>
      <w:lvlJc w:val="left"/>
      <w:pPr>
        <w:ind w:left="1440" w:hanging="360"/>
      </w:pPr>
    </w:lvl>
    <w:lvl w:ilvl="2" w:tplc="DA80DD8C">
      <w:start w:val="1"/>
      <w:numFmt w:val="bullet"/>
      <w:lvlText w:val="■"/>
      <w:lvlJc w:val="left"/>
      <w:pPr>
        <w:ind w:left="2160" w:hanging="360"/>
      </w:pPr>
    </w:lvl>
    <w:lvl w:ilvl="3" w:tplc="C6762990">
      <w:start w:val="1"/>
      <w:numFmt w:val="bullet"/>
      <w:lvlText w:val="●"/>
      <w:lvlJc w:val="left"/>
      <w:pPr>
        <w:ind w:left="2880" w:hanging="360"/>
      </w:pPr>
    </w:lvl>
    <w:lvl w:ilvl="4" w:tplc="C03671AA">
      <w:start w:val="1"/>
      <w:numFmt w:val="bullet"/>
      <w:lvlText w:val="○"/>
      <w:lvlJc w:val="left"/>
      <w:pPr>
        <w:ind w:left="3600" w:hanging="360"/>
      </w:pPr>
    </w:lvl>
    <w:lvl w:ilvl="5" w:tplc="1136B8A4">
      <w:start w:val="1"/>
      <w:numFmt w:val="bullet"/>
      <w:lvlText w:val="■"/>
      <w:lvlJc w:val="left"/>
      <w:pPr>
        <w:ind w:left="4320" w:hanging="360"/>
      </w:pPr>
    </w:lvl>
    <w:lvl w:ilvl="6" w:tplc="F030EC86">
      <w:start w:val="1"/>
      <w:numFmt w:val="bullet"/>
      <w:lvlText w:val="●"/>
      <w:lvlJc w:val="left"/>
      <w:pPr>
        <w:ind w:left="5040" w:hanging="360"/>
      </w:pPr>
    </w:lvl>
    <w:lvl w:ilvl="7" w:tplc="6A70E03C">
      <w:start w:val="1"/>
      <w:numFmt w:val="bullet"/>
      <w:lvlText w:val="●"/>
      <w:lvlJc w:val="left"/>
      <w:pPr>
        <w:ind w:left="5760" w:hanging="360"/>
      </w:pPr>
    </w:lvl>
    <w:lvl w:ilvl="8" w:tplc="00D0A8DA">
      <w:start w:val="1"/>
      <w:numFmt w:val="bullet"/>
      <w:lvlText w:val="●"/>
      <w:lvlJc w:val="left"/>
      <w:pPr>
        <w:ind w:left="6480" w:hanging="360"/>
      </w:pPr>
    </w:lvl>
  </w:abstractNum>
  <w:abstractNum w:abstractNumId="1" w15:restartNumberingAfterBreak="0">
    <w:nsid w:val="5CC7112C"/>
    <w:multiLevelType w:val="hybridMultilevel"/>
    <w:tmpl w:val="F534747C"/>
    <w:lvl w:ilvl="0" w:tplc="48C2B48A">
      <w:start w:val="1"/>
      <w:numFmt w:val="decimal"/>
      <w:lvlText w:val="%1."/>
      <w:lvlJc w:val="left"/>
      <w:pPr>
        <w:ind w:left="720" w:hanging="360"/>
      </w:pPr>
    </w:lvl>
    <w:lvl w:ilvl="1" w:tplc="A1D02E68">
      <w:numFmt w:val="decimal"/>
      <w:lvlText w:val=""/>
      <w:lvlJc w:val="left"/>
    </w:lvl>
    <w:lvl w:ilvl="2" w:tplc="AC967C9A">
      <w:numFmt w:val="decimal"/>
      <w:lvlText w:val=""/>
      <w:lvlJc w:val="left"/>
    </w:lvl>
    <w:lvl w:ilvl="3" w:tplc="B7ACBA9A">
      <w:numFmt w:val="decimal"/>
      <w:lvlText w:val=""/>
      <w:lvlJc w:val="left"/>
    </w:lvl>
    <w:lvl w:ilvl="4" w:tplc="545225FC">
      <w:numFmt w:val="decimal"/>
      <w:lvlText w:val=""/>
      <w:lvlJc w:val="left"/>
    </w:lvl>
    <w:lvl w:ilvl="5" w:tplc="892E0A94">
      <w:numFmt w:val="decimal"/>
      <w:lvlText w:val=""/>
      <w:lvlJc w:val="left"/>
    </w:lvl>
    <w:lvl w:ilvl="6" w:tplc="293E7FFC">
      <w:numFmt w:val="decimal"/>
      <w:lvlText w:val=""/>
      <w:lvlJc w:val="left"/>
    </w:lvl>
    <w:lvl w:ilvl="7" w:tplc="8CE23974">
      <w:numFmt w:val="decimal"/>
      <w:lvlText w:val=""/>
      <w:lvlJc w:val="left"/>
    </w:lvl>
    <w:lvl w:ilvl="8" w:tplc="8BDC1834">
      <w:numFmt w:val="decimal"/>
      <w:lvlText w:val=""/>
      <w:lvlJc w:val="left"/>
    </w:lvl>
  </w:abstractNum>
  <w:abstractNum w:abstractNumId="2" w15:restartNumberingAfterBreak="0">
    <w:nsid w:val="653D32CA"/>
    <w:multiLevelType w:val="hybridMultilevel"/>
    <w:tmpl w:val="754C6D84"/>
    <w:lvl w:ilvl="0" w:tplc="DD3CECE0">
      <w:start w:val="1"/>
      <w:numFmt w:val="bullet"/>
      <w:lvlText w:val="•"/>
      <w:lvlJc w:val="left"/>
      <w:pPr>
        <w:ind w:left="720" w:hanging="360"/>
      </w:pPr>
    </w:lvl>
    <w:lvl w:ilvl="1" w:tplc="EB42F2DE">
      <w:start w:val="1"/>
      <w:numFmt w:val="bullet"/>
      <w:lvlText w:val="◦"/>
      <w:lvlJc w:val="left"/>
      <w:pPr>
        <w:ind w:left="1080" w:hanging="360"/>
      </w:pPr>
    </w:lvl>
    <w:lvl w:ilvl="2" w:tplc="C4C40F48">
      <w:numFmt w:val="decimal"/>
      <w:lvlText w:val=""/>
      <w:lvlJc w:val="left"/>
    </w:lvl>
    <w:lvl w:ilvl="3" w:tplc="C44E6AF4">
      <w:numFmt w:val="decimal"/>
      <w:lvlText w:val=""/>
      <w:lvlJc w:val="left"/>
    </w:lvl>
    <w:lvl w:ilvl="4" w:tplc="91B6584A">
      <w:numFmt w:val="decimal"/>
      <w:lvlText w:val=""/>
      <w:lvlJc w:val="left"/>
    </w:lvl>
    <w:lvl w:ilvl="5" w:tplc="9BE065FC">
      <w:numFmt w:val="decimal"/>
      <w:lvlText w:val=""/>
      <w:lvlJc w:val="left"/>
    </w:lvl>
    <w:lvl w:ilvl="6" w:tplc="CB94A2CC">
      <w:numFmt w:val="decimal"/>
      <w:lvlText w:val=""/>
      <w:lvlJc w:val="left"/>
    </w:lvl>
    <w:lvl w:ilvl="7" w:tplc="1854C0A2">
      <w:numFmt w:val="decimal"/>
      <w:lvlText w:val=""/>
      <w:lvlJc w:val="left"/>
    </w:lvl>
    <w:lvl w:ilvl="8" w:tplc="B4F83C68">
      <w:numFmt w:val="decimal"/>
      <w:lvlText w:val=""/>
      <w:lvlJc w:val="left"/>
    </w:lvl>
  </w:abstractNum>
  <w:num w:numId="1" w16cid:durableId="2055733605">
    <w:abstractNumId w:val="0"/>
    <w:lvlOverride w:ilvl="0">
      <w:startOverride w:val="1"/>
    </w:lvlOverride>
  </w:num>
  <w:num w:numId="2" w16cid:durableId="120267254">
    <w:abstractNumId w:val="2"/>
    <w:lvlOverride w:ilvl="0">
      <w:startOverride w:val="1"/>
    </w:lvlOverride>
  </w:num>
  <w:num w:numId="3" w16cid:durableId="35607852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977"/>
    <w:rsid w:val="00173FAF"/>
    <w:rsid w:val="003A53E0"/>
    <w:rsid w:val="00646977"/>
    <w:rsid w:val="00A843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49EFD"/>
  <w15:docId w15:val="{135F8B53-A68A-4AE2-8316-176BC87B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4E79"/>
      <w:sz w:val="32"/>
      <w:szCs w:val="32"/>
    </w:rPr>
  </w:style>
  <w:style w:type="paragraph" w:styleId="Heading2">
    <w:name w:val="heading 2"/>
    <w:uiPriority w:val="9"/>
    <w:unhideWhenUsed/>
    <w:qFormat/>
    <w:pPr>
      <w:spacing w:before="240" w:after="80"/>
      <w:outlineLvl w:val="1"/>
    </w:pPr>
    <w:rPr>
      <w:b/>
      <w:bCs/>
      <w:color w:val="2E75B6"/>
      <w:sz w:val="26"/>
      <w:szCs w:val="26"/>
    </w:rPr>
  </w:style>
  <w:style w:type="paragraph" w:styleId="Heading3">
    <w:name w:val="heading 3"/>
    <w:uiPriority w:val="9"/>
    <w:unhideWhenUsed/>
    <w:qFormat/>
    <w:pPr>
      <w:spacing w:before="200" w:after="60"/>
      <w:outlineLvl w:val="2"/>
    </w:pPr>
    <w:rPr>
      <w:b/>
      <w:bCs/>
      <w:color w:val="333333"/>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4821</Words>
  <Characters>31965</Characters>
  <Application>Microsoft Office Word</Application>
  <DocSecurity>0</DocSecurity>
  <Lines>799</Lines>
  <Paragraphs>343</Paragraphs>
  <ScaleCrop>false</ScaleCrop>
  <Company/>
  <LinksUpToDate>false</LinksUpToDate>
  <CharactersWithSpaces>36443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Abdulaziz Alarfaj</dc:creator>
  <cp:lastModifiedBy>Abdulaziz Alarfaj</cp:lastModifiedBy>
  <cp:revision>2</cp:revision>
  <dcterms:created xsi:type="dcterms:W3CDTF">2026-04-04T15:52:00Z</dcterms:created>
  <dcterms:modified xsi:type="dcterms:W3CDTF">2026-04-04T15:52:00Z</dcterms:modified>
</cp:coreProperties>
</file>