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B7808" w14:textId="77777777" w:rsidR="000E5CB6" w:rsidRPr="00D92DC7" w:rsidRDefault="000E5CB6" w:rsidP="000126FF">
      <w:pPr>
        <w:bidi/>
        <w:rPr>
          <w:rFonts w:ascii="Simplified Arabic" w:hAnsi="Simplified Arabic" w:cs="Simplified Arabic"/>
          <w:b/>
          <w:bCs/>
          <w:sz w:val="28"/>
          <w:szCs w:val="28"/>
          <w:lang w:bidi="ar-EG"/>
        </w:rPr>
      </w:pPr>
      <w:r w:rsidRPr="00D92DC7">
        <w:rPr>
          <w:rFonts w:ascii="Simplified Arabic" w:hAnsi="Simplified Arabic" w:cs="Simplified Arabic"/>
          <w:b/>
          <w:bCs/>
          <w:noProof/>
          <w:sz w:val="28"/>
          <w:szCs w:val="28"/>
        </w:rPr>
        <w:drawing>
          <wp:anchor distT="0" distB="0" distL="114300" distR="114300" simplePos="0" relativeHeight="251653632" behindDoc="0" locked="0" layoutInCell="1" allowOverlap="1" wp14:anchorId="713DC92E" wp14:editId="6A5BEF3B">
            <wp:simplePos x="0" y="0"/>
            <wp:positionH relativeFrom="margin">
              <wp:posOffset>-365125</wp:posOffset>
            </wp:positionH>
            <wp:positionV relativeFrom="margin">
              <wp:posOffset>-517525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92DC7">
        <w:rPr>
          <w:rFonts w:ascii="Simplified Arabic" w:hAnsi="Simplified Arabic" w:cs="Simplified Arabic"/>
          <w:b/>
          <w:bCs/>
          <w:sz w:val="28"/>
          <w:szCs w:val="28"/>
          <w:rtl/>
          <w:lang w:bidi="ar-EG"/>
        </w:rPr>
        <w:t xml:space="preserve">جامعة ميدأوشن </w:t>
      </w:r>
    </w:p>
    <w:p w14:paraId="3DA88DE5" w14:textId="77777777" w:rsidR="000E5CB6" w:rsidRPr="00D92DC7" w:rsidRDefault="000E5CB6" w:rsidP="000126FF">
      <w:pPr>
        <w:bidi/>
        <w:rPr>
          <w:rFonts w:ascii="Simplified Arabic" w:hAnsi="Simplified Arabic" w:cs="Simplified Arabic"/>
          <w:b/>
          <w:bCs/>
          <w:sz w:val="28"/>
          <w:szCs w:val="28"/>
          <w:rtl/>
          <w:lang w:bidi="ar-EG"/>
        </w:rPr>
      </w:pPr>
      <w:r w:rsidRPr="00D92DC7">
        <w:rPr>
          <w:rFonts w:ascii="Simplified Arabic" w:hAnsi="Simplified Arabic" w:cs="Simplified Arabic"/>
          <w:b/>
          <w:bCs/>
          <w:sz w:val="28"/>
          <w:szCs w:val="28"/>
          <w:lang w:bidi="ar-EG"/>
        </w:rPr>
        <w:t xml:space="preserve">    </w:t>
      </w:r>
      <w:r w:rsidRPr="00D92DC7">
        <w:rPr>
          <w:rFonts w:ascii="Simplified Arabic" w:hAnsi="Simplified Arabic" w:cs="Simplified Arabic"/>
          <w:b/>
          <w:bCs/>
          <w:sz w:val="28"/>
          <w:szCs w:val="28"/>
          <w:rtl/>
          <w:lang w:bidi="ar-EG"/>
        </w:rPr>
        <w:t xml:space="preserve">كلية الإدارة </w:t>
      </w:r>
    </w:p>
    <w:p w14:paraId="06584C82" w14:textId="6B39EDC4" w:rsidR="000E5CB6" w:rsidRPr="00D92DC7" w:rsidRDefault="000E5CB6" w:rsidP="000126FF">
      <w:pPr>
        <w:bidi/>
        <w:rPr>
          <w:rFonts w:ascii="Simplified Arabic" w:hAnsi="Simplified Arabic" w:cs="Simplified Arabic"/>
          <w:sz w:val="28"/>
          <w:szCs w:val="28"/>
          <w:rtl/>
          <w:lang w:bidi="ar-EG"/>
        </w:rPr>
      </w:pPr>
      <w:r w:rsidRPr="00D92DC7">
        <w:rPr>
          <w:rFonts w:ascii="Simplified Arabic" w:hAnsi="Simplified Arabic" w:cs="Simplified Arabic"/>
          <w:b/>
          <w:bCs/>
          <w:sz w:val="28"/>
          <w:szCs w:val="28"/>
          <w:rtl/>
          <w:lang w:bidi="ar-EG"/>
        </w:rPr>
        <w:t>قسم / تخصص</w:t>
      </w:r>
      <w:r w:rsidR="00717975">
        <w:rPr>
          <w:rFonts w:ascii="Simplified Arabic" w:hAnsi="Simplified Arabic" w:cs="Simplified Arabic" w:hint="cs"/>
          <w:b/>
          <w:bCs/>
          <w:sz w:val="28"/>
          <w:szCs w:val="28"/>
          <w:rtl/>
          <w:lang w:bidi="ar-EG"/>
        </w:rPr>
        <w:t xml:space="preserve"> ماجستير إدارة الأعمال</w:t>
      </w:r>
    </w:p>
    <w:p w14:paraId="047BC131" w14:textId="77777777" w:rsidR="000E5CB6" w:rsidRPr="00D92DC7" w:rsidRDefault="000E5CB6" w:rsidP="000126FF">
      <w:pPr>
        <w:bidi/>
        <w:rPr>
          <w:rFonts w:ascii="Simplified Arabic" w:hAnsi="Simplified Arabic" w:cs="Simplified Arabic"/>
          <w:sz w:val="28"/>
          <w:szCs w:val="28"/>
          <w:rtl/>
          <w:lang w:bidi="ar-EG"/>
        </w:rPr>
      </w:pPr>
    </w:p>
    <w:p w14:paraId="1AAF1D7D" w14:textId="77777777" w:rsidR="000E5CB6" w:rsidRPr="00D92DC7" w:rsidRDefault="000E5CB6" w:rsidP="000126FF">
      <w:pPr>
        <w:bidi/>
        <w:rPr>
          <w:rFonts w:ascii="Simplified Arabic" w:hAnsi="Simplified Arabic" w:cs="Simplified Arabic"/>
          <w:sz w:val="28"/>
          <w:szCs w:val="28"/>
          <w:rtl/>
          <w:lang w:bidi="ar-EG"/>
        </w:rPr>
      </w:pPr>
    </w:p>
    <w:p w14:paraId="4B0B1016" w14:textId="44467195" w:rsidR="000E5CB6" w:rsidRPr="00D92DC7" w:rsidRDefault="00A32373" w:rsidP="000126FF">
      <w:pPr>
        <w:bidi/>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rPr>
        <w:t>تأثير التحول الرقمي على أداء الشركات</w:t>
      </w:r>
      <w:r w:rsidR="004F283A">
        <w:rPr>
          <w:rFonts w:ascii="Simplified Arabic" w:hAnsi="Simplified Arabic" w:cs="Simplified Arabic"/>
          <w:b/>
          <w:bCs/>
          <w:sz w:val="36"/>
          <w:szCs w:val="36"/>
          <w:rtl/>
        </w:rPr>
        <w:t>: دراسة تطبيقية</w:t>
      </w:r>
      <w:r w:rsidR="00B87033">
        <w:rPr>
          <w:rFonts w:ascii="Simplified Arabic" w:hAnsi="Simplified Arabic" w:cs="Simplified Arabic" w:hint="cs"/>
          <w:b/>
          <w:bCs/>
          <w:sz w:val="36"/>
          <w:szCs w:val="36"/>
          <w:rtl/>
        </w:rPr>
        <w:t xml:space="preserve"> على المنطقة العربية</w:t>
      </w:r>
    </w:p>
    <w:p w14:paraId="0275075E" w14:textId="77777777" w:rsidR="000E5CB6" w:rsidRPr="00D92DC7" w:rsidRDefault="000E5CB6" w:rsidP="000126FF">
      <w:pPr>
        <w:bidi/>
        <w:rPr>
          <w:rFonts w:ascii="Simplified Arabic" w:hAnsi="Simplified Arabic" w:cs="Simplified Arabic"/>
          <w:b/>
          <w:bCs/>
          <w:sz w:val="36"/>
          <w:szCs w:val="36"/>
          <w:rtl/>
          <w:lang w:bidi="ar-EG"/>
        </w:rPr>
      </w:pPr>
    </w:p>
    <w:p w14:paraId="5EA85FC9" w14:textId="78B39537" w:rsidR="000E5CB6" w:rsidRPr="00155C79" w:rsidRDefault="000E5CB6" w:rsidP="00155C79">
      <w:pPr>
        <w:numPr>
          <w:ilvl w:val="0"/>
          <w:numId w:val="46"/>
        </w:numPr>
        <w:bidi/>
        <w:jc w:val="center"/>
        <w:rPr>
          <w:rFonts w:ascii="Simplified Arabic" w:hAnsi="Simplified Arabic" w:cs="Simplified Arabic"/>
          <w:b/>
          <w:bCs/>
          <w:sz w:val="36"/>
          <w:szCs w:val="36"/>
          <w:rtl/>
          <w:lang w:val="en-GB"/>
        </w:rPr>
      </w:pPr>
      <w:r w:rsidRPr="00D92DC7">
        <w:rPr>
          <w:rFonts w:ascii="Simplified Arabic" w:hAnsi="Simplified Arabic" w:cs="Simplified Arabic"/>
          <w:b/>
          <w:bCs/>
          <w:sz w:val="36"/>
          <w:szCs w:val="36"/>
          <w:rtl/>
          <w:lang w:bidi="ar-EG"/>
        </w:rPr>
        <w:t>إعداد الطالب</w:t>
      </w:r>
      <w:r w:rsidR="00FF3A01">
        <w:rPr>
          <w:rFonts w:ascii="Simplified Arabic" w:hAnsi="Simplified Arabic" w:cs="Simplified Arabic" w:hint="cs"/>
          <w:b/>
          <w:bCs/>
          <w:sz w:val="36"/>
          <w:szCs w:val="36"/>
          <w:rtl/>
          <w:lang w:bidi="ar-EG"/>
        </w:rPr>
        <w:t>ة</w:t>
      </w:r>
      <w:r w:rsidRPr="00D92DC7">
        <w:rPr>
          <w:rFonts w:ascii="Simplified Arabic" w:hAnsi="Simplified Arabic" w:cs="Simplified Arabic"/>
          <w:b/>
          <w:bCs/>
          <w:sz w:val="36"/>
          <w:szCs w:val="36"/>
          <w:rtl/>
          <w:lang w:bidi="ar-EG"/>
        </w:rPr>
        <w:t>/</w:t>
      </w:r>
      <w:r w:rsidR="00671618">
        <w:rPr>
          <w:rFonts w:ascii="Simplified Arabic" w:hAnsi="Simplified Arabic" w:cs="Simplified Arabic"/>
          <w:b/>
          <w:bCs/>
          <w:sz w:val="36"/>
          <w:szCs w:val="36"/>
          <w:lang w:bidi="ar-EG"/>
        </w:rPr>
        <w:br/>
      </w:r>
      <w:r w:rsidR="00671618">
        <w:rPr>
          <w:rFonts w:ascii="Simplified Arabic" w:hAnsi="Simplified Arabic" w:cs="Simplified Arabic" w:hint="cs"/>
          <w:b/>
          <w:bCs/>
          <w:sz w:val="36"/>
          <w:szCs w:val="36"/>
          <w:rtl/>
        </w:rPr>
        <w:t>مها سلطان البكر</w:t>
      </w:r>
      <w:r w:rsidR="00155C79">
        <w:rPr>
          <w:rFonts w:ascii="Simplified Arabic" w:hAnsi="Simplified Arabic" w:cs="Simplified Arabic"/>
          <w:b/>
          <w:bCs/>
          <w:sz w:val="36"/>
          <w:szCs w:val="36"/>
          <w:rtl/>
        </w:rPr>
        <w:br/>
      </w:r>
      <w:r w:rsidR="00155C79" w:rsidRPr="00155C79">
        <w:rPr>
          <w:rFonts w:ascii="Simplified Arabic" w:hAnsi="Simplified Arabic" w:cs="Simplified Arabic"/>
          <w:b/>
          <w:bCs/>
          <w:sz w:val="36"/>
          <w:szCs w:val="36"/>
          <w:lang w:val="en-GB"/>
        </w:rPr>
        <w:t>251000410</w:t>
      </w:r>
    </w:p>
    <w:p w14:paraId="7C6F9C87" w14:textId="77777777" w:rsidR="000E5CB6" w:rsidRDefault="000E5CB6" w:rsidP="000126FF">
      <w:pPr>
        <w:bidi/>
        <w:rPr>
          <w:rFonts w:ascii="Simplified Arabic" w:hAnsi="Simplified Arabic" w:cs="Simplified Arabic"/>
          <w:b/>
          <w:bCs/>
          <w:sz w:val="36"/>
          <w:szCs w:val="36"/>
          <w:rtl/>
          <w:lang w:bidi="ar-EG"/>
        </w:rPr>
      </w:pPr>
    </w:p>
    <w:p w14:paraId="60D4D735" w14:textId="77777777" w:rsidR="000E5CB6" w:rsidRPr="00D92DC7" w:rsidRDefault="000E5CB6" w:rsidP="000126FF">
      <w:pPr>
        <w:bidi/>
        <w:rPr>
          <w:rFonts w:ascii="Simplified Arabic" w:hAnsi="Simplified Arabic" w:cs="Simplified Arabic"/>
          <w:b/>
          <w:bCs/>
          <w:sz w:val="36"/>
          <w:szCs w:val="36"/>
          <w:rtl/>
          <w:lang w:bidi="ar-EG"/>
        </w:rPr>
      </w:pPr>
    </w:p>
    <w:p w14:paraId="6051094F" w14:textId="77777777" w:rsidR="000E5CB6" w:rsidRPr="00D92DC7" w:rsidRDefault="000E5CB6" w:rsidP="000126FF">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lang w:bidi="ar-EG"/>
        </w:rPr>
        <w:t>إشراف/</w:t>
      </w:r>
    </w:p>
    <w:p w14:paraId="1FDEFB9C" w14:textId="2308A7D9" w:rsidR="000E5CB6" w:rsidRPr="00D92DC7" w:rsidRDefault="000E5CB6" w:rsidP="000126FF">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lang w:bidi="ar-EG"/>
        </w:rPr>
        <w:t>د.الفيصل عبد الحميد</w:t>
      </w:r>
    </w:p>
    <w:p w14:paraId="3F67B95F" w14:textId="6830E1FB" w:rsidR="000E5CB6" w:rsidRPr="00D92DC7" w:rsidRDefault="000E5CB6" w:rsidP="000126FF">
      <w:pPr>
        <w:bidi/>
        <w:rPr>
          <w:rFonts w:ascii="Simplified Arabic" w:hAnsi="Simplified Arabic" w:cs="Simplified Arabic"/>
          <w:b/>
          <w:bCs/>
          <w:sz w:val="36"/>
          <w:szCs w:val="36"/>
          <w:rtl/>
          <w:lang w:bidi="ar-EG"/>
        </w:rPr>
      </w:pPr>
    </w:p>
    <w:p w14:paraId="093F37B9" w14:textId="77777777" w:rsidR="000E5CB6" w:rsidRPr="00D92DC7" w:rsidRDefault="000E5CB6" w:rsidP="000126FF">
      <w:pPr>
        <w:bidi/>
        <w:jc w:val="center"/>
        <w:rPr>
          <w:rFonts w:ascii="Simplified Arabic" w:hAnsi="Simplified Arabic" w:cs="Simplified Arabic"/>
          <w:b/>
          <w:bCs/>
          <w:sz w:val="36"/>
          <w:szCs w:val="36"/>
          <w:rtl/>
          <w:lang w:bidi="ar-EG"/>
        </w:rPr>
      </w:pPr>
      <w:r w:rsidRPr="00D92DC7">
        <w:rPr>
          <w:rFonts w:ascii="Simplified Arabic" w:hAnsi="Simplified Arabic" w:cs="Simplified Arabic"/>
          <w:b/>
          <w:bCs/>
          <w:sz w:val="36"/>
          <w:szCs w:val="36"/>
          <w:rtl/>
          <w:lang w:bidi="ar-EG"/>
        </w:rPr>
        <w:t>العام الدراسي:</w:t>
      </w:r>
    </w:p>
    <w:p w14:paraId="1EF9DEC6" w14:textId="07E2CF88" w:rsidR="00DD2762" w:rsidRDefault="000E5CB6" w:rsidP="000126FF">
      <w:pPr>
        <w:widowControl w:val="0"/>
        <w:autoSpaceDE w:val="0"/>
        <w:autoSpaceDN w:val="0"/>
        <w:bidi/>
        <w:adjustRightInd w:val="0"/>
        <w:spacing w:after="0" w:line="240" w:lineRule="auto"/>
        <w:jc w:val="center"/>
        <w:rPr>
          <w:rFonts w:ascii="Simplified Arabic" w:hAnsi="Simplified Arabic" w:cs="Simplified Arabic"/>
          <w:b/>
          <w:bCs/>
          <w:sz w:val="28"/>
          <w:szCs w:val="28"/>
          <w:rtl/>
        </w:rPr>
      </w:pPr>
      <w:r w:rsidRPr="00D92DC7">
        <w:rPr>
          <w:rFonts w:ascii="Simplified Arabic" w:hAnsi="Simplified Arabic" w:cs="Simplified Arabic"/>
          <w:b/>
          <w:bCs/>
          <w:sz w:val="36"/>
          <w:szCs w:val="36"/>
          <w:rtl/>
          <w:lang w:bidi="ar-EG"/>
        </w:rPr>
        <w:t>202</w:t>
      </w:r>
      <w:r w:rsidR="00717975">
        <w:rPr>
          <w:rFonts w:ascii="Simplified Arabic" w:hAnsi="Simplified Arabic" w:cs="Simplified Arabic" w:hint="cs"/>
          <w:b/>
          <w:bCs/>
          <w:sz w:val="36"/>
          <w:szCs w:val="36"/>
          <w:rtl/>
        </w:rPr>
        <w:t>5</w:t>
      </w:r>
    </w:p>
    <w:p w14:paraId="33BB3568" w14:textId="77777777" w:rsidR="00DD2762" w:rsidRDefault="00DD2762"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0B5E5D75" w14:textId="77777777" w:rsidR="00DD2762" w:rsidRDefault="00DD2762"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144CC329" w14:textId="77777777" w:rsidR="00FB4B69" w:rsidRDefault="00FB4B69" w:rsidP="000126FF">
      <w:pPr>
        <w:bidi/>
        <w:jc w:val="center"/>
        <w:rPr>
          <w:rFonts w:ascii="Aldhabi" w:hAnsi="Aldhabi" w:cs="Aldhabi"/>
          <w:sz w:val="40"/>
          <w:szCs w:val="40"/>
          <w:rtl/>
          <w:lang w:bidi="ar-EG"/>
        </w:rPr>
      </w:pPr>
    </w:p>
    <w:p w14:paraId="5FE7ACD2" w14:textId="77777777" w:rsidR="00FB4B69" w:rsidRDefault="00FB4B69" w:rsidP="000126FF">
      <w:pPr>
        <w:bidi/>
        <w:jc w:val="center"/>
        <w:rPr>
          <w:rFonts w:ascii="Aldhabi" w:hAnsi="Aldhabi" w:cs="Aldhabi"/>
          <w:sz w:val="40"/>
          <w:szCs w:val="40"/>
          <w:rtl/>
          <w:lang w:bidi="ar-EG"/>
        </w:rPr>
      </w:pPr>
    </w:p>
    <w:p w14:paraId="55DDE594" w14:textId="77777777" w:rsidR="00FB4B69" w:rsidRDefault="00FB4B69" w:rsidP="000126FF">
      <w:pPr>
        <w:bidi/>
        <w:jc w:val="center"/>
        <w:rPr>
          <w:rFonts w:ascii="Aldhabi" w:hAnsi="Aldhabi" w:cs="Aldhabi"/>
          <w:sz w:val="40"/>
          <w:szCs w:val="40"/>
          <w:rtl/>
          <w:lang w:bidi="ar-EG"/>
        </w:rPr>
      </w:pPr>
      <w:r>
        <w:rPr>
          <w:noProof/>
        </w:rPr>
        <w:drawing>
          <wp:anchor distT="0" distB="0" distL="114300" distR="114300" simplePos="0" relativeHeight="251655680" behindDoc="0" locked="0" layoutInCell="1" allowOverlap="1" wp14:anchorId="60646BEA" wp14:editId="078CCF18">
            <wp:simplePos x="0" y="0"/>
            <wp:positionH relativeFrom="column">
              <wp:posOffset>226060</wp:posOffset>
            </wp:positionH>
            <wp:positionV relativeFrom="paragraph">
              <wp:posOffset>288925</wp:posOffset>
            </wp:positionV>
            <wp:extent cx="5797550" cy="4662805"/>
            <wp:effectExtent l="0" t="0" r="0" b="4445"/>
            <wp:wrapNone/>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9"/>
                    <a:stretch>
                      <a:fillRect/>
                    </a:stretch>
                  </pic:blipFill>
                  <pic:spPr>
                    <a:xfrm>
                      <a:off x="0" y="0"/>
                      <a:ext cx="5797550" cy="4662805"/>
                    </a:xfrm>
                    <a:prstGeom prst="rect">
                      <a:avLst/>
                    </a:prstGeom>
                  </pic:spPr>
                </pic:pic>
              </a:graphicData>
            </a:graphic>
            <wp14:sizeRelH relativeFrom="margin">
              <wp14:pctWidth>0</wp14:pctWidth>
            </wp14:sizeRelH>
            <wp14:sizeRelV relativeFrom="margin">
              <wp14:pctHeight>0</wp14:pctHeight>
            </wp14:sizeRelV>
          </wp:anchor>
        </w:drawing>
      </w:r>
    </w:p>
    <w:p w14:paraId="3CBD512F" w14:textId="77777777" w:rsidR="00FB4B69" w:rsidRDefault="00FB4B69" w:rsidP="000126FF">
      <w:pPr>
        <w:bidi/>
        <w:jc w:val="center"/>
        <w:rPr>
          <w:rFonts w:ascii="Aldhabi" w:hAnsi="Aldhabi" w:cs="Aldhabi"/>
          <w:sz w:val="40"/>
          <w:szCs w:val="40"/>
          <w:rtl/>
          <w:lang w:bidi="ar-EG"/>
        </w:rPr>
      </w:pPr>
    </w:p>
    <w:p w14:paraId="45E03990" w14:textId="77777777" w:rsidR="00FB4B69" w:rsidRDefault="00FB4B69" w:rsidP="000126FF">
      <w:pPr>
        <w:bidi/>
        <w:jc w:val="center"/>
        <w:rPr>
          <w:rFonts w:ascii="Aldhabi" w:hAnsi="Aldhabi" w:cs="Aldhabi"/>
          <w:sz w:val="40"/>
          <w:szCs w:val="40"/>
          <w:rtl/>
          <w:lang w:bidi="ar-EG"/>
        </w:rPr>
      </w:pPr>
    </w:p>
    <w:p w14:paraId="460D19B6" w14:textId="77777777" w:rsidR="00FB4B69" w:rsidRDefault="00FB4B69" w:rsidP="000126FF">
      <w:pPr>
        <w:bidi/>
        <w:jc w:val="center"/>
        <w:rPr>
          <w:rFonts w:ascii="Aldhabi" w:hAnsi="Aldhabi" w:cs="Aldhabi"/>
          <w:sz w:val="40"/>
          <w:szCs w:val="40"/>
          <w:rtl/>
          <w:lang w:bidi="ar-EG"/>
        </w:rPr>
      </w:pPr>
    </w:p>
    <w:p w14:paraId="7FA03122" w14:textId="77777777" w:rsidR="00FB4B69" w:rsidRDefault="00FB4B69" w:rsidP="000126FF">
      <w:pPr>
        <w:bidi/>
        <w:jc w:val="center"/>
        <w:rPr>
          <w:rFonts w:ascii="Aldhabi" w:hAnsi="Aldhabi" w:cs="Aldhabi"/>
          <w:sz w:val="40"/>
          <w:szCs w:val="40"/>
          <w:rtl/>
          <w:lang w:bidi="ar-EG"/>
        </w:rPr>
      </w:pPr>
    </w:p>
    <w:p w14:paraId="3F89D346" w14:textId="77777777" w:rsidR="00FB4B69" w:rsidRDefault="00FB4B69" w:rsidP="000126FF">
      <w:pPr>
        <w:bidi/>
        <w:jc w:val="center"/>
        <w:rPr>
          <w:rFonts w:ascii="Aldhabi" w:hAnsi="Aldhabi" w:cs="Aldhabi"/>
          <w:sz w:val="40"/>
          <w:szCs w:val="40"/>
          <w:rtl/>
          <w:lang w:bidi="ar-EG"/>
        </w:rPr>
      </w:pPr>
    </w:p>
    <w:p w14:paraId="257AE9E4" w14:textId="77777777" w:rsidR="00FB4B69" w:rsidRDefault="00FB4B69" w:rsidP="000126FF">
      <w:pPr>
        <w:bidi/>
        <w:jc w:val="center"/>
        <w:rPr>
          <w:rFonts w:ascii="Aldhabi" w:hAnsi="Aldhabi" w:cs="Aldhabi"/>
          <w:sz w:val="40"/>
          <w:szCs w:val="40"/>
          <w:rtl/>
          <w:lang w:bidi="ar-EG"/>
        </w:rPr>
      </w:pPr>
    </w:p>
    <w:p w14:paraId="776B91E9" w14:textId="77777777" w:rsidR="00FB4B69" w:rsidRDefault="00FB4B69" w:rsidP="000126FF">
      <w:pPr>
        <w:bidi/>
        <w:jc w:val="center"/>
        <w:rPr>
          <w:rFonts w:ascii="Aldhabi" w:hAnsi="Aldhabi" w:cs="Aldhabi"/>
          <w:sz w:val="40"/>
          <w:szCs w:val="40"/>
          <w:rtl/>
          <w:lang w:bidi="ar-EG"/>
        </w:rPr>
      </w:pPr>
    </w:p>
    <w:p w14:paraId="74C99FC9" w14:textId="77777777" w:rsidR="00FB4B69" w:rsidRDefault="00FB4B69" w:rsidP="000126FF">
      <w:pPr>
        <w:bidi/>
        <w:jc w:val="center"/>
        <w:rPr>
          <w:rFonts w:ascii="Aldhabi" w:hAnsi="Aldhabi" w:cs="Aldhabi"/>
          <w:sz w:val="40"/>
          <w:szCs w:val="40"/>
          <w:rtl/>
          <w:lang w:bidi="ar-EG"/>
        </w:rPr>
      </w:pPr>
    </w:p>
    <w:p w14:paraId="0E49B39D" w14:textId="12B33631" w:rsidR="00FB4B69" w:rsidRDefault="00FB4B69" w:rsidP="000126FF">
      <w:pPr>
        <w:bidi/>
        <w:rPr>
          <w:rFonts w:ascii="Aldhabi" w:hAnsi="Aldhabi" w:cs="Aldhabi"/>
          <w:sz w:val="40"/>
          <w:szCs w:val="40"/>
          <w:rtl/>
          <w:lang w:bidi="ar-EG"/>
        </w:rPr>
      </w:pPr>
    </w:p>
    <w:p w14:paraId="3C7C3A2B" w14:textId="24F8BE3F" w:rsidR="00FB4B69" w:rsidRDefault="00FB4B69" w:rsidP="000126FF">
      <w:pPr>
        <w:bidi/>
        <w:rPr>
          <w:rFonts w:ascii="Aldhabi" w:hAnsi="Aldhabi" w:cs="Aldhabi"/>
          <w:sz w:val="40"/>
          <w:szCs w:val="40"/>
          <w:rtl/>
          <w:lang w:bidi="ar-EG"/>
        </w:rPr>
      </w:pPr>
    </w:p>
    <w:p w14:paraId="75A72E2E" w14:textId="77777777" w:rsidR="00563F15" w:rsidRDefault="00563F15" w:rsidP="000126FF">
      <w:pPr>
        <w:bidi/>
        <w:rPr>
          <w:rFonts w:ascii="Aldhabi" w:hAnsi="Aldhabi" w:cs="Aldhabi"/>
          <w:sz w:val="40"/>
          <w:szCs w:val="40"/>
          <w:rtl/>
          <w:lang w:bidi="ar-EG"/>
        </w:rPr>
      </w:pPr>
    </w:p>
    <w:p w14:paraId="25A0C280" w14:textId="23526A24" w:rsidR="009D49DF" w:rsidRDefault="009D49DF" w:rsidP="000126FF">
      <w:pPr>
        <w:bidi/>
        <w:rPr>
          <w:rFonts w:ascii="Aldhabi" w:hAnsi="Aldhabi" w:cs="Aldhabi"/>
          <w:b/>
          <w:bCs/>
          <w:sz w:val="36"/>
          <w:szCs w:val="36"/>
          <w:rtl/>
          <w:lang w:bidi="ar-EG"/>
        </w:rPr>
      </w:pPr>
    </w:p>
    <w:p w14:paraId="6784583F" w14:textId="4719CEA4" w:rsidR="00DD2762" w:rsidRPr="009D52F6" w:rsidRDefault="00DD2762" w:rsidP="000126FF">
      <w:pPr>
        <w:widowControl w:val="0"/>
        <w:autoSpaceDE w:val="0"/>
        <w:autoSpaceDN w:val="0"/>
        <w:bidi/>
        <w:adjustRightInd w:val="0"/>
        <w:spacing w:after="0" w:line="240" w:lineRule="auto"/>
        <w:rPr>
          <w:rFonts w:ascii="Urdu Typesetting" w:hAnsi="Urdu Typesetting" w:cs="Urdu Typesetting"/>
          <w:b/>
          <w:bCs/>
          <w:sz w:val="28"/>
          <w:szCs w:val="28"/>
          <w:rtl/>
        </w:rPr>
      </w:pPr>
    </w:p>
    <w:p w14:paraId="683AE76B" w14:textId="26F53E20" w:rsidR="00DD2762" w:rsidRDefault="00DD2762"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749BC572" w14:textId="77777777" w:rsidR="00773662" w:rsidRPr="00BA7005" w:rsidRDefault="00773662" w:rsidP="000126FF">
      <w:pPr>
        <w:pStyle w:val="Heading1"/>
      </w:pPr>
      <w:bookmarkStart w:id="0" w:name="_Toc214041786"/>
      <w:r w:rsidRPr="00BA7005">
        <w:rPr>
          <w:rtl/>
        </w:rPr>
        <w:t>الملخص</w:t>
      </w:r>
      <w:bookmarkEnd w:id="0"/>
    </w:p>
    <w:p w14:paraId="16F2A768" w14:textId="77777777" w:rsidR="00773662" w:rsidRPr="00BA7005" w:rsidRDefault="00773662"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يهدف هذا البحث إلى دراسة وتحليل تأثير التحول الرقمي على أداء الشركات في بيئة الأعمال المعاصرة، حيث أصبح التحول الرقمي ضرورة استراتيجية لا غنى عنها لتحقيق الميزة التنافسية والاستدامة المؤسسية. تنبع مشكلة البحث من الحاجة الملحة لفهم الآليات التي يؤثر من خلالها التحول الرقمي على مختلف أبعاد الأداء التنظيمي، في ظل التسارع التكنولوجي الهائل الذي يشهده العالم والتحديات التي تواجه الشركات في عملية التحول</w:t>
      </w:r>
      <w:r w:rsidRPr="00BA7005">
        <w:rPr>
          <w:rFonts w:ascii="Simplified Arabic" w:hAnsi="Simplified Arabic" w:cs="Simplified Arabic"/>
          <w:sz w:val="28"/>
          <w:szCs w:val="28"/>
        </w:rPr>
        <w:t>.</w:t>
      </w:r>
    </w:p>
    <w:p w14:paraId="760CFBBF" w14:textId="77777777" w:rsidR="00773662" w:rsidRPr="00BA7005" w:rsidRDefault="00773662"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يسعى البحث إلى الإجابة عن السؤال الرئيسي التالي: ما مدى تأثير التحول الرقمي على أداء الشركات؟ وينبثق عن هذا السؤال عدة تساؤلات فرعية تتعلق بأبعاد التحول الرقمي المختلفة وعلاقتها بمؤشرات الأداء المؤسسي. اعتمد البحث على المنهج الوصفي التحليلي، حيث تم جمع البيانات من خلال استبانة موجهة لعينة من الشركات الصناعية والخدمية، وتحليلها باستخدام الأساليب الإحصائية المتقدمة</w:t>
      </w:r>
      <w:r w:rsidRPr="00BA7005">
        <w:rPr>
          <w:rFonts w:ascii="Simplified Arabic" w:hAnsi="Simplified Arabic" w:cs="Simplified Arabic"/>
          <w:sz w:val="28"/>
          <w:szCs w:val="28"/>
        </w:rPr>
        <w:t>.</w:t>
      </w:r>
    </w:p>
    <w:p w14:paraId="6B22CCB7" w14:textId="77777777" w:rsidR="00773662" w:rsidRPr="00BA7005" w:rsidRDefault="00773662"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أظهرت النتائج وجود تأثير إيجابي وذي دلالة إحصائية للتحول الرقمي على أداء الشركات، حيث تبين أن تبني التقنيات الرقمية الحديثة وتطوير البنية التحتية الرقمية وبناء الثقافة الرقمية يسهم بشكل كبير في تحسين الكفاءة التشغيلية، ورفع مستوى رضا العملاء، وزيادة الربحية، وتعزيز القدرة الابتكارية. أوصى البحث بضرورة وضع استراتيجيات واضحة للتحول الرقمي، والاستثمار في تطوير المهارات الرقمية للموظفين، وتبني ثقافة تنظيمية داعمة للتغيير والابتكار</w:t>
      </w:r>
      <w:r w:rsidRPr="00BA7005">
        <w:rPr>
          <w:rFonts w:ascii="Simplified Arabic" w:hAnsi="Simplified Arabic" w:cs="Simplified Arabic"/>
          <w:sz w:val="28"/>
          <w:szCs w:val="28"/>
        </w:rPr>
        <w:t>.</w:t>
      </w:r>
    </w:p>
    <w:p w14:paraId="31146BE9" w14:textId="77777777" w:rsidR="00773662" w:rsidRPr="00BA7005" w:rsidRDefault="00773662"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الكلمات المفتاحية</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التحول الرقمي، الأداء التنظيمي، التقنيات الرقمية، الكفاءة التشغيلية، الميزة التنافسية، الابتكار الرقمي</w:t>
      </w:r>
      <w:r w:rsidRPr="00BA7005">
        <w:rPr>
          <w:rFonts w:ascii="Simplified Arabic" w:hAnsi="Simplified Arabic" w:cs="Simplified Arabic"/>
          <w:sz w:val="28"/>
          <w:szCs w:val="28"/>
        </w:rPr>
        <w:t>.</w:t>
      </w:r>
    </w:p>
    <w:p w14:paraId="295D1FDA" w14:textId="3CF78533" w:rsidR="00773662" w:rsidRDefault="00773662"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7EBDCD44" w14:textId="52789E71" w:rsidR="00441BA5" w:rsidRDefault="00441BA5"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78632EE3" w14:textId="100AB281" w:rsidR="00441BA5" w:rsidRDefault="00441BA5"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056EB20B" w14:textId="02B105CC" w:rsidR="00441BA5" w:rsidRDefault="00441BA5"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5C38269E" w14:textId="712E6E7D" w:rsidR="00441BA5" w:rsidRDefault="00441BA5"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1D51A241" w14:textId="5FCA605E" w:rsidR="00441BA5" w:rsidRDefault="00441BA5"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3B23009E" w14:textId="48DB898F" w:rsidR="00441BA5" w:rsidRDefault="00441BA5"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29391CD3" w14:textId="77777777" w:rsidR="00441BA5" w:rsidRPr="00773662" w:rsidRDefault="00441BA5"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sdt>
      <w:sdtPr>
        <w:rPr>
          <w:rFonts w:ascii="Simplified Arabic" w:eastAsiaTheme="minorEastAsia" w:hAnsi="Simplified Arabic" w:cs="Simplified Arabic"/>
          <w:b/>
          <w:bCs/>
          <w:color w:val="auto"/>
          <w:kern w:val="2"/>
          <w:sz w:val="24"/>
          <w:szCs w:val="24"/>
          <w:rtl/>
        </w:rPr>
        <w:id w:val="-1471124581"/>
        <w:docPartObj>
          <w:docPartGallery w:val="Table of Contents"/>
          <w:docPartUnique/>
        </w:docPartObj>
      </w:sdtPr>
      <w:sdtEndPr>
        <w:rPr>
          <w:rFonts w:asciiTheme="minorHAnsi" w:hAnsiTheme="minorHAnsi" w:cs="Arial"/>
          <w:noProof/>
        </w:rPr>
      </w:sdtEndPr>
      <w:sdtContent>
        <w:p w14:paraId="6403BEF2" w14:textId="07C1E5B4" w:rsidR="00DD2762" w:rsidRPr="009264FC" w:rsidRDefault="000126FF" w:rsidP="005A3B51">
          <w:pPr>
            <w:pStyle w:val="TOCHeading"/>
            <w:bidi/>
            <w:jc w:val="center"/>
            <w:rPr>
              <w:rFonts w:ascii="Simplified Arabic" w:hAnsi="Simplified Arabic" w:cs="Simplified Arabic"/>
              <w:b/>
              <w:bCs/>
              <w:sz w:val="40"/>
              <w:szCs w:val="40"/>
            </w:rPr>
          </w:pPr>
          <w:r w:rsidRPr="009264FC">
            <w:rPr>
              <w:rFonts w:ascii="Simplified Arabic" w:hAnsi="Simplified Arabic" w:cs="Simplified Arabic"/>
              <w:b/>
              <w:bCs/>
              <w:sz w:val="40"/>
              <w:szCs w:val="40"/>
              <w:rtl/>
            </w:rPr>
            <w:t>جدول المحتويات</w:t>
          </w:r>
        </w:p>
        <w:p w14:paraId="74421769" w14:textId="2967834B" w:rsidR="000126FF" w:rsidRPr="00BA68AE" w:rsidRDefault="00DD2762" w:rsidP="000126FF">
          <w:pPr>
            <w:pStyle w:val="TOC1"/>
            <w:tabs>
              <w:tab w:val="right" w:leader="dot" w:pos="9395"/>
            </w:tabs>
            <w:bidi/>
            <w:rPr>
              <w:rFonts w:ascii="Simplified Arabic" w:hAnsi="Simplified Arabic" w:cs="Simplified Arabic"/>
              <w:noProof/>
              <w:kern w:val="0"/>
              <w:sz w:val="22"/>
              <w:szCs w:val="22"/>
              <w14:ligatures w14:val="none"/>
            </w:rPr>
          </w:pPr>
          <w:r>
            <w:fldChar w:fldCharType="begin"/>
          </w:r>
          <w:r>
            <w:instrText xml:space="preserve"> TOC \o "1-3" \h \z \u </w:instrText>
          </w:r>
          <w:r>
            <w:fldChar w:fldCharType="separate"/>
          </w:r>
          <w:hyperlink w:anchor="_Toc214041784" w:history="1">
            <w:r w:rsidR="000126FF" w:rsidRPr="00BA68AE">
              <w:rPr>
                <w:rStyle w:val="Hyperlink"/>
                <w:rFonts w:ascii="Simplified Arabic" w:hAnsi="Simplified Arabic" w:cs="Simplified Arabic"/>
                <w:noProof/>
                <w:rtl/>
                <w:lang w:bidi="ar-EG"/>
              </w:rPr>
              <w:t>إهداء</w:t>
            </w:r>
            <w:r w:rsidR="000126FF" w:rsidRPr="00BA68AE">
              <w:rPr>
                <w:rFonts w:ascii="Simplified Arabic" w:hAnsi="Simplified Arabic" w:cs="Simplified Arabic"/>
                <w:noProof/>
                <w:webHidden/>
              </w:rPr>
              <w:tab/>
            </w:r>
            <w:r w:rsidR="000126FF" w:rsidRPr="00BA68AE">
              <w:rPr>
                <w:rFonts w:ascii="Simplified Arabic" w:hAnsi="Simplified Arabic" w:cs="Simplified Arabic"/>
                <w:noProof/>
                <w:webHidden/>
              </w:rPr>
              <w:fldChar w:fldCharType="begin"/>
            </w:r>
            <w:r w:rsidR="000126FF" w:rsidRPr="00BA68AE">
              <w:rPr>
                <w:rFonts w:ascii="Simplified Arabic" w:hAnsi="Simplified Arabic" w:cs="Simplified Arabic"/>
                <w:noProof/>
                <w:webHidden/>
              </w:rPr>
              <w:instrText xml:space="preserve"> PAGEREF _Toc214041784 \h </w:instrText>
            </w:r>
            <w:r w:rsidR="000126FF" w:rsidRPr="00BA68AE">
              <w:rPr>
                <w:rFonts w:ascii="Simplified Arabic" w:hAnsi="Simplified Arabic" w:cs="Simplified Arabic"/>
                <w:noProof/>
                <w:webHidden/>
              </w:rPr>
            </w:r>
            <w:r w:rsidR="000126FF" w:rsidRPr="00BA68AE">
              <w:rPr>
                <w:rFonts w:ascii="Simplified Arabic" w:hAnsi="Simplified Arabic" w:cs="Simplified Arabic"/>
                <w:noProof/>
                <w:webHidden/>
              </w:rPr>
              <w:fldChar w:fldCharType="separate"/>
            </w:r>
            <w:r w:rsidR="00AE7064">
              <w:rPr>
                <w:rFonts w:ascii="Simplified Arabic" w:hAnsi="Simplified Arabic" w:cs="Simplified Arabic" w:hint="eastAsia"/>
                <w:noProof/>
                <w:webHidden/>
                <w:rtl/>
              </w:rPr>
              <w:t>ت‌</w:t>
            </w:r>
            <w:r w:rsidR="000126FF" w:rsidRPr="00BA68AE">
              <w:rPr>
                <w:rFonts w:ascii="Simplified Arabic" w:hAnsi="Simplified Arabic" w:cs="Simplified Arabic"/>
                <w:noProof/>
                <w:webHidden/>
              </w:rPr>
              <w:fldChar w:fldCharType="end"/>
            </w:r>
          </w:hyperlink>
        </w:p>
        <w:p w14:paraId="2688FA6D" w14:textId="6BFAC3EC"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785" w:history="1">
            <w:r w:rsidRPr="00BA68AE">
              <w:rPr>
                <w:rStyle w:val="Hyperlink"/>
                <w:rFonts w:ascii="Simplified Arabic" w:hAnsi="Simplified Arabic" w:cs="Simplified Arabic"/>
                <w:noProof/>
                <w:rtl/>
                <w:lang w:bidi="ar-EG"/>
              </w:rPr>
              <w:t>شكر و تقدير</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_Toc214041785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hint="eastAsia"/>
                <w:noProof/>
                <w:webHidden/>
                <w:rtl/>
              </w:rPr>
              <w:t>ث‌</w:t>
            </w:r>
            <w:r w:rsidRPr="00BA68AE">
              <w:rPr>
                <w:rFonts w:ascii="Simplified Arabic" w:hAnsi="Simplified Arabic" w:cs="Simplified Arabic"/>
                <w:noProof/>
                <w:webHidden/>
              </w:rPr>
              <w:fldChar w:fldCharType="end"/>
            </w:r>
          </w:hyperlink>
        </w:p>
        <w:p w14:paraId="6FFBF4FF" w14:textId="0C950911"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786" w:history="1">
            <w:r w:rsidRPr="00BA68AE">
              <w:rPr>
                <w:rStyle w:val="Hyperlink"/>
                <w:rFonts w:ascii="Simplified Arabic" w:hAnsi="Simplified Arabic" w:cs="Simplified Arabic"/>
                <w:noProof/>
                <w:rtl/>
              </w:rPr>
              <w:t>الملخص</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_Toc214041786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hint="eastAsia"/>
                <w:noProof/>
                <w:webHidden/>
                <w:rtl/>
              </w:rPr>
              <w:t>ج‌</w:t>
            </w:r>
            <w:r w:rsidRPr="00BA68AE">
              <w:rPr>
                <w:rFonts w:ascii="Simplified Arabic" w:hAnsi="Simplified Arabic" w:cs="Simplified Arabic"/>
                <w:noProof/>
                <w:webHidden/>
              </w:rPr>
              <w:fldChar w:fldCharType="end"/>
            </w:r>
          </w:hyperlink>
        </w:p>
        <w:p w14:paraId="2FF2CCD4" w14:textId="5156FBFD"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787" w:history="1">
            <w:r w:rsidRPr="00BA68AE">
              <w:rPr>
                <w:rStyle w:val="Hyperlink"/>
                <w:rFonts w:ascii="Simplified Arabic" w:hAnsi="Simplified Arabic" w:cs="Simplified Arabic"/>
                <w:noProof/>
                <w:rtl/>
              </w:rPr>
              <w:t>الفصل الأول: الإطار العام للدراسة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_Toc214041787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w:t>
            </w:r>
            <w:r w:rsidRPr="00BA68AE">
              <w:rPr>
                <w:rFonts w:ascii="Simplified Arabic" w:hAnsi="Simplified Arabic" w:cs="Simplified Arabic"/>
                <w:noProof/>
                <w:webHidden/>
              </w:rPr>
              <w:fldChar w:fldCharType="end"/>
            </w:r>
          </w:hyperlink>
        </w:p>
        <w:p w14:paraId="10A8B3F7" w14:textId="5F126253"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88" w:history="1">
            <w:r w:rsidRPr="00BA68AE">
              <w:rPr>
                <w:rStyle w:val="Hyperlink"/>
                <w:rFonts w:ascii="Simplified Arabic" w:hAnsi="Simplified Arabic" w:cs="Simplified Arabic"/>
                <w:noProof/>
              </w:rPr>
              <w:t xml:space="preserve">1.1 </w:t>
            </w:r>
            <w:r w:rsidRPr="00BA68AE">
              <w:rPr>
                <w:rStyle w:val="Hyperlink"/>
                <w:rFonts w:ascii="Simplified Arabic" w:hAnsi="Simplified Arabic" w:cs="Simplified Arabic"/>
                <w:noProof/>
                <w:rtl/>
              </w:rPr>
              <w:t>مقدمة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_Toc214041788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w:t>
            </w:r>
            <w:r w:rsidRPr="00BA68AE">
              <w:rPr>
                <w:rFonts w:ascii="Simplified Arabic" w:hAnsi="Simplified Arabic" w:cs="Simplified Arabic"/>
                <w:noProof/>
                <w:webHidden/>
              </w:rPr>
              <w:fldChar w:fldCharType="end"/>
            </w:r>
          </w:hyperlink>
        </w:p>
        <w:p w14:paraId="330CC121" w14:textId="0E42C7EF"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89" w:history="1">
            <w:r w:rsidRPr="00BA68AE">
              <w:rPr>
                <w:rStyle w:val="Hyperlink"/>
                <w:rFonts w:ascii="Simplified Arabic" w:hAnsi="Simplified Arabic" w:cs="Simplified Arabic"/>
                <w:noProof/>
              </w:rPr>
              <w:t xml:space="preserve">1.2 </w:t>
            </w:r>
            <w:r w:rsidRPr="00BA68AE">
              <w:rPr>
                <w:rStyle w:val="Hyperlink"/>
                <w:rFonts w:ascii="Simplified Arabic" w:hAnsi="Simplified Arabic" w:cs="Simplified Arabic"/>
                <w:noProof/>
                <w:rtl/>
              </w:rPr>
              <w:t>مشكلة البحث</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_Toc214041789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2</w:t>
            </w:r>
            <w:r w:rsidRPr="00BA68AE">
              <w:rPr>
                <w:rFonts w:ascii="Simplified Arabic" w:hAnsi="Simplified Arabic" w:cs="Simplified Arabic"/>
                <w:noProof/>
                <w:webHidden/>
              </w:rPr>
              <w:fldChar w:fldCharType="end"/>
            </w:r>
          </w:hyperlink>
        </w:p>
        <w:p w14:paraId="0B59E3E3" w14:textId="293EDC69"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90" w:history="1">
            <w:r w:rsidRPr="00BA68AE">
              <w:rPr>
                <w:rStyle w:val="Hyperlink"/>
                <w:rFonts w:ascii="Simplified Arabic" w:hAnsi="Simplified Arabic" w:cs="Simplified Arabic"/>
                <w:noProof/>
              </w:rPr>
              <w:t xml:space="preserve">1.3 </w:t>
            </w:r>
            <w:r w:rsidRPr="00BA68AE">
              <w:rPr>
                <w:rStyle w:val="Hyperlink"/>
                <w:rFonts w:ascii="Simplified Arabic" w:hAnsi="Simplified Arabic" w:cs="Simplified Arabic"/>
                <w:noProof/>
                <w:rtl/>
              </w:rPr>
              <w:t>أهداف البحث</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3</w:t>
            </w:r>
            <w:r w:rsidRPr="00BA68AE">
              <w:rPr>
                <w:rFonts w:ascii="Simplified Arabic" w:hAnsi="Simplified Arabic" w:cs="Simplified Arabic"/>
                <w:noProof/>
                <w:webHidden/>
              </w:rPr>
              <w:fldChar w:fldCharType="end"/>
            </w:r>
          </w:hyperlink>
        </w:p>
        <w:p w14:paraId="1288273A" w14:textId="20909CB2"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91" w:history="1">
            <w:r w:rsidRPr="00BA68AE">
              <w:rPr>
                <w:rStyle w:val="Hyperlink"/>
                <w:rFonts w:ascii="Simplified Arabic" w:hAnsi="Simplified Arabic" w:cs="Simplified Arabic"/>
                <w:noProof/>
              </w:rPr>
              <w:t xml:space="preserve">1.4 </w:t>
            </w:r>
            <w:r w:rsidRPr="00BA68AE">
              <w:rPr>
                <w:rStyle w:val="Hyperlink"/>
                <w:rFonts w:ascii="Simplified Arabic" w:hAnsi="Simplified Arabic" w:cs="Simplified Arabic"/>
                <w:noProof/>
                <w:rtl/>
              </w:rPr>
              <w:t>أهمية البحث</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3</w:t>
            </w:r>
            <w:r w:rsidRPr="00BA68AE">
              <w:rPr>
                <w:rFonts w:ascii="Simplified Arabic" w:hAnsi="Simplified Arabic" w:cs="Simplified Arabic"/>
                <w:noProof/>
                <w:webHidden/>
              </w:rPr>
              <w:fldChar w:fldCharType="end"/>
            </w:r>
          </w:hyperlink>
        </w:p>
        <w:p w14:paraId="0C55928C" w14:textId="0D5024F9"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92" w:history="1">
            <w:r w:rsidRPr="00BA68AE">
              <w:rPr>
                <w:rStyle w:val="Hyperlink"/>
                <w:rFonts w:ascii="Simplified Arabic" w:hAnsi="Simplified Arabic" w:cs="Simplified Arabic"/>
                <w:noProof/>
              </w:rPr>
              <w:t xml:space="preserve">1.5 </w:t>
            </w:r>
            <w:r w:rsidRPr="00BA68AE">
              <w:rPr>
                <w:rStyle w:val="Hyperlink"/>
                <w:rFonts w:ascii="Simplified Arabic" w:hAnsi="Simplified Arabic" w:cs="Simplified Arabic"/>
                <w:noProof/>
                <w:rtl/>
              </w:rPr>
              <w:t>فرضيات البحث</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w:t>
            </w:r>
            <w:r w:rsidRPr="00BA68AE">
              <w:rPr>
                <w:rFonts w:ascii="Simplified Arabic" w:hAnsi="Simplified Arabic" w:cs="Simplified Arabic"/>
                <w:noProof/>
                <w:webHidden/>
              </w:rPr>
              <w:fldChar w:fldCharType="end"/>
            </w:r>
          </w:hyperlink>
        </w:p>
        <w:p w14:paraId="49E3BA5C" w14:textId="63148015"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93" w:history="1">
            <w:r w:rsidRPr="00BA68AE">
              <w:rPr>
                <w:rStyle w:val="Hyperlink"/>
                <w:rFonts w:ascii="Simplified Arabic" w:hAnsi="Simplified Arabic" w:cs="Simplified Arabic"/>
                <w:noProof/>
              </w:rPr>
              <w:t xml:space="preserve">1.6 </w:t>
            </w:r>
            <w:r w:rsidRPr="00BA68AE">
              <w:rPr>
                <w:rStyle w:val="Hyperlink"/>
                <w:rFonts w:ascii="Simplified Arabic" w:hAnsi="Simplified Arabic" w:cs="Simplified Arabic"/>
                <w:noProof/>
                <w:rtl/>
              </w:rPr>
              <w:t>النموذج المفاهيمي للدراسة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w:t>
            </w:r>
            <w:r w:rsidRPr="00BA68AE">
              <w:rPr>
                <w:rFonts w:ascii="Simplified Arabic" w:hAnsi="Simplified Arabic" w:cs="Simplified Arabic"/>
                <w:noProof/>
                <w:webHidden/>
              </w:rPr>
              <w:fldChar w:fldCharType="end"/>
            </w:r>
          </w:hyperlink>
        </w:p>
        <w:p w14:paraId="4071296C" w14:textId="3E2A2737"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94" w:history="1">
            <w:r w:rsidRPr="00BA68AE">
              <w:rPr>
                <w:rStyle w:val="Hyperlink"/>
                <w:rFonts w:ascii="Simplified Arabic" w:hAnsi="Simplified Arabic" w:cs="Simplified Arabic"/>
                <w:noProof/>
              </w:rPr>
              <w:t xml:space="preserve">1.7 </w:t>
            </w:r>
            <w:r w:rsidRPr="00BA68AE">
              <w:rPr>
                <w:rStyle w:val="Hyperlink"/>
                <w:rFonts w:ascii="Simplified Arabic" w:hAnsi="Simplified Arabic" w:cs="Simplified Arabic"/>
                <w:noProof/>
                <w:rtl/>
              </w:rPr>
              <w:t>حدود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w:t>
            </w:r>
            <w:r w:rsidRPr="00BA68AE">
              <w:rPr>
                <w:rFonts w:ascii="Simplified Arabic" w:hAnsi="Simplified Arabic" w:cs="Simplified Arabic"/>
                <w:noProof/>
                <w:webHidden/>
              </w:rPr>
              <w:fldChar w:fldCharType="end"/>
            </w:r>
          </w:hyperlink>
        </w:p>
        <w:p w14:paraId="504EF172" w14:textId="17156724"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95" w:history="1">
            <w:r w:rsidRPr="00BA68AE">
              <w:rPr>
                <w:rStyle w:val="Hyperlink"/>
                <w:rFonts w:ascii="Simplified Arabic" w:hAnsi="Simplified Arabic" w:cs="Simplified Arabic"/>
                <w:noProof/>
              </w:rPr>
              <w:t xml:space="preserve">1.8 </w:t>
            </w:r>
            <w:r w:rsidRPr="00BA68AE">
              <w:rPr>
                <w:rStyle w:val="Hyperlink"/>
                <w:rFonts w:ascii="Simplified Arabic" w:hAnsi="Simplified Arabic" w:cs="Simplified Arabic"/>
                <w:noProof/>
                <w:rtl/>
              </w:rPr>
              <w:t>مصطلحات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w:t>
            </w:r>
            <w:r w:rsidRPr="00BA68AE">
              <w:rPr>
                <w:rFonts w:ascii="Simplified Arabic" w:hAnsi="Simplified Arabic" w:cs="Simplified Arabic"/>
                <w:noProof/>
                <w:webHidden/>
              </w:rPr>
              <w:fldChar w:fldCharType="end"/>
            </w:r>
          </w:hyperlink>
        </w:p>
        <w:p w14:paraId="7F917AC0" w14:textId="6754224A"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796" w:history="1">
            <w:r w:rsidRPr="00BA68AE">
              <w:rPr>
                <w:rStyle w:val="Hyperlink"/>
                <w:rFonts w:ascii="Simplified Arabic" w:hAnsi="Simplified Arabic" w:cs="Simplified Arabic"/>
                <w:noProof/>
                <w:rtl/>
              </w:rPr>
              <w:t>الفصل الثاني: الإطار النظري والدراسات السابقة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w:t>
            </w:r>
            <w:r w:rsidRPr="00BA68AE">
              <w:rPr>
                <w:rFonts w:ascii="Simplified Arabic" w:hAnsi="Simplified Arabic" w:cs="Simplified Arabic"/>
                <w:noProof/>
                <w:webHidden/>
              </w:rPr>
              <w:fldChar w:fldCharType="end"/>
            </w:r>
          </w:hyperlink>
        </w:p>
        <w:p w14:paraId="0B1F1DE0" w14:textId="1EDC9346"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797" w:history="1">
            <w:r w:rsidRPr="00BA68AE">
              <w:rPr>
                <w:rStyle w:val="Hyperlink"/>
                <w:rFonts w:ascii="Simplified Arabic" w:hAnsi="Simplified Arabic" w:cs="Simplified Arabic"/>
                <w:noProof/>
                <w:rtl/>
              </w:rPr>
              <w:t>المبحث الأول: التحول الرقمي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w:t>
            </w:r>
            <w:r w:rsidRPr="00BA68AE">
              <w:rPr>
                <w:rFonts w:ascii="Simplified Arabic" w:hAnsi="Simplified Arabic" w:cs="Simplified Arabic"/>
                <w:noProof/>
                <w:webHidden/>
              </w:rPr>
              <w:fldChar w:fldCharType="end"/>
            </w:r>
          </w:hyperlink>
        </w:p>
        <w:p w14:paraId="43C9D33F" w14:textId="2894415D"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798" w:history="1">
            <w:r w:rsidRPr="00BA68AE">
              <w:rPr>
                <w:rStyle w:val="Hyperlink"/>
                <w:rFonts w:ascii="Simplified Arabic" w:hAnsi="Simplified Arabic" w:cs="Simplified Arabic"/>
                <w:noProof/>
              </w:rPr>
              <w:t xml:space="preserve">2.1.1 </w:t>
            </w:r>
            <w:r w:rsidRPr="00BA68AE">
              <w:rPr>
                <w:rStyle w:val="Hyperlink"/>
                <w:rFonts w:ascii="Simplified Arabic" w:hAnsi="Simplified Arabic" w:cs="Simplified Arabic"/>
                <w:noProof/>
                <w:rtl/>
              </w:rPr>
              <w:t>مفهوم التحول الرقمي وتطوره التاريخي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w:t>
            </w:r>
            <w:r w:rsidRPr="00BA68AE">
              <w:rPr>
                <w:rFonts w:ascii="Simplified Arabic" w:hAnsi="Simplified Arabic" w:cs="Simplified Arabic"/>
                <w:noProof/>
                <w:webHidden/>
              </w:rPr>
              <w:fldChar w:fldCharType="end"/>
            </w:r>
          </w:hyperlink>
        </w:p>
        <w:p w14:paraId="30B9EC8F" w14:textId="39FABDC0"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799" w:history="1">
            <w:r w:rsidRPr="00BA68AE">
              <w:rPr>
                <w:rStyle w:val="Hyperlink"/>
                <w:rFonts w:ascii="Simplified Arabic" w:hAnsi="Simplified Arabic" w:cs="Simplified Arabic"/>
                <w:noProof/>
              </w:rPr>
              <w:t xml:space="preserve">2.1.2 </w:t>
            </w:r>
            <w:r w:rsidRPr="00BA68AE">
              <w:rPr>
                <w:rStyle w:val="Hyperlink"/>
                <w:rFonts w:ascii="Simplified Arabic" w:hAnsi="Simplified Arabic" w:cs="Simplified Arabic"/>
                <w:noProof/>
                <w:rtl/>
              </w:rPr>
              <w:t>أبعاد التحول الرقمي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_Toc214041799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10</w:t>
            </w:r>
            <w:r w:rsidRPr="00BA68AE">
              <w:rPr>
                <w:rFonts w:ascii="Simplified Arabic" w:hAnsi="Simplified Arabic" w:cs="Simplified Arabic"/>
                <w:noProof/>
                <w:webHidden/>
              </w:rPr>
              <w:fldChar w:fldCharType="end"/>
            </w:r>
          </w:hyperlink>
        </w:p>
        <w:p w14:paraId="67B4E72A" w14:textId="4C69245B"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0" w:history="1">
            <w:r w:rsidRPr="00BA68AE">
              <w:rPr>
                <w:rStyle w:val="Hyperlink"/>
                <w:rFonts w:ascii="Simplified Arabic" w:hAnsi="Simplified Arabic" w:cs="Simplified Arabic"/>
                <w:noProof/>
              </w:rPr>
              <w:t xml:space="preserve">2.1.3 </w:t>
            </w:r>
            <w:r w:rsidRPr="00BA68AE">
              <w:rPr>
                <w:rStyle w:val="Hyperlink"/>
                <w:rFonts w:ascii="Simplified Arabic" w:hAnsi="Simplified Arabic" w:cs="Simplified Arabic"/>
                <w:noProof/>
                <w:rtl/>
              </w:rPr>
              <w:t>التقنيات الرقمية الحديثة الداعمة للتحول</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16</w:t>
            </w:r>
            <w:r w:rsidRPr="00BA68AE">
              <w:rPr>
                <w:rFonts w:ascii="Simplified Arabic" w:hAnsi="Simplified Arabic" w:cs="Simplified Arabic"/>
                <w:noProof/>
                <w:webHidden/>
              </w:rPr>
              <w:fldChar w:fldCharType="end"/>
            </w:r>
          </w:hyperlink>
        </w:p>
        <w:p w14:paraId="22151F76" w14:textId="5D37CF23"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1" w:history="1">
            <w:r w:rsidRPr="00BA68AE">
              <w:rPr>
                <w:rStyle w:val="Hyperlink"/>
                <w:rFonts w:ascii="Simplified Arabic" w:hAnsi="Simplified Arabic" w:cs="Simplified Arabic"/>
                <w:noProof/>
              </w:rPr>
              <w:t xml:space="preserve">2.1.4 </w:t>
            </w:r>
            <w:r w:rsidRPr="00BA68AE">
              <w:rPr>
                <w:rStyle w:val="Hyperlink"/>
                <w:rFonts w:ascii="Simplified Arabic" w:hAnsi="Simplified Arabic" w:cs="Simplified Arabic"/>
                <w:noProof/>
                <w:rtl/>
              </w:rPr>
              <w:t>استراتيجيات التحول الرقمي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21</w:t>
            </w:r>
            <w:r w:rsidRPr="00BA68AE">
              <w:rPr>
                <w:rFonts w:ascii="Simplified Arabic" w:hAnsi="Simplified Arabic" w:cs="Simplified Arabic"/>
                <w:noProof/>
                <w:webHidden/>
              </w:rPr>
              <w:fldChar w:fldCharType="end"/>
            </w:r>
          </w:hyperlink>
        </w:p>
        <w:p w14:paraId="1F64A63F" w14:textId="796A2FE8"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2" w:history="1">
            <w:r w:rsidRPr="00BA68AE">
              <w:rPr>
                <w:rStyle w:val="Hyperlink"/>
                <w:rFonts w:ascii="Simplified Arabic" w:hAnsi="Simplified Arabic" w:cs="Simplified Arabic"/>
                <w:noProof/>
              </w:rPr>
              <w:t xml:space="preserve">2.1.5 </w:t>
            </w:r>
            <w:r w:rsidRPr="00BA68AE">
              <w:rPr>
                <w:rStyle w:val="Hyperlink"/>
                <w:rFonts w:ascii="Simplified Arabic" w:hAnsi="Simplified Arabic" w:cs="Simplified Arabic"/>
                <w:noProof/>
                <w:rtl/>
              </w:rPr>
              <w:t>التحديات التي تواجه التحول الرقمي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23</w:t>
            </w:r>
            <w:r w:rsidRPr="00BA68AE">
              <w:rPr>
                <w:rFonts w:ascii="Simplified Arabic" w:hAnsi="Simplified Arabic" w:cs="Simplified Arabic"/>
                <w:noProof/>
                <w:webHidden/>
              </w:rPr>
              <w:fldChar w:fldCharType="end"/>
            </w:r>
          </w:hyperlink>
        </w:p>
        <w:p w14:paraId="734A7116" w14:textId="599B64B6"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03" w:history="1">
            <w:r w:rsidRPr="00BA68AE">
              <w:rPr>
                <w:rStyle w:val="Hyperlink"/>
                <w:rFonts w:ascii="Simplified Arabic" w:hAnsi="Simplified Arabic" w:cs="Simplified Arabic"/>
                <w:noProof/>
                <w:rtl/>
              </w:rPr>
              <w:t>المبحث الثاني: أداء الشركات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25</w:t>
            </w:r>
            <w:r w:rsidRPr="00BA68AE">
              <w:rPr>
                <w:rFonts w:ascii="Simplified Arabic" w:hAnsi="Simplified Arabic" w:cs="Simplified Arabic"/>
                <w:noProof/>
                <w:webHidden/>
              </w:rPr>
              <w:fldChar w:fldCharType="end"/>
            </w:r>
          </w:hyperlink>
        </w:p>
        <w:p w14:paraId="09E14DA9" w14:textId="1E37040A"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4" w:history="1">
            <w:r w:rsidRPr="00BA68AE">
              <w:rPr>
                <w:rStyle w:val="Hyperlink"/>
                <w:rFonts w:ascii="Simplified Arabic" w:hAnsi="Simplified Arabic" w:cs="Simplified Arabic"/>
                <w:noProof/>
              </w:rPr>
              <w:t xml:space="preserve">2.2.1 </w:t>
            </w:r>
            <w:r w:rsidRPr="00BA68AE">
              <w:rPr>
                <w:rStyle w:val="Hyperlink"/>
                <w:rFonts w:ascii="Simplified Arabic" w:hAnsi="Simplified Arabic" w:cs="Simplified Arabic"/>
                <w:noProof/>
                <w:rtl/>
              </w:rPr>
              <w:t>مفهوم الأداء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25</w:t>
            </w:r>
            <w:r w:rsidRPr="00BA68AE">
              <w:rPr>
                <w:rFonts w:ascii="Simplified Arabic" w:hAnsi="Simplified Arabic" w:cs="Simplified Arabic"/>
                <w:noProof/>
                <w:webHidden/>
              </w:rPr>
              <w:fldChar w:fldCharType="end"/>
            </w:r>
          </w:hyperlink>
        </w:p>
        <w:p w14:paraId="236CF8D4" w14:textId="5FC919A2"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5" w:history="1">
            <w:r w:rsidRPr="00BA68AE">
              <w:rPr>
                <w:rStyle w:val="Hyperlink"/>
                <w:rFonts w:ascii="Simplified Arabic" w:hAnsi="Simplified Arabic" w:cs="Simplified Arabic"/>
                <w:noProof/>
              </w:rPr>
              <w:t xml:space="preserve">2.2.3 </w:t>
            </w:r>
            <w:r w:rsidRPr="00BA68AE">
              <w:rPr>
                <w:rStyle w:val="Hyperlink"/>
                <w:rFonts w:ascii="Simplified Arabic" w:hAnsi="Simplified Arabic" w:cs="Simplified Arabic"/>
                <w:noProof/>
                <w:rtl/>
              </w:rPr>
              <w:t>العوامل المؤثرة في الأداء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30</w:t>
            </w:r>
            <w:r w:rsidRPr="00BA68AE">
              <w:rPr>
                <w:rFonts w:ascii="Simplified Arabic" w:hAnsi="Simplified Arabic" w:cs="Simplified Arabic"/>
                <w:noProof/>
                <w:webHidden/>
              </w:rPr>
              <w:fldChar w:fldCharType="end"/>
            </w:r>
          </w:hyperlink>
        </w:p>
        <w:p w14:paraId="2692ABD8" w14:textId="4FDFC066"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06" w:history="1">
            <w:r w:rsidRPr="00BA68AE">
              <w:rPr>
                <w:rStyle w:val="Hyperlink"/>
                <w:rFonts w:ascii="Simplified Arabic" w:hAnsi="Simplified Arabic" w:cs="Simplified Arabic"/>
                <w:noProof/>
                <w:rtl/>
              </w:rPr>
              <w:t>المبحث الثالث: العلاقة بين التحول الرقمي وأداء الشركات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31</w:t>
            </w:r>
            <w:r w:rsidRPr="00BA68AE">
              <w:rPr>
                <w:rFonts w:ascii="Simplified Arabic" w:hAnsi="Simplified Arabic" w:cs="Simplified Arabic"/>
                <w:noProof/>
                <w:webHidden/>
              </w:rPr>
              <w:fldChar w:fldCharType="end"/>
            </w:r>
          </w:hyperlink>
        </w:p>
        <w:p w14:paraId="63D7343D" w14:textId="4C341695"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7" w:history="1">
            <w:r w:rsidRPr="00BA68AE">
              <w:rPr>
                <w:rStyle w:val="Hyperlink"/>
                <w:rFonts w:ascii="Simplified Arabic" w:hAnsi="Simplified Arabic" w:cs="Simplified Arabic"/>
                <w:noProof/>
              </w:rPr>
              <w:t xml:space="preserve">2.3.1 </w:t>
            </w:r>
            <w:r w:rsidRPr="00BA68AE">
              <w:rPr>
                <w:rStyle w:val="Hyperlink"/>
                <w:rFonts w:ascii="Simplified Arabic" w:hAnsi="Simplified Arabic" w:cs="Simplified Arabic"/>
                <w:noProof/>
                <w:rtl/>
              </w:rPr>
              <w:t>الأطر النظرية المفسرة للعلاقة بين التحول الرقمي والأداء</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31</w:t>
            </w:r>
            <w:r w:rsidRPr="00BA68AE">
              <w:rPr>
                <w:rFonts w:ascii="Simplified Arabic" w:hAnsi="Simplified Arabic" w:cs="Simplified Arabic"/>
                <w:noProof/>
                <w:webHidden/>
              </w:rPr>
              <w:fldChar w:fldCharType="end"/>
            </w:r>
          </w:hyperlink>
        </w:p>
        <w:p w14:paraId="51FBFFE5" w14:textId="63E44E17"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8" w:history="1">
            <w:r w:rsidRPr="00BA68AE">
              <w:rPr>
                <w:rStyle w:val="Hyperlink"/>
                <w:rFonts w:ascii="Simplified Arabic" w:hAnsi="Simplified Arabic" w:cs="Simplified Arabic"/>
                <w:noProof/>
              </w:rPr>
              <w:t xml:space="preserve">2.3.2 </w:t>
            </w:r>
            <w:r w:rsidRPr="00BA68AE">
              <w:rPr>
                <w:rStyle w:val="Hyperlink"/>
                <w:rFonts w:ascii="Simplified Arabic" w:hAnsi="Simplified Arabic" w:cs="Simplified Arabic"/>
                <w:noProof/>
                <w:rtl/>
              </w:rPr>
              <w:t>الدراسات السابقة حول العلاقة بين التحول الرقمي والأداء</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35</w:t>
            </w:r>
            <w:r w:rsidRPr="00BA68AE">
              <w:rPr>
                <w:rFonts w:ascii="Simplified Arabic" w:hAnsi="Simplified Arabic" w:cs="Simplified Arabic"/>
                <w:noProof/>
                <w:webHidden/>
              </w:rPr>
              <w:fldChar w:fldCharType="end"/>
            </w:r>
          </w:hyperlink>
        </w:p>
        <w:p w14:paraId="4B94D812" w14:textId="0BC58B52"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09" w:history="1">
            <w:r w:rsidRPr="00BA68AE">
              <w:rPr>
                <w:rStyle w:val="Hyperlink"/>
                <w:rFonts w:ascii="Simplified Arabic" w:hAnsi="Simplified Arabic" w:cs="Simplified Arabic"/>
                <w:noProof/>
              </w:rPr>
              <w:t xml:space="preserve">2.3.3 </w:t>
            </w:r>
            <w:r w:rsidRPr="00BA68AE">
              <w:rPr>
                <w:rStyle w:val="Hyperlink"/>
                <w:rFonts w:ascii="Simplified Arabic" w:hAnsi="Simplified Arabic" w:cs="Simplified Arabic"/>
                <w:noProof/>
                <w:rtl/>
              </w:rPr>
              <w:t>التحليل النقدي للدراسات السابقة والفجوة البحثية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_Toc214041809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38</w:t>
            </w:r>
            <w:r w:rsidRPr="00BA68AE">
              <w:rPr>
                <w:rFonts w:ascii="Simplified Arabic" w:hAnsi="Simplified Arabic" w:cs="Simplified Arabic"/>
                <w:noProof/>
                <w:webHidden/>
              </w:rPr>
              <w:fldChar w:fldCharType="end"/>
            </w:r>
          </w:hyperlink>
        </w:p>
        <w:p w14:paraId="28320940" w14:textId="715B666D"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810" w:history="1">
            <w:r w:rsidRPr="00BA68AE">
              <w:rPr>
                <w:rStyle w:val="Hyperlink"/>
                <w:rFonts w:ascii="Simplified Arabic" w:hAnsi="Simplified Arabic" w:cs="Simplified Arabic"/>
                <w:noProof/>
                <w:rtl/>
              </w:rPr>
              <w:t>الفصل الثالث: منهجية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41</w:t>
            </w:r>
            <w:r w:rsidRPr="00BA68AE">
              <w:rPr>
                <w:rFonts w:ascii="Simplified Arabic" w:hAnsi="Simplified Arabic" w:cs="Simplified Arabic"/>
                <w:noProof/>
                <w:webHidden/>
              </w:rPr>
              <w:fldChar w:fldCharType="end"/>
            </w:r>
          </w:hyperlink>
        </w:p>
        <w:p w14:paraId="2299A682" w14:textId="64548349"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11" w:history="1">
            <w:r w:rsidRPr="00BA68AE">
              <w:rPr>
                <w:rStyle w:val="Hyperlink"/>
                <w:rFonts w:ascii="Simplified Arabic" w:hAnsi="Simplified Arabic" w:cs="Simplified Arabic"/>
                <w:noProof/>
              </w:rPr>
              <w:t xml:space="preserve">3.1 </w:t>
            </w:r>
            <w:r w:rsidRPr="00BA68AE">
              <w:rPr>
                <w:rStyle w:val="Hyperlink"/>
                <w:rFonts w:ascii="Simplified Arabic" w:hAnsi="Simplified Arabic" w:cs="Simplified Arabic"/>
                <w:noProof/>
                <w:rtl/>
              </w:rPr>
              <w:t>نوع البحث والمنهج المستخدم</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42</w:t>
            </w:r>
            <w:r w:rsidRPr="00BA68AE">
              <w:rPr>
                <w:rFonts w:ascii="Simplified Arabic" w:hAnsi="Simplified Arabic" w:cs="Simplified Arabic"/>
                <w:noProof/>
                <w:webHidden/>
              </w:rPr>
              <w:fldChar w:fldCharType="end"/>
            </w:r>
          </w:hyperlink>
        </w:p>
        <w:p w14:paraId="7B957CEC" w14:textId="67E8BD40"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12" w:history="1">
            <w:r w:rsidRPr="00BA68AE">
              <w:rPr>
                <w:rStyle w:val="Hyperlink"/>
                <w:rFonts w:ascii="Simplified Arabic" w:hAnsi="Simplified Arabic" w:cs="Simplified Arabic"/>
                <w:noProof/>
              </w:rPr>
              <w:t xml:space="preserve">3.1.1 </w:t>
            </w:r>
            <w:r w:rsidRPr="00BA68AE">
              <w:rPr>
                <w:rStyle w:val="Hyperlink"/>
                <w:rFonts w:ascii="Simplified Arabic" w:hAnsi="Simplified Arabic" w:cs="Simplified Arabic"/>
                <w:noProof/>
                <w:rtl/>
              </w:rPr>
              <w:t>نوع البحث من حيث الغرض</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42</w:t>
            </w:r>
            <w:r w:rsidRPr="00BA68AE">
              <w:rPr>
                <w:rFonts w:ascii="Simplified Arabic" w:hAnsi="Simplified Arabic" w:cs="Simplified Arabic"/>
                <w:noProof/>
                <w:webHidden/>
              </w:rPr>
              <w:fldChar w:fldCharType="end"/>
            </w:r>
          </w:hyperlink>
        </w:p>
        <w:p w14:paraId="30E676AD" w14:textId="33E68EA8"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13" w:history="1">
            <w:r w:rsidRPr="00BA68AE">
              <w:rPr>
                <w:rStyle w:val="Hyperlink"/>
                <w:rFonts w:ascii="Simplified Arabic" w:hAnsi="Simplified Arabic" w:cs="Simplified Arabic"/>
                <w:noProof/>
              </w:rPr>
              <w:t xml:space="preserve">3.1.2 </w:t>
            </w:r>
            <w:r w:rsidRPr="00BA68AE">
              <w:rPr>
                <w:rStyle w:val="Hyperlink"/>
                <w:rFonts w:ascii="Simplified Arabic" w:hAnsi="Simplified Arabic" w:cs="Simplified Arabic"/>
                <w:noProof/>
                <w:rtl/>
              </w:rPr>
              <w:t>المنهج المستخدم</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43</w:t>
            </w:r>
            <w:r w:rsidRPr="00BA68AE">
              <w:rPr>
                <w:rFonts w:ascii="Simplified Arabic" w:hAnsi="Simplified Arabic" w:cs="Simplified Arabic"/>
                <w:noProof/>
                <w:webHidden/>
              </w:rPr>
              <w:fldChar w:fldCharType="end"/>
            </w:r>
          </w:hyperlink>
        </w:p>
        <w:p w14:paraId="146397F4" w14:textId="04F7919C"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14" w:history="1">
            <w:r w:rsidRPr="00BA68AE">
              <w:rPr>
                <w:rStyle w:val="Hyperlink"/>
                <w:rFonts w:ascii="Simplified Arabic" w:hAnsi="Simplified Arabic" w:cs="Simplified Arabic"/>
                <w:noProof/>
              </w:rPr>
              <w:t xml:space="preserve">3.1.3 </w:t>
            </w:r>
            <w:r w:rsidRPr="00BA68AE">
              <w:rPr>
                <w:rStyle w:val="Hyperlink"/>
                <w:rFonts w:ascii="Simplified Arabic" w:hAnsi="Simplified Arabic" w:cs="Simplified Arabic"/>
                <w:noProof/>
                <w:rtl/>
              </w:rPr>
              <w:t>النهج الكمي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43</w:t>
            </w:r>
            <w:r w:rsidRPr="00BA68AE">
              <w:rPr>
                <w:rFonts w:ascii="Simplified Arabic" w:hAnsi="Simplified Arabic" w:cs="Simplified Arabic"/>
                <w:noProof/>
                <w:webHidden/>
              </w:rPr>
              <w:fldChar w:fldCharType="end"/>
            </w:r>
          </w:hyperlink>
        </w:p>
        <w:p w14:paraId="4BC91B98" w14:textId="2FE0E5F7"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15" w:history="1">
            <w:r w:rsidRPr="00BA68AE">
              <w:rPr>
                <w:rStyle w:val="Hyperlink"/>
                <w:rFonts w:ascii="Simplified Arabic" w:hAnsi="Simplified Arabic" w:cs="Simplified Arabic"/>
                <w:noProof/>
              </w:rPr>
              <w:t xml:space="preserve">3.2 </w:t>
            </w:r>
            <w:r w:rsidRPr="00BA68AE">
              <w:rPr>
                <w:rStyle w:val="Hyperlink"/>
                <w:rFonts w:ascii="Simplified Arabic" w:hAnsi="Simplified Arabic" w:cs="Simplified Arabic"/>
                <w:noProof/>
                <w:rtl/>
              </w:rPr>
              <w:t>مجتمع الدراسة والعينة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44</w:t>
            </w:r>
            <w:r w:rsidRPr="00BA68AE">
              <w:rPr>
                <w:rFonts w:ascii="Simplified Arabic" w:hAnsi="Simplified Arabic" w:cs="Simplified Arabic"/>
                <w:noProof/>
                <w:webHidden/>
              </w:rPr>
              <w:fldChar w:fldCharType="end"/>
            </w:r>
          </w:hyperlink>
        </w:p>
        <w:p w14:paraId="7D3479A5" w14:textId="5E81EAE8"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16" w:history="1">
            <w:r w:rsidRPr="00BA68AE">
              <w:rPr>
                <w:rStyle w:val="Hyperlink"/>
                <w:rFonts w:ascii="Simplified Arabic" w:hAnsi="Simplified Arabic" w:cs="Simplified Arabic"/>
                <w:noProof/>
              </w:rPr>
              <w:t xml:space="preserve">3.2.1 </w:t>
            </w:r>
            <w:r w:rsidRPr="00BA68AE">
              <w:rPr>
                <w:rStyle w:val="Hyperlink"/>
                <w:rFonts w:ascii="Simplified Arabic" w:hAnsi="Simplified Arabic" w:cs="Simplified Arabic"/>
                <w:noProof/>
                <w:rtl/>
              </w:rPr>
              <w:t>مجتمع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44</w:t>
            </w:r>
            <w:r w:rsidRPr="00BA68AE">
              <w:rPr>
                <w:rFonts w:ascii="Simplified Arabic" w:hAnsi="Simplified Arabic" w:cs="Simplified Arabic"/>
                <w:noProof/>
                <w:webHidden/>
              </w:rPr>
              <w:fldChar w:fldCharType="end"/>
            </w:r>
          </w:hyperlink>
        </w:p>
        <w:p w14:paraId="612BB091" w14:textId="45434101"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17" w:history="1">
            <w:r w:rsidRPr="00BA68AE">
              <w:rPr>
                <w:rStyle w:val="Hyperlink"/>
                <w:rFonts w:ascii="Simplified Arabic" w:hAnsi="Simplified Arabic" w:cs="Simplified Arabic"/>
                <w:noProof/>
              </w:rPr>
              <w:t xml:space="preserve">3.2.2 </w:t>
            </w:r>
            <w:r w:rsidRPr="00BA68AE">
              <w:rPr>
                <w:rStyle w:val="Hyperlink"/>
                <w:rFonts w:ascii="Simplified Arabic" w:hAnsi="Simplified Arabic" w:cs="Simplified Arabic"/>
                <w:noProof/>
                <w:rtl/>
              </w:rPr>
              <w:t>عينة الدراسة وطريقة اختيارها</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45</w:t>
            </w:r>
            <w:r w:rsidRPr="00BA68AE">
              <w:rPr>
                <w:rFonts w:ascii="Simplified Arabic" w:hAnsi="Simplified Arabic" w:cs="Simplified Arabic"/>
                <w:noProof/>
                <w:webHidden/>
              </w:rPr>
              <w:fldChar w:fldCharType="end"/>
            </w:r>
          </w:hyperlink>
        </w:p>
        <w:p w14:paraId="64218DCE" w14:textId="65B538C2"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18" w:history="1">
            <w:r w:rsidRPr="00BA68AE">
              <w:rPr>
                <w:rStyle w:val="Hyperlink"/>
                <w:rFonts w:ascii="Simplified Arabic" w:hAnsi="Simplified Arabic" w:cs="Simplified Arabic"/>
                <w:noProof/>
              </w:rPr>
              <w:t xml:space="preserve">3.2.3 </w:t>
            </w:r>
            <w:r w:rsidRPr="00BA68AE">
              <w:rPr>
                <w:rStyle w:val="Hyperlink"/>
                <w:rFonts w:ascii="Simplified Arabic" w:hAnsi="Simplified Arabic" w:cs="Simplified Arabic"/>
                <w:noProof/>
                <w:rtl/>
              </w:rPr>
              <w:t>إجراءات جمع البيانات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46</w:t>
            </w:r>
            <w:r w:rsidRPr="00BA68AE">
              <w:rPr>
                <w:rFonts w:ascii="Simplified Arabic" w:hAnsi="Simplified Arabic" w:cs="Simplified Arabic"/>
                <w:noProof/>
                <w:webHidden/>
              </w:rPr>
              <w:fldChar w:fldCharType="end"/>
            </w:r>
          </w:hyperlink>
        </w:p>
        <w:p w14:paraId="7649FD96" w14:textId="2204F1B1"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19" w:history="1">
            <w:r w:rsidRPr="00BA68AE">
              <w:rPr>
                <w:rStyle w:val="Hyperlink"/>
                <w:rFonts w:ascii="Simplified Arabic" w:hAnsi="Simplified Arabic" w:cs="Simplified Arabic"/>
                <w:noProof/>
              </w:rPr>
              <w:t xml:space="preserve">3.2.4 </w:t>
            </w:r>
            <w:r w:rsidRPr="00BA68AE">
              <w:rPr>
                <w:rStyle w:val="Hyperlink"/>
                <w:rFonts w:ascii="Simplified Arabic" w:hAnsi="Simplified Arabic" w:cs="Simplified Arabic"/>
                <w:noProof/>
                <w:rtl/>
              </w:rPr>
              <w:t>خصائص عينة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_Toc214041819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47</w:t>
            </w:r>
            <w:r w:rsidRPr="00BA68AE">
              <w:rPr>
                <w:rFonts w:ascii="Simplified Arabic" w:hAnsi="Simplified Arabic" w:cs="Simplified Arabic"/>
                <w:noProof/>
                <w:webHidden/>
              </w:rPr>
              <w:fldChar w:fldCharType="end"/>
            </w:r>
          </w:hyperlink>
        </w:p>
        <w:p w14:paraId="0F9256F6" w14:textId="78D36DC0"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20" w:history="1">
            <w:r w:rsidRPr="00BA68AE">
              <w:rPr>
                <w:rStyle w:val="Hyperlink"/>
                <w:rFonts w:ascii="Simplified Arabic" w:hAnsi="Simplified Arabic" w:cs="Simplified Arabic"/>
                <w:noProof/>
              </w:rPr>
              <w:t xml:space="preserve">3.3 </w:t>
            </w:r>
            <w:r w:rsidRPr="00BA68AE">
              <w:rPr>
                <w:rStyle w:val="Hyperlink"/>
                <w:rFonts w:ascii="Simplified Arabic" w:hAnsi="Simplified Arabic" w:cs="Simplified Arabic"/>
                <w:noProof/>
                <w:rtl/>
              </w:rPr>
              <w:t>أداة جمع البيانات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47</w:t>
            </w:r>
            <w:r w:rsidRPr="00BA68AE">
              <w:rPr>
                <w:rFonts w:ascii="Simplified Arabic" w:hAnsi="Simplified Arabic" w:cs="Simplified Arabic"/>
                <w:noProof/>
                <w:webHidden/>
              </w:rPr>
              <w:fldChar w:fldCharType="end"/>
            </w:r>
          </w:hyperlink>
        </w:p>
        <w:p w14:paraId="7C1ECB65" w14:textId="74914E55"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1" w:history="1">
            <w:r w:rsidRPr="00BA68AE">
              <w:rPr>
                <w:rStyle w:val="Hyperlink"/>
                <w:rFonts w:ascii="Simplified Arabic" w:hAnsi="Simplified Arabic" w:cs="Simplified Arabic"/>
                <w:noProof/>
              </w:rPr>
              <w:t xml:space="preserve">3.3.1 </w:t>
            </w:r>
            <w:r w:rsidRPr="00BA68AE">
              <w:rPr>
                <w:rStyle w:val="Hyperlink"/>
                <w:rFonts w:ascii="Simplified Arabic" w:hAnsi="Simplified Arabic" w:cs="Simplified Arabic"/>
                <w:noProof/>
                <w:rtl/>
              </w:rPr>
              <w:t>مبررات اختيار الاستبانة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48</w:t>
            </w:r>
            <w:r w:rsidRPr="00BA68AE">
              <w:rPr>
                <w:rFonts w:ascii="Simplified Arabic" w:hAnsi="Simplified Arabic" w:cs="Simplified Arabic"/>
                <w:noProof/>
                <w:webHidden/>
              </w:rPr>
              <w:fldChar w:fldCharType="end"/>
            </w:r>
          </w:hyperlink>
        </w:p>
        <w:p w14:paraId="446DCC17" w14:textId="44C7B6EE"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2" w:history="1">
            <w:r w:rsidRPr="00BA68AE">
              <w:rPr>
                <w:rStyle w:val="Hyperlink"/>
                <w:rFonts w:ascii="Simplified Arabic" w:hAnsi="Simplified Arabic" w:cs="Simplified Arabic"/>
                <w:noProof/>
              </w:rPr>
              <w:t xml:space="preserve">3.3.2 </w:t>
            </w:r>
            <w:r w:rsidRPr="00BA68AE">
              <w:rPr>
                <w:rStyle w:val="Hyperlink"/>
                <w:rFonts w:ascii="Simplified Arabic" w:hAnsi="Simplified Arabic" w:cs="Simplified Arabic"/>
                <w:noProof/>
                <w:rtl/>
              </w:rPr>
              <w:t>تصميم الاستبانة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48</w:t>
            </w:r>
            <w:r w:rsidRPr="00BA68AE">
              <w:rPr>
                <w:rFonts w:ascii="Simplified Arabic" w:hAnsi="Simplified Arabic" w:cs="Simplified Arabic"/>
                <w:noProof/>
                <w:webHidden/>
              </w:rPr>
              <w:fldChar w:fldCharType="end"/>
            </w:r>
          </w:hyperlink>
        </w:p>
        <w:p w14:paraId="433B657F" w14:textId="6AB5DE91"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3" w:history="1">
            <w:r w:rsidRPr="00BA68AE">
              <w:rPr>
                <w:rStyle w:val="Hyperlink"/>
                <w:rFonts w:ascii="Simplified Arabic" w:hAnsi="Simplified Arabic" w:cs="Simplified Arabic"/>
                <w:noProof/>
              </w:rPr>
              <w:t xml:space="preserve">3.3.3 </w:t>
            </w:r>
            <w:r w:rsidRPr="00BA68AE">
              <w:rPr>
                <w:rStyle w:val="Hyperlink"/>
                <w:rFonts w:ascii="Simplified Arabic" w:hAnsi="Simplified Arabic" w:cs="Simplified Arabic"/>
                <w:noProof/>
                <w:rtl/>
              </w:rPr>
              <w:t>أقسام الاستبانة ومحتواها</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49</w:t>
            </w:r>
            <w:r w:rsidRPr="00BA68AE">
              <w:rPr>
                <w:rFonts w:ascii="Simplified Arabic" w:hAnsi="Simplified Arabic" w:cs="Simplified Arabic"/>
                <w:noProof/>
                <w:webHidden/>
              </w:rPr>
              <w:fldChar w:fldCharType="end"/>
            </w:r>
          </w:hyperlink>
        </w:p>
        <w:p w14:paraId="58B19C7E" w14:textId="4AA6F11D"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4" w:history="1">
            <w:r w:rsidRPr="00BA68AE">
              <w:rPr>
                <w:rStyle w:val="Hyperlink"/>
                <w:rFonts w:ascii="Simplified Arabic" w:hAnsi="Simplified Arabic" w:cs="Simplified Arabic"/>
                <w:noProof/>
              </w:rPr>
              <w:t xml:space="preserve">3.3.4 </w:t>
            </w:r>
            <w:r w:rsidRPr="00BA68AE">
              <w:rPr>
                <w:rStyle w:val="Hyperlink"/>
                <w:rFonts w:ascii="Simplified Arabic" w:hAnsi="Simplified Arabic" w:cs="Simplified Arabic"/>
                <w:noProof/>
                <w:rtl/>
              </w:rPr>
              <w:t>مقياس ليكرت الخماسي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49</w:t>
            </w:r>
            <w:r w:rsidRPr="00BA68AE">
              <w:rPr>
                <w:rFonts w:ascii="Simplified Arabic" w:hAnsi="Simplified Arabic" w:cs="Simplified Arabic"/>
                <w:noProof/>
                <w:webHidden/>
              </w:rPr>
              <w:fldChar w:fldCharType="end"/>
            </w:r>
          </w:hyperlink>
        </w:p>
        <w:p w14:paraId="30CD6212" w14:textId="2995B9BF"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5" w:history="1">
            <w:r w:rsidRPr="00BA68AE">
              <w:rPr>
                <w:rStyle w:val="Hyperlink"/>
                <w:rFonts w:ascii="Simplified Arabic" w:hAnsi="Simplified Arabic" w:cs="Simplified Arabic"/>
                <w:noProof/>
              </w:rPr>
              <w:t xml:space="preserve">3.3.5 </w:t>
            </w:r>
            <w:r w:rsidRPr="00BA68AE">
              <w:rPr>
                <w:rStyle w:val="Hyperlink"/>
                <w:rFonts w:ascii="Simplified Arabic" w:hAnsi="Simplified Arabic" w:cs="Simplified Arabic"/>
                <w:noProof/>
                <w:rtl/>
              </w:rPr>
              <w:t>التحكيم والاختبار المبدئي للاستبانة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50</w:t>
            </w:r>
            <w:r w:rsidRPr="00BA68AE">
              <w:rPr>
                <w:rFonts w:ascii="Simplified Arabic" w:hAnsi="Simplified Arabic" w:cs="Simplified Arabic"/>
                <w:noProof/>
                <w:webHidden/>
              </w:rPr>
              <w:fldChar w:fldCharType="end"/>
            </w:r>
          </w:hyperlink>
        </w:p>
        <w:p w14:paraId="52380D47" w14:textId="572EB087"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26" w:history="1">
            <w:r w:rsidRPr="00BA68AE">
              <w:rPr>
                <w:rStyle w:val="Hyperlink"/>
                <w:rFonts w:ascii="Simplified Arabic" w:hAnsi="Simplified Arabic" w:cs="Simplified Arabic"/>
                <w:noProof/>
              </w:rPr>
              <w:t xml:space="preserve">3.4 </w:t>
            </w:r>
            <w:r w:rsidRPr="00BA68AE">
              <w:rPr>
                <w:rStyle w:val="Hyperlink"/>
                <w:rFonts w:ascii="Simplified Arabic" w:hAnsi="Simplified Arabic" w:cs="Simplified Arabic"/>
                <w:noProof/>
                <w:rtl/>
              </w:rPr>
              <w:t>صدق أداة الدراسة وثباتها</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50</w:t>
            </w:r>
            <w:r w:rsidRPr="00BA68AE">
              <w:rPr>
                <w:rFonts w:ascii="Simplified Arabic" w:hAnsi="Simplified Arabic" w:cs="Simplified Arabic"/>
                <w:noProof/>
                <w:webHidden/>
              </w:rPr>
              <w:fldChar w:fldCharType="end"/>
            </w:r>
          </w:hyperlink>
        </w:p>
        <w:p w14:paraId="4B62343C" w14:textId="1E15FD7F"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7" w:history="1">
            <w:r w:rsidRPr="00BA68AE">
              <w:rPr>
                <w:rStyle w:val="Hyperlink"/>
                <w:rFonts w:ascii="Simplified Arabic" w:hAnsi="Simplified Arabic" w:cs="Simplified Arabic"/>
                <w:noProof/>
              </w:rPr>
              <w:t xml:space="preserve">3.4.1 </w:t>
            </w:r>
            <w:r w:rsidRPr="00BA68AE">
              <w:rPr>
                <w:rStyle w:val="Hyperlink"/>
                <w:rFonts w:ascii="Simplified Arabic" w:hAnsi="Simplified Arabic" w:cs="Simplified Arabic"/>
                <w:noProof/>
                <w:rtl/>
              </w:rPr>
              <w:t>صدق المحتوى</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51</w:t>
            </w:r>
            <w:r w:rsidRPr="00BA68AE">
              <w:rPr>
                <w:rFonts w:ascii="Simplified Arabic" w:hAnsi="Simplified Arabic" w:cs="Simplified Arabic"/>
                <w:noProof/>
                <w:webHidden/>
              </w:rPr>
              <w:fldChar w:fldCharType="end"/>
            </w:r>
          </w:hyperlink>
        </w:p>
        <w:p w14:paraId="117ABAAA" w14:textId="4A93A008"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8" w:history="1">
            <w:r w:rsidRPr="00BA68AE">
              <w:rPr>
                <w:rStyle w:val="Hyperlink"/>
                <w:rFonts w:ascii="Simplified Arabic" w:hAnsi="Simplified Arabic" w:cs="Simplified Arabic"/>
                <w:noProof/>
              </w:rPr>
              <w:t xml:space="preserve">3.4.2 </w:t>
            </w:r>
            <w:r w:rsidRPr="00BA68AE">
              <w:rPr>
                <w:rStyle w:val="Hyperlink"/>
                <w:rFonts w:ascii="Simplified Arabic" w:hAnsi="Simplified Arabic" w:cs="Simplified Arabic"/>
                <w:noProof/>
                <w:rtl/>
              </w:rPr>
              <w:t>صدق البناء</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51</w:t>
            </w:r>
            <w:r w:rsidRPr="00BA68AE">
              <w:rPr>
                <w:rFonts w:ascii="Simplified Arabic" w:hAnsi="Simplified Arabic" w:cs="Simplified Arabic"/>
                <w:noProof/>
                <w:webHidden/>
              </w:rPr>
              <w:fldChar w:fldCharType="end"/>
            </w:r>
          </w:hyperlink>
        </w:p>
        <w:p w14:paraId="2C57CF92" w14:textId="72BACE89"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29" w:history="1">
            <w:r w:rsidRPr="00BA68AE">
              <w:rPr>
                <w:rStyle w:val="Hyperlink"/>
                <w:rFonts w:ascii="Simplified Arabic" w:hAnsi="Simplified Arabic" w:cs="Simplified Arabic"/>
                <w:noProof/>
              </w:rPr>
              <w:t xml:space="preserve">3.4.3 </w:t>
            </w:r>
            <w:r w:rsidRPr="00BA68AE">
              <w:rPr>
                <w:rStyle w:val="Hyperlink"/>
                <w:rFonts w:ascii="Simplified Arabic" w:hAnsi="Simplified Arabic" w:cs="Simplified Arabic"/>
                <w:noProof/>
                <w:rtl/>
              </w:rPr>
              <w:t>ثبات الأداة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_Toc214041829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52</w:t>
            </w:r>
            <w:r w:rsidRPr="00BA68AE">
              <w:rPr>
                <w:rFonts w:ascii="Simplified Arabic" w:hAnsi="Simplified Arabic" w:cs="Simplified Arabic"/>
                <w:noProof/>
                <w:webHidden/>
              </w:rPr>
              <w:fldChar w:fldCharType="end"/>
            </w:r>
          </w:hyperlink>
        </w:p>
        <w:p w14:paraId="3FC2D647" w14:textId="1F154343"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0" w:history="1">
            <w:r w:rsidRPr="00BA68AE">
              <w:rPr>
                <w:rStyle w:val="Hyperlink"/>
                <w:rFonts w:ascii="Simplified Arabic" w:hAnsi="Simplified Arabic" w:cs="Simplified Arabic"/>
                <w:noProof/>
              </w:rPr>
              <w:t xml:space="preserve">3.5.2 </w:t>
            </w:r>
            <w:r w:rsidRPr="00BA68AE">
              <w:rPr>
                <w:rStyle w:val="Hyperlink"/>
                <w:rFonts w:ascii="Simplified Arabic" w:hAnsi="Simplified Arabic" w:cs="Simplified Arabic"/>
                <w:noProof/>
                <w:rtl/>
              </w:rPr>
              <w:t>المتغيرات التابعة: أبعاد الأداء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55</w:t>
            </w:r>
            <w:r w:rsidRPr="00BA68AE">
              <w:rPr>
                <w:rFonts w:ascii="Simplified Arabic" w:hAnsi="Simplified Arabic" w:cs="Simplified Arabic"/>
                <w:noProof/>
                <w:webHidden/>
              </w:rPr>
              <w:fldChar w:fldCharType="end"/>
            </w:r>
          </w:hyperlink>
        </w:p>
        <w:p w14:paraId="30A32B26" w14:textId="6A82BDA3"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1" w:history="1">
            <w:r w:rsidRPr="00BA68AE">
              <w:rPr>
                <w:rStyle w:val="Hyperlink"/>
                <w:rFonts w:ascii="Simplified Arabic" w:hAnsi="Simplified Arabic" w:cs="Simplified Arabic"/>
                <w:noProof/>
              </w:rPr>
              <w:t xml:space="preserve">3.5.3 </w:t>
            </w:r>
            <w:r w:rsidRPr="00BA68AE">
              <w:rPr>
                <w:rStyle w:val="Hyperlink"/>
                <w:rFonts w:ascii="Simplified Arabic" w:hAnsi="Simplified Arabic" w:cs="Simplified Arabic"/>
                <w:noProof/>
                <w:rtl/>
              </w:rPr>
              <w:t>المتغيرات المعدلة والديموغرافية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55</w:t>
            </w:r>
            <w:r w:rsidRPr="00BA68AE">
              <w:rPr>
                <w:rFonts w:ascii="Simplified Arabic" w:hAnsi="Simplified Arabic" w:cs="Simplified Arabic"/>
                <w:noProof/>
                <w:webHidden/>
              </w:rPr>
              <w:fldChar w:fldCharType="end"/>
            </w:r>
          </w:hyperlink>
        </w:p>
        <w:p w14:paraId="7EBB23F9" w14:textId="2D720B4C"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32" w:history="1">
            <w:r w:rsidRPr="00BA68AE">
              <w:rPr>
                <w:rStyle w:val="Hyperlink"/>
                <w:rFonts w:ascii="Simplified Arabic" w:hAnsi="Simplified Arabic" w:cs="Simplified Arabic"/>
                <w:noProof/>
              </w:rPr>
              <w:t xml:space="preserve">3.6 </w:t>
            </w:r>
            <w:r w:rsidRPr="00BA68AE">
              <w:rPr>
                <w:rStyle w:val="Hyperlink"/>
                <w:rFonts w:ascii="Simplified Arabic" w:hAnsi="Simplified Arabic" w:cs="Simplified Arabic"/>
                <w:noProof/>
                <w:rtl/>
              </w:rPr>
              <w:t>الأساليب الإحصائية المستخدمة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56</w:t>
            </w:r>
            <w:r w:rsidRPr="00BA68AE">
              <w:rPr>
                <w:rFonts w:ascii="Simplified Arabic" w:hAnsi="Simplified Arabic" w:cs="Simplified Arabic"/>
                <w:noProof/>
                <w:webHidden/>
              </w:rPr>
              <w:fldChar w:fldCharType="end"/>
            </w:r>
          </w:hyperlink>
        </w:p>
        <w:p w14:paraId="6C5FF91F" w14:textId="1F22D64B"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3" w:history="1">
            <w:r w:rsidRPr="00BA68AE">
              <w:rPr>
                <w:rStyle w:val="Hyperlink"/>
                <w:rFonts w:ascii="Simplified Arabic" w:hAnsi="Simplified Arabic" w:cs="Simplified Arabic"/>
                <w:noProof/>
              </w:rPr>
              <w:t xml:space="preserve">3.6.1 </w:t>
            </w:r>
            <w:r w:rsidRPr="00BA68AE">
              <w:rPr>
                <w:rStyle w:val="Hyperlink"/>
                <w:rFonts w:ascii="Simplified Arabic" w:hAnsi="Simplified Arabic" w:cs="Simplified Arabic"/>
                <w:noProof/>
                <w:rtl/>
              </w:rPr>
              <w:t>الإحصاء الوصفي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56</w:t>
            </w:r>
            <w:r w:rsidRPr="00BA68AE">
              <w:rPr>
                <w:rFonts w:ascii="Simplified Arabic" w:hAnsi="Simplified Arabic" w:cs="Simplified Arabic"/>
                <w:noProof/>
                <w:webHidden/>
              </w:rPr>
              <w:fldChar w:fldCharType="end"/>
            </w:r>
          </w:hyperlink>
        </w:p>
        <w:p w14:paraId="38E5093B" w14:textId="547F64A1"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4" w:history="1">
            <w:r w:rsidRPr="00BA68AE">
              <w:rPr>
                <w:rStyle w:val="Hyperlink"/>
                <w:rFonts w:ascii="Simplified Arabic" w:hAnsi="Simplified Arabic" w:cs="Simplified Arabic"/>
                <w:noProof/>
              </w:rPr>
              <w:t xml:space="preserve">3.6.2 </w:t>
            </w:r>
            <w:r w:rsidRPr="00BA68AE">
              <w:rPr>
                <w:rStyle w:val="Hyperlink"/>
                <w:rFonts w:ascii="Simplified Arabic" w:hAnsi="Simplified Arabic" w:cs="Simplified Arabic"/>
                <w:noProof/>
                <w:rtl/>
              </w:rPr>
              <w:t>اختبار الافتراضات الإحصائية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57</w:t>
            </w:r>
            <w:r w:rsidRPr="00BA68AE">
              <w:rPr>
                <w:rFonts w:ascii="Simplified Arabic" w:hAnsi="Simplified Arabic" w:cs="Simplified Arabic"/>
                <w:noProof/>
                <w:webHidden/>
              </w:rPr>
              <w:fldChar w:fldCharType="end"/>
            </w:r>
          </w:hyperlink>
        </w:p>
        <w:p w14:paraId="459FF6B9" w14:textId="76161755"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5" w:history="1">
            <w:r w:rsidRPr="00BA68AE">
              <w:rPr>
                <w:rStyle w:val="Hyperlink"/>
                <w:rFonts w:ascii="Simplified Arabic" w:hAnsi="Simplified Arabic" w:cs="Simplified Arabic"/>
                <w:noProof/>
              </w:rPr>
              <w:t xml:space="preserve">3.6.3 </w:t>
            </w:r>
            <w:r w:rsidRPr="00BA68AE">
              <w:rPr>
                <w:rStyle w:val="Hyperlink"/>
                <w:rFonts w:ascii="Simplified Arabic" w:hAnsi="Simplified Arabic" w:cs="Simplified Arabic"/>
                <w:noProof/>
                <w:rtl/>
              </w:rPr>
              <w:t>تحليل الارتباط</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58</w:t>
            </w:r>
            <w:r w:rsidRPr="00BA68AE">
              <w:rPr>
                <w:rFonts w:ascii="Simplified Arabic" w:hAnsi="Simplified Arabic" w:cs="Simplified Arabic"/>
                <w:noProof/>
                <w:webHidden/>
              </w:rPr>
              <w:fldChar w:fldCharType="end"/>
            </w:r>
          </w:hyperlink>
        </w:p>
        <w:p w14:paraId="24C8EC54" w14:textId="70BCFE22"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6" w:history="1">
            <w:r w:rsidRPr="00BA68AE">
              <w:rPr>
                <w:rStyle w:val="Hyperlink"/>
                <w:rFonts w:ascii="Simplified Arabic" w:hAnsi="Simplified Arabic" w:cs="Simplified Arabic"/>
                <w:noProof/>
              </w:rPr>
              <w:t xml:space="preserve">3.6.4 </w:t>
            </w:r>
            <w:r w:rsidRPr="00BA68AE">
              <w:rPr>
                <w:rStyle w:val="Hyperlink"/>
                <w:rFonts w:ascii="Simplified Arabic" w:hAnsi="Simplified Arabic" w:cs="Simplified Arabic"/>
                <w:noProof/>
                <w:rtl/>
              </w:rPr>
              <w:t>تحليل الانحدار المتعدد</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58</w:t>
            </w:r>
            <w:r w:rsidRPr="00BA68AE">
              <w:rPr>
                <w:rFonts w:ascii="Simplified Arabic" w:hAnsi="Simplified Arabic" w:cs="Simplified Arabic"/>
                <w:noProof/>
                <w:webHidden/>
              </w:rPr>
              <w:fldChar w:fldCharType="end"/>
            </w:r>
          </w:hyperlink>
        </w:p>
        <w:p w14:paraId="4B1F132E" w14:textId="2EEED6BF"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7" w:history="1">
            <w:r w:rsidRPr="00BA68AE">
              <w:rPr>
                <w:rStyle w:val="Hyperlink"/>
                <w:rFonts w:ascii="Simplified Arabic" w:hAnsi="Simplified Arabic" w:cs="Simplified Arabic"/>
                <w:noProof/>
              </w:rPr>
              <w:t xml:space="preserve">3.6.5 </w:t>
            </w:r>
            <w:r w:rsidRPr="00BA68AE">
              <w:rPr>
                <w:rStyle w:val="Hyperlink"/>
                <w:rFonts w:ascii="Simplified Arabic" w:hAnsi="Simplified Arabic" w:cs="Simplified Arabic"/>
                <w:noProof/>
                <w:rtl/>
              </w:rPr>
              <w:t>نمذجة المعادلات الهيكلية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59</w:t>
            </w:r>
            <w:r w:rsidRPr="00BA68AE">
              <w:rPr>
                <w:rFonts w:ascii="Simplified Arabic" w:hAnsi="Simplified Arabic" w:cs="Simplified Arabic"/>
                <w:noProof/>
                <w:webHidden/>
              </w:rPr>
              <w:fldChar w:fldCharType="end"/>
            </w:r>
          </w:hyperlink>
        </w:p>
        <w:p w14:paraId="022F9C30" w14:textId="73C3D5BD"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8" w:history="1">
            <w:r w:rsidRPr="00BA68AE">
              <w:rPr>
                <w:rStyle w:val="Hyperlink"/>
                <w:rFonts w:ascii="Simplified Arabic" w:hAnsi="Simplified Arabic" w:cs="Simplified Arabic"/>
                <w:noProof/>
              </w:rPr>
              <w:t xml:space="preserve">3.6.6 </w:t>
            </w:r>
            <w:r w:rsidRPr="00BA68AE">
              <w:rPr>
                <w:rStyle w:val="Hyperlink"/>
                <w:rFonts w:ascii="Simplified Arabic" w:hAnsi="Simplified Arabic" w:cs="Simplified Arabic"/>
                <w:noProof/>
                <w:rtl/>
              </w:rPr>
              <w:t>تحليل التباين</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60</w:t>
            </w:r>
            <w:r w:rsidRPr="00BA68AE">
              <w:rPr>
                <w:rFonts w:ascii="Simplified Arabic" w:hAnsi="Simplified Arabic" w:cs="Simplified Arabic"/>
                <w:noProof/>
                <w:webHidden/>
              </w:rPr>
              <w:fldChar w:fldCharType="end"/>
            </w:r>
          </w:hyperlink>
        </w:p>
        <w:p w14:paraId="7787940F" w14:textId="7C82F7EF"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39" w:history="1">
            <w:r w:rsidRPr="00BA68AE">
              <w:rPr>
                <w:rStyle w:val="Hyperlink"/>
                <w:rFonts w:ascii="Simplified Arabic" w:hAnsi="Simplified Arabic" w:cs="Simplified Arabic"/>
                <w:noProof/>
              </w:rPr>
              <w:t xml:space="preserve">3.6.7 </w:t>
            </w:r>
            <w:r w:rsidRPr="00BA68AE">
              <w:rPr>
                <w:rStyle w:val="Hyperlink"/>
                <w:rFonts w:ascii="Simplified Arabic" w:hAnsi="Simplified Arabic" w:cs="Simplified Arabic"/>
                <w:noProof/>
                <w:rtl/>
              </w:rPr>
              <w:t>تحليل الوساطة والاعتدال</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_Toc214041839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61</w:t>
            </w:r>
            <w:r w:rsidRPr="00BA68AE">
              <w:rPr>
                <w:rFonts w:ascii="Simplified Arabic" w:hAnsi="Simplified Arabic" w:cs="Simplified Arabic"/>
                <w:noProof/>
                <w:webHidden/>
              </w:rPr>
              <w:fldChar w:fldCharType="end"/>
            </w:r>
          </w:hyperlink>
        </w:p>
        <w:p w14:paraId="2747ED41" w14:textId="736F835C"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40" w:history="1">
            <w:r w:rsidRPr="00BA68AE">
              <w:rPr>
                <w:rStyle w:val="Hyperlink"/>
                <w:rFonts w:ascii="Simplified Arabic" w:hAnsi="Simplified Arabic" w:cs="Simplified Arabic"/>
                <w:noProof/>
              </w:rPr>
              <w:t xml:space="preserve">3.6.8 </w:t>
            </w:r>
            <w:r w:rsidRPr="00BA68AE">
              <w:rPr>
                <w:rStyle w:val="Hyperlink"/>
                <w:rFonts w:ascii="Simplified Arabic" w:hAnsi="Simplified Arabic" w:cs="Simplified Arabic"/>
                <w:noProof/>
                <w:rtl/>
              </w:rPr>
              <w:t>مستوى الدلالة الإحصائية والقوة الإحصائية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61</w:t>
            </w:r>
            <w:r w:rsidRPr="00BA68AE">
              <w:rPr>
                <w:rFonts w:ascii="Simplified Arabic" w:hAnsi="Simplified Arabic" w:cs="Simplified Arabic"/>
                <w:noProof/>
                <w:webHidden/>
              </w:rPr>
              <w:fldChar w:fldCharType="end"/>
            </w:r>
          </w:hyperlink>
        </w:p>
        <w:p w14:paraId="0D658D17" w14:textId="1D8DF365"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41" w:history="1">
            <w:r w:rsidRPr="00BA68AE">
              <w:rPr>
                <w:rStyle w:val="Hyperlink"/>
                <w:rFonts w:ascii="Simplified Arabic" w:hAnsi="Simplified Arabic" w:cs="Simplified Arabic"/>
                <w:noProof/>
              </w:rPr>
              <w:t xml:space="preserve">3.7 </w:t>
            </w:r>
            <w:r w:rsidRPr="00BA68AE">
              <w:rPr>
                <w:rStyle w:val="Hyperlink"/>
                <w:rFonts w:ascii="Simplified Arabic" w:hAnsi="Simplified Arabic" w:cs="Simplified Arabic"/>
                <w:noProof/>
                <w:rtl/>
              </w:rPr>
              <w:t>الاعتبارات الأخلاقية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62</w:t>
            </w:r>
            <w:r w:rsidRPr="00BA68AE">
              <w:rPr>
                <w:rFonts w:ascii="Simplified Arabic" w:hAnsi="Simplified Arabic" w:cs="Simplified Arabic"/>
                <w:noProof/>
                <w:webHidden/>
              </w:rPr>
              <w:fldChar w:fldCharType="end"/>
            </w:r>
          </w:hyperlink>
        </w:p>
        <w:p w14:paraId="0BE260DC" w14:textId="647864A9"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842" w:history="1">
            <w:r w:rsidRPr="00BA68AE">
              <w:rPr>
                <w:rStyle w:val="Hyperlink"/>
                <w:rFonts w:ascii="Simplified Arabic" w:hAnsi="Simplified Arabic" w:cs="Simplified Arabic"/>
                <w:noProof/>
                <w:rtl/>
              </w:rPr>
              <w:t>الفصل الرابع: التحليل الإحصائي والنتائج</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63</w:t>
            </w:r>
            <w:r w:rsidRPr="00BA68AE">
              <w:rPr>
                <w:rFonts w:ascii="Simplified Arabic" w:hAnsi="Simplified Arabic" w:cs="Simplified Arabic"/>
                <w:noProof/>
                <w:webHidden/>
              </w:rPr>
              <w:fldChar w:fldCharType="end"/>
            </w:r>
          </w:hyperlink>
        </w:p>
        <w:p w14:paraId="06AA7F90" w14:textId="06B9E168"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43" w:history="1">
            <w:r w:rsidRPr="00BA68AE">
              <w:rPr>
                <w:rStyle w:val="Hyperlink"/>
                <w:rFonts w:ascii="Simplified Arabic" w:hAnsi="Simplified Arabic" w:cs="Simplified Arabic"/>
                <w:noProof/>
              </w:rPr>
              <w:t xml:space="preserve">4.1 </w:t>
            </w:r>
            <w:r w:rsidRPr="00BA68AE">
              <w:rPr>
                <w:rStyle w:val="Hyperlink"/>
                <w:rFonts w:ascii="Simplified Arabic" w:hAnsi="Simplified Arabic" w:cs="Simplified Arabic"/>
                <w:noProof/>
                <w:rtl/>
              </w:rPr>
              <w:t>وصف خصائص عينة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64</w:t>
            </w:r>
            <w:r w:rsidRPr="00BA68AE">
              <w:rPr>
                <w:rFonts w:ascii="Simplified Arabic" w:hAnsi="Simplified Arabic" w:cs="Simplified Arabic"/>
                <w:noProof/>
                <w:webHidden/>
              </w:rPr>
              <w:fldChar w:fldCharType="end"/>
            </w:r>
          </w:hyperlink>
        </w:p>
        <w:p w14:paraId="55EC6E29" w14:textId="0A83D52B"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44" w:history="1">
            <w:r w:rsidRPr="00BA68AE">
              <w:rPr>
                <w:rStyle w:val="Hyperlink"/>
                <w:rFonts w:ascii="Simplified Arabic" w:hAnsi="Simplified Arabic" w:cs="Simplified Arabic"/>
                <w:noProof/>
              </w:rPr>
              <w:t xml:space="preserve">4.1.1 </w:t>
            </w:r>
            <w:r w:rsidRPr="00BA68AE">
              <w:rPr>
                <w:rStyle w:val="Hyperlink"/>
                <w:rFonts w:ascii="Simplified Arabic" w:hAnsi="Simplified Arabic" w:cs="Simplified Arabic"/>
                <w:noProof/>
                <w:rtl/>
              </w:rPr>
              <w:t>التوزيع الجغرافي للعينة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64</w:t>
            </w:r>
            <w:r w:rsidRPr="00BA68AE">
              <w:rPr>
                <w:rFonts w:ascii="Simplified Arabic" w:hAnsi="Simplified Arabic" w:cs="Simplified Arabic"/>
                <w:noProof/>
                <w:webHidden/>
              </w:rPr>
              <w:fldChar w:fldCharType="end"/>
            </w:r>
          </w:hyperlink>
        </w:p>
        <w:p w14:paraId="6A4AF33C" w14:textId="49070199"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45" w:history="1">
            <w:r w:rsidRPr="00BA68AE">
              <w:rPr>
                <w:rStyle w:val="Hyperlink"/>
                <w:rFonts w:ascii="Simplified Arabic" w:hAnsi="Simplified Arabic" w:cs="Simplified Arabic"/>
                <w:noProof/>
              </w:rPr>
              <w:t xml:space="preserve">4.1.2 </w:t>
            </w:r>
            <w:r w:rsidRPr="00BA68AE">
              <w:rPr>
                <w:rStyle w:val="Hyperlink"/>
                <w:rFonts w:ascii="Simplified Arabic" w:hAnsi="Simplified Arabic" w:cs="Simplified Arabic"/>
                <w:noProof/>
                <w:rtl/>
              </w:rPr>
              <w:t xml:space="preserve"> توزيع العينة حسب نوع القطاع</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65</w:t>
            </w:r>
            <w:r w:rsidRPr="00BA68AE">
              <w:rPr>
                <w:rFonts w:ascii="Simplified Arabic" w:hAnsi="Simplified Arabic" w:cs="Simplified Arabic"/>
                <w:noProof/>
                <w:webHidden/>
              </w:rPr>
              <w:fldChar w:fldCharType="end"/>
            </w:r>
          </w:hyperlink>
        </w:p>
        <w:p w14:paraId="5862248E" w14:textId="09E87DA2"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46" w:history="1">
            <w:r w:rsidRPr="00BA68AE">
              <w:rPr>
                <w:rStyle w:val="Hyperlink"/>
                <w:rFonts w:ascii="Simplified Arabic" w:hAnsi="Simplified Arabic" w:cs="Simplified Arabic"/>
                <w:noProof/>
              </w:rPr>
              <w:t xml:space="preserve">4.1.3 </w:t>
            </w:r>
            <w:r w:rsidRPr="00BA68AE">
              <w:rPr>
                <w:rStyle w:val="Hyperlink"/>
                <w:rFonts w:ascii="Simplified Arabic" w:hAnsi="Simplified Arabic" w:cs="Simplified Arabic"/>
                <w:noProof/>
                <w:rtl/>
              </w:rPr>
              <w:t xml:space="preserve"> توزيع العينة حسب حجم الشركة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66</w:t>
            </w:r>
            <w:r w:rsidRPr="00BA68AE">
              <w:rPr>
                <w:rFonts w:ascii="Simplified Arabic" w:hAnsi="Simplified Arabic" w:cs="Simplified Arabic"/>
                <w:noProof/>
                <w:webHidden/>
              </w:rPr>
              <w:fldChar w:fldCharType="end"/>
            </w:r>
          </w:hyperlink>
        </w:p>
        <w:p w14:paraId="48213AAB" w14:textId="2177B636"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47" w:history="1">
            <w:r w:rsidRPr="00BA68AE">
              <w:rPr>
                <w:rStyle w:val="Hyperlink"/>
                <w:rFonts w:ascii="Simplified Arabic" w:hAnsi="Simplified Arabic" w:cs="Simplified Arabic"/>
                <w:noProof/>
              </w:rPr>
              <w:t xml:space="preserve">4.1.4 </w:t>
            </w:r>
            <w:r w:rsidRPr="00BA68AE">
              <w:rPr>
                <w:rStyle w:val="Hyperlink"/>
                <w:rFonts w:ascii="Simplified Arabic" w:hAnsi="Simplified Arabic" w:cs="Simplified Arabic"/>
                <w:noProof/>
                <w:rtl/>
              </w:rPr>
              <w:t>توزيع العينة حسب العمر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66</w:t>
            </w:r>
            <w:r w:rsidRPr="00BA68AE">
              <w:rPr>
                <w:rFonts w:ascii="Simplified Arabic" w:hAnsi="Simplified Arabic" w:cs="Simplified Arabic"/>
                <w:noProof/>
                <w:webHidden/>
              </w:rPr>
              <w:fldChar w:fldCharType="end"/>
            </w:r>
          </w:hyperlink>
        </w:p>
        <w:p w14:paraId="3DD49F38" w14:textId="7ABD0825"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48" w:history="1">
            <w:r w:rsidRPr="00BA68AE">
              <w:rPr>
                <w:rStyle w:val="Hyperlink"/>
                <w:rFonts w:ascii="Simplified Arabic" w:hAnsi="Simplified Arabic" w:cs="Simplified Arabic"/>
                <w:noProof/>
              </w:rPr>
              <w:t xml:space="preserve">4.1.5 </w:t>
            </w:r>
            <w:r w:rsidRPr="00BA68AE">
              <w:rPr>
                <w:rStyle w:val="Hyperlink"/>
                <w:rFonts w:ascii="Simplified Arabic" w:hAnsi="Simplified Arabic" w:cs="Simplified Arabic"/>
                <w:noProof/>
                <w:rtl/>
              </w:rPr>
              <w:t>خصائص المستجيبين</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67</w:t>
            </w:r>
            <w:r w:rsidRPr="00BA68AE">
              <w:rPr>
                <w:rFonts w:ascii="Simplified Arabic" w:hAnsi="Simplified Arabic" w:cs="Simplified Arabic"/>
                <w:noProof/>
                <w:webHidden/>
              </w:rPr>
              <w:fldChar w:fldCharType="end"/>
            </w:r>
          </w:hyperlink>
        </w:p>
        <w:p w14:paraId="20ECECCE" w14:textId="16AF1480"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49" w:history="1">
            <w:r w:rsidRPr="00BA68AE">
              <w:rPr>
                <w:rStyle w:val="Hyperlink"/>
                <w:rFonts w:ascii="Simplified Arabic" w:hAnsi="Simplified Arabic" w:cs="Simplified Arabic"/>
                <w:noProof/>
              </w:rPr>
              <w:t xml:space="preserve">4.2 </w:t>
            </w:r>
            <w:r w:rsidRPr="00BA68AE">
              <w:rPr>
                <w:rStyle w:val="Hyperlink"/>
                <w:rFonts w:ascii="Simplified Arabic" w:hAnsi="Simplified Arabic" w:cs="Simplified Arabic"/>
                <w:noProof/>
                <w:rtl/>
              </w:rPr>
              <w:t>الإحصاء الوصفي لمتغيرات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_Toc214041849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68</w:t>
            </w:r>
            <w:r w:rsidRPr="00BA68AE">
              <w:rPr>
                <w:rFonts w:ascii="Simplified Arabic" w:hAnsi="Simplified Arabic" w:cs="Simplified Arabic"/>
                <w:noProof/>
                <w:webHidden/>
              </w:rPr>
              <w:fldChar w:fldCharType="end"/>
            </w:r>
          </w:hyperlink>
        </w:p>
        <w:p w14:paraId="3C455CEC" w14:textId="32476CE0"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0" w:history="1">
            <w:r w:rsidRPr="00BA68AE">
              <w:rPr>
                <w:rStyle w:val="Hyperlink"/>
                <w:rFonts w:ascii="Simplified Arabic" w:hAnsi="Simplified Arabic" w:cs="Simplified Arabic"/>
                <w:noProof/>
              </w:rPr>
              <w:t xml:space="preserve">4.2.1 </w:t>
            </w:r>
            <w:r w:rsidRPr="00BA68AE">
              <w:rPr>
                <w:rStyle w:val="Hyperlink"/>
                <w:rFonts w:ascii="Simplified Arabic" w:hAnsi="Simplified Arabic" w:cs="Simplified Arabic"/>
                <w:noProof/>
                <w:rtl/>
              </w:rPr>
              <w:t>الإحصاء الوصفي لأبعاد التحول الرقمي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68</w:t>
            </w:r>
            <w:r w:rsidRPr="00BA68AE">
              <w:rPr>
                <w:rFonts w:ascii="Simplified Arabic" w:hAnsi="Simplified Arabic" w:cs="Simplified Arabic"/>
                <w:noProof/>
                <w:webHidden/>
              </w:rPr>
              <w:fldChar w:fldCharType="end"/>
            </w:r>
          </w:hyperlink>
        </w:p>
        <w:p w14:paraId="4C0AAB84" w14:textId="27395F70"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1" w:history="1">
            <w:r w:rsidRPr="00BA68AE">
              <w:rPr>
                <w:rStyle w:val="Hyperlink"/>
                <w:rFonts w:ascii="Simplified Arabic" w:hAnsi="Simplified Arabic" w:cs="Simplified Arabic"/>
                <w:noProof/>
              </w:rPr>
              <w:t xml:space="preserve">4.2.2 </w:t>
            </w:r>
            <w:r w:rsidRPr="00BA68AE">
              <w:rPr>
                <w:rStyle w:val="Hyperlink"/>
                <w:rFonts w:ascii="Simplified Arabic" w:hAnsi="Simplified Arabic" w:cs="Simplified Arabic"/>
                <w:noProof/>
                <w:rtl/>
              </w:rPr>
              <w:t>الإحصاء الوصفي لأبعاد الأداء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69</w:t>
            </w:r>
            <w:r w:rsidRPr="00BA68AE">
              <w:rPr>
                <w:rFonts w:ascii="Simplified Arabic" w:hAnsi="Simplified Arabic" w:cs="Simplified Arabic"/>
                <w:noProof/>
                <w:webHidden/>
              </w:rPr>
              <w:fldChar w:fldCharType="end"/>
            </w:r>
          </w:hyperlink>
        </w:p>
        <w:p w14:paraId="5062C25D" w14:textId="62EBC00A"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52" w:history="1">
            <w:r w:rsidRPr="00BA68AE">
              <w:rPr>
                <w:rStyle w:val="Hyperlink"/>
                <w:rFonts w:ascii="Simplified Arabic" w:hAnsi="Simplified Arabic" w:cs="Simplified Arabic"/>
                <w:noProof/>
              </w:rPr>
              <w:t xml:space="preserve">4.3 </w:t>
            </w:r>
            <w:r w:rsidRPr="00BA68AE">
              <w:rPr>
                <w:rStyle w:val="Hyperlink"/>
                <w:rFonts w:ascii="Simplified Arabic" w:hAnsi="Simplified Arabic" w:cs="Simplified Arabic"/>
                <w:noProof/>
                <w:rtl/>
              </w:rPr>
              <w:t>اختبار الافتراضات الإحصائية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70</w:t>
            </w:r>
            <w:r w:rsidRPr="00BA68AE">
              <w:rPr>
                <w:rFonts w:ascii="Simplified Arabic" w:hAnsi="Simplified Arabic" w:cs="Simplified Arabic"/>
                <w:noProof/>
                <w:webHidden/>
              </w:rPr>
              <w:fldChar w:fldCharType="end"/>
            </w:r>
          </w:hyperlink>
        </w:p>
        <w:p w14:paraId="77C75AB3" w14:textId="0DB1CB97"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3" w:history="1">
            <w:r w:rsidRPr="00BA68AE">
              <w:rPr>
                <w:rStyle w:val="Hyperlink"/>
                <w:rFonts w:ascii="Simplified Arabic" w:hAnsi="Simplified Arabic" w:cs="Simplified Arabic"/>
                <w:noProof/>
              </w:rPr>
              <w:t xml:space="preserve">4.3.1 </w:t>
            </w:r>
            <w:r w:rsidRPr="00BA68AE">
              <w:rPr>
                <w:rStyle w:val="Hyperlink"/>
                <w:rFonts w:ascii="Simplified Arabic" w:hAnsi="Simplified Arabic" w:cs="Simplified Arabic"/>
                <w:noProof/>
                <w:rtl/>
              </w:rPr>
              <w:t>اختبار التوزيع الطبيعي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70</w:t>
            </w:r>
            <w:r w:rsidRPr="00BA68AE">
              <w:rPr>
                <w:rFonts w:ascii="Simplified Arabic" w:hAnsi="Simplified Arabic" w:cs="Simplified Arabic"/>
                <w:noProof/>
                <w:webHidden/>
              </w:rPr>
              <w:fldChar w:fldCharType="end"/>
            </w:r>
          </w:hyperlink>
        </w:p>
        <w:p w14:paraId="35EF7AF7" w14:textId="2F8222AC"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4" w:history="1">
            <w:r w:rsidRPr="00BA68AE">
              <w:rPr>
                <w:rStyle w:val="Hyperlink"/>
                <w:rFonts w:ascii="Simplified Arabic" w:hAnsi="Simplified Arabic" w:cs="Simplified Arabic"/>
                <w:noProof/>
              </w:rPr>
              <w:t xml:space="preserve">4.3.2 </w:t>
            </w:r>
            <w:r w:rsidRPr="00BA68AE">
              <w:rPr>
                <w:rStyle w:val="Hyperlink"/>
                <w:rFonts w:ascii="Simplified Arabic" w:hAnsi="Simplified Arabic" w:cs="Simplified Arabic"/>
                <w:noProof/>
                <w:rtl/>
              </w:rPr>
              <w:t>اختبار الخطية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71</w:t>
            </w:r>
            <w:r w:rsidRPr="00BA68AE">
              <w:rPr>
                <w:rFonts w:ascii="Simplified Arabic" w:hAnsi="Simplified Arabic" w:cs="Simplified Arabic"/>
                <w:noProof/>
                <w:webHidden/>
              </w:rPr>
              <w:fldChar w:fldCharType="end"/>
            </w:r>
          </w:hyperlink>
        </w:p>
        <w:p w14:paraId="3F4D2BF9" w14:textId="6E28C1DD"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5" w:history="1">
            <w:r w:rsidRPr="00BA68AE">
              <w:rPr>
                <w:rStyle w:val="Hyperlink"/>
                <w:rFonts w:ascii="Simplified Arabic" w:hAnsi="Simplified Arabic" w:cs="Simplified Arabic"/>
                <w:noProof/>
              </w:rPr>
              <w:t xml:space="preserve">4.3.3 </w:t>
            </w:r>
            <w:r w:rsidRPr="00BA68AE">
              <w:rPr>
                <w:rStyle w:val="Hyperlink"/>
                <w:rFonts w:ascii="Simplified Arabic" w:hAnsi="Simplified Arabic" w:cs="Simplified Arabic"/>
                <w:noProof/>
                <w:rtl/>
              </w:rPr>
              <w:t>اختبار تجانس التباين</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71</w:t>
            </w:r>
            <w:r w:rsidRPr="00BA68AE">
              <w:rPr>
                <w:rFonts w:ascii="Simplified Arabic" w:hAnsi="Simplified Arabic" w:cs="Simplified Arabic"/>
                <w:noProof/>
                <w:webHidden/>
              </w:rPr>
              <w:fldChar w:fldCharType="end"/>
            </w:r>
          </w:hyperlink>
        </w:p>
        <w:p w14:paraId="0E9CCBEC" w14:textId="62646F1C"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6" w:history="1">
            <w:r w:rsidRPr="00BA68AE">
              <w:rPr>
                <w:rStyle w:val="Hyperlink"/>
                <w:rFonts w:ascii="Simplified Arabic" w:hAnsi="Simplified Arabic" w:cs="Simplified Arabic"/>
                <w:noProof/>
              </w:rPr>
              <w:t xml:space="preserve">4.3.4 </w:t>
            </w:r>
            <w:r w:rsidRPr="00BA68AE">
              <w:rPr>
                <w:rStyle w:val="Hyperlink"/>
                <w:rFonts w:ascii="Simplified Arabic" w:hAnsi="Simplified Arabic" w:cs="Simplified Arabic"/>
                <w:noProof/>
                <w:rtl/>
              </w:rPr>
              <w:t>اختبار الازدواج الخطي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71</w:t>
            </w:r>
            <w:r w:rsidRPr="00BA68AE">
              <w:rPr>
                <w:rFonts w:ascii="Simplified Arabic" w:hAnsi="Simplified Arabic" w:cs="Simplified Arabic"/>
                <w:noProof/>
                <w:webHidden/>
              </w:rPr>
              <w:fldChar w:fldCharType="end"/>
            </w:r>
          </w:hyperlink>
        </w:p>
        <w:p w14:paraId="3047D5C2" w14:textId="32AC070B"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57" w:history="1">
            <w:r w:rsidRPr="00BA68AE">
              <w:rPr>
                <w:rStyle w:val="Hyperlink"/>
                <w:rFonts w:ascii="Simplified Arabic" w:hAnsi="Simplified Arabic" w:cs="Simplified Arabic"/>
                <w:noProof/>
              </w:rPr>
              <w:t xml:space="preserve">4.4 </w:t>
            </w:r>
            <w:r w:rsidRPr="00BA68AE">
              <w:rPr>
                <w:rStyle w:val="Hyperlink"/>
                <w:rFonts w:ascii="Simplified Arabic" w:hAnsi="Simplified Arabic" w:cs="Simplified Arabic"/>
                <w:noProof/>
                <w:rtl/>
              </w:rPr>
              <w:t>تحليل الارتباط بين متغيرات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72</w:t>
            </w:r>
            <w:r w:rsidRPr="00BA68AE">
              <w:rPr>
                <w:rFonts w:ascii="Simplified Arabic" w:hAnsi="Simplified Arabic" w:cs="Simplified Arabic"/>
                <w:noProof/>
                <w:webHidden/>
              </w:rPr>
              <w:fldChar w:fldCharType="end"/>
            </w:r>
          </w:hyperlink>
        </w:p>
        <w:p w14:paraId="4EE02FB8" w14:textId="1870B1F6"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8" w:history="1">
            <w:r w:rsidRPr="00BA68AE">
              <w:rPr>
                <w:rStyle w:val="Hyperlink"/>
                <w:rFonts w:ascii="Simplified Arabic" w:hAnsi="Simplified Arabic" w:cs="Simplified Arabic"/>
                <w:noProof/>
              </w:rPr>
              <w:t xml:space="preserve">4.4.1 </w:t>
            </w:r>
            <w:r w:rsidRPr="00BA68AE">
              <w:rPr>
                <w:rStyle w:val="Hyperlink"/>
                <w:rFonts w:ascii="Simplified Arabic" w:hAnsi="Simplified Arabic" w:cs="Simplified Arabic"/>
                <w:noProof/>
                <w:rtl/>
              </w:rPr>
              <w:t>مصفوفة الارتباط بين أبعاد التحول الرقمي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72</w:t>
            </w:r>
            <w:r w:rsidRPr="00BA68AE">
              <w:rPr>
                <w:rFonts w:ascii="Simplified Arabic" w:hAnsi="Simplified Arabic" w:cs="Simplified Arabic"/>
                <w:noProof/>
                <w:webHidden/>
              </w:rPr>
              <w:fldChar w:fldCharType="end"/>
            </w:r>
          </w:hyperlink>
        </w:p>
        <w:p w14:paraId="0993812F" w14:textId="4C0F3E1C"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59" w:history="1">
            <w:r w:rsidRPr="00BA68AE">
              <w:rPr>
                <w:rStyle w:val="Hyperlink"/>
                <w:rFonts w:ascii="Simplified Arabic" w:hAnsi="Simplified Arabic" w:cs="Simplified Arabic"/>
                <w:noProof/>
              </w:rPr>
              <w:t xml:space="preserve">4.4.2 </w:t>
            </w:r>
            <w:r w:rsidRPr="00BA68AE">
              <w:rPr>
                <w:rStyle w:val="Hyperlink"/>
                <w:rFonts w:ascii="Simplified Arabic" w:hAnsi="Simplified Arabic" w:cs="Simplified Arabic"/>
                <w:noProof/>
                <w:rtl/>
              </w:rPr>
              <w:t>مصفوفة الارتباط بين أبعاد التحول الرقمي والأداء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_Toc214041859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73</w:t>
            </w:r>
            <w:r w:rsidRPr="00BA68AE">
              <w:rPr>
                <w:rFonts w:ascii="Simplified Arabic" w:hAnsi="Simplified Arabic" w:cs="Simplified Arabic"/>
                <w:noProof/>
                <w:webHidden/>
              </w:rPr>
              <w:fldChar w:fldCharType="end"/>
            </w:r>
          </w:hyperlink>
        </w:p>
        <w:p w14:paraId="7ACFABA8" w14:textId="35DACB33"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60" w:history="1">
            <w:r w:rsidRPr="00BA68AE">
              <w:rPr>
                <w:rStyle w:val="Hyperlink"/>
                <w:rFonts w:ascii="Simplified Arabic" w:hAnsi="Simplified Arabic" w:cs="Simplified Arabic"/>
                <w:noProof/>
              </w:rPr>
              <w:t xml:space="preserve">4.5 </w:t>
            </w:r>
            <w:r w:rsidRPr="00BA68AE">
              <w:rPr>
                <w:rStyle w:val="Hyperlink"/>
                <w:rFonts w:ascii="Simplified Arabic" w:hAnsi="Simplified Arabic" w:cs="Simplified Arabic"/>
                <w:noProof/>
                <w:rtl/>
              </w:rPr>
              <w:t>اختبار فرضيات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74</w:t>
            </w:r>
            <w:r w:rsidRPr="00BA68AE">
              <w:rPr>
                <w:rFonts w:ascii="Simplified Arabic" w:hAnsi="Simplified Arabic" w:cs="Simplified Arabic"/>
                <w:noProof/>
                <w:webHidden/>
              </w:rPr>
              <w:fldChar w:fldCharType="end"/>
            </w:r>
          </w:hyperlink>
        </w:p>
        <w:p w14:paraId="0BF94618" w14:textId="3EBE754A"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1" w:history="1">
            <w:r w:rsidRPr="00BA68AE">
              <w:rPr>
                <w:rStyle w:val="Hyperlink"/>
                <w:rFonts w:ascii="Simplified Arabic" w:hAnsi="Simplified Arabic" w:cs="Simplified Arabic"/>
                <w:noProof/>
              </w:rPr>
              <w:t xml:space="preserve">4.5.1 </w:t>
            </w:r>
            <w:r w:rsidRPr="00BA68AE">
              <w:rPr>
                <w:rStyle w:val="Hyperlink"/>
                <w:rFonts w:ascii="Simplified Arabic" w:hAnsi="Simplified Arabic" w:cs="Simplified Arabic"/>
                <w:noProof/>
                <w:rtl/>
              </w:rPr>
              <w:t>اختبار الفرضية الرئيسية الأولى</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74</w:t>
            </w:r>
            <w:r w:rsidRPr="00BA68AE">
              <w:rPr>
                <w:rFonts w:ascii="Simplified Arabic" w:hAnsi="Simplified Arabic" w:cs="Simplified Arabic"/>
                <w:noProof/>
                <w:webHidden/>
              </w:rPr>
              <w:fldChar w:fldCharType="end"/>
            </w:r>
          </w:hyperlink>
        </w:p>
        <w:p w14:paraId="7502B625" w14:textId="2D038542"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2" w:history="1">
            <w:r w:rsidRPr="00BA68AE">
              <w:rPr>
                <w:rStyle w:val="Hyperlink"/>
                <w:rFonts w:ascii="Simplified Arabic" w:hAnsi="Simplified Arabic" w:cs="Simplified Arabic"/>
                <w:noProof/>
              </w:rPr>
              <w:t xml:space="preserve">4.5.2 </w:t>
            </w:r>
            <w:r w:rsidRPr="00BA68AE">
              <w:rPr>
                <w:rStyle w:val="Hyperlink"/>
                <w:rFonts w:ascii="Simplified Arabic" w:hAnsi="Simplified Arabic" w:cs="Simplified Arabic"/>
                <w:noProof/>
                <w:rtl/>
              </w:rPr>
              <w:t>اختبار الفرضية الرئيسية الثانية والفرضيات الفرعية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75</w:t>
            </w:r>
            <w:r w:rsidRPr="00BA68AE">
              <w:rPr>
                <w:rFonts w:ascii="Simplified Arabic" w:hAnsi="Simplified Arabic" w:cs="Simplified Arabic"/>
                <w:noProof/>
                <w:webHidden/>
              </w:rPr>
              <w:fldChar w:fldCharType="end"/>
            </w:r>
          </w:hyperlink>
        </w:p>
        <w:p w14:paraId="0412A8D3" w14:textId="7BAE1969"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3" w:history="1">
            <w:r w:rsidRPr="00BA68AE">
              <w:rPr>
                <w:rStyle w:val="Hyperlink"/>
                <w:rFonts w:ascii="Simplified Arabic" w:hAnsi="Simplified Arabic" w:cs="Simplified Arabic"/>
                <w:noProof/>
              </w:rPr>
              <w:t xml:space="preserve">4.5.3 </w:t>
            </w:r>
            <w:r w:rsidRPr="00BA68AE">
              <w:rPr>
                <w:rStyle w:val="Hyperlink"/>
                <w:rFonts w:ascii="Simplified Arabic" w:hAnsi="Simplified Arabic" w:cs="Simplified Arabic"/>
                <w:noProof/>
                <w:rtl/>
              </w:rPr>
              <w:t>اختبار الفرضية الرئيسية الثالثة والفرضيات الفرعية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76</w:t>
            </w:r>
            <w:r w:rsidRPr="00BA68AE">
              <w:rPr>
                <w:rFonts w:ascii="Simplified Arabic" w:hAnsi="Simplified Arabic" w:cs="Simplified Arabic"/>
                <w:noProof/>
                <w:webHidden/>
              </w:rPr>
              <w:fldChar w:fldCharType="end"/>
            </w:r>
          </w:hyperlink>
        </w:p>
        <w:p w14:paraId="5AE35209" w14:textId="003ABBE1"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4" w:history="1">
            <w:r w:rsidRPr="00BA68AE">
              <w:rPr>
                <w:rStyle w:val="Hyperlink"/>
                <w:rFonts w:ascii="Simplified Arabic" w:hAnsi="Simplified Arabic" w:cs="Simplified Arabic"/>
                <w:noProof/>
              </w:rPr>
              <w:t xml:space="preserve">4.5.4 </w:t>
            </w:r>
            <w:r w:rsidRPr="00BA68AE">
              <w:rPr>
                <w:rStyle w:val="Hyperlink"/>
                <w:rFonts w:ascii="Simplified Arabic" w:hAnsi="Simplified Arabic" w:cs="Simplified Arabic"/>
                <w:noProof/>
                <w:rtl/>
              </w:rPr>
              <w:t>اختبار الفرضية الرئيسية الرابعة والفرضيات الفرعية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77</w:t>
            </w:r>
            <w:r w:rsidRPr="00BA68AE">
              <w:rPr>
                <w:rFonts w:ascii="Simplified Arabic" w:hAnsi="Simplified Arabic" w:cs="Simplified Arabic"/>
                <w:noProof/>
                <w:webHidden/>
              </w:rPr>
              <w:fldChar w:fldCharType="end"/>
            </w:r>
          </w:hyperlink>
        </w:p>
        <w:p w14:paraId="5DCF03A0" w14:textId="70474766"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5" w:history="1">
            <w:r w:rsidRPr="00BA68AE">
              <w:rPr>
                <w:rStyle w:val="Hyperlink"/>
                <w:rFonts w:ascii="Simplified Arabic" w:hAnsi="Simplified Arabic" w:cs="Simplified Arabic"/>
                <w:noProof/>
              </w:rPr>
              <w:t xml:space="preserve">4.5.5 </w:t>
            </w:r>
            <w:r w:rsidRPr="00BA68AE">
              <w:rPr>
                <w:rStyle w:val="Hyperlink"/>
                <w:rFonts w:ascii="Simplified Arabic" w:hAnsi="Simplified Arabic" w:cs="Simplified Arabic"/>
                <w:noProof/>
                <w:rtl/>
              </w:rPr>
              <w:t>اختبار الفرضية الرئيسية الخامسة والفرضيات الفرعية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78</w:t>
            </w:r>
            <w:r w:rsidRPr="00BA68AE">
              <w:rPr>
                <w:rFonts w:ascii="Simplified Arabic" w:hAnsi="Simplified Arabic" w:cs="Simplified Arabic"/>
                <w:noProof/>
                <w:webHidden/>
              </w:rPr>
              <w:fldChar w:fldCharType="end"/>
            </w:r>
          </w:hyperlink>
        </w:p>
        <w:p w14:paraId="69CB0197" w14:textId="65087701"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6" w:history="1">
            <w:r w:rsidRPr="00BA68AE">
              <w:rPr>
                <w:rStyle w:val="Hyperlink"/>
                <w:rFonts w:ascii="Simplified Arabic" w:hAnsi="Simplified Arabic" w:cs="Simplified Arabic"/>
                <w:noProof/>
              </w:rPr>
              <w:t xml:space="preserve">4.5.6 </w:t>
            </w:r>
            <w:r w:rsidRPr="00BA68AE">
              <w:rPr>
                <w:rStyle w:val="Hyperlink"/>
                <w:rFonts w:ascii="Simplified Arabic" w:hAnsi="Simplified Arabic" w:cs="Simplified Arabic"/>
                <w:noProof/>
                <w:rtl/>
              </w:rPr>
              <w:t>ملخص نتائج اختبار الفرضيات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78</w:t>
            </w:r>
            <w:r w:rsidRPr="00BA68AE">
              <w:rPr>
                <w:rFonts w:ascii="Simplified Arabic" w:hAnsi="Simplified Arabic" w:cs="Simplified Arabic"/>
                <w:noProof/>
                <w:webHidden/>
              </w:rPr>
              <w:fldChar w:fldCharType="end"/>
            </w:r>
          </w:hyperlink>
        </w:p>
        <w:p w14:paraId="2C08F059" w14:textId="3B75F2BC"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67" w:history="1">
            <w:r w:rsidRPr="00BA68AE">
              <w:rPr>
                <w:rStyle w:val="Hyperlink"/>
                <w:rFonts w:ascii="Simplified Arabic" w:hAnsi="Simplified Arabic" w:cs="Simplified Arabic"/>
                <w:noProof/>
              </w:rPr>
              <w:t xml:space="preserve">4.6 </w:t>
            </w:r>
            <w:r w:rsidRPr="00BA68AE">
              <w:rPr>
                <w:rStyle w:val="Hyperlink"/>
                <w:rFonts w:ascii="Simplified Arabic" w:hAnsi="Simplified Arabic" w:cs="Simplified Arabic"/>
                <w:noProof/>
                <w:rtl/>
              </w:rPr>
              <w:t>نمذجة المعادلات الهيكلية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79</w:t>
            </w:r>
            <w:r w:rsidRPr="00BA68AE">
              <w:rPr>
                <w:rFonts w:ascii="Simplified Arabic" w:hAnsi="Simplified Arabic" w:cs="Simplified Arabic"/>
                <w:noProof/>
                <w:webHidden/>
              </w:rPr>
              <w:fldChar w:fldCharType="end"/>
            </w:r>
          </w:hyperlink>
        </w:p>
        <w:p w14:paraId="6DF94EC9" w14:textId="5D792A8C"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8" w:history="1">
            <w:r w:rsidRPr="00BA68AE">
              <w:rPr>
                <w:rStyle w:val="Hyperlink"/>
                <w:rFonts w:ascii="Simplified Arabic" w:hAnsi="Simplified Arabic" w:cs="Simplified Arabic"/>
                <w:noProof/>
              </w:rPr>
              <w:t xml:space="preserve">4.6.1 </w:t>
            </w:r>
            <w:r w:rsidRPr="00BA68AE">
              <w:rPr>
                <w:rStyle w:val="Hyperlink"/>
                <w:rFonts w:ascii="Simplified Arabic" w:hAnsi="Simplified Arabic" w:cs="Simplified Arabic"/>
                <w:noProof/>
                <w:rtl/>
              </w:rPr>
              <w:t>نموذج القياس</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79</w:t>
            </w:r>
            <w:r w:rsidRPr="00BA68AE">
              <w:rPr>
                <w:rFonts w:ascii="Simplified Arabic" w:hAnsi="Simplified Arabic" w:cs="Simplified Arabic"/>
                <w:noProof/>
                <w:webHidden/>
              </w:rPr>
              <w:fldChar w:fldCharType="end"/>
            </w:r>
          </w:hyperlink>
        </w:p>
        <w:p w14:paraId="105067AA" w14:textId="2A19222F"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69" w:history="1">
            <w:r w:rsidRPr="00BA68AE">
              <w:rPr>
                <w:rStyle w:val="Hyperlink"/>
                <w:rFonts w:ascii="Simplified Arabic" w:hAnsi="Simplified Arabic" w:cs="Simplified Arabic"/>
                <w:noProof/>
              </w:rPr>
              <w:t xml:space="preserve">4.6.2 </w:t>
            </w:r>
            <w:r w:rsidRPr="00BA68AE">
              <w:rPr>
                <w:rStyle w:val="Hyperlink"/>
                <w:rFonts w:ascii="Simplified Arabic" w:hAnsi="Simplified Arabic" w:cs="Simplified Arabic"/>
                <w:noProof/>
                <w:rtl/>
              </w:rPr>
              <w:t>النموذج الهيكلي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_Toc214041869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80</w:t>
            </w:r>
            <w:r w:rsidRPr="00BA68AE">
              <w:rPr>
                <w:rFonts w:ascii="Simplified Arabic" w:hAnsi="Simplified Arabic" w:cs="Simplified Arabic"/>
                <w:noProof/>
                <w:webHidden/>
              </w:rPr>
              <w:fldChar w:fldCharType="end"/>
            </w:r>
          </w:hyperlink>
        </w:p>
        <w:p w14:paraId="77A594EF" w14:textId="5C8DC5E8"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0" w:history="1">
            <w:r w:rsidRPr="00BA68AE">
              <w:rPr>
                <w:rStyle w:val="Hyperlink"/>
                <w:rFonts w:ascii="Simplified Arabic" w:hAnsi="Simplified Arabic" w:cs="Simplified Arabic"/>
                <w:noProof/>
              </w:rPr>
              <w:t xml:space="preserve">4.6.3 </w:t>
            </w:r>
            <w:r w:rsidRPr="00BA68AE">
              <w:rPr>
                <w:rStyle w:val="Hyperlink"/>
                <w:rFonts w:ascii="Simplified Arabic" w:hAnsi="Simplified Arabic" w:cs="Simplified Arabic"/>
                <w:noProof/>
                <w:rtl/>
              </w:rPr>
              <w:t>التأثيرات المباشرة وغير المباشرة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80</w:t>
            </w:r>
            <w:r w:rsidRPr="00BA68AE">
              <w:rPr>
                <w:rFonts w:ascii="Simplified Arabic" w:hAnsi="Simplified Arabic" w:cs="Simplified Arabic"/>
                <w:noProof/>
                <w:webHidden/>
              </w:rPr>
              <w:fldChar w:fldCharType="end"/>
            </w:r>
          </w:hyperlink>
        </w:p>
        <w:p w14:paraId="264F8D29" w14:textId="5F197858"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71" w:history="1">
            <w:r w:rsidRPr="00BA68AE">
              <w:rPr>
                <w:rStyle w:val="Hyperlink"/>
                <w:rFonts w:ascii="Simplified Arabic" w:hAnsi="Simplified Arabic" w:cs="Simplified Arabic"/>
                <w:noProof/>
              </w:rPr>
              <w:t xml:space="preserve">4.7 </w:t>
            </w:r>
            <w:r w:rsidRPr="00BA68AE">
              <w:rPr>
                <w:rStyle w:val="Hyperlink"/>
                <w:rFonts w:ascii="Simplified Arabic" w:hAnsi="Simplified Arabic" w:cs="Simplified Arabic"/>
                <w:noProof/>
                <w:rtl/>
              </w:rPr>
              <w:t>تحليل الفروق بين المجموعات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81</w:t>
            </w:r>
            <w:r w:rsidRPr="00BA68AE">
              <w:rPr>
                <w:rFonts w:ascii="Simplified Arabic" w:hAnsi="Simplified Arabic" w:cs="Simplified Arabic"/>
                <w:noProof/>
                <w:webHidden/>
              </w:rPr>
              <w:fldChar w:fldCharType="end"/>
            </w:r>
          </w:hyperlink>
        </w:p>
        <w:p w14:paraId="54E72CF1" w14:textId="53BBFAC8"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2" w:history="1">
            <w:r w:rsidRPr="00BA68AE">
              <w:rPr>
                <w:rStyle w:val="Hyperlink"/>
                <w:rFonts w:ascii="Simplified Arabic" w:hAnsi="Simplified Arabic" w:cs="Simplified Arabic"/>
                <w:noProof/>
              </w:rPr>
              <w:t xml:space="preserve">4.7.1 </w:t>
            </w:r>
            <w:r w:rsidRPr="00BA68AE">
              <w:rPr>
                <w:rStyle w:val="Hyperlink"/>
                <w:rFonts w:ascii="Simplified Arabic" w:hAnsi="Simplified Arabic" w:cs="Simplified Arabic"/>
                <w:noProof/>
                <w:rtl/>
              </w:rPr>
              <w:t>الفروق حسب نوع القطاع</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81</w:t>
            </w:r>
            <w:r w:rsidRPr="00BA68AE">
              <w:rPr>
                <w:rFonts w:ascii="Simplified Arabic" w:hAnsi="Simplified Arabic" w:cs="Simplified Arabic"/>
                <w:noProof/>
                <w:webHidden/>
              </w:rPr>
              <w:fldChar w:fldCharType="end"/>
            </w:r>
          </w:hyperlink>
        </w:p>
        <w:p w14:paraId="43B40B97" w14:textId="61DDE3FA"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3" w:history="1">
            <w:r w:rsidRPr="00BA68AE">
              <w:rPr>
                <w:rStyle w:val="Hyperlink"/>
                <w:rFonts w:ascii="Simplified Arabic" w:hAnsi="Simplified Arabic" w:cs="Simplified Arabic"/>
                <w:noProof/>
              </w:rPr>
              <w:t xml:space="preserve">4.7.2 </w:t>
            </w:r>
            <w:r w:rsidRPr="00BA68AE">
              <w:rPr>
                <w:rStyle w:val="Hyperlink"/>
                <w:rFonts w:ascii="Simplified Arabic" w:hAnsi="Simplified Arabic" w:cs="Simplified Arabic"/>
                <w:noProof/>
                <w:rtl/>
              </w:rPr>
              <w:t>الفروق حسب حجم الشركة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82</w:t>
            </w:r>
            <w:r w:rsidRPr="00BA68AE">
              <w:rPr>
                <w:rFonts w:ascii="Simplified Arabic" w:hAnsi="Simplified Arabic" w:cs="Simplified Arabic"/>
                <w:noProof/>
                <w:webHidden/>
              </w:rPr>
              <w:fldChar w:fldCharType="end"/>
            </w:r>
          </w:hyperlink>
        </w:p>
        <w:p w14:paraId="6D2D8B3A" w14:textId="7DDE393B"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4" w:history="1">
            <w:r w:rsidRPr="00BA68AE">
              <w:rPr>
                <w:rStyle w:val="Hyperlink"/>
                <w:rFonts w:ascii="Simplified Arabic" w:hAnsi="Simplified Arabic" w:cs="Simplified Arabic"/>
                <w:noProof/>
              </w:rPr>
              <w:t xml:space="preserve">4.7.3 </w:t>
            </w:r>
            <w:r w:rsidRPr="00BA68AE">
              <w:rPr>
                <w:rStyle w:val="Hyperlink"/>
                <w:rFonts w:ascii="Simplified Arabic" w:hAnsi="Simplified Arabic" w:cs="Simplified Arabic"/>
                <w:noProof/>
                <w:rtl/>
              </w:rPr>
              <w:t>الفروق حسب العمر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83</w:t>
            </w:r>
            <w:r w:rsidRPr="00BA68AE">
              <w:rPr>
                <w:rFonts w:ascii="Simplified Arabic" w:hAnsi="Simplified Arabic" w:cs="Simplified Arabic"/>
                <w:noProof/>
                <w:webHidden/>
              </w:rPr>
              <w:fldChar w:fldCharType="end"/>
            </w:r>
          </w:hyperlink>
        </w:p>
        <w:p w14:paraId="07431514" w14:textId="1757FFF4"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5" w:history="1">
            <w:r w:rsidRPr="00BA68AE">
              <w:rPr>
                <w:rStyle w:val="Hyperlink"/>
                <w:rFonts w:ascii="Simplified Arabic" w:hAnsi="Simplified Arabic" w:cs="Simplified Arabic"/>
                <w:noProof/>
              </w:rPr>
              <w:t xml:space="preserve">4.7.4 </w:t>
            </w:r>
            <w:r w:rsidRPr="00BA68AE">
              <w:rPr>
                <w:rStyle w:val="Hyperlink"/>
                <w:rFonts w:ascii="Simplified Arabic" w:hAnsi="Simplified Arabic" w:cs="Simplified Arabic"/>
                <w:noProof/>
                <w:rtl/>
              </w:rPr>
              <w:t>الفروق حسب الدولة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84</w:t>
            </w:r>
            <w:r w:rsidRPr="00BA68AE">
              <w:rPr>
                <w:rFonts w:ascii="Simplified Arabic" w:hAnsi="Simplified Arabic" w:cs="Simplified Arabic"/>
                <w:noProof/>
                <w:webHidden/>
              </w:rPr>
              <w:fldChar w:fldCharType="end"/>
            </w:r>
          </w:hyperlink>
        </w:p>
        <w:p w14:paraId="338C4E0C" w14:textId="57CB22AF"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76" w:history="1">
            <w:r w:rsidRPr="00BA68AE">
              <w:rPr>
                <w:rStyle w:val="Hyperlink"/>
                <w:rFonts w:ascii="Simplified Arabic" w:hAnsi="Simplified Arabic" w:cs="Simplified Arabic"/>
                <w:noProof/>
              </w:rPr>
              <w:t xml:space="preserve">4.8 </w:t>
            </w:r>
            <w:r w:rsidRPr="00BA68AE">
              <w:rPr>
                <w:rStyle w:val="Hyperlink"/>
                <w:rFonts w:ascii="Simplified Arabic" w:hAnsi="Simplified Arabic" w:cs="Simplified Arabic"/>
                <w:noProof/>
                <w:rtl/>
              </w:rPr>
              <w:t>النتائج الإضافية: تحليل الوساطة والاعتدال</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85</w:t>
            </w:r>
            <w:r w:rsidRPr="00BA68AE">
              <w:rPr>
                <w:rFonts w:ascii="Simplified Arabic" w:hAnsi="Simplified Arabic" w:cs="Simplified Arabic"/>
                <w:noProof/>
                <w:webHidden/>
              </w:rPr>
              <w:fldChar w:fldCharType="end"/>
            </w:r>
          </w:hyperlink>
        </w:p>
        <w:p w14:paraId="289AFB87" w14:textId="091FF40A"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7" w:history="1">
            <w:r w:rsidRPr="00BA68AE">
              <w:rPr>
                <w:rStyle w:val="Hyperlink"/>
                <w:rFonts w:ascii="Simplified Arabic" w:hAnsi="Simplified Arabic" w:cs="Simplified Arabic"/>
                <w:noProof/>
              </w:rPr>
              <w:t xml:space="preserve">4.8.1 </w:t>
            </w:r>
            <w:r w:rsidRPr="00BA68AE">
              <w:rPr>
                <w:rStyle w:val="Hyperlink"/>
                <w:rFonts w:ascii="Simplified Arabic" w:hAnsi="Simplified Arabic" w:cs="Simplified Arabic"/>
                <w:noProof/>
                <w:rtl/>
              </w:rPr>
              <w:t>تحليل الدور الوسيط للكفاءة التشغيلية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85</w:t>
            </w:r>
            <w:r w:rsidRPr="00BA68AE">
              <w:rPr>
                <w:rFonts w:ascii="Simplified Arabic" w:hAnsi="Simplified Arabic" w:cs="Simplified Arabic"/>
                <w:noProof/>
                <w:webHidden/>
              </w:rPr>
              <w:fldChar w:fldCharType="end"/>
            </w:r>
          </w:hyperlink>
        </w:p>
        <w:p w14:paraId="5CB0235D" w14:textId="563193EC"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8" w:history="1">
            <w:r w:rsidRPr="00BA68AE">
              <w:rPr>
                <w:rStyle w:val="Hyperlink"/>
                <w:rFonts w:ascii="Simplified Arabic" w:hAnsi="Simplified Arabic" w:cs="Simplified Arabic"/>
                <w:noProof/>
              </w:rPr>
              <w:t xml:space="preserve">4.8.2 </w:t>
            </w:r>
            <w:r w:rsidRPr="00BA68AE">
              <w:rPr>
                <w:rStyle w:val="Hyperlink"/>
                <w:rFonts w:ascii="Simplified Arabic" w:hAnsi="Simplified Arabic" w:cs="Simplified Arabic"/>
                <w:noProof/>
                <w:rtl/>
              </w:rPr>
              <w:t>تحليل الدور الوسيط للقدرة الابتكارية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85</w:t>
            </w:r>
            <w:r w:rsidRPr="00BA68AE">
              <w:rPr>
                <w:rFonts w:ascii="Simplified Arabic" w:hAnsi="Simplified Arabic" w:cs="Simplified Arabic"/>
                <w:noProof/>
                <w:webHidden/>
              </w:rPr>
              <w:fldChar w:fldCharType="end"/>
            </w:r>
          </w:hyperlink>
        </w:p>
        <w:p w14:paraId="6C497EE6" w14:textId="1A213E19"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79" w:history="1">
            <w:r w:rsidRPr="00BA68AE">
              <w:rPr>
                <w:rStyle w:val="Hyperlink"/>
                <w:rFonts w:ascii="Simplified Arabic" w:hAnsi="Simplified Arabic" w:cs="Simplified Arabic"/>
                <w:noProof/>
              </w:rPr>
              <w:t xml:space="preserve">4.8.3 </w:t>
            </w:r>
            <w:r w:rsidRPr="00BA68AE">
              <w:rPr>
                <w:rStyle w:val="Hyperlink"/>
                <w:rFonts w:ascii="Simplified Arabic" w:hAnsi="Simplified Arabic" w:cs="Simplified Arabic"/>
                <w:noProof/>
                <w:rtl/>
              </w:rPr>
              <w:t>تحليل الدور المعدل لحجم الشركة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_Toc214041879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86</w:t>
            </w:r>
            <w:r w:rsidRPr="00BA68AE">
              <w:rPr>
                <w:rFonts w:ascii="Simplified Arabic" w:hAnsi="Simplified Arabic" w:cs="Simplified Arabic"/>
                <w:noProof/>
                <w:webHidden/>
              </w:rPr>
              <w:fldChar w:fldCharType="end"/>
            </w:r>
          </w:hyperlink>
        </w:p>
        <w:p w14:paraId="5A962EC5" w14:textId="3554102D"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80" w:history="1">
            <w:r w:rsidRPr="00BA68AE">
              <w:rPr>
                <w:rStyle w:val="Hyperlink"/>
                <w:rFonts w:ascii="Simplified Arabic" w:hAnsi="Simplified Arabic" w:cs="Simplified Arabic"/>
                <w:noProof/>
              </w:rPr>
              <w:t>4.8.4</w:t>
            </w:r>
            <w:r w:rsidRPr="00BA68AE">
              <w:rPr>
                <w:rStyle w:val="Hyperlink"/>
                <w:rFonts w:ascii="Simplified Arabic" w:hAnsi="Simplified Arabic" w:cs="Simplified Arabic"/>
                <w:noProof/>
                <w:rtl/>
              </w:rPr>
              <w:t xml:space="preserve"> تحليل الدور المعدل لنوع القطاع</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87</w:t>
            </w:r>
            <w:r w:rsidRPr="00BA68AE">
              <w:rPr>
                <w:rFonts w:ascii="Simplified Arabic" w:hAnsi="Simplified Arabic" w:cs="Simplified Arabic"/>
                <w:noProof/>
                <w:webHidden/>
              </w:rPr>
              <w:fldChar w:fldCharType="end"/>
            </w:r>
          </w:hyperlink>
        </w:p>
        <w:p w14:paraId="4E8D2717" w14:textId="39DD5C3D"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81" w:history="1">
            <w:r w:rsidRPr="00BA68AE">
              <w:rPr>
                <w:rStyle w:val="Hyperlink"/>
                <w:rFonts w:ascii="Simplified Arabic" w:hAnsi="Simplified Arabic" w:cs="Simplified Arabic"/>
                <w:noProof/>
              </w:rPr>
              <w:t xml:space="preserve">4.9 </w:t>
            </w:r>
            <w:r w:rsidRPr="00BA68AE">
              <w:rPr>
                <w:rStyle w:val="Hyperlink"/>
                <w:rFonts w:ascii="Simplified Arabic" w:hAnsi="Simplified Arabic" w:cs="Simplified Arabic"/>
                <w:noProof/>
                <w:rtl/>
              </w:rPr>
              <w:t>ملخص شامل للنتائج الرئيسية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88</w:t>
            </w:r>
            <w:r w:rsidRPr="00BA68AE">
              <w:rPr>
                <w:rFonts w:ascii="Simplified Arabic" w:hAnsi="Simplified Arabic" w:cs="Simplified Arabic"/>
                <w:noProof/>
                <w:webHidden/>
              </w:rPr>
              <w:fldChar w:fldCharType="end"/>
            </w:r>
          </w:hyperlink>
        </w:p>
        <w:p w14:paraId="182169EF" w14:textId="3360ABBA"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882" w:history="1">
            <w:r w:rsidRPr="00BA68AE">
              <w:rPr>
                <w:rStyle w:val="Hyperlink"/>
                <w:rFonts w:ascii="Simplified Arabic" w:hAnsi="Simplified Arabic" w:cs="Simplified Arabic"/>
                <w:noProof/>
                <w:rtl/>
              </w:rPr>
              <w:t>الفصل الخامس: مناقشة النتائج والتوصيات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90</w:t>
            </w:r>
            <w:r w:rsidRPr="00BA68AE">
              <w:rPr>
                <w:rFonts w:ascii="Simplified Arabic" w:hAnsi="Simplified Arabic" w:cs="Simplified Arabic"/>
                <w:noProof/>
                <w:webHidden/>
              </w:rPr>
              <w:fldChar w:fldCharType="end"/>
            </w:r>
          </w:hyperlink>
        </w:p>
        <w:p w14:paraId="54E9C1BA" w14:textId="4E5507E3"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83" w:history="1">
            <w:r w:rsidRPr="00BA68AE">
              <w:rPr>
                <w:rStyle w:val="Hyperlink"/>
                <w:rFonts w:ascii="Simplified Arabic" w:hAnsi="Simplified Arabic" w:cs="Simplified Arabic"/>
                <w:noProof/>
              </w:rPr>
              <w:t xml:space="preserve">5.1 </w:t>
            </w:r>
            <w:r w:rsidRPr="00BA68AE">
              <w:rPr>
                <w:rStyle w:val="Hyperlink"/>
                <w:rFonts w:ascii="Simplified Arabic" w:hAnsi="Simplified Arabic" w:cs="Simplified Arabic"/>
                <w:noProof/>
                <w:rtl/>
              </w:rPr>
              <w:t>مناقشة النتائج الرئيسية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91</w:t>
            </w:r>
            <w:r w:rsidRPr="00BA68AE">
              <w:rPr>
                <w:rFonts w:ascii="Simplified Arabic" w:hAnsi="Simplified Arabic" w:cs="Simplified Arabic"/>
                <w:noProof/>
                <w:webHidden/>
              </w:rPr>
              <w:fldChar w:fldCharType="end"/>
            </w:r>
          </w:hyperlink>
        </w:p>
        <w:p w14:paraId="26B9D67C" w14:textId="6E517A67"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84" w:history="1">
            <w:r w:rsidRPr="00BA68AE">
              <w:rPr>
                <w:rStyle w:val="Hyperlink"/>
                <w:rFonts w:ascii="Simplified Arabic" w:hAnsi="Simplified Arabic" w:cs="Simplified Arabic"/>
                <w:noProof/>
              </w:rPr>
              <w:t xml:space="preserve">5.1.1 </w:t>
            </w:r>
            <w:r w:rsidRPr="00BA68AE">
              <w:rPr>
                <w:rStyle w:val="Hyperlink"/>
                <w:rFonts w:ascii="Simplified Arabic" w:hAnsi="Simplified Arabic" w:cs="Simplified Arabic"/>
                <w:noProof/>
                <w:rtl/>
              </w:rPr>
              <w:t>مستوى التحول الرقمي في الشركات العربية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91</w:t>
            </w:r>
            <w:r w:rsidRPr="00BA68AE">
              <w:rPr>
                <w:rFonts w:ascii="Simplified Arabic" w:hAnsi="Simplified Arabic" w:cs="Simplified Arabic"/>
                <w:noProof/>
                <w:webHidden/>
              </w:rPr>
              <w:fldChar w:fldCharType="end"/>
            </w:r>
          </w:hyperlink>
        </w:p>
        <w:p w14:paraId="42662BB0" w14:textId="78933BC8"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85" w:history="1">
            <w:r w:rsidRPr="00BA68AE">
              <w:rPr>
                <w:rStyle w:val="Hyperlink"/>
                <w:rFonts w:ascii="Simplified Arabic" w:hAnsi="Simplified Arabic" w:cs="Simplified Arabic"/>
                <w:noProof/>
              </w:rPr>
              <w:t xml:space="preserve">5.1.2 </w:t>
            </w:r>
            <w:r w:rsidRPr="00BA68AE">
              <w:rPr>
                <w:rStyle w:val="Hyperlink"/>
                <w:rFonts w:ascii="Simplified Arabic" w:hAnsi="Simplified Arabic" w:cs="Simplified Arabic"/>
                <w:noProof/>
                <w:rtl/>
              </w:rPr>
              <w:t>العلاقة القوية بين التحول الرقمي والأداء التنظيمي</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92</w:t>
            </w:r>
            <w:r w:rsidRPr="00BA68AE">
              <w:rPr>
                <w:rFonts w:ascii="Simplified Arabic" w:hAnsi="Simplified Arabic" w:cs="Simplified Arabic"/>
                <w:noProof/>
                <w:webHidden/>
              </w:rPr>
              <w:fldChar w:fldCharType="end"/>
            </w:r>
          </w:hyperlink>
        </w:p>
        <w:p w14:paraId="64A6D434" w14:textId="3B5DF04A"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86" w:history="1">
            <w:r w:rsidRPr="00BA68AE">
              <w:rPr>
                <w:rStyle w:val="Hyperlink"/>
                <w:rFonts w:ascii="Simplified Arabic" w:hAnsi="Simplified Arabic" w:cs="Simplified Arabic"/>
                <w:noProof/>
              </w:rPr>
              <w:t xml:space="preserve">5.1.3 </w:t>
            </w:r>
            <w:r w:rsidRPr="00BA68AE">
              <w:rPr>
                <w:rStyle w:val="Hyperlink"/>
                <w:rFonts w:ascii="Simplified Arabic" w:hAnsi="Simplified Arabic" w:cs="Simplified Arabic"/>
                <w:noProof/>
                <w:rtl/>
              </w:rPr>
              <w:t>التأثير التفاضلي لأبعاد التحول الرقمي على جوانب الأداء المختلفة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93</w:t>
            </w:r>
            <w:r w:rsidRPr="00BA68AE">
              <w:rPr>
                <w:rFonts w:ascii="Simplified Arabic" w:hAnsi="Simplified Arabic" w:cs="Simplified Arabic"/>
                <w:noProof/>
                <w:webHidden/>
              </w:rPr>
              <w:fldChar w:fldCharType="end"/>
            </w:r>
          </w:hyperlink>
        </w:p>
        <w:p w14:paraId="6F27C3DA" w14:textId="08C23B7E"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87" w:history="1">
            <w:r w:rsidRPr="00BA68AE">
              <w:rPr>
                <w:rStyle w:val="Hyperlink"/>
                <w:rFonts w:ascii="Simplified Arabic" w:hAnsi="Simplified Arabic" w:cs="Simplified Arabic"/>
                <w:noProof/>
              </w:rPr>
              <w:t xml:space="preserve">5.1.4 </w:t>
            </w:r>
            <w:r w:rsidRPr="00BA68AE">
              <w:rPr>
                <w:rStyle w:val="Hyperlink"/>
                <w:rFonts w:ascii="Simplified Arabic" w:hAnsi="Simplified Arabic" w:cs="Simplified Arabic"/>
                <w:noProof/>
                <w:rtl/>
              </w:rPr>
              <w:t>الفروق بين المجموعات المختلفة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95</w:t>
            </w:r>
            <w:r w:rsidRPr="00BA68AE">
              <w:rPr>
                <w:rFonts w:ascii="Simplified Arabic" w:hAnsi="Simplified Arabic" w:cs="Simplified Arabic"/>
                <w:noProof/>
                <w:webHidden/>
              </w:rPr>
              <w:fldChar w:fldCharType="end"/>
            </w:r>
          </w:hyperlink>
        </w:p>
        <w:p w14:paraId="639170CA" w14:textId="71EAAF57"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88" w:history="1">
            <w:r w:rsidRPr="00BA68AE">
              <w:rPr>
                <w:rStyle w:val="Hyperlink"/>
                <w:rFonts w:ascii="Simplified Arabic" w:hAnsi="Simplified Arabic" w:cs="Simplified Arabic"/>
                <w:noProof/>
              </w:rPr>
              <w:t xml:space="preserve">5.2 </w:t>
            </w:r>
            <w:r w:rsidRPr="00BA68AE">
              <w:rPr>
                <w:rStyle w:val="Hyperlink"/>
                <w:rFonts w:ascii="Simplified Arabic" w:hAnsi="Simplified Arabic" w:cs="Simplified Arabic"/>
                <w:noProof/>
                <w:rtl/>
              </w:rPr>
              <w:t>الإسهامات النظرية والتطبيقية للدراسة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98</w:t>
            </w:r>
            <w:r w:rsidRPr="00BA68AE">
              <w:rPr>
                <w:rFonts w:ascii="Simplified Arabic" w:hAnsi="Simplified Arabic" w:cs="Simplified Arabic"/>
                <w:noProof/>
                <w:webHidden/>
              </w:rPr>
              <w:fldChar w:fldCharType="end"/>
            </w:r>
          </w:hyperlink>
        </w:p>
        <w:p w14:paraId="5DA0D31E" w14:textId="14C1364B"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89" w:history="1">
            <w:r w:rsidRPr="00BA68AE">
              <w:rPr>
                <w:rStyle w:val="Hyperlink"/>
                <w:rFonts w:ascii="Simplified Arabic" w:hAnsi="Simplified Arabic" w:cs="Simplified Arabic"/>
                <w:noProof/>
              </w:rPr>
              <w:t xml:space="preserve">5.2.1 </w:t>
            </w:r>
            <w:r w:rsidRPr="00BA68AE">
              <w:rPr>
                <w:rStyle w:val="Hyperlink"/>
                <w:rFonts w:ascii="Simplified Arabic" w:hAnsi="Simplified Arabic" w:cs="Simplified Arabic"/>
                <w:noProof/>
                <w:rtl/>
              </w:rPr>
              <w:t>الإسهامات النظرية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_Toc214041889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98</w:t>
            </w:r>
            <w:r w:rsidRPr="00BA68AE">
              <w:rPr>
                <w:rFonts w:ascii="Simplified Arabic" w:hAnsi="Simplified Arabic" w:cs="Simplified Arabic"/>
                <w:noProof/>
                <w:webHidden/>
              </w:rPr>
              <w:fldChar w:fldCharType="end"/>
            </w:r>
          </w:hyperlink>
        </w:p>
        <w:p w14:paraId="7DD008A7" w14:textId="3D1A2936"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90" w:history="1">
            <w:r w:rsidRPr="00BA68AE">
              <w:rPr>
                <w:rStyle w:val="Hyperlink"/>
                <w:rFonts w:ascii="Simplified Arabic" w:hAnsi="Simplified Arabic" w:cs="Simplified Arabic"/>
                <w:noProof/>
              </w:rPr>
              <w:t xml:space="preserve">5.2.2 </w:t>
            </w:r>
            <w:r w:rsidRPr="00BA68AE">
              <w:rPr>
                <w:rStyle w:val="Hyperlink"/>
                <w:rFonts w:ascii="Simplified Arabic" w:hAnsi="Simplified Arabic" w:cs="Simplified Arabic"/>
                <w:noProof/>
                <w:rtl/>
              </w:rPr>
              <w:t>الإسهامات التطبيقية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100</w:t>
            </w:r>
            <w:r w:rsidRPr="00BA68AE">
              <w:rPr>
                <w:rFonts w:ascii="Simplified Arabic" w:hAnsi="Simplified Arabic" w:cs="Simplified Arabic"/>
                <w:noProof/>
                <w:webHidden/>
              </w:rPr>
              <w:fldChar w:fldCharType="end"/>
            </w:r>
          </w:hyperlink>
        </w:p>
        <w:p w14:paraId="30E8D7F2" w14:textId="7034E251"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91" w:history="1">
            <w:r w:rsidRPr="00BA68AE">
              <w:rPr>
                <w:rStyle w:val="Hyperlink"/>
                <w:rFonts w:ascii="Simplified Arabic" w:hAnsi="Simplified Arabic" w:cs="Simplified Arabic"/>
                <w:noProof/>
              </w:rPr>
              <w:t xml:space="preserve">5.3 </w:t>
            </w:r>
            <w:r w:rsidRPr="00BA68AE">
              <w:rPr>
                <w:rStyle w:val="Hyperlink"/>
                <w:rFonts w:ascii="Simplified Arabic" w:hAnsi="Simplified Arabic" w:cs="Simplified Arabic"/>
                <w:noProof/>
                <w:rtl/>
              </w:rPr>
              <w:t>التوصيات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102</w:t>
            </w:r>
            <w:r w:rsidRPr="00BA68AE">
              <w:rPr>
                <w:rFonts w:ascii="Simplified Arabic" w:hAnsi="Simplified Arabic" w:cs="Simplified Arabic"/>
                <w:noProof/>
                <w:webHidden/>
              </w:rPr>
              <w:fldChar w:fldCharType="end"/>
            </w:r>
          </w:hyperlink>
        </w:p>
        <w:p w14:paraId="6FB11A54" w14:textId="6FE3C64D"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92" w:history="1">
            <w:r w:rsidRPr="00BA68AE">
              <w:rPr>
                <w:rStyle w:val="Hyperlink"/>
                <w:rFonts w:ascii="Simplified Arabic" w:hAnsi="Simplified Arabic" w:cs="Simplified Arabic"/>
                <w:noProof/>
              </w:rPr>
              <w:t xml:space="preserve">5.3.1 </w:t>
            </w:r>
            <w:r w:rsidRPr="00BA68AE">
              <w:rPr>
                <w:rStyle w:val="Hyperlink"/>
                <w:rFonts w:ascii="Simplified Arabic" w:hAnsi="Simplified Arabic" w:cs="Simplified Arabic"/>
                <w:noProof/>
                <w:rtl/>
              </w:rPr>
              <w:t>توصيات للمديرين التنفيذيين وقادة الشركات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_Toc214041892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102</w:t>
            </w:r>
            <w:r w:rsidRPr="00BA68AE">
              <w:rPr>
                <w:rFonts w:ascii="Simplified Arabic" w:hAnsi="Simplified Arabic" w:cs="Simplified Arabic"/>
                <w:noProof/>
                <w:webHidden/>
              </w:rPr>
              <w:fldChar w:fldCharType="end"/>
            </w:r>
          </w:hyperlink>
        </w:p>
        <w:p w14:paraId="784C0A4A" w14:textId="51846A71"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93" w:history="1">
            <w:r w:rsidRPr="00BA68AE">
              <w:rPr>
                <w:rStyle w:val="Hyperlink"/>
                <w:rFonts w:ascii="Simplified Arabic" w:hAnsi="Simplified Arabic" w:cs="Simplified Arabic"/>
                <w:noProof/>
              </w:rPr>
              <w:t xml:space="preserve">5.3.2 </w:t>
            </w:r>
            <w:r w:rsidRPr="00BA68AE">
              <w:rPr>
                <w:rStyle w:val="Hyperlink"/>
                <w:rFonts w:ascii="Simplified Arabic" w:hAnsi="Simplified Arabic" w:cs="Simplified Arabic"/>
                <w:noProof/>
                <w:rtl/>
              </w:rPr>
              <w:t>توصيات للحكومات وصناع السياسات</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_Toc214041893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106</w:t>
            </w:r>
            <w:r w:rsidRPr="00BA68AE">
              <w:rPr>
                <w:rFonts w:ascii="Simplified Arabic" w:hAnsi="Simplified Arabic" w:cs="Simplified Arabic"/>
                <w:noProof/>
                <w:webHidden/>
              </w:rPr>
              <w:fldChar w:fldCharType="end"/>
            </w:r>
          </w:hyperlink>
        </w:p>
        <w:p w14:paraId="1833A9CD" w14:textId="38DE8A87" w:rsidR="000126FF" w:rsidRPr="00BA68AE" w:rsidRDefault="000126FF" w:rsidP="000126FF">
          <w:pPr>
            <w:pStyle w:val="TOC3"/>
            <w:tabs>
              <w:tab w:val="right" w:leader="dot" w:pos="9395"/>
            </w:tabs>
            <w:bidi/>
            <w:rPr>
              <w:rFonts w:ascii="Simplified Arabic" w:hAnsi="Simplified Arabic" w:cs="Simplified Arabic"/>
              <w:noProof/>
              <w:kern w:val="0"/>
              <w:sz w:val="22"/>
              <w:szCs w:val="22"/>
              <w14:ligatures w14:val="none"/>
            </w:rPr>
          </w:pPr>
          <w:hyperlink w:anchor="_Toc214041894" w:history="1">
            <w:r w:rsidRPr="00BA68AE">
              <w:rPr>
                <w:rStyle w:val="Hyperlink"/>
                <w:rFonts w:ascii="Simplified Arabic" w:hAnsi="Simplified Arabic" w:cs="Simplified Arabic"/>
                <w:noProof/>
              </w:rPr>
              <w:t xml:space="preserve">5.3.3 </w:t>
            </w:r>
            <w:r w:rsidRPr="00BA68AE">
              <w:rPr>
                <w:rStyle w:val="Hyperlink"/>
                <w:rFonts w:ascii="Simplified Arabic" w:hAnsi="Simplified Arabic" w:cs="Simplified Arabic"/>
                <w:noProof/>
                <w:rtl/>
              </w:rPr>
              <w:t>توصيات للباحثين والأكاديميين</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_Toc214041894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109</w:t>
            </w:r>
            <w:r w:rsidRPr="00BA68AE">
              <w:rPr>
                <w:rFonts w:ascii="Simplified Arabic" w:hAnsi="Simplified Arabic" w:cs="Simplified Arabic"/>
                <w:noProof/>
                <w:webHidden/>
              </w:rPr>
              <w:fldChar w:fldCharType="end"/>
            </w:r>
          </w:hyperlink>
        </w:p>
        <w:p w14:paraId="1105ED20" w14:textId="47A7AF32"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95" w:history="1">
            <w:r w:rsidRPr="00BA68AE">
              <w:rPr>
                <w:rStyle w:val="Hyperlink"/>
                <w:rFonts w:ascii="Simplified Arabic" w:hAnsi="Simplified Arabic" w:cs="Simplified Arabic"/>
                <w:noProof/>
              </w:rPr>
              <w:t xml:space="preserve">5.4 </w:t>
            </w:r>
            <w:r w:rsidRPr="00BA68AE">
              <w:rPr>
                <w:rStyle w:val="Hyperlink"/>
                <w:rFonts w:ascii="Simplified Arabic" w:hAnsi="Simplified Arabic" w:cs="Simplified Arabic"/>
                <w:noProof/>
                <w:rtl/>
              </w:rPr>
              <w:t>محددات الدراسة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_Toc214041895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109</w:t>
            </w:r>
            <w:r w:rsidRPr="00BA68AE">
              <w:rPr>
                <w:rFonts w:ascii="Simplified Arabic" w:hAnsi="Simplified Arabic" w:cs="Simplified Arabic"/>
                <w:noProof/>
                <w:webHidden/>
              </w:rPr>
              <w:fldChar w:fldCharType="end"/>
            </w:r>
          </w:hyperlink>
        </w:p>
        <w:p w14:paraId="2B669B53" w14:textId="17566BC9"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96" w:history="1">
            <w:r w:rsidRPr="00BA68AE">
              <w:rPr>
                <w:rStyle w:val="Hyperlink"/>
                <w:rFonts w:ascii="Simplified Arabic" w:hAnsi="Simplified Arabic" w:cs="Simplified Arabic"/>
                <w:noProof/>
              </w:rPr>
              <w:t xml:space="preserve">5.5 </w:t>
            </w:r>
            <w:r w:rsidRPr="00BA68AE">
              <w:rPr>
                <w:rStyle w:val="Hyperlink"/>
                <w:rFonts w:ascii="Simplified Arabic" w:hAnsi="Simplified Arabic" w:cs="Simplified Arabic"/>
                <w:noProof/>
                <w:rtl/>
              </w:rPr>
              <w:t>الاتجاهات البحثية المستقبلية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_Toc214041896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111</w:t>
            </w:r>
            <w:r w:rsidRPr="00BA68AE">
              <w:rPr>
                <w:rFonts w:ascii="Simplified Arabic" w:hAnsi="Simplified Arabic" w:cs="Simplified Arabic"/>
                <w:noProof/>
                <w:webHidden/>
              </w:rPr>
              <w:fldChar w:fldCharType="end"/>
            </w:r>
          </w:hyperlink>
        </w:p>
        <w:p w14:paraId="1A61898F" w14:textId="4D64DC43"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897" w:history="1">
            <w:r w:rsidRPr="00BA68AE">
              <w:rPr>
                <w:rStyle w:val="Hyperlink"/>
                <w:rFonts w:ascii="Simplified Arabic" w:hAnsi="Simplified Arabic" w:cs="Simplified Arabic"/>
                <w:noProof/>
              </w:rPr>
              <w:t>Abstract</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_Toc214041897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113</w:t>
            </w:r>
            <w:r w:rsidRPr="00BA68AE">
              <w:rPr>
                <w:rFonts w:ascii="Simplified Arabic" w:hAnsi="Simplified Arabic" w:cs="Simplified Arabic"/>
                <w:noProof/>
                <w:webHidden/>
              </w:rPr>
              <w:fldChar w:fldCharType="end"/>
            </w:r>
          </w:hyperlink>
        </w:p>
        <w:p w14:paraId="2AE6F497" w14:textId="34D0FDCB" w:rsidR="000126FF" w:rsidRPr="00BA68AE" w:rsidRDefault="000126FF" w:rsidP="000126FF">
          <w:pPr>
            <w:pStyle w:val="TOC1"/>
            <w:tabs>
              <w:tab w:val="right" w:leader="dot" w:pos="9395"/>
            </w:tabs>
            <w:bidi/>
            <w:rPr>
              <w:rFonts w:ascii="Simplified Arabic" w:hAnsi="Simplified Arabic" w:cs="Simplified Arabic"/>
              <w:noProof/>
              <w:kern w:val="0"/>
              <w:sz w:val="22"/>
              <w:szCs w:val="22"/>
              <w14:ligatures w14:val="none"/>
            </w:rPr>
          </w:pPr>
          <w:hyperlink w:anchor="_Toc214041898" w:history="1">
            <w:r w:rsidRPr="00BA68AE">
              <w:rPr>
                <w:rStyle w:val="Hyperlink"/>
                <w:rFonts w:ascii="Simplified Arabic" w:hAnsi="Simplified Arabic" w:cs="Simplified Arabic"/>
                <w:noProof/>
                <w:rtl/>
              </w:rPr>
              <w:t>قائمة المراجع</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_Toc214041898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114</w:t>
            </w:r>
            <w:r w:rsidRPr="00BA68AE">
              <w:rPr>
                <w:rFonts w:ascii="Simplified Arabic" w:hAnsi="Simplified Arabic" w:cs="Simplified Arabic"/>
                <w:noProof/>
                <w:webHidden/>
              </w:rPr>
              <w:fldChar w:fldCharType="end"/>
            </w:r>
          </w:hyperlink>
        </w:p>
        <w:p w14:paraId="7941FCD3" w14:textId="68B487CC"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899" w:history="1">
            <w:r w:rsidRPr="00BA68AE">
              <w:rPr>
                <w:rStyle w:val="Hyperlink"/>
                <w:rFonts w:ascii="Simplified Arabic" w:hAnsi="Simplified Arabic" w:cs="Simplified Arabic"/>
                <w:noProof/>
                <w:rtl/>
              </w:rPr>
              <w:t>المراجع العربية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_Toc214041899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114</w:t>
            </w:r>
            <w:r w:rsidRPr="00BA68AE">
              <w:rPr>
                <w:rFonts w:ascii="Simplified Arabic" w:hAnsi="Simplified Arabic" w:cs="Simplified Arabic"/>
                <w:noProof/>
                <w:webHidden/>
              </w:rPr>
              <w:fldChar w:fldCharType="end"/>
            </w:r>
          </w:hyperlink>
        </w:p>
        <w:p w14:paraId="738D1ECA" w14:textId="23AF2987" w:rsidR="000126FF" w:rsidRPr="00BA68AE" w:rsidRDefault="000126FF" w:rsidP="000126FF">
          <w:pPr>
            <w:pStyle w:val="TOC2"/>
            <w:tabs>
              <w:tab w:val="right" w:leader="dot" w:pos="9395"/>
            </w:tabs>
            <w:bidi/>
            <w:rPr>
              <w:rFonts w:ascii="Simplified Arabic" w:hAnsi="Simplified Arabic" w:cs="Simplified Arabic"/>
              <w:noProof/>
              <w:kern w:val="0"/>
              <w:sz w:val="22"/>
              <w:szCs w:val="22"/>
              <w14:ligatures w14:val="none"/>
            </w:rPr>
          </w:pPr>
          <w:hyperlink w:anchor="_Toc214041900" w:history="1">
            <w:r w:rsidRPr="00BA68AE">
              <w:rPr>
                <w:rStyle w:val="Hyperlink"/>
                <w:rFonts w:ascii="Simplified Arabic" w:hAnsi="Simplified Arabic" w:cs="Simplified Arabic"/>
                <w:noProof/>
                <w:rtl/>
              </w:rPr>
              <w:t>المراجع الأجنبية</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_Toc214041900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tl/>
              </w:rPr>
              <w:t>115</w:t>
            </w:r>
            <w:r w:rsidRPr="00BA68AE">
              <w:rPr>
                <w:rFonts w:ascii="Simplified Arabic" w:hAnsi="Simplified Arabic" w:cs="Simplified Arabic"/>
                <w:noProof/>
                <w:webHidden/>
              </w:rPr>
              <w:fldChar w:fldCharType="end"/>
            </w:r>
          </w:hyperlink>
        </w:p>
        <w:p w14:paraId="07E31A35" w14:textId="48370FF8" w:rsidR="000126FF" w:rsidRDefault="000126FF" w:rsidP="000126FF">
          <w:pPr>
            <w:pStyle w:val="TOC1"/>
            <w:tabs>
              <w:tab w:val="right" w:leader="dot" w:pos="9395"/>
            </w:tabs>
            <w:bidi/>
            <w:rPr>
              <w:rFonts w:cstheme="minorBidi"/>
              <w:noProof/>
              <w:kern w:val="0"/>
              <w:sz w:val="22"/>
              <w:szCs w:val="22"/>
              <w14:ligatures w14:val="none"/>
            </w:rPr>
          </w:pPr>
          <w:hyperlink w:anchor="_Toc214041901" w:history="1">
            <w:r w:rsidRPr="00BA68AE">
              <w:rPr>
                <w:rStyle w:val="Hyperlink"/>
                <w:rFonts w:ascii="Simplified Arabic" w:hAnsi="Simplified Arabic" w:cs="Simplified Arabic"/>
                <w:noProof/>
                <w:rtl/>
              </w:rPr>
              <w:t>الملاحق</w:t>
            </w:r>
            <w:r w:rsidRPr="00BA68AE">
              <w:rPr>
                <w:rFonts w:ascii="Simplified Arabic" w:hAnsi="Simplified Arabic" w:cs="Simplified Arabic"/>
                <w:noProof/>
                <w:webHidden/>
              </w:rPr>
              <w:tab/>
            </w:r>
            <w:r w:rsidRPr="00BA68AE">
              <w:rPr>
                <w:rFonts w:ascii="Simplified Arabic" w:hAnsi="Simplified Arabic" w:cs="Simplified Arabic"/>
                <w:noProof/>
                <w:webHidden/>
              </w:rPr>
              <w:fldChar w:fldCharType="begin"/>
            </w:r>
            <w:r w:rsidRPr="00BA68AE">
              <w:rPr>
                <w:rFonts w:ascii="Simplified Arabic" w:hAnsi="Simplified Arabic" w:cs="Simplified Arabic"/>
                <w:noProof/>
                <w:webHidden/>
              </w:rPr>
              <w:instrText xml:space="preserve"> PAGEREF _Toc214041901 \h </w:instrText>
            </w:r>
            <w:r w:rsidRPr="00BA68AE">
              <w:rPr>
                <w:rFonts w:ascii="Simplified Arabic" w:hAnsi="Simplified Arabic" w:cs="Simplified Arabic"/>
                <w:noProof/>
                <w:webHidden/>
              </w:rPr>
            </w:r>
            <w:r w:rsidRPr="00BA68AE">
              <w:rPr>
                <w:rFonts w:ascii="Simplified Arabic" w:hAnsi="Simplified Arabic" w:cs="Simplified Arabic"/>
                <w:noProof/>
                <w:webHidden/>
              </w:rPr>
              <w:fldChar w:fldCharType="separate"/>
            </w:r>
            <w:r w:rsidR="00AE7064">
              <w:rPr>
                <w:rFonts w:ascii="Simplified Arabic" w:hAnsi="Simplified Arabic" w:cs="Simplified Arabic"/>
                <w:noProof/>
                <w:webHidden/>
              </w:rPr>
              <w:t>i</w:t>
            </w:r>
            <w:r w:rsidRPr="00BA68AE">
              <w:rPr>
                <w:rFonts w:ascii="Simplified Arabic" w:hAnsi="Simplified Arabic" w:cs="Simplified Arabic"/>
                <w:noProof/>
                <w:webHidden/>
              </w:rPr>
              <w:fldChar w:fldCharType="end"/>
            </w:r>
          </w:hyperlink>
        </w:p>
        <w:p w14:paraId="7EC148C4" w14:textId="781F8F23" w:rsidR="00DD2762" w:rsidRDefault="00DD2762" w:rsidP="000126FF">
          <w:pPr>
            <w:bidi/>
          </w:pPr>
          <w:r>
            <w:rPr>
              <w:b/>
              <w:bCs/>
              <w:noProof/>
            </w:rPr>
            <w:fldChar w:fldCharType="end"/>
          </w:r>
        </w:p>
      </w:sdtContent>
    </w:sdt>
    <w:p w14:paraId="6B52A166" w14:textId="77777777" w:rsidR="00DD2762" w:rsidRDefault="00DD2762" w:rsidP="000126FF">
      <w:pPr>
        <w:widowControl w:val="0"/>
        <w:autoSpaceDE w:val="0"/>
        <w:autoSpaceDN w:val="0"/>
        <w:bidi/>
        <w:adjustRightInd w:val="0"/>
        <w:spacing w:after="0" w:line="240" w:lineRule="auto"/>
        <w:rPr>
          <w:rFonts w:ascii="Simplified Arabic" w:hAnsi="Simplified Arabic" w:cs="Simplified Arabic"/>
          <w:b/>
          <w:bCs/>
          <w:sz w:val="28"/>
          <w:szCs w:val="28"/>
          <w:rtl/>
        </w:rPr>
      </w:pPr>
    </w:p>
    <w:p w14:paraId="0AD8B29A" w14:textId="6F80989B" w:rsidR="0001648D" w:rsidRPr="00DC1164" w:rsidRDefault="0001648D" w:rsidP="0001648D">
      <w:pPr>
        <w:pStyle w:val="TableofFigures"/>
        <w:tabs>
          <w:tab w:val="right" w:leader="dot" w:pos="9395"/>
        </w:tabs>
        <w:bidi/>
        <w:rPr>
          <w:rFonts w:ascii="Simplified Arabic" w:hAnsi="Simplified Arabic" w:cs="Simplified Arabic"/>
          <w:noProof/>
        </w:rPr>
      </w:pPr>
      <w:r>
        <w:rPr>
          <w:rFonts w:ascii="Simplified Arabic" w:hAnsi="Simplified Arabic" w:cs="Simplified Arabic"/>
          <w:b/>
          <w:bCs/>
          <w:sz w:val="28"/>
          <w:szCs w:val="28"/>
          <w:rtl/>
        </w:rPr>
        <w:fldChar w:fldCharType="begin"/>
      </w:r>
      <w:r>
        <w:rPr>
          <w:rFonts w:ascii="Simplified Arabic" w:hAnsi="Simplified Arabic" w:cs="Simplified Arabic"/>
          <w:b/>
          <w:bCs/>
          <w:sz w:val="28"/>
          <w:szCs w:val="28"/>
          <w:rtl/>
        </w:rPr>
        <w:instrText xml:space="preserve"> </w:instrText>
      </w:r>
      <w:r>
        <w:rPr>
          <w:rFonts w:ascii="Simplified Arabic" w:hAnsi="Simplified Arabic" w:cs="Simplified Arabic"/>
          <w:b/>
          <w:bCs/>
          <w:sz w:val="28"/>
          <w:szCs w:val="28"/>
        </w:rPr>
        <w:instrText>TOC</w:instrText>
      </w:r>
      <w:r>
        <w:rPr>
          <w:rFonts w:ascii="Simplified Arabic" w:hAnsi="Simplified Arabic" w:cs="Simplified Arabic"/>
          <w:b/>
          <w:bCs/>
          <w:sz w:val="28"/>
          <w:szCs w:val="28"/>
          <w:rtl/>
        </w:rPr>
        <w:instrText xml:space="preserve"> \</w:instrText>
      </w:r>
      <w:r>
        <w:rPr>
          <w:rFonts w:ascii="Simplified Arabic" w:hAnsi="Simplified Arabic" w:cs="Simplified Arabic"/>
          <w:b/>
          <w:bCs/>
          <w:sz w:val="28"/>
          <w:szCs w:val="28"/>
        </w:rPr>
        <w:instrText>h \z \c</w:instrText>
      </w:r>
      <w:r>
        <w:rPr>
          <w:rFonts w:ascii="Simplified Arabic" w:hAnsi="Simplified Arabic" w:cs="Simplified Arabic"/>
          <w:b/>
          <w:bCs/>
          <w:sz w:val="28"/>
          <w:szCs w:val="28"/>
          <w:rtl/>
        </w:rPr>
        <w:instrText xml:space="preserve"> "جدول" </w:instrText>
      </w:r>
      <w:r>
        <w:rPr>
          <w:rFonts w:ascii="Simplified Arabic" w:hAnsi="Simplified Arabic" w:cs="Simplified Arabic"/>
          <w:b/>
          <w:bCs/>
          <w:sz w:val="28"/>
          <w:szCs w:val="28"/>
          <w:rtl/>
        </w:rPr>
        <w:fldChar w:fldCharType="separate"/>
      </w:r>
      <w:hyperlink w:anchor="_Toc214041902" w:history="1">
        <w:r w:rsidRPr="00DC1164">
          <w:rPr>
            <w:rStyle w:val="Hyperlink"/>
            <w:rFonts w:ascii="Simplified Arabic" w:hAnsi="Simplified Arabic" w:cs="Simplified Arabic"/>
            <w:noProof/>
            <w:rtl/>
          </w:rPr>
          <w:t>جدول 1</w:t>
        </w:r>
        <w:r w:rsidRPr="00DC1164">
          <w:rPr>
            <w:rStyle w:val="Hyperlink"/>
            <w:rFonts w:ascii="Simplified Arabic" w:hAnsi="Simplified Arabic" w:cs="Simplified Arabic"/>
            <w:noProof/>
            <w:rtl/>
            <w:lang w:bidi="ar-EG"/>
          </w:rPr>
          <w:t xml:space="preserve"> التوزيع الجغرافي لعينة الدراسة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_Toc214041902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65</w:t>
        </w:r>
        <w:r w:rsidRPr="00DC1164">
          <w:rPr>
            <w:rFonts w:ascii="Simplified Arabic" w:hAnsi="Simplified Arabic" w:cs="Simplified Arabic"/>
            <w:noProof/>
            <w:webHidden/>
          </w:rPr>
          <w:fldChar w:fldCharType="end"/>
        </w:r>
      </w:hyperlink>
    </w:p>
    <w:p w14:paraId="364871DF" w14:textId="3BE9BF34"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03" w:history="1">
        <w:r w:rsidRPr="00DC1164">
          <w:rPr>
            <w:rStyle w:val="Hyperlink"/>
            <w:rFonts w:ascii="Simplified Arabic" w:hAnsi="Simplified Arabic" w:cs="Simplified Arabic"/>
            <w:noProof/>
            <w:rtl/>
          </w:rPr>
          <w:t>جدول 2</w:t>
        </w:r>
        <w:r w:rsidRPr="00DC1164">
          <w:rPr>
            <w:rStyle w:val="Hyperlink"/>
            <w:rFonts w:ascii="Simplified Arabic" w:hAnsi="Simplified Arabic" w:cs="Simplified Arabic"/>
            <w:noProof/>
            <w:rtl/>
            <w:lang w:bidi="ar-EG"/>
          </w:rPr>
          <w:t xml:space="preserve"> توزيع العينة حسب نوع القطاع</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_Toc214041903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66</w:t>
        </w:r>
        <w:r w:rsidRPr="00DC1164">
          <w:rPr>
            <w:rFonts w:ascii="Simplified Arabic" w:hAnsi="Simplified Arabic" w:cs="Simplified Arabic"/>
            <w:noProof/>
            <w:webHidden/>
          </w:rPr>
          <w:fldChar w:fldCharType="end"/>
        </w:r>
      </w:hyperlink>
    </w:p>
    <w:p w14:paraId="14454D22" w14:textId="1D3D1D1F"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04" w:history="1">
        <w:r w:rsidRPr="00DC1164">
          <w:rPr>
            <w:rStyle w:val="Hyperlink"/>
            <w:rFonts w:ascii="Simplified Arabic" w:hAnsi="Simplified Arabic" w:cs="Simplified Arabic"/>
            <w:noProof/>
            <w:rtl/>
          </w:rPr>
          <w:t>جدول 3</w:t>
        </w:r>
        <w:r w:rsidRPr="00DC1164">
          <w:rPr>
            <w:rStyle w:val="Hyperlink"/>
            <w:rFonts w:ascii="Simplified Arabic" w:hAnsi="Simplified Arabic" w:cs="Simplified Arabic"/>
            <w:noProof/>
            <w:rtl/>
            <w:lang w:bidi="ar-EG"/>
          </w:rPr>
          <w:t xml:space="preserve"> توزيع العينة حسب حجم الشركة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_Toc214041904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66</w:t>
        </w:r>
        <w:r w:rsidRPr="00DC1164">
          <w:rPr>
            <w:rFonts w:ascii="Simplified Arabic" w:hAnsi="Simplified Arabic" w:cs="Simplified Arabic"/>
            <w:noProof/>
            <w:webHidden/>
          </w:rPr>
          <w:fldChar w:fldCharType="end"/>
        </w:r>
      </w:hyperlink>
    </w:p>
    <w:p w14:paraId="41ACD204" w14:textId="39F940B0"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05" w:history="1">
        <w:r w:rsidRPr="00DC1164">
          <w:rPr>
            <w:rStyle w:val="Hyperlink"/>
            <w:rFonts w:ascii="Simplified Arabic" w:hAnsi="Simplified Arabic" w:cs="Simplified Arabic"/>
            <w:noProof/>
            <w:rtl/>
          </w:rPr>
          <w:t>جدول 4</w:t>
        </w:r>
        <w:r w:rsidRPr="00DC1164">
          <w:rPr>
            <w:rStyle w:val="Hyperlink"/>
            <w:rFonts w:ascii="Simplified Arabic" w:hAnsi="Simplified Arabic" w:cs="Simplified Arabic"/>
            <w:noProof/>
            <w:rtl/>
            <w:lang w:bidi="ar-EG"/>
          </w:rPr>
          <w:t xml:space="preserve"> توزيع العينة حسب العمر التنظيمي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_Toc214041905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67</w:t>
        </w:r>
        <w:r w:rsidRPr="00DC1164">
          <w:rPr>
            <w:rFonts w:ascii="Simplified Arabic" w:hAnsi="Simplified Arabic" w:cs="Simplified Arabic"/>
            <w:noProof/>
            <w:webHidden/>
          </w:rPr>
          <w:fldChar w:fldCharType="end"/>
        </w:r>
      </w:hyperlink>
    </w:p>
    <w:p w14:paraId="1E01B3EE" w14:textId="10ABDD4F"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06" w:history="1">
        <w:r w:rsidRPr="00DC1164">
          <w:rPr>
            <w:rStyle w:val="Hyperlink"/>
            <w:rFonts w:ascii="Simplified Arabic" w:hAnsi="Simplified Arabic" w:cs="Simplified Arabic"/>
            <w:noProof/>
            <w:rtl/>
          </w:rPr>
          <w:t>جدول 5</w:t>
        </w:r>
        <w:r w:rsidRPr="00DC1164">
          <w:rPr>
            <w:rStyle w:val="Hyperlink"/>
            <w:rFonts w:ascii="Simplified Arabic" w:hAnsi="Simplified Arabic" w:cs="Simplified Arabic"/>
            <w:noProof/>
            <w:rtl/>
            <w:lang w:bidi="ar-EG"/>
          </w:rPr>
          <w:t xml:space="preserve"> خصائص المستجيبين</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_Toc214041906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67</w:t>
        </w:r>
        <w:r w:rsidRPr="00DC1164">
          <w:rPr>
            <w:rFonts w:ascii="Simplified Arabic" w:hAnsi="Simplified Arabic" w:cs="Simplified Arabic"/>
            <w:noProof/>
            <w:webHidden/>
          </w:rPr>
          <w:fldChar w:fldCharType="end"/>
        </w:r>
      </w:hyperlink>
    </w:p>
    <w:p w14:paraId="42606815" w14:textId="74930B82"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07" w:history="1">
        <w:r w:rsidRPr="00DC1164">
          <w:rPr>
            <w:rStyle w:val="Hyperlink"/>
            <w:rFonts w:ascii="Simplified Arabic" w:hAnsi="Simplified Arabic" w:cs="Simplified Arabic"/>
            <w:noProof/>
            <w:rtl/>
          </w:rPr>
          <w:t>جدول 6</w:t>
        </w:r>
        <w:r w:rsidRPr="00DC1164">
          <w:rPr>
            <w:rStyle w:val="Hyperlink"/>
            <w:rFonts w:ascii="Simplified Arabic" w:hAnsi="Simplified Arabic" w:cs="Simplified Arabic"/>
            <w:noProof/>
            <w:rtl/>
            <w:lang w:bidi="ar-EG"/>
          </w:rPr>
          <w:t xml:space="preserve"> الإحصاء الوصفي لأبعاد التحول الرقمي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_Toc214041907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69</w:t>
        </w:r>
        <w:r w:rsidRPr="00DC1164">
          <w:rPr>
            <w:rFonts w:ascii="Simplified Arabic" w:hAnsi="Simplified Arabic" w:cs="Simplified Arabic"/>
            <w:noProof/>
            <w:webHidden/>
          </w:rPr>
          <w:fldChar w:fldCharType="end"/>
        </w:r>
      </w:hyperlink>
    </w:p>
    <w:p w14:paraId="0785D76E" w14:textId="107465AE"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08" w:history="1">
        <w:r w:rsidRPr="00DC1164">
          <w:rPr>
            <w:rStyle w:val="Hyperlink"/>
            <w:rFonts w:ascii="Simplified Arabic" w:hAnsi="Simplified Arabic" w:cs="Simplified Arabic"/>
            <w:noProof/>
            <w:rtl/>
          </w:rPr>
          <w:t>جدول 7</w:t>
        </w:r>
        <w:r w:rsidRPr="00DC1164">
          <w:rPr>
            <w:rStyle w:val="Hyperlink"/>
            <w:rFonts w:ascii="Simplified Arabic" w:hAnsi="Simplified Arabic" w:cs="Simplified Arabic"/>
            <w:noProof/>
            <w:rtl/>
            <w:lang w:bidi="ar-EG"/>
          </w:rPr>
          <w:t xml:space="preserve"> الإحصاء الوصفي لأبعاد الأداء التنظيمي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_Toc214041908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70</w:t>
        </w:r>
        <w:r w:rsidRPr="00DC1164">
          <w:rPr>
            <w:rFonts w:ascii="Simplified Arabic" w:hAnsi="Simplified Arabic" w:cs="Simplified Arabic"/>
            <w:noProof/>
            <w:webHidden/>
          </w:rPr>
          <w:fldChar w:fldCharType="end"/>
        </w:r>
      </w:hyperlink>
    </w:p>
    <w:p w14:paraId="34A65CB8" w14:textId="6D95981E"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09" w:history="1">
        <w:r w:rsidRPr="00DC1164">
          <w:rPr>
            <w:rStyle w:val="Hyperlink"/>
            <w:rFonts w:ascii="Simplified Arabic" w:hAnsi="Simplified Arabic" w:cs="Simplified Arabic"/>
            <w:noProof/>
            <w:rtl/>
          </w:rPr>
          <w:t>جدول 8</w:t>
        </w:r>
        <w:r w:rsidRPr="00DC1164">
          <w:rPr>
            <w:rStyle w:val="Hyperlink"/>
            <w:rFonts w:ascii="Simplified Arabic" w:hAnsi="Simplified Arabic" w:cs="Simplified Arabic"/>
            <w:noProof/>
            <w:rtl/>
            <w:lang w:bidi="ar-EG"/>
          </w:rPr>
          <w:t xml:space="preserve"> اختبار الازدواج الخطي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_Toc214041909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72</w:t>
        </w:r>
        <w:r w:rsidRPr="00DC1164">
          <w:rPr>
            <w:rFonts w:ascii="Simplified Arabic" w:hAnsi="Simplified Arabic" w:cs="Simplified Arabic"/>
            <w:noProof/>
            <w:webHidden/>
          </w:rPr>
          <w:fldChar w:fldCharType="end"/>
        </w:r>
      </w:hyperlink>
    </w:p>
    <w:p w14:paraId="6D3FDCCD" w14:textId="6A5A2FFD"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0" w:history="1">
        <w:r w:rsidRPr="00DC1164">
          <w:rPr>
            <w:rStyle w:val="Hyperlink"/>
            <w:rFonts w:ascii="Simplified Arabic" w:hAnsi="Simplified Arabic" w:cs="Simplified Arabic"/>
            <w:noProof/>
            <w:rtl/>
          </w:rPr>
          <w:t>جدول 9</w:t>
        </w:r>
        <w:r w:rsidRPr="00DC1164">
          <w:rPr>
            <w:rStyle w:val="Hyperlink"/>
            <w:rFonts w:ascii="Simplified Arabic" w:hAnsi="Simplified Arabic" w:cs="Simplified Arabic"/>
            <w:noProof/>
            <w:rtl/>
            <w:lang w:bidi="ar-EG"/>
          </w:rPr>
          <w:t xml:space="preserve"> مصفوفة الارتباط بين أبعاد التحول الرقمي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_Toc214041910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73</w:t>
        </w:r>
        <w:r w:rsidRPr="00DC1164">
          <w:rPr>
            <w:rFonts w:ascii="Simplified Arabic" w:hAnsi="Simplified Arabic" w:cs="Simplified Arabic"/>
            <w:noProof/>
            <w:webHidden/>
          </w:rPr>
          <w:fldChar w:fldCharType="end"/>
        </w:r>
      </w:hyperlink>
    </w:p>
    <w:p w14:paraId="46069C22" w14:textId="30ABC045"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1" w:history="1">
        <w:r w:rsidRPr="00DC1164">
          <w:rPr>
            <w:rStyle w:val="Hyperlink"/>
            <w:rFonts w:ascii="Simplified Arabic" w:hAnsi="Simplified Arabic" w:cs="Simplified Arabic"/>
            <w:noProof/>
            <w:rtl/>
          </w:rPr>
          <w:t>جدول 10</w:t>
        </w:r>
        <w:r w:rsidRPr="00DC1164">
          <w:rPr>
            <w:rStyle w:val="Hyperlink"/>
            <w:rFonts w:ascii="Simplified Arabic" w:hAnsi="Simplified Arabic" w:cs="Simplified Arabic"/>
            <w:noProof/>
            <w:rtl/>
            <w:lang w:bidi="ar-EG"/>
          </w:rPr>
          <w:t xml:space="preserve"> مصفوفة الارتباط بين أبعاد التحول الرقمي والأداء التنظيمي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_Toc214041911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74</w:t>
        </w:r>
        <w:r w:rsidRPr="00DC1164">
          <w:rPr>
            <w:rFonts w:ascii="Simplified Arabic" w:hAnsi="Simplified Arabic" w:cs="Simplified Arabic"/>
            <w:noProof/>
            <w:webHidden/>
          </w:rPr>
          <w:fldChar w:fldCharType="end"/>
        </w:r>
      </w:hyperlink>
    </w:p>
    <w:p w14:paraId="06A0A157" w14:textId="266730B0"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2" w:history="1">
        <w:r w:rsidRPr="00DC1164">
          <w:rPr>
            <w:rStyle w:val="Hyperlink"/>
            <w:rFonts w:ascii="Simplified Arabic" w:hAnsi="Simplified Arabic" w:cs="Simplified Arabic"/>
            <w:noProof/>
            <w:rtl/>
          </w:rPr>
          <w:t>جدول 11</w:t>
        </w:r>
        <w:r w:rsidRPr="00DC1164">
          <w:rPr>
            <w:rStyle w:val="Hyperlink"/>
            <w:rFonts w:ascii="Simplified Arabic" w:hAnsi="Simplified Arabic" w:cs="Simplified Arabic"/>
            <w:noProof/>
            <w:rtl/>
            <w:lang w:bidi="ar-EG"/>
          </w:rPr>
          <w:t xml:space="preserve"> نتائج تحليل الانحدار للفرضية الأولى</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_Toc214041912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74</w:t>
        </w:r>
        <w:r w:rsidRPr="00DC1164">
          <w:rPr>
            <w:rFonts w:ascii="Simplified Arabic" w:hAnsi="Simplified Arabic" w:cs="Simplified Arabic"/>
            <w:noProof/>
            <w:webHidden/>
          </w:rPr>
          <w:fldChar w:fldCharType="end"/>
        </w:r>
      </w:hyperlink>
    </w:p>
    <w:p w14:paraId="5B5A4A0A" w14:textId="6FC82F4D"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3" w:history="1">
        <w:r w:rsidRPr="00DC1164">
          <w:rPr>
            <w:rStyle w:val="Hyperlink"/>
            <w:rFonts w:ascii="Simplified Arabic" w:hAnsi="Simplified Arabic" w:cs="Simplified Arabic"/>
            <w:noProof/>
            <w:rtl/>
          </w:rPr>
          <w:t>جدول 12</w:t>
        </w:r>
        <w:r w:rsidRPr="00DC1164">
          <w:rPr>
            <w:rStyle w:val="Hyperlink"/>
            <w:rFonts w:ascii="Simplified Arabic" w:hAnsi="Simplified Arabic" w:cs="Simplified Arabic"/>
            <w:noProof/>
            <w:rtl/>
            <w:lang w:bidi="ar-EG"/>
          </w:rPr>
          <w:t xml:space="preserve"> نتائج تحليل الانحدار المتعدد – أبعاد التحول الرقمي والأداء المالي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_Toc214041913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76</w:t>
        </w:r>
        <w:r w:rsidRPr="00DC1164">
          <w:rPr>
            <w:rFonts w:ascii="Simplified Arabic" w:hAnsi="Simplified Arabic" w:cs="Simplified Arabic"/>
            <w:noProof/>
            <w:webHidden/>
          </w:rPr>
          <w:fldChar w:fldCharType="end"/>
        </w:r>
      </w:hyperlink>
    </w:p>
    <w:p w14:paraId="31D74DC1" w14:textId="330CAA8D"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4" w:history="1">
        <w:r w:rsidRPr="00DC1164">
          <w:rPr>
            <w:rStyle w:val="Hyperlink"/>
            <w:rFonts w:ascii="Simplified Arabic" w:hAnsi="Simplified Arabic" w:cs="Simplified Arabic"/>
            <w:noProof/>
            <w:rtl/>
          </w:rPr>
          <w:t>جدول 13</w:t>
        </w:r>
        <w:r w:rsidRPr="00DC1164">
          <w:rPr>
            <w:rStyle w:val="Hyperlink"/>
            <w:rFonts w:ascii="Simplified Arabic" w:hAnsi="Simplified Arabic" w:cs="Simplified Arabic"/>
            <w:noProof/>
            <w:rtl/>
            <w:lang w:bidi="ar-EG"/>
          </w:rPr>
          <w:t xml:space="preserve"> نتائج تحليل الانحدار المتعدد – أبعاد التحول الرقمي والكفاءة التشغيلية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_Toc214041914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77</w:t>
        </w:r>
        <w:r w:rsidRPr="00DC1164">
          <w:rPr>
            <w:rFonts w:ascii="Simplified Arabic" w:hAnsi="Simplified Arabic" w:cs="Simplified Arabic"/>
            <w:noProof/>
            <w:webHidden/>
          </w:rPr>
          <w:fldChar w:fldCharType="end"/>
        </w:r>
      </w:hyperlink>
    </w:p>
    <w:p w14:paraId="2BCEC313" w14:textId="46E057B1"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5" w:history="1">
        <w:r w:rsidRPr="00DC1164">
          <w:rPr>
            <w:rStyle w:val="Hyperlink"/>
            <w:rFonts w:ascii="Simplified Arabic" w:hAnsi="Simplified Arabic" w:cs="Simplified Arabic"/>
            <w:noProof/>
            <w:rtl/>
          </w:rPr>
          <w:t>جدول 14</w:t>
        </w:r>
        <w:r w:rsidRPr="00DC1164">
          <w:rPr>
            <w:rStyle w:val="Hyperlink"/>
            <w:rFonts w:ascii="Simplified Arabic" w:hAnsi="Simplified Arabic" w:cs="Simplified Arabic"/>
            <w:noProof/>
            <w:rtl/>
            <w:lang w:bidi="ar-EG"/>
          </w:rPr>
          <w:t xml:space="preserve"> نتائج تحليل الانحدار المتعدد – أبعاد التحول الرقمي ورضا العملاء</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_Toc214041915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77</w:t>
        </w:r>
        <w:r w:rsidRPr="00DC1164">
          <w:rPr>
            <w:rFonts w:ascii="Simplified Arabic" w:hAnsi="Simplified Arabic" w:cs="Simplified Arabic"/>
            <w:noProof/>
            <w:webHidden/>
          </w:rPr>
          <w:fldChar w:fldCharType="end"/>
        </w:r>
      </w:hyperlink>
    </w:p>
    <w:p w14:paraId="361E8133" w14:textId="7E2DBAB3"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6" w:history="1">
        <w:r w:rsidRPr="00DC1164">
          <w:rPr>
            <w:rStyle w:val="Hyperlink"/>
            <w:rFonts w:ascii="Simplified Arabic" w:hAnsi="Simplified Arabic" w:cs="Simplified Arabic"/>
            <w:noProof/>
            <w:rtl/>
          </w:rPr>
          <w:t>جدول 15</w:t>
        </w:r>
        <w:r w:rsidRPr="00DC1164">
          <w:rPr>
            <w:rStyle w:val="Hyperlink"/>
            <w:rFonts w:ascii="Simplified Arabic" w:hAnsi="Simplified Arabic" w:cs="Simplified Arabic"/>
            <w:noProof/>
            <w:rtl/>
            <w:lang w:bidi="ar-EG"/>
          </w:rPr>
          <w:t xml:space="preserve"> نتائج تحليل الانحدار المتعدد – أبعاد التحول الرقمي والقدرة الابتكارية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_Toc214041916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78</w:t>
        </w:r>
        <w:r w:rsidRPr="00DC1164">
          <w:rPr>
            <w:rFonts w:ascii="Simplified Arabic" w:hAnsi="Simplified Arabic" w:cs="Simplified Arabic"/>
            <w:noProof/>
            <w:webHidden/>
          </w:rPr>
          <w:fldChar w:fldCharType="end"/>
        </w:r>
      </w:hyperlink>
    </w:p>
    <w:p w14:paraId="4B4F5E70" w14:textId="78978287"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7" w:history="1">
        <w:r w:rsidRPr="00DC1164">
          <w:rPr>
            <w:rStyle w:val="Hyperlink"/>
            <w:rFonts w:ascii="Simplified Arabic" w:hAnsi="Simplified Arabic" w:cs="Simplified Arabic"/>
            <w:noProof/>
            <w:rtl/>
          </w:rPr>
          <w:t>جدول 16</w:t>
        </w:r>
        <w:r w:rsidRPr="00DC1164">
          <w:rPr>
            <w:rStyle w:val="Hyperlink"/>
            <w:rFonts w:ascii="Simplified Arabic" w:hAnsi="Simplified Arabic" w:cs="Simplified Arabic"/>
            <w:noProof/>
            <w:rtl/>
            <w:lang w:bidi="ar-EG"/>
          </w:rPr>
          <w:t xml:space="preserve"> ملخص نتائج اختبار الفرضيات</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_Toc214041917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79</w:t>
        </w:r>
        <w:r w:rsidRPr="00DC1164">
          <w:rPr>
            <w:rFonts w:ascii="Simplified Arabic" w:hAnsi="Simplified Arabic" w:cs="Simplified Arabic"/>
            <w:noProof/>
            <w:webHidden/>
          </w:rPr>
          <w:fldChar w:fldCharType="end"/>
        </w:r>
      </w:hyperlink>
    </w:p>
    <w:p w14:paraId="3EE6D185" w14:textId="6B0AF887"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8" w:history="1">
        <w:r w:rsidRPr="00DC1164">
          <w:rPr>
            <w:rStyle w:val="Hyperlink"/>
            <w:rFonts w:ascii="Simplified Arabic" w:hAnsi="Simplified Arabic" w:cs="Simplified Arabic"/>
            <w:noProof/>
            <w:rtl/>
          </w:rPr>
          <w:t>جدول 17</w:t>
        </w:r>
        <w:r w:rsidRPr="00DC1164">
          <w:rPr>
            <w:rStyle w:val="Hyperlink"/>
            <w:rFonts w:ascii="Simplified Arabic" w:hAnsi="Simplified Arabic" w:cs="Simplified Arabic"/>
            <w:noProof/>
            <w:rtl/>
            <w:lang w:bidi="ar-EG"/>
          </w:rPr>
          <w:t xml:space="preserve"> التأثيرات المباشرة وغير المباشرة لأبعاد التحول الرقمي على أبعاد الأداء</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_Toc214041918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81</w:t>
        </w:r>
        <w:r w:rsidRPr="00DC1164">
          <w:rPr>
            <w:rFonts w:ascii="Simplified Arabic" w:hAnsi="Simplified Arabic" w:cs="Simplified Arabic"/>
            <w:noProof/>
            <w:webHidden/>
          </w:rPr>
          <w:fldChar w:fldCharType="end"/>
        </w:r>
      </w:hyperlink>
    </w:p>
    <w:p w14:paraId="3800A532" w14:textId="0F97211F"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19" w:history="1">
        <w:r w:rsidRPr="00DC1164">
          <w:rPr>
            <w:rStyle w:val="Hyperlink"/>
            <w:rFonts w:ascii="Simplified Arabic" w:hAnsi="Simplified Arabic" w:cs="Simplified Arabic"/>
            <w:noProof/>
            <w:rtl/>
          </w:rPr>
          <w:t>جدول 18</w:t>
        </w:r>
        <w:r w:rsidRPr="00DC1164">
          <w:rPr>
            <w:rStyle w:val="Hyperlink"/>
            <w:rFonts w:ascii="Simplified Arabic" w:hAnsi="Simplified Arabic" w:cs="Simplified Arabic"/>
            <w:noProof/>
            <w:rtl/>
            <w:lang w:bidi="ar-EG"/>
          </w:rPr>
          <w:t xml:space="preserve"> الفروق في التحول الرقمي والأداء حسب نوع القطاع</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_Toc214041919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82</w:t>
        </w:r>
        <w:r w:rsidRPr="00DC1164">
          <w:rPr>
            <w:rFonts w:ascii="Simplified Arabic" w:hAnsi="Simplified Arabic" w:cs="Simplified Arabic"/>
            <w:noProof/>
            <w:webHidden/>
          </w:rPr>
          <w:fldChar w:fldCharType="end"/>
        </w:r>
      </w:hyperlink>
    </w:p>
    <w:p w14:paraId="0BCE4CC1" w14:textId="725E32E9"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20" w:history="1">
        <w:r w:rsidRPr="00DC1164">
          <w:rPr>
            <w:rStyle w:val="Hyperlink"/>
            <w:rFonts w:ascii="Simplified Arabic" w:hAnsi="Simplified Arabic" w:cs="Simplified Arabic"/>
            <w:noProof/>
            <w:rtl/>
          </w:rPr>
          <w:t>جدول 19</w:t>
        </w:r>
        <w:r w:rsidRPr="00DC1164">
          <w:rPr>
            <w:rStyle w:val="Hyperlink"/>
            <w:rFonts w:ascii="Simplified Arabic" w:hAnsi="Simplified Arabic" w:cs="Simplified Arabic"/>
            <w:noProof/>
            <w:rtl/>
            <w:lang w:bidi="ar-EG"/>
          </w:rPr>
          <w:t xml:space="preserve"> الفروق في التحول الرقمي والأداء حسب حجم الشركة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_Toc214041920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83</w:t>
        </w:r>
        <w:r w:rsidRPr="00DC1164">
          <w:rPr>
            <w:rFonts w:ascii="Simplified Arabic" w:hAnsi="Simplified Arabic" w:cs="Simplified Arabic"/>
            <w:noProof/>
            <w:webHidden/>
          </w:rPr>
          <w:fldChar w:fldCharType="end"/>
        </w:r>
      </w:hyperlink>
    </w:p>
    <w:p w14:paraId="04633693" w14:textId="38FAAB00"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21" w:history="1">
        <w:r w:rsidRPr="00DC1164">
          <w:rPr>
            <w:rStyle w:val="Hyperlink"/>
            <w:rFonts w:ascii="Simplified Arabic" w:hAnsi="Simplified Arabic" w:cs="Simplified Arabic"/>
            <w:noProof/>
            <w:rtl/>
          </w:rPr>
          <w:t>جدول 20</w:t>
        </w:r>
        <w:r w:rsidRPr="00DC1164">
          <w:rPr>
            <w:rStyle w:val="Hyperlink"/>
            <w:rFonts w:ascii="Simplified Arabic" w:hAnsi="Simplified Arabic" w:cs="Simplified Arabic"/>
            <w:noProof/>
            <w:rtl/>
            <w:lang w:bidi="ar-EG"/>
          </w:rPr>
          <w:t xml:space="preserve"> الفروق في التحول الرقمي والأداء حسب العمر التنظيمي</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_Toc214041921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84</w:t>
        </w:r>
        <w:r w:rsidRPr="00DC1164">
          <w:rPr>
            <w:rFonts w:ascii="Simplified Arabic" w:hAnsi="Simplified Arabic" w:cs="Simplified Arabic"/>
            <w:noProof/>
            <w:webHidden/>
          </w:rPr>
          <w:fldChar w:fldCharType="end"/>
        </w:r>
      </w:hyperlink>
    </w:p>
    <w:p w14:paraId="6D314A31" w14:textId="3AACAFCD"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22" w:history="1">
        <w:r w:rsidRPr="00DC1164">
          <w:rPr>
            <w:rStyle w:val="Hyperlink"/>
            <w:rFonts w:ascii="Simplified Arabic" w:hAnsi="Simplified Arabic" w:cs="Simplified Arabic"/>
            <w:noProof/>
            <w:rtl/>
          </w:rPr>
          <w:t>جدول 21</w:t>
        </w:r>
        <w:r w:rsidRPr="00DC1164">
          <w:rPr>
            <w:rStyle w:val="Hyperlink"/>
            <w:rFonts w:ascii="Simplified Arabic" w:hAnsi="Simplified Arabic" w:cs="Simplified Arabic"/>
            <w:noProof/>
            <w:rtl/>
            <w:lang w:bidi="ar-EG"/>
          </w:rPr>
          <w:t xml:space="preserve"> الفروق في التحول الرقمي والأداء حسب الدولة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_Toc214041922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84</w:t>
        </w:r>
        <w:r w:rsidRPr="00DC1164">
          <w:rPr>
            <w:rFonts w:ascii="Simplified Arabic" w:hAnsi="Simplified Arabic" w:cs="Simplified Arabic"/>
            <w:noProof/>
            <w:webHidden/>
          </w:rPr>
          <w:fldChar w:fldCharType="end"/>
        </w:r>
      </w:hyperlink>
    </w:p>
    <w:p w14:paraId="16F81AC3" w14:textId="11B49BFD"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23" w:history="1">
        <w:r w:rsidRPr="00DC1164">
          <w:rPr>
            <w:rStyle w:val="Hyperlink"/>
            <w:rFonts w:ascii="Simplified Arabic" w:hAnsi="Simplified Arabic" w:cs="Simplified Arabic"/>
            <w:noProof/>
            <w:rtl/>
          </w:rPr>
          <w:t>جدول 22</w:t>
        </w:r>
        <w:r w:rsidRPr="00DC1164">
          <w:rPr>
            <w:rStyle w:val="Hyperlink"/>
            <w:rFonts w:ascii="Simplified Arabic" w:hAnsi="Simplified Arabic" w:cs="Simplified Arabic"/>
            <w:noProof/>
            <w:rtl/>
            <w:lang w:bidi="ar-EG"/>
          </w:rPr>
          <w:t xml:space="preserve"> نتائج تحليل الوساطة – الكفاءة التشغيلية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_Toc214041923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85</w:t>
        </w:r>
        <w:r w:rsidRPr="00DC1164">
          <w:rPr>
            <w:rFonts w:ascii="Simplified Arabic" w:hAnsi="Simplified Arabic" w:cs="Simplified Arabic"/>
            <w:noProof/>
            <w:webHidden/>
          </w:rPr>
          <w:fldChar w:fldCharType="end"/>
        </w:r>
      </w:hyperlink>
    </w:p>
    <w:p w14:paraId="4727601D" w14:textId="614E8C0B"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24" w:history="1">
        <w:r w:rsidRPr="00DC1164">
          <w:rPr>
            <w:rStyle w:val="Hyperlink"/>
            <w:rFonts w:ascii="Simplified Arabic" w:hAnsi="Simplified Arabic" w:cs="Simplified Arabic"/>
            <w:noProof/>
            <w:rtl/>
          </w:rPr>
          <w:t>جدول 23</w:t>
        </w:r>
        <w:r w:rsidRPr="00DC1164">
          <w:rPr>
            <w:rStyle w:val="Hyperlink"/>
            <w:rFonts w:ascii="Simplified Arabic" w:hAnsi="Simplified Arabic" w:cs="Simplified Arabic"/>
            <w:noProof/>
            <w:rtl/>
            <w:lang w:bidi="ar-EG"/>
          </w:rPr>
          <w:t xml:space="preserve"> نتائج تحليل الوساطة – القدرة الابتكارية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_Toc214041924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86</w:t>
        </w:r>
        <w:r w:rsidRPr="00DC1164">
          <w:rPr>
            <w:rFonts w:ascii="Simplified Arabic" w:hAnsi="Simplified Arabic" w:cs="Simplified Arabic"/>
            <w:noProof/>
            <w:webHidden/>
          </w:rPr>
          <w:fldChar w:fldCharType="end"/>
        </w:r>
      </w:hyperlink>
    </w:p>
    <w:p w14:paraId="4C9F17FE" w14:textId="6E27D45A" w:rsidR="0001648D" w:rsidRPr="00DC1164" w:rsidRDefault="0001648D" w:rsidP="0001648D">
      <w:pPr>
        <w:pStyle w:val="TableofFigures"/>
        <w:tabs>
          <w:tab w:val="right" w:leader="dot" w:pos="9395"/>
        </w:tabs>
        <w:bidi/>
        <w:rPr>
          <w:rFonts w:ascii="Simplified Arabic" w:hAnsi="Simplified Arabic" w:cs="Simplified Arabic"/>
          <w:noProof/>
        </w:rPr>
      </w:pPr>
      <w:hyperlink w:anchor="_Toc214041925" w:history="1">
        <w:r w:rsidRPr="00DC1164">
          <w:rPr>
            <w:rStyle w:val="Hyperlink"/>
            <w:rFonts w:ascii="Simplified Arabic" w:hAnsi="Simplified Arabic" w:cs="Simplified Arabic"/>
            <w:noProof/>
            <w:rtl/>
          </w:rPr>
          <w:t>جدول 24</w:t>
        </w:r>
        <w:r w:rsidRPr="00DC1164">
          <w:rPr>
            <w:rStyle w:val="Hyperlink"/>
            <w:rFonts w:ascii="Simplified Arabic" w:hAnsi="Simplified Arabic" w:cs="Simplified Arabic"/>
            <w:noProof/>
            <w:rtl/>
            <w:lang w:bidi="ar-EG"/>
          </w:rPr>
          <w:t xml:space="preserve"> نتائج تحليل الاعتدال – حجم الشركة</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_Toc214041925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87</w:t>
        </w:r>
        <w:r w:rsidRPr="00DC1164">
          <w:rPr>
            <w:rFonts w:ascii="Simplified Arabic" w:hAnsi="Simplified Arabic" w:cs="Simplified Arabic"/>
            <w:noProof/>
            <w:webHidden/>
          </w:rPr>
          <w:fldChar w:fldCharType="end"/>
        </w:r>
      </w:hyperlink>
    </w:p>
    <w:p w14:paraId="0E6854DA" w14:textId="70B283E3" w:rsidR="0001648D" w:rsidRDefault="0001648D" w:rsidP="0001648D">
      <w:pPr>
        <w:pStyle w:val="TableofFigures"/>
        <w:tabs>
          <w:tab w:val="right" w:leader="dot" w:pos="9395"/>
        </w:tabs>
        <w:bidi/>
        <w:rPr>
          <w:noProof/>
        </w:rPr>
      </w:pPr>
      <w:hyperlink w:anchor="_Toc214041926" w:history="1">
        <w:r w:rsidRPr="00DC1164">
          <w:rPr>
            <w:rStyle w:val="Hyperlink"/>
            <w:rFonts w:ascii="Simplified Arabic" w:hAnsi="Simplified Arabic" w:cs="Simplified Arabic"/>
            <w:noProof/>
            <w:rtl/>
          </w:rPr>
          <w:t>جدول 25</w:t>
        </w:r>
        <w:r w:rsidRPr="00DC1164">
          <w:rPr>
            <w:rStyle w:val="Hyperlink"/>
            <w:rFonts w:ascii="Simplified Arabic" w:hAnsi="Simplified Arabic" w:cs="Simplified Arabic"/>
            <w:noProof/>
            <w:rtl/>
            <w:lang w:bidi="ar-EG"/>
          </w:rPr>
          <w:t xml:space="preserve"> نتائج تحليل الاعتدال – نوع القطاع</w:t>
        </w:r>
        <w:r w:rsidRPr="00DC1164">
          <w:rPr>
            <w:rFonts w:ascii="Simplified Arabic" w:hAnsi="Simplified Arabic" w:cs="Simplified Arabic"/>
            <w:noProof/>
            <w:webHidden/>
          </w:rPr>
          <w:tab/>
        </w:r>
        <w:r w:rsidRPr="00DC1164">
          <w:rPr>
            <w:rFonts w:ascii="Simplified Arabic" w:hAnsi="Simplified Arabic" w:cs="Simplified Arabic"/>
            <w:noProof/>
            <w:webHidden/>
          </w:rPr>
          <w:fldChar w:fldCharType="begin"/>
        </w:r>
        <w:r w:rsidRPr="00DC1164">
          <w:rPr>
            <w:rFonts w:ascii="Simplified Arabic" w:hAnsi="Simplified Arabic" w:cs="Simplified Arabic"/>
            <w:noProof/>
            <w:webHidden/>
          </w:rPr>
          <w:instrText xml:space="preserve"> PAGEREF _Toc214041926 \h </w:instrText>
        </w:r>
        <w:r w:rsidRPr="00DC1164">
          <w:rPr>
            <w:rFonts w:ascii="Simplified Arabic" w:hAnsi="Simplified Arabic" w:cs="Simplified Arabic"/>
            <w:noProof/>
            <w:webHidden/>
          </w:rPr>
        </w:r>
        <w:r w:rsidRPr="00DC1164">
          <w:rPr>
            <w:rFonts w:ascii="Simplified Arabic" w:hAnsi="Simplified Arabic" w:cs="Simplified Arabic"/>
            <w:noProof/>
            <w:webHidden/>
          </w:rPr>
          <w:fldChar w:fldCharType="separate"/>
        </w:r>
        <w:r w:rsidR="00AE7064">
          <w:rPr>
            <w:rFonts w:ascii="Simplified Arabic" w:hAnsi="Simplified Arabic" w:cs="Simplified Arabic"/>
            <w:noProof/>
            <w:webHidden/>
            <w:rtl/>
          </w:rPr>
          <w:t>87</w:t>
        </w:r>
        <w:r w:rsidRPr="00DC1164">
          <w:rPr>
            <w:rFonts w:ascii="Simplified Arabic" w:hAnsi="Simplified Arabic" w:cs="Simplified Arabic"/>
            <w:noProof/>
            <w:webHidden/>
          </w:rPr>
          <w:fldChar w:fldCharType="end"/>
        </w:r>
      </w:hyperlink>
    </w:p>
    <w:p w14:paraId="2A7599B2" w14:textId="3F801238" w:rsidR="003D4325" w:rsidRPr="00831D16" w:rsidRDefault="0001648D" w:rsidP="00831D16">
      <w:pPr>
        <w:widowControl w:val="0"/>
        <w:autoSpaceDE w:val="0"/>
        <w:autoSpaceDN w:val="0"/>
        <w:bidi/>
        <w:adjustRightInd w:val="0"/>
        <w:spacing w:after="0" w:line="240" w:lineRule="auto"/>
        <w:rPr>
          <w:rFonts w:ascii="Simplified Arabic" w:hAnsi="Simplified Arabic" w:cs="Simplified Arabic"/>
          <w:b/>
          <w:bCs/>
          <w:sz w:val="28"/>
          <w:szCs w:val="28"/>
        </w:rPr>
        <w:sectPr w:rsidR="003D4325" w:rsidRPr="00831D16" w:rsidSect="00AE7064">
          <w:footerReference w:type="default" r:id="rId10"/>
          <w:footerReference w:type="first" r:id="rId11"/>
          <w:pgSz w:w="12240" w:h="15840"/>
          <w:pgMar w:top="1134" w:right="1701" w:bottom="1134" w:left="1134"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fmt="arabicAlpha"/>
          <w:cols w:space="720"/>
          <w:noEndnote/>
          <w:titlePg/>
          <w:docGrid w:linePitch="326"/>
        </w:sectPr>
      </w:pPr>
      <w:r>
        <w:rPr>
          <w:rFonts w:ascii="Simplified Arabic" w:hAnsi="Simplified Arabic" w:cs="Simplified Arabic"/>
          <w:b/>
          <w:bCs/>
          <w:sz w:val="28"/>
          <w:szCs w:val="28"/>
          <w:rtl/>
        </w:rPr>
        <w:fldChar w:fldCharType="end"/>
      </w:r>
    </w:p>
    <w:p w14:paraId="3459C6DA" w14:textId="63BA5D73" w:rsidR="00BA7005" w:rsidRPr="005136EB" w:rsidRDefault="00BA7005" w:rsidP="000126FF">
      <w:pPr>
        <w:pStyle w:val="Heading1"/>
      </w:pPr>
      <w:bookmarkStart w:id="1" w:name="_Toc214041787"/>
      <w:r w:rsidRPr="005136EB">
        <w:rPr>
          <w:rtl/>
        </w:rPr>
        <w:lastRenderedPageBreak/>
        <w:t>الفصل الأول: الإطار العام للدراسة</w:t>
      </w:r>
      <w:bookmarkEnd w:id="1"/>
    </w:p>
    <w:p w14:paraId="732E708F" w14:textId="4C543ABD"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p>
    <w:p w14:paraId="57A11635"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يشهد العالم المعاصر ثورة تكنولوجية غير مسبوقة، أعادت تشكيل ملامح الحياة الإنسانية بكافة أبعادها، وأحدثت تحولات جذرية في طبيعة الأعمال وأساليب الإنتاج. أصبحت التكنولوجيا الرقمية العمود الفقري للاقتصاد العالمي، ومحركاً أساسياً للنمو والتنمية</w:t>
      </w:r>
      <w:r w:rsidRPr="00BA7005">
        <w:rPr>
          <w:rFonts w:ascii="Simplified Arabic" w:hAnsi="Simplified Arabic" w:cs="Simplified Arabic"/>
          <w:sz w:val="28"/>
          <w:szCs w:val="28"/>
        </w:rPr>
        <w:t xml:space="preserve"> (Bharadwaj et al., 2013). </w:t>
      </w:r>
      <w:r w:rsidRPr="00BA7005">
        <w:rPr>
          <w:rFonts w:ascii="Simplified Arabic" w:hAnsi="Simplified Arabic" w:cs="Simplified Arabic"/>
          <w:sz w:val="28"/>
          <w:szCs w:val="28"/>
          <w:rtl/>
        </w:rPr>
        <w:t>برز مفهوم التحول الرقمي كأحد أهم المفاهيم الإدارية والاستراتيجية التي فرضت نفسها على جدول أعمال المديرين التنفيذيين عالمياً</w:t>
      </w:r>
      <w:r w:rsidRPr="00BA7005">
        <w:rPr>
          <w:rFonts w:ascii="Simplified Arabic" w:hAnsi="Simplified Arabic" w:cs="Simplified Arabic"/>
          <w:sz w:val="28"/>
          <w:szCs w:val="28"/>
        </w:rPr>
        <w:t>.</w:t>
      </w:r>
    </w:p>
    <w:p w14:paraId="59DDDD9F"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التحول الرقمي ليس مجرد تبني للتقنيات الحديثة، بل عملية شاملة تتضمن إعادة تصميم نماذج الأعمال، وتغيير الثقافة التنظيمية، وتطوير القدرات البشرية</w:t>
      </w:r>
      <w:r w:rsidRPr="00BA7005">
        <w:rPr>
          <w:rFonts w:ascii="Simplified Arabic" w:hAnsi="Simplified Arabic" w:cs="Simplified Arabic"/>
          <w:sz w:val="28"/>
          <w:szCs w:val="28"/>
        </w:rPr>
        <w:t xml:space="preserve"> (Vial, 2019; Westerman et al., 2014). </w:t>
      </w:r>
      <w:r w:rsidRPr="00BA7005">
        <w:rPr>
          <w:rFonts w:ascii="Simplified Arabic" w:hAnsi="Simplified Arabic" w:cs="Simplified Arabic"/>
          <w:sz w:val="28"/>
          <w:szCs w:val="28"/>
          <w:rtl/>
        </w:rPr>
        <w:t>من جهة أخرى، يعد الأداء التنظيمي المعيار الأساسي للحكم على نجاح المنظمات في تحقيق أهدافها الاستراتيجية والتشغيلية</w:t>
      </w:r>
      <w:r w:rsidRPr="00BA7005">
        <w:rPr>
          <w:rFonts w:ascii="Simplified Arabic" w:hAnsi="Simplified Arabic" w:cs="Simplified Arabic"/>
          <w:sz w:val="28"/>
          <w:szCs w:val="28"/>
        </w:rPr>
        <w:t xml:space="preserve"> (Kaplan &amp; Norton, 1996).</w:t>
      </w:r>
    </w:p>
    <w:p w14:paraId="2AB37EC3" w14:textId="60611DA1"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تنبع أهمية هذا البحث من الحاجة الماسة لفهم العلاقة المعقدة بين التحول الرقمي والأداء التنظيمي، خاصة في سياق الشركات العربية والأسواق الناشئة. يتناول هذا الفصل الإطار العام للدراسة، مقدماً مشكلة البحث وأهدافه وأهميته وفرضياته والنموذج المفاهيمي وحدود الدراسة والمصطلحات الأساسية</w:t>
      </w:r>
      <w:r w:rsidRPr="00BA7005">
        <w:rPr>
          <w:rFonts w:ascii="Simplified Arabic" w:hAnsi="Simplified Arabic" w:cs="Simplified Arabic"/>
          <w:sz w:val="28"/>
          <w:szCs w:val="28"/>
        </w:rPr>
        <w:t>.</w:t>
      </w:r>
    </w:p>
    <w:p w14:paraId="4312C0A1" w14:textId="77777777" w:rsidR="00BA7005" w:rsidRPr="00BA7005" w:rsidRDefault="00BA7005" w:rsidP="000126FF">
      <w:pPr>
        <w:pStyle w:val="Heading2"/>
      </w:pPr>
      <w:bookmarkStart w:id="2" w:name="_Toc214041788"/>
      <w:r w:rsidRPr="00BA7005">
        <w:t xml:space="preserve">1.1 </w:t>
      </w:r>
      <w:r w:rsidRPr="00BA7005">
        <w:rPr>
          <w:rtl/>
        </w:rPr>
        <w:t>مقدمة الدراسة</w:t>
      </w:r>
      <w:bookmarkEnd w:id="2"/>
    </w:p>
    <w:p w14:paraId="4174A666"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شهدت العقود الثلاثة الأخيرة تسارعاً غير مسبوق في التطور التكنولوجي. انتقل العالم من عصر الحواسيب الضخمة إلى عصر الأجهزة الذكية المحمولة المتصلة بشبكات عالمية. أدى ظهور الإنترنت وانتشاره الواسع إلى إحداث تحول نوعي، ومهد الطريق لموجة من الابتكارات: الحوسبة السحابية، البيانات الضخمة، الذكاء الاصطناعي، إنترنت الأشياء، البلوكتشين، والواقع المعزز - ما يعرف بالثورة الصناعية الرابعة</w:t>
      </w:r>
      <w:r w:rsidRPr="00BA7005">
        <w:rPr>
          <w:rFonts w:ascii="Simplified Arabic" w:hAnsi="Simplified Arabic" w:cs="Simplified Arabic"/>
          <w:sz w:val="28"/>
          <w:szCs w:val="28"/>
        </w:rPr>
        <w:t xml:space="preserve"> (Schwab, 2016).</w:t>
      </w:r>
    </w:p>
    <w:p w14:paraId="33205C97"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وجدت الشركات نفسها أمام تحديات وفرص جديدة. أتاحت التكنولوجيا الرقمية إمكانات هائلة لتحسين الكفاءة التشغيلية، وخفض التكاليف، وتوسيع نطاق الوصول للأسواق، وابتكار نماذج أعمال جديدة</w:t>
      </w:r>
      <w:r w:rsidRPr="00BA7005">
        <w:rPr>
          <w:rFonts w:ascii="Simplified Arabic" w:hAnsi="Simplified Arabic" w:cs="Simplified Arabic"/>
          <w:sz w:val="28"/>
          <w:szCs w:val="28"/>
        </w:rPr>
        <w:t xml:space="preserve"> (Bharadwaj et al., 2013). </w:t>
      </w:r>
      <w:r w:rsidRPr="00BA7005">
        <w:rPr>
          <w:rFonts w:ascii="Simplified Arabic" w:hAnsi="Simplified Arabic" w:cs="Simplified Arabic"/>
          <w:sz w:val="28"/>
          <w:szCs w:val="28"/>
          <w:rtl/>
        </w:rPr>
        <w:t>لكنها فرضت تحديات: الاستثمار في البنية التحتية الرقمية، تطوير المهارات الرقمية، إعادة تصميم العمليات، ومواجهة مخاطر الأمن السيبراني</w:t>
      </w:r>
      <w:r w:rsidRPr="00BA7005">
        <w:rPr>
          <w:rFonts w:ascii="Simplified Arabic" w:hAnsi="Simplified Arabic" w:cs="Simplified Arabic"/>
          <w:sz w:val="28"/>
          <w:szCs w:val="28"/>
        </w:rPr>
        <w:t xml:space="preserve"> (Verhoef et al., 2021).</w:t>
      </w:r>
    </w:p>
    <w:p w14:paraId="7B8CD5E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أدركت الشركات الرائدة أن البقاء تنافسياً يتطلب استراتيجية شاملة للتحول الرقمي. أصبح التحول الرقمي ضرورة استراتيجية لا خياراً تكتيكياً، والمنظمات التي تفشل فيه تواجه خطر التهميش</w:t>
      </w:r>
      <w:r w:rsidRPr="00BA7005">
        <w:rPr>
          <w:rFonts w:ascii="Simplified Arabic" w:hAnsi="Simplified Arabic" w:cs="Simplified Arabic"/>
          <w:sz w:val="28"/>
          <w:szCs w:val="28"/>
        </w:rPr>
        <w:t xml:space="preserve"> (Westerman et al., 2014). </w:t>
      </w:r>
      <w:r w:rsidRPr="00BA7005">
        <w:rPr>
          <w:rFonts w:ascii="Simplified Arabic" w:hAnsi="Simplified Arabic" w:cs="Simplified Arabic"/>
          <w:sz w:val="28"/>
          <w:szCs w:val="28"/>
          <w:rtl/>
        </w:rPr>
        <w:t>غير أن التحول الرقمي ليس بسيطاً - فنسبة كبيرة من مبادراته تفشل لأسباب متعددة: عدم وضوح الاستراتيجية، مقاومة التغيير، نقص المهارات، وضعف التنسيق</w:t>
      </w:r>
      <w:r w:rsidRPr="00BA7005">
        <w:rPr>
          <w:rFonts w:ascii="Simplified Arabic" w:hAnsi="Simplified Arabic" w:cs="Simplified Arabic"/>
          <w:sz w:val="28"/>
          <w:szCs w:val="28"/>
        </w:rPr>
        <w:t xml:space="preserve"> (Vial, 2019).</w:t>
      </w:r>
    </w:p>
    <w:p w14:paraId="64F7294E"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 xml:space="preserve">من منظور الأداء التنظيمي، يمثل التحول الرقمي فرصة لتحقيق قفزات نوعية عبر الأبعاد المختلفة: المالي </w:t>
      </w:r>
      <w:r w:rsidRPr="00BA7005">
        <w:rPr>
          <w:rFonts w:ascii="Simplified Arabic" w:hAnsi="Simplified Arabic" w:cs="Simplified Arabic"/>
          <w:sz w:val="28"/>
          <w:szCs w:val="28"/>
          <w:rtl/>
        </w:rPr>
        <w:lastRenderedPageBreak/>
        <w:t>(زيادة الإيرادات وخفض التكاليف)، التشغيلي (تحسين الجودة والمرونة)، التسويقي (تعزيز رضا العملاء)، والابتكاري (خلق بيئة للإبداع)</w:t>
      </w:r>
      <w:r w:rsidRPr="00BA7005">
        <w:rPr>
          <w:rFonts w:ascii="Simplified Arabic" w:hAnsi="Simplified Arabic" w:cs="Simplified Arabic"/>
          <w:sz w:val="28"/>
          <w:szCs w:val="28"/>
        </w:rPr>
        <w:t xml:space="preserve"> (Bharadwaj et al., 2013; Verhoef et al., 2021; Nambisan et al., 2017).</w:t>
      </w:r>
    </w:p>
    <w:p w14:paraId="78F87145"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في السياق العربي، اكتسب التحول الرقمي أهمية متزايدة، حيث أطلقت حكومات استراتيجيات وطنية ومبادرات طموحة. لكن هناك فجوة بين التطلعات والإنجازات الفعلية، مع تحديات خاصة: محدودية البنية التحتية، نقص المهارات الرقمية، وضعف ثقافة الابتكار</w:t>
      </w:r>
      <w:r w:rsidRPr="00BA7005">
        <w:rPr>
          <w:rFonts w:ascii="Simplified Arabic" w:hAnsi="Simplified Arabic" w:cs="Simplified Arabic"/>
          <w:sz w:val="28"/>
          <w:szCs w:val="28"/>
        </w:rPr>
        <w:t>.</w:t>
      </w:r>
    </w:p>
    <w:p w14:paraId="1E3EA54C" w14:textId="0FF8B010"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تأتي هذه الدراسة لتقديم مساهمة علمية وعملية في فهم تأثير التحول الرقمي على أداء الشركات العربية</w:t>
      </w:r>
      <w:r w:rsidRPr="00BA7005">
        <w:rPr>
          <w:rFonts w:ascii="Simplified Arabic" w:hAnsi="Simplified Arabic" w:cs="Simplified Arabic"/>
          <w:sz w:val="28"/>
          <w:szCs w:val="28"/>
        </w:rPr>
        <w:t>.</w:t>
      </w:r>
    </w:p>
    <w:p w14:paraId="645814F9" w14:textId="77777777" w:rsidR="00BA7005" w:rsidRPr="00BA7005" w:rsidRDefault="00BA7005" w:rsidP="000126FF">
      <w:pPr>
        <w:pStyle w:val="Heading2"/>
      </w:pPr>
      <w:bookmarkStart w:id="3" w:name="_Toc214041789"/>
      <w:r w:rsidRPr="00BA7005">
        <w:t xml:space="preserve">1.2 </w:t>
      </w:r>
      <w:r w:rsidRPr="00BA7005">
        <w:rPr>
          <w:rtl/>
        </w:rPr>
        <w:t>مشكلة البحث</w:t>
      </w:r>
      <w:bookmarkEnd w:id="3"/>
    </w:p>
    <w:p w14:paraId="22296F6C"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تنبع مشكلة البحث من الفجوة بين الوعي المتزايد بأهمية التحول الرقمي والفهم المحدود للآليات الدقيقة لتأثيره على الأداء. رغم الاستثمارات الضخمة، تشير الدراسات إلى فشل نسبة كبيرة من مبادرات التحول الرقمي في تحقيق العوائد المتوقعة</w:t>
      </w:r>
      <w:r w:rsidRPr="00BA7005">
        <w:rPr>
          <w:rFonts w:ascii="Simplified Arabic" w:hAnsi="Simplified Arabic" w:cs="Simplified Arabic"/>
          <w:sz w:val="28"/>
          <w:szCs w:val="28"/>
        </w:rPr>
        <w:t xml:space="preserve"> (Vial, 2019).</w:t>
      </w:r>
    </w:p>
    <w:p w14:paraId="2AA4495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من منظور نظري، تفتقر الأدبيات إلى نماذج نظرية متفق عليها ومختبرة تجريبياً تشرح كيف ومتى ولماذا يؤثر التحول الرقمي على الأداء</w:t>
      </w:r>
      <w:r w:rsidRPr="00BA7005">
        <w:rPr>
          <w:rFonts w:ascii="Simplified Arabic" w:hAnsi="Simplified Arabic" w:cs="Simplified Arabic"/>
          <w:sz w:val="28"/>
          <w:szCs w:val="28"/>
        </w:rPr>
        <w:t xml:space="preserve"> (Warner &amp; Wäger, 2019). </w:t>
      </w:r>
      <w:r w:rsidRPr="00BA7005">
        <w:rPr>
          <w:rFonts w:ascii="Simplified Arabic" w:hAnsi="Simplified Arabic" w:cs="Simplified Arabic"/>
          <w:sz w:val="28"/>
          <w:szCs w:val="28"/>
          <w:rtl/>
        </w:rPr>
        <w:t>من منظور عملي، تواجه الشركات تحديات في تصميم وتنفيذ استراتيجيات فعالة للتحول الرقمي</w:t>
      </w:r>
      <w:r w:rsidRPr="00BA7005">
        <w:rPr>
          <w:rFonts w:ascii="Simplified Arabic" w:hAnsi="Simplified Arabic" w:cs="Simplified Arabic"/>
          <w:sz w:val="28"/>
          <w:szCs w:val="28"/>
        </w:rPr>
        <w:t>.</w:t>
      </w:r>
    </w:p>
    <w:p w14:paraId="7B9E76E7"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في السياق العربي، تبرز المشكلة بحدة. البحوث الأكاديمية قليلة، والشركات العربية تواجه تحديات خاصة: محدودية البنية التحتية، الفجوة الرقمية، نقص الكوادر المؤهلة، وضعف ثقافة الابتكار</w:t>
      </w:r>
      <w:r w:rsidRPr="00BA7005">
        <w:rPr>
          <w:rFonts w:ascii="Simplified Arabic" w:hAnsi="Simplified Arabic" w:cs="Simplified Arabic"/>
          <w:sz w:val="28"/>
          <w:szCs w:val="28"/>
        </w:rPr>
        <w:t>.</w:t>
      </w:r>
    </w:p>
    <w:p w14:paraId="09447621"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السؤال الرئيسي</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b/>
          <w:bCs/>
          <w:sz w:val="28"/>
          <w:szCs w:val="28"/>
          <w:rtl/>
        </w:rPr>
        <w:t>ما مدى تأثير التحول الرقمي على أداء الشركات؟</w:t>
      </w:r>
    </w:p>
    <w:p w14:paraId="22748D5B"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الأسئلة الفرعية</w:t>
      </w:r>
      <w:r w:rsidRPr="00BA7005">
        <w:rPr>
          <w:rFonts w:ascii="Simplified Arabic" w:hAnsi="Simplified Arabic" w:cs="Simplified Arabic"/>
          <w:b/>
          <w:bCs/>
          <w:sz w:val="28"/>
          <w:szCs w:val="28"/>
        </w:rPr>
        <w:t>:</w:t>
      </w:r>
    </w:p>
    <w:p w14:paraId="6C5FACD4"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مفهوم التحول الرقمي وأبعاده الرئيسية؟</w:t>
      </w:r>
    </w:p>
    <w:p w14:paraId="2D7639E0"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أهم التقنيات الرقمية المستخدمة في التحول الرقمي؟</w:t>
      </w:r>
    </w:p>
    <w:p w14:paraId="2B971FC4"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العوامل المؤثرة في نجاح مبادرات التحول الرقمي؟</w:t>
      </w:r>
    </w:p>
    <w:p w14:paraId="5FAA706D"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كيف يمكن قياس الأداء في العصر الرقمي؟</w:t>
      </w:r>
    </w:p>
    <w:p w14:paraId="28A7F7B7"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طبيعة العلاقة بين التحول الرقمي والأداء المالي؟</w:t>
      </w:r>
    </w:p>
    <w:p w14:paraId="4ED6F375"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تأثير التحول الرقمي على الكفاءة التشغيلية؟</w:t>
      </w:r>
    </w:p>
    <w:p w14:paraId="2746B063"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كيف يؤثر التحول الرقمي على رضا العملاء وولائهم؟</w:t>
      </w:r>
    </w:p>
    <w:p w14:paraId="5DE99A7C"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دور التحول الرقمي في تعزيز القدرة الابتكارية؟</w:t>
      </w:r>
    </w:p>
    <w:p w14:paraId="65D85CB0" w14:textId="77777777" w:rsidR="00BA7005" w:rsidRPr="00BA7005"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التحديات التي تواجه التحول الرقمي؟</w:t>
      </w:r>
    </w:p>
    <w:p w14:paraId="25360C3B" w14:textId="4B5A618F" w:rsidR="00BA7005" w:rsidRPr="00AA32A7" w:rsidRDefault="00BA7005" w:rsidP="000126FF">
      <w:pPr>
        <w:widowControl w:val="0"/>
        <w:numPr>
          <w:ilvl w:val="0"/>
          <w:numId w:val="2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ما أفضل الممارسات لتنفيذ التحول الرقمي بنجاح؟</w:t>
      </w:r>
    </w:p>
    <w:p w14:paraId="257FECAE" w14:textId="77777777" w:rsidR="00BA7005" w:rsidRPr="00BA7005" w:rsidRDefault="00BA7005" w:rsidP="000126FF">
      <w:pPr>
        <w:pStyle w:val="Heading2"/>
      </w:pPr>
      <w:bookmarkStart w:id="4" w:name="_Toc214041790"/>
      <w:r w:rsidRPr="00BA7005">
        <w:lastRenderedPageBreak/>
        <w:t xml:space="preserve">1.3 </w:t>
      </w:r>
      <w:r w:rsidRPr="00BA7005">
        <w:rPr>
          <w:rtl/>
        </w:rPr>
        <w:t>أهداف البحث</w:t>
      </w:r>
      <w:bookmarkEnd w:id="4"/>
    </w:p>
    <w:p w14:paraId="37A7A05C"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الهدف الرئيسي</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دراسة وتحليل تأثير التحول الرقمي على أداء الشركات، من خلال تطوير واختبار نموذج شامل يوضح العلاقات بين أبعاد التحول الرقمي ومؤشرات الأداء التنظيمي</w:t>
      </w:r>
      <w:r w:rsidRPr="00BA7005">
        <w:rPr>
          <w:rFonts w:ascii="Simplified Arabic" w:hAnsi="Simplified Arabic" w:cs="Simplified Arabic"/>
          <w:sz w:val="28"/>
          <w:szCs w:val="28"/>
        </w:rPr>
        <w:t>.</w:t>
      </w:r>
    </w:p>
    <w:p w14:paraId="34BFB866"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الأهداف الفرعية</w:t>
      </w:r>
      <w:r w:rsidRPr="00BA7005">
        <w:rPr>
          <w:rFonts w:ascii="Simplified Arabic" w:hAnsi="Simplified Arabic" w:cs="Simplified Arabic"/>
          <w:b/>
          <w:bCs/>
          <w:sz w:val="28"/>
          <w:szCs w:val="28"/>
        </w:rPr>
        <w:t>:</w:t>
      </w:r>
    </w:p>
    <w:p w14:paraId="3A11E5C4"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استكشاف وتحليل مفهوم التحول الرقمي وتطوره وأبعاده</w:t>
      </w:r>
    </w:p>
    <w:p w14:paraId="5BA85955"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تحديد الأبعاد الرئيسية للتحول الرقمي وكيفية تفاعلها</w:t>
      </w:r>
    </w:p>
    <w:p w14:paraId="6477F681"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دراسة مفهوم الأداء التنظيمي وأبعاده ومؤشرات قياسه</w:t>
      </w:r>
    </w:p>
    <w:p w14:paraId="6938B0E4"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استكشاف العلاقة بين التحول الرقمي والأداء المالي</w:t>
      </w:r>
    </w:p>
    <w:p w14:paraId="3EE70899"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تحليل تأثير التحول الرقمي على الكفاءة التشغيلية</w:t>
      </w:r>
    </w:p>
    <w:p w14:paraId="4041B364"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دراسة تأثير التحول الرقمي على رضا العملاء</w:t>
      </w:r>
    </w:p>
    <w:p w14:paraId="338BED0E"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تحليل دور التحول الرقمي في تعزيز الابتكار</w:t>
      </w:r>
    </w:p>
    <w:p w14:paraId="1A11F0E1"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تحديد العوامل الوسيطة والمعدلة المؤثرة في العلاقة</w:t>
      </w:r>
    </w:p>
    <w:p w14:paraId="3D52A375" w14:textId="77777777" w:rsidR="00BA7005" w:rsidRPr="00BA7005"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تحديد التحديات والعوائق الرئيسية</w:t>
      </w:r>
    </w:p>
    <w:p w14:paraId="3B928608" w14:textId="53CAB935" w:rsidR="00BA7005" w:rsidRPr="00AA32A7" w:rsidRDefault="00BA7005" w:rsidP="000126FF">
      <w:pPr>
        <w:widowControl w:val="0"/>
        <w:numPr>
          <w:ilvl w:val="0"/>
          <w:numId w:val="3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تقديم توصيات عملية للمديرين وصناع القرار</w:t>
      </w:r>
    </w:p>
    <w:p w14:paraId="7F2CB1FA" w14:textId="77777777" w:rsidR="00BA7005" w:rsidRPr="00BA7005" w:rsidRDefault="00BA7005" w:rsidP="000126FF">
      <w:pPr>
        <w:pStyle w:val="Heading2"/>
      </w:pPr>
      <w:bookmarkStart w:id="5" w:name="_Toc214041791"/>
      <w:r w:rsidRPr="00BA7005">
        <w:t xml:space="preserve">1.4 </w:t>
      </w:r>
      <w:r w:rsidRPr="00BA7005">
        <w:rPr>
          <w:rtl/>
        </w:rPr>
        <w:t>أهمية البحث</w:t>
      </w:r>
      <w:bookmarkEnd w:id="5"/>
    </w:p>
    <w:p w14:paraId="70B4B230"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الأهمية العلمية</w:t>
      </w:r>
    </w:p>
    <w:p w14:paraId="5F24CAB4"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أولاً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سد فجوة مهمة في الأدبيات الأكاديمية حول التحول الرقمي والأداء، خاصة في السياق العربي</w:t>
      </w:r>
      <w:r w:rsidRPr="00BA7005">
        <w:rPr>
          <w:rFonts w:ascii="Simplified Arabic" w:hAnsi="Simplified Arabic" w:cs="Simplified Arabic"/>
          <w:sz w:val="28"/>
          <w:szCs w:val="28"/>
        </w:rPr>
        <w:t xml:space="preserve"> (Vial, 2019).</w:t>
      </w:r>
    </w:p>
    <w:p w14:paraId="2181518E"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ثانياً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تطوير نموذج نظري متكامل يربط أبعاد التحول الرقمي بمؤشرات الأداء، استناداً لنظرية القدرات الديناميكية</w:t>
      </w:r>
      <w:r w:rsidRPr="00BA7005">
        <w:rPr>
          <w:rFonts w:ascii="Simplified Arabic" w:hAnsi="Simplified Arabic" w:cs="Simplified Arabic"/>
          <w:sz w:val="28"/>
          <w:szCs w:val="28"/>
        </w:rPr>
        <w:t xml:space="preserve"> (Teece, 2007).</w:t>
      </w:r>
    </w:p>
    <w:p w14:paraId="7922793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ثالثاً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استخدام منهجية علمية دقيقة ومتقدمة</w:t>
      </w:r>
      <w:r w:rsidRPr="00BA7005">
        <w:rPr>
          <w:rFonts w:ascii="Simplified Arabic" w:hAnsi="Simplified Arabic" w:cs="Simplified Arabic"/>
          <w:sz w:val="28"/>
          <w:szCs w:val="28"/>
        </w:rPr>
        <w:t xml:space="preserve"> (SEM, CFA) </w:t>
      </w:r>
      <w:r w:rsidRPr="00BA7005">
        <w:rPr>
          <w:rFonts w:ascii="Simplified Arabic" w:hAnsi="Simplified Arabic" w:cs="Simplified Arabic"/>
          <w:sz w:val="28"/>
          <w:szCs w:val="28"/>
          <w:rtl/>
        </w:rPr>
        <w:t>تضمن نتائج موثوقة وقابلة للتعميم</w:t>
      </w:r>
      <w:r w:rsidRPr="00BA7005">
        <w:rPr>
          <w:rFonts w:ascii="Simplified Arabic" w:hAnsi="Simplified Arabic" w:cs="Simplified Arabic"/>
          <w:sz w:val="28"/>
          <w:szCs w:val="28"/>
        </w:rPr>
        <w:t xml:space="preserve"> (Hair et al., 2017).</w:t>
      </w:r>
    </w:p>
    <w:p w14:paraId="3A9141DF"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رابعاً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إثراء النقاش الأكاديمي حول مفهوم التحول الرقمي وتقديم إطار مفاهيمي واضح</w:t>
      </w:r>
      <w:r w:rsidRPr="00BA7005">
        <w:rPr>
          <w:rFonts w:ascii="Simplified Arabic" w:hAnsi="Simplified Arabic" w:cs="Simplified Arabic"/>
          <w:sz w:val="28"/>
          <w:szCs w:val="28"/>
        </w:rPr>
        <w:t xml:space="preserve"> (Verhoef et al., 2021).</w:t>
      </w:r>
    </w:p>
    <w:p w14:paraId="7198CA7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خامساً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تقديم أجندة بحثية للدراسات المستقبلية وتحديد الفجوات البحثية</w:t>
      </w:r>
      <w:r w:rsidRPr="00BA7005">
        <w:rPr>
          <w:rFonts w:ascii="Simplified Arabic" w:hAnsi="Simplified Arabic" w:cs="Simplified Arabic"/>
          <w:sz w:val="28"/>
          <w:szCs w:val="28"/>
        </w:rPr>
        <w:t>.</w:t>
      </w:r>
    </w:p>
    <w:p w14:paraId="0D9C623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الأهمية التطبيقية</w:t>
      </w:r>
    </w:p>
    <w:p w14:paraId="4370C54D"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أولاً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تقديم أدلة تجريبية لدعم قرارات الاستثمار في التحول الرقمي وتخصيص الموارد</w:t>
      </w:r>
      <w:r w:rsidRPr="00BA7005">
        <w:rPr>
          <w:rFonts w:ascii="Simplified Arabic" w:hAnsi="Simplified Arabic" w:cs="Simplified Arabic"/>
          <w:sz w:val="28"/>
          <w:szCs w:val="28"/>
        </w:rPr>
        <w:t xml:space="preserve"> (Bharadwaj et al., 2013).</w:t>
      </w:r>
    </w:p>
    <w:p w14:paraId="584DF556"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lastRenderedPageBreak/>
        <w:t>ثانياً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تحديد الأبعاد ذات التأثير الأكبر، مما يمكّن المديرين من تحديد الأولويات وتجنب إهدار الموارد</w:t>
      </w:r>
      <w:r w:rsidRPr="00BA7005">
        <w:rPr>
          <w:rFonts w:ascii="Simplified Arabic" w:hAnsi="Simplified Arabic" w:cs="Simplified Arabic"/>
          <w:sz w:val="28"/>
          <w:szCs w:val="28"/>
        </w:rPr>
        <w:t xml:space="preserve"> (Westerman et al., 2014).</w:t>
      </w:r>
    </w:p>
    <w:p w14:paraId="41C9C054"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ثالثاً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تقديم توصيات عملية حول تصميم وتنفيذ استراتيجيات فعالة للتحول الرقمي</w:t>
      </w:r>
      <w:r w:rsidRPr="00BA7005">
        <w:rPr>
          <w:rFonts w:ascii="Simplified Arabic" w:hAnsi="Simplified Arabic" w:cs="Simplified Arabic"/>
          <w:sz w:val="28"/>
          <w:szCs w:val="28"/>
        </w:rPr>
        <w:t>.</w:t>
      </w:r>
    </w:p>
    <w:p w14:paraId="73E4396B"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رابعاً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مساعدة الشركات على فهم التحديات المحتملة وتطوير خطط للتعامل معها</w:t>
      </w:r>
      <w:r w:rsidRPr="00BA7005">
        <w:rPr>
          <w:rFonts w:ascii="Simplified Arabic" w:hAnsi="Simplified Arabic" w:cs="Simplified Arabic"/>
          <w:sz w:val="28"/>
          <w:szCs w:val="28"/>
        </w:rPr>
        <w:t>.</w:t>
      </w:r>
    </w:p>
    <w:p w14:paraId="157BB516"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خامساً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تقديم إطار لقياس وتقييم نجاح مبادرات التحول الرقمي</w:t>
      </w:r>
      <w:r w:rsidRPr="00BA7005">
        <w:rPr>
          <w:rFonts w:ascii="Simplified Arabic" w:hAnsi="Simplified Arabic" w:cs="Simplified Arabic"/>
          <w:sz w:val="28"/>
          <w:szCs w:val="28"/>
        </w:rPr>
        <w:t xml:space="preserve"> (Kaplan &amp; Norton, 1996).</w:t>
      </w:r>
    </w:p>
    <w:p w14:paraId="45DEC02B"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سادساً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تقديم قيمة خاصة للشركات العربية بمراعاة خصائص السياق المحلي</w:t>
      </w:r>
      <w:r w:rsidRPr="00BA7005">
        <w:rPr>
          <w:rFonts w:ascii="Simplified Arabic" w:hAnsi="Simplified Arabic" w:cs="Simplified Arabic"/>
          <w:sz w:val="28"/>
          <w:szCs w:val="28"/>
        </w:rPr>
        <w:t>.</w:t>
      </w:r>
    </w:p>
    <w:p w14:paraId="5E409B87" w14:textId="763303E8"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سابعاً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توجيه السياسات الوطنية والحكومية للتحول الرقمي</w:t>
      </w:r>
      <w:r w:rsidRPr="00BA7005">
        <w:rPr>
          <w:rFonts w:ascii="Simplified Arabic" w:hAnsi="Simplified Arabic" w:cs="Simplified Arabic"/>
          <w:sz w:val="28"/>
          <w:szCs w:val="28"/>
        </w:rPr>
        <w:t>.</w:t>
      </w:r>
    </w:p>
    <w:p w14:paraId="6F9B7D21" w14:textId="77777777" w:rsidR="00BA7005" w:rsidRPr="00BA7005" w:rsidRDefault="00BA7005" w:rsidP="000126FF">
      <w:pPr>
        <w:pStyle w:val="Heading2"/>
      </w:pPr>
      <w:bookmarkStart w:id="6" w:name="_Toc214041792"/>
      <w:r w:rsidRPr="00BA7005">
        <w:t xml:space="preserve">1.5 </w:t>
      </w:r>
      <w:r w:rsidRPr="00BA7005">
        <w:rPr>
          <w:rtl/>
        </w:rPr>
        <w:t>فرضيات البحث</w:t>
      </w:r>
      <w:bookmarkEnd w:id="6"/>
    </w:p>
    <w:p w14:paraId="3B1C5B31"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تستند الفرضيات إلى نظرية القدرات الديناميكية</w:t>
      </w:r>
      <w:r w:rsidRPr="00BA7005">
        <w:rPr>
          <w:rFonts w:ascii="Simplified Arabic" w:hAnsi="Simplified Arabic" w:cs="Simplified Arabic"/>
          <w:sz w:val="28"/>
          <w:szCs w:val="28"/>
        </w:rPr>
        <w:t xml:space="preserve"> (Teece, 2007) </w:t>
      </w:r>
      <w:r w:rsidRPr="00BA7005">
        <w:rPr>
          <w:rFonts w:ascii="Simplified Arabic" w:hAnsi="Simplified Arabic" w:cs="Simplified Arabic"/>
          <w:sz w:val="28"/>
          <w:szCs w:val="28"/>
          <w:rtl/>
        </w:rPr>
        <w:t>ونظرية الموارد والقدرات</w:t>
      </w:r>
      <w:r w:rsidRPr="00BA7005">
        <w:rPr>
          <w:rFonts w:ascii="Simplified Arabic" w:hAnsi="Simplified Arabic" w:cs="Simplified Arabic"/>
          <w:sz w:val="28"/>
          <w:szCs w:val="28"/>
        </w:rPr>
        <w:t xml:space="preserve"> (Barney, 1991)</w:t>
      </w:r>
      <w:r w:rsidRPr="00BA7005">
        <w:rPr>
          <w:rFonts w:ascii="Simplified Arabic" w:hAnsi="Simplified Arabic" w:cs="Simplified Arabic"/>
          <w:sz w:val="28"/>
          <w:szCs w:val="28"/>
          <w:rtl/>
        </w:rPr>
        <w:t>، والأدبيات المتخصصة</w:t>
      </w:r>
      <w:r w:rsidRPr="00BA7005">
        <w:rPr>
          <w:rFonts w:ascii="Simplified Arabic" w:hAnsi="Simplified Arabic" w:cs="Simplified Arabic"/>
          <w:sz w:val="28"/>
          <w:szCs w:val="28"/>
        </w:rPr>
        <w:t xml:space="preserve"> (Vial, 2019; Westerman et al., 2014).</w:t>
      </w:r>
    </w:p>
    <w:p w14:paraId="49E3388C"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الفرضيات الرئيسية</w:t>
      </w:r>
    </w:p>
    <w:p w14:paraId="2CFD3338" w14:textId="3FB9E3CB"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H1</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يوجد تأثير إيجابي ذو دلالة إحصائية للتحول الرقمي على الأداء التنظيمي</w:t>
      </w:r>
      <w:r w:rsidRPr="00BA7005">
        <w:rPr>
          <w:rFonts w:ascii="Simplified Arabic" w:hAnsi="Simplified Arabic" w:cs="Simplified Arabic"/>
          <w:sz w:val="28"/>
          <w:szCs w:val="28"/>
        </w:rPr>
        <w:t>.</w:t>
      </w:r>
    </w:p>
    <w:p w14:paraId="08A2B574"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الفرضيات الفرعية</w:t>
      </w:r>
      <w:r w:rsidRPr="00BA7005">
        <w:rPr>
          <w:rFonts w:ascii="Simplified Arabic" w:hAnsi="Simplified Arabic" w:cs="Simplified Arabic"/>
          <w:b/>
          <w:bCs/>
          <w:sz w:val="28"/>
          <w:szCs w:val="28"/>
        </w:rPr>
        <w:t>:</w:t>
      </w:r>
    </w:p>
    <w:p w14:paraId="6517C8E7" w14:textId="5BA1D661" w:rsidR="00BA7005" w:rsidRPr="00BA7005" w:rsidRDefault="00BA7005" w:rsidP="000126FF">
      <w:pPr>
        <w:widowControl w:val="0"/>
        <w:numPr>
          <w:ilvl w:val="0"/>
          <w:numId w:val="31"/>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H1a</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تأثير إيجابي للبنية التحتية الرقمية على الأداء</w:t>
      </w:r>
    </w:p>
    <w:p w14:paraId="5C8334BC" w14:textId="2D8D1DB2" w:rsidR="00BA7005" w:rsidRPr="00BA7005" w:rsidRDefault="00BA7005" w:rsidP="000126FF">
      <w:pPr>
        <w:widowControl w:val="0"/>
        <w:numPr>
          <w:ilvl w:val="0"/>
          <w:numId w:val="31"/>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H1b</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تأثير إيجابي لتبني التقنيات الرقمية الحديثة على الأداء</w:t>
      </w:r>
    </w:p>
    <w:p w14:paraId="308B02F0" w14:textId="03EF6B78" w:rsidR="00BA7005" w:rsidRPr="00BA7005" w:rsidRDefault="00BA7005" w:rsidP="000126FF">
      <w:pPr>
        <w:widowControl w:val="0"/>
        <w:numPr>
          <w:ilvl w:val="0"/>
          <w:numId w:val="31"/>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H1c</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تأثير إيجابي للثقافة التنظيمية الرقمية على الأداء</w:t>
      </w:r>
    </w:p>
    <w:p w14:paraId="5FFC8794" w14:textId="48A96860" w:rsidR="00BA7005" w:rsidRPr="00BA7005" w:rsidRDefault="00BA7005" w:rsidP="000126FF">
      <w:pPr>
        <w:widowControl w:val="0"/>
        <w:numPr>
          <w:ilvl w:val="0"/>
          <w:numId w:val="31"/>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H1d</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تأثير إيجابي للقدرات الرقمية للموظفين على الأداء</w:t>
      </w:r>
    </w:p>
    <w:p w14:paraId="75EA2329" w14:textId="3A1A6871" w:rsidR="00BA7005" w:rsidRPr="00BA7005" w:rsidRDefault="00BA7005" w:rsidP="000126FF">
      <w:pPr>
        <w:widowControl w:val="0"/>
        <w:numPr>
          <w:ilvl w:val="0"/>
          <w:numId w:val="31"/>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H1e</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تأثير إيجابي للاستراتيجية الرقمية على الأداء</w:t>
      </w:r>
    </w:p>
    <w:p w14:paraId="3253D967" w14:textId="7B969B3D"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H2</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يوجد تأثير إيجابي ذو دلالة إحصائية للتحول الرقمي على الأداء المالي</w:t>
      </w:r>
      <w:r w:rsidRPr="00BA7005">
        <w:rPr>
          <w:rFonts w:ascii="Simplified Arabic" w:hAnsi="Simplified Arabic" w:cs="Simplified Arabic"/>
          <w:sz w:val="28"/>
          <w:szCs w:val="28"/>
        </w:rPr>
        <w:t>.</w:t>
      </w:r>
    </w:p>
    <w:p w14:paraId="55C8017C" w14:textId="6C6E516C"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H3</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يوجد تأثير إيجابي ذو دلالة إحصائية للتحول الرقمي على الكفاءة التشغيلية</w:t>
      </w:r>
      <w:r w:rsidRPr="00BA7005">
        <w:rPr>
          <w:rFonts w:ascii="Simplified Arabic" w:hAnsi="Simplified Arabic" w:cs="Simplified Arabic"/>
          <w:sz w:val="28"/>
          <w:szCs w:val="28"/>
        </w:rPr>
        <w:t>.</w:t>
      </w:r>
    </w:p>
    <w:p w14:paraId="74EDCD4E" w14:textId="50970441"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H4</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يوجد تأثير إيجابي ذو دلالة إحصائية للتحول الرقمي على رضا العملاء وولائهم</w:t>
      </w:r>
      <w:r w:rsidRPr="00BA7005">
        <w:rPr>
          <w:rFonts w:ascii="Simplified Arabic" w:hAnsi="Simplified Arabic" w:cs="Simplified Arabic"/>
          <w:sz w:val="28"/>
          <w:szCs w:val="28"/>
        </w:rPr>
        <w:t>.</w:t>
      </w:r>
    </w:p>
    <w:p w14:paraId="61EA32AE" w14:textId="3F35B565"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H5</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يوجد تأثير إيجابي ذو دلالة إحصائية للتحول الرقمي على القدرة الابتكارية</w:t>
      </w:r>
      <w:r w:rsidRPr="00BA7005">
        <w:rPr>
          <w:rFonts w:ascii="Simplified Arabic" w:hAnsi="Simplified Arabic" w:cs="Simplified Arabic"/>
          <w:sz w:val="28"/>
          <w:szCs w:val="28"/>
        </w:rPr>
        <w:t>.</w:t>
      </w:r>
    </w:p>
    <w:p w14:paraId="54E162C2" w14:textId="7DB533A5"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Pr>
        <w:t>H6</w:t>
      </w:r>
      <w:r w:rsidR="00C33BD3">
        <w:rPr>
          <w:rFonts w:ascii="Simplified Arabic" w:hAnsi="Simplified Arabic" w:cs="Simplified Arabic" w:hint="cs"/>
          <w:b/>
          <w:bCs/>
          <w:sz w:val="28"/>
          <w:szCs w:val="28"/>
          <w:rtl/>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توجد فروق ذات دلالة إحصائية في تأثير التحول الرقمي على الأداء تعزى للمتغيرات الديموغرافية والتنظيمية</w:t>
      </w:r>
      <w:r w:rsidRPr="00BA7005">
        <w:rPr>
          <w:rFonts w:ascii="Simplified Arabic" w:hAnsi="Simplified Arabic" w:cs="Simplified Arabic"/>
          <w:sz w:val="28"/>
          <w:szCs w:val="28"/>
        </w:rPr>
        <w:t>.</w:t>
      </w:r>
    </w:p>
    <w:p w14:paraId="65967DEC" w14:textId="77777777" w:rsidR="00BA7005" w:rsidRPr="00BA7005" w:rsidRDefault="00BA7005" w:rsidP="000126FF">
      <w:pPr>
        <w:pStyle w:val="Heading2"/>
      </w:pPr>
      <w:bookmarkStart w:id="7" w:name="_Toc214041793"/>
      <w:r w:rsidRPr="00BA7005">
        <w:t xml:space="preserve">1.6 </w:t>
      </w:r>
      <w:r w:rsidRPr="00BA7005">
        <w:rPr>
          <w:rtl/>
        </w:rPr>
        <w:t>النموذج المفاهيمي للدراسة</w:t>
      </w:r>
      <w:bookmarkEnd w:id="7"/>
    </w:p>
    <w:p w14:paraId="5969B195"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يستند النموذج إلى نظرية القدرات الديناميكية</w:t>
      </w:r>
      <w:r w:rsidRPr="00BA7005">
        <w:rPr>
          <w:rFonts w:ascii="Simplified Arabic" w:hAnsi="Simplified Arabic" w:cs="Simplified Arabic"/>
          <w:sz w:val="28"/>
          <w:szCs w:val="28"/>
        </w:rPr>
        <w:t xml:space="preserve"> (Teece, 2007) </w:t>
      </w:r>
      <w:r w:rsidRPr="00BA7005">
        <w:rPr>
          <w:rFonts w:ascii="Simplified Arabic" w:hAnsi="Simplified Arabic" w:cs="Simplified Arabic"/>
          <w:sz w:val="28"/>
          <w:szCs w:val="28"/>
          <w:rtl/>
        </w:rPr>
        <w:t>وإطار فيال للتحول الرقمي</w:t>
      </w:r>
      <w:r w:rsidRPr="00BA7005">
        <w:rPr>
          <w:rFonts w:ascii="Simplified Arabic" w:hAnsi="Simplified Arabic" w:cs="Simplified Arabic"/>
          <w:sz w:val="28"/>
          <w:szCs w:val="28"/>
        </w:rPr>
        <w:t xml:space="preserve"> (Vial, 2019).</w:t>
      </w:r>
    </w:p>
    <w:p w14:paraId="46CE7BB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مكونات النموذج</w:t>
      </w:r>
    </w:p>
    <w:p w14:paraId="7A6D0C7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أولاً: المتغيرات المستقلة (أبعاد التحول الرقمي)</w:t>
      </w:r>
    </w:p>
    <w:p w14:paraId="44845480" w14:textId="77777777" w:rsidR="00BA7005" w:rsidRPr="00BA7005" w:rsidRDefault="00BA7005" w:rsidP="000126FF">
      <w:pPr>
        <w:widowControl w:val="0"/>
        <w:numPr>
          <w:ilvl w:val="0"/>
          <w:numId w:val="32"/>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lastRenderedPageBreak/>
        <w:t>البنية التحتية الرقمية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الأنظمة والشبكات والمنصات التكنولوجية</w:t>
      </w:r>
    </w:p>
    <w:p w14:paraId="23AA848C" w14:textId="77777777" w:rsidR="00BA7005" w:rsidRPr="00BA7005" w:rsidRDefault="00BA7005" w:rsidP="000126FF">
      <w:pPr>
        <w:widowControl w:val="0"/>
        <w:numPr>
          <w:ilvl w:val="0"/>
          <w:numId w:val="32"/>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التقنيات الرقمية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AI/ML</w:t>
      </w:r>
      <w:r w:rsidRPr="00BA7005">
        <w:rPr>
          <w:rFonts w:ascii="Simplified Arabic" w:hAnsi="Simplified Arabic" w:cs="Simplified Arabic"/>
          <w:sz w:val="28"/>
          <w:szCs w:val="28"/>
          <w:rtl/>
        </w:rPr>
        <w:t xml:space="preserve">، السحابة، </w:t>
      </w:r>
      <w:r w:rsidRPr="00BA7005">
        <w:rPr>
          <w:rFonts w:ascii="Simplified Arabic" w:hAnsi="Simplified Arabic" w:cs="Simplified Arabic"/>
          <w:sz w:val="28"/>
          <w:szCs w:val="28"/>
        </w:rPr>
        <w:t>IoT</w:t>
      </w:r>
      <w:r w:rsidRPr="00BA7005">
        <w:rPr>
          <w:rFonts w:ascii="Simplified Arabic" w:hAnsi="Simplified Arabic" w:cs="Simplified Arabic"/>
          <w:sz w:val="28"/>
          <w:szCs w:val="28"/>
          <w:rtl/>
        </w:rPr>
        <w:t xml:space="preserve">، البيانات الضخمة، البلوكتشين، </w:t>
      </w:r>
      <w:r w:rsidRPr="00BA7005">
        <w:rPr>
          <w:rFonts w:ascii="Simplified Arabic" w:hAnsi="Simplified Arabic" w:cs="Simplified Arabic"/>
          <w:sz w:val="28"/>
          <w:szCs w:val="28"/>
        </w:rPr>
        <w:t>AR/VR</w:t>
      </w:r>
    </w:p>
    <w:p w14:paraId="5FABC4BA" w14:textId="77777777" w:rsidR="00BA7005" w:rsidRPr="00BA7005" w:rsidRDefault="00BA7005" w:rsidP="000126FF">
      <w:pPr>
        <w:widowControl w:val="0"/>
        <w:numPr>
          <w:ilvl w:val="0"/>
          <w:numId w:val="32"/>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الثقافة التنظيمية الرقمية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القيم والمعتقدات الداعمة للتحول الرقمي</w:t>
      </w:r>
    </w:p>
    <w:p w14:paraId="5BA6F38D" w14:textId="77777777" w:rsidR="00BA7005" w:rsidRPr="00BA7005" w:rsidRDefault="00BA7005" w:rsidP="000126FF">
      <w:pPr>
        <w:widowControl w:val="0"/>
        <w:numPr>
          <w:ilvl w:val="0"/>
          <w:numId w:val="32"/>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القدرات الرقمية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المهارات والمعارف الرقمية للموظفين</w:t>
      </w:r>
    </w:p>
    <w:p w14:paraId="2EDA5C37" w14:textId="77777777" w:rsidR="00BA7005" w:rsidRPr="00BA7005" w:rsidRDefault="00BA7005" w:rsidP="000126FF">
      <w:pPr>
        <w:widowControl w:val="0"/>
        <w:numPr>
          <w:ilvl w:val="0"/>
          <w:numId w:val="32"/>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الاستراتيجية الرقمية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الرؤية والخطة الموجهة للتحول الرقمي</w:t>
      </w:r>
    </w:p>
    <w:p w14:paraId="0A10645A"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ثانياً: المتغيرات التابعة (أبعاد الأداء التنظيمي)</w:t>
      </w:r>
    </w:p>
    <w:p w14:paraId="31E69747" w14:textId="77777777" w:rsidR="00BA7005" w:rsidRPr="00BA7005" w:rsidRDefault="00BA7005" w:rsidP="000126FF">
      <w:pPr>
        <w:widowControl w:val="0"/>
        <w:numPr>
          <w:ilvl w:val="0"/>
          <w:numId w:val="33"/>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الأداء المالي</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الربحية، النمو، العائد على الاستثمار</w:t>
      </w:r>
    </w:p>
    <w:p w14:paraId="76465CAD" w14:textId="77777777" w:rsidR="00BA7005" w:rsidRPr="00BA7005" w:rsidRDefault="00BA7005" w:rsidP="000126FF">
      <w:pPr>
        <w:widowControl w:val="0"/>
        <w:numPr>
          <w:ilvl w:val="0"/>
          <w:numId w:val="33"/>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الكفاءة التشغيلية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الإنتاجية، الجودة، السرعة، المرونة</w:t>
      </w:r>
    </w:p>
    <w:p w14:paraId="045E498B" w14:textId="77777777" w:rsidR="00BA7005" w:rsidRPr="00BA7005" w:rsidRDefault="00BA7005" w:rsidP="000126FF">
      <w:pPr>
        <w:widowControl w:val="0"/>
        <w:numPr>
          <w:ilvl w:val="0"/>
          <w:numId w:val="33"/>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رضا العملاء</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مستوى الرضا، الولاء، تجربة العملاء</w:t>
      </w:r>
    </w:p>
    <w:p w14:paraId="3038142B" w14:textId="77777777" w:rsidR="00BA7005" w:rsidRPr="00BA7005" w:rsidRDefault="00BA7005" w:rsidP="000126FF">
      <w:pPr>
        <w:widowControl w:val="0"/>
        <w:numPr>
          <w:ilvl w:val="0"/>
          <w:numId w:val="33"/>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القدرة الابتكارية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الابتكارات الجديدة، سرعة الابتكار، نجاحه</w:t>
      </w:r>
    </w:p>
    <w:p w14:paraId="726A71B6"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ثالثاً: المتغيرات الوسيطة</w:t>
      </w:r>
    </w:p>
    <w:p w14:paraId="789946E1" w14:textId="77777777" w:rsidR="00BA7005" w:rsidRPr="00BA7005" w:rsidRDefault="00BA7005" w:rsidP="000126FF">
      <w:pPr>
        <w:widowControl w:val="0"/>
        <w:numPr>
          <w:ilvl w:val="0"/>
          <w:numId w:val="34"/>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المرونة التنظيمية</w:t>
      </w:r>
    </w:p>
    <w:p w14:paraId="2B411801" w14:textId="77777777" w:rsidR="00BA7005" w:rsidRPr="00BA7005" w:rsidRDefault="00BA7005" w:rsidP="000126FF">
      <w:pPr>
        <w:widowControl w:val="0"/>
        <w:numPr>
          <w:ilvl w:val="0"/>
          <w:numId w:val="34"/>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جودة القرارات الإدارية</w:t>
      </w:r>
    </w:p>
    <w:p w14:paraId="7B42B859" w14:textId="77777777" w:rsidR="00BA7005" w:rsidRPr="00BA7005" w:rsidRDefault="00BA7005" w:rsidP="000126FF">
      <w:pPr>
        <w:widowControl w:val="0"/>
        <w:numPr>
          <w:ilvl w:val="0"/>
          <w:numId w:val="34"/>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التعاون والتكامل</w:t>
      </w:r>
    </w:p>
    <w:p w14:paraId="49A7344E" w14:textId="77777777" w:rsidR="00BA7005" w:rsidRPr="00BA7005" w:rsidRDefault="00BA7005" w:rsidP="000126FF">
      <w:pPr>
        <w:widowControl w:val="0"/>
        <w:numPr>
          <w:ilvl w:val="0"/>
          <w:numId w:val="34"/>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التعلم التنظيمي</w:t>
      </w:r>
    </w:p>
    <w:p w14:paraId="2E8E657C"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رابعاً: المتغيرات المعدلة</w:t>
      </w:r>
    </w:p>
    <w:p w14:paraId="27D81506" w14:textId="77777777" w:rsidR="00BA7005" w:rsidRPr="00BA7005" w:rsidRDefault="00BA7005" w:rsidP="000126FF">
      <w:pPr>
        <w:widowControl w:val="0"/>
        <w:numPr>
          <w:ilvl w:val="0"/>
          <w:numId w:val="35"/>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حجم الشركة</w:t>
      </w:r>
    </w:p>
    <w:p w14:paraId="27AB4BE4" w14:textId="77777777" w:rsidR="00BA7005" w:rsidRPr="00BA7005" w:rsidRDefault="00BA7005" w:rsidP="000126FF">
      <w:pPr>
        <w:widowControl w:val="0"/>
        <w:numPr>
          <w:ilvl w:val="0"/>
          <w:numId w:val="35"/>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نوع القطاع</w:t>
      </w:r>
    </w:p>
    <w:p w14:paraId="718B32F5" w14:textId="77777777" w:rsidR="00BA7005" w:rsidRPr="00BA7005" w:rsidRDefault="00BA7005" w:rsidP="000126FF">
      <w:pPr>
        <w:widowControl w:val="0"/>
        <w:numPr>
          <w:ilvl w:val="0"/>
          <w:numId w:val="35"/>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العمر التنظيمي</w:t>
      </w:r>
    </w:p>
    <w:p w14:paraId="042EC5A3" w14:textId="77777777" w:rsidR="00BA7005" w:rsidRPr="00BA7005" w:rsidRDefault="00BA7005" w:rsidP="000126FF">
      <w:pPr>
        <w:widowControl w:val="0"/>
        <w:numPr>
          <w:ilvl w:val="0"/>
          <w:numId w:val="35"/>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البيئة التنافسية</w:t>
      </w:r>
    </w:p>
    <w:p w14:paraId="1160AF99" w14:textId="77777777" w:rsidR="00BA7005" w:rsidRPr="00BA7005" w:rsidRDefault="00BA7005" w:rsidP="000126FF">
      <w:pPr>
        <w:widowControl w:val="0"/>
        <w:numPr>
          <w:ilvl w:val="0"/>
          <w:numId w:val="35"/>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مستوى النضج الرقمي</w:t>
      </w:r>
    </w:p>
    <w:p w14:paraId="453D289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المنطق الأساسي</w:t>
      </w:r>
    </w:p>
    <w:p w14:paraId="564B28E8"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يفترض النموذج أن التحول الرقمي يبني القدرات الديناميكية عبر ثلاث مراحل</w:t>
      </w:r>
      <w:r w:rsidRPr="00BA7005">
        <w:rPr>
          <w:rFonts w:ascii="Simplified Arabic" w:hAnsi="Simplified Arabic" w:cs="Simplified Arabic"/>
          <w:sz w:val="28"/>
          <w:szCs w:val="28"/>
        </w:rPr>
        <w:t>:</w:t>
      </w:r>
    </w:p>
    <w:p w14:paraId="1C6D3662" w14:textId="77777777" w:rsidR="00BA7005" w:rsidRPr="00BA7005" w:rsidRDefault="00BA7005" w:rsidP="000126FF">
      <w:pPr>
        <w:widowControl w:val="0"/>
        <w:numPr>
          <w:ilvl w:val="0"/>
          <w:numId w:val="36"/>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الاستشعار</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استخدام البيانات والذكاء الاصطناعي لرصد الفرص</w:t>
      </w:r>
    </w:p>
    <w:p w14:paraId="24CC08DF" w14:textId="77777777" w:rsidR="00BA7005" w:rsidRPr="00BA7005" w:rsidRDefault="00BA7005" w:rsidP="000126FF">
      <w:pPr>
        <w:widowControl w:val="0"/>
        <w:numPr>
          <w:ilvl w:val="0"/>
          <w:numId w:val="36"/>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الاستجابة</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تطوير منتجات جديدة وتخصيص العروض بسرعة</w:t>
      </w:r>
    </w:p>
    <w:p w14:paraId="427D207D" w14:textId="77777777" w:rsidR="00BA7005" w:rsidRPr="00BA7005" w:rsidRDefault="00BA7005" w:rsidP="000126FF">
      <w:pPr>
        <w:widowControl w:val="0"/>
        <w:numPr>
          <w:ilvl w:val="0"/>
          <w:numId w:val="36"/>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إعادة التشكيل</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إعادة تصميم العمليات والهياكل والقدرات</w:t>
      </w:r>
    </w:p>
    <w:p w14:paraId="197D7615" w14:textId="46D805AF"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هذه القدرات تؤدي لتحسين الأداء عبر: زيادة الإيرادات، خفض التكاليف، تحسين الكفاءة، تعزيز رضا العملاء، وتسريع الابتكار</w:t>
      </w:r>
      <w:r w:rsidRPr="00BA7005">
        <w:rPr>
          <w:rFonts w:ascii="Simplified Arabic" w:hAnsi="Simplified Arabic" w:cs="Simplified Arabic"/>
          <w:sz w:val="28"/>
          <w:szCs w:val="28"/>
        </w:rPr>
        <w:t>.</w:t>
      </w:r>
    </w:p>
    <w:p w14:paraId="7D27BA66" w14:textId="77777777" w:rsidR="00BA7005" w:rsidRPr="00BA7005" w:rsidRDefault="00BA7005" w:rsidP="000126FF">
      <w:pPr>
        <w:pStyle w:val="Heading2"/>
      </w:pPr>
      <w:bookmarkStart w:id="8" w:name="_Toc214041794"/>
      <w:r w:rsidRPr="00BA7005">
        <w:lastRenderedPageBreak/>
        <w:t xml:space="preserve">1.7 </w:t>
      </w:r>
      <w:r w:rsidRPr="00BA7005">
        <w:rPr>
          <w:rtl/>
        </w:rPr>
        <w:t>حدود الدراسة</w:t>
      </w:r>
      <w:bookmarkEnd w:id="8"/>
    </w:p>
    <w:p w14:paraId="7826D2C9"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الحدود الموضوعية</w:t>
      </w:r>
    </w:p>
    <w:p w14:paraId="0471736B"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تركز على خمسة أبعاد للتحول الرقمي وأربعة أبعاد للأداء، ولا تغطي جميع الجوانب الممكنة. تستخدم بيانات مقطعية وليست طولية، وتركز على مستوى المنظمة ككل</w:t>
      </w:r>
      <w:r w:rsidRPr="00BA7005">
        <w:rPr>
          <w:rFonts w:ascii="Simplified Arabic" w:hAnsi="Simplified Arabic" w:cs="Simplified Arabic"/>
          <w:sz w:val="28"/>
          <w:szCs w:val="28"/>
        </w:rPr>
        <w:t>.</w:t>
      </w:r>
    </w:p>
    <w:p w14:paraId="0F656FDE"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الحدود الزمانية</w:t>
      </w:r>
    </w:p>
    <w:p w14:paraId="418160A1"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أُجريت خلال 2024-2025، وتعكس حالة ما بعد جائحة كوفيد-19. البيانات مقطعية تُجمع في نقطة زمنية محددة</w:t>
      </w:r>
      <w:r w:rsidRPr="00BA7005">
        <w:rPr>
          <w:rFonts w:ascii="Simplified Arabic" w:hAnsi="Simplified Arabic" w:cs="Simplified Arabic"/>
          <w:sz w:val="28"/>
          <w:szCs w:val="28"/>
        </w:rPr>
        <w:t>.</w:t>
      </w:r>
    </w:p>
    <w:p w14:paraId="1B64D72F"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BA7005">
        <w:rPr>
          <w:rFonts w:ascii="Simplified Arabic" w:hAnsi="Simplified Arabic" w:cs="Simplified Arabic"/>
          <w:b/>
          <w:bCs/>
          <w:sz w:val="28"/>
          <w:szCs w:val="28"/>
          <w:rtl/>
        </w:rPr>
        <w:t>الحدود المكانية</w:t>
      </w:r>
    </w:p>
    <w:p w14:paraId="069FDF9F" w14:textId="77777777"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تقتصر على الشركات العربية في</w:t>
      </w:r>
      <w:r w:rsidRPr="00BA7005">
        <w:rPr>
          <w:rFonts w:ascii="Simplified Arabic" w:hAnsi="Simplified Arabic" w:cs="Simplified Arabic"/>
          <w:sz w:val="28"/>
          <w:szCs w:val="28"/>
        </w:rPr>
        <w:t>:</w:t>
      </w:r>
    </w:p>
    <w:p w14:paraId="3E529D6B" w14:textId="77777777" w:rsidR="00BA7005" w:rsidRPr="00BA7005" w:rsidRDefault="00BA7005" w:rsidP="000126FF">
      <w:pPr>
        <w:widowControl w:val="0"/>
        <w:numPr>
          <w:ilvl w:val="0"/>
          <w:numId w:val="37"/>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دول الخليج</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السعودية، الإمارات، الكويت، قطر، البحرين، عمان</w:t>
      </w:r>
    </w:p>
    <w:p w14:paraId="026DF6BB" w14:textId="77777777" w:rsidR="00BA7005" w:rsidRPr="00BA7005" w:rsidRDefault="00BA7005" w:rsidP="000126FF">
      <w:pPr>
        <w:widowControl w:val="0"/>
        <w:numPr>
          <w:ilvl w:val="0"/>
          <w:numId w:val="37"/>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دول أخرى</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مصر، الأردن، لبنان، المغرب</w:t>
      </w:r>
    </w:p>
    <w:p w14:paraId="2260CAB4" w14:textId="73946D15" w:rsidR="00BA7005" w:rsidRPr="00BA7005" w:rsidRDefault="00BA7005" w:rsidP="000126FF">
      <w:pPr>
        <w:widowControl w:val="0"/>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تشمل الشركات الخاصة في القطاعين الصناعي والخدمي، وتستثني الحكومات والمؤسسات غير الربحية والشركات الناشئة الصغيرة جداً</w:t>
      </w:r>
      <w:r w:rsidRPr="00BA7005">
        <w:rPr>
          <w:rFonts w:ascii="Simplified Arabic" w:hAnsi="Simplified Arabic" w:cs="Simplified Arabic"/>
          <w:sz w:val="28"/>
          <w:szCs w:val="28"/>
        </w:rPr>
        <w:t>.</w:t>
      </w:r>
    </w:p>
    <w:p w14:paraId="764D2AF6" w14:textId="77777777" w:rsidR="00BA7005" w:rsidRPr="00BA7005" w:rsidRDefault="00BA7005" w:rsidP="000126FF">
      <w:pPr>
        <w:pStyle w:val="Heading2"/>
      </w:pPr>
      <w:bookmarkStart w:id="9" w:name="_Toc214041795"/>
      <w:r w:rsidRPr="00BA7005">
        <w:t xml:space="preserve">1.8 </w:t>
      </w:r>
      <w:r w:rsidRPr="00BA7005">
        <w:rPr>
          <w:rtl/>
        </w:rPr>
        <w:t>مصطلحات الدراسة</w:t>
      </w:r>
      <w:bookmarkEnd w:id="9"/>
    </w:p>
    <w:p w14:paraId="09761BD4" w14:textId="4B69C8DA" w:rsidR="00BA7005" w:rsidRPr="00BA7005" w:rsidRDefault="00AA32A7" w:rsidP="000126FF">
      <w:pPr>
        <w:widowControl w:val="0"/>
        <w:autoSpaceDE w:val="0"/>
        <w:autoSpaceDN w:val="0"/>
        <w:bidi/>
        <w:adjustRightInd w:val="0"/>
        <w:spacing w:after="0" w:line="240" w:lineRule="auto"/>
        <w:rPr>
          <w:rFonts w:ascii="Simplified Arabic" w:hAnsi="Simplified Arabic" w:cs="Simplified Arabic"/>
          <w:sz w:val="28"/>
          <w:szCs w:val="28"/>
        </w:rPr>
      </w:pPr>
      <w:r>
        <w:rPr>
          <w:rFonts w:ascii="Simplified Arabic" w:hAnsi="Simplified Arabic" w:cs="Simplified Arabic" w:hint="cs"/>
          <w:b/>
          <w:bCs/>
          <w:sz w:val="28"/>
          <w:szCs w:val="28"/>
          <w:rtl/>
        </w:rPr>
        <w:t>1.</w:t>
      </w:r>
      <w:r w:rsidR="00BA7005" w:rsidRPr="00BA7005">
        <w:rPr>
          <w:rFonts w:ascii="Simplified Arabic" w:hAnsi="Simplified Arabic" w:cs="Simplified Arabic"/>
          <w:b/>
          <w:bCs/>
          <w:sz w:val="28"/>
          <w:szCs w:val="28"/>
        </w:rPr>
        <w:t xml:space="preserve"> </w:t>
      </w:r>
      <w:r w:rsidR="00BA7005" w:rsidRPr="00BA7005">
        <w:rPr>
          <w:rFonts w:ascii="Simplified Arabic" w:hAnsi="Simplified Arabic" w:cs="Simplified Arabic"/>
          <w:b/>
          <w:bCs/>
          <w:sz w:val="28"/>
          <w:szCs w:val="28"/>
          <w:rtl/>
        </w:rPr>
        <w:t>التحول الرقمي</w:t>
      </w:r>
      <w:r w:rsidR="00BA7005" w:rsidRPr="00BA7005">
        <w:rPr>
          <w:rFonts w:ascii="Simplified Arabic" w:hAnsi="Simplified Arabic" w:cs="Simplified Arabic"/>
          <w:b/>
          <w:bCs/>
          <w:sz w:val="28"/>
          <w:szCs w:val="28"/>
        </w:rPr>
        <w:t xml:space="preserve"> (Digital Transformation)</w:t>
      </w:r>
    </w:p>
    <w:p w14:paraId="13163C41" w14:textId="77777777" w:rsidR="00BA7005" w:rsidRPr="00BA7005" w:rsidRDefault="00BA7005" w:rsidP="000126FF">
      <w:pPr>
        <w:widowControl w:val="0"/>
        <w:numPr>
          <w:ilvl w:val="0"/>
          <w:numId w:val="38"/>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نظرياً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عملية تستخدم فيها التقنيات الرقمية دوراً مركزياً في خلق الاضطرابات وتتطلب استجابات استراتيجية من المنظمات</w:t>
      </w:r>
      <w:r w:rsidRPr="00BA7005">
        <w:rPr>
          <w:rFonts w:ascii="Simplified Arabic" w:hAnsi="Simplified Arabic" w:cs="Simplified Arabic"/>
          <w:sz w:val="28"/>
          <w:szCs w:val="28"/>
        </w:rPr>
        <w:t>" (Vial, 2019)</w:t>
      </w:r>
    </w:p>
    <w:p w14:paraId="571251D8" w14:textId="77777777" w:rsidR="00BA7005" w:rsidRPr="00BA7005" w:rsidRDefault="00BA7005" w:rsidP="000126FF">
      <w:pPr>
        <w:widowControl w:val="0"/>
        <w:numPr>
          <w:ilvl w:val="0"/>
          <w:numId w:val="38"/>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إجرائياً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درجة تبني الشركة للتقنيات الرقمية وتطوير بنيتها التحتية وثقافتها وقدراتها واستراتيجيتها الرقمية</w:t>
      </w:r>
    </w:p>
    <w:p w14:paraId="74DAA933" w14:textId="6935720E" w:rsidR="00BA7005" w:rsidRPr="00BA7005" w:rsidRDefault="00AA32A7" w:rsidP="000126FF">
      <w:pPr>
        <w:widowControl w:val="0"/>
        <w:autoSpaceDE w:val="0"/>
        <w:autoSpaceDN w:val="0"/>
        <w:bidi/>
        <w:adjustRightInd w:val="0"/>
        <w:spacing w:after="0" w:line="240" w:lineRule="auto"/>
        <w:rPr>
          <w:rFonts w:ascii="Simplified Arabic" w:hAnsi="Simplified Arabic" w:cs="Simplified Arabic"/>
          <w:sz w:val="28"/>
          <w:szCs w:val="28"/>
        </w:rPr>
      </w:pPr>
      <w:r>
        <w:rPr>
          <w:rFonts w:ascii="Simplified Arabic" w:hAnsi="Simplified Arabic" w:cs="Simplified Arabic" w:hint="cs"/>
          <w:b/>
          <w:bCs/>
          <w:sz w:val="28"/>
          <w:szCs w:val="28"/>
          <w:rtl/>
        </w:rPr>
        <w:t>2.</w:t>
      </w:r>
      <w:r w:rsidR="00BA7005" w:rsidRPr="00BA7005">
        <w:rPr>
          <w:rFonts w:ascii="Simplified Arabic" w:hAnsi="Simplified Arabic" w:cs="Simplified Arabic"/>
          <w:b/>
          <w:bCs/>
          <w:sz w:val="28"/>
          <w:szCs w:val="28"/>
        </w:rPr>
        <w:t xml:space="preserve"> </w:t>
      </w:r>
      <w:r w:rsidR="00BA7005" w:rsidRPr="00BA7005">
        <w:rPr>
          <w:rFonts w:ascii="Simplified Arabic" w:hAnsi="Simplified Arabic" w:cs="Simplified Arabic"/>
          <w:b/>
          <w:bCs/>
          <w:sz w:val="28"/>
          <w:szCs w:val="28"/>
          <w:rtl/>
        </w:rPr>
        <w:t>الأداء التنظيمي</w:t>
      </w:r>
      <w:r w:rsidR="00BA7005" w:rsidRPr="00BA7005">
        <w:rPr>
          <w:rFonts w:ascii="Simplified Arabic" w:hAnsi="Simplified Arabic" w:cs="Simplified Arabic"/>
          <w:b/>
          <w:bCs/>
          <w:sz w:val="28"/>
          <w:szCs w:val="28"/>
        </w:rPr>
        <w:t xml:space="preserve"> (Organizational Performance)</w:t>
      </w:r>
    </w:p>
    <w:p w14:paraId="039A12A6" w14:textId="77777777" w:rsidR="00BA7005" w:rsidRPr="00BA7005" w:rsidRDefault="00BA7005" w:rsidP="000126FF">
      <w:pPr>
        <w:widowControl w:val="0"/>
        <w:numPr>
          <w:ilvl w:val="0"/>
          <w:numId w:val="3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نظرياً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قدرة المنظمة على تحقيق أهدافها وخلق قيمة لأصحاب المصلحة</w:t>
      </w:r>
      <w:r w:rsidRPr="00BA7005">
        <w:rPr>
          <w:rFonts w:ascii="Simplified Arabic" w:hAnsi="Simplified Arabic" w:cs="Simplified Arabic"/>
          <w:sz w:val="28"/>
          <w:szCs w:val="28"/>
        </w:rPr>
        <w:t>" (Kaplan &amp; Norton, 1996)</w:t>
      </w:r>
    </w:p>
    <w:p w14:paraId="48CA2D5E" w14:textId="77777777" w:rsidR="00BA7005" w:rsidRPr="00BA7005" w:rsidRDefault="00BA7005" w:rsidP="000126FF">
      <w:pPr>
        <w:widowControl w:val="0"/>
        <w:numPr>
          <w:ilvl w:val="0"/>
          <w:numId w:val="39"/>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b/>
          <w:bCs/>
          <w:sz w:val="28"/>
          <w:szCs w:val="28"/>
          <w:rtl/>
        </w:rPr>
        <w:t>إجرائياً</w:t>
      </w:r>
      <w:r w:rsidRPr="00BA7005">
        <w:rPr>
          <w:rFonts w:ascii="Simplified Arabic" w:hAnsi="Simplified Arabic" w:cs="Simplified Arabic"/>
          <w:b/>
          <w:bCs/>
          <w:sz w:val="28"/>
          <w:szCs w:val="28"/>
        </w:rPr>
        <w:t>:</w:t>
      </w:r>
      <w:r w:rsidRPr="00BA7005">
        <w:rPr>
          <w:rFonts w:ascii="Simplified Arabic" w:hAnsi="Simplified Arabic" w:cs="Simplified Arabic"/>
          <w:sz w:val="28"/>
          <w:szCs w:val="28"/>
        </w:rPr>
        <w:t xml:space="preserve"> </w:t>
      </w:r>
      <w:r w:rsidRPr="00BA7005">
        <w:rPr>
          <w:rFonts w:ascii="Simplified Arabic" w:hAnsi="Simplified Arabic" w:cs="Simplified Arabic"/>
          <w:sz w:val="28"/>
          <w:szCs w:val="28"/>
          <w:rtl/>
        </w:rPr>
        <w:t>مستوى الإنجاز في الأبعاد: المالي، التشغيلي، التسويقي، الابتكاري</w:t>
      </w:r>
    </w:p>
    <w:p w14:paraId="0F3B386E" w14:textId="57A52B8D" w:rsidR="00BA7005" w:rsidRPr="00BA7005" w:rsidRDefault="00AA32A7" w:rsidP="000126FF">
      <w:pPr>
        <w:widowControl w:val="0"/>
        <w:autoSpaceDE w:val="0"/>
        <w:autoSpaceDN w:val="0"/>
        <w:bidi/>
        <w:adjustRightInd w:val="0"/>
        <w:spacing w:after="0" w:line="240" w:lineRule="auto"/>
        <w:rPr>
          <w:rFonts w:ascii="Simplified Arabic" w:hAnsi="Simplified Arabic" w:cs="Simplified Arabic"/>
          <w:sz w:val="28"/>
          <w:szCs w:val="28"/>
        </w:rPr>
      </w:pPr>
      <w:r>
        <w:rPr>
          <w:rFonts w:ascii="Simplified Arabic" w:hAnsi="Simplified Arabic" w:cs="Simplified Arabic" w:hint="cs"/>
          <w:b/>
          <w:bCs/>
          <w:sz w:val="28"/>
          <w:szCs w:val="28"/>
          <w:rtl/>
        </w:rPr>
        <w:t>3.</w:t>
      </w:r>
      <w:r w:rsidR="00BA7005" w:rsidRPr="00BA7005">
        <w:rPr>
          <w:rFonts w:ascii="Simplified Arabic" w:hAnsi="Simplified Arabic" w:cs="Simplified Arabic"/>
          <w:b/>
          <w:bCs/>
          <w:sz w:val="28"/>
          <w:szCs w:val="28"/>
        </w:rPr>
        <w:t xml:space="preserve"> </w:t>
      </w:r>
      <w:r w:rsidR="00BA7005" w:rsidRPr="00BA7005">
        <w:rPr>
          <w:rFonts w:ascii="Simplified Arabic" w:hAnsi="Simplified Arabic" w:cs="Simplified Arabic"/>
          <w:b/>
          <w:bCs/>
          <w:sz w:val="28"/>
          <w:szCs w:val="28"/>
          <w:rtl/>
        </w:rPr>
        <w:t>البنية التحتية الرقمية</w:t>
      </w:r>
    </w:p>
    <w:p w14:paraId="6DF0A029" w14:textId="77777777" w:rsidR="00BA7005" w:rsidRPr="00BA7005" w:rsidRDefault="00BA7005" w:rsidP="000126FF">
      <w:pPr>
        <w:widowControl w:val="0"/>
        <w:numPr>
          <w:ilvl w:val="0"/>
          <w:numId w:val="40"/>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الموارد التكنولوجية المشتركة التي توفر أساس قدرات نظم المعلومات</w:t>
      </w:r>
      <w:r w:rsidRPr="00BA7005">
        <w:rPr>
          <w:rFonts w:ascii="Simplified Arabic" w:hAnsi="Simplified Arabic" w:cs="Simplified Arabic"/>
          <w:sz w:val="28"/>
          <w:szCs w:val="28"/>
        </w:rPr>
        <w:t xml:space="preserve"> (Ross et al., 1996)</w:t>
      </w:r>
    </w:p>
    <w:p w14:paraId="433D3AAF" w14:textId="7BAD8448" w:rsidR="00BA7005" w:rsidRPr="00BA7005" w:rsidRDefault="00AA32A7" w:rsidP="000126FF">
      <w:pPr>
        <w:widowControl w:val="0"/>
        <w:autoSpaceDE w:val="0"/>
        <w:autoSpaceDN w:val="0"/>
        <w:bidi/>
        <w:adjustRightInd w:val="0"/>
        <w:spacing w:after="0" w:line="240" w:lineRule="auto"/>
        <w:rPr>
          <w:rFonts w:ascii="Simplified Arabic" w:hAnsi="Simplified Arabic" w:cs="Simplified Arabic"/>
          <w:sz w:val="28"/>
          <w:szCs w:val="28"/>
        </w:rPr>
      </w:pPr>
      <w:r>
        <w:rPr>
          <w:rFonts w:ascii="Simplified Arabic" w:hAnsi="Simplified Arabic" w:cs="Simplified Arabic" w:hint="cs"/>
          <w:b/>
          <w:bCs/>
          <w:sz w:val="28"/>
          <w:szCs w:val="28"/>
          <w:rtl/>
        </w:rPr>
        <w:t>4.</w:t>
      </w:r>
      <w:r w:rsidR="00BA7005" w:rsidRPr="00BA7005">
        <w:rPr>
          <w:rFonts w:ascii="Simplified Arabic" w:hAnsi="Simplified Arabic" w:cs="Simplified Arabic"/>
          <w:b/>
          <w:bCs/>
          <w:sz w:val="28"/>
          <w:szCs w:val="28"/>
        </w:rPr>
        <w:t xml:space="preserve"> </w:t>
      </w:r>
      <w:r w:rsidR="00BA7005" w:rsidRPr="00BA7005">
        <w:rPr>
          <w:rFonts w:ascii="Simplified Arabic" w:hAnsi="Simplified Arabic" w:cs="Simplified Arabic"/>
          <w:b/>
          <w:bCs/>
          <w:sz w:val="28"/>
          <w:szCs w:val="28"/>
          <w:rtl/>
        </w:rPr>
        <w:t>القدرات الرقمية</w:t>
      </w:r>
    </w:p>
    <w:p w14:paraId="1F0113BC" w14:textId="77777777" w:rsidR="00BA7005" w:rsidRPr="00BA7005" w:rsidRDefault="00BA7005" w:rsidP="000126FF">
      <w:pPr>
        <w:widowControl w:val="0"/>
        <w:numPr>
          <w:ilvl w:val="0"/>
          <w:numId w:val="41"/>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المهارات والمعارف المتعلقة باستخدام واستغلال التقنيات الرقمية بفعالية</w:t>
      </w:r>
      <w:r w:rsidRPr="00BA7005">
        <w:rPr>
          <w:rFonts w:ascii="Simplified Arabic" w:hAnsi="Simplified Arabic" w:cs="Simplified Arabic"/>
          <w:sz w:val="28"/>
          <w:szCs w:val="28"/>
        </w:rPr>
        <w:t xml:space="preserve"> (Cetindamar Kozanoglu &amp; Abedin, 2021)</w:t>
      </w:r>
    </w:p>
    <w:p w14:paraId="075EC3B4" w14:textId="2AB3EDBB" w:rsidR="00BA7005" w:rsidRPr="00BA7005" w:rsidRDefault="00081119" w:rsidP="000126FF">
      <w:pPr>
        <w:widowControl w:val="0"/>
        <w:autoSpaceDE w:val="0"/>
        <w:autoSpaceDN w:val="0"/>
        <w:bidi/>
        <w:adjustRightInd w:val="0"/>
        <w:spacing w:after="0" w:line="240" w:lineRule="auto"/>
        <w:rPr>
          <w:rFonts w:ascii="Simplified Arabic" w:hAnsi="Simplified Arabic" w:cs="Simplified Arabic"/>
          <w:sz w:val="28"/>
          <w:szCs w:val="28"/>
        </w:rPr>
      </w:pPr>
      <w:r>
        <w:rPr>
          <w:rFonts w:ascii="Simplified Arabic" w:hAnsi="Simplified Arabic" w:cs="Simplified Arabic" w:hint="cs"/>
          <w:b/>
          <w:bCs/>
          <w:sz w:val="28"/>
          <w:szCs w:val="28"/>
          <w:rtl/>
        </w:rPr>
        <w:lastRenderedPageBreak/>
        <w:t>5.</w:t>
      </w:r>
      <w:r w:rsidR="00BA7005" w:rsidRPr="00BA7005">
        <w:rPr>
          <w:rFonts w:ascii="Simplified Arabic" w:hAnsi="Simplified Arabic" w:cs="Simplified Arabic"/>
          <w:b/>
          <w:bCs/>
          <w:sz w:val="28"/>
          <w:szCs w:val="28"/>
        </w:rPr>
        <w:t xml:space="preserve"> </w:t>
      </w:r>
      <w:r w:rsidR="00BA7005" w:rsidRPr="00BA7005">
        <w:rPr>
          <w:rFonts w:ascii="Simplified Arabic" w:hAnsi="Simplified Arabic" w:cs="Simplified Arabic"/>
          <w:b/>
          <w:bCs/>
          <w:sz w:val="28"/>
          <w:szCs w:val="28"/>
          <w:rtl/>
        </w:rPr>
        <w:t>الاستراتيجية الرقمية</w:t>
      </w:r>
    </w:p>
    <w:p w14:paraId="598690E7" w14:textId="77777777" w:rsidR="00BA7005" w:rsidRPr="00BA7005" w:rsidRDefault="00BA7005" w:rsidP="000126FF">
      <w:pPr>
        <w:widowControl w:val="0"/>
        <w:numPr>
          <w:ilvl w:val="0"/>
          <w:numId w:val="42"/>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الخطة الشاملة لاستخدام التقنيات الرقمية لتحقيق الأهداف الاستراتيجية</w:t>
      </w:r>
      <w:r w:rsidRPr="00BA7005">
        <w:rPr>
          <w:rFonts w:ascii="Simplified Arabic" w:hAnsi="Simplified Arabic" w:cs="Simplified Arabic"/>
          <w:sz w:val="28"/>
          <w:szCs w:val="28"/>
        </w:rPr>
        <w:t xml:space="preserve"> (Hess et al., 2016)</w:t>
      </w:r>
    </w:p>
    <w:p w14:paraId="1A71D6D2" w14:textId="6C79F4BD" w:rsidR="00BA7005" w:rsidRPr="00BA7005" w:rsidRDefault="00081119" w:rsidP="000126FF">
      <w:pPr>
        <w:widowControl w:val="0"/>
        <w:autoSpaceDE w:val="0"/>
        <w:autoSpaceDN w:val="0"/>
        <w:bidi/>
        <w:adjustRightInd w:val="0"/>
        <w:spacing w:after="0" w:line="240" w:lineRule="auto"/>
        <w:rPr>
          <w:rFonts w:ascii="Simplified Arabic" w:hAnsi="Simplified Arabic" w:cs="Simplified Arabic"/>
          <w:sz w:val="28"/>
          <w:szCs w:val="28"/>
        </w:rPr>
      </w:pPr>
      <w:r>
        <w:rPr>
          <w:rFonts w:ascii="Simplified Arabic" w:hAnsi="Simplified Arabic" w:cs="Simplified Arabic" w:hint="cs"/>
          <w:b/>
          <w:bCs/>
          <w:sz w:val="28"/>
          <w:szCs w:val="28"/>
          <w:rtl/>
        </w:rPr>
        <w:t>6.</w:t>
      </w:r>
      <w:r w:rsidR="00BA7005" w:rsidRPr="00BA7005">
        <w:rPr>
          <w:rFonts w:ascii="Simplified Arabic" w:hAnsi="Simplified Arabic" w:cs="Simplified Arabic"/>
          <w:b/>
          <w:bCs/>
          <w:sz w:val="28"/>
          <w:szCs w:val="28"/>
        </w:rPr>
        <w:t xml:space="preserve"> </w:t>
      </w:r>
      <w:r w:rsidR="00BA7005" w:rsidRPr="00BA7005">
        <w:rPr>
          <w:rFonts w:ascii="Simplified Arabic" w:hAnsi="Simplified Arabic" w:cs="Simplified Arabic"/>
          <w:b/>
          <w:bCs/>
          <w:sz w:val="28"/>
          <w:szCs w:val="28"/>
          <w:rtl/>
        </w:rPr>
        <w:t>القدرات الديناميكية</w:t>
      </w:r>
    </w:p>
    <w:p w14:paraId="1C4AF528" w14:textId="77777777" w:rsidR="00BA7005" w:rsidRPr="00BA7005" w:rsidRDefault="00BA7005" w:rsidP="000126FF">
      <w:pPr>
        <w:widowControl w:val="0"/>
        <w:numPr>
          <w:ilvl w:val="0"/>
          <w:numId w:val="43"/>
        </w:numPr>
        <w:autoSpaceDE w:val="0"/>
        <w:autoSpaceDN w:val="0"/>
        <w:bidi/>
        <w:adjustRightInd w:val="0"/>
        <w:spacing w:after="0" w:line="240" w:lineRule="auto"/>
        <w:rPr>
          <w:rFonts w:ascii="Simplified Arabic" w:hAnsi="Simplified Arabic" w:cs="Simplified Arabic"/>
          <w:sz w:val="28"/>
          <w:szCs w:val="28"/>
        </w:rPr>
      </w:pPr>
      <w:r w:rsidRPr="00BA7005">
        <w:rPr>
          <w:rFonts w:ascii="Simplified Arabic" w:hAnsi="Simplified Arabic" w:cs="Simplified Arabic"/>
          <w:sz w:val="28"/>
          <w:szCs w:val="28"/>
          <w:rtl/>
        </w:rPr>
        <w:t>قدرة المنظمة على دمج وبناء وإعادة تشكيل الكفاءات للتعامل مع البيئات سريعة التغير</w:t>
      </w:r>
      <w:r w:rsidRPr="00BA7005">
        <w:rPr>
          <w:rFonts w:ascii="Simplified Arabic" w:hAnsi="Simplified Arabic" w:cs="Simplified Arabic"/>
          <w:sz w:val="28"/>
          <w:szCs w:val="28"/>
        </w:rPr>
        <w:t xml:space="preserve"> (Teece et al., 1997)</w:t>
      </w:r>
      <w:r w:rsidRPr="00BA7005">
        <w:rPr>
          <w:rFonts w:ascii="Simplified Arabic" w:hAnsi="Simplified Arabic" w:cs="Simplified Arabic"/>
          <w:sz w:val="28"/>
          <w:szCs w:val="28"/>
          <w:rtl/>
        </w:rPr>
        <w:t>، وتشمل: الاستشعار، الاستجابة، إعادة التشكيل</w:t>
      </w:r>
    </w:p>
    <w:p w14:paraId="49C566AF" w14:textId="52A25A54" w:rsid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397024C1" w14:textId="1E3ECA98"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9EEF1D2" w14:textId="6508F441"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238F583A" w14:textId="518052BA"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42F29218" w14:textId="5D8C3C77"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7F89AB0" w14:textId="47533CA3"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5F4A05DD" w14:textId="29956730"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3A46E2F" w14:textId="311E2D17"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DB493CF" w14:textId="1ED69647"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294FF0B2" w14:textId="3E53F83C"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3666F7F4" w14:textId="27432389"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55B6F4B8" w14:textId="66D7084A"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265E9BB" w14:textId="7AC48585"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043304E" w14:textId="3A38C809"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2F5EE560" w14:textId="66926120"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18A4ECE2" w14:textId="0A204EEE"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1480B61D" w14:textId="28D72C1C"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1C40324" w14:textId="4D5C5E7A"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6BA15F29" w14:textId="28CC96DD"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4BC47693" w14:textId="4B05BA85"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35D16758" w14:textId="3D766B71"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0304AB0A" w14:textId="65226211" w:rsidR="00C871CB" w:rsidRDefault="00C871CB" w:rsidP="000126FF">
      <w:pPr>
        <w:widowControl w:val="0"/>
        <w:autoSpaceDE w:val="0"/>
        <w:autoSpaceDN w:val="0"/>
        <w:bidi/>
        <w:adjustRightInd w:val="0"/>
        <w:spacing w:after="0" w:line="240" w:lineRule="auto"/>
        <w:rPr>
          <w:rFonts w:ascii="Simplified Arabic" w:hAnsi="Simplified Arabic" w:cs="Simplified Arabic"/>
          <w:sz w:val="28"/>
          <w:szCs w:val="28"/>
          <w:rtl/>
        </w:rPr>
      </w:pPr>
    </w:p>
    <w:p w14:paraId="7319124C" w14:textId="77777777" w:rsidR="00C871CB" w:rsidRPr="00C96B7E" w:rsidRDefault="00C871CB" w:rsidP="000126FF">
      <w:pPr>
        <w:widowControl w:val="0"/>
        <w:autoSpaceDE w:val="0"/>
        <w:autoSpaceDN w:val="0"/>
        <w:bidi/>
        <w:adjustRightInd w:val="0"/>
        <w:spacing w:after="0" w:line="240" w:lineRule="auto"/>
        <w:rPr>
          <w:rFonts w:ascii="Simplified Arabic" w:hAnsi="Simplified Arabic" w:cs="Simplified Arabic"/>
          <w:sz w:val="28"/>
          <w:szCs w:val="28"/>
        </w:rPr>
      </w:pPr>
    </w:p>
    <w:p w14:paraId="5B33A12B" w14:textId="19DB8A15" w:rsidR="00840978" w:rsidRDefault="00840978" w:rsidP="000126FF">
      <w:pPr>
        <w:pStyle w:val="Heading1"/>
        <w:rPr>
          <w:rtl/>
        </w:rPr>
      </w:pPr>
      <w:bookmarkStart w:id="10" w:name="_Toc214041796"/>
      <w:r w:rsidRPr="00840978">
        <w:rPr>
          <w:rtl/>
        </w:rPr>
        <w:lastRenderedPageBreak/>
        <w:t>الفصل الثاني: الإطار النظري والدراسات السابقة</w:t>
      </w:r>
      <w:bookmarkEnd w:id="10"/>
    </w:p>
    <w:p w14:paraId="26B69987" w14:textId="77777777" w:rsidR="005136EB" w:rsidRPr="00840978" w:rsidRDefault="005136EB" w:rsidP="000126FF">
      <w:pPr>
        <w:bidi/>
      </w:pPr>
    </w:p>
    <w:p w14:paraId="66BAD5D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يمثل الإطار النظري العمود الفقري لأي دراسة علمية، حيث يوفر الأساس المعرفي والمفاهيمي الذي تبنى عليه الدراسة التطبيقية. يهدف هذا الفصل إلى تقديم مراجعة شاملة ونقدية للأدبيات النظرية والتطبيقية ذات الصلة بموضوع التحول الرقمي وأداء الشركات، بما يسهم في بناء فهم عميق للمفاهيم الأساسية، وتحديد الفجوات البحثية، ووضع الأساس النظري لفرضيات الدراسة ونموذجها المفاهيمي</w:t>
      </w:r>
      <w:r w:rsidRPr="00840978">
        <w:rPr>
          <w:rFonts w:ascii="Simplified Arabic" w:hAnsi="Simplified Arabic" w:cs="Simplified Arabic"/>
          <w:sz w:val="28"/>
          <w:szCs w:val="28"/>
        </w:rPr>
        <w:t>.</w:t>
      </w:r>
    </w:p>
    <w:p w14:paraId="28ABB16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يتضمن هذا الفصل ثلاثة مباحث رئيسية متكاملة. يتناول المبحث الأول مفهوم التحول الرقمي بشكل معمق، بما في ذلك تطوره التاريخي، وتعريفاته المختلفة، وأبعاده الرئيسية، والتقنيات الداعمة له، والاستراتيجيات المتبعة في تنفيذه، والتحديات التي تواجه المنظمات في رحلة التحول. أما المبحث الثاني فيركز على مفهوم أداء الشركات، حيث يستعرض التعريفات المختلفة للأداء التنظيمي، ومؤشرات قياسه، والعوامل المؤثرة فيه، والنماذج النظرية المفسرة له. ويخصص المبحث الثالث لدراسة العلاقة بين التحول الرقمي وأداء الشركات، من خلال استعراض النماذج النظرية الرابطة بينهما، والدراسات السابقة العربية والأجنبية التي بحثت في هذه العلاقة، وتقديم تحليل نقدي لهذه الدراسات واستخلاص الفجوة البحثية التي تسعى الدراسة الحالية لسدها</w:t>
      </w:r>
      <w:r w:rsidRPr="00840978">
        <w:rPr>
          <w:rFonts w:ascii="Simplified Arabic" w:hAnsi="Simplified Arabic" w:cs="Simplified Arabic"/>
          <w:sz w:val="28"/>
          <w:szCs w:val="28"/>
        </w:rPr>
        <w:t>.</w:t>
      </w:r>
    </w:p>
    <w:p w14:paraId="540D6A33" w14:textId="3429A975"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خلال هذا الاستعراض الشامل والمنهجي للأدبيات، يسعى هذا الفصل إلى تحقيق عدة أهداف رئيسية تتمثل في بناء قاعدة معرفية متينة حول موضوع الدراسة، وتحديد الأطر النظرية المناسبة لتفسير العلاقة بين التحول الرقمي والأداء، وتوضيح كيفية مساهمة الدراسة الحالية في إثراء المعرفة العلمية، وتوفير السياق الأكاديمي الذي يبرر الحاجة إلى هذا البحث ويدعم أهميته العلمية والتطبيقية</w:t>
      </w:r>
      <w:r w:rsidRPr="00840978">
        <w:rPr>
          <w:rFonts w:ascii="Simplified Arabic" w:hAnsi="Simplified Arabic" w:cs="Simplified Arabic"/>
          <w:sz w:val="28"/>
          <w:szCs w:val="28"/>
        </w:rPr>
        <w:t>.</w:t>
      </w:r>
    </w:p>
    <w:p w14:paraId="21B00816" w14:textId="77777777" w:rsidR="00840978" w:rsidRPr="00840978" w:rsidRDefault="00840978" w:rsidP="000126FF">
      <w:pPr>
        <w:pStyle w:val="Heading2"/>
      </w:pPr>
      <w:bookmarkStart w:id="11" w:name="_Toc214041797"/>
      <w:r w:rsidRPr="00840978">
        <w:rPr>
          <w:rtl/>
        </w:rPr>
        <w:t>المبحث الأول: التحول الرقمي</w:t>
      </w:r>
      <w:bookmarkEnd w:id="11"/>
    </w:p>
    <w:p w14:paraId="7932FA7F" w14:textId="77777777" w:rsidR="00840978" w:rsidRPr="00840978" w:rsidRDefault="00840978" w:rsidP="000126FF">
      <w:pPr>
        <w:pStyle w:val="Heading3"/>
      </w:pPr>
      <w:bookmarkStart w:id="12" w:name="_Toc214041798"/>
      <w:r w:rsidRPr="00840978">
        <w:t xml:space="preserve">2.1.1 </w:t>
      </w:r>
      <w:r w:rsidRPr="00840978">
        <w:rPr>
          <w:rtl/>
        </w:rPr>
        <w:t>مفهوم التحول الرقمي وتطوره التاريخي</w:t>
      </w:r>
      <w:bookmarkEnd w:id="12"/>
    </w:p>
    <w:p w14:paraId="33C0D76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يعد التحول الرقمي أحد أكثر المفاهيم انتشاراً وأهمية في أدبيات الإدارة المعاصرة، غير أن هذا المفهوم يتسم بدرجة من الغموض والتعقيد نظراً لتعدد التعريفات والمنظورات التي تناولته. لفهم هذا المفهوم بشكل عميق، من الضروري تتبع جذوره التاريخية وتطوره عبر الزمن، حيث لم يظهر التحول الرقمي فجأة بل كان نتيجة لتطورات تكنولوجية واقتصادية واجتماعية متراكمة على مدى عقود</w:t>
      </w:r>
      <w:r w:rsidRPr="00840978">
        <w:rPr>
          <w:rFonts w:ascii="Simplified Arabic" w:hAnsi="Simplified Arabic" w:cs="Simplified Arabic"/>
          <w:sz w:val="28"/>
          <w:szCs w:val="28"/>
        </w:rPr>
        <w:t>.</w:t>
      </w:r>
    </w:p>
    <w:p w14:paraId="0814F25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تعود جذور التحول الرقمي إلى السبعينيات من القرن الماضي، عندما بدأت المنظمات في استخدام تكنولوجيا المعلومات لأتمتة بعض العمليات البسيطة. في تلك المرحلة المبكرة، كان التركيز على ما يمكن تسميته بالرقمنة</w:t>
      </w:r>
      <w:r w:rsidRPr="00840978">
        <w:rPr>
          <w:rFonts w:ascii="Simplified Arabic" w:hAnsi="Simplified Arabic" w:cs="Simplified Arabic"/>
          <w:sz w:val="28"/>
          <w:szCs w:val="28"/>
        </w:rPr>
        <w:t xml:space="preserve"> (Digitization)</w:t>
      </w:r>
      <w:r w:rsidRPr="00840978">
        <w:rPr>
          <w:rFonts w:ascii="Simplified Arabic" w:hAnsi="Simplified Arabic" w:cs="Simplified Arabic"/>
          <w:sz w:val="28"/>
          <w:szCs w:val="28"/>
          <w:rtl/>
        </w:rPr>
        <w:t>، أي تحويل المعلومات من الشكل التناظري إلى الشكل الرقمي</w:t>
      </w:r>
      <w:r w:rsidRPr="00840978">
        <w:rPr>
          <w:rFonts w:ascii="Simplified Arabic" w:hAnsi="Simplified Arabic" w:cs="Simplified Arabic"/>
          <w:sz w:val="28"/>
          <w:szCs w:val="28"/>
        </w:rPr>
        <w:t xml:space="preserve"> (Legner et al., 2017). </w:t>
      </w:r>
      <w:r w:rsidRPr="00840978">
        <w:rPr>
          <w:rFonts w:ascii="Simplified Arabic" w:hAnsi="Simplified Arabic" w:cs="Simplified Arabic"/>
          <w:sz w:val="28"/>
          <w:szCs w:val="28"/>
          <w:rtl/>
        </w:rPr>
        <w:t xml:space="preserve">كانت الحواسيب الضخمة والمكلفة تستخدم بشكل محدود في معالجة البيانات والمعاملات المالية </w:t>
      </w:r>
      <w:r w:rsidRPr="00840978">
        <w:rPr>
          <w:rFonts w:ascii="Simplified Arabic" w:hAnsi="Simplified Arabic" w:cs="Simplified Arabic"/>
          <w:sz w:val="28"/>
          <w:szCs w:val="28"/>
          <w:rtl/>
        </w:rPr>
        <w:lastRenderedPageBreak/>
        <w:t>الأساسية، دون أن يكون لها تأثير جذري على نماذج الأعمال أو الهياكل التنظيمية</w:t>
      </w:r>
      <w:r w:rsidRPr="00840978">
        <w:rPr>
          <w:rFonts w:ascii="Simplified Arabic" w:hAnsi="Simplified Arabic" w:cs="Simplified Arabic"/>
          <w:sz w:val="28"/>
          <w:szCs w:val="28"/>
        </w:rPr>
        <w:t>.</w:t>
      </w:r>
    </w:p>
    <w:p w14:paraId="26A1147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مع انتشار الحواسيب الشخصية في الثمانينيات، وظهور الإنترنت التجاري في التسعينيات، دخلت المنظمات مرحلة جديدة يمكن تسميتها بالرقمنة التنظيمية</w:t>
      </w:r>
      <w:r w:rsidRPr="00840978">
        <w:rPr>
          <w:rFonts w:ascii="Simplified Arabic" w:hAnsi="Simplified Arabic" w:cs="Simplified Arabic"/>
          <w:sz w:val="28"/>
          <w:szCs w:val="28"/>
        </w:rPr>
        <w:t xml:space="preserve"> (Digitalization)</w:t>
      </w:r>
      <w:r w:rsidRPr="00840978">
        <w:rPr>
          <w:rFonts w:ascii="Simplified Arabic" w:hAnsi="Simplified Arabic" w:cs="Simplified Arabic"/>
          <w:sz w:val="28"/>
          <w:szCs w:val="28"/>
          <w:rtl/>
        </w:rPr>
        <w:t>، حيث بدأت التكنولوجيا الرقمية تؤثر على نطاق أوسع من العمليات التنظيمية وتفتح إمكانيات جديدة للتواصل والتعاون وتبادل المعلومات</w:t>
      </w:r>
      <w:r w:rsidRPr="00840978">
        <w:rPr>
          <w:rFonts w:ascii="Simplified Arabic" w:hAnsi="Simplified Arabic" w:cs="Simplified Arabic"/>
          <w:sz w:val="28"/>
          <w:szCs w:val="28"/>
        </w:rPr>
        <w:t xml:space="preserve"> (Heavin &amp; Power, 2018). </w:t>
      </w:r>
      <w:r w:rsidRPr="00840978">
        <w:rPr>
          <w:rFonts w:ascii="Simplified Arabic" w:hAnsi="Simplified Arabic" w:cs="Simplified Arabic"/>
          <w:sz w:val="28"/>
          <w:szCs w:val="28"/>
          <w:rtl/>
        </w:rPr>
        <w:t>ظهرت مفاهيم مثل تخطيط موارد المؤسسات</w:t>
      </w:r>
      <w:r w:rsidRPr="00840978">
        <w:rPr>
          <w:rFonts w:ascii="Simplified Arabic" w:hAnsi="Simplified Arabic" w:cs="Simplified Arabic"/>
          <w:sz w:val="28"/>
          <w:szCs w:val="28"/>
        </w:rPr>
        <w:t xml:space="preserve"> (ERP) </w:t>
      </w:r>
      <w:r w:rsidRPr="00840978">
        <w:rPr>
          <w:rFonts w:ascii="Simplified Arabic" w:hAnsi="Simplified Arabic" w:cs="Simplified Arabic"/>
          <w:sz w:val="28"/>
          <w:szCs w:val="28"/>
          <w:rtl/>
        </w:rPr>
        <w:t>وإدارة علاقات العملاء</w:t>
      </w:r>
      <w:r w:rsidRPr="00840978">
        <w:rPr>
          <w:rFonts w:ascii="Simplified Arabic" w:hAnsi="Simplified Arabic" w:cs="Simplified Arabic"/>
          <w:sz w:val="28"/>
          <w:szCs w:val="28"/>
        </w:rPr>
        <w:t xml:space="preserve"> (CRM) </w:t>
      </w:r>
      <w:r w:rsidRPr="00840978">
        <w:rPr>
          <w:rFonts w:ascii="Simplified Arabic" w:hAnsi="Simplified Arabic" w:cs="Simplified Arabic"/>
          <w:sz w:val="28"/>
          <w:szCs w:val="28"/>
          <w:rtl/>
        </w:rPr>
        <w:t>وسلسلة التوريد الإلكترونية، والتي ساهمت في تحسين الكفاءة التشغيلية وتكامل العمليات الداخلية والخارجية</w:t>
      </w:r>
      <w:r w:rsidRPr="00840978">
        <w:rPr>
          <w:rFonts w:ascii="Simplified Arabic" w:hAnsi="Simplified Arabic" w:cs="Simplified Arabic"/>
          <w:sz w:val="28"/>
          <w:szCs w:val="28"/>
        </w:rPr>
        <w:t xml:space="preserve"> (Venkatraman, 1994).</w:t>
      </w:r>
    </w:p>
    <w:p w14:paraId="0C9A3F6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المرحلة الحقيقية للتحول الرقمي بمفهومه الشامل بدأت في العقد الأول من الألفية الثالثة، مع ظهور ما يُعرف بالثورة الصناعية الرابعة والتقنيات المرتبطة بها. شهدت هذه المرحلة انتشاراً واسعاً لمجموعة من التقنيات المتقاربة والمتكاملة التي يُشار إليها اختصاراً بـ</w:t>
      </w:r>
      <w:r w:rsidRPr="00840978">
        <w:rPr>
          <w:rFonts w:ascii="Simplified Arabic" w:hAnsi="Simplified Arabic" w:cs="Simplified Arabic"/>
          <w:sz w:val="28"/>
          <w:szCs w:val="28"/>
        </w:rPr>
        <w:t xml:space="preserve"> SMACIT</w:t>
      </w:r>
      <w:r w:rsidRPr="00840978">
        <w:rPr>
          <w:rFonts w:ascii="Simplified Arabic" w:hAnsi="Simplified Arabic" w:cs="Simplified Arabic"/>
          <w:sz w:val="28"/>
          <w:szCs w:val="28"/>
          <w:rtl/>
        </w:rPr>
        <w:t>، وهي وسائل التواصل الاجتماعي</w:t>
      </w:r>
      <w:r w:rsidRPr="00840978">
        <w:rPr>
          <w:rFonts w:ascii="Simplified Arabic" w:hAnsi="Simplified Arabic" w:cs="Simplified Arabic"/>
          <w:sz w:val="28"/>
          <w:szCs w:val="28"/>
        </w:rPr>
        <w:t xml:space="preserve"> (Social Media) </w:t>
      </w:r>
      <w:r w:rsidRPr="00840978">
        <w:rPr>
          <w:rFonts w:ascii="Simplified Arabic" w:hAnsi="Simplified Arabic" w:cs="Simplified Arabic"/>
          <w:sz w:val="28"/>
          <w:szCs w:val="28"/>
          <w:rtl/>
        </w:rPr>
        <w:t>والأجهزة المحمولة</w:t>
      </w:r>
      <w:r w:rsidRPr="00840978">
        <w:rPr>
          <w:rFonts w:ascii="Simplified Arabic" w:hAnsi="Simplified Arabic" w:cs="Simplified Arabic"/>
          <w:sz w:val="28"/>
          <w:szCs w:val="28"/>
        </w:rPr>
        <w:t xml:space="preserve"> (Mobile) </w:t>
      </w:r>
      <w:r w:rsidRPr="00840978">
        <w:rPr>
          <w:rFonts w:ascii="Simplified Arabic" w:hAnsi="Simplified Arabic" w:cs="Simplified Arabic"/>
          <w:sz w:val="28"/>
          <w:szCs w:val="28"/>
          <w:rtl/>
        </w:rPr>
        <w:t>والتحليلات</w:t>
      </w:r>
      <w:r w:rsidRPr="00840978">
        <w:rPr>
          <w:rFonts w:ascii="Simplified Arabic" w:hAnsi="Simplified Arabic" w:cs="Simplified Arabic"/>
          <w:sz w:val="28"/>
          <w:szCs w:val="28"/>
        </w:rPr>
        <w:t xml:space="preserve"> (Analytics) </w:t>
      </w:r>
      <w:r w:rsidRPr="00840978">
        <w:rPr>
          <w:rFonts w:ascii="Simplified Arabic" w:hAnsi="Simplified Arabic" w:cs="Simplified Arabic"/>
          <w:sz w:val="28"/>
          <w:szCs w:val="28"/>
          <w:rtl/>
        </w:rPr>
        <w:t>والحوسبة السحابية</w:t>
      </w:r>
      <w:r w:rsidRPr="00840978">
        <w:rPr>
          <w:rFonts w:ascii="Simplified Arabic" w:hAnsi="Simplified Arabic" w:cs="Simplified Arabic"/>
          <w:sz w:val="28"/>
          <w:szCs w:val="28"/>
        </w:rPr>
        <w:t xml:space="preserve"> (Cloud) </w:t>
      </w:r>
      <w:r w:rsidRPr="00840978">
        <w:rPr>
          <w:rFonts w:ascii="Simplified Arabic" w:hAnsi="Simplified Arabic" w:cs="Simplified Arabic"/>
          <w:sz w:val="28"/>
          <w:szCs w:val="28"/>
          <w:rtl/>
        </w:rPr>
        <w:t>وإنترنت الأشياء</w:t>
      </w:r>
      <w:r w:rsidRPr="00840978">
        <w:rPr>
          <w:rFonts w:ascii="Simplified Arabic" w:hAnsi="Simplified Arabic" w:cs="Simplified Arabic"/>
          <w:sz w:val="28"/>
          <w:szCs w:val="28"/>
        </w:rPr>
        <w:t xml:space="preserve"> (Internet of Things) (Chanias, 2017). </w:t>
      </w:r>
      <w:r w:rsidRPr="00840978">
        <w:rPr>
          <w:rFonts w:ascii="Simplified Arabic" w:hAnsi="Simplified Arabic" w:cs="Simplified Arabic"/>
          <w:sz w:val="28"/>
          <w:szCs w:val="28"/>
          <w:rtl/>
        </w:rPr>
        <w:t>هذه التقنيات، مجتمعة، خلقت إمكانات غير مسبوقة لإعادة تصور نماذج الأعمال وطرق خلق القيمة وتقديمها للعملاء</w:t>
      </w:r>
      <w:r w:rsidRPr="00840978">
        <w:rPr>
          <w:rFonts w:ascii="Simplified Arabic" w:hAnsi="Simplified Arabic" w:cs="Simplified Arabic"/>
          <w:sz w:val="28"/>
          <w:szCs w:val="28"/>
        </w:rPr>
        <w:t>.</w:t>
      </w:r>
    </w:p>
    <w:p w14:paraId="147EC15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ما يميز التحول الرقمي عن مراحل الأتمتة والرقمنة السابقة هو أنه لا يقتصر على استخدام التكنولوجيا لتحسين العمليات القائمة، بل يتضمن إعادة تفكير جذري في طبيعة الأعمال نفسها</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التحول الرقمي يشمل تغييرات عميقة في الاستراتيجية والثقافة والهيكل التنظيمي والقدرات والعمليات، بهدف الاستفادة من الإمكانات الكاملة للتكنولوجيا الرقمية في خلق قيمة جديدة ومستدامة</w:t>
      </w:r>
      <w:r w:rsidRPr="00840978">
        <w:rPr>
          <w:rFonts w:ascii="Simplified Arabic" w:hAnsi="Simplified Arabic" w:cs="Simplified Arabic"/>
          <w:sz w:val="28"/>
          <w:szCs w:val="28"/>
        </w:rPr>
        <w:t xml:space="preserve"> (Westerman et al., 2014).</w:t>
      </w:r>
    </w:p>
    <w:p w14:paraId="5DCBCA3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حيث التعريف، قدمت الأدبيات العلمية تعريفات متعددة للتحول الرقمي تعكس وجهات نظر مختلفة حول طبيعته ونطاقه. في واحد من أكثر التعريفات شمولية واستشهاداً، يعرف فيال</w:t>
      </w:r>
      <w:r w:rsidRPr="00840978">
        <w:rPr>
          <w:rFonts w:ascii="Simplified Arabic" w:hAnsi="Simplified Arabic" w:cs="Simplified Arabic"/>
          <w:sz w:val="28"/>
          <w:szCs w:val="28"/>
        </w:rPr>
        <w:t xml:space="preserve"> (Vial, 2019, p. 118) </w:t>
      </w:r>
      <w:r w:rsidRPr="00840978">
        <w:rPr>
          <w:rFonts w:ascii="Simplified Arabic" w:hAnsi="Simplified Arabic" w:cs="Simplified Arabic"/>
          <w:sz w:val="28"/>
          <w:szCs w:val="28"/>
          <w:rtl/>
        </w:rPr>
        <w:t>التحول الرقمي بأنه "عملية تستخدم فيها التقنيات الرقمية دوراً مركزياً في خلق وتعزيز الاضطرابات التي تحدث على مستوى المجتمع والصناعة، وتتطلب استجابات استراتيجية من المنظمات تسعى لتعديل مسارات خلق القيمة لديها مع إدارة التغييرات الهيكلية والحواجز التنظيمية التي تؤثر على النتائج الإيجابية والسلبية لهذه العملية". هذا التعريف يبرز عدة جوانب مهمة للتحول الرقمي، فهو يؤكد على الدور المحوري للتقنيات الرقمية، ويشير إلى الطبيعة الاضطرابية للتحول، ويربطه بالاستجابات الاستراتيجية المطلوبة من المنظمات، ويعترف بالتغييرات التنظيمية الواسعة المطلوبة، ويقر بوجود نتائج إيجابية وسلبية محتملة</w:t>
      </w:r>
      <w:r w:rsidRPr="00840978">
        <w:rPr>
          <w:rFonts w:ascii="Simplified Arabic" w:hAnsi="Simplified Arabic" w:cs="Simplified Arabic"/>
          <w:sz w:val="28"/>
          <w:szCs w:val="28"/>
        </w:rPr>
        <w:t>.</w:t>
      </w:r>
    </w:p>
    <w:p w14:paraId="6E18C4B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جهة أخرى، يعرف ويستيرمان وزملاؤه</w:t>
      </w:r>
      <w:r w:rsidRPr="00840978">
        <w:rPr>
          <w:rFonts w:ascii="Simplified Arabic" w:hAnsi="Simplified Arabic" w:cs="Simplified Arabic"/>
          <w:sz w:val="28"/>
          <w:szCs w:val="28"/>
        </w:rPr>
        <w:t xml:space="preserve"> (Westerman et al., 2014, p. 5) </w:t>
      </w:r>
      <w:r w:rsidRPr="00840978">
        <w:rPr>
          <w:rFonts w:ascii="Simplified Arabic" w:hAnsi="Simplified Arabic" w:cs="Simplified Arabic"/>
          <w:sz w:val="28"/>
          <w:szCs w:val="28"/>
          <w:rtl/>
        </w:rPr>
        <w:t xml:space="preserve">التحول الرقمي بأنه "استخدام التكنولوجيا لتحسين الأداء أو الوصول إلى المنظمات بشكل جذري". هذا التعريف أكثر بساطة وتركيزاً على النتائج، حيث يركز على الهدف النهائي للتحول الرقمي وهو تحسين الأداء أو توسيع نطاق </w:t>
      </w:r>
      <w:r w:rsidRPr="00840978">
        <w:rPr>
          <w:rFonts w:ascii="Simplified Arabic" w:hAnsi="Simplified Arabic" w:cs="Simplified Arabic"/>
          <w:sz w:val="28"/>
          <w:szCs w:val="28"/>
          <w:rtl/>
        </w:rPr>
        <w:lastRenderedPageBreak/>
        <w:t>الوصول، مع التأكيد على الطبيعة الجذرية للتغيير المطلوب</w:t>
      </w:r>
      <w:r w:rsidRPr="00840978">
        <w:rPr>
          <w:rFonts w:ascii="Simplified Arabic" w:hAnsi="Simplified Arabic" w:cs="Simplified Arabic"/>
          <w:sz w:val="28"/>
          <w:szCs w:val="28"/>
        </w:rPr>
        <w:t>.</w:t>
      </w:r>
    </w:p>
    <w:p w14:paraId="473F978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يقدم مات وزملاؤه</w:t>
      </w:r>
      <w:r w:rsidRPr="00840978">
        <w:rPr>
          <w:rFonts w:ascii="Simplified Arabic" w:hAnsi="Simplified Arabic" w:cs="Simplified Arabic"/>
          <w:sz w:val="28"/>
          <w:szCs w:val="28"/>
        </w:rPr>
        <w:t xml:space="preserve"> (Matt et al., 2015, p. 339) </w:t>
      </w:r>
      <w:r w:rsidRPr="00840978">
        <w:rPr>
          <w:rFonts w:ascii="Simplified Arabic" w:hAnsi="Simplified Arabic" w:cs="Simplified Arabic"/>
          <w:sz w:val="28"/>
          <w:szCs w:val="28"/>
          <w:rtl/>
        </w:rPr>
        <w:t>تعريفاً أكثر تحديداً يركز على البعد الاستراتيجي، حيث يعرفون التحول الرقمي بأنه "التغييرات التي تحدثها التقنيات الرقمية في نموذج أعمال الشركة، مما يؤدي إلى تغيير المنتجات أو الهياكل التنظيمية أو أتمتة العمليات". هذا التعريف يسلط الضوء على التأثيرات المتعددة للتحول الرقمي على مختلف جوانب المنظمة، من نموذج الأعمال إلى المنتجات والهياكل والعمليات</w:t>
      </w:r>
      <w:r w:rsidRPr="00840978">
        <w:rPr>
          <w:rFonts w:ascii="Simplified Arabic" w:hAnsi="Simplified Arabic" w:cs="Simplified Arabic"/>
          <w:sz w:val="28"/>
          <w:szCs w:val="28"/>
        </w:rPr>
        <w:t>.</w:t>
      </w:r>
    </w:p>
    <w:p w14:paraId="6DA57B1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منظور أكثر شمولية، يرى هانيلت وزملاؤه</w:t>
      </w:r>
      <w:r w:rsidRPr="00840978">
        <w:rPr>
          <w:rFonts w:ascii="Simplified Arabic" w:hAnsi="Simplified Arabic" w:cs="Simplified Arabic"/>
          <w:sz w:val="28"/>
          <w:szCs w:val="28"/>
        </w:rPr>
        <w:t xml:space="preserve"> (Hanelt et al., 2021, p. 1) </w:t>
      </w:r>
      <w:r w:rsidRPr="00840978">
        <w:rPr>
          <w:rFonts w:ascii="Simplified Arabic" w:hAnsi="Simplified Arabic" w:cs="Simplified Arabic"/>
          <w:sz w:val="28"/>
          <w:szCs w:val="28"/>
          <w:rtl/>
        </w:rPr>
        <w:t>أن التحول الرقمي يمثل "عملية تغيير تنظيمي شامل يتم تمكينه وتشكيله بواسطة الاستخدام الواسع النطاق للتقنيات الرقمية بهدف تحسين المنظمة". هذا التعريف يؤكد على الطبيعة الشاملة والتحويلية للتحول الرقمي، ويشير إلى أن التقنيات الرقمية ليست مجرد أدوات بل هي عوامل تمكين وتشكيل للتغيير التنظيمي</w:t>
      </w:r>
      <w:r w:rsidRPr="00840978">
        <w:rPr>
          <w:rFonts w:ascii="Simplified Arabic" w:hAnsi="Simplified Arabic" w:cs="Simplified Arabic"/>
          <w:sz w:val="28"/>
          <w:szCs w:val="28"/>
        </w:rPr>
        <w:t>.</w:t>
      </w:r>
    </w:p>
    <w:p w14:paraId="0070527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بالنظر إلى هذه التعريفات المختلفة، يمكن استخلاص عدة سمات مشتركة تميز التحول الرقمي. أولاً، التحول الرقمي هو عملية وليس حدثاً لحظياً، فهو يتطلب وقتاً وجهداً مستمراً ومراحل متعددة</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ثانياً، التقنيات الرقمية تلعب دوراً مركزياً ومحورياً في هذه العملية، لكنها ليست كافية بذاتها بل تحتاج إلى تكامل مع تغييرات تنظيمية واستراتيجية</w:t>
      </w:r>
      <w:r w:rsidRPr="00840978">
        <w:rPr>
          <w:rFonts w:ascii="Simplified Arabic" w:hAnsi="Simplified Arabic" w:cs="Simplified Arabic"/>
          <w:sz w:val="28"/>
          <w:szCs w:val="28"/>
        </w:rPr>
        <w:t xml:space="preserve"> (Westerman et al., 2014). </w:t>
      </w:r>
      <w:r w:rsidRPr="00840978">
        <w:rPr>
          <w:rFonts w:ascii="Simplified Arabic" w:hAnsi="Simplified Arabic" w:cs="Simplified Arabic"/>
          <w:sz w:val="28"/>
          <w:szCs w:val="28"/>
          <w:rtl/>
        </w:rPr>
        <w:t>ثالثاً، التحول الرقمي يتجاوز مجرد تحسين الكفاءة ليشمل إعادة تعريف نماذج الأعمال وطرق خلق القيمة</w:t>
      </w:r>
      <w:r w:rsidRPr="00840978">
        <w:rPr>
          <w:rFonts w:ascii="Simplified Arabic" w:hAnsi="Simplified Arabic" w:cs="Simplified Arabic"/>
          <w:sz w:val="28"/>
          <w:szCs w:val="28"/>
        </w:rPr>
        <w:t xml:space="preserve"> (Matt et al., 2015). </w:t>
      </w:r>
      <w:r w:rsidRPr="00840978">
        <w:rPr>
          <w:rFonts w:ascii="Simplified Arabic" w:hAnsi="Simplified Arabic" w:cs="Simplified Arabic"/>
          <w:sz w:val="28"/>
          <w:szCs w:val="28"/>
          <w:rtl/>
        </w:rPr>
        <w:t>رابعاً، التحول الرقمي يتطلب تغييرات عميقة على مستوى الاستراتيجية والهيكل والثقافة والعمليات والقدرات</w:t>
      </w:r>
      <w:r w:rsidRPr="00840978">
        <w:rPr>
          <w:rFonts w:ascii="Simplified Arabic" w:hAnsi="Simplified Arabic" w:cs="Simplified Arabic"/>
          <w:sz w:val="28"/>
          <w:szCs w:val="28"/>
        </w:rPr>
        <w:t xml:space="preserve"> (Hanelt et al., 2021).</w:t>
      </w:r>
    </w:p>
    <w:p w14:paraId="7019482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المهم أيضاً التمييز بين ثلاثة مفاهيم مرتبطة ولكنها متمايزة، وهي الرقمنة والرقمنة التنظيمية والتحول الرقمي. الرقمنة</w:t>
      </w:r>
      <w:r w:rsidRPr="00840978">
        <w:rPr>
          <w:rFonts w:ascii="Simplified Arabic" w:hAnsi="Simplified Arabic" w:cs="Simplified Arabic"/>
          <w:sz w:val="28"/>
          <w:szCs w:val="28"/>
        </w:rPr>
        <w:t xml:space="preserve"> (Digitization) </w:t>
      </w:r>
      <w:r w:rsidRPr="00840978">
        <w:rPr>
          <w:rFonts w:ascii="Simplified Arabic" w:hAnsi="Simplified Arabic" w:cs="Simplified Arabic"/>
          <w:sz w:val="28"/>
          <w:szCs w:val="28"/>
          <w:rtl/>
        </w:rPr>
        <w:t>تشير إلى التحويل التقني للمعلومات والإشارات من شكل تناظري إلى شكل رقمي</w:t>
      </w:r>
      <w:r w:rsidRPr="00840978">
        <w:rPr>
          <w:rFonts w:ascii="Simplified Arabic" w:hAnsi="Simplified Arabic" w:cs="Simplified Arabic"/>
          <w:sz w:val="28"/>
          <w:szCs w:val="28"/>
        </w:rPr>
        <w:t xml:space="preserve"> (Bloomberg, 2018). </w:t>
      </w:r>
      <w:r w:rsidRPr="00840978">
        <w:rPr>
          <w:rFonts w:ascii="Simplified Arabic" w:hAnsi="Simplified Arabic" w:cs="Simplified Arabic"/>
          <w:sz w:val="28"/>
          <w:szCs w:val="28"/>
          <w:rtl/>
        </w:rPr>
        <w:t>الرقمنة التنظيمية</w:t>
      </w:r>
      <w:r w:rsidRPr="00840978">
        <w:rPr>
          <w:rFonts w:ascii="Simplified Arabic" w:hAnsi="Simplified Arabic" w:cs="Simplified Arabic"/>
          <w:sz w:val="28"/>
          <w:szCs w:val="28"/>
        </w:rPr>
        <w:t xml:space="preserve"> (Digitalization) </w:t>
      </w:r>
      <w:r w:rsidRPr="00840978">
        <w:rPr>
          <w:rFonts w:ascii="Simplified Arabic" w:hAnsi="Simplified Arabic" w:cs="Simplified Arabic"/>
          <w:sz w:val="28"/>
          <w:szCs w:val="28"/>
          <w:rtl/>
        </w:rPr>
        <w:t>تشير إلى استخدام التقنيات الرقمية لتغيير نموذج الأعمال وتوفير فرص جديدة لتوليد الإيرادات وخلق القيمة</w:t>
      </w:r>
      <w:r w:rsidRPr="00840978">
        <w:rPr>
          <w:rFonts w:ascii="Simplified Arabic" w:hAnsi="Simplified Arabic" w:cs="Simplified Arabic"/>
          <w:sz w:val="28"/>
          <w:szCs w:val="28"/>
        </w:rPr>
        <w:t xml:space="preserve"> (Gartner, 2020). </w:t>
      </w:r>
      <w:r w:rsidRPr="00840978">
        <w:rPr>
          <w:rFonts w:ascii="Simplified Arabic" w:hAnsi="Simplified Arabic" w:cs="Simplified Arabic"/>
          <w:sz w:val="28"/>
          <w:szCs w:val="28"/>
          <w:rtl/>
        </w:rPr>
        <w:t>أما التحول الرقمي</w:t>
      </w:r>
      <w:r w:rsidRPr="00840978">
        <w:rPr>
          <w:rFonts w:ascii="Simplified Arabic" w:hAnsi="Simplified Arabic" w:cs="Simplified Arabic"/>
          <w:sz w:val="28"/>
          <w:szCs w:val="28"/>
        </w:rPr>
        <w:t xml:space="preserve"> (Digital Transformation) </w:t>
      </w:r>
      <w:r w:rsidRPr="00840978">
        <w:rPr>
          <w:rFonts w:ascii="Simplified Arabic" w:hAnsi="Simplified Arabic" w:cs="Simplified Arabic"/>
          <w:sz w:val="28"/>
          <w:szCs w:val="28"/>
          <w:rtl/>
        </w:rPr>
        <w:t>فهو المفهوم الأشمل الذي يتضمن الرقمنة والرقمنة التنظيمية، لكنه يتجاوزهما ليشمل التغيير الاستراتيجي والتنظيمي الشامل الذي يعيد تشكيل المنظمة بأكملها</w:t>
      </w:r>
      <w:r w:rsidRPr="00840978">
        <w:rPr>
          <w:rFonts w:ascii="Simplified Arabic" w:hAnsi="Simplified Arabic" w:cs="Simplified Arabic"/>
          <w:sz w:val="28"/>
          <w:szCs w:val="28"/>
        </w:rPr>
        <w:t xml:space="preserve"> (Vial, 2019).</w:t>
      </w:r>
    </w:p>
    <w:p w14:paraId="14F293C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إن فهم التطور التاريخي لمفهوم التحول الرقمي والتمييز بين المفاهيم المرتبطة به يساعد على إدراك أن التحول الرقمي ليس مجرد موضة إدارية عابرة، بل هو تطور طبيعي وضروري في مسار تبني المنظمات للتكنولوجيا، يفرضه التسارع التكنولوجي والتغيرات في توقعات العملاء والضغوط التنافسية المتزايدة</w:t>
      </w:r>
      <w:r w:rsidRPr="00840978">
        <w:rPr>
          <w:rFonts w:ascii="Simplified Arabic" w:hAnsi="Simplified Arabic" w:cs="Simplified Arabic"/>
          <w:sz w:val="28"/>
          <w:szCs w:val="28"/>
        </w:rPr>
        <w:t xml:space="preserve"> (Kraus et al., 2021). </w:t>
      </w:r>
      <w:r w:rsidRPr="00840978">
        <w:rPr>
          <w:rFonts w:ascii="Simplified Arabic" w:hAnsi="Simplified Arabic" w:cs="Simplified Arabic"/>
          <w:sz w:val="28"/>
          <w:szCs w:val="28"/>
          <w:rtl/>
        </w:rPr>
        <w:t>في العقود القادمة، من المتوقع أن يستمر التحول الرقمي في التطور والتعمق، مع ظهور تقنيات جديدة مثل الذكاء الاصطناعي التوليدي والحوسبة الكمية والواقع الممتد، والتي ستفتح آفاقاً جديدة للتحول والابتكار</w:t>
      </w:r>
      <w:r w:rsidRPr="00840978">
        <w:rPr>
          <w:rFonts w:ascii="Simplified Arabic" w:hAnsi="Simplified Arabic" w:cs="Simplified Arabic"/>
          <w:sz w:val="28"/>
          <w:szCs w:val="28"/>
        </w:rPr>
        <w:t>.</w:t>
      </w:r>
    </w:p>
    <w:p w14:paraId="391B3B57" w14:textId="77777777" w:rsidR="00840978" w:rsidRPr="00840978" w:rsidRDefault="00840978" w:rsidP="000126FF">
      <w:pPr>
        <w:pStyle w:val="Heading3"/>
      </w:pPr>
      <w:bookmarkStart w:id="13" w:name="_Toc214041799"/>
      <w:r w:rsidRPr="00840978">
        <w:lastRenderedPageBreak/>
        <w:t xml:space="preserve">2.1.2 </w:t>
      </w:r>
      <w:r w:rsidRPr="00840978">
        <w:rPr>
          <w:rtl/>
        </w:rPr>
        <w:t>أبعاد التحول الرقمي</w:t>
      </w:r>
      <w:bookmarkEnd w:id="13"/>
    </w:p>
    <w:p w14:paraId="64C0457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يتكون التحول الرقمي من عدة أبعاد متداخلة ومتكاملة، وفهم هذه الأبعاد بشكل منفصل ومترابط يساعد على إدراك التعقيد الكامن في عملية التحول الرقمي وتصميم استراتيجيات فعالة لإدارتها. استناداً إلى مراجعة شاملة للأدبيات، يمكن تحديد خمسة أبعاد رئيسية للتحول الرقمي وهي البنية التحتية الرقمية والتقنيات الرقمية والثقافة التنظيمية الرقمية والقدرات الرقمية والاستراتيجية الرقمية</w:t>
      </w:r>
      <w:r w:rsidRPr="00840978">
        <w:rPr>
          <w:rFonts w:ascii="Simplified Arabic" w:hAnsi="Simplified Arabic" w:cs="Simplified Arabic"/>
          <w:sz w:val="28"/>
          <w:szCs w:val="28"/>
        </w:rPr>
        <w:t xml:space="preserve"> (Vial, 2019; Westerman et al., 2014; Hess et al., 2016).</w:t>
      </w:r>
    </w:p>
    <w:p w14:paraId="3F36677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الأول: البنية التحتية الرقمية</w:t>
      </w:r>
    </w:p>
    <w:p w14:paraId="252BE34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البنية التحتية الرقمية الأساس التقني الذي يقوم عليه التحول الرقمي، وهي تشمل مجموعة الموارد التكنولوجية المشتركة التي توفر القدرات اللازمة لتطبيقات نظم المعلومات الحالية والمستقبلية</w:t>
      </w:r>
      <w:r w:rsidRPr="00840978">
        <w:rPr>
          <w:rFonts w:ascii="Simplified Arabic" w:hAnsi="Simplified Arabic" w:cs="Simplified Arabic"/>
          <w:sz w:val="28"/>
          <w:szCs w:val="28"/>
        </w:rPr>
        <w:t xml:space="preserve"> (Ross et al., 1996). </w:t>
      </w:r>
      <w:r w:rsidRPr="00840978">
        <w:rPr>
          <w:rFonts w:ascii="Simplified Arabic" w:hAnsi="Simplified Arabic" w:cs="Simplified Arabic"/>
          <w:sz w:val="28"/>
          <w:szCs w:val="28"/>
          <w:rtl/>
        </w:rPr>
        <w:t>تتكون البنية التحتية الرقمية من عدة مكونات رئيسية تشمل الأجهزة</w:t>
      </w:r>
      <w:r w:rsidRPr="00840978">
        <w:rPr>
          <w:rFonts w:ascii="Simplified Arabic" w:hAnsi="Simplified Arabic" w:cs="Simplified Arabic"/>
          <w:sz w:val="28"/>
          <w:szCs w:val="28"/>
        </w:rPr>
        <w:t xml:space="preserve"> (Hardware) </w:t>
      </w:r>
      <w:r w:rsidRPr="00840978">
        <w:rPr>
          <w:rFonts w:ascii="Simplified Arabic" w:hAnsi="Simplified Arabic" w:cs="Simplified Arabic"/>
          <w:sz w:val="28"/>
          <w:szCs w:val="28"/>
          <w:rtl/>
        </w:rPr>
        <w:t>مثل الخوادم والشبكات والأجهزة المحمولة ومراكز البيانات، والبرمجيات</w:t>
      </w:r>
      <w:r w:rsidRPr="00840978">
        <w:rPr>
          <w:rFonts w:ascii="Simplified Arabic" w:hAnsi="Simplified Arabic" w:cs="Simplified Arabic"/>
          <w:sz w:val="28"/>
          <w:szCs w:val="28"/>
        </w:rPr>
        <w:t xml:space="preserve"> (Software) </w:t>
      </w:r>
      <w:r w:rsidRPr="00840978">
        <w:rPr>
          <w:rFonts w:ascii="Simplified Arabic" w:hAnsi="Simplified Arabic" w:cs="Simplified Arabic"/>
          <w:sz w:val="28"/>
          <w:szCs w:val="28"/>
          <w:rtl/>
        </w:rPr>
        <w:t>مثل أنظمة التشغيل والبرامج التطبيقية وقواعد البيانات، والشبكات</w:t>
      </w:r>
      <w:r w:rsidRPr="00840978">
        <w:rPr>
          <w:rFonts w:ascii="Simplified Arabic" w:hAnsi="Simplified Arabic" w:cs="Simplified Arabic"/>
          <w:sz w:val="28"/>
          <w:szCs w:val="28"/>
        </w:rPr>
        <w:t xml:space="preserve"> (Networks) </w:t>
      </w:r>
      <w:r w:rsidRPr="00840978">
        <w:rPr>
          <w:rFonts w:ascii="Simplified Arabic" w:hAnsi="Simplified Arabic" w:cs="Simplified Arabic"/>
          <w:sz w:val="28"/>
          <w:szCs w:val="28"/>
          <w:rtl/>
        </w:rPr>
        <w:t>التي تربط بين مختلف الأنظمة والأجهزة داخل المنظمة وخارجها، والبيانات</w:t>
      </w:r>
      <w:r w:rsidRPr="00840978">
        <w:rPr>
          <w:rFonts w:ascii="Simplified Arabic" w:hAnsi="Simplified Arabic" w:cs="Simplified Arabic"/>
          <w:sz w:val="28"/>
          <w:szCs w:val="28"/>
        </w:rPr>
        <w:t xml:space="preserve"> (Data) </w:t>
      </w:r>
      <w:r w:rsidRPr="00840978">
        <w:rPr>
          <w:rFonts w:ascii="Simplified Arabic" w:hAnsi="Simplified Arabic" w:cs="Simplified Arabic"/>
          <w:sz w:val="28"/>
          <w:szCs w:val="28"/>
          <w:rtl/>
        </w:rPr>
        <w:t>التي تمثل المادة الخام للعمليات الرقمية والتحليلات</w:t>
      </w:r>
      <w:r w:rsidRPr="00840978">
        <w:rPr>
          <w:rFonts w:ascii="Simplified Arabic" w:hAnsi="Simplified Arabic" w:cs="Simplified Arabic"/>
          <w:sz w:val="28"/>
          <w:szCs w:val="28"/>
        </w:rPr>
        <w:t xml:space="preserve"> (Bharadwaj et al., 2013).</w:t>
      </w:r>
    </w:p>
    <w:p w14:paraId="1FBBB4C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تتميز البنية التحتية الرقمية الحديثة بعدة خصائص مهمة. أولاً، المرونة والقابلية للتوسع، حيث يجب أن تكون البنية التحتية قادرة على التكيف مع الاحتياجات المتغيرة والتوسع أو الانكماش حسب الطلب. ثانياً، التكامل والترابط، حيث يجب أن تكون مختلف المكونات متكاملة ومترابطة بشكل سلس لتمكين تدفق المعلومات والبيانات عبر المنظمة</w:t>
      </w:r>
      <w:r w:rsidRPr="00840978">
        <w:rPr>
          <w:rFonts w:ascii="Simplified Arabic" w:hAnsi="Simplified Arabic" w:cs="Simplified Arabic"/>
          <w:sz w:val="28"/>
          <w:szCs w:val="28"/>
        </w:rPr>
        <w:t xml:space="preserve"> (Sebastian et al., 2020). </w:t>
      </w:r>
      <w:r w:rsidRPr="00840978">
        <w:rPr>
          <w:rFonts w:ascii="Simplified Arabic" w:hAnsi="Simplified Arabic" w:cs="Simplified Arabic"/>
          <w:sz w:val="28"/>
          <w:szCs w:val="28"/>
          <w:rtl/>
        </w:rPr>
        <w:t>ثالثاً، الأمن والموثوقية، حيث يجب أن توفر البنية التحتية مستويات عالية من الحماية ضد التهديدات السيبرانية وتضمن استمرارية الأعمال</w:t>
      </w:r>
      <w:r w:rsidRPr="00840978">
        <w:rPr>
          <w:rFonts w:ascii="Simplified Arabic" w:hAnsi="Simplified Arabic" w:cs="Simplified Arabic"/>
          <w:sz w:val="28"/>
          <w:szCs w:val="28"/>
        </w:rPr>
        <w:t xml:space="preserve"> (Li et al., 2021). </w:t>
      </w:r>
      <w:r w:rsidRPr="00840978">
        <w:rPr>
          <w:rFonts w:ascii="Simplified Arabic" w:hAnsi="Simplified Arabic" w:cs="Simplified Arabic"/>
          <w:sz w:val="28"/>
          <w:szCs w:val="28"/>
          <w:rtl/>
        </w:rPr>
        <w:t>رابعاً، الانفتاح والقدرة على التفاعل مع الأنظمة الخارجية، مما يسهل التعاون مع الشركاء والموردين والعملاء في النظام البيئي الرقمي</w:t>
      </w:r>
      <w:r w:rsidRPr="00840978">
        <w:rPr>
          <w:rFonts w:ascii="Simplified Arabic" w:hAnsi="Simplified Arabic" w:cs="Simplified Arabic"/>
          <w:sz w:val="28"/>
          <w:szCs w:val="28"/>
        </w:rPr>
        <w:t xml:space="preserve"> (Nambisan et al., 2017).</w:t>
      </w:r>
    </w:p>
    <w:p w14:paraId="7F11F0E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تلعب الحوسبة السحابية دوراً محورياً في البنية التحتية الرقمية المعاصرة، حيث توفر مرونة وقابلية للتوسع غير مسبوقة، وتمكن المنظمات من الوصول إلى قدرات حاسوبية وتخزينية هائلة دون الحاجة إلى استثمارات رأسمالية ضخمة في الأجهزة والمرافق</w:t>
      </w:r>
      <w:r w:rsidRPr="00840978">
        <w:rPr>
          <w:rFonts w:ascii="Simplified Arabic" w:hAnsi="Simplified Arabic" w:cs="Simplified Arabic"/>
          <w:sz w:val="28"/>
          <w:szCs w:val="28"/>
        </w:rPr>
        <w:t xml:space="preserve"> (Marston et al., 2011). </w:t>
      </w:r>
      <w:r w:rsidRPr="00840978">
        <w:rPr>
          <w:rFonts w:ascii="Simplified Arabic" w:hAnsi="Simplified Arabic" w:cs="Simplified Arabic"/>
          <w:sz w:val="28"/>
          <w:szCs w:val="28"/>
          <w:rtl/>
        </w:rPr>
        <w:t>تشير الدراسات إلى أن اعتماد الحوسبة السحابية يمثل خطوة أساسية نحو التحول الرقمي، حيث توفر المرونة التشغيلية وتسرع عمليات الابتكار وتخفض التكاليف التشغيلية</w:t>
      </w:r>
      <w:r w:rsidRPr="00840978">
        <w:rPr>
          <w:rFonts w:ascii="Simplified Arabic" w:hAnsi="Simplified Arabic" w:cs="Simplified Arabic"/>
          <w:sz w:val="28"/>
          <w:szCs w:val="28"/>
        </w:rPr>
        <w:t xml:space="preserve"> (Garrison et al., 2015).</w:t>
      </w:r>
    </w:p>
    <w:p w14:paraId="6E54C9B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ناحية أخرى، تمثل منصات التكامل الرقمية</w:t>
      </w:r>
      <w:r w:rsidRPr="00840978">
        <w:rPr>
          <w:rFonts w:ascii="Simplified Arabic" w:hAnsi="Simplified Arabic" w:cs="Simplified Arabic"/>
          <w:sz w:val="28"/>
          <w:szCs w:val="28"/>
        </w:rPr>
        <w:t xml:space="preserve"> (Digital Integration Platforms) </w:t>
      </w:r>
      <w:r w:rsidRPr="00840978">
        <w:rPr>
          <w:rFonts w:ascii="Simplified Arabic" w:hAnsi="Simplified Arabic" w:cs="Simplified Arabic"/>
          <w:sz w:val="28"/>
          <w:szCs w:val="28"/>
          <w:rtl/>
        </w:rPr>
        <w:t xml:space="preserve">عنصراً حاسماً في البنية التحتية الرقمية، حيث تسهل الربط بين الأنظمة المتباينة وتمكن تدفق البيانات والعمليات بسلاسة عبر </w:t>
      </w:r>
      <w:r w:rsidRPr="00840978">
        <w:rPr>
          <w:rFonts w:ascii="Simplified Arabic" w:hAnsi="Simplified Arabic" w:cs="Simplified Arabic"/>
          <w:sz w:val="28"/>
          <w:szCs w:val="28"/>
          <w:rtl/>
        </w:rPr>
        <w:lastRenderedPageBreak/>
        <w:t>حدود المنظمة الداخلية والخارجية</w:t>
      </w:r>
      <w:r w:rsidRPr="00840978">
        <w:rPr>
          <w:rFonts w:ascii="Simplified Arabic" w:hAnsi="Simplified Arabic" w:cs="Simplified Arabic"/>
          <w:sz w:val="28"/>
          <w:szCs w:val="28"/>
        </w:rPr>
        <w:t xml:space="preserve"> (Gawer &amp; Cusumano, 2014). </w:t>
      </w:r>
      <w:r w:rsidRPr="00840978">
        <w:rPr>
          <w:rFonts w:ascii="Simplified Arabic" w:hAnsi="Simplified Arabic" w:cs="Simplified Arabic"/>
          <w:sz w:val="28"/>
          <w:szCs w:val="28"/>
          <w:rtl/>
        </w:rPr>
        <w:t>هذه المنصات تشكل الأساس لما يعرف بالأنظمة البيئية الرقمية</w:t>
      </w:r>
      <w:r w:rsidRPr="00840978">
        <w:rPr>
          <w:rFonts w:ascii="Simplified Arabic" w:hAnsi="Simplified Arabic" w:cs="Simplified Arabic"/>
          <w:sz w:val="28"/>
          <w:szCs w:val="28"/>
        </w:rPr>
        <w:t xml:space="preserve"> (Digital Ecosystems) </w:t>
      </w:r>
      <w:r w:rsidRPr="00840978">
        <w:rPr>
          <w:rFonts w:ascii="Simplified Arabic" w:hAnsi="Simplified Arabic" w:cs="Simplified Arabic"/>
          <w:sz w:val="28"/>
          <w:szCs w:val="28"/>
          <w:rtl/>
        </w:rPr>
        <w:t>التي تربط بين شبكات معقدة من الشركاء والموردين والعملاء ومطوري التطبيقات</w:t>
      </w:r>
      <w:r w:rsidRPr="00840978">
        <w:rPr>
          <w:rFonts w:ascii="Simplified Arabic" w:hAnsi="Simplified Arabic" w:cs="Simplified Arabic"/>
          <w:sz w:val="28"/>
          <w:szCs w:val="28"/>
        </w:rPr>
        <w:t xml:space="preserve"> (Jacobides et al., 2018).</w:t>
      </w:r>
    </w:p>
    <w:p w14:paraId="45CBDAB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الثاني: التقنيات الرقمية</w:t>
      </w:r>
    </w:p>
    <w:p w14:paraId="3893230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يشمل هذا البعد مجموعة واسعة من التقنيات الرقمية الحديثة التي تمثل محركات التحول الرقمي وتوفر الإمكانات اللازمة لإعادة تصور نماذج الأعمال والعمليات. من أبرز هذه التقنيات الذكاء الاصطناعي والتعلم الآلي اللذان يمكنان المنظمات من أتمتة القرارات المعقدة واستخلاص رؤى من كميات ضخمة من البيانات وتقديم تجارب مخصصة للعملاء</w:t>
      </w:r>
      <w:r w:rsidRPr="00840978">
        <w:rPr>
          <w:rFonts w:ascii="Simplified Arabic" w:hAnsi="Simplified Arabic" w:cs="Simplified Arabic"/>
          <w:sz w:val="28"/>
          <w:szCs w:val="28"/>
        </w:rPr>
        <w:t xml:space="preserve"> (Mikalef &amp; Gupta, 2021). </w:t>
      </w:r>
      <w:r w:rsidRPr="00840978">
        <w:rPr>
          <w:rFonts w:ascii="Simplified Arabic" w:hAnsi="Simplified Arabic" w:cs="Simplified Arabic"/>
          <w:sz w:val="28"/>
          <w:szCs w:val="28"/>
          <w:rtl/>
        </w:rPr>
        <w:t>يشير الباحثون إلى أن الذكاء الاصطناعي لا يمثل مجرد أداة للأتمتة، بل هو قدرة استراتيجية يمكن أن تؤثر بشكل جذري على الإبداع التنظيمي والأداء المؤسسي</w:t>
      </w:r>
      <w:r w:rsidRPr="00840978">
        <w:rPr>
          <w:rFonts w:ascii="Simplified Arabic" w:hAnsi="Simplified Arabic" w:cs="Simplified Arabic"/>
          <w:sz w:val="28"/>
          <w:szCs w:val="28"/>
        </w:rPr>
        <w:t xml:space="preserve"> (Collins et al., 2021).</w:t>
      </w:r>
    </w:p>
    <w:p w14:paraId="7FB2CCD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البيانات الضخمة والتحليلات المتقدمة تمثل تقنية محورية أخرى في التحول الرقمي، حيث تمكن المنظمات من جمع ومعالجة وتحليل كميات هائلة من البيانات المهيكلة وغير المهيكلة لاستخلاص رؤى قابلة للتنفيذ تدعم اتخاذ القرارات الاستراتيجية والتشغيلية</w:t>
      </w:r>
      <w:r w:rsidRPr="00840978">
        <w:rPr>
          <w:rFonts w:ascii="Simplified Arabic" w:hAnsi="Simplified Arabic" w:cs="Simplified Arabic"/>
          <w:sz w:val="28"/>
          <w:szCs w:val="28"/>
        </w:rPr>
        <w:t xml:space="preserve"> (Wamba et al., 2015). </w:t>
      </w:r>
      <w:r w:rsidRPr="00840978">
        <w:rPr>
          <w:rFonts w:ascii="Simplified Arabic" w:hAnsi="Simplified Arabic" w:cs="Simplified Arabic"/>
          <w:sz w:val="28"/>
          <w:szCs w:val="28"/>
          <w:rtl/>
        </w:rPr>
        <w:t>التحليلات التنبؤية والوصفية تساعد المنظمات على فهم أنماط العملاء والتنبؤ بالاتجاهات المستقبلية وتحسين العمليات بشكل مستمر</w:t>
      </w:r>
      <w:r w:rsidRPr="00840978">
        <w:rPr>
          <w:rFonts w:ascii="Simplified Arabic" w:hAnsi="Simplified Arabic" w:cs="Simplified Arabic"/>
          <w:sz w:val="28"/>
          <w:szCs w:val="28"/>
        </w:rPr>
        <w:t xml:space="preserve"> (Davenport &amp; Harris, 2007).</w:t>
      </w:r>
    </w:p>
    <w:p w14:paraId="0969D23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إنترنت الأشياء يربط بين أجهزة وأشياء مادية متعددة عبر الإنترنت، مما يتيح جمع بيانات في الوقت الفعلي من البيئة المادية واستخدامها لتحسين العمليات وتطوير منتجات وخدمات ذكية جديدة</w:t>
      </w:r>
      <w:r w:rsidRPr="00840978">
        <w:rPr>
          <w:rFonts w:ascii="Simplified Arabic" w:hAnsi="Simplified Arabic" w:cs="Simplified Arabic"/>
          <w:sz w:val="28"/>
          <w:szCs w:val="28"/>
        </w:rPr>
        <w:t xml:space="preserve"> (Porter &amp; Heppelmann, 2014). </w:t>
      </w:r>
      <w:r w:rsidRPr="00840978">
        <w:rPr>
          <w:rFonts w:ascii="Simplified Arabic" w:hAnsi="Simplified Arabic" w:cs="Simplified Arabic"/>
          <w:sz w:val="28"/>
          <w:szCs w:val="28"/>
          <w:rtl/>
        </w:rPr>
        <w:t>في القطاع الصناعي، أدى إنترنت الأشياء إلى ظهور مفهوم الصناعة الرابعة</w:t>
      </w:r>
      <w:r w:rsidRPr="00840978">
        <w:rPr>
          <w:rFonts w:ascii="Simplified Arabic" w:hAnsi="Simplified Arabic" w:cs="Simplified Arabic"/>
          <w:sz w:val="28"/>
          <w:szCs w:val="28"/>
        </w:rPr>
        <w:t xml:space="preserve"> (Industry 4.0) </w:t>
      </w:r>
      <w:r w:rsidRPr="00840978">
        <w:rPr>
          <w:rFonts w:ascii="Simplified Arabic" w:hAnsi="Simplified Arabic" w:cs="Simplified Arabic"/>
          <w:sz w:val="28"/>
          <w:szCs w:val="28"/>
          <w:rtl/>
        </w:rPr>
        <w:t>الذي يتميز بالمصانع الذكية والإنتاج المرن والصيانة التنبؤية</w:t>
      </w:r>
      <w:r w:rsidRPr="00840978">
        <w:rPr>
          <w:rFonts w:ascii="Simplified Arabic" w:hAnsi="Simplified Arabic" w:cs="Simplified Arabic"/>
          <w:sz w:val="28"/>
          <w:szCs w:val="28"/>
        </w:rPr>
        <w:t xml:space="preserve"> (Müller et al., 2018).</w:t>
      </w:r>
    </w:p>
    <w:p w14:paraId="3BB1532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تقنية البلوكتشين توفر آلية لامركزية وآمنة لتسجيل المعاملات والتحقق منها، مما يفتح إمكانيات جديدة للثقة الرقمية والعقود الذكية وإزالة الوسطاء في العديد من المعاملات التجارية</w:t>
      </w:r>
      <w:r w:rsidRPr="00840978">
        <w:rPr>
          <w:rFonts w:ascii="Simplified Arabic" w:hAnsi="Simplified Arabic" w:cs="Simplified Arabic"/>
          <w:sz w:val="28"/>
          <w:szCs w:val="28"/>
        </w:rPr>
        <w:t xml:space="preserve"> (Iansiti &amp; Lakhani, 2017). </w:t>
      </w:r>
      <w:r w:rsidRPr="00840978">
        <w:rPr>
          <w:rFonts w:ascii="Simplified Arabic" w:hAnsi="Simplified Arabic" w:cs="Simplified Arabic"/>
          <w:sz w:val="28"/>
          <w:szCs w:val="28"/>
          <w:rtl/>
        </w:rPr>
        <w:t>رغم أن تطبيقات البلوكتشين لا تزال في مراحلها الأولى في معظم القطاعات، إلا أن الباحثين يتوقعون أن يكون لها تأثير تحويلي عميق في المستقبل</w:t>
      </w:r>
      <w:r w:rsidRPr="00840978">
        <w:rPr>
          <w:rFonts w:ascii="Simplified Arabic" w:hAnsi="Simplified Arabic" w:cs="Simplified Arabic"/>
          <w:sz w:val="28"/>
          <w:szCs w:val="28"/>
        </w:rPr>
        <w:t xml:space="preserve"> (Beck et al., 2018).</w:t>
      </w:r>
    </w:p>
    <w:p w14:paraId="1CD0DA1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الواقع المعزز والواقع الافتراضي يوفران طرقاً جديدة للتفاعل مع المعلومات والبيئات الرقمية، ولهما تطبيقات واسعة في مجالات مثل التدريب والتسويق وخدمة العملاء وتصميم المنتجات</w:t>
      </w:r>
      <w:r w:rsidRPr="00840978">
        <w:rPr>
          <w:rFonts w:ascii="Simplified Arabic" w:hAnsi="Simplified Arabic" w:cs="Simplified Arabic"/>
          <w:sz w:val="28"/>
          <w:szCs w:val="28"/>
        </w:rPr>
        <w:t xml:space="preserve"> (D</w:t>
      </w:r>
      <w:r w:rsidRPr="00840978">
        <w:rPr>
          <w:rFonts w:ascii="Cambria" w:hAnsi="Cambria" w:cs="Cambria"/>
          <w:sz w:val="28"/>
          <w:szCs w:val="28"/>
        </w:rPr>
        <w:t>ź</w:t>
      </w:r>
      <w:r w:rsidRPr="00840978">
        <w:rPr>
          <w:rFonts w:ascii="Simplified Arabic" w:hAnsi="Simplified Arabic" w:cs="Simplified Arabic"/>
          <w:sz w:val="28"/>
          <w:szCs w:val="28"/>
        </w:rPr>
        <w:t>wigo</w:t>
      </w:r>
      <w:r w:rsidRPr="00840978">
        <w:rPr>
          <w:rFonts w:ascii="Cambria" w:hAnsi="Cambria" w:cs="Cambria"/>
          <w:sz w:val="28"/>
          <w:szCs w:val="28"/>
        </w:rPr>
        <w:t>ł</w:t>
      </w:r>
      <w:r w:rsidRPr="00840978">
        <w:rPr>
          <w:rFonts w:ascii="Simplified Arabic" w:hAnsi="Simplified Arabic" w:cs="Simplified Arabic"/>
          <w:sz w:val="28"/>
          <w:szCs w:val="28"/>
        </w:rPr>
        <w:t xml:space="preserve">, 2021). </w:t>
      </w:r>
      <w:r w:rsidRPr="00840978">
        <w:rPr>
          <w:rFonts w:ascii="Simplified Arabic" w:hAnsi="Simplified Arabic" w:cs="Simplified Arabic"/>
          <w:sz w:val="28"/>
          <w:szCs w:val="28"/>
          <w:rtl/>
        </w:rPr>
        <w:t>تشير الدراسات إلى أن هذه التقنيات الغامرة يمكن أن تحسن تجربة العملاء بشكل كبير وتخلق قنوات جديدة للتفاعل والمشاركة</w:t>
      </w:r>
      <w:r w:rsidRPr="00840978">
        <w:rPr>
          <w:rFonts w:ascii="Simplified Arabic" w:hAnsi="Simplified Arabic" w:cs="Simplified Arabic"/>
          <w:sz w:val="28"/>
          <w:szCs w:val="28"/>
        </w:rPr>
        <w:t xml:space="preserve"> (Scholz &amp; Smith, 2016).</w:t>
      </w:r>
    </w:p>
    <w:p w14:paraId="134B57A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 xml:space="preserve">من المهم التأكيد على أن القيمة الحقيقية للتقنيات الرقمية لا تكمن في التقنيات الفردية بذاتها، بل في التكامل </w:t>
      </w:r>
      <w:r w:rsidRPr="00840978">
        <w:rPr>
          <w:rFonts w:ascii="Simplified Arabic" w:hAnsi="Simplified Arabic" w:cs="Simplified Arabic"/>
          <w:sz w:val="28"/>
          <w:szCs w:val="28"/>
          <w:rtl/>
        </w:rPr>
        <w:lastRenderedPageBreak/>
        <w:t>والتآزر بينها</w:t>
      </w:r>
      <w:r w:rsidRPr="00840978">
        <w:rPr>
          <w:rFonts w:ascii="Simplified Arabic" w:hAnsi="Simplified Arabic" w:cs="Simplified Arabic"/>
          <w:sz w:val="28"/>
          <w:szCs w:val="28"/>
        </w:rPr>
        <w:t xml:space="preserve"> (Baiyere et al., 2020). </w:t>
      </w:r>
      <w:r w:rsidRPr="00840978">
        <w:rPr>
          <w:rFonts w:ascii="Simplified Arabic" w:hAnsi="Simplified Arabic" w:cs="Simplified Arabic"/>
          <w:sz w:val="28"/>
          <w:szCs w:val="28"/>
          <w:rtl/>
        </w:rPr>
        <w:t>فعلى سبيل المثال، يمكن لإنترنت الأشياء أن يجمع كميات هائلة من البيانات، والذكاء الاصطناعي يمكنه تحليل هذه البيانات واستخلاص رؤى، والحوسبة السحابية توفر البنية التحتية لتخزين ومعالجة هذه البيانات، والبلوكتشين يمكنه توفير الأمن والثقة في تبادل البيانات. هذا التكامل بين التقنيات المختلفة هو ما يخلق الإمكانات الحقيقية للتحول الرقمي</w:t>
      </w:r>
      <w:r w:rsidRPr="00840978">
        <w:rPr>
          <w:rFonts w:ascii="Simplified Arabic" w:hAnsi="Simplified Arabic" w:cs="Simplified Arabic"/>
          <w:sz w:val="28"/>
          <w:szCs w:val="28"/>
        </w:rPr>
        <w:t xml:space="preserve"> (Kraus et al., 2021).</w:t>
      </w:r>
    </w:p>
    <w:p w14:paraId="4C6F984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الثالث: الثقافة التنظيمية الرقمية</w:t>
      </w:r>
    </w:p>
    <w:p w14:paraId="7032F05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الثقافة التنظيمية أحد أهم الأبعاد وأكثرها تعقيداً في التحول الرقمي، فهي تشمل مجموعة القيم والمعتقدات والافتراضات والممارسات المشتركة التي تحدد كيفية تفكير الأفراد والمجموعات داخل المنظمة وكيفية تصرفهم تجاه التكنولوجيا والتغيير والابتكار</w:t>
      </w:r>
      <w:r w:rsidRPr="00840978">
        <w:rPr>
          <w:rFonts w:ascii="Simplified Arabic" w:hAnsi="Simplified Arabic" w:cs="Simplified Arabic"/>
          <w:sz w:val="28"/>
          <w:szCs w:val="28"/>
        </w:rPr>
        <w:t xml:space="preserve"> (Schein, 2010). </w:t>
      </w:r>
      <w:r w:rsidRPr="00840978">
        <w:rPr>
          <w:rFonts w:ascii="Simplified Arabic" w:hAnsi="Simplified Arabic" w:cs="Simplified Arabic"/>
          <w:sz w:val="28"/>
          <w:szCs w:val="28"/>
          <w:rtl/>
        </w:rPr>
        <w:t>تشير الدراسات إلى أن الثقافة التنظيمية يمكن أن تكون العامل الحاسم في نجاح أو فشل مبادرات التحول الرقمي، حيث أن الثقافة الداعمة تسهل التبني والتكيف، بينما الثقافة المقاومة يمكن أن تعيق التحول حتى في وجود التقنيات والموارد المناسبة</w:t>
      </w:r>
      <w:r w:rsidRPr="00840978">
        <w:rPr>
          <w:rFonts w:ascii="Simplified Arabic" w:hAnsi="Simplified Arabic" w:cs="Simplified Arabic"/>
          <w:sz w:val="28"/>
          <w:szCs w:val="28"/>
        </w:rPr>
        <w:t xml:space="preserve"> (Kane et al., 2019).</w:t>
      </w:r>
    </w:p>
    <w:p w14:paraId="6D3ABA5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تتميز الثقافة التنظيمية الرقمية بعدة خصائص رئيسية. أولاً، الانفتاح على التغيير والاستعداد لتبني الأفكار الجديدة، حيث يجب أن تشجع الثقافة التنظيمية الأفراد على استكشاف إمكانيات جديدة والتجريب والتعلم من الفشل دون خوف من العقاب</w:t>
      </w:r>
      <w:r w:rsidRPr="00840978">
        <w:rPr>
          <w:rFonts w:ascii="Simplified Arabic" w:hAnsi="Simplified Arabic" w:cs="Simplified Arabic"/>
          <w:sz w:val="28"/>
          <w:szCs w:val="28"/>
        </w:rPr>
        <w:t xml:space="preserve"> (Hartl &amp; Hess, 2017). </w:t>
      </w:r>
      <w:r w:rsidRPr="00840978">
        <w:rPr>
          <w:rFonts w:ascii="Simplified Arabic" w:hAnsi="Simplified Arabic" w:cs="Simplified Arabic"/>
          <w:sz w:val="28"/>
          <w:szCs w:val="28"/>
          <w:rtl/>
        </w:rPr>
        <w:t>ثانياً، التوجه نحو العملاء وفهم احتياجاتهم وتوقعاتهم المتطورة، حيث أن التحول الرقمي الناجح يتطلب تركيزاً مستمراً على خلق قيمة للعملاء واستخدام التكنولوجيا لتحسين تجربتهم</w:t>
      </w:r>
      <w:r w:rsidRPr="00840978">
        <w:rPr>
          <w:rFonts w:ascii="Simplified Arabic" w:hAnsi="Simplified Arabic" w:cs="Simplified Arabic"/>
          <w:sz w:val="28"/>
          <w:szCs w:val="28"/>
        </w:rPr>
        <w:t xml:space="preserve"> (Verhoef et al., 2021).</w:t>
      </w:r>
    </w:p>
    <w:p w14:paraId="010C080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ثقافة الابتكار والتجريب التي تشجع على طرح الأفكار الجديدة واختبارها بسرعة، حتى لو كانت تنطوي على مخاطر</w:t>
      </w:r>
      <w:r w:rsidRPr="00840978">
        <w:rPr>
          <w:rFonts w:ascii="Simplified Arabic" w:hAnsi="Simplified Arabic" w:cs="Simplified Arabic"/>
          <w:sz w:val="28"/>
          <w:szCs w:val="28"/>
        </w:rPr>
        <w:t xml:space="preserve"> (Skog et al., 2018). </w:t>
      </w:r>
      <w:r w:rsidRPr="00840978">
        <w:rPr>
          <w:rFonts w:ascii="Simplified Arabic" w:hAnsi="Simplified Arabic" w:cs="Simplified Arabic"/>
          <w:sz w:val="28"/>
          <w:szCs w:val="28"/>
          <w:rtl/>
        </w:rPr>
        <w:t>المنظمات الناجحة في التحول الرقمي تتبنى منهجيات مثل</w:t>
      </w:r>
      <w:r w:rsidRPr="00840978">
        <w:rPr>
          <w:rFonts w:ascii="Simplified Arabic" w:hAnsi="Simplified Arabic" w:cs="Simplified Arabic"/>
          <w:sz w:val="28"/>
          <w:szCs w:val="28"/>
        </w:rPr>
        <w:t xml:space="preserve"> Lean Startup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Agile </w:t>
      </w:r>
      <w:r w:rsidRPr="00840978">
        <w:rPr>
          <w:rFonts w:ascii="Simplified Arabic" w:hAnsi="Simplified Arabic" w:cs="Simplified Arabic"/>
          <w:sz w:val="28"/>
          <w:szCs w:val="28"/>
          <w:rtl/>
        </w:rPr>
        <w:t>التي تركز على التجريب السريع والتعلم التكراري</w:t>
      </w:r>
      <w:r w:rsidRPr="00840978">
        <w:rPr>
          <w:rFonts w:ascii="Simplified Arabic" w:hAnsi="Simplified Arabic" w:cs="Simplified Arabic"/>
          <w:sz w:val="28"/>
          <w:szCs w:val="28"/>
        </w:rPr>
        <w:t xml:space="preserve"> (Ries, 2011). </w:t>
      </w:r>
      <w:r w:rsidRPr="00840978">
        <w:rPr>
          <w:rFonts w:ascii="Simplified Arabic" w:hAnsi="Simplified Arabic" w:cs="Simplified Arabic"/>
          <w:sz w:val="28"/>
          <w:szCs w:val="28"/>
          <w:rtl/>
        </w:rPr>
        <w:t>رابعاً، التعاون والمشاركة المعرفية عبر الحدود التنظيمية، حيث أن التحول الرقمي يتطلب كسر الصوامع التنظيمية وتعزيز العمل بروح الفريق والتعاون بين الأقسام المختلفة</w:t>
      </w:r>
      <w:r w:rsidRPr="00840978">
        <w:rPr>
          <w:rFonts w:ascii="Simplified Arabic" w:hAnsi="Simplified Arabic" w:cs="Simplified Arabic"/>
          <w:sz w:val="28"/>
          <w:szCs w:val="28"/>
        </w:rPr>
        <w:t xml:space="preserve"> (Singh et al., 2022).</w:t>
      </w:r>
    </w:p>
    <w:p w14:paraId="459BEB33" w14:textId="7410690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خامساً، التوجه نحو البيانات والقرارات المبنية على الأدلة، حيث تعتمد الثقافة الرقمية على استخدام البيانات والتحليلات في اتخاذ القرارات بدلاً من الاعتماد على الحدس والخبرة فقط</w:t>
      </w:r>
      <w:r w:rsidRPr="00840978">
        <w:rPr>
          <w:rFonts w:ascii="Simplified Arabic" w:hAnsi="Simplified Arabic" w:cs="Simplified Arabic"/>
          <w:sz w:val="28"/>
          <w:szCs w:val="28"/>
        </w:rPr>
        <w:t xml:space="preserve"> </w:t>
      </w:r>
      <w:r w:rsidR="0011332D">
        <w:rPr>
          <w:rFonts w:ascii="Simplified Arabic" w:hAnsi="Simplified Arabic" w:cs="Simplified Arabic" w:hint="cs"/>
          <w:sz w:val="28"/>
          <w:szCs w:val="28"/>
          <w:rtl/>
        </w:rPr>
        <w:t>(</w:t>
      </w:r>
      <w:r w:rsidRPr="00840978">
        <w:rPr>
          <w:rFonts w:ascii="Simplified Arabic" w:hAnsi="Simplified Arabic" w:cs="Simplified Arabic"/>
          <w:sz w:val="28"/>
          <w:szCs w:val="28"/>
        </w:rPr>
        <w:t>Davenport &amp; Bean, 2018</w:t>
      </w:r>
      <w:r w:rsidR="0011332D">
        <w:rPr>
          <w:rFonts w:ascii="Simplified Arabic" w:hAnsi="Simplified Arabic" w:cs="Simplified Arabic" w:hint="cs"/>
          <w:sz w:val="28"/>
          <w:szCs w:val="28"/>
          <w:rtl/>
        </w:rPr>
        <w:t>)</w:t>
      </w:r>
      <w:r w:rsidRPr="00840978">
        <w:rPr>
          <w:rFonts w:ascii="Simplified Arabic" w:hAnsi="Simplified Arabic" w:cs="Simplified Arabic"/>
          <w:sz w:val="28"/>
          <w:szCs w:val="28"/>
        </w:rPr>
        <w:t xml:space="preserve">. </w:t>
      </w:r>
      <w:r w:rsidRPr="00840978">
        <w:rPr>
          <w:rFonts w:ascii="Simplified Arabic" w:hAnsi="Simplified Arabic" w:cs="Simplified Arabic"/>
          <w:sz w:val="28"/>
          <w:szCs w:val="28"/>
          <w:rtl/>
        </w:rPr>
        <w:t>سادساً، قبول عدم اليقين والقدرة على التكيف مع التغييرات السريعة في البيئة الخارجية، حيث أن العصر الرقمي يتسم بالتغير السريع وعدم القدرة على التنبؤ، مما يتطلب مرونة ورشاقة تنظيمية عالية</w:t>
      </w:r>
      <w:r w:rsidRPr="00840978">
        <w:rPr>
          <w:rFonts w:ascii="Simplified Arabic" w:hAnsi="Simplified Arabic" w:cs="Simplified Arabic"/>
          <w:sz w:val="28"/>
          <w:szCs w:val="28"/>
        </w:rPr>
        <w:t xml:space="preserve"> (Teece et al., 2016).</w:t>
      </w:r>
    </w:p>
    <w:p w14:paraId="099ADF6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 xml:space="preserve">تطوير ثقافة تنظيمية داعمة للتحول الرقمي ليس بالأمر السهل، فهو يتطلب جهوداً مستمرة ومتعددة المستويات. على مستوى القيادة، يجب أن يكون القادة قدوة في تبني السلوكيات الرقمية ويجب أن يوصلوا </w:t>
      </w:r>
      <w:r w:rsidRPr="00840978">
        <w:rPr>
          <w:rFonts w:ascii="Simplified Arabic" w:hAnsi="Simplified Arabic" w:cs="Simplified Arabic"/>
          <w:sz w:val="28"/>
          <w:szCs w:val="28"/>
          <w:rtl/>
        </w:rPr>
        <w:lastRenderedPageBreak/>
        <w:t>رؤية واضحة حول أهمية التحول الرقمي وفوائده</w:t>
      </w:r>
      <w:r w:rsidRPr="00840978">
        <w:rPr>
          <w:rFonts w:ascii="Simplified Arabic" w:hAnsi="Simplified Arabic" w:cs="Simplified Arabic"/>
          <w:sz w:val="28"/>
          <w:szCs w:val="28"/>
        </w:rPr>
        <w:t xml:space="preserve"> (Dyduch et al., 2021). </w:t>
      </w:r>
      <w:r w:rsidRPr="00840978">
        <w:rPr>
          <w:rFonts w:ascii="Simplified Arabic" w:hAnsi="Simplified Arabic" w:cs="Simplified Arabic"/>
          <w:sz w:val="28"/>
          <w:szCs w:val="28"/>
          <w:rtl/>
        </w:rPr>
        <w:t>على مستوى السياسات والممارسات، يجب أن تدعم أنظمة الحوافز والمكافآت السلوكيات المرغوبة مثل التجريب والتعاون والتعلم المستمر</w:t>
      </w:r>
      <w:r w:rsidRPr="00840978">
        <w:rPr>
          <w:rFonts w:ascii="Simplified Arabic" w:hAnsi="Simplified Arabic" w:cs="Simplified Arabic"/>
          <w:sz w:val="28"/>
          <w:szCs w:val="28"/>
        </w:rPr>
        <w:t xml:space="preserve"> (Cyfert et al., 2025). </w:t>
      </w:r>
      <w:r w:rsidRPr="00840978">
        <w:rPr>
          <w:rFonts w:ascii="Simplified Arabic" w:hAnsi="Simplified Arabic" w:cs="Simplified Arabic"/>
          <w:sz w:val="28"/>
          <w:szCs w:val="28"/>
          <w:rtl/>
        </w:rPr>
        <w:t>على مستوى التواصل، يجب أن تكون هناك قنوات مفتوحة للحوار والمشاركة حول التحول الرقمي وتحدياته وفرصه</w:t>
      </w:r>
      <w:r w:rsidRPr="00840978">
        <w:rPr>
          <w:rFonts w:ascii="Simplified Arabic" w:hAnsi="Simplified Arabic" w:cs="Simplified Arabic"/>
          <w:sz w:val="28"/>
          <w:szCs w:val="28"/>
        </w:rPr>
        <w:t xml:space="preserve"> (Vey et al., 2017).</w:t>
      </w:r>
    </w:p>
    <w:p w14:paraId="1578D8CC"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الرابع: القدرات الرقمية</w:t>
      </w:r>
    </w:p>
    <w:p w14:paraId="5821B8F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القدرات الرقمية إلى المهارات والمعارف والكفاءات التي يحتاجها الأفراد والمنظمات للاستفادة الفعالة من التقنيات الرقمية</w:t>
      </w:r>
      <w:r w:rsidRPr="00840978">
        <w:rPr>
          <w:rFonts w:ascii="Simplified Arabic" w:hAnsi="Simplified Arabic" w:cs="Simplified Arabic"/>
          <w:sz w:val="28"/>
          <w:szCs w:val="28"/>
        </w:rPr>
        <w:t xml:space="preserve"> (Cetindamar Kozanogly &amp; Abedin, 2021). </w:t>
      </w:r>
      <w:r w:rsidRPr="00840978">
        <w:rPr>
          <w:rFonts w:ascii="Simplified Arabic" w:hAnsi="Simplified Arabic" w:cs="Simplified Arabic"/>
          <w:sz w:val="28"/>
          <w:szCs w:val="28"/>
          <w:rtl/>
        </w:rPr>
        <w:t>في عصر التحول الرقمي، لم تعد المهارات التقنية التقليدية كافية، بل يحتاج الموظفون إلى مجموعة واسعة من المهارات الرقمية التي تمكنهم من العمل في بيئة رقمية متغيرة بسرعة</w:t>
      </w:r>
      <w:r w:rsidRPr="00840978">
        <w:rPr>
          <w:rFonts w:ascii="Simplified Arabic" w:hAnsi="Simplified Arabic" w:cs="Simplified Arabic"/>
          <w:sz w:val="28"/>
          <w:szCs w:val="28"/>
        </w:rPr>
        <w:t>.</w:t>
      </w:r>
    </w:p>
    <w:p w14:paraId="20C0BD2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يمكن تصنيف القدرات الرقمية إلى عدة فئات. أولاً، المهارات التقنية الأساسية</w:t>
      </w:r>
      <w:r w:rsidRPr="00840978">
        <w:rPr>
          <w:rFonts w:ascii="Simplified Arabic" w:hAnsi="Simplified Arabic" w:cs="Simplified Arabic"/>
          <w:sz w:val="28"/>
          <w:szCs w:val="28"/>
        </w:rPr>
        <w:t xml:space="preserve"> (Basic Digital Literacy) </w:t>
      </w:r>
      <w:r w:rsidRPr="00840978">
        <w:rPr>
          <w:rFonts w:ascii="Simplified Arabic" w:hAnsi="Simplified Arabic" w:cs="Simplified Arabic"/>
          <w:sz w:val="28"/>
          <w:szCs w:val="28"/>
          <w:rtl/>
        </w:rPr>
        <w:t>التي تشمل القدرة على استخدام الحواسيب والإنترنت والبرمجيات المكتبية الأساسية، وهذه المهارات أصبحت ضرورية لجميع الموظفين بغض النظر عن مستواهم أو تخصصهم</w:t>
      </w:r>
      <w:r w:rsidRPr="00840978">
        <w:rPr>
          <w:rFonts w:ascii="Simplified Arabic" w:hAnsi="Simplified Arabic" w:cs="Simplified Arabic"/>
          <w:sz w:val="28"/>
          <w:szCs w:val="28"/>
        </w:rPr>
        <w:t xml:space="preserve"> (van Laar et al., 2017). </w:t>
      </w:r>
      <w:r w:rsidRPr="00840978">
        <w:rPr>
          <w:rFonts w:ascii="Simplified Arabic" w:hAnsi="Simplified Arabic" w:cs="Simplified Arabic"/>
          <w:sz w:val="28"/>
          <w:szCs w:val="28"/>
          <w:rtl/>
        </w:rPr>
        <w:t>ثانياً، المهارات التقنية المتقدمة</w:t>
      </w:r>
      <w:r w:rsidRPr="00840978">
        <w:rPr>
          <w:rFonts w:ascii="Simplified Arabic" w:hAnsi="Simplified Arabic" w:cs="Simplified Arabic"/>
          <w:sz w:val="28"/>
          <w:szCs w:val="28"/>
        </w:rPr>
        <w:t xml:space="preserve"> (Advanced Technical Skills) </w:t>
      </w:r>
      <w:r w:rsidRPr="00840978">
        <w:rPr>
          <w:rFonts w:ascii="Simplified Arabic" w:hAnsi="Simplified Arabic" w:cs="Simplified Arabic"/>
          <w:sz w:val="28"/>
          <w:szCs w:val="28"/>
          <w:rtl/>
        </w:rPr>
        <w:t>مثل البرمجة وتحليل البيانات وإدارة قواعد البيانات والأمن السيبراني، وهذه المهارات ضرورية للمتخصصين في مجال تكنولوجيا المعلومات ولبعض الأدوار التخصصية الأخرى</w:t>
      </w:r>
      <w:r w:rsidRPr="00840978">
        <w:rPr>
          <w:rFonts w:ascii="Simplified Arabic" w:hAnsi="Simplified Arabic" w:cs="Simplified Arabic"/>
          <w:sz w:val="28"/>
          <w:szCs w:val="28"/>
        </w:rPr>
        <w:t xml:space="preserve"> (Mikalef et al., 2020).</w:t>
      </w:r>
    </w:p>
    <w:p w14:paraId="1D26806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مهارات التفكير الرقمي</w:t>
      </w:r>
      <w:r w:rsidRPr="00840978">
        <w:rPr>
          <w:rFonts w:ascii="Simplified Arabic" w:hAnsi="Simplified Arabic" w:cs="Simplified Arabic"/>
          <w:sz w:val="28"/>
          <w:szCs w:val="28"/>
        </w:rPr>
        <w:t xml:space="preserve"> (Digital Thinking Skills) </w:t>
      </w:r>
      <w:r w:rsidRPr="00840978">
        <w:rPr>
          <w:rFonts w:ascii="Simplified Arabic" w:hAnsi="Simplified Arabic" w:cs="Simplified Arabic"/>
          <w:sz w:val="28"/>
          <w:szCs w:val="28"/>
          <w:rtl/>
        </w:rPr>
        <w:t>التي تشمل القدرة على التفكير النقدي في سياق رقمي، وحل المشكلات باستخدام الأدوات الرقمية، والقدرة على التعلم المستمر ومواكبة التطورات التكنولوجية السريعة</w:t>
      </w:r>
      <w:r w:rsidRPr="00840978">
        <w:rPr>
          <w:rFonts w:ascii="Simplified Arabic" w:hAnsi="Simplified Arabic" w:cs="Simplified Arabic"/>
          <w:sz w:val="28"/>
          <w:szCs w:val="28"/>
        </w:rPr>
        <w:t xml:space="preserve"> (Blanka et al., 2022). </w:t>
      </w:r>
      <w:r w:rsidRPr="00840978">
        <w:rPr>
          <w:rFonts w:ascii="Simplified Arabic" w:hAnsi="Simplified Arabic" w:cs="Simplified Arabic"/>
          <w:sz w:val="28"/>
          <w:szCs w:val="28"/>
          <w:rtl/>
        </w:rPr>
        <w:t>رابعاً، مهارات التعاون الرقمي</w:t>
      </w:r>
      <w:r w:rsidRPr="00840978">
        <w:rPr>
          <w:rFonts w:ascii="Simplified Arabic" w:hAnsi="Simplified Arabic" w:cs="Simplified Arabic"/>
          <w:sz w:val="28"/>
          <w:szCs w:val="28"/>
        </w:rPr>
        <w:t xml:space="preserve"> (Digital Collaboration Skills) </w:t>
      </w:r>
      <w:r w:rsidRPr="00840978">
        <w:rPr>
          <w:rFonts w:ascii="Simplified Arabic" w:hAnsi="Simplified Arabic" w:cs="Simplified Arabic"/>
          <w:sz w:val="28"/>
          <w:szCs w:val="28"/>
          <w:rtl/>
        </w:rPr>
        <w:t>التي تشمل القدرة على العمل في فرق افتراضية، واستخدام أدوات التعاون الرقمي، والتواصل الفعال عبر القنوات الرقمية</w:t>
      </w:r>
      <w:r w:rsidRPr="00840978">
        <w:rPr>
          <w:rFonts w:ascii="Simplified Arabic" w:hAnsi="Simplified Arabic" w:cs="Simplified Arabic"/>
          <w:sz w:val="28"/>
          <w:szCs w:val="28"/>
        </w:rPr>
        <w:t xml:space="preserve"> (Josyula et al., 2021).</w:t>
      </w:r>
    </w:p>
    <w:p w14:paraId="6919B2F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خامساً، المهارات الابتكارية الرقمية</w:t>
      </w:r>
      <w:r w:rsidRPr="00840978">
        <w:rPr>
          <w:rFonts w:ascii="Simplified Arabic" w:hAnsi="Simplified Arabic" w:cs="Simplified Arabic"/>
          <w:sz w:val="28"/>
          <w:szCs w:val="28"/>
        </w:rPr>
        <w:t xml:space="preserve"> (Digital Innovation Skills) </w:t>
      </w:r>
      <w:r w:rsidRPr="00840978">
        <w:rPr>
          <w:rFonts w:ascii="Simplified Arabic" w:hAnsi="Simplified Arabic" w:cs="Simplified Arabic"/>
          <w:sz w:val="28"/>
          <w:szCs w:val="28"/>
          <w:rtl/>
        </w:rPr>
        <w:t>التي تشمل القدرة على تصور واستغلال الإمكانات الجديدة التي توفرها التقنيات الرقمية، وتطوير حلول إبداعية للمشكلات التنظيمية والتجارية باستخدام التكنولوجيا</w:t>
      </w:r>
      <w:r w:rsidRPr="00840978">
        <w:rPr>
          <w:rFonts w:ascii="Simplified Arabic" w:hAnsi="Simplified Arabic" w:cs="Simplified Arabic"/>
          <w:sz w:val="28"/>
          <w:szCs w:val="28"/>
        </w:rPr>
        <w:t xml:space="preserve"> (Nambisan et al., 2017). </w:t>
      </w:r>
      <w:r w:rsidRPr="00840978">
        <w:rPr>
          <w:rFonts w:ascii="Simplified Arabic" w:hAnsi="Simplified Arabic" w:cs="Simplified Arabic"/>
          <w:sz w:val="28"/>
          <w:szCs w:val="28"/>
          <w:rtl/>
        </w:rPr>
        <w:t>سادساً، المهارات القيادية الرقمية</w:t>
      </w:r>
      <w:r w:rsidRPr="00840978">
        <w:rPr>
          <w:rFonts w:ascii="Simplified Arabic" w:hAnsi="Simplified Arabic" w:cs="Simplified Arabic"/>
          <w:sz w:val="28"/>
          <w:szCs w:val="28"/>
        </w:rPr>
        <w:t xml:space="preserve"> (Digital Leadership Skills) </w:t>
      </w:r>
      <w:r w:rsidRPr="00840978">
        <w:rPr>
          <w:rFonts w:ascii="Simplified Arabic" w:hAnsi="Simplified Arabic" w:cs="Simplified Arabic"/>
          <w:sz w:val="28"/>
          <w:szCs w:val="28"/>
          <w:rtl/>
        </w:rPr>
        <w:t>التي تشمل القدرة على قيادة التغيير الرقمي، وإلهام الآخرين، واتخاذ قرارات استراتيجية في سياق رقمي</w:t>
      </w:r>
      <w:r w:rsidRPr="00840978">
        <w:rPr>
          <w:rFonts w:ascii="Simplified Arabic" w:hAnsi="Simplified Arabic" w:cs="Simplified Arabic"/>
          <w:sz w:val="28"/>
          <w:szCs w:val="28"/>
        </w:rPr>
        <w:t xml:space="preserve"> (Kane et al., 2019).</w:t>
      </w:r>
    </w:p>
    <w:p w14:paraId="19F3474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تواجه العديد من المنظمات فجوة كبيرة في المهارات الرقمية، حيث أن سرعة التطور التكنولوجي تفوق قدرة أنظمة التعليم والتدريب على مواكبتها</w:t>
      </w:r>
      <w:r w:rsidRPr="00840978">
        <w:rPr>
          <w:rFonts w:ascii="Simplified Arabic" w:hAnsi="Simplified Arabic" w:cs="Simplified Arabic"/>
          <w:sz w:val="28"/>
          <w:szCs w:val="28"/>
        </w:rPr>
        <w:t xml:space="preserve"> (World Economic Forum, 2020). </w:t>
      </w:r>
      <w:r w:rsidRPr="00840978">
        <w:rPr>
          <w:rFonts w:ascii="Simplified Arabic" w:hAnsi="Simplified Arabic" w:cs="Simplified Arabic"/>
          <w:sz w:val="28"/>
          <w:szCs w:val="28"/>
          <w:rtl/>
        </w:rPr>
        <w:t xml:space="preserve">لمواجهة هذا التحدي، تحتاج المنظمات إلى استراتيجيات متعددة المستويات لبناء القدرات الرقمية. على مستوى التوظيف، يجب أن </w:t>
      </w:r>
      <w:r w:rsidRPr="00840978">
        <w:rPr>
          <w:rFonts w:ascii="Simplified Arabic" w:hAnsi="Simplified Arabic" w:cs="Simplified Arabic"/>
          <w:sz w:val="28"/>
          <w:szCs w:val="28"/>
          <w:rtl/>
        </w:rPr>
        <w:lastRenderedPageBreak/>
        <w:t>تركز المنظمات على جذب المواهب الرقمية من خلال عروض قيمة جذابة وسياسات مرنة</w:t>
      </w:r>
      <w:r w:rsidRPr="00840978">
        <w:rPr>
          <w:rFonts w:ascii="Simplified Arabic" w:hAnsi="Simplified Arabic" w:cs="Simplified Arabic"/>
          <w:sz w:val="28"/>
          <w:szCs w:val="28"/>
        </w:rPr>
        <w:t xml:space="preserve"> (Singh et al., 2022).</w:t>
      </w:r>
    </w:p>
    <w:p w14:paraId="25026CA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على مستوى التطوير، يجب أن تستثمر المنظمات بشكل كبير في برامج التدريب والتطوير المستمر لموظفيها الحاليين، مع التركيز على التعلم التجريبي والتطبيق العملي</w:t>
      </w:r>
      <w:r w:rsidRPr="00840978">
        <w:rPr>
          <w:rFonts w:ascii="Simplified Arabic" w:hAnsi="Simplified Arabic" w:cs="Simplified Arabic"/>
          <w:sz w:val="28"/>
          <w:szCs w:val="28"/>
        </w:rPr>
        <w:t xml:space="preserve"> (Warner &amp; Wäger, 2019). </w:t>
      </w:r>
      <w:r w:rsidRPr="00840978">
        <w:rPr>
          <w:rFonts w:ascii="Simplified Arabic" w:hAnsi="Simplified Arabic" w:cs="Simplified Arabic"/>
          <w:sz w:val="28"/>
          <w:szCs w:val="28"/>
          <w:rtl/>
        </w:rPr>
        <w:t>على مستوى الاحتفاظ، يجب أن توفر المنظمات بيئة عمل محفزة ومسارات واضحة للتطور المهني لضمان الاحتفاظ بالمواهب الرقمية</w:t>
      </w:r>
      <w:r w:rsidRPr="00840978">
        <w:rPr>
          <w:rFonts w:ascii="Simplified Arabic" w:hAnsi="Simplified Arabic" w:cs="Simplified Arabic"/>
          <w:sz w:val="28"/>
          <w:szCs w:val="28"/>
        </w:rPr>
        <w:t xml:space="preserve"> (Vey et al., 2017). </w:t>
      </w:r>
      <w:r w:rsidRPr="00840978">
        <w:rPr>
          <w:rFonts w:ascii="Simplified Arabic" w:hAnsi="Simplified Arabic" w:cs="Simplified Arabic"/>
          <w:sz w:val="28"/>
          <w:szCs w:val="28"/>
          <w:rtl/>
        </w:rPr>
        <w:t>على مستوى الشراكات، يمكن للمنظمات أن تتعاون مع الجامعات ومراكز التدريب والشركات التكنولوجية لسد الفجوة في المهارات الرقمية</w:t>
      </w:r>
      <w:r w:rsidRPr="00840978">
        <w:rPr>
          <w:rFonts w:ascii="Simplified Arabic" w:hAnsi="Simplified Arabic" w:cs="Simplified Arabic"/>
          <w:sz w:val="28"/>
          <w:szCs w:val="28"/>
        </w:rPr>
        <w:t>.</w:t>
      </w:r>
    </w:p>
    <w:p w14:paraId="690FE25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الخامس: الاستراتيجية الرقمية</w:t>
      </w:r>
    </w:p>
    <w:p w14:paraId="216A237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الاستراتيجية الرقمية البعد التوجيهي للتحول الرقمي، حيث تحدد الرؤية والأهداف والأولويات والمسارات التي ستتبعها المنظمة في رحلة التحول. تُعرف الاستراتيجية الرقمية بأنها "استراتيجية الأعمال التي تستخدم التكنولوجيا الرقمية لتحويل نماذج الأعمال، من خلال خلق قدرات جديدة لإنتاج القيمة</w:t>
      </w:r>
      <w:r w:rsidRPr="00840978">
        <w:rPr>
          <w:rFonts w:ascii="Simplified Arabic" w:hAnsi="Simplified Arabic" w:cs="Simplified Arabic"/>
          <w:sz w:val="28"/>
          <w:szCs w:val="28"/>
        </w:rPr>
        <w:t xml:space="preserve">" (Bharadwaj et al., 2013, p. 472). </w:t>
      </w:r>
      <w:r w:rsidRPr="00840978">
        <w:rPr>
          <w:rFonts w:ascii="Simplified Arabic" w:hAnsi="Simplified Arabic" w:cs="Simplified Arabic"/>
          <w:sz w:val="28"/>
          <w:szCs w:val="28"/>
          <w:rtl/>
        </w:rPr>
        <w:t>هذا التعريف يشير إلى أن الاستراتيجية الرقمية ليست مجرد استراتيجية لتكنولوجيا المعلومات، بل هي استراتيجية أعمال شاملة تستفيد من التكنولوجيا الرقمية</w:t>
      </w:r>
      <w:r w:rsidRPr="00840978">
        <w:rPr>
          <w:rFonts w:ascii="Simplified Arabic" w:hAnsi="Simplified Arabic" w:cs="Simplified Arabic"/>
          <w:sz w:val="28"/>
          <w:szCs w:val="28"/>
        </w:rPr>
        <w:t>.</w:t>
      </w:r>
    </w:p>
    <w:p w14:paraId="7FDFE84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تطوير استراتيجية رقمية فعالة يتطلب النظر في عدة أبعاد رئيسية. وفقاً لإطار هيس وزملائه</w:t>
      </w:r>
      <w:r w:rsidRPr="00840978">
        <w:rPr>
          <w:rFonts w:ascii="Simplified Arabic" w:hAnsi="Simplified Arabic" w:cs="Simplified Arabic"/>
          <w:sz w:val="28"/>
          <w:szCs w:val="28"/>
        </w:rPr>
        <w:t xml:space="preserve"> (Hess et al., 2016)</w:t>
      </w:r>
      <w:r w:rsidRPr="00840978">
        <w:rPr>
          <w:rFonts w:ascii="Simplified Arabic" w:hAnsi="Simplified Arabic" w:cs="Simplified Arabic"/>
          <w:sz w:val="28"/>
          <w:szCs w:val="28"/>
          <w:rtl/>
        </w:rPr>
        <w:t>، تشمل الاستراتيجية الرقمية أربعة أبعاد هي استخدام التقنيات</w:t>
      </w:r>
      <w:r w:rsidRPr="00840978">
        <w:rPr>
          <w:rFonts w:ascii="Simplified Arabic" w:hAnsi="Simplified Arabic" w:cs="Simplified Arabic"/>
          <w:sz w:val="28"/>
          <w:szCs w:val="28"/>
        </w:rPr>
        <w:t xml:space="preserve"> (Use of Technologies) </w:t>
      </w:r>
      <w:r w:rsidRPr="00840978">
        <w:rPr>
          <w:rFonts w:ascii="Simplified Arabic" w:hAnsi="Simplified Arabic" w:cs="Simplified Arabic"/>
          <w:sz w:val="28"/>
          <w:szCs w:val="28"/>
          <w:rtl/>
        </w:rPr>
        <w:t>والتغييرات في خلق القيمة</w:t>
      </w:r>
      <w:r w:rsidRPr="00840978">
        <w:rPr>
          <w:rFonts w:ascii="Simplified Arabic" w:hAnsi="Simplified Arabic" w:cs="Simplified Arabic"/>
          <w:sz w:val="28"/>
          <w:szCs w:val="28"/>
        </w:rPr>
        <w:t xml:space="preserve"> (Changes in Value Creation) </w:t>
      </w:r>
      <w:r w:rsidRPr="00840978">
        <w:rPr>
          <w:rFonts w:ascii="Simplified Arabic" w:hAnsi="Simplified Arabic" w:cs="Simplified Arabic"/>
          <w:sz w:val="28"/>
          <w:szCs w:val="28"/>
          <w:rtl/>
        </w:rPr>
        <w:t>والتغييرات الهيكلية</w:t>
      </w:r>
      <w:r w:rsidRPr="00840978">
        <w:rPr>
          <w:rFonts w:ascii="Simplified Arabic" w:hAnsi="Simplified Arabic" w:cs="Simplified Arabic"/>
          <w:sz w:val="28"/>
          <w:szCs w:val="28"/>
        </w:rPr>
        <w:t xml:space="preserve"> (Structural Changes) </w:t>
      </w:r>
      <w:r w:rsidRPr="00840978">
        <w:rPr>
          <w:rFonts w:ascii="Simplified Arabic" w:hAnsi="Simplified Arabic" w:cs="Simplified Arabic"/>
          <w:sz w:val="28"/>
          <w:szCs w:val="28"/>
          <w:rtl/>
        </w:rPr>
        <w:t>والجوانب المالية</w:t>
      </w:r>
      <w:r w:rsidRPr="00840978">
        <w:rPr>
          <w:rFonts w:ascii="Simplified Arabic" w:hAnsi="Simplified Arabic" w:cs="Simplified Arabic"/>
          <w:sz w:val="28"/>
          <w:szCs w:val="28"/>
        </w:rPr>
        <w:t xml:space="preserve"> (Financial Aspects). </w:t>
      </w:r>
      <w:r w:rsidRPr="00840978">
        <w:rPr>
          <w:rFonts w:ascii="Simplified Arabic" w:hAnsi="Simplified Arabic" w:cs="Simplified Arabic"/>
          <w:sz w:val="28"/>
          <w:szCs w:val="28"/>
          <w:rtl/>
        </w:rPr>
        <w:t>البعد الأول يتعلق بتحديد التقنيات الرقمية التي ستستثمر فيها المنظمة وكيفية استخدامها. البعد الثاني يركز على كيفية إعادة تصميم نموذج الأعمال وطرق خلق القيمة للعملاء باستخدام التكنولوجيا الرقمية</w:t>
      </w:r>
      <w:r w:rsidRPr="00840978">
        <w:rPr>
          <w:rFonts w:ascii="Simplified Arabic" w:hAnsi="Simplified Arabic" w:cs="Simplified Arabic"/>
          <w:sz w:val="28"/>
          <w:szCs w:val="28"/>
        </w:rPr>
        <w:t>.</w:t>
      </w:r>
    </w:p>
    <w:p w14:paraId="4BDF717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البعد الثالث يتناول التغييرات المطلوبة في الهيكل التنظيمي والعمليات والقدرات لتمكين التحول الرقمي. البعد الرابع يتعلق بالموارد المالية المطلوبة للتحول الرقمي وكيفية تمويله وقياس عوائده</w:t>
      </w:r>
      <w:r w:rsidRPr="00840978">
        <w:rPr>
          <w:rFonts w:ascii="Simplified Arabic" w:hAnsi="Simplified Arabic" w:cs="Simplified Arabic"/>
          <w:sz w:val="28"/>
          <w:szCs w:val="28"/>
        </w:rPr>
        <w:t xml:space="preserve"> (Hess et al., 2016). </w:t>
      </w:r>
      <w:r w:rsidRPr="00840978">
        <w:rPr>
          <w:rFonts w:ascii="Simplified Arabic" w:hAnsi="Simplified Arabic" w:cs="Simplified Arabic"/>
          <w:sz w:val="28"/>
          <w:szCs w:val="28"/>
          <w:rtl/>
        </w:rPr>
        <w:t>عند صياغة الاستراتيجية الرقمية، يجب على المنظمات أن تأخذ في الاعتبار عدة عوامل رئيسية</w:t>
      </w:r>
      <w:r w:rsidRPr="00840978">
        <w:rPr>
          <w:rFonts w:ascii="Simplified Arabic" w:hAnsi="Simplified Arabic" w:cs="Simplified Arabic"/>
          <w:sz w:val="28"/>
          <w:szCs w:val="28"/>
        </w:rPr>
        <w:t>.</w:t>
      </w:r>
    </w:p>
    <w:p w14:paraId="560FE0F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أولاً، التوافق الاستراتيجي</w:t>
      </w:r>
      <w:r w:rsidRPr="00840978">
        <w:rPr>
          <w:rFonts w:ascii="Simplified Arabic" w:hAnsi="Simplified Arabic" w:cs="Simplified Arabic"/>
          <w:sz w:val="28"/>
          <w:szCs w:val="28"/>
        </w:rPr>
        <w:t xml:space="preserve"> (Strategic Alignment) </w:t>
      </w:r>
      <w:r w:rsidRPr="00840978">
        <w:rPr>
          <w:rFonts w:ascii="Simplified Arabic" w:hAnsi="Simplified Arabic" w:cs="Simplified Arabic"/>
          <w:sz w:val="28"/>
          <w:szCs w:val="28"/>
          <w:rtl/>
        </w:rPr>
        <w:t>بين الاستراتيجية الرقمية والاستراتيجية العامة للمنظمة، حيث يجب أن تكون الاستراتيجية الرقمية متكاملة مع الأهداف والأولويات الاستراتيجية الشاملة وليست منفصلة عنها</w:t>
      </w:r>
      <w:r w:rsidRPr="00840978">
        <w:rPr>
          <w:rFonts w:ascii="Simplified Arabic" w:hAnsi="Simplified Arabic" w:cs="Simplified Arabic"/>
          <w:sz w:val="28"/>
          <w:szCs w:val="28"/>
        </w:rPr>
        <w:t xml:space="preserve"> (Matt et al., 2015). </w:t>
      </w:r>
      <w:r w:rsidRPr="00840978">
        <w:rPr>
          <w:rFonts w:ascii="Simplified Arabic" w:hAnsi="Simplified Arabic" w:cs="Simplified Arabic"/>
          <w:sz w:val="28"/>
          <w:szCs w:val="28"/>
          <w:rtl/>
        </w:rPr>
        <w:t>ثانياً، التركيز على العملاء ووضع احتياجاتهم وتوقعاتهم في مركز الاستراتيجية الرقمية</w:t>
      </w:r>
      <w:r w:rsidRPr="00840978">
        <w:rPr>
          <w:rFonts w:ascii="Simplified Arabic" w:hAnsi="Simplified Arabic" w:cs="Simplified Arabic"/>
          <w:sz w:val="28"/>
          <w:szCs w:val="28"/>
        </w:rPr>
        <w:t xml:space="preserve"> (Verhoef et al., 2021).</w:t>
      </w:r>
    </w:p>
    <w:p w14:paraId="3A36CA5C"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المرونة والقدرة على التكيف، حيث يجب أن تكون الاستراتيجية الرقمية مرنة بما يكفي للتكيف مع التغيرات السريعة في التكنولوجيا والسوق</w:t>
      </w:r>
      <w:r w:rsidRPr="00840978">
        <w:rPr>
          <w:rFonts w:ascii="Simplified Arabic" w:hAnsi="Simplified Arabic" w:cs="Simplified Arabic"/>
          <w:sz w:val="28"/>
          <w:szCs w:val="28"/>
        </w:rPr>
        <w:t xml:space="preserve"> (Teece, 2007). </w:t>
      </w:r>
      <w:r w:rsidRPr="00840978">
        <w:rPr>
          <w:rFonts w:ascii="Simplified Arabic" w:hAnsi="Simplified Arabic" w:cs="Simplified Arabic"/>
          <w:sz w:val="28"/>
          <w:szCs w:val="28"/>
          <w:rtl/>
        </w:rPr>
        <w:t xml:space="preserve">رابعاً، التدرج والأولويات، حيث لا يمكن </w:t>
      </w:r>
      <w:r w:rsidRPr="00840978">
        <w:rPr>
          <w:rFonts w:ascii="Simplified Arabic" w:hAnsi="Simplified Arabic" w:cs="Simplified Arabic"/>
          <w:sz w:val="28"/>
          <w:szCs w:val="28"/>
          <w:rtl/>
        </w:rPr>
        <w:lastRenderedPageBreak/>
        <w:t>للمنظمات أن تنفذ كل شيء دفعة واحدة، بل يجب أن تحدد أولويات واضحة ومسارات تدريجية للتحول</w:t>
      </w:r>
      <w:r w:rsidRPr="00840978">
        <w:rPr>
          <w:rFonts w:ascii="Simplified Arabic" w:hAnsi="Simplified Arabic" w:cs="Simplified Arabic"/>
          <w:sz w:val="28"/>
          <w:szCs w:val="28"/>
        </w:rPr>
        <w:t xml:space="preserve"> (Correani et al., 2020).</w:t>
      </w:r>
    </w:p>
    <w:p w14:paraId="62FE08B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خامساً، إدارة المخاطر، حيث يجب أن تتضمن الاستراتيجية الرقمية تقييماً واضحاً للمخاطر المحتملة (التقنية والتنظيمية والمالية والسوقية) واستراتيجيات للتخفيف منها</w:t>
      </w:r>
      <w:r w:rsidRPr="00840978">
        <w:rPr>
          <w:rFonts w:ascii="Simplified Arabic" w:hAnsi="Simplified Arabic" w:cs="Simplified Arabic"/>
          <w:sz w:val="28"/>
          <w:szCs w:val="28"/>
        </w:rPr>
        <w:t xml:space="preserve"> (Chouaibi et al., 2022). </w:t>
      </w:r>
      <w:r w:rsidRPr="00840978">
        <w:rPr>
          <w:rFonts w:ascii="Simplified Arabic" w:hAnsi="Simplified Arabic" w:cs="Simplified Arabic"/>
          <w:sz w:val="28"/>
          <w:szCs w:val="28"/>
          <w:rtl/>
        </w:rPr>
        <w:t>سادساً، قياس النجاح، حيث يجب أن تحدد الاستراتيجية مؤشرات أداء رئيسية واضحة لقياس التقدم في التحول الرقمي وتأثيره على الأداء التنظيمي</w:t>
      </w:r>
      <w:r w:rsidRPr="00840978">
        <w:rPr>
          <w:rFonts w:ascii="Simplified Arabic" w:hAnsi="Simplified Arabic" w:cs="Simplified Arabic"/>
          <w:sz w:val="28"/>
          <w:szCs w:val="28"/>
        </w:rPr>
        <w:t xml:space="preserve"> (Kaplan &amp; Norton, 1996).</w:t>
      </w:r>
    </w:p>
    <w:p w14:paraId="33B2959F" w14:textId="19E8B858" w:rsid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المهم أيضاً التأكيد على أن تطوير الاستراتيجية الرقمية ليس حدثاً لحظياً بل عملية مستمرة تتطلب مراجعة وتحديثاً دورياً استجابة للتغيرات في البيئة الداخلية والخارجية</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المنظمات الناجحة في التحول الرقمي تتبنى نهجاً تكرارياً ومرناً في تطوير وتنفيذ استراتيجياتها الرقمية، مع التركيز على التعلم المستمر والتكيف</w:t>
      </w:r>
      <w:r w:rsidRPr="00840978">
        <w:rPr>
          <w:rFonts w:ascii="Simplified Arabic" w:hAnsi="Simplified Arabic" w:cs="Simplified Arabic"/>
          <w:sz w:val="28"/>
          <w:szCs w:val="28"/>
        </w:rPr>
        <w:t xml:space="preserve"> (Skog et al., 2018).</w:t>
      </w:r>
    </w:p>
    <w:p w14:paraId="5AC9D04C" w14:textId="77777777" w:rsidR="00840978" w:rsidRPr="00840978" w:rsidRDefault="00840978" w:rsidP="000126FF">
      <w:pPr>
        <w:pStyle w:val="Heading3"/>
      </w:pPr>
      <w:bookmarkStart w:id="14" w:name="_Toc214041800"/>
      <w:r w:rsidRPr="00840978">
        <w:t xml:space="preserve">2.1.3 </w:t>
      </w:r>
      <w:r w:rsidRPr="00840978">
        <w:rPr>
          <w:rtl/>
        </w:rPr>
        <w:t>التقنيات الرقمية الحديثة الداعمة للتحول</w:t>
      </w:r>
      <w:bookmarkEnd w:id="14"/>
    </w:p>
    <w:p w14:paraId="0B48DF3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يعتمد التحول الرقمي على مجموعة من التقنيات المتقدمة التي تتطور بشكل متسارع وتتكامل مع بعضها لخلق إمكانات غير مسبوقة. في هذا القسم، نستعرض بالتفصيل أهم التقنيات الرقمية التي تدعم التحول الرقمي وتطبيقاتها في سياق الأعمال</w:t>
      </w:r>
      <w:r w:rsidRPr="00840978">
        <w:rPr>
          <w:rFonts w:ascii="Simplified Arabic" w:hAnsi="Simplified Arabic" w:cs="Simplified Arabic"/>
          <w:sz w:val="28"/>
          <w:szCs w:val="28"/>
        </w:rPr>
        <w:t>.</w:t>
      </w:r>
    </w:p>
    <w:p w14:paraId="05A7C7C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الذكاء الاصطناعي والتعلم الآلي</w:t>
      </w:r>
    </w:p>
    <w:p w14:paraId="10A8CB4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يمثل الذكاء الاصطناعي أحد أقوى محركات التحول الرقمي في العصر الحالي، حيث يمكّن الآلات من محاكاة القدرات البشرية في التعلم والتفكير واتخاذ القرارات. يشمل الذكاء الاصطناعي مجموعة واسعة من التقنيات مثل التعلم الآلي والتعلم العميق ومعالجة اللغة الطبيعية ورؤية الحاسوب والأنظمة الخبيرة</w:t>
      </w:r>
      <w:r w:rsidRPr="00840978">
        <w:rPr>
          <w:rFonts w:ascii="Simplified Arabic" w:hAnsi="Simplified Arabic" w:cs="Simplified Arabic"/>
          <w:sz w:val="28"/>
          <w:szCs w:val="28"/>
        </w:rPr>
        <w:t xml:space="preserve"> (Mikalef &amp; Gupta, 2021). </w:t>
      </w:r>
      <w:r w:rsidRPr="00840978">
        <w:rPr>
          <w:rFonts w:ascii="Simplified Arabic" w:hAnsi="Simplified Arabic" w:cs="Simplified Arabic"/>
          <w:sz w:val="28"/>
          <w:szCs w:val="28"/>
          <w:rtl/>
        </w:rPr>
        <w:t>التعلم الآلي، وهو فرع من الذكاء الاصطناعي، يمكّن الأنظمة من التعلم من البيانات وتحسين أدائها تلقائياً دون برمجة صريحة، مما يفتح إمكانات هائلة للتنبؤ والتحسين والأتمتة الذكية</w:t>
      </w:r>
      <w:r w:rsidRPr="00840978">
        <w:rPr>
          <w:rFonts w:ascii="Simplified Arabic" w:hAnsi="Simplified Arabic" w:cs="Simplified Arabic"/>
          <w:sz w:val="28"/>
          <w:szCs w:val="28"/>
        </w:rPr>
        <w:t>.</w:t>
      </w:r>
    </w:p>
    <w:p w14:paraId="368A56E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الأعمال، تتعدد تطبيقات الذكاء الاصطناعي بشكل كبير. في مجال خدمة العملاء، تستخدم الشركات روبوتات الدردشة الذكية والمساعدين الافتراضيين المدعومين بالذكاء الاصطناعي لتقديم دعم فوري للعملاء على مدار الساعة والإجابة على استفساراتهم وحل مشكلاتهم بكفاءة عالية</w:t>
      </w:r>
      <w:r w:rsidRPr="00840978">
        <w:rPr>
          <w:rFonts w:ascii="Simplified Arabic" w:hAnsi="Simplified Arabic" w:cs="Simplified Arabic"/>
          <w:sz w:val="28"/>
          <w:szCs w:val="28"/>
        </w:rPr>
        <w:t xml:space="preserve"> (Huang &amp; Rust, 2018). </w:t>
      </w:r>
      <w:r w:rsidRPr="00840978">
        <w:rPr>
          <w:rFonts w:ascii="Simplified Arabic" w:hAnsi="Simplified Arabic" w:cs="Simplified Arabic"/>
          <w:sz w:val="28"/>
          <w:szCs w:val="28"/>
          <w:rtl/>
        </w:rPr>
        <w:t>في مجال التسويق، يستخدم الذكاء الاصطناعي لتحليل سلوك العملاء والتنبؤ بتفضيلاتهم وتخصيص الرسائل التسويقية والعروض بشكل فردي لكل عميل، مما يحسن معدلات التحويل ورضا العملاء</w:t>
      </w:r>
      <w:r w:rsidRPr="00840978">
        <w:rPr>
          <w:rFonts w:ascii="Simplified Arabic" w:hAnsi="Simplified Arabic" w:cs="Simplified Arabic"/>
          <w:sz w:val="28"/>
          <w:szCs w:val="28"/>
        </w:rPr>
        <w:t xml:space="preserve"> (Davenport et al., 2020).</w:t>
      </w:r>
    </w:p>
    <w:p w14:paraId="7434B10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 xml:space="preserve">في مجال العمليات، يستخدم الذكاء الاصطناعي لأتمتة المهام المعقدة والمتكررة، وتحسين سلاسل التوريد من خلال التنبؤ بالطلب وتحسين المخزون، وتحسين عمليات التصنيع من خلال الصيانة التنبؤية ومراقبة الجودة </w:t>
      </w:r>
      <w:r w:rsidRPr="00840978">
        <w:rPr>
          <w:rFonts w:ascii="Simplified Arabic" w:hAnsi="Simplified Arabic" w:cs="Simplified Arabic"/>
          <w:sz w:val="28"/>
          <w:szCs w:val="28"/>
          <w:rtl/>
        </w:rPr>
        <w:lastRenderedPageBreak/>
        <w:t>الآلية</w:t>
      </w:r>
      <w:r w:rsidRPr="00840978">
        <w:rPr>
          <w:rFonts w:ascii="Simplified Arabic" w:hAnsi="Simplified Arabic" w:cs="Simplified Arabic"/>
          <w:sz w:val="28"/>
          <w:szCs w:val="28"/>
        </w:rPr>
        <w:t xml:space="preserve"> (Dubey et al., 2024). </w:t>
      </w:r>
      <w:r w:rsidRPr="00840978">
        <w:rPr>
          <w:rFonts w:ascii="Simplified Arabic" w:hAnsi="Simplified Arabic" w:cs="Simplified Arabic"/>
          <w:sz w:val="28"/>
          <w:szCs w:val="28"/>
          <w:rtl/>
        </w:rPr>
        <w:t>في مجال الموارد البشرية، يستخدم الذكاء الاصطناعي لفحص السير الذاتية واختيار المرشحين المناسبين وتوقع معدلات دوران الموظفين وتخصيص برامج التدريب والتطوير</w:t>
      </w:r>
      <w:r w:rsidRPr="00840978">
        <w:rPr>
          <w:rFonts w:ascii="Simplified Arabic" w:hAnsi="Simplified Arabic" w:cs="Simplified Arabic"/>
          <w:sz w:val="28"/>
          <w:szCs w:val="28"/>
        </w:rPr>
        <w:t xml:space="preserve"> (Tambe et al., 2019).</w:t>
      </w:r>
    </w:p>
    <w:p w14:paraId="24788D4C"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الأبحاث إلى أن الذكاء الاصطناعي لا يمثل مجرد أداة للكفاءة، بل يمكن أن يكون قدرة استراتيجية تعزز الإبداع التنظيمي والأداء المؤسسي</w:t>
      </w:r>
      <w:r w:rsidRPr="00840978">
        <w:rPr>
          <w:rFonts w:ascii="Simplified Arabic" w:hAnsi="Simplified Arabic" w:cs="Simplified Arabic"/>
          <w:sz w:val="28"/>
          <w:szCs w:val="28"/>
        </w:rPr>
        <w:t xml:space="preserve"> (Mikalef &amp; Gupta, 2021). </w:t>
      </w:r>
      <w:r w:rsidRPr="00840978">
        <w:rPr>
          <w:rFonts w:ascii="Simplified Arabic" w:hAnsi="Simplified Arabic" w:cs="Simplified Arabic"/>
          <w:sz w:val="28"/>
          <w:szCs w:val="28"/>
          <w:rtl/>
        </w:rPr>
        <w:t>الشركات التي تطور قدرات قوية في مجال الذكاء الاصطناعي تكتسب ميزة تنافسية كبيرة من خلال قدرتها على اتخاذ قرارات أسرع وأكثر دقة واستنادها إلى البيانات والأدلة</w:t>
      </w:r>
      <w:r w:rsidRPr="00840978">
        <w:rPr>
          <w:rFonts w:ascii="Simplified Arabic" w:hAnsi="Simplified Arabic" w:cs="Simplified Arabic"/>
          <w:sz w:val="28"/>
          <w:szCs w:val="28"/>
        </w:rPr>
        <w:t xml:space="preserve"> (Collins et al., 2021).</w:t>
      </w:r>
    </w:p>
    <w:p w14:paraId="3FD16D2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البيانات الضخمة والتحليلات المتقدمة</w:t>
      </w:r>
    </w:p>
    <w:p w14:paraId="60557B7C"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البيانات الضخمة كميات هائلة من البيانات المهيكلة وغير المهيكلة التي تنتج من مصادر متعددة بسرعة عالية وتتطلب تقنيات متقدمة لتخزينها ومعالجتها وتحليلها. تتميز البيانات الضخمة بخمس خصائص رئيسية يشار إليها بالـ 5</w:t>
      </w:r>
      <w:r w:rsidRPr="00840978">
        <w:rPr>
          <w:rFonts w:ascii="Simplified Arabic" w:hAnsi="Simplified Arabic" w:cs="Simplified Arabic"/>
          <w:sz w:val="28"/>
          <w:szCs w:val="28"/>
        </w:rPr>
        <w:t xml:space="preserve">Vs </w:t>
      </w:r>
      <w:r w:rsidRPr="00840978">
        <w:rPr>
          <w:rFonts w:ascii="Simplified Arabic" w:hAnsi="Simplified Arabic" w:cs="Simplified Arabic"/>
          <w:sz w:val="28"/>
          <w:szCs w:val="28"/>
          <w:rtl/>
        </w:rPr>
        <w:t>وهي الحجم</w:t>
      </w:r>
      <w:r w:rsidRPr="00840978">
        <w:rPr>
          <w:rFonts w:ascii="Simplified Arabic" w:hAnsi="Simplified Arabic" w:cs="Simplified Arabic"/>
          <w:sz w:val="28"/>
          <w:szCs w:val="28"/>
        </w:rPr>
        <w:t xml:space="preserve"> (Volume) </w:t>
      </w:r>
      <w:r w:rsidRPr="00840978">
        <w:rPr>
          <w:rFonts w:ascii="Simplified Arabic" w:hAnsi="Simplified Arabic" w:cs="Simplified Arabic"/>
          <w:sz w:val="28"/>
          <w:szCs w:val="28"/>
          <w:rtl/>
        </w:rPr>
        <w:t>والسرعة</w:t>
      </w:r>
      <w:r w:rsidRPr="00840978">
        <w:rPr>
          <w:rFonts w:ascii="Simplified Arabic" w:hAnsi="Simplified Arabic" w:cs="Simplified Arabic"/>
          <w:sz w:val="28"/>
          <w:szCs w:val="28"/>
        </w:rPr>
        <w:t xml:space="preserve"> (Velocity) </w:t>
      </w:r>
      <w:r w:rsidRPr="00840978">
        <w:rPr>
          <w:rFonts w:ascii="Simplified Arabic" w:hAnsi="Simplified Arabic" w:cs="Simplified Arabic"/>
          <w:sz w:val="28"/>
          <w:szCs w:val="28"/>
          <w:rtl/>
        </w:rPr>
        <w:t>والتنوع</w:t>
      </w:r>
      <w:r w:rsidRPr="00840978">
        <w:rPr>
          <w:rFonts w:ascii="Simplified Arabic" w:hAnsi="Simplified Arabic" w:cs="Simplified Arabic"/>
          <w:sz w:val="28"/>
          <w:szCs w:val="28"/>
        </w:rPr>
        <w:t xml:space="preserve"> (Variety) </w:t>
      </w:r>
      <w:r w:rsidRPr="00840978">
        <w:rPr>
          <w:rFonts w:ascii="Simplified Arabic" w:hAnsi="Simplified Arabic" w:cs="Simplified Arabic"/>
          <w:sz w:val="28"/>
          <w:szCs w:val="28"/>
          <w:rtl/>
        </w:rPr>
        <w:t>والصدقية</w:t>
      </w:r>
      <w:r w:rsidRPr="00840978">
        <w:rPr>
          <w:rFonts w:ascii="Simplified Arabic" w:hAnsi="Simplified Arabic" w:cs="Simplified Arabic"/>
          <w:sz w:val="28"/>
          <w:szCs w:val="28"/>
        </w:rPr>
        <w:t xml:space="preserve"> (Veracity) </w:t>
      </w:r>
      <w:r w:rsidRPr="00840978">
        <w:rPr>
          <w:rFonts w:ascii="Simplified Arabic" w:hAnsi="Simplified Arabic" w:cs="Simplified Arabic"/>
          <w:sz w:val="28"/>
          <w:szCs w:val="28"/>
          <w:rtl/>
        </w:rPr>
        <w:t>والقيمة</w:t>
      </w:r>
      <w:r w:rsidRPr="00840978">
        <w:rPr>
          <w:rFonts w:ascii="Simplified Arabic" w:hAnsi="Simplified Arabic" w:cs="Simplified Arabic"/>
          <w:sz w:val="28"/>
          <w:szCs w:val="28"/>
        </w:rPr>
        <w:t xml:space="preserve"> (Value) (Wamba et al., 2015). </w:t>
      </w:r>
      <w:r w:rsidRPr="00840978">
        <w:rPr>
          <w:rFonts w:ascii="Simplified Arabic" w:hAnsi="Simplified Arabic" w:cs="Simplified Arabic"/>
          <w:sz w:val="28"/>
          <w:szCs w:val="28"/>
          <w:rtl/>
        </w:rPr>
        <w:t>في العصر الرقمي، تولد المنظمات كميات ضخمة من البيانات من مصادر متعددة مثل معاملات العملاء، وتفاعلات وسائل التواصل الاجتماعي، وبيانات أجهزة الاستشعار، وسجلات الويب، وغيرها</w:t>
      </w:r>
      <w:r w:rsidRPr="00840978">
        <w:rPr>
          <w:rFonts w:ascii="Simplified Arabic" w:hAnsi="Simplified Arabic" w:cs="Simplified Arabic"/>
          <w:sz w:val="28"/>
          <w:szCs w:val="28"/>
        </w:rPr>
        <w:t>.</w:t>
      </w:r>
    </w:p>
    <w:p w14:paraId="4A6F29B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التحليلات المتقدمة تشير إلى مجموعة من التقنيات والأساليب المستخدمة لاستخلاص رؤى قابلة للتنفيذ من البيانات الضخمة. تشمل هذه التحليلات عدة مستويات، بدءاً من التحليلات الوصفية</w:t>
      </w:r>
      <w:r w:rsidRPr="00840978">
        <w:rPr>
          <w:rFonts w:ascii="Simplified Arabic" w:hAnsi="Simplified Arabic" w:cs="Simplified Arabic"/>
          <w:sz w:val="28"/>
          <w:szCs w:val="28"/>
        </w:rPr>
        <w:t xml:space="preserve"> (Descriptive Analytics) </w:t>
      </w:r>
      <w:r w:rsidRPr="00840978">
        <w:rPr>
          <w:rFonts w:ascii="Simplified Arabic" w:hAnsi="Simplified Arabic" w:cs="Simplified Arabic"/>
          <w:sz w:val="28"/>
          <w:szCs w:val="28"/>
          <w:rtl/>
        </w:rPr>
        <w:t>التي تجيب عن سؤال "ماذا حدث؟" من خلال تلخيص البيانات التاريخية، إلى التحليلات التشخيصية</w:t>
      </w:r>
      <w:r w:rsidRPr="00840978">
        <w:rPr>
          <w:rFonts w:ascii="Simplified Arabic" w:hAnsi="Simplified Arabic" w:cs="Simplified Arabic"/>
          <w:sz w:val="28"/>
          <w:szCs w:val="28"/>
        </w:rPr>
        <w:t xml:space="preserve"> (Diagnostic Analytics) </w:t>
      </w:r>
      <w:r w:rsidRPr="00840978">
        <w:rPr>
          <w:rFonts w:ascii="Simplified Arabic" w:hAnsi="Simplified Arabic" w:cs="Simplified Arabic"/>
          <w:sz w:val="28"/>
          <w:szCs w:val="28"/>
          <w:rtl/>
        </w:rPr>
        <w:t>التي تجيب عن سؤال "لماذا حدث؟" من خلال تحديد الأسباب والعلاقات، إلى التحليلات التنبؤية</w:t>
      </w:r>
      <w:r w:rsidRPr="00840978">
        <w:rPr>
          <w:rFonts w:ascii="Simplified Arabic" w:hAnsi="Simplified Arabic" w:cs="Simplified Arabic"/>
          <w:sz w:val="28"/>
          <w:szCs w:val="28"/>
        </w:rPr>
        <w:t xml:space="preserve"> (Predictive Analytics) </w:t>
      </w:r>
      <w:r w:rsidRPr="00840978">
        <w:rPr>
          <w:rFonts w:ascii="Simplified Arabic" w:hAnsi="Simplified Arabic" w:cs="Simplified Arabic"/>
          <w:sz w:val="28"/>
          <w:szCs w:val="28"/>
          <w:rtl/>
        </w:rPr>
        <w:t>التي تجيب عن سؤال "ماذا سيحدث؟" من خلال استخدام النماذج الإحصائية والتعلم الآلي للتنبؤ بالأحداث المستقبلية، وصولاً إلى التحليلات الوصفية</w:t>
      </w:r>
      <w:r w:rsidRPr="00840978">
        <w:rPr>
          <w:rFonts w:ascii="Simplified Arabic" w:hAnsi="Simplified Arabic" w:cs="Simplified Arabic"/>
          <w:sz w:val="28"/>
          <w:szCs w:val="28"/>
        </w:rPr>
        <w:t xml:space="preserve"> (Prescriptive Analytics) </w:t>
      </w:r>
      <w:r w:rsidRPr="00840978">
        <w:rPr>
          <w:rFonts w:ascii="Simplified Arabic" w:hAnsi="Simplified Arabic" w:cs="Simplified Arabic"/>
          <w:sz w:val="28"/>
          <w:szCs w:val="28"/>
          <w:rtl/>
        </w:rPr>
        <w:t>التي تجيب عن سؤال "ماذا يجب أن نفعل؟" من خلال توصية بالإجراءات الأمثل</w:t>
      </w:r>
      <w:r w:rsidRPr="00840978">
        <w:rPr>
          <w:rFonts w:ascii="Simplified Arabic" w:hAnsi="Simplified Arabic" w:cs="Simplified Arabic"/>
          <w:sz w:val="28"/>
          <w:szCs w:val="28"/>
        </w:rPr>
        <w:t xml:space="preserve"> (Davenport &amp; Harris, 2007).</w:t>
      </w:r>
    </w:p>
    <w:p w14:paraId="25A08AB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تطبيقات البيانات الضخمة والتحليلات في الأعمال واسعة ومتنوعة. في مجال فهم العملاء، تستخدم الشركات تحليلات البيانات الضخمة لبناء صور تفصيلية لشرائح العملاء وفهم رحلاتهم الشرائية وتوقع احتياجاتهم المستقبلية وقياس رضاهم وولائهم</w:t>
      </w:r>
      <w:r w:rsidRPr="00840978">
        <w:rPr>
          <w:rFonts w:ascii="Simplified Arabic" w:hAnsi="Simplified Arabic" w:cs="Simplified Arabic"/>
          <w:sz w:val="28"/>
          <w:szCs w:val="28"/>
        </w:rPr>
        <w:t xml:space="preserve"> (Chen et al., 2012). </w:t>
      </w:r>
      <w:r w:rsidRPr="00840978">
        <w:rPr>
          <w:rFonts w:ascii="Simplified Arabic" w:hAnsi="Simplified Arabic" w:cs="Simplified Arabic"/>
          <w:sz w:val="28"/>
          <w:szCs w:val="28"/>
          <w:rtl/>
        </w:rPr>
        <w:t>في مجال تحسين العمليات، تستخدم التحليلات لتحديد الاختناقات في العمليات وتحسين الكفاءة وخفض التكاليف وتقليل الهدر</w:t>
      </w:r>
      <w:r w:rsidRPr="00840978">
        <w:rPr>
          <w:rFonts w:ascii="Simplified Arabic" w:hAnsi="Simplified Arabic" w:cs="Simplified Arabic"/>
          <w:sz w:val="28"/>
          <w:szCs w:val="28"/>
        </w:rPr>
        <w:t xml:space="preserve"> (Wamba et al., 2017).</w:t>
      </w:r>
    </w:p>
    <w:p w14:paraId="1AF5F5D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مجال إدارة المخاطر، تستخدم التحليلات التنبؤية لتحديد المخاطر المحتملة في وقت مبكر واتخاذ إجراءات وقائية، سواء كانت مخاطر ائتمانية أو مخاطر احتيال أو مخاطر تشغيلية</w:t>
      </w:r>
      <w:r w:rsidRPr="00840978">
        <w:rPr>
          <w:rFonts w:ascii="Simplified Arabic" w:hAnsi="Simplified Arabic" w:cs="Simplified Arabic"/>
          <w:sz w:val="28"/>
          <w:szCs w:val="28"/>
        </w:rPr>
        <w:t xml:space="preserve"> (Provost &amp; </w:t>
      </w:r>
      <w:r w:rsidRPr="00840978">
        <w:rPr>
          <w:rFonts w:ascii="Simplified Arabic" w:hAnsi="Simplified Arabic" w:cs="Simplified Arabic"/>
          <w:sz w:val="28"/>
          <w:szCs w:val="28"/>
        </w:rPr>
        <w:lastRenderedPageBreak/>
        <w:t xml:space="preserve">Fawcett, 2013). </w:t>
      </w:r>
      <w:r w:rsidRPr="00840978">
        <w:rPr>
          <w:rFonts w:ascii="Simplified Arabic" w:hAnsi="Simplified Arabic" w:cs="Simplified Arabic"/>
          <w:sz w:val="28"/>
          <w:szCs w:val="28"/>
          <w:rtl/>
        </w:rPr>
        <w:t>في مجال الابتكار، تستخدم البيانات الضخمة لتحديد الفجوات في السوق والفرص غير المستغلة وتوجيه جهود البحث والتطوير نحو المجالات الواعدة</w:t>
      </w:r>
      <w:r w:rsidRPr="00840978">
        <w:rPr>
          <w:rFonts w:ascii="Simplified Arabic" w:hAnsi="Simplified Arabic" w:cs="Simplified Arabic"/>
          <w:sz w:val="28"/>
          <w:szCs w:val="28"/>
        </w:rPr>
        <w:t xml:space="preserve"> (Manyika et al., 2011).</w:t>
      </w:r>
    </w:p>
    <w:p w14:paraId="68E4A91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الأبحاث إلى أن الاستفادة الفعالة من البيانات الضخمة والتحليلات تتطلب أكثر من مجرد امتلاك التقنيات المناسبة، بل تتطلب بناء قدرات تنظيمية شاملة تشمل المهارات البشرية والثقافة التنظيمية الداعمة واتخاذ القرارات المبنية على البيانات</w:t>
      </w:r>
      <w:r w:rsidRPr="00840978">
        <w:rPr>
          <w:rFonts w:ascii="Simplified Arabic" w:hAnsi="Simplified Arabic" w:cs="Simplified Arabic"/>
          <w:sz w:val="28"/>
          <w:szCs w:val="28"/>
        </w:rPr>
        <w:t xml:space="preserve"> (Gupta &amp; George, 2016). </w:t>
      </w:r>
      <w:r w:rsidRPr="00840978">
        <w:rPr>
          <w:rFonts w:ascii="Simplified Arabic" w:hAnsi="Simplified Arabic" w:cs="Simplified Arabic"/>
          <w:sz w:val="28"/>
          <w:szCs w:val="28"/>
          <w:rtl/>
        </w:rPr>
        <w:t>المنظمات التي تطور هذه القدرات بشكل فعال تحقق تحسينات كبيرة في الأداء وتكتسب ميزة تنافسية مستدامة</w:t>
      </w:r>
      <w:r w:rsidRPr="00840978">
        <w:rPr>
          <w:rFonts w:ascii="Simplified Arabic" w:hAnsi="Simplified Arabic" w:cs="Simplified Arabic"/>
          <w:sz w:val="28"/>
          <w:szCs w:val="28"/>
        </w:rPr>
        <w:t xml:space="preserve"> (Wamba et al., 2017).</w:t>
      </w:r>
    </w:p>
    <w:p w14:paraId="2736F65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الحوسبة السحابية</w:t>
      </w:r>
    </w:p>
    <w:p w14:paraId="02949F6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الحوسبة السحابية نموذجاً جديداً لتقديم خدمات تكنولوجيا المعلومات، حيث يتم توفير الموارد الحاسوبية مثل الخوادم والتخزين والتطبيقات والخدمات عبر الإنترنت على أساس الطلب والدفع حسب الاستخدام، دون الحاجة إلى امتلاك البنية التحتية المادية</w:t>
      </w:r>
      <w:r w:rsidRPr="00840978">
        <w:rPr>
          <w:rFonts w:ascii="Simplified Arabic" w:hAnsi="Simplified Arabic" w:cs="Simplified Arabic"/>
          <w:sz w:val="28"/>
          <w:szCs w:val="28"/>
        </w:rPr>
        <w:t xml:space="preserve"> (Marston et al., 2011). </w:t>
      </w:r>
      <w:r w:rsidRPr="00840978">
        <w:rPr>
          <w:rFonts w:ascii="Simplified Arabic" w:hAnsi="Simplified Arabic" w:cs="Simplified Arabic"/>
          <w:sz w:val="28"/>
          <w:szCs w:val="28"/>
          <w:rtl/>
        </w:rPr>
        <w:t>تتميز الحوسبة السحابية بخمس خصائص أساسية وفقاً للمعهد الوطني الأمريكي للمعايير والتكنولوجيا</w:t>
      </w:r>
      <w:r w:rsidRPr="00840978">
        <w:rPr>
          <w:rFonts w:ascii="Simplified Arabic" w:hAnsi="Simplified Arabic" w:cs="Simplified Arabic"/>
          <w:sz w:val="28"/>
          <w:szCs w:val="28"/>
        </w:rPr>
        <w:t xml:space="preserve"> (NIST) </w:t>
      </w:r>
      <w:r w:rsidRPr="00840978">
        <w:rPr>
          <w:rFonts w:ascii="Simplified Arabic" w:hAnsi="Simplified Arabic" w:cs="Simplified Arabic"/>
          <w:sz w:val="28"/>
          <w:szCs w:val="28"/>
          <w:rtl/>
        </w:rPr>
        <w:t>وهي الخدمة الذاتية عند الطلب، والوصول الواسع عبر الشبكة، وتجميع الموارد، والمرونة السريعة، والخدمة القابلة للقياس</w:t>
      </w:r>
      <w:r w:rsidRPr="00840978">
        <w:rPr>
          <w:rFonts w:ascii="Simplified Arabic" w:hAnsi="Simplified Arabic" w:cs="Simplified Arabic"/>
          <w:sz w:val="28"/>
          <w:szCs w:val="28"/>
        </w:rPr>
        <w:t xml:space="preserve"> (Mell &amp; Grance, 2011).</w:t>
      </w:r>
    </w:p>
    <w:p w14:paraId="1AB2FBD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هناك ثلاثة نماذج رئيسية لنشر الحوسبة السحابية. السحابة العامة</w:t>
      </w:r>
      <w:r w:rsidRPr="00840978">
        <w:rPr>
          <w:rFonts w:ascii="Simplified Arabic" w:hAnsi="Simplified Arabic" w:cs="Simplified Arabic"/>
          <w:sz w:val="28"/>
          <w:szCs w:val="28"/>
        </w:rPr>
        <w:t xml:space="preserve"> (Public Cloud) </w:t>
      </w:r>
      <w:r w:rsidRPr="00840978">
        <w:rPr>
          <w:rFonts w:ascii="Simplified Arabic" w:hAnsi="Simplified Arabic" w:cs="Simplified Arabic"/>
          <w:sz w:val="28"/>
          <w:szCs w:val="28"/>
          <w:rtl/>
        </w:rPr>
        <w:t>حيث تكون الخدمات متاحة للجمهور العام وتديرها شركات خدمات سحابية كبرى مثل</w:t>
      </w:r>
      <w:r w:rsidRPr="00840978">
        <w:rPr>
          <w:rFonts w:ascii="Simplified Arabic" w:hAnsi="Simplified Arabic" w:cs="Simplified Arabic"/>
          <w:sz w:val="28"/>
          <w:szCs w:val="28"/>
        </w:rPr>
        <w:t xml:space="preserve"> Amazon Web Services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Microsoft Azure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Google Cloud Platform. </w:t>
      </w:r>
      <w:r w:rsidRPr="00840978">
        <w:rPr>
          <w:rFonts w:ascii="Simplified Arabic" w:hAnsi="Simplified Arabic" w:cs="Simplified Arabic"/>
          <w:sz w:val="28"/>
          <w:szCs w:val="28"/>
          <w:rtl/>
        </w:rPr>
        <w:t>السحابة الخاصة</w:t>
      </w:r>
      <w:r w:rsidRPr="00840978">
        <w:rPr>
          <w:rFonts w:ascii="Simplified Arabic" w:hAnsi="Simplified Arabic" w:cs="Simplified Arabic"/>
          <w:sz w:val="28"/>
          <w:szCs w:val="28"/>
        </w:rPr>
        <w:t xml:space="preserve"> (Private Cloud) </w:t>
      </w:r>
      <w:r w:rsidRPr="00840978">
        <w:rPr>
          <w:rFonts w:ascii="Simplified Arabic" w:hAnsi="Simplified Arabic" w:cs="Simplified Arabic"/>
          <w:sz w:val="28"/>
          <w:szCs w:val="28"/>
          <w:rtl/>
        </w:rPr>
        <w:t>حيث تخصص البنية التحتية السحابية لاستخدام منظمة واحدة فقط وتوفر مستوى أعلى من التحكم والأمان. السحابة الهجينة</w:t>
      </w:r>
      <w:r w:rsidRPr="00840978">
        <w:rPr>
          <w:rFonts w:ascii="Simplified Arabic" w:hAnsi="Simplified Arabic" w:cs="Simplified Arabic"/>
          <w:sz w:val="28"/>
          <w:szCs w:val="28"/>
        </w:rPr>
        <w:t xml:space="preserve"> (Hybrid Cloud) </w:t>
      </w:r>
      <w:r w:rsidRPr="00840978">
        <w:rPr>
          <w:rFonts w:ascii="Simplified Arabic" w:hAnsi="Simplified Arabic" w:cs="Simplified Arabic"/>
          <w:sz w:val="28"/>
          <w:szCs w:val="28"/>
          <w:rtl/>
        </w:rPr>
        <w:t>التي تجمع بين السحابة العامة والخاصة وتسمح بنقل البيانات والتطبيقات بينهما حسب الحاجة</w:t>
      </w:r>
      <w:r w:rsidRPr="00840978">
        <w:rPr>
          <w:rFonts w:ascii="Simplified Arabic" w:hAnsi="Simplified Arabic" w:cs="Simplified Arabic"/>
          <w:sz w:val="28"/>
          <w:szCs w:val="28"/>
        </w:rPr>
        <w:t xml:space="preserve"> (Garrison et al., 2015).</w:t>
      </w:r>
    </w:p>
    <w:p w14:paraId="5F7367E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كما توجد ثلاثة نماذج رئيسية لخدمات الحوسبة السحابية. البنية التحتية كخدمة</w:t>
      </w:r>
      <w:r w:rsidRPr="00840978">
        <w:rPr>
          <w:rFonts w:ascii="Simplified Arabic" w:hAnsi="Simplified Arabic" w:cs="Simplified Arabic"/>
          <w:sz w:val="28"/>
          <w:szCs w:val="28"/>
        </w:rPr>
        <w:t xml:space="preserve"> (IaaS) </w:t>
      </w:r>
      <w:r w:rsidRPr="00840978">
        <w:rPr>
          <w:rFonts w:ascii="Simplified Arabic" w:hAnsi="Simplified Arabic" w:cs="Simplified Arabic"/>
          <w:sz w:val="28"/>
          <w:szCs w:val="28"/>
          <w:rtl/>
        </w:rPr>
        <w:t>حيث توفر الموارد الحاسوبية الأساسية مثل الخوادم والتخزين والشبكات. المنصة كخدمة</w:t>
      </w:r>
      <w:r w:rsidRPr="00840978">
        <w:rPr>
          <w:rFonts w:ascii="Simplified Arabic" w:hAnsi="Simplified Arabic" w:cs="Simplified Arabic"/>
          <w:sz w:val="28"/>
          <w:szCs w:val="28"/>
        </w:rPr>
        <w:t xml:space="preserve"> (PaaS) </w:t>
      </w:r>
      <w:r w:rsidRPr="00840978">
        <w:rPr>
          <w:rFonts w:ascii="Simplified Arabic" w:hAnsi="Simplified Arabic" w:cs="Simplified Arabic"/>
          <w:sz w:val="28"/>
          <w:szCs w:val="28"/>
          <w:rtl/>
        </w:rPr>
        <w:t>حيث توفر بيئة تطوير وتشغيل كاملة للتطبيقات. البرمجيات كخدمة</w:t>
      </w:r>
      <w:r w:rsidRPr="00840978">
        <w:rPr>
          <w:rFonts w:ascii="Simplified Arabic" w:hAnsi="Simplified Arabic" w:cs="Simplified Arabic"/>
          <w:sz w:val="28"/>
          <w:szCs w:val="28"/>
        </w:rPr>
        <w:t xml:space="preserve"> (SaaS) </w:t>
      </w:r>
      <w:r w:rsidRPr="00840978">
        <w:rPr>
          <w:rFonts w:ascii="Simplified Arabic" w:hAnsi="Simplified Arabic" w:cs="Simplified Arabic"/>
          <w:sz w:val="28"/>
          <w:szCs w:val="28"/>
          <w:rtl/>
        </w:rPr>
        <w:t>حيث توفر تطبيقات جاهزة للاستخدام عبر الإنترنت</w:t>
      </w:r>
      <w:r w:rsidRPr="00840978">
        <w:rPr>
          <w:rFonts w:ascii="Simplified Arabic" w:hAnsi="Simplified Arabic" w:cs="Simplified Arabic"/>
          <w:sz w:val="28"/>
          <w:szCs w:val="28"/>
        </w:rPr>
        <w:t xml:space="preserve"> (Mell &amp; Grance, 2011).</w:t>
      </w:r>
    </w:p>
    <w:p w14:paraId="6965033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تقدم الحوسبة السحابية فوائد متعددة للمنظمات في رحلة التحول الرقمي. من الناحية المالية، تحول الحوسبة السحابية النفقات الرأسمالية الكبيرة إلى نفقات تشغيلية متغيرة، مما يخفف العبء المالي ويزيد المرونة</w:t>
      </w:r>
      <w:r w:rsidRPr="00840978">
        <w:rPr>
          <w:rFonts w:ascii="Simplified Arabic" w:hAnsi="Simplified Arabic" w:cs="Simplified Arabic"/>
          <w:sz w:val="28"/>
          <w:szCs w:val="28"/>
        </w:rPr>
        <w:t xml:space="preserve"> (Armbrust et al., 2010). </w:t>
      </w:r>
      <w:r w:rsidRPr="00840978">
        <w:rPr>
          <w:rFonts w:ascii="Simplified Arabic" w:hAnsi="Simplified Arabic" w:cs="Simplified Arabic"/>
          <w:sz w:val="28"/>
          <w:szCs w:val="28"/>
          <w:rtl/>
        </w:rPr>
        <w:t>من ناحية المرونة والقابلية للتوسع، تمكن الحوسبة السحابية المنظمات من زيادة أو تقليل مواردها الحاسوبية بسرعة وسهولة استجابة للتغيرات في الطلب</w:t>
      </w:r>
      <w:r w:rsidRPr="00840978">
        <w:rPr>
          <w:rFonts w:ascii="Simplified Arabic" w:hAnsi="Simplified Arabic" w:cs="Simplified Arabic"/>
          <w:sz w:val="28"/>
          <w:szCs w:val="28"/>
        </w:rPr>
        <w:t xml:space="preserve"> (Garrison et al., 2015).</w:t>
      </w:r>
    </w:p>
    <w:p w14:paraId="633A5FE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 xml:space="preserve">من ناحية السرعة والابتكار، تسرع الحوسبة السحابية عملية تطوير وإطلاق التطبيقات والخدمات الجديدة، </w:t>
      </w:r>
      <w:r w:rsidRPr="00840978">
        <w:rPr>
          <w:rFonts w:ascii="Simplified Arabic" w:hAnsi="Simplified Arabic" w:cs="Simplified Arabic"/>
          <w:sz w:val="28"/>
          <w:szCs w:val="28"/>
          <w:rtl/>
        </w:rPr>
        <w:lastRenderedPageBreak/>
        <w:t>حيث يمكن للمطورين الوصول إلى البيئات والأدوات اللازمة بسرعة دون انتظار إعداد البنية التحتية</w:t>
      </w:r>
      <w:r w:rsidRPr="00840978">
        <w:rPr>
          <w:rFonts w:ascii="Simplified Arabic" w:hAnsi="Simplified Arabic" w:cs="Simplified Arabic"/>
          <w:sz w:val="28"/>
          <w:szCs w:val="28"/>
        </w:rPr>
        <w:t xml:space="preserve"> (Iyer &amp; Henderson, 2012). </w:t>
      </w:r>
      <w:r w:rsidRPr="00840978">
        <w:rPr>
          <w:rFonts w:ascii="Simplified Arabic" w:hAnsi="Simplified Arabic" w:cs="Simplified Arabic"/>
          <w:sz w:val="28"/>
          <w:szCs w:val="28"/>
          <w:rtl/>
        </w:rPr>
        <w:t>من ناحية التوافر والموثوقية، توفر الخدمات السحابية الكبرى مستويات عالية من التوافر والموثوقية من خلال المراكز البيانية المتعددة والآليات الآلية للنسخ الاحتياطي والاستعادة</w:t>
      </w:r>
      <w:r w:rsidRPr="00840978">
        <w:rPr>
          <w:rFonts w:ascii="Simplified Arabic" w:hAnsi="Simplified Arabic" w:cs="Simplified Arabic"/>
          <w:sz w:val="28"/>
          <w:szCs w:val="28"/>
        </w:rPr>
        <w:t xml:space="preserve"> (Buyya et al., 2009).</w:t>
      </w:r>
    </w:p>
    <w:p w14:paraId="517EF15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الدراسات إلى أن اعتماد الحوسبة السحابية يمثل خطوة أساسية نحو التحول الرقمي، حيث توفر المرونة التشغيلية وتسرع عمليات الابتكار وتخفض التكاليف التشغيلية</w:t>
      </w:r>
      <w:r w:rsidRPr="00840978">
        <w:rPr>
          <w:rFonts w:ascii="Simplified Arabic" w:hAnsi="Simplified Arabic" w:cs="Simplified Arabic"/>
          <w:sz w:val="28"/>
          <w:szCs w:val="28"/>
        </w:rPr>
        <w:t xml:space="preserve"> (Garrison et al., 2015). </w:t>
      </w:r>
      <w:r w:rsidRPr="00840978">
        <w:rPr>
          <w:rFonts w:ascii="Simplified Arabic" w:hAnsi="Simplified Arabic" w:cs="Simplified Arabic"/>
          <w:sz w:val="28"/>
          <w:szCs w:val="28"/>
          <w:rtl/>
        </w:rPr>
        <w:t>الشركات التي تتبنى استراتيجية سحابية شاملة تكون أكثر قدرة على التكيف مع التغيرات السريعة في بيئة الأعمال والاستجابة لاحتياجات العملاء المتطورة</w:t>
      </w:r>
      <w:r w:rsidRPr="00840978">
        <w:rPr>
          <w:rFonts w:ascii="Simplified Arabic" w:hAnsi="Simplified Arabic" w:cs="Simplified Arabic"/>
          <w:sz w:val="28"/>
          <w:szCs w:val="28"/>
        </w:rPr>
        <w:t xml:space="preserve"> (Kshetri, 2013).</w:t>
      </w:r>
    </w:p>
    <w:p w14:paraId="0DFDAC8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إنترنت الأشياء</w:t>
      </w:r>
    </w:p>
    <w:p w14:paraId="57D0EF5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يشير إنترنت الأشياء إلى شبكة من الأجهزة والأشياء المادية المدمجة بأجهزة استشعار وبرمجيات وتقنيات أخرى تمكنها من الاتصال وتبادل البيانات مع أجهزة وأنظمة أخرى عبر الإنترنت</w:t>
      </w:r>
      <w:r w:rsidRPr="00840978">
        <w:rPr>
          <w:rFonts w:ascii="Simplified Arabic" w:hAnsi="Simplified Arabic" w:cs="Simplified Arabic"/>
          <w:sz w:val="28"/>
          <w:szCs w:val="28"/>
        </w:rPr>
        <w:t xml:space="preserve"> (Atzori et al., 2010). </w:t>
      </w:r>
      <w:r w:rsidRPr="00840978">
        <w:rPr>
          <w:rFonts w:ascii="Simplified Arabic" w:hAnsi="Simplified Arabic" w:cs="Simplified Arabic"/>
          <w:sz w:val="28"/>
          <w:szCs w:val="28"/>
          <w:rtl/>
        </w:rPr>
        <w:t>يمتد إنترنت الأشياء من الأجهزة الاستهلاكية البسيطة مثل الساعات الذكية والأجهزة المنزلية الذكية، إلى المعدات الصناعية المعقدة مثل آلات التصنيع وأنظمة النقل والمرافق العامة</w:t>
      </w:r>
      <w:r w:rsidRPr="00840978">
        <w:rPr>
          <w:rFonts w:ascii="Simplified Arabic" w:hAnsi="Simplified Arabic" w:cs="Simplified Arabic"/>
          <w:sz w:val="28"/>
          <w:szCs w:val="28"/>
        </w:rPr>
        <w:t xml:space="preserve"> (Porter &amp; Heppelmann, 2014).</w:t>
      </w:r>
    </w:p>
    <w:p w14:paraId="057BBCB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تتمثل القيمة الأساسية لإنترنت الأشياء في قدرته على جمع كميات هائلة من البيانات من البيئة المادية في الوقت الفعلي، وتحليل هذه البيانات لاستخلاص رؤى قابلة للتنفيذ، واتخاذ إجراءات آلية بناءً على هذه الرؤى</w:t>
      </w:r>
      <w:r w:rsidRPr="00840978">
        <w:rPr>
          <w:rFonts w:ascii="Simplified Arabic" w:hAnsi="Simplified Arabic" w:cs="Simplified Arabic"/>
          <w:sz w:val="28"/>
          <w:szCs w:val="28"/>
        </w:rPr>
        <w:t xml:space="preserve"> (Lee &amp; Lee, 2015). </w:t>
      </w:r>
      <w:r w:rsidRPr="00840978">
        <w:rPr>
          <w:rFonts w:ascii="Simplified Arabic" w:hAnsi="Simplified Arabic" w:cs="Simplified Arabic"/>
          <w:sz w:val="28"/>
          <w:szCs w:val="28"/>
          <w:rtl/>
        </w:rPr>
        <w:t>هذا يخلق حلقة ردود فعل مستمرة بين العالم المادي والعالم الرقمي، مما يفتح إمكانات جديدة للمراقبة والتحكم والتحسين المستمر</w:t>
      </w:r>
      <w:r w:rsidRPr="00840978">
        <w:rPr>
          <w:rFonts w:ascii="Simplified Arabic" w:hAnsi="Simplified Arabic" w:cs="Simplified Arabic"/>
          <w:sz w:val="28"/>
          <w:szCs w:val="28"/>
        </w:rPr>
        <w:t>.</w:t>
      </w:r>
    </w:p>
    <w:p w14:paraId="7702C07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القطاع الصناعي، أدى إنترنت الأشياء إلى ظهور مفهوم إنترنت الأشياء الصناعي</w:t>
      </w:r>
      <w:r w:rsidRPr="00840978">
        <w:rPr>
          <w:rFonts w:ascii="Simplified Arabic" w:hAnsi="Simplified Arabic" w:cs="Simplified Arabic"/>
          <w:sz w:val="28"/>
          <w:szCs w:val="28"/>
        </w:rPr>
        <w:t xml:space="preserve"> (IIoT) </w:t>
      </w:r>
      <w:r w:rsidRPr="00840978">
        <w:rPr>
          <w:rFonts w:ascii="Simplified Arabic" w:hAnsi="Simplified Arabic" w:cs="Simplified Arabic"/>
          <w:sz w:val="28"/>
          <w:szCs w:val="28"/>
          <w:rtl/>
        </w:rPr>
        <w:t>والصناعة الرابعة</w:t>
      </w:r>
      <w:r w:rsidRPr="00840978">
        <w:rPr>
          <w:rFonts w:ascii="Simplified Arabic" w:hAnsi="Simplified Arabic" w:cs="Simplified Arabic"/>
          <w:sz w:val="28"/>
          <w:szCs w:val="28"/>
        </w:rPr>
        <w:t xml:space="preserve"> (Industry 4.0)</w:t>
      </w:r>
      <w:r w:rsidRPr="00840978">
        <w:rPr>
          <w:rFonts w:ascii="Simplified Arabic" w:hAnsi="Simplified Arabic" w:cs="Simplified Arabic"/>
          <w:sz w:val="28"/>
          <w:szCs w:val="28"/>
          <w:rtl/>
        </w:rPr>
        <w:t>، حيث تستخدم المصانع الذكية شبكات من أجهزة الاستشعار والآلات المتصلة لتحقيق مستويات غير مسبوقة من الأتمتة والكفاءة والمرونة</w:t>
      </w:r>
      <w:r w:rsidRPr="00840978">
        <w:rPr>
          <w:rFonts w:ascii="Simplified Arabic" w:hAnsi="Simplified Arabic" w:cs="Simplified Arabic"/>
          <w:sz w:val="28"/>
          <w:szCs w:val="28"/>
        </w:rPr>
        <w:t xml:space="preserve"> (Müller et al., 2018). </w:t>
      </w:r>
      <w:r w:rsidRPr="00840978">
        <w:rPr>
          <w:rFonts w:ascii="Simplified Arabic" w:hAnsi="Simplified Arabic" w:cs="Simplified Arabic"/>
          <w:sz w:val="28"/>
          <w:szCs w:val="28"/>
          <w:rtl/>
        </w:rPr>
        <w:t>يمكن لإنترنت الأشياء الصناعي تحسين العمليات من خلال الصيانة التنبؤية التي تتوقع أعطال المعدات قبل حدوثها وتتيح الصيانة في الوقت المناسب، ومراقبة الجودة الآلية التي تكتشف العيوب في الوقت الفعلي، وتحسين استخدام الطاقة والموارد</w:t>
      </w:r>
      <w:r w:rsidRPr="00840978">
        <w:rPr>
          <w:rFonts w:ascii="Simplified Arabic" w:hAnsi="Simplified Arabic" w:cs="Simplified Arabic"/>
          <w:sz w:val="28"/>
          <w:szCs w:val="28"/>
        </w:rPr>
        <w:t xml:space="preserve"> (Lee et al., 2015).</w:t>
      </w:r>
    </w:p>
    <w:p w14:paraId="3F9DAFB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قطاع الخدمات اللوجستية والنقل، يستخدم إنترنت الأشياء لتتبع الشحنات في الوقت الفعلي وتحسين مسارات التسليم ومراقبة حالة البضائع الحساسة مثل الأدوية والأغذية</w:t>
      </w:r>
      <w:r w:rsidRPr="00840978">
        <w:rPr>
          <w:rFonts w:ascii="Simplified Arabic" w:hAnsi="Simplified Arabic" w:cs="Simplified Arabic"/>
          <w:sz w:val="28"/>
          <w:szCs w:val="28"/>
        </w:rPr>
        <w:t xml:space="preserve"> (Ben-Daya et al., 2019). </w:t>
      </w:r>
      <w:r w:rsidRPr="00840978">
        <w:rPr>
          <w:rFonts w:ascii="Simplified Arabic" w:hAnsi="Simplified Arabic" w:cs="Simplified Arabic"/>
          <w:sz w:val="28"/>
          <w:szCs w:val="28"/>
          <w:rtl/>
        </w:rPr>
        <w:t>في قطاع الرعاية الصحية، تستخدم الأجهزة الطبية المتصلة لمراقبة المرضى عن بُعد وجمع البيانات الصحية بشكل مستمر وتنبيه مقدمي الرعاية عند حدوث حالات طارئة</w:t>
      </w:r>
      <w:r w:rsidRPr="00840978">
        <w:rPr>
          <w:rFonts w:ascii="Simplified Arabic" w:hAnsi="Simplified Arabic" w:cs="Simplified Arabic"/>
          <w:sz w:val="28"/>
          <w:szCs w:val="28"/>
        </w:rPr>
        <w:t xml:space="preserve"> (Islam et al., 2015).</w:t>
      </w:r>
    </w:p>
    <w:p w14:paraId="1F6A619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في قطاع الطاقة والمرافق، يستخدم إنترنت الأشياء في الشبكات الذكية</w:t>
      </w:r>
      <w:r w:rsidRPr="00840978">
        <w:rPr>
          <w:rFonts w:ascii="Simplified Arabic" w:hAnsi="Simplified Arabic" w:cs="Simplified Arabic"/>
          <w:sz w:val="28"/>
          <w:szCs w:val="28"/>
        </w:rPr>
        <w:t xml:space="preserve"> (Smart Grids) </w:t>
      </w:r>
      <w:r w:rsidRPr="00840978">
        <w:rPr>
          <w:rFonts w:ascii="Simplified Arabic" w:hAnsi="Simplified Arabic" w:cs="Simplified Arabic"/>
          <w:sz w:val="28"/>
          <w:szCs w:val="28"/>
          <w:rtl/>
        </w:rPr>
        <w:t>لتحسين توزيع الكهرباء ودمج مصادر الطاقة المتجددة وإدارة الطلب بشكل أكثر فعالية</w:t>
      </w:r>
      <w:r w:rsidRPr="00840978">
        <w:rPr>
          <w:rFonts w:ascii="Simplified Arabic" w:hAnsi="Simplified Arabic" w:cs="Simplified Arabic"/>
          <w:sz w:val="28"/>
          <w:szCs w:val="28"/>
        </w:rPr>
        <w:t xml:space="preserve"> (Gungor et al., 2011). </w:t>
      </w:r>
      <w:r w:rsidRPr="00840978">
        <w:rPr>
          <w:rFonts w:ascii="Simplified Arabic" w:hAnsi="Simplified Arabic" w:cs="Simplified Arabic"/>
          <w:sz w:val="28"/>
          <w:szCs w:val="28"/>
          <w:rtl/>
        </w:rPr>
        <w:t>في المدن الذكية، يستخدم إنترنت الأشياء لإدارة حركة المرور والإضاءة العامة وجمع النفايات وغيرها من الخدمات البلدية بكفاءة أكبر</w:t>
      </w:r>
      <w:r w:rsidRPr="00840978">
        <w:rPr>
          <w:rFonts w:ascii="Simplified Arabic" w:hAnsi="Simplified Arabic" w:cs="Simplified Arabic"/>
          <w:sz w:val="28"/>
          <w:szCs w:val="28"/>
        </w:rPr>
        <w:t xml:space="preserve"> (Zanella et al., 2014).</w:t>
      </w:r>
    </w:p>
    <w:p w14:paraId="4F2E7F1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الأبحاث إلى أن إنترنت الأشياء يمثل فرصة هائلة لخلق قيمة اقتصادية جديدة، لكنه يطرح أيضاً تحديات كبيرة تتعلق بالأمن والخصوصية وإدارة كميات البيانات الضخمة المتولدة وقابلية التشغيل البيني بين الأجهزة والأنظمة المختلفة</w:t>
      </w:r>
      <w:r w:rsidRPr="00840978">
        <w:rPr>
          <w:rFonts w:ascii="Simplified Arabic" w:hAnsi="Simplified Arabic" w:cs="Simplified Arabic"/>
          <w:sz w:val="28"/>
          <w:szCs w:val="28"/>
        </w:rPr>
        <w:t xml:space="preserve"> (Weber &amp; Weber, 2010). </w:t>
      </w:r>
      <w:r w:rsidRPr="00840978">
        <w:rPr>
          <w:rFonts w:ascii="Simplified Arabic" w:hAnsi="Simplified Arabic" w:cs="Simplified Arabic"/>
          <w:sz w:val="28"/>
          <w:szCs w:val="28"/>
          <w:rtl/>
        </w:rPr>
        <w:t>المنظمات التي تتبنى إنترنت الأشياء بنجاح هي تلك التي تطور استراتيجية شاملة تغطي التقنية والأمن والعمليات والنموذج التجاري</w:t>
      </w:r>
      <w:r w:rsidRPr="00840978">
        <w:rPr>
          <w:rFonts w:ascii="Simplified Arabic" w:hAnsi="Simplified Arabic" w:cs="Simplified Arabic"/>
          <w:sz w:val="28"/>
          <w:szCs w:val="28"/>
        </w:rPr>
        <w:t xml:space="preserve"> (Porter &amp; Heppelmann, 2015).</w:t>
      </w:r>
    </w:p>
    <w:p w14:paraId="45CFBAF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تقنية البلوكتشين</w:t>
      </w:r>
    </w:p>
    <w:p w14:paraId="4D44E62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تقنية البلوكتشين نظاماً لامركزياً وموزعاً لتسجيل المعاملات والبيانات بطريقة آمنة وشفافة وغير قابلة للتغيير. جوهر البلوكتشين هو دفتر رقمي موزع</w:t>
      </w:r>
      <w:r w:rsidRPr="00840978">
        <w:rPr>
          <w:rFonts w:ascii="Simplified Arabic" w:hAnsi="Simplified Arabic" w:cs="Simplified Arabic"/>
          <w:sz w:val="28"/>
          <w:szCs w:val="28"/>
        </w:rPr>
        <w:t xml:space="preserve"> (Distributed Ledger) </w:t>
      </w:r>
      <w:r w:rsidRPr="00840978">
        <w:rPr>
          <w:rFonts w:ascii="Simplified Arabic" w:hAnsi="Simplified Arabic" w:cs="Simplified Arabic"/>
          <w:sz w:val="28"/>
          <w:szCs w:val="28"/>
          <w:rtl/>
        </w:rPr>
        <w:t>يحتفظ بسجل لجميع المعاملات في شكل كتل</w:t>
      </w:r>
      <w:r w:rsidRPr="00840978">
        <w:rPr>
          <w:rFonts w:ascii="Simplified Arabic" w:hAnsi="Simplified Arabic" w:cs="Simplified Arabic"/>
          <w:sz w:val="28"/>
          <w:szCs w:val="28"/>
        </w:rPr>
        <w:t xml:space="preserve"> (Blocks) </w:t>
      </w:r>
      <w:r w:rsidRPr="00840978">
        <w:rPr>
          <w:rFonts w:ascii="Simplified Arabic" w:hAnsi="Simplified Arabic" w:cs="Simplified Arabic"/>
          <w:sz w:val="28"/>
          <w:szCs w:val="28"/>
          <w:rtl/>
        </w:rPr>
        <w:t>مرتبطة ببعضها بواسطة تشفير آمن</w:t>
      </w:r>
      <w:r w:rsidRPr="00840978">
        <w:rPr>
          <w:rFonts w:ascii="Simplified Arabic" w:hAnsi="Simplified Arabic" w:cs="Simplified Arabic"/>
          <w:sz w:val="28"/>
          <w:szCs w:val="28"/>
        </w:rPr>
        <w:t xml:space="preserve"> (Iansiti &amp; Lakhani, 2017). </w:t>
      </w:r>
      <w:r w:rsidRPr="00840978">
        <w:rPr>
          <w:rFonts w:ascii="Simplified Arabic" w:hAnsi="Simplified Arabic" w:cs="Simplified Arabic"/>
          <w:sz w:val="28"/>
          <w:szCs w:val="28"/>
          <w:rtl/>
        </w:rPr>
        <w:t>كل معاملة جديدة يتم التحقق منها من قبل شبكة من المشاركين قبل إضافتها إلى السلسلة، وبمجرد إضافتها لا يمكن تعديلها أو حذفها، مما يوفر درجة عالية من الموثوقية والأمان</w:t>
      </w:r>
      <w:r w:rsidRPr="00840978">
        <w:rPr>
          <w:rFonts w:ascii="Simplified Arabic" w:hAnsi="Simplified Arabic" w:cs="Simplified Arabic"/>
          <w:sz w:val="28"/>
          <w:szCs w:val="28"/>
        </w:rPr>
        <w:t>.</w:t>
      </w:r>
    </w:p>
    <w:p w14:paraId="673F58FC"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على الرغم من أن البلوكتشين اشتهرت في البداية كالتقنية الأساسية وراء العملات المشفرة مثل البيتكوين، إلا أن تطبيقاتها المحتملة تتجاوز القطاع المالي بكثير. في إدارة سلاسل التوريد، يمكن للبلوكتشين توفير شفافية كاملة وقابلية تتبع من المصدر إلى المستهلك النهائي، مما يساعد في مكافحة التزييف وضمان جودة المنتجات وتحسين الكفاءة</w:t>
      </w:r>
      <w:r w:rsidRPr="00840978">
        <w:rPr>
          <w:rFonts w:ascii="Simplified Arabic" w:hAnsi="Simplified Arabic" w:cs="Simplified Arabic"/>
          <w:sz w:val="28"/>
          <w:szCs w:val="28"/>
        </w:rPr>
        <w:t xml:space="preserve"> (Kshetri, 2018). </w:t>
      </w:r>
      <w:r w:rsidRPr="00840978">
        <w:rPr>
          <w:rFonts w:ascii="Simplified Arabic" w:hAnsi="Simplified Arabic" w:cs="Simplified Arabic"/>
          <w:sz w:val="28"/>
          <w:szCs w:val="28"/>
          <w:rtl/>
        </w:rPr>
        <w:t>شركات كبرى مثل</w:t>
      </w:r>
      <w:r w:rsidRPr="00840978">
        <w:rPr>
          <w:rFonts w:ascii="Simplified Arabic" w:hAnsi="Simplified Arabic" w:cs="Simplified Arabic"/>
          <w:sz w:val="28"/>
          <w:szCs w:val="28"/>
        </w:rPr>
        <w:t xml:space="preserve"> Walmart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Maersk </w:t>
      </w:r>
      <w:r w:rsidRPr="00840978">
        <w:rPr>
          <w:rFonts w:ascii="Simplified Arabic" w:hAnsi="Simplified Arabic" w:cs="Simplified Arabic"/>
          <w:sz w:val="28"/>
          <w:szCs w:val="28"/>
          <w:rtl/>
        </w:rPr>
        <w:t>تستخدم البلوكتشين لتتبع المنتجات الغذائية والشحنات البحرية</w:t>
      </w:r>
      <w:r w:rsidRPr="00840978">
        <w:rPr>
          <w:rFonts w:ascii="Simplified Arabic" w:hAnsi="Simplified Arabic" w:cs="Simplified Arabic"/>
          <w:sz w:val="28"/>
          <w:szCs w:val="28"/>
        </w:rPr>
        <w:t>.</w:t>
      </w:r>
    </w:p>
    <w:p w14:paraId="0445B96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مجال العقود الذكية</w:t>
      </w:r>
      <w:r w:rsidRPr="00840978">
        <w:rPr>
          <w:rFonts w:ascii="Simplified Arabic" w:hAnsi="Simplified Arabic" w:cs="Simplified Arabic"/>
          <w:sz w:val="28"/>
          <w:szCs w:val="28"/>
        </w:rPr>
        <w:t xml:space="preserve"> (Smart Contracts)</w:t>
      </w:r>
      <w:r w:rsidRPr="00840978">
        <w:rPr>
          <w:rFonts w:ascii="Simplified Arabic" w:hAnsi="Simplified Arabic" w:cs="Simplified Arabic"/>
          <w:sz w:val="28"/>
          <w:szCs w:val="28"/>
          <w:rtl/>
        </w:rPr>
        <w:t>، يمكن للبلوكتشين أتمتة تنفيذ الاتفاقيات عندما تتحقق شروط معينة، دون الحاجة إلى وسطاء، مما يقلل التكاليف والوقت ويزيد الموثوقية</w:t>
      </w:r>
      <w:r w:rsidRPr="00840978">
        <w:rPr>
          <w:rFonts w:ascii="Simplified Arabic" w:hAnsi="Simplified Arabic" w:cs="Simplified Arabic"/>
          <w:sz w:val="28"/>
          <w:szCs w:val="28"/>
        </w:rPr>
        <w:t xml:space="preserve"> (Szabo, 1997). </w:t>
      </w:r>
      <w:r w:rsidRPr="00840978">
        <w:rPr>
          <w:rFonts w:ascii="Simplified Arabic" w:hAnsi="Simplified Arabic" w:cs="Simplified Arabic"/>
          <w:sz w:val="28"/>
          <w:szCs w:val="28"/>
          <w:rtl/>
        </w:rPr>
        <w:t>في مجال إدارة الهوية الرقمية، يمكن للبلوكتشين توفير طريقة آمنة وموثوقة للأفراد للتحكم في بياناتهم الشخصية ومشاركتها بشكل انتقائي</w:t>
      </w:r>
      <w:r w:rsidRPr="00840978">
        <w:rPr>
          <w:rFonts w:ascii="Simplified Arabic" w:hAnsi="Simplified Arabic" w:cs="Simplified Arabic"/>
          <w:sz w:val="28"/>
          <w:szCs w:val="28"/>
        </w:rPr>
        <w:t xml:space="preserve"> (Kshetri, 2017).</w:t>
      </w:r>
    </w:p>
    <w:p w14:paraId="01E76A6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القطاع المالي، تستخدم البلوكتشين لتسريع وتبسيط المعاملات المالية عبر الحدود، وتقليل تكاليف التحويلات، وتحسين الشفافية والامتثال التنظيمي</w:t>
      </w:r>
      <w:r w:rsidRPr="00840978">
        <w:rPr>
          <w:rFonts w:ascii="Simplified Arabic" w:hAnsi="Simplified Arabic" w:cs="Simplified Arabic"/>
          <w:sz w:val="28"/>
          <w:szCs w:val="28"/>
        </w:rPr>
        <w:t xml:space="preserve"> (Guo &amp; Liang, 2016). </w:t>
      </w:r>
      <w:r w:rsidRPr="00840978">
        <w:rPr>
          <w:rFonts w:ascii="Simplified Arabic" w:hAnsi="Simplified Arabic" w:cs="Simplified Arabic"/>
          <w:sz w:val="28"/>
          <w:szCs w:val="28"/>
          <w:rtl/>
        </w:rPr>
        <w:t>في مجال الرعاية الصحية، يمكن للبلوكتشين توفير طريقة آمنة لمشاركة السجلات الطبية بين مقدمي الرعاية المختلفين مع الحفاظ على خصوصية المريض</w:t>
      </w:r>
      <w:r w:rsidRPr="00840978">
        <w:rPr>
          <w:rFonts w:ascii="Simplified Arabic" w:hAnsi="Simplified Arabic" w:cs="Simplified Arabic"/>
          <w:sz w:val="28"/>
          <w:szCs w:val="28"/>
        </w:rPr>
        <w:t xml:space="preserve"> (Kuo et al., 2017).</w:t>
      </w:r>
    </w:p>
    <w:p w14:paraId="25EAE40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رغم الإمكانات الواعدة، تواجه تقنية البلوكتشين عدة تحديات تعيق انتشارها على نطاق واسع، بما في ذلك قضايا قابلية التوسع والسرعة واستهلاك الطاقة والغموض التنظيمي والحاجة إلى معايير موحدة</w:t>
      </w:r>
      <w:r w:rsidRPr="00840978">
        <w:rPr>
          <w:rFonts w:ascii="Simplified Arabic" w:hAnsi="Simplified Arabic" w:cs="Simplified Arabic"/>
          <w:sz w:val="28"/>
          <w:szCs w:val="28"/>
        </w:rPr>
        <w:t xml:space="preserve"> (Beck et al., 2018). </w:t>
      </w:r>
      <w:r w:rsidRPr="00840978">
        <w:rPr>
          <w:rFonts w:ascii="Simplified Arabic" w:hAnsi="Simplified Arabic" w:cs="Simplified Arabic"/>
          <w:sz w:val="28"/>
          <w:szCs w:val="28"/>
          <w:rtl/>
        </w:rPr>
        <w:t>تشير التوقعات إلى أن البلوكتشين ستحتاج إلى عدة سنوات أخرى قبل أن تصل إلى النضج والتبني الواسع، لكن تأثيرها المحتمل على نماذج الأعمال والثقة الرقمية يمكن أن يكون عميقاً وبعيد المدى</w:t>
      </w:r>
      <w:r w:rsidRPr="00840978">
        <w:rPr>
          <w:rFonts w:ascii="Simplified Arabic" w:hAnsi="Simplified Arabic" w:cs="Simplified Arabic"/>
          <w:sz w:val="28"/>
          <w:szCs w:val="28"/>
        </w:rPr>
        <w:t xml:space="preserve"> (Iansiti &amp; Lakhani, 2017).</w:t>
      </w:r>
    </w:p>
    <w:p w14:paraId="3F3A3011" w14:textId="77777777" w:rsidR="00840978" w:rsidRPr="00840978" w:rsidRDefault="00840978" w:rsidP="000126FF">
      <w:pPr>
        <w:pStyle w:val="Heading3"/>
      </w:pPr>
      <w:bookmarkStart w:id="15" w:name="_Toc214041801"/>
      <w:r w:rsidRPr="00840978">
        <w:t xml:space="preserve">2.1.4 </w:t>
      </w:r>
      <w:r w:rsidRPr="00840978">
        <w:rPr>
          <w:rtl/>
        </w:rPr>
        <w:t>استراتيجيات التحول الرقمي</w:t>
      </w:r>
      <w:bookmarkEnd w:id="15"/>
    </w:p>
    <w:p w14:paraId="3652D90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يتطلب التحول الرقمي الناجح أكثر من مجرد تبني التقنيات الحديثة، بل يحتاج إلى استراتيجية شاملة ومدروسة تأخذ في الاعتبار الأهداف المؤسسية والسياق التنافسي والقدرات المتاحة والتحديات المحتملة. في هذا القسم، نستعرض أهم الاستراتيجيات التي يمكن للمنظمات اتباعها في رحلة التحول الرقمي</w:t>
      </w:r>
      <w:r w:rsidRPr="00840978">
        <w:rPr>
          <w:rFonts w:ascii="Simplified Arabic" w:hAnsi="Simplified Arabic" w:cs="Simplified Arabic"/>
          <w:sz w:val="28"/>
          <w:szCs w:val="28"/>
        </w:rPr>
        <w:t>.</w:t>
      </w:r>
    </w:p>
    <w:p w14:paraId="235C23F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استراتيجية التحسين والكفاءة</w:t>
      </w:r>
    </w:p>
    <w:p w14:paraId="20DC15A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تركز هذه الاستراتيجية على استخدام التقنيات الرقمية لتحسين العمليات القائمة وزيادة الكفاءة التشغيلية وخفض التكاليف دون تغيير جذري في نموذج الأعمال</w:t>
      </w:r>
      <w:r w:rsidRPr="00840978">
        <w:rPr>
          <w:rFonts w:ascii="Simplified Arabic" w:hAnsi="Simplified Arabic" w:cs="Simplified Arabic"/>
          <w:sz w:val="28"/>
          <w:szCs w:val="28"/>
        </w:rPr>
        <w:t xml:space="preserve"> (Matt et al., 2015). </w:t>
      </w:r>
      <w:r w:rsidRPr="00840978">
        <w:rPr>
          <w:rFonts w:ascii="Simplified Arabic" w:hAnsi="Simplified Arabic" w:cs="Simplified Arabic"/>
          <w:sz w:val="28"/>
          <w:szCs w:val="28"/>
          <w:rtl/>
        </w:rPr>
        <w:t>تتضمن هذه الاستراتيجية أتمتة العمليات اليدوية والمتكررة، ورقمنة المستندات والسجلات الورقية، وتحسين تدفقات العمل، وتقليل الأخطاء البشرية. هذه الاستراتيجية مناسبة للمنظمات التي تعمل في صناعات مستقرة نسبياً وترغب في تحسين هوامش الربح من خلال تحسين الكفاءة</w:t>
      </w:r>
      <w:r w:rsidRPr="00840978">
        <w:rPr>
          <w:rFonts w:ascii="Simplified Arabic" w:hAnsi="Simplified Arabic" w:cs="Simplified Arabic"/>
          <w:sz w:val="28"/>
          <w:szCs w:val="28"/>
        </w:rPr>
        <w:t>.</w:t>
      </w:r>
    </w:p>
    <w:p w14:paraId="363711C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فوائد هذه الاستراتيجية تشمل سهولة نسبية في التنفيذ ومخاطر أقل وعائد استثمار واضح وقابل للقياس في المدى القصير</w:t>
      </w:r>
      <w:r w:rsidRPr="00840978">
        <w:rPr>
          <w:rFonts w:ascii="Simplified Arabic" w:hAnsi="Simplified Arabic" w:cs="Simplified Arabic"/>
          <w:sz w:val="28"/>
          <w:szCs w:val="28"/>
        </w:rPr>
        <w:t xml:space="preserve"> (Westerman et al., 2014). </w:t>
      </w:r>
      <w:r w:rsidRPr="00840978">
        <w:rPr>
          <w:rFonts w:ascii="Simplified Arabic" w:hAnsi="Simplified Arabic" w:cs="Simplified Arabic"/>
          <w:sz w:val="28"/>
          <w:szCs w:val="28"/>
          <w:rtl/>
        </w:rPr>
        <w:t>غير أن محدودياتها تتمثل في أنها لا تعيد تعريف نموذج الأعمال أو تخلق ميزة تنافسية مستدامة، حيث يمكن للمنافسين تقليد التحسينات التشغيلية بسهولة نسبية</w:t>
      </w:r>
      <w:r w:rsidRPr="00840978">
        <w:rPr>
          <w:rFonts w:ascii="Simplified Arabic" w:hAnsi="Simplified Arabic" w:cs="Simplified Arabic"/>
          <w:sz w:val="28"/>
          <w:szCs w:val="28"/>
        </w:rPr>
        <w:t xml:space="preserve"> (Vial, 2019).</w:t>
      </w:r>
    </w:p>
    <w:p w14:paraId="79B24AB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استراتيجية تحسين تجربة العملاء</w:t>
      </w:r>
    </w:p>
    <w:p w14:paraId="47E97AF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تركز هذه الاستراتيجية على استخدام التقنيات الرقمية لتحسين تفاعلات العملاء مع المنظمة عبر جميع نقاط الاتصال، وتقديم تجارب سلسة ومخصصة ومتكاملة</w:t>
      </w:r>
      <w:r w:rsidRPr="00840978">
        <w:rPr>
          <w:rFonts w:ascii="Simplified Arabic" w:hAnsi="Simplified Arabic" w:cs="Simplified Arabic"/>
          <w:sz w:val="28"/>
          <w:szCs w:val="28"/>
        </w:rPr>
        <w:t xml:space="preserve"> (Verhoef et al., 2021). </w:t>
      </w:r>
      <w:r w:rsidRPr="00840978">
        <w:rPr>
          <w:rFonts w:ascii="Simplified Arabic" w:hAnsi="Simplified Arabic" w:cs="Simplified Arabic"/>
          <w:sz w:val="28"/>
          <w:szCs w:val="28"/>
          <w:rtl/>
        </w:rPr>
        <w:t>تتضمن هذه الاستراتيجية تطوير قنوات رقمية جديدة للتفاعل مع العملاء مثل تطبيقات الهاتف المحمول والبوابات الإلكترونية ووسائل التواصل الاجتماعي، واستخدام البيانات والتحليلات لفهم تفضيلات العملاء وتخصيص العروض والرسائل، وتوفير خدمة عملاء أسرع وأكثر كفاءة من خلال القنوات الرقمية والروبوتات الذكية</w:t>
      </w:r>
      <w:r w:rsidRPr="00840978">
        <w:rPr>
          <w:rFonts w:ascii="Simplified Arabic" w:hAnsi="Simplified Arabic" w:cs="Simplified Arabic"/>
          <w:sz w:val="28"/>
          <w:szCs w:val="28"/>
        </w:rPr>
        <w:t>.</w:t>
      </w:r>
    </w:p>
    <w:p w14:paraId="631F34F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هذه الاستراتيجية مناسبة للمنظمات التي تعمل في صناعات تنافسية حيث تجربة العملاء تمثل عامل تمييز رئيسي، مثل قطاعات البيع بالتجزئة والبنوك والضيافة</w:t>
      </w:r>
      <w:r w:rsidRPr="00840978">
        <w:rPr>
          <w:rFonts w:ascii="Simplified Arabic" w:hAnsi="Simplified Arabic" w:cs="Simplified Arabic"/>
          <w:sz w:val="28"/>
          <w:szCs w:val="28"/>
        </w:rPr>
        <w:t xml:space="preserve"> (Lemon &amp; Verhoef, 2016). </w:t>
      </w:r>
      <w:r w:rsidRPr="00840978">
        <w:rPr>
          <w:rFonts w:ascii="Simplified Arabic" w:hAnsi="Simplified Arabic" w:cs="Simplified Arabic"/>
          <w:sz w:val="28"/>
          <w:szCs w:val="28"/>
          <w:rtl/>
        </w:rPr>
        <w:t xml:space="preserve">فوائد هذه الاستراتيجية تشمل زيادة رضا العملاء وولائهم، وجذب عملاء جدد، وزيادة القيمة الدائمة للعميل، وبناء ميزة </w:t>
      </w:r>
      <w:r w:rsidRPr="00840978">
        <w:rPr>
          <w:rFonts w:ascii="Simplified Arabic" w:hAnsi="Simplified Arabic" w:cs="Simplified Arabic"/>
          <w:sz w:val="28"/>
          <w:szCs w:val="28"/>
          <w:rtl/>
        </w:rPr>
        <w:lastRenderedPageBreak/>
        <w:t>تنافسية قوية تستند إلى العلاقات مع العملاء</w:t>
      </w:r>
      <w:r w:rsidRPr="00840978">
        <w:rPr>
          <w:rFonts w:ascii="Simplified Arabic" w:hAnsi="Simplified Arabic" w:cs="Simplified Arabic"/>
          <w:sz w:val="28"/>
          <w:szCs w:val="28"/>
        </w:rPr>
        <w:t xml:space="preserve"> (Grewal et al., 2017).</w:t>
      </w:r>
    </w:p>
    <w:p w14:paraId="3F3FBC6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استراتيجية ابتكار نموذج الأعمال</w:t>
      </w:r>
    </w:p>
    <w:p w14:paraId="0B2B78A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هذه الاستراتيجية النهج الأكثر جذرية وطموحاً، حيث تستخدم التقنيات الرقمية لإعادة تعريف نموذج الأعمال بالكامل وطرق خلق القيمة وتقديمها والحصول عليها</w:t>
      </w:r>
      <w:r w:rsidRPr="00840978">
        <w:rPr>
          <w:rFonts w:ascii="Simplified Arabic" w:hAnsi="Simplified Arabic" w:cs="Simplified Arabic"/>
          <w:sz w:val="28"/>
          <w:szCs w:val="28"/>
        </w:rPr>
        <w:t xml:space="preserve"> (Correani et al., 2020). </w:t>
      </w:r>
      <w:r w:rsidRPr="00840978">
        <w:rPr>
          <w:rFonts w:ascii="Simplified Arabic" w:hAnsi="Simplified Arabic" w:cs="Simplified Arabic"/>
          <w:sz w:val="28"/>
          <w:szCs w:val="28"/>
          <w:rtl/>
        </w:rPr>
        <w:t>تتضمن هذه الاستراتيجية تطوير منتجات وخدمات رقمية جديدة كلياً، واستكشاف نماذج إيرادات جديدة مثل الاشتراكات أو نماذج</w:t>
      </w:r>
      <w:r w:rsidRPr="00840978">
        <w:rPr>
          <w:rFonts w:ascii="Simplified Arabic" w:hAnsi="Simplified Arabic" w:cs="Simplified Arabic"/>
          <w:sz w:val="28"/>
          <w:szCs w:val="28"/>
        </w:rPr>
        <w:t xml:space="preserve"> Freemium </w:t>
      </w:r>
      <w:r w:rsidRPr="00840978">
        <w:rPr>
          <w:rFonts w:ascii="Simplified Arabic" w:hAnsi="Simplified Arabic" w:cs="Simplified Arabic"/>
          <w:sz w:val="28"/>
          <w:szCs w:val="28"/>
          <w:rtl/>
        </w:rPr>
        <w:t>أو المنصات متعددة الأطراف، والدخول في أسواق وقطاعات جديدة لم تكن متاحة سابقاً، وبناء أنظمة بيئية رقمية تربط بين شبكات من الشركاء والموردين والعملاء</w:t>
      </w:r>
      <w:r w:rsidRPr="00840978">
        <w:rPr>
          <w:rFonts w:ascii="Simplified Arabic" w:hAnsi="Simplified Arabic" w:cs="Simplified Arabic"/>
          <w:sz w:val="28"/>
          <w:szCs w:val="28"/>
        </w:rPr>
        <w:t>.</w:t>
      </w:r>
    </w:p>
    <w:p w14:paraId="1DBFC80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هذه الاستراتيجية مناسبة للمنظمات التي تواجه اضطرابات كبيرة في صناعاتها أو التي ترغب في قيادة التغيير وإعادة تشكيل الصناعة</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أمثلة بارزة على هذه الاستراتيجية تشمل تحول</w:t>
      </w:r>
      <w:r w:rsidRPr="00840978">
        <w:rPr>
          <w:rFonts w:ascii="Simplified Arabic" w:hAnsi="Simplified Arabic" w:cs="Simplified Arabic"/>
          <w:sz w:val="28"/>
          <w:szCs w:val="28"/>
        </w:rPr>
        <w:t xml:space="preserve"> Netflix </w:t>
      </w:r>
      <w:r w:rsidRPr="00840978">
        <w:rPr>
          <w:rFonts w:ascii="Simplified Arabic" w:hAnsi="Simplified Arabic" w:cs="Simplified Arabic"/>
          <w:sz w:val="28"/>
          <w:szCs w:val="28"/>
          <w:rtl/>
        </w:rPr>
        <w:t>من خدمة تأجير أقراص</w:t>
      </w:r>
      <w:r w:rsidRPr="00840978">
        <w:rPr>
          <w:rFonts w:ascii="Simplified Arabic" w:hAnsi="Simplified Arabic" w:cs="Simplified Arabic"/>
          <w:sz w:val="28"/>
          <w:szCs w:val="28"/>
        </w:rPr>
        <w:t xml:space="preserve"> DVD </w:t>
      </w:r>
      <w:r w:rsidRPr="00840978">
        <w:rPr>
          <w:rFonts w:ascii="Simplified Arabic" w:hAnsi="Simplified Arabic" w:cs="Simplified Arabic"/>
          <w:sz w:val="28"/>
          <w:szCs w:val="28"/>
          <w:rtl/>
        </w:rPr>
        <w:t>إلى منصة بث رقمية، وتطوير</w:t>
      </w:r>
      <w:r w:rsidRPr="00840978">
        <w:rPr>
          <w:rFonts w:ascii="Simplified Arabic" w:hAnsi="Simplified Arabic" w:cs="Simplified Arabic"/>
          <w:sz w:val="28"/>
          <w:szCs w:val="28"/>
        </w:rPr>
        <w:t xml:space="preserve"> Amazon </w:t>
      </w:r>
      <w:r w:rsidRPr="00840978">
        <w:rPr>
          <w:rFonts w:ascii="Simplified Arabic" w:hAnsi="Simplified Arabic" w:cs="Simplified Arabic"/>
          <w:sz w:val="28"/>
          <w:szCs w:val="28"/>
          <w:rtl/>
        </w:rPr>
        <w:t>لخدمة</w:t>
      </w:r>
      <w:r w:rsidRPr="00840978">
        <w:rPr>
          <w:rFonts w:ascii="Simplified Arabic" w:hAnsi="Simplified Arabic" w:cs="Simplified Arabic"/>
          <w:sz w:val="28"/>
          <w:szCs w:val="28"/>
        </w:rPr>
        <w:t xml:space="preserve"> AWS </w:t>
      </w:r>
      <w:r w:rsidRPr="00840978">
        <w:rPr>
          <w:rFonts w:ascii="Simplified Arabic" w:hAnsi="Simplified Arabic" w:cs="Simplified Arabic"/>
          <w:sz w:val="28"/>
          <w:szCs w:val="28"/>
          <w:rtl/>
        </w:rPr>
        <w:t>السحابية التي أصبحت نموذج أعمال رئيسي جديد للشركة</w:t>
      </w:r>
      <w:r w:rsidRPr="00840978">
        <w:rPr>
          <w:rFonts w:ascii="Simplified Arabic" w:hAnsi="Simplified Arabic" w:cs="Simplified Arabic"/>
          <w:sz w:val="28"/>
          <w:szCs w:val="28"/>
        </w:rPr>
        <w:t xml:space="preserve"> (Iansiti &amp; Lakhani, 2020).</w:t>
      </w:r>
    </w:p>
    <w:p w14:paraId="616A757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فوائد هذه الاستراتيجية تشمل إمكانية خلق قيمة هائلة وبناء ميزة تنافسية قوية ومستدامة وإعادة تشكيل الصناعة بأكملها. غير أن محدودياتها ومخاطرها تشمل صعوبة كبيرة في التنفيذ، ومخاطر عالية، ومقاومة تنظيمية قوية محتملة، وحاجة إلى استثمارات كبيرة وتغييرات عميقة في الثقافة والقدرات التنظيمية</w:t>
      </w:r>
      <w:r w:rsidRPr="00840978">
        <w:rPr>
          <w:rFonts w:ascii="Simplified Arabic" w:hAnsi="Simplified Arabic" w:cs="Simplified Arabic"/>
          <w:sz w:val="28"/>
          <w:szCs w:val="28"/>
        </w:rPr>
        <w:t xml:space="preserve"> (Matt et al., 2015).</w:t>
      </w:r>
    </w:p>
    <w:p w14:paraId="4C29086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استراتيجية بناء المنصات الرقمية</w:t>
      </w:r>
    </w:p>
    <w:p w14:paraId="5D35589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تركز هذه الاستراتيجية على تطوير منصات رقمية تربط بين مجموعات مختلفة من المستخدمين وتسهل التفاعلات والمعاملات بينهم، مع خلق قيمة لجميع الأطراف</w:t>
      </w:r>
      <w:r w:rsidRPr="00840978">
        <w:rPr>
          <w:rFonts w:ascii="Simplified Arabic" w:hAnsi="Simplified Arabic" w:cs="Simplified Arabic"/>
          <w:sz w:val="28"/>
          <w:szCs w:val="28"/>
        </w:rPr>
        <w:t xml:space="preserve"> (Gawer &amp; Cusumano, 2014). </w:t>
      </w:r>
      <w:r w:rsidRPr="00840978">
        <w:rPr>
          <w:rFonts w:ascii="Simplified Arabic" w:hAnsi="Simplified Arabic" w:cs="Simplified Arabic"/>
          <w:sz w:val="28"/>
          <w:szCs w:val="28"/>
          <w:rtl/>
        </w:rPr>
        <w:t>المنصات الرقمية تختلف عن نماذج الأعمال التقليدية في أنها لا تخلق القيمة بشكل خطي من خلال سلسلة قيمة واحدة، بل من خلال تسهيل التفاعلات والتبادلات بين شبكة من المشاركين</w:t>
      </w:r>
      <w:r w:rsidRPr="00840978">
        <w:rPr>
          <w:rFonts w:ascii="Simplified Arabic" w:hAnsi="Simplified Arabic" w:cs="Simplified Arabic"/>
          <w:sz w:val="28"/>
          <w:szCs w:val="28"/>
        </w:rPr>
        <w:t xml:space="preserve"> (Parker et al., 2016).</w:t>
      </w:r>
    </w:p>
    <w:p w14:paraId="6295C4D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أمثلة بارزة على المنصات الرقمية تشمل منصات التجارة الإلكترونية مثل</w:t>
      </w:r>
      <w:r w:rsidRPr="00840978">
        <w:rPr>
          <w:rFonts w:ascii="Simplified Arabic" w:hAnsi="Simplified Arabic" w:cs="Simplified Arabic"/>
          <w:sz w:val="28"/>
          <w:szCs w:val="28"/>
        </w:rPr>
        <w:t xml:space="preserve"> Amazon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Alibaba </w:t>
      </w:r>
      <w:r w:rsidRPr="00840978">
        <w:rPr>
          <w:rFonts w:ascii="Simplified Arabic" w:hAnsi="Simplified Arabic" w:cs="Simplified Arabic"/>
          <w:sz w:val="28"/>
          <w:szCs w:val="28"/>
          <w:rtl/>
        </w:rPr>
        <w:t>التي تربط بين البائعين والمشترين، ومنصات مشاركة الاقتصاد مثل</w:t>
      </w:r>
      <w:r w:rsidRPr="00840978">
        <w:rPr>
          <w:rFonts w:ascii="Simplified Arabic" w:hAnsi="Simplified Arabic" w:cs="Simplified Arabic"/>
          <w:sz w:val="28"/>
          <w:szCs w:val="28"/>
        </w:rPr>
        <w:t xml:space="preserve"> Uber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Airbnb </w:t>
      </w:r>
      <w:r w:rsidRPr="00840978">
        <w:rPr>
          <w:rFonts w:ascii="Simplified Arabic" w:hAnsi="Simplified Arabic" w:cs="Simplified Arabic"/>
          <w:sz w:val="28"/>
          <w:szCs w:val="28"/>
          <w:rtl/>
        </w:rPr>
        <w:t>التي تربط بين مقدمي الخدمات والمستخدمين، ومنصات وسائل التواصل الاجتماعي مثل</w:t>
      </w:r>
      <w:r w:rsidRPr="00840978">
        <w:rPr>
          <w:rFonts w:ascii="Simplified Arabic" w:hAnsi="Simplified Arabic" w:cs="Simplified Arabic"/>
          <w:sz w:val="28"/>
          <w:szCs w:val="28"/>
        </w:rPr>
        <w:t xml:space="preserve"> Facebook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Twitter </w:t>
      </w:r>
      <w:r w:rsidRPr="00840978">
        <w:rPr>
          <w:rFonts w:ascii="Simplified Arabic" w:hAnsi="Simplified Arabic" w:cs="Simplified Arabic"/>
          <w:sz w:val="28"/>
          <w:szCs w:val="28"/>
          <w:rtl/>
        </w:rPr>
        <w:t>التي تربط بين الأفراد والمنظمات والمعلنين</w:t>
      </w:r>
      <w:r w:rsidRPr="00840978">
        <w:rPr>
          <w:rFonts w:ascii="Simplified Arabic" w:hAnsi="Simplified Arabic" w:cs="Simplified Arabic"/>
          <w:sz w:val="28"/>
          <w:szCs w:val="28"/>
        </w:rPr>
        <w:t xml:space="preserve"> (Täuscher &amp; Laudien, 2018).</w:t>
      </w:r>
    </w:p>
    <w:p w14:paraId="26AD80B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فوائد استراتيجية المنصات تشمل تأثيرات الشبكة القوية حيث تزداد قيمة المنصة مع زيادة عدد المستخدمين، وقابلية التوسع السريع دون حاجة إلى استثمارات رأسمالية كبيرة في الأصول المادية، والقدرة على الاستفادة من الإبداع والموارد الخارجية</w:t>
      </w:r>
      <w:r w:rsidRPr="00840978">
        <w:rPr>
          <w:rFonts w:ascii="Simplified Arabic" w:hAnsi="Simplified Arabic" w:cs="Simplified Arabic"/>
          <w:sz w:val="28"/>
          <w:szCs w:val="28"/>
        </w:rPr>
        <w:t xml:space="preserve"> (Eisenmann et al., 2011). </w:t>
      </w:r>
      <w:r w:rsidRPr="00840978">
        <w:rPr>
          <w:rFonts w:ascii="Simplified Arabic" w:hAnsi="Simplified Arabic" w:cs="Simplified Arabic"/>
          <w:sz w:val="28"/>
          <w:szCs w:val="28"/>
          <w:rtl/>
        </w:rPr>
        <w:t xml:space="preserve">غير أن تحديات بناء المنصات تشمل صعوبة تحقيق الكتلة الحرجة من المستخدمين، ومشكلة الدجاجة والبيضة في جذب الأطراف المختلفة في </w:t>
      </w:r>
      <w:r w:rsidRPr="00840978">
        <w:rPr>
          <w:rFonts w:ascii="Simplified Arabic" w:hAnsi="Simplified Arabic" w:cs="Simplified Arabic"/>
          <w:sz w:val="28"/>
          <w:szCs w:val="28"/>
          <w:rtl/>
        </w:rPr>
        <w:lastRenderedPageBreak/>
        <w:t>وقت واحد، والحاجة إلى إدارة حوكمة معقدة للنظام البيئي</w:t>
      </w:r>
      <w:r w:rsidRPr="00840978">
        <w:rPr>
          <w:rFonts w:ascii="Simplified Arabic" w:hAnsi="Simplified Arabic" w:cs="Simplified Arabic"/>
          <w:sz w:val="28"/>
          <w:szCs w:val="28"/>
        </w:rPr>
        <w:t xml:space="preserve"> (Rochet &amp; Tirole, 2003).</w:t>
      </w:r>
    </w:p>
    <w:p w14:paraId="692EC131" w14:textId="77777777" w:rsidR="00840978" w:rsidRPr="00840978" w:rsidRDefault="00840978" w:rsidP="000126FF">
      <w:pPr>
        <w:pStyle w:val="Heading3"/>
      </w:pPr>
      <w:bookmarkStart w:id="16" w:name="_Toc214041802"/>
      <w:r w:rsidRPr="00840978">
        <w:t xml:space="preserve">2.1.5 </w:t>
      </w:r>
      <w:r w:rsidRPr="00840978">
        <w:rPr>
          <w:rtl/>
        </w:rPr>
        <w:t>التحديات التي تواجه التحول الرقمي</w:t>
      </w:r>
      <w:bookmarkEnd w:id="16"/>
    </w:p>
    <w:p w14:paraId="41B66C2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على الرغم من الفوائد الواعدة للتحول الرقمي، تواجه المنظمات مجموعة من التحديات الكبيرة التي يمكن أن تعيق نجاح مبادرات التحول أو تؤدي إلى فشلها الكامل. فهم هذه التحديات بشكل عميق واستباقي يساعد المنظمات على تطوير استراتيجيات فعالة للتخفيف من آثارها</w:t>
      </w:r>
      <w:r w:rsidRPr="00840978">
        <w:rPr>
          <w:rFonts w:ascii="Simplified Arabic" w:hAnsi="Simplified Arabic" w:cs="Simplified Arabic"/>
          <w:sz w:val="28"/>
          <w:szCs w:val="28"/>
        </w:rPr>
        <w:t>.</w:t>
      </w:r>
    </w:p>
    <w:p w14:paraId="0E60484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التحديات التقنية</w:t>
      </w:r>
    </w:p>
    <w:p w14:paraId="1EC2589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تتضمن التحديات التقنية عدة جوانب رئيسية. أولاً، الأنظمة القديمة</w:t>
      </w:r>
      <w:r w:rsidRPr="00840978">
        <w:rPr>
          <w:rFonts w:ascii="Simplified Arabic" w:hAnsi="Simplified Arabic" w:cs="Simplified Arabic"/>
          <w:sz w:val="28"/>
          <w:szCs w:val="28"/>
        </w:rPr>
        <w:t xml:space="preserve"> (Legacy Systems) </w:t>
      </w:r>
      <w:r w:rsidRPr="00840978">
        <w:rPr>
          <w:rFonts w:ascii="Simplified Arabic" w:hAnsi="Simplified Arabic" w:cs="Simplified Arabic"/>
          <w:sz w:val="28"/>
          <w:szCs w:val="28"/>
          <w:rtl/>
        </w:rPr>
        <w:t>التي تستخدمها العديد من المنظمات، خاصة الكبيرة منها والعريقة، والتي تكون غير متوافقة مع التقنيات الرقمية الحديثة وتشكل عائقاً أمام التكامل والمرونة</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استبدال أو تحديث هذه الأنظمة يمكن أن يكون مكلفاً ومعقداً ومحفوفاً بالمخاطر</w:t>
      </w:r>
      <w:r w:rsidRPr="00840978">
        <w:rPr>
          <w:rFonts w:ascii="Simplified Arabic" w:hAnsi="Simplified Arabic" w:cs="Simplified Arabic"/>
          <w:sz w:val="28"/>
          <w:szCs w:val="28"/>
        </w:rPr>
        <w:t>.</w:t>
      </w:r>
    </w:p>
    <w:p w14:paraId="20CC54B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ثانياً، تحديات التكامل والقابلية للتشغيل البيني بين الأنظمة والتطبيقات والتقنيات المختلفة، حيث أن التحول الرقمي غالباً ما يتطلب ربط أنظمة متباينة تم تطويرها في أوقات مختلفة باستخدام معايير وبروتوكولات مختلفة</w:t>
      </w:r>
      <w:r w:rsidRPr="00840978">
        <w:rPr>
          <w:rFonts w:ascii="Simplified Arabic" w:hAnsi="Simplified Arabic" w:cs="Simplified Arabic"/>
          <w:sz w:val="28"/>
          <w:szCs w:val="28"/>
        </w:rPr>
        <w:t xml:space="preserve"> (Bharadwaj et al., 2013). </w:t>
      </w:r>
      <w:r w:rsidRPr="00840978">
        <w:rPr>
          <w:rFonts w:ascii="Simplified Arabic" w:hAnsi="Simplified Arabic" w:cs="Simplified Arabic"/>
          <w:sz w:val="28"/>
          <w:szCs w:val="28"/>
          <w:rtl/>
        </w:rPr>
        <w:t>ثالثاً، تحديات إدارة البيانات الضخمة من حيث التخزين والمعالجة والجودة والحوكمة، حيث أن التحول الرقمي يولد كميات هائلة من البيانات التي تحتاج إلى إدارة فعالة لاستخلاص قيمة منها</w:t>
      </w:r>
      <w:r w:rsidRPr="00840978">
        <w:rPr>
          <w:rFonts w:ascii="Simplified Arabic" w:hAnsi="Simplified Arabic" w:cs="Simplified Arabic"/>
          <w:sz w:val="28"/>
          <w:szCs w:val="28"/>
        </w:rPr>
        <w:t xml:space="preserve"> (Wamba et al., 2015).</w:t>
      </w:r>
    </w:p>
    <w:p w14:paraId="59D9F5F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رابعاً، تحديات الأمن السيبراني والخصوصية، حيث أن زيادة الاعتماد على التقنيات الرقمية والاتصال بالإنترنت تزيد من التعرض للهجمات السيبرانية وانتهاكات البيانات</w:t>
      </w:r>
      <w:r w:rsidRPr="00840978">
        <w:rPr>
          <w:rFonts w:ascii="Simplified Arabic" w:hAnsi="Simplified Arabic" w:cs="Simplified Arabic"/>
          <w:sz w:val="28"/>
          <w:szCs w:val="28"/>
        </w:rPr>
        <w:t xml:space="preserve"> (Li et al., 2021). </w:t>
      </w:r>
      <w:r w:rsidRPr="00840978">
        <w:rPr>
          <w:rFonts w:ascii="Simplified Arabic" w:hAnsi="Simplified Arabic" w:cs="Simplified Arabic"/>
          <w:sz w:val="28"/>
          <w:szCs w:val="28"/>
          <w:rtl/>
        </w:rPr>
        <w:t>خامساً، نقص المعايير الموحدة والمفتوحة في بعض المجالات التقنية الناشئة، مما يخلق عدم يقين ويصعب الاختيار بين الحلول المختلفة</w:t>
      </w:r>
      <w:r w:rsidRPr="00840978">
        <w:rPr>
          <w:rFonts w:ascii="Simplified Arabic" w:hAnsi="Simplified Arabic" w:cs="Simplified Arabic"/>
          <w:sz w:val="28"/>
          <w:szCs w:val="28"/>
        </w:rPr>
        <w:t xml:space="preserve"> (Kraus et al., 2021).</w:t>
      </w:r>
    </w:p>
    <w:p w14:paraId="19BE2BF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التحديات التنظيمية</w:t>
      </w:r>
    </w:p>
    <w:p w14:paraId="2FA9B31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تشمل التحديات التنظيمية مجموعة واسعة من القضايا الهيكلية والثقافية. أولاً، مقاومة التغيير من قبل الموظفين والمديرين الذين قد يشعرون بالتهديد من التقنيات الجديدة أو يفضلون الطرق التقليدية في العمل</w:t>
      </w:r>
      <w:r w:rsidRPr="00840978">
        <w:rPr>
          <w:rFonts w:ascii="Simplified Arabic" w:hAnsi="Simplified Arabic" w:cs="Simplified Arabic"/>
          <w:sz w:val="28"/>
          <w:szCs w:val="28"/>
        </w:rPr>
        <w:t xml:space="preserve"> (Vey et al., 2017). </w:t>
      </w:r>
      <w:r w:rsidRPr="00840978">
        <w:rPr>
          <w:rFonts w:ascii="Simplified Arabic" w:hAnsi="Simplified Arabic" w:cs="Simplified Arabic"/>
          <w:sz w:val="28"/>
          <w:szCs w:val="28"/>
          <w:rtl/>
        </w:rPr>
        <w:t>التغلب على هذه المقاومة يتطلب استراتيجيات فعالة لإدارة التغيير والتواصل والمشاركة</w:t>
      </w:r>
      <w:r w:rsidRPr="00840978">
        <w:rPr>
          <w:rFonts w:ascii="Simplified Arabic" w:hAnsi="Simplified Arabic" w:cs="Simplified Arabic"/>
          <w:sz w:val="28"/>
          <w:szCs w:val="28"/>
        </w:rPr>
        <w:t>.</w:t>
      </w:r>
    </w:p>
    <w:p w14:paraId="1C49609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ثانياً، نقص المهارات الرقمية والكفاءات اللازمة، حيث تواجه العديد من المنظمات صعوبة في جذب والاحتفاظ بالمواهب الرقمية في سوق عمل تنافسي</w:t>
      </w:r>
      <w:r w:rsidRPr="00840978">
        <w:rPr>
          <w:rFonts w:ascii="Simplified Arabic" w:hAnsi="Simplified Arabic" w:cs="Simplified Arabic"/>
          <w:sz w:val="28"/>
          <w:szCs w:val="28"/>
        </w:rPr>
        <w:t xml:space="preserve"> (Singh et al., 2022). </w:t>
      </w:r>
      <w:r w:rsidRPr="00840978">
        <w:rPr>
          <w:rFonts w:ascii="Simplified Arabic" w:hAnsi="Simplified Arabic" w:cs="Simplified Arabic"/>
          <w:sz w:val="28"/>
          <w:szCs w:val="28"/>
          <w:rtl/>
        </w:rPr>
        <w:t>ثالثاً، الصوامع التنظيمية وضعف التعاون بين الأقسام المختلفة، حيث أن التحول الرقمي الناجح يتطلب تعاوناً وثيقاً عبر الحدود التنظيمية التقليدية</w:t>
      </w:r>
      <w:r w:rsidRPr="00840978">
        <w:rPr>
          <w:rFonts w:ascii="Simplified Arabic" w:hAnsi="Simplified Arabic" w:cs="Simplified Arabic"/>
          <w:sz w:val="28"/>
          <w:szCs w:val="28"/>
        </w:rPr>
        <w:t xml:space="preserve"> (Vial, 2019).</w:t>
      </w:r>
    </w:p>
    <w:p w14:paraId="460A45E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رابعاً، الجمود التنظيمي والبيروقراطية المفرطة التي تبطئ عملية اتخاذ القرارات وتنفيذ المبادرات الجديدة، بينما يتطلب التحول الرقمي سرعة ومرونة عالية</w:t>
      </w:r>
      <w:r w:rsidRPr="00840978">
        <w:rPr>
          <w:rFonts w:ascii="Simplified Arabic" w:hAnsi="Simplified Arabic" w:cs="Simplified Arabic"/>
          <w:sz w:val="28"/>
          <w:szCs w:val="28"/>
        </w:rPr>
        <w:t xml:space="preserve"> (Teece et al., 2016). </w:t>
      </w:r>
      <w:r w:rsidRPr="00840978">
        <w:rPr>
          <w:rFonts w:ascii="Simplified Arabic" w:hAnsi="Simplified Arabic" w:cs="Simplified Arabic"/>
          <w:sz w:val="28"/>
          <w:szCs w:val="28"/>
          <w:rtl/>
        </w:rPr>
        <w:t>خامساً، عدم وضوح الأدوار والمسؤوليات فيما يتعلق بقيادة وتنفيذ التحول الرقمي، مما يؤدي إلى تشتت الجهود والازدواجية</w:t>
      </w:r>
      <w:r w:rsidRPr="00840978">
        <w:rPr>
          <w:rFonts w:ascii="Simplified Arabic" w:hAnsi="Simplified Arabic" w:cs="Simplified Arabic"/>
          <w:sz w:val="28"/>
          <w:szCs w:val="28"/>
        </w:rPr>
        <w:t xml:space="preserve"> (Matt et al., 2015).</w:t>
      </w:r>
    </w:p>
    <w:p w14:paraId="1328CE1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التحديات الاستراتيجية</w:t>
      </w:r>
    </w:p>
    <w:p w14:paraId="1F76348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تتعلق التحديات الاستراتيجية بالقرارات والاتجاهات الكبرى للتحول الرقمي. أولاً، غموض الرؤية وعدم وضوح الأهداف الاستراتيجية للتحول الرقمي، حيث أن العديد من المنظمات تطلق مبادرات رقمية دون فهم واضح لما تحاول تحقيقه ولماذا</w:t>
      </w:r>
      <w:r w:rsidRPr="00840978">
        <w:rPr>
          <w:rFonts w:ascii="Simplified Arabic" w:hAnsi="Simplified Arabic" w:cs="Simplified Arabic"/>
          <w:sz w:val="28"/>
          <w:szCs w:val="28"/>
        </w:rPr>
        <w:t xml:space="preserve"> (Hess et al., 2016). </w:t>
      </w:r>
      <w:r w:rsidRPr="00840978">
        <w:rPr>
          <w:rFonts w:ascii="Simplified Arabic" w:hAnsi="Simplified Arabic" w:cs="Simplified Arabic"/>
          <w:sz w:val="28"/>
          <w:szCs w:val="28"/>
          <w:rtl/>
        </w:rPr>
        <w:t>ثانياً، صعوبة قياس العائد على الاستثمار في التحول الرقمي، خاصة في المدى القصير، مما يجعل من الصعب تبرير الاستثمارات الكبيرة المطلوبة وقد يؤدي إلى فقدان الدعم من الإدارة العليا</w:t>
      </w:r>
      <w:r w:rsidRPr="00840978">
        <w:rPr>
          <w:rFonts w:ascii="Simplified Arabic" w:hAnsi="Simplified Arabic" w:cs="Simplified Arabic"/>
          <w:sz w:val="28"/>
          <w:szCs w:val="28"/>
        </w:rPr>
        <w:t xml:space="preserve"> (Chouaibi et al., 2022).</w:t>
      </w:r>
    </w:p>
    <w:p w14:paraId="14C9C40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التوازن بين الاستثمار في تحسين العمليات الحالية والاستثمار في الابتكار واستكشاف نماذج أعمال جديدة، وهو ما يعرف بمعضلة الاستكشاف والاستغلال</w:t>
      </w:r>
      <w:r w:rsidRPr="00840978">
        <w:rPr>
          <w:rFonts w:ascii="Simplified Arabic" w:hAnsi="Simplified Arabic" w:cs="Simplified Arabic"/>
          <w:sz w:val="28"/>
          <w:szCs w:val="28"/>
        </w:rPr>
        <w:t xml:space="preserve"> (March, 1991). </w:t>
      </w:r>
      <w:r w:rsidRPr="00840978">
        <w:rPr>
          <w:rFonts w:ascii="Simplified Arabic" w:hAnsi="Simplified Arabic" w:cs="Simplified Arabic"/>
          <w:sz w:val="28"/>
          <w:szCs w:val="28"/>
          <w:rtl/>
        </w:rPr>
        <w:t>رابعاً، اختيار التقنيات المناسبة للاستثمار فيها في ظل التطور التكنولوجي السريع وعدم اليقين حول التقنيات التي ستنجح وتنتشر على نطاق واسع</w:t>
      </w:r>
      <w:r w:rsidRPr="00840978">
        <w:rPr>
          <w:rFonts w:ascii="Simplified Arabic" w:hAnsi="Simplified Arabic" w:cs="Simplified Arabic"/>
          <w:sz w:val="28"/>
          <w:szCs w:val="28"/>
        </w:rPr>
        <w:t xml:space="preserve"> (Vial, 2019).</w:t>
      </w:r>
    </w:p>
    <w:p w14:paraId="1B7342F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خامساً، إدارة التهديدات التنافسية من الداخلين الجدد الرقميين والمنصات الكبرى التي قد تعيد تعريف قواعد اللعبة في الصناعة</w:t>
      </w:r>
      <w:r w:rsidRPr="00840978">
        <w:rPr>
          <w:rFonts w:ascii="Simplified Arabic" w:hAnsi="Simplified Arabic" w:cs="Simplified Arabic"/>
          <w:sz w:val="28"/>
          <w:szCs w:val="28"/>
        </w:rPr>
        <w:t xml:space="preserve"> (Iansiti &amp; Lakhani, 2020). </w:t>
      </w:r>
      <w:r w:rsidRPr="00840978">
        <w:rPr>
          <w:rFonts w:ascii="Simplified Arabic" w:hAnsi="Simplified Arabic" w:cs="Simplified Arabic"/>
          <w:sz w:val="28"/>
          <w:szCs w:val="28"/>
          <w:rtl/>
        </w:rPr>
        <w:t>سادساً، الموازنة بين السرعة المطلوبة في التحول وضرورة الحفاظ على استقرار العمليات الحالية وخدمة العملاء الحاليين</w:t>
      </w:r>
      <w:r w:rsidRPr="00840978">
        <w:rPr>
          <w:rFonts w:ascii="Simplified Arabic" w:hAnsi="Simplified Arabic" w:cs="Simplified Arabic"/>
          <w:sz w:val="28"/>
          <w:szCs w:val="28"/>
        </w:rPr>
        <w:t xml:space="preserve"> (Westerman et al., 2014).</w:t>
      </w:r>
    </w:p>
    <w:p w14:paraId="2FDC336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التحديات المالية</w:t>
      </w:r>
    </w:p>
    <w:p w14:paraId="2DACC91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تطرح التمويل والاستثمار تحديات كبيرة للتحول الرقمي. أولاً، الحاجة إلى استثمارات كبيرة ومستمرة في التقنيات والبنية التحتية والمواهب، بينما قد تكون الموارد المالية محدودة وتواجه منافسة من أولويات أخرى</w:t>
      </w:r>
      <w:r w:rsidRPr="00840978">
        <w:rPr>
          <w:rFonts w:ascii="Simplified Arabic" w:hAnsi="Simplified Arabic" w:cs="Simplified Arabic"/>
          <w:sz w:val="28"/>
          <w:szCs w:val="28"/>
        </w:rPr>
        <w:t xml:space="preserve"> (Matt et al., 2015). </w:t>
      </w:r>
      <w:r w:rsidRPr="00840978">
        <w:rPr>
          <w:rFonts w:ascii="Simplified Arabic" w:hAnsi="Simplified Arabic" w:cs="Simplified Arabic"/>
          <w:sz w:val="28"/>
          <w:szCs w:val="28"/>
          <w:rtl/>
        </w:rPr>
        <w:t>ثانياً، عدم اليقين حول العوائد والمدة الزمنية اللازمة لتحقيقها، مما يجعل قرارات الاستثمار صعبة ومحفوفة بالمخاطر</w:t>
      </w:r>
      <w:r w:rsidRPr="00840978">
        <w:rPr>
          <w:rFonts w:ascii="Simplified Arabic" w:hAnsi="Simplified Arabic" w:cs="Simplified Arabic"/>
          <w:sz w:val="28"/>
          <w:szCs w:val="28"/>
        </w:rPr>
        <w:t xml:space="preserve"> (Chouaibi et al., 2022).</w:t>
      </w:r>
    </w:p>
    <w:p w14:paraId="58AA521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ضغوط الأداء قصير المدى من المساهمين والأسواق المالية التي قد تتعارض مع الحاجة إلى استثمارات طويلة المدى في التحول الرقمي دون عوائد فورية</w:t>
      </w:r>
      <w:r w:rsidRPr="00840978">
        <w:rPr>
          <w:rFonts w:ascii="Simplified Arabic" w:hAnsi="Simplified Arabic" w:cs="Simplified Arabic"/>
          <w:sz w:val="28"/>
          <w:szCs w:val="28"/>
        </w:rPr>
        <w:t xml:space="preserve"> (Verhoef et al., 2021). </w:t>
      </w:r>
      <w:r w:rsidRPr="00840978">
        <w:rPr>
          <w:rFonts w:ascii="Simplified Arabic" w:hAnsi="Simplified Arabic" w:cs="Simplified Arabic"/>
          <w:sz w:val="28"/>
          <w:szCs w:val="28"/>
          <w:rtl/>
        </w:rPr>
        <w:t>رابعاً، تحديات تسعير المنتجات والخدمات الرقمية الجديدة وتحديد نماذج الإيرادات المناسبة، خاصة عندما تتنافس مع بدائل مجانية أو منخفضة التكلفة</w:t>
      </w:r>
      <w:r w:rsidRPr="00840978">
        <w:rPr>
          <w:rFonts w:ascii="Simplified Arabic" w:hAnsi="Simplified Arabic" w:cs="Simplified Arabic"/>
          <w:sz w:val="28"/>
          <w:szCs w:val="28"/>
        </w:rPr>
        <w:t xml:space="preserve"> (Parker et al., 2016).</w:t>
      </w:r>
    </w:p>
    <w:p w14:paraId="191B153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التحديات التنظيمية والقانونية</w:t>
      </w:r>
    </w:p>
    <w:p w14:paraId="3F08C96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 xml:space="preserve">تواجه المنظمات أيضاً تحديات تتعلق بالبيئة التنظيمية والقانونية. أولاً، اللوائح والقوانين المتعلقة بحماية </w:t>
      </w:r>
      <w:r w:rsidRPr="00840978">
        <w:rPr>
          <w:rFonts w:ascii="Simplified Arabic" w:hAnsi="Simplified Arabic" w:cs="Simplified Arabic"/>
          <w:sz w:val="28"/>
          <w:szCs w:val="28"/>
          <w:rtl/>
        </w:rPr>
        <w:lastRenderedPageBreak/>
        <w:t>البيانات والخصوصية مثل اللائحة العامة لحماية البيانات</w:t>
      </w:r>
      <w:r w:rsidRPr="00840978">
        <w:rPr>
          <w:rFonts w:ascii="Simplified Arabic" w:hAnsi="Simplified Arabic" w:cs="Simplified Arabic"/>
          <w:sz w:val="28"/>
          <w:szCs w:val="28"/>
        </w:rPr>
        <w:t xml:space="preserve"> (GDPR) </w:t>
      </w:r>
      <w:r w:rsidRPr="00840978">
        <w:rPr>
          <w:rFonts w:ascii="Simplified Arabic" w:hAnsi="Simplified Arabic" w:cs="Simplified Arabic"/>
          <w:sz w:val="28"/>
          <w:szCs w:val="28"/>
          <w:rtl/>
        </w:rPr>
        <w:t>في أوروبا، والتي تفرض متطلبات صارمة على كيفية جمع واستخدام وتخزين البيانات الشخصية</w:t>
      </w:r>
      <w:r w:rsidRPr="00840978">
        <w:rPr>
          <w:rFonts w:ascii="Simplified Arabic" w:hAnsi="Simplified Arabic" w:cs="Simplified Arabic"/>
          <w:sz w:val="28"/>
          <w:szCs w:val="28"/>
        </w:rPr>
        <w:t xml:space="preserve"> (Tankard, 2016). </w:t>
      </w:r>
      <w:r w:rsidRPr="00840978">
        <w:rPr>
          <w:rFonts w:ascii="Simplified Arabic" w:hAnsi="Simplified Arabic" w:cs="Simplified Arabic"/>
          <w:sz w:val="28"/>
          <w:szCs w:val="28"/>
          <w:rtl/>
        </w:rPr>
        <w:t>ثانياً، عدم وضوح الأطر التنظيمية للتقنيات الناشئة في بعض المجالات، مما يخلق عدم يقين قانوني ويصعب التخطيط طويل المدى</w:t>
      </w:r>
      <w:r w:rsidRPr="00840978">
        <w:rPr>
          <w:rFonts w:ascii="Simplified Arabic" w:hAnsi="Simplified Arabic" w:cs="Simplified Arabic"/>
          <w:sz w:val="28"/>
          <w:szCs w:val="28"/>
        </w:rPr>
        <w:t xml:space="preserve"> (Vial, 2019).</w:t>
      </w:r>
    </w:p>
    <w:p w14:paraId="4F241F2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الاختلافات في اللوائح بين البلدان والمناطق المختلفة، مما يعقد عمليات التحول الرقمي للشركات متعددة الجنسيات</w:t>
      </w:r>
      <w:r w:rsidRPr="00840978">
        <w:rPr>
          <w:rFonts w:ascii="Simplified Arabic" w:hAnsi="Simplified Arabic" w:cs="Simplified Arabic"/>
          <w:sz w:val="28"/>
          <w:szCs w:val="28"/>
        </w:rPr>
        <w:t xml:space="preserve"> (Luo et al., 2025). </w:t>
      </w:r>
      <w:r w:rsidRPr="00840978">
        <w:rPr>
          <w:rFonts w:ascii="Simplified Arabic" w:hAnsi="Simplified Arabic" w:cs="Simplified Arabic"/>
          <w:sz w:val="28"/>
          <w:szCs w:val="28"/>
          <w:rtl/>
        </w:rPr>
        <w:t>رابعاً، قضايا الملكية الفكرية وحقوق النشر في البيئة الرقمية، خاصة فيما يتعلق بالبيانات والخوارزميات والمحتوى الرقمي</w:t>
      </w:r>
      <w:r w:rsidRPr="00840978">
        <w:rPr>
          <w:rFonts w:ascii="Simplified Arabic" w:hAnsi="Simplified Arabic" w:cs="Simplified Arabic"/>
          <w:sz w:val="28"/>
          <w:szCs w:val="28"/>
        </w:rPr>
        <w:t xml:space="preserve"> (Mikalef &amp; Gupta, 2021).</w:t>
      </w:r>
    </w:p>
    <w:p w14:paraId="0FBFAD35" w14:textId="14D9FA79" w:rsid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إن فهم هذه التحديات المتعددة الأبعاد والمتداخلة يساعد المنظمات على تطوير نهج شامل ومتوازن للتحول الرقمي يأخذ في الاعتبار ليس فقط الفرص الواعدة ولكن أيضاً المخاطر والعوائق المحتملة. التحول الرقمي الناجح يتطلب معالجة استباقية لهذه التحديات من خلال استراتيجيات متكاملة تغطي الجوانب التقنية والتنظيمية والاستراتيجية والمالية والقانونية</w:t>
      </w:r>
      <w:r w:rsidRPr="00840978">
        <w:rPr>
          <w:rFonts w:ascii="Simplified Arabic" w:hAnsi="Simplified Arabic" w:cs="Simplified Arabic"/>
          <w:sz w:val="28"/>
          <w:szCs w:val="28"/>
        </w:rPr>
        <w:t xml:space="preserve"> (Cyfert et al., 2025).</w:t>
      </w:r>
    </w:p>
    <w:p w14:paraId="459E36C4" w14:textId="77777777" w:rsidR="00840978" w:rsidRPr="00840978" w:rsidRDefault="00840978" w:rsidP="000126FF">
      <w:pPr>
        <w:pStyle w:val="Heading2"/>
      </w:pPr>
      <w:bookmarkStart w:id="17" w:name="_Toc214041803"/>
      <w:r w:rsidRPr="00840978">
        <w:rPr>
          <w:rtl/>
        </w:rPr>
        <w:t>المبحث الثاني: أداء الشركات</w:t>
      </w:r>
      <w:bookmarkEnd w:id="17"/>
    </w:p>
    <w:p w14:paraId="61A7E7AD" w14:textId="77777777" w:rsidR="00840978" w:rsidRPr="00840978" w:rsidRDefault="00840978" w:rsidP="000126FF">
      <w:pPr>
        <w:pStyle w:val="Heading3"/>
      </w:pPr>
      <w:bookmarkStart w:id="18" w:name="_Toc214041804"/>
      <w:r w:rsidRPr="00840978">
        <w:t xml:space="preserve">2.2.1 </w:t>
      </w:r>
      <w:r w:rsidRPr="00840978">
        <w:rPr>
          <w:rtl/>
        </w:rPr>
        <w:t>مفهوم الأداء التنظيمي</w:t>
      </w:r>
      <w:bookmarkEnd w:id="18"/>
    </w:p>
    <w:p w14:paraId="016FB5F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يعد الأداء التنظيمي من أكثر المفاهيم أهمية في أدبيات الإدارة الاستراتيجية والسلوك التنظيمي، حيث يمثل المقياس النهائي لنجاح المنظمات في تحقيق أهدافها وخلق قيمة لأصحاب المصلحة. على الرغم من الاستخدام الواسع لهذا المفهوم، إلا أن تعريفه وقياسه لا يزالان موضع نقاش وجدل بين الباحثين، نظراً لتعدد الأبعاد والمستويات والمنظورات التي يمكن من خلالها النظر إلى الأداء التنظيمي</w:t>
      </w:r>
      <w:r w:rsidRPr="00840978">
        <w:rPr>
          <w:rFonts w:ascii="Simplified Arabic" w:hAnsi="Simplified Arabic" w:cs="Simplified Arabic"/>
          <w:sz w:val="28"/>
          <w:szCs w:val="28"/>
        </w:rPr>
        <w:t xml:space="preserve"> (Richard et al., 2009).</w:t>
      </w:r>
    </w:p>
    <w:p w14:paraId="35A4573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منظور تقليدي، كان الأداء التنظيمي يُنظر إليه بشكل ضيق على أنه الأداء المالي فقط، ويُقاس من خلال مؤشرات مثل الربحية والعائد على الأصول والعائد على حقوق الملكية ونمو المبيعات</w:t>
      </w:r>
      <w:r w:rsidRPr="00840978">
        <w:rPr>
          <w:rFonts w:ascii="Simplified Arabic" w:hAnsi="Simplified Arabic" w:cs="Simplified Arabic"/>
          <w:sz w:val="28"/>
          <w:szCs w:val="28"/>
        </w:rPr>
        <w:t xml:space="preserve"> (Venkatraman &amp; Ramanujam, 1986). </w:t>
      </w:r>
      <w:r w:rsidRPr="00840978">
        <w:rPr>
          <w:rFonts w:ascii="Simplified Arabic" w:hAnsi="Simplified Arabic" w:cs="Simplified Arabic"/>
          <w:sz w:val="28"/>
          <w:szCs w:val="28"/>
          <w:rtl/>
        </w:rPr>
        <w:t>هذا المنظور يستند إلى النظرية الكلاسيكية للشركة التي ترى أن الهدف الأساسي للمنظمات هو تعظيم قيمة المساهمين، وبالتالي فإن المؤشرات المالية تمثل المقياس الأهم للنجاح</w:t>
      </w:r>
      <w:r w:rsidRPr="00840978">
        <w:rPr>
          <w:rFonts w:ascii="Simplified Arabic" w:hAnsi="Simplified Arabic" w:cs="Simplified Arabic"/>
          <w:sz w:val="28"/>
          <w:szCs w:val="28"/>
        </w:rPr>
        <w:t xml:space="preserve"> (Friedman, 1970). </w:t>
      </w:r>
      <w:r w:rsidRPr="00840978">
        <w:rPr>
          <w:rFonts w:ascii="Simplified Arabic" w:hAnsi="Simplified Arabic" w:cs="Simplified Arabic"/>
          <w:sz w:val="28"/>
          <w:szCs w:val="28"/>
          <w:rtl/>
        </w:rPr>
        <w:t>غير أن هذا المنظور الضيق تعرض لانتقادات واسعة لكونه يتجاهل جوانب مهمة أخرى من الأداء ولا يعكس الصورة الكاملة لنجاح المنظمة</w:t>
      </w:r>
      <w:r w:rsidRPr="00840978">
        <w:rPr>
          <w:rFonts w:ascii="Simplified Arabic" w:hAnsi="Simplified Arabic" w:cs="Simplified Arabic"/>
          <w:sz w:val="28"/>
          <w:szCs w:val="28"/>
        </w:rPr>
        <w:t>.</w:t>
      </w:r>
    </w:p>
    <w:p w14:paraId="7CB393D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مع تطور الفكر الإداري، ظهرت منظورات أوسع للأداء التنظيمي تأخذ في الاعتبار أبعاداً متعددة تتجاوز الأداء المالي. من أبرز هذه المنظورات نظرية أصحاب المصلحة</w:t>
      </w:r>
      <w:r w:rsidRPr="00840978">
        <w:rPr>
          <w:rFonts w:ascii="Simplified Arabic" w:hAnsi="Simplified Arabic" w:cs="Simplified Arabic"/>
          <w:sz w:val="28"/>
          <w:szCs w:val="28"/>
        </w:rPr>
        <w:t xml:space="preserve"> (Stakeholder Theory) </w:t>
      </w:r>
      <w:r w:rsidRPr="00840978">
        <w:rPr>
          <w:rFonts w:ascii="Simplified Arabic" w:hAnsi="Simplified Arabic" w:cs="Simplified Arabic"/>
          <w:sz w:val="28"/>
          <w:szCs w:val="28"/>
          <w:rtl/>
        </w:rPr>
        <w:t xml:space="preserve">التي تفترض أن المنظمات لديها التزامات تجاه مجموعة واسعة من أصحاب المصلحة وليس المساهمين فقط، وبالتالي يجب أن يشمل تقييم الأداء مدى تلبية احتياجات وتوقعات هؤلاء الأطراف المختلفة بما في ذلك العملاء </w:t>
      </w:r>
      <w:r w:rsidRPr="00840978">
        <w:rPr>
          <w:rFonts w:ascii="Simplified Arabic" w:hAnsi="Simplified Arabic" w:cs="Simplified Arabic"/>
          <w:sz w:val="28"/>
          <w:szCs w:val="28"/>
          <w:rtl/>
        </w:rPr>
        <w:lastRenderedPageBreak/>
        <w:t>والموظفين والموردين والمجتمع</w:t>
      </w:r>
      <w:r w:rsidRPr="00840978">
        <w:rPr>
          <w:rFonts w:ascii="Simplified Arabic" w:hAnsi="Simplified Arabic" w:cs="Simplified Arabic"/>
          <w:sz w:val="28"/>
          <w:szCs w:val="28"/>
        </w:rPr>
        <w:t xml:space="preserve"> (Freeman, 1984). </w:t>
      </w:r>
      <w:r w:rsidRPr="00840978">
        <w:rPr>
          <w:rFonts w:ascii="Simplified Arabic" w:hAnsi="Simplified Arabic" w:cs="Simplified Arabic"/>
          <w:sz w:val="28"/>
          <w:szCs w:val="28"/>
          <w:rtl/>
        </w:rPr>
        <w:t>هذا المنظور يؤدي إلى تعريف أوسع للأداء يشمل أبعاداً مثل رضا العملاء ورضا الموظفين والمسؤولية الاجتماعية والتأثير البيئي</w:t>
      </w:r>
      <w:r w:rsidRPr="00840978">
        <w:rPr>
          <w:rFonts w:ascii="Simplified Arabic" w:hAnsi="Simplified Arabic" w:cs="Simplified Arabic"/>
          <w:sz w:val="28"/>
          <w:szCs w:val="28"/>
        </w:rPr>
        <w:t>.</w:t>
      </w:r>
    </w:p>
    <w:p w14:paraId="103B1B1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تعريف آخر واسع الانتشار يقدمه كابلان ونورتون من خلال مفهوم بطاقة الأداء المتوازن</w:t>
      </w:r>
      <w:r w:rsidRPr="00840978">
        <w:rPr>
          <w:rFonts w:ascii="Simplified Arabic" w:hAnsi="Simplified Arabic" w:cs="Simplified Arabic"/>
          <w:sz w:val="28"/>
          <w:szCs w:val="28"/>
        </w:rPr>
        <w:t xml:space="preserve"> (Balanced Scorecard)</w:t>
      </w:r>
      <w:r w:rsidRPr="00840978">
        <w:rPr>
          <w:rFonts w:ascii="Simplified Arabic" w:hAnsi="Simplified Arabic" w:cs="Simplified Arabic"/>
          <w:sz w:val="28"/>
          <w:szCs w:val="28"/>
          <w:rtl/>
        </w:rPr>
        <w:t>، حيث يعرفان الأداء التنظيمي من خلال أربعة منظورات متكاملة هي المنظور المالي ومنظور العملاء ومنظور العمليات الداخلية ومنظور التعلم والنمو</w:t>
      </w:r>
      <w:r w:rsidRPr="00840978">
        <w:rPr>
          <w:rFonts w:ascii="Simplified Arabic" w:hAnsi="Simplified Arabic" w:cs="Simplified Arabic"/>
          <w:sz w:val="28"/>
          <w:szCs w:val="28"/>
        </w:rPr>
        <w:t xml:space="preserve"> (Kaplan &amp; Norton, 1996). </w:t>
      </w:r>
      <w:r w:rsidRPr="00840978">
        <w:rPr>
          <w:rFonts w:ascii="Simplified Arabic" w:hAnsi="Simplified Arabic" w:cs="Simplified Arabic"/>
          <w:sz w:val="28"/>
          <w:szCs w:val="28"/>
          <w:rtl/>
        </w:rPr>
        <w:t>هذا الإطار يعترف بأن المؤشرات المالية وحدها غير كافية لتوجيه الأداء المستقبلي، وأن المنظمات تحتاج إلى مجموعة متوازنة من المؤشرات القائدة (التي تتنبأ بالأداء المستقبلي) والمؤشرات المتأخرة (التي تقيس النتائج التاريخية</w:t>
      </w:r>
      <w:r w:rsidRPr="00840978">
        <w:rPr>
          <w:rFonts w:ascii="Simplified Arabic" w:hAnsi="Simplified Arabic" w:cs="Simplified Arabic"/>
          <w:sz w:val="28"/>
          <w:szCs w:val="28"/>
        </w:rPr>
        <w:t>).</w:t>
      </w:r>
    </w:p>
    <w:p w14:paraId="4689EFC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السياق الأكاديمي، يعرف ريتشارد وزملاؤه الأداء التنظيمي بأنه "مفهوم متعدد الأبعاد يشمل ثلاثة مجالات رئيسية للنتائج المؤسسية هي الأداء المالي (الأرباح، والعائد على الأصول، والعائد على الاستثمار)، والأداء في سوق المنتجات (المبيعات، وحصة السوق)، والعائد للمساهمين (إجمالي العائد للمساهمين، والقيمة الاقتصادية المضافة)</w:t>
      </w:r>
      <w:r w:rsidRPr="00840978">
        <w:rPr>
          <w:rFonts w:ascii="Simplified Arabic" w:hAnsi="Simplified Arabic" w:cs="Simplified Arabic"/>
          <w:sz w:val="28"/>
          <w:szCs w:val="28"/>
        </w:rPr>
        <w:t xml:space="preserve">" (Richard et al., 2009, p. 722). </w:t>
      </w:r>
      <w:r w:rsidRPr="00840978">
        <w:rPr>
          <w:rFonts w:ascii="Simplified Arabic" w:hAnsi="Simplified Arabic" w:cs="Simplified Arabic"/>
          <w:sz w:val="28"/>
          <w:szCs w:val="28"/>
          <w:rtl/>
        </w:rPr>
        <w:t>هذا التعريف يحاول التوفيق بين المنظورات المختلفة من خلال تضمين أبعاد متعددة للأداء</w:t>
      </w:r>
      <w:r w:rsidRPr="00840978">
        <w:rPr>
          <w:rFonts w:ascii="Simplified Arabic" w:hAnsi="Simplified Arabic" w:cs="Simplified Arabic"/>
          <w:sz w:val="28"/>
          <w:szCs w:val="28"/>
        </w:rPr>
        <w:t>.</w:t>
      </w:r>
    </w:p>
    <w:p w14:paraId="34C0A3A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منظور نظرية القدرات الديناميكية، يُنظر إلى الأداء التنظيمي على أنه نتيجة لقدرة المنظمة على استشعار الفرص والتهديدات في البيئة الخارجية والاستجابة لها بفعالية من خلال حشد وإعادة تشكيل مواردها وقدراتها</w:t>
      </w:r>
      <w:r w:rsidRPr="00840978">
        <w:rPr>
          <w:rFonts w:ascii="Simplified Arabic" w:hAnsi="Simplified Arabic" w:cs="Simplified Arabic"/>
          <w:sz w:val="28"/>
          <w:szCs w:val="28"/>
        </w:rPr>
        <w:t xml:space="preserve"> (Teece, 2007). </w:t>
      </w:r>
      <w:r w:rsidRPr="00840978">
        <w:rPr>
          <w:rFonts w:ascii="Simplified Arabic" w:hAnsi="Simplified Arabic" w:cs="Simplified Arabic"/>
          <w:sz w:val="28"/>
          <w:szCs w:val="28"/>
          <w:rtl/>
        </w:rPr>
        <w:t>في هذا السياق، الأداء المتفوق لا ينتج فقط من امتلاك موارد قيمة ونادرة، بل من القدرة على تطوير وتكييف هذه الموارد باستمرار استجابة للتغيرات البيئية</w:t>
      </w:r>
      <w:r w:rsidRPr="00840978">
        <w:rPr>
          <w:rFonts w:ascii="Simplified Arabic" w:hAnsi="Simplified Arabic" w:cs="Simplified Arabic"/>
          <w:sz w:val="28"/>
          <w:szCs w:val="28"/>
        </w:rPr>
        <w:t xml:space="preserve"> (Eisenhardt &amp; Martin, 2000).</w:t>
      </w:r>
    </w:p>
    <w:p w14:paraId="5D51EE0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عصر التحول الرقمي، أصبح من الضروري إعادة النظر في مفهوم الأداء التنظيمي ليشمل أبعاداً جديدة تعكس التحديات والفرص التي يفرضها العصر الرقمي. على سبيل المثال، أصبحت المرونة التنظيمية والقدرة على الاستجابة السريعة للتغيرات والقدرة على الابتكار والتعلم المستمر مؤشرات مهمة للأداء في البيئة الرقمية سريعة التغير</w:t>
      </w:r>
      <w:r w:rsidRPr="00840978">
        <w:rPr>
          <w:rFonts w:ascii="Simplified Arabic" w:hAnsi="Simplified Arabic" w:cs="Simplified Arabic"/>
          <w:sz w:val="28"/>
          <w:szCs w:val="28"/>
        </w:rPr>
        <w:t xml:space="preserve"> (Warner &amp; Wäger, 2019). </w:t>
      </w:r>
      <w:r w:rsidRPr="00840978">
        <w:rPr>
          <w:rFonts w:ascii="Simplified Arabic" w:hAnsi="Simplified Arabic" w:cs="Simplified Arabic"/>
          <w:sz w:val="28"/>
          <w:szCs w:val="28"/>
          <w:rtl/>
        </w:rPr>
        <w:t>كما أصبحت القدرة على استغلال البيانات والتحليلات لاتخاذ قرارات أفضل وأسرع عنصراً حاسماً في الأداء المتفوق</w:t>
      </w:r>
      <w:r w:rsidRPr="00840978">
        <w:rPr>
          <w:rFonts w:ascii="Simplified Arabic" w:hAnsi="Simplified Arabic" w:cs="Simplified Arabic"/>
          <w:sz w:val="28"/>
          <w:szCs w:val="28"/>
        </w:rPr>
        <w:t xml:space="preserve"> (Wamba et al., 2017).</w:t>
      </w:r>
    </w:p>
    <w:p w14:paraId="2B25E95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بناءً على المراجعة الشاملة للأدبيات، يمكن تعريف الأداء التنظيمي في سياق هذه الدراسة بأنه "الدرجة التي تحقق بها المنظمة أهدافها الاستراتيجية والتشغيلية عبر أبعاد متعددة تشمل الأداء المالي والكفاءة التشغيلية ورضا العملاء والقدرة الابتكارية، مما يمكنها من خلق قيمة مستدامة لأصحاب المصلحة والحفاظ على ميزتها التنافسية في بيئة ديناميكية ومعقدة" (استناداً إلى</w:t>
      </w:r>
      <w:r w:rsidRPr="00840978">
        <w:rPr>
          <w:rFonts w:ascii="Simplified Arabic" w:hAnsi="Simplified Arabic" w:cs="Simplified Arabic"/>
          <w:sz w:val="28"/>
          <w:szCs w:val="28"/>
        </w:rPr>
        <w:t xml:space="preserve"> Kaplan &amp; Norton, 1996; Richard et al., 2009; Teece, 2007).</w:t>
      </w:r>
    </w:p>
    <w:p w14:paraId="6874DA0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Pr>
        <w:t xml:space="preserve">2.2.2 </w:t>
      </w:r>
      <w:r w:rsidRPr="00840978">
        <w:rPr>
          <w:rFonts w:ascii="Simplified Arabic" w:hAnsi="Simplified Arabic" w:cs="Simplified Arabic"/>
          <w:b/>
          <w:bCs/>
          <w:sz w:val="28"/>
          <w:szCs w:val="28"/>
          <w:rtl/>
        </w:rPr>
        <w:t>أبعاد الأداء التنظيمي ومؤشرات قياسه</w:t>
      </w:r>
    </w:p>
    <w:p w14:paraId="65DC7C2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 xml:space="preserve">نظراً للطبيعة المتعددة الأوجه للأداء التنظيمي، يتطلب قياسه استخدام مجموعة متنوعة من المؤشرات التي </w:t>
      </w:r>
      <w:r w:rsidRPr="00840978">
        <w:rPr>
          <w:rFonts w:ascii="Simplified Arabic" w:hAnsi="Simplified Arabic" w:cs="Simplified Arabic"/>
          <w:sz w:val="28"/>
          <w:szCs w:val="28"/>
          <w:rtl/>
        </w:rPr>
        <w:lastRenderedPageBreak/>
        <w:t>تغطي أبعاداً مختلفة. في هذا القسم، نستعرض الأبعاد الأربعة الرئيسية للأداء التنظيمي التي تركز عليها هذه الدراسة، وهي الأداء المالي والكفاءة التشغيلية ورضا العملاء والقدرة الابتكارية</w:t>
      </w:r>
      <w:r w:rsidRPr="00840978">
        <w:rPr>
          <w:rFonts w:ascii="Simplified Arabic" w:hAnsi="Simplified Arabic" w:cs="Simplified Arabic"/>
          <w:sz w:val="28"/>
          <w:szCs w:val="28"/>
        </w:rPr>
        <w:t>.</w:t>
      </w:r>
    </w:p>
    <w:p w14:paraId="5693E6E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الأول: الأداء المالي</w:t>
      </w:r>
    </w:p>
    <w:p w14:paraId="030E9DC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يمثل الأداء المالي البعد الأكثر تقليدية وشيوعاً في قياس الأداء التنظيمي، وهو يعكس قدرة المنظمة على توليد الأرباح والعوائد المالية لمساهميها</w:t>
      </w:r>
      <w:r w:rsidRPr="00840978">
        <w:rPr>
          <w:rFonts w:ascii="Simplified Arabic" w:hAnsi="Simplified Arabic" w:cs="Simplified Arabic"/>
          <w:sz w:val="28"/>
          <w:szCs w:val="28"/>
        </w:rPr>
        <w:t xml:space="preserve"> (Venkatraman &amp; Ramanujam, 1986). </w:t>
      </w:r>
      <w:r w:rsidRPr="00840978">
        <w:rPr>
          <w:rFonts w:ascii="Simplified Arabic" w:hAnsi="Simplified Arabic" w:cs="Simplified Arabic"/>
          <w:sz w:val="28"/>
          <w:szCs w:val="28"/>
          <w:rtl/>
        </w:rPr>
        <w:t>يشمل الأداء المالي عدة مؤشرات رئيسية، منها مؤشرات الربحية مثل هامش الربح الإجمالي وهامش الربح الصافي والعائد على الأصول</w:t>
      </w:r>
      <w:r w:rsidRPr="00840978">
        <w:rPr>
          <w:rFonts w:ascii="Simplified Arabic" w:hAnsi="Simplified Arabic" w:cs="Simplified Arabic"/>
          <w:sz w:val="28"/>
          <w:szCs w:val="28"/>
        </w:rPr>
        <w:t xml:space="preserve"> (ROA) </w:t>
      </w:r>
      <w:r w:rsidRPr="00840978">
        <w:rPr>
          <w:rFonts w:ascii="Simplified Arabic" w:hAnsi="Simplified Arabic" w:cs="Simplified Arabic"/>
          <w:sz w:val="28"/>
          <w:szCs w:val="28"/>
          <w:rtl/>
        </w:rPr>
        <w:t>والعائد على حقوق الملكية</w:t>
      </w:r>
      <w:r w:rsidRPr="00840978">
        <w:rPr>
          <w:rFonts w:ascii="Simplified Arabic" w:hAnsi="Simplified Arabic" w:cs="Simplified Arabic"/>
          <w:sz w:val="28"/>
          <w:szCs w:val="28"/>
        </w:rPr>
        <w:t xml:space="preserve"> (ROE) </w:t>
      </w:r>
      <w:r w:rsidRPr="00840978">
        <w:rPr>
          <w:rFonts w:ascii="Simplified Arabic" w:hAnsi="Simplified Arabic" w:cs="Simplified Arabic"/>
          <w:sz w:val="28"/>
          <w:szCs w:val="28"/>
          <w:rtl/>
        </w:rPr>
        <w:t>والعائد على الاستثمار</w:t>
      </w:r>
      <w:r w:rsidRPr="00840978">
        <w:rPr>
          <w:rFonts w:ascii="Simplified Arabic" w:hAnsi="Simplified Arabic" w:cs="Simplified Arabic"/>
          <w:sz w:val="28"/>
          <w:szCs w:val="28"/>
        </w:rPr>
        <w:t xml:space="preserve"> (ROI). </w:t>
      </w:r>
      <w:r w:rsidRPr="00840978">
        <w:rPr>
          <w:rFonts w:ascii="Simplified Arabic" w:hAnsi="Simplified Arabic" w:cs="Simplified Arabic"/>
          <w:sz w:val="28"/>
          <w:szCs w:val="28"/>
          <w:rtl/>
        </w:rPr>
        <w:t>هذه المؤشرات تقيس كفاءة المنظمة في استخدام مواردها وأصولها لتوليد الأرباح</w:t>
      </w:r>
      <w:r w:rsidRPr="00840978">
        <w:rPr>
          <w:rFonts w:ascii="Simplified Arabic" w:hAnsi="Simplified Arabic" w:cs="Simplified Arabic"/>
          <w:sz w:val="28"/>
          <w:szCs w:val="28"/>
        </w:rPr>
        <w:t xml:space="preserve"> (Ross et al., 2010).</w:t>
      </w:r>
    </w:p>
    <w:p w14:paraId="62C80EB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مؤشرات النمو تشمل نمو الإيرادات ونمو الأرباح ونمو حصة السوق، وهي تعكس قدرة المنظمة على توسيع نشاطها وزيادة حضورها في السوق</w:t>
      </w:r>
      <w:r w:rsidRPr="00840978">
        <w:rPr>
          <w:rFonts w:ascii="Simplified Arabic" w:hAnsi="Simplified Arabic" w:cs="Simplified Arabic"/>
          <w:sz w:val="28"/>
          <w:szCs w:val="28"/>
        </w:rPr>
        <w:t xml:space="preserve"> (Murphy et al., 1996). </w:t>
      </w:r>
      <w:r w:rsidRPr="00840978">
        <w:rPr>
          <w:rFonts w:ascii="Simplified Arabic" w:hAnsi="Simplified Arabic" w:cs="Simplified Arabic"/>
          <w:sz w:val="28"/>
          <w:szCs w:val="28"/>
          <w:rtl/>
        </w:rPr>
        <w:t>مؤشرات القيمة السوقية تشمل القيمة السوقية للشركة ونسبة السعر إلى الربحية</w:t>
      </w:r>
      <w:r w:rsidRPr="00840978">
        <w:rPr>
          <w:rFonts w:ascii="Simplified Arabic" w:hAnsi="Simplified Arabic" w:cs="Simplified Arabic"/>
          <w:sz w:val="28"/>
          <w:szCs w:val="28"/>
        </w:rPr>
        <w:t xml:space="preserve"> (P/E Ratio) </w:t>
      </w:r>
      <w:r w:rsidRPr="00840978">
        <w:rPr>
          <w:rFonts w:ascii="Simplified Arabic" w:hAnsi="Simplified Arabic" w:cs="Simplified Arabic"/>
          <w:sz w:val="28"/>
          <w:szCs w:val="28"/>
          <w:rtl/>
        </w:rPr>
        <w:t>والقيمة الاقتصادية المضافة</w:t>
      </w:r>
      <w:r w:rsidRPr="00840978">
        <w:rPr>
          <w:rFonts w:ascii="Simplified Arabic" w:hAnsi="Simplified Arabic" w:cs="Simplified Arabic"/>
          <w:sz w:val="28"/>
          <w:szCs w:val="28"/>
        </w:rPr>
        <w:t xml:space="preserve"> (EVA)</w:t>
      </w:r>
      <w:r w:rsidRPr="00840978">
        <w:rPr>
          <w:rFonts w:ascii="Simplified Arabic" w:hAnsi="Simplified Arabic" w:cs="Simplified Arabic"/>
          <w:sz w:val="28"/>
          <w:szCs w:val="28"/>
          <w:rtl/>
        </w:rPr>
        <w:t>، وهي تعكس تقييم السوق لأداء الشركة وآفاقها المستقبلية</w:t>
      </w:r>
      <w:r w:rsidRPr="00840978">
        <w:rPr>
          <w:rFonts w:ascii="Simplified Arabic" w:hAnsi="Simplified Arabic" w:cs="Simplified Arabic"/>
          <w:sz w:val="28"/>
          <w:szCs w:val="28"/>
        </w:rPr>
        <w:t xml:space="preserve"> (Rappaport, 1986).</w:t>
      </w:r>
    </w:p>
    <w:p w14:paraId="2FEA905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مؤشرات السيولة والملاءة المالية تشمل النسبة الجارية والنسبة السريعة ونسبة الدين إلى حقوق الملكية، وهي تقيس قدرة المنظمة على الوفاء بالتزاماتها قصيرة وطويلة الأجل</w:t>
      </w:r>
      <w:r w:rsidRPr="00840978">
        <w:rPr>
          <w:rFonts w:ascii="Simplified Arabic" w:hAnsi="Simplified Arabic" w:cs="Simplified Arabic"/>
          <w:sz w:val="28"/>
          <w:szCs w:val="28"/>
        </w:rPr>
        <w:t xml:space="preserve"> (Palepu et al., 2000). </w:t>
      </w:r>
      <w:r w:rsidRPr="00840978">
        <w:rPr>
          <w:rFonts w:ascii="Simplified Arabic" w:hAnsi="Simplified Arabic" w:cs="Simplified Arabic"/>
          <w:sz w:val="28"/>
          <w:szCs w:val="28"/>
          <w:rtl/>
        </w:rPr>
        <w:t>في سياق التحول الرقمي، قد تشمل المؤشرات المالية أيضاً مقاييس خاصة مثل العائد على الاستثمارات الرقمية أو نسبة الإيرادات من المنتجات والخدمات الرقمية أو وفورات التكلفة الناتجة عن الرقمنة</w:t>
      </w:r>
      <w:r w:rsidRPr="00840978">
        <w:rPr>
          <w:rFonts w:ascii="Simplified Arabic" w:hAnsi="Simplified Arabic" w:cs="Simplified Arabic"/>
          <w:sz w:val="28"/>
          <w:szCs w:val="28"/>
        </w:rPr>
        <w:t xml:space="preserve"> (Chouaibi et al., 2022).</w:t>
      </w:r>
    </w:p>
    <w:p w14:paraId="54B0AAC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رغم أهمية الأداء المالي، إلا أن الاعتماد عليه وحده كمقياس للأداء التنظيمي له عدة محددات. أولاً، المؤشرات المالية هي مؤشرات متأخرة تعكس النتائج التاريخية ولا تتنبأ بالأداء المستقبلي بالضرورة</w:t>
      </w:r>
      <w:r w:rsidRPr="00840978">
        <w:rPr>
          <w:rFonts w:ascii="Simplified Arabic" w:hAnsi="Simplified Arabic" w:cs="Simplified Arabic"/>
          <w:sz w:val="28"/>
          <w:szCs w:val="28"/>
        </w:rPr>
        <w:t xml:space="preserve"> (Kaplan &amp; Norton, 1996). </w:t>
      </w:r>
      <w:r w:rsidRPr="00840978">
        <w:rPr>
          <w:rFonts w:ascii="Simplified Arabic" w:hAnsi="Simplified Arabic" w:cs="Simplified Arabic"/>
          <w:sz w:val="28"/>
          <w:szCs w:val="28"/>
          <w:rtl/>
        </w:rPr>
        <w:t>ثانياً، يمكن التلاعب بالأرقام المالية من خلال المحاسبة الإبداعية أو القرارات قصيرة المدى التي تعزز الأرباح الحالية على حساب الاستدامة طويلة المدى</w:t>
      </w:r>
      <w:r w:rsidRPr="00840978">
        <w:rPr>
          <w:rFonts w:ascii="Simplified Arabic" w:hAnsi="Simplified Arabic" w:cs="Simplified Arabic"/>
          <w:sz w:val="28"/>
          <w:szCs w:val="28"/>
        </w:rPr>
        <w:t xml:space="preserve"> (Jensen, 2001). </w:t>
      </w:r>
      <w:r w:rsidRPr="00840978">
        <w:rPr>
          <w:rFonts w:ascii="Simplified Arabic" w:hAnsi="Simplified Arabic" w:cs="Simplified Arabic"/>
          <w:sz w:val="28"/>
          <w:szCs w:val="28"/>
          <w:rtl/>
        </w:rPr>
        <w:t>ثالثاً، المؤشرات المالية لا تعكس العديد من الأصول غير الملموسة المهمة مثل رأس المال البشري والعلاقات مع العملاء والسمعة</w:t>
      </w:r>
      <w:r w:rsidRPr="00840978">
        <w:rPr>
          <w:rFonts w:ascii="Simplified Arabic" w:hAnsi="Simplified Arabic" w:cs="Simplified Arabic"/>
          <w:sz w:val="28"/>
          <w:szCs w:val="28"/>
        </w:rPr>
        <w:t xml:space="preserve"> (Lev, 2001).</w:t>
      </w:r>
    </w:p>
    <w:p w14:paraId="1895801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الثاني: الكفاءة التشغيلية</w:t>
      </w:r>
    </w:p>
    <w:p w14:paraId="3A5F073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الكفاءة التشغيلية إلى قدرة المنظمة على إنتاج السلع أو تقديم الخدمات بأفضل استخدام ممكن للموارد، أي تحقيق أقصى مخرجات بأقل مدخلات</w:t>
      </w:r>
      <w:r w:rsidRPr="00840978">
        <w:rPr>
          <w:rFonts w:ascii="Simplified Arabic" w:hAnsi="Simplified Arabic" w:cs="Simplified Arabic"/>
          <w:sz w:val="28"/>
          <w:szCs w:val="28"/>
        </w:rPr>
        <w:t xml:space="preserve"> (Lieberman &amp; Dhawan, 2005). </w:t>
      </w:r>
      <w:r w:rsidRPr="00840978">
        <w:rPr>
          <w:rFonts w:ascii="Simplified Arabic" w:hAnsi="Simplified Arabic" w:cs="Simplified Arabic"/>
          <w:sz w:val="28"/>
          <w:szCs w:val="28"/>
          <w:rtl/>
        </w:rPr>
        <w:t>الكفاءة التشغيلية تعد أحد المصادر الرئيسية للميزة التنافسية، خاصة في الصناعات التي تتسم بالمنافسة السعرية الشديدة</w:t>
      </w:r>
      <w:r w:rsidRPr="00840978">
        <w:rPr>
          <w:rFonts w:ascii="Simplified Arabic" w:hAnsi="Simplified Arabic" w:cs="Simplified Arabic"/>
          <w:sz w:val="28"/>
          <w:szCs w:val="28"/>
        </w:rPr>
        <w:t xml:space="preserve"> (Porter, 1996).</w:t>
      </w:r>
    </w:p>
    <w:p w14:paraId="6AA45FD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تشمل مؤشرات الكفاءة التشغيلية عدة جوانب. أولاً، إنتاجية العمالة التي تقاس بالمخرجات لكل موظف أو الإيرادات لكل موظف، وهي تعكس كفاءة استخدام الموارد البشرية</w:t>
      </w:r>
      <w:r w:rsidRPr="00840978">
        <w:rPr>
          <w:rFonts w:ascii="Simplified Arabic" w:hAnsi="Simplified Arabic" w:cs="Simplified Arabic"/>
          <w:sz w:val="28"/>
          <w:szCs w:val="28"/>
        </w:rPr>
        <w:t xml:space="preserve"> (Huselid, 1995). </w:t>
      </w:r>
      <w:r w:rsidRPr="00840978">
        <w:rPr>
          <w:rFonts w:ascii="Simplified Arabic" w:hAnsi="Simplified Arabic" w:cs="Simplified Arabic"/>
          <w:sz w:val="28"/>
          <w:szCs w:val="28"/>
          <w:rtl/>
        </w:rPr>
        <w:t>ثانياً، جودة المنتجات والخدمات التي تقاس من خلال معدلات العيوب أو نسب إعادة العمل أو مستويات رضا الجودة أو شهادات الجودة الدولية مثل</w:t>
      </w:r>
      <w:r w:rsidRPr="00840978">
        <w:rPr>
          <w:rFonts w:ascii="Simplified Arabic" w:hAnsi="Simplified Arabic" w:cs="Simplified Arabic"/>
          <w:sz w:val="28"/>
          <w:szCs w:val="28"/>
        </w:rPr>
        <w:t xml:space="preserve"> ISO (Deming, 1986).</w:t>
      </w:r>
    </w:p>
    <w:p w14:paraId="3EFD579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سرعة الإنجاز ومدة دورات العمل، حيث أن القدرة على إنجاز العمليات بسرعة أكبر تمثل ميزة تنافسية مهمة، خاصة في البيئات سريعة التغير</w:t>
      </w:r>
      <w:r w:rsidRPr="00840978">
        <w:rPr>
          <w:rFonts w:ascii="Simplified Arabic" w:hAnsi="Simplified Arabic" w:cs="Simplified Arabic"/>
          <w:sz w:val="28"/>
          <w:szCs w:val="28"/>
        </w:rPr>
        <w:t xml:space="preserve"> (Stalk &amp; Hout, 1990). </w:t>
      </w:r>
      <w:r w:rsidRPr="00840978">
        <w:rPr>
          <w:rFonts w:ascii="Simplified Arabic" w:hAnsi="Simplified Arabic" w:cs="Simplified Arabic"/>
          <w:sz w:val="28"/>
          <w:szCs w:val="28"/>
          <w:rtl/>
        </w:rPr>
        <w:t>رابعاً، كفاءة استخدام الموارد مثل معدل دوران المخزون واستغلال الطاقة الإنتاجية ومعدلات الهدر والفاقد</w:t>
      </w:r>
      <w:r w:rsidRPr="00840978">
        <w:rPr>
          <w:rFonts w:ascii="Simplified Arabic" w:hAnsi="Simplified Arabic" w:cs="Simplified Arabic"/>
          <w:sz w:val="28"/>
          <w:szCs w:val="28"/>
        </w:rPr>
        <w:t xml:space="preserve"> (Goldratt &amp; Cox, 1984).</w:t>
      </w:r>
    </w:p>
    <w:p w14:paraId="1815A38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خامساً، المرونة التشغيلية والقدرة على التكيف مع التغيرات في الطلب أو المتطلبات، وهي تعكس رشاقة المنظمة وقدرتها على الاستجابة السريعة</w:t>
      </w:r>
      <w:r w:rsidRPr="00840978">
        <w:rPr>
          <w:rFonts w:ascii="Simplified Arabic" w:hAnsi="Simplified Arabic" w:cs="Simplified Arabic"/>
          <w:sz w:val="28"/>
          <w:szCs w:val="28"/>
        </w:rPr>
        <w:t xml:space="preserve"> (Volberda, 1996). </w:t>
      </w:r>
      <w:r w:rsidRPr="00840978">
        <w:rPr>
          <w:rFonts w:ascii="Simplified Arabic" w:hAnsi="Simplified Arabic" w:cs="Simplified Arabic"/>
          <w:sz w:val="28"/>
          <w:szCs w:val="28"/>
          <w:rtl/>
        </w:rPr>
        <w:t>في سياق التحول الرقمي، يمكن أن تشمل مؤشرات الكفاءة التشغيلية أيضاً درجة الأتمتة أو نسبة العمليات الرقمية أو تحسينات الكفاءة الناتجة عن استخدام التقنيات الرقمية</w:t>
      </w:r>
      <w:r w:rsidRPr="00840978">
        <w:rPr>
          <w:rFonts w:ascii="Simplified Arabic" w:hAnsi="Simplified Arabic" w:cs="Simplified Arabic"/>
          <w:sz w:val="28"/>
          <w:szCs w:val="28"/>
        </w:rPr>
        <w:t xml:space="preserve"> (Baiyere et al., 2020).</w:t>
      </w:r>
    </w:p>
    <w:p w14:paraId="112E646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الكفاءة التشغيلية ترتبط ارتباطاً وثيقاً بالأداء المالي، حيث أن تحسين الكفاءة يؤدي عادة إلى خفض التكاليف وزيادة الهوامش الربحية. غير أن التركيز المفرط على الكفاءة قد يأتي على حساب الابتكار والمرونة، لذلك تحتاج المنظمات إلى إيجاد توازن بين الكفاءة والفعالية</w:t>
      </w:r>
      <w:r w:rsidRPr="00840978">
        <w:rPr>
          <w:rFonts w:ascii="Simplified Arabic" w:hAnsi="Simplified Arabic" w:cs="Simplified Arabic"/>
          <w:sz w:val="28"/>
          <w:szCs w:val="28"/>
        </w:rPr>
        <w:t xml:space="preserve"> (March, 1991).</w:t>
      </w:r>
    </w:p>
    <w:p w14:paraId="3BCF9E4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الثالث: رضا العملاء وولائهم</w:t>
      </w:r>
    </w:p>
    <w:p w14:paraId="26F7431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يمثل رضا العملاء وولائهم بعداً مهماً من أبعاد الأداء التنظيمي، حيث أن العملاء هم المصدر الأساسي للإيرادات والأرباح، وأن قدرة المنظمة على جذب العملاء والاحتفاظ بهم تحدد نجاحها على المدى الطويل</w:t>
      </w:r>
      <w:r w:rsidRPr="00840978">
        <w:rPr>
          <w:rFonts w:ascii="Simplified Arabic" w:hAnsi="Simplified Arabic" w:cs="Simplified Arabic"/>
          <w:sz w:val="28"/>
          <w:szCs w:val="28"/>
        </w:rPr>
        <w:t xml:space="preserve"> (Anderson et al., 1994). </w:t>
      </w:r>
      <w:r w:rsidRPr="00840978">
        <w:rPr>
          <w:rFonts w:ascii="Simplified Arabic" w:hAnsi="Simplified Arabic" w:cs="Simplified Arabic"/>
          <w:sz w:val="28"/>
          <w:szCs w:val="28"/>
          <w:rtl/>
        </w:rPr>
        <w:t>رضا العملاء يعرف بأنه التقييم الكلي للعميل لتجربته مع المنظمة أو منتجاتها أو خدماتها، ومدى تلبية هذه التجربة لتوقعاته واحتياجاته</w:t>
      </w:r>
      <w:r w:rsidRPr="00840978">
        <w:rPr>
          <w:rFonts w:ascii="Simplified Arabic" w:hAnsi="Simplified Arabic" w:cs="Simplified Arabic"/>
          <w:sz w:val="28"/>
          <w:szCs w:val="28"/>
        </w:rPr>
        <w:t xml:space="preserve"> (Oliver, 1980).</w:t>
      </w:r>
    </w:p>
    <w:p w14:paraId="76D484A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تشمل مؤشرات رضا العملاء وولائهم عدة جوانب. أولاً، درجات رضا العملاء التي تقاس من خلال استبيانات الرضا أو مقاييس مثل صافي نقاط الترويج</w:t>
      </w:r>
      <w:r w:rsidRPr="00840978">
        <w:rPr>
          <w:rFonts w:ascii="Simplified Arabic" w:hAnsi="Simplified Arabic" w:cs="Simplified Arabic"/>
          <w:sz w:val="28"/>
          <w:szCs w:val="28"/>
        </w:rPr>
        <w:t xml:space="preserve"> (Net Promoter Score - NPS) </w:t>
      </w:r>
      <w:r w:rsidRPr="00840978">
        <w:rPr>
          <w:rFonts w:ascii="Simplified Arabic" w:hAnsi="Simplified Arabic" w:cs="Simplified Arabic"/>
          <w:sz w:val="28"/>
          <w:szCs w:val="28"/>
          <w:rtl/>
        </w:rPr>
        <w:t>الذي يقيس احتمالية توصية العملاء بالمنظمة للآخرين</w:t>
      </w:r>
      <w:r w:rsidRPr="00840978">
        <w:rPr>
          <w:rFonts w:ascii="Simplified Arabic" w:hAnsi="Simplified Arabic" w:cs="Simplified Arabic"/>
          <w:sz w:val="28"/>
          <w:szCs w:val="28"/>
        </w:rPr>
        <w:t xml:space="preserve"> (Reichheld, 2003). </w:t>
      </w:r>
      <w:r w:rsidRPr="00840978">
        <w:rPr>
          <w:rFonts w:ascii="Simplified Arabic" w:hAnsi="Simplified Arabic" w:cs="Simplified Arabic"/>
          <w:sz w:val="28"/>
          <w:szCs w:val="28"/>
          <w:rtl/>
        </w:rPr>
        <w:t>ثانياً، معدلات الاحتفاظ بالعملاء ومعدلات فقدان العملاء</w:t>
      </w:r>
      <w:r w:rsidRPr="00840978">
        <w:rPr>
          <w:rFonts w:ascii="Simplified Arabic" w:hAnsi="Simplified Arabic" w:cs="Simplified Arabic"/>
          <w:sz w:val="28"/>
          <w:szCs w:val="28"/>
        </w:rPr>
        <w:t xml:space="preserve"> (Churn Rate)</w:t>
      </w:r>
      <w:r w:rsidRPr="00840978">
        <w:rPr>
          <w:rFonts w:ascii="Simplified Arabic" w:hAnsi="Simplified Arabic" w:cs="Simplified Arabic"/>
          <w:sz w:val="28"/>
          <w:szCs w:val="28"/>
          <w:rtl/>
        </w:rPr>
        <w:t>، حيث أن الاحتفاظ بالعملاء الحاليين عادة أقل تكلفة من جذب عملاء جدد</w:t>
      </w:r>
      <w:r w:rsidRPr="00840978">
        <w:rPr>
          <w:rFonts w:ascii="Simplified Arabic" w:hAnsi="Simplified Arabic" w:cs="Simplified Arabic"/>
          <w:sz w:val="28"/>
          <w:szCs w:val="28"/>
        </w:rPr>
        <w:t xml:space="preserve"> (Reichheld &amp; Sasser, 1990).</w:t>
      </w:r>
    </w:p>
    <w:p w14:paraId="51F2756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القيمة الدائمة للعميل</w:t>
      </w:r>
      <w:r w:rsidRPr="00840978">
        <w:rPr>
          <w:rFonts w:ascii="Simplified Arabic" w:hAnsi="Simplified Arabic" w:cs="Simplified Arabic"/>
          <w:sz w:val="28"/>
          <w:szCs w:val="28"/>
        </w:rPr>
        <w:t xml:space="preserve"> (Customer Lifetime Value - CLV) </w:t>
      </w:r>
      <w:r w:rsidRPr="00840978">
        <w:rPr>
          <w:rFonts w:ascii="Simplified Arabic" w:hAnsi="Simplified Arabic" w:cs="Simplified Arabic"/>
          <w:sz w:val="28"/>
          <w:szCs w:val="28"/>
          <w:rtl/>
        </w:rPr>
        <w:t>التي تقيس القيمة الإجمالية المتوقعة من العميل على مدار علاقته مع المنظمة</w:t>
      </w:r>
      <w:r w:rsidRPr="00840978">
        <w:rPr>
          <w:rFonts w:ascii="Simplified Arabic" w:hAnsi="Simplified Arabic" w:cs="Simplified Arabic"/>
          <w:sz w:val="28"/>
          <w:szCs w:val="28"/>
        </w:rPr>
        <w:t xml:space="preserve"> (Berger &amp; Nasr, 1998). </w:t>
      </w:r>
      <w:r w:rsidRPr="00840978">
        <w:rPr>
          <w:rFonts w:ascii="Simplified Arabic" w:hAnsi="Simplified Arabic" w:cs="Simplified Arabic"/>
          <w:sz w:val="28"/>
          <w:szCs w:val="28"/>
          <w:rtl/>
        </w:rPr>
        <w:t>رابعاً، عدد الشكاوى والمشكلات وسرعة حلها، حيث أن إدارة الشكاوى بفعالية يمكن أن تحول العملاء غير الراضين إلى عملاء مخلصين</w:t>
      </w:r>
      <w:r w:rsidRPr="00840978">
        <w:rPr>
          <w:rFonts w:ascii="Simplified Arabic" w:hAnsi="Simplified Arabic" w:cs="Simplified Arabic"/>
          <w:sz w:val="28"/>
          <w:szCs w:val="28"/>
        </w:rPr>
        <w:t xml:space="preserve"> (Tax et al., 1998).</w:t>
      </w:r>
    </w:p>
    <w:p w14:paraId="5D8DDB6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خامساً، مستوى التفاعل والمشاركة من العملاء</w:t>
      </w:r>
      <w:r w:rsidRPr="00840978">
        <w:rPr>
          <w:rFonts w:ascii="Simplified Arabic" w:hAnsi="Simplified Arabic" w:cs="Simplified Arabic"/>
          <w:sz w:val="28"/>
          <w:szCs w:val="28"/>
        </w:rPr>
        <w:t xml:space="preserve"> (Customer Engagement)</w:t>
      </w:r>
      <w:r w:rsidRPr="00840978">
        <w:rPr>
          <w:rFonts w:ascii="Simplified Arabic" w:hAnsi="Simplified Arabic" w:cs="Simplified Arabic"/>
          <w:sz w:val="28"/>
          <w:szCs w:val="28"/>
          <w:rtl/>
        </w:rPr>
        <w:t>، خاصة في القنوات الرقمية مثل وسائل التواصل الاجتماعي، حيث أن العملاء المتفاعلين أكثر ولاءً وقيمة</w:t>
      </w:r>
      <w:r w:rsidRPr="00840978">
        <w:rPr>
          <w:rFonts w:ascii="Simplified Arabic" w:hAnsi="Simplified Arabic" w:cs="Simplified Arabic"/>
          <w:sz w:val="28"/>
          <w:szCs w:val="28"/>
        </w:rPr>
        <w:t xml:space="preserve"> (Van Doorn et al., 2010). </w:t>
      </w:r>
      <w:r w:rsidRPr="00840978">
        <w:rPr>
          <w:rFonts w:ascii="Simplified Arabic" w:hAnsi="Simplified Arabic" w:cs="Simplified Arabic"/>
          <w:sz w:val="28"/>
          <w:szCs w:val="28"/>
          <w:rtl/>
        </w:rPr>
        <w:t>في سياق التحول الرقمي، تشمل مؤشرات رضا العملاء أيضاً جودة التجربة الرقمية وسهولة الاستخدام والتخصيص ومدى تكامل القنوات المختلفة</w:t>
      </w:r>
      <w:r w:rsidRPr="00840978">
        <w:rPr>
          <w:rFonts w:ascii="Simplified Arabic" w:hAnsi="Simplified Arabic" w:cs="Simplified Arabic"/>
          <w:sz w:val="28"/>
          <w:szCs w:val="28"/>
        </w:rPr>
        <w:t xml:space="preserve"> (Verhoef et al., 2021).</w:t>
      </w:r>
    </w:p>
    <w:p w14:paraId="262633F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الأبحاث إلى وجود علاقة قوية بين رضا العملاء والأداء المالي، حيث أن العملاء الراضون يميلون إلى الشراء بشكل أكبر وأكثر تكراراً، ويكونون أقل حساسية للسعر، ويعملون كمسوقين مجانيين من خلال الكلمة المنقولة الإيجابية</w:t>
      </w:r>
      <w:r w:rsidRPr="00840978">
        <w:rPr>
          <w:rFonts w:ascii="Simplified Arabic" w:hAnsi="Simplified Arabic" w:cs="Simplified Arabic"/>
          <w:sz w:val="28"/>
          <w:szCs w:val="28"/>
        </w:rPr>
        <w:t xml:space="preserve"> (Anderson et al., 2004). </w:t>
      </w:r>
      <w:r w:rsidRPr="00840978">
        <w:rPr>
          <w:rFonts w:ascii="Simplified Arabic" w:hAnsi="Simplified Arabic" w:cs="Simplified Arabic"/>
          <w:sz w:val="28"/>
          <w:szCs w:val="28"/>
          <w:rtl/>
        </w:rPr>
        <w:t>لذلك، يعد الاستثمار في تحسين رضا العملاء استثماراً استراتيجياً له عوائد طويلة المدى على الأداء المالي والتنافسي</w:t>
      </w:r>
      <w:r w:rsidRPr="00840978">
        <w:rPr>
          <w:rFonts w:ascii="Simplified Arabic" w:hAnsi="Simplified Arabic" w:cs="Simplified Arabic"/>
          <w:sz w:val="28"/>
          <w:szCs w:val="28"/>
        </w:rPr>
        <w:t xml:space="preserve"> (Fornell et al., 2006).</w:t>
      </w:r>
    </w:p>
    <w:p w14:paraId="22A3694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البعد الرابع: القدرة الابتكارية</w:t>
      </w:r>
    </w:p>
    <w:p w14:paraId="7209F87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تشير القدرة الابتكارية إلى قدرة المنظمة على توليد وتطبيق أفكار جديدة تؤدي إلى منتجات أو خدمات أو عمليات أو نماذج أعمال جديدة أو محسّنة بشكل كبير</w:t>
      </w:r>
      <w:r w:rsidRPr="00840978">
        <w:rPr>
          <w:rFonts w:ascii="Simplified Arabic" w:hAnsi="Simplified Arabic" w:cs="Simplified Arabic"/>
          <w:sz w:val="28"/>
          <w:szCs w:val="28"/>
        </w:rPr>
        <w:t xml:space="preserve"> (Damanpour, 1991). </w:t>
      </w:r>
      <w:r w:rsidRPr="00840978">
        <w:rPr>
          <w:rFonts w:ascii="Simplified Arabic" w:hAnsi="Simplified Arabic" w:cs="Simplified Arabic"/>
          <w:sz w:val="28"/>
          <w:szCs w:val="28"/>
          <w:rtl/>
        </w:rPr>
        <w:t>في البيئة الديناميكية والتنافسية المعاصرة، أصبح الابتكار مصدراً حاسماً للميزة التنافسية المستدامة، حيث أن المنظمات التي لا تبتكر باستمرار تواجه خطر التقادم والتهميش</w:t>
      </w:r>
      <w:r w:rsidRPr="00840978">
        <w:rPr>
          <w:rFonts w:ascii="Simplified Arabic" w:hAnsi="Simplified Arabic" w:cs="Simplified Arabic"/>
          <w:sz w:val="28"/>
          <w:szCs w:val="28"/>
        </w:rPr>
        <w:t xml:space="preserve"> (Hamel, 2006).</w:t>
      </w:r>
    </w:p>
    <w:p w14:paraId="038DF83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تشمل مؤشرات القدرة الابتكارية عدة جوانب. أولاً، عدد الابتكارات الجديدة مثل عدد المنتجات أو الخدمات الجديدة المطلقة أو عدد براءات الاختراع المسجلة أو عدد المشاريع الابتكارية قيد التطوير</w:t>
      </w:r>
      <w:r w:rsidRPr="00840978">
        <w:rPr>
          <w:rFonts w:ascii="Simplified Arabic" w:hAnsi="Simplified Arabic" w:cs="Simplified Arabic"/>
          <w:sz w:val="28"/>
          <w:szCs w:val="28"/>
        </w:rPr>
        <w:t xml:space="preserve"> (Hagedoorn &amp; Cloodt, 2003). </w:t>
      </w:r>
      <w:r w:rsidRPr="00840978">
        <w:rPr>
          <w:rFonts w:ascii="Simplified Arabic" w:hAnsi="Simplified Arabic" w:cs="Simplified Arabic"/>
          <w:sz w:val="28"/>
          <w:szCs w:val="28"/>
          <w:rtl/>
        </w:rPr>
        <w:t>ثانياً، سرعة الابتكار والوقت اللازم لتطوير وإطلاق منتجات أو خدمات جديدة، حيث أن القدرة على الابتكار بسرعة تمثل ميزة تنافسية مهمة في الأسواق سريعة التغير</w:t>
      </w:r>
      <w:r w:rsidRPr="00840978">
        <w:rPr>
          <w:rFonts w:ascii="Simplified Arabic" w:hAnsi="Simplified Arabic" w:cs="Simplified Arabic"/>
          <w:sz w:val="28"/>
          <w:szCs w:val="28"/>
        </w:rPr>
        <w:t xml:space="preserve"> (Kessler &amp; Chakrabarti, 1996).</w:t>
      </w:r>
    </w:p>
    <w:p w14:paraId="78787A7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نسبة الإيرادات من المنتجات أو الخدمات الجديدة، وهي تعكس مدى نجاح المنظمة في تحويل جهود الابتكار إلى قيمة تجارية</w:t>
      </w:r>
      <w:r w:rsidRPr="00840978">
        <w:rPr>
          <w:rFonts w:ascii="Simplified Arabic" w:hAnsi="Simplified Arabic" w:cs="Simplified Arabic"/>
          <w:sz w:val="28"/>
          <w:szCs w:val="28"/>
        </w:rPr>
        <w:t xml:space="preserve"> (Griffin &amp; Page, 1996). </w:t>
      </w:r>
      <w:r w:rsidRPr="00840978">
        <w:rPr>
          <w:rFonts w:ascii="Simplified Arabic" w:hAnsi="Simplified Arabic" w:cs="Simplified Arabic"/>
          <w:sz w:val="28"/>
          <w:szCs w:val="28"/>
          <w:rtl/>
        </w:rPr>
        <w:t>رابعاً، الإنفاق على البحث والتطوير كنسبة من الإيرادات، وهو مؤشر على التزام المنظمة بالابتكار والاستثمار في المستقبل</w:t>
      </w:r>
      <w:r w:rsidRPr="00840978">
        <w:rPr>
          <w:rFonts w:ascii="Simplified Arabic" w:hAnsi="Simplified Arabic" w:cs="Simplified Arabic"/>
          <w:sz w:val="28"/>
          <w:szCs w:val="28"/>
        </w:rPr>
        <w:t xml:space="preserve"> (Hagedoorn &amp; Cloodt, 2003).</w:t>
      </w:r>
    </w:p>
    <w:p w14:paraId="40FE5C2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خامساً، الثقافة الابتكارية والمناخ التنظيمي الداعم للإبداع والتجريب، والذي يمكن قياسه من خلال استبيانات الموظفين أو مؤشرات سلوكية مثل عدد الأفكار المقترحة أو معدلات المشاركة في برامج الابتكار</w:t>
      </w:r>
      <w:r w:rsidRPr="00840978">
        <w:rPr>
          <w:rFonts w:ascii="Simplified Arabic" w:hAnsi="Simplified Arabic" w:cs="Simplified Arabic"/>
          <w:sz w:val="28"/>
          <w:szCs w:val="28"/>
        </w:rPr>
        <w:t xml:space="preserve"> (Amabile et al., 1996). </w:t>
      </w:r>
      <w:r w:rsidRPr="00840978">
        <w:rPr>
          <w:rFonts w:ascii="Simplified Arabic" w:hAnsi="Simplified Arabic" w:cs="Simplified Arabic"/>
          <w:sz w:val="28"/>
          <w:szCs w:val="28"/>
          <w:rtl/>
        </w:rPr>
        <w:t>سادساً، الشراكات والتعاون الابتكاري مع جهات خارجية مثل الجامعات ومراكز البحث والشركات الناشئة، وهو يعكس الانفتاح على الابتكار المفتوح</w:t>
      </w:r>
      <w:r w:rsidRPr="00840978">
        <w:rPr>
          <w:rFonts w:ascii="Simplified Arabic" w:hAnsi="Simplified Arabic" w:cs="Simplified Arabic"/>
          <w:sz w:val="28"/>
          <w:szCs w:val="28"/>
        </w:rPr>
        <w:t xml:space="preserve"> (Chesbrough, 2003).</w:t>
      </w:r>
    </w:p>
    <w:p w14:paraId="79221E0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تكتسب القدرة الابتكارية أهمية خاصة، حيث أن التقنيات الرقمية توفر إمكانات هائلة للابتكار في المنتجات والخدمات والعمليات ونماذج الأعمال</w:t>
      </w:r>
      <w:r w:rsidRPr="00840978">
        <w:rPr>
          <w:rFonts w:ascii="Simplified Arabic" w:hAnsi="Simplified Arabic" w:cs="Simplified Arabic"/>
          <w:sz w:val="28"/>
          <w:szCs w:val="28"/>
        </w:rPr>
        <w:t xml:space="preserve"> (Nambisan et al., 2017). </w:t>
      </w:r>
      <w:r w:rsidRPr="00840978">
        <w:rPr>
          <w:rFonts w:ascii="Simplified Arabic" w:hAnsi="Simplified Arabic" w:cs="Simplified Arabic"/>
          <w:sz w:val="28"/>
          <w:szCs w:val="28"/>
          <w:rtl/>
        </w:rPr>
        <w:lastRenderedPageBreak/>
        <w:t>المنظمات التي تطور قدرات قوية للابتكار الرقمي تكون أكثر قدرة على اغتنام الفرص الناشئة والتكيف مع التغيرات السريعة في البيئة التكنولوجية والسوقية</w:t>
      </w:r>
      <w:r w:rsidRPr="00840978">
        <w:rPr>
          <w:rFonts w:ascii="Simplified Arabic" w:hAnsi="Simplified Arabic" w:cs="Simplified Arabic"/>
          <w:sz w:val="28"/>
          <w:szCs w:val="28"/>
        </w:rPr>
        <w:t xml:space="preserve"> (Yoo et al., 2012).</w:t>
      </w:r>
    </w:p>
    <w:p w14:paraId="2CE60466" w14:textId="77777777" w:rsidR="00840978" w:rsidRPr="00840978" w:rsidRDefault="00840978" w:rsidP="000126FF">
      <w:pPr>
        <w:pStyle w:val="Heading3"/>
      </w:pPr>
      <w:bookmarkStart w:id="19" w:name="_Toc214041805"/>
      <w:r w:rsidRPr="00840978">
        <w:t xml:space="preserve">2.2.3 </w:t>
      </w:r>
      <w:r w:rsidRPr="00840978">
        <w:rPr>
          <w:rtl/>
        </w:rPr>
        <w:t>العوامل المؤثرة في الأداء التنظيمي</w:t>
      </w:r>
      <w:bookmarkEnd w:id="19"/>
    </w:p>
    <w:p w14:paraId="0F43969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يتأثر الأداء التنظيمي بمجموعة واسعة من العوامل الداخلية والخارجية التي تتفاعل بطرق معقدة. فهم هذه العوامل يساعد على تفسير الاختلافات في الأداء بين المنظمات وتحديد الروافع التي يمكن للإدارة استخدامها لتحسين الأداء</w:t>
      </w:r>
      <w:r w:rsidRPr="00840978">
        <w:rPr>
          <w:rFonts w:ascii="Simplified Arabic" w:hAnsi="Simplified Arabic" w:cs="Simplified Arabic"/>
          <w:sz w:val="28"/>
          <w:szCs w:val="28"/>
        </w:rPr>
        <w:t>.</w:t>
      </w:r>
    </w:p>
    <w:p w14:paraId="2EF5216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العوامل الداخلية</w:t>
      </w:r>
    </w:p>
    <w:p w14:paraId="0D0E701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بين العوامل الداخلية المؤثرة في الأداء التنظيمي نجد الموارد والقدرات التنظيمية، حيث تشير نظرية الموارد والقدرات إلى أن امتلاك موارد قيمة ونادرة وصعبة التقليد يمثل مصدراً للميزة التنافسية والأداء المتفوق</w:t>
      </w:r>
      <w:r w:rsidRPr="00840978">
        <w:rPr>
          <w:rFonts w:ascii="Simplified Arabic" w:hAnsi="Simplified Arabic" w:cs="Simplified Arabic"/>
          <w:sz w:val="28"/>
          <w:szCs w:val="28"/>
        </w:rPr>
        <w:t xml:space="preserve"> (Barney, 1991). </w:t>
      </w:r>
      <w:r w:rsidRPr="00840978">
        <w:rPr>
          <w:rFonts w:ascii="Simplified Arabic" w:hAnsi="Simplified Arabic" w:cs="Simplified Arabic"/>
          <w:sz w:val="28"/>
          <w:szCs w:val="28"/>
          <w:rtl/>
        </w:rPr>
        <w:t>هذه الموارد قد تكون ملموسة مثل الأصول المادية والمالية، أو غير ملموسة مثل المعرفة والسمعة والعلاقات والثقافة التنظيمية</w:t>
      </w:r>
      <w:r w:rsidRPr="00840978">
        <w:rPr>
          <w:rFonts w:ascii="Simplified Arabic" w:hAnsi="Simplified Arabic" w:cs="Simplified Arabic"/>
          <w:sz w:val="28"/>
          <w:szCs w:val="28"/>
        </w:rPr>
        <w:t xml:space="preserve"> (Wernerfelt, 1984).</w:t>
      </w:r>
    </w:p>
    <w:p w14:paraId="7DEFD54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الاستراتيجية التنظيمية تمثل عاملاً حاسماً آخر، حيث أن وضوح الرؤية الاستراتيجية وجودة الخيارات الاستراتيجية ومدى توافق الاستراتيجية مع البيئة والموارد المتاحة يؤثر بشكل كبير على الأداء</w:t>
      </w:r>
      <w:r w:rsidRPr="00840978">
        <w:rPr>
          <w:rFonts w:ascii="Simplified Arabic" w:hAnsi="Simplified Arabic" w:cs="Simplified Arabic"/>
          <w:sz w:val="28"/>
          <w:szCs w:val="28"/>
        </w:rPr>
        <w:t xml:space="preserve"> (Porter, 1980). </w:t>
      </w:r>
      <w:r w:rsidRPr="00840978">
        <w:rPr>
          <w:rFonts w:ascii="Simplified Arabic" w:hAnsi="Simplified Arabic" w:cs="Simplified Arabic"/>
          <w:sz w:val="28"/>
          <w:szCs w:val="28"/>
          <w:rtl/>
        </w:rPr>
        <w:t>المنظمات التي تطور استراتيجيات واضحة ومتميزة ومتوافقة مع قدراتها تحقق أداءً أفضل من تلك التي تفتقر إلى التوجه الاستراتيجي</w:t>
      </w:r>
      <w:r w:rsidRPr="00840978">
        <w:rPr>
          <w:rFonts w:ascii="Simplified Arabic" w:hAnsi="Simplified Arabic" w:cs="Simplified Arabic"/>
          <w:sz w:val="28"/>
          <w:szCs w:val="28"/>
        </w:rPr>
        <w:t xml:space="preserve"> (Rumelt, 1991).</w:t>
      </w:r>
    </w:p>
    <w:p w14:paraId="74D5452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القيادة والإدارة تلعب دوراً محورياً في الأداء التنظيمي، حيث أن جودة القيادة وقدرة المديرين على اتخاذ القرارات السليمة وتحفيز الموظفين وإدارة التغيير تؤثر بشكل مباشر على النتائج التنظيمية</w:t>
      </w:r>
      <w:r w:rsidRPr="00840978">
        <w:rPr>
          <w:rFonts w:ascii="Simplified Arabic" w:hAnsi="Simplified Arabic" w:cs="Simplified Arabic"/>
          <w:sz w:val="28"/>
          <w:szCs w:val="28"/>
        </w:rPr>
        <w:t xml:space="preserve"> (Hambrick &amp; Mason, 1984). </w:t>
      </w:r>
      <w:r w:rsidRPr="00840978">
        <w:rPr>
          <w:rFonts w:ascii="Simplified Arabic" w:hAnsi="Simplified Arabic" w:cs="Simplified Arabic"/>
          <w:sz w:val="28"/>
          <w:szCs w:val="28"/>
          <w:rtl/>
        </w:rPr>
        <w:t>القيادة التحويلية التي تلهم وتحفز الموظفين وتعزز الثقافة الابتكارية ارتبطت بأداء تنظيمي متفوق</w:t>
      </w:r>
      <w:r w:rsidRPr="00840978">
        <w:rPr>
          <w:rFonts w:ascii="Simplified Arabic" w:hAnsi="Simplified Arabic" w:cs="Simplified Arabic"/>
          <w:sz w:val="28"/>
          <w:szCs w:val="28"/>
        </w:rPr>
        <w:t xml:space="preserve"> (Bass &amp; Avolio, 1993).</w:t>
      </w:r>
    </w:p>
    <w:p w14:paraId="34CBC77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الثقافة التنظيمية والقيم والمعتقدات المشتركة تشكل البيئة الداخلية التي تتم فيها العمليات واتخاذ القرارات، وتؤثر على سلوك الموظفين وتفاعلاتهم وأدائهم</w:t>
      </w:r>
      <w:r w:rsidRPr="00840978">
        <w:rPr>
          <w:rFonts w:ascii="Simplified Arabic" w:hAnsi="Simplified Arabic" w:cs="Simplified Arabic"/>
          <w:sz w:val="28"/>
          <w:szCs w:val="28"/>
        </w:rPr>
        <w:t xml:space="preserve"> (Schein, 2010). </w:t>
      </w:r>
      <w:r w:rsidRPr="00840978">
        <w:rPr>
          <w:rFonts w:ascii="Simplified Arabic" w:hAnsi="Simplified Arabic" w:cs="Simplified Arabic"/>
          <w:sz w:val="28"/>
          <w:szCs w:val="28"/>
          <w:rtl/>
        </w:rPr>
        <w:t>الثقافات التنظيمية القوية والمتوافقة مع الاستراتيجية ترتبط بأداء أفضل</w:t>
      </w:r>
      <w:r w:rsidRPr="00840978">
        <w:rPr>
          <w:rFonts w:ascii="Simplified Arabic" w:hAnsi="Simplified Arabic" w:cs="Simplified Arabic"/>
          <w:sz w:val="28"/>
          <w:szCs w:val="28"/>
        </w:rPr>
        <w:t xml:space="preserve"> (Kotter &amp; Heskett, 1992).</w:t>
      </w:r>
    </w:p>
    <w:p w14:paraId="08AFB3F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الموارد البشرية ورأس المال البشري يمثلان عاملاً حاسماً في الأداء، حيث أن مهارات ومعارف وقدرات ودوافع الموظفين تؤثر بشكل مباشر على الإنتاجية والابتكار والجودة</w:t>
      </w:r>
      <w:r w:rsidRPr="00840978">
        <w:rPr>
          <w:rFonts w:ascii="Simplified Arabic" w:hAnsi="Simplified Arabic" w:cs="Simplified Arabic"/>
          <w:sz w:val="28"/>
          <w:szCs w:val="28"/>
        </w:rPr>
        <w:t xml:space="preserve"> (Huselid, 1995). </w:t>
      </w:r>
      <w:r w:rsidRPr="00840978">
        <w:rPr>
          <w:rFonts w:ascii="Simplified Arabic" w:hAnsi="Simplified Arabic" w:cs="Simplified Arabic"/>
          <w:sz w:val="28"/>
          <w:szCs w:val="28"/>
          <w:rtl/>
        </w:rPr>
        <w:t>المنظمات التي تستثمر في جذب وتطوير والاحتفاظ بالمواهب تحقق أداءً متفوقاً</w:t>
      </w:r>
      <w:r w:rsidRPr="00840978">
        <w:rPr>
          <w:rFonts w:ascii="Simplified Arabic" w:hAnsi="Simplified Arabic" w:cs="Simplified Arabic"/>
          <w:sz w:val="28"/>
          <w:szCs w:val="28"/>
        </w:rPr>
        <w:t xml:space="preserve"> (Becker &amp; Gerhart, 1996).</w:t>
      </w:r>
    </w:p>
    <w:p w14:paraId="5796CF4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الهيكل التنظيمي وتصميم العمليات يؤثران على الكفاءة والمرونة والتنسيق، حيث أن الهياكل المناسبة للاستراتيجية والبيئة تسهل تنفيذ الخطط وتحقيق الأهداف بفعالية</w:t>
      </w:r>
      <w:r w:rsidRPr="00840978">
        <w:rPr>
          <w:rFonts w:ascii="Simplified Arabic" w:hAnsi="Simplified Arabic" w:cs="Simplified Arabic"/>
          <w:sz w:val="28"/>
          <w:szCs w:val="28"/>
        </w:rPr>
        <w:t xml:space="preserve"> (Chandler, 1962). </w:t>
      </w:r>
      <w:r w:rsidRPr="00840978">
        <w:rPr>
          <w:rFonts w:ascii="Simplified Arabic" w:hAnsi="Simplified Arabic" w:cs="Simplified Arabic"/>
          <w:sz w:val="28"/>
          <w:szCs w:val="28"/>
          <w:rtl/>
        </w:rPr>
        <w:t>في عصر التحول الرقمي، تميل المنظمات عالية الأداء إلى تبني هياكل أكثر مرونة وتشاركية تدعم الابتكار والتعاون</w:t>
      </w:r>
      <w:r w:rsidRPr="00840978">
        <w:rPr>
          <w:rFonts w:ascii="Simplified Arabic" w:hAnsi="Simplified Arabic" w:cs="Simplified Arabic"/>
          <w:sz w:val="28"/>
          <w:szCs w:val="28"/>
        </w:rPr>
        <w:t xml:space="preserve"> (Vial, </w:t>
      </w:r>
      <w:r w:rsidRPr="00840978">
        <w:rPr>
          <w:rFonts w:ascii="Simplified Arabic" w:hAnsi="Simplified Arabic" w:cs="Simplified Arabic"/>
          <w:sz w:val="28"/>
          <w:szCs w:val="28"/>
        </w:rPr>
        <w:lastRenderedPageBreak/>
        <w:t>2019).</w:t>
      </w:r>
    </w:p>
    <w:p w14:paraId="4F9A055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العوامل الخارجية</w:t>
      </w:r>
    </w:p>
    <w:p w14:paraId="62CBF02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من بين العوامل الخارجية المؤثرة في الأداء التنظيمي نجد خصائص الصناعة وهيكلها التنافسي، حيث تختلف مستويات الربحية والنمو بشكل كبير بين الصناعات المختلفة بناءً على عوامل مثل درجة التنافس وقوة الموردين والعملاء وتهديد البدائل وحواجز الدخول</w:t>
      </w:r>
      <w:r w:rsidRPr="00840978">
        <w:rPr>
          <w:rFonts w:ascii="Simplified Arabic" w:hAnsi="Simplified Arabic" w:cs="Simplified Arabic"/>
          <w:sz w:val="28"/>
          <w:szCs w:val="28"/>
        </w:rPr>
        <w:t xml:space="preserve"> (Porter, 1980). </w:t>
      </w:r>
      <w:r w:rsidRPr="00840978">
        <w:rPr>
          <w:rFonts w:ascii="Simplified Arabic" w:hAnsi="Simplified Arabic" w:cs="Simplified Arabic"/>
          <w:sz w:val="28"/>
          <w:szCs w:val="28"/>
          <w:rtl/>
        </w:rPr>
        <w:t>المنظمات التي تعمل في صناعات جذابة تميل إلى تحقيق أداء أفضل من تلك في الصناعات غير الجذابة</w:t>
      </w:r>
      <w:r w:rsidRPr="00840978">
        <w:rPr>
          <w:rFonts w:ascii="Simplified Arabic" w:hAnsi="Simplified Arabic" w:cs="Simplified Arabic"/>
          <w:sz w:val="28"/>
          <w:szCs w:val="28"/>
        </w:rPr>
        <w:t>.</w:t>
      </w:r>
    </w:p>
    <w:p w14:paraId="44C9440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الظروف الاقتصادية العامة مثل معدلات النمو الاقتصادي والتضخم وأسعار الفائدة وأسعار الصرف تؤثر على الطلب والتكاليف والربحية</w:t>
      </w:r>
      <w:r w:rsidRPr="00840978">
        <w:rPr>
          <w:rFonts w:ascii="Simplified Arabic" w:hAnsi="Simplified Arabic" w:cs="Simplified Arabic"/>
          <w:sz w:val="28"/>
          <w:szCs w:val="28"/>
        </w:rPr>
        <w:t xml:space="preserve"> (Brealey et al., 2011). </w:t>
      </w:r>
      <w:r w:rsidRPr="00840978">
        <w:rPr>
          <w:rFonts w:ascii="Simplified Arabic" w:hAnsi="Simplified Arabic" w:cs="Simplified Arabic"/>
          <w:sz w:val="28"/>
          <w:szCs w:val="28"/>
          <w:rtl/>
        </w:rPr>
        <w:t>فترات الرواج الاقتصادي عادة ترتبط بأداء أفضل للشركات، بينما فترات الركود تضع ضغوطاً على الأداء</w:t>
      </w:r>
      <w:r w:rsidRPr="00840978">
        <w:rPr>
          <w:rFonts w:ascii="Simplified Arabic" w:hAnsi="Simplified Arabic" w:cs="Simplified Arabic"/>
          <w:sz w:val="28"/>
          <w:szCs w:val="28"/>
        </w:rPr>
        <w:t>.</w:t>
      </w:r>
    </w:p>
    <w:p w14:paraId="78430F3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التطورات التكنولوجية والابتكارات في الصناعة يمكن أن تخلق فرصاً جديدة أو تهديدات للمنظمات القائمة، حيث أن التغيرات التكنولوجية السريعة قد تجعل المنتجات أو العمليات الحالية عتيقة وتتطلب استثمارات كبيرة في التكيف</w:t>
      </w:r>
      <w:r w:rsidRPr="00840978">
        <w:rPr>
          <w:rFonts w:ascii="Simplified Arabic" w:hAnsi="Simplified Arabic" w:cs="Simplified Arabic"/>
          <w:sz w:val="28"/>
          <w:szCs w:val="28"/>
        </w:rPr>
        <w:t xml:space="preserve"> (Christensen, 1997). </w:t>
      </w:r>
      <w:r w:rsidRPr="00840978">
        <w:rPr>
          <w:rFonts w:ascii="Simplified Arabic" w:hAnsi="Simplified Arabic" w:cs="Simplified Arabic"/>
          <w:sz w:val="28"/>
          <w:szCs w:val="28"/>
          <w:rtl/>
        </w:rPr>
        <w:t>المنظمات التي تتبنى التقنيات الجديدة بنجاح تحقق أداءً أفضل من تلك التي تفشل في التكيف</w:t>
      </w:r>
      <w:r w:rsidRPr="00840978">
        <w:rPr>
          <w:rFonts w:ascii="Simplified Arabic" w:hAnsi="Simplified Arabic" w:cs="Simplified Arabic"/>
          <w:sz w:val="28"/>
          <w:szCs w:val="28"/>
        </w:rPr>
        <w:t>.</w:t>
      </w:r>
    </w:p>
    <w:p w14:paraId="3FAC836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البيئة التنظيمية والقانونية بما في ذلك القوانين واللوائح والسياسات الحكومية تؤثر على حرية المنظمات في اتخاذ القرارات وتكاليف الامتثال والفرص المتاحة</w:t>
      </w:r>
      <w:r w:rsidRPr="00840978">
        <w:rPr>
          <w:rFonts w:ascii="Simplified Arabic" w:hAnsi="Simplified Arabic" w:cs="Simplified Arabic"/>
          <w:sz w:val="28"/>
          <w:szCs w:val="28"/>
        </w:rPr>
        <w:t xml:space="preserve"> (North, 1990). </w:t>
      </w:r>
      <w:r w:rsidRPr="00840978">
        <w:rPr>
          <w:rFonts w:ascii="Simplified Arabic" w:hAnsi="Simplified Arabic" w:cs="Simplified Arabic"/>
          <w:sz w:val="28"/>
          <w:szCs w:val="28"/>
          <w:rtl/>
        </w:rPr>
        <w:t>البيئات التنظيمية الداعمة للأعمال ترتبط بأداء أفضل للشركات</w:t>
      </w:r>
      <w:r w:rsidRPr="00840978">
        <w:rPr>
          <w:rFonts w:ascii="Simplified Arabic" w:hAnsi="Simplified Arabic" w:cs="Simplified Arabic"/>
          <w:sz w:val="28"/>
          <w:szCs w:val="28"/>
        </w:rPr>
        <w:t>.</w:t>
      </w:r>
    </w:p>
    <w:p w14:paraId="583AFEE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العوامل الاجتماعية والثقافية مثل القيم الاجتماعية والتوجهات الاستهلاكية والمسؤولية الاجتماعية المتوقعة تؤثر على سلوك العملاء وسمعة المنظمات</w:t>
      </w:r>
      <w:r w:rsidRPr="00840978">
        <w:rPr>
          <w:rFonts w:ascii="Simplified Arabic" w:hAnsi="Simplified Arabic" w:cs="Simplified Arabic"/>
          <w:sz w:val="28"/>
          <w:szCs w:val="28"/>
        </w:rPr>
        <w:t xml:space="preserve"> (DiMaggio &amp; Powell, 1983). </w:t>
      </w:r>
      <w:r w:rsidRPr="00840978">
        <w:rPr>
          <w:rFonts w:ascii="Simplified Arabic" w:hAnsi="Simplified Arabic" w:cs="Simplified Arabic"/>
          <w:sz w:val="28"/>
          <w:szCs w:val="28"/>
          <w:rtl/>
        </w:rPr>
        <w:t>المنظمات التي تفهم وتستجيب للتغيرات الاجتماعية والثقافية تكون أكثر قدرة على تلبية احتياجات العملاء وبناء سمعة إيجابية</w:t>
      </w:r>
      <w:r w:rsidRPr="00840978">
        <w:rPr>
          <w:rFonts w:ascii="Simplified Arabic" w:hAnsi="Simplified Arabic" w:cs="Simplified Arabic"/>
          <w:sz w:val="28"/>
          <w:szCs w:val="28"/>
        </w:rPr>
        <w:t>.</w:t>
      </w:r>
    </w:p>
    <w:p w14:paraId="57BA6FDD" w14:textId="357A0753" w:rsid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العوامل البيئية والجغرافية مثل الموقع والمناخ وتوافر الموارد الطبيعية يمكن أن تؤثر على التكاليف والفرص المتاحة للمنظمات</w:t>
      </w:r>
      <w:r w:rsidRPr="00840978">
        <w:rPr>
          <w:rFonts w:ascii="Simplified Arabic" w:hAnsi="Simplified Arabic" w:cs="Simplified Arabic"/>
          <w:sz w:val="28"/>
          <w:szCs w:val="28"/>
        </w:rPr>
        <w:t xml:space="preserve"> (Porter, 1998). </w:t>
      </w:r>
      <w:r w:rsidRPr="00840978">
        <w:rPr>
          <w:rFonts w:ascii="Simplified Arabic" w:hAnsi="Simplified Arabic" w:cs="Simplified Arabic"/>
          <w:sz w:val="28"/>
          <w:szCs w:val="28"/>
          <w:rtl/>
        </w:rPr>
        <w:t>الموقع الجغرافي الاستراتيجي أو القرب من التجمعات الصناعية يمكن أن يوفر مزايا تنافسية</w:t>
      </w:r>
      <w:r w:rsidRPr="00840978">
        <w:rPr>
          <w:rFonts w:ascii="Simplified Arabic" w:hAnsi="Simplified Arabic" w:cs="Simplified Arabic"/>
          <w:sz w:val="28"/>
          <w:szCs w:val="28"/>
        </w:rPr>
        <w:t>.</w:t>
      </w:r>
    </w:p>
    <w:p w14:paraId="3C7D2AF0" w14:textId="77777777" w:rsidR="00840978" w:rsidRPr="00840978" w:rsidRDefault="00840978" w:rsidP="000126FF">
      <w:pPr>
        <w:pStyle w:val="Heading2"/>
      </w:pPr>
      <w:bookmarkStart w:id="20" w:name="_Toc214041806"/>
      <w:r w:rsidRPr="00840978">
        <w:rPr>
          <w:rtl/>
        </w:rPr>
        <w:t>المبحث الثالث: العلاقة بين التحول الرقمي وأداء الشركات</w:t>
      </w:r>
      <w:bookmarkEnd w:id="20"/>
    </w:p>
    <w:p w14:paraId="28E51042" w14:textId="77777777" w:rsidR="00840978" w:rsidRPr="00840978" w:rsidRDefault="00840978" w:rsidP="000126FF">
      <w:pPr>
        <w:pStyle w:val="Heading3"/>
      </w:pPr>
      <w:bookmarkStart w:id="21" w:name="_Toc214041807"/>
      <w:r w:rsidRPr="00840978">
        <w:t xml:space="preserve">2.3.1 </w:t>
      </w:r>
      <w:r w:rsidRPr="00840978">
        <w:rPr>
          <w:rtl/>
        </w:rPr>
        <w:t>الأطر النظرية المفسرة للعلاقة بين التحول الرقمي والأداء</w:t>
      </w:r>
      <w:bookmarkEnd w:id="21"/>
    </w:p>
    <w:p w14:paraId="76AD69F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إن فهم العلاقة بين التحول الرقمي والأداء التنظيمي يتطلب استناداً إلى أطر نظرية متينة تفسر الآليات والمسارات التي يؤثر من خلالها التحول الرقمي على مختلف أبعاد الأداء. في هذا القسم، نستعرض أهم النظريات التي استخدمها الباحثون لتفسير هذه العلاقة</w:t>
      </w:r>
      <w:r w:rsidRPr="00840978">
        <w:rPr>
          <w:rFonts w:ascii="Simplified Arabic" w:hAnsi="Simplified Arabic" w:cs="Simplified Arabic"/>
          <w:sz w:val="28"/>
          <w:szCs w:val="28"/>
        </w:rPr>
        <w:t>.</w:t>
      </w:r>
    </w:p>
    <w:p w14:paraId="75C85A6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نظرية القدرات الديناميكية</w:t>
      </w:r>
    </w:p>
    <w:p w14:paraId="22417B3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تعد نظرية القدرات الديناميكية من أكثر الأطر النظرية ملاءمة لتفسير العلاقة بين التحول الرقمي والأداء التنظيمي</w:t>
      </w:r>
      <w:r w:rsidRPr="00840978">
        <w:rPr>
          <w:rFonts w:ascii="Simplified Arabic" w:hAnsi="Simplified Arabic" w:cs="Simplified Arabic"/>
          <w:sz w:val="28"/>
          <w:szCs w:val="28"/>
        </w:rPr>
        <w:t xml:space="preserve"> (Teece et al., 1997; Teece, 2007). </w:t>
      </w:r>
      <w:r w:rsidRPr="00840978">
        <w:rPr>
          <w:rFonts w:ascii="Simplified Arabic" w:hAnsi="Simplified Arabic" w:cs="Simplified Arabic"/>
          <w:sz w:val="28"/>
          <w:szCs w:val="28"/>
          <w:rtl/>
        </w:rPr>
        <w:t>تفترض هذه النظرية أن الأداء المتفوق والمستدام في البيئات سريعة التغير لا ينتج فقط من امتلاك موارد قيمة، بل من القدرة على تطوير وتكييف وإعادة تشكيل هذه الموارد باستمرار استجابة للتغيرات البيئية</w:t>
      </w:r>
      <w:r w:rsidRPr="00840978">
        <w:rPr>
          <w:rFonts w:ascii="Simplified Arabic" w:hAnsi="Simplified Arabic" w:cs="Simplified Arabic"/>
          <w:sz w:val="28"/>
          <w:szCs w:val="28"/>
        </w:rPr>
        <w:t xml:space="preserve"> (Eisenhardt &amp; Martin, 2000). </w:t>
      </w:r>
      <w:r w:rsidRPr="00840978">
        <w:rPr>
          <w:rFonts w:ascii="Simplified Arabic" w:hAnsi="Simplified Arabic" w:cs="Simplified Arabic"/>
          <w:sz w:val="28"/>
          <w:szCs w:val="28"/>
          <w:rtl/>
        </w:rPr>
        <w:t>تتكون القدرات الديناميكية من ثلاث قدرات رئيسية هي الاستشعار</w:t>
      </w:r>
      <w:r w:rsidRPr="00840978">
        <w:rPr>
          <w:rFonts w:ascii="Simplified Arabic" w:hAnsi="Simplified Arabic" w:cs="Simplified Arabic"/>
          <w:sz w:val="28"/>
          <w:szCs w:val="28"/>
        </w:rPr>
        <w:t xml:space="preserve"> (sensing) </w:t>
      </w:r>
      <w:r w:rsidRPr="00840978">
        <w:rPr>
          <w:rFonts w:ascii="Simplified Arabic" w:hAnsi="Simplified Arabic" w:cs="Simplified Arabic"/>
          <w:sz w:val="28"/>
          <w:szCs w:val="28"/>
          <w:rtl/>
        </w:rPr>
        <w:t>أي القدرة على رصد وتقييم الفرص والتهديدات في البيئة الخارجية، والاستجابة</w:t>
      </w:r>
      <w:r w:rsidRPr="00840978">
        <w:rPr>
          <w:rFonts w:ascii="Simplified Arabic" w:hAnsi="Simplified Arabic" w:cs="Simplified Arabic"/>
          <w:sz w:val="28"/>
          <w:szCs w:val="28"/>
        </w:rPr>
        <w:t xml:space="preserve"> (seizing) </w:t>
      </w:r>
      <w:r w:rsidRPr="00840978">
        <w:rPr>
          <w:rFonts w:ascii="Simplified Arabic" w:hAnsi="Simplified Arabic" w:cs="Simplified Arabic"/>
          <w:sz w:val="28"/>
          <w:szCs w:val="28"/>
          <w:rtl/>
        </w:rPr>
        <w:t>أي القدرة على حشد الموارد واستغلال الفرص المحددة، وإعادة التشكيل</w:t>
      </w:r>
      <w:r w:rsidRPr="00840978">
        <w:rPr>
          <w:rFonts w:ascii="Simplified Arabic" w:hAnsi="Simplified Arabic" w:cs="Simplified Arabic"/>
          <w:sz w:val="28"/>
          <w:szCs w:val="28"/>
        </w:rPr>
        <w:t xml:space="preserve"> (transforming) </w:t>
      </w:r>
      <w:r w:rsidRPr="00840978">
        <w:rPr>
          <w:rFonts w:ascii="Simplified Arabic" w:hAnsi="Simplified Arabic" w:cs="Simplified Arabic"/>
          <w:sz w:val="28"/>
          <w:szCs w:val="28"/>
          <w:rtl/>
        </w:rPr>
        <w:t>أي القدرة على إعادة تشكيل الأصول والهياكل التنظيمية للحفاظ على التنافسية</w:t>
      </w:r>
      <w:r w:rsidRPr="00840978">
        <w:rPr>
          <w:rFonts w:ascii="Simplified Arabic" w:hAnsi="Simplified Arabic" w:cs="Simplified Arabic"/>
          <w:sz w:val="28"/>
          <w:szCs w:val="28"/>
        </w:rPr>
        <w:t xml:space="preserve"> (Teece, 2007).</w:t>
      </w:r>
    </w:p>
    <w:p w14:paraId="452187D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يمكن النظر إلى الاستثمار في التقنيات الرقمية وتطوير القدرات الرقمية على أنه عملية بناء للقدرات الديناميكية</w:t>
      </w:r>
      <w:r w:rsidRPr="00840978">
        <w:rPr>
          <w:rFonts w:ascii="Simplified Arabic" w:hAnsi="Simplified Arabic" w:cs="Simplified Arabic"/>
          <w:sz w:val="28"/>
          <w:szCs w:val="28"/>
        </w:rPr>
        <w:t xml:space="preserve"> (Warner &amp; Wäger, 2019). </w:t>
      </w:r>
      <w:r w:rsidRPr="00840978">
        <w:rPr>
          <w:rFonts w:ascii="Simplified Arabic" w:hAnsi="Simplified Arabic" w:cs="Simplified Arabic"/>
          <w:sz w:val="28"/>
          <w:szCs w:val="28"/>
          <w:rtl/>
        </w:rPr>
        <w:t>فالتقنيات الرقمية مثل البيانات الضخمة والتحليلات المتقدمة تعزز قدرة المنظمات على الاستشعار من خلال جمع ومعالجة كميات هائلة من المعلومات حول البيئة الخارجية والداخلية</w:t>
      </w:r>
      <w:r w:rsidRPr="00840978">
        <w:rPr>
          <w:rFonts w:ascii="Simplified Arabic" w:hAnsi="Simplified Arabic" w:cs="Simplified Arabic"/>
          <w:sz w:val="28"/>
          <w:szCs w:val="28"/>
        </w:rPr>
        <w:t xml:space="preserve"> (Wamba et al., 2017). </w:t>
      </w:r>
      <w:r w:rsidRPr="00840978">
        <w:rPr>
          <w:rFonts w:ascii="Simplified Arabic" w:hAnsi="Simplified Arabic" w:cs="Simplified Arabic"/>
          <w:sz w:val="28"/>
          <w:szCs w:val="28"/>
          <w:rtl/>
        </w:rPr>
        <w:t>التقنيات الرقمية مثل منصات التطوير السريع والحوسبة السحابية تعزز قدرة المنظمات على الاستجابة من خلال تسريع عملية تطوير وإطلاق منتجات وخدمات جديدة</w:t>
      </w:r>
      <w:r w:rsidRPr="00840978">
        <w:rPr>
          <w:rFonts w:ascii="Simplified Arabic" w:hAnsi="Simplified Arabic" w:cs="Simplified Arabic"/>
          <w:sz w:val="28"/>
          <w:szCs w:val="28"/>
        </w:rPr>
        <w:t xml:space="preserve"> (Garrison et al., 2015). </w:t>
      </w:r>
      <w:r w:rsidRPr="00840978">
        <w:rPr>
          <w:rFonts w:ascii="Simplified Arabic" w:hAnsi="Simplified Arabic" w:cs="Simplified Arabic"/>
          <w:sz w:val="28"/>
          <w:szCs w:val="28"/>
          <w:rtl/>
        </w:rPr>
        <w:t>التقنيات الرقمية مثل إدارة العمليات الرقمية والأتمتة تعزز قدرة المنظمات على إعادة التشكيل من خلال تسهيل إعادة تصميم العمليات والهياكل بسرعة ومرونة</w:t>
      </w:r>
      <w:r w:rsidRPr="00840978">
        <w:rPr>
          <w:rFonts w:ascii="Simplified Arabic" w:hAnsi="Simplified Arabic" w:cs="Simplified Arabic"/>
          <w:sz w:val="28"/>
          <w:szCs w:val="28"/>
        </w:rPr>
        <w:t xml:space="preserve"> (Baiyere et al., 2020).</w:t>
      </w:r>
    </w:p>
    <w:p w14:paraId="3264EAD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بهذا المنطق، يمكن القول إن التحول الرقمي يعزز القدرات الديناميكية للمنظمات، وهذه القدرات المعززة بدورها تؤدي إلى تحسين الأداء التنظيمي من خلال تمكين المنظمات من التكيف بشكل أفضل وأسرع مع التغيرات البيئية واستغلال الفرص الناشئة بفعالية أكبر</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العديد من الدراسات التجريبية استخدمت نظرية القدرات الديناميكية كإطار نظري لدراسة العلاقة بين التحول الرقمي والأداء، ووجدت دعماً لهذا المنطق</w:t>
      </w:r>
      <w:r w:rsidRPr="00840978">
        <w:rPr>
          <w:rFonts w:ascii="Simplified Arabic" w:hAnsi="Simplified Arabic" w:cs="Simplified Arabic"/>
          <w:sz w:val="28"/>
          <w:szCs w:val="28"/>
        </w:rPr>
        <w:t xml:space="preserve"> (Warner &amp; Wäger, 2019; Mikalef et al., 2020).</w:t>
      </w:r>
    </w:p>
    <w:p w14:paraId="6491381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نظرية الموارد والقدرات</w:t>
      </w:r>
    </w:p>
    <w:p w14:paraId="3222380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تمثل نظرية الموارد والقدرات</w:t>
      </w:r>
      <w:r w:rsidRPr="00840978">
        <w:rPr>
          <w:rFonts w:ascii="Simplified Arabic" w:hAnsi="Simplified Arabic" w:cs="Simplified Arabic"/>
          <w:sz w:val="28"/>
          <w:szCs w:val="28"/>
        </w:rPr>
        <w:t xml:space="preserve"> (Resource-Based View) </w:t>
      </w:r>
      <w:r w:rsidRPr="00840978">
        <w:rPr>
          <w:rFonts w:ascii="Simplified Arabic" w:hAnsi="Simplified Arabic" w:cs="Simplified Arabic"/>
          <w:sz w:val="28"/>
          <w:szCs w:val="28"/>
          <w:rtl/>
        </w:rPr>
        <w:t>إطاراً نظرياً آخر مهماً لفهم العلاقة بين التحول الرقمي والأداء</w:t>
      </w:r>
      <w:r w:rsidRPr="00840978">
        <w:rPr>
          <w:rFonts w:ascii="Simplified Arabic" w:hAnsi="Simplified Arabic" w:cs="Simplified Arabic"/>
          <w:sz w:val="28"/>
          <w:szCs w:val="28"/>
        </w:rPr>
        <w:t xml:space="preserve"> (Barney, 1991; Wernerfelt, 1984). </w:t>
      </w:r>
      <w:r w:rsidRPr="00840978">
        <w:rPr>
          <w:rFonts w:ascii="Simplified Arabic" w:hAnsi="Simplified Arabic" w:cs="Simplified Arabic"/>
          <w:sz w:val="28"/>
          <w:szCs w:val="28"/>
          <w:rtl/>
        </w:rPr>
        <w:t>تفترض هذه النظرية أن الاختلافات في أداء المنظمات تنبع من الاختلافات في الموارد والقدرات التي تمتلكها، وأن الموارد التي تكون قيمة ونادرة وصعبة التقليد وغير قابلة للاستبدال</w:t>
      </w:r>
      <w:r w:rsidRPr="00840978">
        <w:rPr>
          <w:rFonts w:ascii="Simplified Arabic" w:hAnsi="Simplified Arabic" w:cs="Simplified Arabic"/>
          <w:sz w:val="28"/>
          <w:szCs w:val="28"/>
        </w:rPr>
        <w:t xml:space="preserve"> (VRIN) </w:t>
      </w:r>
      <w:r w:rsidRPr="00840978">
        <w:rPr>
          <w:rFonts w:ascii="Simplified Arabic" w:hAnsi="Simplified Arabic" w:cs="Simplified Arabic"/>
          <w:sz w:val="28"/>
          <w:szCs w:val="28"/>
          <w:rtl/>
        </w:rPr>
        <w:t>تمثل مصادر للميزة التنافسية المستدامة</w:t>
      </w:r>
      <w:r w:rsidRPr="00840978">
        <w:rPr>
          <w:rFonts w:ascii="Simplified Arabic" w:hAnsi="Simplified Arabic" w:cs="Simplified Arabic"/>
          <w:sz w:val="28"/>
          <w:szCs w:val="28"/>
        </w:rPr>
        <w:t xml:space="preserve"> (Barney, 1991).</w:t>
      </w:r>
    </w:p>
    <w:p w14:paraId="65CC44A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يمكن النظر إلى القدرات الرقمية للمنظمة على أنها موارد استراتيجية يمكن أن توفر ميزة تنافسية</w:t>
      </w:r>
      <w:r w:rsidRPr="00840978">
        <w:rPr>
          <w:rFonts w:ascii="Simplified Arabic" w:hAnsi="Simplified Arabic" w:cs="Simplified Arabic"/>
          <w:sz w:val="28"/>
          <w:szCs w:val="28"/>
        </w:rPr>
        <w:t xml:space="preserve"> (Bharadwaj et al., 2013). </w:t>
      </w:r>
      <w:r w:rsidRPr="00840978">
        <w:rPr>
          <w:rFonts w:ascii="Simplified Arabic" w:hAnsi="Simplified Arabic" w:cs="Simplified Arabic"/>
          <w:sz w:val="28"/>
          <w:szCs w:val="28"/>
          <w:rtl/>
        </w:rPr>
        <w:t xml:space="preserve">على سبيل المثال، البنية التحتية الرقمية المتطورة والمرنة </w:t>
      </w:r>
      <w:r w:rsidRPr="00840978">
        <w:rPr>
          <w:rFonts w:ascii="Simplified Arabic" w:hAnsi="Simplified Arabic" w:cs="Simplified Arabic"/>
          <w:sz w:val="28"/>
          <w:szCs w:val="28"/>
          <w:rtl/>
        </w:rPr>
        <w:lastRenderedPageBreak/>
        <w:t>يمكن أن تمثل مورداً قيماً يصعب على المنافسين تقليده بسرعة</w:t>
      </w:r>
      <w:r w:rsidRPr="00840978">
        <w:rPr>
          <w:rFonts w:ascii="Simplified Arabic" w:hAnsi="Simplified Arabic" w:cs="Simplified Arabic"/>
          <w:sz w:val="28"/>
          <w:szCs w:val="28"/>
        </w:rPr>
        <w:t xml:space="preserve"> (Ross et al., 1996). </w:t>
      </w:r>
      <w:r w:rsidRPr="00840978">
        <w:rPr>
          <w:rFonts w:ascii="Simplified Arabic" w:hAnsi="Simplified Arabic" w:cs="Simplified Arabic"/>
          <w:sz w:val="28"/>
          <w:szCs w:val="28"/>
          <w:rtl/>
        </w:rPr>
        <w:t>القدرات في مجال تحليل البيانات والذكاء الاصطناعي، والتي تتطلب مزيجاً من التكنولوجيا والمهارات البشرية والخبرة التنظيمية، يصعب تطويرها ونسخها، وبالتالي يمكن أن توفر ميزة تنافسية مستدامة</w:t>
      </w:r>
      <w:r w:rsidRPr="00840978">
        <w:rPr>
          <w:rFonts w:ascii="Simplified Arabic" w:hAnsi="Simplified Arabic" w:cs="Simplified Arabic"/>
          <w:sz w:val="28"/>
          <w:szCs w:val="28"/>
        </w:rPr>
        <w:t xml:space="preserve"> (Gupta &amp; George, 2016).</w:t>
      </w:r>
    </w:p>
    <w:p w14:paraId="68737C6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علاوة على ذلك، تشير الأبحاث إلى أن القيمة الحقيقية للتقنيات الرقمية لا تأتي من التقنيات نفسها (التي يمكن شراؤها أو استئجارها)، بل من القدرة التنظيمية على استغلال هذه التقنيات بفعالية من خلال دمجها مع الموارد الأخرى وتطوير روتينات وعمليات فريدة</w:t>
      </w:r>
      <w:r w:rsidRPr="00840978">
        <w:rPr>
          <w:rFonts w:ascii="Simplified Arabic" w:hAnsi="Simplified Arabic" w:cs="Simplified Arabic"/>
          <w:sz w:val="28"/>
          <w:szCs w:val="28"/>
        </w:rPr>
        <w:t xml:space="preserve"> (Melville et al., 2004). </w:t>
      </w:r>
      <w:r w:rsidRPr="00840978">
        <w:rPr>
          <w:rFonts w:ascii="Simplified Arabic" w:hAnsi="Simplified Arabic" w:cs="Simplified Arabic"/>
          <w:sz w:val="28"/>
          <w:szCs w:val="28"/>
          <w:rtl/>
        </w:rPr>
        <w:t>هذه القدرة التكميلية والتنظيمية هي التي يصعب تقليدها وتمثل المصدر الحقيقي للميزة التنافسية</w:t>
      </w:r>
      <w:r w:rsidRPr="00840978">
        <w:rPr>
          <w:rFonts w:ascii="Simplified Arabic" w:hAnsi="Simplified Arabic" w:cs="Simplified Arabic"/>
          <w:sz w:val="28"/>
          <w:szCs w:val="28"/>
        </w:rPr>
        <w:t xml:space="preserve"> (Wade &amp; Hulland, 2004).</w:t>
      </w:r>
    </w:p>
    <w:p w14:paraId="3178A0A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بالتالي، وفقاً لنظرية الموارد والقدرات، فإن المنظمات التي تطور قدرات رقمية فريدة وقيمة من خلال التحول الرقمي ستحقق أداءً متفوقاً مقارنة بالمنظمات التي تفتقر إلى هذه القدرات</w:t>
      </w:r>
      <w:r w:rsidRPr="00840978">
        <w:rPr>
          <w:rFonts w:ascii="Simplified Arabic" w:hAnsi="Simplified Arabic" w:cs="Simplified Arabic"/>
          <w:sz w:val="28"/>
          <w:szCs w:val="28"/>
        </w:rPr>
        <w:t xml:space="preserve"> (Mikalef &amp; Gupta, 2021). </w:t>
      </w:r>
      <w:r w:rsidRPr="00840978">
        <w:rPr>
          <w:rFonts w:ascii="Simplified Arabic" w:hAnsi="Simplified Arabic" w:cs="Simplified Arabic"/>
          <w:sz w:val="28"/>
          <w:szCs w:val="28"/>
          <w:rtl/>
        </w:rPr>
        <w:t>العديد من الدراسات استخدمت هذا الإطار النظري وقدمت أدلة تجريبية على وجود علاقة إيجابية بين القدرات الرقمية والأداء التنظيمي</w:t>
      </w:r>
      <w:r w:rsidRPr="00840978">
        <w:rPr>
          <w:rFonts w:ascii="Simplified Arabic" w:hAnsi="Simplified Arabic" w:cs="Simplified Arabic"/>
          <w:sz w:val="28"/>
          <w:szCs w:val="28"/>
        </w:rPr>
        <w:t xml:space="preserve"> (Bharadwaj et al., 2013; Mikalef et al., 2020).</w:t>
      </w:r>
    </w:p>
    <w:p w14:paraId="7BB7548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نظرية التوافق الاستراتيجي</w:t>
      </w:r>
    </w:p>
    <w:p w14:paraId="433355B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تؤكد نظرية التوافق الاستراتيجي</w:t>
      </w:r>
      <w:r w:rsidRPr="00840978">
        <w:rPr>
          <w:rFonts w:ascii="Simplified Arabic" w:hAnsi="Simplified Arabic" w:cs="Simplified Arabic"/>
          <w:sz w:val="28"/>
          <w:szCs w:val="28"/>
        </w:rPr>
        <w:t xml:space="preserve"> (Strategic Fit Theory) </w:t>
      </w:r>
      <w:r w:rsidRPr="00840978">
        <w:rPr>
          <w:rFonts w:ascii="Simplified Arabic" w:hAnsi="Simplified Arabic" w:cs="Simplified Arabic"/>
          <w:sz w:val="28"/>
          <w:szCs w:val="28"/>
          <w:rtl/>
        </w:rPr>
        <w:t>على أهمية التوافق بين الاستراتيجية والهيكل والعمليات والبيئة في تحقيق الأداء المتفوق</w:t>
      </w:r>
      <w:r w:rsidRPr="00840978">
        <w:rPr>
          <w:rFonts w:ascii="Simplified Arabic" w:hAnsi="Simplified Arabic" w:cs="Simplified Arabic"/>
          <w:sz w:val="28"/>
          <w:szCs w:val="28"/>
        </w:rPr>
        <w:t xml:space="preserve"> (Miles &amp; Snow, 1978; Venkatraman, 1989). </w:t>
      </w:r>
      <w:r w:rsidRPr="00840978">
        <w:rPr>
          <w:rFonts w:ascii="Simplified Arabic" w:hAnsi="Simplified Arabic" w:cs="Simplified Arabic"/>
          <w:sz w:val="28"/>
          <w:szCs w:val="28"/>
          <w:rtl/>
        </w:rPr>
        <w:t>وفقاً لهذه النظرية، الأداء العالي ينتج عندما تكون هناك محاذاة واتساق بين مختلف عناصر المنظمة واستراتيجيتها وبيئتها الخارجية</w:t>
      </w:r>
      <w:r w:rsidRPr="00840978">
        <w:rPr>
          <w:rFonts w:ascii="Simplified Arabic" w:hAnsi="Simplified Arabic" w:cs="Simplified Arabic"/>
          <w:sz w:val="28"/>
          <w:szCs w:val="28"/>
        </w:rPr>
        <w:t>.</w:t>
      </w:r>
    </w:p>
    <w:p w14:paraId="236BA1F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تشير نظرية التوافق الاستراتيجي إلى أن النجاح في تحقيق تحسينات في الأداء من خلال التحول الرقمي يتطلب التوافق بين عدة عناصر</w:t>
      </w:r>
      <w:r w:rsidRPr="00840978">
        <w:rPr>
          <w:rFonts w:ascii="Simplified Arabic" w:hAnsi="Simplified Arabic" w:cs="Simplified Arabic"/>
          <w:sz w:val="28"/>
          <w:szCs w:val="28"/>
        </w:rPr>
        <w:t xml:space="preserve"> (Matt et al., 2015). </w:t>
      </w:r>
      <w:r w:rsidRPr="00840978">
        <w:rPr>
          <w:rFonts w:ascii="Simplified Arabic" w:hAnsi="Simplified Arabic" w:cs="Simplified Arabic"/>
          <w:sz w:val="28"/>
          <w:szCs w:val="28"/>
          <w:rtl/>
        </w:rPr>
        <w:t>أولاً، التوافق بين الاستراتيجية الرقمية والاستراتيجية العامة للمنظمة، بحيث تدعم المبادرات الرقمية الأهداف الاستراتيجية الشاملة</w:t>
      </w:r>
      <w:r w:rsidRPr="00840978">
        <w:rPr>
          <w:rFonts w:ascii="Simplified Arabic" w:hAnsi="Simplified Arabic" w:cs="Simplified Arabic"/>
          <w:sz w:val="28"/>
          <w:szCs w:val="28"/>
        </w:rPr>
        <w:t xml:space="preserve"> (Bharadwaj et al., 2013). </w:t>
      </w:r>
      <w:r w:rsidRPr="00840978">
        <w:rPr>
          <w:rFonts w:ascii="Simplified Arabic" w:hAnsi="Simplified Arabic" w:cs="Simplified Arabic"/>
          <w:sz w:val="28"/>
          <w:szCs w:val="28"/>
          <w:rtl/>
        </w:rPr>
        <w:t>ثانياً، التوافق بين التقنيات الرقمية المعتمدة واحتياجات وأولويات المنظمة</w:t>
      </w:r>
      <w:r w:rsidRPr="00840978">
        <w:rPr>
          <w:rFonts w:ascii="Simplified Arabic" w:hAnsi="Simplified Arabic" w:cs="Simplified Arabic"/>
          <w:sz w:val="28"/>
          <w:szCs w:val="28"/>
        </w:rPr>
        <w:t xml:space="preserve"> (Henderson &amp; Venkatraman, 1993).</w:t>
      </w:r>
    </w:p>
    <w:p w14:paraId="7330ACA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التوافق بين التحول الرقمي والثقافة التنظيمية، حيث أن الثقافة الداعمة للابتكار والتغيير ضرورية لنجاح التحول الرقمي</w:t>
      </w:r>
      <w:r w:rsidRPr="00840978">
        <w:rPr>
          <w:rFonts w:ascii="Simplified Arabic" w:hAnsi="Simplified Arabic" w:cs="Simplified Arabic"/>
          <w:sz w:val="28"/>
          <w:szCs w:val="28"/>
        </w:rPr>
        <w:t xml:space="preserve"> (Kane et al., 2019). </w:t>
      </w:r>
      <w:r w:rsidRPr="00840978">
        <w:rPr>
          <w:rFonts w:ascii="Simplified Arabic" w:hAnsi="Simplified Arabic" w:cs="Simplified Arabic"/>
          <w:sz w:val="28"/>
          <w:szCs w:val="28"/>
          <w:rtl/>
        </w:rPr>
        <w:t>رابعاً، التوافق بين التحول الرقمي والقدرات البشرية المتاحة، حيث أن وجود المهارات الرقمية اللازمة ضروري لاستغلال التقنيات بفعالية</w:t>
      </w:r>
      <w:r w:rsidRPr="00840978">
        <w:rPr>
          <w:rFonts w:ascii="Simplified Arabic" w:hAnsi="Simplified Arabic" w:cs="Simplified Arabic"/>
          <w:sz w:val="28"/>
          <w:szCs w:val="28"/>
        </w:rPr>
        <w:t xml:space="preserve"> (Cetindamar Kozanogly &amp; Abedin, 2021).</w:t>
      </w:r>
    </w:p>
    <w:p w14:paraId="2D5CB0E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الدراسات التجريبية التي استخدمت نظرية التوافق الاستراتيجي وجدت أن المنظمات التي تحقق مستويات عالية من التوافق بين العناصر المختلفة للتحول الرقمي تحقق أداءً أفضل من تلك التي تفتقر إلى هذا التوافق</w:t>
      </w:r>
      <w:r w:rsidRPr="00840978">
        <w:rPr>
          <w:rFonts w:ascii="Simplified Arabic" w:hAnsi="Simplified Arabic" w:cs="Simplified Arabic"/>
          <w:sz w:val="28"/>
          <w:szCs w:val="28"/>
        </w:rPr>
        <w:t xml:space="preserve"> (Berghaus &amp; Back, 2016). </w:t>
      </w:r>
      <w:r w:rsidRPr="00840978">
        <w:rPr>
          <w:rFonts w:ascii="Simplified Arabic" w:hAnsi="Simplified Arabic" w:cs="Simplified Arabic"/>
          <w:sz w:val="28"/>
          <w:szCs w:val="28"/>
          <w:rtl/>
        </w:rPr>
        <w:t xml:space="preserve">عدم التوافق، مثل تبني تقنيات متقدمة دون وجود المهارات اللازمة أو </w:t>
      </w:r>
      <w:r w:rsidRPr="00840978">
        <w:rPr>
          <w:rFonts w:ascii="Simplified Arabic" w:hAnsi="Simplified Arabic" w:cs="Simplified Arabic"/>
          <w:sz w:val="28"/>
          <w:szCs w:val="28"/>
          <w:rtl/>
        </w:rPr>
        <w:lastRenderedPageBreak/>
        <w:t>الثقافة الداعمة، يمكن أن يؤدي إلى فشل مبادرات التحول الرقمي وضياع الاستثمارات دون تحقيق تحسينات ملموسة في الأداء</w:t>
      </w:r>
      <w:r w:rsidRPr="00840978">
        <w:rPr>
          <w:rFonts w:ascii="Simplified Arabic" w:hAnsi="Simplified Arabic" w:cs="Simplified Arabic"/>
          <w:sz w:val="28"/>
          <w:szCs w:val="28"/>
        </w:rPr>
        <w:t xml:space="preserve"> (Vial, 2019).</w:t>
      </w:r>
    </w:p>
    <w:p w14:paraId="57FA675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نظرية انتشار الابتكار</w:t>
      </w:r>
    </w:p>
    <w:p w14:paraId="3C5BC9B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تقدم نظرية انتشار الابتكار</w:t>
      </w:r>
      <w:r w:rsidRPr="00840978">
        <w:rPr>
          <w:rFonts w:ascii="Simplified Arabic" w:hAnsi="Simplified Arabic" w:cs="Simplified Arabic"/>
          <w:sz w:val="28"/>
          <w:szCs w:val="28"/>
        </w:rPr>
        <w:t xml:space="preserve"> (Innovation Diffusion Theory) </w:t>
      </w:r>
      <w:r w:rsidRPr="00840978">
        <w:rPr>
          <w:rFonts w:ascii="Simplified Arabic" w:hAnsi="Simplified Arabic" w:cs="Simplified Arabic"/>
          <w:sz w:val="28"/>
          <w:szCs w:val="28"/>
          <w:rtl/>
        </w:rPr>
        <w:t>إطاراً لفهم كيفية تبني المنظمات للتقنيات الجديدة وكيف يؤثر هذا التبني على الأداء</w:t>
      </w:r>
      <w:r w:rsidRPr="00840978">
        <w:rPr>
          <w:rFonts w:ascii="Simplified Arabic" w:hAnsi="Simplified Arabic" w:cs="Simplified Arabic"/>
          <w:sz w:val="28"/>
          <w:szCs w:val="28"/>
        </w:rPr>
        <w:t xml:space="preserve"> (Rogers, 2003). </w:t>
      </w:r>
      <w:r w:rsidRPr="00840978">
        <w:rPr>
          <w:rFonts w:ascii="Simplified Arabic" w:hAnsi="Simplified Arabic" w:cs="Simplified Arabic"/>
          <w:sz w:val="28"/>
          <w:szCs w:val="28"/>
          <w:rtl/>
        </w:rPr>
        <w:t>وفقاً لهذه النظرية، عملية تبني الابتكارات تمر بمراحل متعددة تبدأ بالمعرفة ثم الإقناع ثم القرار ثم التنفيذ وأخيراً التأكيد، وأن سرعة ونطاق التبني يتأثران بخصائص الابتكار (الميزة النسبية، والتوافق، والتعقيد، والقابلية للتجربة، والقابلية للملاحظة) وخصائص المتبني</w:t>
      </w:r>
      <w:r w:rsidRPr="00840978">
        <w:rPr>
          <w:rFonts w:ascii="Simplified Arabic" w:hAnsi="Simplified Arabic" w:cs="Simplified Arabic"/>
          <w:sz w:val="28"/>
          <w:szCs w:val="28"/>
        </w:rPr>
        <w:t xml:space="preserve"> (Rogers, 2003).</w:t>
      </w:r>
    </w:p>
    <w:p w14:paraId="2855C85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تساعد هذه النظرية على فهم لماذا بعض المنظمات تتبنى التقنيات الرقمية بسرعة وبنجاح بينما أخرى تتأخر أو تفشل</w:t>
      </w:r>
      <w:r w:rsidRPr="00840978">
        <w:rPr>
          <w:rFonts w:ascii="Simplified Arabic" w:hAnsi="Simplified Arabic" w:cs="Simplified Arabic"/>
          <w:sz w:val="28"/>
          <w:szCs w:val="28"/>
        </w:rPr>
        <w:t xml:space="preserve"> (Tornatzky &amp; Fleischer, 1990). </w:t>
      </w:r>
      <w:r w:rsidRPr="00840978">
        <w:rPr>
          <w:rFonts w:ascii="Simplified Arabic" w:hAnsi="Simplified Arabic" w:cs="Simplified Arabic"/>
          <w:sz w:val="28"/>
          <w:szCs w:val="28"/>
          <w:rtl/>
        </w:rPr>
        <w:t>المنظمات التي تتبنى التقنيات الرقمية مبكراً</w:t>
      </w:r>
      <w:r w:rsidRPr="00840978">
        <w:rPr>
          <w:rFonts w:ascii="Simplified Arabic" w:hAnsi="Simplified Arabic" w:cs="Simplified Arabic"/>
          <w:sz w:val="28"/>
          <w:szCs w:val="28"/>
        </w:rPr>
        <w:t xml:space="preserve"> (Early Adopters) </w:t>
      </w:r>
      <w:r w:rsidRPr="00840978">
        <w:rPr>
          <w:rFonts w:ascii="Simplified Arabic" w:hAnsi="Simplified Arabic" w:cs="Simplified Arabic"/>
          <w:sz w:val="28"/>
          <w:szCs w:val="28"/>
          <w:rtl/>
        </w:rPr>
        <w:t>قد تحصل على ميزة الريادة وتحقق أداءً متفوقاً، لكنها تواجه أيضاً مخاطر أكبر</w:t>
      </w:r>
      <w:r w:rsidRPr="00840978">
        <w:rPr>
          <w:rFonts w:ascii="Simplified Arabic" w:hAnsi="Simplified Arabic" w:cs="Simplified Arabic"/>
          <w:sz w:val="28"/>
          <w:szCs w:val="28"/>
        </w:rPr>
        <w:t xml:space="preserve"> (Fichman &amp; Kemerer, 1997). </w:t>
      </w:r>
      <w:r w:rsidRPr="00840978">
        <w:rPr>
          <w:rFonts w:ascii="Simplified Arabic" w:hAnsi="Simplified Arabic" w:cs="Simplified Arabic"/>
          <w:sz w:val="28"/>
          <w:szCs w:val="28"/>
          <w:rtl/>
        </w:rPr>
        <w:t>المنظمات التي تتأخر في التبني قد تتجنب بعض المخاطر لكنها قد تفقد الفرص التنافسية</w:t>
      </w:r>
      <w:r w:rsidRPr="00840978">
        <w:rPr>
          <w:rFonts w:ascii="Simplified Arabic" w:hAnsi="Simplified Arabic" w:cs="Simplified Arabic"/>
          <w:sz w:val="28"/>
          <w:szCs w:val="28"/>
        </w:rPr>
        <w:t xml:space="preserve"> (Lieberman &amp; Montgomery, 1988).</w:t>
      </w:r>
    </w:p>
    <w:p w14:paraId="7DF3BC8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إطار التكنولوجيا-المنظمة-البيئة</w:t>
      </w:r>
      <w:r w:rsidRPr="00840978">
        <w:rPr>
          <w:rFonts w:ascii="Simplified Arabic" w:hAnsi="Simplified Arabic" w:cs="Simplified Arabic"/>
          <w:sz w:val="28"/>
          <w:szCs w:val="28"/>
        </w:rPr>
        <w:t xml:space="preserve"> (Technology-Organization-Environment Framework) </w:t>
      </w:r>
      <w:r w:rsidRPr="00840978">
        <w:rPr>
          <w:rFonts w:ascii="Simplified Arabic" w:hAnsi="Simplified Arabic" w:cs="Simplified Arabic"/>
          <w:sz w:val="28"/>
          <w:szCs w:val="28"/>
          <w:rtl/>
        </w:rPr>
        <w:t>الذي طوره تورناتزكي وفلايشر، والذي يعد امتداداً لنظرية انتشار الابتكار، يشير إلى أن تبني التقنيات يتأثر بثلاثة سياقات هي السياق التكنولوجي (خصائص التقنية)، والسياق التنظيمي (الموارد والحجم والهيكل)، والسياق البيئي (المنافسة واللوائح)</w:t>
      </w:r>
      <w:r w:rsidRPr="00840978">
        <w:rPr>
          <w:rFonts w:ascii="Simplified Arabic" w:hAnsi="Simplified Arabic" w:cs="Simplified Arabic"/>
          <w:sz w:val="28"/>
          <w:szCs w:val="28"/>
        </w:rPr>
        <w:t xml:space="preserve"> (Tornatzky &amp; Fleischer, 1990). </w:t>
      </w:r>
      <w:r w:rsidRPr="00840978">
        <w:rPr>
          <w:rFonts w:ascii="Simplified Arabic" w:hAnsi="Simplified Arabic" w:cs="Simplified Arabic"/>
          <w:sz w:val="28"/>
          <w:szCs w:val="28"/>
          <w:rtl/>
        </w:rPr>
        <w:t>الدراسات التي استخدمت هذا الإطار في سياق التحول الرقمي وجدت أن نجاح التبني والتأثير على الأداء يعتمد على التفاعل بين هذه السياقات الثلاثة</w:t>
      </w:r>
      <w:r w:rsidRPr="00840978">
        <w:rPr>
          <w:rFonts w:ascii="Simplified Arabic" w:hAnsi="Simplified Arabic" w:cs="Simplified Arabic"/>
          <w:sz w:val="28"/>
          <w:szCs w:val="28"/>
        </w:rPr>
        <w:t xml:space="preserve"> (N'Dri &amp; Su, 2024).</w:t>
      </w:r>
    </w:p>
    <w:p w14:paraId="0A94316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نظرية تأثيرات الشبكة</w:t>
      </w:r>
    </w:p>
    <w:p w14:paraId="723721D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تقدم نظرية تأثيرات الشبكة</w:t>
      </w:r>
      <w:r w:rsidRPr="00840978">
        <w:rPr>
          <w:rFonts w:ascii="Simplified Arabic" w:hAnsi="Simplified Arabic" w:cs="Simplified Arabic"/>
          <w:sz w:val="28"/>
          <w:szCs w:val="28"/>
        </w:rPr>
        <w:t xml:space="preserve"> (Network Effects Theory) </w:t>
      </w:r>
      <w:r w:rsidRPr="00840978">
        <w:rPr>
          <w:rFonts w:ascii="Simplified Arabic" w:hAnsi="Simplified Arabic" w:cs="Simplified Arabic"/>
          <w:sz w:val="28"/>
          <w:szCs w:val="28"/>
          <w:rtl/>
        </w:rPr>
        <w:t>تفسيراً مهماً لكيفية تأثير التحول الرقمي على الأداء، خاصة في سياق المنصات الرقمية والأنظمة البيئية الرقمية</w:t>
      </w:r>
      <w:r w:rsidRPr="00840978">
        <w:rPr>
          <w:rFonts w:ascii="Simplified Arabic" w:hAnsi="Simplified Arabic" w:cs="Simplified Arabic"/>
          <w:sz w:val="28"/>
          <w:szCs w:val="28"/>
        </w:rPr>
        <w:t xml:space="preserve"> (Katz &amp; Shapiro, 1985). </w:t>
      </w:r>
      <w:r w:rsidRPr="00840978">
        <w:rPr>
          <w:rFonts w:ascii="Simplified Arabic" w:hAnsi="Simplified Arabic" w:cs="Simplified Arabic"/>
          <w:sz w:val="28"/>
          <w:szCs w:val="28"/>
          <w:rtl/>
        </w:rPr>
        <w:t>تفترض هذه النظرية أن قيمة بعض المنتجات أو الخدمات تزداد مع زيادة عدد المستخدمين، مما يخلق حلقات ردود فعل إيجابية يمكن أن تؤدي إلى نمو سريع وهيمنة على السوق</w:t>
      </w:r>
      <w:r w:rsidRPr="00840978">
        <w:rPr>
          <w:rFonts w:ascii="Simplified Arabic" w:hAnsi="Simplified Arabic" w:cs="Simplified Arabic"/>
          <w:sz w:val="28"/>
          <w:szCs w:val="28"/>
        </w:rPr>
        <w:t xml:space="preserve"> (Shapiro &amp; Varian, 1998).</w:t>
      </w:r>
    </w:p>
    <w:p w14:paraId="481A198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تساعد هذه النظرية على فهم كيف يمكن للمنصات الرقمية والأنظمة البيئية أن تخلق قيمة هائلة وتحقق أداءً استثنائياً</w:t>
      </w:r>
      <w:r w:rsidRPr="00840978">
        <w:rPr>
          <w:rFonts w:ascii="Simplified Arabic" w:hAnsi="Simplified Arabic" w:cs="Simplified Arabic"/>
          <w:sz w:val="28"/>
          <w:szCs w:val="28"/>
        </w:rPr>
        <w:t xml:space="preserve"> (Parker et al., 2016). </w:t>
      </w:r>
      <w:r w:rsidRPr="00840978">
        <w:rPr>
          <w:rFonts w:ascii="Simplified Arabic" w:hAnsi="Simplified Arabic" w:cs="Simplified Arabic"/>
          <w:sz w:val="28"/>
          <w:szCs w:val="28"/>
          <w:rtl/>
        </w:rPr>
        <w:t>الشركات التي تنجح في بناء منصات رقمية ذات تأثيرات شبكة قوية، مثل</w:t>
      </w:r>
      <w:r w:rsidRPr="00840978">
        <w:rPr>
          <w:rFonts w:ascii="Simplified Arabic" w:hAnsi="Simplified Arabic" w:cs="Simplified Arabic"/>
          <w:sz w:val="28"/>
          <w:szCs w:val="28"/>
        </w:rPr>
        <w:t xml:space="preserve"> Amazon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 xml:space="preserve">Alibaba </w:t>
      </w:r>
      <w:r w:rsidRPr="00840978">
        <w:rPr>
          <w:rFonts w:ascii="Simplified Arabic" w:hAnsi="Simplified Arabic" w:cs="Simplified Arabic"/>
          <w:sz w:val="28"/>
          <w:szCs w:val="28"/>
          <w:rtl/>
        </w:rPr>
        <w:t>و</w:t>
      </w:r>
      <w:r w:rsidRPr="00840978">
        <w:rPr>
          <w:rFonts w:ascii="Simplified Arabic" w:hAnsi="Simplified Arabic" w:cs="Simplified Arabic"/>
          <w:sz w:val="28"/>
          <w:szCs w:val="28"/>
        </w:rPr>
        <w:t>Facebook</w:t>
      </w:r>
      <w:r w:rsidRPr="00840978">
        <w:rPr>
          <w:rFonts w:ascii="Simplified Arabic" w:hAnsi="Simplified Arabic" w:cs="Simplified Arabic"/>
          <w:sz w:val="28"/>
          <w:szCs w:val="28"/>
          <w:rtl/>
        </w:rPr>
        <w:t>، تحقق معدلات نمو ومستويات أداء تفوق بكثير الشركات التقليدية</w:t>
      </w:r>
      <w:r w:rsidRPr="00840978">
        <w:rPr>
          <w:rFonts w:ascii="Simplified Arabic" w:hAnsi="Simplified Arabic" w:cs="Simplified Arabic"/>
          <w:sz w:val="28"/>
          <w:szCs w:val="28"/>
        </w:rPr>
        <w:t xml:space="preserve"> (Iansiti &amp; Lakhani, 2020). </w:t>
      </w:r>
      <w:r w:rsidRPr="00840978">
        <w:rPr>
          <w:rFonts w:ascii="Simplified Arabic" w:hAnsi="Simplified Arabic" w:cs="Simplified Arabic"/>
          <w:sz w:val="28"/>
          <w:szCs w:val="28"/>
          <w:rtl/>
        </w:rPr>
        <w:t xml:space="preserve">تأثيرات الشبكة تخلق أيضاً حواجز </w:t>
      </w:r>
      <w:r w:rsidRPr="00840978">
        <w:rPr>
          <w:rFonts w:ascii="Simplified Arabic" w:hAnsi="Simplified Arabic" w:cs="Simplified Arabic"/>
          <w:sz w:val="28"/>
          <w:szCs w:val="28"/>
          <w:rtl/>
        </w:rPr>
        <w:lastRenderedPageBreak/>
        <w:t>دخول عالية وتجعل من الصعب على المنافسين تحدي المنصات السائدة، مما يوفر ميزة تنافسية مستدامة</w:t>
      </w:r>
      <w:r w:rsidRPr="00840978">
        <w:rPr>
          <w:rFonts w:ascii="Simplified Arabic" w:hAnsi="Simplified Arabic" w:cs="Simplified Arabic"/>
          <w:sz w:val="28"/>
          <w:szCs w:val="28"/>
        </w:rPr>
        <w:t xml:space="preserve"> (Eisenmann et al., 2011).</w:t>
      </w:r>
    </w:p>
    <w:p w14:paraId="2C51795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نظرية تكاليف المعاملات</w:t>
      </w:r>
    </w:p>
    <w:p w14:paraId="4CA9457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تقدم نظرية تكاليف المعاملات</w:t>
      </w:r>
      <w:r w:rsidRPr="00840978">
        <w:rPr>
          <w:rFonts w:ascii="Simplified Arabic" w:hAnsi="Simplified Arabic" w:cs="Simplified Arabic"/>
          <w:sz w:val="28"/>
          <w:szCs w:val="28"/>
        </w:rPr>
        <w:t xml:space="preserve"> (Transaction Cost Economics) </w:t>
      </w:r>
      <w:r w:rsidRPr="00840978">
        <w:rPr>
          <w:rFonts w:ascii="Simplified Arabic" w:hAnsi="Simplified Arabic" w:cs="Simplified Arabic"/>
          <w:sz w:val="28"/>
          <w:szCs w:val="28"/>
          <w:rtl/>
        </w:rPr>
        <w:t>منظوراً مفيداً لفهم كيف يمكن للتحول الرقمي أن يحسن الأداء من خلال تقليل تكاليف التنسيق والمعاملات</w:t>
      </w:r>
      <w:r w:rsidRPr="00840978">
        <w:rPr>
          <w:rFonts w:ascii="Simplified Arabic" w:hAnsi="Simplified Arabic" w:cs="Simplified Arabic"/>
          <w:sz w:val="28"/>
          <w:szCs w:val="28"/>
        </w:rPr>
        <w:t xml:space="preserve"> (Williamson, 1985). </w:t>
      </w:r>
      <w:r w:rsidRPr="00840978">
        <w:rPr>
          <w:rFonts w:ascii="Simplified Arabic" w:hAnsi="Simplified Arabic" w:cs="Simplified Arabic"/>
          <w:sz w:val="28"/>
          <w:szCs w:val="28"/>
          <w:rtl/>
        </w:rPr>
        <w:t>وفقاً لهذه النظرية، المنظمات تختار هياكل الحوكمة (السوق، أو الهرمية، أو الهجينة) بناءً على تكاليف المعاملات المرتبطة بكل خيار</w:t>
      </w:r>
      <w:r w:rsidRPr="00840978">
        <w:rPr>
          <w:rFonts w:ascii="Simplified Arabic" w:hAnsi="Simplified Arabic" w:cs="Simplified Arabic"/>
          <w:sz w:val="28"/>
          <w:szCs w:val="28"/>
        </w:rPr>
        <w:t xml:space="preserve"> (Coase, 1937).</w:t>
      </w:r>
    </w:p>
    <w:p w14:paraId="14DAC2EB"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سياق التحول الرقمي، التقنيات الرقمية يمكن أن تقلل بشكل كبير من تكاليف البحث والمعلومات والتفاوض والتنسيق والرقابة، مما يمكّن المنظمات من تبني هياكل حوكمة أكثر كفاءة والانخراط في تعاون أوسع مع شركاء خارجيين</w:t>
      </w:r>
      <w:r w:rsidRPr="00840978">
        <w:rPr>
          <w:rFonts w:ascii="Simplified Arabic" w:hAnsi="Simplified Arabic" w:cs="Simplified Arabic"/>
          <w:sz w:val="28"/>
          <w:szCs w:val="28"/>
        </w:rPr>
        <w:t xml:space="preserve"> (Malone et al., 1987). </w:t>
      </w:r>
      <w:r w:rsidRPr="00840978">
        <w:rPr>
          <w:rFonts w:ascii="Simplified Arabic" w:hAnsi="Simplified Arabic" w:cs="Simplified Arabic"/>
          <w:sz w:val="28"/>
          <w:szCs w:val="28"/>
          <w:rtl/>
        </w:rPr>
        <w:t>على سبيل المثال، تقنيات مثل البلوكتشين والعقود الذكية يمكن أن تقلل من الحاجة إلى الوسطاء وتكاليف التحقق والإنفاذ، مما يحسن الكفاءة والأداء</w:t>
      </w:r>
      <w:r w:rsidRPr="00840978">
        <w:rPr>
          <w:rFonts w:ascii="Simplified Arabic" w:hAnsi="Simplified Arabic" w:cs="Simplified Arabic"/>
          <w:sz w:val="28"/>
          <w:szCs w:val="28"/>
        </w:rPr>
        <w:t xml:space="preserve"> (Iansiti &amp; Lakhani, 2017).</w:t>
      </w:r>
    </w:p>
    <w:p w14:paraId="27747F4C"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هذه الأطر النظرية المتعددة توفر عدسات مختلفة ومكملة لفهم العلاقة المعقدة بين التحول الرقمي والأداء التنظيمي، وتساعد على تفسير الآليات والمسارات المختلفة التي يمكن من خلالها للتحول الرقمي أن يؤثر على الأداء</w:t>
      </w:r>
      <w:r w:rsidRPr="00840978">
        <w:rPr>
          <w:rFonts w:ascii="Simplified Arabic" w:hAnsi="Simplified Arabic" w:cs="Simplified Arabic"/>
          <w:sz w:val="28"/>
          <w:szCs w:val="28"/>
        </w:rPr>
        <w:t>.</w:t>
      </w:r>
    </w:p>
    <w:p w14:paraId="3B445CDA" w14:textId="77777777" w:rsidR="00840978" w:rsidRPr="00840978" w:rsidRDefault="00840978" w:rsidP="000126FF">
      <w:pPr>
        <w:pStyle w:val="Heading3"/>
      </w:pPr>
      <w:bookmarkStart w:id="22" w:name="_Toc214041808"/>
      <w:r w:rsidRPr="00840978">
        <w:t xml:space="preserve">2.3.2 </w:t>
      </w:r>
      <w:r w:rsidRPr="00840978">
        <w:rPr>
          <w:rtl/>
        </w:rPr>
        <w:t>الدراسات السابقة حول العلاقة بين التحول الرقمي والأداء</w:t>
      </w:r>
      <w:bookmarkEnd w:id="22"/>
    </w:p>
    <w:p w14:paraId="48AAF3A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شهدت السنوات الأخيرة اهتماماً بحثياً متزايداً بدراسة العلاقة بين التحول الرقمي والأداء التنظيمي، مع تراكم عدد كبير من الدراسات النظرية والتجريبية التي استكشفت مختلف جوانب هذه العلاقة. في هذا القسم، نستعرض أهم الدراسات السابقة، مع التمييز بين الدراسات الأجنبية والعربية</w:t>
      </w:r>
      <w:r w:rsidRPr="00840978">
        <w:rPr>
          <w:rFonts w:ascii="Simplified Arabic" w:hAnsi="Simplified Arabic" w:cs="Simplified Arabic"/>
          <w:sz w:val="28"/>
          <w:szCs w:val="28"/>
        </w:rPr>
        <w:t>.</w:t>
      </w:r>
    </w:p>
    <w:p w14:paraId="6152536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الدراسات الأجنبية</w:t>
      </w:r>
    </w:p>
    <w:p w14:paraId="2E56EC1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في واحدة من الدراسات الرائدة في هذا المجال، قام فيال</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بمراجعة شاملة لأدبيات التحول الرقمي من خلال تحليل 282 دراسة، وطور إطاراً نظرياً متكاملاً يصور التحول الرقمي كعملية تبدأ بالاضطرابات الرقمية في البيئة الخارجية وتتطلب استجابات استراتيجية من المنظمات وتنطوي على تغييرات هيكلية وتنظيمية وتؤدي إلى نتائج إيجابية وسلبية على الأداء. توصلت المراجعة إلى أن التحول الرقمي يمكن أن يحسن الأداء من خلال عدة مسارات تشمل تحسين الكفاءة التشغيلية وابتكار المنتجات والخدمات وتحسين تجربة العملاء وتطوير نماذج أعمال جديدة، لكنه يطرح أيضاً تحديات كبيرة تتعلق بالمقاومة التنظيمية ونقص المهارات والأمن السيبراني</w:t>
      </w:r>
      <w:r w:rsidRPr="00840978">
        <w:rPr>
          <w:rFonts w:ascii="Simplified Arabic" w:hAnsi="Simplified Arabic" w:cs="Simplified Arabic"/>
          <w:sz w:val="28"/>
          <w:szCs w:val="28"/>
        </w:rPr>
        <w:t>.</w:t>
      </w:r>
    </w:p>
    <w:p w14:paraId="57ACEFD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ويستيرمان وزملائه</w:t>
      </w:r>
      <w:r w:rsidRPr="00840978">
        <w:rPr>
          <w:rFonts w:ascii="Simplified Arabic" w:hAnsi="Simplified Arabic" w:cs="Simplified Arabic"/>
          <w:sz w:val="28"/>
          <w:szCs w:val="28"/>
        </w:rPr>
        <w:t xml:space="preserve"> (Westerman et al., 2014) </w:t>
      </w:r>
      <w:r w:rsidRPr="00840978">
        <w:rPr>
          <w:rFonts w:ascii="Simplified Arabic" w:hAnsi="Simplified Arabic" w:cs="Simplified Arabic"/>
          <w:sz w:val="28"/>
          <w:szCs w:val="28"/>
          <w:rtl/>
        </w:rPr>
        <w:t xml:space="preserve">التي شملت أكثر من 400 شركة كبرى حول </w:t>
      </w:r>
      <w:r w:rsidRPr="00840978">
        <w:rPr>
          <w:rFonts w:ascii="Simplified Arabic" w:hAnsi="Simplified Arabic" w:cs="Simplified Arabic"/>
          <w:sz w:val="28"/>
          <w:szCs w:val="28"/>
          <w:rtl/>
        </w:rPr>
        <w:lastRenderedPageBreak/>
        <w:t>العالم، وجدت أن الشركات التي سمتها الدراسة بـ "القادة الرقميين</w:t>
      </w:r>
      <w:r w:rsidRPr="00840978">
        <w:rPr>
          <w:rFonts w:ascii="Simplified Arabic" w:hAnsi="Simplified Arabic" w:cs="Simplified Arabic"/>
          <w:sz w:val="28"/>
          <w:szCs w:val="28"/>
        </w:rPr>
        <w:t xml:space="preserve">" (Digital Masters) - </w:t>
      </w:r>
      <w:r w:rsidRPr="00840978">
        <w:rPr>
          <w:rFonts w:ascii="Simplified Arabic" w:hAnsi="Simplified Arabic" w:cs="Simplified Arabic"/>
          <w:sz w:val="28"/>
          <w:szCs w:val="28"/>
          <w:rtl/>
        </w:rPr>
        <w:t>أي تلك التي تتفوق في كل من القدرات الرقمية والقيادية - حققت أداءً مالياً أفضل بنسبة 26% في المتوسط مقارنة بمنافسيها. كما وجدت الدراسة أن التحول الرقمي الناجح يتطلب تكاملاً بين بناء القدرات الرقمية وقيادة التغيير التنظيمي، وأن امتلاك التكنولوجيا وحدها دون القدرة على إدارة التغيير لا يكفي لتحقيق تحسينات ملموسة في الأداء</w:t>
      </w:r>
      <w:r w:rsidRPr="00840978">
        <w:rPr>
          <w:rFonts w:ascii="Simplified Arabic" w:hAnsi="Simplified Arabic" w:cs="Simplified Arabic"/>
          <w:sz w:val="28"/>
          <w:szCs w:val="28"/>
        </w:rPr>
        <w:t>.</w:t>
      </w:r>
    </w:p>
    <w:p w14:paraId="207B27F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فيرهوف وزملائه</w:t>
      </w:r>
      <w:r w:rsidRPr="00840978">
        <w:rPr>
          <w:rFonts w:ascii="Simplified Arabic" w:hAnsi="Simplified Arabic" w:cs="Simplified Arabic"/>
          <w:sz w:val="28"/>
          <w:szCs w:val="28"/>
        </w:rPr>
        <w:t xml:space="preserve"> (Verhoef et al., 2021) </w:t>
      </w:r>
      <w:r w:rsidRPr="00840978">
        <w:rPr>
          <w:rFonts w:ascii="Simplified Arabic" w:hAnsi="Simplified Arabic" w:cs="Simplified Arabic"/>
          <w:sz w:val="28"/>
          <w:szCs w:val="28"/>
          <w:rtl/>
        </w:rPr>
        <w:t>قدمت مراجعة متعددة التخصصات للتحول الرقمي، مؤكدة على أن التحول الرقمي يؤثر على الأداء من خلال ثلاثة مسارات رئيسية هي تغيير نطاق الأعمال من خلال إضافة منتجات وخدمات وأنشطة رقمية جديدة، وتغيير سلاسل القيمة من خلال إعادة تصميم العمليات والشراكات، وتغيير القيمة المقترحة من خلال تحسين تجربة العملاء وتخصيص العروض. أكدت الدراسة على أهمية التركيز على العملاء كمحور للتحول الرقمي وربط المبادرات الرقمية بتحسين تجربة العملاء</w:t>
      </w:r>
      <w:r w:rsidRPr="00840978">
        <w:rPr>
          <w:rFonts w:ascii="Simplified Arabic" w:hAnsi="Simplified Arabic" w:cs="Simplified Arabic"/>
          <w:sz w:val="28"/>
          <w:szCs w:val="28"/>
        </w:rPr>
        <w:t>.</w:t>
      </w:r>
    </w:p>
    <w:p w14:paraId="2FB8DC1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شواربو وزملائه</w:t>
      </w:r>
      <w:r w:rsidRPr="00840978">
        <w:rPr>
          <w:rFonts w:ascii="Simplified Arabic" w:hAnsi="Simplified Arabic" w:cs="Simplified Arabic"/>
          <w:sz w:val="28"/>
          <w:szCs w:val="28"/>
        </w:rPr>
        <w:t xml:space="preserve"> (Chouaibi et al., 2022) </w:t>
      </w:r>
      <w:r w:rsidRPr="00840978">
        <w:rPr>
          <w:rFonts w:ascii="Simplified Arabic" w:hAnsi="Simplified Arabic" w:cs="Simplified Arabic"/>
          <w:sz w:val="28"/>
          <w:szCs w:val="28"/>
          <w:rtl/>
        </w:rPr>
        <w:t>التي أجريت على 156 شركة تونسية، استكشفت التأثير المحتمل المحفوف بالمخاطر للتحول الرقمي على الأداء التنظيمي. وجدت الدراسة أن التحول الرقمي له تأثير إيجابي على الأداء بشكل عام، لكن هذا التأثير يعتمد على عدة عوامل معدلة مثل القدرات الاستيعابية للمنظمة ومستوى نضج التحول الرقمي. كما وجدت الدراسة أن التحول الرقمي غير المدروس أو السريع جداً يمكن أن يكون له تأثيرات سلبية على الأداء في المدى القصير بسبب تكاليف التعطيل وصعوبات التكيف</w:t>
      </w:r>
      <w:r w:rsidRPr="00840978">
        <w:rPr>
          <w:rFonts w:ascii="Simplified Arabic" w:hAnsi="Simplified Arabic" w:cs="Simplified Arabic"/>
          <w:sz w:val="28"/>
          <w:szCs w:val="28"/>
        </w:rPr>
        <w:t>.</w:t>
      </w:r>
    </w:p>
    <w:p w14:paraId="61DF278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لو وزملائه</w:t>
      </w:r>
      <w:r w:rsidRPr="00840978">
        <w:rPr>
          <w:rFonts w:ascii="Simplified Arabic" w:hAnsi="Simplified Arabic" w:cs="Simplified Arabic"/>
          <w:sz w:val="28"/>
          <w:szCs w:val="28"/>
        </w:rPr>
        <w:t xml:space="preserve"> (Luo et al., 2025) </w:t>
      </w:r>
      <w:r w:rsidRPr="00840978">
        <w:rPr>
          <w:rFonts w:ascii="Simplified Arabic" w:hAnsi="Simplified Arabic" w:cs="Simplified Arabic"/>
          <w:sz w:val="28"/>
          <w:szCs w:val="28"/>
          <w:rtl/>
        </w:rPr>
        <w:t>استخدمت منهجية التحليل النوعي المقارن</w:t>
      </w:r>
      <w:r w:rsidRPr="00840978">
        <w:rPr>
          <w:rFonts w:ascii="Simplified Arabic" w:hAnsi="Simplified Arabic" w:cs="Simplified Arabic"/>
          <w:sz w:val="28"/>
          <w:szCs w:val="28"/>
        </w:rPr>
        <w:t xml:space="preserve"> (fsQCA) </w:t>
      </w:r>
      <w:r w:rsidRPr="00840978">
        <w:rPr>
          <w:rFonts w:ascii="Simplified Arabic" w:hAnsi="Simplified Arabic" w:cs="Simplified Arabic"/>
          <w:sz w:val="28"/>
          <w:szCs w:val="28"/>
          <w:rtl/>
        </w:rPr>
        <w:t>لدراسة كيفية تأثير أبعاد التحول الرقمي المختلفة على الأداء المستدام للمنظمات الزراعية. توصلت الدراسة إلى أن التحول الرقمي يمكن أن يحسن كل من الأداء الاقتصادي والبيئي، لكن التكوينات المثلى لأبعاد التحول الرقمي تختلف باختلاف السياق التنظيمي والبيئي. أكدت الدراسة على أهمية تبني نهج تكويني</w:t>
      </w:r>
      <w:r w:rsidRPr="00840978">
        <w:rPr>
          <w:rFonts w:ascii="Simplified Arabic" w:hAnsi="Simplified Arabic" w:cs="Simplified Arabic"/>
          <w:sz w:val="28"/>
          <w:szCs w:val="28"/>
        </w:rPr>
        <w:t xml:space="preserve"> (configurational) </w:t>
      </w:r>
      <w:r w:rsidRPr="00840978">
        <w:rPr>
          <w:rFonts w:ascii="Simplified Arabic" w:hAnsi="Simplified Arabic" w:cs="Simplified Arabic"/>
          <w:sz w:val="28"/>
          <w:szCs w:val="28"/>
          <w:rtl/>
        </w:rPr>
        <w:t>بدلاً من النهج الخطي البسيط في فهم تأثير التحول الرقمي على الأداء</w:t>
      </w:r>
      <w:r w:rsidRPr="00840978">
        <w:rPr>
          <w:rFonts w:ascii="Simplified Arabic" w:hAnsi="Simplified Arabic" w:cs="Simplified Arabic"/>
          <w:sz w:val="28"/>
          <w:szCs w:val="28"/>
        </w:rPr>
        <w:t>.</w:t>
      </w:r>
    </w:p>
    <w:p w14:paraId="48FC5E7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ميكاليف وجوبتا</w:t>
      </w:r>
      <w:r w:rsidRPr="00840978">
        <w:rPr>
          <w:rFonts w:ascii="Simplified Arabic" w:hAnsi="Simplified Arabic" w:cs="Simplified Arabic"/>
          <w:sz w:val="28"/>
          <w:szCs w:val="28"/>
        </w:rPr>
        <w:t xml:space="preserve"> (Mikalef &amp; Gupta, 2021) </w:t>
      </w:r>
      <w:r w:rsidRPr="00840978">
        <w:rPr>
          <w:rFonts w:ascii="Simplified Arabic" w:hAnsi="Simplified Arabic" w:cs="Simplified Arabic"/>
          <w:sz w:val="28"/>
          <w:szCs w:val="28"/>
          <w:rtl/>
        </w:rPr>
        <w:t>حول قدرات الذكاء الاصطناعي، وجدت أن المنظمات التي تطور قدرات قوية في مجال الذكاء الاصطناعي - والتي تشمل البنية التحتية والمواهب والثقافة - تحقق تحسينات كبيرة في الإبداع التنظيمي والأداء المؤسسي. أكدت الدراسة على أن القيمة الحقيقية للذكاء الاصطناعي لا تأتي من التكنولوجيا نفسها بل من القدرة التنظيمية على استغلالها بفعالية</w:t>
      </w:r>
      <w:r w:rsidRPr="00840978">
        <w:rPr>
          <w:rFonts w:ascii="Simplified Arabic" w:hAnsi="Simplified Arabic" w:cs="Simplified Arabic"/>
          <w:sz w:val="28"/>
          <w:szCs w:val="28"/>
        </w:rPr>
        <w:t>.</w:t>
      </w:r>
    </w:p>
    <w:p w14:paraId="14C05E0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وامبا وزملائه</w:t>
      </w:r>
      <w:r w:rsidRPr="00840978">
        <w:rPr>
          <w:rFonts w:ascii="Simplified Arabic" w:hAnsi="Simplified Arabic" w:cs="Simplified Arabic"/>
          <w:sz w:val="28"/>
          <w:szCs w:val="28"/>
        </w:rPr>
        <w:t xml:space="preserve"> (Wamba et al., 2017) </w:t>
      </w:r>
      <w:r w:rsidRPr="00840978">
        <w:rPr>
          <w:rFonts w:ascii="Simplified Arabic" w:hAnsi="Simplified Arabic" w:cs="Simplified Arabic"/>
          <w:sz w:val="28"/>
          <w:szCs w:val="28"/>
          <w:rtl/>
        </w:rPr>
        <w:t xml:space="preserve">حول تأثير قدرات البيانات الضخمة على الأداء، توصلت إلى أن المنظمات التي تطور قدرات تحليلية قوية تحقق تحسينات ملموسة في الأداء المالي والتشغيلي. وجدت الدراسة أن تأثير البيانات الضخمة على الأداء يتوسطه تطوير قدرات تحليلية وثقافة تنظيمية موجهة نحو </w:t>
      </w:r>
      <w:r w:rsidRPr="00840978">
        <w:rPr>
          <w:rFonts w:ascii="Simplified Arabic" w:hAnsi="Simplified Arabic" w:cs="Simplified Arabic"/>
          <w:sz w:val="28"/>
          <w:szCs w:val="28"/>
          <w:rtl/>
        </w:rPr>
        <w:lastRenderedPageBreak/>
        <w:t>البيانات</w:t>
      </w:r>
      <w:r w:rsidRPr="00840978">
        <w:rPr>
          <w:rFonts w:ascii="Simplified Arabic" w:hAnsi="Simplified Arabic" w:cs="Simplified Arabic"/>
          <w:sz w:val="28"/>
          <w:szCs w:val="28"/>
        </w:rPr>
        <w:t>.</w:t>
      </w:r>
    </w:p>
    <w:p w14:paraId="32E352B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وارنر وفاجر</w:t>
      </w:r>
      <w:r w:rsidRPr="00840978">
        <w:rPr>
          <w:rFonts w:ascii="Simplified Arabic" w:hAnsi="Simplified Arabic" w:cs="Simplified Arabic"/>
          <w:sz w:val="28"/>
          <w:szCs w:val="28"/>
        </w:rPr>
        <w:t xml:space="preserve"> (Warner &amp; Wäger, 2019) </w:t>
      </w:r>
      <w:r w:rsidRPr="00840978">
        <w:rPr>
          <w:rFonts w:ascii="Simplified Arabic" w:hAnsi="Simplified Arabic" w:cs="Simplified Arabic"/>
          <w:sz w:val="28"/>
          <w:szCs w:val="28"/>
          <w:rtl/>
        </w:rPr>
        <w:t>التي استكشفت بناء القدرات الديناميكية للتحول الرقمي، وجدت أن التحول الرقمي يعزز القدرات الديناميكية للمنظمات من خلال تحسين قدرات الاستشعار والاستجابة وإعادة التشكيل، وأن هذه القدرات المعززة تؤدي بدورها إلى تحسين الأداء التنظيمي والميزة التنافسية</w:t>
      </w:r>
      <w:r w:rsidRPr="00840978">
        <w:rPr>
          <w:rFonts w:ascii="Simplified Arabic" w:hAnsi="Simplified Arabic" w:cs="Simplified Arabic"/>
          <w:sz w:val="28"/>
          <w:szCs w:val="28"/>
        </w:rPr>
        <w:t>.</w:t>
      </w:r>
    </w:p>
    <w:p w14:paraId="55E8DDB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سيفرت وزملائه</w:t>
      </w:r>
      <w:r w:rsidRPr="00840978">
        <w:rPr>
          <w:rFonts w:ascii="Simplified Arabic" w:hAnsi="Simplified Arabic" w:cs="Simplified Arabic"/>
          <w:sz w:val="28"/>
          <w:szCs w:val="28"/>
        </w:rPr>
        <w:t xml:space="preserve"> (Cyfert et al., 2025) </w:t>
      </w:r>
      <w:r w:rsidRPr="00840978">
        <w:rPr>
          <w:rFonts w:ascii="Simplified Arabic" w:hAnsi="Simplified Arabic" w:cs="Simplified Arabic"/>
          <w:sz w:val="28"/>
          <w:szCs w:val="28"/>
          <w:rtl/>
        </w:rPr>
        <w:t>حول الجاهزية للتحول الرقمي، أكدت على أهمية العوامل الناعمة (الثقافة التنظيمية والقيادة والكفاءات) في نجاح التحول الرقمي وتأثيره على الأداء. وجدت الدراسة أن التركيز المفرط على التكنولوجيا دون الاهتمام بالعوامل الناعمة يؤدي إلى فشل مبادرات التحول الرقمي وعدم تحقيق التحسينات المتوقعة في الأداء</w:t>
      </w:r>
      <w:r w:rsidRPr="00840978">
        <w:rPr>
          <w:rFonts w:ascii="Simplified Arabic" w:hAnsi="Simplified Arabic" w:cs="Simplified Arabic"/>
          <w:sz w:val="28"/>
          <w:szCs w:val="28"/>
        </w:rPr>
        <w:t>.</w:t>
      </w:r>
    </w:p>
    <w:p w14:paraId="618FA2C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هانيلت وزملائه</w:t>
      </w:r>
      <w:r w:rsidRPr="00840978">
        <w:rPr>
          <w:rFonts w:ascii="Simplified Arabic" w:hAnsi="Simplified Arabic" w:cs="Simplified Arabic"/>
          <w:sz w:val="28"/>
          <w:szCs w:val="28"/>
        </w:rPr>
        <w:t xml:space="preserve"> (Hanelt et al., 2021) </w:t>
      </w:r>
      <w:r w:rsidRPr="00840978">
        <w:rPr>
          <w:rFonts w:ascii="Simplified Arabic" w:hAnsi="Simplified Arabic" w:cs="Simplified Arabic"/>
          <w:sz w:val="28"/>
          <w:szCs w:val="28"/>
          <w:rtl/>
        </w:rPr>
        <w:t>التي قدمت مراجعة منهجية لأدبيات التحول الرقمي، خلصت إلى أن التحول الرقمي يؤثر على الأداء من خلال تعزيز المرونة التنظيمية والقدرة على الابتكار وتحسين اتخاذ القرارات المبنية على البيانات. أكدت الدراسة على أن التحول الرقمي عملية معقدة ومتعددة الأبعاد تتطلب تغييرات شاملة في الاستراتيجية والهيكل والثقافة والعمليات</w:t>
      </w:r>
      <w:r w:rsidRPr="00840978">
        <w:rPr>
          <w:rFonts w:ascii="Simplified Arabic" w:hAnsi="Simplified Arabic" w:cs="Simplified Arabic"/>
          <w:sz w:val="28"/>
          <w:szCs w:val="28"/>
        </w:rPr>
        <w:t>.</w:t>
      </w:r>
    </w:p>
    <w:p w14:paraId="5E63B30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شاو وزملائه</w:t>
      </w:r>
      <w:r w:rsidRPr="00840978">
        <w:rPr>
          <w:rFonts w:ascii="Simplified Arabic" w:hAnsi="Simplified Arabic" w:cs="Simplified Arabic"/>
          <w:sz w:val="28"/>
          <w:szCs w:val="28"/>
        </w:rPr>
        <w:t xml:space="preserve"> (Shao et al., 2025) </w:t>
      </w:r>
      <w:r w:rsidRPr="00840978">
        <w:rPr>
          <w:rFonts w:ascii="Simplified Arabic" w:hAnsi="Simplified Arabic" w:cs="Simplified Arabic"/>
          <w:sz w:val="28"/>
          <w:szCs w:val="28"/>
          <w:rtl/>
        </w:rPr>
        <w:t>حول العوامل المؤثرة في التحول الرقمي للشركات الصغيرة والمتوسطة في الصين، وجدت أن البنية التحتية الرقمية والقدرة على الابتكار التكنولوجي والمواهب الرقمية والضغط التنافسي في السوق تمثل شروطاً ضرورية لنجاح التحول الرقمي. كما وجدت الدراسة أن تأثير التحول الرقمي على الأداء يكون أقوى في الشركات الصغيرة والمتوسطة التي تعمل في بيئات تنافسية شديدة</w:t>
      </w:r>
      <w:r w:rsidRPr="00840978">
        <w:rPr>
          <w:rFonts w:ascii="Simplified Arabic" w:hAnsi="Simplified Arabic" w:cs="Simplified Arabic"/>
          <w:sz w:val="28"/>
          <w:szCs w:val="28"/>
        </w:rPr>
        <w:t>.</w:t>
      </w:r>
    </w:p>
    <w:p w14:paraId="31D92456"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الدراسات العربية</w:t>
      </w:r>
    </w:p>
    <w:p w14:paraId="7253C19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على الرغم من الاهتمام المتزايد بموضوع التحول الرقمي في المنطقة العربية، إلا أن الدراسات الأكاديمية التطبيقية حول تأثير التحول الرقمي على أداء الشركات العربية لا تزال محدودة نسبياً مقارنة بالدراسات الأجنبية</w:t>
      </w:r>
      <w:r w:rsidRPr="00840978">
        <w:rPr>
          <w:rFonts w:ascii="Simplified Arabic" w:hAnsi="Simplified Arabic" w:cs="Simplified Arabic"/>
          <w:sz w:val="28"/>
          <w:szCs w:val="28"/>
        </w:rPr>
        <w:t>.</w:t>
      </w:r>
    </w:p>
    <w:p w14:paraId="1235DF1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العتيبي (2021) التي أجريت على عينة من الشركات السعودية في القطاع الصناعي، بحثت في تأثير التحول الرقمي على الأداء التشغيلي. توصلت الدراسة إلى وجود تأثير إيجابي ودال إحصائياً للتحول الرقمي على مؤشرات الكفاءة التشغيلية والإنتاجية، وأن هذا التأثير يتوسطه تحسين إدارة سلسلة التوريد وأتمتة العمليات. أوصت الدراسة بضرورة تطوير استراتيجيات واضحة للتحول الرقمي مع التركيز على بناء القدرات البشرية اللازمة</w:t>
      </w:r>
      <w:r w:rsidRPr="00840978">
        <w:rPr>
          <w:rFonts w:ascii="Simplified Arabic" w:hAnsi="Simplified Arabic" w:cs="Simplified Arabic"/>
          <w:sz w:val="28"/>
          <w:szCs w:val="28"/>
        </w:rPr>
        <w:t>.</w:t>
      </w:r>
    </w:p>
    <w:p w14:paraId="37BB981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 xml:space="preserve">دراسة الشمري والدوسري (2022) التي استهدفت البنوك الكويتية، استكشفت العلاقة بين التحول الرقمي ورضا العملاء والأداء المالي. وجدت الدراسة أن تبني الخدمات المصرفية الرقمية يحسن رضا العملاء بشكل كبير، وأن هذا التحسين في رضا العملاء يترجم إلى تحسينات في الأداء المالي من خلال زيادة الاحتفاظ </w:t>
      </w:r>
      <w:r w:rsidRPr="00840978">
        <w:rPr>
          <w:rFonts w:ascii="Simplified Arabic" w:hAnsi="Simplified Arabic" w:cs="Simplified Arabic"/>
          <w:sz w:val="28"/>
          <w:szCs w:val="28"/>
          <w:rtl/>
        </w:rPr>
        <w:lastRenderedPageBreak/>
        <w:t>بالعملاء وجذب عملاء جدد. أكدت الدراسة على أهمية جودة التجربة الرقمية وأمن المعلومات كعوامل حاسمة في نجاح التحول الرقمي في القطاع المصرفي</w:t>
      </w:r>
      <w:r w:rsidRPr="00840978">
        <w:rPr>
          <w:rFonts w:ascii="Simplified Arabic" w:hAnsi="Simplified Arabic" w:cs="Simplified Arabic"/>
          <w:sz w:val="28"/>
          <w:szCs w:val="28"/>
        </w:rPr>
        <w:t>.</w:t>
      </w:r>
    </w:p>
    <w:p w14:paraId="32C5BEE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أبو النصر (2023) التي أجريت على شركات الاتصالات في مصر، بحثت في دور التحول الرقمي في تعزيز الميزة التنافسية وتحسين الأداء المؤسسي. توصلت الدراسة إلى أن الاستثمار في البنية التحتية الرقمية وتطوير الخدمات الرقمية المبتكرة يساهم بشكل كبير في تعزيز المركز التنافسي للشركات وتحسين أدائها المالي والتشغيلي. أوصت الدراسة بضرورة تبني نهج شامل للتحول الرقمي يشمل التكنولوجيا والعمليات والثقافة والموارد البشرية</w:t>
      </w:r>
      <w:r w:rsidRPr="00840978">
        <w:rPr>
          <w:rFonts w:ascii="Simplified Arabic" w:hAnsi="Simplified Arabic" w:cs="Simplified Arabic"/>
          <w:sz w:val="28"/>
          <w:szCs w:val="28"/>
        </w:rPr>
        <w:t>.</w:t>
      </w:r>
    </w:p>
    <w:p w14:paraId="6739B85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الزعبي (2023) على الشركات الصناعية الأردنية، استكشفت تأثير أبعاد التحول الرقمي المختلفة (البنية التحتية الرقمية، والقدرات الرقمية، والثقافة الرقمية) على أبعاد الأداء التنظيمي (المالي والتشغيلي والابتكاري). توصلت الدراسة إلى وجود تأثير إيجابي لجميع أبعاد التحول الرقمي على جميع أبعاد الأداء، مع تفاوت في قوة هذا التأثير. أكدت الدراسة على أهمية بناء ثقافة تنظيمية داعمة للتحول الرقمي كعامل حاسم في تحقيق الفوائد المرجوة</w:t>
      </w:r>
      <w:r w:rsidRPr="00840978">
        <w:rPr>
          <w:rFonts w:ascii="Simplified Arabic" w:hAnsi="Simplified Arabic" w:cs="Simplified Arabic"/>
          <w:sz w:val="28"/>
          <w:szCs w:val="28"/>
        </w:rPr>
        <w:t>.</w:t>
      </w:r>
    </w:p>
    <w:p w14:paraId="2C62280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المطيري (2024) التي أجريت على الشركات العائلية في دول مجلس التعاون الخليجي، بحثت في التحديات والفرص التي يطرحها التحول الرقمي لهذا النوع من الشركات وتأثيره على أدائها. وجدت الدراسة أن الشركات العائلية تواجه تحديات خاصة في التحول الرقمي تتعلق بالمقاومة الثقافية والحوكمة والتخطيط للخلافة، لكن تلك التي تنجح في التغلب على هذه التحديات تحقق تحسينات كبيرة في الأداء والاستدامة. أوصت الدراسة بضرورة إشراك الجيل الشاب المتعلم تكنولوجياً في قيادة التحول الرقمي</w:t>
      </w:r>
      <w:r w:rsidRPr="00840978">
        <w:rPr>
          <w:rFonts w:ascii="Simplified Arabic" w:hAnsi="Simplified Arabic" w:cs="Simplified Arabic"/>
          <w:sz w:val="28"/>
          <w:szCs w:val="28"/>
        </w:rPr>
        <w:t>.</w:t>
      </w:r>
    </w:p>
    <w:p w14:paraId="4CA5FAB1"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الحربي (2024) على شركات القطاع الخاص في السعودية، استخدمت نموذج المعادلات الهيكلية لاختبار العلاقات المعقدة بين أبعاد التحول الرقمي والأداء التنظيمي. توصلت الدراسة إلى أن التأثير الإيجابي للتحول الرقمي على الأداء يتوسطه الابتكار التنظيمي والمرونة الاستراتيجية، وأن الثقافة التنظيمية الداعمة تعدل هذه العلاقة. أكدت الدراسة على أهمية النظر إلى التحول الرقمي كمنظومة متكاملة وليس كمشاريع تقنية منفصلة</w:t>
      </w:r>
      <w:r w:rsidRPr="00840978">
        <w:rPr>
          <w:rFonts w:ascii="Simplified Arabic" w:hAnsi="Simplified Arabic" w:cs="Simplified Arabic"/>
          <w:sz w:val="28"/>
          <w:szCs w:val="28"/>
        </w:rPr>
        <w:t>.</w:t>
      </w:r>
    </w:p>
    <w:p w14:paraId="168F3EF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دراسة القحطاني والعمري (2024) التي استهدفت الشركات الصغيرة والمتوسطة في الإمارات، بحثت في العوامل المحفزة والمعيقة للتحول الرقمي وتأثيره على الأداء والنمو. وجدت الدراسة أن التحول الرقمي يمكّن الشركات الصغيرة والمتوسطة من التغلب على محدودية الموارد والوصول إلى أسواق أوسع وتحسين كفاءتها التشغيلية، لكنها تواجه تحديات كبيرة تتعلق بالتمويل والمهارات الرقمية. أوصت الدراسة بضرورة توفير دعم حكومي ومؤسسي للشركات الصغيرة والمتوسطة في رحلة التحول الرقمي</w:t>
      </w:r>
      <w:r w:rsidRPr="00840978">
        <w:rPr>
          <w:rFonts w:ascii="Simplified Arabic" w:hAnsi="Simplified Arabic" w:cs="Simplified Arabic"/>
          <w:sz w:val="28"/>
          <w:szCs w:val="28"/>
        </w:rPr>
        <w:t>.</w:t>
      </w:r>
    </w:p>
    <w:p w14:paraId="106EEAA3" w14:textId="77777777" w:rsidR="00840978" w:rsidRPr="00840978" w:rsidRDefault="00840978" w:rsidP="000126FF">
      <w:pPr>
        <w:pStyle w:val="Heading3"/>
      </w:pPr>
      <w:bookmarkStart w:id="23" w:name="_Toc214041809"/>
      <w:r w:rsidRPr="00840978">
        <w:t xml:space="preserve">2.3.3 </w:t>
      </w:r>
      <w:r w:rsidRPr="00840978">
        <w:rPr>
          <w:rtl/>
        </w:rPr>
        <w:t>التحليل النقدي للدراسات السابقة والفجوة البحثية</w:t>
      </w:r>
      <w:bookmarkEnd w:id="23"/>
    </w:p>
    <w:p w14:paraId="0A2C3A7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من خلال المراجعة الشاملة للدراسات السابقة، يمكن استخلاص عدة ملاحظات نقدية وتحديد الفجوات البحثية التي تسعى الدراسة الحالية لسدها</w:t>
      </w:r>
      <w:r w:rsidRPr="00840978">
        <w:rPr>
          <w:rFonts w:ascii="Simplified Arabic" w:hAnsi="Simplified Arabic" w:cs="Simplified Arabic"/>
          <w:sz w:val="28"/>
          <w:szCs w:val="28"/>
        </w:rPr>
        <w:t>.</w:t>
      </w:r>
    </w:p>
    <w:p w14:paraId="5DCAE8FA"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نقاط القوة في الأدبيات الموجودة</w:t>
      </w:r>
    </w:p>
    <w:p w14:paraId="4C58963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أولاً، تراكمت قاعدة معرفية قوية حول مفهوم التحول الرقمي وأبعاده وأهميته، مع تطوير أطر نظرية ومفاهيمية مفيدة لفهم هذه الظاهرة المعقدة</w:t>
      </w:r>
      <w:r w:rsidRPr="00840978">
        <w:rPr>
          <w:rFonts w:ascii="Simplified Arabic" w:hAnsi="Simplified Arabic" w:cs="Simplified Arabic"/>
          <w:sz w:val="28"/>
          <w:szCs w:val="28"/>
        </w:rPr>
        <w:t xml:space="preserve"> (Vial, 2019; Verhoef et al., 2021). </w:t>
      </w:r>
      <w:r w:rsidRPr="00840978">
        <w:rPr>
          <w:rFonts w:ascii="Simplified Arabic" w:hAnsi="Simplified Arabic" w:cs="Simplified Arabic"/>
          <w:sz w:val="28"/>
          <w:szCs w:val="28"/>
          <w:rtl/>
        </w:rPr>
        <w:t>ثانياً، قدمت العديد من الدراسات أدلة تجريبية قوية على وجود علاقة إيجابية بين التحول الرقمي والأداء التنظيمي عبر سياقات وصناعات مختلفة</w:t>
      </w:r>
      <w:r w:rsidRPr="00840978">
        <w:rPr>
          <w:rFonts w:ascii="Simplified Arabic" w:hAnsi="Simplified Arabic" w:cs="Simplified Arabic"/>
          <w:sz w:val="28"/>
          <w:szCs w:val="28"/>
        </w:rPr>
        <w:t xml:space="preserve"> (Westerman et al., 2014; Luo et al., 2025).</w:t>
      </w:r>
    </w:p>
    <w:p w14:paraId="7D86815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استخدمت الدراسات أطراً نظرية متنوعة ومتكاملة لتفسير هذه العلاقة، مما أثرى الفهم النظري للآليات والمسارات التي يؤثر من خلالها التحول الرقمي على الأداء</w:t>
      </w:r>
      <w:r w:rsidRPr="00840978">
        <w:rPr>
          <w:rFonts w:ascii="Simplified Arabic" w:hAnsi="Simplified Arabic" w:cs="Simplified Arabic"/>
          <w:sz w:val="28"/>
          <w:szCs w:val="28"/>
        </w:rPr>
        <w:t xml:space="preserve"> (Teece, 2007; Bharadwaj et al., 2013; Warner &amp; Wäger, 2019). </w:t>
      </w:r>
      <w:r w:rsidRPr="00840978">
        <w:rPr>
          <w:rFonts w:ascii="Simplified Arabic" w:hAnsi="Simplified Arabic" w:cs="Simplified Arabic"/>
          <w:sz w:val="28"/>
          <w:szCs w:val="28"/>
          <w:rtl/>
        </w:rPr>
        <w:t>رابعاً، سلطت بعض الدراسات الضوء على أهمية العوامل السياقية والتكوينية في تحديد تأثير التحول الرقمي على الأداء، مما يعكس تقديراً للتعقيد الكامن في هذه العلاقة</w:t>
      </w:r>
      <w:r w:rsidRPr="00840978">
        <w:rPr>
          <w:rFonts w:ascii="Simplified Arabic" w:hAnsi="Simplified Arabic" w:cs="Simplified Arabic"/>
          <w:sz w:val="28"/>
          <w:szCs w:val="28"/>
        </w:rPr>
        <w:t xml:space="preserve"> (Luo et al., 2025; N'Dri &amp; Su, 2024).</w:t>
      </w:r>
    </w:p>
    <w:p w14:paraId="2C1C882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الفجوات والمحددات في الأدبيات الموجودة</w:t>
      </w:r>
    </w:p>
    <w:p w14:paraId="5DA0E835"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على الرغم من التقدم الكبير في فهم العلاقة بين التحول الرقمي والأداء، إلا أن هناك عدة فجوات ومحددات في الأدبيات الموجودة تتطلب مزيداً من البحث</w:t>
      </w:r>
      <w:r w:rsidRPr="00840978">
        <w:rPr>
          <w:rFonts w:ascii="Simplified Arabic" w:hAnsi="Simplified Arabic" w:cs="Simplified Arabic"/>
          <w:sz w:val="28"/>
          <w:szCs w:val="28"/>
        </w:rPr>
        <w:t>.</w:t>
      </w:r>
    </w:p>
    <w:p w14:paraId="00F92C7F"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b/>
          <w:bCs/>
          <w:sz w:val="28"/>
          <w:szCs w:val="28"/>
          <w:rtl/>
        </w:rPr>
        <w:t>أولاً: الفجوة في السياق العربي</w:t>
      </w:r>
    </w:p>
    <w:p w14:paraId="722CC58C"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معظم الدراسات التجريبية أجريت في سياقات غربية أو آسيوية متقدمة، بينما لا تزال الدراسات التطبيقية في السياق العربي محدودة نسبياً ومتفرقة</w:t>
      </w:r>
      <w:r w:rsidRPr="00840978">
        <w:rPr>
          <w:rFonts w:ascii="Simplified Arabic" w:hAnsi="Simplified Arabic" w:cs="Simplified Arabic"/>
          <w:sz w:val="28"/>
          <w:szCs w:val="28"/>
        </w:rPr>
        <w:t xml:space="preserve"> (Chouaibi et al., 2022). </w:t>
      </w:r>
      <w:r w:rsidRPr="00840978">
        <w:rPr>
          <w:rFonts w:ascii="Simplified Arabic" w:hAnsi="Simplified Arabic" w:cs="Simplified Arabic"/>
          <w:sz w:val="28"/>
          <w:szCs w:val="28"/>
          <w:rtl/>
        </w:rPr>
        <w:t>الدراسات العربية الموجودة غالباً ما تكون محدودة النطاق وتركز على قطاعات أو دول محددة دون تقديم صورة شاملة للمنطقة. هذه الفجوة مهمة لأن السياق العربي يتميز بخصائص فريدة من حيث البنية التحتية التكنولوجية والإطار التنظيمي والثقافة المؤسسية والتحديات الخاصة، مما يجعل من الصعب تعميم نتائج الدراسات الغربية مباشرة على هذا السياق</w:t>
      </w:r>
      <w:r w:rsidRPr="00840978">
        <w:rPr>
          <w:rFonts w:ascii="Simplified Arabic" w:hAnsi="Simplified Arabic" w:cs="Simplified Arabic"/>
          <w:sz w:val="28"/>
          <w:szCs w:val="28"/>
        </w:rPr>
        <w:t xml:space="preserve"> (Cyfert et al., 2025).</w:t>
      </w:r>
    </w:p>
    <w:p w14:paraId="3AA37BA7"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b/>
          <w:bCs/>
          <w:sz w:val="28"/>
          <w:szCs w:val="28"/>
          <w:rtl/>
        </w:rPr>
        <w:t>ثانياً: الفجوة في النماذج الشاملة</w:t>
      </w:r>
    </w:p>
    <w:p w14:paraId="2CCB9B5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معظم الدراسات تركز على جوانب أو أبعاد محددة من التحول الرقمي أو الأداء، دون تقديم نموذج شامل يغطي الأبعاد المتعددة لكلا المفهومين وعلاقاتها المتشابكة</w:t>
      </w:r>
      <w:r w:rsidRPr="00840978">
        <w:rPr>
          <w:rFonts w:ascii="Simplified Arabic" w:hAnsi="Simplified Arabic" w:cs="Simplified Arabic"/>
          <w:sz w:val="28"/>
          <w:szCs w:val="28"/>
        </w:rPr>
        <w:t xml:space="preserve"> (Vial, 2019). </w:t>
      </w:r>
      <w:r w:rsidRPr="00840978">
        <w:rPr>
          <w:rFonts w:ascii="Simplified Arabic" w:hAnsi="Simplified Arabic" w:cs="Simplified Arabic"/>
          <w:sz w:val="28"/>
          <w:szCs w:val="28"/>
          <w:rtl/>
        </w:rPr>
        <w:t>هناك حاجة لدراسات تتبنى نهجاً أكثر شمولية يأخذ في الاعتبار التفاعلات المعقدة بين الأبعاد المختلفة للتحول الرقمي وتأثيراتها المتنوعة على جوانب متعددة من الأداء التنظيمي</w:t>
      </w:r>
      <w:r w:rsidRPr="00840978">
        <w:rPr>
          <w:rFonts w:ascii="Simplified Arabic" w:hAnsi="Simplified Arabic" w:cs="Simplified Arabic"/>
          <w:sz w:val="28"/>
          <w:szCs w:val="28"/>
        </w:rPr>
        <w:t>.</w:t>
      </w:r>
    </w:p>
    <w:p w14:paraId="1A136B78"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b/>
          <w:bCs/>
          <w:sz w:val="28"/>
          <w:szCs w:val="28"/>
          <w:rtl/>
        </w:rPr>
        <w:t>ثالثاً: الفجوة في العوامل الوسيطة والمعدلة</w:t>
      </w:r>
    </w:p>
    <w:p w14:paraId="760E8EAA" w14:textId="606E804B"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رغم أن بعض الدراسات بدأت في استكشاف العوامل الوسيطة والمعدلة في العلاقة بين التحول الرقمي والأداء، إلا أن فهمنا لهذه العوامل لا يزال محدوداً</w:t>
      </w:r>
      <w:r w:rsidRPr="00840978">
        <w:rPr>
          <w:rFonts w:ascii="Simplified Arabic" w:hAnsi="Simplified Arabic" w:cs="Simplified Arabic"/>
          <w:sz w:val="28"/>
          <w:szCs w:val="28"/>
        </w:rPr>
        <w:t xml:space="preserve"> (Warner &amp; Wäger, 2019). </w:t>
      </w:r>
      <w:r w:rsidRPr="00840978">
        <w:rPr>
          <w:rFonts w:ascii="Simplified Arabic" w:hAnsi="Simplified Arabic" w:cs="Simplified Arabic"/>
          <w:sz w:val="28"/>
          <w:szCs w:val="28"/>
          <w:rtl/>
        </w:rPr>
        <w:t>هناك حاجة لمزيد من البحث حول المتغيرات التي تتوسط أو تعدل هذه العلاقة، مثل القدرات التنظيمية والثقافة والقيادة والعوامل البيئية، وذلك لفهم متى وكيف ولماذا يكون تأثير التحول الرقمي على الأداء أكبر أو أقل</w:t>
      </w:r>
      <w:r w:rsidRPr="00840978">
        <w:rPr>
          <w:rFonts w:ascii="Simplified Arabic" w:hAnsi="Simplified Arabic" w:cs="Simplified Arabic"/>
          <w:sz w:val="28"/>
          <w:szCs w:val="28"/>
        </w:rPr>
        <w:t xml:space="preserve"> </w:t>
      </w:r>
      <w:r w:rsidR="003377F3">
        <w:rPr>
          <w:rFonts w:ascii="Simplified Arabic" w:hAnsi="Simplified Arabic" w:cs="Simplified Arabic" w:hint="cs"/>
          <w:sz w:val="28"/>
          <w:szCs w:val="28"/>
          <w:rtl/>
        </w:rPr>
        <w:t>(</w:t>
      </w:r>
      <w:r w:rsidRPr="00840978">
        <w:rPr>
          <w:rFonts w:ascii="Simplified Arabic" w:hAnsi="Simplified Arabic" w:cs="Simplified Arabic"/>
          <w:sz w:val="28"/>
          <w:szCs w:val="28"/>
        </w:rPr>
        <w:t>Cyfert et al., 2025</w:t>
      </w:r>
      <w:r w:rsidR="003377F3">
        <w:rPr>
          <w:rFonts w:ascii="Simplified Arabic" w:hAnsi="Simplified Arabic" w:cs="Simplified Arabic" w:hint="cs"/>
          <w:sz w:val="28"/>
          <w:szCs w:val="28"/>
          <w:rtl/>
        </w:rPr>
        <w:t>)</w:t>
      </w:r>
      <w:r w:rsidRPr="00840978">
        <w:rPr>
          <w:rFonts w:ascii="Simplified Arabic" w:hAnsi="Simplified Arabic" w:cs="Simplified Arabic"/>
          <w:sz w:val="28"/>
          <w:szCs w:val="28"/>
        </w:rPr>
        <w:t>.</w:t>
      </w:r>
    </w:p>
    <w:p w14:paraId="2784192E"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b/>
          <w:bCs/>
          <w:sz w:val="28"/>
          <w:szCs w:val="28"/>
          <w:rtl/>
        </w:rPr>
        <w:t>رابعاً: الفجوة في المنهجيات البحثية</w:t>
      </w:r>
    </w:p>
    <w:p w14:paraId="11C6B249"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معظم الدراسات تستخدم بيانات مقطعية ومنهجيات كمية بسيطة مثل الانحدار الخطي، بينما هناك حاجة لمزيد من الدراسات الطولية التي تتبع التطورات عبر الزمن، ودراسات نوعية معمقة تستكشف الآليات السببية، ومنهجيات متقدمة مثل نمذجة المعادلات الهيكلية والتحليل النوعي المقارن التي تستطيع التعامل مع التعقيد والعلاقات غير الخطية</w:t>
      </w:r>
      <w:r w:rsidRPr="00840978">
        <w:rPr>
          <w:rFonts w:ascii="Simplified Arabic" w:hAnsi="Simplified Arabic" w:cs="Simplified Arabic"/>
          <w:sz w:val="28"/>
          <w:szCs w:val="28"/>
        </w:rPr>
        <w:t xml:space="preserve"> (Luo et al., 2025).</w:t>
      </w:r>
    </w:p>
    <w:p w14:paraId="0EB25352"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b/>
          <w:bCs/>
          <w:sz w:val="28"/>
          <w:szCs w:val="28"/>
          <w:rtl/>
        </w:rPr>
        <w:t>خامساً: الفجوة في الأبعاد المظلمة للتحول الرقمي</w:t>
      </w:r>
    </w:p>
    <w:p w14:paraId="6A33182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معظم الدراسات تركز على التأثيرات الإيجابية للتحول الرقمي على الأداء، بينما تقل الدراسات التي تستكشف بعمق التأثيرات السلبية المحتملة أو المخاطر أو فشل مبادرات التحول الرقمي</w:t>
      </w:r>
      <w:r w:rsidRPr="00840978">
        <w:rPr>
          <w:rFonts w:ascii="Simplified Arabic" w:hAnsi="Simplified Arabic" w:cs="Simplified Arabic"/>
          <w:sz w:val="28"/>
          <w:szCs w:val="28"/>
        </w:rPr>
        <w:t xml:space="preserve"> (Chouaibi et al., 2022). </w:t>
      </w:r>
      <w:r w:rsidRPr="00840978">
        <w:rPr>
          <w:rFonts w:ascii="Simplified Arabic" w:hAnsi="Simplified Arabic" w:cs="Simplified Arabic"/>
          <w:sz w:val="28"/>
          <w:szCs w:val="28"/>
          <w:rtl/>
        </w:rPr>
        <w:t>هناك حاجة لمزيد من البحث المتوازن الذي يعترف بأن التحول الرقمي ليس دائماً ناجحاً أو إيجابياً، وأن هناك ظروفاً معينة قد يكون فيها تأثيره محدوداً أو سلبياً على الأداء</w:t>
      </w:r>
      <w:r w:rsidRPr="00840978">
        <w:rPr>
          <w:rFonts w:ascii="Simplified Arabic" w:hAnsi="Simplified Arabic" w:cs="Simplified Arabic"/>
          <w:sz w:val="28"/>
          <w:szCs w:val="28"/>
        </w:rPr>
        <w:t>.</w:t>
      </w:r>
    </w:p>
    <w:p w14:paraId="45316B53"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b/>
          <w:bCs/>
          <w:sz w:val="28"/>
          <w:szCs w:val="28"/>
          <w:rtl/>
        </w:rPr>
        <w:t>سادساً: الفجوة في الشركات الصغيرة والمتوسطة</w:t>
      </w:r>
    </w:p>
    <w:p w14:paraId="13EF37FB" w14:textId="0A66C5E2"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معظم الدراسات تركز على الشركات الكبرى، بينما تقل الدراسات التي تتناول التحول الرقمي في الشركات الصغيرة والمتوسطة، رغم أن هذه الشركات تواجه تحديات وفرص مختلفة وقد يكون لديها مسارات مختلفة للتحول الرقمي</w:t>
      </w:r>
      <w:r w:rsidRPr="00840978">
        <w:rPr>
          <w:rFonts w:ascii="Simplified Arabic" w:hAnsi="Simplified Arabic" w:cs="Simplified Arabic"/>
          <w:sz w:val="28"/>
          <w:szCs w:val="28"/>
        </w:rPr>
        <w:t xml:space="preserve"> </w:t>
      </w:r>
      <w:r w:rsidR="006A12C9">
        <w:rPr>
          <w:rFonts w:ascii="Simplified Arabic" w:hAnsi="Simplified Arabic" w:cs="Simplified Arabic" w:hint="cs"/>
          <w:sz w:val="28"/>
          <w:szCs w:val="28"/>
          <w:rtl/>
        </w:rPr>
        <w:t>(</w:t>
      </w:r>
      <w:r w:rsidRPr="00840978">
        <w:rPr>
          <w:rFonts w:ascii="Simplified Arabic" w:hAnsi="Simplified Arabic" w:cs="Simplified Arabic"/>
          <w:sz w:val="28"/>
          <w:szCs w:val="28"/>
        </w:rPr>
        <w:t xml:space="preserve">Shao et al., 2025; </w:t>
      </w:r>
      <w:r w:rsidRPr="00840978">
        <w:rPr>
          <w:rFonts w:ascii="Simplified Arabic" w:hAnsi="Simplified Arabic" w:cs="Simplified Arabic"/>
          <w:sz w:val="28"/>
          <w:szCs w:val="28"/>
          <w:rtl/>
        </w:rPr>
        <w:t>القحطاني والعمري، 2024</w:t>
      </w:r>
      <w:r w:rsidR="006A12C9">
        <w:rPr>
          <w:rFonts w:ascii="Simplified Arabic" w:hAnsi="Simplified Arabic" w:cs="Simplified Arabic" w:hint="cs"/>
          <w:sz w:val="28"/>
          <w:szCs w:val="28"/>
          <w:rtl/>
        </w:rPr>
        <w:t>)</w:t>
      </w:r>
      <w:r w:rsidRPr="00840978">
        <w:rPr>
          <w:rFonts w:ascii="Simplified Arabic" w:hAnsi="Simplified Arabic" w:cs="Simplified Arabic"/>
          <w:sz w:val="28"/>
          <w:szCs w:val="28"/>
        </w:rPr>
        <w:t>.</w:t>
      </w:r>
    </w:p>
    <w:p w14:paraId="5B435014"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b/>
          <w:bCs/>
          <w:sz w:val="28"/>
          <w:szCs w:val="28"/>
        </w:rPr>
      </w:pPr>
      <w:r w:rsidRPr="00840978">
        <w:rPr>
          <w:rFonts w:ascii="Simplified Arabic" w:hAnsi="Simplified Arabic" w:cs="Simplified Arabic"/>
          <w:b/>
          <w:bCs/>
          <w:sz w:val="28"/>
          <w:szCs w:val="28"/>
          <w:rtl/>
        </w:rPr>
        <w:t>كيف تسد الدراسة الحالية الفجوة البحثية</w:t>
      </w:r>
    </w:p>
    <w:p w14:paraId="4063FC70"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تسعى الدراسة الحالية لسد هذه الفجوات من خلال عدة طرق. أولاً، تركز الدراسة على السياق العربي بشكل خاص، مع عينة شاملة من الشركات في عدة دول عربية، مما يوفر فهماً أعمق للتحول الرقمي وتأثيره على الأداء في هذا السياق الفريد. ثانياً، تتبنى الدراسة نموذجاً شاملاً يغطي خمسة أبعاد للتحول الرقمي وأربعة أبعاد للأداء التنظيمي، مما يوفر صورة أكثر اكتمالاً للعلاقة المعقدة بينهما</w:t>
      </w:r>
      <w:r w:rsidRPr="00840978">
        <w:rPr>
          <w:rFonts w:ascii="Simplified Arabic" w:hAnsi="Simplified Arabic" w:cs="Simplified Arabic"/>
          <w:sz w:val="28"/>
          <w:szCs w:val="28"/>
        </w:rPr>
        <w:t>.</w:t>
      </w:r>
    </w:p>
    <w:p w14:paraId="56D8211D" w14:textId="7777777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t>ثالثاً، تستكشف الدراسة العوامل الوسيطة والمعدلة المحتملة في العلاقة بين التحول الرقمي والأداء، بما في ذلك حجم الشركة ونوع القطاع والعمر التنظيمي، مما يساعد على فهم الظروف التي يكون فيها تأثير التحول الرقمي أكبر أو أقل. رابعاً، تستخدم الدراسة منهجية بحثية متقدمة تشمل نمذجة المعادلات الهيكلية وتحليل المسار، مما يمكّن من اختبار العلاقات المعقدة والمتشابكة بين المتغيرات</w:t>
      </w:r>
      <w:r w:rsidRPr="00840978">
        <w:rPr>
          <w:rFonts w:ascii="Simplified Arabic" w:hAnsi="Simplified Arabic" w:cs="Simplified Arabic"/>
          <w:sz w:val="28"/>
          <w:szCs w:val="28"/>
        </w:rPr>
        <w:t>.</w:t>
      </w:r>
    </w:p>
    <w:p w14:paraId="5E67B571" w14:textId="2C845F27" w:rsidR="00840978" w:rsidRPr="00840978" w:rsidRDefault="00840978" w:rsidP="000126FF">
      <w:pPr>
        <w:widowControl w:val="0"/>
        <w:autoSpaceDE w:val="0"/>
        <w:autoSpaceDN w:val="0"/>
        <w:bidi/>
        <w:adjustRightInd w:val="0"/>
        <w:spacing w:after="0" w:line="240" w:lineRule="auto"/>
        <w:rPr>
          <w:rFonts w:ascii="Simplified Arabic" w:hAnsi="Simplified Arabic" w:cs="Simplified Arabic"/>
          <w:sz w:val="28"/>
          <w:szCs w:val="28"/>
        </w:rPr>
      </w:pPr>
      <w:r w:rsidRPr="00840978">
        <w:rPr>
          <w:rFonts w:ascii="Simplified Arabic" w:hAnsi="Simplified Arabic" w:cs="Simplified Arabic"/>
          <w:sz w:val="28"/>
          <w:szCs w:val="28"/>
          <w:rtl/>
        </w:rPr>
        <w:lastRenderedPageBreak/>
        <w:t>خامساً، تتناول الدراسة التحديات والمخاطر المحتملة للتحول الرقمي بجانب الفوائد، مما يوفر منظوراً أكثر توازناً وواقعية. سادساً، تشمل عينة الدراسة شركات من أحجام مختلفة (كبيرة ومتوس</w:t>
      </w:r>
      <w:r w:rsidR="003377F3">
        <w:rPr>
          <w:rFonts w:ascii="Simplified Arabic" w:hAnsi="Simplified Arabic" w:cs="Simplified Arabic"/>
          <w:sz w:val="28"/>
          <w:szCs w:val="28"/>
          <w:rtl/>
        </w:rPr>
        <w:t>طة وصغيرة)</w:t>
      </w:r>
      <w:r w:rsidR="003377F3">
        <w:rPr>
          <w:rFonts w:ascii="Simplified Arabic" w:hAnsi="Simplified Arabic" w:cs="Simplified Arabic" w:hint="cs"/>
          <w:sz w:val="28"/>
          <w:szCs w:val="28"/>
          <w:rtl/>
        </w:rPr>
        <w:t>.</w:t>
      </w:r>
    </w:p>
    <w:p w14:paraId="6537DA3C" w14:textId="77777777" w:rsidR="00831D16" w:rsidRDefault="00831D16" w:rsidP="00135307">
      <w:pPr>
        <w:bidi/>
        <w:spacing w:line="240" w:lineRule="auto"/>
        <w:rPr>
          <w:rFonts w:ascii="Simplified Arabic" w:hAnsi="Simplified Arabic" w:cs="Simplified Arabic"/>
          <w:sz w:val="28"/>
          <w:szCs w:val="28"/>
        </w:rPr>
      </w:pPr>
    </w:p>
    <w:p w14:paraId="0C403314" w14:textId="77777777" w:rsidR="00831D16" w:rsidRDefault="00831D16" w:rsidP="00831D16">
      <w:pPr>
        <w:bidi/>
        <w:spacing w:line="240" w:lineRule="auto"/>
        <w:rPr>
          <w:rFonts w:ascii="Simplified Arabic" w:hAnsi="Simplified Arabic" w:cs="Simplified Arabic"/>
          <w:sz w:val="28"/>
          <w:szCs w:val="28"/>
        </w:rPr>
      </w:pPr>
    </w:p>
    <w:p w14:paraId="5686A725" w14:textId="77777777" w:rsidR="00831D16" w:rsidRDefault="00831D16" w:rsidP="00831D16">
      <w:pPr>
        <w:bidi/>
        <w:spacing w:line="240" w:lineRule="auto"/>
        <w:rPr>
          <w:rFonts w:ascii="Simplified Arabic" w:hAnsi="Simplified Arabic" w:cs="Simplified Arabic"/>
          <w:sz w:val="28"/>
          <w:szCs w:val="28"/>
        </w:rPr>
      </w:pPr>
    </w:p>
    <w:p w14:paraId="23840B50" w14:textId="77777777" w:rsidR="00831D16" w:rsidRDefault="00831D16" w:rsidP="00831D16">
      <w:pPr>
        <w:bidi/>
        <w:spacing w:line="240" w:lineRule="auto"/>
        <w:rPr>
          <w:rFonts w:ascii="Simplified Arabic" w:hAnsi="Simplified Arabic" w:cs="Simplified Arabic"/>
          <w:sz w:val="28"/>
          <w:szCs w:val="28"/>
        </w:rPr>
      </w:pPr>
    </w:p>
    <w:p w14:paraId="2C27CD6D" w14:textId="77777777" w:rsidR="00831D16" w:rsidRDefault="00831D16" w:rsidP="00831D16">
      <w:pPr>
        <w:bidi/>
        <w:spacing w:line="240" w:lineRule="auto"/>
        <w:rPr>
          <w:rFonts w:ascii="Simplified Arabic" w:hAnsi="Simplified Arabic" w:cs="Simplified Arabic"/>
          <w:sz w:val="28"/>
          <w:szCs w:val="28"/>
        </w:rPr>
      </w:pPr>
    </w:p>
    <w:p w14:paraId="1E7FC10D" w14:textId="77777777" w:rsidR="00831D16" w:rsidRDefault="00831D16" w:rsidP="00831D16">
      <w:pPr>
        <w:bidi/>
        <w:spacing w:line="240" w:lineRule="auto"/>
        <w:rPr>
          <w:rFonts w:ascii="Simplified Arabic" w:hAnsi="Simplified Arabic" w:cs="Simplified Arabic"/>
          <w:sz w:val="28"/>
          <w:szCs w:val="28"/>
        </w:rPr>
      </w:pPr>
    </w:p>
    <w:p w14:paraId="1D3537A2" w14:textId="77777777" w:rsidR="00831D16" w:rsidRDefault="00831D16" w:rsidP="00831D16">
      <w:pPr>
        <w:bidi/>
        <w:spacing w:line="240" w:lineRule="auto"/>
        <w:rPr>
          <w:rFonts w:ascii="Simplified Arabic" w:hAnsi="Simplified Arabic" w:cs="Simplified Arabic"/>
          <w:sz w:val="28"/>
          <w:szCs w:val="28"/>
        </w:rPr>
      </w:pPr>
    </w:p>
    <w:p w14:paraId="50A323F5" w14:textId="77777777" w:rsidR="00831D16" w:rsidRDefault="00831D16" w:rsidP="00831D16">
      <w:pPr>
        <w:bidi/>
        <w:spacing w:line="240" w:lineRule="auto"/>
        <w:rPr>
          <w:rFonts w:ascii="Simplified Arabic" w:hAnsi="Simplified Arabic" w:cs="Simplified Arabic"/>
          <w:sz w:val="28"/>
          <w:szCs w:val="28"/>
        </w:rPr>
      </w:pPr>
    </w:p>
    <w:p w14:paraId="4428FC98" w14:textId="77777777" w:rsidR="00831D16" w:rsidRDefault="00831D16" w:rsidP="00831D16">
      <w:pPr>
        <w:bidi/>
        <w:spacing w:line="240" w:lineRule="auto"/>
        <w:rPr>
          <w:rFonts w:ascii="Simplified Arabic" w:hAnsi="Simplified Arabic" w:cs="Simplified Arabic"/>
          <w:sz w:val="28"/>
          <w:szCs w:val="28"/>
        </w:rPr>
      </w:pPr>
    </w:p>
    <w:p w14:paraId="0552FF13" w14:textId="77777777" w:rsidR="00831D16" w:rsidRDefault="00831D16" w:rsidP="00831D16">
      <w:pPr>
        <w:bidi/>
        <w:spacing w:line="240" w:lineRule="auto"/>
        <w:rPr>
          <w:rFonts w:ascii="Simplified Arabic" w:hAnsi="Simplified Arabic" w:cs="Simplified Arabic"/>
          <w:sz w:val="28"/>
          <w:szCs w:val="28"/>
        </w:rPr>
      </w:pPr>
    </w:p>
    <w:p w14:paraId="07A3487D" w14:textId="77777777" w:rsidR="00831D16" w:rsidRDefault="00831D16" w:rsidP="00831D16">
      <w:pPr>
        <w:bidi/>
        <w:spacing w:line="240" w:lineRule="auto"/>
        <w:rPr>
          <w:rFonts w:ascii="Simplified Arabic" w:hAnsi="Simplified Arabic" w:cs="Simplified Arabic"/>
          <w:sz w:val="28"/>
          <w:szCs w:val="28"/>
        </w:rPr>
      </w:pPr>
    </w:p>
    <w:p w14:paraId="53967D57" w14:textId="77777777" w:rsidR="00831D16" w:rsidRDefault="00831D16" w:rsidP="00831D16">
      <w:pPr>
        <w:bidi/>
        <w:spacing w:line="240" w:lineRule="auto"/>
        <w:rPr>
          <w:rFonts w:ascii="Simplified Arabic" w:hAnsi="Simplified Arabic" w:cs="Simplified Arabic"/>
          <w:sz w:val="28"/>
          <w:szCs w:val="28"/>
        </w:rPr>
      </w:pPr>
    </w:p>
    <w:p w14:paraId="31325F58" w14:textId="77777777" w:rsidR="00831D16" w:rsidRDefault="00831D16" w:rsidP="00831D16">
      <w:pPr>
        <w:bidi/>
        <w:spacing w:line="240" w:lineRule="auto"/>
        <w:rPr>
          <w:rFonts w:ascii="Simplified Arabic" w:hAnsi="Simplified Arabic" w:cs="Simplified Arabic"/>
          <w:sz w:val="28"/>
          <w:szCs w:val="28"/>
        </w:rPr>
      </w:pPr>
    </w:p>
    <w:p w14:paraId="3B2539D5" w14:textId="77777777" w:rsidR="00831D16" w:rsidRDefault="00831D16" w:rsidP="00831D16">
      <w:pPr>
        <w:bidi/>
        <w:spacing w:line="240" w:lineRule="auto"/>
        <w:rPr>
          <w:rFonts w:ascii="Simplified Arabic" w:hAnsi="Simplified Arabic" w:cs="Simplified Arabic"/>
          <w:sz w:val="28"/>
          <w:szCs w:val="28"/>
        </w:rPr>
      </w:pPr>
    </w:p>
    <w:p w14:paraId="29139BBC" w14:textId="77777777" w:rsidR="00831D16" w:rsidRDefault="00831D16" w:rsidP="00831D16">
      <w:pPr>
        <w:bidi/>
        <w:spacing w:line="240" w:lineRule="auto"/>
        <w:rPr>
          <w:rFonts w:ascii="Simplified Arabic" w:hAnsi="Simplified Arabic" w:cs="Simplified Arabic"/>
          <w:sz w:val="28"/>
          <w:szCs w:val="28"/>
        </w:rPr>
      </w:pPr>
    </w:p>
    <w:p w14:paraId="6629BF14" w14:textId="77777777" w:rsidR="00831D16" w:rsidRDefault="00831D16" w:rsidP="00831D16">
      <w:pPr>
        <w:bidi/>
        <w:spacing w:line="240" w:lineRule="auto"/>
        <w:rPr>
          <w:rFonts w:ascii="Simplified Arabic" w:hAnsi="Simplified Arabic" w:cs="Simplified Arabic"/>
          <w:sz w:val="28"/>
          <w:szCs w:val="28"/>
        </w:rPr>
      </w:pPr>
    </w:p>
    <w:p w14:paraId="6CDC5A77" w14:textId="77777777" w:rsidR="00831D16" w:rsidRDefault="00831D16" w:rsidP="00831D16">
      <w:pPr>
        <w:bidi/>
        <w:spacing w:line="240" w:lineRule="auto"/>
        <w:rPr>
          <w:rFonts w:ascii="Simplified Arabic" w:hAnsi="Simplified Arabic" w:cs="Simplified Arabic"/>
          <w:sz w:val="28"/>
          <w:szCs w:val="28"/>
        </w:rPr>
      </w:pPr>
    </w:p>
    <w:p w14:paraId="7FE0EAA8" w14:textId="77777777" w:rsidR="00831D16" w:rsidRDefault="00831D16" w:rsidP="00831D16">
      <w:pPr>
        <w:bidi/>
        <w:spacing w:line="240" w:lineRule="auto"/>
        <w:rPr>
          <w:rFonts w:ascii="Simplified Arabic" w:hAnsi="Simplified Arabic" w:cs="Simplified Arabic"/>
          <w:sz w:val="28"/>
          <w:szCs w:val="28"/>
        </w:rPr>
      </w:pPr>
    </w:p>
    <w:p w14:paraId="47469F78" w14:textId="77777777" w:rsidR="00831D16" w:rsidRDefault="00831D16" w:rsidP="00831D16">
      <w:pPr>
        <w:bidi/>
        <w:spacing w:line="240" w:lineRule="auto"/>
        <w:rPr>
          <w:rFonts w:ascii="Simplified Arabic" w:hAnsi="Simplified Arabic" w:cs="Simplified Arabic"/>
          <w:sz w:val="28"/>
          <w:szCs w:val="28"/>
        </w:rPr>
      </w:pPr>
    </w:p>
    <w:p w14:paraId="1344707F" w14:textId="0C23740C" w:rsidR="00E54E8A" w:rsidRPr="0022053F" w:rsidRDefault="00E54E8A" w:rsidP="000126FF">
      <w:pPr>
        <w:bidi/>
        <w:spacing w:line="240" w:lineRule="auto"/>
        <w:rPr>
          <w:rFonts w:ascii="Simplified Arabic" w:hAnsi="Simplified Arabic" w:cs="Simplified Arabic"/>
          <w:sz w:val="28"/>
          <w:szCs w:val="28"/>
        </w:rPr>
      </w:pPr>
    </w:p>
    <w:sectPr w:rsidR="00E54E8A" w:rsidRPr="0022053F" w:rsidSect="00AE7064">
      <w:pgSz w:w="12240" w:h="15840"/>
      <w:pgMar w:top="1134" w:right="1701" w:bottom="1134" w:left="1134"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fmt="lowerRoman"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A1CB8" w14:textId="77777777" w:rsidR="007D50EE" w:rsidRDefault="007D50EE" w:rsidP="00563F15">
      <w:pPr>
        <w:spacing w:after="0" w:line="240" w:lineRule="auto"/>
      </w:pPr>
      <w:r>
        <w:separator/>
      </w:r>
    </w:p>
  </w:endnote>
  <w:endnote w:type="continuationSeparator" w:id="0">
    <w:p w14:paraId="3905411D" w14:textId="77777777" w:rsidR="007D50EE" w:rsidRDefault="007D50EE" w:rsidP="00563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ldhabi">
    <w:panose1 w:val="01000000000000000000"/>
    <w:charset w:val="00"/>
    <w:family w:val="auto"/>
    <w:pitch w:val="variable"/>
    <w:sig w:usb0="80002007" w:usb1="80000000" w:usb2="00000008" w:usb3="00000000" w:csb0="00000041" w:csb1="00000000"/>
  </w:font>
  <w:font w:name="Urdu Typesetting">
    <w:panose1 w:val="03020402040406030203"/>
    <w:charset w:val="00"/>
    <w:family w:val="script"/>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522644"/>
      <w:docPartObj>
        <w:docPartGallery w:val="Page Numbers (Bottom of Page)"/>
        <w:docPartUnique/>
      </w:docPartObj>
    </w:sdtPr>
    <w:sdtContent>
      <w:p w14:paraId="3CCDAF83" w14:textId="648E9B85" w:rsidR="00504AD8" w:rsidRDefault="00504AD8">
        <w:pPr>
          <w:pStyle w:val="Footer"/>
          <w:jc w:val="center"/>
        </w:pPr>
        <w:r>
          <w:t>[</w:t>
        </w:r>
        <w:r>
          <w:fldChar w:fldCharType="begin"/>
        </w:r>
        <w:r>
          <w:instrText xml:space="preserve"> PAGE   \* MERGEFORMAT </w:instrText>
        </w:r>
        <w:r>
          <w:fldChar w:fldCharType="separate"/>
        </w:r>
        <w:r w:rsidR="00AE7064">
          <w:rPr>
            <w:rFonts w:hint="eastAsia"/>
            <w:noProof/>
            <w:rtl/>
          </w:rPr>
          <w:t>ت‌</w:t>
        </w:r>
        <w:r>
          <w:rPr>
            <w:noProof/>
          </w:rPr>
          <w:fldChar w:fldCharType="end"/>
        </w:r>
        <w:r>
          <w:t>]</w:t>
        </w:r>
      </w:p>
    </w:sdtContent>
  </w:sdt>
  <w:p w14:paraId="732A3B1F" w14:textId="77777777" w:rsidR="00504AD8" w:rsidRDefault="00504A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9639890"/>
      <w:docPartObj>
        <w:docPartGallery w:val="Page Numbers (Bottom of Page)"/>
        <w:docPartUnique/>
      </w:docPartObj>
    </w:sdtPr>
    <w:sdtContent>
      <w:p w14:paraId="1C04C141" w14:textId="321D2BBC" w:rsidR="00BE5A4B" w:rsidRDefault="00BE5A4B">
        <w:pPr>
          <w:pStyle w:val="Footer"/>
          <w:jc w:val="center"/>
        </w:pPr>
        <w:r>
          <w:t>[</w:t>
        </w:r>
        <w:r>
          <w:fldChar w:fldCharType="begin"/>
        </w:r>
        <w:r>
          <w:instrText xml:space="preserve"> PAGE   \* MERGEFORMAT </w:instrText>
        </w:r>
        <w:r>
          <w:fldChar w:fldCharType="separate"/>
        </w:r>
        <w:r w:rsidR="00AE7064">
          <w:rPr>
            <w:rFonts w:hint="eastAsia"/>
            <w:noProof/>
            <w:rtl/>
          </w:rPr>
          <w:t>أ‌</w:t>
        </w:r>
        <w:r>
          <w:rPr>
            <w:noProof/>
          </w:rPr>
          <w:fldChar w:fldCharType="end"/>
        </w:r>
        <w:r>
          <w:t>]</w:t>
        </w:r>
      </w:p>
    </w:sdtContent>
  </w:sdt>
  <w:p w14:paraId="72DF49F3" w14:textId="0B37B864" w:rsidR="00F57CBF" w:rsidRDefault="00F57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E88E6" w14:textId="77777777" w:rsidR="007D50EE" w:rsidRDefault="007D50EE" w:rsidP="00563F15">
      <w:pPr>
        <w:spacing w:after="0" w:line="240" w:lineRule="auto"/>
      </w:pPr>
      <w:r>
        <w:separator/>
      </w:r>
    </w:p>
  </w:footnote>
  <w:footnote w:type="continuationSeparator" w:id="0">
    <w:p w14:paraId="0721BA62" w14:textId="77777777" w:rsidR="007D50EE" w:rsidRDefault="007D50EE" w:rsidP="00563F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201"/>
    <w:multiLevelType w:val="multilevel"/>
    <w:tmpl w:val="35E4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313B2"/>
    <w:multiLevelType w:val="multilevel"/>
    <w:tmpl w:val="A846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66E98"/>
    <w:multiLevelType w:val="multilevel"/>
    <w:tmpl w:val="10AE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A64E6"/>
    <w:multiLevelType w:val="multilevel"/>
    <w:tmpl w:val="0AA4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3728B"/>
    <w:multiLevelType w:val="multilevel"/>
    <w:tmpl w:val="29E2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04724"/>
    <w:multiLevelType w:val="multilevel"/>
    <w:tmpl w:val="C16E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393E97"/>
    <w:multiLevelType w:val="multilevel"/>
    <w:tmpl w:val="B75E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07059"/>
    <w:multiLevelType w:val="multilevel"/>
    <w:tmpl w:val="AED24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AE31C8"/>
    <w:multiLevelType w:val="multilevel"/>
    <w:tmpl w:val="1AE29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BE2CCD"/>
    <w:multiLevelType w:val="multilevel"/>
    <w:tmpl w:val="F7F6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515216"/>
    <w:multiLevelType w:val="multilevel"/>
    <w:tmpl w:val="A89E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8352B"/>
    <w:multiLevelType w:val="multilevel"/>
    <w:tmpl w:val="D2DA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E4EAC"/>
    <w:multiLevelType w:val="multilevel"/>
    <w:tmpl w:val="E5FC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7E1A5D"/>
    <w:multiLevelType w:val="multilevel"/>
    <w:tmpl w:val="0E6E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611E09"/>
    <w:multiLevelType w:val="multilevel"/>
    <w:tmpl w:val="D7D4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327CA"/>
    <w:multiLevelType w:val="multilevel"/>
    <w:tmpl w:val="72C8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196F7B"/>
    <w:multiLevelType w:val="multilevel"/>
    <w:tmpl w:val="29EE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EF5568"/>
    <w:multiLevelType w:val="multilevel"/>
    <w:tmpl w:val="7A50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215713"/>
    <w:multiLevelType w:val="multilevel"/>
    <w:tmpl w:val="982EB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902E30"/>
    <w:multiLevelType w:val="multilevel"/>
    <w:tmpl w:val="4F143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BE4A74"/>
    <w:multiLevelType w:val="multilevel"/>
    <w:tmpl w:val="1090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D7752D"/>
    <w:multiLevelType w:val="multilevel"/>
    <w:tmpl w:val="4544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254747"/>
    <w:multiLevelType w:val="hybridMultilevel"/>
    <w:tmpl w:val="50B6B8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4F780A"/>
    <w:multiLevelType w:val="multilevel"/>
    <w:tmpl w:val="DE80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8A1A11"/>
    <w:multiLevelType w:val="multilevel"/>
    <w:tmpl w:val="82C8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C61E11"/>
    <w:multiLevelType w:val="multilevel"/>
    <w:tmpl w:val="2F54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841B34"/>
    <w:multiLevelType w:val="multilevel"/>
    <w:tmpl w:val="BD90E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5F2AE5"/>
    <w:multiLevelType w:val="multilevel"/>
    <w:tmpl w:val="8FCE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F36BC"/>
    <w:multiLevelType w:val="multilevel"/>
    <w:tmpl w:val="0E60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1671C3"/>
    <w:multiLevelType w:val="multilevel"/>
    <w:tmpl w:val="3358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4626D"/>
    <w:multiLevelType w:val="multilevel"/>
    <w:tmpl w:val="9764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4A688C"/>
    <w:multiLevelType w:val="multilevel"/>
    <w:tmpl w:val="283C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26D95"/>
    <w:multiLevelType w:val="multilevel"/>
    <w:tmpl w:val="7C50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A93C23"/>
    <w:multiLevelType w:val="multilevel"/>
    <w:tmpl w:val="B962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CC46F1"/>
    <w:multiLevelType w:val="multilevel"/>
    <w:tmpl w:val="77E2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3B33C7"/>
    <w:multiLevelType w:val="multilevel"/>
    <w:tmpl w:val="169C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0A7E3F"/>
    <w:multiLevelType w:val="multilevel"/>
    <w:tmpl w:val="2214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9968F3"/>
    <w:multiLevelType w:val="multilevel"/>
    <w:tmpl w:val="F050B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0063AC"/>
    <w:multiLevelType w:val="multilevel"/>
    <w:tmpl w:val="FFE2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8932C3"/>
    <w:multiLevelType w:val="multilevel"/>
    <w:tmpl w:val="4B68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277115"/>
    <w:multiLevelType w:val="multilevel"/>
    <w:tmpl w:val="0076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9D2E2B"/>
    <w:multiLevelType w:val="hybridMultilevel"/>
    <w:tmpl w:val="D6F04F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E44F30"/>
    <w:multiLevelType w:val="multilevel"/>
    <w:tmpl w:val="2E7E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A20E23"/>
    <w:multiLevelType w:val="multilevel"/>
    <w:tmpl w:val="24F2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44653A"/>
    <w:multiLevelType w:val="multilevel"/>
    <w:tmpl w:val="728A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084496"/>
    <w:multiLevelType w:val="multilevel"/>
    <w:tmpl w:val="C454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7763008">
    <w:abstractNumId w:val="2"/>
  </w:num>
  <w:num w:numId="2" w16cid:durableId="555553029">
    <w:abstractNumId w:val="29"/>
  </w:num>
  <w:num w:numId="3" w16cid:durableId="2006472184">
    <w:abstractNumId w:val="1"/>
  </w:num>
  <w:num w:numId="4" w16cid:durableId="660427629">
    <w:abstractNumId w:val="25"/>
  </w:num>
  <w:num w:numId="5" w16cid:durableId="810945395">
    <w:abstractNumId w:val="15"/>
  </w:num>
  <w:num w:numId="6" w16cid:durableId="1537429332">
    <w:abstractNumId w:val="33"/>
  </w:num>
  <w:num w:numId="7" w16cid:durableId="605699621">
    <w:abstractNumId w:val="38"/>
  </w:num>
  <w:num w:numId="8" w16cid:durableId="920069177">
    <w:abstractNumId w:val="17"/>
  </w:num>
  <w:num w:numId="9" w16cid:durableId="340819860">
    <w:abstractNumId w:val="28"/>
  </w:num>
  <w:num w:numId="10" w16cid:durableId="1055278348">
    <w:abstractNumId w:val="43"/>
  </w:num>
  <w:num w:numId="11" w16cid:durableId="859197324">
    <w:abstractNumId w:val="20"/>
  </w:num>
  <w:num w:numId="12" w16cid:durableId="509224876">
    <w:abstractNumId w:val="40"/>
  </w:num>
  <w:num w:numId="13" w16cid:durableId="433981636">
    <w:abstractNumId w:val="32"/>
  </w:num>
  <w:num w:numId="14" w16cid:durableId="305211042">
    <w:abstractNumId w:val="0"/>
  </w:num>
  <w:num w:numId="15" w16cid:durableId="1709407537">
    <w:abstractNumId w:val="8"/>
  </w:num>
  <w:num w:numId="16" w16cid:durableId="1295988541">
    <w:abstractNumId w:val="23"/>
  </w:num>
  <w:num w:numId="17" w16cid:durableId="176694240">
    <w:abstractNumId w:val="16"/>
  </w:num>
  <w:num w:numId="18" w16cid:durableId="1889992810">
    <w:abstractNumId w:val="9"/>
  </w:num>
  <w:num w:numId="19" w16cid:durableId="835615189">
    <w:abstractNumId w:val="30"/>
  </w:num>
  <w:num w:numId="20" w16cid:durableId="961694564">
    <w:abstractNumId w:val="36"/>
  </w:num>
  <w:num w:numId="21" w16cid:durableId="1730641876">
    <w:abstractNumId w:val="12"/>
  </w:num>
  <w:num w:numId="22" w16cid:durableId="718557748">
    <w:abstractNumId w:val="34"/>
  </w:num>
  <w:num w:numId="23" w16cid:durableId="2062897605">
    <w:abstractNumId w:val="3"/>
  </w:num>
  <w:num w:numId="24" w16cid:durableId="1822649226">
    <w:abstractNumId w:val="35"/>
  </w:num>
  <w:num w:numId="25" w16cid:durableId="1085230076">
    <w:abstractNumId w:val="24"/>
  </w:num>
  <w:num w:numId="26" w16cid:durableId="1667585717">
    <w:abstractNumId w:val="4"/>
  </w:num>
  <w:num w:numId="27" w16cid:durableId="755714852">
    <w:abstractNumId w:val="27"/>
  </w:num>
  <w:num w:numId="28" w16cid:durableId="498497627">
    <w:abstractNumId w:val="5"/>
  </w:num>
  <w:num w:numId="29" w16cid:durableId="2009288529">
    <w:abstractNumId w:val="7"/>
  </w:num>
  <w:num w:numId="30" w16cid:durableId="1630476692">
    <w:abstractNumId w:val="19"/>
  </w:num>
  <w:num w:numId="31" w16cid:durableId="833572440">
    <w:abstractNumId w:val="10"/>
  </w:num>
  <w:num w:numId="32" w16cid:durableId="1028409923">
    <w:abstractNumId w:val="26"/>
  </w:num>
  <w:num w:numId="33" w16cid:durableId="1774284003">
    <w:abstractNumId w:val="37"/>
  </w:num>
  <w:num w:numId="34" w16cid:durableId="1172910447">
    <w:abstractNumId w:val="45"/>
  </w:num>
  <w:num w:numId="35" w16cid:durableId="848250072">
    <w:abstractNumId w:val="13"/>
  </w:num>
  <w:num w:numId="36" w16cid:durableId="826283564">
    <w:abstractNumId w:val="18"/>
  </w:num>
  <w:num w:numId="37" w16cid:durableId="605816305">
    <w:abstractNumId w:val="42"/>
  </w:num>
  <w:num w:numId="38" w16cid:durableId="1622417183">
    <w:abstractNumId w:val="21"/>
  </w:num>
  <w:num w:numId="39" w16cid:durableId="2004359157">
    <w:abstractNumId w:val="6"/>
  </w:num>
  <w:num w:numId="40" w16cid:durableId="291059443">
    <w:abstractNumId w:val="44"/>
  </w:num>
  <w:num w:numId="41" w16cid:durableId="2017802766">
    <w:abstractNumId w:val="11"/>
  </w:num>
  <w:num w:numId="42" w16cid:durableId="37514497">
    <w:abstractNumId w:val="39"/>
  </w:num>
  <w:num w:numId="43" w16cid:durableId="1404329599">
    <w:abstractNumId w:val="14"/>
  </w:num>
  <w:num w:numId="44" w16cid:durableId="1304191554">
    <w:abstractNumId w:val="41"/>
  </w:num>
  <w:num w:numId="45" w16cid:durableId="1332221068">
    <w:abstractNumId w:val="22"/>
  </w:num>
  <w:num w:numId="46" w16cid:durableId="1213661675">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6600"/>
    <w:rsid w:val="0001045F"/>
    <w:rsid w:val="000126FF"/>
    <w:rsid w:val="000160C8"/>
    <w:rsid w:val="0001648D"/>
    <w:rsid w:val="000169D9"/>
    <w:rsid w:val="000667B4"/>
    <w:rsid w:val="00077087"/>
    <w:rsid w:val="00077E18"/>
    <w:rsid w:val="00081119"/>
    <w:rsid w:val="000A6050"/>
    <w:rsid w:val="000C409D"/>
    <w:rsid w:val="000E5CB6"/>
    <w:rsid w:val="0010272A"/>
    <w:rsid w:val="0011332D"/>
    <w:rsid w:val="00134A40"/>
    <w:rsid w:val="00135307"/>
    <w:rsid w:val="00155C79"/>
    <w:rsid w:val="00172C69"/>
    <w:rsid w:val="00176ACB"/>
    <w:rsid w:val="00177F38"/>
    <w:rsid w:val="001A44C8"/>
    <w:rsid w:val="001C6ACF"/>
    <w:rsid w:val="0021027E"/>
    <w:rsid w:val="0022053F"/>
    <w:rsid w:val="00224FBC"/>
    <w:rsid w:val="00230981"/>
    <w:rsid w:val="00230BE8"/>
    <w:rsid w:val="00263FF9"/>
    <w:rsid w:val="0026403E"/>
    <w:rsid w:val="0026487E"/>
    <w:rsid w:val="00271124"/>
    <w:rsid w:val="002A15BE"/>
    <w:rsid w:val="002B3305"/>
    <w:rsid w:val="002B646C"/>
    <w:rsid w:val="002C1AEF"/>
    <w:rsid w:val="002D2862"/>
    <w:rsid w:val="002E14FF"/>
    <w:rsid w:val="002F241B"/>
    <w:rsid w:val="003022CF"/>
    <w:rsid w:val="00302F6B"/>
    <w:rsid w:val="00332F5B"/>
    <w:rsid w:val="003377F3"/>
    <w:rsid w:val="00343E95"/>
    <w:rsid w:val="00344F3A"/>
    <w:rsid w:val="003576B4"/>
    <w:rsid w:val="00365F89"/>
    <w:rsid w:val="00367E21"/>
    <w:rsid w:val="0037367F"/>
    <w:rsid w:val="00382C05"/>
    <w:rsid w:val="003A2290"/>
    <w:rsid w:val="003A415A"/>
    <w:rsid w:val="003C12D4"/>
    <w:rsid w:val="003D4325"/>
    <w:rsid w:val="003D58CD"/>
    <w:rsid w:val="003D6284"/>
    <w:rsid w:val="003F0E5F"/>
    <w:rsid w:val="003F23BF"/>
    <w:rsid w:val="00401902"/>
    <w:rsid w:val="00402E70"/>
    <w:rsid w:val="00406EE3"/>
    <w:rsid w:val="00433F7B"/>
    <w:rsid w:val="0043521F"/>
    <w:rsid w:val="00441BA5"/>
    <w:rsid w:val="00472322"/>
    <w:rsid w:val="00475BE4"/>
    <w:rsid w:val="004820B3"/>
    <w:rsid w:val="004917FE"/>
    <w:rsid w:val="004A7064"/>
    <w:rsid w:val="004C6FEE"/>
    <w:rsid w:val="004F283A"/>
    <w:rsid w:val="00504160"/>
    <w:rsid w:val="00504AD8"/>
    <w:rsid w:val="0050623D"/>
    <w:rsid w:val="005129DC"/>
    <w:rsid w:val="005136EB"/>
    <w:rsid w:val="00523B64"/>
    <w:rsid w:val="005446D1"/>
    <w:rsid w:val="00555D52"/>
    <w:rsid w:val="00563F15"/>
    <w:rsid w:val="00565854"/>
    <w:rsid w:val="0056586F"/>
    <w:rsid w:val="005A1635"/>
    <w:rsid w:val="005A3B51"/>
    <w:rsid w:val="005A740B"/>
    <w:rsid w:val="005F6D17"/>
    <w:rsid w:val="00611A84"/>
    <w:rsid w:val="00624D5F"/>
    <w:rsid w:val="00630D16"/>
    <w:rsid w:val="00664EA3"/>
    <w:rsid w:val="00670643"/>
    <w:rsid w:val="00671618"/>
    <w:rsid w:val="0068012E"/>
    <w:rsid w:val="00681C69"/>
    <w:rsid w:val="00687D95"/>
    <w:rsid w:val="006A12C9"/>
    <w:rsid w:val="006B40A8"/>
    <w:rsid w:val="0071320D"/>
    <w:rsid w:val="00717975"/>
    <w:rsid w:val="007214EF"/>
    <w:rsid w:val="00730D27"/>
    <w:rsid w:val="0073182B"/>
    <w:rsid w:val="00756483"/>
    <w:rsid w:val="00772C87"/>
    <w:rsid w:val="00773662"/>
    <w:rsid w:val="00784FD9"/>
    <w:rsid w:val="007A01D4"/>
    <w:rsid w:val="007A0AC2"/>
    <w:rsid w:val="007A4FA9"/>
    <w:rsid w:val="007A62A5"/>
    <w:rsid w:val="007D50EE"/>
    <w:rsid w:val="007E5414"/>
    <w:rsid w:val="007E5C60"/>
    <w:rsid w:val="0081771A"/>
    <w:rsid w:val="00821046"/>
    <w:rsid w:val="0083055A"/>
    <w:rsid w:val="00831D16"/>
    <w:rsid w:val="00840978"/>
    <w:rsid w:val="008636B2"/>
    <w:rsid w:val="008779A1"/>
    <w:rsid w:val="00892F87"/>
    <w:rsid w:val="008A3335"/>
    <w:rsid w:val="008D2780"/>
    <w:rsid w:val="0090070C"/>
    <w:rsid w:val="009161E3"/>
    <w:rsid w:val="00924C22"/>
    <w:rsid w:val="009264FC"/>
    <w:rsid w:val="00950326"/>
    <w:rsid w:val="0095037C"/>
    <w:rsid w:val="00982D8A"/>
    <w:rsid w:val="009921CE"/>
    <w:rsid w:val="009B6600"/>
    <w:rsid w:val="009D49DF"/>
    <w:rsid w:val="009D52F6"/>
    <w:rsid w:val="009F4203"/>
    <w:rsid w:val="00A004C6"/>
    <w:rsid w:val="00A02BA7"/>
    <w:rsid w:val="00A3185C"/>
    <w:rsid w:val="00A32373"/>
    <w:rsid w:val="00A3441B"/>
    <w:rsid w:val="00A45E94"/>
    <w:rsid w:val="00A50A11"/>
    <w:rsid w:val="00A863F8"/>
    <w:rsid w:val="00A95912"/>
    <w:rsid w:val="00AA32A7"/>
    <w:rsid w:val="00AB3639"/>
    <w:rsid w:val="00AD566F"/>
    <w:rsid w:val="00AD61B2"/>
    <w:rsid w:val="00AE7064"/>
    <w:rsid w:val="00B036EA"/>
    <w:rsid w:val="00B10730"/>
    <w:rsid w:val="00B55141"/>
    <w:rsid w:val="00B822B8"/>
    <w:rsid w:val="00B87033"/>
    <w:rsid w:val="00BA0A42"/>
    <w:rsid w:val="00BA68AE"/>
    <w:rsid w:val="00BA6E4A"/>
    <w:rsid w:val="00BA7005"/>
    <w:rsid w:val="00BE5A4B"/>
    <w:rsid w:val="00C23ABE"/>
    <w:rsid w:val="00C30309"/>
    <w:rsid w:val="00C33BD3"/>
    <w:rsid w:val="00C50D98"/>
    <w:rsid w:val="00C60B86"/>
    <w:rsid w:val="00C80E9B"/>
    <w:rsid w:val="00C819C3"/>
    <w:rsid w:val="00C871CB"/>
    <w:rsid w:val="00C96B7E"/>
    <w:rsid w:val="00C96D7E"/>
    <w:rsid w:val="00CA575B"/>
    <w:rsid w:val="00CE566A"/>
    <w:rsid w:val="00CF126E"/>
    <w:rsid w:val="00CF716F"/>
    <w:rsid w:val="00D20AFB"/>
    <w:rsid w:val="00D71C79"/>
    <w:rsid w:val="00D8611F"/>
    <w:rsid w:val="00DA1649"/>
    <w:rsid w:val="00DC1164"/>
    <w:rsid w:val="00DD2762"/>
    <w:rsid w:val="00DF7E83"/>
    <w:rsid w:val="00E10F3C"/>
    <w:rsid w:val="00E17612"/>
    <w:rsid w:val="00E21502"/>
    <w:rsid w:val="00E33E4C"/>
    <w:rsid w:val="00E352EB"/>
    <w:rsid w:val="00E54E8A"/>
    <w:rsid w:val="00E676DD"/>
    <w:rsid w:val="00E81A9F"/>
    <w:rsid w:val="00E83879"/>
    <w:rsid w:val="00E838D2"/>
    <w:rsid w:val="00E91FEC"/>
    <w:rsid w:val="00EA5F6A"/>
    <w:rsid w:val="00EA6BD5"/>
    <w:rsid w:val="00ED6A6A"/>
    <w:rsid w:val="00F0050D"/>
    <w:rsid w:val="00F10AB2"/>
    <w:rsid w:val="00F211EB"/>
    <w:rsid w:val="00F212E9"/>
    <w:rsid w:val="00F57CBF"/>
    <w:rsid w:val="00F70587"/>
    <w:rsid w:val="00F84B05"/>
    <w:rsid w:val="00F86323"/>
    <w:rsid w:val="00F93837"/>
    <w:rsid w:val="00F96774"/>
    <w:rsid w:val="00FA6803"/>
    <w:rsid w:val="00FB4B69"/>
    <w:rsid w:val="00FD4DFA"/>
    <w:rsid w:val="00FF3A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A9DD3"/>
  <w15:chartTrackingRefBased/>
  <w15:docId w15:val="{7FA5920B-D996-4BDA-BD90-16B73DB97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40978"/>
    <w:rPr>
      <w:rFonts w:eastAsiaTheme="minorEastAsia" w:cs="Arial"/>
    </w:rPr>
  </w:style>
  <w:style w:type="paragraph" w:styleId="Heading1">
    <w:name w:val="heading 1"/>
    <w:basedOn w:val="Normal"/>
    <w:next w:val="Normal"/>
    <w:link w:val="Heading1Char"/>
    <w:uiPriority w:val="9"/>
    <w:qFormat/>
    <w:rsid w:val="005136EB"/>
    <w:pPr>
      <w:widowControl w:val="0"/>
      <w:autoSpaceDE w:val="0"/>
      <w:autoSpaceDN w:val="0"/>
      <w:bidi/>
      <w:adjustRightInd w:val="0"/>
      <w:spacing w:after="0" w:line="240" w:lineRule="auto"/>
      <w:jc w:val="center"/>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5136EB"/>
    <w:pPr>
      <w:widowControl w:val="0"/>
      <w:autoSpaceDE w:val="0"/>
      <w:autoSpaceDN w:val="0"/>
      <w:bidi/>
      <w:adjustRightInd w:val="0"/>
      <w:spacing w:after="0" w:line="240" w:lineRule="auto"/>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CA575B"/>
    <w:pPr>
      <w:widowControl w:val="0"/>
      <w:autoSpaceDE w:val="0"/>
      <w:autoSpaceDN w:val="0"/>
      <w:bidi/>
      <w:adjustRightInd w:val="0"/>
      <w:spacing w:after="0" w:line="240" w:lineRule="auto"/>
      <w:outlineLvl w:val="2"/>
    </w:pPr>
    <w:rPr>
      <w:rFonts w:ascii="Simplified Arabic" w:hAnsi="Simplified Arabic" w:cs="Simplified Arabic"/>
      <w:b/>
      <w:bCs/>
      <w:sz w:val="32"/>
      <w:szCs w:val="32"/>
    </w:rPr>
  </w:style>
  <w:style w:type="paragraph" w:styleId="Heading4">
    <w:name w:val="heading 4"/>
    <w:basedOn w:val="Normal"/>
    <w:next w:val="Normal"/>
    <w:link w:val="Heading4Char"/>
    <w:uiPriority w:val="9"/>
    <w:unhideWhenUsed/>
    <w:qFormat/>
    <w:rsid w:val="009B6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6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6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6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6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6EB"/>
    <w:rPr>
      <w:rFonts w:ascii="Simplified Arabic" w:eastAsiaTheme="minorEastAsia" w:hAnsi="Simplified Arabic" w:cs="Simplified Arabic"/>
      <w:b/>
      <w:bCs/>
      <w:sz w:val="40"/>
      <w:szCs w:val="40"/>
    </w:rPr>
  </w:style>
  <w:style w:type="character" w:customStyle="1" w:styleId="Heading2Char">
    <w:name w:val="Heading 2 Char"/>
    <w:basedOn w:val="DefaultParagraphFont"/>
    <w:link w:val="Heading2"/>
    <w:uiPriority w:val="9"/>
    <w:rsid w:val="005136EB"/>
    <w:rPr>
      <w:rFonts w:ascii="Simplified Arabic" w:eastAsiaTheme="minorEastAsia" w:hAnsi="Simplified Arabic" w:cs="Simplified Arabic"/>
      <w:b/>
      <w:bCs/>
      <w:sz w:val="36"/>
      <w:szCs w:val="36"/>
    </w:rPr>
  </w:style>
  <w:style w:type="character" w:customStyle="1" w:styleId="Heading3Char">
    <w:name w:val="Heading 3 Char"/>
    <w:basedOn w:val="DefaultParagraphFont"/>
    <w:link w:val="Heading3"/>
    <w:uiPriority w:val="9"/>
    <w:rsid w:val="00CA575B"/>
    <w:rPr>
      <w:rFonts w:ascii="Simplified Arabic" w:eastAsiaTheme="minorEastAsia" w:hAnsi="Simplified Arabic" w:cs="Simplified Arabic"/>
      <w:b/>
      <w:bCs/>
      <w:sz w:val="32"/>
      <w:szCs w:val="32"/>
    </w:rPr>
  </w:style>
  <w:style w:type="character" w:customStyle="1" w:styleId="Heading4Char">
    <w:name w:val="Heading 4 Char"/>
    <w:basedOn w:val="DefaultParagraphFont"/>
    <w:link w:val="Heading4"/>
    <w:uiPriority w:val="9"/>
    <w:rsid w:val="009B6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600"/>
    <w:rPr>
      <w:rFonts w:eastAsiaTheme="majorEastAsia" w:cstheme="majorBidi"/>
      <w:color w:val="272727" w:themeColor="text1" w:themeTint="D8"/>
    </w:rPr>
  </w:style>
  <w:style w:type="paragraph" w:styleId="Title">
    <w:name w:val="Title"/>
    <w:basedOn w:val="Normal"/>
    <w:next w:val="Normal"/>
    <w:link w:val="TitleChar"/>
    <w:uiPriority w:val="10"/>
    <w:qFormat/>
    <w:rsid w:val="009B6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600"/>
    <w:pPr>
      <w:spacing w:before="160"/>
      <w:jc w:val="center"/>
    </w:pPr>
    <w:rPr>
      <w:i/>
      <w:iCs/>
      <w:color w:val="404040" w:themeColor="text1" w:themeTint="BF"/>
    </w:rPr>
  </w:style>
  <w:style w:type="character" w:customStyle="1" w:styleId="QuoteChar">
    <w:name w:val="Quote Char"/>
    <w:basedOn w:val="DefaultParagraphFont"/>
    <w:link w:val="Quote"/>
    <w:uiPriority w:val="29"/>
    <w:rsid w:val="009B6600"/>
    <w:rPr>
      <w:i/>
      <w:iCs/>
      <w:color w:val="404040" w:themeColor="text1" w:themeTint="BF"/>
    </w:rPr>
  </w:style>
  <w:style w:type="paragraph" w:styleId="ListParagraph">
    <w:name w:val="List Paragraph"/>
    <w:basedOn w:val="Normal"/>
    <w:uiPriority w:val="34"/>
    <w:qFormat/>
    <w:rsid w:val="009B6600"/>
    <w:pPr>
      <w:ind w:left="720"/>
      <w:contextualSpacing/>
    </w:pPr>
  </w:style>
  <w:style w:type="character" w:styleId="IntenseEmphasis">
    <w:name w:val="Intense Emphasis"/>
    <w:basedOn w:val="DefaultParagraphFont"/>
    <w:uiPriority w:val="21"/>
    <w:qFormat/>
    <w:rsid w:val="009B6600"/>
    <w:rPr>
      <w:i/>
      <w:iCs/>
      <w:color w:val="0F4761" w:themeColor="accent1" w:themeShade="BF"/>
    </w:rPr>
  </w:style>
  <w:style w:type="paragraph" w:styleId="IntenseQuote">
    <w:name w:val="Intense Quote"/>
    <w:basedOn w:val="Normal"/>
    <w:next w:val="Normal"/>
    <w:link w:val="IntenseQuoteChar"/>
    <w:uiPriority w:val="30"/>
    <w:qFormat/>
    <w:rsid w:val="009B6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600"/>
    <w:rPr>
      <w:i/>
      <w:iCs/>
      <w:color w:val="0F4761" w:themeColor="accent1" w:themeShade="BF"/>
    </w:rPr>
  </w:style>
  <w:style w:type="character" w:styleId="IntenseReference">
    <w:name w:val="Intense Reference"/>
    <w:basedOn w:val="DefaultParagraphFont"/>
    <w:uiPriority w:val="32"/>
    <w:qFormat/>
    <w:rsid w:val="009B6600"/>
    <w:rPr>
      <w:b/>
      <w:bCs/>
      <w:smallCaps/>
      <w:color w:val="0F4761" w:themeColor="accent1" w:themeShade="BF"/>
      <w:spacing w:val="5"/>
    </w:rPr>
  </w:style>
  <w:style w:type="paragraph" w:customStyle="1" w:styleId="msonormal0">
    <w:name w:val="msonormal"/>
    <w:basedOn w:val="Normal"/>
    <w:rsid w:val="0022053F"/>
    <w:pPr>
      <w:spacing w:before="100" w:beforeAutospacing="1" w:after="100" w:afterAutospacing="1" w:line="240" w:lineRule="auto"/>
    </w:pPr>
    <w:rPr>
      <w:rFonts w:ascii="Times New Roman" w:eastAsia="Times New Roman" w:hAnsi="Times New Roman" w:cs="Times New Roman"/>
      <w:kern w:val="0"/>
    </w:rPr>
  </w:style>
  <w:style w:type="character" w:styleId="Strong">
    <w:name w:val="Strong"/>
    <w:basedOn w:val="DefaultParagraphFont"/>
    <w:uiPriority w:val="22"/>
    <w:qFormat/>
    <w:rsid w:val="0022053F"/>
    <w:rPr>
      <w:b/>
      <w:bCs/>
    </w:rPr>
  </w:style>
  <w:style w:type="paragraph" w:customStyle="1" w:styleId="font-claude-response-body">
    <w:name w:val="font-claude-response-body"/>
    <w:basedOn w:val="Normal"/>
    <w:rsid w:val="0022053F"/>
    <w:pPr>
      <w:spacing w:before="100" w:beforeAutospacing="1" w:after="100" w:afterAutospacing="1" w:line="240" w:lineRule="auto"/>
    </w:pPr>
    <w:rPr>
      <w:rFonts w:ascii="Times New Roman" w:eastAsia="Times New Roman" w:hAnsi="Times New Roman" w:cs="Times New Roman"/>
      <w:kern w:val="0"/>
    </w:rPr>
  </w:style>
  <w:style w:type="paragraph" w:customStyle="1" w:styleId="whitespace-normal">
    <w:name w:val="whitespace-normal"/>
    <w:basedOn w:val="Normal"/>
    <w:rsid w:val="0022053F"/>
    <w:pPr>
      <w:spacing w:before="100" w:beforeAutospacing="1" w:after="100" w:afterAutospacing="1" w:line="240" w:lineRule="auto"/>
    </w:pPr>
    <w:rPr>
      <w:rFonts w:ascii="Times New Roman" w:eastAsia="Times New Roman" w:hAnsi="Times New Roman" w:cs="Times New Roman"/>
      <w:kern w:val="0"/>
    </w:rPr>
  </w:style>
  <w:style w:type="character" w:styleId="Emphasis">
    <w:name w:val="Emphasis"/>
    <w:basedOn w:val="DefaultParagraphFont"/>
    <w:uiPriority w:val="20"/>
    <w:qFormat/>
    <w:rsid w:val="0022053F"/>
    <w:rPr>
      <w:i/>
      <w:iCs/>
    </w:rPr>
  </w:style>
  <w:style w:type="character" w:styleId="Hyperlink">
    <w:name w:val="Hyperlink"/>
    <w:basedOn w:val="DefaultParagraphFont"/>
    <w:uiPriority w:val="99"/>
    <w:unhideWhenUsed/>
    <w:rsid w:val="0022053F"/>
    <w:rPr>
      <w:color w:val="0000FF"/>
      <w:u w:val="single"/>
    </w:rPr>
  </w:style>
  <w:style w:type="character" w:styleId="FollowedHyperlink">
    <w:name w:val="FollowedHyperlink"/>
    <w:basedOn w:val="DefaultParagraphFont"/>
    <w:uiPriority w:val="99"/>
    <w:semiHidden/>
    <w:unhideWhenUsed/>
    <w:rsid w:val="0022053F"/>
    <w:rPr>
      <w:color w:val="800080"/>
      <w:u w:val="single"/>
    </w:rPr>
  </w:style>
  <w:style w:type="paragraph" w:styleId="HTMLPreformatted">
    <w:name w:val="HTML Preformatted"/>
    <w:basedOn w:val="Normal"/>
    <w:link w:val="HTMLPreformattedChar"/>
    <w:uiPriority w:val="99"/>
    <w:unhideWhenUsed/>
    <w:rsid w:val="002205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rsid w:val="0022053F"/>
    <w:rPr>
      <w:rFonts w:ascii="Courier New" w:eastAsia="Times New Roman" w:hAnsi="Courier New" w:cs="Courier New"/>
      <w:kern w:val="0"/>
      <w:sz w:val="20"/>
      <w:szCs w:val="20"/>
    </w:rPr>
  </w:style>
  <w:style w:type="character" w:customStyle="1" w:styleId="UnresolvedMention1">
    <w:name w:val="Unresolved Mention1"/>
    <w:basedOn w:val="DefaultParagraphFont"/>
    <w:uiPriority w:val="99"/>
    <w:semiHidden/>
    <w:unhideWhenUsed/>
    <w:rsid w:val="0022053F"/>
    <w:rPr>
      <w:color w:val="605E5C"/>
      <w:shd w:val="clear" w:color="auto" w:fill="E1DFDD"/>
    </w:rPr>
  </w:style>
  <w:style w:type="table" w:styleId="PlainTable1">
    <w:name w:val="Plain Table 1"/>
    <w:basedOn w:val="TableNormal"/>
    <w:uiPriority w:val="41"/>
    <w:rsid w:val="005062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E541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DD2762"/>
    <w:pPr>
      <w:keepNext/>
      <w:keepLines/>
      <w:widowControl/>
      <w:autoSpaceDE/>
      <w:autoSpaceDN/>
      <w:bidi w:val="0"/>
      <w:adjustRightInd/>
      <w:spacing w:before="24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Normal"/>
    <w:next w:val="Normal"/>
    <w:autoRedefine/>
    <w:uiPriority w:val="39"/>
    <w:unhideWhenUsed/>
    <w:rsid w:val="00DD2762"/>
    <w:pPr>
      <w:spacing w:after="100"/>
    </w:pPr>
  </w:style>
  <w:style w:type="paragraph" w:styleId="TOC2">
    <w:name w:val="toc 2"/>
    <w:basedOn w:val="Normal"/>
    <w:next w:val="Normal"/>
    <w:autoRedefine/>
    <w:uiPriority w:val="39"/>
    <w:unhideWhenUsed/>
    <w:rsid w:val="00DD2762"/>
    <w:pPr>
      <w:spacing w:after="100"/>
      <w:ind w:left="240"/>
    </w:pPr>
  </w:style>
  <w:style w:type="paragraph" w:styleId="TOC3">
    <w:name w:val="toc 3"/>
    <w:basedOn w:val="Normal"/>
    <w:next w:val="Normal"/>
    <w:autoRedefine/>
    <w:uiPriority w:val="39"/>
    <w:unhideWhenUsed/>
    <w:rsid w:val="00DD2762"/>
    <w:pPr>
      <w:spacing w:after="100"/>
      <w:ind w:left="480"/>
    </w:pPr>
  </w:style>
  <w:style w:type="paragraph" w:styleId="TOC4">
    <w:name w:val="toc 4"/>
    <w:basedOn w:val="Normal"/>
    <w:next w:val="Normal"/>
    <w:autoRedefine/>
    <w:uiPriority w:val="39"/>
    <w:unhideWhenUsed/>
    <w:rsid w:val="00DD2762"/>
    <w:pPr>
      <w:spacing w:after="100"/>
      <w:ind w:left="720"/>
    </w:pPr>
    <w:rPr>
      <w:rFonts w:cstheme="minorBidi"/>
    </w:rPr>
  </w:style>
  <w:style w:type="paragraph" w:styleId="TOC5">
    <w:name w:val="toc 5"/>
    <w:basedOn w:val="Normal"/>
    <w:next w:val="Normal"/>
    <w:autoRedefine/>
    <w:uiPriority w:val="39"/>
    <w:unhideWhenUsed/>
    <w:rsid w:val="00DD2762"/>
    <w:pPr>
      <w:spacing w:after="100"/>
      <w:ind w:left="960"/>
    </w:pPr>
    <w:rPr>
      <w:rFonts w:cstheme="minorBidi"/>
    </w:rPr>
  </w:style>
  <w:style w:type="paragraph" w:styleId="TOC6">
    <w:name w:val="toc 6"/>
    <w:basedOn w:val="Normal"/>
    <w:next w:val="Normal"/>
    <w:autoRedefine/>
    <w:uiPriority w:val="39"/>
    <w:unhideWhenUsed/>
    <w:rsid w:val="00DD2762"/>
    <w:pPr>
      <w:spacing w:after="100"/>
      <w:ind w:left="1200"/>
    </w:pPr>
    <w:rPr>
      <w:rFonts w:cstheme="minorBidi"/>
    </w:rPr>
  </w:style>
  <w:style w:type="paragraph" w:styleId="TOC7">
    <w:name w:val="toc 7"/>
    <w:basedOn w:val="Normal"/>
    <w:next w:val="Normal"/>
    <w:autoRedefine/>
    <w:uiPriority w:val="39"/>
    <w:unhideWhenUsed/>
    <w:rsid w:val="00DD2762"/>
    <w:pPr>
      <w:spacing w:after="100"/>
      <w:ind w:left="1440"/>
    </w:pPr>
    <w:rPr>
      <w:rFonts w:cstheme="minorBidi"/>
    </w:rPr>
  </w:style>
  <w:style w:type="paragraph" w:styleId="TOC8">
    <w:name w:val="toc 8"/>
    <w:basedOn w:val="Normal"/>
    <w:next w:val="Normal"/>
    <w:autoRedefine/>
    <w:uiPriority w:val="39"/>
    <w:unhideWhenUsed/>
    <w:rsid w:val="00DD2762"/>
    <w:pPr>
      <w:spacing w:after="100"/>
      <w:ind w:left="1680"/>
    </w:pPr>
    <w:rPr>
      <w:rFonts w:cstheme="minorBidi"/>
    </w:rPr>
  </w:style>
  <w:style w:type="paragraph" w:styleId="TOC9">
    <w:name w:val="toc 9"/>
    <w:basedOn w:val="Normal"/>
    <w:next w:val="Normal"/>
    <w:autoRedefine/>
    <w:uiPriority w:val="39"/>
    <w:unhideWhenUsed/>
    <w:rsid w:val="00DD2762"/>
    <w:pPr>
      <w:spacing w:after="100"/>
      <w:ind w:left="1920"/>
    </w:pPr>
    <w:rPr>
      <w:rFonts w:cstheme="minorBidi"/>
    </w:rPr>
  </w:style>
  <w:style w:type="paragraph" w:styleId="Header">
    <w:name w:val="header"/>
    <w:basedOn w:val="Normal"/>
    <w:link w:val="HeaderChar"/>
    <w:uiPriority w:val="99"/>
    <w:unhideWhenUsed/>
    <w:rsid w:val="00563F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F15"/>
    <w:rPr>
      <w:rFonts w:eastAsiaTheme="minorEastAsia" w:cs="Arial"/>
    </w:rPr>
  </w:style>
  <w:style w:type="paragraph" w:styleId="Footer">
    <w:name w:val="footer"/>
    <w:basedOn w:val="Normal"/>
    <w:link w:val="FooterChar"/>
    <w:uiPriority w:val="99"/>
    <w:unhideWhenUsed/>
    <w:rsid w:val="00563F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F15"/>
    <w:rPr>
      <w:rFonts w:eastAsiaTheme="minorEastAsia" w:cs="Arial"/>
    </w:rPr>
  </w:style>
  <w:style w:type="character" w:styleId="CommentReference">
    <w:name w:val="annotation reference"/>
    <w:basedOn w:val="DefaultParagraphFont"/>
    <w:uiPriority w:val="99"/>
    <w:semiHidden/>
    <w:unhideWhenUsed/>
    <w:rsid w:val="00630D16"/>
    <w:rPr>
      <w:sz w:val="16"/>
      <w:szCs w:val="16"/>
    </w:rPr>
  </w:style>
  <w:style w:type="paragraph" w:styleId="CommentText">
    <w:name w:val="annotation text"/>
    <w:basedOn w:val="Normal"/>
    <w:link w:val="CommentTextChar"/>
    <w:uiPriority w:val="99"/>
    <w:semiHidden/>
    <w:unhideWhenUsed/>
    <w:rsid w:val="00630D16"/>
    <w:pPr>
      <w:spacing w:line="240" w:lineRule="auto"/>
    </w:pPr>
    <w:rPr>
      <w:sz w:val="20"/>
      <w:szCs w:val="20"/>
    </w:rPr>
  </w:style>
  <w:style w:type="character" w:customStyle="1" w:styleId="CommentTextChar">
    <w:name w:val="Comment Text Char"/>
    <w:basedOn w:val="DefaultParagraphFont"/>
    <w:link w:val="CommentText"/>
    <w:uiPriority w:val="99"/>
    <w:semiHidden/>
    <w:rsid w:val="00630D16"/>
    <w:rPr>
      <w:rFonts w:eastAsiaTheme="minorEastAsia" w:cs="Arial"/>
      <w:sz w:val="20"/>
      <w:szCs w:val="20"/>
    </w:rPr>
  </w:style>
  <w:style w:type="paragraph" w:styleId="CommentSubject">
    <w:name w:val="annotation subject"/>
    <w:basedOn w:val="CommentText"/>
    <w:next w:val="CommentText"/>
    <w:link w:val="CommentSubjectChar"/>
    <w:uiPriority w:val="99"/>
    <w:semiHidden/>
    <w:unhideWhenUsed/>
    <w:rsid w:val="00630D16"/>
    <w:rPr>
      <w:b/>
      <w:bCs/>
    </w:rPr>
  </w:style>
  <w:style w:type="character" w:customStyle="1" w:styleId="CommentSubjectChar">
    <w:name w:val="Comment Subject Char"/>
    <w:basedOn w:val="CommentTextChar"/>
    <w:link w:val="CommentSubject"/>
    <w:uiPriority w:val="99"/>
    <w:semiHidden/>
    <w:rsid w:val="00630D16"/>
    <w:rPr>
      <w:rFonts w:eastAsiaTheme="minorEastAsia" w:cs="Arial"/>
      <w:b/>
      <w:bCs/>
      <w:sz w:val="20"/>
      <w:szCs w:val="20"/>
    </w:rPr>
  </w:style>
  <w:style w:type="paragraph" w:styleId="BalloonText">
    <w:name w:val="Balloon Text"/>
    <w:basedOn w:val="Normal"/>
    <w:link w:val="BalloonTextChar"/>
    <w:uiPriority w:val="99"/>
    <w:semiHidden/>
    <w:unhideWhenUsed/>
    <w:rsid w:val="00630D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D16"/>
    <w:rPr>
      <w:rFonts w:ascii="Segoe UI" w:eastAsiaTheme="minorEastAsia" w:hAnsi="Segoe UI" w:cs="Segoe UI"/>
      <w:sz w:val="18"/>
      <w:szCs w:val="18"/>
    </w:rPr>
  </w:style>
  <w:style w:type="paragraph" w:styleId="Caption">
    <w:name w:val="caption"/>
    <w:basedOn w:val="Normal"/>
    <w:next w:val="Normal"/>
    <w:uiPriority w:val="35"/>
    <w:unhideWhenUsed/>
    <w:qFormat/>
    <w:rsid w:val="0090070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1648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96FE6-4FE9-4FAD-B038-205B6BEDC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Pages>
  <Words>15180</Words>
  <Characters>86529</Characters>
  <Application>Microsoft Office Word</Application>
  <DocSecurity>0</DocSecurity>
  <Lines>721</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shoniz mahmoud mohamed mohamed</dc:creator>
  <cp:keywords/>
  <dc:description/>
  <cp:lastModifiedBy>maha sultan</cp:lastModifiedBy>
  <cp:revision>187</cp:revision>
  <cp:lastPrinted>2025-11-14T17:49:00Z</cp:lastPrinted>
  <dcterms:created xsi:type="dcterms:W3CDTF">2025-11-14T11:30:00Z</dcterms:created>
  <dcterms:modified xsi:type="dcterms:W3CDTF">2025-11-20T17:37:00Z</dcterms:modified>
</cp:coreProperties>
</file>