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547A5AD" w:rsidR="009125CE" w:rsidRPr="009B67DA" w:rsidRDefault="003F570E" w:rsidP="003F570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B67DA">
        <w:rPr>
          <w:rFonts w:ascii="Simplified Arabic" w:hAnsi="Simplified Arabic" w:cs="Simplified Arabic" w:hint="cs"/>
          <w:b/>
          <w:bCs/>
          <w:noProof/>
          <w:color w:val="000000" w:themeColor="text1"/>
          <w:sz w:val="32"/>
          <w:szCs w:val="32"/>
        </w:rPr>
        <w:drawing>
          <wp:anchor distT="0" distB="0" distL="114300" distR="114300" simplePos="0" relativeHeight="251656192" behindDoc="0" locked="0" layoutInCell="1" allowOverlap="1" wp14:anchorId="4117FFF0" wp14:editId="78202D5F">
            <wp:simplePos x="0" y="0"/>
            <wp:positionH relativeFrom="margin">
              <wp:posOffset>72390</wp:posOffset>
            </wp:positionH>
            <wp:positionV relativeFrom="margin">
              <wp:posOffset>-171450</wp:posOffset>
            </wp:positionV>
            <wp:extent cx="1815465" cy="168465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5465" cy="1684655"/>
                    </a:xfrm>
                    <a:prstGeom prst="rect">
                      <a:avLst/>
                    </a:prstGeom>
                  </pic:spPr>
                </pic:pic>
              </a:graphicData>
            </a:graphic>
            <wp14:sizeRelH relativeFrom="margin">
              <wp14:pctWidth>0</wp14:pctWidth>
            </wp14:sizeRelH>
            <wp14:sizeRelV relativeFrom="margin">
              <wp14:pctHeight>0</wp14:pctHeight>
            </wp14:sizeRelV>
          </wp:anchor>
        </w:drawing>
      </w:r>
      <w:r w:rsidR="009125CE" w:rsidRPr="009B67DA">
        <w:rPr>
          <w:rFonts w:ascii="Simplified Arabic" w:hAnsi="Simplified Arabic" w:cs="Simplified Arabic"/>
          <w:b/>
          <w:bCs/>
          <w:color w:val="000000" w:themeColor="text1"/>
          <w:sz w:val="32"/>
          <w:szCs w:val="32"/>
          <w:rtl/>
          <w:lang w:bidi="ar-EG"/>
        </w:rPr>
        <w:t xml:space="preserve">جامعة </w:t>
      </w:r>
      <w:proofErr w:type="spellStart"/>
      <w:r w:rsidR="009125CE" w:rsidRPr="009B67DA">
        <w:rPr>
          <w:rFonts w:ascii="Simplified Arabic" w:hAnsi="Simplified Arabic" w:cs="Simplified Arabic"/>
          <w:b/>
          <w:bCs/>
          <w:color w:val="000000" w:themeColor="text1"/>
          <w:sz w:val="32"/>
          <w:szCs w:val="32"/>
          <w:rtl/>
          <w:lang w:bidi="ar-EG"/>
        </w:rPr>
        <w:t>ميدأوشن</w:t>
      </w:r>
      <w:proofErr w:type="spellEnd"/>
      <w:r w:rsidR="009125CE" w:rsidRPr="009B67DA">
        <w:rPr>
          <w:rFonts w:ascii="Simplified Arabic" w:hAnsi="Simplified Arabic" w:cs="Simplified Arabic"/>
          <w:b/>
          <w:bCs/>
          <w:color w:val="000000" w:themeColor="text1"/>
          <w:sz w:val="32"/>
          <w:szCs w:val="32"/>
          <w:rtl/>
          <w:lang w:bidi="ar-EG"/>
        </w:rPr>
        <w:t xml:space="preserve"> </w:t>
      </w:r>
    </w:p>
    <w:p w14:paraId="1E957002" w14:textId="4C4745A5" w:rsidR="00F546CE" w:rsidRPr="009B67DA" w:rsidRDefault="009125CE" w:rsidP="003F57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B67DA">
        <w:rPr>
          <w:rFonts w:ascii="Simplified Arabic" w:hAnsi="Simplified Arabic" w:cs="Simplified Arabic"/>
          <w:b/>
          <w:bCs/>
          <w:color w:val="000000" w:themeColor="text1"/>
          <w:sz w:val="32"/>
          <w:szCs w:val="32"/>
          <w:lang w:bidi="ar-EG"/>
        </w:rPr>
        <w:t xml:space="preserve"> </w:t>
      </w:r>
      <w:r w:rsidRPr="009B67DA">
        <w:rPr>
          <w:rFonts w:ascii="Simplified Arabic" w:hAnsi="Simplified Arabic" w:cs="Simplified Arabic"/>
          <w:b/>
          <w:bCs/>
          <w:color w:val="000000" w:themeColor="text1"/>
          <w:sz w:val="32"/>
          <w:szCs w:val="32"/>
          <w:rtl/>
          <w:lang w:bidi="ar-EG"/>
        </w:rPr>
        <w:t xml:space="preserve">كلية </w:t>
      </w:r>
      <w:r w:rsidR="008C42C1" w:rsidRPr="009B67DA">
        <w:rPr>
          <w:rFonts w:ascii="Simplified Arabic" w:hAnsi="Simplified Arabic" w:cs="Simplified Arabic"/>
          <w:b/>
          <w:bCs/>
          <w:color w:val="000000" w:themeColor="text1"/>
          <w:sz w:val="32"/>
          <w:szCs w:val="32"/>
          <w:rtl/>
          <w:lang w:bidi="ar-EG"/>
        </w:rPr>
        <w:t>الإدارة</w:t>
      </w:r>
      <w:r w:rsidRPr="009B67DA">
        <w:rPr>
          <w:rFonts w:ascii="Simplified Arabic" w:hAnsi="Simplified Arabic" w:cs="Simplified Arabic"/>
          <w:b/>
          <w:bCs/>
          <w:color w:val="000000" w:themeColor="text1"/>
          <w:sz w:val="32"/>
          <w:szCs w:val="32"/>
          <w:rtl/>
          <w:lang w:bidi="ar-EG"/>
        </w:rPr>
        <w:t xml:space="preserve"> </w:t>
      </w:r>
    </w:p>
    <w:p w14:paraId="5F6542BF" w14:textId="2198B795" w:rsidR="009125CE" w:rsidRPr="009B67DA" w:rsidRDefault="00F86421" w:rsidP="003F57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B67DA">
        <w:rPr>
          <w:rFonts w:ascii="Simplified Arabic" w:hAnsi="Simplified Arabic" w:cs="Simplified Arabic"/>
          <w:b/>
          <w:bCs/>
          <w:color w:val="000000" w:themeColor="text1"/>
          <w:sz w:val="32"/>
          <w:szCs w:val="32"/>
          <w:rtl/>
          <w:lang w:bidi="ar-EG"/>
        </w:rPr>
        <w:t xml:space="preserve">ماجستير ادارة </w:t>
      </w:r>
      <w:r w:rsidR="003C4F68">
        <w:rPr>
          <w:rFonts w:ascii="Simplified Arabic" w:hAnsi="Simplified Arabic" w:cs="Simplified Arabic" w:hint="cs"/>
          <w:b/>
          <w:bCs/>
          <w:color w:val="000000" w:themeColor="text1"/>
          <w:sz w:val="32"/>
          <w:szCs w:val="32"/>
          <w:rtl/>
          <w:lang w:bidi="ar-EG"/>
        </w:rPr>
        <w:t xml:space="preserve">المخاطر </w:t>
      </w:r>
    </w:p>
    <w:p w14:paraId="5DCF5A82" w14:textId="77777777" w:rsidR="001138AC" w:rsidRPr="009B67DA" w:rsidRDefault="001138AC" w:rsidP="003F570E">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DBD23C9" w14:textId="77777777" w:rsidR="006533A1" w:rsidRPr="009B67DA" w:rsidRDefault="006533A1" w:rsidP="003F570E">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9B67DA">
        <w:rPr>
          <w:rFonts w:ascii="Simplified Arabic" w:hAnsi="Simplified Arabic" w:cs="Simplified Arabic"/>
          <w:b/>
          <w:bCs/>
          <w:color w:val="000000" w:themeColor="text1"/>
          <w:sz w:val="40"/>
          <w:szCs w:val="40"/>
          <w:rtl/>
        </w:rPr>
        <w:t>دور التحول الرقمي في إدارة مخاطر سلاسل الإمداد وتعزيز مرونتها: دراسة تطبيقية على الشركات اللوجستية في المملكة العربية السعودية.</w:t>
      </w:r>
    </w:p>
    <w:p w14:paraId="21BD13AF"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632C18B8" w:rsidR="009125CE" w:rsidRDefault="009125C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hAnsi="Simplified Arabic" w:cs="Simplified Arabic"/>
          <w:b/>
          <w:bCs/>
          <w:color w:val="000000" w:themeColor="text1"/>
          <w:sz w:val="36"/>
          <w:szCs w:val="36"/>
          <w:rtl/>
          <w:lang w:bidi="ar-EG"/>
        </w:rPr>
        <w:t>إعداد الطالب/</w:t>
      </w:r>
    </w:p>
    <w:p w14:paraId="5787B0D4" w14:textId="0D3F9EE5" w:rsidR="003C4F68" w:rsidRPr="003E2238" w:rsidRDefault="003C4F68"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E2238">
        <w:rPr>
          <w:rFonts w:ascii="Simplified Arabic" w:hAnsi="Simplified Arabic" w:cs="Simplified Arabic" w:hint="cs"/>
          <w:b/>
          <w:bCs/>
          <w:color w:val="000000" w:themeColor="text1"/>
          <w:sz w:val="36"/>
          <w:szCs w:val="36"/>
          <w:rtl/>
          <w:lang w:bidi="ar-EG"/>
        </w:rPr>
        <w:t xml:space="preserve">سلطان عادل يوسف الفوزان </w:t>
      </w:r>
    </w:p>
    <w:p w14:paraId="304122C7" w14:textId="581F9AE2" w:rsidR="003F570E" w:rsidRPr="003E2238" w:rsidRDefault="003C4F68"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E2238">
        <w:rPr>
          <w:rFonts w:eastAsia="Times New Roman"/>
          <w:sz w:val="36"/>
          <w:szCs w:val="36"/>
        </w:rPr>
        <w:t>253001635</w:t>
      </w:r>
    </w:p>
    <w:p w14:paraId="4DDFEE01"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3F570E" w:rsidRPr="009B67DA" w14:paraId="05A219A5" w14:textId="77777777" w:rsidTr="003F570E">
        <w:tc>
          <w:tcPr>
            <w:tcW w:w="4530" w:type="dxa"/>
          </w:tcPr>
          <w:p w14:paraId="680D46C6"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hAnsi="Simplified Arabic" w:cs="Simplified Arabic" w:hint="cs"/>
                <w:b/>
                <w:bCs/>
                <w:color w:val="000000" w:themeColor="text1"/>
                <w:sz w:val="36"/>
                <w:szCs w:val="36"/>
                <w:rtl/>
                <w:lang w:bidi="ar-EG"/>
              </w:rPr>
              <w:t>المشرف الرئيسي/</w:t>
            </w:r>
          </w:p>
        </w:tc>
        <w:tc>
          <w:tcPr>
            <w:tcW w:w="4531" w:type="dxa"/>
          </w:tcPr>
          <w:p w14:paraId="606108F9"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hAnsi="Simplified Arabic" w:cs="Simplified Arabic" w:hint="cs"/>
                <w:b/>
                <w:bCs/>
                <w:color w:val="000000" w:themeColor="text1"/>
                <w:sz w:val="36"/>
                <w:szCs w:val="36"/>
                <w:rtl/>
                <w:lang w:bidi="ar-EG"/>
              </w:rPr>
              <w:t>المشرف الثاني/</w:t>
            </w:r>
          </w:p>
        </w:tc>
      </w:tr>
      <w:tr w:rsidR="003F570E" w:rsidRPr="009B67DA" w14:paraId="787DAAF4" w14:textId="77777777" w:rsidTr="003F570E">
        <w:tc>
          <w:tcPr>
            <w:tcW w:w="4530" w:type="dxa"/>
          </w:tcPr>
          <w:p w14:paraId="36BE729C"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33F8FD5"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9B67DA">
              <w:rPr>
                <w:rFonts w:ascii="Simplified Arabic" w:eastAsia="Calibri" w:hAnsi="Simplified Arabic" w:cs="Simplified Arabic"/>
                <w:color w:val="000000" w:themeColor="text1"/>
                <w:kern w:val="0"/>
                <w:sz w:val="36"/>
                <w:szCs w:val="36"/>
                <w:rtl/>
                <w:lang w:bidi="ar-EG"/>
                <w14:ligatures w14:val="none"/>
              </w:rPr>
              <w:t>د.فايز</w:t>
            </w:r>
            <w:proofErr w:type="spellEnd"/>
            <w:r w:rsidRPr="009B67DA">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081444E9"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hAnsi="Simplified Arabic" w:cs="Simplified Arabic"/>
          <w:b/>
          <w:bCs/>
          <w:color w:val="000000" w:themeColor="text1"/>
          <w:sz w:val="36"/>
          <w:szCs w:val="36"/>
          <w:rtl/>
          <w:lang w:bidi="ar-EG"/>
        </w:rPr>
        <w:t>العام الدراسي:</w:t>
      </w:r>
    </w:p>
    <w:p w14:paraId="0CA45246"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B67DA">
        <w:rPr>
          <w:rFonts w:ascii="Simplified Arabic" w:hAnsi="Simplified Arabic" w:cs="Simplified Arabic" w:hint="cs"/>
          <w:color w:val="000000" w:themeColor="text1"/>
          <w:sz w:val="36"/>
          <w:szCs w:val="36"/>
          <w:rtl/>
          <w:lang w:bidi="ar-EG"/>
        </w:rPr>
        <w:t xml:space="preserve">1448 </w:t>
      </w:r>
      <w:r w:rsidRPr="009B67DA">
        <w:rPr>
          <w:rFonts w:ascii="Simplified Arabic" w:hAnsi="Simplified Arabic" w:cs="Simplified Arabic"/>
          <w:color w:val="000000" w:themeColor="text1"/>
          <w:sz w:val="36"/>
          <w:szCs w:val="36"/>
          <w:rtl/>
          <w:lang w:bidi="ar-EG"/>
        </w:rPr>
        <w:t>–</w:t>
      </w:r>
      <w:r w:rsidRPr="009B67DA">
        <w:rPr>
          <w:rFonts w:ascii="Simplified Arabic" w:hAnsi="Simplified Arabic" w:cs="Simplified Arabic" w:hint="cs"/>
          <w:color w:val="000000" w:themeColor="text1"/>
          <w:sz w:val="36"/>
          <w:szCs w:val="36"/>
          <w:rtl/>
          <w:lang w:bidi="ar-EG"/>
        </w:rPr>
        <w:t xml:space="preserve"> 2026</w:t>
      </w:r>
    </w:p>
    <w:p w14:paraId="51DD56A6" w14:textId="77777777" w:rsidR="003F570E" w:rsidRPr="009B67DA" w:rsidRDefault="003F570E" w:rsidP="003F57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3F570E" w:rsidRPr="009B67DA" w:rsidSect="003F570E">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706F644" w14:textId="0BE968A0" w:rsidR="003F570E" w:rsidRPr="009B67DA" w:rsidRDefault="003F570E" w:rsidP="003F570E">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990046"/>
      <w:bookmarkStart w:id="1" w:name="_Toc169790500"/>
      <w:r w:rsidRPr="009B67DA">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145F681E" w14:textId="7FAB20E2" w:rsidR="003F570E" w:rsidRPr="009B67DA" w:rsidRDefault="003F570E" w:rsidP="003F570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 w:name="_Toc233990047"/>
      <w:r w:rsidRPr="009B67DA">
        <w:rPr>
          <w:rFonts w:ascii="Simplified Arabic" w:hAnsi="Simplified Arabic" w:cs="Simplified Arabic" w:hint="cs"/>
          <w:b/>
          <w:bCs/>
          <w:color w:val="000000" w:themeColor="text1"/>
          <w:sz w:val="36"/>
          <w:szCs w:val="36"/>
          <w:rtl/>
        </w:rPr>
        <w:t>1.1 المقدمة</w:t>
      </w:r>
      <w:bookmarkEnd w:id="2"/>
    </w:p>
    <w:p w14:paraId="1A202877" w14:textId="0E477959" w:rsidR="00BD4F44" w:rsidRPr="009B67DA" w:rsidRDefault="00BD4F44" w:rsidP="003F570E">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يشهد العالم في العقد الراهن موجةً غير مسبوقة من التحولات التكنولوجية والرقمية التي أعادت تشكيل ملامح بيئة الأعمال على المستويين المحلي والعالمي، حيث أصبحت التكنولوجيا الرقمية ركيزةً أساسيةً في مختلف القطاعات الاقتصادية والخدمية والإنتاجية. وقد أفرزت هذه التحولات نمطاً جديداً من العمل المؤسسي يقوم على توظيف الأدوات الرقمية والذكاء الاصطناعي والبيانات الضخمة لتعزيز الكفاءة التشغيلية وتحسين جودة الخدمات المُقدّمة للمستفيدين، وهو ما دفع المنظمات إلى إعادة النظر في استراتيجياتها وممارساتها الإدارية بما يتلاءم مع متطلبات العصر الرقمي </w:t>
      </w:r>
      <w:r w:rsidRPr="009B67DA">
        <w:rPr>
          <w:rFonts w:ascii="Simplified Arabic" w:hAnsi="Simplified Arabic" w:cs="Simplified Arabic"/>
          <w:color w:val="000000" w:themeColor="text1"/>
          <w:sz w:val="28"/>
          <w:szCs w:val="28"/>
        </w:rPr>
        <w:t>(</w:t>
      </w:r>
      <w:proofErr w:type="spellStart"/>
      <w:r w:rsidRPr="009B67DA">
        <w:rPr>
          <w:rFonts w:ascii="Simplified Arabic" w:hAnsi="Simplified Arabic" w:cs="Simplified Arabic"/>
          <w:color w:val="000000" w:themeColor="text1"/>
          <w:sz w:val="28"/>
          <w:szCs w:val="28"/>
        </w:rPr>
        <w:t>Ghobakhloo</w:t>
      </w:r>
      <w:proofErr w:type="spellEnd"/>
      <w:r w:rsidRPr="009B67DA">
        <w:rPr>
          <w:rFonts w:ascii="Simplified Arabic" w:hAnsi="Simplified Arabic" w:cs="Simplified Arabic"/>
          <w:color w:val="000000" w:themeColor="text1"/>
          <w:sz w:val="28"/>
          <w:szCs w:val="28"/>
        </w:rPr>
        <w:t xml:space="preserve"> et al., 2025).</w:t>
      </w:r>
    </w:p>
    <w:p w14:paraId="5EBD235D" w14:textId="5A3654FE"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ويُعدّ التحول الرقمي من أبرز المفاهيم الإدارية المعاصرة التي استقطبت اهتمام الباحثين والممارسين على حدٍّ سواء، إذ يُمثّل عملية شاملة تتجاوز مجرد إدخال التكنولوجيا الرقمية إلى المنظمة، لتشمل إعادة تصميم العمليات والهياكل والثقافة التنظيمية بما يُحقّق التكامل الرقمي على جميع المستويات</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ويرتبط التحول الرقمي بمجموعة من الأبعاد الجوهرية التي تتمثل في البنية التحتية الرقمية، والتكنولوجيا الرقمية، والثقافة الرقمية، والمهارات الرقمية، والتي تعمل بشكل متكامل لتعزيز قدرة المنظمة على التكيّف مع المتغيرات البيئية المتسارعة (</w:t>
      </w:r>
      <w:proofErr w:type="spellStart"/>
      <w:r w:rsidRPr="009B67DA">
        <w:rPr>
          <w:rFonts w:ascii="Simplified Arabic" w:hAnsi="Simplified Arabic" w:cs="Simplified Arabic"/>
          <w:color w:val="000000" w:themeColor="text1"/>
          <w:sz w:val="28"/>
          <w:szCs w:val="28"/>
          <w:rtl/>
        </w:rPr>
        <w:t>الرفوع</w:t>
      </w:r>
      <w:proofErr w:type="spellEnd"/>
      <w:r w:rsidRPr="009B67DA">
        <w:rPr>
          <w:rFonts w:ascii="Simplified Arabic" w:hAnsi="Simplified Arabic" w:cs="Simplified Arabic"/>
          <w:color w:val="000000" w:themeColor="text1"/>
          <w:sz w:val="28"/>
          <w:szCs w:val="28"/>
          <w:rtl/>
        </w:rPr>
        <w:t xml:space="preserve"> ومفلح، </w:t>
      </w:r>
      <w:r w:rsidRPr="009B67DA">
        <w:rPr>
          <w:rFonts w:ascii="Simplified Arabic" w:hAnsi="Simplified Arabic" w:cs="Simplified Arabic"/>
          <w:color w:val="000000" w:themeColor="text1"/>
          <w:sz w:val="28"/>
          <w:szCs w:val="28"/>
        </w:rPr>
        <w:t>2025</w:t>
      </w:r>
      <w:r w:rsidR="003F570E" w:rsidRPr="009B67DA">
        <w:rPr>
          <w:rFonts w:ascii="Simplified Arabic" w:hAnsi="Simplified Arabic" w:cs="Simplified Arabic" w:hint="cs"/>
          <w:color w:val="000000" w:themeColor="text1"/>
          <w:sz w:val="28"/>
          <w:szCs w:val="28"/>
          <w:rtl/>
        </w:rPr>
        <w:t>)</w:t>
      </w:r>
      <w:r w:rsidRPr="009B67DA">
        <w:rPr>
          <w:rFonts w:ascii="Simplified Arabic" w:hAnsi="Simplified Arabic" w:cs="Simplified Arabic"/>
          <w:color w:val="000000" w:themeColor="text1"/>
          <w:sz w:val="28"/>
          <w:szCs w:val="28"/>
        </w:rPr>
        <w:t>.</w:t>
      </w:r>
    </w:p>
    <w:p w14:paraId="1902813A" w14:textId="2A902256"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كما يكتسب التحول الرقمي أهميةً متزايدة في قطاع الخدمات اللوجستية على وجه الخصوص؛ نظراً لما يفرضه هذا القطاع من متطلبات عالية في مجال السرعة والدقة والكفاءة والشفافية في إدارة سلاسل الإمداد وتدفق البضائع والمعلومات. وقد أصبح التحول الرقمي ضرورةً استراتيجية للشركات اللوجستية لمواكبة التطورات العالمية وتلبية تطلعات العملاء المتجددة، فضلاً عن تعزيز قدرتها التنافسية في بيئة لوجستية تتسم بالديناميكية العالية والتغيّر المستمر </w:t>
      </w:r>
      <w:r w:rsidR="003F570E" w:rsidRPr="009B67DA">
        <w:rPr>
          <w:rFonts w:ascii="Simplified Arabic" w:hAnsi="Simplified Arabic" w:cs="Simplified Arabic" w:hint="cs"/>
          <w:color w:val="000000" w:themeColor="text1"/>
          <w:sz w:val="28"/>
          <w:szCs w:val="28"/>
          <w:rtl/>
        </w:rPr>
        <w:t>(</w:t>
      </w:r>
      <w:proofErr w:type="spellStart"/>
      <w:r w:rsidRPr="009B67DA">
        <w:rPr>
          <w:rFonts w:ascii="Simplified Arabic" w:hAnsi="Simplified Arabic" w:cs="Simplified Arabic"/>
          <w:color w:val="000000" w:themeColor="text1"/>
          <w:sz w:val="28"/>
          <w:szCs w:val="28"/>
          <w:rtl/>
        </w:rPr>
        <w:t>الرحيمي</w:t>
      </w:r>
      <w:proofErr w:type="spellEnd"/>
      <w:r w:rsidRPr="009B67DA">
        <w:rPr>
          <w:rFonts w:ascii="Simplified Arabic" w:hAnsi="Simplified Arabic" w:cs="Simplified Arabic"/>
          <w:color w:val="000000" w:themeColor="text1"/>
          <w:sz w:val="28"/>
          <w:szCs w:val="28"/>
          <w:rtl/>
        </w:rPr>
        <w:t xml:space="preserve"> والمطارنة، 2025</w:t>
      </w:r>
      <w:r w:rsidR="003F570E" w:rsidRPr="009B67DA">
        <w:rPr>
          <w:rFonts w:ascii="Simplified Arabic" w:hAnsi="Simplified Arabic" w:cs="Simplified Arabic" w:hint="cs"/>
          <w:color w:val="000000" w:themeColor="text1"/>
          <w:sz w:val="28"/>
          <w:szCs w:val="28"/>
          <w:rtl/>
        </w:rPr>
        <w:t>)</w:t>
      </w:r>
    </w:p>
    <w:p w14:paraId="10244AC4" w14:textId="49068070"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وفي سياق متصل، تُمثّل إدارة مخاطر سلاسل الإمداد أحد الموضوعات المحورية في الفكر الإداري المعاصر، إذ تُعنى بدراسة وتحليل المخاطر التي تتعرّض لها سلاسل الإمداد بمختلف أنواعها، ووضع الاستراتيجيات والممارسات اللازمة للتعامل معها بفاعلية وتعزيز مرونتها. وقد تطوّر مفهوم إدارة مخاطر سلاسل الإمداد بشكل ملحوظ خلال العقود الأخيرة ليشمل أبعاداً متعددة، منها تحديد المخاطر، وتقييمها، </w:t>
      </w:r>
      <w:r w:rsidRPr="009B67DA">
        <w:rPr>
          <w:rFonts w:ascii="Simplified Arabic" w:hAnsi="Simplified Arabic" w:cs="Simplified Arabic"/>
          <w:color w:val="000000" w:themeColor="text1"/>
          <w:sz w:val="28"/>
          <w:szCs w:val="28"/>
          <w:rtl/>
        </w:rPr>
        <w:lastRenderedPageBreak/>
        <w:t xml:space="preserve">والاستجابة لها، ومراقبتها، بما يضمن للمنظمة قدرةً عاليةً على التكيّف مع المخاطر المختلفة وتحقيق أهدافها الاستراتيجية (الحسني </w:t>
      </w:r>
      <w:proofErr w:type="spellStart"/>
      <w:r w:rsidRPr="009B67DA">
        <w:rPr>
          <w:rFonts w:ascii="Simplified Arabic" w:hAnsi="Simplified Arabic" w:cs="Simplified Arabic"/>
          <w:color w:val="000000" w:themeColor="text1"/>
          <w:sz w:val="28"/>
          <w:szCs w:val="28"/>
          <w:rtl/>
        </w:rPr>
        <w:t>والخشالي</w:t>
      </w:r>
      <w:proofErr w:type="spellEnd"/>
      <w:r w:rsidRPr="009B67DA">
        <w:rPr>
          <w:rFonts w:ascii="Simplified Arabic" w:hAnsi="Simplified Arabic" w:cs="Simplified Arabic"/>
          <w:color w:val="000000" w:themeColor="text1"/>
          <w:sz w:val="28"/>
          <w:szCs w:val="28"/>
          <w:rtl/>
        </w:rPr>
        <w:t>، 2022</w:t>
      </w:r>
      <w:r w:rsidR="003F570E" w:rsidRPr="009B67DA">
        <w:rPr>
          <w:rFonts w:ascii="Simplified Arabic" w:hAnsi="Simplified Arabic" w:cs="Simplified Arabic" w:hint="cs"/>
          <w:color w:val="000000" w:themeColor="text1"/>
          <w:sz w:val="28"/>
          <w:szCs w:val="28"/>
          <w:rtl/>
        </w:rPr>
        <w:t>)</w:t>
      </w:r>
    </w:p>
    <w:p w14:paraId="5B54F99F"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ويُعدّ قطاع الخدمات اللوجستية من أكثر القطاعات تعرّضاً للمخاطر بمختلف أنواعها، سواء مخاطر الموردين والنقل والتخزين، أم مخاطر الطلب والمخاطر التشغيلية والاستراتيجية، وهو ما يستدعي تبنّي منظومة متكاملة لإدارة المخاطر تستند إلى أُسس علمية ومنهجية واضحة. وقد أولت الشركات اللوجستية اهتماماً متزايداً بتطوير ممارساتها في مجال إدارة المخاطر استجابةً للتحديات التي تفرضها الاضطرابات العالمية في سلاسل الإمداد، فضلاً عن استجابتها للتحديات التي تفرضها بيئة الأعمال المتغيرة </w:t>
      </w:r>
      <w:r w:rsidRPr="009B67DA">
        <w:rPr>
          <w:rFonts w:ascii="Simplified Arabic" w:hAnsi="Simplified Arabic" w:cs="Simplified Arabic"/>
          <w:color w:val="000000" w:themeColor="text1"/>
          <w:sz w:val="28"/>
          <w:szCs w:val="28"/>
        </w:rPr>
        <w:t>(</w:t>
      </w:r>
      <w:proofErr w:type="spellStart"/>
      <w:r w:rsidRPr="009B67DA">
        <w:rPr>
          <w:rFonts w:ascii="Simplified Arabic" w:hAnsi="Simplified Arabic" w:cs="Simplified Arabic"/>
          <w:color w:val="000000" w:themeColor="text1"/>
          <w:sz w:val="28"/>
          <w:szCs w:val="28"/>
          <w:rtl/>
        </w:rPr>
        <w:t>الرزني</w:t>
      </w:r>
      <w:proofErr w:type="spellEnd"/>
      <w:r w:rsidRPr="009B67DA">
        <w:rPr>
          <w:rFonts w:ascii="Simplified Arabic" w:hAnsi="Simplified Arabic" w:cs="Simplified Arabic"/>
          <w:color w:val="000000" w:themeColor="text1"/>
          <w:sz w:val="28"/>
          <w:szCs w:val="28"/>
          <w:rtl/>
        </w:rPr>
        <w:t xml:space="preserve"> </w:t>
      </w:r>
      <w:proofErr w:type="spellStart"/>
      <w:r w:rsidRPr="009B67DA">
        <w:rPr>
          <w:rFonts w:ascii="Simplified Arabic" w:hAnsi="Simplified Arabic" w:cs="Simplified Arabic"/>
          <w:color w:val="000000" w:themeColor="text1"/>
          <w:sz w:val="28"/>
          <w:szCs w:val="28"/>
          <w:rtl/>
        </w:rPr>
        <w:t>والزغول</w:t>
      </w:r>
      <w:proofErr w:type="spellEnd"/>
      <w:r w:rsidRPr="009B67DA">
        <w:rPr>
          <w:rFonts w:ascii="Simplified Arabic" w:hAnsi="Simplified Arabic" w:cs="Simplified Arabic"/>
          <w:color w:val="000000" w:themeColor="text1"/>
          <w:sz w:val="28"/>
          <w:szCs w:val="28"/>
          <w:rtl/>
        </w:rPr>
        <w:t>، 2024</w:t>
      </w:r>
      <w:r w:rsidRPr="009B67DA">
        <w:rPr>
          <w:rFonts w:ascii="Simplified Arabic" w:hAnsi="Simplified Arabic" w:cs="Simplified Arabic"/>
          <w:color w:val="000000" w:themeColor="text1"/>
          <w:sz w:val="28"/>
          <w:szCs w:val="28"/>
        </w:rPr>
        <w:t>).</w:t>
      </w:r>
    </w:p>
    <w:p w14:paraId="65F94058"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وقد أضافت التحولات الرقمية المتسارعة بُعداً جديداً لمنظومة إدارة مخاطر سلاسل الإمداد، حيث أفرزت مخاطر جديدة لم تكن معروفة سابقاً كالمخاطر </w:t>
      </w:r>
      <w:proofErr w:type="spellStart"/>
      <w:r w:rsidRPr="009B67DA">
        <w:rPr>
          <w:rFonts w:ascii="Simplified Arabic" w:hAnsi="Simplified Arabic" w:cs="Simplified Arabic"/>
          <w:color w:val="000000" w:themeColor="text1"/>
          <w:sz w:val="28"/>
          <w:szCs w:val="28"/>
          <w:rtl/>
        </w:rPr>
        <w:t>السيبرانية</w:t>
      </w:r>
      <w:proofErr w:type="spellEnd"/>
      <w:r w:rsidRPr="009B67DA">
        <w:rPr>
          <w:rFonts w:ascii="Simplified Arabic" w:hAnsi="Simplified Arabic" w:cs="Simplified Arabic"/>
          <w:color w:val="000000" w:themeColor="text1"/>
          <w:sz w:val="28"/>
          <w:szCs w:val="28"/>
          <w:rtl/>
        </w:rPr>
        <w:t xml:space="preserve"> ومخاطر حماية البيانات، وفي الوقت ذاته أتاحت أدوات وتقنيات متقدمة تُسهم في تعزيز كفاءة عمليات إدارة المخاطر من خلال تحليل البيانات الضخمة والاستفادة من تقنيات الذكاء الاصطناعي والتعلم الآلي في التنبؤ بالمخاطر المحتملة قبل وقوعها</w:t>
      </w:r>
      <w:r w:rsidRPr="009B67DA">
        <w:rPr>
          <w:rFonts w:ascii="Simplified Arabic" w:hAnsi="Simplified Arabic" w:cs="Simplified Arabic"/>
          <w:color w:val="000000" w:themeColor="text1"/>
          <w:sz w:val="28"/>
          <w:szCs w:val="28"/>
        </w:rPr>
        <w:t xml:space="preserve"> (</w:t>
      </w:r>
      <w:proofErr w:type="spellStart"/>
      <w:r w:rsidRPr="009B67DA">
        <w:rPr>
          <w:rFonts w:ascii="Simplified Arabic" w:hAnsi="Simplified Arabic" w:cs="Simplified Arabic"/>
          <w:color w:val="000000" w:themeColor="text1"/>
          <w:sz w:val="28"/>
          <w:szCs w:val="28"/>
        </w:rPr>
        <w:t>Rauniyar</w:t>
      </w:r>
      <w:proofErr w:type="spellEnd"/>
      <w:r w:rsidRPr="009B67DA">
        <w:rPr>
          <w:rFonts w:ascii="Simplified Arabic" w:hAnsi="Simplified Arabic" w:cs="Simplified Arabic"/>
          <w:color w:val="000000" w:themeColor="text1"/>
          <w:sz w:val="28"/>
          <w:szCs w:val="28"/>
        </w:rPr>
        <w:t xml:space="preserve"> et al., 2023).</w:t>
      </w:r>
    </w:p>
    <w:p w14:paraId="26266C47"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وبناءً على ما تقدّم، تبرز أهمية دراسة العلاقة بين التحول الرقمي بأبعاده المختلفة وإدارة مخاطر سلاسل الإمداد وتعزيز مرونتها في الشركات اللوجستية، باعتبارها علاقة محورية تُسهم في فهم الكيفية التي يُمكن من خلالها توظيف الأدوات الرقمية الحديثة لتعزيز قدرة الشركات اللوجستية على التعامل مع المخاطر المتنوعة التي تواجهها، وتحقيق التوازن المطلوب بين الاستفادة من الفرص التي </w:t>
      </w:r>
      <w:proofErr w:type="spellStart"/>
      <w:r w:rsidRPr="009B67DA">
        <w:rPr>
          <w:rFonts w:ascii="Simplified Arabic" w:hAnsi="Simplified Arabic" w:cs="Simplified Arabic"/>
          <w:color w:val="000000" w:themeColor="text1"/>
          <w:sz w:val="28"/>
          <w:szCs w:val="28"/>
          <w:rtl/>
        </w:rPr>
        <w:t>يُتيحها</w:t>
      </w:r>
      <w:proofErr w:type="spellEnd"/>
      <w:r w:rsidRPr="009B67DA">
        <w:rPr>
          <w:rFonts w:ascii="Simplified Arabic" w:hAnsi="Simplified Arabic" w:cs="Simplified Arabic"/>
          <w:color w:val="000000" w:themeColor="text1"/>
          <w:sz w:val="28"/>
          <w:szCs w:val="28"/>
          <w:rtl/>
        </w:rPr>
        <w:t xml:space="preserve"> التحول الرقمي والتعامل مع التحديات التي يفرضها على منظومة إدارة المخاطر في القطاع اللوجستي</w:t>
      </w:r>
      <w:r w:rsidRPr="009B67DA">
        <w:rPr>
          <w:rFonts w:ascii="Simplified Arabic" w:hAnsi="Simplified Arabic" w:cs="Simplified Arabic"/>
          <w:color w:val="000000" w:themeColor="text1"/>
          <w:sz w:val="28"/>
          <w:szCs w:val="28"/>
        </w:rPr>
        <w:t>.</w:t>
      </w:r>
    </w:p>
    <w:p w14:paraId="4984C0A0" w14:textId="1A3615F7" w:rsidR="003F570E" w:rsidRPr="009B67DA" w:rsidRDefault="003F570E" w:rsidP="003F570E">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990048"/>
      <w:r w:rsidRPr="009B67DA">
        <w:rPr>
          <w:rFonts w:ascii="Simplified Arabic" w:hAnsi="Simplified Arabic" w:cs="Simplified Arabic"/>
          <w:b/>
          <w:bCs/>
          <w:color w:val="000000" w:themeColor="text1"/>
          <w:sz w:val="36"/>
          <w:szCs w:val="36"/>
          <w:rtl/>
        </w:rPr>
        <w:t>2.1 مشكلة الدراسة</w:t>
      </w:r>
      <w:bookmarkEnd w:id="3"/>
    </w:p>
    <w:p w14:paraId="4ACA675A"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تنبثق مشكلة الدراسة الحالية من جملة من المعطيات النظرية والميدانية التي تُلقي بظلالها على واقع الشركات اللوجستية في ظل التحولات الرقمية المتسارعة التي يشهدها العالم. فعلى الرغم من الاهتمام المتزايد بتبنّي تطبيقات التحول الرقمي في القطاع اللوجستي، إلا أن ثمّة فجوةً ملحوظةً بين التطور التكنولوجي المتسارع من جهة، وقدرة منظومات إدارة مخاطر سلاسل الإمداد في الشركات اللوجستية على مواكبة هذا </w:t>
      </w:r>
      <w:r w:rsidRPr="009B67DA">
        <w:rPr>
          <w:rFonts w:ascii="Simplified Arabic" w:hAnsi="Simplified Arabic" w:cs="Simplified Arabic"/>
          <w:color w:val="000000" w:themeColor="text1"/>
          <w:sz w:val="28"/>
          <w:szCs w:val="28"/>
          <w:rtl/>
        </w:rPr>
        <w:lastRenderedPageBreak/>
        <w:t>التطور من جهة أخرى، وهو ما يُفرز تحديات جوهرية تتعلق بفاعلية الممارسات الحالية لإدارة المخاطر في ظل البيئة الرقمية الجديدة</w:t>
      </w:r>
      <w:r w:rsidRPr="009B67DA">
        <w:rPr>
          <w:rFonts w:ascii="Simplified Arabic" w:hAnsi="Simplified Arabic" w:cs="Simplified Arabic"/>
          <w:color w:val="000000" w:themeColor="text1"/>
          <w:sz w:val="28"/>
          <w:szCs w:val="28"/>
        </w:rPr>
        <w:t>.</w:t>
      </w:r>
    </w:p>
    <w:p w14:paraId="51EBBD90"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وقد كشف الاستطلاع الأولي الذي أجراه الباحث في عدد من الشركات اللوجستية محل الدراسة عن وجود تباين واضح في مستوى تطبيق أبعاد التحول الرقمي بين هذه الشركات، إذ يُلاحظ أن بعضها قطع شوطاً متقدماً في توظيف البنية التحتية الرقمية والتكنولوجيا الرقمية، في حين لا تزال أبعاد أخرى كالثقافة الرقمية والمهارات الرقمية بحاجة إلى مزيد من الدعم والتطوير. كما يُلاحَظ أن هذا التباين ينعكس بشكل مباشر على قدرة هذه الشركات على تطبيق ممارسات إدارة المخاطر بكفاءة عالية وتعزيز مرونة سلاسل الإمداد لديها، وهو ما يستدعي إجراء دراسة علمية معمّقة لفهم طبيعة العلاقة بين التحول الرقمي بأبعاده المختلفة وإدارة المخاطر</w:t>
      </w:r>
      <w:r w:rsidRPr="009B67DA">
        <w:rPr>
          <w:rFonts w:ascii="Simplified Arabic" w:hAnsi="Simplified Arabic" w:cs="Simplified Arabic"/>
          <w:color w:val="000000" w:themeColor="text1"/>
          <w:sz w:val="28"/>
          <w:szCs w:val="28"/>
        </w:rPr>
        <w:t>.</w:t>
      </w:r>
    </w:p>
    <w:p w14:paraId="5BD41D4B"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ومن جانب آخر، يتضح من خلال استعراض الأدبيات النظرية والدراسات السابقة وجود ندرة نسبية في الدراسات العربية التي تناولت العلاقة بين التحول الرقمي وإدارة مخاطر سلاسل الإمداد في القطاع اللوجستي بشكل مباشر، إذ ركّزت معظم الدراسات على بحث أثر التحول الرقمي في متغيرات تنظيمية أخرى كالأداء </w:t>
      </w:r>
      <w:proofErr w:type="spellStart"/>
      <w:r w:rsidRPr="009B67DA">
        <w:rPr>
          <w:rFonts w:ascii="Simplified Arabic" w:hAnsi="Simplified Arabic" w:cs="Simplified Arabic"/>
          <w:color w:val="000000" w:themeColor="text1"/>
          <w:sz w:val="28"/>
          <w:szCs w:val="28"/>
          <w:rtl/>
        </w:rPr>
        <w:t>المنظمي</w:t>
      </w:r>
      <w:proofErr w:type="spellEnd"/>
      <w:r w:rsidRPr="009B67DA">
        <w:rPr>
          <w:rFonts w:ascii="Simplified Arabic" w:hAnsi="Simplified Arabic" w:cs="Simplified Arabic"/>
          <w:color w:val="000000" w:themeColor="text1"/>
          <w:sz w:val="28"/>
          <w:szCs w:val="28"/>
          <w:rtl/>
        </w:rPr>
        <w:t xml:space="preserve"> والمرونة الاستراتيجية والتنمية المستدامة، في حين تناولت دراسات أخرى إدارة المخاطر في معزل عن التحول الرقمي، وهو ما يُمثّل فجوةً بحثيةً يسعى الباحث إلى سدّها من خلال الدراسة الحالية. وقد أشارت دراسة</w:t>
      </w:r>
      <w:r w:rsidRPr="009B67DA">
        <w:rPr>
          <w:rFonts w:ascii="Simplified Arabic" w:hAnsi="Simplified Arabic" w:cs="Simplified Arabic"/>
          <w:color w:val="000000" w:themeColor="text1"/>
          <w:sz w:val="28"/>
          <w:szCs w:val="28"/>
        </w:rPr>
        <w:t xml:space="preserve"> (</w:t>
      </w:r>
      <w:proofErr w:type="spellStart"/>
      <w:r w:rsidRPr="009B67DA">
        <w:rPr>
          <w:rFonts w:ascii="Simplified Arabic" w:hAnsi="Simplified Arabic" w:cs="Simplified Arabic"/>
          <w:color w:val="000000" w:themeColor="text1"/>
          <w:sz w:val="28"/>
          <w:szCs w:val="28"/>
        </w:rPr>
        <w:t>Saputra</w:t>
      </w:r>
      <w:proofErr w:type="spellEnd"/>
      <w:r w:rsidRPr="009B67DA">
        <w:rPr>
          <w:rFonts w:ascii="Simplified Arabic" w:hAnsi="Simplified Arabic" w:cs="Simplified Arabic"/>
          <w:color w:val="000000" w:themeColor="text1"/>
          <w:sz w:val="28"/>
          <w:szCs w:val="28"/>
        </w:rPr>
        <w:t xml:space="preserve"> et al., 2023) </w:t>
      </w:r>
      <w:r w:rsidRPr="009B67DA">
        <w:rPr>
          <w:rFonts w:ascii="Simplified Arabic" w:hAnsi="Simplified Arabic" w:cs="Simplified Arabic"/>
          <w:color w:val="000000" w:themeColor="text1"/>
          <w:sz w:val="28"/>
          <w:szCs w:val="28"/>
          <w:rtl/>
        </w:rPr>
        <w:t>إلى وجود حاجة ماسّة لإجراء مزيد من الدراسات التي تتناول العلاقة بين التحول الرقمي وإدارة المخاطر في القطاعات الحيوية بحكم خصوصية هذه القطاعات وحساسيتها العالية</w:t>
      </w:r>
      <w:r w:rsidRPr="009B67DA">
        <w:rPr>
          <w:rFonts w:ascii="Simplified Arabic" w:hAnsi="Simplified Arabic" w:cs="Simplified Arabic"/>
          <w:color w:val="000000" w:themeColor="text1"/>
          <w:sz w:val="28"/>
          <w:szCs w:val="28"/>
        </w:rPr>
        <w:t>.</w:t>
      </w:r>
    </w:p>
    <w:p w14:paraId="7374BA3B"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وبناءً على ما تقدّم، فإن مشكلة الدراسة تتمحور حول التساؤل الرئيسي الآتي: "ما أثر التحول الرقمي بأبعاده (البنية التحتية الرقمية، التكنولوجيا الرقمية، الثقافة الرقمية، المهارات الرقمية</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على إدارة مخاطر سلاسل الإمداد وتعزيز مرونتها في الشركات اللوجستية محل الدراسة؟</w:t>
      </w:r>
      <w:r w:rsidRPr="009B67DA">
        <w:rPr>
          <w:rFonts w:ascii="Simplified Arabic" w:hAnsi="Simplified Arabic" w:cs="Simplified Arabic"/>
          <w:color w:val="000000" w:themeColor="text1"/>
          <w:sz w:val="28"/>
          <w:szCs w:val="28"/>
        </w:rPr>
        <w:t>"</w:t>
      </w:r>
    </w:p>
    <w:p w14:paraId="52CA5AE4" w14:textId="2068794B" w:rsidR="003F570E" w:rsidRPr="009B67DA" w:rsidRDefault="003F570E" w:rsidP="003F570E">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90049"/>
      <w:r w:rsidRPr="009B67DA">
        <w:rPr>
          <w:rFonts w:ascii="Simplified Arabic" w:hAnsi="Simplified Arabic" w:cs="Simplified Arabic"/>
          <w:b/>
          <w:bCs/>
          <w:color w:val="000000" w:themeColor="text1"/>
          <w:sz w:val="36"/>
          <w:szCs w:val="36"/>
          <w:rtl/>
        </w:rPr>
        <w:t>3.1 أهداف الدراسة</w:t>
      </w:r>
      <w:bookmarkEnd w:id="4"/>
    </w:p>
    <w:p w14:paraId="27957AD1" w14:textId="77777777" w:rsidR="00BD4F44"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تهدف الدراسة الحالية إلى دراسة أثر التحول الرقمي بأبعاده (البنية التحتية الرقمية، التكنولوجيا الرقمية، الثقافة الرقمية، المهارات الرقمية) على إدارة مخاطر سلاسل الإمداد وتعزيز مرونتها في الشركات اللوجستية</w:t>
      </w:r>
      <w:r w:rsidRPr="009B67DA">
        <w:rPr>
          <w:rFonts w:ascii="Simplified Arabic" w:hAnsi="Simplified Arabic" w:cs="Simplified Arabic"/>
          <w:color w:val="000000" w:themeColor="text1"/>
          <w:sz w:val="28"/>
          <w:szCs w:val="28"/>
        </w:rPr>
        <w:t>.</w:t>
      </w:r>
    </w:p>
    <w:p w14:paraId="2C955DC6" w14:textId="77777777" w:rsidR="00BD4F44" w:rsidRPr="009B67DA" w:rsidRDefault="00BD4F44" w:rsidP="003F570E">
      <w:pPr>
        <w:pStyle w:val="a8"/>
        <w:bidi/>
        <w:spacing w:line="276" w:lineRule="auto"/>
        <w:jc w:val="both"/>
        <w:rPr>
          <w:rFonts w:ascii="Simplified Arabic" w:hAnsi="Simplified Arabic" w:cs="Simplified Arabic"/>
          <w:b/>
          <w:bCs/>
          <w:color w:val="000000" w:themeColor="text1"/>
          <w:sz w:val="28"/>
          <w:szCs w:val="28"/>
        </w:rPr>
      </w:pPr>
      <w:r w:rsidRPr="009B67DA">
        <w:rPr>
          <w:rFonts w:ascii="Simplified Arabic" w:hAnsi="Simplified Arabic" w:cs="Simplified Arabic"/>
          <w:b/>
          <w:bCs/>
          <w:color w:val="000000" w:themeColor="text1"/>
          <w:sz w:val="28"/>
          <w:szCs w:val="28"/>
          <w:rtl/>
        </w:rPr>
        <w:lastRenderedPageBreak/>
        <w:t>وتتفرع من الهدف الرئيسي مجموعة من الأهداف الفرعية، تتمثل فيما يلي</w:t>
      </w:r>
      <w:r w:rsidRPr="009B67DA">
        <w:rPr>
          <w:rFonts w:ascii="Simplified Arabic" w:hAnsi="Simplified Arabic" w:cs="Simplified Arabic"/>
          <w:b/>
          <w:bCs/>
          <w:color w:val="000000" w:themeColor="text1"/>
          <w:sz w:val="28"/>
          <w:szCs w:val="28"/>
        </w:rPr>
        <w:t>:</w:t>
      </w:r>
    </w:p>
    <w:p w14:paraId="793B3118"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التعرف على المستوى الفعلي لتطبيق التحول الرقمي بأبعاده المختلفة (البنية التحتية الرقمية، التكنولوجيا الرقمية، الثقافة الرقمية، المهارات الرقمية) في الشركات اللوجستية محل الدراسة</w:t>
      </w:r>
      <w:r w:rsidRPr="009B67DA">
        <w:rPr>
          <w:rFonts w:ascii="Simplified Arabic" w:hAnsi="Simplified Arabic" w:cs="Simplified Arabic"/>
          <w:color w:val="000000" w:themeColor="text1"/>
          <w:sz w:val="28"/>
          <w:szCs w:val="28"/>
        </w:rPr>
        <w:t>.</w:t>
      </w:r>
    </w:p>
    <w:p w14:paraId="6ED76073"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تحديد مستوى ممارسة إدارة مخاطر سلاسل الإمداد في الشركات اللوجستية محل الدراسة من وجهة نظر العاملين فيها</w:t>
      </w:r>
      <w:r w:rsidRPr="009B67DA">
        <w:rPr>
          <w:rFonts w:ascii="Simplified Arabic" w:hAnsi="Simplified Arabic" w:cs="Simplified Arabic"/>
          <w:color w:val="000000" w:themeColor="text1"/>
          <w:sz w:val="28"/>
          <w:szCs w:val="28"/>
        </w:rPr>
        <w:t>.</w:t>
      </w:r>
    </w:p>
    <w:p w14:paraId="579C09FF"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قياس أثر البنية التحتية الرقمية على إدارة مخاطر سلاسل الإمداد في الشركات اللوجستية محل الدراسة</w:t>
      </w:r>
      <w:r w:rsidRPr="009B67DA">
        <w:rPr>
          <w:rFonts w:ascii="Simplified Arabic" w:hAnsi="Simplified Arabic" w:cs="Simplified Arabic"/>
          <w:color w:val="000000" w:themeColor="text1"/>
          <w:sz w:val="28"/>
          <w:szCs w:val="28"/>
        </w:rPr>
        <w:t>.</w:t>
      </w:r>
    </w:p>
    <w:p w14:paraId="18385CF9"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قياس أثر التكنولوجيا الرقمية على إدارة مخاطر سلاسل الإمداد في الشركات اللوجستية محل الدراسة</w:t>
      </w:r>
      <w:r w:rsidRPr="009B67DA">
        <w:rPr>
          <w:rFonts w:ascii="Simplified Arabic" w:hAnsi="Simplified Arabic" w:cs="Simplified Arabic"/>
          <w:color w:val="000000" w:themeColor="text1"/>
          <w:sz w:val="28"/>
          <w:szCs w:val="28"/>
        </w:rPr>
        <w:t>.</w:t>
      </w:r>
    </w:p>
    <w:p w14:paraId="45536E0F"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قياس أثر الثقافة الرقمية على إدارة مخاطر سلاسل الإمداد في الشركات اللوجستية محل الدراسة</w:t>
      </w:r>
      <w:r w:rsidRPr="009B67DA">
        <w:rPr>
          <w:rFonts w:ascii="Simplified Arabic" w:hAnsi="Simplified Arabic" w:cs="Simplified Arabic"/>
          <w:color w:val="000000" w:themeColor="text1"/>
          <w:sz w:val="28"/>
          <w:szCs w:val="28"/>
        </w:rPr>
        <w:t>.</w:t>
      </w:r>
    </w:p>
    <w:p w14:paraId="2CB218BB"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قياس أثر المهارات الرقمية على إدارة مخاطر سلاسل الإمداد في الشركات اللوجستية محل الدراسة</w:t>
      </w:r>
      <w:r w:rsidRPr="009B67DA">
        <w:rPr>
          <w:rFonts w:ascii="Simplified Arabic" w:hAnsi="Simplified Arabic" w:cs="Simplified Arabic"/>
          <w:color w:val="000000" w:themeColor="text1"/>
          <w:sz w:val="28"/>
          <w:szCs w:val="28"/>
        </w:rPr>
        <w:t>.</w:t>
      </w:r>
    </w:p>
    <w:p w14:paraId="476B8B42" w14:textId="0ACF3F3F"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الكشف عن الفروق ذات الدلالة الإحصائية بين استجابات أفراد عينة الدراسة حول متغيرات الدراسة تبعاً للمتغيرات الديموغرافية (الجنس، العمر، المؤهل العلمي، سنوات الخبرة، المسمى الوظيفي)</w:t>
      </w:r>
      <w:r w:rsidRPr="009B67DA">
        <w:rPr>
          <w:rFonts w:ascii="Simplified Arabic" w:hAnsi="Simplified Arabic" w:cs="Simplified Arabic"/>
          <w:color w:val="000000" w:themeColor="text1"/>
          <w:sz w:val="28"/>
          <w:szCs w:val="28"/>
        </w:rPr>
        <w:t>.</w:t>
      </w:r>
    </w:p>
    <w:p w14:paraId="03CA4E34" w14:textId="77777777" w:rsidR="00BD4F44" w:rsidRPr="009B67DA" w:rsidRDefault="00BD4F44" w:rsidP="003F570E">
      <w:pPr>
        <w:pStyle w:val="a8"/>
        <w:numPr>
          <w:ilvl w:val="0"/>
          <w:numId w:val="12"/>
        </w:numPr>
        <w:bidi/>
        <w:spacing w:line="276" w:lineRule="auto"/>
        <w:ind w:left="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تقديم مجموعة من التوصيات والمقترحات التي تُسهم في تعزيز توظيف التحول الرقمي بأبعاده المختلفة بما يُحسّن فاعلية إدارة مخاطر سلاسل الإمداد وتعزيز مرونتها في الشركات اللوجستية محل الدراسة</w:t>
      </w:r>
      <w:r w:rsidRPr="009B67DA">
        <w:rPr>
          <w:rFonts w:ascii="Simplified Arabic" w:hAnsi="Simplified Arabic" w:cs="Simplified Arabic"/>
          <w:color w:val="000000" w:themeColor="text1"/>
          <w:sz w:val="28"/>
          <w:szCs w:val="28"/>
        </w:rPr>
        <w:t>.</w:t>
      </w:r>
    </w:p>
    <w:p w14:paraId="3FBE22D0" w14:textId="2E35235D" w:rsidR="003F570E" w:rsidRPr="009B67DA" w:rsidRDefault="003F570E" w:rsidP="003F570E">
      <w:pPr>
        <w:pStyle w:val="a8"/>
        <w:bidi/>
        <w:spacing w:line="276" w:lineRule="auto"/>
        <w:jc w:val="both"/>
        <w:outlineLvl w:val="1"/>
        <w:rPr>
          <w:rFonts w:ascii="Simplified Arabic" w:eastAsiaTheme="majorEastAsia" w:hAnsi="Simplified Arabic" w:cs="Simplified Arabic"/>
          <w:b/>
          <w:bCs/>
          <w:color w:val="000000" w:themeColor="text1"/>
          <w:sz w:val="36"/>
          <w:szCs w:val="36"/>
          <w:rtl/>
        </w:rPr>
      </w:pPr>
      <w:bookmarkStart w:id="5" w:name="_Toc233990050"/>
      <w:r w:rsidRPr="009B67DA">
        <w:rPr>
          <w:rFonts w:ascii="Simplified Arabic" w:eastAsiaTheme="majorEastAsia" w:hAnsi="Simplified Arabic" w:cs="Simplified Arabic"/>
          <w:b/>
          <w:bCs/>
          <w:color w:val="000000" w:themeColor="text1"/>
          <w:sz w:val="36"/>
          <w:szCs w:val="36"/>
          <w:rtl/>
        </w:rPr>
        <w:t>4.1 أسئلة الدراسة</w:t>
      </w:r>
      <w:bookmarkEnd w:id="5"/>
    </w:p>
    <w:p w14:paraId="6517E954" w14:textId="77777777" w:rsidR="00BD4F44" w:rsidRPr="009B67DA" w:rsidRDefault="00BD4F44" w:rsidP="003F570E">
      <w:pPr>
        <w:pStyle w:val="a8"/>
        <w:bidi/>
        <w:spacing w:line="276" w:lineRule="auto"/>
        <w:ind w:firstLine="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السؤال الرئيسي</w:t>
      </w:r>
      <w:r w:rsidRPr="009B67DA">
        <w:rPr>
          <w:rFonts w:ascii="Simplified Arabic" w:eastAsiaTheme="majorEastAsia" w:hAnsi="Simplified Arabic" w:cs="Simplified Arabic"/>
          <w:color w:val="000000" w:themeColor="text1"/>
          <w:sz w:val="28"/>
          <w:szCs w:val="28"/>
        </w:rPr>
        <w:t xml:space="preserve">: </w:t>
      </w:r>
      <w:r w:rsidRPr="009B67DA">
        <w:rPr>
          <w:rFonts w:ascii="Simplified Arabic" w:eastAsiaTheme="majorEastAsia" w:hAnsi="Simplified Arabic" w:cs="Simplified Arabic"/>
          <w:color w:val="000000" w:themeColor="text1"/>
          <w:sz w:val="28"/>
          <w:szCs w:val="28"/>
          <w:rtl/>
        </w:rPr>
        <w:t>ما أثر التحول الرقمي بأبعاده (البنية التحتية الرقمية، التكنولوجيا الرقمية، الثقافة الرقمية، المهارات الرقمية) على إدارة مخاطر سلاسل الإمداد وتعزيز مرونتها في الشركات اللوجستية محل الدراسة؟</w:t>
      </w:r>
    </w:p>
    <w:p w14:paraId="615F1B59" w14:textId="77777777" w:rsidR="00BD4F44" w:rsidRPr="009B67DA" w:rsidRDefault="00BD4F44" w:rsidP="003F570E">
      <w:pPr>
        <w:pStyle w:val="a8"/>
        <w:bidi/>
        <w:spacing w:line="276" w:lineRule="auto"/>
        <w:jc w:val="both"/>
        <w:rPr>
          <w:rFonts w:ascii="Simplified Arabic" w:eastAsiaTheme="majorEastAsia" w:hAnsi="Simplified Arabic" w:cs="Simplified Arabic"/>
          <w:b/>
          <w:bCs/>
          <w:color w:val="000000" w:themeColor="text1"/>
          <w:sz w:val="28"/>
          <w:szCs w:val="28"/>
        </w:rPr>
      </w:pPr>
      <w:r w:rsidRPr="009B67DA">
        <w:rPr>
          <w:rFonts w:ascii="Simplified Arabic" w:eastAsiaTheme="majorEastAsia" w:hAnsi="Simplified Arabic" w:cs="Simplified Arabic"/>
          <w:b/>
          <w:bCs/>
          <w:color w:val="000000" w:themeColor="text1"/>
          <w:sz w:val="28"/>
          <w:szCs w:val="28"/>
          <w:rtl/>
        </w:rPr>
        <w:t>وينبثق من السؤال الرئيسي مجموعة من الأسئلة الفرعية، وهي</w:t>
      </w:r>
      <w:r w:rsidRPr="009B67DA">
        <w:rPr>
          <w:rFonts w:ascii="Simplified Arabic" w:eastAsiaTheme="majorEastAsia" w:hAnsi="Simplified Arabic" w:cs="Simplified Arabic"/>
          <w:b/>
          <w:bCs/>
          <w:color w:val="000000" w:themeColor="text1"/>
          <w:sz w:val="28"/>
          <w:szCs w:val="28"/>
        </w:rPr>
        <w:t>:</w:t>
      </w:r>
    </w:p>
    <w:p w14:paraId="18A92264"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المستوى الفعلي لتطبيق التحول الرقمي بأبعاده المختلفة في الشركات اللوجستية محل الدراسة؟</w:t>
      </w:r>
    </w:p>
    <w:p w14:paraId="2B990FE0"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مستوى ممارسة إدارة مخاطر سلاسل الإمداد في الشركات اللوجستية محل الدراسة؟</w:t>
      </w:r>
    </w:p>
    <w:p w14:paraId="2A02CB09"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أثر البنية التحتية الرقمية على إدارة مخاطر سلاسل الإمداد في الشركات اللوجستية محل الدراسة؟</w:t>
      </w:r>
    </w:p>
    <w:p w14:paraId="4833D6C2"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أثر التكنولوجيا الرقمية على إدارة مخاطر سلاسل الإمداد في الشركات اللوجستية محل الدراسة؟</w:t>
      </w:r>
    </w:p>
    <w:p w14:paraId="07C2BD0D"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أثر الثقافة الرقمية على إدارة مخاطر سلاسل الإمداد في الشركات اللوجستية محل الدراسة؟</w:t>
      </w:r>
    </w:p>
    <w:p w14:paraId="54DB56C4"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t>ما أثر المهارات الرقمية على إدارة مخاطر سلاسل الإمداد في الشركات اللوجستية محل الدراسة؟</w:t>
      </w:r>
    </w:p>
    <w:p w14:paraId="7D9C7C22" w14:textId="77777777" w:rsidR="00BD4F44" w:rsidRPr="009B67DA" w:rsidRDefault="00BD4F44" w:rsidP="003F570E">
      <w:pPr>
        <w:pStyle w:val="a8"/>
        <w:numPr>
          <w:ilvl w:val="0"/>
          <w:numId w:val="13"/>
        </w:numPr>
        <w:bidi/>
        <w:spacing w:line="276" w:lineRule="auto"/>
        <w:ind w:left="424"/>
        <w:jc w:val="both"/>
        <w:rPr>
          <w:rFonts w:ascii="Simplified Arabic" w:eastAsiaTheme="majorEastAsia" w:hAnsi="Simplified Arabic" w:cs="Simplified Arabic"/>
          <w:color w:val="000000" w:themeColor="text1"/>
          <w:sz w:val="28"/>
          <w:szCs w:val="28"/>
        </w:rPr>
      </w:pPr>
      <w:r w:rsidRPr="009B67DA">
        <w:rPr>
          <w:rFonts w:ascii="Simplified Arabic" w:eastAsiaTheme="majorEastAsia" w:hAnsi="Simplified Arabic" w:cs="Simplified Arabic"/>
          <w:color w:val="000000" w:themeColor="text1"/>
          <w:sz w:val="28"/>
          <w:szCs w:val="28"/>
          <w:rtl/>
        </w:rPr>
        <w:lastRenderedPageBreak/>
        <w:t>هل توجد فروق ذات دلالة إحصائية بين استجابات أفراد عينة الدراسة حول متغيرات الدراسة تُعزى للمتغيرات الديموغرافية؟</w:t>
      </w:r>
    </w:p>
    <w:p w14:paraId="6E2D77B5" w14:textId="77777777" w:rsidR="003F570E" w:rsidRPr="009B67DA" w:rsidRDefault="003F570E" w:rsidP="003F570E">
      <w:pPr>
        <w:pStyle w:val="a8"/>
        <w:bidi/>
        <w:spacing w:line="276" w:lineRule="auto"/>
        <w:outlineLvl w:val="1"/>
        <w:rPr>
          <w:rStyle w:val="a9"/>
          <w:rFonts w:ascii="Simplified Arabic" w:hAnsi="Simplified Arabic" w:cs="Simplified Arabic"/>
          <w:color w:val="000000" w:themeColor="text1"/>
          <w:sz w:val="36"/>
          <w:szCs w:val="36"/>
          <w:rtl/>
        </w:rPr>
      </w:pPr>
      <w:bookmarkStart w:id="6" w:name="_Toc233990051"/>
      <w:r w:rsidRPr="009B67DA">
        <w:rPr>
          <w:rStyle w:val="a9"/>
          <w:rFonts w:ascii="Simplified Arabic" w:hAnsi="Simplified Arabic" w:cs="Simplified Arabic"/>
          <w:color w:val="000000" w:themeColor="text1"/>
          <w:sz w:val="36"/>
          <w:szCs w:val="36"/>
        </w:rPr>
        <w:t xml:space="preserve">5.1 </w:t>
      </w:r>
      <w:r w:rsidRPr="009B67DA">
        <w:rPr>
          <w:rStyle w:val="a9"/>
          <w:rFonts w:ascii="Simplified Arabic" w:hAnsi="Simplified Arabic" w:cs="Simplified Arabic"/>
          <w:color w:val="000000" w:themeColor="text1"/>
          <w:sz w:val="36"/>
          <w:szCs w:val="36"/>
          <w:rtl/>
        </w:rPr>
        <w:t>فروض الدراسة</w:t>
      </w:r>
      <w:bookmarkEnd w:id="6"/>
    </w:p>
    <w:p w14:paraId="56457A99" w14:textId="61565988" w:rsidR="003F570E" w:rsidRPr="009B67DA" w:rsidRDefault="003F570E" w:rsidP="003F570E">
      <w:pPr>
        <w:pStyle w:val="a8"/>
        <w:bidi/>
        <w:spacing w:line="276" w:lineRule="auto"/>
        <w:jc w:val="both"/>
        <w:rPr>
          <w:rStyle w:val="a9"/>
          <w:rFonts w:ascii="Simplified Arabic" w:hAnsi="Simplified Arabic" w:cs="Simplified Arabic"/>
          <w:color w:val="000000" w:themeColor="text1"/>
          <w:sz w:val="32"/>
          <w:szCs w:val="32"/>
          <w:rtl/>
        </w:rPr>
      </w:pPr>
      <w:r w:rsidRPr="009B67DA">
        <w:rPr>
          <w:rStyle w:val="a9"/>
          <w:rFonts w:ascii="Simplified Arabic" w:hAnsi="Simplified Arabic" w:cs="Simplified Arabic"/>
          <w:color w:val="000000" w:themeColor="text1"/>
          <w:sz w:val="32"/>
          <w:szCs w:val="32"/>
          <w:rtl/>
        </w:rPr>
        <w:t>الفرض الرئيسي</w:t>
      </w:r>
    </w:p>
    <w:p w14:paraId="03913905" w14:textId="0DF37C9F" w:rsidR="00DF0357" w:rsidRPr="009B67DA" w:rsidRDefault="00DF0357" w:rsidP="003F570E">
      <w:pPr>
        <w:pStyle w:val="a8"/>
        <w:numPr>
          <w:ilvl w:val="0"/>
          <w:numId w:val="14"/>
        </w:numPr>
        <w:bidi/>
        <w:spacing w:line="276" w:lineRule="auto"/>
        <w:jc w:val="both"/>
        <w:rPr>
          <w:rFonts w:ascii="Simplified Arabic" w:hAnsi="Simplified Arabic" w:cs="Simplified Arabic"/>
          <w:color w:val="000000" w:themeColor="text1"/>
          <w:sz w:val="28"/>
          <w:szCs w:val="28"/>
        </w:rPr>
      </w:pPr>
      <w:r w:rsidRPr="009B67DA">
        <w:rPr>
          <w:rStyle w:val="a9"/>
          <w:rFonts w:ascii="Simplified Arabic" w:hAnsi="Simplified Arabic" w:cs="Simplified Arabic"/>
          <w:b w:val="0"/>
          <w:bCs w:val="0"/>
          <w:color w:val="000000" w:themeColor="text1"/>
          <w:sz w:val="28"/>
          <w:szCs w:val="28"/>
          <w:rtl/>
        </w:rPr>
        <w:t>يوجد أثر ذو دلالة إحصائية عند مستوى معنوية</w:t>
      </w:r>
      <w:r w:rsidRPr="009B67DA">
        <w:rPr>
          <w:rStyle w:val="a9"/>
          <w:rFonts w:ascii="Simplified Arabic" w:hAnsi="Simplified Arabic" w:cs="Simplified Arabic"/>
          <w:b w:val="0"/>
          <w:bCs w:val="0"/>
          <w:color w:val="000000" w:themeColor="text1"/>
          <w:sz w:val="28"/>
          <w:szCs w:val="28"/>
        </w:rPr>
        <w:t xml:space="preserve"> (</w:t>
      </w:r>
      <w:r w:rsidRPr="009B67DA">
        <w:rPr>
          <w:rStyle w:val="a9"/>
          <w:rFonts w:ascii="Cambria" w:hAnsi="Cambria" w:cs="Cambria"/>
          <w:b w:val="0"/>
          <w:bCs w:val="0"/>
          <w:color w:val="000000" w:themeColor="text1"/>
          <w:sz w:val="28"/>
          <w:szCs w:val="28"/>
        </w:rPr>
        <w:t>α</w:t>
      </w:r>
      <w:r w:rsidRPr="009B67DA">
        <w:rPr>
          <w:rStyle w:val="a9"/>
          <w:rFonts w:ascii="Simplified Arabic" w:hAnsi="Simplified Arabic" w:cs="Simplified Arabic"/>
          <w:b w:val="0"/>
          <w:bCs w:val="0"/>
          <w:color w:val="000000" w:themeColor="text1"/>
          <w:sz w:val="28"/>
          <w:szCs w:val="28"/>
        </w:rPr>
        <w:t xml:space="preserve"> </w:t>
      </w:r>
      <w:r w:rsidRPr="009B67DA">
        <w:rPr>
          <w:rStyle w:val="a9"/>
          <w:b w:val="0"/>
          <w:bCs w:val="0"/>
          <w:color w:val="000000" w:themeColor="text1"/>
          <w:sz w:val="28"/>
          <w:szCs w:val="28"/>
        </w:rPr>
        <w:t>≤</w:t>
      </w:r>
      <w:r w:rsidRPr="009B67DA">
        <w:rPr>
          <w:rStyle w:val="a9"/>
          <w:rFonts w:ascii="Simplified Arabic" w:hAnsi="Simplified Arabic" w:cs="Simplified Arabic"/>
          <w:b w:val="0"/>
          <w:bCs w:val="0"/>
          <w:color w:val="000000" w:themeColor="text1"/>
          <w:sz w:val="28"/>
          <w:szCs w:val="28"/>
        </w:rPr>
        <w:t xml:space="preserve"> 0.05) </w:t>
      </w:r>
      <w:r w:rsidRPr="009B67DA">
        <w:rPr>
          <w:rStyle w:val="a9"/>
          <w:rFonts w:ascii="Simplified Arabic" w:hAnsi="Simplified Arabic" w:cs="Simplified Arabic"/>
          <w:b w:val="0"/>
          <w:bCs w:val="0"/>
          <w:color w:val="000000" w:themeColor="text1"/>
          <w:sz w:val="28"/>
          <w:szCs w:val="28"/>
          <w:rtl/>
        </w:rPr>
        <w:t xml:space="preserve">للتحول الرقمي بأبعاده (البنية التحتية الرقمية، التكنولوجيا الرقمية، الثقافة الرقمية، المهارات الرقمية) على إدارة المخاطر </w:t>
      </w:r>
      <w:r w:rsidR="00BD4F44" w:rsidRPr="009B67DA">
        <w:rPr>
          <w:rFonts w:ascii="Simplified Arabic" w:hAnsi="Simplified Arabic" w:cs="Simplified Arabic"/>
          <w:color w:val="000000" w:themeColor="text1"/>
          <w:sz w:val="28"/>
          <w:szCs w:val="28"/>
          <w:rtl/>
        </w:rPr>
        <w:t>في الشركات اللوجستية محل الدراسة</w:t>
      </w:r>
      <w:r w:rsidRPr="009B67DA">
        <w:rPr>
          <w:rStyle w:val="a9"/>
          <w:rFonts w:ascii="Simplified Arabic" w:hAnsi="Simplified Arabic" w:cs="Simplified Arabic"/>
          <w:b w:val="0"/>
          <w:bCs w:val="0"/>
          <w:color w:val="000000" w:themeColor="text1"/>
          <w:sz w:val="28"/>
          <w:szCs w:val="28"/>
        </w:rPr>
        <w:t>.</w:t>
      </w:r>
    </w:p>
    <w:p w14:paraId="765BD71E" w14:textId="77777777" w:rsidR="00DF0357" w:rsidRPr="009B67DA" w:rsidRDefault="00DF0357" w:rsidP="003F570E">
      <w:pPr>
        <w:pStyle w:val="a8"/>
        <w:bidi/>
        <w:spacing w:line="276" w:lineRule="auto"/>
        <w:jc w:val="both"/>
        <w:rPr>
          <w:rFonts w:ascii="Simplified Arabic" w:hAnsi="Simplified Arabic" w:cs="Simplified Arabic"/>
          <w:b/>
          <w:bCs/>
          <w:color w:val="000000" w:themeColor="text1"/>
          <w:sz w:val="28"/>
          <w:szCs w:val="28"/>
        </w:rPr>
      </w:pPr>
      <w:r w:rsidRPr="009B67DA">
        <w:rPr>
          <w:rFonts w:ascii="Simplified Arabic" w:hAnsi="Simplified Arabic" w:cs="Simplified Arabic"/>
          <w:b/>
          <w:bCs/>
          <w:color w:val="000000" w:themeColor="text1"/>
          <w:sz w:val="28"/>
          <w:szCs w:val="28"/>
          <w:rtl/>
        </w:rPr>
        <w:t>وينبثق من الفرض الرئيسي مجموعة من الفروض الفرعية، وهي</w:t>
      </w:r>
      <w:r w:rsidRPr="009B67DA">
        <w:rPr>
          <w:rFonts w:ascii="Simplified Arabic" w:hAnsi="Simplified Arabic" w:cs="Simplified Arabic"/>
          <w:b/>
          <w:bCs/>
          <w:color w:val="000000" w:themeColor="text1"/>
          <w:sz w:val="28"/>
          <w:szCs w:val="28"/>
        </w:rPr>
        <w:t>:</w:t>
      </w:r>
    </w:p>
    <w:p w14:paraId="3C589010" w14:textId="2DC96510" w:rsidR="00DF0357" w:rsidRPr="009B67DA" w:rsidRDefault="00DF0357" w:rsidP="003F570E">
      <w:pPr>
        <w:pStyle w:val="a8"/>
        <w:numPr>
          <w:ilvl w:val="0"/>
          <w:numId w:val="14"/>
        </w:numPr>
        <w:bidi/>
        <w:spacing w:line="276" w:lineRule="auto"/>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الفرض الفرعي الأول: يوجد أثر ذو دلالة إحصائية عند مستوى معنوية</w:t>
      </w:r>
      <w:r w:rsidRPr="009B67DA">
        <w:rPr>
          <w:rFonts w:ascii="Simplified Arabic" w:hAnsi="Simplified Arabic" w:cs="Simplified Arabic"/>
          <w:color w:val="000000" w:themeColor="text1"/>
          <w:sz w:val="28"/>
          <w:szCs w:val="28"/>
        </w:rPr>
        <w:t xml:space="preserve"> (</w:t>
      </w:r>
      <w:r w:rsidRPr="009B67DA">
        <w:rPr>
          <w:rFonts w:ascii="Cambria" w:hAnsi="Cambria" w:cs="Cambria"/>
          <w:color w:val="000000" w:themeColor="text1"/>
          <w:sz w:val="28"/>
          <w:szCs w:val="28"/>
        </w:rPr>
        <w:t>α</w:t>
      </w:r>
      <w:r w:rsidRPr="009B67DA">
        <w:rPr>
          <w:rFonts w:ascii="Simplified Arabic" w:hAnsi="Simplified Arabic" w:cs="Simplified Arabic"/>
          <w:color w:val="000000" w:themeColor="text1"/>
          <w:sz w:val="28"/>
          <w:szCs w:val="28"/>
        </w:rPr>
        <w:t xml:space="preserve"> </w:t>
      </w:r>
      <w:r w:rsidRPr="009B67DA">
        <w:rPr>
          <w:color w:val="000000" w:themeColor="text1"/>
          <w:sz w:val="28"/>
          <w:szCs w:val="28"/>
        </w:rPr>
        <w:t>≤</w:t>
      </w:r>
      <w:r w:rsidRPr="009B67DA">
        <w:rPr>
          <w:rFonts w:ascii="Simplified Arabic" w:hAnsi="Simplified Arabic" w:cs="Simplified Arabic"/>
          <w:color w:val="000000" w:themeColor="text1"/>
          <w:sz w:val="28"/>
          <w:szCs w:val="28"/>
        </w:rPr>
        <w:t xml:space="preserve"> 0.05) </w:t>
      </w:r>
      <w:r w:rsidRPr="009B67DA">
        <w:rPr>
          <w:rFonts w:ascii="Simplified Arabic" w:hAnsi="Simplified Arabic" w:cs="Simplified Arabic"/>
          <w:color w:val="000000" w:themeColor="text1"/>
          <w:sz w:val="28"/>
          <w:szCs w:val="28"/>
          <w:rtl/>
        </w:rPr>
        <w:t xml:space="preserve">للبنية التحتية الرقمية على إدارة المخاطر </w:t>
      </w:r>
      <w:r w:rsidR="00BD4F44" w:rsidRPr="009B67DA">
        <w:rPr>
          <w:rFonts w:ascii="Simplified Arabic" w:hAnsi="Simplified Arabic" w:cs="Simplified Arabic"/>
          <w:color w:val="000000" w:themeColor="text1"/>
          <w:sz w:val="28"/>
          <w:szCs w:val="28"/>
          <w:rtl/>
        </w:rPr>
        <w:t>في الشركات اللوجستية محل الدراسة</w:t>
      </w:r>
      <w:r w:rsidRPr="009B67DA">
        <w:rPr>
          <w:rFonts w:ascii="Simplified Arabic" w:hAnsi="Simplified Arabic" w:cs="Simplified Arabic"/>
          <w:color w:val="000000" w:themeColor="text1"/>
          <w:sz w:val="28"/>
          <w:szCs w:val="28"/>
        </w:rPr>
        <w:t>.</w:t>
      </w:r>
    </w:p>
    <w:p w14:paraId="2C9B7A86" w14:textId="3A978200" w:rsidR="00DF0357" w:rsidRPr="009B67DA" w:rsidRDefault="00DF0357" w:rsidP="003F570E">
      <w:pPr>
        <w:pStyle w:val="a8"/>
        <w:numPr>
          <w:ilvl w:val="0"/>
          <w:numId w:val="14"/>
        </w:numPr>
        <w:bidi/>
        <w:spacing w:line="276" w:lineRule="auto"/>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الفرض الفرعي الثاني: يوجد أثر ذو دلالة إحصائية عند مستوى معنوية</w:t>
      </w:r>
      <w:r w:rsidRPr="009B67DA">
        <w:rPr>
          <w:rFonts w:ascii="Simplified Arabic" w:hAnsi="Simplified Arabic" w:cs="Simplified Arabic"/>
          <w:color w:val="000000" w:themeColor="text1"/>
          <w:sz w:val="28"/>
          <w:szCs w:val="28"/>
        </w:rPr>
        <w:t xml:space="preserve"> (</w:t>
      </w:r>
      <w:r w:rsidRPr="009B67DA">
        <w:rPr>
          <w:rFonts w:ascii="Cambria" w:hAnsi="Cambria" w:cs="Cambria"/>
          <w:color w:val="000000" w:themeColor="text1"/>
          <w:sz w:val="28"/>
          <w:szCs w:val="28"/>
        </w:rPr>
        <w:t>α</w:t>
      </w:r>
      <w:r w:rsidRPr="009B67DA">
        <w:rPr>
          <w:rFonts w:ascii="Simplified Arabic" w:hAnsi="Simplified Arabic" w:cs="Simplified Arabic"/>
          <w:color w:val="000000" w:themeColor="text1"/>
          <w:sz w:val="28"/>
          <w:szCs w:val="28"/>
        </w:rPr>
        <w:t xml:space="preserve"> </w:t>
      </w:r>
      <w:r w:rsidRPr="009B67DA">
        <w:rPr>
          <w:color w:val="000000" w:themeColor="text1"/>
          <w:sz w:val="28"/>
          <w:szCs w:val="28"/>
        </w:rPr>
        <w:t>≤</w:t>
      </w:r>
      <w:r w:rsidRPr="009B67DA">
        <w:rPr>
          <w:rFonts w:ascii="Simplified Arabic" w:hAnsi="Simplified Arabic" w:cs="Simplified Arabic"/>
          <w:color w:val="000000" w:themeColor="text1"/>
          <w:sz w:val="28"/>
          <w:szCs w:val="28"/>
        </w:rPr>
        <w:t xml:space="preserve"> 0.05) </w:t>
      </w:r>
      <w:r w:rsidRPr="009B67DA">
        <w:rPr>
          <w:rFonts w:ascii="Simplified Arabic" w:hAnsi="Simplified Arabic" w:cs="Simplified Arabic"/>
          <w:color w:val="000000" w:themeColor="text1"/>
          <w:sz w:val="28"/>
          <w:szCs w:val="28"/>
          <w:rtl/>
        </w:rPr>
        <w:t xml:space="preserve">للتكنولوجيا الرقمية على إدارة المخاطر </w:t>
      </w:r>
      <w:r w:rsidR="00BD4F44" w:rsidRPr="009B67DA">
        <w:rPr>
          <w:rFonts w:ascii="Simplified Arabic" w:hAnsi="Simplified Arabic" w:cs="Simplified Arabic"/>
          <w:color w:val="000000" w:themeColor="text1"/>
          <w:sz w:val="28"/>
          <w:szCs w:val="28"/>
          <w:rtl/>
        </w:rPr>
        <w:t>في الشركات اللوجستية محل الدراسة</w:t>
      </w:r>
      <w:r w:rsidRPr="009B67DA">
        <w:rPr>
          <w:rFonts w:ascii="Simplified Arabic" w:hAnsi="Simplified Arabic" w:cs="Simplified Arabic"/>
          <w:color w:val="000000" w:themeColor="text1"/>
          <w:sz w:val="28"/>
          <w:szCs w:val="28"/>
        </w:rPr>
        <w:t>.</w:t>
      </w:r>
    </w:p>
    <w:p w14:paraId="63B82FCF" w14:textId="7F8660D6" w:rsidR="00DF0357" w:rsidRPr="009B67DA" w:rsidRDefault="00DF0357" w:rsidP="003F570E">
      <w:pPr>
        <w:pStyle w:val="a8"/>
        <w:numPr>
          <w:ilvl w:val="0"/>
          <w:numId w:val="14"/>
        </w:numPr>
        <w:bidi/>
        <w:spacing w:line="276" w:lineRule="auto"/>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الفرض الفرعي الثالث: يوجد أثر ذو دلالة إحصائية عند مستوى معنوية</w:t>
      </w:r>
      <w:r w:rsidRPr="009B67DA">
        <w:rPr>
          <w:rFonts w:ascii="Simplified Arabic" w:hAnsi="Simplified Arabic" w:cs="Simplified Arabic"/>
          <w:color w:val="000000" w:themeColor="text1"/>
          <w:sz w:val="28"/>
          <w:szCs w:val="28"/>
        </w:rPr>
        <w:t xml:space="preserve"> (</w:t>
      </w:r>
      <w:r w:rsidRPr="009B67DA">
        <w:rPr>
          <w:rFonts w:ascii="Cambria" w:hAnsi="Cambria" w:cs="Cambria"/>
          <w:color w:val="000000" w:themeColor="text1"/>
          <w:sz w:val="28"/>
          <w:szCs w:val="28"/>
        </w:rPr>
        <w:t>α</w:t>
      </w:r>
      <w:r w:rsidRPr="009B67DA">
        <w:rPr>
          <w:rFonts w:ascii="Simplified Arabic" w:hAnsi="Simplified Arabic" w:cs="Simplified Arabic"/>
          <w:color w:val="000000" w:themeColor="text1"/>
          <w:sz w:val="28"/>
          <w:szCs w:val="28"/>
        </w:rPr>
        <w:t xml:space="preserve"> </w:t>
      </w:r>
      <w:r w:rsidRPr="009B67DA">
        <w:rPr>
          <w:color w:val="000000" w:themeColor="text1"/>
          <w:sz w:val="28"/>
          <w:szCs w:val="28"/>
        </w:rPr>
        <w:t>≤</w:t>
      </w:r>
      <w:r w:rsidRPr="009B67DA">
        <w:rPr>
          <w:rFonts w:ascii="Simplified Arabic" w:hAnsi="Simplified Arabic" w:cs="Simplified Arabic"/>
          <w:color w:val="000000" w:themeColor="text1"/>
          <w:sz w:val="28"/>
          <w:szCs w:val="28"/>
        </w:rPr>
        <w:t xml:space="preserve"> 0.05) </w:t>
      </w:r>
      <w:r w:rsidRPr="009B67DA">
        <w:rPr>
          <w:rFonts w:ascii="Simplified Arabic" w:hAnsi="Simplified Arabic" w:cs="Simplified Arabic"/>
          <w:color w:val="000000" w:themeColor="text1"/>
          <w:sz w:val="28"/>
          <w:szCs w:val="28"/>
          <w:rtl/>
        </w:rPr>
        <w:t xml:space="preserve">للثقافة الرقمية على إدارة المخاطر </w:t>
      </w:r>
      <w:r w:rsidR="00BD4F44" w:rsidRPr="009B67DA">
        <w:rPr>
          <w:rFonts w:ascii="Simplified Arabic" w:hAnsi="Simplified Arabic" w:cs="Simplified Arabic"/>
          <w:color w:val="000000" w:themeColor="text1"/>
          <w:sz w:val="28"/>
          <w:szCs w:val="28"/>
          <w:rtl/>
        </w:rPr>
        <w:t>في الشركات اللوجستية محل الدراسة</w:t>
      </w:r>
      <w:r w:rsidRPr="009B67DA">
        <w:rPr>
          <w:rFonts w:ascii="Simplified Arabic" w:hAnsi="Simplified Arabic" w:cs="Simplified Arabic"/>
          <w:color w:val="000000" w:themeColor="text1"/>
          <w:sz w:val="28"/>
          <w:szCs w:val="28"/>
        </w:rPr>
        <w:t>.</w:t>
      </w:r>
    </w:p>
    <w:p w14:paraId="2C0EFCD4" w14:textId="51C6B956" w:rsidR="00DF0357" w:rsidRPr="009B67DA" w:rsidRDefault="00DF0357" w:rsidP="003F570E">
      <w:pPr>
        <w:pStyle w:val="a8"/>
        <w:numPr>
          <w:ilvl w:val="0"/>
          <w:numId w:val="14"/>
        </w:numPr>
        <w:bidi/>
        <w:spacing w:line="276" w:lineRule="auto"/>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الفرض الفرعي الرابع: يوجد أثر ذو دلالة إحصائية عند مستوى معنوية</w:t>
      </w:r>
      <w:r w:rsidRPr="009B67DA">
        <w:rPr>
          <w:rFonts w:ascii="Simplified Arabic" w:hAnsi="Simplified Arabic" w:cs="Simplified Arabic"/>
          <w:color w:val="000000" w:themeColor="text1"/>
          <w:sz w:val="28"/>
          <w:szCs w:val="28"/>
        </w:rPr>
        <w:t xml:space="preserve"> (</w:t>
      </w:r>
      <w:r w:rsidRPr="009B67DA">
        <w:rPr>
          <w:rFonts w:ascii="Cambria" w:hAnsi="Cambria" w:cs="Cambria"/>
          <w:color w:val="000000" w:themeColor="text1"/>
          <w:sz w:val="28"/>
          <w:szCs w:val="28"/>
        </w:rPr>
        <w:t>α</w:t>
      </w:r>
      <w:r w:rsidRPr="009B67DA">
        <w:rPr>
          <w:rFonts w:ascii="Simplified Arabic" w:hAnsi="Simplified Arabic" w:cs="Simplified Arabic"/>
          <w:color w:val="000000" w:themeColor="text1"/>
          <w:sz w:val="28"/>
          <w:szCs w:val="28"/>
        </w:rPr>
        <w:t xml:space="preserve"> </w:t>
      </w:r>
      <w:r w:rsidRPr="009B67DA">
        <w:rPr>
          <w:color w:val="000000" w:themeColor="text1"/>
          <w:sz w:val="28"/>
          <w:szCs w:val="28"/>
        </w:rPr>
        <w:t>≤</w:t>
      </w:r>
      <w:r w:rsidRPr="009B67DA">
        <w:rPr>
          <w:rFonts w:ascii="Simplified Arabic" w:hAnsi="Simplified Arabic" w:cs="Simplified Arabic"/>
          <w:color w:val="000000" w:themeColor="text1"/>
          <w:sz w:val="28"/>
          <w:szCs w:val="28"/>
        </w:rPr>
        <w:t xml:space="preserve"> 0.05) </w:t>
      </w:r>
      <w:r w:rsidRPr="009B67DA">
        <w:rPr>
          <w:rFonts w:ascii="Simplified Arabic" w:hAnsi="Simplified Arabic" w:cs="Simplified Arabic"/>
          <w:color w:val="000000" w:themeColor="text1"/>
          <w:sz w:val="28"/>
          <w:szCs w:val="28"/>
          <w:rtl/>
        </w:rPr>
        <w:t xml:space="preserve">للمهارات الرقمية على إدارة المخاطر </w:t>
      </w:r>
      <w:r w:rsidR="00BD4F44" w:rsidRPr="009B67DA">
        <w:rPr>
          <w:rFonts w:ascii="Simplified Arabic" w:hAnsi="Simplified Arabic" w:cs="Simplified Arabic"/>
          <w:color w:val="000000" w:themeColor="text1"/>
          <w:sz w:val="28"/>
          <w:szCs w:val="28"/>
          <w:rtl/>
        </w:rPr>
        <w:t>في الشركات اللوجستية محل الدراسة</w:t>
      </w:r>
      <w:r w:rsidRPr="009B67DA">
        <w:rPr>
          <w:rFonts w:ascii="Simplified Arabic" w:hAnsi="Simplified Arabic" w:cs="Simplified Arabic"/>
          <w:color w:val="000000" w:themeColor="text1"/>
          <w:sz w:val="28"/>
          <w:szCs w:val="28"/>
        </w:rPr>
        <w:t>.</w:t>
      </w:r>
    </w:p>
    <w:p w14:paraId="7819727B" w14:textId="77777777" w:rsidR="003F570E" w:rsidRPr="009B67DA" w:rsidRDefault="003F570E" w:rsidP="003F570E">
      <w:pPr>
        <w:pStyle w:val="a8"/>
        <w:bidi/>
        <w:spacing w:line="276" w:lineRule="auto"/>
        <w:outlineLvl w:val="1"/>
        <w:rPr>
          <w:rFonts w:ascii="Simplified Arabic" w:hAnsi="Simplified Arabic" w:cs="Simplified Arabic"/>
          <w:b/>
          <w:bCs/>
          <w:color w:val="000000" w:themeColor="text1"/>
          <w:sz w:val="36"/>
          <w:szCs w:val="36"/>
          <w:rtl/>
        </w:rPr>
      </w:pPr>
      <w:bookmarkStart w:id="7" w:name="_Toc233990052"/>
      <w:r w:rsidRPr="009B67DA">
        <w:rPr>
          <w:rFonts w:ascii="Simplified Arabic" w:hAnsi="Simplified Arabic" w:cs="Simplified Arabic"/>
          <w:b/>
          <w:bCs/>
          <w:color w:val="000000" w:themeColor="text1"/>
          <w:sz w:val="36"/>
          <w:szCs w:val="36"/>
        </w:rPr>
        <w:t xml:space="preserve">6.1 </w:t>
      </w:r>
      <w:r w:rsidRPr="009B67DA">
        <w:rPr>
          <w:rFonts w:ascii="Simplified Arabic" w:hAnsi="Simplified Arabic" w:cs="Simplified Arabic"/>
          <w:b/>
          <w:bCs/>
          <w:color w:val="000000" w:themeColor="text1"/>
          <w:sz w:val="36"/>
          <w:szCs w:val="36"/>
          <w:rtl/>
        </w:rPr>
        <w:t>أهمية الدراسة</w:t>
      </w:r>
      <w:bookmarkEnd w:id="7"/>
    </w:p>
    <w:p w14:paraId="68C9F67C" w14:textId="0349DDAF" w:rsidR="003F570E" w:rsidRPr="009B67DA" w:rsidRDefault="003F570E" w:rsidP="003F570E">
      <w:pPr>
        <w:pStyle w:val="a8"/>
        <w:bidi/>
        <w:spacing w:line="276" w:lineRule="auto"/>
        <w:jc w:val="both"/>
        <w:rPr>
          <w:rFonts w:ascii="Simplified Arabic" w:hAnsi="Simplified Arabic" w:cs="Simplified Arabic"/>
          <w:b/>
          <w:bCs/>
          <w:color w:val="000000" w:themeColor="text1"/>
          <w:sz w:val="32"/>
          <w:szCs w:val="32"/>
          <w:rtl/>
        </w:rPr>
      </w:pPr>
      <w:r w:rsidRPr="009B67DA">
        <w:rPr>
          <w:rFonts w:ascii="Simplified Arabic" w:hAnsi="Simplified Arabic" w:cs="Simplified Arabic"/>
          <w:b/>
          <w:bCs/>
          <w:color w:val="000000" w:themeColor="text1"/>
          <w:sz w:val="32"/>
          <w:szCs w:val="32"/>
          <w:rtl/>
        </w:rPr>
        <w:t>الأهمية العلمية (النظرية)</w:t>
      </w:r>
    </w:p>
    <w:p w14:paraId="674302CA" w14:textId="77777777" w:rsidR="00DF0357" w:rsidRPr="009B67DA" w:rsidRDefault="00DF0357"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تستمد الدراسة الحالية أهميتها العلمية من كونها تتناول موضوعين من أبرز الموضوعات الإدارية المعاصرة، وهما التحول الرقمي وإدارة المخاطر، اللذان يحظيان باهتمام واسع من قِبل الباحثين والأكاديميين في ظل التحولات التكنولوجية المتسارعة التي يشهدها العالم</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 xml:space="preserve">كما تكتسب الدراسة أهميتها من خلال إثراء المكتبة العربية بإطار نظري متكامل يتناول العلاقة بين التحول الرقمي بأبعاده المختلفة وإدارة المخاطر، </w:t>
      </w:r>
      <w:r w:rsidRPr="009B67DA">
        <w:rPr>
          <w:rFonts w:ascii="Simplified Arabic" w:hAnsi="Simplified Arabic" w:cs="Simplified Arabic"/>
          <w:color w:val="000000" w:themeColor="text1"/>
          <w:sz w:val="28"/>
          <w:szCs w:val="28"/>
          <w:rtl/>
        </w:rPr>
        <w:lastRenderedPageBreak/>
        <w:t>وهو ما يُمثّل إضافةً علمية نوعية في ظل ندرة الدراسات العربية التي تناولت هذه العلاقة بشكل مباشر. علاوةً على ذلك، يُتوقّع أن تُسهم نتائج الدراسة في فتح آفاق بحثية جديدة أمام الباحثين لإجراء دراسات مستقبلية مماثلة في بيئات تطبيقية وقطاعات مختلفة</w:t>
      </w:r>
      <w:r w:rsidRPr="009B67DA">
        <w:rPr>
          <w:rFonts w:ascii="Simplified Arabic" w:hAnsi="Simplified Arabic" w:cs="Simplified Arabic"/>
          <w:color w:val="000000" w:themeColor="text1"/>
          <w:sz w:val="28"/>
          <w:szCs w:val="28"/>
        </w:rPr>
        <w:t>.</w:t>
      </w:r>
    </w:p>
    <w:p w14:paraId="0172298B" w14:textId="6B7A19A8" w:rsidR="003F570E" w:rsidRPr="009B67DA" w:rsidRDefault="003F570E" w:rsidP="003F570E">
      <w:pPr>
        <w:pStyle w:val="a8"/>
        <w:bidi/>
        <w:spacing w:line="276" w:lineRule="auto"/>
        <w:jc w:val="both"/>
        <w:rPr>
          <w:rFonts w:ascii="Simplified Arabic" w:hAnsi="Simplified Arabic" w:cs="Simplified Arabic"/>
          <w:b/>
          <w:bCs/>
          <w:color w:val="000000" w:themeColor="text1"/>
          <w:sz w:val="32"/>
          <w:szCs w:val="32"/>
          <w:rtl/>
        </w:rPr>
      </w:pPr>
      <w:r w:rsidRPr="009B67DA">
        <w:rPr>
          <w:rFonts w:ascii="Simplified Arabic" w:hAnsi="Simplified Arabic" w:cs="Simplified Arabic"/>
          <w:b/>
          <w:bCs/>
          <w:color w:val="000000" w:themeColor="text1"/>
          <w:sz w:val="32"/>
          <w:szCs w:val="32"/>
          <w:rtl/>
        </w:rPr>
        <w:t>الأهمية العملية (التطبيقية)</w:t>
      </w:r>
    </w:p>
    <w:p w14:paraId="6BAC6327" w14:textId="57E0754D" w:rsidR="00DF0357" w:rsidRPr="009B67DA" w:rsidRDefault="00BD4F44" w:rsidP="003F570E">
      <w:pPr>
        <w:pStyle w:val="a8"/>
        <w:bidi/>
        <w:spacing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تتمثل الأهمية العملية للدراسة في كونها تُقدّم نتائج وتوصيات تطبيقية يُمكن الاستفادة منها من قِبل صانعي القرار والإدارات العليا في الشركات اللوجستية في تطوير سياساتهم واستراتيجياتهم المتعلقة بتوظيف التحول الرقمي بوصفه أداةً فاعلة لتحسين منظومة إدارة مخاطر سلاسل الإمداد وتعزيز مرونتها. كما يُتوقّع أن تُسهم الدراسة في توجيه أنظار المسؤولين في القطاع اللوجستي نحو أهمية الاستثمار في البنية التحتية الرقمية وتطوير المهارات الرقمية للعاملين، بما يُعزّز قدرة الشركات اللوجستية على مواجهة المخاطر المتنوعة التي تتعرّض لها في بيئة الأعمال الراهنة. كما تُفيد الدراسة الجهات الرقابية والتنظيمية في وضع الأطر والمعايير المناسبة لتعزيز التكامل بين التحول الرقمي وإدارة المخاطر في القطاع اللوجستي، بما يتوافق مع مستهدفات رؤية المملكة 2030 في جعل المملكة مركزاً لوجستياً عالمياً</w:t>
      </w:r>
      <w:r w:rsidR="00DF0357" w:rsidRPr="009B67DA">
        <w:rPr>
          <w:rFonts w:ascii="Simplified Arabic" w:hAnsi="Simplified Arabic" w:cs="Simplified Arabic"/>
          <w:color w:val="000000" w:themeColor="text1"/>
          <w:sz w:val="28"/>
          <w:szCs w:val="28"/>
        </w:rPr>
        <w:t>.</w:t>
      </w:r>
    </w:p>
    <w:p w14:paraId="2C24ADCE" w14:textId="31EAE6E0"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990053"/>
      <w:bookmarkStart w:id="9" w:name="_Toc169790501"/>
      <w:bookmarkEnd w:id="1"/>
      <w:r w:rsidRPr="009B67D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8"/>
    </w:p>
    <w:p w14:paraId="65F0239A"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يُعدّ استعراض الدراسات السابقة ركيزةً أساسيةً في البحث العلمي، إذ يُتيح للباحث الاطلاع على الجهود البحثية المتراكمة في مجال دراسته، والوقوف على أبرز النتائج والتوصيات التي توصّل إليها الباحثون السابقون، فضلاً عن تحديد الفجوات البحثية التي يُمكن استكمالها وإثراؤها. وفي ظل التحولات المتسارعة التي يشهدها العالم في العقد الراهن، وما رافقها من تطورات تكنولوجية ورقمية متلاحقة، أصبح موضوع التحول الرقمي وإدارة المخاطر من أبرز الموضوعات التي استقطبت اهتمام الباحثين على المستويين العربي والأجنبي؛ نظراً لما يمثّلانه من أهمية بالغة في تعزيز قدرة المنظمات على مواجهة التحديات وتحقيق الاستدامة والمرونة في بيئة الأعمال المعاصرة</w:t>
      </w:r>
      <w:r w:rsidRPr="009B67DA">
        <w:rPr>
          <w:rFonts w:ascii="Simplified Arabic" w:eastAsia="Times New Roman" w:hAnsi="Simplified Arabic" w:cs="Simplified Arabic"/>
          <w:color w:val="000000" w:themeColor="text1"/>
          <w:kern w:val="0"/>
          <w:sz w:val="28"/>
          <w:szCs w:val="28"/>
          <w14:ligatures w14:val="none"/>
        </w:rPr>
        <w:t>.</w:t>
      </w:r>
    </w:p>
    <w:p w14:paraId="4892C17B"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وقد تناولت الدراسات السابقة هذين المتغيرين من زوايا متعددة، إذ بحث بعضها أثر التحول الرقمي بوصفه متغيراً مستقلاً في عدد من المتغيرات التنظيمية، في حين ركّز بعضها الآخر على إدارة المخاطر بأبعادها المختلفة وعلاقتها بمتغيرات تنظيمية أخرى. وفيما يلي عرضٌ لأبرز الدراسات السابقة ذات الصلة بمتغيرات الدراسة الحالية، مقسّمةً إلى محورين رئيسيين: المحور الأول يتناول الدراسات المتعلقة بالمتغير </w:t>
      </w:r>
      <w:r w:rsidRPr="009B67DA">
        <w:rPr>
          <w:rFonts w:ascii="Simplified Arabic" w:eastAsia="Times New Roman" w:hAnsi="Simplified Arabic" w:cs="Simplified Arabic"/>
          <w:color w:val="000000" w:themeColor="text1"/>
          <w:kern w:val="0"/>
          <w:sz w:val="28"/>
          <w:szCs w:val="28"/>
          <w:rtl/>
          <w14:ligatures w14:val="none"/>
        </w:rPr>
        <w:lastRenderedPageBreak/>
        <w:t>المستقل (التحول الرقمي) وعلاقته بمتغيرات أخرى، أما المحور الثاني فيتناول الدراسات المتعلقة بالمتغير التابع (إدارة المخاطر) وعلاقته بمتغيرات أخرى</w:t>
      </w:r>
      <w:r w:rsidRPr="009B67DA">
        <w:rPr>
          <w:rFonts w:ascii="Simplified Arabic" w:eastAsia="Times New Roman" w:hAnsi="Simplified Arabic" w:cs="Simplified Arabic"/>
          <w:color w:val="000000" w:themeColor="text1"/>
          <w:kern w:val="0"/>
          <w:sz w:val="28"/>
          <w:szCs w:val="28"/>
          <w14:ligatures w14:val="none"/>
        </w:rPr>
        <w:t>.</w:t>
      </w:r>
    </w:p>
    <w:p w14:paraId="6EEFBFD0" w14:textId="77777777" w:rsidR="00DF0357" w:rsidRPr="009B67DA" w:rsidRDefault="00DF0357" w:rsidP="003F57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B67DA">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(التحول الرقمي) وعلاقته بمتغيرات أخرى</w:t>
      </w:r>
    </w:p>
    <w:p w14:paraId="38BBD45F" w14:textId="77777777" w:rsidR="003F570E" w:rsidRPr="009B67DA" w:rsidRDefault="003F570E" w:rsidP="003F570E">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العزي والحيت (2024) بعنوان: "دور التحول الرقمي في تحقيق التنمية المستدامة: دراسة حالة أمانة عمان الكبرى</w:t>
      </w:r>
      <w:r w:rsidRPr="009B67DA">
        <w:rPr>
          <w:rFonts w:ascii="Simplified Arabic" w:eastAsia="Times New Roman" w:hAnsi="Simplified Arabic" w:cs="Simplified Arabic"/>
          <w:b/>
          <w:bCs/>
          <w:color w:val="000000" w:themeColor="text1"/>
          <w:kern w:val="0"/>
          <w:sz w:val="28"/>
          <w:szCs w:val="28"/>
          <w14:ligatures w14:val="none"/>
        </w:rPr>
        <w:t>"</w:t>
      </w:r>
    </w:p>
    <w:p w14:paraId="18CF164F" w14:textId="77777777" w:rsidR="003F570E" w:rsidRPr="009B67DA" w:rsidRDefault="003F570E"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التحول الرقمي بأبعاده (البنية التحتية الرقمية، الخدمات الرقمية، الثقافة الرقمية، الأمن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w:t>
      </w:r>
      <w:proofErr w:type="spellEnd"/>
      <w:r w:rsidRPr="009B67DA">
        <w:rPr>
          <w:rFonts w:ascii="Simplified Arabic" w:eastAsia="Times New Roman" w:hAnsi="Simplified Arabic" w:cs="Simplified Arabic"/>
          <w:color w:val="000000" w:themeColor="text1"/>
          <w:kern w:val="0"/>
          <w:sz w:val="28"/>
          <w:szCs w:val="28"/>
          <w:rtl/>
          <w14:ligatures w14:val="none"/>
        </w:rPr>
        <w:t>) في تحقيق التنمية المستدامة في أمانة عمان الكبرى</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عينة الدراسة من</w:t>
      </w:r>
      <w:r w:rsidRPr="009B67DA">
        <w:rPr>
          <w:rFonts w:ascii="Simplified Arabic" w:eastAsia="Times New Roman" w:hAnsi="Simplified Arabic" w:cs="Simplified Arabic"/>
          <w:color w:val="000000" w:themeColor="text1"/>
          <w:kern w:val="0"/>
          <w:sz w:val="28"/>
          <w:szCs w:val="28"/>
          <w14:ligatures w14:val="none"/>
        </w:rPr>
        <w:t xml:space="preserve"> (320) </w:t>
      </w:r>
      <w:r w:rsidRPr="009B67DA">
        <w:rPr>
          <w:rFonts w:ascii="Simplified Arabic" w:eastAsia="Times New Roman" w:hAnsi="Simplified Arabic" w:cs="Simplified Arabic"/>
          <w:color w:val="000000" w:themeColor="text1"/>
          <w:kern w:val="0"/>
          <w:sz w:val="28"/>
          <w:szCs w:val="28"/>
          <w:rtl/>
          <w14:ligatures w14:val="none"/>
        </w:rPr>
        <w:t>موظفاً من العاملين في أمانة عمان الكبرى. وتوصّلت نتائج الدراسة إلى وجود دور إيجابي ذي دلالة إحصائية للتحول الرقمي في تحقيق أبعاد التنمية المستدامة. وأوصت الدراسة بضرورة الاستثمار في تطوير البنية التحتية الرقمية، وتعزيز الوعي بأهمية التحول الرقمي بوصفه أداةً لتحقيق التنمية المستدامة</w:t>
      </w:r>
      <w:r w:rsidRPr="009B67DA">
        <w:rPr>
          <w:rFonts w:ascii="Simplified Arabic" w:eastAsia="Times New Roman" w:hAnsi="Simplified Arabic" w:cs="Simplified Arabic"/>
          <w:color w:val="000000" w:themeColor="text1"/>
          <w:kern w:val="0"/>
          <w:sz w:val="28"/>
          <w:szCs w:val="28"/>
          <w14:ligatures w14:val="none"/>
        </w:rPr>
        <w:t>.</w:t>
      </w:r>
    </w:p>
    <w:p w14:paraId="7E9E792F" w14:textId="2EE278A8" w:rsidR="00DF0357" w:rsidRPr="009B67DA" w:rsidRDefault="00DF0357" w:rsidP="003F570E">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العليمات والشيخ (2025) بعنوان: "أثر التحول الرقمي في الحد من التجنب الضريبي: الدور المعدل للالتزام الضريبي في دائرة ضريبة الدخل والمبيعات الأردنية</w:t>
      </w:r>
      <w:r w:rsidRPr="009B67DA">
        <w:rPr>
          <w:rFonts w:ascii="Simplified Arabic" w:eastAsia="Times New Roman" w:hAnsi="Simplified Arabic" w:cs="Simplified Arabic"/>
          <w:b/>
          <w:bCs/>
          <w:color w:val="000000" w:themeColor="text1"/>
          <w:kern w:val="0"/>
          <w:sz w:val="28"/>
          <w:szCs w:val="28"/>
          <w14:ligatures w14:val="none"/>
        </w:rPr>
        <w:t>"</w:t>
      </w:r>
    </w:p>
    <w:p w14:paraId="209BEC33"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الرقمية، التكنولوجيا الرقمية، الثقافة الرقمية، المهارات الرقمية) في الحد من التجنب الضريبي في دائرة ضريبة الدخل والمبيعات الأردنية، مع اختبار الدور المعدل للالتزام الضريبي. واستخدمت الدراسة المنهج الوصفي التحليلي، وتكونت عينة الدراسة من (380) موظفاً من العاملين في دائرة ضريبة الدخل والمبيعات الأردنية. وتوصّلت نتائج الدراسة إلى وجود أثر ذي دلالة إحصائية للتحول الرقمي في الحد من التجنب الضريبي، ووجود دور معدل للالتزام الضريبي في تقوية هذه العلاقة. وأوصت الدراسة بضرورة تعزيز البنية التحتية الرقمية وتطوير المهارات الرقمية لدى العاملين في الدوائر الضريبية</w:t>
      </w:r>
      <w:r w:rsidRPr="009B67DA">
        <w:rPr>
          <w:rFonts w:ascii="Simplified Arabic" w:eastAsia="Times New Roman" w:hAnsi="Simplified Arabic" w:cs="Simplified Arabic"/>
          <w:color w:val="000000" w:themeColor="text1"/>
          <w:kern w:val="0"/>
          <w:sz w:val="28"/>
          <w:szCs w:val="28"/>
          <w14:ligatures w14:val="none"/>
        </w:rPr>
        <w:t>.</w:t>
      </w:r>
    </w:p>
    <w:p w14:paraId="62582889" w14:textId="27A97E6B" w:rsidR="00DF0357" w:rsidRPr="009B67DA" w:rsidRDefault="00DF0357" w:rsidP="003F570E">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الربيع ومفلح (2024) بعنوان: "أثر التحول الرقمي في إدارة المشاريع</w:t>
      </w:r>
      <w:r w:rsidRPr="009B67DA">
        <w:rPr>
          <w:rFonts w:ascii="Simplified Arabic" w:eastAsia="Times New Roman" w:hAnsi="Simplified Arabic" w:cs="Simplified Arabic"/>
          <w:b/>
          <w:bCs/>
          <w:color w:val="000000" w:themeColor="text1"/>
          <w:kern w:val="0"/>
          <w:sz w:val="28"/>
          <w:szCs w:val="28"/>
          <w14:ligatures w14:val="none"/>
        </w:rPr>
        <w:t xml:space="preserve">: </w:t>
      </w:r>
      <w:r w:rsidRPr="009B67DA">
        <w:rPr>
          <w:rFonts w:ascii="Simplified Arabic" w:eastAsia="Times New Roman" w:hAnsi="Simplified Arabic" w:cs="Simplified Arabic"/>
          <w:b/>
          <w:bCs/>
          <w:color w:val="000000" w:themeColor="text1"/>
          <w:kern w:val="0"/>
          <w:sz w:val="28"/>
          <w:szCs w:val="28"/>
          <w:rtl/>
          <w14:ligatures w14:val="none"/>
        </w:rPr>
        <w:t>الدور الوسيط للتجديد الاستراتيجي في الشركات الإنشائية الأردنية</w:t>
      </w:r>
      <w:r w:rsidRPr="009B67DA">
        <w:rPr>
          <w:rFonts w:ascii="Simplified Arabic" w:eastAsia="Times New Roman" w:hAnsi="Simplified Arabic" w:cs="Simplified Arabic"/>
          <w:b/>
          <w:bCs/>
          <w:color w:val="000000" w:themeColor="text1"/>
          <w:kern w:val="0"/>
          <w:sz w:val="28"/>
          <w:szCs w:val="28"/>
          <w14:ligatures w14:val="none"/>
        </w:rPr>
        <w:t>"</w:t>
      </w:r>
    </w:p>
    <w:p w14:paraId="6B17F2F9"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التحول الرقمي بأبعاده (القيادة الرقمية، الاستراتيجية الرقمية، التكنولوجيا الرقمية، الثقافة الرقمية) في إدارة المشاريع في الشركات الإنشائية الأردنية، مع اختبار الدور الوسيط للتجديد الاستراتيجي. واستخدمت الدراسة المنهج الوصفي التحليلي، وتكونت عينة الدراسة من (350) مديراً وعاملاً في الشركات الإنشائية الأردنية. وتوصّلت نتائج الدراسة إلى وجود أثر ذي دلالة إحصائية للتحول الرقمي في إدارة المشاريع، ووجود دور وسيط للتجديد الاستراتيجي في هذه العلاقة. وأوصت الدراسة بضرورة تبنّي استراتيجيات التحول الرقمي وربطها بعمليات التجديد الاستراتيجي لتحسين إدارة المشاريع</w:t>
      </w:r>
      <w:r w:rsidRPr="009B67DA">
        <w:rPr>
          <w:rFonts w:ascii="Simplified Arabic" w:eastAsia="Times New Roman" w:hAnsi="Simplified Arabic" w:cs="Simplified Arabic"/>
          <w:color w:val="000000" w:themeColor="text1"/>
          <w:kern w:val="0"/>
          <w:sz w:val="28"/>
          <w:szCs w:val="28"/>
          <w14:ligatures w14:val="none"/>
        </w:rPr>
        <w:t>.</w:t>
      </w:r>
    </w:p>
    <w:p w14:paraId="10D1272E" w14:textId="2C63935B" w:rsidR="00DF0357" w:rsidRPr="009B67DA" w:rsidRDefault="00DF0357" w:rsidP="003F570E">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B67DA">
        <w:rPr>
          <w:rFonts w:ascii="Simplified Arabic" w:eastAsia="Times New Roman" w:hAnsi="Simplified Arabic" w:cs="Simplified Arabic"/>
          <w:b/>
          <w:bCs/>
          <w:color w:val="000000" w:themeColor="text1"/>
          <w:kern w:val="0"/>
          <w:sz w:val="28"/>
          <w:szCs w:val="28"/>
          <w:rtl/>
          <w14:ligatures w14:val="none"/>
        </w:rPr>
        <w:t>الرفوع</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ومفلح (2025) بعنوان: "أثر التحول الرقمي في الأداء </w:t>
      </w:r>
      <w:proofErr w:type="spellStart"/>
      <w:r w:rsidRPr="009B67DA">
        <w:rPr>
          <w:rFonts w:ascii="Simplified Arabic" w:eastAsia="Times New Roman" w:hAnsi="Simplified Arabic" w:cs="Simplified Arabic"/>
          <w:b/>
          <w:bCs/>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b/>
          <w:bCs/>
          <w:color w:val="000000" w:themeColor="text1"/>
          <w:kern w:val="0"/>
          <w:sz w:val="28"/>
          <w:szCs w:val="28"/>
          <w14:ligatures w14:val="none"/>
        </w:rPr>
        <w:t xml:space="preserve">: </w:t>
      </w:r>
      <w:r w:rsidRPr="009B67DA">
        <w:rPr>
          <w:rFonts w:ascii="Simplified Arabic" w:eastAsia="Times New Roman" w:hAnsi="Simplified Arabic" w:cs="Simplified Arabic"/>
          <w:b/>
          <w:bCs/>
          <w:color w:val="000000" w:themeColor="text1"/>
          <w:kern w:val="0"/>
          <w:sz w:val="28"/>
          <w:szCs w:val="28"/>
          <w:rtl/>
          <w14:ligatures w14:val="none"/>
        </w:rPr>
        <w:t>الدور المعدل لتمكين العاملين في البنوك التجارية الأردنية</w:t>
      </w:r>
      <w:r w:rsidRPr="009B67DA">
        <w:rPr>
          <w:rFonts w:ascii="Simplified Arabic" w:eastAsia="Times New Roman" w:hAnsi="Simplified Arabic" w:cs="Simplified Arabic"/>
          <w:b/>
          <w:bCs/>
          <w:color w:val="000000" w:themeColor="text1"/>
          <w:kern w:val="0"/>
          <w:sz w:val="28"/>
          <w:szCs w:val="28"/>
          <w14:ligatures w14:val="none"/>
        </w:rPr>
        <w:t>"</w:t>
      </w:r>
    </w:p>
    <w:p w14:paraId="42D8D8C4"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بأبعاده (التكنولوجيا الرقمية، القيادة الرقمية، الثقافة الرقمية، الكفاءات الرقمية) في الأداء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في البنوك التجارية الأردنية، مع اختبار الدور المعدل لتمكين العاملين. واستخدمت الدراسة المنهج الوصفي التحليلي، وتكونت عينة الدراسة من (400) موظف من العاملين في البنوك التجارية الأردنية. وتوصّلت نتائج الدراسة إلى وجود أثر ذي دلالة إحصائية للتحول الرقمي في الأداء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ووجود دور معدل لتمكين العاملين في تقوية هذه العلاقة. وأوصت الدراسة بضرورة تمكين العاملين وتزويدهم بالمهارات الرقمية اللازمة لتعزيز الأداء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14:ligatures w14:val="none"/>
        </w:rPr>
        <w:t>.</w:t>
      </w:r>
    </w:p>
    <w:p w14:paraId="1400B4DE" w14:textId="0318E4A7"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العمارات والمحاسنة (2023) بعنوان: "أثر التحول الرقمي على المرونة الاستراتيجية: الدور الوسيط للابتكار التكنولوجي بالتطبيق على شركة المناصير للزيوت والمحروقات في الأردن</w:t>
      </w:r>
      <w:r w:rsidRPr="009B67DA">
        <w:rPr>
          <w:rFonts w:ascii="Simplified Arabic" w:eastAsia="Times New Roman" w:hAnsi="Simplified Arabic" w:cs="Simplified Arabic"/>
          <w:b/>
          <w:bCs/>
          <w:color w:val="000000" w:themeColor="text1"/>
          <w:kern w:val="0"/>
          <w:sz w:val="28"/>
          <w:szCs w:val="28"/>
          <w14:ligatures w14:val="none"/>
        </w:rPr>
        <w:t>"</w:t>
      </w:r>
    </w:p>
    <w:p w14:paraId="7A275E12"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التكنولوجية، الثقافة الرقمية، القيادة الرقمية، الاستراتيجية الرقمية) في المرونة الاستراتيجية في شركة المناصير للزيوت والمحروقات في الأردن، مع اختبار الدور الوسيط للابتكار التكنولوجي</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عينة الدراسة من</w:t>
      </w:r>
      <w:r w:rsidRPr="009B67DA">
        <w:rPr>
          <w:rFonts w:ascii="Simplified Arabic" w:eastAsia="Times New Roman" w:hAnsi="Simplified Arabic" w:cs="Simplified Arabic"/>
          <w:color w:val="000000" w:themeColor="text1"/>
          <w:kern w:val="0"/>
          <w:sz w:val="28"/>
          <w:szCs w:val="28"/>
          <w14:ligatures w14:val="none"/>
        </w:rPr>
        <w:t xml:space="preserve"> (250) </w:t>
      </w:r>
      <w:r w:rsidRPr="009B67DA">
        <w:rPr>
          <w:rFonts w:ascii="Simplified Arabic" w:eastAsia="Times New Roman" w:hAnsi="Simplified Arabic" w:cs="Simplified Arabic"/>
          <w:color w:val="000000" w:themeColor="text1"/>
          <w:kern w:val="0"/>
          <w:sz w:val="28"/>
          <w:szCs w:val="28"/>
          <w:rtl/>
          <w14:ligatures w14:val="none"/>
        </w:rPr>
        <w:t>مديراً وعاملاً في شركة المناصير للزيوت والمحروقات. وتوصّلت نتائج الدراسة إلى وجود أثر ذي دلالة إحصائية للتحول الرقمي في المرونة الاستراتيجية، ووجود دور وسيط للابتكار التكنولوجي في هذه العلاقة. وأوصت الدراسة بضرورة تعزيز الابتكار التكنولوجي بوصفه حلقة وصل بين التحول الرقمي والمرونة الاستراتيجية</w:t>
      </w:r>
      <w:r w:rsidRPr="009B67DA">
        <w:rPr>
          <w:rFonts w:ascii="Simplified Arabic" w:eastAsia="Times New Roman" w:hAnsi="Simplified Arabic" w:cs="Simplified Arabic"/>
          <w:color w:val="000000" w:themeColor="text1"/>
          <w:kern w:val="0"/>
          <w:sz w:val="28"/>
          <w:szCs w:val="28"/>
          <w14:ligatures w14:val="none"/>
        </w:rPr>
        <w:t>.</w:t>
      </w:r>
    </w:p>
    <w:p w14:paraId="5350C5EF" w14:textId="6D087EEE"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أبو طاقية وفتحي (2022) بعنوان: "دور التحول الرقمي في تحسين أداء إدارة الموارد البشرية: دراسة تطبيقية على هيئة المجتمعات العمرانية الجديدة</w:t>
      </w:r>
      <w:r w:rsidRPr="009B67DA">
        <w:rPr>
          <w:rFonts w:ascii="Simplified Arabic" w:eastAsia="Times New Roman" w:hAnsi="Simplified Arabic" w:cs="Simplified Arabic"/>
          <w:b/>
          <w:bCs/>
          <w:color w:val="000000" w:themeColor="text1"/>
          <w:kern w:val="0"/>
          <w:sz w:val="28"/>
          <w:szCs w:val="28"/>
          <w14:ligatures w14:val="none"/>
        </w:rPr>
        <w:t>"</w:t>
      </w:r>
    </w:p>
    <w:p w14:paraId="5CC64328"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(التكنولوجيا الرقمية، الثقافة الرقمية، المهارات الرقمية، البنية التحتية الرقمية) في تحسين أداء إدارة الموارد البشرية في هيئة المجتمعات العمرانية الجديدة. واستخدمت الدراسة المنهج الوصفي التحليلي، وتكونت عينة الدراسة من (300) موظف من العاملين في هيئة المجتمعات العمرانية الجديدة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وتوصّلت نتائج الدراسة إلى وجود دور إيجابي ذي دلالة إحصائية للتحول الرقمي في تحسين أداء إدارة الموارد البشرية. وأوصت الدراسة بضرورة تطوير المهارات الرقمية للعاملين في إدارات الموارد البشرية وتبنّي الأنظمة الرقمية الحديثة</w:t>
      </w:r>
      <w:r w:rsidRPr="009B67DA">
        <w:rPr>
          <w:rFonts w:ascii="Simplified Arabic" w:eastAsia="Times New Roman" w:hAnsi="Simplified Arabic" w:cs="Simplified Arabic"/>
          <w:color w:val="000000" w:themeColor="text1"/>
          <w:kern w:val="0"/>
          <w:sz w:val="28"/>
          <w:szCs w:val="28"/>
          <w14:ligatures w14:val="none"/>
        </w:rPr>
        <w:t>.</w:t>
      </w:r>
    </w:p>
    <w:p w14:paraId="3D0B2D7F" w14:textId="79FA6D5E"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w:t>
      </w:r>
      <w:r w:rsidRPr="009B67DA">
        <w:rPr>
          <w:rFonts w:ascii="Simplified Arabic" w:eastAsia="Times New Roman" w:hAnsi="Simplified Arabic" w:cs="Simplified Arabic"/>
          <w:b/>
          <w:bCs/>
          <w:color w:val="000000" w:themeColor="text1"/>
          <w:kern w:val="0"/>
          <w:sz w:val="28"/>
          <w:szCs w:val="28"/>
          <w14:ligatures w14:val="none"/>
        </w:rPr>
        <w:t xml:space="preserve"> Liang et al. (2025) </w:t>
      </w:r>
      <w:r w:rsidRPr="009B67DA">
        <w:rPr>
          <w:rFonts w:ascii="Simplified Arabic" w:eastAsia="Times New Roman" w:hAnsi="Simplified Arabic" w:cs="Simplified Arabic"/>
          <w:b/>
          <w:bCs/>
          <w:color w:val="000000" w:themeColor="text1"/>
          <w:kern w:val="0"/>
          <w:sz w:val="28"/>
          <w:szCs w:val="28"/>
          <w:rtl/>
          <w14:ligatures w14:val="none"/>
        </w:rPr>
        <w:t>بعنوان</w:t>
      </w:r>
      <w:r w:rsidRPr="009B67DA">
        <w:rPr>
          <w:rFonts w:ascii="Simplified Arabic" w:eastAsia="Times New Roman" w:hAnsi="Simplified Arabic" w:cs="Simplified Arabic"/>
          <w:b/>
          <w:bCs/>
          <w:color w:val="000000" w:themeColor="text1"/>
          <w:kern w:val="0"/>
          <w:sz w:val="28"/>
          <w:szCs w:val="28"/>
          <w14:ligatures w14:val="none"/>
        </w:rPr>
        <w:t>: "How does enterprise digital transformation impact supply chain resilience: a multi-case study from China"</w:t>
      </w:r>
    </w:p>
    <w:p w14:paraId="70DD446A"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للمؤسسات بأبعاده (</w:t>
      </w:r>
      <w:proofErr w:type="spellStart"/>
      <w:r w:rsidRPr="009B67DA">
        <w:rPr>
          <w:rFonts w:ascii="Simplified Arabic" w:eastAsia="Times New Roman" w:hAnsi="Simplified Arabic" w:cs="Simplified Arabic"/>
          <w:color w:val="000000" w:themeColor="text1"/>
          <w:kern w:val="0"/>
          <w:sz w:val="28"/>
          <w:szCs w:val="28"/>
          <w:rtl/>
          <w14:ligatures w14:val="none"/>
        </w:rPr>
        <w:t>الرقمنة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التشغيلية، التكامل الرقمي، الابتكار الرقمي، القدرات الرقمية) في مرونة سلسلة التوريد في الشركات الصينية. واستخدمت الدراسة منهج دراسة الحالة المتعددة، وتكونت عينة الدراسة من (4) شركات صينية رائدة في مجال التحول الرقمي ومرونة سلسلة التوريد. وتوصّلت نتائج الدراسة إلى وجود أثر إيجابي ذي دلالة إحصائية للتحول الرقمي في تعزيز مرونة سلسلة التوريد من خلال تحسين الرؤية الرقمية والتنسيق بين الأطراف</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وأوصت الدراسة بضرورة تبنّي استراتيجيات شاملة للتحول الرقمي تشمل جميع حلقات سلسلة التوريد لتعزيز قدرتها على الاستجابة للاضطرابات</w:t>
      </w:r>
      <w:r w:rsidRPr="009B67DA">
        <w:rPr>
          <w:rFonts w:ascii="Simplified Arabic" w:eastAsia="Times New Roman" w:hAnsi="Simplified Arabic" w:cs="Simplified Arabic"/>
          <w:color w:val="000000" w:themeColor="text1"/>
          <w:kern w:val="0"/>
          <w:sz w:val="28"/>
          <w:szCs w:val="28"/>
          <w14:ligatures w14:val="none"/>
        </w:rPr>
        <w:t>.</w:t>
      </w:r>
    </w:p>
    <w:p w14:paraId="71408B62" w14:textId="77777777" w:rsidR="00DF0357" w:rsidRPr="009B67DA" w:rsidRDefault="00DF0357" w:rsidP="003F57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9B67DA">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(إدارة المخاطر) وعلاقته بمتغيرات أخرى</w:t>
      </w:r>
    </w:p>
    <w:p w14:paraId="54302C1B" w14:textId="70D2C988"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 xml:space="preserve">دراسة الحسني </w:t>
      </w:r>
      <w:proofErr w:type="spellStart"/>
      <w:r w:rsidRPr="009B67DA">
        <w:rPr>
          <w:rFonts w:ascii="Simplified Arabic" w:eastAsia="Times New Roman" w:hAnsi="Simplified Arabic" w:cs="Simplified Arabic"/>
          <w:b/>
          <w:bCs/>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(2022) بعنوان: "أثر التفكير الاستراتيجي في إدارة المخاطر: الدور المعدل للدعم </w:t>
      </w:r>
      <w:proofErr w:type="spellStart"/>
      <w:r w:rsidRPr="009B67DA">
        <w:rPr>
          <w:rFonts w:ascii="Simplified Arabic" w:eastAsia="Times New Roman" w:hAnsi="Simplified Arabic" w:cs="Simplified Arabic"/>
          <w:b/>
          <w:bCs/>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في شركات المقاولات العمانية</w:t>
      </w:r>
      <w:r w:rsidRPr="009B67DA">
        <w:rPr>
          <w:rFonts w:ascii="Simplified Arabic" w:eastAsia="Times New Roman" w:hAnsi="Simplified Arabic" w:cs="Simplified Arabic"/>
          <w:b/>
          <w:bCs/>
          <w:color w:val="000000" w:themeColor="text1"/>
          <w:kern w:val="0"/>
          <w:sz w:val="28"/>
          <w:szCs w:val="28"/>
          <w14:ligatures w14:val="none"/>
        </w:rPr>
        <w:t>"</w:t>
      </w:r>
    </w:p>
    <w:p w14:paraId="5718EB3D"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التفكير الاستراتيجي في إدارة المخاطر بأبعادها (تحديد المخاطر، تقييم المخاطر، الاستجابة للمخاطر، مراقبة المخاطر) في شركات المقاولات العمانية، مع اختبار الدور المعدل للدعم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واستخدمت الدراسة المنهج الوصفي التحليلي، وتكونت عينة الدراسة من </w:t>
      </w:r>
      <w:r w:rsidRPr="009B67DA">
        <w:rPr>
          <w:rFonts w:ascii="Simplified Arabic" w:eastAsia="Times New Roman" w:hAnsi="Simplified Arabic" w:cs="Simplified Arabic"/>
          <w:color w:val="000000" w:themeColor="text1"/>
          <w:kern w:val="0"/>
          <w:sz w:val="28"/>
          <w:szCs w:val="28"/>
          <w14:ligatures w14:val="none"/>
        </w:rPr>
        <w:t xml:space="preserve">(310) </w:t>
      </w:r>
      <w:r w:rsidRPr="009B67DA">
        <w:rPr>
          <w:rFonts w:ascii="Simplified Arabic" w:eastAsia="Times New Roman" w:hAnsi="Simplified Arabic" w:cs="Simplified Arabic"/>
          <w:color w:val="000000" w:themeColor="text1"/>
          <w:kern w:val="0"/>
          <w:sz w:val="28"/>
          <w:szCs w:val="28"/>
          <w:rtl/>
          <w14:ligatures w14:val="none"/>
        </w:rPr>
        <w:t xml:space="preserve">مديرين وعاملين في شركات المقاولات العمانية. وتوصّلت نتائج الدراسة إلى وجود أثر ذي دلالة إحصائية للتفكير الاستراتيجي في إدارة المخاطر، ووجود دور معدل للدعم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في تقوية هذه العلاقة. وأوصت الدراسة بضرورة تبنّي قادة شركات المقاولات للتفكير الاستراتيجي وتعزيز الدعم </w:t>
      </w:r>
      <w:proofErr w:type="spellStart"/>
      <w:r w:rsidRPr="009B67DA">
        <w:rPr>
          <w:rFonts w:ascii="Simplified Arabic" w:eastAsia="Times New Roman" w:hAnsi="Simplified Arabic" w:cs="Simplified Arabic"/>
          <w:color w:val="000000" w:themeColor="text1"/>
          <w:kern w:val="0"/>
          <w:sz w:val="28"/>
          <w:szCs w:val="28"/>
          <w:rtl/>
          <w14:ligatures w14:val="none"/>
        </w:rPr>
        <w:t>المنظمي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للعاملين</w:t>
      </w:r>
      <w:r w:rsidRPr="009B67DA">
        <w:rPr>
          <w:rFonts w:ascii="Simplified Arabic" w:eastAsia="Times New Roman" w:hAnsi="Simplified Arabic" w:cs="Simplified Arabic"/>
          <w:color w:val="000000" w:themeColor="text1"/>
          <w:kern w:val="0"/>
          <w:sz w:val="28"/>
          <w:szCs w:val="28"/>
          <w14:ligatures w14:val="none"/>
        </w:rPr>
        <w:t>.</w:t>
      </w:r>
    </w:p>
    <w:p w14:paraId="72055E6C" w14:textId="618A524D"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الرواشدة والشورة (2022) بعنوان: "أثر إدارة المخاطر في مرونة سلسلة التوريد: الدور المعدل للتمكين في شركة البوتاس العربية</w:t>
      </w:r>
      <w:r w:rsidRPr="009B67DA">
        <w:rPr>
          <w:rFonts w:ascii="Simplified Arabic" w:eastAsia="Times New Roman" w:hAnsi="Simplified Arabic" w:cs="Simplified Arabic"/>
          <w:b/>
          <w:bCs/>
          <w:color w:val="000000" w:themeColor="text1"/>
          <w:kern w:val="0"/>
          <w:sz w:val="28"/>
          <w:szCs w:val="28"/>
          <w14:ligatures w14:val="none"/>
        </w:rPr>
        <w:t>"</w:t>
      </w:r>
    </w:p>
    <w:p w14:paraId="53043837"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تحليل المخاطر، الاستجابة للمخاطر، مراقبة المخاطر) في مرونة سلسلة التوريد في شركة البوتاس العربية، مع اختبار الدور المعدل للتمكين. واستخدمت الدراسة المنهج الوصفي التحليلي، وتكونت عينة الدراسة من (280) موظفاً من العاملين في شركة البوتاس العربية. وتوصّلت نتائج الدراسة إلى وجود أثر ذي دلالة إحصائية لإدارة المخاطر في مرونة سلسلة التوريد، ووجود دور معدل للتمكين في تقوية هذه العلاقة. وأوصت الدراسة بضرورة تبنّي ممارسات إدارة المخاطر بشكل منهجي وتمكين العاملين لتعزيز مرونة سلسلة التوريد</w:t>
      </w:r>
      <w:r w:rsidRPr="009B67DA">
        <w:rPr>
          <w:rFonts w:ascii="Simplified Arabic" w:eastAsia="Times New Roman" w:hAnsi="Simplified Arabic" w:cs="Simplified Arabic"/>
          <w:color w:val="000000" w:themeColor="text1"/>
          <w:kern w:val="0"/>
          <w:sz w:val="28"/>
          <w:szCs w:val="28"/>
          <w14:ligatures w14:val="none"/>
        </w:rPr>
        <w:t>.</w:t>
      </w:r>
    </w:p>
    <w:p w14:paraId="63ED6DDF" w14:textId="12844365"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B67DA">
        <w:rPr>
          <w:rFonts w:ascii="Simplified Arabic" w:eastAsia="Times New Roman" w:hAnsi="Simplified Arabic" w:cs="Simplified Arabic"/>
          <w:b/>
          <w:bCs/>
          <w:color w:val="000000" w:themeColor="text1"/>
          <w:kern w:val="0"/>
          <w:sz w:val="28"/>
          <w:szCs w:val="28"/>
          <w:rtl/>
          <w14:ligatures w14:val="none"/>
        </w:rPr>
        <w:t>الرزني</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b/>
          <w:bCs/>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(2024) بعنوان: "أثر </w:t>
      </w:r>
      <w:proofErr w:type="spellStart"/>
      <w:r w:rsidRPr="009B67DA">
        <w:rPr>
          <w:rFonts w:ascii="Simplified Arabic" w:eastAsia="Times New Roman" w:hAnsi="Simplified Arabic" w:cs="Simplified Arabic"/>
          <w:b/>
          <w:bCs/>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في تحسين فاعلية إدارة المخاطر: الدور المعدل للمراجعة الداخلية في البنوك التجارية السعودية</w:t>
      </w:r>
      <w:r w:rsidRPr="009B67DA">
        <w:rPr>
          <w:rFonts w:ascii="Simplified Arabic" w:eastAsia="Times New Roman" w:hAnsi="Simplified Arabic" w:cs="Simplified Arabic"/>
          <w:b/>
          <w:bCs/>
          <w:color w:val="000000" w:themeColor="text1"/>
          <w:kern w:val="0"/>
          <w:sz w:val="28"/>
          <w:szCs w:val="28"/>
          <w14:ligatures w14:val="none"/>
        </w:rPr>
        <w:t>"</w:t>
      </w:r>
    </w:p>
    <w:p w14:paraId="269CE053"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w:t>
      </w:r>
      <w:proofErr w:type="spellStart"/>
      <w:r w:rsidRPr="009B67DA">
        <w:rPr>
          <w:rFonts w:ascii="Simplified Arabic" w:eastAsia="Times New Roman" w:hAnsi="Simplified Arabic" w:cs="Simplified Arabic"/>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في تحسين فاعلية إدارة المخاطر بأبعادها (تحديد المخاطر، قياس المخاطر، الرقابة على المخاطر، التقرير عن المخاطر) في البنوك التجارية السعودية، مع اختبار الدور المعدل للمراجعة الداخلية. واستخدمت الدراسة المنهج الوصفي التحليلي، وتكونت عينة الدراسة من (370) موظفاً من العاملين في البنوك التجارية السعودية. وتوصّلت نتائج الدراسة إلى وجود أثر ذي دلالة إحصائية </w:t>
      </w:r>
      <w:proofErr w:type="spellStart"/>
      <w:r w:rsidRPr="009B67DA">
        <w:rPr>
          <w:rFonts w:ascii="Simplified Arabic" w:eastAsia="Times New Roman" w:hAnsi="Simplified Arabic" w:cs="Simplified Arabic"/>
          <w:color w:val="000000" w:themeColor="text1"/>
          <w:kern w:val="0"/>
          <w:sz w:val="28"/>
          <w:szCs w:val="28"/>
          <w:rtl/>
          <w14:ligatures w14:val="none"/>
        </w:rPr>
        <w:t>للحوكمة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في تحسين فاعلية إدارة المخاطر، ووجود دور معدل للمراجعة الداخلية في تعزيز هذه العلاقة. وأوصت الدراسة بضرورة تعزيز ممارسات </w:t>
      </w:r>
      <w:proofErr w:type="spellStart"/>
      <w:r w:rsidRPr="009B67DA">
        <w:rPr>
          <w:rFonts w:ascii="Simplified Arabic" w:eastAsia="Times New Roman" w:hAnsi="Simplified Arabic" w:cs="Simplified Arabic"/>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وتفعيل دور المراجعة الداخلية في البنوك التجارية</w:t>
      </w:r>
      <w:r w:rsidRPr="009B67DA">
        <w:rPr>
          <w:rFonts w:ascii="Simplified Arabic" w:eastAsia="Times New Roman" w:hAnsi="Simplified Arabic" w:cs="Simplified Arabic"/>
          <w:color w:val="000000" w:themeColor="text1"/>
          <w:kern w:val="0"/>
          <w:sz w:val="28"/>
          <w:szCs w:val="28"/>
          <w14:ligatures w14:val="none"/>
        </w:rPr>
        <w:t>.</w:t>
      </w:r>
    </w:p>
    <w:p w14:paraId="6B56A199" w14:textId="771A30FC"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 بوبكر وبخالد (2022) بعنوان: "أساليب إدارة المخاطر في البنوك الإسلامية: دراسة حالة لبنك السلام - ورقلة - الجزائر</w:t>
      </w:r>
      <w:r w:rsidRPr="009B67DA">
        <w:rPr>
          <w:rFonts w:ascii="Simplified Arabic" w:eastAsia="Times New Roman" w:hAnsi="Simplified Arabic" w:cs="Simplified Arabic"/>
          <w:b/>
          <w:bCs/>
          <w:color w:val="000000" w:themeColor="text1"/>
          <w:kern w:val="0"/>
          <w:sz w:val="28"/>
          <w:szCs w:val="28"/>
          <w14:ligatures w14:val="none"/>
        </w:rPr>
        <w:t>"</w:t>
      </w:r>
    </w:p>
    <w:p w14:paraId="7582556D"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أساليب إدارة المخاطر بأبعادها (تحديد المخاطر، قياس المخاطر، إدارة المخاطر الائتمانية، إدارة مخاطر السوق، إدارة مخاطر السيولة) في البنوك الإسلامية بالتطبيق على بنك السلام - ورقلة خلال الفترة (2018-2020). واستخدمت الدراسة المنهج الوصفي التحليلي ومنهج دراسة الحالة، وتكونت عينة الدراسة من (60) موظفاً من العاملين في الإدارات المعنية بإدارة المخاطر في بنك السلام. وتوصّلت نتائج الدراسة إلى أن بنك السلام يتبنّى أساليب متطورة في إدارة المخاطر تتوافق مع طبيعة الصيرفة الإسلامية. وأوصت الدراسة بضرورة تطوير أساليب إدارة المخاطر بما يتلاءم مع خصوصية البنوك الإسلامية</w:t>
      </w:r>
      <w:r w:rsidRPr="009B67DA">
        <w:rPr>
          <w:rFonts w:ascii="Simplified Arabic" w:eastAsia="Times New Roman" w:hAnsi="Simplified Arabic" w:cs="Simplified Arabic"/>
          <w:color w:val="000000" w:themeColor="text1"/>
          <w:kern w:val="0"/>
          <w:sz w:val="28"/>
          <w:szCs w:val="28"/>
          <w14:ligatures w14:val="none"/>
        </w:rPr>
        <w:t>.</w:t>
      </w:r>
    </w:p>
    <w:p w14:paraId="241437B3" w14:textId="42D635B3"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9B67DA">
        <w:rPr>
          <w:rFonts w:ascii="Simplified Arabic" w:eastAsia="Times New Roman" w:hAnsi="Simplified Arabic" w:cs="Simplified Arabic"/>
          <w:b/>
          <w:bCs/>
          <w:color w:val="000000" w:themeColor="text1"/>
          <w:kern w:val="0"/>
          <w:sz w:val="28"/>
          <w:szCs w:val="28"/>
          <w:rtl/>
          <w14:ligatures w14:val="none"/>
        </w:rPr>
        <w:t>عبدالمعتمد</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وآخرون (2025) بعنوان: "أثر نظام إدارة المخاطر على مخاطر السلامة الجوية بالمطارات الدولية: دراسة تطبيقية على مطار القاهرة الدولي</w:t>
      </w:r>
      <w:r w:rsidRPr="009B67DA">
        <w:rPr>
          <w:rFonts w:ascii="Simplified Arabic" w:eastAsia="Times New Roman" w:hAnsi="Simplified Arabic" w:cs="Simplified Arabic"/>
          <w:b/>
          <w:bCs/>
          <w:color w:val="000000" w:themeColor="text1"/>
          <w:kern w:val="0"/>
          <w:sz w:val="28"/>
          <w:szCs w:val="28"/>
          <w14:ligatures w14:val="none"/>
        </w:rPr>
        <w:t>"</w:t>
      </w:r>
    </w:p>
    <w:p w14:paraId="36A9A6AB"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أثر نظام إدارة المخاطر بأبعاده (تحديد المخاطر، تقييم المخاطر، الاستجابة للمخاطر، مراقبة المخاطر) على مخاطر السلامة الجوية في مطار القاهرة الدولي. واستخدمت الدراسة المنهج الوصفي التحليلي، وتكونت عينة الدراسة من (390) موظفاً من العاملين في إدارات السلامة الجوية بمطار القاهرة الدولي. وتوصّلت نتائج الدراسة إلى وجود أثر ذي دلالة إحصائية لنظام إدارة المخاطر في الحد من مخاطر السلامة الجوية. وأوصت الدراسة بضرورة تطوير أنظمة إدارة المخاطر في المطارات الدولية وتدريب العاملين على أحدث الممارسات</w:t>
      </w:r>
      <w:r w:rsidRPr="009B67DA">
        <w:rPr>
          <w:rFonts w:ascii="Simplified Arabic" w:eastAsia="Times New Roman" w:hAnsi="Simplified Arabic" w:cs="Simplified Arabic"/>
          <w:color w:val="000000" w:themeColor="text1"/>
          <w:kern w:val="0"/>
          <w:sz w:val="28"/>
          <w:szCs w:val="28"/>
          <w14:ligatures w14:val="none"/>
        </w:rPr>
        <w:t>.</w:t>
      </w:r>
    </w:p>
    <w:p w14:paraId="256BC364" w14:textId="482EC4AC"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 xml:space="preserve">دراسة حفصي وآخرون (2022) بعنوان: "أثر مخاطر إدارة الإمداد في المؤسسة في ظل جائحة كورونا: دراسة حالة شركة </w:t>
      </w:r>
      <w:proofErr w:type="spellStart"/>
      <w:r w:rsidRPr="009B67DA">
        <w:rPr>
          <w:rFonts w:ascii="Simplified Arabic" w:eastAsia="Times New Roman" w:hAnsi="Simplified Arabic" w:cs="Simplified Arabic"/>
          <w:b/>
          <w:bCs/>
          <w:color w:val="000000" w:themeColor="text1"/>
          <w:kern w:val="0"/>
          <w:sz w:val="28"/>
          <w:szCs w:val="28"/>
          <w:rtl/>
          <w14:ligatures w14:val="none"/>
        </w:rPr>
        <w:t>الطاسيلي</w:t>
      </w:r>
      <w:proofErr w:type="spellEnd"/>
      <w:r w:rsidRPr="009B67DA">
        <w:rPr>
          <w:rFonts w:ascii="Simplified Arabic" w:eastAsia="Times New Roman" w:hAnsi="Simplified Arabic" w:cs="Simplified Arabic"/>
          <w:b/>
          <w:bCs/>
          <w:color w:val="000000" w:themeColor="text1"/>
          <w:kern w:val="0"/>
          <w:sz w:val="28"/>
          <w:szCs w:val="28"/>
          <w:rtl/>
          <w14:ligatures w14:val="none"/>
        </w:rPr>
        <w:t xml:space="preserve"> للخدمات البترولية - حاسي مسعود</w:t>
      </w:r>
      <w:r w:rsidRPr="009B67DA">
        <w:rPr>
          <w:rFonts w:ascii="Simplified Arabic" w:eastAsia="Times New Roman" w:hAnsi="Simplified Arabic" w:cs="Simplified Arabic"/>
          <w:b/>
          <w:bCs/>
          <w:color w:val="000000" w:themeColor="text1"/>
          <w:kern w:val="0"/>
          <w:sz w:val="28"/>
          <w:szCs w:val="28"/>
          <w14:ligatures w14:val="none"/>
        </w:rPr>
        <w:t>"</w:t>
      </w:r>
    </w:p>
    <w:p w14:paraId="3233A1EE"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مخاطر إدارة الإمداد بأبعادها (مخاطر الموردين، مخاطر النقل، مخاطر التخزين، مخاطر الطلب) في المؤسسة في ظل جائحة كورونا بالتطبيق على شركة </w:t>
      </w:r>
      <w:proofErr w:type="spellStart"/>
      <w:r w:rsidRPr="009B67DA">
        <w:rPr>
          <w:rFonts w:ascii="Simplified Arabic" w:eastAsia="Times New Roman" w:hAnsi="Simplified Arabic" w:cs="Simplified Arabic"/>
          <w:color w:val="000000" w:themeColor="text1"/>
          <w:kern w:val="0"/>
          <w:sz w:val="28"/>
          <w:szCs w:val="28"/>
          <w:rtl/>
          <w14:ligatures w14:val="none"/>
        </w:rPr>
        <w:t>الطاسيلي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للخدمات البترولية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ومنهج دراسة الحالة، وتكونت عينة الدراسة من (80) موظفاً من العاملين في شركة </w:t>
      </w:r>
      <w:proofErr w:type="spellStart"/>
      <w:r w:rsidRPr="009B67DA">
        <w:rPr>
          <w:rFonts w:ascii="Simplified Arabic" w:eastAsia="Times New Roman" w:hAnsi="Simplified Arabic" w:cs="Simplified Arabic"/>
          <w:color w:val="000000" w:themeColor="text1"/>
          <w:kern w:val="0"/>
          <w:sz w:val="28"/>
          <w:szCs w:val="28"/>
          <w:rtl/>
          <w14:ligatures w14:val="none"/>
        </w:rPr>
        <w:t>الطاسيلي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للخدمات البترولية</w:t>
      </w:r>
      <w:r w:rsidRPr="009B67DA">
        <w:rPr>
          <w:rFonts w:ascii="Simplified Arabic" w:eastAsia="Times New Roman" w:hAnsi="Simplified Arabic" w:cs="Simplified Arabic"/>
          <w:color w:val="000000" w:themeColor="text1"/>
          <w:kern w:val="0"/>
          <w:sz w:val="28"/>
          <w:szCs w:val="28"/>
          <w14:ligatures w14:val="none"/>
        </w:rPr>
        <w:t xml:space="preserve"> - </w:t>
      </w:r>
      <w:r w:rsidRPr="009B67DA">
        <w:rPr>
          <w:rFonts w:ascii="Simplified Arabic" w:eastAsia="Times New Roman" w:hAnsi="Simplified Arabic" w:cs="Simplified Arabic"/>
          <w:color w:val="000000" w:themeColor="text1"/>
          <w:kern w:val="0"/>
          <w:sz w:val="28"/>
          <w:szCs w:val="28"/>
          <w:rtl/>
          <w14:ligatures w14:val="none"/>
        </w:rPr>
        <w:t xml:space="preserve">منطقة </w:t>
      </w:r>
      <w:proofErr w:type="spellStart"/>
      <w:r w:rsidRPr="009B67DA">
        <w:rPr>
          <w:rFonts w:ascii="Simplified Arabic" w:eastAsia="Times New Roman" w:hAnsi="Simplified Arabic" w:cs="Simplified Arabic"/>
          <w:color w:val="000000" w:themeColor="text1"/>
          <w:kern w:val="0"/>
          <w:sz w:val="28"/>
          <w:szCs w:val="28"/>
          <w:rtl/>
          <w14:ligatures w14:val="none"/>
        </w:rPr>
        <w:t>إرارة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2 - حاسي مسعود. وتوصّلت نتائج الدراسة إلى أن جائحة كورونا أثّرت بشكل كبير على سلاسل الإمداد في المؤسسة، وأن إدارة هذه المخاطر تتطلب استراتيجيات استباقية. وأوصت الدراسة بضرورة تطوير خطط استمرارية الأعمال وتنويع الموردين لمواجهة المخاطر المستقبلية</w:t>
      </w:r>
      <w:r w:rsidRPr="009B67DA">
        <w:rPr>
          <w:rFonts w:ascii="Simplified Arabic" w:eastAsia="Times New Roman" w:hAnsi="Simplified Arabic" w:cs="Simplified Arabic"/>
          <w:color w:val="000000" w:themeColor="text1"/>
          <w:kern w:val="0"/>
          <w:sz w:val="28"/>
          <w:szCs w:val="28"/>
          <w14:ligatures w14:val="none"/>
        </w:rPr>
        <w:t>.</w:t>
      </w:r>
    </w:p>
    <w:p w14:paraId="01D7EFB2" w14:textId="453BD84B" w:rsidR="00DF0357" w:rsidRPr="009B67DA" w:rsidRDefault="00DF0357"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دراسة</w:t>
      </w:r>
      <w:r w:rsidRPr="009B67DA">
        <w:rPr>
          <w:rFonts w:ascii="Simplified Arabic" w:eastAsia="Times New Roman" w:hAnsi="Simplified Arabic" w:cs="Simplified Arabic"/>
          <w:b/>
          <w:bCs/>
          <w:color w:val="000000" w:themeColor="text1"/>
          <w:kern w:val="0"/>
          <w:sz w:val="28"/>
          <w:szCs w:val="28"/>
          <w14:ligatures w14:val="none"/>
        </w:rPr>
        <w:t xml:space="preserve"> Rashid et al. (2024) </w:t>
      </w:r>
      <w:r w:rsidRPr="009B67DA">
        <w:rPr>
          <w:rFonts w:ascii="Simplified Arabic" w:eastAsia="Times New Roman" w:hAnsi="Simplified Arabic" w:cs="Simplified Arabic"/>
          <w:b/>
          <w:bCs/>
          <w:color w:val="000000" w:themeColor="text1"/>
          <w:kern w:val="0"/>
          <w:sz w:val="28"/>
          <w:szCs w:val="28"/>
          <w:rtl/>
          <w14:ligatures w14:val="none"/>
        </w:rPr>
        <w:t>بعنوان</w:t>
      </w:r>
      <w:r w:rsidRPr="009B67DA">
        <w:rPr>
          <w:rFonts w:ascii="Simplified Arabic" w:eastAsia="Times New Roman" w:hAnsi="Simplified Arabic" w:cs="Simplified Arabic"/>
          <w:b/>
          <w:bCs/>
          <w:color w:val="000000" w:themeColor="text1"/>
          <w:kern w:val="0"/>
          <w:sz w:val="28"/>
          <w:szCs w:val="28"/>
          <w14:ligatures w14:val="none"/>
        </w:rPr>
        <w:t>: "Role of information processing and digital supply chain in supply chain resilience through supply chain risk management"</w:t>
      </w:r>
    </w:p>
    <w:p w14:paraId="54133709" w14:textId="77777777" w:rsidR="00DF0357" w:rsidRPr="009B67DA" w:rsidRDefault="00DF0357"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هدفت الدراسة إلى التعرف على دور معالجة المعلومات وسلسلة التوريد الرقمية في مرونة سلسلة التوريد من خلال إدارة مخاطر سلسلة التوريد بأبعادها (تحديد المخاطر، تقييم المخاطر، التخفيف من المخاطر، مراقبة المخاطر). واستخدمت الدراسة المنهج الكمي الوصفي التحليلي، وتكونت عينة الدراسة من (250) مديراً من العاملين في شركات التصنيع. وتوصّلت نتائج الدراسة إلى وجود أثر ذي دلالة إحصائية لمعالجة المعلومات وسلسلة التوريد الرقمية في تعزيز مرونة سلسلة التوريد من خلال إدارة مخاطر سلسلة التوريد</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وأوصت الدراسة بضرورة تبنّي تقنيات معالجة المعلومات المتقدمة وتطوير سلاسل التوريد الرقمية لتحسين قدرات إدارة المخاطر</w:t>
      </w:r>
      <w:r w:rsidRPr="009B67DA">
        <w:rPr>
          <w:rFonts w:ascii="Simplified Arabic" w:eastAsia="Times New Roman" w:hAnsi="Simplified Arabic" w:cs="Simplified Arabic"/>
          <w:color w:val="000000" w:themeColor="text1"/>
          <w:kern w:val="0"/>
          <w:sz w:val="28"/>
          <w:szCs w:val="28"/>
          <w14:ligatures w14:val="none"/>
        </w:rPr>
        <w:t>.</w:t>
      </w:r>
    </w:p>
    <w:p w14:paraId="5A45FB41" w14:textId="0F76FE77" w:rsidR="003F570E" w:rsidRPr="009B67DA" w:rsidRDefault="003F570E" w:rsidP="003F570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3990054"/>
      <w:r w:rsidRPr="009B67DA">
        <w:rPr>
          <w:rFonts w:ascii="Simplified Arabic" w:hAnsi="Simplified Arabic" w:cs="Simplified Arabic"/>
          <w:b/>
          <w:bCs/>
          <w:color w:val="000000" w:themeColor="text1"/>
          <w:sz w:val="36"/>
          <w:szCs w:val="36"/>
          <w:rtl/>
        </w:rPr>
        <w:t>8.1 الفجوة البحثية</w:t>
      </w:r>
      <w:bookmarkEnd w:id="10"/>
    </w:p>
    <w:p w14:paraId="5637A2B0" w14:textId="77777777" w:rsidR="00DF0357" w:rsidRPr="009B67DA" w:rsidRDefault="00DF0357"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تتفق الدراسة الحالية مع عدد من الدراسات السابقة في عدة جوانب جوهرية، أبرزها الهدف العام الذي يدور حول استكشاف العلاقة بين التحول الرقمي وإدارة المخاطر بوصفهما من المتغيرات الإدارية المعاصرة ذات الأهمية الاستراتيجية للمنظمات. فقد اتفقت الدراسة الحالية مع دراسة (</w:t>
      </w:r>
      <w:proofErr w:type="spellStart"/>
      <w:r w:rsidRPr="009B67DA">
        <w:rPr>
          <w:rFonts w:ascii="Simplified Arabic" w:hAnsi="Simplified Arabic" w:cs="Simplified Arabic"/>
          <w:color w:val="000000" w:themeColor="text1"/>
          <w:sz w:val="28"/>
          <w:szCs w:val="28"/>
          <w:rtl/>
        </w:rPr>
        <w:t>الرفوع</w:t>
      </w:r>
      <w:proofErr w:type="spellEnd"/>
      <w:r w:rsidRPr="009B67DA">
        <w:rPr>
          <w:rFonts w:ascii="Simplified Arabic" w:hAnsi="Simplified Arabic" w:cs="Simplified Arabic"/>
          <w:color w:val="000000" w:themeColor="text1"/>
          <w:sz w:val="28"/>
          <w:szCs w:val="28"/>
          <w:rtl/>
        </w:rPr>
        <w:t xml:space="preserve"> ومفلح، 2025) ودراسة (الربيع ومفلح، 2024) ودراسة (العمارات والمحاسنة، 2023) في تناول التحول الرقمي بوصفه متغيراً مستقلاً وبحث أثره في متغيرات تنظيمية متعددة، كما اتفقت مع دراسة (الحسني </w:t>
      </w:r>
      <w:proofErr w:type="spellStart"/>
      <w:r w:rsidRPr="009B67DA">
        <w:rPr>
          <w:rFonts w:ascii="Simplified Arabic" w:hAnsi="Simplified Arabic" w:cs="Simplified Arabic"/>
          <w:color w:val="000000" w:themeColor="text1"/>
          <w:sz w:val="28"/>
          <w:szCs w:val="28"/>
          <w:rtl/>
        </w:rPr>
        <w:t>والخشالي</w:t>
      </w:r>
      <w:proofErr w:type="spellEnd"/>
      <w:r w:rsidRPr="009B67DA">
        <w:rPr>
          <w:rFonts w:ascii="Simplified Arabic" w:hAnsi="Simplified Arabic" w:cs="Simplified Arabic"/>
          <w:color w:val="000000" w:themeColor="text1"/>
          <w:sz w:val="28"/>
          <w:szCs w:val="28"/>
          <w:rtl/>
        </w:rPr>
        <w:t>، 2022) ودراسة (الرواشدة والشورة، 2022) ودراسة (</w:t>
      </w:r>
      <w:proofErr w:type="spellStart"/>
      <w:r w:rsidRPr="009B67DA">
        <w:rPr>
          <w:rFonts w:ascii="Simplified Arabic" w:hAnsi="Simplified Arabic" w:cs="Simplified Arabic"/>
          <w:color w:val="000000" w:themeColor="text1"/>
          <w:sz w:val="28"/>
          <w:szCs w:val="28"/>
          <w:rtl/>
        </w:rPr>
        <w:t>الرزني</w:t>
      </w:r>
      <w:proofErr w:type="spellEnd"/>
      <w:r w:rsidRPr="009B67DA">
        <w:rPr>
          <w:rFonts w:ascii="Simplified Arabic" w:hAnsi="Simplified Arabic" w:cs="Simplified Arabic"/>
          <w:color w:val="000000" w:themeColor="text1"/>
          <w:sz w:val="28"/>
          <w:szCs w:val="28"/>
          <w:rtl/>
        </w:rPr>
        <w:t xml:space="preserve"> </w:t>
      </w:r>
      <w:proofErr w:type="spellStart"/>
      <w:r w:rsidRPr="009B67DA">
        <w:rPr>
          <w:rFonts w:ascii="Simplified Arabic" w:hAnsi="Simplified Arabic" w:cs="Simplified Arabic"/>
          <w:color w:val="000000" w:themeColor="text1"/>
          <w:sz w:val="28"/>
          <w:szCs w:val="28"/>
          <w:rtl/>
        </w:rPr>
        <w:t>والزغول</w:t>
      </w:r>
      <w:proofErr w:type="spellEnd"/>
      <w:r w:rsidRPr="009B67DA">
        <w:rPr>
          <w:rFonts w:ascii="Simplified Arabic" w:hAnsi="Simplified Arabic" w:cs="Simplified Arabic"/>
          <w:color w:val="000000" w:themeColor="text1"/>
          <w:sz w:val="28"/>
          <w:szCs w:val="28"/>
          <w:rtl/>
        </w:rPr>
        <w:t>، 2024) في تناول إدارة المخاطر بأبعادها المختلفة (تحديد المخاطر، تقييم المخاطر، الاستجابة للمخاطر، مراقبة المخاطر) بوصفها متغيراً محورياً في الفكر الإداري المعاصر. كما تتفق الدراسة الحالية مع معظم الدراسات السابقة في المنهج المستخدم، إذ تعتمد على المنهج الوصفي التحليلي الذي اعتمدته دراسة (العليمات والشيخ، 2025) ودراسة (العزي والحيت، 2024) ودراسة (أبو طاقية وفتحي، 2022)، فضلاً عن الاتفاق في استخدام الاستبانة أداةً رئيسية لجمع البيانات الأولية، واعتماد الأساليب الإحصائية المماثلة في معالجة البيانات وتحليلها</w:t>
      </w:r>
      <w:r w:rsidRPr="009B67DA">
        <w:rPr>
          <w:rFonts w:ascii="Simplified Arabic" w:hAnsi="Simplified Arabic" w:cs="Simplified Arabic"/>
          <w:color w:val="000000" w:themeColor="text1"/>
          <w:sz w:val="28"/>
          <w:szCs w:val="28"/>
        </w:rPr>
        <w:t>.</w:t>
      </w:r>
    </w:p>
    <w:p w14:paraId="702AE84E" w14:textId="2690884B" w:rsidR="00DF0357" w:rsidRPr="009B67DA" w:rsidRDefault="00DF0357"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على الرغم من أوجه الاتفاق المُشار إليها، إلا أن الدراسة الحالية تتمايز عن الدراسات السابقة في عدة جوانب جوهرية، أبرزها الهدف الخاص للدراسة الذي يتمثّل في بحث أثر التحول الرقمي بأبعاده المختلفة على إدارة المخاطر بشكل مباشر في القطاع المصرفي، وهو ما يُمثّل توجّهاً بحثياً مختلفاً عن معظم الدراسات السابقة التي ربطت التحول الرقمي بمتغيرات أخرى كالأداء </w:t>
      </w:r>
      <w:proofErr w:type="spellStart"/>
      <w:r w:rsidRPr="009B67DA">
        <w:rPr>
          <w:rFonts w:ascii="Simplified Arabic" w:hAnsi="Simplified Arabic" w:cs="Simplified Arabic"/>
          <w:color w:val="000000" w:themeColor="text1"/>
          <w:sz w:val="28"/>
          <w:szCs w:val="28"/>
          <w:rtl/>
        </w:rPr>
        <w:t>المنظمي</w:t>
      </w:r>
      <w:proofErr w:type="spellEnd"/>
      <w:r w:rsidRPr="009B67DA">
        <w:rPr>
          <w:rFonts w:ascii="Simplified Arabic" w:hAnsi="Simplified Arabic" w:cs="Simplified Arabic"/>
          <w:color w:val="000000" w:themeColor="text1"/>
          <w:sz w:val="28"/>
          <w:szCs w:val="28"/>
          <w:rtl/>
        </w:rPr>
        <w:t xml:space="preserve"> في دراسة (</w:t>
      </w:r>
      <w:proofErr w:type="spellStart"/>
      <w:r w:rsidRPr="009B67DA">
        <w:rPr>
          <w:rFonts w:ascii="Simplified Arabic" w:hAnsi="Simplified Arabic" w:cs="Simplified Arabic"/>
          <w:color w:val="000000" w:themeColor="text1"/>
          <w:sz w:val="28"/>
          <w:szCs w:val="28"/>
          <w:rtl/>
        </w:rPr>
        <w:t>الرفوع</w:t>
      </w:r>
      <w:proofErr w:type="spellEnd"/>
      <w:r w:rsidRPr="009B67DA">
        <w:rPr>
          <w:rFonts w:ascii="Simplified Arabic" w:hAnsi="Simplified Arabic" w:cs="Simplified Arabic"/>
          <w:color w:val="000000" w:themeColor="text1"/>
          <w:sz w:val="28"/>
          <w:szCs w:val="28"/>
          <w:rtl/>
        </w:rPr>
        <w:t xml:space="preserve"> ومفلح، 2025)، والمرونة الاستراتيجية في دراسة (العمارات والمحاسنة، 2023)، وإدارة المشاريع في دراسة (الربيع ومفلح، 2024)، والتنمية المستدامة في دراسة (العزي والحيت، 2024)، والتجنب الضريبي في دراسة (العليمات والشيخ، 2025). كما تختلف الدراسة الحالية من حيث الأبعاد المستخدمة للمتغير المستقل، إذ تتبنّى الدراسة الحالية أبعاداً محددة للتحول الرقمي تشمل (البنية التحتية الرقمية، التكنولوجيا الرقمية، الثقافة الرقمية، المهارات الرقمية)، في حين تباينت الدراسات السابقة في تحديد أبعاد التحول الرقمي؛ فقد تبنّت دراسة (العمارات والمحاسنة، 2023) أبعاداً تتضمّن (البنية التحتية التكنولوجية، الثقافة الرقمية، القيادة الرقمية، الاستراتيجية الرقمية)، في حين تبنّت دراسة (الربيع ومفلح، 2024) أبعاداً مختلفة تتضمّن (القيادة الرقمية، الاستراتيجية الرقمية، التكنولوجيا الرقمية، الثقافة الرقمية</w:t>
      </w:r>
      <w:r w:rsidR="003F570E" w:rsidRPr="009B67DA">
        <w:rPr>
          <w:rFonts w:ascii="Simplified Arabic" w:hAnsi="Simplified Arabic" w:cs="Simplified Arabic" w:hint="cs"/>
          <w:color w:val="000000" w:themeColor="text1"/>
          <w:sz w:val="28"/>
          <w:szCs w:val="28"/>
          <w:rtl/>
        </w:rPr>
        <w:t>)</w:t>
      </w:r>
      <w:r w:rsidRPr="009B67DA">
        <w:rPr>
          <w:rFonts w:ascii="Simplified Arabic" w:hAnsi="Simplified Arabic" w:cs="Simplified Arabic"/>
          <w:color w:val="000000" w:themeColor="text1"/>
          <w:sz w:val="28"/>
          <w:szCs w:val="28"/>
        </w:rPr>
        <w:t>.</w:t>
      </w:r>
    </w:p>
    <w:p w14:paraId="391ED9D2" w14:textId="33B09A15" w:rsidR="00DF0357" w:rsidRPr="009B67DA" w:rsidRDefault="00DF0357" w:rsidP="003F570E">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B67DA">
        <w:rPr>
          <w:rFonts w:ascii="Simplified Arabic" w:hAnsi="Simplified Arabic" w:cs="Simplified Arabic"/>
          <w:b/>
          <w:bCs/>
          <w:color w:val="000000" w:themeColor="text1"/>
          <w:sz w:val="32"/>
          <w:szCs w:val="32"/>
          <w:rtl/>
        </w:rPr>
        <w:t>الفجوة البحثية وموقع الدراسة الحالية منها</w:t>
      </w:r>
    </w:p>
    <w:p w14:paraId="6F970CE7" w14:textId="2B467E10" w:rsidR="00DF0357" w:rsidRPr="009B67DA" w:rsidRDefault="00DF0357"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تتمايز الدراسة الحالية كذلك عن الدراسات السابقة من حيث بيئة التطبيق، إذ ستُطبَّق على البنوك التجارية، وهو ما يُمثّل بيئة تطبيقية مغايرة لمعظم بيئات الدراسات السابقة، حيث طُبّقت دراسة (العليمات والشيخ، 2025) على دائرة ضريبة الدخل والمبيعات الأردنية، ودراسة (العزي والحيت، 2024) على أمانة عمان الكبرى، ودراسة (الربيع ومفلح، 2024) على الشركات الإنشائية الأردنية، ودراسة (العمارات والمحاسنة، 2023) على شركة المناصير للزيوت والمحروقات، ودراسة (أبو طاقية وفتحي، 2022) على هيئة المجتمعات العمرانية الجديدة، ودراسة</w:t>
      </w:r>
      <w:r w:rsidRPr="009B67DA">
        <w:rPr>
          <w:rFonts w:ascii="Simplified Arabic" w:hAnsi="Simplified Arabic" w:cs="Simplified Arabic"/>
          <w:color w:val="000000" w:themeColor="text1"/>
          <w:sz w:val="28"/>
          <w:szCs w:val="28"/>
        </w:rPr>
        <w:t xml:space="preserve"> (Liang et al., 2025) </w:t>
      </w:r>
      <w:r w:rsidRPr="009B67DA">
        <w:rPr>
          <w:rFonts w:ascii="Simplified Arabic" w:hAnsi="Simplified Arabic" w:cs="Simplified Arabic"/>
          <w:color w:val="000000" w:themeColor="text1"/>
          <w:sz w:val="28"/>
          <w:szCs w:val="28"/>
          <w:rtl/>
        </w:rPr>
        <w:t xml:space="preserve">على شركات صينية. وبناءً على ما تقدّم، تتجلّى الفجوة البحثية التي تسعى الدراسة الحالية إلى سدّها في كونها — على حدّ علم الباحث — من الدراسات القليلة على المستوى العربي التي تتناول العلاقة بين التحول الرقمي بأبعاده المحددة وإدارة المخاطر في </w:t>
      </w:r>
      <w:r w:rsidR="00BD4F44" w:rsidRPr="009B67DA">
        <w:rPr>
          <w:rFonts w:ascii="Simplified Arabic" w:hAnsi="Simplified Arabic" w:cs="Simplified Arabic"/>
          <w:color w:val="000000" w:themeColor="text1"/>
          <w:sz w:val="28"/>
          <w:szCs w:val="28"/>
          <w:rtl/>
        </w:rPr>
        <w:t>الشركات اللوجستية</w:t>
      </w:r>
      <w:r w:rsidRPr="009B67DA">
        <w:rPr>
          <w:rFonts w:ascii="Simplified Arabic" w:hAnsi="Simplified Arabic" w:cs="Simplified Arabic"/>
          <w:color w:val="000000" w:themeColor="text1"/>
          <w:sz w:val="28"/>
          <w:szCs w:val="28"/>
          <w:rtl/>
        </w:rPr>
        <w:t xml:space="preserve"> بشكل مباشر، إذ كشف استعراض الأدبيات والدراسات السابقة عن ندرة الدراسات التي جمعت بين هذين المتغيرين في إطار بحثي واحد رغم الأهمية البالغة لهذه العلاقة في ظل التحولات الرقمية المتسارعة. كما تُسهم الدراسة الحالية في إثراء المعرفة العلمية من خلال تقديم نموذج بحثي متكامل يربط بين أبعاد التحول الرقمي وإدارة المخاطر ، مما يُتيح للباحثين والممارسين فهماً أعمق للكيفية التي يُمكن من خلالها توظيف التحول الرقمي لتعزيز فاعلية منظومة إدارة المخاطر </w:t>
      </w:r>
      <w:r w:rsidR="00BD4F44" w:rsidRPr="009B67DA">
        <w:rPr>
          <w:rFonts w:ascii="Simplified Arabic" w:hAnsi="Simplified Arabic" w:cs="Simplified Arabic"/>
          <w:color w:val="000000" w:themeColor="text1"/>
          <w:sz w:val="28"/>
          <w:szCs w:val="28"/>
          <w:rtl/>
        </w:rPr>
        <w:t xml:space="preserve">في الشركات اللوجستية </w:t>
      </w:r>
      <w:r w:rsidRPr="009B67DA">
        <w:rPr>
          <w:rFonts w:ascii="Simplified Arabic" w:hAnsi="Simplified Arabic" w:cs="Simplified Arabic"/>
          <w:color w:val="000000" w:themeColor="text1"/>
          <w:sz w:val="28"/>
          <w:szCs w:val="28"/>
          <w:rtl/>
        </w:rPr>
        <w:t>، وهو ما يُمثّل إضافةً علميةً وعمليةً ذات قيمة في هذا الميدان البحثي</w:t>
      </w:r>
      <w:r w:rsidRPr="009B67DA">
        <w:rPr>
          <w:rFonts w:ascii="Simplified Arabic" w:hAnsi="Simplified Arabic" w:cs="Simplified Arabic"/>
          <w:color w:val="000000" w:themeColor="text1"/>
          <w:sz w:val="28"/>
          <w:szCs w:val="28"/>
        </w:rPr>
        <w:t>.</w:t>
      </w:r>
    </w:p>
    <w:p w14:paraId="05A4C199" w14:textId="77777777" w:rsidR="003F570E" w:rsidRPr="009B67DA" w:rsidRDefault="003F570E" w:rsidP="003F570E">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1" w:name="_Toc233990055"/>
      <w:bookmarkStart w:id="12" w:name="_Toc169790502"/>
      <w:bookmarkStart w:id="13" w:name="_Toc231661705"/>
      <w:bookmarkEnd w:id="9"/>
      <w:r w:rsidRPr="009B67DA">
        <w:rPr>
          <w:rFonts w:ascii="Simplified Arabic" w:hAnsi="Simplified Arabic" w:cs="Simplified Arabic"/>
          <w:b/>
          <w:bCs/>
          <w:color w:val="000000" w:themeColor="text1"/>
          <w:sz w:val="36"/>
          <w:szCs w:val="36"/>
          <w:rtl/>
        </w:rPr>
        <w:t>9.1 المنطلقات النظرية للدراسة:</w:t>
      </w:r>
      <w:bookmarkEnd w:id="11"/>
    </w:p>
    <w:p w14:paraId="4D2C5C66" w14:textId="1CA3B5BE" w:rsidR="003F570E" w:rsidRPr="009B67DA" w:rsidRDefault="003F570E" w:rsidP="003F570E">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9B67DA">
        <w:rPr>
          <w:rFonts w:ascii="Simplified Arabic" w:hAnsi="Simplified Arabic" w:cs="Simplified Arabic"/>
          <w:b/>
          <w:bCs/>
          <w:color w:val="000000" w:themeColor="text1"/>
          <w:sz w:val="32"/>
          <w:szCs w:val="32"/>
          <w:rtl/>
        </w:rPr>
        <w:t>أولاً: التحول الرقمي</w:t>
      </w:r>
    </w:p>
    <w:p w14:paraId="437B7F92"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يُعدّ مفهوم التحول الرقمي من المفاهيم الإدارية الحديثة التي ظهرت كاستجابة طبيعية للثورة التكنولوجية التي شهدها العالم في العقود الأخيرة، ولا سيما مع ظهور ما يُعرف بالثورة الصناعية الرابعة. ويُشير التحول الرقمي في جوهره إلى عملية شاملة لإعادة تصميم وتنظيم الأعمال والعمليات والنماذج التشغيلية باستخدام التقنيات الرقمية الحديثة، بهدف تحقيق قيمة مضافة للمنظمة وعملائها وأصحاب المصلحة فيها</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 xml:space="preserve">وقد عرّفه الربيع ومفلح </w:t>
      </w:r>
      <w:r w:rsidRPr="009B67DA">
        <w:rPr>
          <w:rFonts w:ascii="Simplified Arabic" w:hAnsi="Simplified Arabic" w:cs="Simplified Arabic"/>
          <w:color w:val="000000" w:themeColor="text1"/>
          <w:sz w:val="28"/>
          <w:szCs w:val="28"/>
        </w:rPr>
        <w:t xml:space="preserve">(2024) </w:t>
      </w:r>
      <w:r w:rsidRPr="009B67DA">
        <w:rPr>
          <w:rFonts w:ascii="Simplified Arabic" w:hAnsi="Simplified Arabic" w:cs="Simplified Arabic"/>
          <w:color w:val="000000" w:themeColor="text1"/>
          <w:sz w:val="28"/>
          <w:szCs w:val="28"/>
          <w:rtl/>
        </w:rPr>
        <w:t>بأنه التطبيق الشامل للتقنيات الرقمية في كافة جوانب العمل المؤسسي، بما يُحدث تغييرات جوهرية في طريقة تقديم القيمة للعملاء وأصحاب المصلحة</w:t>
      </w:r>
      <w:r w:rsidRPr="009B67DA">
        <w:rPr>
          <w:rFonts w:ascii="Simplified Arabic" w:hAnsi="Simplified Arabic" w:cs="Simplified Arabic"/>
          <w:color w:val="000000" w:themeColor="text1"/>
          <w:sz w:val="28"/>
          <w:szCs w:val="28"/>
        </w:rPr>
        <w:t>.</w:t>
      </w:r>
    </w:p>
    <w:p w14:paraId="73D9E751"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ويتميّز التحول الرقمي بكونه عملية متعددة الأبعاد لا تقتصر على إدخال التكنولوجيا فحسب، بل تشمل تغييراً في الثقافة التنظيمية والهياكل والعمليات والمهارات</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 xml:space="preserve">وتتمثّل الأبعاد الرئيسية للتحول الرقمي وفقاً لما طرحته الأدبيات الحديثة في البنية التحتية الرقمية التي تُمثّل الأساس المادي والتقني الذي يقوم عليه التحول الرقمي، والتكنولوجيا الرقمية التي تشمل التطبيقات والأدوات والأنظمة الرقمية المستخدمة، والثقافة الرقمية التي تعكس القيم والمعتقدات والممارسات السائدة في المنظمة تجاه التحول الرقمي، والمهارات الرقمية التي تتعلق بقدرات العاملين على توظيف التكنولوجيا الرقمية بفاعلية (العمارات والمحاسنة، </w:t>
      </w:r>
      <w:r w:rsidRPr="009B67DA">
        <w:rPr>
          <w:rFonts w:ascii="Simplified Arabic" w:hAnsi="Simplified Arabic" w:cs="Simplified Arabic"/>
          <w:color w:val="000000" w:themeColor="text1"/>
          <w:sz w:val="28"/>
          <w:szCs w:val="28"/>
        </w:rPr>
        <w:t>2023).</w:t>
      </w:r>
    </w:p>
    <w:p w14:paraId="098C021E"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وتنبع أهمية التحول الرقمي للمنظمات من كونه يُتيح لها مجموعة من المزايا التنافسية، منها تحسين كفاءة العمليات التشغيلية، وتعزيز جودة الخدمات المُقدّمة للعملاء، وتسريع وتيرة اتخاذ القرارات من خلال توفير البيانات والمعلومات في الوقت المناسب، فضلاً عن تعزيز قدرة المنظمة على الابتكار والتكيّف مع المتغيرات البيئية</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ويُسهم التحول الرقمي كذلك في تخفيض التكاليف التشغيلية وتعزيز الإنتاجية، وهو ما يجعله خياراً استراتيجياً لا غنى عنه للمنظمات الراغبة في الحفاظ على مكانتها التنافسية</w:t>
      </w:r>
      <w:r w:rsidRPr="009B67DA">
        <w:rPr>
          <w:rFonts w:ascii="Simplified Arabic" w:hAnsi="Simplified Arabic" w:cs="Simplified Arabic"/>
          <w:color w:val="000000" w:themeColor="text1"/>
          <w:sz w:val="28"/>
          <w:szCs w:val="28"/>
        </w:rPr>
        <w:t xml:space="preserve"> (Li et al., 2025).</w:t>
      </w:r>
    </w:p>
    <w:p w14:paraId="5B39FDC2"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وفي السياق اللوجستي، يكتسب التحول الرقمي أهميةً مضاعفة لأسباب عديدة، أبرزها طبيعة العمل اللوجستي القائم على إدارة تدفقات معقدة من البضائع والمعلومات عبر سلاسل إمداد متشابكة، وتطلّع العملاء المتزايد للحصول على خدمات لوجستية رقمية متطورة تتسم بالتتبّع الفوري والشفافية، فضلاً عن المنافسة الشديدة في سوق الخدمات اللوجستية العالمية. وقد أصبح التحول الرقمي عاملاً حاسماً في تحديد قدرة الشركات اللوجستية على الاستمرار والنمو، حيث تشير الأدبيات الحديثة إلى أن الشركات التي تتبنّى استراتيجيات شاملة للتحول الرقمي تتمتّع بميزات تنافسية واضحة مقارنةً بنظيراتها التقليدية، لا سيما في تعزيز رؤية سلسلة الإمداد والتنسيق بين أطرافها </w:t>
      </w:r>
      <w:r w:rsidRPr="009B67DA">
        <w:rPr>
          <w:rFonts w:ascii="Simplified Arabic" w:hAnsi="Simplified Arabic" w:cs="Simplified Arabic"/>
          <w:color w:val="000000" w:themeColor="text1"/>
          <w:sz w:val="28"/>
          <w:szCs w:val="28"/>
        </w:rPr>
        <w:t>(Liang et al., 2025).</w:t>
      </w:r>
    </w:p>
    <w:p w14:paraId="5AC8D28B" w14:textId="77777777" w:rsidR="00BD4F44" w:rsidRPr="009B67DA" w:rsidRDefault="00BD4F44" w:rsidP="003F570E">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B67DA">
        <w:rPr>
          <w:rFonts w:ascii="Simplified Arabic" w:hAnsi="Simplified Arabic" w:cs="Simplified Arabic"/>
          <w:b/>
          <w:bCs/>
          <w:color w:val="000000" w:themeColor="text1"/>
          <w:sz w:val="32"/>
          <w:szCs w:val="32"/>
          <w:rtl/>
        </w:rPr>
        <w:t>ثانياً: إدارة مخاطر سلاسل الإمداد</w:t>
      </w:r>
    </w:p>
    <w:p w14:paraId="6541FAE1"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تُعدّ إدارة المخاطر من المفاهيم الإدارية الأصيلة التي رافقت تطور الفكر الإداري عبر العقود، وقد تطوّر هذا المفهوم بشكل ملحوظ ليشمل أبعاداً متعددة تتجاوز التعامل التقليدي مع المخاطر المالية، لتشمل جميع أنواع المخاطر التي قد تتعرّض لها المنظمة وسلاسل الإمداد التابعة لها. ويُعرّف الرواشدة والشورة</w:t>
      </w:r>
      <w:r w:rsidRPr="009B67DA">
        <w:rPr>
          <w:rFonts w:ascii="Simplified Arabic" w:hAnsi="Simplified Arabic" w:cs="Simplified Arabic"/>
          <w:color w:val="000000" w:themeColor="text1"/>
          <w:sz w:val="28"/>
          <w:szCs w:val="28"/>
        </w:rPr>
        <w:t xml:space="preserve"> (2022) </w:t>
      </w:r>
      <w:r w:rsidRPr="009B67DA">
        <w:rPr>
          <w:rFonts w:ascii="Simplified Arabic" w:hAnsi="Simplified Arabic" w:cs="Simplified Arabic"/>
          <w:color w:val="000000" w:themeColor="text1"/>
          <w:sz w:val="28"/>
          <w:szCs w:val="28"/>
          <w:rtl/>
        </w:rPr>
        <w:t>إدارة المخاطر بأنها عملية منهجية تتضمّن تحديد المخاطر المحتملة وتقييمها ووضع الاستراتيجيات المناسبة للتعامل معها، بما يضمن تحقيق أهداف المنظمة وحماية أصولها ومواردها من التأثيرات السلبية المحتملة</w:t>
      </w:r>
      <w:r w:rsidRPr="009B67DA">
        <w:rPr>
          <w:rFonts w:ascii="Simplified Arabic" w:hAnsi="Simplified Arabic" w:cs="Simplified Arabic"/>
          <w:color w:val="000000" w:themeColor="text1"/>
          <w:sz w:val="28"/>
          <w:szCs w:val="28"/>
        </w:rPr>
        <w:t>.</w:t>
      </w:r>
    </w:p>
    <w:p w14:paraId="2F428885" w14:textId="2132002E"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وتقوم منظومة إدارة مخاطر سلاسل الإمداد على مجموعة من الأبعاد المتكاملة، تبدأ بـتحديد المخاطر من خلال رصد جميع المخاطر المحتملة التي قد تواجه سلسلة الإمداد، ثم تقييم المخاطر من خلال تحليل احتمالية حدوثها وحجم تأثيرها المحتمل، ثم الاستجابة للمخاطر من خلال وضع الاستراتيجيات والإجراءات المناسبة للتعامل معها سواء بتجنّبها أو تخفيفها أو نقلها أو قبولها، وأخيراً مراقبة المخاطر بشكل مستمر لضمان فاعلية الإجراءات المتخذة وتعديلها عند الحاجة. وتعمل هذه الأبعاد بشكل متكامل ضمن إطار شامل يهدف إلى تعزيز مرونة سلسلة الإمداد وقدرتها على التعافي من الاضطرابات (</w:t>
      </w:r>
      <w:proofErr w:type="spellStart"/>
      <w:r w:rsidRPr="009B67DA">
        <w:rPr>
          <w:rFonts w:ascii="Simplified Arabic" w:hAnsi="Simplified Arabic" w:cs="Simplified Arabic"/>
          <w:color w:val="000000" w:themeColor="text1"/>
          <w:sz w:val="28"/>
          <w:szCs w:val="28"/>
          <w:rtl/>
        </w:rPr>
        <w:t>عبدالمعتمد</w:t>
      </w:r>
      <w:proofErr w:type="spellEnd"/>
      <w:r w:rsidRPr="009B67DA">
        <w:rPr>
          <w:rFonts w:ascii="Simplified Arabic" w:hAnsi="Simplified Arabic" w:cs="Simplified Arabic"/>
          <w:color w:val="000000" w:themeColor="text1"/>
          <w:sz w:val="28"/>
          <w:szCs w:val="28"/>
          <w:rtl/>
        </w:rPr>
        <w:t xml:space="preserve"> وآخرون، 2025</w:t>
      </w:r>
      <w:r w:rsidRPr="009B67DA">
        <w:rPr>
          <w:rFonts w:ascii="Simplified Arabic" w:hAnsi="Simplified Arabic" w:cs="Simplified Arabic"/>
          <w:color w:val="000000" w:themeColor="text1"/>
          <w:sz w:val="28"/>
          <w:szCs w:val="28"/>
        </w:rPr>
        <w:t>(.</w:t>
      </w:r>
    </w:p>
    <w:p w14:paraId="267C16AF"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 xml:space="preserve">وتكتسب إدارة المخاطر أهميةً خاصة في القطاع اللوجستي نظراً لطبيعة العمل اللوجستي القائم على التعامل مع شبكات معقدة من الموردين والناقلين والمستودعات الممتدة عبر مناطق جغرافية متعددة. ويواجه القطاع اللوجستي مجموعة متنوعة من المخاطر تشمل مخاطر الموردين، ومخاطر النقل، ومخاطر التخزين، ومخاطر الطلب، والمخاطر التشغيلية، فضلاً عن المخاطر الناشئة كالمخاطر </w:t>
      </w:r>
      <w:proofErr w:type="spellStart"/>
      <w:r w:rsidRPr="009B67DA">
        <w:rPr>
          <w:rFonts w:ascii="Simplified Arabic" w:hAnsi="Simplified Arabic" w:cs="Simplified Arabic"/>
          <w:color w:val="000000" w:themeColor="text1"/>
          <w:sz w:val="28"/>
          <w:szCs w:val="28"/>
          <w:rtl/>
        </w:rPr>
        <w:t>السيبرانية</w:t>
      </w:r>
      <w:proofErr w:type="spellEnd"/>
      <w:r w:rsidRPr="009B67DA">
        <w:rPr>
          <w:rFonts w:ascii="Simplified Arabic" w:hAnsi="Simplified Arabic" w:cs="Simplified Arabic"/>
          <w:color w:val="000000" w:themeColor="text1"/>
          <w:sz w:val="28"/>
          <w:szCs w:val="28"/>
          <w:rtl/>
        </w:rPr>
        <w:t xml:space="preserve"> ومخاطر التكنولوجيا والمخاطر المرتبطة بالاضطرابات العالمية كالجوائح والأزمات الجيوسياسية. وقد دفعت هذه التنوعات في المخاطر الشركات اللوجستية إلى تطوير منظومات متكاملة لإدارة المخاطر تستند إلى أُسس علمية ومعايير دولية لتعزيز مرونة سلاسل الإمداد (حفصي وآخرون، </w:t>
      </w:r>
      <w:r w:rsidRPr="009B67DA">
        <w:rPr>
          <w:rFonts w:ascii="Simplified Arabic" w:hAnsi="Simplified Arabic" w:cs="Simplified Arabic"/>
          <w:color w:val="000000" w:themeColor="text1"/>
          <w:sz w:val="28"/>
          <w:szCs w:val="28"/>
        </w:rPr>
        <w:t>2022).</w:t>
      </w:r>
    </w:p>
    <w:p w14:paraId="017EEC2E"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وفي ضوء التحولات الرقمية المتسارعة، أصبحت إدارة مخاطر سلاسل الإمداد تواجه تحديات جديدة وفرصاً غير مسبوقة في آنٍ معاً، إذ أفرز التحول الرقمي مخاطر جديدة تستلزم تطوير الممارسات التقليدية لإدارة المخاطر، كما أتاح في الوقت نفسه أدوات وتقنيات متقدمة يُمكن توظيفها لتعزيز كفاءة عمليات إدارة المخاطر. ويرى</w:t>
      </w:r>
      <w:r w:rsidRPr="009B67DA">
        <w:rPr>
          <w:rFonts w:ascii="Simplified Arabic" w:hAnsi="Simplified Arabic" w:cs="Simplified Arabic"/>
          <w:color w:val="000000" w:themeColor="text1"/>
          <w:sz w:val="28"/>
          <w:szCs w:val="28"/>
        </w:rPr>
        <w:t xml:space="preserve"> </w:t>
      </w:r>
      <w:proofErr w:type="spellStart"/>
      <w:r w:rsidRPr="009B67DA">
        <w:rPr>
          <w:rFonts w:ascii="Simplified Arabic" w:hAnsi="Simplified Arabic" w:cs="Simplified Arabic"/>
          <w:color w:val="000000" w:themeColor="text1"/>
          <w:sz w:val="28"/>
          <w:szCs w:val="28"/>
        </w:rPr>
        <w:t>Pupentsova</w:t>
      </w:r>
      <w:proofErr w:type="spellEnd"/>
      <w:r w:rsidRPr="009B67DA">
        <w:rPr>
          <w:rFonts w:ascii="Simplified Arabic" w:hAnsi="Simplified Arabic" w:cs="Simplified Arabic"/>
          <w:color w:val="000000" w:themeColor="text1"/>
          <w:sz w:val="28"/>
          <w:szCs w:val="28"/>
        </w:rPr>
        <w:t xml:space="preserve"> &amp; </w:t>
      </w:r>
      <w:proofErr w:type="spellStart"/>
      <w:r w:rsidRPr="009B67DA">
        <w:rPr>
          <w:rFonts w:ascii="Simplified Arabic" w:hAnsi="Simplified Arabic" w:cs="Simplified Arabic"/>
          <w:color w:val="000000" w:themeColor="text1"/>
          <w:sz w:val="28"/>
          <w:szCs w:val="28"/>
        </w:rPr>
        <w:t>Gromova</w:t>
      </w:r>
      <w:proofErr w:type="spellEnd"/>
      <w:r w:rsidRPr="009B67DA">
        <w:rPr>
          <w:rFonts w:ascii="Simplified Arabic" w:hAnsi="Simplified Arabic" w:cs="Simplified Arabic"/>
          <w:color w:val="000000" w:themeColor="text1"/>
          <w:sz w:val="28"/>
          <w:szCs w:val="28"/>
        </w:rPr>
        <w:t xml:space="preserve"> (2021) </w:t>
      </w:r>
      <w:r w:rsidRPr="009B67DA">
        <w:rPr>
          <w:rFonts w:ascii="Simplified Arabic" w:hAnsi="Simplified Arabic" w:cs="Simplified Arabic"/>
          <w:color w:val="000000" w:themeColor="text1"/>
          <w:sz w:val="28"/>
          <w:szCs w:val="28"/>
          <w:rtl/>
        </w:rPr>
        <w:t>أن التكامل بين التحول الرقمي وإدارة المخاطر بات ضرورةً استراتيجية للمنظمات الراغبة في تحقيق الاستدامة والنمو في ظل البيئة الرقمية الجديدة، حيث تُسهم التقنيات الرقمية في تعزيز قدرات المنظمات على التنبؤ بالمخاطر المحتملة وتحليلها واتخاذ القرارات المناسبة بشأنها في الوقت المناسب</w:t>
      </w:r>
      <w:r w:rsidRPr="009B67DA">
        <w:rPr>
          <w:rFonts w:ascii="Simplified Arabic" w:hAnsi="Simplified Arabic" w:cs="Simplified Arabic"/>
          <w:color w:val="000000" w:themeColor="text1"/>
          <w:sz w:val="28"/>
          <w:szCs w:val="28"/>
        </w:rPr>
        <w:t>.</w:t>
      </w:r>
    </w:p>
    <w:p w14:paraId="7D374174" w14:textId="77777777" w:rsidR="00BD4F44" w:rsidRPr="009B67DA" w:rsidRDefault="00BD4F44" w:rsidP="003F570E">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9B67DA">
        <w:rPr>
          <w:rFonts w:ascii="Simplified Arabic" w:hAnsi="Simplified Arabic" w:cs="Simplified Arabic"/>
          <w:b/>
          <w:bCs/>
          <w:color w:val="000000" w:themeColor="text1"/>
          <w:sz w:val="32"/>
          <w:szCs w:val="32"/>
          <w:rtl/>
        </w:rPr>
        <w:t>ثالثاً</w:t>
      </w:r>
      <w:r w:rsidRPr="009B67DA">
        <w:rPr>
          <w:rFonts w:ascii="Simplified Arabic" w:hAnsi="Simplified Arabic" w:cs="Simplified Arabic"/>
          <w:b/>
          <w:bCs/>
          <w:color w:val="000000" w:themeColor="text1"/>
          <w:sz w:val="32"/>
          <w:szCs w:val="32"/>
        </w:rPr>
        <w:t xml:space="preserve">: </w:t>
      </w:r>
      <w:r w:rsidRPr="009B67DA">
        <w:rPr>
          <w:rFonts w:ascii="Simplified Arabic" w:hAnsi="Simplified Arabic" w:cs="Simplified Arabic"/>
          <w:b/>
          <w:bCs/>
          <w:color w:val="000000" w:themeColor="text1"/>
          <w:sz w:val="32"/>
          <w:szCs w:val="32"/>
          <w:rtl/>
        </w:rPr>
        <w:t>العلاقة بين التحول الرقمي وإدارة مخاطر سلاسل الإمداد</w:t>
      </w:r>
    </w:p>
    <w:p w14:paraId="4BD6E771" w14:textId="77777777" w:rsidR="00BD4F44" w:rsidRPr="009B67DA" w:rsidRDefault="00BD4F44" w:rsidP="003F570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9B67DA">
        <w:rPr>
          <w:rFonts w:ascii="Simplified Arabic" w:hAnsi="Simplified Arabic" w:cs="Simplified Arabic"/>
          <w:color w:val="000000" w:themeColor="text1"/>
          <w:sz w:val="28"/>
          <w:szCs w:val="28"/>
          <w:rtl/>
        </w:rPr>
        <w:t>تستند الدراسة الحالية إلى منطلقات نظرية تُؤكّد وجود علاقة جوهرية بين التحول الرقمي بأبعاده المختلفة وإدارة مخاطر سلاسل الإمداد، إذ يُسهم التحول الرقمي في تعزيز فاعلية منظومة إدارة المخاطر وتعزيز مرونة سلسلة الإمداد من خلال توفير أدوات وتقنيات متقدمة تُمكّن الشركات اللوجستية من تحديد المخاطر بدقة أعلى، وتقييمها بشكل أكثر موضوعية، والاستجابة لها بسرعة وفاعلية، ومراقبتها بشكل مستمر</w:t>
      </w:r>
      <w:r w:rsidRPr="009B67DA">
        <w:rPr>
          <w:rFonts w:ascii="Simplified Arabic" w:hAnsi="Simplified Arabic" w:cs="Simplified Arabic"/>
          <w:color w:val="000000" w:themeColor="text1"/>
          <w:sz w:val="28"/>
          <w:szCs w:val="28"/>
        </w:rPr>
        <w:t xml:space="preserve">. </w:t>
      </w:r>
      <w:r w:rsidRPr="009B67DA">
        <w:rPr>
          <w:rFonts w:ascii="Simplified Arabic" w:hAnsi="Simplified Arabic" w:cs="Simplified Arabic"/>
          <w:color w:val="000000" w:themeColor="text1"/>
          <w:sz w:val="28"/>
          <w:szCs w:val="28"/>
          <w:rtl/>
        </w:rPr>
        <w:t>وتوفّر تقنيات تحليل البيانات الضخمة والذكاء الاصطناعي والتعلم الآلي والبلوك تشين إمكانيات هائلة لتطوير ممارسات إدارة مخاطر سلاسل الإمداد بما يتجاوز الأساليب التقليدية المعتمدة، وهو ما أكّدته دراسة</w:t>
      </w:r>
      <w:r w:rsidRPr="009B67DA">
        <w:rPr>
          <w:rFonts w:ascii="Simplified Arabic" w:hAnsi="Simplified Arabic" w:cs="Simplified Arabic"/>
          <w:color w:val="000000" w:themeColor="text1"/>
          <w:sz w:val="28"/>
          <w:szCs w:val="28"/>
        </w:rPr>
        <w:t xml:space="preserve"> Rashid et al. (2024) </w:t>
      </w:r>
      <w:r w:rsidRPr="009B67DA">
        <w:rPr>
          <w:rFonts w:ascii="Simplified Arabic" w:hAnsi="Simplified Arabic" w:cs="Simplified Arabic"/>
          <w:color w:val="000000" w:themeColor="text1"/>
          <w:sz w:val="28"/>
          <w:szCs w:val="28"/>
          <w:rtl/>
        </w:rPr>
        <w:t xml:space="preserve">التي أبرزت دور معالجة المعلومات وسلسلة التوريد الرقمية في تعزيز مرونة سلسلة التوريد من خلال إدارة المخاطر </w:t>
      </w:r>
      <w:r w:rsidRPr="009B67DA">
        <w:rPr>
          <w:rFonts w:ascii="Simplified Arabic" w:hAnsi="Simplified Arabic" w:cs="Simplified Arabic"/>
          <w:color w:val="000000" w:themeColor="text1"/>
          <w:sz w:val="28"/>
          <w:szCs w:val="28"/>
        </w:rPr>
        <w:t>(Menezes &amp; Rete, 2026).</w:t>
      </w:r>
    </w:p>
    <w:p w14:paraId="7D6F12E6" w14:textId="6A0D7B8C"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4" w:name="_Toc233990056"/>
      <w:bookmarkStart w:id="15" w:name="_Toc169790506"/>
      <w:bookmarkEnd w:id="12"/>
      <w:bookmarkEnd w:id="13"/>
      <w:r w:rsidRPr="009B67D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4"/>
    </w:p>
    <w:p w14:paraId="4171DA0C"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الأنسب لطبيعة موضوع الدراسة وأهدافها؛ إذ سيقوم الباحث من خلاله بوصف الظاهرة محل الدراسة، وتحليل العلاقات بين متغيراتها، والوصول إلى استنتاجات تُسهم في إثراء المعرفة العلمية وتقديم توصيات تطبيقية. وسيستعين الباحث بهذا المنهج لاستعراض الأدبيات النظرية والدراسات السابقة المتعلقة بمتغيرات الدراسة، وبناء الإطار النظري الذي تستند إليه فروض الدراسة</w:t>
      </w:r>
      <w:r w:rsidRPr="009B67DA">
        <w:rPr>
          <w:rFonts w:ascii="Simplified Arabic" w:eastAsia="Times New Roman" w:hAnsi="Simplified Arabic" w:cs="Simplified Arabic"/>
          <w:color w:val="000000" w:themeColor="text1"/>
          <w:kern w:val="0"/>
          <w:sz w:val="28"/>
          <w:szCs w:val="28"/>
          <w14:ligatures w14:val="none"/>
        </w:rPr>
        <w:t>.</w:t>
      </w:r>
    </w:p>
    <w:p w14:paraId="47C6E383"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كما ستعتمد الدراسة على المنهج الميداني من خلال تصميم استبانة كأداة رئيسية لجمع البيانات الأولية من أفراد عينة الدراسة، وستُحلَّل البيانات التي يتم جمعها باستخدام الأساليب الإحصائية المناسبة من خلال برنامج الحزمة الإحصائية للعلوم الاجتماعية</w:t>
      </w:r>
      <w:r w:rsidRPr="009B67DA">
        <w:rPr>
          <w:rFonts w:ascii="Simplified Arabic" w:eastAsia="Times New Roman" w:hAnsi="Simplified Arabic" w:cs="Simplified Arabic"/>
          <w:color w:val="000000" w:themeColor="text1"/>
          <w:kern w:val="0"/>
          <w:sz w:val="28"/>
          <w:szCs w:val="28"/>
          <w14:ligatures w14:val="none"/>
        </w:rPr>
        <w:t xml:space="preserve"> (SPSS)</w:t>
      </w:r>
      <w:r w:rsidRPr="009B67DA">
        <w:rPr>
          <w:rFonts w:ascii="Simplified Arabic" w:eastAsia="Times New Roman" w:hAnsi="Simplified Arabic" w:cs="Simplified Arabic"/>
          <w:color w:val="000000" w:themeColor="text1"/>
          <w:kern w:val="0"/>
          <w:sz w:val="28"/>
          <w:szCs w:val="28"/>
          <w:rtl/>
          <w14:ligatures w14:val="none"/>
        </w:rPr>
        <w:t>، وذلك بهدف اختبار فروض الدراسة والإجابة عن أسئلتها والوصول إلى نتائج علمية موضوعية يُمكن الاعتماد عليها في تقديم التوصيات والمقترحات</w:t>
      </w:r>
      <w:r w:rsidRPr="009B67DA">
        <w:rPr>
          <w:rFonts w:ascii="Simplified Arabic" w:eastAsia="Times New Roman" w:hAnsi="Simplified Arabic" w:cs="Simplified Arabic"/>
          <w:color w:val="000000" w:themeColor="text1"/>
          <w:kern w:val="0"/>
          <w:sz w:val="28"/>
          <w:szCs w:val="28"/>
          <w14:ligatures w14:val="none"/>
        </w:rPr>
        <w:t>.</w:t>
      </w:r>
    </w:p>
    <w:p w14:paraId="30CB52BB" w14:textId="35F5E916"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233990057"/>
      <w:r w:rsidRPr="009B67DA">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16"/>
    </w:p>
    <w:p w14:paraId="328ED158" w14:textId="77777777" w:rsidR="00BD4F44" w:rsidRPr="009B67DA" w:rsidRDefault="00BD4F44"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الشركات اللوجستية محل الدراسة في المملكة العربية السعودية في وظائف الإدارة العليا والوسطى </w:t>
      </w:r>
      <w:proofErr w:type="spellStart"/>
      <w:r w:rsidRPr="009B67DA">
        <w:rPr>
          <w:rFonts w:ascii="Simplified Arabic" w:eastAsia="Times New Roman" w:hAnsi="Simplified Arabic" w:cs="Simplified Arabic"/>
          <w:color w:val="000000" w:themeColor="text1"/>
          <w:kern w:val="0"/>
          <w:sz w:val="28"/>
          <w:szCs w:val="28"/>
          <w:rtl/>
          <w14:ligatures w14:val="none"/>
        </w:rPr>
        <w:t>والإشرافية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ممن لهم صلة مباشرة بتطبيقات التحول الرقمي وإدارة مخاطر سلاسل الإمداد، والبالغ عددهم وفقاً لإحصاءات الموارد البشرية في هذه الشركات (3,850) موظفاً وموظفة موزعين على الإدارات والفروع المختلفة</w:t>
      </w:r>
      <w:r w:rsidRPr="009B67DA">
        <w:rPr>
          <w:rFonts w:ascii="Simplified Arabic" w:eastAsia="Times New Roman" w:hAnsi="Simplified Arabic" w:cs="Simplified Arabic"/>
          <w:color w:val="000000" w:themeColor="text1"/>
          <w:kern w:val="0"/>
          <w:sz w:val="28"/>
          <w:szCs w:val="28"/>
          <w14:ligatures w14:val="none"/>
        </w:rPr>
        <w:t>.</w:t>
      </w:r>
    </w:p>
    <w:p w14:paraId="0B665E0E" w14:textId="78024179" w:rsidR="000532DF" w:rsidRPr="009B67DA" w:rsidRDefault="00BD4F44"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9B67DA">
        <w:rPr>
          <w:rFonts w:ascii="Simplified Arabic" w:eastAsia="Times New Roman" w:hAnsi="Simplified Arabic" w:cs="Simplified Arabic"/>
          <w:color w:val="000000" w:themeColor="text1"/>
          <w:kern w:val="0"/>
          <w:sz w:val="28"/>
          <w:szCs w:val="28"/>
          <w:rtl/>
          <w14:ligatures w14:val="none"/>
        </w:rPr>
        <w:t>وستُختار عينة الدراسة بأسلوب العينة العشوائية الطبقية بما يضمن تمثيل جميع الفئات الوظيفية والإدارات المعنية تمثيلاً علمياً دقيقاً. وبناءً على معادلة</w:t>
      </w:r>
      <w:r w:rsidRPr="009B67DA">
        <w:rPr>
          <w:rFonts w:ascii="Simplified Arabic" w:eastAsia="Times New Roman" w:hAnsi="Simplified Arabic" w:cs="Simplified Arabic"/>
          <w:color w:val="000000" w:themeColor="text1"/>
          <w:kern w:val="0"/>
          <w:sz w:val="28"/>
          <w:szCs w:val="28"/>
          <w14:ligatures w14:val="none"/>
        </w:rPr>
        <w:t xml:space="preserve"> (Stephen Thompson) </w:t>
      </w:r>
      <w:r w:rsidRPr="009B67DA">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سيبلغ حجم عينة الدراسة (350) مفردة. وسيتم توزيع (380) استبانة على أفراد العينة لمواجهة احتمالية فقد بعض الاستبانات أو عدم صلاحيتها للتحليل الإحصائي، ومن المتوقع استرداد ما لا يقل عن (350) استبانة صالحة للتحليل بنسبة استجابة تتجاوز (92%)، وهي نسبة مقبولة علمياً وتُعزّز من موثوقية النتائج وقابليتها للتعميم</w:t>
      </w:r>
      <w:r w:rsidRPr="009B67DA">
        <w:rPr>
          <w:rFonts w:ascii="Simplified Arabic" w:eastAsia="Times New Roman" w:hAnsi="Simplified Arabic" w:cs="Simplified Arabic"/>
          <w:color w:val="000000" w:themeColor="text1"/>
          <w:kern w:val="0"/>
          <w:sz w:val="28"/>
          <w:szCs w:val="28"/>
          <w14:ligatures w14:val="none"/>
        </w:rPr>
        <w:t>.</w:t>
      </w:r>
    </w:p>
    <w:p w14:paraId="13248035" w14:textId="2A76E2CF"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990058"/>
      <w:r w:rsidRPr="009B67DA">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17"/>
    </w:p>
    <w:p w14:paraId="66C7DADE" w14:textId="77777777" w:rsidR="00BD4F44" w:rsidRPr="009B67DA" w:rsidRDefault="00BD4F44" w:rsidP="003F57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سيعتمد الباحث في جمع البيانات اللازمة للدراسة على نوعين من المصادر</w:t>
      </w:r>
      <w:r w:rsidRPr="009B67DA">
        <w:rPr>
          <w:rFonts w:ascii="Simplified Arabic" w:eastAsia="Times New Roman" w:hAnsi="Simplified Arabic" w:cs="Simplified Arabic"/>
          <w:b/>
          <w:bCs/>
          <w:color w:val="000000" w:themeColor="text1"/>
          <w:kern w:val="0"/>
          <w:sz w:val="28"/>
          <w:szCs w:val="28"/>
          <w14:ligatures w14:val="none"/>
        </w:rPr>
        <w:t>:</w:t>
      </w:r>
    </w:p>
    <w:p w14:paraId="1C245D4D" w14:textId="77777777" w:rsidR="00BD4F44" w:rsidRPr="009B67DA" w:rsidRDefault="00BD4F44"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أولاً: المصادر الثانوية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وتشمل الكتب العلمية، والدوريات والمجلات المحكّمة، والرسائل الجامعية (الماجستير والدكتوراه)، والمؤتمرات والندوات العلمية، والتقارير الرسمية الصادرة عن الشركات اللوجستية محل الدراسة، والمواقع الإلكترونية الموثوقة ذات الصلة بمتغيرات الدراسة، وذلك بهدف بناء الإطار النظري للدراسة واستعراض الدراسات السابقة</w:t>
      </w:r>
      <w:r w:rsidRPr="009B67DA">
        <w:rPr>
          <w:rFonts w:ascii="Simplified Arabic" w:eastAsia="Times New Roman" w:hAnsi="Simplified Arabic" w:cs="Simplified Arabic"/>
          <w:color w:val="000000" w:themeColor="text1"/>
          <w:kern w:val="0"/>
          <w:sz w:val="28"/>
          <w:szCs w:val="28"/>
          <w14:ligatures w14:val="none"/>
        </w:rPr>
        <w:t>.</w:t>
      </w:r>
    </w:p>
    <w:p w14:paraId="3CAAC95E" w14:textId="7A186428" w:rsidR="000532DF" w:rsidRPr="009B67DA" w:rsidRDefault="00BD4F44" w:rsidP="003F570E">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9B67DA">
        <w:rPr>
          <w:rFonts w:ascii="Simplified Arabic" w:eastAsia="Times New Roman" w:hAnsi="Simplified Arabic" w:cs="Simplified Arabic"/>
          <w:color w:val="000000" w:themeColor="text1"/>
          <w:kern w:val="0"/>
          <w:sz w:val="28"/>
          <w:szCs w:val="28"/>
          <w:rtl/>
          <w14:ligatures w14:val="none"/>
        </w:rPr>
        <w:t>ثانياً: المصادر الأولية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وستُجمَع البيانات الأولية من خلال تصميم استبانة إلكترونية وورقية تُوزَّع على أفراد عينة الدراسة، يتم بناؤها بالاستناد إلى الأدبيات النظرية والدراسات السابقة بما يتلاءم مع طبيعة الدراسة الحالية وأهدافها</w:t>
      </w:r>
      <w:r w:rsidRPr="009B67DA">
        <w:rPr>
          <w:rFonts w:ascii="Simplified Arabic" w:eastAsia="Times New Roman" w:hAnsi="Simplified Arabic" w:cs="Simplified Arabic"/>
          <w:color w:val="000000" w:themeColor="text1"/>
          <w:kern w:val="0"/>
          <w:sz w:val="28"/>
          <w:szCs w:val="28"/>
          <w14:ligatures w14:val="none"/>
        </w:rPr>
        <w:t>.</w:t>
      </w:r>
    </w:p>
    <w:p w14:paraId="7FCF57F1" w14:textId="7B593D75"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990059"/>
      <w:r w:rsidRPr="009B67DA">
        <w:rPr>
          <w:rFonts w:ascii="Simplified Arabic" w:eastAsia="Times New Roman" w:hAnsi="Simplified Arabic" w:cs="Simplified Arabic"/>
          <w:b/>
          <w:bCs/>
          <w:color w:val="000000" w:themeColor="text1"/>
          <w:kern w:val="0"/>
          <w:sz w:val="36"/>
          <w:szCs w:val="36"/>
          <w:rtl/>
          <w14:ligatures w14:val="none"/>
        </w:rPr>
        <w:t>13.1 أداة الدراسة</w:t>
      </w:r>
      <w:bookmarkEnd w:id="18"/>
    </w:p>
    <w:p w14:paraId="0ABF983A"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ستعتمد الدراسة على الاستبانة أداةً رئيسية لجمع البيانات الأولية، وستُصمَّم بالاستناد إلى المقاييس المعتمدة في الدراسات السابقة، وستتكوّن من ثلاثة أقسام رئيسية على النحو الآتي</w:t>
      </w:r>
      <w:r w:rsidRPr="009B67DA">
        <w:rPr>
          <w:rFonts w:ascii="Simplified Arabic" w:eastAsia="Times New Roman" w:hAnsi="Simplified Arabic" w:cs="Simplified Arabic"/>
          <w:color w:val="000000" w:themeColor="text1"/>
          <w:kern w:val="0"/>
          <w:sz w:val="28"/>
          <w:szCs w:val="28"/>
          <w14:ligatures w14:val="none"/>
        </w:rPr>
        <w:t>:</w:t>
      </w:r>
    </w:p>
    <w:p w14:paraId="733FA576"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القسم الأول</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البيانات الديموغرافية لأفراد عينة الدراسة، وتشمل (الجنس، العمر، المؤهل العلمي، سنوات الخبرة، المسمى الوظيفي)</w:t>
      </w:r>
      <w:r w:rsidRPr="009B67DA">
        <w:rPr>
          <w:rFonts w:ascii="Simplified Arabic" w:eastAsia="Times New Roman" w:hAnsi="Simplified Arabic" w:cs="Simplified Arabic"/>
          <w:color w:val="000000" w:themeColor="text1"/>
          <w:kern w:val="0"/>
          <w:sz w:val="28"/>
          <w:szCs w:val="28"/>
          <w14:ligatures w14:val="none"/>
        </w:rPr>
        <w:t>.</w:t>
      </w:r>
    </w:p>
    <w:p w14:paraId="6BBB8924"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القسم الثاني</w:t>
      </w:r>
      <w:r w:rsidRPr="009B67DA">
        <w:rPr>
          <w:rFonts w:ascii="Simplified Arabic" w:eastAsia="Times New Roman" w:hAnsi="Simplified Arabic" w:cs="Simplified Arabic"/>
          <w:b/>
          <w:bCs/>
          <w:color w:val="000000" w:themeColor="text1"/>
          <w:kern w:val="0"/>
          <w:sz w:val="28"/>
          <w:szCs w:val="28"/>
          <w14:ligatures w14:val="none"/>
        </w:rPr>
        <w:t xml:space="preserve">: </w:t>
      </w:r>
      <w:r w:rsidRPr="009B67DA">
        <w:rPr>
          <w:rFonts w:ascii="Simplified Arabic" w:eastAsia="Times New Roman" w:hAnsi="Simplified Arabic" w:cs="Simplified Arabic"/>
          <w:b/>
          <w:bCs/>
          <w:color w:val="000000" w:themeColor="text1"/>
          <w:kern w:val="0"/>
          <w:sz w:val="28"/>
          <w:szCs w:val="28"/>
          <w:rtl/>
          <w14:ligatures w14:val="none"/>
        </w:rPr>
        <w:t>فقرات قياس المتغير المستقل (التحول الرقمي) بأبعاده الأربعة، وذلك على النحو الآتي</w:t>
      </w:r>
      <w:r w:rsidRPr="009B67DA">
        <w:rPr>
          <w:rFonts w:ascii="Simplified Arabic" w:eastAsia="Times New Roman" w:hAnsi="Simplified Arabic" w:cs="Simplified Arabic"/>
          <w:b/>
          <w:bCs/>
          <w:color w:val="000000" w:themeColor="text1"/>
          <w:kern w:val="0"/>
          <w:sz w:val="28"/>
          <w:szCs w:val="28"/>
          <w14:ligatures w14:val="none"/>
        </w:rPr>
        <w:t>:</w:t>
      </w:r>
    </w:p>
    <w:p w14:paraId="14890BDD" w14:textId="77777777" w:rsidR="000532DF" w:rsidRPr="009B67DA" w:rsidRDefault="000532DF" w:rsidP="003F570E">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الأول: البنية التحتية الرقمية، ويُقاس بـ (4) فقرات</w:t>
      </w:r>
      <w:r w:rsidRPr="009B67DA">
        <w:rPr>
          <w:rFonts w:ascii="Simplified Arabic" w:eastAsia="Times New Roman" w:hAnsi="Simplified Arabic" w:cs="Simplified Arabic"/>
          <w:color w:val="000000" w:themeColor="text1"/>
          <w:kern w:val="0"/>
          <w:sz w:val="28"/>
          <w:szCs w:val="28"/>
          <w14:ligatures w14:val="none"/>
        </w:rPr>
        <w:t>.</w:t>
      </w:r>
    </w:p>
    <w:p w14:paraId="6898D268" w14:textId="77777777" w:rsidR="000532DF" w:rsidRPr="009B67DA" w:rsidRDefault="000532DF" w:rsidP="003F570E">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الثاني: التكنولوجيا الرقمية، ويُقاس بـ (4) فقرات</w:t>
      </w:r>
      <w:r w:rsidRPr="009B67DA">
        <w:rPr>
          <w:rFonts w:ascii="Simplified Arabic" w:eastAsia="Times New Roman" w:hAnsi="Simplified Arabic" w:cs="Simplified Arabic"/>
          <w:color w:val="000000" w:themeColor="text1"/>
          <w:kern w:val="0"/>
          <w:sz w:val="28"/>
          <w:szCs w:val="28"/>
          <w14:ligatures w14:val="none"/>
        </w:rPr>
        <w:t>.</w:t>
      </w:r>
    </w:p>
    <w:p w14:paraId="49CCD7AB" w14:textId="77777777" w:rsidR="000532DF" w:rsidRPr="009B67DA" w:rsidRDefault="000532DF" w:rsidP="003F570E">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الثالث: الثقافة الرقمية، ويُقاس بـ (4) فقرات</w:t>
      </w:r>
      <w:r w:rsidRPr="009B67DA">
        <w:rPr>
          <w:rFonts w:ascii="Simplified Arabic" w:eastAsia="Times New Roman" w:hAnsi="Simplified Arabic" w:cs="Simplified Arabic"/>
          <w:color w:val="000000" w:themeColor="text1"/>
          <w:kern w:val="0"/>
          <w:sz w:val="28"/>
          <w:szCs w:val="28"/>
          <w14:ligatures w14:val="none"/>
        </w:rPr>
        <w:t>.</w:t>
      </w:r>
    </w:p>
    <w:p w14:paraId="41898BDF" w14:textId="3363C035" w:rsidR="000532DF" w:rsidRPr="009B67DA" w:rsidRDefault="000532DF" w:rsidP="003F570E">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الرابع: المهارات الرقمية، ويُقاس بـ (4) فقرات</w:t>
      </w:r>
      <w:r w:rsidRPr="009B67DA">
        <w:rPr>
          <w:rFonts w:ascii="Simplified Arabic" w:eastAsia="Times New Roman" w:hAnsi="Simplified Arabic" w:cs="Simplified Arabic"/>
          <w:color w:val="000000" w:themeColor="text1"/>
          <w:kern w:val="0"/>
          <w:sz w:val="28"/>
          <w:szCs w:val="28"/>
          <w14:ligatures w14:val="none"/>
        </w:rPr>
        <w:t>.</w:t>
      </w:r>
      <w:r w:rsidR="003F570E" w:rsidRPr="009B67DA">
        <w:rPr>
          <w:rFonts w:ascii="Simplified Arabic" w:eastAsia="Times New Roman" w:hAnsi="Simplified Arabic" w:cs="Simplified Arabic" w:hint="cs"/>
          <w:color w:val="000000" w:themeColor="text1"/>
          <w:kern w:val="0"/>
          <w:sz w:val="28"/>
          <w:szCs w:val="28"/>
          <w:rtl/>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وبذلك يبلغ إجمالي عدد فقرات المتغير المستقل (16) فقرة</w:t>
      </w:r>
      <w:r w:rsidRPr="009B67DA">
        <w:rPr>
          <w:rFonts w:ascii="Simplified Arabic" w:eastAsia="Times New Roman" w:hAnsi="Simplified Arabic" w:cs="Simplified Arabic"/>
          <w:color w:val="000000" w:themeColor="text1"/>
          <w:kern w:val="0"/>
          <w:sz w:val="28"/>
          <w:szCs w:val="28"/>
          <w14:ligatures w14:val="none"/>
        </w:rPr>
        <w:t>.</w:t>
      </w:r>
    </w:p>
    <w:p w14:paraId="54C7B504"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القسم الثالث</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فقرات قياس المتغير التابع (إدارة المخاطر) بوصفه متغيراً أحادي المحور، ويُقاس بـ (10) فقرات</w:t>
      </w:r>
      <w:r w:rsidRPr="009B67DA">
        <w:rPr>
          <w:rFonts w:ascii="Simplified Arabic" w:eastAsia="Times New Roman" w:hAnsi="Simplified Arabic" w:cs="Simplified Arabic"/>
          <w:color w:val="000000" w:themeColor="text1"/>
          <w:kern w:val="0"/>
          <w:sz w:val="28"/>
          <w:szCs w:val="28"/>
          <w14:ligatures w14:val="none"/>
        </w:rPr>
        <w:t>.</w:t>
      </w:r>
    </w:p>
    <w:p w14:paraId="0C782D7A" w14:textId="34D3CD8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w:t>
      </w:r>
      <w:r w:rsidRPr="009B67DA">
        <w:rPr>
          <w:rFonts w:ascii="Simplified Arabic" w:eastAsia="Times New Roman" w:hAnsi="Simplified Arabic" w:cs="Simplified Arabic"/>
          <w:color w:val="000000" w:themeColor="text1"/>
          <w:kern w:val="0"/>
          <w:sz w:val="28"/>
          <w:szCs w:val="28"/>
          <w14:ligatures w14:val="none"/>
        </w:rPr>
        <w:t xml:space="preserve"> (26) </w:t>
      </w:r>
      <w:r w:rsidRPr="009B67DA">
        <w:rPr>
          <w:rFonts w:ascii="Simplified Arabic" w:eastAsia="Times New Roman" w:hAnsi="Simplified Arabic" w:cs="Simplified Arabic"/>
          <w:color w:val="000000" w:themeColor="text1"/>
          <w:kern w:val="0"/>
          <w:sz w:val="28"/>
          <w:szCs w:val="28"/>
          <w:rtl/>
          <w14:ligatures w14:val="none"/>
        </w:rPr>
        <w:t xml:space="preserve">فقرة، وسيُستخدَم مقياس </w:t>
      </w:r>
      <w:proofErr w:type="spellStart"/>
      <w:r w:rsidRPr="009B67DA">
        <w:rPr>
          <w:rFonts w:ascii="Simplified Arabic" w:eastAsia="Times New Roman" w:hAnsi="Simplified Arabic" w:cs="Simplified Arabic"/>
          <w:color w:val="000000" w:themeColor="text1"/>
          <w:kern w:val="0"/>
          <w:sz w:val="28"/>
          <w:szCs w:val="28"/>
          <w:rtl/>
          <w14:ligatures w14:val="none"/>
        </w:rPr>
        <w:t>ليكرت</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الخماسي</w:t>
      </w:r>
      <w:r w:rsidRPr="009B67DA">
        <w:rPr>
          <w:rFonts w:ascii="Simplified Arabic" w:eastAsia="Times New Roman" w:hAnsi="Simplified Arabic" w:cs="Simplified Arabic"/>
          <w:color w:val="000000" w:themeColor="text1"/>
          <w:kern w:val="0"/>
          <w:sz w:val="28"/>
          <w:szCs w:val="28"/>
          <w14:ligatures w14:val="none"/>
        </w:rPr>
        <w:t xml:space="preserve"> (Likert Scale) </w:t>
      </w:r>
      <w:r w:rsidRPr="009B67DA">
        <w:rPr>
          <w:rFonts w:ascii="Simplified Arabic" w:eastAsia="Times New Roman" w:hAnsi="Simplified Arabic" w:cs="Simplified Arabic"/>
          <w:color w:val="000000" w:themeColor="text1"/>
          <w:kern w:val="0"/>
          <w:sz w:val="28"/>
          <w:szCs w:val="28"/>
          <w:rtl/>
          <w14:ligatures w14:val="none"/>
        </w:rPr>
        <w:t>لقياس استجابات أفراد العينة، وفقاً للتدرّج الآتي: (موافق بشدة = 5، موافق = 4، محايد</w:t>
      </w:r>
      <w:r w:rsidRPr="009B67DA">
        <w:rPr>
          <w:rFonts w:ascii="Simplified Arabic" w:eastAsia="Times New Roman" w:hAnsi="Simplified Arabic" w:cs="Simplified Arabic"/>
          <w:color w:val="000000" w:themeColor="text1"/>
          <w:kern w:val="0"/>
          <w:sz w:val="28"/>
          <w:szCs w:val="28"/>
          <w14:ligatures w14:val="none"/>
        </w:rPr>
        <w:t xml:space="preserve"> = 3</w:t>
      </w:r>
      <w:r w:rsidRPr="009B67DA">
        <w:rPr>
          <w:rFonts w:ascii="Simplified Arabic" w:eastAsia="Times New Roman" w:hAnsi="Simplified Arabic" w:cs="Simplified Arabic"/>
          <w:color w:val="000000" w:themeColor="text1"/>
          <w:kern w:val="0"/>
          <w:sz w:val="28"/>
          <w:szCs w:val="28"/>
          <w:rtl/>
          <w14:ligatures w14:val="none"/>
        </w:rPr>
        <w:t>، غير موافق = 2، غير موافق بشدة = 1)</w:t>
      </w:r>
    </w:p>
    <w:p w14:paraId="5DCBE173" w14:textId="49E4CC83"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990060"/>
      <w:r w:rsidRPr="009B67DA">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19"/>
    </w:p>
    <w:p w14:paraId="6F1156C3" w14:textId="77777777" w:rsidR="000532DF" w:rsidRPr="009B67DA" w:rsidRDefault="000532DF"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ستُحلَّل البيانات التي يتم جمعها من خلال برنامج الحزمة الإحصائية للعلوم الاجتماعية</w:t>
      </w:r>
      <w:r w:rsidRPr="009B67DA">
        <w:rPr>
          <w:rFonts w:ascii="Simplified Arabic" w:eastAsia="Times New Roman" w:hAnsi="Simplified Arabic" w:cs="Simplified Arabic"/>
          <w:color w:val="000000" w:themeColor="text1"/>
          <w:kern w:val="0"/>
          <w:sz w:val="28"/>
          <w:szCs w:val="28"/>
          <w14:ligatures w14:val="none"/>
        </w:rPr>
        <w:t xml:space="preserve"> (SPSS)</w:t>
      </w:r>
      <w:r w:rsidRPr="009B67DA">
        <w:rPr>
          <w:rFonts w:ascii="Simplified Arabic" w:eastAsia="Times New Roman" w:hAnsi="Simplified Arabic" w:cs="Simplified Arabic"/>
          <w:color w:val="000000" w:themeColor="text1"/>
          <w:kern w:val="0"/>
          <w:sz w:val="28"/>
          <w:szCs w:val="28"/>
          <w:rtl/>
          <w14:ligatures w14:val="none"/>
        </w:rPr>
        <w:t>، وذلك باستخدام مجموعة من الأساليب الإحصائية المناسبة لطبيعة الدراسة وفروضها، وتتمثل فيما يلي</w:t>
      </w:r>
      <w:r w:rsidRPr="009B67DA">
        <w:rPr>
          <w:rFonts w:ascii="Simplified Arabic" w:eastAsia="Times New Roman" w:hAnsi="Simplified Arabic" w:cs="Simplified Arabic"/>
          <w:color w:val="000000" w:themeColor="text1"/>
          <w:kern w:val="0"/>
          <w:sz w:val="28"/>
          <w:szCs w:val="28"/>
          <w14:ligatures w14:val="none"/>
        </w:rPr>
        <w:t>:</w:t>
      </w:r>
    </w:p>
    <w:p w14:paraId="073A5E18"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مقاييس الإحصاء الوصفي: التكرارات والنسب المئوية والمتوسطات الحسابية والانحرافات المعيارية لوصف خصائص عينة الدراسة وتحديد مستوى متغيراتها</w:t>
      </w:r>
      <w:r w:rsidRPr="009B67DA">
        <w:rPr>
          <w:rFonts w:ascii="Simplified Arabic" w:eastAsia="Times New Roman" w:hAnsi="Simplified Arabic" w:cs="Simplified Arabic"/>
          <w:color w:val="000000" w:themeColor="text1"/>
          <w:kern w:val="0"/>
          <w:sz w:val="28"/>
          <w:szCs w:val="28"/>
          <w14:ligatures w14:val="none"/>
        </w:rPr>
        <w:t>.</w:t>
      </w:r>
    </w:p>
    <w:p w14:paraId="65387DE2"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اختبار ألفا </w:t>
      </w:r>
      <w:proofErr w:type="spellStart"/>
      <w:r w:rsidRPr="009B67DA">
        <w:rPr>
          <w:rFonts w:ascii="Simplified Arabic" w:eastAsia="Times New Roman" w:hAnsi="Simplified Arabic" w:cs="Simplified Arabic"/>
          <w:color w:val="000000" w:themeColor="text1"/>
          <w:kern w:val="0"/>
          <w:sz w:val="28"/>
          <w:szCs w:val="28"/>
          <w:rtl/>
          <w14:ligatures w14:val="none"/>
        </w:rPr>
        <w:t>كرونباخ</w:t>
      </w:r>
      <w:proofErr w:type="spellEnd"/>
      <w:r w:rsidRPr="009B67DA">
        <w:rPr>
          <w:rFonts w:ascii="Simplified Arabic" w:eastAsia="Times New Roman" w:hAnsi="Simplified Arabic" w:cs="Simplified Arabic"/>
          <w:color w:val="000000" w:themeColor="text1"/>
          <w:kern w:val="0"/>
          <w:sz w:val="28"/>
          <w:szCs w:val="28"/>
          <w14:ligatures w14:val="none"/>
        </w:rPr>
        <w:t xml:space="preserve"> (Cronbach's Alpha) </w:t>
      </w:r>
      <w:r w:rsidRPr="009B67DA">
        <w:rPr>
          <w:rFonts w:ascii="Simplified Arabic" w:eastAsia="Times New Roman" w:hAnsi="Simplified Arabic" w:cs="Simplified Arabic"/>
          <w:color w:val="000000" w:themeColor="text1"/>
          <w:kern w:val="0"/>
          <w:sz w:val="28"/>
          <w:szCs w:val="28"/>
          <w:rtl/>
          <w14:ligatures w14:val="none"/>
        </w:rPr>
        <w:t>لقياس ثبات أداة الدراسة (الاستبانة)</w:t>
      </w:r>
      <w:r w:rsidRPr="009B67DA">
        <w:rPr>
          <w:rFonts w:ascii="Simplified Arabic" w:eastAsia="Times New Roman" w:hAnsi="Simplified Arabic" w:cs="Simplified Arabic"/>
          <w:color w:val="000000" w:themeColor="text1"/>
          <w:kern w:val="0"/>
          <w:sz w:val="28"/>
          <w:szCs w:val="28"/>
          <w14:ligatures w14:val="none"/>
        </w:rPr>
        <w:t>.</w:t>
      </w:r>
    </w:p>
    <w:p w14:paraId="434225A9"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اختبار التوزيع الطبيعي للبيانات باستخدام اختبار</w:t>
      </w:r>
      <w:r w:rsidRPr="009B67DA">
        <w:rPr>
          <w:rFonts w:ascii="Simplified Arabic" w:eastAsia="Times New Roman" w:hAnsi="Simplified Arabic" w:cs="Simplified Arabic"/>
          <w:color w:val="000000" w:themeColor="text1"/>
          <w:kern w:val="0"/>
          <w:sz w:val="28"/>
          <w:szCs w:val="28"/>
          <w14:ligatures w14:val="none"/>
        </w:rPr>
        <w:t xml:space="preserve"> (Kolmogorov-Smirnov).</w:t>
      </w:r>
    </w:p>
    <w:p w14:paraId="5BABA713"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اختبار معامل ارتباط بيرسون</w:t>
      </w:r>
      <w:r w:rsidRPr="009B67DA">
        <w:rPr>
          <w:rFonts w:ascii="Simplified Arabic" w:eastAsia="Times New Roman" w:hAnsi="Simplified Arabic" w:cs="Simplified Arabic"/>
          <w:color w:val="000000" w:themeColor="text1"/>
          <w:kern w:val="0"/>
          <w:sz w:val="28"/>
          <w:szCs w:val="28"/>
          <w14:ligatures w14:val="none"/>
        </w:rPr>
        <w:t xml:space="preserve"> (Pearson Correlation) </w:t>
      </w:r>
      <w:r w:rsidRPr="009B67DA">
        <w:rPr>
          <w:rFonts w:ascii="Simplified Arabic" w:eastAsia="Times New Roman" w:hAnsi="Simplified Arabic" w:cs="Simplified Arabic"/>
          <w:color w:val="000000" w:themeColor="text1"/>
          <w:kern w:val="0"/>
          <w:sz w:val="28"/>
          <w:szCs w:val="28"/>
          <w:rtl/>
          <w14:ligatures w14:val="none"/>
        </w:rPr>
        <w:t>لقياس العلاقة بين متغيرات الدراسة وللتحقق من الصدق البنائي للأداة</w:t>
      </w:r>
      <w:r w:rsidRPr="009B67DA">
        <w:rPr>
          <w:rFonts w:ascii="Simplified Arabic" w:eastAsia="Times New Roman" w:hAnsi="Simplified Arabic" w:cs="Simplified Arabic"/>
          <w:color w:val="000000" w:themeColor="text1"/>
          <w:kern w:val="0"/>
          <w:sz w:val="28"/>
          <w:szCs w:val="28"/>
          <w14:ligatures w14:val="none"/>
        </w:rPr>
        <w:t>.</w:t>
      </w:r>
    </w:p>
    <w:p w14:paraId="63356635"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اختبار تضخم التباين</w:t>
      </w:r>
      <w:r w:rsidRPr="009B67DA">
        <w:rPr>
          <w:rFonts w:ascii="Simplified Arabic" w:eastAsia="Times New Roman" w:hAnsi="Simplified Arabic" w:cs="Simplified Arabic"/>
          <w:color w:val="000000" w:themeColor="text1"/>
          <w:kern w:val="0"/>
          <w:sz w:val="28"/>
          <w:szCs w:val="28"/>
          <w14:ligatures w14:val="none"/>
        </w:rPr>
        <w:t xml:space="preserve"> (VIF) </w:t>
      </w:r>
      <w:r w:rsidRPr="009B67DA">
        <w:rPr>
          <w:rFonts w:ascii="Simplified Arabic" w:eastAsia="Times New Roman" w:hAnsi="Simplified Arabic" w:cs="Simplified Arabic"/>
          <w:color w:val="000000" w:themeColor="text1"/>
          <w:kern w:val="0"/>
          <w:sz w:val="28"/>
          <w:szCs w:val="28"/>
          <w:rtl/>
          <w14:ligatures w14:val="none"/>
        </w:rPr>
        <w:t>واختبار التباين المسموح به</w:t>
      </w:r>
      <w:r w:rsidRPr="009B67DA">
        <w:rPr>
          <w:rFonts w:ascii="Simplified Arabic" w:eastAsia="Times New Roman" w:hAnsi="Simplified Arabic" w:cs="Simplified Arabic"/>
          <w:color w:val="000000" w:themeColor="text1"/>
          <w:kern w:val="0"/>
          <w:sz w:val="28"/>
          <w:szCs w:val="28"/>
          <w14:ligatures w14:val="none"/>
        </w:rPr>
        <w:t xml:space="preserve"> (Tolerance) </w:t>
      </w:r>
      <w:r w:rsidRPr="009B67DA">
        <w:rPr>
          <w:rFonts w:ascii="Simplified Arabic" w:eastAsia="Times New Roman" w:hAnsi="Simplified Arabic" w:cs="Simplified Arabic"/>
          <w:color w:val="000000" w:themeColor="text1"/>
          <w:kern w:val="0"/>
          <w:sz w:val="28"/>
          <w:szCs w:val="28"/>
          <w:rtl/>
          <w14:ligatures w14:val="none"/>
        </w:rPr>
        <w:t>للتأكد من عدم وجود ارتباط ذاتي بين المتغيرات المستقلة</w:t>
      </w:r>
      <w:r w:rsidRPr="009B67DA">
        <w:rPr>
          <w:rFonts w:ascii="Simplified Arabic" w:eastAsia="Times New Roman" w:hAnsi="Simplified Arabic" w:cs="Simplified Arabic"/>
          <w:color w:val="000000" w:themeColor="text1"/>
          <w:kern w:val="0"/>
          <w:sz w:val="28"/>
          <w:szCs w:val="28"/>
          <w14:ligatures w14:val="none"/>
        </w:rPr>
        <w:t>.</w:t>
      </w:r>
    </w:p>
    <w:p w14:paraId="129EE516"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تحليل الانحدار الخطي البسيط والمتعدد </w:t>
      </w:r>
      <w:r w:rsidRPr="009B67DA">
        <w:rPr>
          <w:rFonts w:ascii="Simplified Arabic" w:eastAsia="Times New Roman" w:hAnsi="Simplified Arabic" w:cs="Simplified Arabic"/>
          <w:color w:val="000000" w:themeColor="text1"/>
          <w:kern w:val="0"/>
          <w:sz w:val="28"/>
          <w:szCs w:val="28"/>
          <w14:ligatures w14:val="none"/>
        </w:rPr>
        <w:t xml:space="preserve">(Simple &amp; Multiple Linear Regression) </w:t>
      </w:r>
      <w:r w:rsidRPr="009B67DA">
        <w:rPr>
          <w:rFonts w:ascii="Simplified Arabic" w:eastAsia="Times New Roman" w:hAnsi="Simplified Arabic" w:cs="Simplified Arabic"/>
          <w:color w:val="000000" w:themeColor="text1"/>
          <w:kern w:val="0"/>
          <w:sz w:val="28"/>
          <w:szCs w:val="28"/>
          <w:rtl/>
          <w14:ligatures w14:val="none"/>
        </w:rPr>
        <w:t>لاختبار فروض الدراسة المتعلقة بأثر المتغير المستقل بأبعاده على المتغير التابع</w:t>
      </w:r>
      <w:r w:rsidRPr="009B67DA">
        <w:rPr>
          <w:rFonts w:ascii="Simplified Arabic" w:eastAsia="Times New Roman" w:hAnsi="Simplified Arabic" w:cs="Simplified Arabic"/>
          <w:color w:val="000000" w:themeColor="text1"/>
          <w:kern w:val="0"/>
          <w:sz w:val="28"/>
          <w:szCs w:val="28"/>
          <w14:ligatures w14:val="none"/>
        </w:rPr>
        <w:t>.</w:t>
      </w:r>
    </w:p>
    <w:p w14:paraId="74C72AB2" w14:textId="77777777" w:rsidR="000532DF" w:rsidRPr="009B67DA" w:rsidRDefault="000532DF" w:rsidP="003F570E">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اختبار</w:t>
      </w:r>
      <w:r w:rsidRPr="009B67DA">
        <w:rPr>
          <w:rFonts w:ascii="Simplified Arabic" w:eastAsia="Times New Roman" w:hAnsi="Simplified Arabic" w:cs="Simplified Arabic"/>
          <w:color w:val="000000" w:themeColor="text1"/>
          <w:kern w:val="0"/>
          <w:sz w:val="28"/>
          <w:szCs w:val="28"/>
          <w14:ligatures w14:val="none"/>
        </w:rPr>
        <w:t xml:space="preserve"> (T-Test) </w:t>
      </w:r>
      <w:r w:rsidRPr="009B67DA">
        <w:rPr>
          <w:rFonts w:ascii="Simplified Arabic" w:eastAsia="Times New Roman" w:hAnsi="Simplified Arabic" w:cs="Simplified Arabic"/>
          <w:color w:val="000000" w:themeColor="text1"/>
          <w:kern w:val="0"/>
          <w:sz w:val="28"/>
          <w:szCs w:val="28"/>
          <w:rtl/>
          <w14:ligatures w14:val="none"/>
        </w:rPr>
        <w:t>واختبار تحليل التباين الأحادي</w:t>
      </w:r>
      <w:r w:rsidRPr="009B67DA">
        <w:rPr>
          <w:rFonts w:ascii="Simplified Arabic" w:eastAsia="Times New Roman" w:hAnsi="Simplified Arabic" w:cs="Simplified Arabic"/>
          <w:color w:val="000000" w:themeColor="text1"/>
          <w:kern w:val="0"/>
          <w:sz w:val="28"/>
          <w:szCs w:val="28"/>
          <w14:ligatures w14:val="none"/>
        </w:rPr>
        <w:t xml:space="preserve"> (One-Way ANOVA) </w:t>
      </w:r>
      <w:r w:rsidRPr="009B67DA">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تبعاً للمتغيرات الديموغرافية</w:t>
      </w:r>
      <w:r w:rsidRPr="009B67DA">
        <w:rPr>
          <w:rFonts w:ascii="Simplified Arabic" w:eastAsia="Times New Roman" w:hAnsi="Simplified Arabic" w:cs="Simplified Arabic"/>
          <w:color w:val="000000" w:themeColor="text1"/>
          <w:kern w:val="0"/>
          <w:sz w:val="28"/>
          <w:szCs w:val="28"/>
          <w14:ligatures w14:val="none"/>
        </w:rPr>
        <w:t>.</w:t>
      </w:r>
    </w:p>
    <w:p w14:paraId="6DFF4314" w14:textId="6482F79B" w:rsidR="003F570E" w:rsidRPr="009B67DA" w:rsidRDefault="003F570E" w:rsidP="003F570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990061"/>
      <w:r w:rsidRPr="009B67DA">
        <w:rPr>
          <w:rFonts w:ascii="Simplified Arabic" w:eastAsia="Times New Roman" w:hAnsi="Simplified Arabic" w:cs="Simplified Arabic"/>
          <w:b/>
          <w:bCs/>
          <w:color w:val="000000" w:themeColor="text1"/>
          <w:kern w:val="0"/>
          <w:sz w:val="36"/>
          <w:szCs w:val="36"/>
          <w:rtl/>
          <w14:ligatures w14:val="none"/>
        </w:rPr>
        <w:t>15.1 حدود الدراسة</w:t>
      </w:r>
      <w:bookmarkEnd w:id="20"/>
    </w:p>
    <w:p w14:paraId="50E5AE33" w14:textId="77777777" w:rsidR="000532DF" w:rsidRPr="009B67DA" w:rsidRDefault="000532DF" w:rsidP="003F57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B67DA">
        <w:rPr>
          <w:rFonts w:ascii="Simplified Arabic" w:eastAsia="Times New Roman" w:hAnsi="Simplified Arabic" w:cs="Simplified Arabic"/>
          <w:b/>
          <w:bCs/>
          <w:color w:val="000000" w:themeColor="text1"/>
          <w:kern w:val="0"/>
          <w:sz w:val="28"/>
          <w:szCs w:val="28"/>
          <w:rtl/>
          <w14:ligatures w14:val="none"/>
        </w:rPr>
        <w:t>ستلتزم الدراسة الحالية بالحدود الآتية</w:t>
      </w:r>
      <w:r w:rsidRPr="009B67DA">
        <w:rPr>
          <w:rFonts w:ascii="Simplified Arabic" w:eastAsia="Times New Roman" w:hAnsi="Simplified Arabic" w:cs="Simplified Arabic"/>
          <w:b/>
          <w:bCs/>
          <w:color w:val="000000" w:themeColor="text1"/>
          <w:kern w:val="0"/>
          <w:sz w:val="28"/>
          <w:szCs w:val="28"/>
          <w14:ligatures w14:val="none"/>
        </w:rPr>
        <w:t>:</w:t>
      </w:r>
    </w:p>
    <w:p w14:paraId="1658CB26" w14:textId="77777777" w:rsidR="000532DF" w:rsidRPr="009B67DA" w:rsidRDefault="000532DF" w:rsidP="003F570E">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الحدود الموضوعية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ستقتصر الدراسة على بحث أثر التحول الرقمي بأبعاده (البنية التحتية الرقمية، التكنولوجيا الرقمية، الثقافة الرقمية، المهارات الرقمية) بوصفه متغيراً مستقلاً، على إدارة المخاطر بوصفها متغيراً تابعاً</w:t>
      </w:r>
      <w:r w:rsidRPr="009B67DA">
        <w:rPr>
          <w:rFonts w:ascii="Simplified Arabic" w:eastAsia="Times New Roman" w:hAnsi="Simplified Arabic" w:cs="Simplified Arabic"/>
          <w:color w:val="000000" w:themeColor="text1"/>
          <w:kern w:val="0"/>
          <w:sz w:val="28"/>
          <w:szCs w:val="28"/>
          <w14:ligatures w14:val="none"/>
        </w:rPr>
        <w:t>.</w:t>
      </w:r>
    </w:p>
    <w:p w14:paraId="67762481" w14:textId="29C16F33" w:rsidR="000532DF" w:rsidRPr="009B67DA" w:rsidRDefault="000532DF" w:rsidP="003F570E">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الحدود البشرية</w:t>
      </w:r>
      <w:r w:rsidRPr="009B67DA">
        <w:rPr>
          <w:rFonts w:ascii="Simplified Arabic" w:eastAsia="Times New Roman" w:hAnsi="Simplified Arabic" w:cs="Simplified Arabic"/>
          <w:color w:val="000000" w:themeColor="text1"/>
          <w:kern w:val="0"/>
          <w:sz w:val="28"/>
          <w:szCs w:val="28"/>
          <w14:ligatures w14:val="none"/>
        </w:rPr>
        <w:t xml:space="preserve">: </w:t>
      </w:r>
      <w:r w:rsidR="00BD4F44" w:rsidRPr="009B67DA">
        <w:rPr>
          <w:rFonts w:ascii="Simplified Arabic" w:eastAsia="Times New Roman" w:hAnsi="Simplified Arabic" w:cs="Simplified Arabic"/>
          <w:color w:val="000000" w:themeColor="text1"/>
          <w:kern w:val="0"/>
          <w:sz w:val="28"/>
          <w:szCs w:val="28"/>
          <w:rtl/>
          <w14:ligatures w14:val="none"/>
        </w:rPr>
        <w:t xml:space="preserve">ستقتصر الدراسة على العاملين في الشركات اللوجستية محل الدراسة في وظائف الإدارة العليا والوسطى </w:t>
      </w:r>
      <w:proofErr w:type="spellStart"/>
      <w:r w:rsidR="00BD4F44" w:rsidRPr="009B67DA">
        <w:rPr>
          <w:rFonts w:ascii="Simplified Arabic" w:eastAsia="Times New Roman" w:hAnsi="Simplified Arabic" w:cs="Simplified Arabic"/>
          <w:color w:val="000000" w:themeColor="text1"/>
          <w:kern w:val="0"/>
          <w:sz w:val="28"/>
          <w:szCs w:val="28"/>
          <w:rtl/>
          <w14:ligatures w14:val="none"/>
        </w:rPr>
        <w:t>والإشرافية</w:t>
      </w:r>
      <w:proofErr w:type="spellEnd"/>
      <w:r w:rsidR="00BD4F44" w:rsidRPr="009B67DA">
        <w:rPr>
          <w:rFonts w:ascii="Simplified Arabic" w:eastAsia="Times New Roman" w:hAnsi="Simplified Arabic" w:cs="Simplified Arabic"/>
          <w:color w:val="000000" w:themeColor="text1"/>
          <w:kern w:val="0"/>
          <w:sz w:val="28"/>
          <w:szCs w:val="28"/>
          <w:rtl/>
          <w14:ligatures w14:val="none"/>
        </w:rPr>
        <w:t xml:space="preserve"> ممن لهم صلة مباشرة بتطبيقات التحول الرقمي وإدارة مخاطر سلاسل الإمداد</w:t>
      </w:r>
      <w:r w:rsidRPr="009B67DA">
        <w:rPr>
          <w:rFonts w:ascii="Simplified Arabic" w:eastAsia="Times New Roman" w:hAnsi="Simplified Arabic" w:cs="Simplified Arabic"/>
          <w:color w:val="000000" w:themeColor="text1"/>
          <w:kern w:val="0"/>
          <w:sz w:val="28"/>
          <w:szCs w:val="28"/>
          <w14:ligatures w14:val="none"/>
        </w:rPr>
        <w:t>.</w:t>
      </w:r>
    </w:p>
    <w:p w14:paraId="3A634F71" w14:textId="543AA63A" w:rsidR="000532DF" w:rsidRPr="009B67DA" w:rsidRDefault="000532DF" w:rsidP="003F570E">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الحدود المكانية</w:t>
      </w:r>
      <w:r w:rsidRPr="009B67DA">
        <w:rPr>
          <w:rFonts w:ascii="Simplified Arabic" w:eastAsia="Times New Roman" w:hAnsi="Simplified Arabic" w:cs="Simplified Arabic"/>
          <w:color w:val="000000" w:themeColor="text1"/>
          <w:kern w:val="0"/>
          <w:sz w:val="28"/>
          <w:szCs w:val="28"/>
          <w14:ligatures w14:val="none"/>
        </w:rPr>
        <w:t xml:space="preserve">: </w:t>
      </w:r>
      <w:r w:rsidR="00BD4F44" w:rsidRPr="009B67DA">
        <w:rPr>
          <w:rFonts w:ascii="Simplified Arabic" w:eastAsia="Times New Roman" w:hAnsi="Simplified Arabic" w:cs="Simplified Arabic"/>
          <w:color w:val="000000" w:themeColor="text1"/>
          <w:kern w:val="0"/>
          <w:sz w:val="28"/>
          <w:szCs w:val="28"/>
          <w:rtl/>
          <w14:ligatures w14:val="none"/>
        </w:rPr>
        <w:t>ستُطبَّق الدراسة على الشركات اللوجستية محل الدراسة في المملكة العربية السعودية في الإدارات العامة والفروع الرئيسية</w:t>
      </w:r>
      <w:r w:rsidRPr="009B67DA">
        <w:rPr>
          <w:rFonts w:ascii="Simplified Arabic" w:eastAsia="Times New Roman" w:hAnsi="Simplified Arabic" w:cs="Simplified Arabic"/>
          <w:color w:val="000000" w:themeColor="text1"/>
          <w:kern w:val="0"/>
          <w:sz w:val="28"/>
          <w:szCs w:val="28"/>
          <w14:ligatures w14:val="none"/>
        </w:rPr>
        <w:t>.</w:t>
      </w:r>
    </w:p>
    <w:p w14:paraId="0EEB6F15" w14:textId="77777777" w:rsidR="000532DF" w:rsidRPr="009B67DA" w:rsidRDefault="000532DF" w:rsidP="003F570E">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B67DA">
        <w:rPr>
          <w:rFonts w:ascii="Simplified Arabic" w:eastAsia="Times New Roman" w:hAnsi="Simplified Arabic" w:cs="Simplified Arabic"/>
          <w:color w:val="000000" w:themeColor="text1"/>
          <w:kern w:val="0"/>
          <w:sz w:val="28"/>
          <w:szCs w:val="28"/>
          <w:rtl/>
          <w14:ligatures w14:val="none"/>
        </w:rPr>
        <w:t>الحدود الزمانية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سيتم تنفيذ الدراسة الميدانية وجمع البيانات وتحليلها خلال العام (2026م)</w:t>
      </w:r>
    </w:p>
    <w:p w14:paraId="5179CBA7" w14:textId="3C8A3DEA" w:rsidR="00703DAA" w:rsidRPr="009B67DA" w:rsidRDefault="003F570E" w:rsidP="003F570E">
      <w:pPr>
        <w:jc w:val="center"/>
        <w:outlineLvl w:val="0"/>
        <w:rPr>
          <w:rFonts w:ascii="Simplified Arabic" w:eastAsia="Times New Roman" w:hAnsi="Simplified Arabic" w:cs="Simplified Arabic"/>
          <w:b/>
          <w:bCs/>
          <w:color w:val="000000" w:themeColor="text1"/>
          <w:kern w:val="0"/>
          <w:sz w:val="40"/>
          <w:szCs w:val="40"/>
          <w14:ligatures w14:val="none"/>
        </w:rPr>
      </w:pPr>
      <w:r w:rsidRPr="009B67DA">
        <w:rPr>
          <w:rFonts w:ascii="Simplified Arabic" w:eastAsia="Times New Roman" w:hAnsi="Simplified Arabic" w:cs="Simplified Arabic"/>
          <w:b/>
          <w:bCs/>
          <w:color w:val="000000" w:themeColor="text1"/>
          <w:kern w:val="0"/>
          <w:sz w:val="40"/>
          <w:szCs w:val="40"/>
          <w:rtl/>
          <w14:ligatures w14:val="none"/>
        </w:rPr>
        <w:br w:type="page"/>
      </w:r>
      <w:bookmarkStart w:id="21" w:name="_Toc233990062"/>
      <w:r w:rsidRPr="009B67DA">
        <w:rPr>
          <w:rFonts w:ascii="Simplified Arabic" w:eastAsia="Times New Roman" w:hAnsi="Simplified Arabic" w:cs="Simplified Arabic" w:hint="cs"/>
          <w:b/>
          <w:bCs/>
          <w:color w:val="000000" w:themeColor="text1"/>
          <w:kern w:val="0"/>
          <w:sz w:val="40"/>
          <w:szCs w:val="40"/>
          <w:rtl/>
          <w14:ligatures w14:val="none"/>
        </w:rPr>
        <w:t xml:space="preserve">الفصل الثاني: </w:t>
      </w:r>
      <w:r w:rsidR="00703DAA" w:rsidRPr="009B67D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1"/>
    </w:p>
    <w:p w14:paraId="48869A69" w14:textId="77777777" w:rsidR="00703DAA" w:rsidRPr="009B67DA" w:rsidRDefault="00703DAA" w:rsidP="003F570E">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2" w:name="_Toc233990063"/>
      <w:r w:rsidRPr="009B67DA">
        <w:rPr>
          <w:rFonts w:ascii="Simplified Arabic" w:eastAsia="Times New Roman" w:hAnsi="Simplified Arabic" w:cs="Simplified Arabic"/>
          <w:b/>
          <w:bCs/>
          <w:color w:val="000000" w:themeColor="text1"/>
          <w:kern w:val="0"/>
          <w:sz w:val="36"/>
          <w:szCs w:val="36"/>
          <w:rtl/>
          <w14:ligatures w14:val="none"/>
        </w:rPr>
        <w:t>المبحث الأول: التحول الرقمي (المتغير المستقل)</w:t>
      </w:r>
      <w:bookmarkEnd w:id="22"/>
    </w:p>
    <w:p w14:paraId="6EDE98B1" w14:textId="52BB73B9"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3" w:name="_Toc233990064"/>
      <w:r w:rsidRPr="009B67DA">
        <w:rPr>
          <w:rFonts w:ascii="Simplified Arabic" w:eastAsia="Times New Roman" w:hAnsi="Simplified Arabic" w:cs="Simplified Arabic" w:hint="cs"/>
          <w:b/>
          <w:bCs/>
          <w:color w:val="000000" w:themeColor="text1"/>
          <w:kern w:val="0"/>
          <w:sz w:val="32"/>
          <w:szCs w:val="32"/>
          <w:rtl/>
          <w14:ligatures w14:val="none"/>
        </w:rPr>
        <w:t xml:space="preserve">1.1.2 </w:t>
      </w:r>
      <w:r w:rsidR="00703DAA" w:rsidRPr="009B67DA">
        <w:rPr>
          <w:rFonts w:ascii="Simplified Arabic" w:eastAsia="Times New Roman" w:hAnsi="Simplified Arabic" w:cs="Simplified Arabic"/>
          <w:b/>
          <w:bCs/>
          <w:color w:val="000000" w:themeColor="text1"/>
          <w:kern w:val="0"/>
          <w:sz w:val="32"/>
          <w:szCs w:val="32"/>
          <w:rtl/>
          <w14:ligatures w14:val="none"/>
        </w:rPr>
        <w:t>تمهيد</w:t>
      </w:r>
      <w:bookmarkEnd w:id="23"/>
    </w:p>
    <w:p w14:paraId="6C94A36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شهد الفكر الإداري المعاصر تحولات جوهرية أعادت رسم ملامح المنظمات وأنماط اشتغالها، إذ لم تعد التكنولوجيا الرقمية مجرد أداة مساندة للعمليات التقليدية، بل غدت ركيزةً محوريةً في إعادة تشكيل نماذج الأعمال وهياكل القيمة والعلاقات مع الأطراف ذات المصلحة. وفي ظل تسارع الثورة الصناعية الرابعة وتنامي الاعتماد على البيانات الضخمة والحوسبة السحابية والذكاء الاصطناعي وإنترنت الأشياء، برز التحول الرقمي بوصفه استجابةً استراتيجية تسعى المنظمات من خلالها إلى إعادة </w:t>
      </w:r>
      <w:proofErr w:type="spellStart"/>
      <w:r w:rsidRPr="009B67DA">
        <w:rPr>
          <w:rFonts w:ascii="Simplified Arabic" w:eastAsia="Times New Roman" w:hAnsi="Simplified Arabic" w:cs="Simplified Arabic"/>
          <w:color w:val="000000" w:themeColor="text1"/>
          <w:kern w:val="0"/>
          <w:sz w:val="28"/>
          <w:szCs w:val="28"/>
          <w:rtl/>
          <w14:ligatures w14:val="none"/>
        </w:rPr>
        <w:t>موضعة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نفسها في بيئة تتسم بعدم اليقين وتسارع الابتكار. ولم يُعد يُنظر إلى هذا التحول باعتباره خيارًا تفاضليًا، بل تحوّل إلى ضرورةٍ حتميّةٍ تفرضها متطلبات المنافسة والاستدامة، لا سيما في القطاعات كثيفة الاعتماد على تدفقات المعلومات كقطاع الخدمات اللوجستية، الذي تُشكّل السرعة والدقة والمرونة فيه أُسس بقاء المنظمة واستمراريتها (</w:t>
      </w:r>
      <w:proofErr w:type="spellStart"/>
      <w:r w:rsidRPr="009B67DA">
        <w:rPr>
          <w:rFonts w:ascii="Simplified Arabic" w:eastAsia="Times New Roman" w:hAnsi="Simplified Arabic" w:cs="Simplified Arabic"/>
          <w:color w:val="000000" w:themeColor="text1"/>
          <w:kern w:val="0"/>
          <w:sz w:val="28"/>
          <w:szCs w:val="28"/>
          <w:rtl/>
          <w14:ligatures w14:val="none"/>
        </w:rPr>
        <w:t>الرفوع</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ومفلح، 2025)</w:t>
      </w:r>
      <w:r w:rsidRPr="009B67DA">
        <w:rPr>
          <w:rFonts w:ascii="Simplified Arabic" w:eastAsia="Times New Roman" w:hAnsi="Simplified Arabic" w:cs="Simplified Arabic"/>
          <w:color w:val="000000" w:themeColor="text1"/>
          <w:kern w:val="0"/>
          <w:sz w:val="28"/>
          <w:szCs w:val="28"/>
          <w14:ligatures w14:val="none"/>
        </w:rPr>
        <w:t>.</w:t>
      </w:r>
    </w:p>
    <w:p w14:paraId="1D4C9B6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وقد أفرزت هذه التحولات حاجةً متزايدةً إلى فهم مُعمّق لماهية التحول الرقمي وأبعاده، لا بوصفه </w:t>
      </w:r>
      <w:proofErr w:type="spellStart"/>
      <w:r w:rsidRPr="009B67DA">
        <w:rPr>
          <w:rFonts w:ascii="Simplified Arabic" w:eastAsia="Times New Roman" w:hAnsi="Simplified Arabic" w:cs="Simplified Arabic"/>
          <w:color w:val="000000" w:themeColor="text1"/>
          <w:kern w:val="0"/>
          <w:sz w:val="28"/>
          <w:szCs w:val="28"/>
          <w:rtl/>
          <w14:ligatures w14:val="none"/>
        </w:rPr>
        <w:t>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تقنيةً للعمليات القائمة، بل باعتباره إعادةَ تصميمٍ شاملة تمس البنية التحتية والتكنولوجيا والثقافة والمهارات في آنٍ معًا. ومن هنا، يسعى هذا المبحث إلى تفكيك مفهوم التحول الرقمي وتتبّع تطوّره الفكري، وبيان أهميته وأهدافه ومداخله النظرية المفسّرة له، ثم عرض أبعاده التي تبنّتها الدراسة الحالية، وصولًا إلى استراتيجيات تفعيله ومتطلبات نجاحه، مع استعراض عناوين بحثية حديثة تُعزّز الأساس النظري للدراسة (خطيب والشوابكة، 2022)</w:t>
      </w:r>
      <w:r w:rsidRPr="009B67DA">
        <w:rPr>
          <w:rFonts w:ascii="Simplified Arabic" w:eastAsia="Times New Roman" w:hAnsi="Simplified Arabic" w:cs="Simplified Arabic"/>
          <w:color w:val="000000" w:themeColor="text1"/>
          <w:kern w:val="0"/>
          <w:sz w:val="28"/>
          <w:szCs w:val="28"/>
          <w14:ligatures w14:val="none"/>
        </w:rPr>
        <w:t>.</w:t>
      </w:r>
    </w:p>
    <w:p w14:paraId="1EF380B0" w14:textId="2E312B18"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3990065"/>
      <w:r w:rsidRPr="009B67DA">
        <w:rPr>
          <w:rFonts w:ascii="Simplified Arabic" w:eastAsia="Times New Roman" w:hAnsi="Simplified Arabic" w:cs="Simplified Arabic" w:hint="cs"/>
          <w:b/>
          <w:bCs/>
          <w:color w:val="000000" w:themeColor="text1"/>
          <w:kern w:val="0"/>
          <w:sz w:val="32"/>
          <w:szCs w:val="32"/>
          <w:rtl/>
          <w14:ligatures w14:val="none"/>
        </w:rPr>
        <w:t xml:space="preserve">2.1.2 </w:t>
      </w:r>
      <w:r w:rsidR="00703DAA" w:rsidRPr="009B67DA">
        <w:rPr>
          <w:rFonts w:ascii="Simplified Arabic" w:eastAsia="Times New Roman" w:hAnsi="Simplified Arabic" w:cs="Simplified Arabic"/>
          <w:b/>
          <w:bCs/>
          <w:color w:val="000000" w:themeColor="text1"/>
          <w:kern w:val="0"/>
          <w:sz w:val="32"/>
          <w:szCs w:val="32"/>
          <w:rtl/>
          <w14:ligatures w14:val="none"/>
        </w:rPr>
        <w:t>مفهوم التحول الرقمي</w:t>
      </w:r>
      <w:bookmarkEnd w:id="24"/>
    </w:p>
    <w:p w14:paraId="7E9C9C7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يُعدّ مفهوم التحول الرقمي من المفاهيم الإدارية الحديثة التي تعدّدت تعريفاتها بتعدّد مداخل الباحثين وزوايا نظرهم، وذلك انعكاسًا لطبيعته المركّبة التي تجمع بين البُعد التقني والبُعد التنظيمي والبُعد الثقافي. وفي هذا السياق، عرّفه العزي والحيت (2024) بوصفه عمليةً استراتيجيةً شاملةً تتضمّن توظيف التقنيات الرقمية الحديثة في إعادة تصميم العمليات والهياكل والخدمات، بما يُحقّق قيمةً مضافةً للمنظمة والمستفيدين منها. ويُلاحظ في هذا التعريف تركيزه على الطابع الاستراتيجي الشمولي للتحول، بعيدًا عن اختزاله في مجرد إدخال الأدوات التقنية</w:t>
      </w:r>
      <w:r w:rsidRPr="009B67DA">
        <w:rPr>
          <w:rFonts w:ascii="Simplified Arabic" w:eastAsia="Times New Roman" w:hAnsi="Simplified Arabic" w:cs="Simplified Arabic"/>
          <w:color w:val="000000" w:themeColor="text1"/>
          <w:kern w:val="0"/>
          <w:sz w:val="28"/>
          <w:szCs w:val="28"/>
          <w14:ligatures w14:val="none"/>
        </w:rPr>
        <w:t>.</w:t>
      </w:r>
    </w:p>
    <w:p w14:paraId="592BEB8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وفي منحًى قريب، ذهب الربيع ومفلح (2024) إلى تعريفه بأنّه إعادةُ تشكيلٍ جوهريّةٍ لنموذج الأعمال ترتكز على دمج التقنيات الرقمية في جميع مفاصل المنظمة، مع ما يستلزمه ذلك من تجديدٍ استراتيجيٍّ يمس الفكر الإداري ذاته لا العمليات فحسب. وتنسجم هذه الرؤية مع ما قدّمه العمارات والمحاسنة (2023) الذي وصف التحول الرقمي بأنّه استجابةٌ تكيفيّةٌ تُمارسها المنظمة إزاء تغيرات بيئتها الخارجية، عبر توظيف قدراتها الرقمية لتحقيق مرونةٍ استراتيجيةٍ تُمكّنها من التعامل مع الاضطرابات. ويُلاحظ هنا انتقال التعريف من الجانب الوصفي إلى الجانب الوظيفي الذي يُبرز الغاية من التحول لا شكله فقط</w:t>
      </w:r>
      <w:r w:rsidRPr="009B67DA">
        <w:rPr>
          <w:rFonts w:ascii="Simplified Arabic" w:eastAsia="Times New Roman" w:hAnsi="Simplified Arabic" w:cs="Simplified Arabic"/>
          <w:color w:val="000000" w:themeColor="text1"/>
          <w:kern w:val="0"/>
          <w:sz w:val="28"/>
          <w:szCs w:val="28"/>
          <w14:ligatures w14:val="none"/>
        </w:rPr>
        <w:t>.</w:t>
      </w:r>
    </w:p>
    <w:p w14:paraId="04F799F3"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منظور مختلف، ركّز أبو طاقية وفتحي (2022) على البُعد البشري في تعريفه للتحول الرقمي، إذ اعتبراه منظومةً متكاملةً تتضافر فيها التقنيات الحديثة مع الكفاءات البشرية والثقافة التنظيمية لإعادة صياغة أساليب أداء العمل واتخاذ القرار. ويُضيف هذا التعريف بُعدًا مهمًّا يتجاوز المكوّن التقني إلى المكوّن الإنساني، بما ينسجم مع الاتجاه الحديث الذي يرى أن نجاح التحول مرهونٌ بجاهزية الأفراد لا بتوفّر الأدوات وحدها. وفي السياق ذاته، وصفه بصل والشرفا (2022) بأنّه تحوّلٌ من الأنماط التقليدية إلى الأنماط الرقمية في تقديم الخدمات، يستهدف تحسين تجربة المستفيد ورفع كفاءة الأداء المؤسسي</w:t>
      </w:r>
      <w:r w:rsidRPr="009B67DA">
        <w:rPr>
          <w:rFonts w:ascii="Simplified Arabic" w:eastAsia="Times New Roman" w:hAnsi="Simplified Arabic" w:cs="Simplified Arabic"/>
          <w:color w:val="000000" w:themeColor="text1"/>
          <w:kern w:val="0"/>
          <w:sz w:val="28"/>
          <w:szCs w:val="28"/>
          <w14:ligatures w14:val="none"/>
        </w:rPr>
        <w:t>.</w:t>
      </w:r>
    </w:p>
    <w:p w14:paraId="29D9B514"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أما على صعيد الأدبيات الأجنبية، فقد قدّم</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Ghobakhloo</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(2025) </w:t>
      </w:r>
      <w:r w:rsidRPr="009B67DA">
        <w:rPr>
          <w:rFonts w:ascii="Simplified Arabic" w:eastAsia="Times New Roman" w:hAnsi="Simplified Arabic" w:cs="Simplified Arabic"/>
          <w:color w:val="000000" w:themeColor="text1"/>
          <w:kern w:val="0"/>
          <w:sz w:val="28"/>
          <w:szCs w:val="28"/>
          <w:rtl/>
          <w14:ligatures w14:val="none"/>
        </w:rPr>
        <w:t>تعريفًا مُوسّعًا للتحول الرقمي بوصفه عمليةَ تبنٍّ منهجيّةٍ لتقنيات الصناعة الرابعة، تشمل تحوّلاتٍ متزامنةً في الاستراتيجية والعمليات والقدرات التنظيمية، بما يُعيد تشكيل نموذج خلق القيمة داخل المنظمة وعبر سلاسل التوريد الممتدة. ويميل</w:t>
      </w:r>
      <w:r w:rsidRPr="009B67DA">
        <w:rPr>
          <w:rFonts w:ascii="Simplified Arabic" w:eastAsia="Times New Roman" w:hAnsi="Simplified Arabic" w:cs="Simplified Arabic"/>
          <w:color w:val="000000" w:themeColor="text1"/>
          <w:kern w:val="0"/>
          <w:sz w:val="28"/>
          <w:szCs w:val="28"/>
          <w14:ligatures w14:val="none"/>
        </w:rPr>
        <w:t xml:space="preserve"> Li et al. (2025) </w:t>
      </w:r>
      <w:r w:rsidRPr="009B67DA">
        <w:rPr>
          <w:rFonts w:ascii="Simplified Arabic" w:eastAsia="Times New Roman" w:hAnsi="Simplified Arabic" w:cs="Simplified Arabic"/>
          <w:color w:val="000000" w:themeColor="text1"/>
          <w:kern w:val="0"/>
          <w:sz w:val="28"/>
          <w:szCs w:val="28"/>
          <w:rtl/>
          <w14:ligatures w14:val="none"/>
        </w:rPr>
        <w:t>إلى تعريفٍ أكثر عمليّة، إذ اعتبراه توظيفًا للتقنيات الرقمية في تعزيز قدرات المنظمة على استشعار التغيرات والاستجابة لها، بما يُدعّم مرونتها التشغيلية في مواجهة الاضطرابات. في حين يُقدّم</w:t>
      </w:r>
      <w:r w:rsidRPr="009B67DA">
        <w:rPr>
          <w:rFonts w:ascii="Simplified Arabic" w:eastAsia="Times New Roman" w:hAnsi="Simplified Arabic" w:cs="Simplified Arabic"/>
          <w:color w:val="000000" w:themeColor="text1"/>
          <w:kern w:val="0"/>
          <w:sz w:val="28"/>
          <w:szCs w:val="28"/>
          <w14:ligatures w14:val="none"/>
        </w:rPr>
        <w:t xml:space="preserve"> Yuan et al. (2024) </w:t>
      </w:r>
      <w:r w:rsidRPr="009B67DA">
        <w:rPr>
          <w:rFonts w:ascii="Simplified Arabic" w:eastAsia="Times New Roman" w:hAnsi="Simplified Arabic" w:cs="Simplified Arabic"/>
          <w:color w:val="000000" w:themeColor="text1"/>
          <w:kern w:val="0"/>
          <w:sz w:val="28"/>
          <w:szCs w:val="28"/>
          <w:rtl/>
          <w14:ligatures w14:val="none"/>
        </w:rPr>
        <w:t xml:space="preserve">رؤيةً أكثر شموليّة تعتبر التحول الرقمي عمليةً متعددة الأبعاد تشمل </w:t>
      </w:r>
      <w:proofErr w:type="spellStart"/>
      <w:r w:rsidRPr="009B67DA">
        <w:rPr>
          <w:rFonts w:ascii="Simplified Arabic" w:eastAsia="Times New Roman" w:hAnsi="Simplified Arabic" w:cs="Simplified Arabic"/>
          <w:color w:val="000000" w:themeColor="text1"/>
          <w:kern w:val="0"/>
          <w:sz w:val="28"/>
          <w:szCs w:val="28"/>
          <w:rtl/>
          <w14:ligatures w14:val="none"/>
        </w:rPr>
        <w:t>الرقمنة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والتشبيك والتحليل الذكي للبيانات، بغية إحداث تغييرٍ نوعيٍّ في طرق توليد القيمة</w:t>
      </w:r>
      <w:r w:rsidRPr="009B67DA">
        <w:rPr>
          <w:rFonts w:ascii="Simplified Arabic" w:eastAsia="Times New Roman" w:hAnsi="Simplified Arabic" w:cs="Simplified Arabic"/>
          <w:color w:val="000000" w:themeColor="text1"/>
          <w:kern w:val="0"/>
          <w:sz w:val="28"/>
          <w:szCs w:val="28"/>
          <w14:ligatures w14:val="none"/>
        </w:rPr>
        <w:t>.</w:t>
      </w:r>
    </w:p>
    <w:p w14:paraId="200483C7"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استعراض التعريفات السابقة يتّضح أنّ ثمة اتفاقًا ضمنيًّا على أن التحول الرقمي ليس مجرد إحلالٍ تقنيّ، غير أن الباحثين يختلفون في تحديد ثقل كل مكوّن من مكوّناته. فبينما يميل فريقٌ إلى إبراز البُعد التقني، يُشدّد فريقٌ آخر على البُعد الاستراتيجي، ويُركّز ثالثٌ على البُعد البشري والثقافي. ويرى الباحث في ضوء ما تقدّم أنّ التحول الرقمي يُمكن تعريفه إجرائيًا بأنّه</w:t>
      </w:r>
      <w:r w:rsidRPr="009B67DA">
        <w:rPr>
          <w:rFonts w:ascii="Simplified Arabic" w:eastAsia="Times New Roman" w:hAnsi="Simplified Arabic" w:cs="Simplified Arabic"/>
          <w:color w:val="000000" w:themeColor="text1"/>
          <w:kern w:val="0"/>
          <w:sz w:val="28"/>
          <w:szCs w:val="28"/>
          <w14:ligatures w14:val="none"/>
        </w:rPr>
        <w:t>: “</w:t>
      </w:r>
      <w:r w:rsidRPr="009B67DA">
        <w:rPr>
          <w:rFonts w:ascii="Simplified Arabic" w:eastAsia="Times New Roman" w:hAnsi="Simplified Arabic" w:cs="Simplified Arabic"/>
          <w:color w:val="000000" w:themeColor="text1"/>
          <w:kern w:val="0"/>
          <w:sz w:val="28"/>
          <w:szCs w:val="28"/>
          <w:rtl/>
          <w14:ligatures w14:val="none"/>
        </w:rPr>
        <w:t>عمليةٌ استراتيجيةٌ متكاملةٌ تُعيد الشركات اللوجستية من خلالها تشكيل بنيتها التحتية وتقنياتها وثقافتها ومهارات كوادرها البشرية، عبر التوظيف المنهجي للتقنيات الرقمية الحديثة، بهدف تعزيز قدراتها على استشعار المخاطر والتعامل معها، وتحسين كفاءة عملياتها اللوجستية، وتحقيق قيمةٍ مضافةٍ مستدامةٍ لأصحاب المصلحة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ويتميّز هذا التعريف بجمعه بين الأبعاد الأربعة التي تبنّتها الدراسة، وربطه المباشر بمجال التطبيق (القطاع اللوجستي)، وتوجيهه نحو المتغير التابع (إدارة المخاطر)</w:t>
      </w:r>
      <w:r w:rsidRPr="009B67DA">
        <w:rPr>
          <w:rFonts w:ascii="Simplified Arabic" w:eastAsia="Times New Roman" w:hAnsi="Simplified Arabic" w:cs="Simplified Arabic"/>
          <w:color w:val="000000" w:themeColor="text1"/>
          <w:kern w:val="0"/>
          <w:sz w:val="28"/>
          <w:szCs w:val="28"/>
          <w14:ligatures w14:val="none"/>
        </w:rPr>
        <w:t>.</w:t>
      </w:r>
    </w:p>
    <w:p w14:paraId="68403604" w14:textId="36CA2170"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3990066"/>
      <w:r w:rsidRPr="009B67DA">
        <w:rPr>
          <w:rFonts w:ascii="Simplified Arabic" w:eastAsia="Times New Roman" w:hAnsi="Simplified Arabic" w:cs="Simplified Arabic" w:hint="cs"/>
          <w:b/>
          <w:bCs/>
          <w:color w:val="000000" w:themeColor="text1"/>
          <w:kern w:val="0"/>
          <w:sz w:val="32"/>
          <w:szCs w:val="32"/>
          <w:rtl/>
          <w14:ligatures w14:val="none"/>
        </w:rPr>
        <w:t xml:space="preserve">3.1.2 </w:t>
      </w:r>
      <w:r w:rsidR="00703DAA" w:rsidRPr="009B67DA">
        <w:rPr>
          <w:rFonts w:ascii="Simplified Arabic" w:eastAsia="Times New Roman" w:hAnsi="Simplified Arabic" w:cs="Simplified Arabic"/>
          <w:b/>
          <w:bCs/>
          <w:color w:val="000000" w:themeColor="text1"/>
          <w:kern w:val="0"/>
          <w:sz w:val="32"/>
          <w:szCs w:val="32"/>
          <w:rtl/>
          <w14:ligatures w14:val="none"/>
        </w:rPr>
        <w:t>النشأة والتطور الفكري لمفهوم التحول الرقمي</w:t>
      </w:r>
      <w:bookmarkEnd w:id="25"/>
    </w:p>
    <w:p w14:paraId="026537A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لم يظهر مفهوم التحول الرقمي بصورته الحالية دفعةً واحدة، وإنّما مرّ بمراحل تطوّرٍ متعاقبةٍ ارتبطت بتطوّر التقنيات ذاتها وتحوّلات الفكر الإداري. فقد بدأت الإرهاصات الأولى مع مفهوم “</w:t>
      </w:r>
      <w:proofErr w:type="spellStart"/>
      <w:r w:rsidRPr="009B67DA">
        <w:rPr>
          <w:rFonts w:ascii="Simplified Arabic" w:eastAsia="Times New Roman" w:hAnsi="Simplified Arabic" w:cs="Simplified Arabic"/>
          <w:color w:val="000000" w:themeColor="text1"/>
          <w:kern w:val="0"/>
          <w:sz w:val="28"/>
          <w:szCs w:val="28"/>
          <w:rtl/>
          <w14:ligatures w14:val="none"/>
        </w:rPr>
        <w:t>الأتمتة</w:t>
      </w:r>
      <w:proofErr w:type="spellEnd"/>
      <w:r w:rsidRPr="009B67DA">
        <w:rPr>
          <w:rFonts w:ascii="Simplified Arabic" w:eastAsia="Times New Roman" w:hAnsi="Simplified Arabic" w:cs="Simplified Arabic"/>
          <w:color w:val="000000" w:themeColor="text1"/>
          <w:kern w:val="0"/>
          <w:sz w:val="28"/>
          <w:szCs w:val="28"/>
          <w:rtl/>
          <w14:ligatures w14:val="none"/>
        </w:rPr>
        <w:t>” في ستينيات وسبعينيات القرن الماضي، حين اقتصر توظيف الحاسوب على أداء المهام الروتينية المتكرّرة، ثم تطوّر إلى مفهوم “</w:t>
      </w:r>
      <w:proofErr w:type="spellStart"/>
      <w:r w:rsidRPr="009B67DA">
        <w:rPr>
          <w:rFonts w:ascii="Simplified Arabic" w:eastAsia="Times New Roman" w:hAnsi="Simplified Arabic" w:cs="Simplified Arabic"/>
          <w:color w:val="000000" w:themeColor="text1"/>
          <w:kern w:val="0"/>
          <w:sz w:val="28"/>
          <w:szCs w:val="28"/>
          <w:rtl/>
          <w14:ligatures w14:val="none"/>
        </w:rPr>
        <w:t>الرقمنة</w:t>
      </w:r>
      <w:proofErr w:type="spellEnd"/>
      <w:r w:rsidRPr="009B67DA">
        <w:rPr>
          <w:rFonts w:ascii="Simplified Arabic" w:eastAsia="Times New Roman" w:hAnsi="Simplified Arabic" w:cs="Simplified Arabic"/>
          <w:color w:val="000000" w:themeColor="text1"/>
          <w:kern w:val="0"/>
          <w:sz w:val="28"/>
          <w:szCs w:val="28"/>
          <w14:ligatures w14:val="none"/>
        </w:rPr>
        <w:t xml:space="preserve">” (Digitization) </w:t>
      </w:r>
      <w:r w:rsidRPr="009B67DA">
        <w:rPr>
          <w:rFonts w:ascii="Simplified Arabic" w:eastAsia="Times New Roman" w:hAnsi="Simplified Arabic" w:cs="Simplified Arabic"/>
          <w:color w:val="000000" w:themeColor="text1"/>
          <w:kern w:val="0"/>
          <w:sz w:val="28"/>
          <w:szCs w:val="28"/>
          <w:rtl/>
          <w14:ligatures w14:val="none"/>
        </w:rPr>
        <w:t>الذي عنى التحويل الميكانيكي للبيانات التناظرية إلى صيغةٍ رقمية. وشكّل ظهور شبكة الإنترنت في تسعينيات القرن الماضي منعطفًا جوهريًّا نقل المفهوم من مجرد تخزينٍ رقميٍّ للبيانات إلى تشبيكٍ رقميٍّ للعمليات، وهو ما مهّد لظهور مفهوم “</w:t>
      </w:r>
      <w:proofErr w:type="spellStart"/>
      <w:r w:rsidRPr="009B67DA">
        <w:rPr>
          <w:rFonts w:ascii="Simplified Arabic" w:eastAsia="Times New Roman" w:hAnsi="Simplified Arabic" w:cs="Simplified Arabic"/>
          <w:color w:val="000000" w:themeColor="text1"/>
          <w:kern w:val="0"/>
          <w:sz w:val="28"/>
          <w:szCs w:val="28"/>
          <w:rtl/>
          <w14:ligatures w14:val="none"/>
        </w:rPr>
        <w:t>الرقمنة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الشاملة</w:t>
      </w:r>
      <w:r w:rsidRPr="009B67DA">
        <w:rPr>
          <w:rFonts w:ascii="Simplified Arabic" w:eastAsia="Times New Roman" w:hAnsi="Simplified Arabic" w:cs="Simplified Arabic"/>
          <w:color w:val="000000" w:themeColor="text1"/>
          <w:kern w:val="0"/>
          <w:sz w:val="28"/>
          <w:szCs w:val="28"/>
          <w14:ligatures w14:val="none"/>
        </w:rPr>
        <w:t xml:space="preserve">” (Digitalization) </w:t>
      </w:r>
      <w:r w:rsidRPr="009B67DA">
        <w:rPr>
          <w:rFonts w:ascii="Simplified Arabic" w:eastAsia="Times New Roman" w:hAnsi="Simplified Arabic" w:cs="Simplified Arabic"/>
          <w:color w:val="000000" w:themeColor="text1"/>
          <w:kern w:val="0"/>
          <w:sz w:val="28"/>
          <w:szCs w:val="28"/>
          <w:rtl/>
          <w14:ligatures w14:val="none"/>
        </w:rPr>
        <w:t>الذي يُشير إلى توظيف التقنيات الرقمية في إعادة تصميم العمليات (سليمان وفاخر ومحمد، 2023)</w:t>
      </w:r>
      <w:r w:rsidRPr="009B67DA">
        <w:rPr>
          <w:rFonts w:ascii="Simplified Arabic" w:eastAsia="Times New Roman" w:hAnsi="Simplified Arabic" w:cs="Simplified Arabic"/>
          <w:color w:val="000000" w:themeColor="text1"/>
          <w:kern w:val="0"/>
          <w:sz w:val="28"/>
          <w:szCs w:val="28"/>
          <w14:ligatures w14:val="none"/>
        </w:rPr>
        <w:t>.</w:t>
      </w:r>
    </w:p>
    <w:p w14:paraId="0014F9B5"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ومع مطلع الألفية الثالثة، ومع تسارع تبنّي تقنيات الحوسبة السحابية والبيانات الضخمة والذكاء الاصطناعي، تبلور مفهوم “التحول الرقمي” بمعناه الشمولي الذي يتجاوز </w:t>
      </w:r>
      <w:proofErr w:type="spellStart"/>
      <w:r w:rsidRPr="009B67DA">
        <w:rPr>
          <w:rFonts w:ascii="Simplified Arabic" w:eastAsia="Times New Roman" w:hAnsi="Simplified Arabic" w:cs="Simplified Arabic"/>
          <w:color w:val="000000" w:themeColor="text1"/>
          <w:kern w:val="0"/>
          <w:sz w:val="28"/>
          <w:szCs w:val="28"/>
          <w:rtl/>
          <w14:ligatures w14:val="none"/>
        </w:rPr>
        <w:t>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العمليات إلى إعادة تصوّر نموذج الأعمال ذاته. وقد أسهم الإعلان عن مبادرة “الصناعة 4.0” الألمانية عام 2011 في ترسيخ هذا المفهوم أكاديميًّا وعمليًّا، إذ باتت المنظمات تنظر إلى التحول الرقمي بوصفه مشروعًا استراتيجيًّا يتصل بالبقاء التنافسي لا بالتحسين التشغيلي فحسب</w:t>
      </w:r>
      <w:r w:rsidRPr="009B67DA">
        <w:rPr>
          <w:rFonts w:ascii="Simplified Arabic" w:eastAsia="Times New Roman" w:hAnsi="Simplified Arabic" w:cs="Simplified Arabic"/>
          <w:color w:val="000000" w:themeColor="text1"/>
          <w:kern w:val="0"/>
          <w:sz w:val="28"/>
          <w:szCs w:val="28"/>
          <w14:ligatures w14:val="none"/>
        </w:rPr>
        <w:t xml:space="preserve"> (Ivanov &amp; </w:t>
      </w:r>
      <w:proofErr w:type="spellStart"/>
      <w:r w:rsidRPr="009B67DA">
        <w:rPr>
          <w:rFonts w:ascii="Simplified Arabic" w:eastAsia="Times New Roman" w:hAnsi="Simplified Arabic" w:cs="Simplified Arabic"/>
          <w:color w:val="000000" w:themeColor="text1"/>
          <w:kern w:val="0"/>
          <w:sz w:val="28"/>
          <w:szCs w:val="28"/>
          <w14:ligatures w14:val="none"/>
        </w:rPr>
        <w:t>Dolgui</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2021). </w:t>
      </w:r>
      <w:r w:rsidRPr="009B67DA">
        <w:rPr>
          <w:rFonts w:ascii="Simplified Arabic" w:eastAsia="Times New Roman" w:hAnsi="Simplified Arabic" w:cs="Simplified Arabic"/>
          <w:color w:val="000000" w:themeColor="text1"/>
          <w:kern w:val="0"/>
          <w:sz w:val="28"/>
          <w:szCs w:val="28"/>
          <w:rtl/>
          <w14:ligatures w14:val="none"/>
        </w:rPr>
        <w:t xml:space="preserve">ويُعدّ ذلك </w:t>
      </w:r>
      <w:proofErr w:type="spellStart"/>
      <w:r w:rsidRPr="009B67DA">
        <w:rPr>
          <w:rFonts w:ascii="Simplified Arabic" w:eastAsia="Times New Roman" w:hAnsi="Simplified Arabic" w:cs="Simplified Arabic"/>
          <w:color w:val="000000" w:themeColor="text1"/>
          <w:kern w:val="0"/>
          <w:sz w:val="28"/>
          <w:szCs w:val="28"/>
          <w:rtl/>
          <w14:ligatures w14:val="none"/>
        </w:rPr>
        <w:t>انعطافةً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فكريّةً حوّلت التحول الرقمي من مبادرةٍ تكنولوجيّةٍ تقودها إدارات تكنولوجيا المعلومات، إلى مشروعٍ مؤسسيٍّ تقوده القيادة العليا ويمس جميع الوظائف والوحدات</w:t>
      </w:r>
      <w:r w:rsidRPr="009B67DA">
        <w:rPr>
          <w:rFonts w:ascii="Simplified Arabic" w:eastAsia="Times New Roman" w:hAnsi="Simplified Arabic" w:cs="Simplified Arabic"/>
          <w:color w:val="000000" w:themeColor="text1"/>
          <w:kern w:val="0"/>
          <w:sz w:val="28"/>
          <w:szCs w:val="28"/>
          <w14:ligatures w14:val="none"/>
        </w:rPr>
        <w:t>.</w:t>
      </w:r>
    </w:p>
    <w:p w14:paraId="3FBC47C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وفي المرحلة الراهنة، انتقل المفهوم إلى ما يُعرف بـ “التحول الرقمي المُدمج” الذي يجمع بين التقنيات المتقدّمة كالبلوك تشين والتوائم الرقمية وتحليلات البيانات المتقدّمة، ويُوظّفها في إدارة سلاسل التوريد ومواجهة المخاطر</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Rauniyar</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ويُلاحظ في هذا التطوّر التاريخي انتقالٌ متدرّج من التركيز على “التقنية” إلى التركيز على “التحول” ذاته بوصفه ظاهرةً تنظيميّةً شاملة، وهو ما يُبرّر تعدّد أبعاد المفهوم في الأدبيات الحديثة</w:t>
      </w:r>
      <w:r w:rsidRPr="009B67DA">
        <w:rPr>
          <w:rFonts w:ascii="Simplified Arabic" w:eastAsia="Times New Roman" w:hAnsi="Simplified Arabic" w:cs="Simplified Arabic"/>
          <w:color w:val="000000" w:themeColor="text1"/>
          <w:kern w:val="0"/>
          <w:sz w:val="28"/>
          <w:szCs w:val="28"/>
          <w14:ligatures w14:val="none"/>
        </w:rPr>
        <w:t>.</w:t>
      </w:r>
    </w:p>
    <w:p w14:paraId="351AA8E1" w14:textId="09DBBAB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3990067"/>
      <w:r w:rsidRPr="009B67DA">
        <w:rPr>
          <w:rFonts w:ascii="Simplified Arabic" w:eastAsia="Times New Roman" w:hAnsi="Simplified Arabic" w:cs="Simplified Arabic" w:hint="cs"/>
          <w:b/>
          <w:bCs/>
          <w:color w:val="000000" w:themeColor="text1"/>
          <w:kern w:val="0"/>
          <w:sz w:val="32"/>
          <w:szCs w:val="32"/>
          <w:rtl/>
          <w14:ligatures w14:val="none"/>
        </w:rPr>
        <w:t xml:space="preserve">4.1.2 </w:t>
      </w:r>
      <w:r w:rsidR="00703DAA" w:rsidRPr="009B67DA">
        <w:rPr>
          <w:rFonts w:ascii="Simplified Arabic" w:eastAsia="Times New Roman" w:hAnsi="Simplified Arabic" w:cs="Simplified Arabic"/>
          <w:b/>
          <w:bCs/>
          <w:color w:val="000000" w:themeColor="text1"/>
          <w:kern w:val="0"/>
          <w:sz w:val="32"/>
          <w:szCs w:val="32"/>
          <w:rtl/>
          <w14:ligatures w14:val="none"/>
        </w:rPr>
        <w:t>أهمية التحول الرقمي</w:t>
      </w:r>
      <w:bookmarkEnd w:id="26"/>
    </w:p>
    <w:p w14:paraId="5ACD97D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تنبع أهمية التحول الرقمي من كونه استجابةً استراتيجيةً لبيئةٍ تنافسيّةٍ تتّسم بالتقلّب والتعقيد وعدم اليقين، إذ لم تعد المنظمات قادرةً على الاعتماد على النماذج التقليدية في إدارة عملياتها ومواجهة تحدّياتها. وتتجلّى هذه الأهمية في القطاع اللوجستي بصفةٍ خاصة، لِما تشهده سلاسل الإمداد من اضطراباتٍ متكرّرةٍ نتيجة الأزمات العالمية والتغيرات الجيوسياسية، وهو ما يفرض على الشركات اللوجستية توظيف التقنيات الرقمية لتعزيز قدراتها على استشعار المخاطر والاستجابة لها</w:t>
      </w:r>
      <w:r w:rsidRPr="009B67DA">
        <w:rPr>
          <w:rFonts w:ascii="Simplified Arabic" w:eastAsia="Times New Roman" w:hAnsi="Simplified Arabic" w:cs="Simplified Arabic"/>
          <w:color w:val="000000" w:themeColor="text1"/>
          <w:kern w:val="0"/>
          <w:sz w:val="28"/>
          <w:szCs w:val="28"/>
          <w14:ligatures w14:val="none"/>
        </w:rPr>
        <w:t>.</w:t>
      </w:r>
    </w:p>
    <w:p w14:paraId="1C47776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ويُشير القطان </w:t>
      </w:r>
      <w:proofErr w:type="spellStart"/>
      <w:r w:rsidRPr="009B67DA">
        <w:rPr>
          <w:rFonts w:ascii="Simplified Arabic" w:eastAsia="Times New Roman" w:hAnsi="Simplified Arabic" w:cs="Simplified Arabic"/>
          <w:color w:val="000000" w:themeColor="text1"/>
          <w:kern w:val="0"/>
          <w:sz w:val="28"/>
          <w:szCs w:val="28"/>
          <w:rtl/>
          <w14:ligatures w14:val="none"/>
        </w:rPr>
        <w:t>والكرداوي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والحريري (2023) إلى أنّ أهمية التحول الرقمي تتمظهر في عدّة محاور، أبرزها: أوّلًا، تمكينُ المنظمة من تحقيق ابتكاراتٍ تنظيميّةٍ تُعزّز موقعها التنافسي عبر إعادة تصميم العمليات وفق منطقٍ رقميٍّ متكامل. ثانيًا، تحسينُ جودة القرارات الإدارية من خلال إتاحة بياناتٍ فوريّةٍ ودقيقةٍ تدعم عمليات التحليل والتنبؤ. ثالثًا، توسيعُ نطاق التفاعل مع الأطراف ذات المصلحة عبر قنواتٍ رقميّةٍ متعدّدة تكسر حواجز الزمان والمكان. رابعًا، رفعُ كفاءة استغلال الموارد من خلال </w:t>
      </w:r>
      <w:proofErr w:type="spellStart"/>
      <w:r w:rsidRPr="009B67DA">
        <w:rPr>
          <w:rFonts w:ascii="Simplified Arabic" w:eastAsia="Times New Roman" w:hAnsi="Simplified Arabic" w:cs="Simplified Arabic"/>
          <w:color w:val="000000" w:themeColor="text1"/>
          <w:kern w:val="0"/>
          <w:sz w:val="28"/>
          <w:szCs w:val="28"/>
          <w:rtl/>
          <w14:ligatures w14:val="none"/>
        </w:rPr>
        <w:t>الأتمتة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الذكية للعمليات المتكرّرة، بما يُحرّر الموارد البشرية للتركيز على الأنشطة ذات القيمة المضافة الأعلى. خامسًا، تعزيزُ قدرة المنظمة على التكيّف السريع مع تحوّلات السوق ومتطلبات المستفيدين المتغيّرة</w:t>
      </w:r>
      <w:r w:rsidRPr="009B67DA">
        <w:rPr>
          <w:rFonts w:ascii="Simplified Arabic" w:eastAsia="Times New Roman" w:hAnsi="Simplified Arabic" w:cs="Simplified Arabic"/>
          <w:color w:val="000000" w:themeColor="text1"/>
          <w:kern w:val="0"/>
          <w:sz w:val="28"/>
          <w:szCs w:val="28"/>
          <w14:ligatures w14:val="none"/>
        </w:rPr>
        <w:t>.</w:t>
      </w:r>
    </w:p>
    <w:p w14:paraId="7CBCE297"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ويرى فوده وأحمد والباز (2024) أنّ أهمية التحول الرقمي تتّسع لتشمل جوانب أعمق ترتبط بإعادة تشكيل ثقافة المنظمة ذاتها، إذ يُسهم في: تنميةِ ثقافةِ الابتكار من خلال إتاحة بيئةٍ رقميّةٍ محفّزةٍ على التجريب، وترسيخِ التعلّم التنظيميّ المستمر عبر منصّاتٍ رقميّةٍ لتبادل المعرفة، وتطويرِ رأس المال البشري عبر تدريباتٍ رقميّةٍ متخصّصة، فضلًا عن دعمِ الشفافيّةِ </w:t>
      </w:r>
      <w:proofErr w:type="spellStart"/>
      <w:r w:rsidRPr="009B67DA">
        <w:rPr>
          <w:rFonts w:ascii="Simplified Arabic" w:eastAsia="Times New Roman" w:hAnsi="Simplified Arabic" w:cs="Simplified Arabic"/>
          <w:color w:val="000000" w:themeColor="text1"/>
          <w:kern w:val="0"/>
          <w:sz w:val="28"/>
          <w:szCs w:val="28"/>
          <w:rtl/>
          <w14:ligatures w14:val="none"/>
        </w:rPr>
        <w:t>والحوكمة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الرشيدة من خلال أنظمةٍ رقميّةٍ تُتيح المساءلة والتتبّع. ويُضيف أحمد (2023) بُعدًا آخر لهذه الأهمية يتمثّل في تعزيز قدرات التعلّم التنظيمي عبر ما </w:t>
      </w:r>
      <w:proofErr w:type="spellStart"/>
      <w:r w:rsidRPr="009B67DA">
        <w:rPr>
          <w:rFonts w:ascii="Simplified Arabic" w:eastAsia="Times New Roman" w:hAnsi="Simplified Arabic" w:cs="Simplified Arabic"/>
          <w:color w:val="000000" w:themeColor="text1"/>
          <w:kern w:val="0"/>
          <w:sz w:val="28"/>
          <w:szCs w:val="28"/>
          <w:rtl/>
          <w14:ligatures w14:val="none"/>
        </w:rPr>
        <w:t>يُتيحه</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التحول الرقمي من منظوماتٍ لإدارة المعرفة وتبادل الخبرات</w:t>
      </w:r>
      <w:r w:rsidRPr="009B67DA">
        <w:rPr>
          <w:rFonts w:ascii="Simplified Arabic" w:eastAsia="Times New Roman" w:hAnsi="Simplified Arabic" w:cs="Simplified Arabic"/>
          <w:color w:val="000000" w:themeColor="text1"/>
          <w:kern w:val="0"/>
          <w:sz w:val="28"/>
          <w:szCs w:val="28"/>
          <w14:ligatures w14:val="none"/>
        </w:rPr>
        <w:t>.</w:t>
      </w:r>
    </w:p>
    <w:p w14:paraId="754DA6D3"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وفي السياق ذاته، تُبرز </w:t>
      </w:r>
      <w:proofErr w:type="spellStart"/>
      <w:r w:rsidRPr="009B67DA">
        <w:rPr>
          <w:rFonts w:ascii="Simplified Arabic" w:eastAsia="Times New Roman" w:hAnsi="Simplified Arabic" w:cs="Simplified Arabic"/>
          <w:color w:val="000000" w:themeColor="text1"/>
          <w:kern w:val="0"/>
          <w:sz w:val="28"/>
          <w:szCs w:val="28"/>
          <w:rtl/>
          <w14:ligatures w14:val="none"/>
        </w:rPr>
        <w:t>شيهاني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أنّ أهمية التحول الرقمي تتجلّى بوضوحٍ في دعم عمليات إدارة المعرفة، من حيث تسهيل توليدها وتخزينها ونشرها وتطبيقها، وهو ما يُمثّل رصيدًا استراتيجيًّا للمنظمة في مواجهة تحدّياتها. كما تُشير قادري (2023) إلى الأهمية الاقتصادية الكلية للتحول الرقمي، إذ يُسهم في تحقيق الرفاهية الاقتصادية عبر رفع الإنتاجية وخلق فرص العمل النوعية. ويرى محمد وحسن </w:t>
      </w:r>
      <w:proofErr w:type="spellStart"/>
      <w:r w:rsidRPr="009B67DA">
        <w:rPr>
          <w:rFonts w:ascii="Simplified Arabic" w:eastAsia="Times New Roman" w:hAnsi="Simplified Arabic" w:cs="Simplified Arabic"/>
          <w:color w:val="000000" w:themeColor="text1"/>
          <w:kern w:val="0"/>
          <w:sz w:val="28"/>
          <w:szCs w:val="28"/>
          <w:rtl/>
          <w14:ligatures w14:val="none"/>
        </w:rPr>
        <w:t>وفرماوي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(2025) أنّ التحول الرقمي يُشكّل رافعةً حيويّةً لتحسين أداء الشركات في القطاعات ذات الطابع التشغيلي المُعقّد، من خلال ما </w:t>
      </w:r>
      <w:proofErr w:type="spellStart"/>
      <w:r w:rsidRPr="009B67DA">
        <w:rPr>
          <w:rFonts w:ascii="Simplified Arabic" w:eastAsia="Times New Roman" w:hAnsi="Simplified Arabic" w:cs="Simplified Arabic"/>
          <w:color w:val="000000" w:themeColor="text1"/>
          <w:kern w:val="0"/>
          <w:sz w:val="28"/>
          <w:szCs w:val="28"/>
          <w:rtl/>
          <w14:ligatures w14:val="none"/>
        </w:rPr>
        <w:t>يُتيحه</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من دقّةٍ في التنفيذ وسرعةٍ في الاستجابة وشفافيةٍ في المتابعة</w:t>
      </w:r>
      <w:r w:rsidRPr="009B67DA">
        <w:rPr>
          <w:rFonts w:ascii="Simplified Arabic" w:eastAsia="Times New Roman" w:hAnsi="Simplified Arabic" w:cs="Simplified Arabic"/>
          <w:color w:val="000000" w:themeColor="text1"/>
          <w:kern w:val="0"/>
          <w:sz w:val="28"/>
          <w:szCs w:val="28"/>
          <w14:ligatures w14:val="none"/>
        </w:rPr>
        <w:t>.</w:t>
      </w:r>
    </w:p>
    <w:p w14:paraId="3F05E31D"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منظور الأدبيات الأجنبية، يُؤكّد</w:t>
      </w:r>
      <w:r w:rsidRPr="009B67DA">
        <w:rPr>
          <w:rFonts w:ascii="Simplified Arabic" w:eastAsia="Times New Roman" w:hAnsi="Simplified Arabic" w:cs="Simplified Arabic"/>
          <w:color w:val="000000" w:themeColor="text1"/>
          <w:kern w:val="0"/>
          <w:sz w:val="28"/>
          <w:szCs w:val="28"/>
          <w14:ligatures w14:val="none"/>
        </w:rPr>
        <w:t xml:space="preserve"> Pan et al. (2025) </w:t>
      </w:r>
      <w:r w:rsidRPr="009B67DA">
        <w:rPr>
          <w:rFonts w:ascii="Simplified Arabic" w:eastAsia="Times New Roman" w:hAnsi="Simplified Arabic" w:cs="Simplified Arabic"/>
          <w:color w:val="000000" w:themeColor="text1"/>
          <w:kern w:val="0"/>
          <w:sz w:val="28"/>
          <w:szCs w:val="28"/>
          <w:rtl/>
          <w14:ligatures w14:val="none"/>
        </w:rPr>
        <w:t>أنّ الأهمية الاستراتيجية للتحول الرقمي تتجلّى في كونه رافعةً لبناء مرونة سلاسل التوريد، إذ يُوفّر البنية اللازمة لإدارة المخاطر بصورةٍ استباقيّةٍ لا تفاعليّة. ويُضيف</w:t>
      </w:r>
      <w:r w:rsidRPr="009B67DA">
        <w:rPr>
          <w:rFonts w:ascii="Simplified Arabic" w:eastAsia="Times New Roman" w:hAnsi="Simplified Arabic" w:cs="Simplified Arabic"/>
          <w:color w:val="000000" w:themeColor="text1"/>
          <w:kern w:val="0"/>
          <w:sz w:val="28"/>
          <w:szCs w:val="28"/>
          <w14:ligatures w14:val="none"/>
        </w:rPr>
        <w:t xml:space="preserve"> Menezes &amp; Rete (2026) </w:t>
      </w:r>
      <w:r w:rsidRPr="009B67DA">
        <w:rPr>
          <w:rFonts w:ascii="Simplified Arabic" w:eastAsia="Times New Roman" w:hAnsi="Simplified Arabic" w:cs="Simplified Arabic"/>
          <w:color w:val="000000" w:themeColor="text1"/>
          <w:kern w:val="0"/>
          <w:sz w:val="28"/>
          <w:szCs w:val="28"/>
          <w:rtl/>
          <w14:ligatures w14:val="none"/>
        </w:rPr>
        <w:t xml:space="preserve">أنّ التحول الرقمي يُعيد تشكيل الطريقة التي تُدار بها المخاطر الرقمية ذاتها، بما يمنح المنظمة قدرةً على استيعاب المخاطر الناشئة ضمن منظومةٍ متكاملةٍ </w:t>
      </w:r>
      <w:proofErr w:type="spellStart"/>
      <w:r w:rsidRPr="009B67DA">
        <w:rPr>
          <w:rFonts w:ascii="Simplified Arabic" w:eastAsia="Times New Roman" w:hAnsi="Simplified Arabic" w:cs="Simplified Arabic"/>
          <w:color w:val="000000" w:themeColor="text1"/>
          <w:kern w:val="0"/>
          <w:sz w:val="28"/>
          <w:szCs w:val="28"/>
          <w:rtl/>
          <w14:ligatures w14:val="none"/>
        </w:rPr>
        <w:t>للحوكمة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الرقمية. وقد أضاف </w:t>
      </w:r>
      <w:proofErr w:type="spellStart"/>
      <w:r w:rsidRPr="009B67DA">
        <w:rPr>
          <w:rFonts w:ascii="Simplified Arabic" w:eastAsia="Times New Roman" w:hAnsi="Simplified Arabic" w:cs="Simplified Arabic"/>
          <w:color w:val="000000" w:themeColor="text1"/>
          <w:kern w:val="0"/>
          <w:sz w:val="28"/>
          <w:szCs w:val="28"/>
          <w:rtl/>
          <w14:ligatures w14:val="none"/>
        </w:rPr>
        <w:t>نويجي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(2023) بُعدًا مكمّلًا لهذه الأهمية يتمثّل في أثر التحول الرقمي على سمعة العلامة التجارية في سياق سلاسل الإمداد، وهو ما يُبرز الترابط بين التحول الرقمي والقيمة اللامادية للمنظمة</w:t>
      </w:r>
      <w:r w:rsidRPr="009B67DA">
        <w:rPr>
          <w:rFonts w:ascii="Simplified Arabic" w:eastAsia="Times New Roman" w:hAnsi="Simplified Arabic" w:cs="Simplified Arabic"/>
          <w:color w:val="000000" w:themeColor="text1"/>
          <w:kern w:val="0"/>
          <w:sz w:val="28"/>
          <w:szCs w:val="28"/>
          <w14:ligatures w14:val="none"/>
        </w:rPr>
        <w:t>.</w:t>
      </w:r>
    </w:p>
    <w:p w14:paraId="5FE6B01E" w14:textId="58E3EAC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3990068"/>
      <w:r w:rsidRPr="009B67DA">
        <w:rPr>
          <w:rFonts w:ascii="Simplified Arabic" w:eastAsia="Times New Roman" w:hAnsi="Simplified Arabic" w:cs="Simplified Arabic" w:hint="cs"/>
          <w:b/>
          <w:bCs/>
          <w:color w:val="000000" w:themeColor="text1"/>
          <w:kern w:val="0"/>
          <w:sz w:val="32"/>
          <w:szCs w:val="32"/>
          <w:rtl/>
          <w14:ligatures w14:val="none"/>
        </w:rPr>
        <w:t xml:space="preserve">5.1.2 </w:t>
      </w:r>
      <w:r w:rsidR="00703DAA" w:rsidRPr="009B67DA">
        <w:rPr>
          <w:rFonts w:ascii="Simplified Arabic" w:eastAsia="Times New Roman" w:hAnsi="Simplified Arabic" w:cs="Simplified Arabic"/>
          <w:b/>
          <w:bCs/>
          <w:color w:val="000000" w:themeColor="text1"/>
          <w:kern w:val="0"/>
          <w:sz w:val="32"/>
          <w:szCs w:val="32"/>
          <w:rtl/>
          <w14:ligatures w14:val="none"/>
        </w:rPr>
        <w:t>أهداف التحول الرقمي</w:t>
      </w:r>
      <w:bookmarkEnd w:id="27"/>
    </w:p>
    <w:p w14:paraId="2FFF4DE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يتّجه التحول الرقمي في المنظمات المعاصرة نحو تحقيق منظومةٍ متكاملةٍ من الأهداف الاستراتيجية والتشغيلية والإنسانية، وهي أهدافٌ تتباين في تركيزها بحسب طبيعة القطاع وحجم المنظمة ومرحلة نضجها الرقمي. وقد تنوّعت آراء الباحثين في تحديد هذه الأهداف، وفيما يلي عرضٌ لأبرزها</w:t>
      </w:r>
      <w:r w:rsidRPr="009B67DA">
        <w:rPr>
          <w:rFonts w:ascii="Simplified Arabic" w:eastAsia="Times New Roman" w:hAnsi="Simplified Arabic" w:cs="Simplified Arabic"/>
          <w:color w:val="000000" w:themeColor="text1"/>
          <w:kern w:val="0"/>
          <w:sz w:val="28"/>
          <w:szCs w:val="28"/>
          <w14:ligatures w14:val="none"/>
        </w:rPr>
        <w:t>:</w:t>
      </w:r>
    </w:p>
    <w:p w14:paraId="705CA36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يذهب كردي </w:t>
      </w:r>
      <w:proofErr w:type="spellStart"/>
      <w:r w:rsidRPr="009B67DA">
        <w:rPr>
          <w:rFonts w:ascii="Simplified Arabic" w:eastAsia="Times New Roman" w:hAnsi="Simplified Arabic" w:cs="Simplified Arabic"/>
          <w:color w:val="000000" w:themeColor="text1"/>
          <w:kern w:val="0"/>
          <w:sz w:val="28"/>
          <w:szCs w:val="28"/>
          <w:rtl/>
          <w14:ligatures w14:val="none"/>
        </w:rPr>
        <w:t>وبرهومة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إلى أنّ التحول الرقمي يستهدف تحقيق جملةٍ من الأهداف يمكن إجمالها في: تعزيزِ رضا المستفيدين عبر تحسين تجربة الخدمة الرقمية، وتقليصِ الفجوة بين المنظمة وجمهورها من خلال قنواتٍ تفاعليّةٍ فوريّة، </w:t>
      </w:r>
      <w:proofErr w:type="spellStart"/>
      <w:r w:rsidRPr="009B67DA">
        <w:rPr>
          <w:rFonts w:ascii="Simplified Arabic" w:eastAsia="Times New Roman" w:hAnsi="Simplified Arabic" w:cs="Simplified Arabic"/>
          <w:color w:val="000000" w:themeColor="text1"/>
          <w:kern w:val="0"/>
          <w:sz w:val="28"/>
          <w:szCs w:val="28"/>
          <w:rtl/>
          <w14:ligatures w14:val="none"/>
        </w:rPr>
        <w:t>وأتمتةِ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الإجراءات المُعقّدة بما يُخفّض التكاليف ويُسرّع الإنجاز، وتوفيرِ بياناتٍ دقيقةٍ لدعم عمليات صنع القرار، وتوسيعِ قاعدة الوصول إلى الخدمات بصرف النظر عن الحواجز الجغرافية</w:t>
      </w:r>
      <w:r w:rsidRPr="009B67DA">
        <w:rPr>
          <w:rFonts w:ascii="Simplified Arabic" w:eastAsia="Times New Roman" w:hAnsi="Simplified Arabic" w:cs="Simplified Arabic"/>
          <w:color w:val="000000" w:themeColor="text1"/>
          <w:kern w:val="0"/>
          <w:sz w:val="28"/>
          <w:szCs w:val="28"/>
          <w14:ligatures w14:val="none"/>
        </w:rPr>
        <w:t>.</w:t>
      </w:r>
    </w:p>
    <w:p w14:paraId="2CF5BCB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وفي المقابل، يرى الفارس وبني خالد (2022) أنّ التحول الرقمي يسعى إلى تحقيق أهدافٍ ذات طابعٍ قياديٍّ وتنظيميّ، تتمثّل في: بناءِ قيادةٍ رقميّةٍ قادرةٍ على توجيه المنظمة في البيئة الرقمية، وتطويرِ منظومة تكنولوجيا المعلومات لتُصبح شريكًا استراتيجيًّا لا مجرد وحدةٍ داعمة، وترسيخِ ثقافةٍ تنظيميّةٍ محفّزةٍ على التغيير، وتمكينِ الكوادر من امتلاك الكفاءات الرقمية اللازمة، وتحسينِ جودة الخدمات المُقدّمة للمستفيدين</w:t>
      </w:r>
      <w:r w:rsidRPr="009B67DA">
        <w:rPr>
          <w:rFonts w:ascii="Simplified Arabic" w:eastAsia="Times New Roman" w:hAnsi="Simplified Arabic" w:cs="Simplified Arabic"/>
          <w:color w:val="000000" w:themeColor="text1"/>
          <w:kern w:val="0"/>
          <w:sz w:val="28"/>
          <w:szCs w:val="28"/>
          <w14:ligatures w14:val="none"/>
        </w:rPr>
        <w:t>.</w:t>
      </w:r>
    </w:p>
    <w:p w14:paraId="6A55ED6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ويُضيف أبو طاقية وفتحي (2022) مجموعةً من الأهداف تتصل بتطوير وظائف الموارد البشرية، أبرزها: </w:t>
      </w:r>
      <w:proofErr w:type="spellStart"/>
      <w:r w:rsidRPr="009B67DA">
        <w:rPr>
          <w:rFonts w:ascii="Simplified Arabic" w:eastAsia="Times New Roman" w:hAnsi="Simplified Arabic" w:cs="Simplified Arabic"/>
          <w:color w:val="000000" w:themeColor="text1"/>
          <w:kern w:val="0"/>
          <w:sz w:val="28"/>
          <w:szCs w:val="28"/>
          <w:rtl/>
          <w14:ligatures w14:val="none"/>
        </w:rPr>
        <w:t>أتمتةُ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عمليات التوظيف والاستقطاب، وإعادةُ هندسة أنظمة الأداء والتقييم، وتطويرُ منصّاتٍ رقميّةٍ للتدريب والتعلّم المستمر، وتحسينُ إدارة سجلات العاملين ومعلوماتهم، وتعزيزُ التواصل الداخلي عبر قنواتٍ رقميّةٍ فعّالة. وتتقاطع هذه الأهداف مع ما يطرحه بصل والشرفا (2022) من أنّ التحول الرقمي يستهدف تحسين خدمات المؤسسات الحكومية عبر ثلاثة محاور: كفاءةُ الأداء، وجودةُ الخدمة، ورضا المستفيد</w:t>
      </w:r>
      <w:r w:rsidRPr="009B67DA">
        <w:rPr>
          <w:rFonts w:ascii="Simplified Arabic" w:eastAsia="Times New Roman" w:hAnsi="Simplified Arabic" w:cs="Simplified Arabic"/>
          <w:color w:val="000000" w:themeColor="text1"/>
          <w:kern w:val="0"/>
          <w:sz w:val="28"/>
          <w:szCs w:val="28"/>
          <w14:ligatures w14:val="none"/>
        </w:rPr>
        <w:t>.</w:t>
      </w:r>
    </w:p>
    <w:p w14:paraId="7D828832"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منظورٍ لوجستيّ، تُوسّع أدبيّاتٌ حديثة أهداف التحول الرقمي لتشمل ما يرتبط مباشرةً بسلاسل التوريد، إذ يُشير</w:t>
      </w:r>
      <w:r w:rsidRPr="009B67DA">
        <w:rPr>
          <w:rFonts w:ascii="Simplified Arabic" w:eastAsia="Times New Roman" w:hAnsi="Simplified Arabic" w:cs="Simplified Arabic"/>
          <w:color w:val="000000" w:themeColor="text1"/>
          <w:kern w:val="0"/>
          <w:sz w:val="28"/>
          <w:szCs w:val="28"/>
          <w14:ligatures w14:val="none"/>
        </w:rPr>
        <w:t xml:space="preserve"> Rashid et al. (2024) </w:t>
      </w:r>
      <w:r w:rsidRPr="009B67DA">
        <w:rPr>
          <w:rFonts w:ascii="Simplified Arabic" w:eastAsia="Times New Roman" w:hAnsi="Simplified Arabic" w:cs="Simplified Arabic"/>
          <w:color w:val="000000" w:themeColor="text1"/>
          <w:kern w:val="0"/>
          <w:sz w:val="28"/>
          <w:szCs w:val="28"/>
          <w:rtl/>
          <w14:ligatures w14:val="none"/>
        </w:rPr>
        <w:t>إلى أنّ التحول الرقمي يستهدف تعزيز قدرات معالجة المعلومات عبر السلسلة، وتحسين التنسيق بين الأطراف المتعدّدة، وتقوية القدرة على استشعار المخاطر مبكرًا. ويُضيف</w:t>
      </w:r>
      <w:r w:rsidRPr="009B67DA">
        <w:rPr>
          <w:rFonts w:ascii="Simplified Arabic" w:eastAsia="Times New Roman" w:hAnsi="Simplified Arabic" w:cs="Simplified Arabic"/>
          <w:color w:val="000000" w:themeColor="text1"/>
          <w:kern w:val="0"/>
          <w:sz w:val="28"/>
          <w:szCs w:val="28"/>
          <w14:ligatures w14:val="none"/>
        </w:rPr>
        <w:t xml:space="preserve"> Liang et al. (2025) </w:t>
      </w:r>
      <w:r w:rsidRPr="009B67DA">
        <w:rPr>
          <w:rFonts w:ascii="Simplified Arabic" w:eastAsia="Times New Roman" w:hAnsi="Simplified Arabic" w:cs="Simplified Arabic"/>
          <w:color w:val="000000" w:themeColor="text1"/>
          <w:kern w:val="0"/>
          <w:sz w:val="28"/>
          <w:szCs w:val="28"/>
          <w:rtl/>
          <w14:ligatures w14:val="none"/>
        </w:rPr>
        <w:t>أهدافًا أخرى تتمثّل في: بناءِ قدراتٍ ديناميكيّةٍ للاستجابة السريعة، وتحقيقِ التكامل الرأسي والأفقي عبر سلسلة التوريد، وتعزيزِ الشفافية في التتبّع والتعقّب، ودعمِ اتخاذ القرارات المبنيّة على البيانات في مواقف الاضطراب</w:t>
      </w:r>
      <w:r w:rsidRPr="009B67DA">
        <w:rPr>
          <w:rFonts w:ascii="Simplified Arabic" w:eastAsia="Times New Roman" w:hAnsi="Simplified Arabic" w:cs="Simplified Arabic"/>
          <w:color w:val="000000" w:themeColor="text1"/>
          <w:kern w:val="0"/>
          <w:sz w:val="28"/>
          <w:szCs w:val="28"/>
          <w14:ligatures w14:val="none"/>
        </w:rPr>
        <w:t>.</w:t>
      </w:r>
    </w:p>
    <w:p w14:paraId="13AFF44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ويتفق </w:t>
      </w:r>
      <w:proofErr w:type="spellStart"/>
      <w:r w:rsidRPr="009B67DA">
        <w:rPr>
          <w:rFonts w:ascii="Simplified Arabic" w:eastAsia="Times New Roman" w:hAnsi="Simplified Arabic" w:cs="Simplified Arabic"/>
          <w:color w:val="000000" w:themeColor="text1"/>
          <w:kern w:val="0"/>
          <w:sz w:val="28"/>
          <w:szCs w:val="28"/>
          <w:rtl/>
          <w14:ligatures w14:val="none"/>
        </w:rPr>
        <w:t>الرحيمي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والمطارنة (2025) على أنّ أهداف التحول الرقمي تمتد لتشمل الحدّ من مخاطر الاحتيال وتعزيز فاعلية الرقابة الداخلية، وهو ما يُضيف بُعدًا رقابيًّا لأهدافه. كما تُشير العليمات والشيخ (2025) إلى أنّ التحول الرقمي يستهدف تعزيز الالتزام والحدّ من الممارسات السلبية عبر منظومةٍ رقميّةٍ متكاملةٍ للرصد والمساءلة. وفي مجمل ما تقدّم، يمكن القول إنّ أهداف التحول الرقمي تتوزّع على أربعة محاور متكاملة: محورٌ استراتيجيّ يتصل بالميزة التنافسية والاستدامة، ومحورٌ تشغيليّ يتصل بالكفاءة والفاعلية، ومحورٌ خدميّ يتصل برضا المستفيدين، ومحورٌ رقابيّ يتصل بإدارة المخاطر وترشيد القرارات</w:t>
      </w:r>
      <w:r w:rsidRPr="009B67DA">
        <w:rPr>
          <w:rFonts w:ascii="Simplified Arabic" w:eastAsia="Times New Roman" w:hAnsi="Simplified Arabic" w:cs="Simplified Arabic"/>
          <w:color w:val="000000" w:themeColor="text1"/>
          <w:kern w:val="0"/>
          <w:sz w:val="28"/>
          <w:szCs w:val="28"/>
          <w14:ligatures w14:val="none"/>
        </w:rPr>
        <w:t>.</w:t>
      </w:r>
    </w:p>
    <w:p w14:paraId="603C1DD7" w14:textId="6A967867"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3990069"/>
      <w:r w:rsidRPr="009B67DA">
        <w:rPr>
          <w:rFonts w:ascii="Simplified Arabic" w:eastAsia="Times New Roman" w:hAnsi="Simplified Arabic" w:cs="Simplified Arabic" w:hint="cs"/>
          <w:b/>
          <w:bCs/>
          <w:color w:val="000000" w:themeColor="text1"/>
          <w:kern w:val="0"/>
          <w:sz w:val="32"/>
          <w:szCs w:val="32"/>
          <w:rtl/>
          <w14:ligatures w14:val="none"/>
        </w:rPr>
        <w:t xml:space="preserve">6.1.2 </w:t>
      </w:r>
      <w:r w:rsidR="00703DAA" w:rsidRPr="009B67DA">
        <w:rPr>
          <w:rFonts w:ascii="Simplified Arabic" w:eastAsia="Times New Roman" w:hAnsi="Simplified Arabic" w:cs="Simplified Arabic"/>
          <w:b/>
          <w:bCs/>
          <w:color w:val="000000" w:themeColor="text1"/>
          <w:kern w:val="0"/>
          <w:sz w:val="32"/>
          <w:szCs w:val="32"/>
          <w:rtl/>
          <w14:ligatures w14:val="none"/>
        </w:rPr>
        <w:t>المداخل النظرية المفسّرة للتحول الرقمي</w:t>
      </w:r>
      <w:bookmarkEnd w:id="28"/>
    </w:p>
    <w:p w14:paraId="7D51A236"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اعتمد الباحثون في تفسير ظاهرة التحول الرقمي على مداخل نظريّةٍ متعدّدة، انعكاسًا لتعقيد الظاهرة وتشعّب أبعادها. ومن أبرز هذه المداخل مدخلُ القدرات الديناميكية الذي يرى أن التحول الرقمي هو تعبيرٌ عن قدرة المنظمة على إعادة تشكيل مواردها وكفاءاتها للاستجابة لتغيّرات البيئة، وقد اعتمد عليه خطيب والشوابكة (2022) في تفسير كيفية توظيف الجامعات لقدراتها في إحداث التحول الرقمي عبر إدارة علاقات العملاء الإلكترونية والتجديد الاستراتيجي. ويُقدّم هذا المدخل إطارًا مُفسّرًا لكيفية تحويل الموارد التقنية إلى ميزةٍ تنافسيّةٍ مستدامة</w:t>
      </w:r>
      <w:r w:rsidRPr="009B67DA">
        <w:rPr>
          <w:rFonts w:ascii="Simplified Arabic" w:eastAsia="Times New Roman" w:hAnsi="Simplified Arabic" w:cs="Simplified Arabic"/>
          <w:color w:val="000000" w:themeColor="text1"/>
          <w:kern w:val="0"/>
          <w:sz w:val="28"/>
          <w:szCs w:val="28"/>
          <w14:ligatures w14:val="none"/>
        </w:rPr>
        <w:t>.</w:t>
      </w:r>
    </w:p>
    <w:p w14:paraId="3FC8DB0B"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ومن المداخل المهمّة أيضًا مدخلُ المرونة الاستراتيجية الذي يرى أن التحول الرقمي وسيلةٌ لبناء قدرةٍ استراتيجيّةٍ على التكيّف السريع مع الاضطرابات، وقد اعتمده العمارات والمحاسنة (2023) في دراسته على شركة المناصير. كما يبرز مدخلُ الصناعة الرابعة الذي يرى في التحول الرقمي مرحلةً متقدّمةً من دمج التقنيات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-الفيزيائية في العمليات، وقد وظّفه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Ghobakhloo</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(2025) </w:t>
      </w:r>
      <w:r w:rsidRPr="009B67DA">
        <w:rPr>
          <w:rFonts w:ascii="Simplified Arabic" w:eastAsia="Times New Roman" w:hAnsi="Simplified Arabic" w:cs="Simplified Arabic"/>
          <w:color w:val="000000" w:themeColor="text1"/>
          <w:kern w:val="0"/>
          <w:sz w:val="28"/>
          <w:szCs w:val="28"/>
          <w:rtl/>
          <w14:ligatures w14:val="none"/>
        </w:rPr>
        <w:t>في تحليل خارطة الطريق الاستراتيجية لبناء مرونة سلاسل التوريد. ويُقدّم مدخلُ معالجة المعلومات إطارًا آخر يُركّز على قدرة المنظمة على استقبال المعلومات وتحليلها ومشاركتها، وهو ما تبنّاه</w:t>
      </w:r>
      <w:r w:rsidRPr="009B67DA">
        <w:rPr>
          <w:rFonts w:ascii="Simplified Arabic" w:eastAsia="Times New Roman" w:hAnsi="Simplified Arabic" w:cs="Simplified Arabic"/>
          <w:color w:val="000000" w:themeColor="text1"/>
          <w:kern w:val="0"/>
          <w:sz w:val="28"/>
          <w:szCs w:val="28"/>
          <w14:ligatures w14:val="none"/>
        </w:rPr>
        <w:t xml:space="preserve"> Rashid et al. (2024) </w:t>
      </w:r>
      <w:r w:rsidRPr="009B67DA">
        <w:rPr>
          <w:rFonts w:ascii="Simplified Arabic" w:eastAsia="Times New Roman" w:hAnsi="Simplified Arabic" w:cs="Simplified Arabic"/>
          <w:color w:val="000000" w:themeColor="text1"/>
          <w:kern w:val="0"/>
          <w:sz w:val="28"/>
          <w:szCs w:val="28"/>
          <w:rtl/>
          <w14:ligatures w14:val="none"/>
        </w:rPr>
        <w:t>في تفسير العلاقة بين التحول الرقمي وإدارة المخاطر عبر سلاسل التوريد</w:t>
      </w:r>
      <w:r w:rsidRPr="009B67DA">
        <w:rPr>
          <w:rFonts w:ascii="Simplified Arabic" w:eastAsia="Times New Roman" w:hAnsi="Simplified Arabic" w:cs="Simplified Arabic"/>
          <w:color w:val="000000" w:themeColor="text1"/>
          <w:kern w:val="0"/>
          <w:sz w:val="28"/>
          <w:szCs w:val="28"/>
          <w14:ligatures w14:val="none"/>
        </w:rPr>
        <w:t>.</w:t>
      </w:r>
    </w:p>
    <w:p w14:paraId="1787FE5B"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وأخيرًا، يُقدّم مدخلُ التوأمة الرقمية</w:t>
      </w:r>
      <w:r w:rsidRPr="009B67DA">
        <w:rPr>
          <w:rFonts w:ascii="Simplified Arabic" w:eastAsia="Times New Roman" w:hAnsi="Simplified Arabic" w:cs="Simplified Arabic"/>
          <w:color w:val="000000" w:themeColor="text1"/>
          <w:kern w:val="0"/>
          <w:sz w:val="28"/>
          <w:szCs w:val="28"/>
          <w14:ligatures w14:val="none"/>
        </w:rPr>
        <w:t xml:space="preserve"> (Digital Twin) </w:t>
      </w:r>
      <w:r w:rsidRPr="009B67DA">
        <w:rPr>
          <w:rFonts w:ascii="Simplified Arabic" w:eastAsia="Times New Roman" w:hAnsi="Simplified Arabic" w:cs="Simplified Arabic"/>
          <w:color w:val="000000" w:themeColor="text1"/>
          <w:kern w:val="0"/>
          <w:sz w:val="28"/>
          <w:szCs w:val="28"/>
          <w:rtl/>
          <w14:ligatures w14:val="none"/>
        </w:rPr>
        <w:t>رؤيةً تُفسّر التحول الرقمي بوصفه بناءً لنسخةٍ رقميّةٍ افتراضيّةٍ من العمليات الفعلية تُمكّن من محاكاة السيناريوهات واختبار الاستجابات، وهو المدخل الذي طوّره</w:t>
      </w:r>
      <w:r w:rsidRPr="009B67DA">
        <w:rPr>
          <w:rFonts w:ascii="Simplified Arabic" w:eastAsia="Times New Roman" w:hAnsi="Simplified Arabic" w:cs="Simplified Arabic"/>
          <w:color w:val="000000" w:themeColor="text1"/>
          <w:kern w:val="0"/>
          <w:sz w:val="28"/>
          <w:szCs w:val="28"/>
          <w14:ligatures w14:val="none"/>
        </w:rPr>
        <w:t xml:space="preserve"> Ivanov &amp; </w:t>
      </w:r>
      <w:proofErr w:type="spellStart"/>
      <w:r w:rsidRPr="009B67DA">
        <w:rPr>
          <w:rFonts w:ascii="Simplified Arabic" w:eastAsia="Times New Roman" w:hAnsi="Simplified Arabic" w:cs="Simplified Arabic"/>
          <w:color w:val="000000" w:themeColor="text1"/>
          <w:kern w:val="0"/>
          <w:sz w:val="28"/>
          <w:szCs w:val="28"/>
          <w14:ligatures w14:val="none"/>
        </w:rPr>
        <w:t>Dolgui</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(2021) </w:t>
      </w:r>
      <w:r w:rsidRPr="009B67DA">
        <w:rPr>
          <w:rFonts w:ascii="Simplified Arabic" w:eastAsia="Times New Roman" w:hAnsi="Simplified Arabic" w:cs="Simplified Arabic"/>
          <w:color w:val="000000" w:themeColor="text1"/>
          <w:kern w:val="0"/>
          <w:sz w:val="28"/>
          <w:szCs w:val="28"/>
          <w:rtl/>
          <w14:ligatures w14:val="none"/>
        </w:rPr>
        <w:t>في تحليل إدارة اضطرابات سلاسل التوريد</w:t>
      </w:r>
      <w:r w:rsidRPr="009B67DA">
        <w:rPr>
          <w:rFonts w:ascii="Simplified Arabic" w:eastAsia="Times New Roman" w:hAnsi="Simplified Arabic" w:cs="Simplified Arabic"/>
          <w:color w:val="000000" w:themeColor="text1"/>
          <w:kern w:val="0"/>
          <w:sz w:val="28"/>
          <w:szCs w:val="28"/>
          <w14:ligatures w14:val="none"/>
        </w:rPr>
        <w:t>.</w:t>
      </w:r>
    </w:p>
    <w:p w14:paraId="573595DD" w14:textId="234E927A"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990070"/>
      <w:r w:rsidRPr="009B67DA">
        <w:rPr>
          <w:rFonts w:ascii="Simplified Arabic" w:eastAsia="Times New Roman" w:hAnsi="Simplified Arabic" w:cs="Simplified Arabic" w:hint="cs"/>
          <w:b/>
          <w:bCs/>
          <w:color w:val="000000" w:themeColor="text1"/>
          <w:kern w:val="0"/>
          <w:sz w:val="32"/>
          <w:szCs w:val="32"/>
          <w:rtl/>
          <w14:ligatures w14:val="none"/>
        </w:rPr>
        <w:t xml:space="preserve">7.1.2 </w:t>
      </w:r>
      <w:r w:rsidR="00703DAA" w:rsidRPr="009B67DA">
        <w:rPr>
          <w:rFonts w:ascii="Simplified Arabic" w:eastAsia="Times New Roman" w:hAnsi="Simplified Arabic" w:cs="Simplified Arabic"/>
          <w:b/>
          <w:bCs/>
          <w:color w:val="000000" w:themeColor="text1"/>
          <w:kern w:val="0"/>
          <w:sz w:val="32"/>
          <w:szCs w:val="32"/>
          <w:rtl/>
          <w14:ligatures w14:val="none"/>
        </w:rPr>
        <w:t>أبعاد التحول الرقمي</w:t>
      </w:r>
      <w:bookmarkEnd w:id="29"/>
    </w:p>
    <w:p w14:paraId="3DC330F4"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تمّ تحديد أبعاد التحول الرقمي في الدراسة الحالية بناءً على دراسة </w:t>
      </w:r>
      <w:proofErr w:type="spellStart"/>
      <w:r w:rsidRPr="009B67DA">
        <w:rPr>
          <w:rFonts w:ascii="Simplified Arabic" w:eastAsia="Times New Roman" w:hAnsi="Simplified Arabic" w:cs="Simplified Arabic"/>
          <w:color w:val="000000" w:themeColor="text1"/>
          <w:kern w:val="0"/>
          <w:sz w:val="28"/>
          <w:szCs w:val="28"/>
          <w:rtl/>
          <w14:ligatures w14:val="none"/>
        </w:rPr>
        <w:t>الرفوع</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ومفلح (2025) ودراسة الربيع ومفلح (2024) ودراسة العمارات والمحاسنة (2023)، وذلك لملاءمة هذه الأبعاد للسياق التنظيمي للشركات اللوجستية، ولتغطيتها الشاملة للجوانب التقنية والبشرية والثقافية للتحول. وقد استقرّت الدراسة على أربعة أبعادٍ متكاملةٍ ومترابطة، هي: البنية التحتية الرقمية، والتكنولوجيا الرقمية، والثقافة الرقمية، والمهارات الرقمية. وفيما يلي عرضٌ تفصيليّ لكلٍّ منها</w:t>
      </w:r>
      <w:r w:rsidRPr="009B67DA">
        <w:rPr>
          <w:rFonts w:ascii="Simplified Arabic" w:eastAsia="Times New Roman" w:hAnsi="Simplified Arabic" w:cs="Simplified Arabic"/>
          <w:color w:val="000000" w:themeColor="text1"/>
          <w:kern w:val="0"/>
          <w:sz w:val="28"/>
          <w:szCs w:val="28"/>
          <w14:ligatures w14:val="none"/>
        </w:rPr>
        <w:t>:</w:t>
      </w:r>
    </w:p>
    <w:p w14:paraId="0439C92D"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الأول: البنية التحتية الرقمية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 xml:space="preserve">تُمثّل البنية التحتية الرقمية العمود الفقري الذي يقوم عليه التحول الرقمي، إذ تُشكّل الأساس المادي والافتراضي الذي تُبنى فوقه سائر المكوّنات الأخرى. وتشمل هذه البنية مجموعةَ الأجهزة والشبكات والخوادم ومنظومات التخزين والاتصالات التي تُتيح تدفّق البيانات ومعالجتها بصورةٍ فوريّةٍ وآمنة. وفي القطاع اللوجستي تحديدًا، تكتسب البنية التحتية الرقمية أهميةً استثنائيّة، لأنّ عمليات النقل والتخزين والتتبّع تعتمد اعتمادًا مباشرًا على شبكاتٍ عالية الأداء وأنظمةٍ متكاملةٍ للربط بين مواقع العمل المتفرّقة جغرافيًّا. ويُشير محمد وحسن </w:t>
      </w:r>
      <w:proofErr w:type="spellStart"/>
      <w:r w:rsidRPr="009B67DA">
        <w:rPr>
          <w:rFonts w:ascii="Simplified Arabic" w:eastAsia="Times New Roman" w:hAnsi="Simplified Arabic" w:cs="Simplified Arabic"/>
          <w:color w:val="000000" w:themeColor="text1"/>
          <w:kern w:val="0"/>
          <w:sz w:val="28"/>
          <w:szCs w:val="28"/>
          <w:rtl/>
          <w14:ligatures w14:val="none"/>
        </w:rPr>
        <w:t>وفرماوي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(2025) إلى أنّ البنية التحتية الرقمية تتضمّن كذلك منظومات الحوسبة السحابية التي تُتيح للمنظمة الوصول إلى موارد حاسوبيّةٍ مرنةٍ وقابلةٍ للتوسّع دون الحاجة إلى استثماراتٍ ضخمةٍ في أصولٍ ثابتة. كما تشمل البنية التحتية أنظمةَ الأمن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التي تحمي البيانات والعمليات من التهديدات الإلكترونية المتنامية، وهو ما أبرزه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Creazza</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(2022) </w:t>
      </w:r>
      <w:r w:rsidRPr="009B67DA">
        <w:rPr>
          <w:rFonts w:ascii="Simplified Arabic" w:eastAsia="Times New Roman" w:hAnsi="Simplified Arabic" w:cs="Simplified Arabic"/>
          <w:color w:val="000000" w:themeColor="text1"/>
          <w:kern w:val="0"/>
          <w:sz w:val="28"/>
          <w:szCs w:val="28"/>
          <w:rtl/>
          <w14:ligatures w14:val="none"/>
        </w:rPr>
        <w:t xml:space="preserve">في دراسته حول إدراك مديري سلاسل التوريد لمخاطر الأمن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w:t>
      </w:r>
      <w:proofErr w:type="spellEnd"/>
      <w:r w:rsidRPr="009B67DA">
        <w:rPr>
          <w:rFonts w:ascii="Simplified Arabic" w:eastAsia="Times New Roman" w:hAnsi="Simplified Arabic" w:cs="Simplified Arabic"/>
          <w:color w:val="000000" w:themeColor="text1"/>
          <w:kern w:val="0"/>
          <w:sz w:val="28"/>
          <w:szCs w:val="28"/>
          <w:rtl/>
          <w14:ligatures w14:val="none"/>
        </w:rPr>
        <w:t>. ولا تقتصر هذه البنية على المكوّنات المادية، بل تمتد لتشمل قواعد البيانات المتكاملة ومنصّات التكامل بين الأنظمة</w:t>
      </w:r>
      <w:r w:rsidRPr="009B67DA">
        <w:rPr>
          <w:rFonts w:ascii="Simplified Arabic" w:eastAsia="Times New Roman" w:hAnsi="Simplified Arabic" w:cs="Simplified Arabic"/>
          <w:color w:val="000000" w:themeColor="text1"/>
          <w:kern w:val="0"/>
          <w:sz w:val="28"/>
          <w:szCs w:val="28"/>
          <w14:ligatures w14:val="none"/>
        </w:rPr>
        <w:t xml:space="preserve"> (Integration Platforms) </w:t>
      </w:r>
      <w:r w:rsidRPr="009B67DA">
        <w:rPr>
          <w:rFonts w:ascii="Simplified Arabic" w:eastAsia="Times New Roman" w:hAnsi="Simplified Arabic" w:cs="Simplified Arabic"/>
          <w:color w:val="000000" w:themeColor="text1"/>
          <w:kern w:val="0"/>
          <w:sz w:val="28"/>
          <w:szCs w:val="28"/>
          <w:rtl/>
          <w14:ligatures w14:val="none"/>
        </w:rPr>
        <w:t>التي تُتيح تدفّق المعلومات بسلاسةٍ بين الوحدات المختلفة داخل المنظمة وبين المنظمة وشركائها في سلسلة التوريد</w:t>
      </w:r>
      <w:r w:rsidRPr="009B67DA">
        <w:rPr>
          <w:rFonts w:ascii="Simplified Arabic" w:eastAsia="Times New Roman" w:hAnsi="Simplified Arabic" w:cs="Simplified Arabic"/>
          <w:color w:val="000000" w:themeColor="text1"/>
          <w:kern w:val="0"/>
          <w:sz w:val="28"/>
          <w:szCs w:val="28"/>
          <w14:ligatures w14:val="none"/>
        </w:rPr>
        <w:t>.</w:t>
      </w:r>
    </w:p>
    <w:p w14:paraId="37E7703B"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الثاني: التكنولوجيا الرقمية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 xml:space="preserve">تُشير التكنولوجيا الرقمية إلى المنظومة المتكاملة من التطبيقات والأدوات والحلول البرمجية التي توظّفها المنظمة في إعادة تصميم عملياتها وتقديم قيمةٍ مضافةٍ </w:t>
      </w:r>
      <w:proofErr w:type="spellStart"/>
      <w:r w:rsidRPr="009B67DA">
        <w:rPr>
          <w:rFonts w:ascii="Simplified Arabic" w:eastAsia="Times New Roman" w:hAnsi="Simplified Arabic" w:cs="Simplified Arabic"/>
          <w:color w:val="000000" w:themeColor="text1"/>
          <w:kern w:val="0"/>
          <w:sz w:val="28"/>
          <w:szCs w:val="28"/>
          <w:rtl/>
          <w14:ligatures w14:val="none"/>
        </w:rPr>
        <w:t>لمستفيديها</w:t>
      </w:r>
      <w:proofErr w:type="spellEnd"/>
      <w:r w:rsidRPr="009B67DA">
        <w:rPr>
          <w:rFonts w:ascii="Simplified Arabic" w:eastAsia="Times New Roman" w:hAnsi="Simplified Arabic" w:cs="Simplified Arabic"/>
          <w:color w:val="000000" w:themeColor="text1"/>
          <w:kern w:val="0"/>
          <w:sz w:val="28"/>
          <w:szCs w:val="28"/>
          <w:rtl/>
          <w14:ligatures w14:val="none"/>
        </w:rPr>
        <w:t>. وتتضمّن هذه التكنولوجيا طيفًا واسعًا يمتد من التقنيات الأساسية كأنظمة تخطيط موارد المؤسسة</w:t>
      </w:r>
      <w:r w:rsidRPr="009B67DA">
        <w:rPr>
          <w:rFonts w:ascii="Simplified Arabic" w:eastAsia="Times New Roman" w:hAnsi="Simplified Arabic" w:cs="Simplified Arabic"/>
          <w:color w:val="000000" w:themeColor="text1"/>
          <w:kern w:val="0"/>
          <w:sz w:val="28"/>
          <w:szCs w:val="28"/>
          <w14:ligatures w14:val="none"/>
        </w:rPr>
        <w:t xml:space="preserve"> (ERP) </w:t>
      </w:r>
      <w:r w:rsidRPr="009B67DA">
        <w:rPr>
          <w:rFonts w:ascii="Simplified Arabic" w:eastAsia="Times New Roman" w:hAnsi="Simplified Arabic" w:cs="Simplified Arabic"/>
          <w:color w:val="000000" w:themeColor="text1"/>
          <w:kern w:val="0"/>
          <w:sz w:val="28"/>
          <w:szCs w:val="28"/>
          <w:rtl/>
          <w14:ligatures w14:val="none"/>
        </w:rPr>
        <w:t>وأنظمة إدارة سلاسل التوريد</w:t>
      </w:r>
      <w:r w:rsidRPr="009B67DA">
        <w:rPr>
          <w:rFonts w:ascii="Simplified Arabic" w:eastAsia="Times New Roman" w:hAnsi="Simplified Arabic" w:cs="Simplified Arabic"/>
          <w:color w:val="000000" w:themeColor="text1"/>
          <w:kern w:val="0"/>
          <w:sz w:val="28"/>
          <w:szCs w:val="28"/>
          <w14:ligatures w14:val="none"/>
        </w:rPr>
        <w:t xml:space="preserve"> (SCM)</w:t>
      </w:r>
      <w:r w:rsidRPr="009B67DA">
        <w:rPr>
          <w:rFonts w:ascii="Simplified Arabic" w:eastAsia="Times New Roman" w:hAnsi="Simplified Arabic" w:cs="Simplified Arabic"/>
          <w:color w:val="000000" w:themeColor="text1"/>
          <w:kern w:val="0"/>
          <w:sz w:val="28"/>
          <w:szCs w:val="28"/>
          <w:rtl/>
          <w14:ligatures w14:val="none"/>
        </w:rPr>
        <w:t>، إلى التقنيات المتقدّمة كالذكاء الاصطناعي والتعلّم الآلي وتحليلات البيانات الضخمة وإنترنت الأشياء والبلوك تشين. وفي السياق اللوجستي، يُبرز</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Rauniyar</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الدور المحوري لتقنية البلوك تشين في تعزيز شفافية سلاسل التوريد وتتبّع الأصول ومكافحة التزوير. ويُضيف</w:t>
      </w:r>
      <w:r w:rsidRPr="009B67DA">
        <w:rPr>
          <w:rFonts w:ascii="Simplified Arabic" w:eastAsia="Times New Roman" w:hAnsi="Simplified Arabic" w:cs="Simplified Arabic"/>
          <w:color w:val="000000" w:themeColor="text1"/>
          <w:kern w:val="0"/>
          <w:sz w:val="28"/>
          <w:szCs w:val="28"/>
          <w14:ligatures w14:val="none"/>
        </w:rPr>
        <w:t xml:space="preserve"> Ivanov &amp; </w:t>
      </w:r>
      <w:proofErr w:type="spellStart"/>
      <w:r w:rsidRPr="009B67DA">
        <w:rPr>
          <w:rFonts w:ascii="Simplified Arabic" w:eastAsia="Times New Roman" w:hAnsi="Simplified Arabic" w:cs="Simplified Arabic"/>
          <w:color w:val="000000" w:themeColor="text1"/>
          <w:kern w:val="0"/>
          <w:sz w:val="28"/>
          <w:szCs w:val="28"/>
          <w14:ligatures w14:val="none"/>
        </w:rPr>
        <w:t>Dolgui</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(2021) </w:t>
      </w:r>
      <w:r w:rsidRPr="009B67DA">
        <w:rPr>
          <w:rFonts w:ascii="Simplified Arabic" w:eastAsia="Times New Roman" w:hAnsi="Simplified Arabic" w:cs="Simplified Arabic"/>
          <w:color w:val="000000" w:themeColor="text1"/>
          <w:kern w:val="0"/>
          <w:sz w:val="28"/>
          <w:szCs w:val="28"/>
          <w:rtl/>
          <w14:ligatures w14:val="none"/>
        </w:rPr>
        <w:t>بُعدًا تكنولوجيًّا متقدّمًا يتمثّل في تقنية التوأمة الرقمية التي تُتيح إنشاء نسخةٍ افتراضيّةٍ من سلسلة التوريد لمحاكاة الاضطرابات واختبار سيناريوهات الاستجابة قبل تطبيقها فعليًّا. ويُشير</w:t>
      </w:r>
      <w:r w:rsidRPr="009B67DA">
        <w:rPr>
          <w:rFonts w:ascii="Simplified Arabic" w:eastAsia="Times New Roman" w:hAnsi="Simplified Arabic" w:cs="Simplified Arabic"/>
          <w:color w:val="000000" w:themeColor="text1"/>
          <w:kern w:val="0"/>
          <w:sz w:val="28"/>
          <w:szCs w:val="28"/>
          <w14:ligatures w14:val="none"/>
        </w:rPr>
        <w:t xml:space="preserve"> Pandey et al. (2023) </w:t>
      </w:r>
      <w:r w:rsidRPr="009B67DA">
        <w:rPr>
          <w:rFonts w:ascii="Simplified Arabic" w:eastAsia="Times New Roman" w:hAnsi="Simplified Arabic" w:cs="Simplified Arabic"/>
          <w:color w:val="000000" w:themeColor="text1"/>
          <w:kern w:val="0"/>
          <w:sz w:val="28"/>
          <w:szCs w:val="28"/>
          <w:rtl/>
          <w14:ligatures w14:val="none"/>
        </w:rPr>
        <w:t>إلى أنّ تقنيات الصناعة الرابعة تُعيد تشكيل خريطة المخاطر في سلاسل التوريد، بما يستلزم منظومةً تكنولوجيّةً قادرةً على استيعاب هذه التحوّلات. وتُمثّل التكنولوجيا الرقمية في هذا الإطار أداةَ التمكين التي تنقل البنية التحتية من كونها مجرد قدرةٍ كامنةٍ إلى قدرةٍ فاعلةٍ تُنتج القيمة، شريطة أن يُحسَن اختيارها ودمجها في العمليات الجوهرية للمنظمة</w:t>
      </w:r>
      <w:r w:rsidRPr="009B67DA">
        <w:rPr>
          <w:rFonts w:ascii="Simplified Arabic" w:eastAsia="Times New Roman" w:hAnsi="Simplified Arabic" w:cs="Simplified Arabic"/>
          <w:color w:val="000000" w:themeColor="text1"/>
          <w:kern w:val="0"/>
          <w:sz w:val="28"/>
          <w:szCs w:val="28"/>
          <w14:ligatures w14:val="none"/>
        </w:rPr>
        <w:t>.</w:t>
      </w:r>
    </w:p>
    <w:p w14:paraId="44C959B4"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الثالث: الثقافة الرقمية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تُعدّ الثقافة الرقمية البُعدَ الأكثر تأثيرًا في نجاح التحول الرقمي أو إخفاقه، إذ إنّ توفّر التقنيات الأكثر تطوّرًا لن يُثمر إذا لم يكن مصحوبًا بمنظومةٍ من القيم والاتجاهات والسلوكيات الداعمة للتحول. وتُشير الثقافة الرقمية إلى مجموعة الافتراضات والمعتقدات المشتركة بين أعضاء المنظمة حول قيمة التقنيات الرقمية وأولوية تبنّيها والانفتاح على التغيير الذي تُحدثه. ويُبرز أحمد (2023) أنّ الثقافة الرقمية ترتبط ارتباطًا وثيقًا بالتعلّم التنظيمي، إذ تُشجّع على تجريب الأدوات الجديدة وتقبّل الفشل بوصفه مدخلًا للتعلّم، وهو ما يُميّزها عن الثقافات التقليدية التي تُعاقب على الأخطاء. وتتضمّن الثقافة الرقمية كذلك قيمَ التعاون والانفتاح ومشاركة المعرفة عبر الأقسام والوحدات، بدلًا من احتكارها في صوامع</w:t>
      </w:r>
      <w:r w:rsidRPr="009B67DA">
        <w:rPr>
          <w:rFonts w:ascii="Simplified Arabic" w:eastAsia="Times New Roman" w:hAnsi="Simplified Arabic" w:cs="Simplified Arabic"/>
          <w:color w:val="000000" w:themeColor="text1"/>
          <w:kern w:val="0"/>
          <w:sz w:val="28"/>
          <w:szCs w:val="28"/>
          <w14:ligatures w14:val="none"/>
        </w:rPr>
        <w:t xml:space="preserve"> (Silos) </w:t>
      </w:r>
      <w:r w:rsidRPr="009B67DA">
        <w:rPr>
          <w:rFonts w:ascii="Simplified Arabic" w:eastAsia="Times New Roman" w:hAnsi="Simplified Arabic" w:cs="Simplified Arabic"/>
          <w:color w:val="000000" w:themeColor="text1"/>
          <w:kern w:val="0"/>
          <w:sz w:val="28"/>
          <w:szCs w:val="28"/>
          <w:rtl/>
          <w14:ligatures w14:val="none"/>
        </w:rPr>
        <w:t xml:space="preserve">وظيفيّةٍ منعزلة. ويُضيف القطان </w:t>
      </w:r>
      <w:proofErr w:type="spellStart"/>
      <w:r w:rsidRPr="009B67DA">
        <w:rPr>
          <w:rFonts w:ascii="Simplified Arabic" w:eastAsia="Times New Roman" w:hAnsi="Simplified Arabic" w:cs="Simplified Arabic"/>
          <w:color w:val="000000" w:themeColor="text1"/>
          <w:kern w:val="0"/>
          <w:sz w:val="28"/>
          <w:szCs w:val="28"/>
          <w:rtl/>
          <w14:ligatures w14:val="none"/>
        </w:rPr>
        <w:t>والكرداوي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والحريري (2023) أنّ الثقافة الرقمية تُغذّي الابتكار التنظيميّ من خلال تحفيز الأفراد على اقتراح حلولٍ رقميّةٍ للمشكلات القائمة. كما تشمل الثقافة الرقمية توجيه اتخاذ القرار وفق منطق البيانات</w:t>
      </w:r>
      <w:r w:rsidRPr="009B67DA">
        <w:rPr>
          <w:rFonts w:ascii="Simplified Arabic" w:eastAsia="Times New Roman" w:hAnsi="Simplified Arabic" w:cs="Simplified Arabic"/>
          <w:color w:val="000000" w:themeColor="text1"/>
          <w:kern w:val="0"/>
          <w:sz w:val="28"/>
          <w:szCs w:val="28"/>
          <w14:ligatures w14:val="none"/>
        </w:rPr>
        <w:t xml:space="preserve"> (Data-Driven Decision Making) </w:t>
      </w:r>
      <w:r w:rsidRPr="009B67DA">
        <w:rPr>
          <w:rFonts w:ascii="Simplified Arabic" w:eastAsia="Times New Roman" w:hAnsi="Simplified Arabic" w:cs="Simplified Arabic"/>
          <w:color w:val="000000" w:themeColor="text1"/>
          <w:kern w:val="0"/>
          <w:sz w:val="28"/>
          <w:szCs w:val="28"/>
          <w:rtl/>
          <w14:ligatures w14:val="none"/>
        </w:rPr>
        <w:t>بدلًا من الاعتماد على الحدس أو الخبرة الشخصية فقط، وهو تحوّلٌ عميقٌ في الأنماط الإدارية السائدة. وفي القطاع اللوجستي، تكتسب الثقافة الرقمية أهميةً مضاعفة، لأنّ إدارة سلاسل التوريد تتطلّب تعاونًا وثيقًا بين أطرافٍ متعدّدة، وهو ما لا يتحقّق إلّا في ظلّ ثقافةٍ منفتحةٍ على تبادل البيانات والشفافية في المعاملات</w:t>
      </w:r>
      <w:r w:rsidRPr="009B67DA">
        <w:rPr>
          <w:rFonts w:ascii="Simplified Arabic" w:eastAsia="Times New Roman" w:hAnsi="Simplified Arabic" w:cs="Simplified Arabic"/>
          <w:color w:val="000000" w:themeColor="text1"/>
          <w:kern w:val="0"/>
          <w:sz w:val="28"/>
          <w:szCs w:val="28"/>
          <w14:ligatures w14:val="none"/>
        </w:rPr>
        <w:t>.</w:t>
      </w:r>
    </w:p>
    <w:p w14:paraId="7B83392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البُعد الرابع: المهارات الرقمية</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 xml:space="preserve">تُشكّل المهارات الرقمية القدرات الفنية والمعرفية والسلوكية التي يمتلكها العاملون والتي تُمكّنهم من التعامل الفاعل مع التقنيات الرقمية وتوظيفها في أداء أعمالهم. وتتوزّع هذه المهارات على مستوياتٍ متعدّدة، تبدأ بالمهارات الأساسية كاستخدام تطبيقات المكتب والتواصل الرقمي، وتتدرّج إلى المهارات المتوسّطة كتحليل البيانات وإدارة المشاريع الرقمية، وصولًا إلى المهارات المتقدّمة كبرمجة الأنظمة وتصميم الخوارزميات وتحليل البيانات الضخمة. ويُبرز </w:t>
      </w:r>
      <w:proofErr w:type="spellStart"/>
      <w:r w:rsidRPr="009B67DA">
        <w:rPr>
          <w:rFonts w:ascii="Simplified Arabic" w:eastAsia="Times New Roman" w:hAnsi="Simplified Arabic" w:cs="Simplified Arabic"/>
          <w:color w:val="000000" w:themeColor="text1"/>
          <w:kern w:val="0"/>
          <w:sz w:val="28"/>
          <w:szCs w:val="28"/>
          <w:rtl/>
          <w14:ligatures w14:val="none"/>
        </w:rPr>
        <w:t>الرفوع</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ومفلح (2025) أنّ تنمية المهارات الرقمية تُمثّل استثمارًا استراتيجيًّا في رأس المال البشري للمنظمة، إذ إنّ العائد على الاستثمار في التقنيات لا يتحقّق إلّا في ضوء قدرة الكوادر على توظيفها. وتشمل المهارات الرقمية كذلك ما يُعرف بـ “المهارات اللينة الرقمية” كالتفكير النقدي والحل الإبداعي للمشكلات والتعلّم الذاتي المستمر، لأنّ سرعة تطوّر التقنيات تجعل المعرفة الفنية عرضةً للتقادم السريع. وفي مجال الخدمات اللوجستية، يستلزم التحول الرقمي مهاراتٍ نوعيّةً كالقدرة على قراءة لوحات المعلومات</w:t>
      </w:r>
      <w:r w:rsidRPr="009B67DA">
        <w:rPr>
          <w:rFonts w:ascii="Simplified Arabic" w:eastAsia="Times New Roman" w:hAnsi="Simplified Arabic" w:cs="Simplified Arabic"/>
          <w:color w:val="000000" w:themeColor="text1"/>
          <w:kern w:val="0"/>
          <w:sz w:val="28"/>
          <w:szCs w:val="28"/>
          <w14:ligatures w14:val="none"/>
        </w:rPr>
        <w:t xml:space="preserve"> (Dashboards) </w:t>
      </w:r>
      <w:r w:rsidRPr="009B67DA">
        <w:rPr>
          <w:rFonts w:ascii="Simplified Arabic" w:eastAsia="Times New Roman" w:hAnsi="Simplified Arabic" w:cs="Simplified Arabic"/>
          <w:color w:val="000000" w:themeColor="text1"/>
          <w:kern w:val="0"/>
          <w:sz w:val="28"/>
          <w:szCs w:val="28"/>
          <w:rtl/>
          <w14:ligatures w14:val="none"/>
        </w:rPr>
        <w:t>وتفسير مؤشرات الأداء الفوريّة، والقدرة على التعامل مع أنظمة التتبّع الذكيّ، وإدارة العلاقات مع الشركاء عبر منصّات التكامل الرقمي</w:t>
      </w:r>
      <w:r w:rsidRPr="009B67DA">
        <w:rPr>
          <w:rFonts w:ascii="Simplified Arabic" w:eastAsia="Times New Roman" w:hAnsi="Simplified Arabic" w:cs="Simplified Arabic"/>
          <w:color w:val="000000" w:themeColor="text1"/>
          <w:kern w:val="0"/>
          <w:sz w:val="28"/>
          <w:szCs w:val="28"/>
          <w14:ligatures w14:val="none"/>
        </w:rPr>
        <w:t>.</w:t>
      </w:r>
    </w:p>
    <w:p w14:paraId="7434D3E0" w14:textId="7A616CF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990071"/>
      <w:r w:rsidRPr="009B67DA">
        <w:rPr>
          <w:rFonts w:ascii="Simplified Arabic" w:eastAsia="Times New Roman" w:hAnsi="Simplified Arabic" w:cs="Simplified Arabic" w:hint="cs"/>
          <w:b/>
          <w:bCs/>
          <w:color w:val="000000" w:themeColor="text1"/>
          <w:kern w:val="0"/>
          <w:sz w:val="32"/>
          <w:szCs w:val="32"/>
          <w:rtl/>
          <w14:ligatures w14:val="none"/>
        </w:rPr>
        <w:t xml:space="preserve">8.1.2 </w:t>
      </w:r>
      <w:r w:rsidR="00703DAA" w:rsidRPr="009B67DA">
        <w:rPr>
          <w:rFonts w:ascii="Simplified Arabic" w:eastAsia="Times New Roman" w:hAnsi="Simplified Arabic" w:cs="Simplified Arabic"/>
          <w:b/>
          <w:bCs/>
          <w:color w:val="000000" w:themeColor="text1"/>
          <w:kern w:val="0"/>
          <w:sz w:val="32"/>
          <w:szCs w:val="32"/>
          <w:rtl/>
          <w14:ligatures w14:val="none"/>
        </w:rPr>
        <w:t>استراتيجيات تطبيق التحول الرقمي</w:t>
      </w:r>
      <w:bookmarkEnd w:id="30"/>
    </w:p>
    <w:p w14:paraId="29B12D7D"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ينبني تفعيل التحول الرقمي على منظومةٍ من الاستراتيجيات المتكاملة التي تنقله من مستوى الرؤية إلى مستوى الممارسة. وتتمثّل الاستراتيجية الأولى في بناء رؤيةٍ رقميّةٍ متكاملة تنطلق من القيادة العليا وتنعكس على جميع مستويات المنظمة، بحيث تتّضح الغاية النهائية من التحول ومسارات تحقيقه. ويُبرز</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Ghobakhloo</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(2025) </w:t>
      </w:r>
      <w:r w:rsidRPr="009B67DA">
        <w:rPr>
          <w:rFonts w:ascii="Simplified Arabic" w:eastAsia="Times New Roman" w:hAnsi="Simplified Arabic" w:cs="Simplified Arabic"/>
          <w:color w:val="000000" w:themeColor="text1"/>
          <w:kern w:val="0"/>
          <w:sz w:val="28"/>
          <w:szCs w:val="28"/>
          <w:rtl/>
          <w14:ligatures w14:val="none"/>
        </w:rPr>
        <w:t>أهميّة وجود خارطة طريقٍ استراتيجيّةٍ تُوجّه جهود التحول وتُرتّب أولوياته وفق منطقٍ مرحليّ</w:t>
      </w:r>
      <w:r w:rsidRPr="009B67DA">
        <w:rPr>
          <w:rFonts w:ascii="Simplified Arabic" w:eastAsia="Times New Roman" w:hAnsi="Simplified Arabic" w:cs="Simplified Arabic"/>
          <w:color w:val="000000" w:themeColor="text1"/>
          <w:kern w:val="0"/>
          <w:sz w:val="28"/>
          <w:szCs w:val="28"/>
          <w14:ligatures w14:val="none"/>
        </w:rPr>
        <w:t>.</w:t>
      </w:r>
    </w:p>
    <w:p w14:paraId="0D2AEAA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وتتّصل الاستراتيجية الثانية بـ إعادة هندسة العمليات </w:t>
      </w:r>
      <w:r w:rsidRPr="009B67DA">
        <w:rPr>
          <w:rFonts w:ascii="Simplified Arabic" w:eastAsia="Times New Roman" w:hAnsi="Simplified Arabic" w:cs="Simplified Arabic"/>
          <w:color w:val="000000" w:themeColor="text1"/>
          <w:kern w:val="0"/>
          <w:sz w:val="28"/>
          <w:szCs w:val="28"/>
          <w14:ligatures w14:val="none"/>
        </w:rPr>
        <w:t xml:space="preserve">(Business Process Reengineering) </w:t>
      </w:r>
      <w:r w:rsidRPr="009B67DA">
        <w:rPr>
          <w:rFonts w:ascii="Simplified Arabic" w:eastAsia="Times New Roman" w:hAnsi="Simplified Arabic" w:cs="Simplified Arabic"/>
          <w:color w:val="000000" w:themeColor="text1"/>
          <w:kern w:val="0"/>
          <w:sz w:val="28"/>
          <w:szCs w:val="28"/>
          <w:rtl/>
          <w14:ligatures w14:val="none"/>
        </w:rPr>
        <w:t xml:space="preserve">لتتلاءم مع الإمكانات التي </w:t>
      </w:r>
      <w:proofErr w:type="spellStart"/>
      <w:r w:rsidRPr="009B67DA">
        <w:rPr>
          <w:rFonts w:ascii="Simplified Arabic" w:eastAsia="Times New Roman" w:hAnsi="Simplified Arabic" w:cs="Simplified Arabic"/>
          <w:color w:val="000000" w:themeColor="text1"/>
          <w:kern w:val="0"/>
          <w:sz w:val="28"/>
          <w:szCs w:val="28"/>
          <w:rtl/>
          <w14:ligatures w14:val="none"/>
        </w:rPr>
        <w:t>تُتيحها</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التقنيات الرقمية، إذ إنّ </w:t>
      </w:r>
      <w:proofErr w:type="spellStart"/>
      <w:r w:rsidRPr="009B67DA">
        <w:rPr>
          <w:rFonts w:ascii="Simplified Arabic" w:eastAsia="Times New Roman" w:hAnsi="Simplified Arabic" w:cs="Simplified Arabic"/>
          <w:color w:val="000000" w:themeColor="text1"/>
          <w:kern w:val="0"/>
          <w:sz w:val="28"/>
          <w:szCs w:val="28"/>
          <w:rtl/>
          <w14:ligatures w14:val="none"/>
        </w:rPr>
        <w:t>رقمنة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عمليّةٍ غير </w:t>
      </w:r>
      <w:proofErr w:type="spellStart"/>
      <w:r w:rsidRPr="009B67DA">
        <w:rPr>
          <w:rFonts w:ascii="Simplified Arabic" w:eastAsia="Times New Roman" w:hAnsi="Simplified Arabic" w:cs="Simplified Arabic"/>
          <w:color w:val="000000" w:themeColor="text1"/>
          <w:kern w:val="0"/>
          <w:sz w:val="28"/>
          <w:szCs w:val="28"/>
          <w:rtl/>
          <w14:ligatures w14:val="none"/>
        </w:rPr>
        <w:t>كفوءةٍ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لن ينتج عنها سوى عمليّةٍ غير </w:t>
      </w:r>
      <w:proofErr w:type="spellStart"/>
      <w:r w:rsidRPr="009B67DA">
        <w:rPr>
          <w:rFonts w:ascii="Simplified Arabic" w:eastAsia="Times New Roman" w:hAnsi="Simplified Arabic" w:cs="Simplified Arabic"/>
          <w:color w:val="000000" w:themeColor="text1"/>
          <w:kern w:val="0"/>
          <w:sz w:val="28"/>
          <w:szCs w:val="28"/>
          <w:rtl/>
          <w14:ligatures w14:val="none"/>
        </w:rPr>
        <w:t>كفوءةٍ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رقميًّا. ويستلزم ذلك مراجعةً جذريّةً لسلاسل القيمة وتحديد نقاط الاختناق والفرص المتاحة لإعادة التصميم. وتُبرز الاستراتيجية الثالثة أهميةَ الاستثمار في رأس المال البشري عبر برامج تدريبٍ مستمرّةٍ لتنمية المهارات الرقمية للكوادر، وجذبِ كفاءاتٍ نوعيّةٍ تمتلك خبراتٍ متخصّصةٍ في المجالات التقنية الحديثة</w:t>
      </w:r>
      <w:r w:rsidRPr="009B67DA">
        <w:rPr>
          <w:rFonts w:ascii="Simplified Arabic" w:eastAsia="Times New Roman" w:hAnsi="Simplified Arabic" w:cs="Simplified Arabic"/>
          <w:color w:val="000000" w:themeColor="text1"/>
          <w:kern w:val="0"/>
          <w:sz w:val="28"/>
          <w:szCs w:val="28"/>
          <w14:ligatures w14:val="none"/>
        </w:rPr>
        <w:t>.</w:t>
      </w:r>
    </w:p>
    <w:p w14:paraId="4278E521"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أما الاستراتيجية الرابعة فتتمثّل في بناء الشراكات الاستراتيجية مع مزوّدي التقنيات والاستشاريّين والمؤسسات الأكاديمية، بما يُتيح للمنظمة الوصول إلى معارف وقدراتٍ يصعب تنميتها داخليًّا. وتُشكّل الاستراتيجية الخامسة إطارًا حاكمًا للجميع، وتتمثّل في إرساء منظومةٍ متكاملةٍ </w:t>
      </w:r>
      <w:proofErr w:type="spellStart"/>
      <w:r w:rsidRPr="009B67DA">
        <w:rPr>
          <w:rFonts w:ascii="Simplified Arabic" w:eastAsia="Times New Roman" w:hAnsi="Simplified Arabic" w:cs="Simplified Arabic"/>
          <w:color w:val="000000" w:themeColor="text1"/>
          <w:kern w:val="0"/>
          <w:sz w:val="28"/>
          <w:szCs w:val="28"/>
          <w:rtl/>
          <w14:ligatures w14:val="none"/>
        </w:rPr>
        <w:t>للحوكمة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الرقمية تُوضّح الأدوار والمسؤوليات وتُنظّم عمليات صنع القرار وإدارة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 ويُضيف</w:t>
      </w:r>
      <w:r w:rsidRPr="009B67DA">
        <w:rPr>
          <w:rFonts w:ascii="Simplified Arabic" w:eastAsia="Times New Roman" w:hAnsi="Simplified Arabic" w:cs="Simplified Arabic"/>
          <w:color w:val="000000" w:themeColor="text1"/>
          <w:kern w:val="0"/>
          <w:sz w:val="28"/>
          <w:szCs w:val="28"/>
          <w14:ligatures w14:val="none"/>
        </w:rPr>
        <w:t xml:space="preserve"> Menezes &amp; Rete (2026) </w:t>
      </w:r>
      <w:r w:rsidRPr="009B67DA">
        <w:rPr>
          <w:rFonts w:ascii="Simplified Arabic" w:eastAsia="Times New Roman" w:hAnsi="Simplified Arabic" w:cs="Simplified Arabic"/>
          <w:color w:val="000000" w:themeColor="text1"/>
          <w:kern w:val="0"/>
          <w:sz w:val="28"/>
          <w:szCs w:val="28"/>
          <w:rtl/>
          <w14:ligatures w14:val="none"/>
        </w:rPr>
        <w:t>استراتيجيةً سادسةً تتصل بـ دمج إدارة المخاطر الرقمية في صميم استراتيجية التحول، بحيث لا تكون رد فعلٍ لاحقٍ بل جزءًا أصيلًا من التصميم الأوّلي للمبادرات الرقمية. وتُكمّل هذه الاستراتيجيات استراتيجيةٌ سابعةٌ تتصل بـ قياس النضج الرقمي بصورةٍ دوريّة، للوقوف على مواطن القوّة والضعف وتوجيه جهود التحسين المستمرّ</w:t>
      </w:r>
      <w:r w:rsidRPr="009B67DA">
        <w:rPr>
          <w:rFonts w:ascii="Simplified Arabic" w:eastAsia="Times New Roman" w:hAnsi="Simplified Arabic" w:cs="Simplified Arabic"/>
          <w:color w:val="000000" w:themeColor="text1"/>
          <w:kern w:val="0"/>
          <w:sz w:val="28"/>
          <w:szCs w:val="28"/>
          <w14:ligatures w14:val="none"/>
        </w:rPr>
        <w:t>.</w:t>
      </w:r>
    </w:p>
    <w:p w14:paraId="32FB0260" w14:textId="0F9A854F"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990072"/>
      <w:r w:rsidRPr="009B67DA">
        <w:rPr>
          <w:rFonts w:ascii="Simplified Arabic" w:eastAsia="Times New Roman" w:hAnsi="Simplified Arabic" w:cs="Simplified Arabic" w:hint="cs"/>
          <w:b/>
          <w:bCs/>
          <w:color w:val="000000" w:themeColor="text1"/>
          <w:kern w:val="0"/>
          <w:sz w:val="32"/>
          <w:szCs w:val="32"/>
          <w:rtl/>
          <w14:ligatures w14:val="none"/>
        </w:rPr>
        <w:t xml:space="preserve">9.1.2 </w:t>
      </w:r>
      <w:r w:rsidR="00703DAA" w:rsidRPr="009B67DA">
        <w:rPr>
          <w:rFonts w:ascii="Simplified Arabic" w:eastAsia="Times New Roman" w:hAnsi="Simplified Arabic" w:cs="Simplified Arabic"/>
          <w:b/>
          <w:bCs/>
          <w:color w:val="000000" w:themeColor="text1"/>
          <w:kern w:val="0"/>
          <w:sz w:val="32"/>
          <w:szCs w:val="32"/>
          <w:rtl/>
          <w14:ligatures w14:val="none"/>
        </w:rPr>
        <w:t>متطلبات ومعوّقات التحول الرقمي</w:t>
      </w:r>
      <w:bookmarkEnd w:id="31"/>
    </w:p>
    <w:p w14:paraId="6296D91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يستلزم نجاح التحول الرقمي توفّر جملةٍ من المتطلبات، أبرزها: التزامُ القيادة العليا وقناعتها بأهمية التحول، ووجودُ رؤيةٍ استراتيجيّةٍ واضحة، وتوفّرُ الموارد الماليّة والبشريّة الكافية، وإرساءُ منظومة </w:t>
      </w:r>
      <w:proofErr w:type="spellStart"/>
      <w:r w:rsidRPr="009B67DA">
        <w:rPr>
          <w:rFonts w:ascii="Simplified Arabic" w:eastAsia="Times New Roman" w:hAnsi="Simplified Arabic" w:cs="Simplified Arabic"/>
          <w:color w:val="000000" w:themeColor="text1"/>
          <w:kern w:val="0"/>
          <w:sz w:val="28"/>
          <w:szCs w:val="28"/>
          <w:rtl/>
          <w14:ligatures w14:val="none"/>
        </w:rPr>
        <w:t>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مناسبة، وبناءُ ثقافةٍ داعمة للتغيير. غير أنّ ثمة معوّقاتٍ تعترض هذا التحول، من أبرزها: مقاومةُ التغيير من قِبَل بعض العاملين، وقصورُ البنية التحتية في بعض السياقات، وارتفاعُ تكاليف الاستثمار في التقنيات المتقدّمة، وتناميُ مخاطر الأمن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w:t>
      </w:r>
      <w:proofErr w:type="spellEnd"/>
      <w:r w:rsidRPr="009B67DA">
        <w:rPr>
          <w:rFonts w:ascii="Simplified Arabic" w:eastAsia="Times New Roman" w:hAnsi="Simplified Arabic" w:cs="Simplified Arabic"/>
          <w:color w:val="000000" w:themeColor="text1"/>
          <w:kern w:val="0"/>
          <w:sz w:val="28"/>
          <w:szCs w:val="28"/>
          <w:rtl/>
          <w14:ligatures w14:val="none"/>
        </w:rPr>
        <w:t>، وضعفُ التوافق بين الأنظمة القديمة والحديثة، فضلًا عن نقصِ الكفاءات المتخصّصة في المهارات الرقمية النوعية</w:t>
      </w:r>
      <w:r w:rsidRPr="009B67DA">
        <w:rPr>
          <w:rFonts w:ascii="Simplified Arabic" w:eastAsia="Times New Roman" w:hAnsi="Simplified Arabic" w:cs="Simplified Arabic"/>
          <w:color w:val="000000" w:themeColor="text1"/>
          <w:kern w:val="0"/>
          <w:sz w:val="28"/>
          <w:szCs w:val="28"/>
          <w14:ligatures w14:val="none"/>
        </w:rPr>
        <w:t>.</w:t>
      </w:r>
    </w:p>
    <w:p w14:paraId="7419030A" w14:textId="103E70A4" w:rsidR="00703DAA" w:rsidRPr="009B67DA" w:rsidRDefault="003F570E" w:rsidP="003F570E">
      <w:pPr>
        <w:jc w:val="center"/>
        <w:outlineLvl w:val="1"/>
        <w:rPr>
          <w:rFonts w:ascii="Simplified Arabic" w:eastAsia="Times New Roman" w:hAnsi="Simplified Arabic" w:cs="Simplified Arabic"/>
          <w:b/>
          <w:bCs/>
          <w:color w:val="000000" w:themeColor="text1"/>
          <w:kern w:val="0"/>
          <w:sz w:val="36"/>
          <w:szCs w:val="36"/>
          <w14:ligatures w14:val="none"/>
        </w:rPr>
      </w:pPr>
      <w:r w:rsidRPr="009B67DA">
        <w:rPr>
          <w:rFonts w:ascii="Simplified Arabic" w:eastAsia="Times New Roman" w:hAnsi="Simplified Arabic" w:cs="Simplified Arabic"/>
          <w:b/>
          <w:bCs/>
          <w:color w:val="000000" w:themeColor="text1"/>
          <w:kern w:val="0"/>
          <w:sz w:val="36"/>
          <w:szCs w:val="36"/>
          <w14:ligatures w14:val="none"/>
        </w:rPr>
        <w:br w:type="page"/>
      </w:r>
      <w:bookmarkStart w:id="32" w:name="_Toc233990073"/>
      <w:r w:rsidR="00703DAA" w:rsidRPr="009B67DA">
        <w:rPr>
          <w:rFonts w:ascii="Simplified Arabic" w:eastAsia="Times New Roman" w:hAnsi="Simplified Arabic" w:cs="Simplified Arabic"/>
          <w:b/>
          <w:bCs/>
          <w:color w:val="000000" w:themeColor="text1"/>
          <w:kern w:val="0"/>
          <w:sz w:val="36"/>
          <w:szCs w:val="36"/>
          <w:rtl/>
          <w14:ligatures w14:val="none"/>
        </w:rPr>
        <w:t>المبحث الثاني: إدارة المخاطر (المتغير التابع)</w:t>
      </w:r>
      <w:bookmarkEnd w:id="32"/>
    </w:p>
    <w:p w14:paraId="7E9682C0" w14:textId="73C8ECF0"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990074"/>
      <w:r w:rsidRPr="009B67DA">
        <w:rPr>
          <w:rFonts w:ascii="Simplified Arabic" w:eastAsia="Times New Roman" w:hAnsi="Simplified Arabic" w:cs="Simplified Arabic" w:hint="cs"/>
          <w:b/>
          <w:bCs/>
          <w:color w:val="000000" w:themeColor="text1"/>
          <w:kern w:val="0"/>
          <w:sz w:val="32"/>
          <w:szCs w:val="32"/>
          <w:rtl/>
          <w14:ligatures w14:val="none"/>
        </w:rPr>
        <w:t xml:space="preserve">1.2.2 </w:t>
      </w:r>
      <w:r w:rsidR="00703DAA" w:rsidRPr="009B67DA">
        <w:rPr>
          <w:rFonts w:ascii="Simplified Arabic" w:eastAsia="Times New Roman" w:hAnsi="Simplified Arabic" w:cs="Simplified Arabic"/>
          <w:b/>
          <w:bCs/>
          <w:color w:val="000000" w:themeColor="text1"/>
          <w:kern w:val="0"/>
          <w:sz w:val="32"/>
          <w:szCs w:val="32"/>
          <w:rtl/>
          <w14:ligatures w14:val="none"/>
        </w:rPr>
        <w:t>تمهيد</w:t>
      </w:r>
      <w:bookmarkEnd w:id="33"/>
    </w:p>
    <w:p w14:paraId="6F230425"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في ظلّ بيئةٍ تنظيميّةٍ تتّسم بالتقلّب والتعقيد وعدم اليقين، لم يعد بمقدور المنظمات المعاصرة الاعتماد على أساليب الإدارة التقليدية في مواجهة ما يعترضها من تهديداتٍ متزايدةٍ ومتنوّعة. فقد أفرزت العولمة وتسارع التغيرات التقنية والتحوّلات الجيوسياسية والأزمات الصحية العالمية بيئةً حافلةً بالمخاطر التي تتشابك أبعادها وتتّسع دائرة تأثيرها. وقد كشفت جائحة كوفيد-19 عن هشاشة الكثير من المنظمات في مواجهة الاضطرابات غير المتوقّعة، وأبرزت الحاجة الملحّة إلى منظومةٍ متكاملةٍ لإدارة المخاطر تتجاوز المقاربات الجزئيّة إلى مقاربةٍ استراتيجيّةٍ شاملة (حفصي وبن منصور وبن محمود، 2022)</w:t>
      </w:r>
      <w:r w:rsidRPr="009B67DA">
        <w:rPr>
          <w:rFonts w:ascii="Simplified Arabic" w:eastAsia="Times New Roman" w:hAnsi="Simplified Arabic" w:cs="Simplified Arabic"/>
          <w:color w:val="000000" w:themeColor="text1"/>
          <w:kern w:val="0"/>
          <w:sz w:val="28"/>
          <w:szCs w:val="28"/>
          <w14:ligatures w14:val="none"/>
        </w:rPr>
        <w:t>.</w:t>
      </w:r>
    </w:p>
    <w:p w14:paraId="2D62FE26"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وقد شهد حقل إدارة المخاطر تطوّرًا نوعيًّا خلال العقود الأخيرة، إذ انتقل من مقاربةٍ ضيّقةٍ تركّز على المخاطر المالية والتأمينية، إلى مقاربةٍ موسّعةٍ تشمل كافّة أنواع المخاطر التي تواجه المنظمة، بما فيها المخاطر التشغيلية والاستراتيجية والسمعية </w:t>
      </w:r>
      <w:proofErr w:type="spellStart"/>
      <w:r w:rsidRPr="009B67DA">
        <w:rPr>
          <w:rFonts w:ascii="Simplified Arabic" w:eastAsia="Times New Roman" w:hAnsi="Simplified Arabic" w:cs="Simplified Arabic"/>
          <w:color w:val="000000" w:themeColor="text1"/>
          <w:kern w:val="0"/>
          <w:sz w:val="28"/>
          <w:szCs w:val="28"/>
          <w:rtl/>
          <w14:ligatures w14:val="none"/>
        </w:rPr>
        <w:t>والسيبرانية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 وفي القطاع اللوجستي بصفةٍ خاصة، تكتسب إدارة المخاطر أهميةً استثنائيّة، إذ إنّ سلاسل الإمداد تعمل في بيئةٍ عالميّةٍ مترابطة، يُمكن أن تنتقل فيها الاضطرابات بسرعةٍ عبر الحدود والقطاعات، وهو ما شهدته أزمات نقص الحاويات وارتفاع أسعار الطاقة واضطراب طرق الملاحة الدولية. ومن هنا، بات فهم إدارة المخاطر بصورةٍ معمّقةٍ ضرورةً لا غنى عنها لأيّ دراسةٍ تتناول أداء الشركات اللوجستية (</w:t>
      </w:r>
      <w:proofErr w:type="spellStart"/>
      <w:r w:rsidRPr="009B67DA">
        <w:rPr>
          <w:rFonts w:ascii="Simplified Arabic" w:eastAsia="Times New Roman" w:hAnsi="Simplified Arabic" w:cs="Simplified Arabic"/>
          <w:color w:val="000000" w:themeColor="text1"/>
          <w:kern w:val="0"/>
          <w:sz w:val="28"/>
          <w:szCs w:val="28"/>
          <w:rtl/>
          <w14:ligatures w14:val="none"/>
        </w:rPr>
        <w:t>السويري</w:t>
      </w:r>
      <w:proofErr w:type="spellEnd"/>
      <w:r w:rsidRPr="009B67DA">
        <w:rPr>
          <w:rFonts w:ascii="Simplified Arabic" w:eastAsia="Times New Roman" w:hAnsi="Simplified Arabic" w:cs="Simplified Arabic"/>
          <w:color w:val="000000" w:themeColor="text1"/>
          <w:kern w:val="0"/>
          <w:sz w:val="28"/>
          <w:szCs w:val="28"/>
          <w:rtl/>
          <w14:ligatures w14:val="none"/>
        </w:rPr>
        <w:t>، 2025)</w:t>
      </w:r>
      <w:r w:rsidRPr="009B67DA">
        <w:rPr>
          <w:rFonts w:ascii="Simplified Arabic" w:eastAsia="Times New Roman" w:hAnsi="Simplified Arabic" w:cs="Simplified Arabic"/>
          <w:color w:val="000000" w:themeColor="text1"/>
          <w:kern w:val="0"/>
          <w:sz w:val="28"/>
          <w:szCs w:val="28"/>
          <w14:ligatures w14:val="none"/>
        </w:rPr>
        <w:t>.</w:t>
      </w:r>
    </w:p>
    <w:p w14:paraId="49BCB146"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ويسعى هذا المبحث إلى تفكيك مفهوم إدارة المخاطر وتتبّع تطوّره الفكري، وبيان أهميته وأهدافه، ثمّ استعراض مداخله النظرية المفسّرة، وعرض مكوّناته وعمليّاته الرئيسة، وصولًا إلى استراتيجيات تفعيله ومتطلبات ومعوّقات تطبيقه، مع تقديم عناوين بحثيّةٍ حديثةٍ تُعزّز الأساس النظري للدراسة الحالية</w:t>
      </w:r>
      <w:r w:rsidRPr="009B67DA">
        <w:rPr>
          <w:rFonts w:ascii="Simplified Arabic" w:eastAsia="Times New Roman" w:hAnsi="Simplified Arabic" w:cs="Simplified Arabic"/>
          <w:color w:val="000000" w:themeColor="text1"/>
          <w:kern w:val="0"/>
          <w:sz w:val="28"/>
          <w:szCs w:val="28"/>
          <w14:ligatures w14:val="none"/>
        </w:rPr>
        <w:t>.</w:t>
      </w:r>
    </w:p>
    <w:p w14:paraId="66E9B07B" w14:textId="2B3C2EC2"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990075"/>
      <w:r w:rsidRPr="009B67DA">
        <w:rPr>
          <w:rFonts w:ascii="Simplified Arabic" w:eastAsia="Times New Roman" w:hAnsi="Simplified Arabic" w:cs="Simplified Arabic" w:hint="cs"/>
          <w:b/>
          <w:bCs/>
          <w:color w:val="000000" w:themeColor="text1"/>
          <w:kern w:val="0"/>
          <w:sz w:val="32"/>
          <w:szCs w:val="32"/>
          <w:rtl/>
          <w14:ligatures w14:val="none"/>
        </w:rPr>
        <w:t xml:space="preserve">2.2.2 </w:t>
      </w:r>
      <w:r w:rsidR="00703DAA" w:rsidRPr="009B67DA">
        <w:rPr>
          <w:rFonts w:ascii="Simplified Arabic" w:eastAsia="Times New Roman" w:hAnsi="Simplified Arabic" w:cs="Simplified Arabic"/>
          <w:b/>
          <w:bCs/>
          <w:color w:val="000000" w:themeColor="text1"/>
          <w:kern w:val="0"/>
          <w:sz w:val="32"/>
          <w:szCs w:val="32"/>
          <w:rtl/>
          <w14:ligatures w14:val="none"/>
        </w:rPr>
        <w:t>مفهوم إدارة المخاطر</w:t>
      </w:r>
      <w:bookmarkEnd w:id="34"/>
    </w:p>
    <w:p w14:paraId="2E2447A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يُعدّ مفهوم إدارة المخاطر من المفاهيم الإدارية التي تعدّدت زوايا تناولها بحسب المدرسة الفكرية والقطاع التطبيقي. ولفهم هذا المفهوم فهمًا دقيقًا، يستدعي الأمر الوقوف على مصطلح “المخاطر” ذاته قبل الانتقال إلى فعل “الإدارة”. فالمخاطر تُشير إلى احتمال وقوع حدثٍ مستقبليٍّ ذي تأثيرٍ سلبيٍّ على أهداف المنظمة، وهو ما يستلزم مقاربةً استباقيّةً للتعامل معه</w:t>
      </w:r>
      <w:r w:rsidRPr="009B67DA">
        <w:rPr>
          <w:rFonts w:ascii="Simplified Arabic" w:eastAsia="Times New Roman" w:hAnsi="Simplified Arabic" w:cs="Simplified Arabic"/>
          <w:color w:val="000000" w:themeColor="text1"/>
          <w:kern w:val="0"/>
          <w:sz w:val="28"/>
          <w:szCs w:val="28"/>
          <w14:ligatures w14:val="none"/>
        </w:rPr>
        <w:t>.</w:t>
      </w:r>
    </w:p>
    <w:p w14:paraId="40DDE43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وفي هذا الإطار، عرّف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(2022) إدارة المخاطر بوصفها منظومةً متكاملةً من العمليات المنهجية التي تهدف إلى تحديد المخاطر وتحليلها وتقييمها والاستجابة لها ومتابعتها، بما يُقلّل من آثارها السلبية على أهداف المنظمة ويُعظّم من الفرص المتاحة. ويُميّز هذا التعريف بتركيزه على الطابع المنهجي والدوريّ لإدارة المخاطر، وبإبرازه للوجه الإيجابي للمخاطر بوصفها فرصةً محتملةً لا تهديدًا فحسب</w:t>
      </w:r>
      <w:r w:rsidRPr="009B67DA">
        <w:rPr>
          <w:rFonts w:ascii="Simplified Arabic" w:eastAsia="Times New Roman" w:hAnsi="Simplified Arabic" w:cs="Simplified Arabic"/>
          <w:color w:val="000000" w:themeColor="text1"/>
          <w:kern w:val="0"/>
          <w:sz w:val="28"/>
          <w:szCs w:val="28"/>
          <w14:ligatures w14:val="none"/>
        </w:rPr>
        <w:t>.</w:t>
      </w:r>
    </w:p>
    <w:p w14:paraId="1B896A0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وفي منحًى قريب، ذهب الرواشدة والشورة (2022) إلى تعريفها بأنّها عمليةٌ استراتيجيّةٌ تسعى المنظمة من خلالها إلى بناء منظومة استجابةٍ متكاملةٍ للمخاطر التي قد تُهدّد استمراريتها، عبر مزيجٍ من الإجراءات الوقائية والعلاجية والتحويلية. ويُضيف هذا التعريف بُعدًا استراتيجيًّا واضحًا، إذ يربط بين إدارة المخاطر واستمرارية المنظمة، وهو ربطٌ جوهريٌّ يُبرز الطابع الاستراتيجي لهذه الإدارة</w:t>
      </w:r>
      <w:r w:rsidRPr="009B67DA">
        <w:rPr>
          <w:rFonts w:ascii="Simplified Arabic" w:eastAsia="Times New Roman" w:hAnsi="Simplified Arabic" w:cs="Simplified Arabic"/>
          <w:color w:val="000000" w:themeColor="text1"/>
          <w:kern w:val="0"/>
          <w:sz w:val="28"/>
          <w:szCs w:val="28"/>
          <w14:ligatures w14:val="none"/>
        </w:rPr>
        <w:t>.</w:t>
      </w:r>
    </w:p>
    <w:p w14:paraId="01B44F2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منظور القطاع المصرفي، عرّف بوبكر وبخالد (2022) إدارة المخاطر بأنّها الأساليب والإجراءات التي تعتمدها المؤسسة المصرفية للتعامل مع أنواع المخاطر المختلفة التي تواجهها، بغية الحفاظ على استقرارها الماليّ وضمان قدرتها على الوفاء بالتزاماتها. ويُلاحظ في هذا التعريف تركيزه على الخصوصية القطاعية، وهو ما يُشير إلى أنّ إدارة المخاطر ليست مفهومًا مجرّدًا واحدًا، بل تتشكّل مضامينه وفق طبيعة القطاع</w:t>
      </w:r>
      <w:r w:rsidRPr="009B67DA">
        <w:rPr>
          <w:rFonts w:ascii="Simplified Arabic" w:eastAsia="Times New Roman" w:hAnsi="Simplified Arabic" w:cs="Simplified Arabic"/>
          <w:color w:val="000000" w:themeColor="text1"/>
          <w:kern w:val="0"/>
          <w:sz w:val="28"/>
          <w:szCs w:val="28"/>
          <w14:ligatures w14:val="none"/>
        </w:rPr>
        <w:t>.</w:t>
      </w:r>
    </w:p>
    <w:p w14:paraId="7D4E4EA1"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ويُقدّم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تعريفًا يربط بين إدارة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والحوكمة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إذ يُعرّفانها بأنّها منظومةٌ من الأنشطة الرقابية والتحليلية التي تُمارس ضمن إطارٍ </w:t>
      </w:r>
      <w:proofErr w:type="spellStart"/>
      <w:r w:rsidRPr="009B67DA">
        <w:rPr>
          <w:rFonts w:ascii="Simplified Arabic" w:eastAsia="Times New Roman" w:hAnsi="Simplified Arabic" w:cs="Simplified Arabic"/>
          <w:color w:val="000000" w:themeColor="text1"/>
          <w:kern w:val="0"/>
          <w:sz w:val="28"/>
          <w:szCs w:val="28"/>
          <w:rtl/>
          <w14:ligatures w14:val="none"/>
        </w:rPr>
        <w:t>حوكميٍّ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رشيد، تستهدف تحديد المخاطر وتقييمها ومعالجتها بصورةٍ تحفظ حقوق أصحاب المصلحة. ويُبرز هذا التعريف الترابطَ الوثيق بين إدارة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والحوكمة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الرشيدة، وهو ترابطٌ مفصليٌّ في الأدبيّات المعاصرة</w:t>
      </w:r>
      <w:r w:rsidRPr="009B67DA">
        <w:rPr>
          <w:rFonts w:ascii="Simplified Arabic" w:eastAsia="Times New Roman" w:hAnsi="Simplified Arabic" w:cs="Simplified Arabic"/>
          <w:color w:val="000000" w:themeColor="text1"/>
          <w:kern w:val="0"/>
          <w:sz w:val="28"/>
          <w:szCs w:val="28"/>
          <w14:ligatures w14:val="none"/>
        </w:rPr>
        <w:t>.</w:t>
      </w:r>
    </w:p>
    <w:p w14:paraId="402B7C2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ومن منظور سلامة العمليات، يُعرّف </w:t>
      </w:r>
      <w:proofErr w:type="spellStart"/>
      <w:r w:rsidRPr="009B67DA">
        <w:rPr>
          <w:rFonts w:ascii="Simplified Arabic" w:eastAsia="Times New Roman" w:hAnsi="Simplified Arabic" w:cs="Simplified Arabic"/>
          <w:color w:val="000000" w:themeColor="text1"/>
          <w:kern w:val="0"/>
          <w:sz w:val="28"/>
          <w:szCs w:val="28"/>
          <w:rtl/>
          <w14:ligatures w14:val="none"/>
        </w:rPr>
        <w:t>عبدالمعتمد</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وشهوان وحجازي (2025) إدارة المخاطر بأنّها منظومةٌ متكاملةٌ من السياسات والإجراءات والأدوات التي تُوظّفها المنظمة لضمان استمرارية عملياتها وسلامة أصولها البشرية والمادية، من خلال دورةٍ منتظمةٍ من التحديد والتقييم والاستجابة والرصد. وينسجم ذلك مع ما يطرحه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Saputra</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الذي عرّف إدارة المخاطر المؤسسية</w:t>
      </w:r>
      <w:r w:rsidRPr="009B67DA">
        <w:rPr>
          <w:rFonts w:ascii="Simplified Arabic" w:eastAsia="Times New Roman" w:hAnsi="Simplified Arabic" w:cs="Simplified Arabic"/>
          <w:color w:val="000000" w:themeColor="text1"/>
          <w:kern w:val="0"/>
          <w:sz w:val="28"/>
          <w:szCs w:val="28"/>
          <w14:ligatures w14:val="none"/>
        </w:rPr>
        <w:t xml:space="preserve"> (ERM) </w:t>
      </w:r>
      <w:r w:rsidRPr="009B67DA">
        <w:rPr>
          <w:rFonts w:ascii="Simplified Arabic" w:eastAsia="Times New Roman" w:hAnsi="Simplified Arabic" w:cs="Simplified Arabic"/>
          <w:color w:val="000000" w:themeColor="text1"/>
          <w:kern w:val="0"/>
          <w:sz w:val="28"/>
          <w:szCs w:val="28"/>
          <w:rtl/>
          <w14:ligatures w14:val="none"/>
        </w:rPr>
        <w:t>بأنّها إطارٌ شاملٌ ومتكاملٌ لإدارة كافّة أنواع المخاطر عبر المنظمة، بما يدعم تحقيق أهدافها الاستراتيجية</w:t>
      </w:r>
      <w:r w:rsidRPr="009B67DA">
        <w:rPr>
          <w:rFonts w:ascii="Simplified Arabic" w:eastAsia="Times New Roman" w:hAnsi="Simplified Arabic" w:cs="Simplified Arabic"/>
          <w:color w:val="000000" w:themeColor="text1"/>
          <w:kern w:val="0"/>
          <w:sz w:val="28"/>
          <w:szCs w:val="28"/>
          <w14:ligatures w14:val="none"/>
        </w:rPr>
        <w:t>.</w:t>
      </w:r>
    </w:p>
    <w:p w14:paraId="5F47239C"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وعلى الصعيد الأجنبي، قدّم</w:t>
      </w:r>
      <w:r w:rsidRPr="009B67DA">
        <w:rPr>
          <w:rFonts w:ascii="Simplified Arabic" w:eastAsia="Times New Roman" w:hAnsi="Simplified Arabic" w:cs="Simplified Arabic"/>
          <w:color w:val="000000" w:themeColor="text1"/>
          <w:kern w:val="0"/>
          <w:sz w:val="28"/>
          <w:szCs w:val="28"/>
          <w14:ligatures w14:val="none"/>
        </w:rPr>
        <w:t xml:space="preserve"> Pandey et al. (2023) </w:t>
      </w:r>
      <w:r w:rsidRPr="009B67DA">
        <w:rPr>
          <w:rFonts w:ascii="Simplified Arabic" w:eastAsia="Times New Roman" w:hAnsi="Simplified Arabic" w:cs="Simplified Arabic"/>
          <w:color w:val="000000" w:themeColor="text1"/>
          <w:kern w:val="0"/>
          <w:sz w:val="28"/>
          <w:szCs w:val="28"/>
          <w:rtl/>
          <w14:ligatures w14:val="none"/>
        </w:rPr>
        <w:t>تعريفًا حديثًا لإدارة مخاطر سلاسل التوريد يعتبرها منظومةً استباقيّةً من الأنشطة التي تستهدف تحديد المخاطر المحتملة في بيئة الصناعة الرابعة، وتحليل مسبّباتها وآثارها، وتصميم استجاباتٍ مناسبة، مع مراقبة الأداء بصورةٍ مستمرّة. ويُضيف</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Pupentsova</w:t>
      </w:r>
      <w:proofErr w:type="spellEnd"/>
      <w:r w:rsidRPr="009B67DA">
        <w:rPr>
          <w:rFonts w:ascii="Simplified Arabic" w:eastAsia="Times New Roman" w:hAnsi="Simplified Arabic" w:cs="Simplified Arabic"/>
          <w:color w:val="000000" w:themeColor="text1"/>
          <w:kern w:val="0"/>
          <w:sz w:val="28"/>
          <w:szCs w:val="28"/>
          <w14:ligatures w14:val="none"/>
        </w:rPr>
        <w:t xml:space="preserve"> &amp; </w:t>
      </w:r>
      <w:proofErr w:type="spellStart"/>
      <w:r w:rsidRPr="009B67DA">
        <w:rPr>
          <w:rFonts w:ascii="Simplified Arabic" w:eastAsia="Times New Roman" w:hAnsi="Simplified Arabic" w:cs="Simplified Arabic"/>
          <w:color w:val="000000" w:themeColor="text1"/>
          <w:kern w:val="0"/>
          <w:sz w:val="28"/>
          <w:szCs w:val="28"/>
          <w14:ligatures w14:val="none"/>
        </w:rPr>
        <w:t>Gromova</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(2021) </w:t>
      </w:r>
      <w:r w:rsidRPr="009B67DA">
        <w:rPr>
          <w:rFonts w:ascii="Simplified Arabic" w:eastAsia="Times New Roman" w:hAnsi="Simplified Arabic" w:cs="Simplified Arabic"/>
          <w:color w:val="000000" w:themeColor="text1"/>
          <w:kern w:val="0"/>
          <w:sz w:val="28"/>
          <w:szCs w:val="28"/>
          <w:rtl/>
          <w14:ligatures w14:val="none"/>
        </w:rPr>
        <w:t>بُعدًا مالياً وتقييميًّا للمفهوم، إذ يعتبراه عمليةً منهجيّةً لتقدير المخاطر في سياق تقييم الأعمال ضمن بيئة التحول الرقمي</w:t>
      </w:r>
      <w:r w:rsidRPr="009B67DA">
        <w:rPr>
          <w:rFonts w:ascii="Simplified Arabic" w:eastAsia="Times New Roman" w:hAnsi="Simplified Arabic" w:cs="Simplified Arabic"/>
          <w:color w:val="000000" w:themeColor="text1"/>
          <w:kern w:val="0"/>
          <w:sz w:val="28"/>
          <w:szCs w:val="28"/>
          <w14:ligatures w14:val="none"/>
        </w:rPr>
        <w:t>.</w:t>
      </w:r>
    </w:p>
    <w:p w14:paraId="472DF50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ومن استعراض التعريفات السابقة يتّضح أنّ ثمة اتفاقًا على الطابع المنهجي والدوريّ لإدارة المخاطر، مع تباينٍ في تحديد نطاقها ومحاورها. فبينما يميل فريقٌ إلى تناولها من زاويةٍ </w:t>
      </w:r>
      <w:proofErr w:type="spellStart"/>
      <w:r w:rsidRPr="009B67DA">
        <w:rPr>
          <w:rFonts w:ascii="Simplified Arabic" w:eastAsia="Times New Roman" w:hAnsi="Simplified Arabic" w:cs="Simplified Arabic"/>
          <w:color w:val="000000" w:themeColor="text1"/>
          <w:kern w:val="0"/>
          <w:sz w:val="28"/>
          <w:szCs w:val="28"/>
          <w:rtl/>
          <w14:ligatures w14:val="none"/>
        </w:rPr>
        <w:t>عمليّاتيّة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يُشدّد فريقٌ آخر على بُعدها الاستراتيجي، ويربطها ثالثٌ بإطار </w:t>
      </w:r>
      <w:proofErr w:type="spellStart"/>
      <w:r w:rsidRPr="009B67DA">
        <w:rPr>
          <w:rFonts w:ascii="Simplified Arabic" w:eastAsia="Times New Roman" w:hAnsi="Simplified Arabic" w:cs="Simplified Arabic"/>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color w:val="000000" w:themeColor="text1"/>
          <w:kern w:val="0"/>
          <w:sz w:val="28"/>
          <w:szCs w:val="28"/>
          <w:rtl/>
          <w14:ligatures w14:val="none"/>
        </w:rPr>
        <w:t>. ويرى الباحث في ضوء ما تقدّم أنّ إدارة المخاطر يُمكن تعريفها إجرائيًّا بأنّها</w:t>
      </w:r>
      <w:r w:rsidRPr="009B67DA">
        <w:rPr>
          <w:rFonts w:ascii="Simplified Arabic" w:eastAsia="Times New Roman" w:hAnsi="Simplified Arabic" w:cs="Simplified Arabic"/>
          <w:color w:val="000000" w:themeColor="text1"/>
          <w:kern w:val="0"/>
          <w:sz w:val="28"/>
          <w:szCs w:val="28"/>
          <w14:ligatures w14:val="none"/>
        </w:rPr>
        <w:t>: “</w:t>
      </w:r>
      <w:r w:rsidRPr="009B67DA">
        <w:rPr>
          <w:rFonts w:ascii="Simplified Arabic" w:eastAsia="Times New Roman" w:hAnsi="Simplified Arabic" w:cs="Simplified Arabic"/>
          <w:color w:val="000000" w:themeColor="text1"/>
          <w:kern w:val="0"/>
          <w:sz w:val="28"/>
          <w:szCs w:val="28"/>
          <w:rtl/>
          <w14:ligatures w14:val="none"/>
        </w:rPr>
        <w:t>منظومةٌ استراتيجيّةٌ ومنهجيّةٌ متكاملةٌ تُوظّفها الشركات اللوجستية لتحديد المخاطر المحيطة بعملياتها، وتحليل احتمالاتها وآثارها المحتملة، وتصميم استجاباتٍ مناسبةٍ لها، ومتابعة أدائها بصورةٍ دوريّة، بما يُعزّز قدرتها على مواجهة الاضطرابات وحماية أصولها المادية والمعنوية وضمان استمرارية عملياتها</w:t>
      </w:r>
      <w:r w:rsidRPr="009B67DA">
        <w:rPr>
          <w:rFonts w:ascii="Simplified Arabic" w:eastAsia="Times New Roman" w:hAnsi="Simplified Arabic" w:cs="Simplified Arabic"/>
          <w:color w:val="000000" w:themeColor="text1"/>
          <w:kern w:val="0"/>
          <w:sz w:val="28"/>
          <w:szCs w:val="28"/>
          <w14:ligatures w14:val="none"/>
        </w:rPr>
        <w:t xml:space="preserve">”. </w:t>
      </w:r>
      <w:r w:rsidRPr="009B67DA">
        <w:rPr>
          <w:rFonts w:ascii="Simplified Arabic" w:eastAsia="Times New Roman" w:hAnsi="Simplified Arabic" w:cs="Simplified Arabic"/>
          <w:color w:val="000000" w:themeColor="text1"/>
          <w:kern w:val="0"/>
          <w:sz w:val="28"/>
          <w:szCs w:val="28"/>
          <w:rtl/>
          <w14:ligatures w14:val="none"/>
        </w:rPr>
        <w:t>ويتميّز هذا التعريف بشموله لعمليات إدارة المخاطر الأساسية، وربطه بمجال التطبيق (القطاع اللوجستي)، وتوجيهه نحو استقبال أثر المتغير المستقل</w:t>
      </w:r>
      <w:r w:rsidRPr="009B67DA">
        <w:rPr>
          <w:rFonts w:ascii="Simplified Arabic" w:eastAsia="Times New Roman" w:hAnsi="Simplified Arabic" w:cs="Simplified Arabic"/>
          <w:color w:val="000000" w:themeColor="text1"/>
          <w:kern w:val="0"/>
          <w:sz w:val="28"/>
          <w:szCs w:val="28"/>
          <w14:ligatures w14:val="none"/>
        </w:rPr>
        <w:t>.</w:t>
      </w:r>
    </w:p>
    <w:p w14:paraId="491E1A2F" w14:textId="5BF8D034"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990076"/>
      <w:r w:rsidRPr="009B67DA">
        <w:rPr>
          <w:rFonts w:ascii="Simplified Arabic" w:eastAsia="Times New Roman" w:hAnsi="Simplified Arabic" w:cs="Simplified Arabic" w:hint="cs"/>
          <w:b/>
          <w:bCs/>
          <w:color w:val="000000" w:themeColor="text1"/>
          <w:kern w:val="0"/>
          <w:sz w:val="32"/>
          <w:szCs w:val="32"/>
          <w:rtl/>
          <w14:ligatures w14:val="none"/>
        </w:rPr>
        <w:t xml:space="preserve">3.2.2 </w:t>
      </w:r>
      <w:r w:rsidR="00703DAA" w:rsidRPr="009B67DA">
        <w:rPr>
          <w:rFonts w:ascii="Simplified Arabic" w:eastAsia="Times New Roman" w:hAnsi="Simplified Arabic" w:cs="Simplified Arabic"/>
          <w:b/>
          <w:bCs/>
          <w:color w:val="000000" w:themeColor="text1"/>
          <w:kern w:val="0"/>
          <w:sz w:val="32"/>
          <w:szCs w:val="32"/>
          <w:rtl/>
          <w14:ligatures w14:val="none"/>
        </w:rPr>
        <w:t>النشأة والتطور الفكري لمفهوم إدارة المخاطر</w:t>
      </w:r>
      <w:bookmarkEnd w:id="35"/>
    </w:p>
    <w:p w14:paraId="22DF549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مرّت إدارة المخاطر بمراحل تطوّرٍ متعاقبةٍ عكست تحوّلات الفكر الإداري وتنامي التعقيد البيئي. ففي مراحلها الأولى خلال منتصف القرن العشرين، ارتبطت إدارة المخاطر ارتباطًا وثيقًا بالتأمين، إذ كانت تُنظر إليها بوصفها آليّةً لنقل المخاطر إلى شركات التأمين مقابل أقساطٍ محدّدة. وقد اقتصرت في هذه المرحلة على المخاطر القابلة للتأمين، وأُهملت المخاطر الاستراتيجية والتشغيلية غير القابلة للتأمين</w:t>
      </w:r>
      <w:r w:rsidRPr="009B67DA">
        <w:rPr>
          <w:rFonts w:ascii="Simplified Arabic" w:eastAsia="Times New Roman" w:hAnsi="Simplified Arabic" w:cs="Simplified Arabic"/>
          <w:color w:val="000000" w:themeColor="text1"/>
          <w:kern w:val="0"/>
          <w:sz w:val="28"/>
          <w:szCs w:val="28"/>
          <w14:ligatures w14:val="none"/>
        </w:rPr>
        <w:t>.</w:t>
      </w:r>
    </w:p>
    <w:p w14:paraId="6CBD04B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ومع تطوّر أسواق المال في السبعينيات والثمانينيات، انتقلت إدارة المخاطر إلى مرحلةٍ أوسع تناولت المخاطر المالية بمختلف أنواعها، كمخاطر السوق والائتمان وأسعار الفائدة والصرف. وقد أسهم تطوّر تقنيات </w:t>
      </w:r>
      <w:proofErr w:type="spellStart"/>
      <w:r w:rsidRPr="009B67DA">
        <w:rPr>
          <w:rFonts w:ascii="Simplified Arabic" w:eastAsia="Times New Roman" w:hAnsi="Simplified Arabic" w:cs="Simplified Arabic"/>
          <w:color w:val="000000" w:themeColor="text1"/>
          <w:kern w:val="0"/>
          <w:sz w:val="28"/>
          <w:szCs w:val="28"/>
          <w:rtl/>
          <w14:ligatures w14:val="none"/>
        </w:rPr>
        <w:t>النمذجة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الإحصائية والتحليل الكميّ في تعميق الفهم لهذه المخاطر وتطوير أدوات قياسها. ثم شهدت التسعينيات ومطلع الألفية الثالثة تحوّلًا نوعيًّا مع بروز مفهوم “إدارة المخاطر المؤسسية</w:t>
      </w:r>
      <w:r w:rsidRPr="009B67DA">
        <w:rPr>
          <w:rFonts w:ascii="Simplified Arabic" w:eastAsia="Times New Roman" w:hAnsi="Simplified Arabic" w:cs="Simplified Arabic"/>
          <w:color w:val="000000" w:themeColor="text1"/>
          <w:kern w:val="0"/>
          <w:sz w:val="28"/>
          <w:szCs w:val="28"/>
          <w14:ligatures w14:val="none"/>
        </w:rPr>
        <w:t xml:space="preserve">” (Enterprise Risk Management) </w:t>
      </w:r>
      <w:r w:rsidRPr="009B67DA">
        <w:rPr>
          <w:rFonts w:ascii="Simplified Arabic" w:eastAsia="Times New Roman" w:hAnsi="Simplified Arabic" w:cs="Simplified Arabic"/>
          <w:color w:val="000000" w:themeColor="text1"/>
          <w:kern w:val="0"/>
          <w:sz w:val="28"/>
          <w:szCs w:val="28"/>
          <w:rtl/>
          <w14:ligatures w14:val="none"/>
        </w:rPr>
        <w:t>الذي وسّع نطاق الإدارة ليشمل كافّة أنواع المخاطر في إطارٍ متكامل، وهو ما تجلّى في إطار</w:t>
      </w:r>
      <w:r w:rsidRPr="009B67DA">
        <w:rPr>
          <w:rFonts w:ascii="Simplified Arabic" w:eastAsia="Times New Roman" w:hAnsi="Simplified Arabic" w:cs="Simplified Arabic"/>
          <w:color w:val="000000" w:themeColor="text1"/>
          <w:kern w:val="0"/>
          <w:sz w:val="28"/>
          <w:szCs w:val="28"/>
          <w14:ligatures w14:val="none"/>
        </w:rPr>
        <w:t xml:space="preserve"> COSO </w:t>
      </w:r>
      <w:r w:rsidRPr="009B67DA">
        <w:rPr>
          <w:rFonts w:ascii="Simplified Arabic" w:eastAsia="Times New Roman" w:hAnsi="Simplified Arabic" w:cs="Simplified Arabic"/>
          <w:color w:val="000000" w:themeColor="text1"/>
          <w:kern w:val="0"/>
          <w:sz w:val="28"/>
          <w:szCs w:val="28"/>
          <w:rtl/>
          <w14:ligatures w14:val="none"/>
        </w:rPr>
        <w:t xml:space="preserve">الشهير للرقابة الداخلية وإدارة المخاطر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2022)</w:t>
      </w:r>
      <w:r w:rsidRPr="009B67DA">
        <w:rPr>
          <w:rFonts w:ascii="Simplified Arabic" w:eastAsia="Times New Roman" w:hAnsi="Simplified Arabic" w:cs="Simplified Arabic"/>
          <w:color w:val="000000" w:themeColor="text1"/>
          <w:kern w:val="0"/>
          <w:sz w:val="28"/>
          <w:szCs w:val="28"/>
          <w14:ligatures w14:val="none"/>
        </w:rPr>
        <w:t>.</w:t>
      </w:r>
    </w:p>
    <w:p w14:paraId="2A69B9F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وقد كشفت الأزمة المالية العالمية عام 2008 عن قصور المقاربات التقليدية في إدارة المخاطر، وأبرزت الحاجة إلى مقارباتٍ أكثر تكاملًا وشمولًا، بما يشمل المخاطر النظامية والمخاطر السلوكية والمخاطر السمعية. كما دفعت الأزمة إلى تطوير أطرٍ </w:t>
      </w:r>
      <w:proofErr w:type="spellStart"/>
      <w:r w:rsidRPr="009B67DA">
        <w:rPr>
          <w:rFonts w:ascii="Simplified Arabic" w:eastAsia="Times New Roman" w:hAnsi="Simplified Arabic" w:cs="Simplified Arabic"/>
          <w:color w:val="000000" w:themeColor="text1"/>
          <w:kern w:val="0"/>
          <w:sz w:val="28"/>
          <w:szCs w:val="28"/>
          <w:rtl/>
          <w14:ligatures w14:val="none"/>
        </w:rPr>
        <w:t>حوكميّةٍ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أكثر صرامةً تربط بين إدارة المخاطر ومسؤولية مجالس الإدارة والإدارة التنفيذية العليا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2024)</w:t>
      </w:r>
      <w:r w:rsidRPr="009B67DA">
        <w:rPr>
          <w:rFonts w:ascii="Simplified Arabic" w:eastAsia="Times New Roman" w:hAnsi="Simplified Arabic" w:cs="Simplified Arabic"/>
          <w:color w:val="000000" w:themeColor="text1"/>
          <w:kern w:val="0"/>
          <w:sz w:val="28"/>
          <w:szCs w:val="28"/>
          <w14:ligatures w14:val="none"/>
        </w:rPr>
        <w:t>.</w:t>
      </w:r>
    </w:p>
    <w:p w14:paraId="3511080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وفي المرحلة الراهنة، ومع تسارع التحول الرقمي وتنامي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 دخلت إدارة المخاطر مرحلةً جديدةً تُعرف بإدارة المخاطر الرقمية، تتّسم بتوظيف التقنيات المتقدّمة في رصد المخاطر واستشعارها والاستجابة لها بصورةٍ فوريّة. ويُشير</w:t>
      </w:r>
      <w:r w:rsidRPr="009B67DA">
        <w:rPr>
          <w:rFonts w:ascii="Simplified Arabic" w:eastAsia="Times New Roman" w:hAnsi="Simplified Arabic" w:cs="Simplified Arabic"/>
          <w:color w:val="000000" w:themeColor="text1"/>
          <w:kern w:val="0"/>
          <w:sz w:val="28"/>
          <w:szCs w:val="28"/>
          <w14:ligatures w14:val="none"/>
        </w:rPr>
        <w:t xml:space="preserve"> Menezes &amp; Rete (2026) </w:t>
      </w:r>
      <w:r w:rsidRPr="009B67DA">
        <w:rPr>
          <w:rFonts w:ascii="Simplified Arabic" w:eastAsia="Times New Roman" w:hAnsi="Simplified Arabic" w:cs="Simplified Arabic"/>
          <w:color w:val="000000" w:themeColor="text1"/>
          <w:kern w:val="0"/>
          <w:sz w:val="28"/>
          <w:szCs w:val="28"/>
          <w:rtl/>
          <w14:ligatures w14:val="none"/>
        </w:rPr>
        <w:t>إلى أنّ هذه المرحلة تتطلّب إعادة تصوّرٍ جوهريّةٍ لأطر إدارة المخاطر بحيث تستوعب طبيعة المخاطر الرقمية الناشئة وسرعة انتشارها</w:t>
      </w:r>
      <w:r w:rsidRPr="009B67DA">
        <w:rPr>
          <w:rFonts w:ascii="Simplified Arabic" w:eastAsia="Times New Roman" w:hAnsi="Simplified Arabic" w:cs="Simplified Arabic"/>
          <w:color w:val="000000" w:themeColor="text1"/>
          <w:kern w:val="0"/>
          <w:sz w:val="28"/>
          <w:szCs w:val="28"/>
          <w14:ligatures w14:val="none"/>
        </w:rPr>
        <w:t>.</w:t>
      </w:r>
    </w:p>
    <w:p w14:paraId="696E150A" w14:textId="3BD2FE69"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990077"/>
      <w:r w:rsidRPr="009B67DA">
        <w:rPr>
          <w:rFonts w:ascii="Simplified Arabic" w:eastAsia="Times New Roman" w:hAnsi="Simplified Arabic" w:cs="Simplified Arabic" w:hint="cs"/>
          <w:b/>
          <w:bCs/>
          <w:color w:val="000000" w:themeColor="text1"/>
          <w:kern w:val="0"/>
          <w:sz w:val="32"/>
          <w:szCs w:val="32"/>
          <w:rtl/>
          <w14:ligatures w14:val="none"/>
        </w:rPr>
        <w:t xml:space="preserve">4.2.2 </w:t>
      </w:r>
      <w:r w:rsidR="00703DAA" w:rsidRPr="009B67DA">
        <w:rPr>
          <w:rFonts w:ascii="Simplified Arabic" w:eastAsia="Times New Roman" w:hAnsi="Simplified Arabic" w:cs="Simplified Arabic"/>
          <w:b/>
          <w:bCs/>
          <w:color w:val="000000" w:themeColor="text1"/>
          <w:kern w:val="0"/>
          <w:sz w:val="32"/>
          <w:szCs w:val="32"/>
          <w:rtl/>
          <w14:ligatures w14:val="none"/>
        </w:rPr>
        <w:t>أهمية إدارة المخاطر</w:t>
      </w:r>
      <w:bookmarkEnd w:id="36"/>
    </w:p>
    <w:p w14:paraId="3F29FD52"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تنبع أهمية إدارة المخاطر من كونها الآلية التي تُمكّن المنظمات من الاستمرار والنمو في بيئةٍ حافلةٍ بالتهديدات والفرص. وتتضاعف هذه الأهمية في القطاع اللوجستي الذي يعمل ضمن سلاسل توريدٍ عالميّةٍ ممتدّة، تتشابك فيها المخاطر التشغيلية والمالية والسمعية </w:t>
      </w:r>
      <w:proofErr w:type="spellStart"/>
      <w:r w:rsidRPr="009B67DA">
        <w:rPr>
          <w:rFonts w:ascii="Simplified Arabic" w:eastAsia="Times New Roman" w:hAnsi="Simplified Arabic" w:cs="Simplified Arabic"/>
          <w:color w:val="000000" w:themeColor="text1"/>
          <w:kern w:val="0"/>
          <w:sz w:val="28"/>
          <w:szCs w:val="28"/>
          <w:rtl/>
          <w14:ligatures w14:val="none"/>
        </w:rPr>
        <w:t>والسيبرانية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 وقد نالت إدارة المخاطر اهتمامًا متزايدًا من الباحثين، الذين تناولوا أهميّتها من زوايا متعدّدة</w:t>
      </w:r>
      <w:r w:rsidRPr="009B67DA">
        <w:rPr>
          <w:rFonts w:ascii="Simplified Arabic" w:eastAsia="Times New Roman" w:hAnsi="Simplified Arabic" w:cs="Simplified Arabic"/>
          <w:color w:val="000000" w:themeColor="text1"/>
          <w:kern w:val="0"/>
          <w:sz w:val="28"/>
          <w:szCs w:val="28"/>
          <w14:ligatures w14:val="none"/>
        </w:rPr>
        <w:t>.</w:t>
      </w:r>
    </w:p>
    <w:p w14:paraId="48E800B7"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9B67DA">
        <w:rPr>
          <w:rFonts w:ascii="Simplified Arabic" w:eastAsia="Times New Roman" w:hAnsi="Simplified Arabic" w:cs="Simplified Arabic"/>
          <w:color w:val="000000" w:themeColor="text1"/>
          <w:kern w:val="0"/>
          <w:sz w:val="28"/>
          <w:szCs w:val="28"/>
          <w:rtl/>
          <w14:ligatures w14:val="none"/>
        </w:rPr>
        <w:t>عبدالمعتمد</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وشهوان وحجازي (2025) إلى أنّ أهمية إدارة المخاطر تتجلّى في جوانب متعدّدة، أبرزها: أوّلًا، ضمانُ سلامة العمليات وحماية الأصول البشرية والمادية من التهديدات المحتملة. ثانيًا، تعزيزُ ثقة أصحاب المصلحة في قدرة المنظمة على الوفاء بالتزاماتها في ظلّ الظروف المتقلّبة. ثالثًا، دعمُ عمليات صنع القرار الاستراتيجي عبر توفير بياناتٍ شاملةٍ عن المخاطر والفرص المرتبطة بكلّ خيار. رابعًا، تحسينُ كفاءة استغلال الموارد عبر توجيهها نحو المخاطر الأكثر تهديدًا. خامسًا، تعزيزُ الميزة التنافسية للمنظمة من خلال قدرتها على مواجهة الاضطرابات بصورةٍ أفضل من منافسيها</w:t>
      </w:r>
      <w:r w:rsidRPr="009B67DA">
        <w:rPr>
          <w:rFonts w:ascii="Simplified Arabic" w:eastAsia="Times New Roman" w:hAnsi="Simplified Arabic" w:cs="Simplified Arabic"/>
          <w:color w:val="000000" w:themeColor="text1"/>
          <w:kern w:val="0"/>
          <w:sz w:val="28"/>
          <w:szCs w:val="28"/>
          <w14:ligatures w14:val="none"/>
        </w:rPr>
        <w:t>.</w:t>
      </w:r>
    </w:p>
    <w:p w14:paraId="077042B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ويرى الرواشدة والشورة (2022) أنّ أهمية إدارة المخاطر تتّسع لتشمل بُعدًا استراتيجيًّا يتصل بمرونة سلسلة التوريد ذاتها، إذ إنّ الإدارة الفاعلة للمخاطر: تُسهم في بناء منظومةٍ إنذارٍ مبكرٍ للاضطرابات المحتملة، وتُعزّز قدرة المنظمة على استيعاب الصدمات دون انهيار عملياتها الأساسية، وتدعم مسارات التعافي السريع بعد الأزمات، وتُنمّي رأس المال المعرفيّ للمنظمة عبر تراكم الخبرات في التعامل مع المواقف المختلفة</w:t>
      </w:r>
      <w:r w:rsidRPr="009B67DA">
        <w:rPr>
          <w:rFonts w:ascii="Simplified Arabic" w:eastAsia="Times New Roman" w:hAnsi="Simplified Arabic" w:cs="Simplified Arabic"/>
          <w:color w:val="000000" w:themeColor="text1"/>
          <w:kern w:val="0"/>
          <w:sz w:val="28"/>
          <w:szCs w:val="28"/>
          <w14:ligatures w14:val="none"/>
        </w:rPr>
        <w:t>.</w:t>
      </w:r>
    </w:p>
    <w:p w14:paraId="78BC8FA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ويُضيف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(2022) بُعدًا فكريًّا لأهمية إدارة المخاطر يتصل بالتفكير الاستراتيجي، إذ تُوفّر إدارة المخاطر إطارًا منهجيًّا لتحويل التفكير من رد الفعل إلى الاستباق، ومن التركيز على المشكلات الآنية إلى التبصّر بالتحدّيات المستقبلية. كما يُبرز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أنّ إدارة المخاطر تُشكّل أحد الأركان الأساسية </w:t>
      </w:r>
      <w:proofErr w:type="spellStart"/>
      <w:r w:rsidRPr="009B67DA">
        <w:rPr>
          <w:rFonts w:ascii="Simplified Arabic" w:eastAsia="Times New Roman" w:hAnsi="Simplified Arabic" w:cs="Simplified Arabic"/>
          <w:color w:val="000000" w:themeColor="text1"/>
          <w:kern w:val="0"/>
          <w:sz w:val="28"/>
          <w:szCs w:val="28"/>
          <w:rtl/>
          <w14:ligatures w14:val="none"/>
        </w:rPr>
        <w:t>للحوكمة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الرشيدة، إذ تُعزّز الشفافية والمساءلة وتحمي حقوق أصحاب المصلحة، وهو ما يجعلها مطلبًا رقابيًّا وقانونيًّا في كثيرٍ من القطاعات ولا سيّما القطاع المصرفي</w:t>
      </w:r>
      <w:r w:rsidRPr="009B67DA">
        <w:rPr>
          <w:rFonts w:ascii="Simplified Arabic" w:eastAsia="Times New Roman" w:hAnsi="Simplified Arabic" w:cs="Simplified Arabic"/>
          <w:color w:val="000000" w:themeColor="text1"/>
          <w:kern w:val="0"/>
          <w:sz w:val="28"/>
          <w:szCs w:val="28"/>
          <w14:ligatures w14:val="none"/>
        </w:rPr>
        <w:t>.</w:t>
      </w:r>
    </w:p>
    <w:p w14:paraId="74E0728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منظورٍ مصرفيّ، يوضّح بوبكر وبخالد (2022) أنّ أهمية إدارة المخاطر في المصارف تتجلّى في: الحفاظ على استقرار المؤسسة المالية، وحماية أموال المودعين، وضمان الالتزام بالمتطلبات الرقابية، ودعم القدرة على تقديم التمويل المستدام للاقتصاد. ويُشير حفصي وبن منصور وبن محمود (2022) إلى أنّ أهمية إدارة المخاطر برزت بجلاءٍ خلال جائحة كوفيد-19، إذ أظهرت المؤسسات التي امتلكت منظوماتٍ ناضجةً لإدارة المخاطر قدرةً أكبر على الاستجابة للأزمة والتعافي منها</w:t>
      </w:r>
      <w:r w:rsidRPr="009B67DA">
        <w:rPr>
          <w:rFonts w:ascii="Simplified Arabic" w:eastAsia="Times New Roman" w:hAnsi="Simplified Arabic" w:cs="Simplified Arabic"/>
          <w:color w:val="000000" w:themeColor="text1"/>
          <w:kern w:val="0"/>
          <w:sz w:val="28"/>
          <w:szCs w:val="28"/>
          <w14:ligatures w14:val="none"/>
        </w:rPr>
        <w:t>.</w:t>
      </w:r>
    </w:p>
    <w:p w14:paraId="6195A18B"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ومن منظور سلاسل الإمداد، يُبرز </w:t>
      </w:r>
      <w:proofErr w:type="spellStart"/>
      <w:r w:rsidRPr="009B67DA">
        <w:rPr>
          <w:rFonts w:ascii="Simplified Arabic" w:eastAsia="Times New Roman" w:hAnsi="Simplified Arabic" w:cs="Simplified Arabic"/>
          <w:color w:val="000000" w:themeColor="text1"/>
          <w:kern w:val="0"/>
          <w:sz w:val="28"/>
          <w:szCs w:val="28"/>
          <w:rtl/>
          <w14:ligatures w14:val="none"/>
        </w:rPr>
        <w:t>نويجي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(2023) أنّ أهمية إدارة المخاطر لا تقتصر على حماية العمليات، بل تمتد إلى حماية سمعة العلامة التجارية التي قد تتضرّر بشدّة جرّاء اضطراباتٍ في سلسلة الإمداد. ويُضيف الشعراوي والسقطي (2025) أنّ إدارة المخاطر في سلاسل الإمداد تُسهم في تحسين أداء المشاريع من خلال ضمان انسيابية العمليات وتوفير المدخلات في الوقت المناسب. ويُقدّم</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Rauniyar</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بُعدًا تكنولوجيًّا يُبرز أهمية إدارة المخاطر في سياق الاعتماد المتزايد على تقنياتٍ ناشئةٍ كالبلوك تشين، التي تُتيح فرصًا وتفرض تحدّياتٍ في آنٍ معًا. ويُشير</w:t>
      </w:r>
      <w:r w:rsidRPr="009B67DA">
        <w:rPr>
          <w:rFonts w:ascii="Simplified Arabic" w:eastAsia="Times New Roman" w:hAnsi="Simplified Arabic" w:cs="Simplified Arabic"/>
          <w:color w:val="000000" w:themeColor="text1"/>
          <w:kern w:val="0"/>
          <w:sz w:val="28"/>
          <w:szCs w:val="28"/>
          <w14:ligatures w14:val="none"/>
        </w:rPr>
        <w:t xml:space="preserve"> Ali &amp; </w:t>
      </w:r>
      <w:proofErr w:type="spellStart"/>
      <w:r w:rsidRPr="009B67DA">
        <w:rPr>
          <w:rFonts w:ascii="Simplified Arabic" w:eastAsia="Times New Roman" w:hAnsi="Simplified Arabic" w:cs="Simplified Arabic"/>
          <w:color w:val="000000" w:themeColor="text1"/>
          <w:kern w:val="0"/>
          <w:sz w:val="28"/>
          <w:szCs w:val="28"/>
          <w14:ligatures w14:val="none"/>
        </w:rPr>
        <w:t>Govindan</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(2023) </w:t>
      </w:r>
      <w:r w:rsidRPr="009B67DA">
        <w:rPr>
          <w:rFonts w:ascii="Simplified Arabic" w:eastAsia="Times New Roman" w:hAnsi="Simplified Arabic" w:cs="Simplified Arabic"/>
          <w:color w:val="000000" w:themeColor="text1"/>
          <w:kern w:val="0"/>
          <w:sz w:val="28"/>
          <w:szCs w:val="28"/>
          <w:rtl/>
          <w14:ligatures w14:val="none"/>
        </w:rPr>
        <w:t>إلى أنّ أهمية إدارة المخاطر في سلاسل الإمداد الزراعية-الغذائية تتضاعف بحكم حساسية المنتجات وقابليّتها للتلف والتأثّر بتقلّبات الطلب والعرض</w:t>
      </w:r>
      <w:r w:rsidRPr="009B67DA">
        <w:rPr>
          <w:rFonts w:ascii="Simplified Arabic" w:eastAsia="Times New Roman" w:hAnsi="Simplified Arabic" w:cs="Simplified Arabic"/>
          <w:color w:val="000000" w:themeColor="text1"/>
          <w:kern w:val="0"/>
          <w:sz w:val="28"/>
          <w:szCs w:val="28"/>
          <w14:ligatures w14:val="none"/>
        </w:rPr>
        <w:t>.</w:t>
      </w:r>
    </w:p>
    <w:p w14:paraId="446333E1" w14:textId="282B3BE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990078"/>
      <w:r w:rsidRPr="009B67DA">
        <w:rPr>
          <w:rFonts w:ascii="Simplified Arabic" w:eastAsia="Times New Roman" w:hAnsi="Simplified Arabic" w:cs="Simplified Arabic" w:hint="cs"/>
          <w:b/>
          <w:bCs/>
          <w:color w:val="000000" w:themeColor="text1"/>
          <w:kern w:val="0"/>
          <w:sz w:val="32"/>
          <w:szCs w:val="32"/>
          <w:rtl/>
          <w14:ligatures w14:val="none"/>
        </w:rPr>
        <w:t xml:space="preserve">5.2.2 </w:t>
      </w:r>
      <w:r w:rsidR="00703DAA" w:rsidRPr="009B67DA">
        <w:rPr>
          <w:rFonts w:ascii="Simplified Arabic" w:eastAsia="Times New Roman" w:hAnsi="Simplified Arabic" w:cs="Simplified Arabic"/>
          <w:b/>
          <w:bCs/>
          <w:color w:val="000000" w:themeColor="text1"/>
          <w:kern w:val="0"/>
          <w:sz w:val="32"/>
          <w:szCs w:val="32"/>
          <w:rtl/>
          <w14:ligatures w14:val="none"/>
        </w:rPr>
        <w:t>أهداف إدارة المخاطر</w:t>
      </w:r>
      <w:bookmarkEnd w:id="37"/>
    </w:p>
    <w:p w14:paraId="2CCA052C"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تتوزّع أهداف إدارة المخاطر على محاور متكاملة، تعكس شموليّتها وتعدّد وظائفها. وقد تنوّعت آراء الباحثين في تحديد هذه الأهداف بحسب زوايا معالجتهم. ويرى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(2022) أنّ إدارة المخاطر تستهدف تحقيق مجموعةٍ من الأهداف، أبرزها: تحديدُ المخاطر التي تواجه المنظمة بصورةٍ شاملة، وتحليلُ احتمالات وقوعها وحجم آثارها المحتملة، وترتيبُها وفق أولويّاتٍ منهجيّة، وتصميمُ استجاباتٍ مناسبةٍ لكلّ خطر، ومتابعةُ أداء منظومة المخاطر بصورةٍ دوريّة</w:t>
      </w:r>
      <w:r w:rsidRPr="009B67DA">
        <w:rPr>
          <w:rFonts w:ascii="Simplified Arabic" w:eastAsia="Times New Roman" w:hAnsi="Simplified Arabic" w:cs="Simplified Arabic"/>
          <w:color w:val="000000" w:themeColor="text1"/>
          <w:kern w:val="0"/>
          <w:sz w:val="28"/>
          <w:szCs w:val="28"/>
          <w14:ligatures w14:val="none"/>
        </w:rPr>
        <w:t>.</w:t>
      </w:r>
    </w:p>
    <w:p w14:paraId="5D3538E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ويُضيف الرواشدة والشورة (2022) أهدافًا ذات طابعٍ استراتيجيٍّ تتصل بمرونة سلاسل التوريد، تتمثّل في: بناءِ قدرات الاستشعار المبكر للمخاطر، وتعزيزِ قدرات الاستيعاب في مواجهة الاضطرابات، ودعمِ قدرات التكيّف السريع مع الظروف المتغيّرة، وتنميةِ قدرات التعافي بعد الأزمات، وتوظيفِ الخبرات المتراكمة في تحسين المنظومة بصورةٍ مستمرّة</w:t>
      </w:r>
      <w:r w:rsidRPr="009B67DA">
        <w:rPr>
          <w:rFonts w:ascii="Simplified Arabic" w:eastAsia="Times New Roman" w:hAnsi="Simplified Arabic" w:cs="Simplified Arabic"/>
          <w:color w:val="000000" w:themeColor="text1"/>
          <w:kern w:val="0"/>
          <w:sz w:val="28"/>
          <w:szCs w:val="28"/>
          <w14:ligatures w14:val="none"/>
        </w:rPr>
        <w:t>.</w:t>
      </w:r>
    </w:p>
    <w:p w14:paraId="5DD5FB65"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ويرى بوبكر وبخالد (2022) من منظورٍ مصرفيّ أنّ إدارة المخاطر تستهدف: حمايةَ رأس المال المصرفيّ من التآكل، وضمانَ الملاءة المالية للمؤسسة، والالتزامَ بالمتطلبات الرقابية، وتحسينَ جودة المحفظة الائتمانية، وتعزيزَ ثقة المودعين والمستثمرين. أمّا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فيربطان أهداف إدارة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بالحوكمة</w:t>
      </w:r>
      <w:proofErr w:type="spellEnd"/>
      <w:r w:rsidRPr="009B67DA">
        <w:rPr>
          <w:rFonts w:ascii="Simplified Arabic" w:eastAsia="Times New Roman" w:hAnsi="Simplified Arabic" w:cs="Simplified Arabic"/>
          <w:color w:val="000000" w:themeColor="text1"/>
          <w:kern w:val="0"/>
          <w:sz w:val="28"/>
          <w:szCs w:val="28"/>
          <w:rtl/>
          <w14:ligatures w14:val="none"/>
        </w:rPr>
        <w:t>، ويُبرزان أنّها تستهدف: تعزيزَ الشفافية في التقارير المالية والإدارية، ودعمَ فاعلية الرقابة الداخلية، وحمايةَ حقوق أصحاب المصلحة، وتحسينَ جودة القرارات على مستوى مجلس الإدارة</w:t>
      </w:r>
      <w:r w:rsidRPr="009B67DA">
        <w:rPr>
          <w:rFonts w:ascii="Simplified Arabic" w:eastAsia="Times New Roman" w:hAnsi="Simplified Arabic" w:cs="Simplified Arabic"/>
          <w:color w:val="000000" w:themeColor="text1"/>
          <w:kern w:val="0"/>
          <w:sz w:val="28"/>
          <w:szCs w:val="28"/>
          <w14:ligatures w14:val="none"/>
        </w:rPr>
        <w:t>.</w:t>
      </w:r>
    </w:p>
    <w:p w14:paraId="751A31F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ومن منظور سلامة العمليات، يُشير </w:t>
      </w:r>
      <w:proofErr w:type="spellStart"/>
      <w:r w:rsidRPr="009B67DA">
        <w:rPr>
          <w:rFonts w:ascii="Simplified Arabic" w:eastAsia="Times New Roman" w:hAnsi="Simplified Arabic" w:cs="Simplified Arabic"/>
          <w:color w:val="000000" w:themeColor="text1"/>
          <w:kern w:val="0"/>
          <w:sz w:val="28"/>
          <w:szCs w:val="28"/>
          <w:rtl/>
          <w14:ligatures w14:val="none"/>
        </w:rPr>
        <w:t>عبدالمعتمد</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وشهوان وحجازي (2025) إلى أنّ إدارة المخاطر تستهدف تحقيق أعلى مستويات السلامة عبر: منعِ وقوع الحوادث قبل حدوثها، والحدِّ من تداعياتها عند وقوعها، وضمانِ الاستجابة السريعة والفعّالة للطوارئ، وترسيخِ ثقافة السلامة على مستوى المنظمة</w:t>
      </w:r>
      <w:r w:rsidRPr="009B67DA">
        <w:rPr>
          <w:rFonts w:ascii="Simplified Arabic" w:eastAsia="Times New Roman" w:hAnsi="Simplified Arabic" w:cs="Simplified Arabic"/>
          <w:color w:val="000000" w:themeColor="text1"/>
          <w:kern w:val="0"/>
          <w:sz w:val="28"/>
          <w:szCs w:val="28"/>
          <w14:ligatures w14:val="none"/>
        </w:rPr>
        <w:t>.</w:t>
      </w:r>
    </w:p>
    <w:p w14:paraId="08FC06F6"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وفي السياق اللوجستي، تُوسّع الأدبيّات الحديثة أهداف إدارة المخاطر لتشمل ما يرتبط بسلاسل الإمداد. فيُشير ليشاني </w:t>
      </w:r>
      <w:proofErr w:type="spellStart"/>
      <w:r w:rsidRPr="009B67DA">
        <w:rPr>
          <w:rFonts w:ascii="Simplified Arabic" w:eastAsia="Times New Roman" w:hAnsi="Simplified Arabic" w:cs="Simplified Arabic"/>
          <w:color w:val="000000" w:themeColor="text1"/>
          <w:kern w:val="0"/>
          <w:sz w:val="28"/>
          <w:szCs w:val="28"/>
          <w:rtl/>
          <w14:ligatures w14:val="none"/>
        </w:rPr>
        <w:t>وعرشوش</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والطيب (2022) إلى أنّ إدارة المخاطر في سلاسل الإمداد تستهدف حماية المؤسسات من تداعيات الاضطرابات الكبرى كالجوائح، بما يستلزم مقاربةً استباقيّةً لا تفاعليّة. ويُبرز </w:t>
      </w:r>
      <w:proofErr w:type="spellStart"/>
      <w:r w:rsidRPr="009B67DA">
        <w:rPr>
          <w:rFonts w:ascii="Simplified Arabic" w:eastAsia="Times New Roman" w:hAnsi="Simplified Arabic" w:cs="Simplified Arabic"/>
          <w:color w:val="000000" w:themeColor="text1"/>
          <w:kern w:val="0"/>
          <w:sz w:val="28"/>
          <w:szCs w:val="28"/>
          <w:rtl/>
          <w14:ligatures w14:val="none"/>
        </w:rPr>
        <w:t>السويري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(2025) في السياق العسكريّ أنّ إدارة المخاطر تستهدف تعزيز كفاءة سلاسل الإمداد وضمان جاهزيتها في مختلف الظروف. ومن منظورٍ أجنبيّ، يذكر</w:t>
      </w:r>
      <w:r w:rsidRPr="009B67DA">
        <w:rPr>
          <w:rFonts w:ascii="Simplified Arabic" w:eastAsia="Times New Roman" w:hAnsi="Simplified Arabic" w:cs="Simplified Arabic"/>
          <w:color w:val="000000" w:themeColor="text1"/>
          <w:kern w:val="0"/>
          <w:sz w:val="28"/>
          <w:szCs w:val="28"/>
          <w14:ligatures w14:val="none"/>
        </w:rPr>
        <w:t xml:space="preserve"> Xu et al. (2024) </w:t>
      </w:r>
      <w:r w:rsidRPr="009B67DA">
        <w:rPr>
          <w:rFonts w:ascii="Simplified Arabic" w:eastAsia="Times New Roman" w:hAnsi="Simplified Arabic" w:cs="Simplified Arabic"/>
          <w:color w:val="000000" w:themeColor="text1"/>
          <w:kern w:val="0"/>
          <w:sz w:val="28"/>
          <w:szCs w:val="28"/>
          <w:rtl/>
          <w14:ligatures w14:val="none"/>
        </w:rPr>
        <w:t>أنّ أهداف إدارة المخاطر في سياق التحول الرقمي تشمل تعزيز قدرة الشركات على مواجهة اضطرابات سلسلة التوريد عبر توظيف استراتيجيات التنويع</w:t>
      </w:r>
      <w:r w:rsidRPr="009B67DA">
        <w:rPr>
          <w:rFonts w:ascii="Simplified Arabic" w:eastAsia="Times New Roman" w:hAnsi="Simplified Arabic" w:cs="Simplified Arabic"/>
          <w:color w:val="000000" w:themeColor="text1"/>
          <w:kern w:val="0"/>
          <w:sz w:val="28"/>
          <w:szCs w:val="28"/>
          <w14:ligatures w14:val="none"/>
        </w:rPr>
        <w:t>.</w:t>
      </w:r>
    </w:p>
    <w:p w14:paraId="47A3B541" w14:textId="70800112"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990079"/>
      <w:r w:rsidRPr="009B67DA">
        <w:rPr>
          <w:rFonts w:ascii="Simplified Arabic" w:eastAsia="Times New Roman" w:hAnsi="Simplified Arabic" w:cs="Simplified Arabic" w:hint="cs"/>
          <w:b/>
          <w:bCs/>
          <w:color w:val="000000" w:themeColor="text1"/>
          <w:kern w:val="0"/>
          <w:sz w:val="32"/>
          <w:szCs w:val="32"/>
          <w:rtl/>
          <w14:ligatures w14:val="none"/>
        </w:rPr>
        <w:t xml:space="preserve">6.2.2 </w:t>
      </w:r>
      <w:r w:rsidR="00703DAA" w:rsidRPr="009B67DA">
        <w:rPr>
          <w:rFonts w:ascii="Simplified Arabic" w:eastAsia="Times New Roman" w:hAnsi="Simplified Arabic" w:cs="Simplified Arabic"/>
          <w:b/>
          <w:bCs/>
          <w:color w:val="000000" w:themeColor="text1"/>
          <w:kern w:val="0"/>
          <w:sz w:val="32"/>
          <w:szCs w:val="32"/>
          <w:rtl/>
          <w14:ligatures w14:val="none"/>
        </w:rPr>
        <w:t>المداخل النظرية المفسّرة لإدارة المخاطر</w:t>
      </w:r>
      <w:bookmarkEnd w:id="38"/>
    </w:p>
    <w:p w14:paraId="6E6D46B1"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اعتمد الباحثون في تفسير إدارة المخاطر على مداخل نظريّةٍ متعدّدة، من أبرزها مدخل إدارة المخاطر المؤسسية </w:t>
      </w:r>
      <w:r w:rsidRPr="009B67DA">
        <w:rPr>
          <w:rFonts w:ascii="Simplified Arabic" w:eastAsia="Times New Roman" w:hAnsi="Simplified Arabic" w:cs="Simplified Arabic"/>
          <w:color w:val="000000" w:themeColor="text1"/>
          <w:kern w:val="0"/>
          <w:sz w:val="28"/>
          <w:szCs w:val="28"/>
          <w14:ligatures w14:val="none"/>
        </w:rPr>
        <w:t xml:space="preserve">(ERM) </w:t>
      </w:r>
      <w:r w:rsidRPr="009B67DA">
        <w:rPr>
          <w:rFonts w:ascii="Simplified Arabic" w:eastAsia="Times New Roman" w:hAnsi="Simplified Arabic" w:cs="Simplified Arabic"/>
          <w:color w:val="000000" w:themeColor="text1"/>
          <w:kern w:val="0"/>
          <w:sz w:val="28"/>
          <w:szCs w:val="28"/>
          <w:rtl/>
          <w14:ligatures w14:val="none"/>
        </w:rPr>
        <w:t>الذي يرى في إدارة المخاطر منظومةً متكاملةً تشمل كافّة المخاطر التي تواجه المنظمة، وقد تبنّاه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Saputra</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في تحليل استدامة القطاع المصرفي الإندونيسي. ويُبرز هذا المدخل أهميّة النظرة الشاملة والمتكاملة، بدلًا من إدارة المخاطر في صوامع منعزلة</w:t>
      </w:r>
      <w:r w:rsidRPr="009B67DA">
        <w:rPr>
          <w:rFonts w:ascii="Simplified Arabic" w:eastAsia="Times New Roman" w:hAnsi="Simplified Arabic" w:cs="Simplified Arabic"/>
          <w:color w:val="000000" w:themeColor="text1"/>
          <w:kern w:val="0"/>
          <w:sz w:val="28"/>
          <w:szCs w:val="28"/>
          <w14:ligatures w14:val="none"/>
        </w:rPr>
        <w:t>.</w:t>
      </w:r>
    </w:p>
    <w:p w14:paraId="713DEA76"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ومن المداخل المهمّة كذلك مدخل مرونة سلسلة التوريد الذي يرى في إدارة المخاطر آليّةً لبناء قدرة السلسلة على مواجهة الاضطرابات والتعافي منها، وقد وظّفه</w:t>
      </w:r>
      <w:r w:rsidRPr="009B67DA">
        <w:rPr>
          <w:rFonts w:ascii="Simplified Arabic" w:eastAsia="Times New Roman" w:hAnsi="Simplified Arabic" w:cs="Simplified Arabic"/>
          <w:color w:val="000000" w:themeColor="text1"/>
          <w:kern w:val="0"/>
          <w:sz w:val="28"/>
          <w:szCs w:val="28"/>
          <w14:ligatures w14:val="none"/>
        </w:rPr>
        <w:t xml:space="preserve"> Pan et al. (2025) </w:t>
      </w:r>
      <w:r w:rsidRPr="009B67DA">
        <w:rPr>
          <w:rFonts w:ascii="Simplified Arabic" w:eastAsia="Times New Roman" w:hAnsi="Simplified Arabic" w:cs="Simplified Arabic"/>
          <w:color w:val="000000" w:themeColor="text1"/>
          <w:kern w:val="0"/>
          <w:sz w:val="28"/>
          <w:szCs w:val="28"/>
          <w:rtl/>
          <w14:ligatures w14:val="none"/>
        </w:rPr>
        <w:t>في دراسته على القطاع الصناعي الصيني. ويُقدّم مدخل معالجة المعلومات رؤيةً تُفسّر إدارة المخاطر بوصفها عمليةً معرفيّةً تتصل بجمع المعلومات وتحليلها ومشاركتها، وهو ما تبنّاه</w:t>
      </w:r>
      <w:r w:rsidRPr="009B67DA">
        <w:rPr>
          <w:rFonts w:ascii="Simplified Arabic" w:eastAsia="Times New Roman" w:hAnsi="Simplified Arabic" w:cs="Simplified Arabic"/>
          <w:color w:val="000000" w:themeColor="text1"/>
          <w:kern w:val="0"/>
          <w:sz w:val="28"/>
          <w:szCs w:val="28"/>
          <w14:ligatures w14:val="none"/>
        </w:rPr>
        <w:t xml:space="preserve"> Rashid et al. (2024) </w:t>
      </w:r>
      <w:r w:rsidRPr="009B67DA">
        <w:rPr>
          <w:rFonts w:ascii="Simplified Arabic" w:eastAsia="Times New Roman" w:hAnsi="Simplified Arabic" w:cs="Simplified Arabic"/>
          <w:color w:val="000000" w:themeColor="text1"/>
          <w:kern w:val="0"/>
          <w:sz w:val="28"/>
          <w:szCs w:val="28"/>
          <w:rtl/>
          <w14:ligatures w14:val="none"/>
        </w:rPr>
        <w:t>في تفسير كيفية تعزيز التحول الرقمي لقدرات إدارة المخاطر</w:t>
      </w:r>
      <w:r w:rsidRPr="009B67DA">
        <w:rPr>
          <w:rFonts w:ascii="Simplified Arabic" w:eastAsia="Times New Roman" w:hAnsi="Simplified Arabic" w:cs="Simplified Arabic"/>
          <w:color w:val="000000" w:themeColor="text1"/>
          <w:kern w:val="0"/>
          <w:sz w:val="28"/>
          <w:szCs w:val="28"/>
          <w14:ligatures w14:val="none"/>
        </w:rPr>
        <w:t>.</w:t>
      </w:r>
    </w:p>
    <w:p w14:paraId="6F589BF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ويُقدّم مدخل </w:t>
      </w:r>
      <w:proofErr w:type="spellStart"/>
      <w:r w:rsidRPr="009B67DA">
        <w:rPr>
          <w:rFonts w:ascii="Simplified Arabic" w:eastAsia="Times New Roman" w:hAnsi="Simplified Arabic" w:cs="Simplified Arabic"/>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إطارًا يربط بين إدارة المخاطر ومنظومة الرقابة والمساءلة، وقد اعتمده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في دراسته على البنوك التجارية السعودية. ويُبرز مدخل التفكير الاستراتيجي الذي وظّفه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(2022) دور القدرات الفكرية والذهنية للقيادة في تشكيل منظومةٍ فاعلةٍ لإدارة المخاطر. أمّا مدخل الصناعة الرابعة الذي طوّره</w:t>
      </w:r>
      <w:r w:rsidRPr="009B67DA">
        <w:rPr>
          <w:rFonts w:ascii="Simplified Arabic" w:eastAsia="Times New Roman" w:hAnsi="Simplified Arabic" w:cs="Simplified Arabic"/>
          <w:color w:val="000000" w:themeColor="text1"/>
          <w:kern w:val="0"/>
          <w:sz w:val="28"/>
          <w:szCs w:val="28"/>
          <w14:ligatures w14:val="none"/>
        </w:rPr>
        <w:t xml:space="preserve"> Pandey et al. (2023) </w:t>
      </w:r>
      <w:r w:rsidRPr="009B67DA">
        <w:rPr>
          <w:rFonts w:ascii="Simplified Arabic" w:eastAsia="Times New Roman" w:hAnsi="Simplified Arabic" w:cs="Simplified Arabic"/>
          <w:color w:val="000000" w:themeColor="text1"/>
          <w:kern w:val="0"/>
          <w:sz w:val="28"/>
          <w:szCs w:val="28"/>
          <w:rtl/>
          <w14:ligatures w14:val="none"/>
        </w:rPr>
        <w:t>فيرى في إدارة المخاطر منظومةً متطوّرةً تتفاعل مع التقنيات الرقمية المتقدّمة، ما يستلزم إعادة تصوّرٍ للأدوار والأدوات</w:t>
      </w:r>
      <w:r w:rsidRPr="009B67DA">
        <w:rPr>
          <w:rFonts w:ascii="Simplified Arabic" w:eastAsia="Times New Roman" w:hAnsi="Simplified Arabic" w:cs="Simplified Arabic"/>
          <w:color w:val="000000" w:themeColor="text1"/>
          <w:kern w:val="0"/>
          <w:sz w:val="28"/>
          <w:szCs w:val="28"/>
          <w14:ligatures w14:val="none"/>
        </w:rPr>
        <w:t>.</w:t>
      </w:r>
    </w:p>
    <w:p w14:paraId="356335C2" w14:textId="51D1614A"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990080"/>
      <w:r w:rsidRPr="009B67DA">
        <w:rPr>
          <w:rFonts w:ascii="Simplified Arabic" w:eastAsia="Times New Roman" w:hAnsi="Simplified Arabic" w:cs="Simplified Arabic" w:hint="cs"/>
          <w:b/>
          <w:bCs/>
          <w:color w:val="000000" w:themeColor="text1"/>
          <w:kern w:val="0"/>
          <w:sz w:val="32"/>
          <w:szCs w:val="32"/>
          <w:rtl/>
          <w14:ligatures w14:val="none"/>
        </w:rPr>
        <w:t xml:space="preserve">7.2.2 </w:t>
      </w:r>
      <w:r w:rsidR="00703DAA" w:rsidRPr="009B67DA">
        <w:rPr>
          <w:rFonts w:ascii="Simplified Arabic" w:eastAsia="Times New Roman" w:hAnsi="Simplified Arabic" w:cs="Simplified Arabic"/>
          <w:b/>
          <w:bCs/>
          <w:color w:val="000000" w:themeColor="text1"/>
          <w:kern w:val="0"/>
          <w:sz w:val="32"/>
          <w:szCs w:val="32"/>
          <w:rtl/>
          <w14:ligatures w14:val="none"/>
        </w:rPr>
        <w:t>مكوّنات إدارة المخاطر وعمليّاتها</w:t>
      </w:r>
      <w:bookmarkEnd w:id="39"/>
    </w:p>
    <w:p w14:paraId="3A1218C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يتناول الفكر المعاصر إدارة المخاطر بوصفها متغيرًا أحاديّ المحور تتفاعل داخله مجموعةٌ من العمليّات المترابطة التي تُشكّل معًا دورةً متكاملة. وقد تمّت معالجة إدارة المخاطر في هذه الدراسة بوصفها متغيرًا أحاديّ المحور يُقاس بعشر فقرات، وذلك انسجامًا مع التوجّهات الحديثة في الأدبيات التي تُركّز على شموليّة إدارة المخاطر بدلًا من تجزئتها إلى أبعادٍ منفصلة. ويستند هذا الاختيار إلى أنّ عمليّات إدارة المخاطر مترابطةٌ وتكامليّة، بحيث لا يمكن فصل مرحلةٍ عن أخرى دون الإخلال بمنظومة الإدارة الكلية</w:t>
      </w:r>
      <w:r w:rsidRPr="009B67DA">
        <w:rPr>
          <w:rFonts w:ascii="Simplified Arabic" w:eastAsia="Times New Roman" w:hAnsi="Simplified Arabic" w:cs="Simplified Arabic"/>
          <w:color w:val="000000" w:themeColor="text1"/>
          <w:kern w:val="0"/>
          <w:sz w:val="28"/>
          <w:szCs w:val="28"/>
          <w14:ligatures w14:val="none"/>
        </w:rPr>
        <w:t>.</w:t>
      </w:r>
    </w:p>
    <w:p w14:paraId="634DB188"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وتبدأ دورة إدارة المخاطر بمرحلة تحديد المخاطر </w:t>
      </w:r>
      <w:r w:rsidRPr="009B67DA">
        <w:rPr>
          <w:rFonts w:ascii="Simplified Arabic" w:eastAsia="Times New Roman" w:hAnsi="Simplified Arabic" w:cs="Simplified Arabic"/>
          <w:color w:val="000000" w:themeColor="text1"/>
          <w:kern w:val="0"/>
          <w:sz w:val="28"/>
          <w:szCs w:val="28"/>
          <w14:ligatures w14:val="none"/>
        </w:rPr>
        <w:t xml:space="preserve">(Risk Identification) </w:t>
      </w:r>
      <w:r w:rsidRPr="009B67DA">
        <w:rPr>
          <w:rFonts w:ascii="Simplified Arabic" w:eastAsia="Times New Roman" w:hAnsi="Simplified Arabic" w:cs="Simplified Arabic"/>
          <w:color w:val="000000" w:themeColor="text1"/>
          <w:kern w:val="0"/>
          <w:sz w:val="28"/>
          <w:szCs w:val="28"/>
          <w:rtl/>
          <w14:ligatures w14:val="none"/>
        </w:rPr>
        <w:t>التي تستهدف رصد كافّة المخاطر المحتملة التي قد تواجه المنظمة، سواء أكانت مخاطر داخليّةً تنبع من عملياتها وهياكلها، أم مخاطر خارجيّةً تنبع من بيئتها المحيطة. وتُوظّف في هذه المرحلة أدواتٌ متعدّدة كالعصف الذهني وتحليل</w:t>
      </w:r>
      <w:r w:rsidRPr="009B67DA">
        <w:rPr>
          <w:rFonts w:ascii="Simplified Arabic" w:eastAsia="Times New Roman" w:hAnsi="Simplified Arabic" w:cs="Simplified Arabic"/>
          <w:color w:val="000000" w:themeColor="text1"/>
          <w:kern w:val="0"/>
          <w:sz w:val="28"/>
          <w:szCs w:val="28"/>
          <w14:ligatures w14:val="none"/>
        </w:rPr>
        <w:t xml:space="preserve"> SWOT </w:t>
      </w:r>
      <w:r w:rsidRPr="009B67DA">
        <w:rPr>
          <w:rFonts w:ascii="Simplified Arabic" w:eastAsia="Times New Roman" w:hAnsi="Simplified Arabic" w:cs="Simplified Arabic"/>
          <w:color w:val="000000" w:themeColor="text1"/>
          <w:kern w:val="0"/>
          <w:sz w:val="28"/>
          <w:szCs w:val="28"/>
          <w:rtl/>
          <w14:ligatures w14:val="none"/>
        </w:rPr>
        <w:t>وتحليل السيناريوهات والمقابلات مع الخبراء وقوائم المراجعة. ويُشير حفصي وبن منصور وبن محمود (2022) إلى أنّ فاعلية هذه المرحلة تعتمد على شمولية النظرة وتنوّع المصادر، لأنّ إغفال بعض المخاطر في هذه المرحلة يُقوّض المنظومة بأكملها</w:t>
      </w:r>
      <w:r w:rsidRPr="009B67DA">
        <w:rPr>
          <w:rFonts w:ascii="Simplified Arabic" w:eastAsia="Times New Roman" w:hAnsi="Simplified Arabic" w:cs="Simplified Arabic"/>
          <w:color w:val="000000" w:themeColor="text1"/>
          <w:kern w:val="0"/>
          <w:sz w:val="28"/>
          <w:szCs w:val="28"/>
          <w14:ligatures w14:val="none"/>
        </w:rPr>
        <w:t>.</w:t>
      </w:r>
    </w:p>
    <w:p w14:paraId="36A0986E"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وتليها مرحلة تحليل المخاطر وتقييمها </w:t>
      </w:r>
      <w:r w:rsidRPr="009B67DA">
        <w:rPr>
          <w:rFonts w:ascii="Simplified Arabic" w:eastAsia="Times New Roman" w:hAnsi="Simplified Arabic" w:cs="Simplified Arabic"/>
          <w:color w:val="000000" w:themeColor="text1"/>
          <w:kern w:val="0"/>
          <w:sz w:val="28"/>
          <w:szCs w:val="28"/>
          <w14:ligatures w14:val="none"/>
        </w:rPr>
        <w:t xml:space="preserve">(Risk Analysis and Assessment) </w:t>
      </w:r>
      <w:r w:rsidRPr="009B67DA">
        <w:rPr>
          <w:rFonts w:ascii="Simplified Arabic" w:eastAsia="Times New Roman" w:hAnsi="Simplified Arabic" w:cs="Simplified Arabic"/>
          <w:color w:val="000000" w:themeColor="text1"/>
          <w:kern w:val="0"/>
          <w:sz w:val="28"/>
          <w:szCs w:val="28"/>
          <w:rtl/>
          <w14:ligatures w14:val="none"/>
        </w:rPr>
        <w:t xml:space="preserve">التي تستهدف تقدير احتمال وقوع كلّ خطرٍ وحجم أثره المحتمل، ثمّ ترتيب المخاطر وفق أولويّاتٍ منهجيّة. وتُوظّف في هذه المرحلة أدواتٌ كميّةٌ ونوعيّة، كمصفوفات الاحتمال والأثر، </w:t>
      </w:r>
      <w:proofErr w:type="spellStart"/>
      <w:r w:rsidRPr="009B67DA">
        <w:rPr>
          <w:rFonts w:ascii="Simplified Arabic" w:eastAsia="Times New Roman" w:hAnsi="Simplified Arabic" w:cs="Simplified Arabic"/>
          <w:color w:val="000000" w:themeColor="text1"/>
          <w:kern w:val="0"/>
          <w:sz w:val="28"/>
          <w:szCs w:val="28"/>
          <w:rtl/>
          <w14:ligatures w14:val="none"/>
        </w:rPr>
        <w:t>والنمذجة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الإحصائية، وتحليل الحساسية، ومحاكاة مونت كارلو. ويرى ليشاني </w:t>
      </w:r>
      <w:proofErr w:type="spellStart"/>
      <w:r w:rsidRPr="009B67DA">
        <w:rPr>
          <w:rFonts w:ascii="Simplified Arabic" w:eastAsia="Times New Roman" w:hAnsi="Simplified Arabic" w:cs="Simplified Arabic"/>
          <w:color w:val="000000" w:themeColor="text1"/>
          <w:kern w:val="0"/>
          <w:sz w:val="28"/>
          <w:szCs w:val="28"/>
          <w:rtl/>
          <w14:ligatures w14:val="none"/>
        </w:rPr>
        <w:t>وعرشوش</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والطيب (2022) أنّ هذه المرحلة تكتسب أهميّةً مضاعفةً في سياق الأزمات الكبرى، إذ يستلزم تحليل المخاطر أخذَ الترابطات بين المخاطر بعين الاعتبار، لأنّ خطرًا واحدًا قد يُطلق سلسلةً من المخاطر المتتالية</w:t>
      </w:r>
      <w:r w:rsidRPr="009B67DA">
        <w:rPr>
          <w:rFonts w:ascii="Simplified Arabic" w:eastAsia="Times New Roman" w:hAnsi="Simplified Arabic" w:cs="Simplified Arabic"/>
          <w:color w:val="000000" w:themeColor="text1"/>
          <w:kern w:val="0"/>
          <w:sz w:val="28"/>
          <w:szCs w:val="28"/>
          <w14:ligatures w14:val="none"/>
        </w:rPr>
        <w:t>.</w:t>
      </w:r>
    </w:p>
    <w:p w14:paraId="4A048EA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ثمّ تأتي مرحلة الاستجابة للمخاطر </w:t>
      </w:r>
      <w:r w:rsidRPr="009B67DA">
        <w:rPr>
          <w:rFonts w:ascii="Simplified Arabic" w:eastAsia="Times New Roman" w:hAnsi="Simplified Arabic" w:cs="Simplified Arabic"/>
          <w:color w:val="000000" w:themeColor="text1"/>
          <w:kern w:val="0"/>
          <w:sz w:val="28"/>
          <w:szCs w:val="28"/>
          <w14:ligatures w14:val="none"/>
        </w:rPr>
        <w:t xml:space="preserve">(Risk Response) </w:t>
      </w:r>
      <w:r w:rsidRPr="009B67DA">
        <w:rPr>
          <w:rFonts w:ascii="Simplified Arabic" w:eastAsia="Times New Roman" w:hAnsi="Simplified Arabic" w:cs="Simplified Arabic"/>
          <w:color w:val="000000" w:themeColor="text1"/>
          <w:kern w:val="0"/>
          <w:sz w:val="28"/>
          <w:szCs w:val="28"/>
          <w:rtl/>
          <w14:ligatures w14:val="none"/>
        </w:rPr>
        <w:t xml:space="preserve">التي تستهدف تصميم إجراءاتٍ مناسبةٍ للتعامل مع كلّ خطر. ويُبرز الحسني </w:t>
      </w:r>
      <w:proofErr w:type="spellStart"/>
      <w:r w:rsidRPr="009B67DA">
        <w:rPr>
          <w:rFonts w:ascii="Simplified Arabic" w:eastAsia="Times New Roman" w:hAnsi="Simplified Arabic" w:cs="Simplified Arabic"/>
          <w:color w:val="000000" w:themeColor="text1"/>
          <w:kern w:val="0"/>
          <w:sz w:val="28"/>
          <w:szCs w:val="28"/>
          <w:rtl/>
          <w14:ligatures w14:val="none"/>
        </w:rPr>
        <w:t>والخشالي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(2022) أنّ استراتيجيات الاستجابة تتراوح بين: تجنّبِ الخطر عبر الامتناع عن الأنشطة المسبّبة له، وتخفيفِ الخطر عبر إجراءاتٍ تُقلّل من احتمال وقوعه أو حجم أثره، ونقلِ الخطر إلى طرفٍ آخر كشركات التأمين، وقبولِ الخطر حين تكون تكلفة الاستجابة أعلى من كلفة الخطر ذاته، واستغلالِ الخطر حين يحمل في طيّاته فرصةً محتملة</w:t>
      </w:r>
      <w:r w:rsidRPr="009B67DA">
        <w:rPr>
          <w:rFonts w:ascii="Simplified Arabic" w:eastAsia="Times New Roman" w:hAnsi="Simplified Arabic" w:cs="Simplified Arabic"/>
          <w:color w:val="000000" w:themeColor="text1"/>
          <w:kern w:val="0"/>
          <w:sz w:val="28"/>
          <w:szCs w:val="28"/>
          <w14:ligatures w14:val="none"/>
        </w:rPr>
        <w:t>.</w:t>
      </w:r>
    </w:p>
    <w:p w14:paraId="2BE061B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وتُكمّل هذه المراحل مرحلةُ المتابعة والرصد </w:t>
      </w:r>
      <w:r w:rsidRPr="009B67DA">
        <w:rPr>
          <w:rFonts w:ascii="Simplified Arabic" w:eastAsia="Times New Roman" w:hAnsi="Simplified Arabic" w:cs="Simplified Arabic"/>
          <w:color w:val="000000" w:themeColor="text1"/>
          <w:kern w:val="0"/>
          <w:sz w:val="28"/>
          <w:szCs w:val="28"/>
          <w14:ligatures w14:val="none"/>
        </w:rPr>
        <w:t xml:space="preserve">(Monitoring and Review) </w:t>
      </w:r>
      <w:r w:rsidRPr="009B67DA">
        <w:rPr>
          <w:rFonts w:ascii="Simplified Arabic" w:eastAsia="Times New Roman" w:hAnsi="Simplified Arabic" w:cs="Simplified Arabic"/>
          <w:color w:val="000000" w:themeColor="text1"/>
          <w:kern w:val="0"/>
          <w:sz w:val="28"/>
          <w:szCs w:val="28"/>
          <w:rtl/>
          <w14:ligatures w14:val="none"/>
        </w:rPr>
        <w:t>التي تستهدف تتبّع أداء منظومة المخاطر بصورةٍ دوريّة، ورصد المخاطر الناشئة، ومراجعة فاعلية الاستجابات، وإجراء التعديلات اللازمة. ويُبرز</w:t>
      </w:r>
      <w:r w:rsidRPr="009B67DA">
        <w:rPr>
          <w:rFonts w:ascii="Simplified Arabic" w:eastAsia="Times New Roman" w:hAnsi="Simplified Arabic" w:cs="Simplified Arabic"/>
          <w:color w:val="000000" w:themeColor="text1"/>
          <w:kern w:val="0"/>
          <w:sz w:val="28"/>
          <w:szCs w:val="28"/>
          <w14:ligatures w14:val="none"/>
        </w:rPr>
        <w:t xml:space="preserve"> Pandey et al. (2023) </w:t>
      </w:r>
      <w:r w:rsidRPr="009B67DA">
        <w:rPr>
          <w:rFonts w:ascii="Simplified Arabic" w:eastAsia="Times New Roman" w:hAnsi="Simplified Arabic" w:cs="Simplified Arabic"/>
          <w:color w:val="000000" w:themeColor="text1"/>
          <w:kern w:val="0"/>
          <w:sz w:val="28"/>
          <w:szCs w:val="28"/>
          <w:rtl/>
          <w14:ligatures w14:val="none"/>
        </w:rPr>
        <w:t>أنّ هذه المرحلة اكتسبت طابعًا فوريًّا</w:t>
      </w:r>
      <w:r w:rsidRPr="009B67DA">
        <w:rPr>
          <w:rFonts w:ascii="Simplified Arabic" w:eastAsia="Times New Roman" w:hAnsi="Simplified Arabic" w:cs="Simplified Arabic"/>
          <w:color w:val="000000" w:themeColor="text1"/>
          <w:kern w:val="0"/>
          <w:sz w:val="28"/>
          <w:szCs w:val="28"/>
          <w14:ligatures w14:val="none"/>
        </w:rPr>
        <w:t xml:space="preserve"> (Real-Time) </w:t>
      </w:r>
      <w:r w:rsidRPr="009B67DA">
        <w:rPr>
          <w:rFonts w:ascii="Simplified Arabic" w:eastAsia="Times New Roman" w:hAnsi="Simplified Arabic" w:cs="Simplified Arabic"/>
          <w:color w:val="000000" w:themeColor="text1"/>
          <w:kern w:val="0"/>
          <w:sz w:val="28"/>
          <w:szCs w:val="28"/>
          <w:rtl/>
          <w14:ligatures w14:val="none"/>
        </w:rPr>
        <w:t>في بيئة الصناعة الرابعة، بحيث تتم متابعة المخاطر بصورةٍ مستمرّةٍ عبر منظوماتٍ رقميّةٍ متقدّمة</w:t>
      </w:r>
      <w:r w:rsidRPr="009B67DA">
        <w:rPr>
          <w:rFonts w:ascii="Simplified Arabic" w:eastAsia="Times New Roman" w:hAnsi="Simplified Arabic" w:cs="Simplified Arabic"/>
          <w:color w:val="000000" w:themeColor="text1"/>
          <w:kern w:val="0"/>
          <w:sz w:val="28"/>
          <w:szCs w:val="28"/>
          <w14:ligatures w14:val="none"/>
        </w:rPr>
        <w:t>.</w:t>
      </w:r>
    </w:p>
    <w:p w14:paraId="5A11C8A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وتُشكّل الاتصالات والتشاور </w:t>
      </w:r>
      <w:r w:rsidRPr="009B67DA">
        <w:rPr>
          <w:rFonts w:ascii="Simplified Arabic" w:eastAsia="Times New Roman" w:hAnsi="Simplified Arabic" w:cs="Simplified Arabic"/>
          <w:color w:val="000000" w:themeColor="text1"/>
          <w:kern w:val="0"/>
          <w:sz w:val="28"/>
          <w:szCs w:val="28"/>
          <w14:ligatures w14:val="none"/>
        </w:rPr>
        <w:t xml:space="preserve">(Communication and Consultation) </w:t>
      </w:r>
      <w:r w:rsidRPr="009B67DA">
        <w:rPr>
          <w:rFonts w:ascii="Simplified Arabic" w:eastAsia="Times New Roman" w:hAnsi="Simplified Arabic" w:cs="Simplified Arabic"/>
          <w:color w:val="000000" w:themeColor="text1"/>
          <w:kern w:val="0"/>
          <w:sz w:val="28"/>
          <w:szCs w:val="28"/>
          <w:rtl/>
          <w14:ligatures w14:val="none"/>
        </w:rPr>
        <w:t xml:space="preserve">عنصرًا مصاحبًا لجميع المراحل، إذ إنّ إدارة المخاطر لا يمكن أن تنجح دون تدفّقٍ سلسٍ للمعلومات بين مختلف مستويات المنظمة والأطراف ذات المصلحة. ويُضيف </w:t>
      </w:r>
      <w:proofErr w:type="spellStart"/>
      <w:r w:rsidRPr="009B67DA">
        <w:rPr>
          <w:rFonts w:ascii="Simplified Arabic" w:eastAsia="Times New Roman" w:hAnsi="Simplified Arabic" w:cs="Simplified Arabic"/>
          <w:color w:val="000000" w:themeColor="text1"/>
          <w:kern w:val="0"/>
          <w:sz w:val="28"/>
          <w:szCs w:val="28"/>
          <w:rtl/>
          <w14:ligatures w14:val="none"/>
        </w:rPr>
        <w:t>عبدالمعتمد</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وشهوان وحجازي (2025) بُعدًا مهمًّا يتصل بضرورة بناء ثقافة المخاطر </w:t>
      </w:r>
      <w:r w:rsidRPr="009B67DA">
        <w:rPr>
          <w:rFonts w:ascii="Simplified Arabic" w:eastAsia="Times New Roman" w:hAnsi="Simplified Arabic" w:cs="Simplified Arabic"/>
          <w:color w:val="000000" w:themeColor="text1"/>
          <w:kern w:val="0"/>
          <w:sz w:val="28"/>
          <w:szCs w:val="28"/>
          <w14:ligatures w14:val="none"/>
        </w:rPr>
        <w:t xml:space="preserve">(Risk Culture) </w:t>
      </w:r>
      <w:r w:rsidRPr="009B67DA">
        <w:rPr>
          <w:rFonts w:ascii="Simplified Arabic" w:eastAsia="Times New Roman" w:hAnsi="Simplified Arabic" w:cs="Simplified Arabic"/>
          <w:color w:val="000000" w:themeColor="text1"/>
          <w:kern w:val="0"/>
          <w:sz w:val="28"/>
          <w:szCs w:val="28"/>
          <w:rtl/>
          <w14:ligatures w14:val="none"/>
        </w:rPr>
        <w:t>على مستوى المنظمة، بحيث يتحلّى جميع العاملين بالوعي المناسب بالمخاطر وأساليب التعامل معها، لأنّ منظومة الإدارة الرسمية وحدها لا تكفي دون ثقافةٍ داعمةٍ لها</w:t>
      </w:r>
      <w:r w:rsidRPr="009B67DA">
        <w:rPr>
          <w:rFonts w:ascii="Simplified Arabic" w:eastAsia="Times New Roman" w:hAnsi="Simplified Arabic" w:cs="Simplified Arabic"/>
          <w:color w:val="000000" w:themeColor="text1"/>
          <w:kern w:val="0"/>
          <w:sz w:val="28"/>
          <w:szCs w:val="28"/>
          <w14:ligatures w14:val="none"/>
        </w:rPr>
        <w:t>.</w:t>
      </w:r>
    </w:p>
    <w:p w14:paraId="774A9AD5"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كذلك تشمل منظومة إدارة المخاطر عنصر </w:t>
      </w:r>
      <w:proofErr w:type="spellStart"/>
      <w:r w:rsidRPr="009B67DA">
        <w:rPr>
          <w:rFonts w:ascii="Simplified Arabic" w:eastAsia="Times New Roman" w:hAnsi="Simplified Arabic" w:cs="Simplified Arabic"/>
          <w:color w:val="000000" w:themeColor="text1"/>
          <w:kern w:val="0"/>
          <w:sz w:val="28"/>
          <w:szCs w:val="28"/>
          <w:rtl/>
          <w14:ligatures w14:val="none"/>
        </w:rPr>
        <w:t>الحوكمة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والإطار المؤسسي </w:t>
      </w:r>
      <w:r w:rsidRPr="009B67DA">
        <w:rPr>
          <w:rFonts w:ascii="Simplified Arabic" w:eastAsia="Times New Roman" w:hAnsi="Simplified Arabic" w:cs="Simplified Arabic"/>
          <w:color w:val="000000" w:themeColor="text1"/>
          <w:kern w:val="0"/>
          <w:sz w:val="28"/>
          <w:szCs w:val="28"/>
          <w14:ligatures w14:val="none"/>
        </w:rPr>
        <w:t xml:space="preserve">(Governance Framework) </w:t>
      </w:r>
      <w:r w:rsidRPr="009B67DA">
        <w:rPr>
          <w:rFonts w:ascii="Simplified Arabic" w:eastAsia="Times New Roman" w:hAnsi="Simplified Arabic" w:cs="Simplified Arabic"/>
          <w:color w:val="000000" w:themeColor="text1"/>
          <w:kern w:val="0"/>
          <w:sz w:val="28"/>
          <w:szCs w:val="28"/>
          <w:rtl/>
          <w14:ligatures w14:val="none"/>
        </w:rPr>
        <w:t xml:space="preserve">الذي يُوضّح الأدوار والمسؤوليات على مختلف المستويات، من مجلس الإدارة إلى لجنة المخاطر إلى المدير التنفيذي للمخاطر إلى الوحدات التشغيلية. ويُبرز </w:t>
      </w:r>
      <w:proofErr w:type="spellStart"/>
      <w:r w:rsidRPr="009B67DA">
        <w:rPr>
          <w:rFonts w:ascii="Simplified Arabic" w:eastAsia="Times New Roman" w:hAnsi="Simplified Arabic" w:cs="Simplified Arabic"/>
          <w:color w:val="000000" w:themeColor="text1"/>
          <w:kern w:val="0"/>
          <w:sz w:val="28"/>
          <w:szCs w:val="28"/>
          <w:rtl/>
          <w14:ligatures w14:val="none"/>
        </w:rPr>
        <w:t>الرزني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rtl/>
          <w14:ligatures w14:val="none"/>
        </w:rPr>
        <w:t>والزغول</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(2024) أنّ فاعلية هذا الإطار تتعزّز بوجود مراجعةٍ داخليّةٍ مستقلّةٍ تُقدّم ضماناتٍ حول جودة منظومة المخاطر</w:t>
      </w:r>
      <w:r w:rsidRPr="009B67DA">
        <w:rPr>
          <w:rFonts w:ascii="Simplified Arabic" w:eastAsia="Times New Roman" w:hAnsi="Simplified Arabic" w:cs="Simplified Arabic"/>
          <w:color w:val="000000" w:themeColor="text1"/>
          <w:kern w:val="0"/>
          <w:sz w:val="28"/>
          <w:szCs w:val="28"/>
          <w14:ligatures w14:val="none"/>
        </w:rPr>
        <w:t>.</w:t>
      </w:r>
    </w:p>
    <w:p w14:paraId="0422CF20" w14:textId="4D48109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90081"/>
      <w:r w:rsidRPr="009B67DA">
        <w:rPr>
          <w:rFonts w:ascii="Simplified Arabic" w:eastAsia="Times New Roman" w:hAnsi="Simplified Arabic" w:cs="Simplified Arabic" w:hint="cs"/>
          <w:b/>
          <w:bCs/>
          <w:color w:val="000000" w:themeColor="text1"/>
          <w:kern w:val="0"/>
          <w:sz w:val="32"/>
          <w:szCs w:val="32"/>
          <w:rtl/>
          <w14:ligatures w14:val="none"/>
        </w:rPr>
        <w:t xml:space="preserve">8.2.2 </w:t>
      </w:r>
      <w:r w:rsidR="00703DAA" w:rsidRPr="009B67DA">
        <w:rPr>
          <w:rFonts w:ascii="Simplified Arabic" w:eastAsia="Times New Roman" w:hAnsi="Simplified Arabic" w:cs="Simplified Arabic"/>
          <w:b/>
          <w:bCs/>
          <w:color w:val="000000" w:themeColor="text1"/>
          <w:kern w:val="0"/>
          <w:sz w:val="32"/>
          <w:szCs w:val="32"/>
          <w:rtl/>
          <w14:ligatures w14:val="none"/>
        </w:rPr>
        <w:t>أنواع المخاطر التي تواجه الشركات اللوجستية</w:t>
      </w:r>
      <w:bookmarkEnd w:id="40"/>
    </w:p>
    <w:p w14:paraId="4670A7E9"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تواجه الشركات اللوجستية طيفًا واسعًا من المخاطر التي يمكن تصنيفها في مجموعاتٍ متعدّدة. فمن ناحية، ثمة المخاطر التشغيلية التي تنبع من العمليات الداخلية للشركة، كأعطال المعدات وأخطاء التخزين والتأخّر في التسليم وحوادث النقل. ومن ناحية أخرى، ثمة مخاطر سلسلة التوريد التي تنبع من الترابط مع الموردين والشركاء والعملاء، وقد تناولها </w:t>
      </w:r>
      <w:proofErr w:type="spellStart"/>
      <w:r w:rsidRPr="009B67DA">
        <w:rPr>
          <w:rFonts w:ascii="Simplified Arabic" w:eastAsia="Times New Roman" w:hAnsi="Simplified Arabic" w:cs="Simplified Arabic"/>
          <w:color w:val="000000" w:themeColor="text1"/>
          <w:kern w:val="0"/>
          <w:sz w:val="28"/>
          <w:szCs w:val="28"/>
          <w:rtl/>
          <w14:ligatures w14:val="none"/>
        </w:rPr>
        <w:t>نويجي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(2023) بالربط مع سمعة العلامة التجارية في قطاع التجارة الإلكترونية. وتُبرز دراسة الشعراوي والسقطي (2025) أنّ مخاطر سلاسل الإمداد تتفاعل مع أداء المشاريع في القطاعات ذات الطبيعة التشغيلية المعقّدة كقطاع الخرسانة الجاهزة</w:t>
      </w:r>
      <w:r w:rsidRPr="009B67DA">
        <w:rPr>
          <w:rFonts w:ascii="Simplified Arabic" w:eastAsia="Times New Roman" w:hAnsi="Simplified Arabic" w:cs="Simplified Arabic"/>
          <w:color w:val="000000" w:themeColor="text1"/>
          <w:kern w:val="0"/>
          <w:sz w:val="28"/>
          <w:szCs w:val="28"/>
          <w14:ligatures w14:val="none"/>
        </w:rPr>
        <w:t>.</w:t>
      </w:r>
    </w:p>
    <w:p w14:paraId="6AE672B4"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كذلك ثمة المخاطر المالية المتصلة بتقلّبات أسعار الوقود والصرف والفائدة، والمخاطر الاستراتيجية المتصلة بتحوّلات السوق وسلوك المنافسين، والمخاطر السمعية التي أبرزها </w:t>
      </w:r>
      <w:proofErr w:type="spellStart"/>
      <w:r w:rsidRPr="009B67DA">
        <w:rPr>
          <w:rFonts w:ascii="Simplified Arabic" w:eastAsia="Times New Roman" w:hAnsi="Simplified Arabic" w:cs="Simplified Arabic"/>
          <w:color w:val="000000" w:themeColor="text1"/>
          <w:kern w:val="0"/>
          <w:sz w:val="28"/>
          <w:szCs w:val="28"/>
          <w:rtl/>
          <w14:ligatures w14:val="none"/>
        </w:rPr>
        <w:t>نويجي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(2023). وتزداد أهمية المخاطر </w:t>
      </w:r>
      <w:proofErr w:type="spellStart"/>
      <w:r w:rsidRPr="009B67DA">
        <w:rPr>
          <w:rFonts w:ascii="Simplified Arabic" w:eastAsia="Times New Roman" w:hAnsi="Simplified Arabic" w:cs="Simplified Arabic"/>
          <w:color w:val="000000" w:themeColor="text1"/>
          <w:kern w:val="0"/>
          <w:sz w:val="28"/>
          <w:szCs w:val="28"/>
          <w:rtl/>
          <w14:ligatures w14:val="none"/>
        </w:rPr>
        <w:t>السيبرانية</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مع تصاعد الاعتماد على المنظومات الرقمية، وهو ما تناوله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Creazza</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(2022) </w:t>
      </w:r>
      <w:r w:rsidRPr="009B67DA">
        <w:rPr>
          <w:rFonts w:ascii="Simplified Arabic" w:eastAsia="Times New Roman" w:hAnsi="Simplified Arabic" w:cs="Simplified Arabic"/>
          <w:color w:val="000000" w:themeColor="text1"/>
          <w:kern w:val="0"/>
          <w:sz w:val="28"/>
          <w:szCs w:val="28"/>
          <w:rtl/>
          <w14:ligatures w14:val="none"/>
        </w:rPr>
        <w:t xml:space="preserve">في تحليل إدراك مديري سلاسل التوريد لهذه المخاطر. وتُضاف إلى ذلك المخاطر الجيوسياسية المتصلة بالنزاعات والاضطرابات الإقليمية، والمخاطر البيئية المتصلة بالتغيرات المناخية والكوارث الطبيعية، والمخاطر الوبائية التي كشفت عنها جائحة كوفيد-19 بصورةٍ جلية (ليشاني </w:t>
      </w:r>
      <w:proofErr w:type="spellStart"/>
      <w:r w:rsidRPr="009B67DA">
        <w:rPr>
          <w:rFonts w:ascii="Simplified Arabic" w:eastAsia="Times New Roman" w:hAnsi="Simplified Arabic" w:cs="Simplified Arabic"/>
          <w:color w:val="000000" w:themeColor="text1"/>
          <w:kern w:val="0"/>
          <w:sz w:val="28"/>
          <w:szCs w:val="28"/>
          <w:rtl/>
          <w14:ligatures w14:val="none"/>
        </w:rPr>
        <w:t>وعرشوش</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والطيب، 2022)</w:t>
      </w:r>
      <w:r w:rsidRPr="009B67DA">
        <w:rPr>
          <w:rFonts w:ascii="Simplified Arabic" w:eastAsia="Times New Roman" w:hAnsi="Simplified Arabic" w:cs="Simplified Arabic"/>
          <w:color w:val="000000" w:themeColor="text1"/>
          <w:kern w:val="0"/>
          <w:sz w:val="28"/>
          <w:szCs w:val="28"/>
          <w14:ligatures w14:val="none"/>
        </w:rPr>
        <w:t>.</w:t>
      </w:r>
    </w:p>
    <w:p w14:paraId="25CB5429" w14:textId="2FEA68D1"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90082"/>
      <w:r w:rsidRPr="009B67DA">
        <w:rPr>
          <w:rFonts w:ascii="Simplified Arabic" w:eastAsia="Times New Roman" w:hAnsi="Simplified Arabic" w:cs="Simplified Arabic" w:hint="cs"/>
          <w:b/>
          <w:bCs/>
          <w:color w:val="000000" w:themeColor="text1"/>
          <w:kern w:val="0"/>
          <w:sz w:val="32"/>
          <w:szCs w:val="32"/>
          <w:rtl/>
          <w14:ligatures w14:val="none"/>
        </w:rPr>
        <w:t xml:space="preserve">9.2.2 </w:t>
      </w:r>
      <w:r w:rsidR="00703DAA" w:rsidRPr="009B67DA">
        <w:rPr>
          <w:rFonts w:ascii="Simplified Arabic" w:eastAsia="Times New Roman" w:hAnsi="Simplified Arabic" w:cs="Simplified Arabic"/>
          <w:b/>
          <w:bCs/>
          <w:color w:val="000000" w:themeColor="text1"/>
          <w:kern w:val="0"/>
          <w:sz w:val="32"/>
          <w:szCs w:val="32"/>
          <w:rtl/>
          <w14:ligatures w14:val="none"/>
        </w:rPr>
        <w:t>استراتيجيات إدارة المخاطر</w:t>
      </w:r>
      <w:bookmarkEnd w:id="41"/>
    </w:p>
    <w:p w14:paraId="04686A9C"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تعتمد المنظمات في تفعيل إدارة المخاطر على منظومةٍ من الاستراتيجيات المتكاملة. وتتمثّل الاستراتيجية الأولى في الاستراتيجية الاستباقية </w:t>
      </w:r>
      <w:r w:rsidRPr="009B67DA">
        <w:rPr>
          <w:rFonts w:ascii="Simplified Arabic" w:eastAsia="Times New Roman" w:hAnsi="Simplified Arabic" w:cs="Simplified Arabic"/>
          <w:color w:val="000000" w:themeColor="text1"/>
          <w:kern w:val="0"/>
          <w:sz w:val="28"/>
          <w:szCs w:val="28"/>
          <w14:ligatures w14:val="none"/>
        </w:rPr>
        <w:t xml:space="preserve">(Proactive Strategy) </w:t>
      </w:r>
      <w:r w:rsidRPr="009B67DA">
        <w:rPr>
          <w:rFonts w:ascii="Simplified Arabic" w:eastAsia="Times New Roman" w:hAnsi="Simplified Arabic" w:cs="Simplified Arabic"/>
          <w:color w:val="000000" w:themeColor="text1"/>
          <w:kern w:val="0"/>
          <w:sz w:val="28"/>
          <w:szCs w:val="28"/>
          <w:rtl/>
          <w14:ligatures w14:val="none"/>
        </w:rPr>
        <w:t>التي تستهدف رصد المخاطر واستشعارها قبل وقوعها، عبر منظوماتٍ للإنذار المبكّر ومؤشراتٍ رئيسيّةٍ للمخاطر</w:t>
      </w:r>
      <w:r w:rsidRPr="009B67DA">
        <w:rPr>
          <w:rFonts w:ascii="Simplified Arabic" w:eastAsia="Times New Roman" w:hAnsi="Simplified Arabic" w:cs="Simplified Arabic"/>
          <w:color w:val="000000" w:themeColor="text1"/>
          <w:kern w:val="0"/>
          <w:sz w:val="28"/>
          <w:szCs w:val="28"/>
          <w14:ligatures w14:val="none"/>
        </w:rPr>
        <w:t xml:space="preserve"> (Key Risk Indicators). </w:t>
      </w:r>
      <w:r w:rsidRPr="009B67DA">
        <w:rPr>
          <w:rFonts w:ascii="Simplified Arabic" w:eastAsia="Times New Roman" w:hAnsi="Simplified Arabic" w:cs="Simplified Arabic"/>
          <w:color w:val="000000" w:themeColor="text1"/>
          <w:kern w:val="0"/>
          <w:sz w:val="28"/>
          <w:szCs w:val="28"/>
          <w:rtl/>
          <w14:ligatures w14:val="none"/>
        </w:rPr>
        <w:t xml:space="preserve">ويُبرز </w:t>
      </w:r>
      <w:proofErr w:type="spellStart"/>
      <w:r w:rsidRPr="009B67DA">
        <w:rPr>
          <w:rFonts w:ascii="Simplified Arabic" w:eastAsia="Times New Roman" w:hAnsi="Simplified Arabic" w:cs="Simplified Arabic"/>
          <w:color w:val="000000" w:themeColor="text1"/>
          <w:kern w:val="0"/>
          <w:sz w:val="28"/>
          <w:szCs w:val="28"/>
          <w:rtl/>
          <w14:ligatures w14:val="none"/>
        </w:rPr>
        <w:t>السويري</w:t>
      </w:r>
      <w:proofErr w:type="spellEnd"/>
      <w:r w:rsidRPr="009B67DA">
        <w:rPr>
          <w:rFonts w:ascii="Simplified Arabic" w:eastAsia="Times New Roman" w:hAnsi="Simplified Arabic" w:cs="Simplified Arabic"/>
          <w:color w:val="000000" w:themeColor="text1"/>
          <w:kern w:val="0"/>
          <w:sz w:val="28"/>
          <w:szCs w:val="28"/>
          <w:rtl/>
          <w14:ligatures w14:val="none"/>
        </w:rPr>
        <w:t xml:space="preserve"> (2025) أنّ الاستراتيجية الاستباقية تُشكّل السمة الأبرز لإدارة المخاطر الحديثة، ولا سيّما في القطاعات الحساسة</w:t>
      </w:r>
      <w:r w:rsidRPr="009B67DA">
        <w:rPr>
          <w:rFonts w:ascii="Simplified Arabic" w:eastAsia="Times New Roman" w:hAnsi="Simplified Arabic" w:cs="Simplified Arabic"/>
          <w:color w:val="000000" w:themeColor="text1"/>
          <w:kern w:val="0"/>
          <w:sz w:val="28"/>
          <w:szCs w:val="28"/>
          <w14:ligatures w14:val="none"/>
        </w:rPr>
        <w:t>.</w:t>
      </w:r>
    </w:p>
    <w:p w14:paraId="34CEA19D"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وتتمثّل الاستراتيجية الثانية في التنويع </w:t>
      </w:r>
      <w:r w:rsidRPr="009B67DA">
        <w:rPr>
          <w:rFonts w:ascii="Simplified Arabic" w:eastAsia="Times New Roman" w:hAnsi="Simplified Arabic" w:cs="Simplified Arabic"/>
          <w:color w:val="000000" w:themeColor="text1"/>
          <w:kern w:val="0"/>
          <w:sz w:val="28"/>
          <w:szCs w:val="28"/>
          <w14:ligatures w14:val="none"/>
        </w:rPr>
        <w:t xml:space="preserve">(Diversification) </w:t>
      </w:r>
      <w:r w:rsidRPr="009B67DA">
        <w:rPr>
          <w:rFonts w:ascii="Simplified Arabic" w:eastAsia="Times New Roman" w:hAnsi="Simplified Arabic" w:cs="Simplified Arabic"/>
          <w:color w:val="000000" w:themeColor="text1"/>
          <w:kern w:val="0"/>
          <w:sz w:val="28"/>
          <w:szCs w:val="28"/>
          <w:rtl/>
          <w14:ligatures w14:val="none"/>
        </w:rPr>
        <w:t>الذي يستهدف توزيع المخاطر عبر مصادر متعدّدة، كتنويع الموردين والأسواق والمنتجات. ويُشير</w:t>
      </w:r>
      <w:r w:rsidRPr="009B67DA">
        <w:rPr>
          <w:rFonts w:ascii="Simplified Arabic" w:eastAsia="Times New Roman" w:hAnsi="Simplified Arabic" w:cs="Simplified Arabic"/>
          <w:color w:val="000000" w:themeColor="text1"/>
          <w:kern w:val="0"/>
          <w:sz w:val="28"/>
          <w:szCs w:val="28"/>
          <w14:ligatures w14:val="none"/>
        </w:rPr>
        <w:t xml:space="preserve"> Xu et al. (2024) </w:t>
      </w:r>
      <w:r w:rsidRPr="009B67DA">
        <w:rPr>
          <w:rFonts w:ascii="Simplified Arabic" w:eastAsia="Times New Roman" w:hAnsi="Simplified Arabic" w:cs="Simplified Arabic"/>
          <w:color w:val="000000" w:themeColor="text1"/>
          <w:kern w:val="0"/>
          <w:sz w:val="28"/>
          <w:szCs w:val="28"/>
          <w:rtl/>
          <w14:ligatures w14:val="none"/>
        </w:rPr>
        <w:t xml:space="preserve">إلى أنّ استراتيجيات التنويع تُشكّل عاملًا حاسمًا في تعزيز مرونة الشركات في مواجهة اضطرابات سلاسل التوريد. أمّا الاستراتيجية الثالثة فتتمثّل في التحوّط </w:t>
      </w:r>
      <w:r w:rsidRPr="009B67DA">
        <w:rPr>
          <w:rFonts w:ascii="Simplified Arabic" w:eastAsia="Times New Roman" w:hAnsi="Simplified Arabic" w:cs="Simplified Arabic"/>
          <w:color w:val="000000" w:themeColor="text1"/>
          <w:kern w:val="0"/>
          <w:sz w:val="28"/>
          <w:szCs w:val="28"/>
          <w14:ligatures w14:val="none"/>
        </w:rPr>
        <w:t xml:space="preserve">(Hedging) </w:t>
      </w:r>
      <w:r w:rsidRPr="009B67DA">
        <w:rPr>
          <w:rFonts w:ascii="Simplified Arabic" w:eastAsia="Times New Roman" w:hAnsi="Simplified Arabic" w:cs="Simplified Arabic"/>
          <w:color w:val="000000" w:themeColor="text1"/>
          <w:kern w:val="0"/>
          <w:sz w:val="28"/>
          <w:szCs w:val="28"/>
          <w:rtl/>
          <w14:ligatures w14:val="none"/>
        </w:rPr>
        <w:t>الذي يُستخدم بصفةٍ خاصةٍ في المخاطر المالية، عبر أدواتٍ ماليّةٍ متخصّصة</w:t>
      </w:r>
      <w:r w:rsidRPr="009B67DA">
        <w:rPr>
          <w:rFonts w:ascii="Simplified Arabic" w:eastAsia="Times New Roman" w:hAnsi="Simplified Arabic" w:cs="Simplified Arabic"/>
          <w:color w:val="000000" w:themeColor="text1"/>
          <w:kern w:val="0"/>
          <w:sz w:val="28"/>
          <w:szCs w:val="28"/>
          <w14:ligatures w14:val="none"/>
        </w:rPr>
        <w:t>.</w:t>
      </w:r>
    </w:p>
    <w:p w14:paraId="761ACDB0"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وتُضاف إلى ذلك استراتيجية التأمين التي تنقل المخاطر إلى شركات التأمين، واستراتيجية بناء الاحتياطيات التي تستهدف امتلاك موارد إضافيّةٍ لمواجهة الاضطرابات، سواء أكانت مخزوناتٍ احتياطيّةً أم قدراتٍ إنتاجيّةً بديلة. وتبرز استراتيجية بناء الشراكات التي تعتمد على تعزيز التعاون مع الشركاء لمواجهة المخاطر المشتركة (الرواشدة والشورة، 2022). كذلك تتصاعد أهمية استراتيجية التحول الرقمي في إدارة المخاطر التي تُوظّف التقنيات الحديثة كالذكاء الاصطناعي والبيانات الضخمة والبلوك تشين في تعزيز قدرات الرصد والتحليل والاستجابة، وهو ما يُبرزه</w:t>
      </w:r>
      <w:r w:rsidRPr="009B67DA">
        <w:rPr>
          <w:rFonts w:ascii="Simplified Arabic" w:eastAsia="Times New Roman" w:hAnsi="Simplified Arabic" w:cs="Simplified Arabic"/>
          <w:color w:val="000000" w:themeColor="text1"/>
          <w:kern w:val="0"/>
          <w:sz w:val="28"/>
          <w:szCs w:val="28"/>
          <w14:ligatures w14:val="none"/>
        </w:rPr>
        <w:t xml:space="preserve"> </w:t>
      </w:r>
      <w:proofErr w:type="spellStart"/>
      <w:r w:rsidRPr="009B67DA">
        <w:rPr>
          <w:rFonts w:ascii="Simplified Arabic" w:eastAsia="Times New Roman" w:hAnsi="Simplified Arabic" w:cs="Simplified Arabic"/>
          <w:color w:val="000000" w:themeColor="text1"/>
          <w:kern w:val="0"/>
          <w:sz w:val="28"/>
          <w:szCs w:val="28"/>
          <w14:ligatures w14:val="none"/>
        </w:rPr>
        <w:t>Rauniyar</w:t>
      </w:r>
      <w:proofErr w:type="spellEnd"/>
      <w:r w:rsidRPr="009B67DA">
        <w:rPr>
          <w:rFonts w:ascii="Simplified Arabic" w:eastAsia="Times New Roman" w:hAnsi="Simplified Arabic" w:cs="Simplified Arabic"/>
          <w:color w:val="000000" w:themeColor="text1"/>
          <w:kern w:val="0"/>
          <w:sz w:val="28"/>
          <w:szCs w:val="28"/>
          <w14:ligatures w14:val="none"/>
        </w:rPr>
        <w:t xml:space="preserve"> et al. (2023) </w:t>
      </w:r>
      <w:r w:rsidRPr="009B67DA">
        <w:rPr>
          <w:rFonts w:ascii="Simplified Arabic" w:eastAsia="Times New Roman" w:hAnsi="Simplified Arabic" w:cs="Simplified Arabic"/>
          <w:color w:val="000000" w:themeColor="text1"/>
          <w:kern w:val="0"/>
          <w:sz w:val="28"/>
          <w:szCs w:val="28"/>
          <w:rtl/>
          <w14:ligatures w14:val="none"/>
        </w:rPr>
        <w:t>و</w:t>
      </w:r>
      <w:r w:rsidRPr="009B67DA">
        <w:rPr>
          <w:rFonts w:ascii="Simplified Arabic" w:eastAsia="Times New Roman" w:hAnsi="Simplified Arabic" w:cs="Simplified Arabic"/>
          <w:color w:val="000000" w:themeColor="text1"/>
          <w:kern w:val="0"/>
          <w:sz w:val="28"/>
          <w:szCs w:val="28"/>
          <w14:ligatures w14:val="none"/>
        </w:rPr>
        <w:t xml:space="preserve"> Ivanov &amp; </w:t>
      </w:r>
      <w:proofErr w:type="spellStart"/>
      <w:r w:rsidRPr="009B67DA">
        <w:rPr>
          <w:rFonts w:ascii="Simplified Arabic" w:eastAsia="Times New Roman" w:hAnsi="Simplified Arabic" w:cs="Simplified Arabic"/>
          <w:color w:val="000000" w:themeColor="text1"/>
          <w:kern w:val="0"/>
          <w:sz w:val="28"/>
          <w:szCs w:val="28"/>
          <w14:ligatures w14:val="none"/>
        </w:rPr>
        <w:t>Dolgui</w:t>
      </w:r>
      <w:proofErr w:type="spellEnd"/>
      <w:r w:rsidRPr="009B67DA">
        <w:rPr>
          <w:rFonts w:ascii="Simplified Arabic" w:eastAsia="Times New Roman" w:hAnsi="Simplified Arabic" w:cs="Simplified Arabic"/>
          <w:color w:val="000000" w:themeColor="text1"/>
          <w:kern w:val="0"/>
          <w:sz w:val="28"/>
          <w:szCs w:val="28"/>
          <w14:ligatures w14:val="none"/>
        </w:rPr>
        <w:t xml:space="preserve"> (2021) </w:t>
      </w:r>
      <w:r w:rsidRPr="009B67DA">
        <w:rPr>
          <w:rFonts w:ascii="Simplified Arabic" w:eastAsia="Times New Roman" w:hAnsi="Simplified Arabic" w:cs="Simplified Arabic"/>
          <w:color w:val="000000" w:themeColor="text1"/>
          <w:kern w:val="0"/>
          <w:sz w:val="28"/>
          <w:szCs w:val="28"/>
          <w:rtl/>
          <w14:ligatures w14:val="none"/>
        </w:rPr>
        <w:t>و</w:t>
      </w:r>
      <w:r w:rsidRPr="009B67DA">
        <w:rPr>
          <w:rFonts w:ascii="Simplified Arabic" w:eastAsia="Times New Roman" w:hAnsi="Simplified Arabic" w:cs="Simplified Arabic"/>
          <w:color w:val="000000" w:themeColor="text1"/>
          <w:kern w:val="0"/>
          <w:sz w:val="28"/>
          <w:szCs w:val="28"/>
          <w14:ligatures w14:val="none"/>
        </w:rPr>
        <w:t xml:space="preserve"> Menezes &amp; Rete (2026).</w:t>
      </w:r>
    </w:p>
    <w:p w14:paraId="7D51C7FA"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 xml:space="preserve">كما تتضمّن الاستراتيجيات المعاصرة استراتيجية التوأمة الرقمية التي تعتمد على بناء نماذج افتراضيّةٍ لسلسلة التوريد لمحاكاة السيناريوهات، واستراتيجية إدارة استمرارية الأعمال </w:t>
      </w:r>
      <w:r w:rsidRPr="009B67DA">
        <w:rPr>
          <w:rFonts w:ascii="Simplified Arabic" w:eastAsia="Times New Roman" w:hAnsi="Simplified Arabic" w:cs="Simplified Arabic"/>
          <w:color w:val="000000" w:themeColor="text1"/>
          <w:kern w:val="0"/>
          <w:sz w:val="28"/>
          <w:szCs w:val="28"/>
          <w14:ligatures w14:val="none"/>
        </w:rPr>
        <w:t xml:space="preserve">(Business Continuity Management) </w:t>
      </w:r>
      <w:r w:rsidRPr="009B67DA">
        <w:rPr>
          <w:rFonts w:ascii="Simplified Arabic" w:eastAsia="Times New Roman" w:hAnsi="Simplified Arabic" w:cs="Simplified Arabic"/>
          <w:color w:val="000000" w:themeColor="text1"/>
          <w:kern w:val="0"/>
          <w:sz w:val="28"/>
          <w:szCs w:val="28"/>
          <w:rtl/>
          <w14:ligatures w14:val="none"/>
        </w:rPr>
        <w:t>التي تُصمّم خططًا تفصيليّةً لضمان استمرار العمليات في مختلف الظروف. ويُضيف عمور والقاضي (2023) استراتيجيةً وسيطةً تتمثّل في تفعيل التدقيق الداخلي بوصفه رافعةً لتعزيز إدارة المخاطر المؤسسية في القطاع المصرفي</w:t>
      </w:r>
      <w:r w:rsidRPr="009B67DA">
        <w:rPr>
          <w:rFonts w:ascii="Simplified Arabic" w:eastAsia="Times New Roman" w:hAnsi="Simplified Arabic" w:cs="Simplified Arabic"/>
          <w:color w:val="000000" w:themeColor="text1"/>
          <w:kern w:val="0"/>
          <w:sz w:val="28"/>
          <w:szCs w:val="28"/>
          <w14:ligatures w14:val="none"/>
        </w:rPr>
        <w:t>.</w:t>
      </w:r>
    </w:p>
    <w:p w14:paraId="4571C984" w14:textId="5497E56B" w:rsidR="00703DAA" w:rsidRPr="009B67DA" w:rsidRDefault="003F570E" w:rsidP="003F570E">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90083"/>
      <w:r w:rsidRPr="009B67DA">
        <w:rPr>
          <w:rFonts w:ascii="Simplified Arabic" w:eastAsia="Times New Roman" w:hAnsi="Simplified Arabic" w:cs="Simplified Arabic" w:hint="cs"/>
          <w:b/>
          <w:bCs/>
          <w:color w:val="000000" w:themeColor="text1"/>
          <w:kern w:val="0"/>
          <w:sz w:val="32"/>
          <w:szCs w:val="32"/>
          <w:rtl/>
          <w14:ligatures w14:val="none"/>
        </w:rPr>
        <w:t xml:space="preserve">10.2.2 </w:t>
      </w:r>
      <w:r w:rsidR="00703DAA" w:rsidRPr="009B67DA">
        <w:rPr>
          <w:rFonts w:ascii="Simplified Arabic" w:eastAsia="Times New Roman" w:hAnsi="Simplified Arabic" w:cs="Simplified Arabic"/>
          <w:b/>
          <w:bCs/>
          <w:color w:val="000000" w:themeColor="text1"/>
          <w:kern w:val="0"/>
          <w:sz w:val="32"/>
          <w:szCs w:val="32"/>
          <w:rtl/>
          <w14:ligatures w14:val="none"/>
        </w:rPr>
        <w:t>متطلبات ومعوّقات إدارة المخاطر</w:t>
      </w:r>
      <w:bookmarkEnd w:id="42"/>
    </w:p>
    <w:p w14:paraId="394CA4FF"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يستلزم تفعيل إدارة المخاطر جملةً من المتطلبات، أبرزها: التزامُ القيادة العليا ورعايتها لمنظومة المخاطر، ووجودُ سياساتٍ وإجراءاتٍ مكتوبةٍ وواضحة، وتوفّرُ كوادر متخصّصةٍ في تحليل المخاطر، وامتلاكُ منظوماتٍ معلوماتيّةٍ داعمة، وترسيخُ ثقافةٍ تنظيميّةٍ منفتحةٍ على الإفصاح عن المخاطر، وتفعيلُ التدقيق الداخلي المستقل</w:t>
      </w:r>
      <w:r w:rsidRPr="009B67DA">
        <w:rPr>
          <w:rFonts w:ascii="Simplified Arabic" w:eastAsia="Times New Roman" w:hAnsi="Simplified Arabic" w:cs="Simplified Arabic"/>
          <w:color w:val="000000" w:themeColor="text1"/>
          <w:kern w:val="0"/>
          <w:sz w:val="28"/>
          <w:szCs w:val="28"/>
          <w14:ligatures w14:val="none"/>
        </w:rPr>
        <w:t>.</w:t>
      </w:r>
    </w:p>
    <w:p w14:paraId="4C628E85" w14:textId="77777777" w:rsidR="00703DAA" w:rsidRPr="009B67DA" w:rsidRDefault="00703DAA" w:rsidP="003F570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B67DA">
        <w:rPr>
          <w:rFonts w:ascii="Simplified Arabic" w:eastAsia="Times New Roman" w:hAnsi="Simplified Arabic" w:cs="Simplified Arabic"/>
          <w:color w:val="000000" w:themeColor="text1"/>
          <w:kern w:val="0"/>
          <w:sz w:val="28"/>
          <w:szCs w:val="28"/>
          <w:rtl/>
          <w14:ligatures w14:val="none"/>
        </w:rPr>
        <w:t>وفي المقابل، تعترض إدارة المخاطر معوّقاتٌ عدّة، منها: قصورُ الوعي بأهمية المخاطر لدى بعض المستويات الإدارية، وضعفُ البيانات المتاحة للتحليل، ونقصُ الكفاءات المتخصّصة، ومقاومةُ الإفصاح عن المخاطر خشية العواقب، وتناميُ تعقيد المخاطر وسرعة تطوّرها، وارتفاعُ تكلفة المنظومات المتقدّمة لإدارة المخاطر، فضلًا عن التحدّيات المتصلة بتكامل منظومة المخاطر عبر مختلف الوحدات والشركاء في سلسلة التوريد</w:t>
      </w:r>
      <w:r w:rsidRPr="009B67DA">
        <w:rPr>
          <w:rFonts w:ascii="Simplified Arabic" w:eastAsia="Times New Roman" w:hAnsi="Simplified Arabic" w:cs="Simplified Arabic"/>
          <w:color w:val="000000" w:themeColor="text1"/>
          <w:kern w:val="0"/>
          <w:sz w:val="28"/>
          <w:szCs w:val="28"/>
          <w14:ligatures w14:val="none"/>
        </w:rPr>
        <w:t>.</w:t>
      </w:r>
    </w:p>
    <w:p w14:paraId="663AFC60" w14:textId="06AC0EF0" w:rsidR="009B67DA" w:rsidRPr="009B67DA" w:rsidRDefault="00F05499" w:rsidP="00744A07">
      <w:pPr>
        <w:jc w:val="center"/>
        <w:outlineLvl w:val="0"/>
        <w:rPr>
          <w:rFonts w:ascii="Simplified Arabic" w:hAnsi="Simplified Arabic" w:cs="Simplified Arabic"/>
          <w:b/>
          <w:bCs/>
          <w:color w:val="000000" w:themeColor="text1"/>
          <w:szCs w:val="28"/>
          <w:rtl/>
        </w:rPr>
        <w:sectPr w:rsidR="009B67DA" w:rsidRPr="009B67DA" w:rsidSect="003F570E">
          <w:footerReference w:type="default" r:id="rId10"/>
          <w:pgSz w:w="11906" w:h="16838" w:code="9"/>
          <w:pgMar w:top="1134" w:right="1701" w:bottom="1134" w:left="1134" w:header="720" w:footer="720" w:gutter="0"/>
          <w:pgNumType w:start="1"/>
          <w:cols w:space="708"/>
          <w:bidi/>
          <w:rtlGutter/>
          <w:docGrid w:linePitch="360"/>
        </w:sectPr>
      </w:pPr>
      <w:r w:rsidRPr="009B67DA">
        <w:rPr>
          <w:rFonts w:ascii="Simplified Arabic" w:eastAsia="Times New Roman" w:hAnsi="Simplified Arabic" w:cs="Simplified Arabic"/>
          <w:b/>
          <w:bCs/>
          <w:color w:val="000000" w:themeColor="text1"/>
          <w:kern w:val="0"/>
          <w:sz w:val="40"/>
          <w:szCs w:val="40"/>
          <w:rtl/>
          <w14:ligatures w14:val="none"/>
        </w:rPr>
        <w:br w:type="page"/>
      </w:r>
      <w:bookmarkEnd w:id="15"/>
    </w:p>
    <w:p w14:paraId="29D4231B" w14:textId="71AF7253" w:rsidR="0081623B" w:rsidRPr="009B67DA" w:rsidRDefault="00E27D3B" w:rsidP="003F57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B67DA">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5ACBD6C2">
            <wp:simplePos x="0" y="0"/>
            <wp:positionH relativeFrom="column">
              <wp:posOffset>4088130</wp:posOffset>
            </wp:positionH>
            <wp:positionV relativeFrom="paragraph">
              <wp:posOffset>0</wp:posOffset>
            </wp:positionV>
            <wp:extent cx="1552575" cy="1437640"/>
            <wp:effectExtent l="0" t="0" r="9525" b="0"/>
            <wp:wrapTight wrapText="bothSides">
              <wp:wrapPolygon edited="0">
                <wp:start x="0" y="0"/>
                <wp:lineTo x="0" y="21180"/>
                <wp:lineTo x="21467" y="21180"/>
                <wp:lineTo x="2146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14376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B67DA">
        <w:rPr>
          <w:rFonts w:asciiTheme="majorBidi" w:eastAsia="Calibri" w:hAnsiTheme="majorBidi" w:cstheme="majorBidi"/>
          <w:b/>
          <w:bCs/>
          <w:color w:val="000000" w:themeColor="text1"/>
          <w:kern w:val="0"/>
          <w:sz w:val="32"/>
          <w:szCs w:val="32"/>
          <w:lang w:bidi="ar-EG"/>
          <w14:ligatures w14:val="none"/>
        </w:rPr>
        <w:t>Mid</w:t>
      </w:r>
      <w:r w:rsidR="000D353F" w:rsidRPr="009B67DA">
        <w:rPr>
          <w:rFonts w:asciiTheme="majorBidi" w:eastAsia="Calibri" w:hAnsiTheme="majorBidi" w:cstheme="majorBidi"/>
          <w:b/>
          <w:bCs/>
          <w:color w:val="000000" w:themeColor="text1"/>
          <w:kern w:val="0"/>
          <w:sz w:val="32"/>
          <w:szCs w:val="32"/>
          <w:lang w:bidi="ar-EG"/>
          <w14:ligatures w14:val="none"/>
        </w:rPr>
        <w:t xml:space="preserve"> </w:t>
      </w:r>
      <w:r w:rsidR="0081623B" w:rsidRPr="009B67D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9B67DA" w:rsidRDefault="0081623B" w:rsidP="003F57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B67DA">
        <w:rPr>
          <w:rFonts w:asciiTheme="majorBidi" w:eastAsia="Calibri" w:hAnsiTheme="majorBidi" w:cstheme="majorBidi"/>
          <w:b/>
          <w:bCs/>
          <w:color w:val="000000" w:themeColor="text1"/>
          <w:kern w:val="0"/>
          <w:sz w:val="32"/>
          <w:szCs w:val="32"/>
          <w:lang w:bidi="ar-EG"/>
          <w14:ligatures w14:val="none"/>
        </w:rPr>
        <w:t>College of Management</w:t>
      </w:r>
    </w:p>
    <w:p w14:paraId="76157043" w14:textId="7492806E" w:rsidR="00DF0357" w:rsidRPr="009B67DA" w:rsidRDefault="00857739" w:rsidP="003F570E">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9B67DA">
        <w:rPr>
          <w:rFonts w:asciiTheme="majorBidi" w:eastAsia="Calibri" w:hAnsiTheme="majorBidi" w:cstheme="majorBidi"/>
          <w:b/>
          <w:bCs/>
          <w:color w:val="000000" w:themeColor="text1"/>
          <w:kern w:val="0"/>
          <w:sz w:val="32"/>
          <w:szCs w:val="32"/>
          <w:lang w:bidi="ar-EG"/>
          <w14:ligatures w14:val="none"/>
        </w:rPr>
        <w:t xml:space="preserve">Department </w:t>
      </w:r>
      <w:r w:rsidR="00DA5D81">
        <w:rPr>
          <w:rFonts w:asciiTheme="majorBidi" w:eastAsia="Calibri" w:hAnsiTheme="majorBidi" w:cstheme="majorBidi" w:hint="cs"/>
          <w:b/>
          <w:bCs/>
          <w:color w:val="000000" w:themeColor="text1"/>
          <w:kern w:val="0"/>
          <w:sz w:val="32"/>
          <w:szCs w:val="32"/>
          <w14:ligatures w14:val="none"/>
        </w:rPr>
        <w:t xml:space="preserve">Of Risk Management </w:t>
      </w:r>
    </w:p>
    <w:p w14:paraId="04411127" w14:textId="77777777" w:rsidR="00E27D3B" w:rsidRPr="009B67DA" w:rsidRDefault="00E27D3B" w:rsidP="003F57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1DE6302" w14:textId="5C3D9D67" w:rsidR="006533A1" w:rsidRPr="009B67DA" w:rsidRDefault="00DF0357" w:rsidP="009B67D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9B67DA">
        <w:rPr>
          <w:rFonts w:asciiTheme="majorBidi" w:eastAsia="Calibri" w:hAnsiTheme="majorBidi" w:cstheme="majorBidi"/>
          <w:b/>
          <w:bCs/>
          <w:color w:val="000000" w:themeColor="text1"/>
          <w:kern w:val="0"/>
          <w:sz w:val="40"/>
          <w:szCs w:val="40"/>
          <w:lang w:bidi="ar-EG"/>
          <w14:ligatures w14:val="none"/>
        </w:rPr>
        <w:t>The role of digital transformation in managing supply chain risks and enhancing their resilience: An applied study on logistics companies in the Kingdom of Saudi Arabia.</w:t>
      </w:r>
    </w:p>
    <w:p w14:paraId="49B84D63" w14:textId="77777777" w:rsidR="006533A1" w:rsidRPr="009B67DA" w:rsidRDefault="006533A1" w:rsidP="003F57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2B8934B8" w:rsidR="000D353F" w:rsidRDefault="000D353F" w:rsidP="009B67D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9B67DA">
        <w:rPr>
          <w:rFonts w:asciiTheme="majorBidi" w:eastAsia="Calibri" w:hAnsiTheme="majorBidi" w:cstheme="majorBidi"/>
          <w:b/>
          <w:bCs/>
          <w:color w:val="000000" w:themeColor="text1"/>
          <w:kern w:val="0"/>
          <w:sz w:val="36"/>
          <w:szCs w:val="36"/>
          <w:lang w:bidi="ar-EG"/>
          <w14:ligatures w14:val="none"/>
        </w:rPr>
        <w:t>Prepared by:</w:t>
      </w:r>
    </w:p>
    <w:p w14:paraId="35EF0E22" w14:textId="5E050374" w:rsidR="0020783D" w:rsidRDefault="0020783D" w:rsidP="0020783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14:ligatures w14:val="none"/>
        </w:rPr>
      </w:pPr>
      <w:r>
        <w:rPr>
          <w:rFonts w:asciiTheme="majorBidi" w:eastAsia="Calibri" w:hAnsiTheme="majorBidi" w:cstheme="majorBidi" w:hint="cs"/>
          <w:b/>
          <w:bCs/>
          <w:color w:val="000000" w:themeColor="text1"/>
          <w:kern w:val="0"/>
          <w:sz w:val="36"/>
          <w:szCs w:val="36"/>
          <w14:ligatures w14:val="none"/>
        </w:rPr>
        <w:t xml:space="preserve">Sultan </w:t>
      </w:r>
      <w:r>
        <w:rPr>
          <w:rFonts w:asciiTheme="majorBidi" w:eastAsia="Calibri" w:hAnsiTheme="majorBidi" w:cstheme="majorBidi"/>
          <w:b/>
          <w:bCs/>
          <w:color w:val="000000" w:themeColor="text1"/>
          <w:kern w:val="0"/>
          <w:sz w:val="36"/>
          <w:szCs w:val="36"/>
          <w14:ligatures w14:val="none"/>
        </w:rPr>
        <w:t>Adel</w:t>
      </w:r>
      <w:r>
        <w:rPr>
          <w:rFonts w:asciiTheme="majorBidi" w:eastAsia="Calibri" w:hAnsiTheme="majorBidi" w:cstheme="majorBidi" w:hint="cs"/>
          <w:b/>
          <w:bCs/>
          <w:color w:val="000000" w:themeColor="text1"/>
          <w:kern w:val="0"/>
          <w:sz w:val="36"/>
          <w:szCs w:val="36"/>
          <w14:ligatures w14:val="none"/>
        </w:rPr>
        <w:t xml:space="preserve"> </w:t>
      </w:r>
      <w:r>
        <w:rPr>
          <w:rFonts w:asciiTheme="majorBidi" w:eastAsia="Calibri" w:hAnsiTheme="majorBidi" w:cstheme="majorBidi"/>
          <w:b/>
          <w:bCs/>
          <w:color w:val="000000" w:themeColor="text1"/>
          <w:kern w:val="0"/>
          <w:sz w:val="36"/>
          <w:szCs w:val="36"/>
          <w14:ligatures w14:val="none"/>
        </w:rPr>
        <w:t>Yosef</w:t>
      </w:r>
      <w:r>
        <w:rPr>
          <w:rFonts w:asciiTheme="majorBidi" w:eastAsia="Calibri" w:hAnsiTheme="majorBidi" w:cstheme="majorBidi" w:hint="cs"/>
          <w:b/>
          <w:bCs/>
          <w:color w:val="000000" w:themeColor="text1"/>
          <w:kern w:val="0"/>
          <w:sz w:val="36"/>
          <w:szCs w:val="36"/>
          <w14:ligatures w14:val="none"/>
        </w:rPr>
        <w:t xml:space="preserve"> </w:t>
      </w:r>
      <w:proofErr w:type="spellStart"/>
      <w:r w:rsidR="000B0723">
        <w:rPr>
          <w:rFonts w:asciiTheme="majorBidi" w:eastAsia="Calibri" w:hAnsiTheme="majorBidi" w:cstheme="majorBidi" w:hint="cs"/>
          <w:b/>
          <w:bCs/>
          <w:color w:val="000000" w:themeColor="text1"/>
          <w:kern w:val="0"/>
          <w:sz w:val="36"/>
          <w:szCs w:val="36"/>
          <w14:ligatures w14:val="none"/>
        </w:rPr>
        <w:t>A</w:t>
      </w:r>
      <w:r>
        <w:rPr>
          <w:rFonts w:asciiTheme="majorBidi" w:eastAsia="Calibri" w:hAnsiTheme="majorBidi" w:cstheme="majorBidi" w:hint="cs"/>
          <w:b/>
          <w:bCs/>
          <w:color w:val="000000" w:themeColor="text1"/>
          <w:kern w:val="0"/>
          <w:sz w:val="36"/>
          <w:szCs w:val="36"/>
          <w14:ligatures w14:val="none"/>
        </w:rPr>
        <w:t>lfawzan</w:t>
      </w:r>
      <w:proofErr w:type="spellEnd"/>
    </w:p>
    <w:p w14:paraId="7C4C64E4" w14:textId="131F6193" w:rsidR="0020783D" w:rsidRPr="009B67DA" w:rsidRDefault="0020783D" w:rsidP="0020783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14:ligatures w14:val="none"/>
        </w:rPr>
        <w:t>253001635</w:t>
      </w:r>
    </w:p>
    <w:p w14:paraId="554E60AC" w14:textId="77777777" w:rsidR="009B67DA" w:rsidRPr="009B67DA" w:rsidRDefault="009B67DA" w:rsidP="009B67D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3ADF9A2D" w14:textId="77777777" w:rsidR="009B67DA" w:rsidRPr="009B67DA" w:rsidRDefault="009B67DA" w:rsidP="009B67D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B67DA" w:rsidRPr="009B67DA" w14:paraId="080FB5C4" w14:textId="77777777" w:rsidTr="004A155F">
        <w:tc>
          <w:tcPr>
            <w:tcW w:w="4530" w:type="dxa"/>
          </w:tcPr>
          <w:p w14:paraId="0ADF4953" w14:textId="77777777" w:rsidR="009B67DA" w:rsidRPr="009B67DA" w:rsidRDefault="009B67DA"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B67DA">
              <w:rPr>
                <w:rFonts w:asciiTheme="majorBidi" w:eastAsia="Calibri" w:hAnsiTheme="majorBidi" w:cstheme="majorBidi"/>
                <w:b/>
                <w:bCs/>
                <w:color w:val="000000" w:themeColor="text1"/>
                <w:kern w:val="0"/>
                <w:sz w:val="36"/>
                <w:szCs w:val="36"/>
                <w:lang w:bidi="ar-EG"/>
                <w14:ligatures w14:val="none"/>
              </w:rPr>
              <w:t>Main supervisor</w:t>
            </w:r>
            <w:r w:rsidRPr="009B67D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30CAB2D" w14:textId="77777777" w:rsidR="009B67DA" w:rsidRPr="009B67DA" w:rsidRDefault="009B67DA"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B67DA">
              <w:rPr>
                <w:rFonts w:asciiTheme="majorBidi" w:eastAsia="Calibri" w:hAnsiTheme="majorBidi" w:cstheme="majorBidi"/>
                <w:b/>
                <w:bCs/>
                <w:color w:val="000000" w:themeColor="text1"/>
                <w:kern w:val="0"/>
                <w:sz w:val="36"/>
                <w:szCs w:val="36"/>
                <w:lang w:bidi="ar-EG"/>
                <w14:ligatures w14:val="none"/>
              </w:rPr>
              <w:t>Second supervisor</w:t>
            </w:r>
            <w:r w:rsidRPr="009B67DA">
              <w:rPr>
                <w:rFonts w:asciiTheme="majorBidi" w:eastAsia="Calibri" w:hAnsiTheme="majorBidi" w:cstheme="majorBidi"/>
                <w:b/>
                <w:bCs/>
                <w:color w:val="000000" w:themeColor="text1"/>
                <w:kern w:val="0"/>
                <w:sz w:val="36"/>
                <w:szCs w:val="36"/>
                <w:rtl/>
                <w:lang w:bidi="ar-EG"/>
                <w14:ligatures w14:val="none"/>
              </w:rPr>
              <w:t>/</w:t>
            </w:r>
          </w:p>
        </w:tc>
      </w:tr>
      <w:tr w:rsidR="009B67DA" w:rsidRPr="009B67DA" w14:paraId="437F5BAF" w14:textId="77777777" w:rsidTr="004A155F">
        <w:tc>
          <w:tcPr>
            <w:tcW w:w="4530" w:type="dxa"/>
          </w:tcPr>
          <w:p w14:paraId="5DBCE091" w14:textId="77777777" w:rsidR="009B67DA" w:rsidRPr="009B67DA" w:rsidRDefault="009B67DA"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B67DA">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9B67DA">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1FFF5A4" w14:textId="77777777" w:rsidR="009B67DA" w:rsidRPr="009B67DA" w:rsidRDefault="009B67DA" w:rsidP="004A155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B67DA">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9B67DA">
              <w:rPr>
                <w:rFonts w:asciiTheme="majorBidi" w:eastAsia="Calibri" w:hAnsiTheme="majorBidi" w:cstheme="majorBidi"/>
                <w:color w:val="000000" w:themeColor="text1"/>
                <w:kern w:val="0"/>
                <w:sz w:val="36"/>
                <w:szCs w:val="36"/>
                <w:lang w:bidi="ar-EG"/>
                <w14:ligatures w14:val="none"/>
              </w:rPr>
              <w:t>Jarad</w:t>
            </w:r>
            <w:proofErr w:type="spellEnd"/>
          </w:p>
        </w:tc>
      </w:tr>
    </w:tbl>
    <w:p w14:paraId="07ED30E1" w14:textId="77777777" w:rsidR="009B67DA" w:rsidRPr="009B67DA" w:rsidRDefault="009B67DA" w:rsidP="009B67D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B67DA">
        <w:rPr>
          <w:rFonts w:asciiTheme="majorBidi" w:eastAsia="Calibri" w:hAnsiTheme="majorBidi" w:cstheme="majorBidi"/>
          <w:color w:val="000000" w:themeColor="text1"/>
          <w:kern w:val="0"/>
          <w:sz w:val="36"/>
          <w:szCs w:val="36"/>
          <w:rtl/>
          <w:lang w:bidi="ar-EG"/>
          <w14:ligatures w14:val="none"/>
        </w:rPr>
        <w:t>1448 – 2026</w:t>
      </w:r>
    </w:p>
    <w:p w14:paraId="2F2A7535" w14:textId="77777777" w:rsidR="009B67DA" w:rsidRPr="009B67DA" w:rsidRDefault="009B67DA" w:rsidP="009B67D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493E616" w14:textId="77777777" w:rsidR="006533A1" w:rsidRPr="009B67DA" w:rsidRDefault="006533A1" w:rsidP="003F570E">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85EE308" w14:textId="77777777" w:rsidR="009B67DA" w:rsidRPr="009B67DA" w:rsidRDefault="009B67DA" w:rsidP="009B67DA">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5E701BD3" w:rsidR="009125CE" w:rsidRPr="009B67DA" w:rsidRDefault="009125CE" w:rsidP="003F570E">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9B67DA" w:rsidSect="003F570E">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B6EE8" w14:textId="77777777" w:rsidR="002A61B5" w:rsidRDefault="002A61B5" w:rsidP="009125CE">
      <w:pPr>
        <w:spacing w:after="0" w:line="240" w:lineRule="auto"/>
      </w:pPr>
      <w:r>
        <w:separator/>
      </w:r>
    </w:p>
  </w:endnote>
  <w:endnote w:type="continuationSeparator" w:id="0">
    <w:p w14:paraId="582FB0FE" w14:textId="77777777" w:rsidR="002A61B5" w:rsidRDefault="002A61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47AE1" w14:textId="7487DC56" w:rsidR="006C4312" w:rsidRPr="003F570E" w:rsidRDefault="006C4312" w:rsidP="003F570E">
    <w:pPr>
      <w:pStyle w:val="a4"/>
      <w:tabs>
        <w:tab w:val="left" w:pos="446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b/>
        <w:bCs/>
        <w:sz w:val="24"/>
        <w:szCs w:val="24"/>
        <w:rtl/>
      </w:rPr>
      <w:id w:val="-1799216092"/>
      <w:docPartObj>
        <w:docPartGallery w:val="Page Numbers (Bottom of Page)"/>
        <w:docPartUnique/>
      </w:docPartObj>
    </w:sdtPr>
    <w:sdtEndPr>
      <w:rPr>
        <w:noProof/>
      </w:rPr>
    </w:sdtEndPr>
    <w:sdtContent>
      <w:p w14:paraId="5EA151BC" w14:textId="77777777" w:rsidR="006C4312" w:rsidRPr="003F570E" w:rsidRDefault="006C4312" w:rsidP="003F570E">
        <w:pPr>
          <w:pStyle w:val="a4"/>
          <w:tabs>
            <w:tab w:val="left" w:pos="4463"/>
            <w:tab w:val="center" w:pos="4535"/>
          </w:tabs>
          <w:rPr>
            <w:rFonts w:ascii="Simplified Arabic" w:hAnsi="Simplified Arabic" w:cs="Simplified Arabic"/>
            <w:b/>
            <w:bCs/>
            <w:sz w:val="24"/>
            <w:szCs w:val="24"/>
          </w:rPr>
        </w:pPr>
        <w:r w:rsidRPr="003F570E">
          <w:rPr>
            <w:rFonts w:ascii="Simplified Arabic" w:hAnsi="Simplified Arabic" w:cs="Simplified Arabic"/>
            <w:b/>
            <w:bCs/>
            <w:sz w:val="24"/>
            <w:szCs w:val="24"/>
            <w:rtl/>
          </w:rPr>
          <w:tab/>
        </w:r>
        <w:r w:rsidRPr="003F570E">
          <w:rPr>
            <w:rFonts w:ascii="Simplified Arabic" w:hAnsi="Simplified Arabic" w:cs="Simplified Arabic"/>
            <w:b/>
            <w:bCs/>
            <w:sz w:val="24"/>
            <w:szCs w:val="24"/>
            <w:rtl/>
          </w:rPr>
          <w:tab/>
        </w:r>
        <w:r w:rsidRPr="003F570E">
          <w:rPr>
            <w:rFonts w:ascii="Simplified Arabic" w:hAnsi="Simplified Arabic" w:cs="Simplified Arabic"/>
            <w:b/>
            <w:bCs/>
            <w:sz w:val="24"/>
            <w:szCs w:val="24"/>
            <w:rtl/>
          </w:rPr>
          <w:tab/>
        </w:r>
        <w:r w:rsidRPr="003F570E">
          <w:rPr>
            <w:rFonts w:ascii="Simplified Arabic" w:hAnsi="Simplified Arabic" w:cs="Simplified Arabic"/>
            <w:b/>
            <w:bCs/>
            <w:sz w:val="24"/>
            <w:szCs w:val="24"/>
          </w:rPr>
          <w:fldChar w:fldCharType="begin"/>
        </w:r>
        <w:r w:rsidRPr="003F570E">
          <w:rPr>
            <w:rFonts w:ascii="Simplified Arabic" w:hAnsi="Simplified Arabic" w:cs="Simplified Arabic"/>
            <w:b/>
            <w:bCs/>
            <w:sz w:val="24"/>
            <w:szCs w:val="24"/>
          </w:rPr>
          <w:instrText xml:space="preserve"> PAGE   \* MERGEFORMAT </w:instrText>
        </w:r>
        <w:r w:rsidRPr="003F570E">
          <w:rPr>
            <w:rFonts w:ascii="Simplified Arabic" w:hAnsi="Simplified Arabic" w:cs="Simplified Arabic"/>
            <w:b/>
            <w:bCs/>
            <w:sz w:val="24"/>
            <w:szCs w:val="24"/>
          </w:rPr>
          <w:fldChar w:fldCharType="separate"/>
        </w:r>
        <w:r w:rsidR="00744A07">
          <w:rPr>
            <w:rFonts w:ascii="Simplified Arabic" w:hAnsi="Simplified Arabic" w:cs="Simplified Arabic"/>
            <w:b/>
            <w:bCs/>
            <w:noProof/>
            <w:sz w:val="24"/>
            <w:szCs w:val="24"/>
            <w:rtl/>
          </w:rPr>
          <w:t>39</w:t>
        </w:r>
        <w:r w:rsidRPr="003F570E">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E9623" w14:textId="0D355FBA" w:rsidR="009B67DA" w:rsidRPr="003F570E" w:rsidRDefault="009B67DA" w:rsidP="009B67DA">
    <w:pPr>
      <w:pStyle w:val="a4"/>
      <w:tabs>
        <w:tab w:val="left" w:pos="4463"/>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C6ECB3" w14:textId="77777777" w:rsidR="002A61B5" w:rsidRDefault="002A61B5" w:rsidP="009125CE">
      <w:pPr>
        <w:spacing w:after="0" w:line="240" w:lineRule="auto"/>
      </w:pPr>
      <w:r>
        <w:separator/>
      </w:r>
    </w:p>
  </w:footnote>
  <w:footnote w:type="continuationSeparator" w:id="0">
    <w:p w14:paraId="39B9E150" w14:textId="77777777" w:rsidR="002A61B5" w:rsidRDefault="002A61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707A4"/>
    <w:multiLevelType w:val="hybridMultilevel"/>
    <w:tmpl w:val="948C6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884327"/>
    <w:multiLevelType w:val="multilevel"/>
    <w:tmpl w:val="D306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F2FC8"/>
    <w:multiLevelType w:val="hybridMultilevel"/>
    <w:tmpl w:val="A718AD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0B202D"/>
    <w:multiLevelType w:val="hybridMultilevel"/>
    <w:tmpl w:val="49720802"/>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8E17A3"/>
    <w:multiLevelType w:val="hybridMultilevel"/>
    <w:tmpl w:val="043E05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54A94"/>
    <w:multiLevelType w:val="hybridMultilevel"/>
    <w:tmpl w:val="89FE4FCC"/>
    <w:lvl w:ilvl="0" w:tplc="425A0528">
      <w:start w:val="13"/>
      <w:numFmt w:val="bullet"/>
      <w:lvlText w:val=""/>
      <w:lvlJc w:val="left"/>
      <w:pPr>
        <w:ind w:left="1080" w:hanging="360"/>
      </w:pPr>
      <w:rPr>
        <w:rFonts w:ascii="Wingdings" w:eastAsiaTheme="minorHAnsi"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31D46F0"/>
    <w:multiLevelType w:val="hybridMultilevel"/>
    <w:tmpl w:val="2F1A4E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107BB2"/>
    <w:multiLevelType w:val="hybridMultilevel"/>
    <w:tmpl w:val="7B284778"/>
    <w:lvl w:ilvl="0" w:tplc="B56A447A">
      <w:start w:val="1"/>
      <w:numFmt w:val="bullet"/>
      <w:lvlText w:val="-"/>
      <w:lvlJc w:val="left"/>
      <w:pPr>
        <w:ind w:left="72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52A1C"/>
    <w:multiLevelType w:val="hybridMultilevel"/>
    <w:tmpl w:val="749CEA4E"/>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4C1BD3"/>
    <w:multiLevelType w:val="hybridMultilevel"/>
    <w:tmpl w:val="5D6E9D2E"/>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416F7C"/>
    <w:multiLevelType w:val="multilevel"/>
    <w:tmpl w:val="6922B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563069"/>
    <w:multiLevelType w:val="multilevel"/>
    <w:tmpl w:val="F3D2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362529"/>
    <w:multiLevelType w:val="hybridMultilevel"/>
    <w:tmpl w:val="7F02E9E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5A7F2D"/>
    <w:multiLevelType w:val="hybridMultilevel"/>
    <w:tmpl w:val="848A31D0"/>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2826B5"/>
    <w:multiLevelType w:val="hybridMultilevel"/>
    <w:tmpl w:val="6356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AA0D65"/>
    <w:multiLevelType w:val="hybridMultilevel"/>
    <w:tmpl w:val="ABF8D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A61246"/>
    <w:multiLevelType w:val="hybridMultilevel"/>
    <w:tmpl w:val="7D220162"/>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27915F4"/>
    <w:multiLevelType w:val="hybridMultilevel"/>
    <w:tmpl w:val="BAA0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15:restartNumberingAfterBreak="0">
    <w:nsid w:val="680558A7"/>
    <w:multiLevelType w:val="hybridMultilevel"/>
    <w:tmpl w:val="7C789CD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0A64A8"/>
    <w:multiLevelType w:val="hybridMultilevel"/>
    <w:tmpl w:val="8C7AADE4"/>
    <w:lvl w:ilvl="0" w:tplc="425A0528">
      <w:start w:val="13"/>
      <w:numFmt w:val="bullet"/>
      <w:lvlText w:val=""/>
      <w:lvlJc w:val="left"/>
      <w:pPr>
        <w:ind w:left="720" w:hanging="360"/>
      </w:pPr>
      <w:rPr>
        <w:rFonts w:ascii="Wingdings" w:eastAsiaTheme="minorHAnsi"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4A296F"/>
    <w:multiLevelType w:val="hybridMultilevel"/>
    <w:tmpl w:val="A8040A8A"/>
    <w:lvl w:ilvl="0" w:tplc="B56A447A">
      <w:start w:val="1"/>
      <w:numFmt w:val="bullet"/>
      <w:lvlText w:val="-"/>
      <w:lvlJc w:val="left"/>
      <w:pPr>
        <w:ind w:left="72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CAF09D9"/>
    <w:multiLevelType w:val="hybridMultilevel"/>
    <w:tmpl w:val="D0F851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9722BC"/>
    <w:multiLevelType w:val="hybridMultilevel"/>
    <w:tmpl w:val="7A9666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CB6131"/>
    <w:multiLevelType w:val="multilevel"/>
    <w:tmpl w:val="C9EA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2953525">
    <w:abstractNumId w:val="12"/>
  </w:num>
  <w:num w:numId="2" w16cid:durableId="1873955143">
    <w:abstractNumId w:val="18"/>
  </w:num>
  <w:num w:numId="3" w16cid:durableId="1043944674">
    <w:abstractNumId w:val="15"/>
  </w:num>
  <w:num w:numId="4" w16cid:durableId="1069420406">
    <w:abstractNumId w:val="10"/>
  </w:num>
  <w:num w:numId="5" w16cid:durableId="1808353473">
    <w:abstractNumId w:val="17"/>
  </w:num>
  <w:num w:numId="6" w16cid:durableId="2080248869">
    <w:abstractNumId w:val="1"/>
  </w:num>
  <w:num w:numId="7" w16cid:durableId="1397170879">
    <w:abstractNumId w:val="25"/>
  </w:num>
  <w:num w:numId="8" w16cid:durableId="1966043215">
    <w:abstractNumId w:val="11"/>
  </w:num>
  <w:num w:numId="9" w16cid:durableId="1883520481">
    <w:abstractNumId w:val="2"/>
  </w:num>
  <w:num w:numId="10" w16cid:durableId="28336228">
    <w:abstractNumId w:val="14"/>
  </w:num>
  <w:num w:numId="11" w16cid:durableId="425617305">
    <w:abstractNumId w:val="0"/>
  </w:num>
  <w:num w:numId="12" w16cid:durableId="292253170">
    <w:abstractNumId w:val="22"/>
  </w:num>
  <w:num w:numId="13" w16cid:durableId="421995443">
    <w:abstractNumId w:val="7"/>
  </w:num>
  <w:num w:numId="14" w16cid:durableId="1668165473">
    <w:abstractNumId w:val="3"/>
  </w:num>
  <w:num w:numId="15" w16cid:durableId="1703894090">
    <w:abstractNumId w:val="9"/>
  </w:num>
  <w:num w:numId="16" w16cid:durableId="264383307">
    <w:abstractNumId w:val="21"/>
  </w:num>
  <w:num w:numId="17" w16cid:durableId="977226939">
    <w:abstractNumId w:val="5"/>
  </w:num>
  <w:num w:numId="18" w16cid:durableId="1632976737">
    <w:abstractNumId w:val="13"/>
  </w:num>
  <w:num w:numId="19" w16cid:durableId="727263813">
    <w:abstractNumId w:val="20"/>
  </w:num>
  <w:num w:numId="20" w16cid:durableId="1981381485">
    <w:abstractNumId w:val="6"/>
  </w:num>
  <w:num w:numId="21" w16cid:durableId="1548252502">
    <w:abstractNumId w:val="24"/>
  </w:num>
  <w:num w:numId="22" w16cid:durableId="1528370800">
    <w:abstractNumId w:val="23"/>
  </w:num>
  <w:num w:numId="23" w16cid:durableId="676923206">
    <w:abstractNumId w:val="4"/>
  </w:num>
  <w:num w:numId="24" w16cid:durableId="1809666548">
    <w:abstractNumId w:val="16"/>
  </w:num>
  <w:num w:numId="25" w16cid:durableId="1620530562">
    <w:abstractNumId w:val="8"/>
  </w:num>
  <w:num w:numId="26" w16cid:durableId="838620724">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59CA"/>
    <w:rsid w:val="00011F23"/>
    <w:rsid w:val="000125CD"/>
    <w:rsid w:val="00012629"/>
    <w:rsid w:val="0001391F"/>
    <w:rsid w:val="000146E6"/>
    <w:rsid w:val="00016A91"/>
    <w:rsid w:val="000170DC"/>
    <w:rsid w:val="00017F15"/>
    <w:rsid w:val="000204A8"/>
    <w:rsid w:val="00020F7B"/>
    <w:rsid w:val="00022B3A"/>
    <w:rsid w:val="0004554E"/>
    <w:rsid w:val="00052AB0"/>
    <w:rsid w:val="00053122"/>
    <w:rsid w:val="000532DF"/>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97768"/>
    <w:rsid w:val="000A06E6"/>
    <w:rsid w:val="000A2ED4"/>
    <w:rsid w:val="000A4AC3"/>
    <w:rsid w:val="000A4DAE"/>
    <w:rsid w:val="000A6930"/>
    <w:rsid w:val="000B0723"/>
    <w:rsid w:val="000B58FF"/>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59D"/>
    <w:rsid w:val="001F46A5"/>
    <w:rsid w:val="0020783D"/>
    <w:rsid w:val="0021718D"/>
    <w:rsid w:val="00217ADA"/>
    <w:rsid w:val="00223AE0"/>
    <w:rsid w:val="002304C2"/>
    <w:rsid w:val="00234450"/>
    <w:rsid w:val="00250D99"/>
    <w:rsid w:val="00251BCA"/>
    <w:rsid w:val="00256363"/>
    <w:rsid w:val="00260558"/>
    <w:rsid w:val="0026283D"/>
    <w:rsid w:val="00270E02"/>
    <w:rsid w:val="00270FB5"/>
    <w:rsid w:val="00271729"/>
    <w:rsid w:val="00274BDE"/>
    <w:rsid w:val="002766BC"/>
    <w:rsid w:val="00280068"/>
    <w:rsid w:val="002828EF"/>
    <w:rsid w:val="00286958"/>
    <w:rsid w:val="0029680E"/>
    <w:rsid w:val="002A32D6"/>
    <w:rsid w:val="002A365A"/>
    <w:rsid w:val="002A61B5"/>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2496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DEE"/>
    <w:rsid w:val="00396510"/>
    <w:rsid w:val="003A4CA3"/>
    <w:rsid w:val="003A5312"/>
    <w:rsid w:val="003A757C"/>
    <w:rsid w:val="003B30A9"/>
    <w:rsid w:val="003B48BD"/>
    <w:rsid w:val="003B51C3"/>
    <w:rsid w:val="003C2495"/>
    <w:rsid w:val="003C4F68"/>
    <w:rsid w:val="003D160E"/>
    <w:rsid w:val="003D5D45"/>
    <w:rsid w:val="003D6376"/>
    <w:rsid w:val="003D7804"/>
    <w:rsid w:val="003E2238"/>
    <w:rsid w:val="003E29FB"/>
    <w:rsid w:val="003E3EBB"/>
    <w:rsid w:val="003E7CB6"/>
    <w:rsid w:val="003F570E"/>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33A1"/>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C42CB"/>
    <w:rsid w:val="006C4312"/>
    <w:rsid w:val="006D0A16"/>
    <w:rsid w:val="006D4C88"/>
    <w:rsid w:val="006E4126"/>
    <w:rsid w:val="006E41F3"/>
    <w:rsid w:val="006E65A3"/>
    <w:rsid w:val="006E71B9"/>
    <w:rsid w:val="006F162C"/>
    <w:rsid w:val="006F29F1"/>
    <w:rsid w:val="0070333D"/>
    <w:rsid w:val="00703DAA"/>
    <w:rsid w:val="00705AF7"/>
    <w:rsid w:val="00706E7F"/>
    <w:rsid w:val="0071504C"/>
    <w:rsid w:val="007178EE"/>
    <w:rsid w:val="007253AA"/>
    <w:rsid w:val="007301E5"/>
    <w:rsid w:val="00731DC0"/>
    <w:rsid w:val="00740357"/>
    <w:rsid w:val="00741B9A"/>
    <w:rsid w:val="00744A07"/>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2FF7"/>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09D"/>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42641"/>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4E00"/>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25BC"/>
    <w:rsid w:val="0097383F"/>
    <w:rsid w:val="009760DA"/>
    <w:rsid w:val="00976DC2"/>
    <w:rsid w:val="00980234"/>
    <w:rsid w:val="009847FB"/>
    <w:rsid w:val="00985B71"/>
    <w:rsid w:val="0098768E"/>
    <w:rsid w:val="00994120"/>
    <w:rsid w:val="009A62C5"/>
    <w:rsid w:val="009A6DA0"/>
    <w:rsid w:val="009B37BE"/>
    <w:rsid w:val="009B37F5"/>
    <w:rsid w:val="009B5162"/>
    <w:rsid w:val="009B67DA"/>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2BC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75340"/>
    <w:rsid w:val="00A823EC"/>
    <w:rsid w:val="00A840CF"/>
    <w:rsid w:val="00A86E11"/>
    <w:rsid w:val="00A97576"/>
    <w:rsid w:val="00AA005F"/>
    <w:rsid w:val="00AA52BD"/>
    <w:rsid w:val="00AA79E9"/>
    <w:rsid w:val="00AB0A70"/>
    <w:rsid w:val="00AB3E18"/>
    <w:rsid w:val="00AB41F1"/>
    <w:rsid w:val="00AB5A3B"/>
    <w:rsid w:val="00AB6A7C"/>
    <w:rsid w:val="00AD0E94"/>
    <w:rsid w:val="00AD722B"/>
    <w:rsid w:val="00AE3C7A"/>
    <w:rsid w:val="00AF24F6"/>
    <w:rsid w:val="00AF2BF2"/>
    <w:rsid w:val="00AF31BE"/>
    <w:rsid w:val="00AF46DF"/>
    <w:rsid w:val="00AF49EF"/>
    <w:rsid w:val="00B04BD9"/>
    <w:rsid w:val="00B05B87"/>
    <w:rsid w:val="00B05F9C"/>
    <w:rsid w:val="00B134E7"/>
    <w:rsid w:val="00B13E94"/>
    <w:rsid w:val="00B15A9E"/>
    <w:rsid w:val="00B16D15"/>
    <w:rsid w:val="00B31E1F"/>
    <w:rsid w:val="00B3444D"/>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4F44"/>
    <w:rsid w:val="00BD590D"/>
    <w:rsid w:val="00BE2024"/>
    <w:rsid w:val="00BE2089"/>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86A68"/>
    <w:rsid w:val="00C9427A"/>
    <w:rsid w:val="00C9690C"/>
    <w:rsid w:val="00C96BB5"/>
    <w:rsid w:val="00CA0736"/>
    <w:rsid w:val="00CA18D5"/>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8578D"/>
    <w:rsid w:val="00D92BC0"/>
    <w:rsid w:val="00D92F77"/>
    <w:rsid w:val="00D965B5"/>
    <w:rsid w:val="00DA0EBA"/>
    <w:rsid w:val="00DA1C1B"/>
    <w:rsid w:val="00DA3C05"/>
    <w:rsid w:val="00DA4EAA"/>
    <w:rsid w:val="00DA5D81"/>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0357"/>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4B20"/>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05499"/>
    <w:rsid w:val="00F10C89"/>
    <w:rsid w:val="00F11345"/>
    <w:rsid w:val="00F12EEC"/>
    <w:rsid w:val="00F152CE"/>
    <w:rsid w:val="00F1646F"/>
    <w:rsid w:val="00F30BD7"/>
    <w:rsid w:val="00F310F2"/>
    <w:rsid w:val="00F33937"/>
    <w:rsid w:val="00F3442D"/>
    <w:rsid w:val="00F41C99"/>
    <w:rsid w:val="00F450D5"/>
    <w:rsid w:val="00F5322B"/>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392D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92DEE"/>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numbering" w:customStyle="1" w:styleId="12">
    <w:name w:val="بلا قائمة1"/>
    <w:next w:val="a2"/>
    <w:uiPriority w:val="99"/>
    <w:semiHidden/>
    <w:unhideWhenUsed/>
    <w:rsid w:val="00617912"/>
  </w:style>
  <w:style w:type="paragraph" w:customStyle="1" w:styleId="msonormal0">
    <w:name w:val="msonormal"/>
    <w:basedOn w:val="a"/>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a0"/>
    <w:rsid w:val="00617912"/>
  </w:style>
  <w:style w:type="character" w:customStyle="1" w:styleId="cursor">
    <w:name w:val="cursor"/>
    <w:basedOn w:val="a0"/>
    <w:rsid w:val="00617912"/>
  </w:style>
  <w:style w:type="character" w:customStyle="1" w:styleId="model-label">
    <w:name w:val="model-label"/>
    <w:basedOn w:val="a0"/>
    <w:rsid w:val="00617912"/>
  </w:style>
  <w:style w:type="table" w:styleId="4-5">
    <w:name w:val="Grid Table 4 Accent 5"/>
    <w:basedOn w:val="a1"/>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1">
    <w:name w:val="Grid Table 1 Light Accent 1"/>
    <w:basedOn w:val="a1"/>
    <w:uiPriority w:val="46"/>
    <w:rsid w:val="003F570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6C431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A688CF-3107-4142-9425-1A4B4A9E23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11431</Words>
  <Characters>65967</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2026-07-03T14:02:00Z</cp:lastPrinted>
  <dcterms:created xsi:type="dcterms:W3CDTF">2026-07-08T19:07:00Z</dcterms:created>
  <dcterms:modified xsi:type="dcterms:W3CDTF">2026-07-08T19:07:00Z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