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3"/>
        </w:rPr>
        <w:t xml:space="preserve">كيفية إدارة المحتوى التفاعلي على وسائل التواصل الاجتماعي و تأثيرها في تحويل التفاعل إلى مبيعات في المملكة العربية السعودية </w:t>
      </w:r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3"/>
        </w:rPr>
        <w:t xml:space="preserve">تأثير انشاء حسابات وسائل التواصل الاجتماعي للشركات الناشئة و المشاريع في المملكة العربية السعودية </w:t>
      </w:r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70" w:lineRule="auto" w:after="0" w:before="0"/>
        <w:ind w:right="0" w:left="0"/>
        <w:rPr>
          <w:rFonts w:ascii="Arial" w:hAnsi="Arial" w:cs="Arial"/>
          <w:sz w:val="43"/>
        </w:rPr>
      </w:pPr>
      <w:r/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43"/>
        </w:rPr>
        <w:t xml:space="preserve">دراسة تطبيقية لاثر توسع مبيعات الشركات الناشئة نتيجة انشاء حسابات مواقع التواصل الاجتماعي في المملكة العربية السعودية 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2025-10-13T19:40:31Z</dcterms:created>
  <dc:creator>Apache POI</dc:creator>
</cp:coreProperties>
</file>