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Pr>
          <w:rFonts w:cs="Calibri"/>
          <w:sz w:val="28"/>
          <w:szCs w:val="28"/>
          <w:rtl/>
        </w:rPr>
        <w:t>قسم</w:t>
      </w:r>
      <w:r>
        <w:rPr>
          <w:sz w:val="28"/>
        </w:rPr>
        <w:t xml:space="preserve"> / </w:t>
      </w:r>
      <w:r>
        <w:rPr>
          <w:rFonts w:cs="Calibri"/>
          <w:sz w:val="28"/>
          <w:szCs w:val="28"/>
          <w:rtl/>
        </w:rPr>
        <w:t>تخصص</w:t>
      </w:r>
      <w:r>
        <w:rPr>
          <w:sz w:val="28"/>
        </w:rPr>
        <w:t xml:space="preserve"> </w:t>
      </w:r>
      <w:r>
        <w:rPr>
          <w:rFonts w:cs="Calibri"/>
          <w:sz w:val="28"/>
          <w:szCs w:val="28"/>
          <w:rtl/>
        </w:rPr>
        <w:t>ماجستير</w:t>
      </w:r>
      <w:r>
        <w:rPr>
          <w:sz w:val="28"/>
        </w:rPr>
        <w:t xml:space="preserve"> </w:t>
      </w:r>
      <w:r>
        <w:rPr>
          <w:rFonts w:cs="Calibri"/>
          <w:sz w:val="28"/>
          <w:szCs w:val="28"/>
          <w:rtl/>
        </w:rPr>
        <w:t>إدارة</w:t>
      </w:r>
      <w:r>
        <w:rPr>
          <w:sz w:val="28"/>
        </w:rPr>
        <w:t xml:space="preserve"> </w:t>
      </w:r>
      <w:r>
        <w:rPr>
          <w:rFonts w:cs="Calibri"/>
          <w:sz w:val="28"/>
          <w:szCs w:val="28"/>
          <w:rtl/>
        </w:rPr>
        <w:t>الموارد</w:t>
      </w:r>
      <w:r>
        <w:rPr>
          <w:sz w:val="28"/>
        </w:rPr>
        <w:t xml:space="preserve"> </w:t>
      </w:r>
      <w:r>
        <w:rPr>
          <w:rFonts w:cs="Calibri"/>
          <w:sz w:val="28"/>
          <w:szCs w:val="28"/>
          <w:rtl/>
        </w:rPr>
        <w:t>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cs="Calibri"/>
          <w:sz w:val="28"/>
          <w:szCs w:val="28"/>
          <w:rtl/>
        </w:rPr>
        <w:t>عنوان</w:t>
      </w:r>
      <w:r>
        <w:rPr>
          <w:sz w:val="28"/>
        </w:rPr>
        <w:t xml:space="preserve"> </w:t>
      </w:r>
      <w:r>
        <w:rPr>
          <w:rFonts w:cs="Calibri"/>
          <w:sz w:val="28"/>
          <w:szCs w:val="28"/>
          <w:rtl/>
        </w:rPr>
        <w:t>البحث</w:t>
      </w:r>
      <w:r>
        <w:rPr>
          <w:sz w:val="28"/>
        </w:rPr>
        <w:t xml:space="preserve"> </w:t>
      </w:r>
      <w:r>
        <w:rPr>
          <w:rFonts w:cs="Calibri"/>
          <w:sz w:val="28"/>
          <w:szCs w:val="28"/>
          <w:rtl/>
        </w:rPr>
        <w:t>أثر</w:t>
      </w:r>
      <w:r>
        <w:rPr>
          <w:sz w:val="28"/>
        </w:rPr>
        <w:t xml:space="preserve"> </w:t>
      </w:r>
      <w:r>
        <w:rPr>
          <w:rFonts w:cs="Calibri"/>
          <w:sz w:val="28"/>
          <w:szCs w:val="28"/>
          <w:rtl/>
        </w:rPr>
        <w:t>برامج</w:t>
      </w:r>
      <w:r>
        <w:rPr>
          <w:sz w:val="28"/>
        </w:rPr>
        <w:t xml:space="preserve"> </w:t>
      </w:r>
      <w:r>
        <w:rPr>
          <w:rFonts w:cs="Calibri"/>
          <w:sz w:val="28"/>
          <w:szCs w:val="28"/>
          <w:rtl/>
        </w:rPr>
        <w:t>التدريب</w:t>
      </w:r>
      <w:r>
        <w:rPr>
          <w:sz w:val="28"/>
        </w:rPr>
        <w:t xml:space="preserve"> </w:t>
      </w:r>
      <w:r>
        <w:rPr>
          <w:rFonts w:cs="Calibri"/>
          <w:sz w:val="28"/>
          <w:szCs w:val="28"/>
          <w:rtl/>
        </w:rPr>
        <w:t>والتطوير</w:t>
      </w:r>
      <w:r>
        <w:rPr>
          <w:sz w:val="28"/>
        </w:rPr>
        <w:t xml:space="preserve"> </w:t>
      </w:r>
      <w:r>
        <w:rPr>
          <w:rFonts w:cs="Calibri"/>
          <w:sz w:val="28"/>
          <w:szCs w:val="28"/>
          <w:rtl/>
        </w:rPr>
        <w:t>على</w:t>
      </w:r>
      <w:r>
        <w:rPr>
          <w:sz w:val="28"/>
        </w:rPr>
        <w:t xml:space="preserve"> </w:t>
      </w:r>
      <w:r>
        <w:rPr>
          <w:rFonts w:cs="Calibri"/>
          <w:sz w:val="28"/>
          <w:szCs w:val="28"/>
          <w:rtl/>
        </w:rPr>
        <w:t>تحسين</w:t>
      </w:r>
      <w:r>
        <w:rPr>
          <w:sz w:val="28"/>
        </w:rPr>
        <w:t xml:space="preserve"> </w:t>
      </w:r>
      <w:r>
        <w:rPr>
          <w:rFonts w:cs="Calibri"/>
          <w:sz w:val="28"/>
          <w:szCs w:val="28"/>
          <w:rtl/>
        </w:rPr>
        <w:t>أداء</w:t>
      </w:r>
      <w:r>
        <w:rPr>
          <w:sz w:val="28"/>
        </w:rPr>
        <w:t xml:space="preserve"> </w:t>
      </w:r>
      <w:r>
        <w:rPr>
          <w:rFonts w:cs="Calibri"/>
          <w:sz w:val="28"/>
          <w:szCs w:val="28"/>
          <w:rtl/>
        </w:rPr>
        <w:t>العاملين</w:t>
      </w:r>
      <w:r>
        <w:rPr>
          <w:sz w:val="28"/>
        </w:rPr>
        <w:t xml:space="preserve"> </w:t>
      </w:r>
      <w:r>
        <w:rPr>
          <w:rFonts w:cs="Calibri"/>
          <w:sz w:val="28"/>
          <w:szCs w:val="28"/>
          <w:rtl/>
        </w:rPr>
        <w:t>في</w:t>
      </w:r>
      <w:r>
        <w:rPr>
          <w:sz w:val="28"/>
        </w:rPr>
        <w:t xml:space="preserve"> </w:t>
      </w:r>
      <w:r>
        <w:rPr>
          <w:rFonts w:cs="Calibri"/>
          <w:sz w:val="28"/>
          <w:szCs w:val="28"/>
          <w:rtl/>
        </w:rPr>
        <w:t>المؤسسات</w:t>
      </w:r>
      <w:r>
        <w:rPr>
          <w:sz w:val="28"/>
        </w:rPr>
        <w:t xml:space="preserve"> </w:t>
      </w:r>
      <w:r>
        <w:rPr>
          <w:rFonts w:cs="Calibri"/>
          <w:sz w:val="28"/>
          <w:szCs w:val="28"/>
          <w:rtl/>
        </w:rPr>
        <w:t>الحكومية</w:t>
      </w:r>
      <w:r>
        <w:rPr>
          <w:sz w:val="28"/>
        </w:rPr>
        <w:t xml:space="preserve"> </w:t>
      </w:r>
      <w:r>
        <w:rPr>
          <w:rFonts w:cs="Calibri"/>
          <w:sz w:val="28"/>
          <w:szCs w:val="28"/>
          <w:rtl/>
        </w:rPr>
        <w:t>في</w:t>
      </w:r>
      <w:r>
        <w:rPr>
          <w:sz w:val="28"/>
        </w:rPr>
        <w:t xml:space="preserve"> </w:t>
      </w:r>
      <w:r>
        <w:rPr>
          <w:rFonts w:cs="Calibri"/>
          <w:sz w:val="28"/>
          <w:szCs w:val="28"/>
          <w:rtl/>
        </w:rPr>
        <w:t>المملكة</w:t>
      </w:r>
      <w:r>
        <w:rPr>
          <w:sz w:val="28"/>
        </w:rPr>
        <w:t xml:space="preserve"> </w:t>
      </w:r>
      <w:r>
        <w:rPr>
          <w:rFonts w:cs="Calibri"/>
          <w:sz w:val="28"/>
          <w:szCs w:val="28"/>
          <w:rtl/>
        </w:rPr>
        <w:t>العربية</w:t>
      </w:r>
      <w:r>
        <w:rPr>
          <w:sz w:val="28"/>
        </w:rPr>
        <w:t xml:space="preserve"> </w:t>
      </w:r>
      <w:r>
        <w:rPr>
          <w:rFonts w:cs="Calibri"/>
          <w:sz w:val="28"/>
          <w:szCs w:val="28"/>
          <w:rtl/>
        </w:rPr>
        <w:t>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Pr>
          <w:rFonts w:cs="Calibri"/>
          <w:sz w:val="28"/>
          <w:szCs w:val="28"/>
          <w:rtl/>
        </w:rPr>
        <w:t>إعداد</w:t>
      </w:r>
      <w:r>
        <w:rPr>
          <w:sz w:val="28"/>
        </w:rPr>
        <w:t xml:space="preserve"> </w:t>
      </w:r>
      <w:r>
        <w:rPr>
          <w:rFonts w:cs="Calibri"/>
          <w:sz w:val="28"/>
          <w:szCs w:val="28"/>
          <w:rtl/>
        </w:rPr>
        <w:t>الطالب</w:t>
      </w:r>
      <w:r>
        <w:rPr>
          <w:sz w:val="28"/>
        </w:rPr>
        <w:t xml:space="preserve">/ </w:t>
      </w:r>
      <w:r>
        <w:rPr>
          <w:rFonts w:cs="Calibri"/>
          <w:sz w:val="28"/>
          <w:szCs w:val="28"/>
          <w:rtl/>
        </w:rPr>
        <w:t>م</w:t>
      </w:r>
      <w:r>
        <w:rPr>
          <w:sz w:val="28"/>
        </w:rPr>
        <w:t xml:space="preserve">. </w:t>
      </w:r>
      <w:r>
        <w:rPr>
          <w:rFonts w:cs="Calibri"/>
          <w:sz w:val="28"/>
          <w:szCs w:val="28"/>
          <w:rtl/>
        </w:rPr>
        <w:t>عبدالعزيز</w:t>
      </w:r>
      <w:r>
        <w:rPr>
          <w:sz w:val="28"/>
        </w:rPr>
        <w:t xml:space="preserve"> </w:t>
      </w:r>
      <w:r>
        <w:rPr>
          <w:rFonts w:cs="Calibri"/>
          <w:sz w:val="28"/>
          <w:szCs w:val="28"/>
          <w:rtl/>
        </w:rPr>
        <w:t>بن</w:t>
      </w:r>
      <w:r>
        <w:rPr>
          <w:sz w:val="28"/>
        </w:rPr>
        <w:t xml:space="preserve"> </w:t>
      </w:r>
      <w:r>
        <w:rPr>
          <w:rFonts w:cs="Calibri"/>
          <w:sz w:val="28"/>
          <w:szCs w:val="28"/>
          <w:rtl/>
        </w:rPr>
        <w:t>رشيد</w:t>
      </w:r>
      <w:r>
        <w:rPr>
          <w:sz w:val="28"/>
        </w:rPr>
        <w:t xml:space="preserve"> </w:t>
      </w:r>
      <w:r>
        <w:rPr>
          <w:rFonts w:cs="Calibri"/>
          <w:sz w:val="28"/>
          <w:szCs w:val="28"/>
          <w:rtl/>
        </w:rPr>
        <w:t>ابراهيم</w:t>
      </w:r>
      <w:r>
        <w:rPr>
          <w:sz w:val="28"/>
        </w:rPr>
        <w:t xml:space="preserve"> </w:t>
      </w:r>
      <w:r>
        <w:rPr>
          <w:rFonts w:cs="Calibri"/>
          <w:sz w:val="28"/>
          <w:szCs w:val="28"/>
          <w:rtl/>
        </w:rPr>
        <w:t>البراهيم</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3BA396E" w:rsidR="009125CE" w:rsidRPr="001902DB" w:rsidRDefault="009125CE" w:rsidP="0070512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0512A">
        <w:rPr>
          <w:rFonts w:ascii="Sakkal Majalla" w:hAnsi="Sakkal Majalla" w:cs="Sakkal Majalla" w:hint="cs"/>
          <w:b/>
          <w:bCs/>
          <w:sz w:val="28"/>
          <w:szCs w:val="28"/>
          <w:rtl/>
          <w:lang w:bidi="ar-EG"/>
        </w:rPr>
        <w:t>5</w:t>
      </w:r>
    </w:p>
    <w:p w14:paraId="7CE8B543" w14:textId="36813F6A" w:rsidR="004A647C" w:rsidRDefault="004A647C" w:rsidP="004A647C">
      <w:pPr>
        <w:rPr>
          <w:rFonts w:cs="Times New Roman"/>
          <w:b/>
          <w:bCs/>
          <w:sz w:val="32"/>
          <w:szCs w:val="32"/>
          <w:rtl/>
        </w:rPr>
      </w:pPr>
    </w:p>
    <w:p w14:paraId="176AA292" w14:textId="26B1D19F" w:rsidR="00A50B84" w:rsidRDefault="00A50B84" w:rsidP="004A647C">
      <w:r>
        <w:rPr>
          <w:rFonts w:cs="Times New Roman" w:hint="cs"/>
          <w:b/>
          <w:bCs/>
          <w:sz w:val="32"/>
          <w:szCs w:val="32"/>
          <w:rtl/>
        </w:rPr>
        <w:t>الإطار النظري /</w:t>
      </w:r>
    </w:p>
    <w:p w14:paraId="121B359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تواجه المؤسسات الحكومية متطلبات متزايدة لتحسين جودة الخدمات، ورفع الإنتاجية، وتقليص الهدر، وتحسين تجربة المستفيد. في هذا السياق تُعد برامج التدريب والتطوير من أهم أدوات تنمية رأس المال البشري وتحسين الأداء الوظيفي عبر رفع المعارف والمهارات، وتعديل الاتجاهات والسلوك، وتعزيز القدرة على تطبيق الممارسات الفعّالة في بيئة العمل.</w:t>
      </w:r>
    </w:p>
    <w:p w14:paraId="38E39016" w14:textId="4319A654"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ويتسق هذا التوجه مع مسارات التحول الوطني وتنمية القدرات البشرية ضمن رؤية السعودية 2030، حيث يُبرز برنامج تنمية القدرات البشرية الاستثمار في الإنسان ورفع مهاراته ومعارفه عبر مراحل متعددة. </w:t>
      </w:r>
    </w:p>
    <w:p w14:paraId="0D1B789B"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Saudi Vision 2030</w:t>
      </w:r>
    </w:p>
    <w:p w14:paraId="71EE9943"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2) </w:t>
      </w:r>
      <w:r w:rsidRPr="00A50B84">
        <w:rPr>
          <w:rFonts w:ascii="Sakkal Majalla" w:hAnsi="Sakkal Majalla" w:cs="Sakkal Majalla"/>
          <w:sz w:val="36"/>
          <w:szCs w:val="36"/>
          <w:rtl/>
        </w:rPr>
        <w:t>المفاهيم الأساسية وتعريفاتها التشغيلية</w:t>
      </w:r>
    </w:p>
    <w:p w14:paraId="697AA011"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2.1</w:t>
      </w:r>
      <w:r w:rsidRPr="00A50B84">
        <w:rPr>
          <w:rFonts w:ascii="Sakkal Majalla" w:hAnsi="Sakkal Majalla" w:cs="Sakkal Majalla"/>
          <w:sz w:val="36"/>
          <w:szCs w:val="36"/>
          <w:rtl/>
        </w:rPr>
        <w:t xml:space="preserve"> التدريب </w:t>
      </w:r>
      <w:r w:rsidRPr="00A50B84">
        <w:rPr>
          <w:rFonts w:ascii="Sakkal Majalla" w:hAnsi="Sakkal Majalla" w:cs="Sakkal Majalla"/>
          <w:sz w:val="36"/>
          <w:szCs w:val="36"/>
        </w:rPr>
        <w:t>Training</w:t>
      </w:r>
    </w:p>
    <w:p w14:paraId="205B886A"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هو عملية مخططة تهدف إلى سد فجوات الأداء الحالية عبر تزويد العاملين بمعارف ومهارات وسلوكيات مرتبطة مباشرة بمهام الوظيفة (قصير إلى متوسط المدى).</w:t>
      </w:r>
    </w:p>
    <w:p w14:paraId="728D14FC"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تشغيليًا في البحث: مجموعة الأنشطة/الدورات/الحقائب التدريبية التي تقدمها الجهة الحكومية للعاملين، مع عناصرها: (تحديد الاحتياج، التصميم، التنفيذ، المتابعة/التقييم).</w:t>
      </w:r>
    </w:p>
    <w:p w14:paraId="296AF68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2.2</w:t>
      </w:r>
      <w:r w:rsidRPr="00A50B84">
        <w:rPr>
          <w:rFonts w:ascii="Sakkal Majalla" w:hAnsi="Sakkal Majalla" w:cs="Sakkal Majalla"/>
          <w:sz w:val="36"/>
          <w:szCs w:val="36"/>
          <w:rtl/>
        </w:rPr>
        <w:t xml:space="preserve"> التطوير </w:t>
      </w:r>
      <w:r w:rsidRPr="00A50B84">
        <w:rPr>
          <w:rFonts w:ascii="Sakkal Majalla" w:hAnsi="Sakkal Majalla" w:cs="Sakkal Majalla"/>
          <w:sz w:val="36"/>
          <w:szCs w:val="36"/>
        </w:rPr>
        <w:t>Development</w:t>
      </w:r>
    </w:p>
    <w:p w14:paraId="0780003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يركّز على بناء القدرات المستقبلية وتوسيع المدارك والمهارات القيادية والتحليلية والمهنية (أطول مدى)، ويشمل الإرشاد المهني، التعاقب القيادي، تطوير القيادات، البرامج التحويلية، وغيرها.</w:t>
      </w:r>
    </w:p>
    <w:p w14:paraId="54961FA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2.3</w:t>
      </w:r>
      <w:r w:rsidRPr="00A50B84">
        <w:rPr>
          <w:rFonts w:ascii="Sakkal Majalla" w:hAnsi="Sakkal Majalla" w:cs="Sakkal Majalla"/>
          <w:sz w:val="36"/>
          <w:szCs w:val="36"/>
          <w:rtl/>
        </w:rPr>
        <w:t xml:space="preserve"> الأداء الوظيفي </w:t>
      </w:r>
      <w:r w:rsidRPr="00A50B84">
        <w:rPr>
          <w:rFonts w:ascii="Sakkal Majalla" w:hAnsi="Sakkal Majalla" w:cs="Sakkal Majalla"/>
          <w:sz w:val="36"/>
          <w:szCs w:val="36"/>
        </w:rPr>
        <w:t>Employee Performance</w:t>
      </w:r>
    </w:p>
    <w:p w14:paraId="1E48BD9B"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يعبر عن درجة إنجاز الفرد لمهامه وفق المعايير المطلوبة (كمًا ونوعًا وسلوكًا).</w:t>
      </w:r>
    </w:p>
    <w:p w14:paraId="679EB3C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lastRenderedPageBreak/>
        <w:t>تشغيليًا في البحث (أمثلة أبعاد):</w:t>
      </w:r>
    </w:p>
    <w:p w14:paraId="4E63DCA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أداء المهام: جودة التنفيذ، الدقة، الإنجاز في الوقت.</w:t>
      </w:r>
    </w:p>
    <w:p w14:paraId="68146960"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الأداء السياقي: التعاون، المبادرة، سلوك المواطنة التنظيمية.</w:t>
      </w:r>
    </w:p>
    <w:p w14:paraId="721B73FE"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مؤشرات كمية (إن توفرت): الإنتاجية، زمن إنجاز المعاملات، الأخطاء/إعادة العمل، رضا المستفيدين.</w:t>
      </w:r>
    </w:p>
    <w:p w14:paraId="223DDB99"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3) </w:t>
      </w:r>
      <w:r w:rsidRPr="00A50B84">
        <w:rPr>
          <w:rFonts w:ascii="Sakkal Majalla" w:hAnsi="Sakkal Majalla" w:cs="Sakkal Majalla"/>
          <w:sz w:val="36"/>
          <w:szCs w:val="36"/>
          <w:rtl/>
        </w:rPr>
        <w:t>الأسس والنظريات المفسِّرة للعلاقة بين التدريب/التطوير والأداء</w:t>
      </w:r>
    </w:p>
    <w:p w14:paraId="3A1E4E0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3.1</w:t>
      </w:r>
      <w:r w:rsidRPr="00A50B84">
        <w:rPr>
          <w:rFonts w:ascii="Sakkal Majalla" w:hAnsi="Sakkal Majalla" w:cs="Sakkal Majalla"/>
          <w:sz w:val="36"/>
          <w:szCs w:val="36"/>
          <w:rtl/>
        </w:rPr>
        <w:t xml:space="preserve"> نظرية رأس المال البشري </w:t>
      </w:r>
      <w:r w:rsidRPr="00A50B84">
        <w:rPr>
          <w:rFonts w:ascii="Sakkal Majalla" w:hAnsi="Sakkal Majalla" w:cs="Sakkal Majalla"/>
          <w:sz w:val="36"/>
          <w:szCs w:val="36"/>
        </w:rPr>
        <w:t>Human Capital</w:t>
      </w:r>
    </w:p>
    <w:p w14:paraId="37A44D6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تفترض أن الاستثمار في المعرفة والمهارات يرفع إنتاجية الفرد وقيمته للمنظمة، وبالتالي ينعكس على الأداء المؤسسي. (تُستخدم كثيرًا كأساس لتبرير الإنفاق على التدريب في القطاع العام).</w:t>
      </w:r>
    </w:p>
    <w:p w14:paraId="3539CFEB"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3.2</w:t>
      </w:r>
      <w:r w:rsidRPr="00A50B84">
        <w:rPr>
          <w:rFonts w:ascii="Sakkal Majalla" w:hAnsi="Sakkal Majalla" w:cs="Sakkal Majalla"/>
          <w:sz w:val="36"/>
          <w:szCs w:val="36"/>
          <w:rtl/>
        </w:rPr>
        <w:t xml:space="preserve"> منظور الموارد والميزة التنافسية </w:t>
      </w:r>
      <w:r w:rsidRPr="00A50B84">
        <w:rPr>
          <w:rFonts w:ascii="Sakkal Majalla" w:hAnsi="Sakkal Majalla" w:cs="Sakkal Majalla"/>
          <w:sz w:val="36"/>
          <w:szCs w:val="36"/>
        </w:rPr>
        <w:t>RBV</w:t>
      </w:r>
    </w:p>
    <w:p w14:paraId="05EA3501" w14:textId="4A0EB5E3"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يُبرز أن الموارد الداخلية القيّمة والنادرة وصعبة التقليد—ومنها الكفاءات البشرية—تسهم في تحقيق أداء متفوق واستدامته. ويُستخدم هذا المنظور لتفسير كيف يتحول التدريب والتطوير إلى “قدرة تنظيمية” تحسن الأداء. </w:t>
      </w:r>
    </w:p>
    <w:p w14:paraId="0500178C"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journals.sagepub.com +</w:t>
      </w:r>
      <w:r w:rsidRPr="00A50B84">
        <w:rPr>
          <w:rFonts w:ascii="Sakkal Majalla" w:hAnsi="Sakkal Majalla" w:cs="Sakkal Majalla"/>
          <w:sz w:val="36"/>
          <w:szCs w:val="36"/>
          <w:rtl/>
        </w:rPr>
        <w:t>١</w:t>
      </w:r>
    </w:p>
    <w:p w14:paraId="6F94017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3.3</w:t>
      </w:r>
      <w:r w:rsidRPr="00A50B84">
        <w:rPr>
          <w:rFonts w:ascii="Sakkal Majalla" w:hAnsi="Sakkal Majalla" w:cs="Sakkal Majalla"/>
          <w:sz w:val="36"/>
          <w:szCs w:val="36"/>
          <w:rtl/>
        </w:rPr>
        <w:t xml:space="preserve"> نموذج (القدرة–الدافعية–الفرصة) </w:t>
      </w:r>
      <w:r w:rsidRPr="00A50B84">
        <w:rPr>
          <w:rFonts w:ascii="Sakkal Majalla" w:hAnsi="Sakkal Majalla" w:cs="Sakkal Majalla"/>
          <w:sz w:val="36"/>
          <w:szCs w:val="36"/>
        </w:rPr>
        <w:t>AMO</w:t>
      </w:r>
    </w:p>
    <w:p w14:paraId="1C09277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يفسر الأداء بوصفه ناتجًا عن توافر:</w:t>
      </w:r>
    </w:p>
    <w:p w14:paraId="263CF0F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Ability (A): </w:t>
      </w:r>
      <w:r w:rsidRPr="00A50B84">
        <w:rPr>
          <w:rFonts w:ascii="Sakkal Majalla" w:hAnsi="Sakkal Majalla" w:cs="Sakkal Majalla"/>
          <w:sz w:val="36"/>
          <w:szCs w:val="36"/>
          <w:rtl/>
        </w:rPr>
        <w:t>المهارات والمعارف (يرتبط مباشرة بالتدريب).</w:t>
      </w:r>
    </w:p>
    <w:p w14:paraId="0AF494DD"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Motivation (M): </w:t>
      </w:r>
      <w:r w:rsidRPr="00A50B84">
        <w:rPr>
          <w:rFonts w:ascii="Sakkal Majalla" w:hAnsi="Sakkal Majalla" w:cs="Sakkal Majalla"/>
          <w:sz w:val="36"/>
          <w:szCs w:val="36"/>
          <w:rtl/>
        </w:rPr>
        <w:t>الدافعية والحوافز والعدالة والتقدير.</w:t>
      </w:r>
    </w:p>
    <w:p w14:paraId="63FF9C0E"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Opportunity (O): </w:t>
      </w:r>
      <w:r w:rsidRPr="00A50B84">
        <w:rPr>
          <w:rFonts w:ascii="Sakkal Majalla" w:hAnsi="Sakkal Majalla" w:cs="Sakkal Majalla"/>
          <w:sz w:val="36"/>
          <w:szCs w:val="36"/>
          <w:rtl/>
        </w:rPr>
        <w:t>فرص التطبيق، التمكين، الدعم، تصميم العمل.</w:t>
      </w:r>
    </w:p>
    <w:p w14:paraId="6012A0A6" w14:textId="3164A958"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lastRenderedPageBreak/>
        <w:t xml:space="preserve">وفق </w:t>
      </w:r>
      <w:r w:rsidRPr="00A50B84">
        <w:rPr>
          <w:rFonts w:ascii="Sakkal Majalla" w:hAnsi="Sakkal Majalla" w:cs="Sakkal Majalla"/>
          <w:sz w:val="36"/>
          <w:szCs w:val="36"/>
        </w:rPr>
        <w:t>AMO</w:t>
      </w:r>
      <w:r w:rsidRPr="00A50B84">
        <w:rPr>
          <w:rFonts w:ascii="Sakkal Majalla" w:hAnsi="Sakkal Majalla" w:cs="Sakkal Majalla"/>
          <w:sz w:val="36"/>
          <w:szCs w:val="36"/>
          <w:rtl/>
        </w:rPr>
        <w:t xml:space="preserve">، التدريب وحده قد لا يرفع الأداء ما لم تتوفر الدافعية وفرص التطبيق في بيئة العمل. </w:t>
      </w:r>
    </w:p>
    <w:p w14:paraId="45A9D8CC"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intangiblecapital.org +</w:t>
      </w:r>
      <w:r w:rsidRPr="00A50B84">
        <w:rPr>
          <w:rFonts w:ascii="Sakkal Majalla" w:hAnsi="Sakkal Majalla" w:cs="Sakkal Majalla"/>
          <w:sz w:val="36"/>
          <w:szCs w:val="36"/>
          <w:rtl/>
        </w:rPr>
        <w:t>١</w:t>
      </w:r>
    </w:p>
    <w:p w14:paraId="1FEED172"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3.4</w:t>
      </w:r>
      <w:r w:rsidRPr="00A50B84">
        <w:rPr>
          <w:rFonts w:ascii="Sakkal Majalla" w:hAnsi="Sakkal Majalla" w:cs="Sakkal Majalla"/>
          <w:sz w:val="36"/>
          <w:szCs w:val="36"/>
          <w:rtl/>
        </w:rPr>
        <w:t xml:space="preserve"> نموذج انتقال أثر التدريب </w:t>
      </w:r>
      <w:r w:rsidRPr="00A50B84">
        <w:rPr>
          <w:rFonts w:ascii="Sakkal Majalla" w:hAnsi="Sakkal Majalla" w:cs="Sakkal Majalla"/>
          <w:sz w:val="36"/>
          <w:szCs w:val="36"/>
        </w:rPr>
        <w:t>Transfer of Training</w:t>
      </w:r>
    </w:p>
    <w:p w14:paraId="27E5B2E5"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يوضح أن انتقال ما تم تعلمه إلى العمل يتأثر بثلاثة محاور رئيسية:</w:t>
      </w:r>
    </w:p>
    <w:p w14:paraId="320CC2AD" w14:textId="7DC173AD"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خصائص المتدرب، 2) تصميم التدريب، 3) بيئة العمل (دعم المدير، فرص التطبيق، التغذية الراجعة). </w:t>
      </w:r>
    </w:p>
    <w:p w14:paraId="2E952544"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Wiley Online Library +</w:t>
      </w:r>
      <w:r w:rsidRPr="00A50B84">
        <w:rPr>
          <w:rFonts w:ascii="Sakkal Majalla" w:hAnsi="Sakkal Majalla" w:cs="Sakkal Majalla"/>
          <w:sz w:val="36"/>
          <w:szCs w:val="36"/>
          <w:rtl/>
        </w:rPr>
        <w:t>١</w:t>
      </w:r>
    </w:p>
    <w:p w14:paraId="2AC360F2"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3.5</w:t>
      </w:r>
      <w:r w:rsidRPr="00A50B84">
        <w:rPr>
          <w:rFonts w:ascii="Sakkal Majalla" w:hAnsi="Sakkal Majalla" w:cs="Sakkal Majalla"/>
          <w:sz w:val="36"/>
          <w:szCs w:val="36"/>
          <w:rtl/>
        </w:rPr>
        <w:t xml:space="preserve"> نموذج كيركباتريك لتقييم التدريب </w:t>
      </w:r>
      <w:r w:rsidRPr="00A50B84">
        <w:rPr>
          <w:rFonts w:ascii="Sakkal Majalla" w:hAnsi="Sakkal Majalla" w:cs="Sakkal Majalla"/>
          <w:sz w:val="36"/>
          <w:szCs w:val="36"/>
        </w:rPr>
        <w:t>Kirkpatrick</w:t>
      </w:r>
    </w:p>
    <w:p w14:paraId="246AE315"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يقترح 4 مستويات لتقييم فعالية التدريب:</w:t>
      </w:r>
    </w:p>
    <w:p w14:paraId="339654D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الانطباع/الرضا، 2) التعلم، 3) تغير السلوك في العمل، 4) النتائج (تحسن الأداء/المخرجات).</w:t>
      </w:r>
    </w:p>
    <w:p w14:paraId="29410556"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وهو مهم نظريًا لأن كثيرًا من البرامج تقف عند (الرضا) دون إثبات انتقال التعلم للسلوك والنتائج. </w:t>
      </w:r>
      <w:r w:rsidRPr="00A50B84">
        <w:rPr>
          <w:rFonts w:ascii="Tahoma" w:hAnsi="Tahoma" w:cs="Tahoma" w:hint="cs"/>
          <w:sz w:val="36"/>
          <w:szCs w:val="36"/>
          <w:rtl/>
        </w:rPr>
        <w:t>�</w:t>
      </w:r>
    </w:p>
    <w:p w14:paraId="3E76702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كتب جوجل +١</w:t>
      </w:r>
    </w:p>
    <w:p w14:paraId="60BAA0E6"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4) </w:t>
      </w:r>
      <w:r w:rsidRPr="00A50B84">
        <w:rPr>
          <w:rFonts w:ascii="Sakkal Majalla" w:hAnsi="Sakkal Majalla" w:cs="Sakkal Majalla"/>
          <w:sz w:val="36"/>
          <w:szCs w:val="36"/>
          <w:rtl/>
        </w:rPr>
        <w:t>آليات تأثير التدريب والتطوير على الأداء</w:t>
      </w:r>
    </w:p>
    <w:p w14:paraId="72BB91FC"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يمكن تفسير أثر التدريب/التطوير على الأداء عبر سلسلة من الآليات:</w:t>
      </w:r>
    </w:p>
    <w:p w14:paraId="20DC691C"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رفع الكفاءة المعرفية والمهارية </w:t>
      </w:r>
      <w:r w:rsidRPr="00A50B84">
        <w:rPr>
          <w:rFonts w:ascii="Arial" w:hAnsi="Arial" w:cs="Arial" w:hint="cs"/>
          <w:sz w:val="36"/>
          <w:szCs w:val="36"/>
          <w:rtl/>
        </w:rPr>
        <w:t>→</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تقليل</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الأخطاء</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وزيادة</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جودة</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الإنجاز</w:t>
      </w:r>
      <w:r w:rsidRPr="00A50B84">
        <w:rPr>
          <w:rFonts w:ascii="Sakkal Majalla" w:hAnsi="Sakkal Majalla" w:cs="Sakkal Majalla"/>
          <w:sz w:val="36"/>
          <w:szCs w:val="36"/>
          <w:rtl/>
        </w:rPr>
        <w:t>.</w:t>
      </w:r>
    </w:p>
    <w:p w14:paraId="42B914B0"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بناء اتجاهات إيجابية (الالتزام، الثقة، المعنويات) </w:t>
      </w:r>
      <w:r w:rsidRPr="00A50B84">
        <w:rPr>
          <w:rFonts w:ascii="Arial" w:hAnsi="Arial" w:cs="Arial" w:hint="cs"/>
          <w:sz w:val="36"/>
          <w:szCs w:val="36"/>
          <w:rtl/>
        </w:rPr>
        <w:t>→</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تحس</w:t>
      </w:r>
      <w:r w:rsidRPr="00A50B84">
        <w:rPr>
          <w:rFonts w:ascii="Sakkal Majalla" w:hAnsi="Sakkal Majalla" w:cs="Sakkal Majalla"/>
          <w:sz w:val="36"/>
          <w:szCs w:val="36"/>
          <w:rtl/>
        </w:rPr>
        <w:t>ين الأداء السياقي والتعاون.</w:t>
      </w:r>
    </w:p>
    <w:p w14:paraId="515B82A5"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تحسين السلوكيات المهنية (الانضباط، خدمة المستفيد، إدارة الوقت) </w:t>
      </w:r>
      <w:r w:rsidRPr="00A50B84">
        <w:rPr>
          <w:rFonts w:ascii="Arial" w:hAnsi="Arial" w:cs="Arial" w:hint="cs"/>
          <w:sz w:val="36"/>
          <w:szCs w:val="36"/>
          <w:rtl/>
        </w:rPr>
        <w:t>→</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تحسين</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جودة</w:t>
      </w:r>
      <w:r w:rsidRPr="00A50B84">
        <w:rPr>
          <w:rFonts w:ascii="Sakkal Majalla" w:hAnsi="Sakkal Majalla" w:cs="Sakkal Majalla"/>
          <w:sz w:val="36"/>
          <w:szCs w:val="36"/>
          <w:rtl/>
        </w:rPr>
        <w:t xml:space="preserve"> </w:t>
      </w:r>
      <w:r w:rsidRPr="00A50B84">
        <w:rPr>
          <w:rFonts w:ascii="Sakkal Majalla" w:hAnsi="Sakkal Majalla" w:cs="Sakkal Majalla" w:hint="cs"/>
          <w:sz w:val="36"/>
          <w:szCs w:val="36"/>
          <w:rtl/>
        </w:rPr>
        <w:t>الخدمة</w:t>
      </w:r>
      <w:r w:rsidRPr="00A50B84">
        <w:rPr>
          <w:rFonts w:ascii="Sakkal Majalla" w:hAnsi="Sakkal Majalla" w:cs="Sakkal Majalla"/>
          <w:sz w:val="36"/>
          <w:szCs w:val="36"/>
          <w:rtl/>
        </w:rPr>
        <w:t>.</w:t>
      </w:r>
    </w:p>
    <w:p w14:paraId="3EAFE48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lastRenderedPageBreak/>
        <w:t>الابتكار والتحسين المستمر عبر أدوات التطوير (حل المشكلات، التفكير التحليلي، التحول الرقمي).</w:t>
      </w:r>
    </w:p>
    <w:p w14:paraId="7CE01C02" w14:textId="017FA478"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انتقال أثر التدريب: يعتمد على دعم المدير المباشر، وإتاحة فرص التطبيق، والمتابعة والتغذية الراجعة. </w:t>
      </w:r>
    </w:p>
    <w:p w14:paraId="3C9F85AB"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Wiley Online Library +</w:t>
      </w:r>
      <w:r w:rsidRPr="00A50B84">
        <w:rPr>
          <w:rFonts w:ascii="Sakkal Majalla" w:hAnsi="Sakkal Majalla" w:cs="Sakkal Majalla"/>
          <w:sz w:val="36"/>
          <w:szCs w:val="36"/>
          <w:rtl/>
        </w:rPr>
        <w:t>١</w:t>
      </w:r>
    </w:p>
    <w:p w14:paraId="4ED7BE39"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5) </w:t>
      </w:r>
      <w:r w:rsidRPr="00A50B84">
        <w:rPr>
          <w:rFonts w:ascii="Sakkal Majalla" w:hAnsi="Sakkal Majalla" w:cs="Sakkal Majalla"/>
          <w:sz w:val="36"/>
          <w:szCs w:val="36"/>
          <w:rtl/>
        </w:rPr>
        <w:t>خصائص السياق الحكومي السعودي المؤثرة في العلاقة</w:t>
      </w:r>
    </w:p>
    <w:p w14:paraId="45A96706"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عند بناء الإطار النظري للسعودية، من المهم إدخال عوامل السياق الحكومي:</w:t>
      </w:r>
    </w:p>
    <w:p w14:paraId="0EE2349D" w14:textId="18D5435F"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التحول الوطني وتنمية القدرات البشرية كإطار توجهي وطني داعم للاستثمار في المهارات والمعرفة. </w:t>
      </w:r>
    </w:p>
    <w:p w14:paraId="17091FF0"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Saudi Vision 2030</w:t>
      </w:r>
    </w:p>
    <w:p w14:paraId="541AF6CE" w14:textId="48865AB2"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توجهات تطوير المهارات عبر الجهات المختصة (مثل وزارة الموارد البشرية والتنمية الاجتماعية) ضمن مسارات مهارية وتطويرية مرتبطة برؤية 2030. </w:t>
      </w:r>
    </w:p>
    <w:p w14:paraId="297B14A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موارد بشرية</w:t>
      </w:r>
    </w:p>
    <w:p w14:paraId="71D42002" w14:textId="65523312"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الدعم/المبادرات المرتبطة بالتدريب والتأهيل عبر صندوق تنمية الموارد البشرية (هدف) وسياساته المرتبطة بالرؤية. </w:t>
      </w:r>
    </w:p>
    <w:p w14:paraId="71DCE8A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هدف</w:t>
      </w:r>
    </w:p>
    <w:p w14:paraId="42D65FA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هذه العناصر مهمة لأن أثر التدريب في القطاع الحكومي غالبًا يتأثر بالحوكمة والإجراءات، ومرونة التمكين، وقدرة الإدارة على تحويل التدريب إلى تحسين فعلي في الأداء.</w:t>
      </w:r>
    </w:p>
    <w:p w14:paraId="352075CA"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6) </w:t>
      </w:r>
      <w:r w:rsidRPr="00A50B84">
        <w:rPr>
          <w:rFonts w:ascii="Sakkal Majalla" w:hAnsi="Sakkal Majalla" w:cs="Sakkal Majalla"/>
          <w:sz w:val="36"/>
          <w:szCs w:val="36"/>
          <w:rtl/>
        </w:rPr>
        <w:t>محددات ووسائط (</w:t>
      </w:r>
      <w:r w:rsidRPr="00A50B84">
        <w:rPr>
          <w:rFonts w:ascii="Sakkal Majalla" w:hAnsi="Sakkal Majalla" w:cs="Sakkal Majalla"/>
          <w:sz w:val="36"/>
          <w:szCs w:val="36"/>
        </w:rPr>
        <w:t xml:space="preserve">Mediators/Moderators) </w:t>
      </w:r>
      <w:r w:rsidRPr="00A50B84">
        <w:rPr>
          <w:rFonts w:ascii="Sakkal Majalla" w:hAnsi="Sakkal Majalla" w:cs="Sakkal Majalla"/>
          <w:sz w:val="36"/>
          <w:szCs w:val="36"/>
          <w:rtl/>
        </w:rPr>
        <w:t>مقترحة في النموذج البحثي</w:t>
      </w:r>
    </w:p>
    <w:p w14:paraId="3953A45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لجعل الإطار النظري “قوي” أكاديميًا، يُفضّل إدراج متغيرات وسيطة/معدلة مثل:</w:t>
      </w:r>
    </w:p>
    <w:p w14:paraId="58D49544"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6.1</w:t>
      </w:r>
      <w:r w:rsidRPr="00A50B84">
        <w:rPr>
          <w:rFonts w:ascii="Sakkal Majalla" w:hAnsi="Sakkal Majalla" w:cs="Sakkal Majalla"/>
          <w:sz w:val="36"/>
          <w:szCs w:val="36"/>
          <w:rtl/>
        </w:rPr>
        <w:t xml:space="preserve"> متغيرات وسيطة (تشرح كيف يحدث الأثر)</w:t>
      </w:r>
    </w:p>
    <w:p w14:paraId="6E6F2E9D"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lastRenderedPageBreak/>
        <w:t>نقل أثر التدريب (</w:t>
      </w:r>
      <w:r w:rsidRPr="00A50B84">
        <w:rPr>
          <w:rFonts w:ascii="Sakkal Majalla" w:hAnsi="Sakkal Majalla" w:cs="Sakkal Majalla"/>
          <w:sz w:val="36"/>
          <w:szCs w:val="36"/>
        </w:rPr>
        <w:t>Transfer)</w:t>
      </w:r>
    </w:p>
    <w:p w14:paraId="3A5C1FDE"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التمكين الوظيفي</w:t>
      </w:r>
    </w:p>
    <w:p w14:paraId="7B3F5199"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الرضا الوظيفي/الالتزام</w:t>
      </w:r>
    </w:p>
    <w:p w14:paraId="472A6580"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الكفاءة الذاتية </w:t>
      </w:r>
      <w:r w:rsidRPr="00A50B84">
        <w:rPr>
          <w:rFonts w:ascii="Sakkal Majalla" w:hAnsi="Sakkal Majalla" w:cs="Sakkal Majalla"/>
          <w:sz w:val="36"/>
          <w:szCs w:val="36"/>
        </w:rPr>
        <w:t>Self-efficacy</w:t>
      </w:r>
    </w:p>
    <w:p w14:paraId="4084B059"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6.2</w:t>
      </w:r>
      <w:r w:rsidRPr="00A50B84">
        <w:rPr>
          <w:rFonts w:ascii="Sakkal Majalla" w:hAnsi="Sakkal Majalla" w:cs="Sakkal Majalla"/>
          <w:sz w:val="36"/>
          <w:szCs w:val="36"/>
          <w:rtl/>
        </w:rPr>
        <w:t xml:space="preserve"> متغيرات معدِّلة (توضح متى يقوى أو يضعف الأثر)</w:t>
      </w:r>
    </w:p>
    <w:p w14:paraId="3D6E1FCC"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دعم القيادة والمدير المباشر</w:t>
      </w:r>
    </w:p>
    <w:p w14:paraId="44C6AA4E"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الثقافة التنظيمية</w:t>
      </w:r>
    </w:p>
    <w:p w14:paraId="148039F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وجود نظام إدارة أداء ناضج</w:t>
      </w:r>
    </w:p>
    <w:p w14:paraId="163CAB73"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تحفيزات/عدالة</w:t>
      </w:r>
    </w:p>
    <w:p w14:paraId="308A11C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توفر فرص التطبيق والموارد التقنية</w:t>
      </w:r>
    </w:p>
    <w:p w14:paraId="3BD8BF35"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7) </w:t>
      </w:r>
      <w:r w:rsidRPr="00A50B84">
        <w:rPr>
          <w:rFonts w:ascii="Sakkal Majalla" w:hAnsi="Sakkal Majalla" w:cs="Sakkal Majalla"/>
          <w:sz w:val="36"/>
          <w:szCs w:val="36"/>
          <w:rtl/>
        </w:rPr>
        <w:t>دراسات سابقة مرتبطة بالسعودية (تُدعم الإطار النظري)</w:t>
      </w:r>
    </w:p>
    <w:p w14:paraId="052C2BC6" w14:textId="1D7E17F3"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دراسة ميدانية تناولت أثر التدريب على إدارة أداء موظفي القطاع العام وأكدت أهمية التدريب في دعم تطبيقات إدارة الأداء وتبنيها في الجهات الحكومية. </w:t>
      </w:r>
    </w:p>
    <w:p w14:paraId="0A98046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المعهد العربي للعلوم والنشر +١</w:t>
      </w:r>
    </w:p>
    <w:p w14:paraId="04EDA31C" w14:textId="09699A06"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دراسات سعودية في قطاعات خدمية (مثل التعليم) أشارت إلى وجود علاقة إيجابية بين التدريب/الدعم التدريبي ومؤشرات الأداء. </w:t>
      </w:r>
    </w:p>
    <w:p w14:paraId="2B972BC9"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ResearchGate +</w:t>
      </w:r>
      <w:r w:rsidRPr="00A50B84">
        <w:rPr>
          <w:rFonts w:ascii="Sakkal Majalla" w:hAnsi="Sakkal Majalla" w:cs="Sakkal Majalla"/>
          <w:sz w:val="36"/>
          <w:szCs w:val="36"/>
          <w:rtl/>
        </w:rPr>
        <w:t>١</w:t>
      </w:r>
    </w:p>
    <w:p w14:paraId="617783DA" w14:textId="33469C5E"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دراسات حديثة في “التدريب المتخصص” داخل مؤسسات سعودية (مثل التدريب البيئي) تشير إلى ارتباط التدريب بارتفاع الوعي والسلوك وتحسن الأداء. </w:t>
      </w:r>
    </w:p>
    <w:p w14:paraId="410A2720"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International Area Studies Review</w:t>
      </w:r>
    </w:p>
    <w:p w14:paraId="3D8BC3CD" w14:textId="36E980DD"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lastRenderedPageBreak/>
        <w:t xml:space="preserve">أدبيات عامة حديثة حول العلاقة بين التدريب والتطوير والأداء (مفيدة لتقوية الخلفية النظرية والفرضيات). </w:t>
      </w:r>
    </w:p>
    <w:p w14:paraId="35E36CC2"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Dialnet</w:t>
      </w:r>
    </w:p>
    <w:p w14:paraId="70D02DC8"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ملاحظة منهجية مهمة: كثير من الدراسات تقيس “الأثر” عبر الاستبانة والإدراك الذاتي. لإطار أقوى، حاول دعم الأداء بمؤشرات موضوعية إن توفرت (زمن إنجاز، أخطاء، رضا مستفيدين…).</w:t>
      </w:r>
    </w:p>
    <w:p w14:paraId="7D7953A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8) </w:t>
      </w:r>
      <w:r w:rsidRPr="00A50B84">
        <w:rPr>
          <w:rFonts w:ascii="Sakkal Majalla" w:hAnsi="Sakkal Majalla" w:cs="Sakkal Majalla"/>
          <w:sz w:val="36"/>
          <w:szCs w:val="36"/>
          <w:rtl/>
        </w:rPr>
        <w:t>نموذج مفاهيمي مقترح للدراسة</w:t>
      </w:r>
    </w:p>
    <w:p w14:paraId="328B3391"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المتغير المستقل: برامج التدريب والتطوير</w:t>
      </w:r>
    </w:p>
    <w:p w14:paraId="21460BE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أبعاد مقترحة:</w:t>
      </w:r>
    </w:p>
    <w:p w14:paraId="1744838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تحديد الاحتياجات التدريبية، 2) تصميم البرنامج، 3) جودة المدرب/المحتوى، 4) التطبيق العملي، 5) تقييم التدريب، 6) المتابعة بعد التدريب.</w:t>
      </w:r>
    </w:p>
    <w:p w14:paraId="3A769242"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المتغير التابع: أداء العاملين</w:t>
      </w:r>
    </w:p>
    <w:p w14:paraId="71D5BB00"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أبعاد مقترحة: أداء المهام + الأداء السياقي + مؤشرات كمية/خدمية.</w:t>
      </w:r>
    </w:p>
    <w:p w14:paraId="2F73E4B7"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متغيرات وسيطة: نقل أثر التدريب، الكفاءة الذاتية، الرضا/الالتزام.</w:t>
      </w:r>
    </w:p>
    <w:p w14:paraId="0C1A01BF"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متغيرات معدلة: دعم القيادة، فرص التطبيق، الثقافة، نظام إدارة الأداء.</w:t>
      </w:r>
    </w:p>
    <w:p w14:paraId="5CC1B7E1" w14:textId="37017966"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w:t>
      </w:r>
      <w:r w:rsidRPr="00A50B84">
        <w:rPr>
          <w:rFonts w:ascii="Sakkal Majalla" w:hAnsi="Sakkal Majalla" w:cs="Sakkal Majalla"/>
          <w:sz w:val="36"/>
          <w:szCs w:val="36"/>
          <w:rtl/>
        </w:rPr>
        <w:t xml:space="preserve">يدعم هذا النموذج نظريًا </w:t>
      </w:r>
      <w:r w:rsidRPr="00A50B84">
        <w:rPr>
          <w:rFonts w:ascii="Sakkal Majalla" w:hAnsi="Sakkal Majalla" w:cs="Sakkal Majalla"/>
          <w:sz w:val="36"/>
          <w:szCs w:val="36"/>
        </w:rPr>
        <w:t xml:space="preserve">AMO + </w:t>
      </w:r>
      <w:r w:rsidRPr="00A50B84">
        <w:rPr>
          <w:rFonts w:ascii="Sakkal Majalla" w:hAnsi="Sakkal Majalla" w:cs="Sakkal Majalla"/>
          <w:sz w:val="36"/>
          <w:szCs w:val="36"/>
          <w:rtl/>
        </w:rPr>
        <w:t xml:space="preserve">انتقال أثر التدريب + كيركباتريك). </w:t>
      </w:r>
    </w:p>
    <w:p w14:paraId="0EB8151F"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intangiblecapital.org +</w:t>
      </w:r>
      <w:r w:rsidRPr="00A50B84">
        <w:rPr>
          <w:rFonts w:ascii="Sakkal Majalla" w:hAnsi="Sakkal Majalla" w:cs="Sakkal Majalla"/>
          <w:sz w:val="36"/>
          <w:szCs w:val="36"/>
          <w:rtl/>
        </w:rPr>
        <w:t>٢</w:t>
      </w:r>
    </w:p>
    <w:p w14:paraId="470F0CB2"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 xml:space="preserve">9) </w:t>
      </w:r>
      <w:r w:rsidRPr="00A50B84">
        <w:rPr>
          <w:rFonts w:ascii="Sakkal Majalla" w:hAnsi="Sakkal Majalla" w:cs="Sakkal Majalla"/>
          <w:sz w:val="36"/>
          <w:szCs w:val="36"/>
          <w:rtl/>
        </w:rPr>
        <w:t>قائمة مراجع مختارة (</w:t>
      </w:r>
      <w:r w:rsidRPr="00A50B84">
        <w:rPr>
          <w:rFonts w:ascii="Sakkal Majalla" w:hAnsi="Sakkal Majalla" w:cs="Sakkal Majalla"/>
          <w:sz w:val="36"/>
          <w:szCs w:val="36"/>
        </w:rPr>
        <w:t xml:space="preserve">APA) </w:t>
      </w:r>
      <w:r w:rsidRPr="00A50B84">
        <w:rPr>
          <w:rFonts w:ascii="Sakkal Majalla" w:hAnsi="Sakkal Majalla" w:cs="Sakkal Majalla"/>
          <w:sz w:val="36"/>
          <w:szCs w:val="36"/>
          <w:rtl/>
        </w:rPr>
        <w:t>تصلح كبداية</w:t>
      </w:r>
    </w:p>
    <w:p w14:paraId="2766D89D"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مراجع سياق سعودي/حكومي</w:t>
      </w:r>
    </w:p>
    <w:p w14:paraId="2F90D19C"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برنامج تنمية القدرات البشرية. (بدون تاريخ). </w:t>
      </w:r>
      <w:r w:rsidRPr="00A50B84">
        <w:rPr>
          <w:rFonts w:ascii="Sakkal Majalla" w:hAnsi="Sakkal Majalla" w:cs="Sakkal Majalla"/>
          <w:sz w:val="36"/>
          <w:szCs w:val="36"/>
        </w:rPr>
        <w:t xml:space="preserve">Vision 2030 – Human Capability Development Program. </w:t>
      </w:r>
      <w:r w:rsidRPr="00A50B84">
        <w:rPr>
          <w:rFonts w:ascii="Tahoma" w:hAnsi="Tahoma" w:cs="Tahoma"/>
          <w:sz w:val="36"/>
          <w:szCs w:val="36"/>
        </w:rPr>
        <w:t>�</w:t>
      </w:r>
    </w:p>
    <w:p w14:paraId="61C60797"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lastRenderedPageBreak/>
        <w:t>Saudi Vision 2030</w:t>
      </w:r>
    </w:p>
    <w:p w14:paraId="051E155C" w14:textId="4E9B1319"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وزارة الموارد البشرية والتنمية الاجتماعية. (2025). </w:t>
      </w:r>
      <w:r w:rsidRPr="00A50B84">
        <w:rPr>
          <w:rFonts w:ascii="Sakkal Majalla" w:hAnsi="Sakkal Majalla" w:cs="Sakkal Majalla"/>
          <w:sz w:val="36"/>
          <w:szCs w:val="36"/>
        </w:rPr>
        <w:t xml:space="preserve">Skills and Training. </w:t>
      </w:r>
    </w:p>
    <w:p w14:paraId="6E26144E"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موارد بشرية</w:t>
      </w:r>
    </w:p>
    <w:p w14:paraId="45E5E2C8" w14:textId="2E388624"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صندوق تنمية الموارد البشرية (هدف). (2025). </w:t>
      </w:r>
      <w:r w:rsidRPr="00A50B84">
        <w:rPr>
          <w:rFonts w:ascii="Sakkal Majalla" w:hAnsi="Sakkal Majalla" w:cs="Sakkal Majalla"/>
          <w:sz w:val="36"/>
          <w:szCs w:val="36"/>
        </w:rPr>
        <w:t xml:space="preserve">HRDF and the Kingdom's Vision 2030. </w:t>
      </w:r>
    </w:p>
    <w:p w14:paraId="1F39E29B"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هدف</w:t>
      </w:r>
    </w:p>
    <w:p w14:paraId="0AB726E2" w14:textId="497EE7AC"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 xml:space="preserve">الجبيري، ن. م. (2021). أثر التدريب على إدارة أداء موظفي القطاع العام – دراسة ميدانية. </w:t>
      </w:r>
    </w:p>
    <w:p w14:paraId="2F5B6606"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المعهد العربي للعلوم والنشر</w:t>
      </w:r>
    </w:p>
    <w:p w14:paraId="6065B750" w14:textId="7D2B63DF"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w:t>
      </w:r>
      <w:r w:rsidRPr="00A50B84">
        <w:rPr>
          <w:rFonts w:ascii="Sakkal Majalla" w:hAnsi="Sakkal Majalla" w:cs="Sakkal Majalla"/>
          <w:sz w:val="36"/>
          <w:szCs w:val="36"/>
          <w:rtl/>
        </w:rPr>
        <w:t xml:space="preserve">دراسة حديثة) </w:t>
      </w:r>
      <w:r w:rsidRPr="00A50B84">
        <w:rPr>
          <w:rFonts w:ascii="Sakkal Majalla" w:hAnsi="Sakkal Majalla" w:cs="Sakkal Majalla"/>
          <w:sz w:val="36"/>
          <w:szCs w:val="36"/>
        </w:rPr>
        <w:t xml:space="preserve">Understanding the Relationship between Human Resource Training and Organizational Performance: Empirical study on the Education Service in KSA. (2025). </w:t>
      </w:r>
    </w:p>
    <w:p w14:paraId="39366EAD"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ResearchGate</w:t>
      </w:r>
    </w:p>
    <w:p w14:paraId="7840AAED" w14:textId="77777777"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tl/>
        </w:rPr>
        <w:t>مراجع نظرية ومنهجية أساسية</w:t>
      </w:r>
    </w:p>
    <w:p w14:paraId="63EA3C42" w14:textId="519285FF"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 xml:space="preserve">Baldwin, T. T., &amp; Ford, J. K. (1988). Transfer of training: A review and directions for future research. Personnel Psychology. </w:t>
      </w:r>
    </w:p>
    <w:p w14:paraId="2C169B0D"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Wiley Online Library +</w:t>
      </w:r>
      <w:r w:rsidRPr="00A50B84">
        <w:rPr>
          <w:rFonts w:ascii="Sakkal Majalla" w:hAnsi="Sakkal Majalla" w:cs="Sakkal Majalla"/>
          <w:sz w:val="36"/>
          <w:szCs w:val="36"/>
          <w:rtl/>
        </w:rPr>
        <w:t>١</w:t>
      </w:r>
    </w:p>
    <w:p w14:paraId="127831D4" w14:textId="248A8E19" w:rsidR="00A50B84"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Kirkpatrick, D. L. (1998). Evaluating Training Programs: The Four Levels. Berrett-</w:t>
      </w:r>
    </w:p>
    <w:p w14:paraId="281C4365" w14:textId="727A1C09"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 xml:space="preserve">Barney, J. (1991). Firm resources and sustained competitive advantage. Journal of Management, 17(1), 99–120. </w:t>
      </w:r>
    </w:p>
    <w:p w14:paraId="5F524811"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journals.sagepub.com +</w:t>
      </w:r>
      <w:r w:rsidRPr="00A50B84">
        <w:rPr>
          <w:rFonts w:ascii="Sakkal Majalla" w:hAnsi="Sakkal Majalla" w:cs="Sakkal Majalla"/>
          <w:sz w:val="36"/>
          <w:szCs w:val="36"/>
          <w:rtl/>
        </w:rPr>
        <w:t>١</w:t>
      </w:r>
    </w:p>
    <w:p w14:paraId="72A38DDD" w14:textId="04A352DC"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lastRenderedPageBreak/>
        <w:t xml:space="preserve">Marin-Garcia, J. A., &amp; Tomas, J. M. (2016). Deconstructing AMO framework: A systematic review. Intangible Capital. </w:t>
      </w:r>
    </w:p>
    <w:p w14:paraId="07864163" w14:textId="77777777"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intangiblecapital.org</w:t>
      </w:r>
    </w:p>
    <w:p w14:paraId="44872E3C" w14:textId="08AE6451" w:rsidR="00A50B84" w:rsidRPr="00A50B84" w:rsidRDefault="00A50B84" w:rsidP="00A50B84">
      <w:pPr>
        <w:rPr>
          <w:rFonts w:ascii="Sakkal Majalla" w:hAnsi="Sakkal Majalla" w:cs="Sakkal Majalla"/>
          <w:sz w:val="36"/>
          <w:szCs w:val="36"/>
        </w:rPr>
      </w:pPr>
      <w:r w:rsidRPr="00A50B84">
        <w:rPr>
          <w:rFonts w:ascii="Sakkal Majalla" w:hAnsi="Sakkal Majalla" w:cs="Sakkal Majalla"/>
          <w:sz w:val="36"/>
          <w:szCs w:val="36"/>
        </w:rPr>
        <w:t xml:space="preserve">Bos-Nehles, A., et al. (2023). Examining the Ability, Motivation and Opportunity (AMO) framework in HRM. International Journal of Management Reviews. </w:t>
      </w:r>
    </w:p>
    <w:p w14:paraId="2B677665" w14:textId="11058147" w:rsidR="004A647C" w:rsidRPr="00A50B84" w:rsidRDefault="00A50B84" w:rsidP="00A50B84">
      <w:pPr>
        <w:rPr>
          <w:rFonts w:ascii="Sakkal Majalla" w:hAnsi="Sakkal Majalla" w:cs="Sakkal Majalla"/>
          <w:sz w:val="36"/>
          <w:szCs w:val="36"/>
          <w:rtl/>
        </w:rPr>
      </w:pPr>
      <w:r w:rsidRPr="00A50B84">
        <w:rPr>
          <w:rFonts w:ascii="Sakkal Majalla" w:hAnsi="Sakkal Majalla" w:cs="Sakkal Majalla"/>
          <w:sz w:val="36"/>
          <w:szCs w:val="36"/>
        </w:rPr>
        <w:t>research.utwente.nl</w:t>
      </w:r>
    </w:p>
    <w:p w14:paraId="3B35CDCB" w14:textId="77777777" w:rsidR="004A647C" w:rsidRPr="0070512A" w:rsidRDefault="004A647C" w:rsidP="004A647C">
      <w:pPr>
        <w:rPr>
          <w:rFonts w:ascii="Sakkal Majalla" w:hAnsi="Sakkal Majalla" w:cs="Sakkal Majalla"/>
          <w:sz w:val="36"/>
          <w:szCs w:val="36"/>
          <w:u w:val="single"/>
          <w:rtl/>
        </w:rPr>
      </w:pPr>
    </w:p>
    <w:p w14:paraId="3AA5D241" w14:textId="3B576FCF" w:rsidR="00D22171" w:rsidRDefault="00D22171" w:rsidP="004A647C">
      <w:pPr>
        <w:jc w:val="center"/>
        <w:rPr>
          <w:rFonts w:ascii="Sakkal Majalla" w:hAnsi="Sakkal Majalla" w:cs="Sakkal Majalla"/>
          <w:sz w:val="28"/>
          <w:szCs w:val="28"/>
          <w:u w:val="single"/>
          <w:rtl/>
        </w:rPr>
      </w:pPr>
      <w:bookmarkStart w:id="0" w:name="_GoBack"/>
      <w:bookmarkEnd w:id="0"/>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376B6" w14:textId="77777777" w:rsidR="00556BC1" w:rsidRDefault="00556BC1" w:rsidP="009125CE">
      <w:pPr>
        <w:spacing w:after="0" w:line="240" w:lineRule="auto"/>
      </w:pPr>
      <w:r>
        <w:separator/>
      </w:r>
    </w:p>
  </w:endnote>
  <w:endnote w:type="continuationSeparator" w:id="0">
    <w:p w14:paraId="36646573" w14:textId="77777777" w:rsidR="00556BC1" w:rsidRDefault="00556B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A060D" w14:textId="77777777" w:rsidR="00556BC1" w:rsidRDefault="00556BC1" w:rsidP="009125CE">
      <w:pPr>
        <w:spacing w:after="0" w:line="240" w:lineRule="auto"/>
      </w:pPr>
      <w:r>
        <w:separator/>
      </w:r>
    </w:p>
  </w:footnote>
  <w:footnote w:type="continuationSeparator" w:id="0">
    <w:p w14:paraId="65C07B3B" w14:textId="77777777" w:rsidR="00556BC1" w:rsidRDefault="00556B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3A3F5192"/>
    <w:multiLevelType w:val="hybridMultilevel"/>
    <w:tmpl w:val="9CBA0F9A"/>
    <w:lvl w:ilvl="0" w:tplc="2932A7FA">
      <w:start w:val="1"/>
      <w:numFmt w:val="decimal"/>
      <w:lvlText w:val="%1-"/>
      <w:lvlJc w:val="left"/>
      <w:pPr>
        <w:ind w:left="720" w:hanging="360"/>
      </w:pPr>
      <w:rPr>
        <w:rFonts w:asciiTheme="minorHAnsi" w:hAnsiTheme="minorHAnsi" w:cstheme="minorBidi" w:hint="default"/>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6"/>
  </w:num>
  <w:num w:numId="4">
    <w:abstractNumId w:val="5"/>
  </w:num>
  <w:num w:numId="5">
    <w:abstractNumId w:val="4"/>
  </w:num>
  <w:num w:numId="6">
    <w:abstractNumId w:val="7"/>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8721A"/>
    <w:rsid w:val="001902DB"/>
    <w:rsid w:val="001C2162"/>
    <w:rsid w:val="004A647C"/>
    <w:rsid w:val="00556BC1"/>
    <w:rsid w:val="00590B27"/>
    <w:rsid w:val="0062761F"/>
    <w:rsid w:val="006948DE"/>
    <w:rsid w:val="0070512A"/>
    <w:rsid w:val="007B0E54"/>
    <w:rsid w:val="007E3A20"/>
    <w:rsid w:val="00877AAC"/>
    <w:rsid w:val="008F1EAE"/>
    <w:rsid w:val="009125CE"/>
    <w:rsid w:val="009B6888"/>
    <w:rsid w:val="009C0161"/>
    <w:rsid w:val="009D108D"/>
    <w:rsid w:val="009E1436"/>
    <w:rsid w:val="009E5668"/>
    <w:rsid w:val="00A50B84"/>
    <w:rsid w:val="00A74F76"/>
    <w:rsid w:val="00AA79E9"/>
    <w:rsid w:val="00AB0A70"/>
    <w:rsid w:val="00B55620"/>
    <w:rsid w:val="00B63B0F"/>
    <w:rsid w:val="00B7678A"/>
    <w:rsid w:val="00BC3795"/>
    <w:rsid w:val="00C04D0B"/>
    <w:rsid w:val="00C71E18"/>
    <w:rsid w:val="00D22171"/>
    <w:rsid w:val="00D637DA"/>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bidi/>
    </w:pPr>
  </w:style>
  <w:style w:type="paragraph" w:styleId="1">
    <w:name w:val="heading 1"/>
    <w:basedOn w:val="a1"/>
    <w:next w:val="a1"/>
    <w:link w:val="1Char"/>
    <w:uiPriority w:val="9"/>
    <w:qFormat/>
    <w:rsid w:val="004A647C"/>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1">
    <w:name w:val="heading 2"/>
    <w:basedOn w:val="a1"/>
    <w:next w:val="a1"/>
    <w:link w:val="2Char"/>
    <w:uiPriority w:val="9"/>
    <w:unhideWhenUsed/>
    <w:qFormat/>
    <w:rsid w:val="004A647C"/>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1">
    <w:name w:val="heading 3"/>
    <w:basedOn w:val="a1"/>
    <w:next w:val="a1"/>
    <w:link w:val="3Char"/>
    <w:uiPriority w:val="9"/>
    <w:unhideWhenUsed/>
    <w:qFormat/>
    <w:rsid w:val="004A647C"/>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4">
    <w:name w:val="heading 4"/>
    <w:basedOn w:val="a1"/>
    <w:next w:val="a1"/>
    <w:link w:val="4Char"/>
    <w:uiPriority w:val="9"/>
    <w:semiHidden/>
    <w:unhideWhenUsed/>
    <w:qFormat/>
    <w:rsid w:val="004A647C"/>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5">
    <w:name w:val="heading 5"/>
    <w:basedOn w:val="a1"/>
    <w:next w:val="a1"/>
    <w:link w:val="5Char"/>
    <w:uiPriority w:val="9"/>
    <w:semiHidden/>
    <w:unhideWhenUsed/>
    <w:qFormat/>
    <w:rsid w:val="004A647C"/>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6">
    <w:name w:val="heading 6"/>
    <w:basedOn w:val="a1"/>
    <w:next w:val="a1"/>
    <w:link w:val="6Char"/>
    <w:uiPriority w:val="9"/>
    <w:semiHidden/>
    <w:unhideWhenUsed/>
    <w:qFormat/>
    <w:rsid w:val="004A647C"/>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7">
    <w:name w:val="heading 7"/>
    <w:basedOn w:val="a1"/>
    <w:next w:val="a1"/>
    <w:link w:val="7Char"/>
    <w:uiPriority w:val="9"/>
    <w:semiHidden/>
    <w:unhideWhenUsed/>
    <w:qFormat/>
    <w:rsid w:val="004A647C"/>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14:ligatures w14:val="none"/>
    </w:rPr>
  </w:style>
  <w:style w:type="paragraph" w:styleId="8">
    <w:name w:val="heading 8"/>
    <w:basedOn w:val="a1"/>
    <w:next w:val="a1"/>
    <w:link w:val="8Char"/>
    <w:uiPriority w:val="9"/>
    <w:semiHidden/>
    <w:unhideWhenUsed/>
    <w:qFormat/>
    <w:rsid w:val="004A647C"/>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9">
    <w:name w:val="heading 9"/>
    <w:basedOn w:val="a1"/>
    <w:next w:val="a1"/>
    <w:link w:val="9Char"/>
    <w:uiPriority w:val="9"/>
    <w:semiHidden/>
    <w:unhideWhenUsed/>
    <w:qFormat/>
    <w:rsid w:val="004A647C"/>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basedOn w:val="a1"/>
    <w:uiPriority w:val="34"/>
    <w:qFormat/>
    <w:rsid w:val="0070512A"/>
    <w:pPr>
      <w:ind w:left="720"/>
      <w:contextualSpacing/>
    </w:pPr>
  </w:style>
  <w:style w:type="character" w:customStyle="1" w:styleId="1Char">
    <w:name w:val="العنوان 1 Char"/>
    <w:basedOn w:val="a2"/>
    <w:link w:val="1"/>
    <w:uiPriority w:val="9"/>
    <w:rsid w:val="004A647C"/>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2"/>
    <w:link w:val="21"/>
    <w:uiPriority w:val="9"/>
    <w:rsid w:val="004A647C"/>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2"/>
    <w:link w:val="31"/>
    <w:uiPriority w:val="9"/>
    <w:rsid w:val="004A647C"/>
    <w:rPr>
      <w:rFonts w:asciiTheme="majorHAnsi" w:eastAsiaTheme="majorEastAsia" w:hAnsiTheme="majorHAnsi" w:cstheme="majorBidi"/>
      <w:b/>
      <w:bCs/>
      <w:color w:val="4472C4" w:themeColor="accent1"/>
      <w:kern w:val="0"/>
      <w14:ligatures w14:val="none"/>
    </w:rPr>
  </w:style>
  <w:style w:type="character" w:customStyle="1" w:styleId="4Char">
    <w:name w:val="عنوان 4 Char"/>
    <w:basedOn w:val="a2"/>
    <w:link w:val="4"/>
    <w:uiPriority w:val="9"/>
    <w:semiHidden/>
    <w:rsid w:val="004A647C"/>
    <w:rPr>
      <w:rFonts w:asciiTheme="majorHAnsi" w:eastAsiaTheme="majorEastAsia" w:hAnsiTheme="majorHAnsi" w:cstheme="majorBidi"/>
      <w:b/>
      <w:bCs/>
      <w:i/>
      <w:iCs/>
      <w:color w:val="4472C4" w:themeColor="accent1"/>
      <w:kern w:val="0"/>
      <w14:ligatures w14:val="none"/>
    </w:rPr>
  </w:style>
  <w:style w:type="character" w:customStyle="1" w:styleId="5Char">
    <w:name w:val="عنوان 5 Char"/>
    <w:basedOn w:val="a2"/>
    <w:link w:val="5"/>
    <w:uiPriority w:val="9"/>
    <w:semiHidden/>
    <w:rsid w:val="004A647C"/>
    <w:rPr>
      <w:rFonts w:asciiTheme="majorHAnsi" w:eastAsiaTheme="majorEastAsia" w:hAnsiTheme="majorHAnsi" w:cstheme="majorBidi"/>
      <w:color w:val="1F3763" w:themeColor="accent1" w:themeShade="7F"/>
      <w:kern w:val="0"/>
      <w14:ligatures w14:val="none"/>
    </w:rPr>
  </w:style>
  <w:style w:type="character" w:customStyle="1" w:styleId="6Char">
    <w:name w:val="عنوان 6 Char"/>
    <w:basedOn w:val="a2"/>
    <w:link w:val="6"/>
    <w:uiPriority w:val="9"/>
    <w:semiHidden/>
    <w:rsid w:val="004A647C"/>
    <w:rPr>
      <w:rFonts w:asciiTheme="majorHAnsi" w:eastAsiaTheme="majorEastAsia" w:hAnsiTheme="majorHAnsi" w:cstheme="majorBidi"/>
      <w:i/>
      <w:iCs/>
      <w:color w:val="1F3763" w:themeColor="accent1" w:themeShade="7F"/>
      <w:kern w:val="0"/>
      <w14:ligatures w14:val="none"/>
    </w:rPr>
  </w:style>
  <w:style w:type="character" w:customStyle="1" w:styleId="7Char">
    <w:name w:val="عنوان 7 Char"/>
    <w:basedOn w:val="a2"/>
    <w:link w:val="7"/>
    <w:uiPriority w:val="9"/>
    <w:semiHidden/>
    <w:rsid w:val="004A647C"/>
    <w:rPr>
      <w:rFonts w:asciiTheme="majorHAnsi" w:eastAsiaTheme="majorEastAsia" w:hAnsiTheme="majorHAnsi" w:cstheme="majorBidi"/>
      <w:i/>
      <w:iCs/>
      <w:color w:val="404040" w:themeColor="text1" w:themeTint="BF"/>
      <w:kern w:val="0"/>
      <w14:ligatures w14:val="none"/>
    </w:rPr>
  </w:style>
  <w:style w:type="character" w:customStyle="1" w:styleId="8Char">
    <w:name w:val="عنوان 8 Char"/>
    <w:basedOn w:val="a2"/>
    <w:link w:val="8"/>
    <w:uiPriority w:val="9"/>
    <w:semiHidden/>
    <w:rsid w:val="004A647C"/>
    <w:rPr>
      <w:rFonts w:asciiTheme="majorHAnsi" w:eastAsiaTheme="majorEastAsia" w:hAnsiTheme="majorHAnsi" w:cstheme="majorBidi"/>
      <w:color w:val="4472C4" w:themeColor="accent1"/>
      <w:kern w:val="0"/>
      <w:sz w:val="20"/>
      <w:szCs w:val="20"/>
      <w14:ligatures w14:val="none"/>
    </w:rPr>
  </w:style>
  <w:style w:type="character" w:customStyle="1" w:styleId="9Char">
    <w:name w:val="عنوان 9 Char"/>
    <w:basedOn w:val="a2"/>
    <w:link w:val="9"/>
    <w:uiPriority w:val="9"/>
    <w:semiHidden/>
    <w:rsid w:val="004A647C"/>
    <w:rPr>
      <w:rFonts w:asciiTheme="majorHAnsi" w:eastAsiaTheme="majorEastAsia" w:hAnsiTheme="majorHAnsi" w:cstheme="majorBidi"/>
      <w:i/>
      <w:iCs/>
      <w:color w:val="404040" w:themeColor="text1" w:themeTint="BF"/>
      <w:kern w:val="0"/>
      <w:sz w:val="20"/>
      <w:szCs w:val="20"/>
      <w14:ligatures w14:val="none"/>
    </w:rPr>
  </w:style>
  <w:style w:type="paragraph" w:styleId="a8">
    <w:name w:val="No Spacing"/>
    <w:uiPriority w:val="1"/>
    <w:qFormat/>
    <w:rsid w:val="004A647C"/>
    <w:pPr>
      <w:spacing w:after="0" w:line="240" w:lineRule="auto"/>
    </w:pPr>
    <w:rPr>
      <w:rFonts w:eastAsiaTheme="minorEastAsia"/>
      <w:kern w:val="0"/>
      <w14:ligatures w14:val="none"/>
    </w:rPr>
  </w:style>
  <w:style w:type="paragraph" w:styleId="a9">
    <w:name w:val="Title"/>
    <w:basedOn w:val="a1"/>
    <w:next w:val="a1"/>
    <w:link w:val="Char1"/>
    <w:uiPriority w:val="10"/>
    <w:qFormat/>
    <w:rsid w:val="004A647C"/>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2"/>
    <w:link w:val="a9"/>
    <w:uiPriority w:val="10"/>
    <w:rsid w:val="004A647C"/>
    <w:rPr>
      <w:rFonts w:asciiTheme="majorHAnsi" w:eastAsiaTheme="majorEastAsia" w:hAnsiTheme="majorHAnsi" w:cstheme="majorBidi"/>
      <w:color w:val="323E4F" w:themeColor="text2" w:themeShade="BF"/>
      <w:spacing w:val="5"/>
      <w:kern w:val="28"/>
      <w:sz w:val="52"/>
      <w:szCs w:val="52"/>
      <w14:ligatures w14:val="none"/>
    </w:rPr>
  </w:style>
  <w:style w:type="paragraph" w:styleId="aa">
    <w:name w:val="Subtitle"/>
    <w:basedOn w:val="a1"/>
    <w:next w:val="a1"/>
    <w:link w:val="Char2"/>
    <w:uiPriority w:val="11"/>
    <w:qFormat/>
    <w:rsid w:val="004A647C"/>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Char2">
    <w:name w:val="عنوان فرعي Char"/>
    <w:basedOn w:val="a2"/>
    <w:link w:val="aa"/>
    <w:uiPriority w:val="11"/>
    <w:rsid w:val="004A647C"/>
    <w:rPr>
      <w:rFonts w:asciiTheme="majorHAnsi" w:eastAsiaTheme="majorEastAsia" w:hAnsiTheme="majorHAnsi" w:cstheme="majorBidi"/>
      <w:i/>
      <w:iCs/>
      <w:color w:val="4472C4" w:themeColor="accent1"/>
      <w:spacing w:val="15"/>
      <w:kern w:val="0"/>
      <w:sz w:val="24"/>
      <w:szCs w:val="24"/>
      <w14:ligatures w14:val="none"/>
    </w:rPr>
  </w:style>
  <w:style w:type="paragraph" w:styleId="ab">
    <w:name w:val="Body Text"/>
    <w:basedOn w:val="a1"/>
    <w:link w:val="Char3"/>
    <w:uiPriority w:val="99"/>
    <w:unhideWhenUsed/>
    <w:rsid w:val="004A647C"/>
    <w:pPr>
      <w:bidi w:val="0"/>
      <w:spacing w:after="120" w:line="276" w:lineRule="auto"/>
    </w:pPr>
    <w:rPr>
      <w:rFonts w:eastAsiaTheme="minorEastAsia"/>
      <w:kern w:val="0"/>
      <w14:ligatures w14:val="none"/>
    </w:rPr>
  </w:style>
  <w:style w:type="character" w:customStyle="1" w:styleId="Char3">
    <w:name w:val="نص أساسي Char"/>
    <w:basedOn w:val="a2"/>
    <w:link w:val="ab"/>
    <w:uiPriority w:val="99"/>
    <w:rsid w:val="004A647C"/>
    <w:rPr>
      <w:rFonts w:eastAsiaTheme="minorEastAsia"/>
      <w:kern w:val="0"/>
      <w14:ligatures w14:val="none"/>
    </w:rPr>
  </w:style>
  <w:style w:type="paragraph" w:styleId="22">
    <w:name w:val="Body Text 2"/>
    <w:basedOn w:val="a1"/>
    <w:link w:val="2Char0"/>
    <w:uiPriority w:val="99"/>
    <w:unhideWhenUsed/>
    <w:rsid w:val="004A647C"/>
    <w:pPr>
      <w:bidi w:val="0"/>
      <w:spacing w:after="120" w:line="480" w:lineRule="auto"/>
    </w:pPr>
    <w:rPr>
      <w:rFonts w:eastAsiaTheme="minorEastAsia"/>
      <w:kern w:val="0"/>
      <w14:ligatures w14:val="none"/>
    </w:rPr>
  </w:style>
  <w:style w:type="character" w:customStyle="1" w:styleId="2Char0">
    <w:name w:val="نص أساسي 2 Char"/>
    <w:basedOn w:val="a2"/>
    <w:link w:val="22"/>
    <w:uiPriority w:val="99"/>
    <w:rsid w:val="004A647C"/>
    <w:rPr>
      <w:rFonts w:eastAsiaTheme="minorEastAsia"/>
      <w:kern w:val="0"/>
      <w14:ligatures w14:val="none"/>
    </w:rPr>
  </w:style>
  <w:style w:type="paragraph" w:styleId="32">
    <w:name w:val="Body Text 3"/>
    <w:basedOn w:val="a1"/>
    <w:link w:val="3Char0"/>
    <w:uiPriority w:val="99"/>
    <w:unhideWhenUsed/>
    <w:rsid w:val="004A647C"/>
    <w:pPr>
      <w:bidi w:val="0"/>
      <w:spacing w:after="120" w:line="276" w:lineRule="auto"/>
    </w:pPr>
    <w:rPr>
      <w:rFonts w:eastAsiaTheme="minorEastAsia"/>
      <w:kern w:val="0"/>
      <w:sz w:val="16"/>
      <w:szCs w:val="16"/>
      <w14:ligatures w14:val="none"/>
    </w:rPr>
  </w:style>
  <w:style w:type="character" w:customStyle="1" w:styleId="3Char0">
    <w:name w:val="نص أساسي 3 Char"/>
    <w:basedOn w:val="a2"/>
    <w:link w:val="32"/>
    <w:uiPriority w:val="99"/>
    <w:rsid w:val="004A647C"/>
    <w:rPr>
      <w:rFonts w:eastAsiaTheme="minorEastAsia"/>
      <w:kern w:val="0"/>
      <w:sz w:val="16"/>
      <w:szCs w:val="16"/>
      <w14:ligatures w14:val="none"/>
    </w:rPr>
  </w:style>
  <w:style w:type="paragraph" w:styleId="ac">
    <w:name w:val="List"/>
    <w:basedOn w:val="a1"/>
    <w:uiPriority w:val="99"/>
    <w:unhideWhenUsed/>
    <w:rsid w:val="004A647C"/>
    <w:pPr>
      <w:bidi w:val="0"/>
      <w:spacing w:after="200" w:line="276" w:lineRule="auto"/>
      <w:ind w:left="360" w:hanging="360"/>
      <w:contextualSpacing/>
    </w:pPr>
    <w:rPr>
      <w:rFonts w:eastAsiaTheme="minorEastAsia"/>
      <w:kern w:val="0"/>
      <w14:ligatures w14:val="none"/>
    </w:rPr>
  </w:style>
  <w:style w:type="paragraph" w:styleId="23">
    <w:name w:val="List 2"/>
    <w:basedOn w:val="a1"/>
    <w:uiPriority w:val="99"/>
    <w:unhideWhenUsed/>
    <w:rsid w:val="004A647C"/>
    <w:pPr>
      <w:bidi w:val="0"/>
      <w:spacing w:after="200" w:line="276" w:lineRule="auto"/>
      <w:ind w:left="720" w:hanging="360"/>
      <w:contextualSpacing/>
    </w:pPr>
    <w:rPr>
      <w:rFonts w:eastAsiaTheme="minorEastAsia"/>
      <w:kern w:val="0"/>
      <w14:ligatures w14:val="none"/>
    </w:rPr>
  </w:style>
  <w:style w:type="paragraph" w:styleId="33">
    <w:name w:val="List 3"/>
    <w:basedOn w:val="a1"/>
    <w:uiPriority w:val="99"/>
    <w:unhideWhenUsed/>
    <w:rsid w:val="004A647C"/>
    <w:pPr>
      <w:bidi w:val="0"/>
      <w:spacing w:after="200" w:line="276" w:lineRule="auto"/>
      <w:ind w:left="1080" w:hanging="360"/>
      <w:contextualSpacing/>
    </w:pPr>
    <w:rPr>
      <w:rFonts w:eastAsiaTheme="minorEastAsia"/>
      <w:kern w:val="0"/>
      <w14:ligatures w14:val="none"/>
    </w:rPr>
  </w:style>
  <w:style w:type="paragraph" w:styleId="a0">
    <w:name w:val="List Bullet"/>
    <w:basedOn w:val="a1"/>
    <w:uiPriority w:val="99"/>
    <w:unhideWhenUsed/>
    <w:rsid w:val="004A647C"/>
    <w:pPr>
      <w:numPr>
        <w:numId w:val="2"/>
      </w:numPr>
      <w:bidi w:val="0"/>
      <w:spacing w:after="200" w:line="276" w:lineRule="auto"/>
      <w:contextualSpacing/>
    </w:pPr>
    <w:rPr>
      <w:rFonts w:eastAsiaTheme="minorEastAsia"/>
      <w:kern w:val="0"/>
      <w14:ligatures w14:val="none"/>
    </w:rPr>
  </w:style>
  <w:style w:type="paragraph" w:styleId="20">
    <w:name w:val="List Bullet 2"/>
    <w:basedOn w:val="a1"/>
    <w:uiPriority w:val="99"/>
    <w:unhideWhenUsed/>
    <w:rsid w:val="004A647C"/>
    <w:pPr>
      <w:numPr>
        <w:numId w:val="3"/>
      </w:numPr>
      <w:bidi w:val="0"/>
      <w:spacing w:after="200" w:line="276" w:lineRule="auto"/>
      <w:contextualSpacing/>
    </w:pPr>
    <w:rPr>
      <w:rFonts w:eastAsiaTheme="minorEastAsia"/>
      <w:kern w:val="0"/>
      <w14:ligatures w14:val="none"/>
    </w:rPr>
  </w:style>
  <w:style w:type="paragraph" w:styleId="30">
    <w:name w:val="List Bullet 3"/>
    <w:basedOn w:val="a1"/>
    <w:uiPriority w:val="99"/>
    <w:unhideWhenUsed/>
    <w:rsid w:val="004A647C"/>
    <w:pPr>
      <w:numPr>
        <w:numId w:val="4"/>
      </w:numPr>
      <w:bidi w:val="0"/>
      <w:spacing w:after="200" w:line="276" w:lineRule="auto"/>
      <w:contextualSpacing/>
    </w:pPr>
    <w:rPr>
      <w:rFonts w:eastAsiaTheme="minorEastAsia"/>
      <w:kern w:val="0"/>
      <w14:ligatures w14:val="none"/>
    </w:rPr>
  </w:style>
  <w:style w:type="paragraph" w:styleId="a">
    <w:name w:val="List Number"/>
    <w:basedOn w:val="a1"/>
    <w:uiPriority w:val="99"/>
    <w:unhideWhenUsed/>
    <w:rsid w:val="004A647C"/>
    <w:pPr>
      <w:numPr>
        <w:numId w:val="6"/>
      </w:numPr>
      <w:bidi w:val="0"/>
      <w:spacing w:after="200" w:line="276" w:lineRule="auto"/>
      <w:contextualSpacing/>
    </w:pPr>
    <w:rPr>
      <w:rFonts w:eastAsiaTheme="minorEastAsia"/>
      <w:kern w:val="0"/>
      <w14:ligatures w14:val="none"/>
    </w:rPr>
  </w:style>
  <w:style w:type="paragraph" w:styleId="2">
    <w:name w:val="List Number 2"/>
    <w:basedOn w:val="a1"/>
    <w:uiPriority w:val="99"/>
    <w:unhideWhenUsed/>
    <w:rsid w:val="004A647C"/>
    <w:pPr>
      <w:numPr>
        <w:numId w:val="7"/>
      </w:numPr>
      <w:bidi w:val="0"/>
      <w:spacing w:after="200" w:line="276" w:lineRule="auto"/>
      <w:contextualSpacing/>
    </w:pPr>
    <w:rPr>
      <w:rFonts w:eastAsiaTheme="minorEastAsia"/>
      <w:kern w:val="0"/>
      <w14:ligatures w14:val="none"/>
    </w:rPr>
  </w:style>
  <w:style w:type="paragraph" w:styleId="3">
    <w:name w:val="List Number 3"/>
    <w:basedOn w:val="a1"/>
    <w:uiPriority w:val="99"/>
    <w:unhideWhenUsed/>
    <w:rsid w:val="004A647C"/>
    <w:pPr>
      <w:numPr>
        <w:numId w:val="8"/>
      </w:numPr>
      <w:bidi w:val="0"/>
      <w:spacing w:after="200" w:line="276" w:lineRule="auto"/>
      <w:contextualSpacing/>
    </w:pPr>
    <w:rPr>
      <w:rFonts w:eastAsiaTheme="minorEastAsia"/>
      <w:kern w:val="0"/>
      <w14:ligatures w14:val="none"/>
    </w:rPr>
  </w:style>
  <w:style w:type="paragraph" w:styleId="ad">
    <w:name w:val="List Continue"/>
    <w:basedOn w:val="a1"/>
    <w:uiPriority w:val="99"/>
    <w:unhideWhenUsed/>
    <w:rsid w:val="004A647C"/>
    <w:pPr>
      <w:bidi w:val="0"/>
      <w:spacing w:after="120" w:line="276" w:lineRule="auto"/>
      <w:ind w:left="360"/>
      <w:contextualSpacing/>
    </w:pPr>
    <w:rPr>
      <w:rFonts w:eastAsiaTheme="minorEastAsia"/>
      <w:kern w:val="0"/>
      <w14:ligatures w14:val="none"/>
    </w:rPr>
  </w:style>
  <w:style w:type="paragraph" w:styleId="24">
    <w:name w:val="List Continue 2"/>
    <w:basedOn w:val="a1"/>
    <w:uiPriority w:val="99"/>
    <w:unhideWhenUsed/>
    <w:rsid w:val="004A647C"/>
    <w:pPr>
      <w:bidi w:val="0"/>
      <w:spacing w:after="120" w:line="276" w:lineRule="auto"/>
      <w:ind w:left="720"/>
      <w:contextualSpacing/>
    </w:pPr>
    <w:rPr>
      <w:rFonts w:eastAsiaTheme="minorEastAsia"/>
      <w:kern w:val="0"/>
      <w14:ligatures w14:val="none"/>
    </w:rPr>
  </w:style>
  <w:style w:type="paragraph" w:styleId="34">
    <w:name w:val="List Continue 3"/>
    <w:basedOn w:val="a1"/>
    <w:uiPriority w:val="99"/>
    <w:unhideWhenUsed/>
    <w:rsid w:val="004A647C"/>
    <w:pPr>
      <w:bidi w:val="0"/>
      <w:spacing w:after="120" w:line="276" w:lineRule="auto"/>
      <w:ind w:left="1080"/>
      <w:contextualSpacing/>
    </w:pPr>
    <w:rPr>
      <w:rFonts w:eastAsiaTheme="minorEastAsia"/>
      <w:kern w:val="0"/>
      <w14:ligatures w14:val="none"/>
    </w:rPr>
  </w:style>
  <w:style w:type="paragraph" w:styleId="ae">
    <w:name w:val="macro"/>
    <w:link w:val="Char4"/>
    <w:uiPriority w:val="99"/>
    <w:unhideWhenUsed/>
    <w:rsid w:val="004A647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Char4">
    <w:name w:val="نص ماكرو Char"/>
    <w:basedOn w:val="a2"/>
    <w:link w:val="ae"/>
    <w:uiPriority w:val="99"/>
    <w:rsid w:val="004A647C"/>
    <w:rPr>
      <w:rFonts w:ascii="Courier" w:eastAsiaTheme="minorEastAsia" w:hAnsi="Courier"/>
      <w:kern w:val="0"/>
      <w:sz w:val="20"/>
      <w:szCs w:val="20"/>
      <w14:ligatures w14:val="none"/>
    </w:rPr>
  </w:style>
  <w:style w:type="paragraph" w:styleId="af">
    <w:name w:val="Quote"/>
    <w:basedOn w:val="a1"/>
    <w:next w:val="a1"/>
    <w:link w:val="Char5"/>
    <w:uiPriority w:val="29"/>
    <w:qFormat/>
    <w:rsid w:val="004A647C"/>
    <w:pPr>
      <w:bidi w:val="0"/>
      <w:spacing w:after="200" w:line="276" w:lineRule="auto"/>
    </w:pPr>
    <w:rPr>
      <w:rFonts w:eastAsiaTheme="minorEastAsia"/>
      <w:i/>
      <w:iCs/>
      <w:color w:val="000000" w:themeColor="text1"/>
      <w:kern w:val="0"/>
      <w14:ligatures w14:val="none"/>
    </w:rPr>
  </w:style>
  <w:style w:type="character" w:customStyle="1" w:styleId="Char5">
    <w:name w:val="اقتباس Char"/>
    <w:basedOn w:val="a2"/>
    <w:link w:val="af"/>
    <w:uiPriority w:val="29"/>
    <w:rsid w:val="004A647C"/>
    <w:rPr>
      <w:rFonts w:eastAsiaTheme="minorEastAsia"/>
      <w:i/>
      <w:iCs/>
      <w:color w:val="000000" w:themeColor="text1"/>
      <w:kern w:val="0"/>
      <w14:ligatures w14:val="none"/>
    </w:rPr>
  </w:style>
  <w:style w:type="paragraph" w:styleId="af0">
    <w:name w:val="caption"/>
    <w:basedOn w:val="a1"/>
    <w:next w:val="a1"/>
    <w:uiPriority w:val="35"/>
    <w:semiHidden/>
    <w:unhideWhenUsed/>
    <w:qFormat/>
    <w:rsid w:val="004A647C"/>
    <w:pPr>
      <w:bidi w:val="0"/>
      <w:spacing w:after="200" w:line="240" w:lineRule="auto"/>
    </w:pPr>
    <w:rPr>
      <w:rFonts w:eastAsiaTheme="minorEastAsia"/>
      <w:b/>
      <w:bCs/>
      <w:color w:val="4472C4" w:themeColor="accent1"/>
      <w:kern w:val="0"/>
      <w:sz w:val="18"/>
      <w:szCs w:val="18"/>
      <w14:ligatures w14:val="none"/>
    </w:rPr>
  </w:style>
  <w:style w:type="character" w:styleId="af1">
    <w:name w:val="Strong"/>
    <w:basedOn w:val="a2"/>
    <w:uiPriority w:val="22"/>
    <w:qFormat/>
    <w:rsid w:val="004A647C"/>
    <w:rPr>
      <w:b/>
      <w:bCs/>
    </w:rPr>
  </w:style>
  <w:style w:type="character" w:styleId="af2">
    <w:name w:val="Emphasis"/>
    <w:basedOn w:val="a2"/>
    <w:uiPriority w:val="20"/>
    <w:qFormat/>
    <w:rsid w:val="004A647C"/>
    <w:rPr>
      <w:i/>
      <w:iCs/>
    </w:rPr>
  </w:style>
  <w:style w:type="paragraph" w:styleId="af3">
    <w:name w:val="Intense Quote"/>
    <w:basedOn w:val="a1"/>
    <w:next w:val="a1"/>
    <w:link w:val="Char6"/>
    <w:uiPriority w:val="30"/>
    <w:qFormat/>
    <w:rsid w:val="004A647C"/>
    <w:pPr>
      <w:pBdr>
        <w:bottom w:val="single" w:sz="4" w:space="4" w:color="4472C4" w:themeColor="accent1"/>
      </w:pBdr>
      <w:bidi w:val="0"/>
      <w:spacing w:before="200" w:after="280" w:line="276" w:lineRule="auto"/>
      <w:ind w:left="936" w:right="936"/>
    </w:pPr>
    <w:rPr>
      <w:rFonts w:eastAsiaTheme="minorEastAsia"/>
      <w:b/>
      <w:bCs/>
      <w:i/>
      <w:iCs/>
      <w:color w:val="4472C4" w:themeColor="accent1"/>
      <w:kern w:val="0"/>
      <w14:ligatures w14:val="none"/>
    </w:rPr>
  </w:style>
  <w:style w:type="character" w:customStyle="1" w:styleId="Char6">
    <w:name w:val="اقتباس مكثف Char"/>
    <w:basedOn w:val="a2"/>
    <w:link w:val="af3"/>
    <w:uiPriority w:val="30"/>
    <w:rsid w:val="004A647C"/>
    <w:rPr>
      <w:rFonts w:eastAsiaTheme="minorEastAsia"/>
      <w:b/>
      <w:bCs/>
      <w:i/>
      <w:iCs/>
      <w:color w:val="4472C4" w:themeColor="accent1"/>
      <w:kern w:val="0"/>
      <w14:ligatures w14:val="none"/>
    </w:rPr>
  </w:style>
  <w:style w:type="character" w:styleId="af4">
    <w:name w:val="Subtle Emphasis"/>
    <w:basedOn w:val="a2"/>
    <w:uiPriority w:val="19"/>
    <w:qFormat/>
    <w:rsid w:val="004A647C"/>
    <w:rPr>
      <w:i/>
      <w:iCs/>
      <w:color w:val="808080" w:themeColor="text1" w:themeTint="7F"/>
    </w:rPr>
  </w:style>
  <w:style w:type="character" w:styleId="af5">
    <w:name w:val="Intense Emphasis"/>
    <w:basedOn w:val="a2"/>
    <w:uiPriority w:val="21"/>
    <w:qFormat/>
    <w:rsid w:val="004A647C"/>
    <w:rPr>
      <w:b/>
      <w:bCs/>
      <w:i/>
      <w:iCs/>
      <w:color w:val="4472C4" w:themeColor="accent1"/>
    </w:rPr>
  </w:style>
  <w:style w:type="character" w:styleId="af6">
    <w:name w:val="Subtle Reference"/>
    <w:basedOn w:val="a2"/>
    <w:uiPriority w:val="31"/>
    <w:qFormat/>
    <w:rsid w:val="004A647C"/>
    <w:rPr>
      <w:smallCaps/>
      <w:color w:val="ED7D31" w:themeColor="accent2"/>
      <w:u w:val="single"/>
    </w:rPr>
  </w:style>
  <w:style w:type="character" w:styleId="af7">
    <w:name w:val="Intense Reference"/>
    <w:basedOn w:val="a2"/>
    <w:uiPriority w:val="32"/>
    <w:qFormat/>
    <w:rsid w:val="004A647C"/>
    <w:rPr>
      <w:b/>
      <w:bCs/>
      <w:smallCaps/>
      <w:color w:val="ED7D31" w:themeColor="accent2"/>
      <w:spacing w:val="5"/>
      <w:u w:val="single"/>
    </w:rPr>
  </w:style>
  <w:style w:type="character" w:styleId="af8">
    <w:name w:val="Book Title"/>
    <w:basedOn w:val="a2"/>
    <w:uiPriority w:val="33"/>
    <w:qFormat/>
    <w:rsid w:val="004A647C"/>
    <w:rPr>
      <w:b/>
      <w:bCs/>
      <w:smallCaps/>
      <w:spacing w:val="5"/>
    </w:rPr>
  </w:style>
  <w:style w:type="paragraph" w:styleId="af9">
    <w:name w:val="TOC Heading"/>
    <w:basedOn w:val="1"/>
    <w:next w:val="a1"/>
    <w:uiPriority w:val="39"/>
    <w:semiHidden/>
    <w:unhideWhenUsed/>
    <w:qFormat/>
    <w:rsid w:val="004A647C"/>
    <w:pPr>
      <w:outlineLvl w:val="9"/>
    </w:pPr>
  </w:style>
  <w:style w:type="table" w:styleId="afa">
    <w:name w:val="Table Grid"/>
    <w:basedOn w:val="a3"/>
    <w:uiPriority w:val="59"/>
    <w:rsid w:val="004A647C"/>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4A647C"/>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4A647C"/>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4A647C"/>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4A647C"/>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4A647C"/>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4A647C"/>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4A647C"/>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c">
    <w:name w:val="Light List"/>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4A647C"/>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d">
    <w:name w:val="Light Grid"/>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4A647C"/>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4A647C"/>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4A647C"/>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rsid w:val="004A647C"/>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rsid w:val="004A647C"/>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4A647C"/>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4A647C"/>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e">
    <w:name w:val="Dark List"/>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4A647C"/>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
    <w:name w:val="Colorful Shading"/>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4A647C"/>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4A647C"/>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1">
    <w:name w:val="Colorful Grid"/>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4A647C"/>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1128</Words>
  <Characters>6432</Characters>
  <Application>Microsoft Office Word</Application>
  <DocSecurity>0</DocSecurity>
  <Lines>53</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 عبدالعزيز البراهيم</cp:lastModifiedBy>
  <cp:revision>4</cp:revision>
  <cp:lastPrinted>2025-12-27T18:22:00Z</cp:lastPrinted>
  <dcterms:created xsi:type="dcterms:W3CDTF">2025-11-29T19:35:00Z</dcterms:created>
  <dcterms:modified xsi:type="dcterms:W3CDTF">2025-12-27T18:22:00Z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