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7CDE7" w14:textId="77777777" w:rsidR="00CE3E81" w:rsidRPr="00CE3E81" w:rsidRDefault="00CE3E81" w:rsidP="00CE3E81">
      <w:pPr>
        <w:spacing w:after="0" w:line="480" w:lineRule="auto"/>
        <w:jc w:val="center"/>
        <w:outlineLvl w:val="0"/>
        <w:rPr>
          <w:rFonts w:ascii="Times New Roman" w:eastAsia="Times New Roman" w:hAnsi="Times New Roman" w:cs="Times New Roman"/>
          <w:b/>
          <w:bCs/>
          <w:color w:val="000000"/>
          <w:kern w:val="62432"/>
          <w:sz w:val="36"/>
          <w:szCs w:val="36"/>
          <w:lang w:val="en-US"/>
        </w:rPr>
      </w:pPr>
      <w:r w:rsidRPr="00CE3E81">
        <w:rPr>
          <w:rFonts w:ascii="Times New Roman" w:eastAsia="Times New Roman" w:hAnsi="Times New Roman" w:cs="Times New Roman"/>
          <w:b/>
          <w:bCs/>
          <w:color w:val="000000"/>
          <w:kern w:val="62432"/>
          <w:sz w:val="36"/>
          <w:szCs w:val="36"/>
          <w:lang w:val="en-US"/>
        </w:rPr>
        <w:t>Chapter 1: Introduction and Framework</w:t>
      </w:r>
    </w:p>
    <w:p w14:paraId="18E2DE2D" w14:textId="77777777" w:rsidR="00CE3E81" w:rsidRPr="00CE3E81" w:rsidRDefault="00CE3E81" w:rsidP="00CE3E81">
      <w:pPr>
        <w:spacing w:after="0" w:line="480" w:lineRule="auto"/>
        <w:jc w:val="center"/>
        <w:outlineLvl w:val="0"/>
        <w:rPr>
          <w:rFonts w:ascii="Times New Roman" w:eastAsia="Times New Roman" w:hAnsi="Times New Roman" w:cs="Times New Roman"/>
          <w:color w:val="000000"/>
          <w:kern w:val="36"/>
          <w:sz w:val="36"/>
          <w:szCs w:val="36"/>
          <w:lang w:val="en-US" w:eastAsia="zh-CN"/>
          <w14:ligatures w14:val="none"/>
        </w:rPr>
      </w:pPr>
    </w:p>
    <w:p w14:paraId="52723438"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t>1.1 Introduction</w:t>
      </w:r>
    </w:p>
    <w:p w14:paraId="024A3A50"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The global pharmaceutical sector is undergoing transformation. Most nations have been relying on imports to meet the demand for medical products. Recently, states </w:t>
      </w:r>
      <w:proofErr w:type="gramStart"/>
      <w:r w:rsidRPr="00CE3E81">
        <w:rPr>
          <w:rFonts w:ascii="Times New Roman" w:eastAsia="SimSun" w:hAnsi="Times New Roman" w:cs="Times New Roman"/>
          <w:kern w:val="0"/>
          <w:lang w:val="en-US"/>
        </w:rPr>
        <w:t>are</w:t>
      </w:r>
      <w:proofErr w:type="gramEnd"/>
      <w:r w:rsidRPr="00CE3E81">
        <w:rPr>
          <w:rFonts w:ascii="Times New Roman" w:eastAsia="SimSun" w:hAnsi="Times New Roman" w:cs="Times New Roman"/>
          <w:kern w:val="0"/>
          <w:lang w:val="en-US"/>
        </w:rPr>
        <w:t xml:space="preserve"> becoming self-reliant in drug production. Several factors have contributed to this modification. COVID-19 was among the most prominent events that exposed vulnerabilities in global medicine supply chains and demonstrated the value of national sufficiency. Within the context of the Kingdom of Saudi Arabia (KSA), the localization of pharmaceutical manufacturing has been a prominent issue. The Strategic Vision 2030 agenda of KSA incorporates it as a valuable element in augmenting health security and economic diversification. The Saudi government's goal is to increase local medicine production to at least 40 percent of the national demand, strengthening of the overall continuity of the drug supply. Biopharmaceuticals are also known as biologic drugs. Typically, they include medical treatment modalities that remain derived from living organisms. Over the years, they have revolutionized treatment for most chronic illnesses, including malignancies and autoimmune disorders, offering high efficacy and safety due to their targeted action. In KSA, these therapeutic agents hold a valuable promise for the healthcare system. However, successful incorporation into the KSA's health system depends on production capabilities. Additionally, public acceptance and adoption are other key factors. People have high levels of hesitancy regarding novel medical interventions. </w:t>
      </w:r>
      <w:r w:rsidRPr="00CE3E81">
        <w:rPr>
          <w:rFonts w:ascii="Times New Roman" w:eastAsia="Aptos" w:hAnsi="Times New Roman" w:cs="Times New Roman"/>
          <w:kern w:val="0"/>
          <w:lang w:val="en-US"/>
        </w:rPr>
        <w:t xml:space="preserve">This hesitancy was particularly evident during the most recent pandemic in relation to vaccines. </w:t>
      </w:r>
      <w:r w:rsidRPr="00CE3E81">
        <w:rPr>
          <w:rFonts w:ascii="Times New Roman" w:eastAsia="SimSun" w:hAnsi="Times New Roman" w:cs="Times New Roman"/>
          <w:kern w:val="0"/>
          <w:lang w:val="en-US"/>
        </w:rPr>
        <w:t xml:space="preserve">Building trust and awareness among the local population is vital to attain this objective. Realizing the benefits of this investment in domestic </w:t>
      </w:r>
      <w:r w:rsidRPr="00CE3E81">
        <w:rPr>
          <w:rFonts w:ascii="Times New Roman" w:eastAsia="SimSun" w:hAnsi="Times New Roman" w:cs="Times New Roman"/>
          <w:kern w:val="0"/>
          <w:lang w:val="en-US"/>
        </w:rPr>
        <w:lastRenderedPageBreak/>
        <w:t>manufacturing in KSA requires in-depth awareness and community outreach programs. In this case, it is valuable to comprehend how the KSA residents perceive locally manufactured biopharmaceuticals. Doing so is a necessity and an excellent research area. The exploration examines the interplay of awareness, trust, prior experience, and economic factors in shaping behavioral intention to use locally produced biopharmaceutical products in Saudi Arabia.</w:t>
      </w:r>
    </w:p>
    <w:p w14:paraId="74ABCD1A"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36"/>
          <w:sz w:val="28"/>
          <w:szCs w:val="28"/>
          <w:lang w:val="en-US" w:eastAsia="zh-CN"/>
          <w14:ligatures w14:val="none"/>
        </w:rPr>
        <w:t>1.2 Research Problem</w:t>
      </w:r>
    </w:p>
    <w:p w14:paraId="7DE84792"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Biosimilar and biological medications have become widespread globally. The Saudi Food and Drug Authority (SFDA) has also been collaborating with stakeholders to establish and implement policies for certifying and supporting biological products. SPIMACO, MS Pharma, and other comparable organizations have been at the forefront of local biologic production in KSA. However, local biopharmaceutical production remains nascent. When analyzing the biopharmaceutical industry, it is a valuable pillar of any healthcare system, with its fundamental foundation remaining grounded in research and development. Within the context of Saudi Arabia, most empirical investigations focused on the diverse aspects of the pharmaceutical industry. For example, one survey focused on Saudi healthcare professionals, including physicians and pharmacists, revealing diverse perceptions about biosimilars, with some concerns emanating from their efficacy and safety, which influenced their decisions regarding prescriptions. One missing feature of existing studies in this area is the lack of capturing the perspective of the general public on this issue. The prevailing gap in the literature establishes some levels of uncertainty for policymakers and industry stakeholders executing Vision 2030's pharmaceutical initiatives. In this study, the primary research problem is the unknown readiness of Saudi's populace to accept and utilize locally manufactured biopharmaceuticals. Like other nations internationally, Saudi Arabia aims to achieve or increase self-reliance in </w:t>
      </w:r>
      <w:r w:rsidRPr="00CE3E81">
        <w:rPr>
          <w:rFonts w:ascii="Times New Roman" w:eastAsia="SimSun" w:hAnsi="Times New Roman" w:cs="Times New Roman"/>
          <w:kern w:val="0"/>
          <w:lang w:val="en-US"/>
        </w:rPr>
        <w:lastRenderedPageBreak/>
        <w:t>biopharmaceutical production. In the journey, determining the public's attitudes and perceptions about these home-generated medical products remains invaluable. Without understanding how these psychosocial and economic variables affect intention, policy efforts to localize biopharmaceutical production might not attain optimal uptake.</w:t>
      </w:r>
    </w:p>
    <w:p w14:paraId="530E96D0"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t>1.3 Research Objectives</w:t>
      </w:r>
    </w:p>
    <w:p w14:paraId="71BC7D41" w14:textId="77777777" w:rsidR="00CE3E81" w:rsidRPr="00CE3E81" w:rsidRDefault="00CE3E81" w:rsidP="00CE3E81">
      <w:pPr>
        <w:spacing w:after="0" w:line="480" w:lineRule="auto"/>
        <w:ind w:left="720"/>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1.3.1 General Objective</w:t>
      </w:r>
    </w:p>
    <w:p w14:paraId="671E22B1"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The primary objective of this study is to assess the readiness of the Saudi general population to adopt and utilize locally manufactured biopharmaceutical products, and to identify the various factors influencing this adoption. </w:t>
      </w:r>
    </w:p>
    <w:p w14:paraId="0A25D8B7" w14:textId="77777777" w:rsidR="00CE3E81" w:rsidRPr="00CE3E81" w:rsidRDefault="00CE3E81" w:rsidP="00CE3E81">
      <w:pPr>
        <w:spacing w:after="0" w:line="480" w:lineRule="auto"/>
        <w:ind w:left="720"/>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1.3.1 Specific Objectives</w:t>
      </w:r>
    </w:p>
    <w:p w14:paraId="68F793FC"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When conducting this investigation, it will remain grounded on particular goals, including:</w:t>
      </w:r>
    </w:p>
    <w:p w14:paraId="7CF50A87" w14:textId="77777777" w:rsidR="00CE3E81" w:rsidRPr="00CE3E81" w:rsidRDefault="00CE3E81" w:rsidP="00CE3E81">
      <w:pPr>
        <w:numPr>
          <w:ilvl w:val="0"/>
          <w:numId w:val="1"/>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eastAsia="zh-CN"/>
          <w14:ligatures w14:val="none"/>
        </w:rPr>
        <w:t xml:space="preserve">We aim to gauge the public’s awareness in the KSA about locally </w:t>
      </w:r>
      <w:r w:rsidRPr="00CE3E81">
        <w:rPr>
          <w:rFonts w:ascii="Times New Roman" w:eastAsia="Times New Roman" w:hAnsi="Times New Roman" w:cs="Times New Roman"/>
          <w:kern w:val="0"/>
          <w:lang w:val="en-US"/>
        </w:rPr>
        <w:t>manufactured biopharmaceuticals and their general understanding of biologicals treatment methods.</w:t>
      </w:r>
    </w:p>
    <w:p w14:paraId="5FA1D108" w14:textId="77777777" w:rsidR="00CE3E81" w:rsidRPr="00CE3E81" w:rsidRDefault="00CE3E81" w:rsidP="00CE3E81">
      <w:pPr>
        <w:numPr>
          <w:ilvl w:val="0"/>
          <w:numId w:val="1"/>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 xml:space="preserve">We aim to assess the degree of confidence in the quality of local biopharmaceutical products and in the national regulatory bodies that supervise them. </w:t>
      </w:r>
    </w:p>
    <w:p w14:paraId="5DDD00A3" w14:textId="77777777" w:rsidR="00CE3E81" w:rsidRPr="00CE3E81" w:rsidRDefault="00CE3E81" w:rsidP="00CE3E81">
      <w:pPr>
        <w:numPr>
          <w:ilvl w:val="0"/>
          <w:numId w:val="1"/>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To determine the role of previous experience with these products and how it shapes individuals' willingness to use them once locally produced.</w:t>
      </w:r>
    </w:p>
    <w:p w14:paraId="026E5A2A" w14:textId="77777777" w:rsidR="00CE3E81" w:rsidRPr="00CE3E81" w:rsidRDefault="00CE3E81" w:rsidP="00CE3E81">
      <w:pPr>
        <w:numPr>
          <w:ilvl w:val="0"/>
          <w:numId w:val="1"/>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 xml:space="preserve">To evaluate the effect of diverse economic factors on the populace's adoption of these products. </w:t>
      </w:r>
    </w:p>
    <w:p w14:paraId="5E85B4C7" w14:textId="77777777" w:rsidR="00CE3E81" w:rsidRPr="00CE3E81" w:rsidRDefault="00CE3E81" w:rsidP="00CE3E81">
      <w:pPr>
        <w:numPr>
          <w:ilvl w:val="0"/>
          <w:numId w:val="1"/>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We aim to offer stakeholders evidence-based suggestions on methods that can enhance the publics acceptance and adoption of these locally produced biopharmaceutical products.</w:t>
      </w:r>
    </w:p>
    <w:p w14:paraId="4A7526FD"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lastRenderedPageBreak/>
        <w:t>1.4 Research Questions</w:t>
      </w:r>
    </w:p>
    <w:p w14:paraId="0B658996"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In pursuit of the above objectives, this exploration will remain grounded in distinct research questions. The main query will be "What is the readiness of the Saudi public to adopt locally produced biopharmaceuticals, and what factors influence this readiness?" A further analysis of this overarching question generates several sub-sections, allowing the researcher to focus on diverse aspects of interest related to the topic, including:</w:t>
      </w:r>
    </w:p>
    <w:p w14:paraId="515BF285"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Q1. Awareness: What is the level of public awareness and knowledge in KSA about locally made biopharmaceuticals?</w:t>
      </w:r>
    </w:p>
    <w:p w14:paraId="4F73A68A"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Q2. Trust: Does the public trust locally made products and the national regulatory authorities, including SFDA? How does this trust level influence their intent to use biopharmaceuticals? </w:t>
      </w:r>
    </w:p>
    <w:p w14:paraId="22C8EE40"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eastAsia="zh-CN"/>
          <w14:ligatures w14:val="none"/>
        </w:rPr>
        <w:t>Q3: Prior experience: How do past encounters with biological products affect people's decision on acquiring and using locally made biopharmaceuticals?</w:t>
      </w:r>
    </w:p>
    <w:p w14:paraId="1168D93B"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Q4: Economic factors: How do economic variables shape peoples' willingness to use these products? When covering this section, the factors could include product prices, availability of insurance coverage, and other financial incentives or barriers. </w:t>
      </w:r>
    </w:p>
    <w:p w14:paraId="7E6266F3"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36"/>
          <w:sz w:val="28"/>
          <w:szCs w:val="28"/>
          <w:lang w:val="en-US" w:eastAsia="zh-CN"/>
          <w14:ligatures w14:val="none"/>
        </w:rPr>
        <w:t>1.5 Research Significance</w:t>
      </w:r>
    </w:p>
    <w:p w14:paraId="20147329" w14:textId="77777777" w:rsidR="00CE3E81" w:rsidRPr="00CE3E81" w:rsidRDefault="00CE3E81" w:rsidP="00CE3E81">
      <w:pPr>
        <w:spacing w:after="0" w:line="480" w:lineRule="auto"/>
        <w:ind w:left="720"/>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1.5.1 Theoretical Significance</w:t>
      </w:r>
    </w:p>
    <w:p w14:paraId="4B92C18A"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From a theoretical perspective, this investigation will contribute to the emerging literature on biosimilar acceptance in KSA. In the process, it will incorporate valuable constructs from behavioral theories with empirical findings derived from the Saudi context. Recent regional studies have highlighted existing knowledge gaps related to distrust in regulatory bodies and price sensitivity, which limit the uptake of biological products within the Middle East. </w:t>
      </w:r>
      <w:r w:rsidRPr="00CE3E81">
        <w:rPr>
          <w:rFonts w:ascii="Times New Roman" w:eastAsia="SimSun" w:hAnsi="Times New Roman" w:cs="Times New Roman"/>
          <w:kern w:val="0"/>
          <w:lang w:val="en-US"/>
        </w:rPr>
        <w:lastRenderedPageBreak/>
        <w:t xml:space="preserve">Evaluating diverse factors that influence these habits will enable this research to establish a valuable model, thereby augmenting conceptual comprehension of the topic. Overall, the outcomes will guide further explorations in the area. </w:t>
      </w:r>
    </w:p>
    <w:p w14:paraId="58179636" w14:textId="77777777" w:rsidR="00CE3E81" w:rsidRPr="00CE3E81" w:rsidRDefault="00CE3E81" w:rsidP="00CE3E81">
      <w:pPr>
        <w:spacing w:after="0" w:line="480" w:lineRule="auto"/>
        <w:ind w:left="720"/>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1.5.2 Practical Significance</w:t>
      </w:r>
    </w:p>
    <w:p w14:paraId="1BEA6F9C"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In practical terms, the findings will inform policymakers, manufacturers, and clinicians. The SFDA oversees biosimilar registration but faces numerous barriers, including public skepticism and a lack of proper guidelines for these products. In this context, analyzing and unveiling variables that influence people's adoption of these products will be valuable. Doing so will support targeted interventions, including educational campaigns, trust-building measures, and economic incentives, thereby enhancing the effectiveness of these efforts. Experts indicate that trust, cost-saving models, and contextual factors are valuable when deploying biological products within the Gulf region. </w:t>
      </w:r>
      <w:r w:rsidRPr="00CE3E81">
        <w:rPr>
          <w:rFonts w:ascii="Times New Roman" w:eastAsia="Times New Roman" w:hAnsi="Times New Roman" w:cs="Times New Roman"/>
          <w:kern w:val="0"/>
          <w:lang w:val="en-US"/>
        </w:rPr>
        <w:t>If publics attitudes remain well understood and considered, the operationalization of these models can also be feasible.</w:t>
      </w:r>
    </w:p>
    <w:p w14:paraId="0BC86CEC"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t>1.6 Research Hypotheses</w:t>
      </w:r>
    </w:p>
    <w:p w14:paraId="23074485"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Guided by the above theoretical model, the exploration proposes these hypotheses:</w:t>
      </w:r>
    </w:p>
    <w:p w14:paraId="68DC714A" w14:textId="77777777" w:rsidR="00CE3E81" w:rsidRPr="00CE3E81" w:rsidRDefault="00CE3E81" w:rsidP="00CE3E81">
      <w:pPr>
        <w:numPr>
          <w:ilvl w:val="0"/>
          <w:numId w:val="2"/>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H0 (Null):</w:t>
      </w:r>
      <w:r w:rsidRPr="00CE3E81">
        <w:rPr>
          <w:rFonts w:ascii="Times New Roman" w:eastAsia="Times New Roman" w:hAnsi="Times New Roman" w:cs="Times New Roman"/>
          <w:kern w:val="0"/>
          <w:lang w:val="en-US"/>
        </w:rPr>
        <w:t xml:space="preserve"> Awareness, trust, prior experience, and financial determinants have no significant relationship with the intention to adopt locally manufactured biopharmaceuticals.</w:t>
      </w:r>
    </w:p>
    <w:p w14:paraId="6BF30EF4" w14:textId="77777777" w:rsidR="00CE3E81" w:rsidRPr="00CE3E81" w:rsidRDefault="00CE3E81" w:rsidP="00CE3E81">
      <w:pPr>
        <w:numPr>
          <w:ilvl w:val="0"/>
          <w:numId w:val="2"/>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H1:</w:t>
      </w:r>
      <w:r w:rsidRPr="00CE3E81">
        <w:rPr>
          <w:rFonts w:ascii="Times New Roman" w:eastAsia="Times New Roman" w:hAnsi="Times New Roman" w:cs="Times New Roman"/>
          <w:kern w:val="0"/>
          <w:lang w:val="en-US"/>
        </w:rPr>
        <w:t xml:space="preserve"> Higher levels of awareness about biopharmaceuticals are positively associated with behavioral intention to adopt.</w:t>
      </w:r>
    </w:p>
    <w:p w14:paraId="66919622" w14:textId="77777777" w:rsidR="00CE3E81" w:rsidRPr="00CE3E81" w:rsidRDefault="00CE3E81" w:rsidP="00CE3E81">
      <w:pPr>
        <w:numPr>
          <w:ilvl w:val="0"/>
          <w:numId w:val="2"/>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H2:</w:t>
      </w:r>
      <w:r w:rsidRPr="00CE3E81">
        <w:rPr>
          <w:rFonts w:ascii="Times New Roman" w:eastAsia="Times New Roman" w:hAnsi="Times New Roman" w:cs="Times New Roman"/>
          <w:kern w:val="0"/>
          <w:lang w:val="en-US"/>
        </w:rPr>
        <w:t xml:space="preserve"> Behavioral intention to adopt is positively associated with greater trust in product quality, manufactures, and regularity oversight.</w:t>
      </w:r>
    </w:p>
    <w:p w14:paraId="7A397AFA" w14:textId="77777777" w:rsidR="00CE3E81" w:rsidRPr="00CE3E81" w:rsidRDefault="00CE3E81" w:rsidP="00CE3E81">
      <w:pPr>
        <w:numPr>
          <w:ilvl w:val="0"/>
          <w:numId w:val="2"/>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eastAsia="zh-CN"/>
          <w14:ligatures w14:val="none"/>
        </w:rPr>
        <w:t>H3:</w:t>
      </w:r>
      <w:r w:rsidRPr="00CE3E81">
        <w:rPr>
          <w:rFonts w:ascii="Times New Roman" w:eastAsia="Times New Roman" w:hAnsi="Times New Roman" w:cs="Times New Roman"/>
          <w:kern w:val="0"/>
          <w:lang w:val="en-US" w:eastAsia="zh-CN"/>
          <w14:ligatures w14:val="none"/>
        </w:rPr>
        <w:t xml:space="preserve"> Positive prior exposure to biologics augments behavioral intention to adopt.</w:t>
      </w:r>
    </w:p>
    <w:p w14:paraId="0A2FC6DA" w14:textId="77777777" w:rsidR="00CE3E81" w:rsidRPr="00CE3E81" w:rsidRDefault="00CE3E81" w:rsidP="00CE3E81">
      <w:pPr>
        <w:numPr>
          <w:ilvl w:val="0"/>
          <w:numId w:val="2"/>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eastAsia="zh-CN"/>
          <w14:ligatures w14:val="none"/>
        </w:rPr>
        <w:lastRenderedPageBreak/>
        <w:t>H4:</w:t>
      </w:r>
      <w:r w:rsidRPr="00CE3E81">
        <w:rPr>
          <w:rFonts w:ascii="Times New Roman" w:eastAsia="Times New Roman" w:hAnsi="Times New Roman" w:cs="Times New Roman"/>
          <w:kern w:val="0"/>
          <w:lang w:val="en-US" w:eastAsia="zh-CN"/>
          <w14:ligatures w14:val="none"/>
        </w:rPr>
        <w:t xml:space="preserve"> More favorable perceptions of economic factors, including affordability, insurance coverage are positively associated with behavioral intention to adopt.</w:t>
      </w:r>
    </w:p>
    <w:p w14:paraId="65EC609A"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36"/>
          <w:sz w:val="28"/>
          <w:szCs w:val="28"/>
          <w:lang w:val="en-US" w:eastAsia="zh-CN"/>
          <w14:ligatures w14:val="none"/>
        </w:rPr>
        <w:t>1.7 Research Boundaries</w:t>
      </w:r>
    </w:p>
    <w:p w14:paraId="3842D1C2"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Every study must focus on definite boundaries. Considering this, the investigation will be limited to the kingdom of Saudi Arabia. All participants will be residing in the different regions of Saudi Arabia. The findings and conclusions aim to reflect the Saudi context. Respondents will encompass adults from KSA aged 18 years. Mostly, the survey will target the public rather than health professionals. The exploration is cross-section. In this case, researchers will gather data during the 2024-2025 academic year. During this time, researcher will collect public perceptions during a period when KSA continues to advance and support the usage of local biopharmaceutical initiatives and products in correlation with the Vision 2020. The subject matter will be analyzing the implications of awareness, trust, previous experiences, and economic variables on the adoption of locally manufactured biologic products. The dependent variable will be behavioral intention to adopt or use local biologics. Independent variables will include awareness, trust, previous experience, and economic factors. </w:t>
      </w:r>
    </w:p>
    <w:p w14:paraId="7675C2D6"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t>1.8 Operational Definition of Terms</w:t>
      </w:r>
    </w:p>
    <w:p w14:paraId="1EC070E6" w14:textId="77777777" w:rsidR="00CE3E81" w:rsidRPr="00CE3E81" w:rsidRDefault="00CE3E81" w:rsidP="00CE3E81">
      <w:pPr>
        <w:numPr>
          <w:ilvl w:val="0"/>
          <w:numId w:val="3"/>
        </w:numPr>
        <w:spacing w:after="0" w:line="480" w:lineRule="auto"/>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Biologic Drugs or Biopharmaceutical Products:</w:t>
      </w:r>
      <w:r w:rsidRPr="00CE3E81">
        <w:rPr>
          <w:rFonts w:ascii="Times New Roman" w:eastAsia="Times New Roman" w:hAnsi="Times New Roman" w:cs="Times New Roman"/>
          <w:color w:val="000000"/>
          <w:kern w:val="36"/>
          <w:lang w:val="en-US" w:eastAsia="zh-CN"/>
          <w14:ligatures w14:val="none"/>
        </w:rPr>
        <w:t xml:space="preserve"> Medications derived from living systems and valuable in managing chronic and other life-threatening illnesses. </w:t>
      </w:r>
    </w:p>
    <w:p w14:paraId="57B7E345" w14:textId="77777777" w:rsidR="00CE3E81" w:rsidRPr="00CE3E81" w:rsidRDefault="00CE3E81" w:rsidP="00CE3E81">
      <w:pPr>
        <w:numPr>
          <w:ilvl w:val="0"/>
          <w:numId w:val="3"/>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eastAsia="zh-CN"/>
          <w14:ligatures w14:val="none"/>
        </w:rPr>
        <w:t>Public Perception:</w:t>
      </w:r>
      <w:r w:rsidRPr="00CE3E81">
        <w:rPr>
          <w:rFonts w:ascii="Times New Roman" w:eastAsia="Times New Roman" w:hAnsi="Times New Roman" w:cs="Times New Roman"/>
          <w:kern w:val="0"/>
          <w:lang w:val="en-US" w:eastAsia="zh-CN"/>
          <w14:ligatures w14:val="none"/>
        </w:rPr>
        <w:t xml:space="preserve"> People's views, attitudes, and beliefs towards biologics. </w:t>
      </w:r>
    </w:p>
    <w:p w14:paraId="4496C55A" w14:textId="77777777" w:rsidR="00CE3E81" w:rsidRPr="00CE3E81" w:rsidRDefault="00CE3E81" w:rsidP="00CE3E81">
      <w:pPr>
        <w:numPr>
          <w:ilvl w:val="0"/>
          <w:numId w:val="3"/>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 xml:space="preserve">Previous Experience (with biologics): </w:t>
      </w:r>
      <w:r w:rsidRPr="00CE3E81">
        <w:rPr>
          <w:rFonts w:ascii="Times New Roman" w:eastAsia="Times New Roman" w:hAnsi="Times New Roman" w:cs="Times New Roman"/>
          <w:kern w:val="0"/>
          <w:lang w:val="en-US"/>
        </w:rPr>
        <w:t xml:space="preserve">Prior exposure to biologics can occur either as a patient or as a family member whose patient receives these products. </w:t>
      </w:r>
    </w:p>
    <w:p w14:paraId="671DEE20" w14:textId="77777777" w:rsidR="00CE3E81" w:rsidRPr="00CE3E81" w:rsidRDefault="00CE3E81" w:rsidP="00CE3E81">
      <w:pPr>
        <w:numPr>
          <w:ilvl w:val="0"/>
          <w:numId w:val="3"/>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lastRenderedPageBreak/>
        <w:t>Economic Access:</w:t>
      </w:r>
      <w:r w:rsidRPr="00CE3E81">
        <w:rPr>
          <w:rFonts w:ascii="Times New Roman" w:eastAsia="Times New Roman" w:hAnsi="Times New Roman" w:cs="Times New Roman"/>
          <w:kern w:val="0"/>
          <w:lang w:val="en-US"/>
        </w:rPr>
        <w:t xml:space="preserve"> The extent to which an individual can afford and obtain drugs. It includes price sensitivity, insurance coverage, and the presence of a working market for the product. </w:t>
      </w:r>
    </w:p>
    <w:p w14:paraId="02453911" w14:textId="77777777" w:rsidR="00CE3E81" w:rsidRPr="00CE3E81" w:rsidRDefault="00CE3E81" w:rsidP="00CE3E81">
      <w:pPr>
        <w:numPr>
          <w:ilvl w:val="0"/>
          <w:numId w:val="3"/>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Regulatory Confidence:</w:t>
      </w:r>
      <w:r w:rsidRPr="00CE3E81">
        <w:rPr>
          <w:rFonts w:ascii="Times New Roman" w:eastAsia="Times New Roman" w:hAnsi="Times New Roman" w:cs="Times New Roman"/>
          <w:kern w:val="0"/>
          <w:lang w:val="en-US"/>
        </w:rPr>
        <w:t xml:space="preserve"> The general populace's trust in regulating bodies, especially the SFDA, to guarantee the safety and efficiency of drugs. </w:t>
      </w:r>
    </w:p>
    <w:p w14:paraId="34AAE2D2" w14:textId="77777777" w:rsidR="00CE3E81" w:rsidRPr="00CE3E81" w:rsidRDefault="00CE3E81" w:rsidP="00CE3E81">
      <w:pPr>
        <w:numPr>
          <w:ilvl w:val="0"/>
          <w:numId w:val="3"/>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 xml:space="preserve">Behavioral Intention: </w:t>
      </w:r>
      <w:r w:rsidRPr="00CE3E81">
        <w:rPr>
          <w:rFonts w:ascii="Times New Roman" w:eastAsia="Times New Roman" w:hAnsi="Times New Roman" w:cs="Times New Roman"/>
          <w:kern w:val="0"/>
          <w:lang w:val="en-US"/>
        </w:rPr>
        <w:t xml:space="preserve">An individual's likelihood or willingness to perform a specific habit or activity. </w:t>
      </w:r>
    </w:p>
    <w:p w14:paraId="1ACC5B20" w14:textId="77777777" w:rsidR="00CE3E81" w:rsidRPr="00CE3E81" w:rsidRDefault="00CE3E81" w:rsidP="00CE3E81">
      <w:pPr>
        <w:numPr>
          <w:ilvl w:val="0"/>
          <w:numId w:val="3"/>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b/>
          <w:bCs/>
          <w:kern w:val="0"/>
          <w:lang w:val="en-US"/>
        </w:rPr>
        <w:t>Adoption of Innovation:</w:t>
      </w:r>
      <w:r w:rsidRPr="00CE3E81">
        <w:rPr>
          <w:rFonts w:ascii="Times New Roman" w:eastAsia="Times New Roman" w:hAnsi="Times New Roman" w:cs="Times New Roman"/>
          <w:kern w:val="0"/>
          <w:lang w:val="en-US"/>
        </w:rPr>
        <w:t xml:space="preserve"> The decision and process by which an individual utilizes a new product. In this study's context, adoption involves consumers opting to use biologics.</w:t>
      </w:r>
    </w:p>
    <w:p w14:paraId="2CD09406" w14:textId="77777777" w:rsidR="00CE3E81" w:rsidRPr="00CE3E81" w:rsidRDefault="00CE3E81" w:rsidP="00CE3E81">
      <w:pPr>
        <w:spacing w:before="100" w:beforeAutospacing="1" w:after="100" w:afterAutospacing="1" w:line="480" w:lineRule="auto"/>
        <w:outlineLvl w:val="0"/>
        <w:rPr>
          <w:rFonts w:ascii="Times New Roman" w:eastAsia="Times New Roman" w:hAnsi="Times New Roman" w:cs="Times New Roman"/>
          <w:b/>
          <w:bCs/>
          <w:color w:val="000000"/>
          <w:kern w:val="36"/>
          <w:sz w:val="28"/>
          <w:szCs w:val="28"/>
          <w14:ligatures w14:val="none"/>
        </w:rPr>
      </w:pPr>
      <w:r w:rsidRPr="00CE3E81">
        <w:rPr>
          <w:rFonts w:ascii="Times New Roman" w:eastAsia="Times New Roman" w:hAnsi="Times New Roman" w:cs="Times New Roman"/>
          <w:b/>
          <w:bCs/>
          <w:color w:val="000000"/>
          <w:kern w:val="36"/>
          <w:sz w:val="28"/>
          <w:szCs w:val="28"/>
          <w14:ligatures w14:val="none"/>
        </w:rPr>
        <w:t>1.9 Biopharmaceuticals: Terms and Basic Concept</w:t>
      </w:r>
    </w:p>
    <w:p w14:paraId="58CB62E6"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Biopharmaceuticals (biologics) are pharmaceutical products extracted from biological sources, including cell cultures, bacteria and yeast strains, or animal tissues and organs, and consist of complex macromolecules such as monoclonal antibodies, recombinant proteins, vaccines, and advanced therapy medicinal products (cell therapy gene therapies). Biologics, on the other hand, are structurally more complex than traditional small-molecule drugs and sensitive to manufacturing conditions, necessitating robust quality systems and cold-chain logistics.</w:t>
      </w:r>
      <w:r w:rsidRPr="00CE3E81">
        <w:rPr>
          <w:rFonts w:ascii="Times New Roman" w:eastAsia="Times New Roman" w:hAnsi="Times New Roman" w:cs="Times New Roman"/>
          <w:color w:val="000000"/>
          <w:kern w:val="0"/>
        </w:rPr>
        <w:br/>
        <w:t>This complexity underpins their clinical precision and, simultaneously, their regulatory and manufacturing challenges.</w:t>
      </w:r>
    </w:p>
    <w:p w14:paraId="0D9DFEA7"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Classification and Examples.</w:t>
      </w:r>
    </w:p>
    <w:p w14:paraId="013F1221" w14:textId="77777777" w:rsidR="00CE3E81" w:rsidRPr="00CE3E81" w:rsidRDefault="00CE3E81" w:rsidP="00CE3E81">
      <w:pPr>
        <w:numPr>
          <w:ilvl w:val="0"/>
          <w:numId w:val="7"/>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Monoclonal antibodies (most notably anti-inflammatory and more recently, anti-neoplastic agents).</w:t>
      </w:r>
    </w:p>
    <w:p w14:paraId="6BA73E13" w14:textId="77777777" w:rsidR="00CE3E81" w:rsidRPr="00CE3E81" w:rsidRDefault="00CE3E81" w:rsidP="00CE3E81">
      <w:pPr>
        <w:numPr>
          <w:ilvl w:val="0"/>
          <w:numId w:val="7"/>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lastRenderedPageBreak/>
        <w:t>Recombinant therapeutic proteins (e.g. insulin analogues, growth factors and enzymes).</w:t>
      </w:r>
    </w:p>
    <w:p w14:paraId="0A0540B0" w14:textId="77777777" w:rsidR="00CE3E81" w:rsidRPr="00CE3E81" w:rsidRDefault="00CE3E81" w:rsidP="00CE3E81">
      <w:pPr>
        <w:numPr>
          <w:ilvl w:val="0"/>
          <w:numId w:val="7"/>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There are two type of Vaccines : (prophylactic and therapeutic).</w:t>
      </w:r>
    </w:p>
    <w:p w14:paraId="068F6074" w14:textId="77777777" w:rsidR="00CE3E81" w:rsidRPr="00CE3E81" w:rsidRDefault="00CE3E81" w:rsidP="00CE3E81">
      <w:pPr>
        <w:numPr>
          <w:ilvl w:val="0"/>
          <w:numId w:val="7"/>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These include but are not restricted to:• Advanced therapies (cellular and gene therapies) that cure rare and otherwise intractable disease.</w:t>
      </w:r>
    </w:p>
    <w:p w14:paraId="457404AD"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Sources and Manufacturing Overview.</w:t>
      </w:r>
      <w:r w:rsidRPr="00CE3E81">
        <w:rPr>
          <w:rFonts w:ascii="Times New Roman" w:eastAsia="Times New Roman" w:hAnsi="Times New Roman" w:cs="Times New Roman"/>
          <w:color w:val="000000"/>
          <w:kern w:val="0"/>
        </w:rPr>
        <w:br/>
        <w:t>Biologics are derived from modified cells (bacterial, yeast, or mammalian) Primary process steps consist of cell line development, upstream (fermentation/bioreactors) and downstream purification, formulation/fill-finish, and intensive release testing. Even minor changes in process parameters can change the quality characteristics of the product, and therefore stringent process controls along with comparability studies are required.</w:t>
      </w:r>
    </w:p>
    <w:p w14:paraId="0EE44614"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Objectives and Health-System Importance.</w:t>
      </w:r>
      <w:r w:rsidRPr="00CE3E81">
        <w:rPr>
          <w:rFonts w:ascii="Times New Roman" w:eastAsia="Times New Roman" w:hAnsi="Times New Roman" w:cs="Times New Roman"/>
          <w:color w:val="000000"/>
          <w:kern w:val="0"/>
        </w:rPr>
        <w:br/>
        <w:t>Biologics act on precise disease pathways, leading to higher success rates in oncology, autoimmune disorders, and rare illnesses. They help foster precision medicine, decrease the disease burden over time, and are in support of national medicine security and industrial development.</w:t>
      </w:r>
    </w:p>
    <w:p w14:paraId="66612FF3"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Drivers of Emergence and Diffusion.</w:t>
      </w:r>
      <w:r w:rsidRPr="00CE3E81">
        <w:rPr>
          <w:rFonts w:ascii="Times New Roman" w:eastAsia="Times New Roman" w:hAnsi="Times New Roman" w:cs="Times New Roman"/>
          <w:color w:val="000000"/>
          <w:kern w:val="0"/>
        </w:rPr>
        <w:t>The worldwide acceleration of biotechnology technologies and international interest due to high-priority clinical unmet needs in the chronic/comple”disease setting/conducive therapeutic (grade of evidence favoring superiority/targeted efficacy) have been key drivers contributing to this rise. Policy needs also require production in the region for security of supply and local economic balance, so centrally generalizing the business case for hydroplane production by clustering Linux distributaries with resort to RISC processors.</w:t>
      </w:r>
    </w:p>
    <w:p w14:paraId="39797071"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lastRenderedPageBreak/>
        <w:t>Risk Profile and Challenges.</w:t>
      </w:r>
      <w:r w:rsidRPr="00CE3E81">
        <w:rPr>
          <w:rFonts w:ascii="Times New Roman" w:eastAsia="Times New Roman" w:hAnsi="Times New Roman" w:cs="Times New Roman"/>
          <w:color w:val="000000"/>
          <w:kern w:val="0"/>
        </w:rPr>
        <w:br/>
        <w:t>Challenges include but are not limited to immunogenicity (such as the potential for antidrug antibodies affecting safety/efficacy); risk of batch-to-batch variability due to environmental changes and process sensitivity; manufacturing/supply-related risks (for example, facility/product capacity constraints, cold chain requirements); and affordability/coverage issues that could restrict equitable access. Lifecycle risk management is thus heavily reliant on pharmacovigilance and real-world evidence.</w:t>
      </w:r>
    </w:p>
    <w:p w14:paraId="02DB7FDD"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Multi-dimensional Considerations (KSA-relevant).</w:t>
      </w:r>
    </w:p>
    <w:p w14:paraId="39C4E879" w14:textId="77777777" w:rsidR="00CE3E81" w:rsidRPr="00CE3E81" w:rsidRDefault="00CE3E81" w:rsidP="00CE3E81">
      <w:pPr>
        <w:numPr>
          <w:ilvl w:val="0"/>
          <w:numId w:val="8"/>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Clinical dimension: impact on outcomes and quality of life.</w:t>
      </w:r>
    </w:p>
    <w:p w14:paraId="521743B9" w14:textId="77777777" w:rsidR="00CE3E81" w:rsidRPr="00CE3E81" w:rsidRDefault="00CE3E81" w:rsidP="00CE3E81">
      <w:pPr>
        <w:numPr>
          <w:ilvl w:val="0"/>
          <w:numId w:val="8"/>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Economic dimension: budget impact, payer coverage, and cost-offset potential.</w:t>
      </w:r>
    </w:p>
    <w:p w14:paraId="618DF1E9" w14:textId="77777777" w:rsidR="00CE3E81" w:rsidRPr="00CE3E81" w:rsidRDefault="00CE3E81" w:rsidP="00CE3E81">
      <w:pPr>
        <w:numPr>
          <w:ilvl w:val="0"/>
          <w:numId w:val="8"/>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Regulatory aspect : strict quality/CMC control and unambiguous replacement/switchover rules.</w:t>
      </w:r>
    </w:p>
    <w:p w14:paraId="1D867274" w14:textId="77777777" w:rsidR="00CE3E81" w:rsidRPr="00CE3E81" w:rsidRDefault="00CE3E81" w:rsidP="00CE3E81">
      <w:pPr>
        <w:numPr>
          <w:ilvl w:val="0"/>
          <w:numId w:val="8"/>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Socio-cultural dimension: locally v/s imported, trust on institutions.</w:t>
      </w:r>
    </w:p>
    <w:p w14:paraId="49E19AD1" w14:textId="77777777" w:rsidR="00CE3E81" w:rsidRPr="00CE3E81" w:rsidRDefault="00CE3E81" w:rsidP="00CE3E81">
      <w:pPr>
        <w:numPr>
          <w:ilvl w:val="0"/>
          <w:numId w:val="8"/>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Industrial/policy dimension: local capacity, workforce skills, and strategic drug security.</w:t>
      </w:r>
    </w:p>
    <w:p w14:paraId="6EFD131F" w14:textId="77777777" w:rsidR="00CE3E81" w:rsidRPr="00CE3E81" w:rsidRDefault="00CE3E81" w:rsidP="00CE3E81">
      <w:pPr>
        <w:spacing w:before="100" w:beforeAutospacing="1" w:after="100" w:afterAutospacing="1" w:line="480" w:lineRule="auto"/>
        <w:outlineLvl w:val="0"/>
        <w:rPr>
          <w:rFonts w:ascii="Times New Roman" w:eastAsia="Times New Roman" w:hAnsi="Times New Roman" w:cs="Times New Roman"/>
          <w:b/>
          <w:bCs/>
          <w:color w:val="000000"/>
          <w:kern w:val="36"/>
          <w:sz w:val="28"/>
          <w:szCs w:val="28"/>
          <w14:ligatures w14:val="none"/>
        </w:rPr>
      </w:pPr>
      <w:r w:rsidRPr="00CE3E81">
        <w:rPr>
          <w:rFonts w:ascii="Times New Roman" w:eastAsia="Times New Roman" w:hAnsi="Times New Roman" w:cs="Times New Roman"/>
          <w:b/>
          <w:bCs/>
          <w:color w:val="000000"/>
          <w:kern w:val="36"/>
          <w:sz w:val="28"/>
          <w:szCs w:val="28"/>
          <w14:ligatures w14:val="none"/>
        </w:rPr>
        <w:t>1.10 Factors Shaping Public Adoption of Locally Manufactured Biopharmaceuticals</w:t>
      </w:r>
    </w:p>
    <w:p w14:paraId="7DD38C3C"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This section consolidates the core determinants that condition public willingness to adopt LMBs in Saudi Arabia and motivates the study’s hypotheses.</w:t>
      </w:r>
    </w:p>
    <w:p w14:paraId="37B7E34B"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Awareness and Knowledge.</w:t>
      </w:r>
      <w:r w:rsidRPr="00CE3E81">
        <w:rPr>
          <w:rFonts w:ascii="Times New Roman" w:eastAsia="Times New Roman" w:hAnsi="Times New Roman" w:cs="Times New Roman"/>
          <w:color w:val="000000"/>
          <w:kern w:val="0"/>
        </w:rPr>
        <w:br/>
        <w:t xml:space="preserve">Public understanding of biologics even the fact that they are essentially interchangeable with reference products would help allay confusion and encourage positive attitudes. In conclusion, </w:t>
      </w:r>
      <w:r w:rsidRPr="00CE3E81">
        <w:rPr>
          <w:rFonts w:ascii="Times New Roman" w:eastAsia="Times New Roman" w:hAnsi="Times New Roman" w:cs="Times New Roman"/>
          <w:color w:val="000000"/>
          <w:kern w:val="0"/>
        </w:rPr>
        <w:lastRenderedPageBreak/>
        <w:t>misconceptions about biosimilars (safety myths, generics) can slow down their adoption; therefore, they require focused education and transparent communication.</w:t>
      </w:r>
    </w:p>
    <w:p w14:paraId="249773B6"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Trust (Product, Manufacturer, Regulator, Clinician).</w:t>
      </w:r>
      <w:r w:rsidRPr="00CE3E81">
        <w:rPr>
          <w:rFonts w:ascii="Times New Roman" w:eastAsia="Times New Roman" w:hAnsi="Times New Roman" w:cs="Times New Roman"/>
          <w:color w:val="000000"/>
          <w:kern w:val="0"/>
        </w:rPr>
        <w:br/>
        <w:t>There are several levels of trust at play: in the product quality, in GMP standards of local manufacturers, in SFDA as a national regulator and by physicians' prescriptions. Clear guidelines and uniform messaging make it more likely for people to view something as legitimate or at least socially acceptable.</w:t>
      </w:r>
    </w:p>
    <w:p w14:paraId="613EE12F"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Prior Experience (Direct or Vicarious).</w:t>
      </w:r>
      <w:r w:rsidRPr="00CE3E81">
        <w:rPr>
          <w:rFonts w:ascii="Times New Roman" w:eastAsia="Times New Roman" w:hAnsi="Times New Roman" w:cs="Times New Roman"/>
          <w:color w:val="000000"/>
          <w:kern w:val="0"/>
        </w:rPr>
        <w:br/>
        <w:t>Familiarity with biologicals within the household or being exposed to them through friends increases comfortability and normalizes switching when clinically irreplaceable. Vicarious experiences from media and patient groups also influence our social learning of success stories.</w:t>
      </w:r>
    </w:p>
    <w:p w14:paraId="4451C0A2"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Economic Factors (Affordability, Coverage, Access).</w:t>
      </w:r>
      <w:r w:rsidRPr="00CE3E81">
        <w:rPr>
          <w:rFonts w:ascii="Times New Roman" w:eastAsia="Times New Roman" w:hAnsi="Times New Roman" w:cs="Times New Roman"/>
          <w:color w:val="000000"/>
          <w:kern w:val="0"/>
        </w:rPr>
        <w:br/>
        <w:t>In the original model, price sensitivity and insurance coverage, as well as availability, affect perceived behavioral control, with those who anticipate low out-of-pocket costs and ready access more likely to intend use.</w:t>
      </w:r>
    </w:p>
    <w:p w14:paraId="0F57EAA9"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Socio-cultural and Communication Context.</w:t>
      </w:r>
      <w:r w:rsidRPr="00CE3E81">
        <w:rPr>
          <w:rFonts w:ascii="Times New Roman" w:eastAsia="Times New Roman" w:hAnsi="Times New Roman" w:cs="Times New Roman"/>
          <w:color w:val="000000"/>
          <w:kern w:val="0"/>
        </w:rPr>
        <w:br/>
        <w:t>Various cultural preferences (e.g., bias towards imported-brands), risk communication, and media narratives can either feed into or reduce acceptance. Key local messaging needs to focus on quality assurance, regulatory oversight, and clinical equipoise.</w:t>
      </w:r>
    </w:p>
    <w:p w14:paraId="3AD206C6"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Connection between Hypotheses and Model.</w:t>
      </w:r>
      <w:r w:rsidRPr="00CE3E81">
        <w:rPr>
          <w:rFonts w:ascii="Times New Roman" w:eastAsia="Times New Roman" w:hAnsi="Times New Roman" w:cs="Times New Roman"/>
          <w:color w:val="000000"/>
          <w:kern w:val="0"/>
        </w:rPr>
        <w:br/>
        <w:t xml:space="preserve">In line with the Theory of Planned Behavior, attitudes are driven by awareness and experience, </w:t>
      </w:r>
      <w:r w:rsidRPr="00CE3E81">
        <w:rPr>
          <w:rFonts w:ascii="Times New Roman" w:eastAsia="Times New Roman" w:hAnsi="Times New Roman" w:cs="Times New Roman"/>
          <w:color w:val="000000"/>
          <w:kern w:val="0"/>
        </w:rPr>
        <w:lastRenderedPageBreak/>
        <w:t>subjective norms are associated with trust, and perceived behavioral control is mainly related to economic stressors. Collectively, these factors influence behavioral intention to adopt LMBs.</w:t>
      </w:r>
    </w:p>
    <w:p w14:paraId="265AA84E"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t>1.11 Theoretical Framework</w:t>
      </w:r>
    </w:p>
    <w:p w14:paraId="7EF79206"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Several theoretical models explain people's decision to adopt or reject novel medical interventions. One model used in this investigation is the Theory of Planned Behavior (TPB). According to Ajzen (2020), TPB postulates that a person's behavioral intent to engage in a specific action remains grounded on their attitude towards the habit, subjective norms, and overall perceived habitual control. Attitude involves a person's evaluation of using LMBs, influenced by knowledge and past experiences. Subjective norms reflect perceived social support or pressure, such as the recommendations of doctors. Perceived control encompasses the ease or difficulty of obtaining the product, which remains influenced by the product's access and its cost. Another valuable theoretical angle for this exploration comes from models focusing on risk and benefit perceptions, particularly the Health Belief Model (HBM). The framework highlights that a person's engagement in a health habit is a function of their overall perceived susceptibility to a specific problem, the related severity of the issue, the possible benefits, and potential barriers to taking the action (Alamer, 2024). The theory suggests that trust in the safety and efficacy of LMBs influences people's adoption. </w:t>
      </w:r>
    </w:p>
    <w:p w14:paraId="7AA9DA46"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Another model is social learning or cognitive theory. The model demonstrates that people's habits remain grounded in their past experiences and observing others, emphasizing the role of observational learning, self-regulation, and reinforcement. In the context of this investigation, previous experience with biologic medications can shape an individual's acceptance of new biologics. Self-efficacy is another element introduced by this theory, which overlaps with the perceived control feature from TPB. The diffusion of innovations (DoI) and the </w:t>
      </w:r>
      <w:r w:rsidRPr="00CE3E81">
        <w:rPr>
          <w:rFonts w:ascii="Times New Roman" w:eastAsia="SimSun" w:hAnsi="Times New Roman" w:cs="Times New Roman"/>
          <w:kern w:val="0"/>
          <w:lang w:val="en-US"/>
        </w:rPr>
        <w:lastRenderedPageBreak/>
        <w:t>technology acceptance model (TAM) are other valuable theoretical models for this study. The two theories, together with that of TPB, share a common strategy for explaining the overall user acceptance of a novel product, based on its value, correlation with one's values, and overall usability. DOI explains how innovations spread through social systems. When doing so, it emphasizes relative advantage, trialability, complexity, compatibility, and observability. For example, a strong endorsement of a particular biologic and subsequent inclusion in clinical guidelines can increase diffusion by augmenting legitimacy. TAM highlights perceived usefulness and ease of use. In the context of this exploration, if people perceive the biologic to have equal efficacy as the reference drug, this will lead to high acceptance and adoption. Ultimately, all these models suggest that awareness, trust, experience, and economic factors influence attitude, normative approval, and perceived control, which in turn determine behavioral intention.</w:t>
      </w:r>
    </w:p>
    <w:p w14:paraId="6127B76C"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When using the TPB model, its theoretical components remain mapped to the study variables as follows:</w:t>
      </w:r>
    </w:p>
    <w:tbl>
      <w:tblPr>
        <w:tblStyle w:val="TableGrid"/>
        <w:tblW w:w="0" w:type="auto"/>
        <w:tblLook w:val="04A0" w:firstRow="1" w:lastRow="0" w:firstColumn="1" w:lastColumn="0" w:noHBand="0" w:noVBand="1"/>
      </w:tblPr>
      <w:tblGrid>
        <w:gridCol w:w="2076"/>
        <w:gridCol w:w="5901"/>
      </w:tblGrid>
      <w:tr w:rsidR="00CE3E81" w:rsidRPr="00CE3E81" w14:paraId="5CF738BE" w14:textId="77777777" w:rsidTr="00AB172B">
        <w:tc>
          <w:tcPr>
            <w:tcW w:w="0" w:type="auto"/>
            <w:vAlign w:val="center"/>
            <w:hideMark/>
          </w:tcPr>
          <w:p w14:paraId="4BB49E26"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b/>
                <w:bCs/>
                <w:kern w:val="0"/>
                <w:lang w:eastAsia="zh-CN"/>
                <w14:ligatures w14:val="none"/>
              </w:rPr>
              <w:t>TPB Component</w:t>
            </w:r>
          </w:p>
        </w:tc>
        <w:tc>
          <w:tcPr>
            <w:tcW w:w="0" w:type="auto"/>
            <w:vAlign w:val="center"/>
            <w:hideMark/>
          </w:tcPr>
          <w:p w14:paraId="6B23F191"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b/>
                <w:bCs/>
                <w:kern w:val="0"/>
                <w:lang w:eastAsia="zh-CN"/>
                <w14:ligatures w14:val="none"/>
              </w:rPr>
              <w:t>Operationalized Study Variable</w:t>
            </w:r>
          </w:p>
        </w:tc>
      </w:tr>
      <w:tr w:rsidR="00CE3E81" w:rsidRPr="00CE3E81" w14:paraId="75AB8BEC" w14:textId="77777777" w:rsidTr="00AB172B">
        <w:tc>
          <w:tcPr>
            <w:tcW w:w="0" w:type="auto"/>
            <w:vAlign w:val="center"/>
            <w:hideMark/>
          </w:tcPr>
          <w:p w14:paraId="1348AE9D"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b/>
                <w:bCs/>
                <w:kern w:val="0"/>
                <w:lang w:eastAsia="zh-CN"/>
                <w14:ligatures w14:val="none"/>
              </w:rPr>
              <w:t>Attitude</w:t>
            </w:r>
          </w:p>
        </w:tc>
        <w:tc>
          <w:tcPr>
            <w:tcW w:w="0" w:type="auto"/>
            <w:vAlign w:val="center"/>
            <w:hideMark/>
          </w:tcPr>
          <w:p w14:paraId="665F6B7D"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kern w:val="0"/>
                <w:lang w:eastAsia="zh-CN"/>
                <w14:ligatures w14:val="none"/>
              </w:rPr>
              <w:t>Level of knowledge, prior experience with biologic drugs</w:t>
            </w:r>
          </w:p>
        </w:tc>
      </w:tr>
      <w:tr w:rsidR="00CE3E81" w:rsidRPr="00CE3E81" w14:paraId="784B80EC" w14:textId="77777777" w:rsidTr="00AB172B">
        <w:tc>
          <w:tcPr>
            <w:tcW w:w="0" w:type="auto"/>
            <w:vAlign w:val="center"/>
            <w:hideMark/>
          </w:tcPr>
          <w:p w14:paraId="5123E40E"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b/>
                <w:bCs/>
                <w:kern w:val="0"/>
                <w:lang w:eastAsia="zh-CN"/>
                <w14:ligatures w14:val="none"/>
              </w:rPr>
              <w:t>Subjective Norms</w:t>
            </w:r>
          </w:p>
        </w:tc>
        <w:tc>
          <w:tcPr>
            <w:tcW w:w="0" w:type="auto"/>
            <w:vAlign w:val="center"/>
            <w:hideMark/>
          </w:tcPr>
          <w:p w14:paraId="68F0C892"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kern w:val="0"/>
                <w:lang w:eastAsia="zh-CN"/>
                <w14:ligatures w14:val="none"/>
              </w:rPr>
              <w:t>Trust in national regulatory bodies and societal perceptions</w:t>
            </w:r>
          </w:p>
        </w:tc>
      </w:tr>
      <w:tr w:rsidR="00CE3E81" w:rsidRPr="00CE3E81" w14:paraId="4AE5732D" w14:textId="77777777" w:rsidTr="00AB172B">
        <w:tc>
          <w:tcPr>
            <w:tcW w:w="0" w:type="auto"/>
            <w:vAlign w:val="center"/>
            <w:hideMark/>
          </w:tcPr>
          <w:p w14:paraId="039DCF8E"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b/>
                <w:bCs/>
                <w:kern w:val="0"/>
                <w:lang w:eastAsia="zh-CN"/>
                <w14:ligatures w14:val="none"/>
              </w:rPr>
              <w:t>Perceived Control</w:t>
            </w:r>
          </w:p>
        </w:tc>
        <w:tc>
          <w:tcPr>
            <w:tcW w:w="0" w:type="auto"/>
            <w:vAlign w:val="center"/>
            <w:hideMark/>
          </w:tcPr>
          <w:p w14:paraId="58302AC4" w14:textId="77777777" w:rsidR="00CE3E81" w:rsidRPr="00CE3E81" w:rsidRDefault="00CE3E81" w:rsidP="00CE3E81">
            <w:pPr>
              <w:spacing w:line="480" w:lineRule="auto"/>
              <w:rPr>
                <w:rFonts w:ascii="Times New Roman" w:eastAsia="SimSun" w:hAnsi="Times New Roman" w:cs="Times New Roman"/>
                <w:kern w:val="0"/>
                <w:lang w:eastAsia="zh-CN"/>
                <w14:ligatures w14:val="none"/>
              </w:rPr>
            </w:pPr>
            <w:r w:rsidRPr="00CE3E81">
              <w:rPr>
                <w:rFonts w:ascii="Times New Roman" w:eastAsia="SimSun" w:hAnsi="Times New Roman" w:cs="Times New Roman"/>
                <w:kern w:val="0"/>
                <w:lang w:eastAsia="zh-CN"/>
                <w14:ligatures w14:val="none"/>
              </w:rPr>
              <w:t>Economic accessibility, availability of insurance coverage</w:t>
            </w:r>
          </w:p>
        </w:tc>
      </w:tr>
    </w:tbl>
    <w:p w14:paraId="5F80543F"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Table 1.1: Mapping of TPB Components to Study Variables</w:t>
      </w:r>
    </w:p>
    <w:p w14:paraId="592CD8FD" w14:textId="77777777" w:rsidR="00CE3E81" w:rsidRPr="00CE3E81" w:rsidRDefault="00CE3E81" w:rsidP="00CE3E81">
      <w:pPr>
        <w:spacing w:line="480" w:lineRule="auto"/>
        <w:rPr>
          <w:rFonts w:ascii="Times New Roman" w:eastAsia="Times New Roman" w:hAnsi="Times New Roman" w:cs="Times New Roman"/>
          <w:color w:val="000000"/>
          <w:kern w:val="0"/>
          <w14:ligatures w14:val="none"/>
        </w:rPr>
      </w:pPr>
      <w:r w:rsidRPr="00CE3E81">
        <w:rPr>
          <w:rFonts w:ascii="Times New Roman" w:eastAsia="SimSun" w:hAnsi="Times New Roman" w:cs="Times New Roman"/>
          <w:kern w:val="0"/>
          <w:lang w:val="en-US"/>
        </w:rPr>
        <w:t xml:space="preserve"> </w:t>
      </w:r>
      <w:r w:rsidRPr="00CE3E81">
        <w:rPr>
          <w:rFonts w:ascii="Times New Roman" w:eastAsia="Times New Roman" w:hAnsi="Times New Roman" w:cs="Times New Roman"/>
          <w:b/>
          <w:bCs/>
          <w:color w:val="000000"/>
          <w:kern w:val="0"/>
        </w:rPr>
        <w:t>Operationalizing the Constructs.</w:t>
      </w:r>
    </w:p>
    <w:p w14:paraId="288D5587" w14:textId="77777777" w:rsidR="00CE3E81" w:rsidRPr="00CE3E81" w:rsidRDefault="00CE3E81" w:rsidP="00CE3E81">
      <w:pPr>
        <w:numPr>
          <w:ilvl w:val="0"/>
          <w:numId w:val="9"/>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Attitude: Informed by awareness/knowledge and past experience; positive evaluations of LMBs increase intention (efficacy, usability);</w:t>
      </w:r>
    </w:p>
    <w:p w14:paraId="5116D9EF" w14:textId="77777777" w:rsidR="00CE3E81" w:rsidRPr="00CE3E81" w:rsidRDefault="00CE3E81" w:rsidP="00CE3E81">
      <w:pPr>
        <w:numPr>
          <w:ilvl w:val="0"/>
          <w:numId w:val="9"/>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lastRenderedPageBreak/>
        <w:t>Subjective norms:  Constructed based on trust in regulators, clinicians, and the health system; perceived social/institutional approval increases intention to comply with a guideline.</w:t>
      </w:r>
    </w:p>
    <w:p w14:paraId="74B38102" w14:textId="77777777" w:rsidR="00CE3E81" w:rsidRPr="00CE3E81" w:rsidRDefault="00CE3E81" w:rsidP="00CE3E81">
      <w:pPr>
        <w:numPr>
          <w:ilvl w:val="0"/>
          <w:numId w:val="9"/>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Perceived behavioral control: operationalized as economic access (affordability, insurance coverage, availability); higher perceived control leads to greater intention.</w:t>
      </w:r>
    </w:p>
    <w:p w14:paraId="25692C1B"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Complementary Theoretical Lenses.</w:t>
      </w:r>
      <w:r w:rsidRPr="00CE3E81">
        <w:rPr>
          <w:rFonts w:ascii="Times New Roman" w:eastAsia="Times New Roman" w:hAnsi="Times New Roman" w:cs="Times New Roman"/>
          <w:color w:val="000000"/>
          <w:kern w:val="0"/>
        </w:rPr>
        <w:br/>
        <w:t>HBM demonstrated that perceived benefits versus barriers (affordability, safety concerns) are the predominant barriers to risk knowledge acquisition, with physician recommendation serving as a cue for action.</w:t>
      </w:r>
    </w:p>
    <w:p w14:paraId="4ECDBD62" w14:textId="77777777" w:rsidR="00CE3E81" w:rsidRPr="00CE3E81" w:rsidRDefault="00CE3E81" w:rsidP="00CE3E81">
      <w:pPr>
        <w:numPr>
          <w:ilvl w:val="0"/>
          <w:numId w:val="10"/>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Social Cognitive Theory: self-efficacy/observational learning (prior/vicarious experience builds confidence to take on action)</w:t>
      </w:r>
    </w:p>
    <w:p w14:paraId="45E72D92" w14:textId="77777777" w:rsidR="00CE3E81" w:rsidRPr="00CE3E81" w:rsidRDefault="00CE3E81" w:rsidP="00CE3E81">
      <w:pPr>
        <w:numPr>
          <w:ilvl w:val="0"/>
          <w:numId w:val="10"/>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DoI/TAM empiric definition of diffusion via relative advantage, compatibility, complexity/ease-of-use and observability; these are strengthened through shared regulatory endorsement and clinical guideline inclusion. People perceived it as beneficial and legitimacy.</w:t>
      </w:r>
    </w:p>
    <w:p w14:paraId="50CC1321"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The derived Propositions aligning to H1–H4.</w:t>
      </w:r>
    </w:p>
    <w:p w14:paraId="4006B1B4" w14:textId="77777777" w:rsidR="00CE3E81" w:rsidRPr="00CE3E81" w:rsidRDefault="00CE3E81" w:rsidP="00CE3E81">
      <w:pPr>
        <w:numPr>
          <w:ilvl w:val="0"/>
          <w:numId w:val="11"/>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H1: Greater awareness → more positive attitudes → greater intention.</w:t>
      </w:r>
    </w:p>
    <w:p w14:paraId="5BDC22A0" w14:textId="77777777" w:rsidR="00CE3E81" w:rsidRPr="00CE3E81" w:rsidRDefault="00CE3E81" w:rsidP="00CE3E81">
      <w:pPr>
        <w:numPr>
          <w:ilvl w:val="0"/>
          <w:numId w:val="11"/>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H2: Greater trust in product/manufacturer/regulator/physician → stronger subjective norms → higher intentionP1 exercised moderation over the relationship between independent and mediator variables; it consequently reached statistical significance.</w:t>
      </w:r>
    </w:p>
    <w:p w14:paraId="272944F8" w14:textId="77777777" w:rsidR="00CE3E81" w:rsidRPr="00CE3E81" w:rsidRDefault="00CE3E81" w:rsidP="00CE3E81">
      <w:pPr>
        <w:numPr>
          <w:ilvl w:val="0"/>
          <w:numId w:val="11"/>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lastRenderedPageBreak/>
        <w:t>H3 : Direct/vicarious positive prior experience → enhanced attitudes/norms → higher intention.</w:t>
      </w:r>
    </w:p>
    <w:p w14:paraId="7547A6B2" w14:textId="77777777" w:rsidR="00CE3E81" w:rsidRPr="00CE3E81" w:rsidRDefault="00CE3E81" w:rsidP="00CE3E81">
      <w:pPr>
        <w:numPr>
          <w:ilvl w:val="0"/>
          <w:numId w:val="11"/>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H4: Perceived affordability/coverage/availability having a direct effect on perceived behavioral control and indirectly affecting intention.</w:t>
      </w:r>
    </w:p>
    <w:p w14:paraId="58D2FB3D"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14:ligatures w14:val="none"/>
        </w:rPr>
        <w:t>Mapping Table.</w:t>
      </w:r>
    </w:p>
    <w:tbl>
      <w:tblPr>
        <w:tblStyle w:val="TableGrid"/>
        <w:tblW w:w="9918" w:type="dxa"/>
        <w:tblLook w:val="04A0" w:firstRow="1" w:lastRow="0" w:firstColumn="1" w:lastColumn="0" w:noHBand="0" w:noVBand="1"/>
      </w:tblPr>
      <w:tblGrid>
        <w:gridCol w:w="2122"/>
        <w:gridCol w:w="3543"/>
        <w:gridCol w:w="4253"/>
      </w:tblGrid>
      <w:tr w:rsidR="00CE3E81" w:rsidRPr="00CE3E81" w14:paraId="4366A4DC" w14:textId="77777777" w:rsidTr="00AB172B">
        <w:tc>
          <w:tcPr>
            <w:tcW w:w="2122" w:type="dxa"/>
            <w:vAlign w:val="center"/>
            <w:hideMark/>
          </w:tcPr>
          <w:p w14:paraId="30FD47AD"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r w:rsidRPr="00CE3E81">
              <w:rPr>
                <w:rFonts w:ascii="Times New Roman" w:eastAsia="Times New Roman" w:hAnsi="Times New Roman" w:cs="Times New Roman"/>
                <w:b/>
                <w:bCs/>
                <w:kern w:val="0"/>
                <w14:ligatures w14:val="none"/>
              </w:rPr>
              <w:t>TPB Construct</w:t>
            </w:r>
          </w:p>
        </w:tc>
        <w:tc>
          <w:tcPr>
            <w:tcW w:w="3543" w:type="dxa"/>
            <w:vAlign w:val="center"/>
            <w:hideMark/>
          </w:tcPr>
          <w:p w14:paraId="7FB37CA1"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r w:rsidRPr="00CE3E81">
              <w:rPr>
                <w:rFonts w:ascii="Times New Roman" w:eastAsia="Times New Roman" w:hAnsi="Times New Roman" w:cs="Times New Roman"/>
                <w:b/>
                <w:bCs/>
                <w:kern w:val="0"/>
                <w14:ligatures w14:val="none"/>
              </w:rPr>
              <w:t>Study Variable(s)</w:t>
            </w:r>
          </w:p>
        </w:tc>
        <w:tc>
          <w:tcPr>
            <w:tcW w:w="4253" w:type="dxa"/>
            <w:vAlign w:val="center"/>
            <w:hideMark/>
          </w:tcPr>
          <w:p w14:paraId="23C122F4"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r w:rsidRPr="00CE3E81">
              <w:rPr>
                <w:rFonts w:ascii="Times New Roman" w:eastAsia="Times New Roman" w:hAnsi="Times New Roman" w:cs="Times New Roman"/>
                <w:b/>
                <w:bCs/>
                <w:kern w:val="0"/>
                <w14:ligatures w14:val="none"/>
              </w:rPr>
              <w:t>Primary Pathway</w:t>
            </w:r>
          </w:p>
        </w:tc>
      </w:tr>
      <w:tr w:rsidR="00CE3E81" w:rsidRPr="00CE3E81" w14:paraId="68052E66" w14:textId="77777777" w:rsidTr="00AB172B">
        <w:tc>
          <w:tcPr>
            <w:tcW w:w="2122" w:type="dxa"/>
            <w:vAlign w:val="center"/>
            <w:hideMark/>
          </w:tcPr>
          <w:p w14:paraId="53CF6AEE"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Attitude</w:t>
            </w:r>
          </w:p>
        </w:tc>
        <w:tc>
          <w:tcPr>
            <w:tcW w:w="3543" w:type="dxa"/>
            <w:vAlign w:val="center"/>
            <w:hideMark/>
          </w:tcPr>
          <w:p w14:paraId="57461296"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Awareness &amp; Prior Experience</w:t>
            </w:r>
          </w:p>
        </w:tc>
        <w:tc>
          <w:tcPr>
            <w:tcW w:w="4253" w:type="dxa"/>
            <w:vAlign w:val="center"/>
            <w:hideMark/>
          </w:tcPr>
          <w:p w14:paraId="3643F470"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Affects evaluation of LMBs → Intention</w:t>
            </w:r>
          </w:p>
        </w:tc>
      </w:tr>
      <w:tr w:rsidR="00CE3E81" w:rsidRPr="00CE3E81" w14:paraId="12144F19" w14:textId="77777777" w:rsidTr="00AB172B">
        <w:tc>
          <w:tcPr>
            <w:tcW w:w="2122" w:type="dxa"/>
            <w:vAlign w:val="center"/>
            <w:hideMark/>
          </w:tcPr>
          <w:p w14:paraId="29D1E45C"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Subjective Norms</w:t>
            </w:r>
          </w:p>
        </w:tc>
        <w:tc>
          <w:tcPr>
            <w:tcW w:w="3543" w:type="dxa"/>
            <w:vAlign w:val="center"/>
            <w:hideMark/>
          </w:tcPr>
          <w:p w14:paraId="74326713"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Trust (product, regulator, clinician)</w:t>
            </w:r>
          </w:p>
        </w:tc>
        <w:tc>
          <w:tcPr>
            <w:tcW w:w="4253" w:type="dxa"/>
            <w:vAlign w:val="center"/>
            <w:hideMark/>
          </w:tcPr>
          <w:p w14:paraId="4CA932F2"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Social/institutional approval → Intention</w:t>
            </w:r>
          </w:p>
        </w:tc>
      </w:tr>
      <w:tr w:rsidR="00CE3E81" w:rsidRPr="00CE3E81" w14:paraId="05F3FC6E" w14:textId="77777777" w:rsidTr="00AB172B">
        <w:trPr>
          <w:trHeight w:val="1365"/>
        </w:trPr>
        <w:tc>
          <w:tcPr>
            <w:tcW w:w="2122" w:type="dxa"/>
            <w:vAlign w:val="center"/>
            <w:hideMark/>
          </w:tcPr>
          <w:p w14:paraId="302B3C1D"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Perceived Behavioral Control</w:t>
            </w:r>
          </w:p>
        </w:tc>
        <w:tc>
          <w:tcPr>
            <w:tcW w:w="3543" w:type="dxa"/>
            <w:vAlign w:val="center"/>
            <w:hideMark/>
          </w:tcPr>
          <w:p w14:paraId="05ADE9B3"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Economic Factors (price, insurance, availability)</w:t>
            </w:r>
          </w:p>
        </w:tc>
        <w:tc>
          <w:tcPr>
            <w:tcW w:w="4253" w:type="dxa"/>
            <w:vAlign w:val="center"/>
            <w:hideMark/>
          </w:tcPr>
          <w:p w14:paraId="7BEB1E3D"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Feasibility to obtain/use → Intention</w:t>
            </w:r>
          </w:p>
        </w:tc>
      </w:tr>
    </w:tbl>
    <w:p w14:paraId="7C27BB95" w14:textId="77777777" w:rsidR="00CE3E81" w:rsidRPr="00CE3E81" w:rsidRDefault="00CE3E81" w:rsidP="00CE3E81">
      <w:pPr>
        <w:spacing w:after="0" w:line="480" w:lineRule="auto"/>
        <w:ind w:firstLine="720"/>
        <w:rPr>
          <w:rFonts w:ascii="Times New Roman" w:eastAsia="SimSun" w:hAnsi="Times New Roman" w:cs="Times New Roman"/>
          <w:kern w:val="0"/>
          <w:lang w:eastAsia="zh-CN"/>
          <w14:ligatures w14:val="none"/>
        </w:rPr>
      </w:pPr>
    </w:p>
    <w:p w14:paraId="1B54491A"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36"/>
          <w:sz w:val="28"/>
          <w:szCs w:val="28"/>
          <w:lang w:val="en-US" w:eastAsia="zh-CN"/>
          <w14:ligatures w14:val="none"/>
        </w:rPr>
        <w:t>1.12 Conceptual Framework</w:t>
      </w:r>
    </w:p>
    <w:p w14:paraId="0B853B99"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The theoretical background of this study is based on the TPB model. According to the theory, behavioral intention (i.e., an individual's motivation or willingness to engage in a particular behavior) is determined by three related constructs: Attitudes towards the target behavior, Subjective norms, Perceived behavioral control. To make this theory applicable to the issue of public acceptance for LMBs in Saudi Arabia, four crucial independent variables can be mapped with TPB constructs:</w:t>
      </w:r>
    </w:p>
    <w:p w14:paraId="114C0532" w14:textId="77777777" w:rsidR="00CE3E81" w:rsidRPr="00CE3E81" w:rsidRDefault="00CE3E81" w:rsidP="00CE3E81">
      <w:pPr>
        <w:numPr>
          <w:ilvl w:val="0"/>
          <w:numId w:val="4"/>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lastRenderedPageBreak/>
        <w:t>Awareness and Knowledge: These measures an individual's orientation toward biologic products, which ultimately determines how favorably or unfavorably they feel about adopting related items.</w:t>
      </w:r>
    </w:p>
    <w:p w14:paraId="2C7013E0" w14:textId="77777777" w:rsidR="00CE3E81" w:rsidRPr="00CE3E81" w:rsidRDefault="00CE3E81" w:rsidP="00CE3E81">
      <w:pPr>
        <w:numPr>
          <w:ilvl w:val="0"/>
          <w:numId w:val="4"/>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Trust in the reliability of the product and registration bodies: These issues parallel subjective norms, indicating perceived social and institutional influences on behavior.</w:t>
      </w:r>
    </w:p>
    <w:p w14:paraId="62B74181" w14:textId="77777777" w:rsidR="00CE3E81" w:rsidRPr="00CE3E81" w:rsidRDefault="00CE3E81" w:rsidP="00CE3E81">
      <w:pPr>
        <w:numPr>
          <w:ilvl w:val="0"/>
          <w:numId w:val="4"/>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Previous Use of Biologic Medications: This condition affects attitudes and subjective norms by reducing uncertainty regarding perceived legitimacy.</w:t>
      </w:r>
    </w:p>
    <w:p w14:paraId="2B58D67E" w14:textId="77777777" w:rsidR="00CE3E81" w:rsidRPr="00CE3E81" w:rsidRDefault="00CE3E81" w:rsidP="00CE3E81">
      <w:pPr>
        <w:numPr>
          <w:ilvl w:val="0"/>
          <w:numId w:val="4"/>
        </w:numPr>
        <w:spacing w:before="100" w:beforeAutospacing="1" w:after="100" w:afterAutospacing="1" w:line="480" w:lineRule="auto"/>
        <w:rPr>
          <w:rFonts w:ascii="Times New Roman" w:eastAsia="Times New Roman" w:hAnsi="Times New Roman" w:cs="Times New Roman"/>
          <w:kern w:val="0"/>
          <w:lang w:val="en-US" w:eastAsia="zh-CN"/>
          <w14:ligatures w14:val="none"/>
        </w:rPr>
      </w:pPr>
      <w:r w:rsidRPr="00CE3E81">
        <w:rPr>
          <w:rFonts w:ascii="Times New Roman" w:eastAsia="Times New Roman" w:hAnsi="Times New Roman" w:cs="Times New Roman"/>
          <w:kern w:val="0"/>
          <w:lang w:val="en-US"/>
        </w:rPr>
        <w:t>Economic factors (Price sensitivity and insurance coverage): These factors are related to perceived behavioral control, as they affect patients' perceptions of their ability to obtain or afford biologics.</w:t>
      </w:r>
    </w:p>
    <w:p w14:paraId="0A297771"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Moreover, the model takes into account demographic variables. These include gender, age, education level, and employment sector. All these are possible moderators of behavioral intention. These elements may influence how people perceive or respond to independent variables. Figure 1.1 below illustrates the framework. </w:t>
      </w:r>
      <w:r w:rsidRPr="00CE3E81">
        <w:rPr>
          <w:rFonts w:ascii="-webkit-standard" w:eastAsia="Aptos" w:hAnsi="-webkit-standard" w:cs="Arial"/>
          <w:color w:val="000000"/>
          <w:kern w:val="0"/>
          <w:lang w:val="en-US"/>
        </w:rPr>
        <w:t xml:space="preserve">Attitude toward LMBs is influenced through Awareness/knowledge and prior experience; Trust informs Subjective Norms (perceived professional/institutional endorsement); Economic factors inform Perceived Behavioral Control (affordability and access) Together, these three TPB constructs predict the behavioral intention to adopt LMBs. Demographic characteristics (i.e., age, sex, education, and working status) are also considered as moderators that may extend </w:t>
      </w:r>
      <w:r w:rsidRPr="00CE3E81">
        <w:rPr>
          <w:rFonts w:ascii="Times New Roman" w:eastAsia="SimSun" w:hAnsi="Times New Roman" w:cs="Times New Roman"/>
          <w:kern w:val="0"/>
          <w:lang w:val="en-US"/>
        </w:rPr>
        <w:t>pathways.</w:t>
      </w:r>
    </w:p>
    <w:p w14:paraId="73D7F174"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 </w:t>
      </w:r>
    </w:p>
    <w:p w14:paraId="3E56F351" w14:textId="77777777" w:rsidR="00CE3E81" w:rsidRPr="00CE3E81" w:rsidRDefault="00CE3E81" w:rsidP="00CE3E81">
      <w:pPr>
        <w:spacing w:line="480" w:lineRule="auto"/>
        <w:rPr>
          <w:rFonts w:ascii="Aptos" w:eastAsia="Aptos" w:hAnsi="Aptos" w:cs="Arial"/>
          <w:lang w:val="en-US"/>
        </w:rPr>
      </w:pPr>
      <w:r w:rsidRPr="00CE3E81">
        <w:rPr>
          <w:rFonts w:ascii="Aptos" w:eastAsia="Aptos" w:hAnsi="Aptos" w:cs="Arial"/>
          <w:noProof/>
          <w:kern w:val="0"/>
          <w:rtl/>
          <w:lang w:val="ar-SA"/>
        </w:rPr>
        <w:lastRenderedPageBreak/>
        <w:drawing>
          <wp:inline distT="0" distB="0" distL="0" distR="0" wp14:anchorId="225BEE47" wp14:editId="3BD0CF84">
            <wp:extent cx="5238750" cy="2714625"/>
            <wp:effectExtent l="0" t="0" r="0" b="9525"/>
            <wp:docPr id="1161473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73396" name="Picture 1161473396"/>
                    <pic:cNvPicPr/>
                  </pic:nvPicPr>
                  <pic:blipFill>
                    <a:blip r:embed="rId5"/>
                    <a:stretch>
                      <a:fillRect/>
                    </a:stretch>
                  </pic:blipFill>
                  <pic:spPr>
                    <a:xfrm>
                      <a:off x="0" y="0"/>
                      <a:ext cx="5238750" cy="2714625"/>
                    </a:xfrm>
                    <a:prstGeom prst="rect">
                      <a:avLst/>
                    </a:prstGeom>
                  </pic:spPr>
                </pic:pic>
              </a:graphicData>
            </a:graphic>
          </wp:inline>
        </w:drawing>
      </w:r>
    </w:p>
    <w:p w14:paraId="28C12DCA" w14:textId="77777777" w:rsidR="00CE3E81" w:rsidRPr="00CE3E81" w:rsidRDefault="00CE3E81" w:rsidP="00CE3E81">
      <w:pPr>
        <w:spacing w:after="0" w:line="480" w:lineRule="auto"/>
        <w:rPr>
          <w:rFonts w:ascii="Times New Roman" w:eastAsia="SimSun" w:hAnsi="Times New Roman" w:cs="Times New Roman"/>
          <w:kern w:val="0"/>
          <w:sz w:val="18"/>
          <w:szCs w:val="18"/>
          <w:lang w:val="en-US" w:eastAsia="zh-CN"/>
          <w14:ligatures w14:val="none"/>
        </w:rPr>
      </w:pPr>
      <w:r w:rsidRPr="00CE3E81">
        <w:rPr>
          <w:rFonts w:ascii="Times New Roman" w:eastAsia="SimSun" w:hAnsi="Times New Roman" w:cs="Times New Roman"/>
          <w:kern w:val="0"/>
          <w:sz w:val="18"/>
          <w:szCs w:val="18"/>
          <w:lang w:val="en-US"/>
        </w:rPr>
        <w:t>Figure 1.1:</w:t>
      </w:r>
      <w:r w:rsidRPr="00CE3E81">
        <w:rPr>
          <w:rFonts w:ascii="Times New Roman" w:eastAsia="SimSun" w:hAnsi="Times New Roman" w:cs="Times New Roman"/>
          <w:i/>
          <w:iCs/>
          <w:kern w:val="0"/>
          <w:sz w:val="18"/>
          <w:szCs w:val="18"/>
          <w:lang w:val="en-US"/>
        </w:rPr>
        <w:t xml:space="preserve"> </w:t>
      </w:r>
      <w:r w:rsidRPr="00CE3E81">
        <w:rPr>
          <w:rFonts w:ascii="Times New Roman" w:eastAsia="SimSun" w:hAnsi="Times New Roman" w:cs="Times New Roman"/>
          <w:kern w:val="0"/>
          <w:sz w:val="18"/>
          <w:szCs w:val="18"/>
          <w:lang w:val="en-US"/>
        </w:rPr>
        <w:t>Conceptual model of the relationships between TPB constructs and public adoption intention toward LMBs.</w:t>
      </w:r>
    </w:p>
    <w:p w14:paraId="16065D2D" w14:textId="77777777" w:rsidR="00CE3E81" w:rsidRPr="00CE3E81" w:rsidRDefault="00CE3E81" w:rsidP="00CE3E81">
      <w:pPr>
        <w:spacing w:before="100" w:beforeAutospacing="1" w:after="100" w:afterAutospacing="1" w:line="480" w:lineRule="auto"/>
        <w:outlineLvl w:val="0"/>
        <w:rPr>
          <w:rFonts w:ascii="Times New Roman" w:eastAsia="Times New Roman" w:hAnsi="Times New Roman" w:cs="Times New Roman"/>
          <w:b/>
          <w:bCs/>
          <w:color w:val="000000"/>
          <w:kern w:val="36"/>
          <w:sz w:val="28"/>
          <w:szCs w:val="28"/>
          <w14:ligatures w14:val="none"/>
        </w:rPr>
      </w:pPr>
      <w:r w:rsidRPr="00CE3E81">
        <w:rPr>
          <w:rFonts w:ascii="Times New Roman" w:eastAsia="Times New Roman" w:hAnsi="Times New Roman" w:cs="Times New Roman"/>
          <w:b/>
          <w:bCs/>
          <w:color w:val="000000"/>
          <w:kern w:val="36"/>
          <w:sz w:val="28"/>
          <w:szCs w:val="28"/>
          <w14:ligatures w14:val="none"/>
        </w:rPr>
        <w:t>1.13 Chapter Conclusion</w:t>
      </w:r>
    </w:p>
    <w:p w14:paraId="0D314312"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rPr>
      </w:pPr>
      <w:r w:rsidRPr="00CE3E81">
        <w:rPr>
          <w:rFonts w:ascii="Times New Roman" w:eastAsia="Times New Roman" w:hAnsi="Times New Roman" w:cs="Times New Roman"/>
          <w:color w:val="000000"/>
          <w:kern w:val="0"/>
        </w:rPr>
        <w:t>This chapter established the study’s rationale and delimited its scope, then articulated core biopharmaceutical concepts, risk/benefit considerations, and the specific determinants of public adoption in the Saudi context. The expanded theoretical framework and the TPB-aligned conceptual model specify testable relationships among awareness, trust, prior experience, and economic factors in shaping behavioral intention. The next chapter systematically reviews global and local empirical evidence, highlights consistencies and gaps, and further justifies the study’s hypotheses and measurement.</w:t>
      </w:r>
    </w:p>
    <w:p w14:paraId="35E6B419"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rPr>
      </w:pPr>
    </w:p>
    <w:p w14:paraId="6E980383"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rPr>
      </w:pPr>
    </w:p>
    <w:p w14:paraId="58CBB006"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p>
    <w:p w14:paraId="192CC48D" w14:textId="77777777" w:rsidR="00CE3E81" w:rsidRPr="00CE3E81" w:rsidRDefault="00CE3E81" w:rsidP="00CE3E81">
      <w:pPr>
        <w:spacing w:after="0" w:line="480" w:lineRule="auto"/>
        <w:jc w:val="center"/>
        <w:outlineLvl w:val="0"/>
        <w:rPr>
          <w:rFonts w:ascii="Times New Roman" w:eastAsia="Times New Roman" w:hAnsi="Times New Roman" w:cs="Times New Roman"/>
          <w:b/>
          <w:bCs/>
          <w:color w:val="000000"/>
          <w:kern w:val="36"/>
          <w:sz w:val="36"/>
          <w:szCs w:val="36"/>
          <w:lang w:val="en-US" w:eastAsia="zh-CN"/>
          <w14:ligatures w14:val="none"/>
        </w:rPr>
      </w:pPr>
      <w:r w:rsidRPr="00CE3E81">
        <w:rPr>
          <w:rFonts w:ascii="Times New Roman" w:eastAsia="Times New Roman" w:hAnsi="Times New Roman" w:cs="Times New Roman"/>
          <w:b/>
          <w:bCs/>
          <w:color w:val="000000"/>
          <w:kern w:val="36"/>
          <w:sz w:val="36"/>
          <w:szCs w:val="36"/>
          <w:lang w:val="en-US" w:eastAsia="zh-CN"/>
          <w14:ligatures w14:val="none"/>
        </w:rPr>
        <w:lastRenderedPageBreak/>
        <w:t>Chapter Two: Literature Review</w:t>
      </w:r>
    </w:p>
    <w:p w14:paraId="657D1E0D"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32"/>
          <w:szCs w:val="32"/>
          <w:lang w:val="en-US" w:eastAsia="zh-CN"/>
          <w14:ligatures w14:val="none"/>
        </w:rPr>
      </w:pPr>
    </w:p>
    <w:p w14:paraId="0BF6C7D8"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62432"/>
          <w:sz w:val="28"/>
          <w:szCs w:val="28"/>
          <w:lang w:val="en-US"/>
        </w:rPr>
        <w:t>2.1 Introduction</w:t>
      </w:r>
    </w:p>
    <w:p w14:paraId="155D6B42"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This chapter outlines the scientific and theoretical background supporting this exploration. It enables one to comprehend how KSA citizens might adopt locally manufactured biopharmaceuticals (LMBs). The primary objective is to review and synthesize existing knowledge about the research's main concepts and variables, thereby identifying the prevailing research gap. It covers theoretical models, their integration into a framework, empirical findings, critique, a conceptual model, and research gaps. By the end of this section, it will be evident how this exploration develops from the interlink between existing literature and unmet needs in comprehending public adoption of LMBs. </w:t>
      </w:r>
    </w:p>
    <w:p w14:paraId="3BE888E3"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sz w:val="28"/>
          <w:szCs w:val="28"/>
          <w:lang w:val="en-US" w:eastAsia="zh-CN"/>
          <w14:ligatures w14:val="none"/>
        </w:rPr>
      </w:pPr>
      <w:r w:rsidRPr="00CE3E81">
        <w:rPr>
          <w:rFonts w:ascii="Times New Roman" w:eastAsia="Times New Roman" w:hAnsi="Times New Roman" w:cs="Times New Roman"/>
          <w:b/>
          <w:bCs/>
          <w:color w:val="000000"/>
          <w:kern w:val="36"/>
          <w:sz w:val="28"/>
          <w:szCs w:val="28"/>
          <w:lang w:val="en-US" w:eastAsia="zh-CN"/>
          <w14:ligatures w14:val="none"/>
        </w:rPr>
        <w:t>2.2 Empirical Literature</w:t>
      </w:r>
    </w:p>
    <w:p w14:paraId="62D831FF" w14:textId="77777777" w:rsidR="00CE3E81" w:rsidRPr="00CE3E81" w:rsidRDefault="00CE3E81" w:rsidP="00CE3E81">
      <w:pPr>
        <w:spacing w:after="0" w:line="480" w:lineRule="auto"/>
        <w:ind w:left="720"/>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2.2.1 Global Perspective</w:t>
      </w:r>
    </w:p>
    <w:p w14:paraId="1B02F30F"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Recently, research on the adoption of biologics has grown. Several international studies have examined the public or patient perspectives on biological products. One of the recurring themes in global explorations of this area is the low public awareness of biosimilars. For example, a large U.S. investigation demonstrated that 66 percent of patients had never encountered the term "biosimilar." In another study involving participants from North America and Europe, 25 to 58 percent reported that they did not have sufficient knowledge about these novel products. In Europe and the U.S., patient education campaigns recommend the increased adoption of biological products supporting the same ideology. A 2023 survey within the European Union showed marked confusion among patients when considering biological products </w:t>
      </w:r>
      <w:r w:rsidRPr="00CE3E81">
        <w:rPr>
          <w:rFonts w:ascii="Times New Roman" w:eastAsia="SimSun" w:hAnsi="Times New Roman" w:cs="Times New Roman"/>
          <w:kern w:val="0"/>
          <w:lang w:val="en-US"/>
        </w:rPr>
        <w:lastRenderedPageBreak/>
        <w:t xml:space="preserve">(Barbier et al., 2020). From this, one could infer that awareness in KSA is also low in a similar manner. Trust and use of LMBs are related to their perceived safety and efficacy. </w:t>
      </w:r>
    </w:p>
    <w:p w14:paraId="5B333DBF"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A multinational systematic review indicated that trust-related issues are the most significant obstacles or enablers for biologics uptake. In particular, regulatory endorsement was a fundamental enabler. Products approved by the FDA and similar agencies have shown high adoption rates among patients and clinicians. Conducted a thorough systematic review of patients' perceptions, noting that most clients harbor initial skepticism concerning biological efficacy and safety due to a lack of trust and awareness.  Patient trust in adopting these products rises with a physician recommendation. However, one investigation found moderate acceptance of biological products among specialists, with most calling for distinct guidelines for their use. All these findings reveal that establishing trust via transparent communication and regulatory endorsements is valuable to increasing LMB adoption in KSA. Empirical evidence also suggests that prior exposure to biologics makes clients more receptive to similar products in the future. Patients with experience can switch between biological products due to various reasons, including convenience and tolerability issues; their acceptance level is also high. The concept correlates with an increased willingness of almost 70%, which is associated with prior experience, as demonstrated. Experience can also be indirect. Patient advocacy groups in Europe have shown that hearing about other patients' successes after using these products increases community acceptance. </w:t>
      </w:r>
    </w:p>
    <w:p w14:paraId="57D4A42C"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Diverse studies also portray the influence of cost and insurance on biosimilar adoption. A systematic review analyzing European and American data revealed that the cost-saving model of biosimilars has increased the availability of biological products and enhanced therapy. Another systematic review by noted that the drop in out-of-pocket expenses is one of the most </w:t>
      </w:r>
      <w:r w:rsidRPr="00CE3E81">
        <w:rPr>
          <w:rFonts w:ascii="Times New Roman" w:eastAsia="SimSun" w:hAnsi="Times New Roman" w:cs="Times New Roman"/>
          <w:kern w:val="0"/>
          <w:lang w:val="en-US"/>
        </w:rPr>
        <w:lastRenderedPageBreak/>
        <w:t xml:space="preserve">fundamental factors shaping patient behavior for medication choices. The concept is applicable where patients perceive that a product is as efficient as the reference drug. For example, within the U.S. context, higher copays for biologics lead to lower adherence, suggesting that a more affordable biological product would enhance adherence and uptake </w:t>
      </w:r>
    </w:p>
    <w:p w14:paraId="13AB1962" w14:textId="77777777" w:rsidR="00CE3E81" w:rsidRPr="00CE3E81" w:rsidRDefault="00CE3E81" w:rsidP="00CE3E81">
      <w:pPr>
        <w:spacing w:after="0" w:line="480" w:lineRule="auto"/>
        <w:ind w:left="720"/>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2.2.2 Local Perspective</w:t>
      </w:r>
    </w:p>
    <w:p w14:paraId="25F97F92"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Research in the area within KSA is sparse. Conducted an expert opinion survey within the KSA landscape, highlighting the need to establish trust and educate clinicians and patients about biosimilars. Within the upcoming decade, the piece indicates that KSA will experience a rapid increase in the use of LMBs. Conducted a study focused on determining the perceptions of clinicians in KSA's health providers regarding the use of biological products, noting the need for consistent educational sessions to raise awareness and promote the adoption of LMBs in Saudi Arabia. Another study revealed significant knowledge gaps and mixed views among clinicians regarding the long-term safety and efficacy of biological products and biosimilars. Offer a value framework including various recommendations for increasing the adoption of biological products in the Gulf region, including in the KSA. Factors cited as causes of the low adoption of biologics included low awareness, a trend where doctors prefer familiar brands, and patients' cultural perceptions of imported drugs. Overall, this empirical literature suggests that the four independent variables of this study are the factors influencing the adoption of LMBs globally. </w:t>
      </w:r>
    </w:p>
    <w:p w14:paraId="6F9FDC01" w14:textId="77777777" w:rsidR="00CE3E81" w:rsidRPr="00CE3E81" w:rsidRDefault="00CE3E81" w:rsidP="00CE3E81">
      <w:pPr>
        <w:spacing w:before="100" w:beforeAutospacing="1" w:after="100" w:afterAutospacing="1" w:line="480" w:lineRule="auto"/>
        <w:outlineLvl w:val="2"/>
        <w:rPr>
          <w:rFonts w:ascii="Times New Roman" w:eastAsia="Times New Roman" w:hAnsi="Times New Roman" w:cs="Times New Roman"/>
          <w:b/>
          <w:bCs/>
          <w:color w:val="000000"/>
          <w:kern w:val="0"/>
          <w14:ligatures w14:val="none"/>
        </w:rPr>
      </w:pPr>
      <w:r w:rsidRPr="00CE3E81">
        <w:rPr>
          <w:rFonts w:ascii="Times New Roman" w:eastAsia="Times New Roman" w:hAnsi="Times New Roman" w:cs="Times New Roman"/>
          <w:b/>
          <w:bCs/>
          <w:color w:val="000000"/>
          <w:kern w:val="0"/>
        </w:rPr>
        <w:t>2.2.3 Thematic Classification of Studies</w:t>
      </w:r>
    </w:p>
    <w:p w14:paraId="62C7F5A4"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This subsection synthesizes the empirical literature along the core axes aligned with the present study’s independent variables awareness/knowledge, trust, prior experience, and economic factors—together with the behavioral intention outcome.</w:t>
      </w:r>
    </w:p>
    <w:p w14:paraId="2C278858"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lastRenderedPageBreak/>
        <w:t>(A) Awareness &amp; Knowledge</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Global.</w:t>
      </w:r>
      <w:r w:rsidRPr="00CE3E81">
        <w:rPr>
          <w:rFonts w:ascii="Times New Roman" w:eastAsia="Times New Roman" w:hAnsi="Times New Roman" w:cs="Times New Roman"/>
          <w:color w:val="000000"/>
          <w:kern w:val="0"/>
        </w:rPr>
        <w:t xml:space="preserve"> Multiple studies consistently report low public familiarity with biosimilars/biologics, indicating substantial knowledge gaps that inhibit confident adoption. Patient education initiatives are therefore recurrently recommended to improve understanding and correct misconceptions.</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Local.</w:t>
      </w:r>
      <w:r w:rsidRPr="00CE3E81">
        <w:rPr>
          <w:rFonts w:ascii="Times New Roman" w:eastAsia="Times New Roman" w:hAnsi="Times New Roman" w:cs="Times New Roman"/>
          <w:color w:val="000000"/>
          <w:kern w:val="0"/>
        </w:rPr>
        <w:t xml:space="preserve"> Evidence experts and providers in Saudi Arabia and the Gulf launched that could help knowledge size for available research conditions disparities varies at the blockchain. The implications are that public awareness approaches for KSA might have to be different, with country-specific concerns addressed.</w:t>
      </w:r>
    </w:p>
    <w:p w14:paraId="03A663CD"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(B) Trust &amp; Institutional Endorsement</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Global.</w:t>
      </w:r>
      <w:r w:rsidRPr="00CE3E81">
        <w:rPr>
          <w:rFonts w:ascii="Times New Roman" w:eastAsia="Times New Roman" w:hAnsi="Times New Roman" w:cs="Times New Roman"/>
          <w:color w:val="000000"/>
          <w:kern w:val="0"/>
        </w:rPr>
        <w:t xml:space="preserve"> Trust influenced Their views: evidence-based communication of results, regulatory approval, and physician endorsement improved acceptability.</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Local.</w:t>
      </w:r>
      <w:r w:rsidRPr="00CE3E81">
        <w:rPr>
          <w:rFonts w:ascii="Times New Roman" w:eastAsia="Times New Roman" w:hAnsi="Times New Roman" w:cs="Times New Roman"/>
          <w:color w:val="000000"/>
          <w:kern w:val="0"/>
        </w:rPr>
        <w:t xml:space="preserve"> Saudi and regional sources emphasize confidence in the national regulator and explicit formal guidance as necessary for implementation, with stronger national directives and consistent messaging seen as facilitators.</w:t>
      </w:r>
    </w:p>
    <w:p w14:paraId="214F5C0F"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(C) Previous Experience &amp; Social Learning</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Global.</w:t>
      </w:r>
      <w:r w:rsidRPr="00CE3E81">
        <w:rPr>
          <w:rFonts w:ascii="Times New Roman" w:eastAsia="Times New Roman" w:hAnsi="Times New Roman" w:cs="Times New Roman"/>
          <w:color w:val="000000"/>
          <w:kern w:val="0"/>
        </w:rPr>
        <w:t xml:space="preserve"> Prior personal and vicarious (e.g. peers outcomes) experience alters uncertainty and is associated with a higher propensity to initiate biologic therapies, as is the willingness to switch when clinically needed through observational learning and self-efficacy pathways.</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Local.</w:t>
      </w:r>
      <w:r w:rsidRPr="00CE3E81">
        <w:rPr>
          <w:rFonts w:ascii="Times New Roman" w:eastAsia="Times New Roman" w:hAnsi="Times New Roman" w:cs="Times New Roman"/>
          <w:color w:val="000000"/>
          <w:kern w:val="0"/>
        </w:rPr>
        <w:t xml:space="preserve"> Local studies on how exposure in inpatient/family practice affects the mindset of a future healthcare professional, but patient data regarding this and its influence on public perception is lacking.</w:t>
      </w:r>
    </w:p>
    <w:p w14:paraId="7C8B61D8"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lastRenderedPageBreak/>
        <w:t>(D) Economic Factors (Price, Insurance Coverage)</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Global.</w:t>
      </w:r>
      <w:r w:rsidRPr="00CE3E81">
        <w:rPr>
          <w:rFonts w:ascii="Times New Roman" w:eastAsia="Times New Roman" w:hAnsi="Times New Roman" w:cs="Times New Roman"/>
          <w:color w:val="000000"/>
          <w:kern w:val="0"/>
        </w:rPr>
        <w:t xml:space="preserve"> The affordability and access are important associations for adherence, utilization, and overall uptake; there exists a possibility of broadening the availability where clinical equivalence is appreciated with savings from the use of these biosimilars.</w:t>
      </w:r>
      <w:r w:rsidRPr="00CE3E81">
        <w:rPr>
          <w:rFonts w:ascii="Times New Roman" w:eastAsia="Times New Roman" w:hAnsi="Times New Roman" w:cs="Times New Roman"/>
          <w:color w:val="000000"/>
          <w:kern w:val="0"/>
        </w:rPr>
        <w:br/>
      </w:r>
      <w:r w:rsidRPr="00CE3E81">
        <w:rPr>
          <w:rFonts w:ascii="Times New Roman" w:eastAsia="Times New Roman" w:hAnsi="Times New Roman" w:cs="Times New Roman"/>
          <w:b/>
          <w:bCs/>
          <w:color w:val="000000"/>
          <w:kern w:val="0"/>
        </w:rPr>
        <w:t>Local.</w:t>
      </w:r>
      <w:r w:rsidRPr="00CE3E81">
        <w:rPr>
          <w:rFonts w:ascii="Times New Roman" w:eastAsia="Times New Roman" w:hAnsi="Times New Roman" w:cs="Times New Roman"/>
          <w:color w:val="000000"/>
          <w:kern w:val="0"/>
        </w:rPr>
        <w:t xml:space="preserve"> In Gulf settings, price sensitivity, payer policy, and procurement models are key levers in the regional consensus framework, while drug security and local manufacturing should be topics of policy discourse within Saudi Arabia.</w:t>
      </w:r>
    </w:p>
    <w:p w14:paraId="0A3596BB"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Behavioral Intention &amp; Adoption Outcomes</w:t>
      </w:r>
      <w:r w:rsidRPr="00CE3E81">
        <w:rPr>
          <w:rFonts w:ascii="Times New Roman" w:eastAsia="Times New Roman" w:hAnsi="Times New Roman" w:cs="Times New Roman"/>
          <w:color w:val="000000"/>
          <w:kern w:val="0"/>
        </w:rPr>
        <w:br/>
        <w:t>In turn, intention loads onto attitudes, perceived norms, and perceived behavioral control across contexts aligning with these thematic axes, providing a cohesive theoretical foundation for the present model.</w:t>
      </w:r>
    </w:p>
    <w:p w14:paraId="44E42FC4" w14:textId="77777777" w:rsidR="00CE3E81" w:rsidRPr="00CE3E81" w:rsidRDefault="00CE3E81" w:rsidP="00CE3E81">
      <w:pPr>
        <w:spacing w:before="100" w:beforeAutospacing="1" w:after="100" w:afterAutospacing="1" w:line="480" w:lineRule="auto"/>
        <w:outlineLvl w:val="2"/>
        <w:rPr>
          <w:rFonts w:ascii="Times New Roman" w:eastAsia="Times New Roman" w:hAnsi="Times New Roman" w:cs="Times New Roman"/>
          <w:b/>
          <w:bCs/>
          <w:color w:val="000000"/>
          <w:kern w:val="0"/>
          <w14:ligatures w14:val="none"/>
        </w:rPr>
      </w:pPr>
      <w:r w:rsidRPr="00CE3E81">
        <w:rPr>
          <w:rFonts w:ascii="Times New Roman" w:eastAsia="Times New Roman" w:hAnsi="Times New Roman" w:cs="Times New Roman"/>
          <w:b/>
          <w:bCs/>
          <w:color w:val="000000"/>
          <w:kern w:val="0"/>
          <w14:ligatures w14:val="none"/>
        </w:rPr>
        <w:t>2.2.4 Cross-Study Similarities and Differences</w:t>
      </w:r>
    </w:p>
    <w:p w14:paraId="01095603"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Similarities across contexts</w:t>
      </w:r>
    </w:p>
    <w:p w14:paraId="5E356277" w14:textId="77777777" w:rsidR="00CE3E81" w:rsidRPr="00CE3E81" w:rsidRDefault="00CE3E81" w:rsidP="00CE3E81">
      <w:pPr>
        <w:numPr>
          <w:ilvl w:val="0"/>
          <w:numId w:val="5"/>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Gaps in awareness are widespread and inversely associated with acceptance (Gibofsky et al.</w:t>
      </w:r>
    </w:p>
    <w:p w14:paraId="410F63F8" w14:textId="77777777" w:rsidR="00CE3E81" w:rsidRPr="00CE3E81" w:rsidRDefault="00CE3E81" w:rsidP="00CE3E81">
      <w:pPr>
        <w:numPr>
          <w:ilvl w:val="0"/>
          <w:numId w:val="5"/>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Trust, which includes health regulatory body and physician endorsement has been consistently linked to adoption intention.</w:t>
      </w:r>
    </w:p>
    <w:p w14:paraId="067B0640" w14:textId="77777777" w:rsidR="00CE3E81" w:rsidRPr="00CE3E81" w:rsidRDefault="00CE3E81" w:rsidP="00CE3E81">
      <w:pPr>
        <w:numPr>
          <w:ilvl w:val="0"/>
          <w:numId w:val="5"/>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rPr>
        <w:t>Prior experience (direct or vicarious) is linked to greater openness to biologics and therapeutic switching.</w:t>
      </w:r>
    </w:p>
    <w:p w14:paraId="38AB80F8" w14:textId="77777777" w:rsidR="00CE3E81" w:rsidRPr="00CE3E81" w:rsidRDefault="00CE3E81" w:rsidP="00CE3E81">
      <w:pPr>
        <w:numPr>
          <w:ilvl w:val="0"/>
          <w:numId w:val="5"/>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color w:val="000000"/>
          <w:kern w:val="0"/>
          <w14:ligatures w14:val="none"/>
        </w:rPr>
        <w:t>Affordability and insurance coverage materially affect access, adherence, and overall uptake.</w:t>
      </w:r>
    </w:p>
    <w:p w14:paraId="267F7B05" w14:textId="77777777" w:rsidR="00CE3E81" w:rsidRPr="00CE3E81" w:rsidRDefault="00CE3E81" w:rsidP="00CE3E81">
      <w:p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14:ligatures w14:val="none"/>
        </w:rPr>
        <w:lastRenderedPageBreak/>
        <w:t>Global evidence vs. KSA/GCC evidence</w:t>
      </w:r>
    </w:p>
    <w:p w14:paraId="039F28E4" w14:textId="77777777" w:rsidR="00CE3E81" w:rsidRPr="00CE3E81" w:rsidRDefault="00CE3E81" w:rsidP="00CE3E81">
      <w:pPr>
        <w:numPr>
          <w:ilvl w:val="0"/>
          <w:numId w:val="6"/>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Population focus:</w:t>
      </w:r>
      <w:r w:rsidRPr="00CE3E81">
        <w:rPr>
          <w:rFonts w:ascii="Times New Roman" w:eastAsia="Times New Roman" w:hAnsi="Times New Roman" w:cs="Times New Roman"/>
          <w:color w:val="000000"/>
          <w:kern w:val="0"/>
        </w:rPr>
        <w:t xml:space="preserve"> Global studies more likely include patient/public samples; Saudi/GCC work continues to be mostly provider-centric.</w:t>
      </w:r>
    </w:p>
    <w:p w14:paraId="0BF05D8A" w14:textId="77777777" w:rsidR="00CE3E81" w:rsidRPr="00CE3E81" w:rsidRDefault="00CE3E81" w:rsidP="00CE3E81">
      <w:pPr>
        <w:numPr>
          <w:ilvl w:val="0"/>
          <w:numId w:val="6"/>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rPr>
        <w:t>Cultural / economic context:</w:t>
      </w:r>
      <w:r w:rsidRPr="00CE3E81">
        <w:rPr>
          <w:rFonts w:ascii="Times New Roman" w:eastAsia="Times New Roman" w:hAnsi="Times New Roman" w:cs="Times New Roman"/>
          <w:color w:val="000000"/>
          <w:kern w:val="0"/>
        </w:rPr>
        <w:t xml:space="preserve"> KSA / GCC: The dominant cultural preference (imported brand image) and procurement/coverage structures outweigh any other societal criteria.</w:t>
      </w:r>
    </w:p>
    <w:p w14:paraId="1F413F24" w14:textId="77777777" w:rsidR="00CE3E81" w:rsidRPr="00CE3E81" w:rsidRDefault="00CE3E81" w:rsidP="00CE3E81">
      <w:pPr>
        <w:numPr>
          <w:ilvl w:val="0"/>
          <w:numId w:val="6"/>
        </w:numPr>
        <w:spacing w:before="100" w:beforeAutospacing="1" w:after="100" w:afterAutospacing="1" w:line="480" w:lineRule="auto"/>
        <w:rPr>
          <w:rFonts w:ascii="Times New Roman" w:eastAsia="Times New Roman" w:hAnsi="Times New Roman" w:cs="Times New Roman"/>
          <w:color w:val="000000"/>
          <w:kern w:val="0"/>
          <w14:ligatures w14:val="none"/>
        </w:rPr>
      </w:pPr>
      <w:r w:rsidRPr="00CE3E81">
        <w:rPr>
          <w:rFonts w:ascii="Times New Roman" w:eastAsia="Times New Roman" w:hAnsi="Times New Roman" w:cs="Times New Roman"/>
          <w:b/>
          <w:bCs/>
          <w:color w:val="000000"/>
          <w:kern w:val="0"/>
          <w14:ligatures w14:val="none"/>
        </w:rPr>
        <w:t>Policy relevance:</w:t>
      </w:r>
      <w:r w:rsidRPr="00CE3E81">
        <w:rPr>
          <w:rFonts w:ascii="Times New Roman" w:eastAsia="Times New Roman" w:hAnsi="Times New Roman" w:cs="Times New Roman"/>
          <w:color w:val="000000"/>
          <w:kern w:val="0"/>
          <w14:ligatures w14:val="none"/>
        </w:rPr>
        <w:t> National manufacturing and medicine-security goals intersect with adoption debates in Saudi Arabia.</w:t>
      </w:r>
    </w:p>
    <w:tbl>
      <w:tblPr>
        <w:tblStyle w:val="TableGrid"/>
        <w:tblW w:w="0" w:type="auto"/>
        <w:tblLook w:val="04A0" w:firstRow="1" w:lastRow="0" w:firstColumn="1" w:lastColumn="0" w:noHBand="0" w:noVBand="1"/>
      </w:tblPr>
      <w:tblGrid>
        <w:gridCol w:w="1520"/>
        <w:gridCol w:w="2534"/>
        <w:gridCol w:w="2997"/>
        <w:gridCol w:w="2299"/>
      </w:tblGrid>
      <w:tr w:rsidR="00CE3E81" w:rsidRPr="00CE3E81" w14:paraId="377693CB" w14:textId="77777777" w:rsidTr="00AB172B">
        <w:tc>
          <w:tcPr>
            <w:tcW w:w="0" w:type="auto"/>
            <w:vAlign w:val="center"/>
            <w:hideMark/>
          </w:tcPr>
          <w:p w14:paraId="252010E9"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p>
        </w:tc>
        <w:tc>
          <w:tcPr>
            <w:tcW w:w="0" w:type="auto"/>
            <w:vAlign w:val="center"/>
            <w:hideMark/>
          </w:tcPr>
          <w:p w14:paraId="5A358366"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r w:rsidRPr="00CE3E81">
              <w:rPr>
                <w:rFonts w:ascii="Times New Roman" w:eastAsia="Times New Roman" w:hAnsi="Times New Roman" w:cs="Times New Roman"/>
                <w:b/>
                <w:bCs/>
                <w:kern w:val="0"/>
                <w14:ligatures w14:val="none"/>
              </w:rPr>
              <w:t>Key global findings</w:t>
            </w:r>
          </w:p>
        </w:tc>
        <w:tc>
          <w:tcPr>
            <w:tcW w:w="0" w:type="auto"/>
            <w:vAlign w:val="center"/>
            <w:hideMark/>
          </w:tcPr>
          <w:p w14:paraId="51FEC834"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r w:rsidRPr="00CE3E81">
              <w:rPr>
                <w:rFonts w:ascii="Times New Roman" w:eastAsia="Times New Roman" w:hAnsi="Times New Roman" w:cs="Times New Roman"/>
                <w:b/>
                <w:bCs/>
                <w:kern w:val="0"/>
                <w14:ligatures w14:val="none"/>
              </w:rPr>
              <w:t>Key KSA/GCC findings</w:t>
            </w:r>
          </w:p>
        </w:tc>
        <w:tc>
          <w:tcPr>
            <w:tcW w:w="0" w:type="auto"/>
            <w:vAlign w:val="center"/>
            <w:hideMark/>
          </w:tcPr>
          <w:p w14:paraId="36535F2A" w14:textId="77777777" w:rsidR="00CE3E81" w:rsidRPr="00CE3E81" w:rsidRDefault="00CE3E81" w:rsidP="00CE3E81">
            <w:pPr>
              <w:spacing w:line="480" w:lineRule="auto"/>
              <w:rPr>
                <w:rFonts w:ascii="Times New Roman" w:eastAsia="Times New Roman" w:hAnsi="Times New Roman" w:cs="Times New Roman"/>
                <w:b/>
                <w:bCs/>
                <w:kern w:val="0"/>
                <w14:ligatures w14:val="none"/>
              </w:rPr>
            </w:pPr>
            <w:r w:rsidRPr="00CE3E81">
              <w:rPr>
                <w:rFonts w:ascii="Times New Roman" w:eastAsia="Times New Roman" w:hAnsi="Times New Roman" w:cs="Times New Roman"/>
                <w:b/>
                <w:bCs/>
                <w:kern w:val="0"/>
                <w14:ligatures w14:val="none"/>
              </w:rPr>
              <w:t>Implication for present study</w:t>
            </w:r>
          </w:p>
        </w:tc>
      </w:tr>
      <w:tr w:rsidR="00CE3E81" w:rsidRPr="00CE3E81" w14:paraId="4F651C81" w14:textId="77777777" w:rsidTr="00AB172B">
        <w:tc>
          <w:tcPr>
            <w:tcW w:w="0" w:type="auto"/>
            <w:vAlign w:val="center"/>
            <w:hideMark/>
          </w:tcPr>
          <w:p w14:paraId="5B109BCD"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Awareness &amp; Knowledge</w:t>
            </w:r>
          </w:p>
        </w:tc>
        <w:tc>
          <w:tcPr>
            <w:tcW w:w="0" w:type="auto"/>
            <w:vAlign w:val="center"/>
            <w:hideMark/>
          </w:tcPr>
          <w:p w14:paraId="2735E523"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Public awareness is low; education reduces barriers (Barbier et al., 2020; Gibofsky et al., 2023; Wu et al., 2023)</w:t>
            </w:r>
          </w:p>
        </w:tc>
        <w:tc>
          <w:tcPr>
            <w:tcW w:w="0" w:type="auto"/>
            <w:vAlign w:val="center"/>
            <w:hideMark/>
          </w:tcPr>
          <w:p w14:paraId="59A42523"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Low levels of understanding/awareness in practice, need for education (Alanazi et al., 2024; Almutairi et al., 2023; Qahtani et al., 2024)</w:t>
            </w:r>
          </w:p>
        </w:tc>
        <w:tc>
          <w:tcPr>
            <w:tcW w:w="0" w:type="auto"/>
            <w:vAlign w:val="center"/>
            <w:hideMark/>
          </w:tcPr>
          <w:p w14:paraId="09319D1D"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Measure it properly and test if it increases intentionico systemFontOfSize.</w:t>
            </w:r>
          </w:p>
        </w:tc>
      </w:tr>
      <w:tr w:rsidR="00CE3E81" w:rsidRPr="00CE3E81" w14:paraId="5AA12951" w14:textId="77777777" w:rsidTr="00AB172B">
        <w:tc>
          <w:tcPr>
            <w:tcW w:w="0" w:type="auto"/>
            <w:vAlign w:val="center"/>
            <w:hideMark/>
          </w:tcPr>
          <w:p w14:paraId="750358D4"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Trust &amp; Endorsement</w:t>
            </w:r>
          </w:p>
        </w:tc>
        <w:tc>
          <w:tcPr>
            <w:tcW w:w="0" w:type="auto"/>
            <w:vAlign w:val="center"/>
            <w:hideMark/>
          </w:tcPr>
          <w:p w14:paraId="1C73A04C"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Regulatory/physician endorsement drives uptake (Rieger et al., 2024; Shubow et al., 2023)</w:t>
            </w:r>
          </w:p>
        </w:tc>
        <w:tc>
          <w:tcPr>
            <w:tcW w:w="0" w:type="auto"/>
            <w:vAlign w:val="center"/>
            <w:hideMark/>
          </w:tcPr>
          <w:p w14:paraId="1AD95103"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Trust in SFDA and clear national guidelines are key drivers (Almutairi et al., 2023; Qahtani et al., 2024)</w:t>
            </w:r>
          </w:p>
        </w:tc>
        <w:tc>
          <w:tcPr>
            <w:tcW w:w="0" w:type="auto"/>
            <w:vAlign w:val="center"/>
            <w:hideMark/>
          </w:tcPr>
          <w:p w14:paraId="1E05ABEB"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Healthy skepticism: trust in product, manufacturer, regulator, clinician.</w:t>
            </w:r>
          </w:p>
        </w:tc>
      </w:tr>
      <w:tr w:rsidR="00CE3E81" w:rsidRPr="00CE3E81" w14:paraId="08379D80" w14:textId="77777777" w:rsidTr="00AB172B">
        <w:tc>
          <w:tcPr>
            <w:tcW w:w="0" w:type="auto"/>
            <w:vAlign w:val="center"/>
            <w:hideMark/>
          </w:tcPr>
          <w:p w14:paraId="73BAE52F"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Prior Experience</w:t>
            </w:r>
          </w:p>
        </w:tc>
        <w:tc>
          <w:tcPr>
            <w:tcW w:w="0" w:type="auto"/>
            <w:vAlign w:val="center"/>
            <w:hideMark/>
          </w:tcPr>
          <w:p w14:paraId="63F73754"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 xml:space="preserve">Experience reduces uncertainty; increases </w:t>
            </w:r>
            <w:r w:rsidRPr="00CE3E81">
              <w:rPr>
                <w:rFonts w:ascii="Times New Roman" w:eastAsia="Times New Roman" w:hAnsi="Times New Roman" w:cs="Times New Roman"/>
                <w:kern w:val="0"/>
                <w14:ligatures w14:val="none"/>
              </w:rPr>
              <w:lastRenderedPageBreak/>
              <w:t>willingness and switching (Mysler et al., 2021; Wu et al., 2023)</w:t>
            </w:r>
          </w:p>
        </w:tc>
        <w:tc>
          <w:tcPr>
            <w:tcW w:w="0" w:type="auto"/>
            <w:vAlign w:val="center"/>
            <w:hideMark/>
          </w:tcPr>
          <w:p w14:paraId="1E128A14"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lastRenderedPageBreak/>
              <w:t>Prior experience is not measured at public-level</w:t>
            </w:r>
          </w:p>
        </w:tc>
        <w:tc>
          <w:tcPr>
            <w:tcW w:w="0" w:type="auto"/>
            <w:vAlign w:val="center"/>
            <w:hideMark/>
          </w:tcPr>
          <w:p w14:paraId="4847DEB5"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 xml:space="preserve">Scarce of evidence from cross-national </w:t>
            </w:r>
            <w:r w:rsidRPr="00CE3E81">
              <w:rPr>
                <w:rFonts w:ascii="Times New Roman" w:eastAsia="Times New Roman" w:hAnsi="Times New Roman" w:cs="Times New Roman"/>
                <w:kern w:val="0"/>
                <w14:ligatures w14:val="none"/>
              </w:rPr>
              <w:lastRenderedPageBreak/>
              <w:t>study to capture direct/indirect prior exposure among the public.</w:t>
            </w:r>
          </w:p>
        </w:tc>
      </w:tr>
      <w:tr w:rsidR="00CE3E81" w:rsidRPr="00CE3E81" w14:paraId="782F0357" w14:textId="77777777" w:rsidTr="00AB172B">
        <w:tc>
          <w:tcPr>
            <w:tcW w:w="0" w:type="auto"/>
            <w:vAlign w:val="center"/>
            <w:hideMark/>
          </w:tcPr>
          <w:p w14:paraId="58A1DF83"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lastRenderedPageBreak/>
              <w:t>Economic Factors</w:t>
            </w:r>
          </w:p>
        </w:tc>
        <w:tc>
          <w:tcPr>
            <w:tcW w:w="0" w:type="auto"/>
            <w:vAlign w:val="center"/>
            <w:hideMark/>
          </w:tcPr>
          <w:p w14:paraId="55087E47"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Cost/coverage drive access and adherence (Kvien et al., 2025;</w:t>
            </w:r>
          </w:p>
        </w:tc>
        <w:tc>
          <w:tcPr>
            <w:tcW w:w="0" w:type="auto"/>
            <w:vAlign w:val="center"/>
            <w:hideMark/>
          </w:tcPr>
          <w:p w14:paraId="41E153E4"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Price sensitivity, payer policy, and procurement models are salient; local manufacturing tied to drug security (Alnaqbi et al., 2025; Tawfik et al., 2022)</w:t>
            </w:r>
          </w:p>
        </w:tc>
        <w:tc>
          <w:tcPr>
            <w:tcW w:w="0" w:type="auto"/>
            <w:vAlign w:val="center"/>
            <w:hideMark/>
          </w:tcPr>
          <w:p w14:paraId="7C5C3375"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Model affordability, insurance coverage and availability into perceived control</w:t>
            </w:r>
          </w:p>
        </w:tc>
      </w:tr>
      <w:tr w:rsidR="00CE3E81" w:rsidRPr="00CE3E81" w14:paraId="2BDF9C36" w14:textId="77777777" w:rsidTr="00AB172B">
        <w:tc>
          <w:tcPr>
            <w:tcW w:w="0" w:type="auto"/>
            <w:vAlign w:val="center"/>
            <w:hideMark/>
          </w:tcPr>
          <w:p w14:paraId="3EA019C4"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Behavioral Intention</w:t>
            </w:r>
          </w:p>
        </w:tc>
        <w:tc>
          <w:tcPr>
            <w:tcW w:w="0" w:type="auto"/>
            <w:vAlign w:val="center"/>
            <w:hideMark/>
          </w:tcPr>
          <w:p w14:paraId="1F09431B"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Theory of Planned Behavior (TPB) constructs, Behavioral Intention align with adoption drivers(Ajzen, 2020)</w:t>
            </w:r>
          </w:p>
        </w:tc>
        <w:tc>
          <w:tcPr>
            <w:tcW w:w="0" w:type="auto"/>
            <w:vAlign w:val="center"/>
            <w:hideMark/>
          </w:tcPr>
          <w:p w14:paraId="4160208D"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w:t>
            </w:r>
          </w:p>
        </w:tc>
        <w:tc>
          <w:tcPr>
            <w:tcW w:w="0" w:type="auto"/>
            <w:vAlign w:val="center"/>
            <w:hideMark/>
          </w:tcPr>
          <w:p w14:paraId="1FCD8E7A" w14:textId="77777777" w:rsidR="00CE3E81" w:rsidRPr="00CE3E81" w:rsidRDefault="00CE3E81" w:rsidP="00CE3E81">
            <w:pPr>
              <w:spacing w:line="480" w:lineRule="auto"/>
              <w:rPr>
                <w:rFonts w:ascii="Times New Roman" w:eastAsia="Times New Roman" w:hAnsi="Times New Roman" w:cs="Times New Roman"/>
                <w:kern w:val="0"/>
                <w14:ligatures w14:val="none"/>
              </w:rPr>
            </w:pPr>
            <w:r w:rsidRPr="00CE3E81">
              <w:rPr>
                <w:rFonts w:ascii="Times New Roman" w:eastAsia="Times New Roman" w:hAnsi="Times New Roman" w:cs="Times New Roman"/>
                <w:kern w:val="0"/>
                <w14:ligatures w14:val="none"/>
              </w:rPr>
              <w:t>Use TPB framing it poses the hypotheses and analysis structure</w:t>
            </w:r>
          </w:p>
        </w:tc>
      </w:tr>
    </w:tbl>
    <w:p w14:paraId="3C789ECE" w14:textId="77777777" w:rsidR="00CE3E81" w:rsidRPr="00CE3E81" w:rsidRDefault="00CE3E81" w:rsidP="00CE3E81">
      <w:pPr>
        <w:spacing w:after="0" w:line="480" w:lineRule="auto"/>
        <w:ind w:firstLine="720"/>
        <w:rPr>
          <w:rFonts w:ascii="Times New Roman" w:eastAsia="Times New Roman" w:hAnsi="Times New Roman" w:cs="Times New Roman"/>
          <w:color w:val="000000"/>
          <w:kern w:val="0"/>
          <w:sz w:val="20"/>
          <w:szCs w:val="20"/>
        </w:rPr>
      </w:pPr>
      <w:r w:rsidRPr="00CE3E81">
        <w:rPr>
          <w:rFonts w:ascii="Times New Roman" w:eastAsia="Times New Roman" w:hAnsi="Times New Roman" w:cs="Times New Roman"/>
          <w:color w:val="000000"/>
          <w:kern w:val="0"/>
          <w:sz w:val="20"/>
          <w:szCs w:val="20"/>
        </w:rPr>
        <w:t>Table 2.1. Thematic synthesis of prior studies and implications for KSA</w:t>
      </w:r>
    </w:p>
    <w:p w14:paraId="7A7120D8" w14:textId="77777777" w:rsidR="00CE3E81" w:rsidRPr="00CE3E81" w:rsidRDefault="00CE3E81" w:rsidP="00CE3E81">
      <w:pPr>
        <w:spacing w:after="0" w:line="480" w:lineRule="auto"/>
        <w:ind w:firstLine="720"/>
        <w:rPr>
          <w:rFonts w:ascii="Times New Roman" w:eastAsia="SimSun" w:hAnsi="Times New Roman" w:cs="Times New Roman"/>
          <w:kern w:val="0"/>
          <w:sz w:val="20"/>
          <w:szCs w:val="20"/>
          <w:lang w:eastAsia="zh-CN"/>
          <w14:ligatures w14:val="none"/>
        </w:rPr>
      </w:pPr>
    </w:p>
    <w:p w14:paraId="610600C4"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2.3 Critique of Existing Literature</w:t>
      </w:r>
    </w:p>
    <w:p w14:paraId="3E585A9C"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Existing literature depicts numerous limitations. Most explorations conducted in KSA and the Gulf region engaged clinicians. Nonen focused on acquiring the general public's opinions on biological products. End-user perceptions remain unexplored. Another unexamined aspect is the role of contextual and cultural influences on the decision to adopt biologics in KSA. Methodological issues include small, nonrepresentative samples and reliance on cross-sectional </w:t>
      </w:r>
      <w:r w:rsidRPr="00CE3E81">
        <w:rPr>
          <w:rFonts w:ascii="Times New Roman" w:eastAsia="SimSun" w:hAnsi="Times New Roman" w:cs="Times New Roman"/>
          <w:kern w:val="0"/>
          <w:lang w:val="en-US"/>
        </w:rPr>
        <w:lastRenderedPageBreak/>
        <w:t>surveys. Most current literature analyzes a single variable in isolation. By doing so, they fail to determine how the four independent variables covered in this exploration influence behavioral intention to use LMBs in KSA. Finally, existing literature emphasizes cost-saving strategies while undermining psychological barriers impeding LMBs' adoption in Saudi Arabia.</w:t>
      </w:r>
    </w:p>
    <w:p w14:paraId="5E98F2BA"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2.4 Chapter Summary</w:t>
      </w:r>
    </w:p>
    <w:p w14:paraId="2CA4C487"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The chapter synthesizes theory and evidence to support the investigation of public acceptance of LMBs. Reviewing various theoretical models revealed that awareness, social endorsement, perceived control, and prior experience shape intention. The existing empirical literature worldwide indicates a low level of public awareness of biological products. Most people rely on the trust and recommendations of physicians before adopting or using various medical products. Experienced patients or family members show a high willingness to adopt biological products. Costs and insurance coverage influence the availability and accessibility of LMBs, affecting their adoption and usage. Regional explorations reveal modest knowledge and attitudes among providers regarding the use of LMBs. Public data on attitudes and overall perceptions of using LMBs is lacking. Cultural factors might be valuable in shaping people's utilization of LMBs in KSA. The conceptual framework incorporates all these insights and identifies demographic moderators. Therefore, the review sets the stage for a theory-driven investigation of adoption behavior. </w:t>
      </w:r>
    </w:p>
    <w:p w14:paraId="48144BA7" w14:textId="77777777" w:rsidR="00CE3E81" w:rsidRPr="00CE3E81" w:rsidRDefault="00CE3E81" w:rsidP="00CE3E81">
      <w:pPr>
        <w:spacing w:after="0" w:line="480" w:lineRule="auto"/>
        <w:outlineLvl w:val="0"/>
        <w:rPr>
          <w:rFonts w:ascii="Times New Roman" w:eastAsia="Times New Roman" w:hAnsi="Times New Roman" w:cs="Times New Roman"/>
          <w:color w:val="000000"/>
          <w:kern w:val="36"/>
          <w:lang w:val="en-US" w:eastAsia="zh-CN"/>
          <w14:ligatures w14:val="none"/>
        </w:rPr>
      </w:pPr>
      <w:r w:rsidRPr="00CE3E81">
        <w:rPr>
          <w:rFonts w:ascii="Times New Roman" w:eastAsia="Times New Roman" w:hAnsi="Times New Roman" w:cs="Times New Roman"/>
          <w:b/>
          <w:bCs/>
          <w:color w:val="000000"/>
          <w:kern w:val="36"/>
          <w:lang w:val="en-US" w:eastAsia="zh-CN"/>
          <w14:ligatures w14:val="none"/>
        </w:rPr>
        <w:t>2.5 Research Gap</w:t>
      </w:r>
    </w:p>
    <w:p w14:paraId="4DA732FD" w14:textId="77777777" w:rsidR="00CE3E81" w:rsidRPr="00CE3E81" w:rsidRDefault="00CE3E81" w:rsidP="00CE3E81">
      <w:pPr>
        <w:spacing w:after="0" w:line="480" w:lineRule="auto"/>
        <w:ind w:firstLine="720"/>
        <w:rPr>
          <w:rFonts w:ascii="Times New Roman" w:eastAsia="SimSun" w:hAnsi="Times New Roman" w:cs="Times New Roman"/>
          <w:kern w:val="0"/>
          <w:lang w:val="en-US" w:eastAsia="zh-CN"/>
          <w14:ligatures w14:val="none"/>
        </w:rPr>
      </w:pPr>
      <w:r w:rsidRPr="00CE3E81">
        <w:rPr>
          <w:rFonts w:ascii="Times New Roman" w:eastAsia="SimSun" w:hAnsi="Times New Roman" w:cs="Times New Roman"/>
          <w:kern w:val="0"/>
          <w:lang w:val="en-US"/>
        </w:rPr>
        <w:t xml:space="preserve">Locally and internationally, there is a growing interest in biopharmaceutical localization. Within KSA, the correlation with Vision 2030 calls for efforts to support this initiative. However, no investigation has assessed the Saudi's public readiness to use LMBs. Prevailing research focuses on clinicians or small patient groups. As such, existing literature provides little </w:t>
      </w:r>
      <w:r w:rsidRPr="00CE3E81">
        <w:rPr>
          <w:rFonts w:ascii="Times New Roman" w:eastAsia="SimSun" w:hAnsi="Times New Roman" w:cs="Times New Roman"/>
          <w:kern w:val="0"/>
          <w:lang w:val="en-US"/>
        </w:rPr>
        <w:lastRenderedPageBreak/>
        <w:t>to no valuable insights into the general public's attitudes on LMBs. The integrated implications of awareness, trust, experience, and economic factors remain uncovered in empirical studies within KSA. Cultural variances might influence these factors, indicating the need for regional research in this area. Most explorations in the area predate recent developments, particularly the pandemic, suggesting that they may not accurately reflect current views. Ultimately, this study will tackle this gap by adopting a comprehensive theoretical model to measure and analyze public adoption intentions on LMBs.</w:t>
      </w:r>
    </w:p>
    <w:p w14:paraId="421B764E" w14:textId="77777777" w:rsidR="0096697F" w:rsidRDefault="0096697F"/>
    <w:sectPr w:rsidR="009669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C24"/>
    <w:multiLevelType w:val="multilevel"/>
    <w:tmpl w:val="2BD2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B1D61"/>
    <w:multiLevelType w:val="multilevel"/>
    <w:tmpl w:val="B50E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B3846"/>
    <w:multiLevelType w:val="multilevel"/>
    <w:tmpl w:val="3DF8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41B41"/>
    <w:multiLevelType w:val="multilevel"/>
    <w:tmpl w:val="6840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9F5788"/>
    <w:multiLevelType w:val="multilevel"/>
    <w:tmpl w:val="91B8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B40D0"/>
    <w:multiLevelType w:val="multilevel"/>
    <w:tmpl w:val="4FF4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A3197"/>
    <w:multiLevelType w:val="multilevel"/>
    <w:tmpl w:val="4E5C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DA6E07"/>
    <w:multiLevelType w:val="multilevel"/>
    <w:tmpl w:val="A724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E2156"/>
    <w:multiLevelType w:val="multilevel"/>
    <w:tmpl w:val="185E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A24E4"/>
    <w:multiLevelType w:val="multilevel"/>
    <w:tmpl w:val="F798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AD5136"/>
    <w:multiLevelType w:val="multilevel"/>
    <w:tmpl w:val="736A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438927">
    <w:abstractNumId w:val="5"/>
  </w:num>
  <w:num w:numId="2" w16cid:durableId="328945966">
    <w:abstractNumId w:val="9"/>
  </w:num>
  <w:num w:numId="3" w16cid:durableId="190533031">
    <w:abstractNumId w:val="1"/>
  </w:num>
  <w:num w:numId="4" w16cid:durableId="1251506372">
    <w:abstractNumId w:val="10"/>
  </w:num>
  <w:num w:numId="5" w16cid:durableId="1198202232">
    <w:abstractNumId w:val="2"/>
  </w:num>
  <w:num w:numId="6" w16cid:durableId="59988143">
    <w:abstractNumId w:val="7"/>
  </w:num>
  <w:num w:numId="7" w16cid:durableId="1037897813">
    <w:abstractNumId w:val="0"/>
  </w:num>
  <w:num w:numId="8" w16cid:durableId="1123842550">
    <w:abstractNumId w:val="6"/>
  </w:num>
  <w:num w:numId="9" w16cid:durableId="1139882306">
    <w:abstractNumId w:val="3"/>
  </w:num>
  <w:num w:numId="10" w16cid:durableId="1460297541">
    <w:abstractNumId w:val="8"/>
  </w:num>
  <w:num w:numId="11" w16cid:durableId="20469041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81"/>
    <w:rsid w:val="000C2CE8"/>
    <w:rsid w:val="00157DB5"/>
    <w:rsid w:val="00236F2A"/>
    <w:rsid w:val="00932BFC"/>
    <w:rsid w:val="0096697F"/>
    <w:rsid w:val="00C34BB5"/>
    <w:rsid w:val="00CE3E81"/>
    <w:rsid w:val="00F02E37"/>
    <w:rsid w:val="00F2343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F96424E"/>
  <w15:chartTrackingRefBased/>
  <w15:docId w15:val="{CC8206F2-4E7F-CD42-9090-E87BFE2D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E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3E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3E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3E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3E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3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E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3E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3E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3E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3E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3E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E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E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E81"/>
    <w:rPr>
      <w:rFonts w:eastAsiaTheme="majorEastAsia" w:cstheme="majorBidi"/>
      <w:color w:val="272727" w:themeColor="text1" w:themeTint="D8"/>
    </w:rPr>
  </w:style>
  <w:style w:type="paragraph" w:styleId="Title">
    <w:name w:val="Title"/>
    <w:basedOn w:val="Normal"/>
    <w:next w:val="Normal"/>
    <w:link w:val="TitleChar"/>
    <w:uiPriority w:val="10"/>
    <w:qFormat/>
    <w:rsid w:val="00CE3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E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E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E81"/>
    <w:pPr>
      <w:spacing w:before="160"/>
      <w:jc w:val="center"/>
    </w:pPr>
    <w:rPr>
      <w:i/>
      <w:iCs/>
      <w:color w:val="404040" w:themeColor="text1" w:themeTint="BF"/>
    </w:rPr>
  </w:style>
  <w:style w:type="character" w:customStyle="1" w:styleId="QuoteChar">
    <w:name w:val="Quote Char"/>
    <w:basedOn w:val="DefaultParagraphFont"/>
    <w:link w:val="Quote"/>
    <w:uiPriority w:val="29"/>
    <w:rsid w:val="00CE3E81"/>
    <w:rPr>
      <w:i/>
      <w:iCs/>
      <w:color w:val="404040" w:themeColor="text1" w:themeTint="BF"/>
    </w:rPr>
  </w:style>
  <w:style w:type="paragraph" w:styleId="ListParagraph">
    <w:name w:val="List Paragraph"/>
    <w:basedOn w:val="Normal"/>
    <w:uiPriority w:val="34"/>
    <w:qFormat/>
    <w:rsid w:val="00CE3E81"/>
    <w:pPr>
      <w:ind w:left="720"/>
      <w:contextualSpacing/>
    </w:pPr>
  </w:style>
  <w:style w:type="character" w:styleId="IntenseEmphasis">
    <w:name w:val="Intense Emphasis"/>
    <w:basedOn w:val="DefaultParagraphFont"/>
    <w:uiPriority w:val="21"/>
    <w:qFormat/>
    <w:rsid w:val="00CE3E81"/>
    <w:rPr>
      <w:i/>
      <w:iCs/>
      <w:color w:val="2F5496" w:themeColor="accent1" w:themeShade="BF"/>
    </w:rPr>
  </w:style>
  <w:style w:type="paragraph" w:styleId="IntenseQuote">
    <w:name w:val="Intense Quote"/>
    <w:basedOn w:val="Normal"/>
    <w:next w:val="Normal"/>
    <w:link w:val="IntenseQuoteChar"/>
    <w:uiPriority w:val="30"/>
    <w:qFormat/>
    <w:rsid w:val="00CE3E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3E81"/>
    <w:rPr>
      <w:i/>
      <w:iCs/>
      <w:color w:val="2F5496" w:themeColor="accent1" w:themeShade="BF"/>
    </w:rPr>
  </w:style>
  <w:style w:type="character" w:styleId="IntenseReference">
    <w:name w:val="Intense Reference"/>
    <w:basedOn w:val="DefaultParagraphFont"/>
    <w:uiPriority w:val="32"/>
    <w:qFormat/>
    <w:rsid w:val="00CE3E81"/>
    <w:rPr>
      <w:b/>
      <w:bCs/>
      <w:smallCaps/>
      <w:color w:val="2F5496" w:themeColor="accent1" w:themeShade="BF"/>
      <w:spacing w:val="5"/>
    </w:rPr>
  </w:style>
  <w:style w:type="table" w:styleId="TableGrid">
    <w:name w:val="Table Grid"/>
    <w:basedOn w:val="TableNormal"/>
    <w:uiPriority w:val="39"/>
    <w:rsid w:val="00CE3E8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5192</Words>
  <Characters>33125</Characters>
  <Application>Microsoft Office Word</Application>
  <DocSecurity>0</DocSecurity>
  <Lines>581</Lines>
  <Paragraphs>186</Paragraphs>
  <ScaleCrop>false</ScaleCrop>
  <Company/>
  <LinksUpToDate>false</LinksUpToDate>
  <CharactersWithSpaces>38131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 Saad</dc:creator>
  <cp:keywords/>
  <dc:description/>
  <cp:lastModifiedBy>Ruba Saad</cp:lastModifiedBy>
  <cp:revision>1</cp:revision>
  <dcterms:created xsi:type="dcterms:W3CDTF">2025-08-15T18:26:00Z</dcterms:created>
  <dcterms:modified xsi:type="dcterms:W3CDTF">2025-08-15T18:26:00Z</dcterms:modified>
</cp:coreProperties>
</file>