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0E6F6" w14:textId="393D3EC2" w:rsidR="004A4263" w:rsidRPr="005F0DA9" w:rsidRDefault="00DA72CE" w:rsidP="005A03DD">
      <w:pPr>
        <w:bidi/>
        <w:spacing w:line="240" w:lineRule="auto"/>
        <w:ind w:hanging="283"/>
        <w:jc w:val="both"/>
        <w:rPr>
          <w:rFonts w:ascii="ae_Cortoba" w:hAnsi="ae_Cortoba" w:cs="ae_Cortoba"/>
          <w:b/>
          <w:bCs/>
          <w:sz w:val="44"/>
          <w:szCs w:val="44"/>
          <w:rtl/>
        </w:rPr>
      </w:pPr>
      <w:r w:rsidRPr="005F0DA9">
        <w:rPr>
          <w:rFonts w:ascii="Times New Roman"/>
          <w:b/>
          <w:noProof/>
          <w:szCs w:val="24"/>
        </w:rPr>
        <w:drawing>
          <wp:anchor distT="0" distB="0" distL="114300" distR="114300" simplePos="0" relativeHeight="251657221" behindDoc="0" locked="0" layoutInCell="1" allowOverlap="1" wp14:anchorId="779CD136" wp14:editId="005791F1">
            <wp:simplePos x="0" y="0"/>
            <wp:positionH relativeFrom="margin">
              <wp:posOffset>-123494</wp:posOffset>
            </wp:positionH>
            <wp:positionV relativeFrom="margin">
              <wp:posOffset>108916</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6670B42" w14:textId="787846B3" w:rsidR="00BF318A" w:rsidRPr="005F0DA9" w:rsidRDefault="00BF318A" w:rsidP="004A4263">
      <w:pPr>
        <w:bidi/>
        <w:spacing w:line="240" w:lineRule="auto"/>
        <w:ind w:hanging="283"/>
        <w:jc w:val="both"/>
        <w:rPr>
          <w:rFonts w:ascii="ae_Cortoba" w:hAnsi="ae_Cortoba" w:cs="ae_Cortoba"/>
          <w:b/>
          <w:bCs/>
          <w:sz w:val="44"/>
          <w:szCs w:val="44"/>
          <w:rtl/>
        </w:rPr>
      </w:pPr>
    </w:p>
    <w:p w14:paraId="5D36517B" w14:textId="7957E9D5" w:rsidR="005A03DD" w:rsidRPr="005F0DA9" w:rsidRDefault="00926624" w:rsidP="00DA72CE">
      <w:pPr>
        <w:bidi/>
        <w:spacing w:line="240" w:lineRule="auto"/>
        <w:ind w:hanging="283"/>
        <w:jc w:val="center"/>
        <w:rPr>
          <w:rFonts w:ascii="Traditional Arabic" w:hAnsi="Traditional Arabic" w:cs="Traditional Arabic"/>
          <w:b/>
          <w:bCs/>
          <w:sz w:val="34"/>
          <w:szCs w:val="34"/>
          <w:rtl/>
          <w:lang w:bidi="ar-JO"/>
        </w:rPr>
      </w:pPr>
      <w:r w:rsidRPr="005F0DA9">
        <w:rPr>
          <w:rFonts w:ascii="Traditional Arabic" w:hAnsi="Traditional Arabic" w:cs="Traditional Arabic"/>
          <w:b/>
          <w:bCs/>
          <w:sz w:val="34"/>
          <w:szCs w:val="34"/>
          <w:rtl/>
          <w:lang w:bidi="ar-JO"/>
        </w:rPr>
        <w:t xml:space="preserve">جامعة </w:t>
      </w:r>
      <w:proofErr w:type="spellStart"/>
      <w:r w:rsidRPr="005F0DA9">
        <w:rPr>
          <w:rFonts w:ascii="Traditional Arabic" w:hAnsi="Traditional Arabic" w:cs="Traditional Arabic"/>
          <w:b/>
          <w:bCs/>
          <w:sz w:val="34"/>
          <w:szCs w:val="34"/>
          <w:rtl/>
          <w:lang w:bidi="ar-JO"/>
        </w:rPr>
        <w:t>ميدأوشن</w:t>
      </w:r>
      <w:proofErr w:type="spellEnd"/>
    </w:p>
    <w:p w14:paraId="4B49EC41" w14:textId="77777777" w:rsidR="00BF318A" w:rsidRPr="005F0DA9" w:rsidRDefault="00FE6605" w:rsidP="00DA72CE">
      <w:pPr>
        <w:pStyle w:val="NormalWeb"/>
        <w:bidi/>
        <w:spacing w:before="0" w:beforeAutospacing="0" w:after="0" w:afterAutospacing="0" w:line="480" w:lineRule="auto"/>
        <w:ind w:right="142"/>
        <w:jc w:val="center"/>
        <w:rPr>
          <w:rFonts w:ascii="Traditional Arabic" w:hAnsi="Traditional Arabic" w:cs="Traditional Arabic"/>
          <w:b/>
          <w:bCs/>
          <w:sz w:val="34"/>
          <w:szCs w:val="34"/>
          <w:rtl/>
        </w:rPr>
      </w:pPr>
      <w:r w:rsidRPr="005F0DA9">
        <w:rPr>
          <w:rFonts w:ascii="Traditional Arabic" w:hAnsi="Traditional Arabic" w:cs="Traditional Arabic"/>
          <w:b/>
          <w:bCs/>
          <w:sz w:val="34"/>
          <w:szCs w:val="34"/>
          <w:rtl/>
          <w:lang w:bidi="ar-JO"/>
        </w:rPr>
        <w:t>كلية الادارة</w:t>
      </w:r>
    </w:p>
    <w:p w14:paraId="37A7A08F" w14:textId="77777777" w:rsidR="00840C0F" w:rsidRPr="005F0DA9" w:rsidRDefault="003D0F39" w:rsidP="00CE5C57">
      <w:pPr>
        <w:pStyle w:val="NormalWeb"/>
        <w:bidi/>
        <w:spacing w:before="0" w:beforeAutospacing="0" w:after="0" w:afterAutospacing="0" w:line="480" w:lineRule="auto"/>
        <w:ind w:right="-270"/>
        <w:jc w:val="center"/>
        <w:rPr>
          <w:rFonts w:ascii="Sakkal Majalla" w:hAnsi="Sakkal Majalla" w:cs="Sakkal Majalla"/>
          <w:b/>
          <w:bCs/>
          <w:sz w:val="34"/>
          <w:szCs w:val="38"/>
          <w:rtl/>
        </w:rPr>
      </w:pPr>
      <w:r w:rsidRPr="005F0DA9">
        <w:rPr>
          <w:rFonts w:ascii="Sakkal Majalla" w:hAnsi="Sakkal Majalla" w:cs="Sakkal Majalla"/>
          <w:b/>
          <w:bCs/>
          <w:sz w:val="34"/>
          <w:szCs w:val="38"/>
          <w:rtl/>
        </w:rPr>
        <w:t xml:space="preserve">دور التميز المؤسسي في تعزيز إدارة الموارد البشرية والأداء المؤسسي: دراسة تطبيقية ميدانية على الجامعات الحكومية في مدينة الرياض </w:t>
      </w:r>
    </w:p>
    <w:p w14:paraId="2DE7E02C" w14:textId="55FBCB00" w:rsidR="003D0F39" w:rsidRPr="00DA72CE" w:rsidRDefault="003D0F39" w:rsidP="00CE5C57">
      <w:pPr>
        <w:spacing w:line="480" w:lineRule="auto"/>
        <w:jc w:val="center"/>
        <w:rPr>
          <w:rFonts w:asciiTheme="majorBidi" w:eastAsia="Times New Roman" w:hAnsiTheme="majorBidi" w:cstheme="majorBidi"/>
          <w:b/>
          <w:bCs/>
          <w:sz w:val="24"/>
          <w:szCs w:val="24"/>
        </w:rPr>
      </w:pPr>
      <w:r w:rsidRPr="00DA72CE">
        <w:rPr>
          <w:rFonts w:asciiTheme="majorBidi" w:eastAsia="Times New Roman" w:hAnsiTheme="majorBidi" w:cstheme="majorBidi"/>
          <w:b/>
          <w:bCs/>
          <w:sz w:val="24"/>
          <w:szCs w:val="24"/>
        </w:rPr>
        <w:t>The Role of Institutional Excellence in Enhancing Human Resource Management and Institutional Performance: A Field Study on Public Universities in Riyadh.</w:t>
      </w:r>
    </w:p>
    <w:p w14:paraId="749D7A4A" w14:textId="77777777" w:rsidR="00840C0F" w:rsidRPr="005F0DA9" w:rsidRDefault="003D0F39" w:rsidP="00CE5C57">
      <w:pPr>
        <w:pStyle w:val="NormalWeb"/>
        <w:spacing w:after="0" w:afterAutospacing="0" w:line="480" w:lineRule="auto"/>
        <w:ind w:right="-270"/>
        <w:jc w:val="center"/>
        <w:rPr>
          <w:rFonts w:asciiTheme="majorBidi" w:hAnsiTheme="majorBidi" w:cstheme="majorBidi"/>
          <w:b/>
          <w:bCs/>
          <w:sz w:val="38"/>
          <w:szCs w:val="38"/>
          <w:rtl/>
        </w:rPr>
      </w:pPr>
      <w:r w:rsidRPr="005F0DA9">
        <w:rPr>
          <w:rFonts w:asciiTheme="majorBidi" w:hAnsiTheme="majorBidi" w:cstheme="majorBidi" w:hint="cs"/>
          <w:b/>
          <w:bCs/>
          <w:sz w:val="38"/>
          <w:szCs w:val="38"/>
          <w:rtl/>
        </w:rPr>
        <w:t xml:space="preserve"> </w:t>
      </w:r>
    </w:p>
    <w:p w14:paraId="21F11295" w14:textId="682A9218" w:rsidR="006E55DF" w:rsidRPr="00DA72CE" w:rsidRDefault="0054556C" w:rsidP="00CE5C57">
      <w:pPr>
        <w:pStyle w:val="NormalWeb"/>
        <w:bidi/>
        <w:spacing w:before="0" w:beforeAutospacing="0" w:after="0" w:afterAutospacing="0" w:line="480" w:lineRule="auto"/>
        <w:ind w:right="-270"/>
        <w:jc w:val="center"/>
        <w:rPr>
          <w:rFonts w:ascii="Sakkal Majalla" w:hAnsi="Sakkal Majalla" w:cs="Sakkal Majalla"/>
          <w:b/>
          <w:bCs/>
          <w:sz w:val="40"/>
          <w:szCs w:val="40"/>
          <w:rtl/>
        </w:rPr>
      </w:pPr>
      <w:r w:rsidRPr="00DA72CE">
        <w:rPr>
          <w:rFonts w:ascii="Sakkal Majalla" w:hAnsi="Sakkal Majalla" w:cs="Sakkal Majalla" w:hint="cs"/>
          <w:b/>
          <w:bCs/>
          <w:sz w:val="40"/>
          <w:szCs w:val="40"/>
          <w:rtl/>
        </w:rPr>
        <w:t>إعداد الباحث</w:t>
      </w:r>
      <w:proofErr w:type="gramStart"/>
      <w:r w:rsidRPr="00DA72CE">
        <w:rPr>
          <w:rFonts w:ascii="Sakkal Majalla" w:hAnsi="Sakkal Majalla" w:cs="Sakkal Majalla" w:hint="cs"/>
          <w:b/>
          <w:bCs/>
          <w:sz w:val="40"/>
          <w:szCs w:val="40"/>
          <w:rtl/>
        </w:rPr>
        <w:t xml:space="preserve">/ </w:t>
      </w:r>
      <w:r w:rsidR="003D0F39" w:rsidRPr="00DA72CE">
        <w:rPr>
          <w:rFonts w:ascii="Sakkal Majalla" w:hAnsi="Sakkal Majalla" w:cs="Sakkal Majalla" w:hint="cs"/>
          <w:b/>
          <w:bCs/>
          <w:sz w:val="40"/>
          <w:szCs w:val="40"/>
          <w:rtl/>
        </w:rPr>
        <w:t xml:space="preserve"> </w:t>
      </w:r>
      <w:r w:rsidR="008A3477" w:rsidRPr="00DA72CE">
        <w:rPr>
          <w:rFonts w:ascii="Sakkal Majalla" w:hAnsi="Sakkal Majalla" w:cs="Sakkal Majalla"/>
          <w:b/>
          <w:bCs/>
          <w:sz w:val="40"/>
          <w:szCs w:val="40"/>
          <w:rtl/>
        </w:rPr>
        <w:t>فهد</w:t>
      </w:r>
      <w:proofErr w:type="gramEnd"/>
      <w:r w:rsidR="008A3477" w:rsidRPr="00DA72CE">
        <w:rPr>
          <w:rFonts w:ascii="Sakkal Majalla" w:hAnsi="Sakkal Majalla" w:cs="Sakkal Majalla"/>
          <w:b/>
          <w:bCs/>
          <w:sz w:val="40"/>
          <w:szCs w:val="40"/>
          <w:rtl/>
        </w:rPr>
        <w:t xml:space="preserve"> المحمد</w:t>
      </w:r>
    </w:p>
    <w:p w14:paraId="46BE0EDA" w14:textId="6133242E" w:rsidR="006C0695" w:rsidRPr="00DA72CE" w:rsidRDefault="006C0695" w:rsidP="00CE5C57">
      <w:pPr>
        <w:pStyle w:val="NormalWeb"/>
        <w:bidi/>
        <w:spacing w:before="0" w:beforeAutospacing="0" w:after="0" w:afterAutospacing="0" w:line="480" w:lineRule="auto"/>
        <w:ind w:right="-270"/>
        <w:jc w:val="center"/>
        <w:rPr>
          <w:rFonts w:ascii="Sakkal Majalla" w:hAnsi="Sakkal Majalla" w:cs="Sakkal Majalla"/>
          <w:b/>
          <w:bCs/>
          <w:sz w:val="32"/>
          <w:szCs w:val="32"/>
          <w:rtl/>
        </w:rPr>
      </w:pPr>
      <w:r w:rsidRPr="00DA72CE">
        <w:rPr>
          <w:rFonts w:ascii="Sakkal Majalla" w:hAnsi="Sakkal Majalla" w:cs="Sakkal Majalla" w:hint="cs"/>
          <w:b/>
          <w:bCs/>
          <w:sz w:val="32"/>
          <w:szCs w:val="32"/>
          <w:rtl/>
        </w:rPr>
        <w:t>المملكة العربية السعودية</w:t>
      </w:r>
    </w:p>
    <w:p w14:paraId="011FA4C2" w14:textId="77777777" w:rsidR="00DA72CE" w:rsidRPr="00DA72CE" w:rsidRDefault="00DA72CE" w:rsidP="00DA72CE">
      <w:pPr>
        <w:pStyle w:val="NormalWeb"/>
        <w:bidi/>
        <w:spacing w:before="0" w:beforeAutospacing="0" w:after="0" w:afterAutospacing="0" w:line="480" w:lineRule="auto"/>
        <w:ind w:right="-270"/>
        <w:jc w:val="center"/>
        <w:rPr>
          <w:rFonts w:ascii="Sakkal Majalla" w:hAnsi="Sakkal Majalla" w:cs="Sakkal Majalla"/>
          <w:b/>
          <w:bCs/>
          <w:sz w:val="32"/>
          <w:szCs w:val="32"/>
          <w:rtl/>
        </w:rPr>
      </w:pPr>
      <w:r w:rsidRPr="00DA72CE">
        <w:rPr>
          <w:rFonts w:ascii="Sakkal Majalla" w:hAnsi="Sakkal Majalla" w:cs="Sakkal Majalla" w:hint="cs"/>
          <w:b/>
          <w:bCs/>
          <w:sz w:val="32"/>
          <w:szCs w:val="32"/>
          <w:rtl/>
        </w:rPr>
        <w:t xml:space="preserve">رسالة مقدمة لجامعة </w:t>
      </w:r>
      <w:proofErr w:type="spellStart"/>
      <w:r w:rsidRPr="00DA72CE">
        <w:rPr>
          <w:rFonts w:ascii="Sakkal Majalla" w:hAnsi="Sakkal Majalla" w:cs="Sakkal Majalla" w:hint="cs"/>
          <w:b/>
          <w:bCs/>
          <w:sz w:val="32"/>
          <w:szCs w:val="32"/>
          <w:rtl/>
        </w:rPr>
        <w:t>ميدأوشن</w:t>
      </w:r>
      <w:proofErr w:type="spellEnd"/>
      <w:r w:rsidRPr="00DA72CE">
        <w:rPr>
          <w:rFonts w:ascii="Sakkal Majalla" w:hAnsi="Sakkal Majalla" w:cs="Sakkal Majalla" w:hint="cs"/>
          <w:b/>
          <w:bCs/>
          <w:sz w:val="32"/>
          <w:szCs w:val="32"/>
          <w:rtl/>
        </w:rPr>
        <w:t xml:space="preserve"> لاستكمال متطلبات </w:t>
      </w:r>
      <w:r w:rsidRPr="00DA72CE">
        <w:rPr>
          <w:rFonts w:ascii="Sakkal Majalla" w:hAnsi="Sakkal Majalla" w:cs="Sakkal Majalla"/>
          <w:b/>
          <w:bCs/>
          <w:sz w:val="32"/>
          <w:szCs w:val="32"/>
          <w:rtl/>
        </w:rPr>
        <w:t xml:space="preserve">لنيل درجة الماجستير في ادارة الاعمال </w:t>
      </w:r>
      <w:r w:rsidRPr="00DA72CE">
        <w:rPr>
          <w:rFonts w:ascii="Sakkal Majalla" w:hAnsi="Sakkal Majalla" w:cs="Sakkal Majalla" w:hint="cs"/>
          <w:b/>
          <w:bCs/>
          <w:sz w:val="32"/>
          <w:szCs w:val="32"/>
          <w:rtl/>
        </w:rPr>
        <w:t xml:space="preserve"> </w:t>
      </w:r>
    </w:p>
    <w:p w14:paraId="0461A8A7" w14:textId="268A45AE" w:rsidR="00840C0F" w:rsidRPr="005F0DA9" w:rsidRDefault="00DA72CE" w:rsidP="00DA72CE">
      <w:pPr>
        <w:pStyle w:val="NormalWeb"/>
        <w:bidi/>
        <w:spacing w:before="0" w:beforeAutospacing="0" w:after="0" w:afterAutospacing="0" w:line="480" w:lineRule="auto"/>
        <w:ind w:right="-270"/>
        <w:jc w:val="center"/>
        <w:rPr>
          <w:rFonts w:ascii="Sakkal Majalla" w:hAnsi="Sakkal Majalla" w:cs="Sakkal Majalla"/>
          <w:b/>
          <w:bCs/>
          <w:sz w:val="26"/>
          <w:szCs w:val="26"/>
          <w:rtl/>
        </w:rPr>
      </w:pPr>
      <w:r>
        <w:rPr>
          <w:rFonts w:ascii="Sakkal Majalla" w:hAnsi="Sakkal Majalla" w:cs="Sakkal Majalla" w:hint="cs"/>
          <w:b/>
          <w:bCs/>
          <w:sz w:val="34"/>
          <w:szCs w:val="34"/>
          <w:rtl/>
        </w:rPr>
        <w:t xml:space="preserve"> </w:t>
      </w:r>
      <w:r w:rsidR="00CE5C57" w:rsidRPr="005F0DA9">
        <w:rPr>
          <w:rFonts w:ascii="Sakkal Majalla" w:hAnsi="Sakkal Majalla" w:cs="Sakkal Majalla" w:hint="cs"/>
          <w:b/>
          <w:bCs/>
          <w:sz w:val="26"/>
          <w:szCs w:val="26"/>
          <w:rtl/>
        </w:rPr>
        <w:t xml:space="preserve"> </w:t>
      </w:r>
    </w:p>
    <w:p w14:paraId="0E2C4CDA" w14:textId="77777777" w:rsidR="00DA72CE" w:rsidRPr="00DA72CE" w:rsidRDefault="00DA72CE" w:rsidP="00DA72CE">
      <w:pPr>
        <w:pStyle w:val="NormalWeb"/>
        <w:bidi/>
        <w:spacing w:before="0" w:beforeAutospacing="0" w:after="0" w:afterAutospacing="0" w:line="360" w:lineRule="auto"/>
        <w:ind w:right="-270"/>
        <w:jc w:val="center"/>
        <w:rPr>
          <w:rFonts w:ascii="Sakkal Majalla" w:hAnsi="Sakkal Majalla" w:cs="Sakkal Majalla"/>
          <w:b/>
          <w:bCs/>
          <w:sz w:val="40"/>
          <w:szCs w:val="40"/>
          <w:rtl/>
        </w:rPr>
      </w:pPr>
      <w:r w:rsidRPr="00DA72CE">
        <w:rPr>
          <w:rFonts w:ascii="Sakkal Majalla" w:hAnsi="Sakkal Majalla" w:cs="Sakkal Majalla" w:hint="cs"/>
          <w:b/>
          <w:bCs/>
          <w:sz w:val="40"/>
          <w:szCs w:val="40"/>
          <w:rtl/>
        </w:rPr>
        <w:t>إشراف</w:t>
      </w:r>
      <w:r w:rsidRPr="00DA72CE">
        <w:rPr>
          <w:rFonts w:ascii="Sakkal Majalla" w:hAnsi="Sakkal Majalla" w:cs="Sakkal Majalla"/>
          <w:b/>
          <w:bCs/>
          <w:sz w:val="40"/>
          <w:szCs w:val="40"/>
          <w:rtl/>
        </w:rPr>
        <w:t xml:space="preserve"> / </w:t>
      </w:r>
    </w:p>
    <w:p w14:paraId="548CF952" w14:textId="77777777" w:rsidR="00DA72CE" w:rsidRPr="00DA72CE" w:rsidRDefault="00DA72CE" w:rsidP="00DA72CE">
      <w:pPr>
        <w:pStyle w:val="NormalWeb"/>
        <w:bidi/>
        <w:spacing w:before="0" w:beforeAutospacing="0" w:after="0" w:afterAutospacing="0" w:line="360" w:lineRule="auto"/>
        <w:jc w:val="center"/>
        <w:rPr>
          <w:rFonts w:ascii="Sakkal Majalla" w:hAnsi="Sakkal Majalla" w:cs="Sakkal Majalla"/>
          <w:b/>
          <w:bCs/>
          <w:sz w:val="40"/>
          <w:szCs w:val="40"/>
        </w:rPr>
      </w:pPr>
      <w:r w:rsidRPr="00DA72CE">
        <w:rPr>
          <w:rFonts w:ascii="Sakkal Majalla" w:hAnsi="Sakkal Majalla" w:cs="Sakkal Majalla" w:hint="cs"/>
          <w:b/>
          <w:bCs/>
          <w:sz w:val="40"/>
          <w:szCs w:val="40"/>
          <w:rtl/>
        </w:rPr>
        <w:t xml:space="preserve">أد. الفيصل </w:t>
      </w:r>
      <w:proofErr w:type="gramStart"/>
      <w:r w:rsidRPr="00DA72CE">
        <w:rPr>
          <w:rFonts w:ascii="Sakkal Majalla" w:hAnsi="Sakkal Majalla" w:cs="Sakkal Majalla" w:hint="cs"/>
          <w:b/>
          <w:bCs/>
          <w:sz w:val="40"/>
          <w:szCs w:val="40"/>
          <w:rtl/>
        </w:rPr>
        <w:t>عبدالحميد</w:t>
      </w:r>
      <w:proofErr w:type="gramEnd"/>
      <w:r w:rsidRPr="00DA72CE">
        <w:rPr>
          <w:rFonts w:ascii="Sakkal Majalla" w:hAnsi="Sakkal Majalla" w:cs="Sakkal Majalla" w:hint="cs"/>
          <w:b/>
          <w:bCs/>
          <w:sz w:val="40"/>
          <w:szCs w:val="40"/>
          <w:rtl/>
        </w:rPr>
        <w:t xml:space="preserve"> محمد</w:t>
      </w:r>
    </w:p>
    <w:p w14:paraId="3F45AC7C" w14:textId="77777777" w:rsidR="00DA72CE" w:rsidRPr="00DA72CE" w:rsidRDefault="00DA72CE" w:rsidP="00DA72CE">
      <w:pPr>
        <w:pStyle w:val="NormalWeb"/>
        <w:bidi/>
        <w:spacing w:before="0" w:beforeAutospacing="0" w:after="0" w:afterAutospacing="0" w:line="360" w:lineRule="auto"/>
        <w:jc w:val="center"/>
        <w:rPr>
          <w:rFonts w:ascii="Sakkal Majalla" w:hAnsi="Sakkal Majalla" w:cs="Sakkal Majalla"/>
          <w:b/>
          <w:bCs/>
          <w:sz w:val="40"/>
          <w:szCs w:val="40"/>
          <w:rtl/>
        </w:rPr>
      </w:pPr>
      <w:r w:rsidRPr="00DA72CE">
        <w:rPr>
          <w:rFonts w:ascii="Sakkal Majalla" w:hAnsi="Sakkal Majalla" w:cs="Sakkal Majalla" w:hint="cs"/>
          <w:b/>
          <w:bCs/>
          <w:sz w:val="40"/>
          <w:szCs w:val="40"/>
          <w:rtl/>
        </w:rPr>
        <w:t xml:space="preserve">أد. فايز علي جراد </w:t>
      </w:r>
    </w:p>
    <w:p w14:paraId="1B80B206" w14:textId="77777777" w:rsidR="005F0DA9" w:rsidRDefault="005F0DA9" w:rsidP="005F0DA9">
      <w:pPr>
        <w:bidi/>
        <w:spacing w:after="200" w:line="276" w:lineRule="auto"/>
        <w:rPr>
          <w:rFonts w:ascii="Sakkal Majalla" w:hAnsi="Sakkal Majalla" w:cs="Sakkal Majalla"/>
          <w:b/>
          <w:bCs/>
          <w:sz w:val="38"/>
          <w:szCs w:val="38"/>
          <w:rtl/>
        </w:rPr>
      </w:pPr>
    </w:p>
    <w:p w14:paraId="6169E5DA" w14:textId="77777777" w:rsidR="005F0DA9" w:rsidRDefault="005F0DA9" w:rsidP="005F0DA9">
      <w:pPr>
        <w:bidi/>
        <w:spacing w:after="200" w:line="276" w:lineRule="auto"/>
        <w:rPr>
          <w:rFonts w:ascii="Sakkal Majalla" w:hAnsi="Sakkal Majalla" w:cs="Sakkal Majalla"/>
          <w:b/>
          <w:bCs/>
          <w:sz w:val="38"/>
          <w:szCs w:val="38"/>
          <w:rtl/>
        </w:rPr>
      </w:pPr>
    </w:p>
    <w:p w14:paraId="7FA59234" w14:textId="333A5F61" w:rsidR="00840C0F" w:rsidRPr="005F0DA9" w:rsidRDefault="005F0DA9" w:rsidP="005F0DA9">
      <w:pPr>
        <w:bidi/>
        <w:spacing w:after="200" w:line="276" w:lineRule="auto"/>
        <w:jc w:val="center"/>
        <w:rPr>
          <w:rFonts w:ascii="Sakkal Majalla" w:hAnsi="Sakkal Majalla" w:cs="Sakkal Majalla"/>
          <w:b/>
          <w:bCs/>
          <w:sz w:val="38"/>
          <w:szCs w:val="38"/>
          <w:rtl/>
        </w:rPr>
      </w:pPr>
      <w:r>
        <w:rPr>
          <w:rFonts w:ascii="Sakkal Majalla" w:hAnsi="Sakkal Majalla" w:cs="Sakkal Majalla"/>
          <w:b/>
          <w:bCs/>
          <w:noProof/>
          <w:sz w:val="38"/>
          <w:szCs w:val="38"/>
        </w:rPr>
        <w:drawing>
          <wp:inline distT="0" distB="0" distL="0" distR="0" wp14:anchorId="7F9443B9" wp14:editId="34DFCEA3">
            <wp:extent cx="4771506" cy="2299460"/>
            <wp:effectExtent l="0" t="0" r="0" b="5715"/>
            <wp:docPr id="12634993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7026" cy="2302120"/>
                    </a:xfrm>
                    <a:prstGeom prst="rect">
                      <a:avLst/>
                    </a:prstGeom>
                    <a:noFill/>
                  </pic:spPr>
                </pic:pic>
              </a:graphicData>
            </a:graphic>
          </wp:inline>
        </w:drawing>
      </w:r>
    </w:p>
    <w:p w14:paraId="3A6A1CED" w14:textId="77777777" w:rsidR="00840C0F" w:rsidRPr="005F0DA9" w:rsidRDefault="00F0599C" w:rsidP="00C97816">
      <w:pPr>
        <w:bidi/>
        <w:spacing w:after="200" w:line="276" w:lineRule="auto"/>
        <w:rPr>
          <w:rFonts w:ascii="Sakkal Majalla" w:hAnsi="Sakkal Majalla" w:cs="Sakkal Majalla"/>
          <w:b/>
          <w:bCs/>
          <w:sz w:val="38"/>
          <w:szCs w:val="38"/>
          <w:u w:val="single"/>
          <w:rtl/>
        </w:rPr>
      </w:pPr>
      <w:r w:rsidRPr="005F0DA9">
        <w:rPr>
          <w:rFonts w:ascii="Sakkal Majalla" w:hAnsi="Sakkal Majalla" w:cs="Sakkal Majalla" w:hint="cs"/>
          <w:b/>
          <w:bCs/>
          <w:sz w:val="38"/>
          <w:szCs w:val="38"/>
          <w:u w:val="single"/>
          <w:rtl/>
        </w:rPr>
        <w:t xml:space="preserve">          </w:t>
      </w:r>
    </w:p>
    <w:p w14:paraId="0B5750E9" w14:textId="77777777" w:rsidR="008A3477" w:rsidRPr="005F0DA9" w:rsidRDefault="008A3477">
      <w:pPr>
        <w:rPr>
          <w:rFonts w:asciiTheme="majorHAnsi" w:eastAsiaTheme="majorEastAsia" w:hAnsiTheme="majorHAnsi" w:cs="Sakkal Majalla"/>
          <w:bCs/>
          <w:sz w:val="42"/>
          <w:szCs w:val="42"/>
          <w:rtl/>
        </w:rPr>
      </w:pPr>
      <w:bookmarkStart w:id="0" w:name="_Toc185769077"/>
      <w:r w:rsidRPr="005F0DA9">
        <w:rPr>
          <w:sz w:val="42"/>
          <w:szCs w:val="42"/>
          <w:rtl/>
        </w:rPr>
        <w:br w:type="page"/>
      </w:r>
    </w:p>
    <w:p w14:paraId="5BE0BBBA" w14:textId="44339E93" w:rsidR="001502A1" w:rsidRPr="005F0DA9" w:rsidRDefault="001502A1" w:rsidP="001502A1">
      <w:pPr>
        <w:pStyle w:val="Heading1"/>
        <w:bidi/>
        <w:rPr>
          <w:sz w:val="42"/>
          <w:szCs w:val="42"/>
          <w:rtl/>
        </w:rPr>
      </w:pPr>
      <w:bookmarkStart w:id="1" w:name="_Toc224358861"/>
      <w:r w:rsidRPr="005F0DA9">
        <w:rPr>
          <w:sz w:val="42"/>
          <w:szCs w:val="42"/>
          <w:rtl/>
        </w:rPr>
        <w:lastRenderedPageBreak/>
        <w:t>الإهداء</w:t>
      </w:r>
      <w:bookmarkEnd w:id="0"/>
      <w:bookmarkEnd w:id="1"/>
      <w:r w:rsidRPr="005F0DA9">
        <w:rPr>
          <w:sz w:val="42"/>
          <w:szCs w:val="42"/>
          <w:rtl/>
        </w:rPr>
        <w:t xml:space="preserve"> </w:t>
      </w:r>
    </w:p>
    <w:p w14:paraId="578EC1A9" w14:textId="77777777" w:rsidR="001502A1" w:rsidRPr="005F0DA9" w:rsidRDefault="001502A1" w:rsidP="001502A1">
      <w:pPr>
        <w:bidi/>
        <w:spacing w:line="276" w:lineRule="auto"/>
        <w:jc w:val="center"/>
        <w:rPr>
          <w:rFonts w:ascii="Simplified Arabic" w:eastAsia="Calibri" w:hAnsi="Simplified Arabic" w:cs="Simplified Arabic"/>
          <w:sz w:val="30"/>
          <w:szCs w:val="30"/>
        </w:rPr>
      </w:pPr>
      <w:r w:rsidRPr="005F0DA9">
        <w:rPr>
          <w:rFonts w:ascii="Simplified Arabic" w:eastAsia="Calibri" w:hAnsi="Simplified Arabic" w:cs="Simplified Arabic"/>
          <w:sz w:val="30"/>
          <w:szCs w:val="30"/>
          <w:rtl/>
        </w:rPr>
        <w:t>بسم الله الرحمن الرحيم</w:t>
      </w:r>
    </w:p>
    <w:p w14:paraId="707EB70A" w14:textId="77777777" w:rsidR="00DA72CE" w:rsidRPr="00DA72CE" w:rsidRDefault="00DA72CE" w:rsidP="00DA72CE">
      <w:pPr>
        <w:bidi/>
        <w:spacing w:line="276" w:lineRule="auto"/>
        <w:jc w:val="center"/>
        <w:rPr>
          <w:rFonts w:ascii="Simplified Arabic" w:eastAsia="Calibri" w:hAnsi="Simplified Arabic" w:cs="Simplified Arabic"/>
          <w:sz w:val="30"/>
          <w:szCs w:val="30"/>
          <w:lang w:val="en-GB"/>
        </w:rPr>
      </w:pPr>
      <w:r w:rsidRPr="00DA72CE">
        <w:rPr>
          <w:rFonts w:ascii="Simplified Arabic" w:eastAsia="Calibri" w:hAnsi="Simplified Arabic" w:cs="Simplified Arabic"/>
          <w:sz w:val="30"/>
          <w:szCs w:val="30"/>
          <w:rtl/>
        </w:rPr>
        <w:t>والصلاة والسلام على نبينا محمد ﷺ، أما بعد</w:t>
      </w:r>
      <w:r w:rsidRPr="00DA72CE">
        <w:rPr>
          <w:rFonts w:ascii="Simplified Arabic" w:eastAsia="Calibri" w:hAnsi="Simplified Arabic" w:cs="Simplified Arabic"/>
          <w:sz w:val="30"/>
          <w:szCs w:val="30"/>
          <w:lang w:val="en-GB"/>
        </w:rPr>
        <w:t>:</w:t>
      </w:r>
    </w:p>
    <w:p w14:paraId="4840FB49" w14:textId="77777777" w:rsidR="00DA72CE" w:rsidRPr="00DA72CE" w:rsidRDefault="00DA72CE" w:rsidP="00DA72CE">
      <w:pPr>
        <w:bidi/>
        <w:spacing w:line="276" w:lineRule="auto"/>
        <w:jc w:val="center"/>
        <w:rPr>
          <w:rFonts w:ascii="Simplified Arabic" w:eastAsia="Calibri" w:hAnsi="Simplified Arabic" w:cs="Simplified Arabic"/>
          <w:sz w:val="30"/>
          <w:szCs w:val="30"/>
          <w:lang w:val="en-GB"/>
        </w:rPr>
      </w:pPr>
      <w:r w:rsidRPr="00DA72CE">
        <w:rPr>
          <w:rFonts w:ascii="Simplified Arabic" w:eastAsia="Calibri" w:hAnsi="Simplified Arabic" w:cs="Simplified Arabic"/>
          <w:sz w:val="30"/>
          <w:szCs w:val="30"/>
          <w:rtl/>
        </w:rPr>
        <w:t>في ختام هذا الفصل من حياتي، لا يسعني إلا أن أحمد الله عز وجل على توفيقه وفضله وتيسير الصعاب؛ فلولا عونه لما وصلت إلى هذه النهاية، التي أراها بداية لطريق جديد مليء بالنجاحات بإذنه تعالى</w:t>
      </w:r>
      <w:r w:rsidRPr="00DA72CE">
        <w:rPr>
          <w:rFonts w:ascii="Simplified Arabic" w:eastAsia="Calibri" w:hAnsi="Simplified Arabic" w:cs="Simplified Arabic"/>
          <w:sz w:val="30"/>
          <w:szCs w:val="30"/>
          <w:lang w:val="en-GB"/>
        </w:rPr>
        <w:t>.</w:t>
      </w:r>
    </w:p>
    <w:p w14:paraId="7FF4F4B6" w14:textId="77777777" w:rsidR="00DA72CE" w:rsidRPr="00DA72CE" w:rsidRDefault="00DA72CE" w:rsidP="00DA72CE">
      <w:pPr>
        <w:bidi/>
        <w:spacing w:line="276" w:lineRule="auto"/>
        <w:jc w:val="center"/>
        <w:rPr>
          <w:rFonts w:ascii="Simplified Arabic" w:eastAsia="Calibri" w:hAnsi="Simplified Arabic" w:cs="Simplified Arabic"/>
          <w:sz w:val="30"/>
          <w:szCs w:val="30"/>
          <w:lang w:val="en-GB"/>
        </w:rPr>
      </w:pPr>
      <w:r w:rsidRPr="00DA72CE">
        <w:rPr>
          <w:rFonts w:ascii="Simplified Arabic" w:eastAsia="Calibri" w:hAnsi="Simplified Arabic" w:cs="Simplified Arabic"/>
          <w:sz w:val="30"/>
          <w:szCs w:val="30"/>
          <w:rtl/>
        </w:rPr>
        <w:t>أهدي ثمرة هذا العمل إلى من كان لهم الفضل بعد الله تعالى</w:t>
      </w:r>
      <w:r w:rsidRPr="00DA72CE">
        <w:rPr>
          <w:rFonts w:ascii="Simplified Arabic" w:eastAsia="Calibri" w:hAnsi="Simplified Arabic" w:cs="Simplified Arabic"/>
          <w:sz w:val="30"/>
          <w:szCs w:val="30"/>
          <w:lang w:val="en-GB"/>
        </w:rPr>
        <w:t>...</w:t>
      </w:r>
      <w:r w:rsidRPr="00DA72CE">
        <w:rPr>
          <w:rFonts w:ascii="Simplified Arabic" w:eastAsia="Calibri" w:hAnsi="Simplified Arabic" w:cs="Simplified Arabic"/>
          <w:sz w:val="30"/>
          <w:szCs w:val="30"/>
          <w:lang w:val="en-GB"/>
        </w:rPr>
        <w:br/>
      </w:r>
      <w:r w:rsidRPr="00DA72CE">
        <w:rPr>
          <w:rFonts w:ascii="Simplified Arabic" w:eastAsia="Calibri" w:hAnsi="Simplified Arabic" w:cs="Simplified Arabic"/>
          <w:sz w:val="30"/>
          <w:szCs w:val="30"/>
          <w:rtl/>
        </w:rPr>
        <w:t>إلى </w:t>
      </w:r>
      <w:r w:rsidRPr="00DA72CE">
        <w:rPr>
          <w:rFonts w:ascii="Simplified Arabic" w:eastAsia="Calibri" w:hAnsi="Simplified Arabic" w:cs="Simplified Arabic"/>
          <w:b/>
          <w:bCs/>
          <w:sz w:val="30"/>
          <w:szCs w:val="30"/>
          <w:rtl/>
        </w:rPr>
        <w:t>والديّ العزيزين</w:t>
      </w:r>
      <w:r w:rsidRPr="00DA72CE">
        <w:rPr>
          <w:rFonts w:ascii="Simplified Arabic" w:eastAsia="Calibri" w:hAnsi="Simplified Arabic" w:cs="Simplified Arabic"/>
          <w:sz w:val="30"/>
          <w:szCs w:val="30"/>
          <w:rtl/>
        </w:rPr>
        <w:t>، أغلى ما أملك في هذه الحياة، اللذين كانا لي سندًا وباعثًا لكل نجاح، أدامكما الله لي ذخراً ورزقكما الصحة والعافية</w:t>
      </w:r>
      <w:r w:rsidRPr="00DA72CE">
        <w:rPr>
          <w:rFonts w:ascii="Simplified Arabic" w:eastAsia="Calibri" w:hAnsi="Simplified Arabic" w:cs="Simplified Arabic"/>
          <w:sz w:val="30"/>
          <w:szCs w:val="30"/>
          <w:lang w:val="en-GB"/>
        </w:rPr>
        <w:t>.</w:t>
      </w:r>
    </w:p>
    <w:p w14:paraId="735CD81C" w14:textId="77777777" w:rsidR="00DA72CE" w:rsidRPr="00DA72CE" w:rsidRDefault="00DA72CE" w:rsidP="00DA72CE">
      <w:pPr>
        <w:bidi/>
        <w:spacing w:line="276" w:lineRule="auto"/>
        <w:jc w:val="center"/>
        <w:rPr>
          <w:rFonts w:ascii="Simplified Arabic" w:eastAsia="Calibri" w:hAnsi="Simplified Arabic" w:cs="Simplified Arabic"/>
          <w:sz w:val="30"/>
          <w:szCs w:val="30"/>
          <w:lang w:val="en-GB"/>
        </w:rPr>
      </w:pPr>
      <w:r w:rsidRPr="00DA72CE">
        <w:rPr>
          <w:rFonts w:ascii="Simplified Arabic" w:eastAsia="Calibri" w:hAnsi="Simplified Arabic" w:cs="Simplified Arabic"/>
          <w:sz w:val="30"/>
          <w:szCs w:val="30"/>
          <w:rtl/>
        </w:rPr>
        <w:t>وإلى </w:t>
      </w:r>
      <w:r w:rsidRPr="00DA72CE">
        <w:rPr>
          <w:rFonts w:ascii="Simplified Arabic" w:eastAsia="Calibri" w:hAnsi="Simplified Arabic" w:cs="Simplified Arabic"/>
          <w:b/>
          <w:bCs/>
          <w:sz w:val="30"/>
          <w:szCs w:val="30"/>
          <w:rtl/>
        </w:rPr>
        <w:t>زوجتي الغالية</w:t>
      </w:r>
      <w:r w:rsidRPr="00DA72CE">
        <w:rPr>
          <w:rFonts w:ascii="Simplified Arabic" w:eastAsia="Calibri" w:hAnsi="Simplified Arabic" w:cs="Simplified Arabic"/>
          <w:sz w:val="30"/>
          <w:szCs w:val="30"/>
          <w:rtl/>
        </w:rPr>
        <w:t>، رفيقة الدرب وشريكة النجاح، التي كانت خير سند وعون، وساهمت بتضحياتها وصبرها في الوصول إلى هذه اللحظة، أشركها معي في هذا الإنجاز، شكرًا لكِ من أعماق قلبي</w:t>
      </w:r>
      <w:r w:rsidRPr="00DA72CE">
        <w:rPr>
          <w:rFonts w:ascii="Simplified Arabic" w:eastAsia="Calibri" w:hAnsi="Simplified Arabic" w:cs="Simplified Arabic"/>
          <w:sz w:val="30"/>
          <w:szCs w:val="30"/>
          <w:lang w:val="en-GB"/>
        </w:rPr>
        <w:t>.</w:t>
      </w:r>
    </w:p>
    <w:p w14:paraId="57F233F9" w14:textId="6C92F095" w:rsidR="001502A1" w:rsidRPr="005F0DA9" w:rsidRDefault="001502A1" w:rsidP="001502A1">
      <w:pPr>
        <w:bidi/>
        <w:spacing w:line="360" w:lineRule="auto"/>
        <w:jc w:val="center"/>
        <w:rPr>
          <w:rFonts w:ascii="Simplified Arabic" w:eastAsia="Calibri" w:hAnsi="Simplified Arabic" w:cs="Simplified Arabic"/>
          <w:b/>
          <w:bCs/>
          <w:sz w:val="34"/>
          <w:szCs w:val="34"/>
        </w:rPr>
      </w:pPr>
    </w:p>
    <w:p w14:paraId="01C0B173" w14:textId="77777777" w:rsidR="001502A1" w:rsidRPr="005F0DA9" w:rsidRDefault="001502A1" w:rsidP="001502A1">
      <w:pPr>
        <w:bidi/>
        <w:rPr>
          <w:rFonts w:ascii="Simplified Arabic" w:eastAsia="Calibri" w:hAnsi="Simplified Arabic" w:cs="Simplified Arabic"/>
          <w:b/>
          <w:bCs/>
          <w:sz w:val="34"/>
          <w:szCs w:val="34"/>
        </w:rPr>
      </w:pPr>
      <w:r w:rsidRPr="005F0DA9">
        <w:rPr>
          <w:rFonts w:ascii="Simplified Arabic" w:eastAsia="Calibri" w:hAnsi="Simplified Arabic" w:cs="Simplified Arabic"/>
          <w:b/>
          <w:bCs/>
          <w:sz w:val="34"/>
          <w:szCs w:val="34"/>
          <w:rtl/>
        </w:rPr>
        <w:br w:type="page"/>
      </w:r>
    </w:p>
    <w:p w14:paraId="58644205" w14:textId="77777777" w:rsidR="001502A1" w:rsidRPr="005F0DA9" w:rsidRDefault="001502A1" w:rsidP="001502A1">
      <w:pPr>
        <w:pStyle w:val="Heading1"/>
        <w:bidi/>
        <w:rPr>
          <w:sz w:val="42"/>
          <w:szCs w:val="46"/>
        </w:rPr>
      </w:pPr>
      <w:bookmarkStart w:id="2" w:name="_Toc185769078"/>
      <w:bookmarkStart w:id="3" w:name="_Toc224358862"/>
      <w:r w:rsidRPr="005F0DA9">
        <w:rPr>
          <w:sz w:val="42"/>
          <w:szCs w:val="42"/>
          <w:rtl/>
        </w:rPr>
        <w:lastRenderedPageBreak/>
        <w:t>الشكر</w:t>
      </w:r>
      <w:bookmarkEnd w:id="2"/>
      <w:bookmarkEnd w:id="3"/>
    </w:p>
    <w:p w14:paraId="01D05791" w14:textId="77777777" w:rsidR="00DA72CE" w:rsidRPr="00DA72CE" w:rsidRDefault="00DA72CE" w:rsidP="00DA72CE">
      <w:pPr>
        <w:bidi/>
        <w:spacing w:line="240" w:lineRule="auto"/>
        <w:jc w:val="center"/>
        <w:rPr>
          <w:rFonts w:ascii="Simplified Arabic" w:eastAsia="Calibri" w:hAnsi="Simplified Arabic" w:cs="Simplified Arabic"/>
          <w:sz w:val="30"/>
          <w:szCs w:val="30"/>
          <w:rtl/>
        </w:rPr>
      </w:pPr>
      <w:bookmarkStart w:id="4" w:name="_Hlk185611886"/>
      <w:r w:rsidRPr="00DA72CE">
        <w:rPr>
          <w:rFonts w:ascii="Simplified Arabic" w:eastAsia="Calibri" w:hAnsi="Simplified Arabic" w:cs="Simplified Arabic"/>
          <w:sz w:val="30"/>
          <w:szCs w:val="30"/>
          <w:rtl/>
        </w:rPr>
        <w:t xml:space="preserve">الحمد لله رب العالمين، الذي بنعمته تتم الصالحات، ويسّر لي إتمام هذا العمل وألهمني الصبر والمثابرة لإنجاز هذه الرسالة لنيل درجة الماجستير. والصلاة والسلام على نبينا محمد، المعلّم الأول، الذي رفع الله به العلم وأكرم به الأمّة، وعلى </w:t>
      </w:r>
      <w:proofErr w:type="spellStart"/>
      <w:r w:rsidRPr="00DA72CE">
        <w:rPr>
          <w:rFonts w:ascii="Simplified Arabic" w:eastAsia="Calibri" w:hAnsi="Simplified Arabic" w:cs="Simplified Arabic"/>
          <w:sz w:val="30"/>
          <w:szCs w:val="30"/>
          <w:rtl/>
        </w:rPr>
        <w:t>آله</w:t>
      </w:r>
      <w:proofErr w:type="spellEnd"/>
      <w:r w:rsidRPr="00DA72CE">
        <w:rPr>
          <w:rFonts w:ascii="Simplified Arabic" w:eastAsia="Calibri" w:hAnsi="Simplified Arabic" w:cs="Simplified Arabic"/>
          <w:sz w:val="30"/>
          <w:szCs w:val="30"/>
          <w:rtl/>
        </w:rPr>
        <w:t xml:space="preserve"> وصحبه أجمعين</w:t>
      </w:r>
      <w:r w:rsidRPr="00DA72CE">
        <w:rPr>
          <w:rFonts w:ascii="Simplified Arabic" w:eastAsia="Calibri" w:hAnsi="Simplified Arabic" w:cs="Simplified Arabic"/>
          <w:sz w:val="30"/>
          <w:szCs w:val="30"/>
        </w:rPr>
        <w:t>.</w:t>
      </w:r>
    </w:p>
    <w:p w14:paraId="35D80FF3" w14:textId="77777777" w:rsidR="00DA72CE" w:rsidRPr="00DA72CE" w:rsidRDefault="00DA72CE" w:rsidP="00DA72CE">
      <w:pPr>
        <w:bidi/>
        <w:spacing w:line="240" w:lineRule="auto"/>
        <w:jc w:val="center"/>
        <w:rPr>
          <w:rFonts w:ascii="Simplified Arabic" w:eastAsia="Calibri" w:hAnsi="Simplified Arabic" w:cs="Simplified Arabic"/>
          <w:sz w:val="30"/>
          <w:szCs w:val="30"/>
          <w:rtl/>
        </w:rPr>
      </w:pPr>
      <w:r w:rsidRPr="00DA72CE">
        <w:rPr>
          <w:rFonts w:ascii="Simplified Arabic" w:eastAsia="Calibri" w:hAnsi="Simplified Arabic" w:cs="Simplified Arabic"/>
          <w:sz w:val="30"/>
          <w:szCs w:val="30"/>
          <w:rtl/>
        </w:rPr>
        <w:t>يطيب لي، في هذه المناسبة، أن أتوجه بأسمى آيات الشكر وعظيم الامتنان إلى من كان لهم الفضل الكبير بعد الله في إنجاز هذا العمل، وأخص بالذكر الأستاذين الفاضلين المشرفين على هذه الرسالة، الدكتور الفيصل محمد والدكتور فايز جراد، فقد كان لهما -بما تفضلوا به من توجيهات سديدة ونصائح ثمينة ووقت ثمين- أطيب الأثر في إخراج هذه الرسالة على الوجه الأكمل. أسأل الله العلي القدير أن يجعل ذلك في موازين حسناتهما، وأن يجزيهما خير الجزاء على ما قدماه من جهد وعطاء</w:t>
      </w:r>
      <w:r w:rsidRPr="00DA72CE">
        <w:rPr>
          <w:rFonts w:ascii="Simplified Arabic" w:eastAsia="Calibri" w:hAnsi="Simplified Arabic" w:cs="Simplified Arabic"/>
          <w:sz w:val="30"/>
          <w:szCs w:val="30"/>
        </w:rPr>
        <w:t>.</w:t>
      </w:r>
    </w:p>
    <w:p w14:paraId="474725C0" w14:textId="77777777" w:rsidR="00DA72CE" w:rsidRPr="00DA72CE" w:rsidRDefault="00DA72CE" w:rsidP="00DA72CE">
      <w:pPr>
        <w:bidi/>
        <w:spacing w:line="240" w:lineRule="auto"/>
        <w:jc w:val="center"/>
        <w:rPr>
          <w:rFonts w:ascii="Simplified Arabic" w:eastAsia="Calibri" w:hAnsi="Simplified Arabic" w:cs="Simplified Arabic"/>
          <w:sz w:val="30"/>
          <w:szCs w:val="30"/>
          <w:rtl/>
        </w:rPr>
      </w:pPr>
      <w:r w:rsidRPr="00DA72CE">
        <w:rPr>
          <w:rFonts w:ascii="Simplified Arabic" w:eastAsia="Calibri" w:hAnsi="Simplified Arabic" w:cs="Simplified Arabic"/>
          <w:sz w:val="30"/>
          <w:szCs w:val="30"/>
          <w:rtl/>
        </w:rPr>
        <w:t xml:space="preserve">كما لا يفوتني أن أتقدم بجزيل الشكر والتقدير إلى جامعة </w:t>
      </w:r>
      <w:proofErr w:type="spellStart"/>
      <w:r w:rsidRPr="00DA72CE">
        <w:rPr>
          <w:rFonts w:ascii="Simplified Arabic" w:eastAsia="Calibri" w:hAnsi="Simplified Arabic" w:cs="Simplified Arabic"/>
          <w:sz w:val="30"/>
          <w:szCs w:val="30"/>
          <w:rtl/>
        </w:rPr>
        <w:t>ميدأوشن</w:t>
      </w:r>
      <w:proofErr w:type="spellEnd"/>
      <w:r w:rsidRPr="00DA72CE">
        <w:rPr>
          <w:rFonts w:ascii="Simplified Arabic" w:eastAsia="Calibri" w:hAnsi="Simplified Arabic" w:cs="Simplified Arabic"/>
          <w:sz w:val="30"/>
          <w:szCs w:val="30"/>
          <w:rtl/>
        </w:rPr>
        <w:t>، ممثلة في كلية الإدارة، على ما وفرته من بيئة أكاديمية حاضنة وداعمة للبحث العلمي، وعلى ما أتاحته من مرافق ومصادر كانت عوناً كبيراً لي خلال مسيرتي الدراسية. إن لفضل هذه المؤسسة العلمية وأساتذتها الكرام الأثر الكبير في تشكيل شخصيتي الأكاديمية والمهنية</w:t>
      </w:r>
      <w:r w:rsidRPr="00DA72CE">
        <w:rPr>
          <w:rFonts w:ascii="Simplified Arabic" w:eastAsia="Calibri" w:hAnsi="Simplified Arabic" w:cs="Simplified Arabic"/>
          <w:sz w:val="30"/>
          <w:szCs w:val="30"/>
        </w:rPr>
        <w:t>.</w:t>
      </w:r>
    </w:p>
    <w:p w14:paraId="0F801683" w14:textId="77777777" w:rsidR="00DA72CE" w:rsidRPr="00DA72CE" w:rsidRDefault="00DA72CE" w:rsidP="00DA72CE">
      <w:pPr>
        <w:bidi/>
        <w:spacing w:line="240" w:lineRule="auto"/>
        <w:jc w:val="center"/>
        <w:rPr>
          <w:rFonts w:ascii="Simplified Arabic" w:eastAsia="Calibri" w:hAnsi="Simplified Arabic" w:cs="Simplified Arabic"/>
          <w:sz w:val="30"/>
          <w:szCs w:val="30"/>
          <w:rtl/>
        </w:rPr>
      </w:pPr>
    </w:p>
    <w:p w14:paraId="3FEC5850" w14:textId="77777777" w:rsidR="00DA72CE" w:rsidRPr="00DA72CE" w:rsidRDefault="00DA72CE" w:rsidP="00DA72CE">
      <w:pPr>
        <w:bidi/>
        <w:spacing w:line="240" w:lineRule="auto"/>
        <w:jc w:val="center"/>
        <w:rPr>
          <w:rFonts w:ascii="Simplified Arabic" w:eastAsia="Calibri" w:hAnsi="Simplified Arabic" w:cs="Simplified Arabic"/>
          <w:sz w:val="30"/>
          <w:szCs w:val="30"/>
          <w:rtl/>
        </w:rPr>
      </w:pPr>
      <w:r w:rsidRPr="00DA72CE">
        <w:rPr>
          <w:rFonts w:ascii="Simplified Arabic" w:eastAsia="Calibri" w:hAnsi="Simplified Arabic" w:cs="Simplified Arabic"/>
          <w:sz w:val="30"/>
          <w:szCs w:val="30"/>
          <w:rtl/>
        </w:rPr>
        <w:t>وامتناني موصول أيضاً إلى كل من ساندني وساهم بشكل مباشر أو غير مباشر في إنجاز هذه الرسالة، من زملاء وزميلات في البحث، وأصدقاء أوفياء، وكل فرد من أفراد العائلة الكرام الذين كان لدعمهم المعنوي وكلماتهم المشجعة الأثر العميق في تجاوز الصعاب. إن مساهماتكم الغالية، مهما كانت، كانت بمثابة اللبنات الأساسية التي ساعدتني في بناء هذا العمل المتواضع. جعل الله ذلك في ميزان حسناتكم جميعاً</w:t>
      </w:r>
      <w:r w:rsidRPr="00DA72CE">
        <w:rPr>
          <w:rFonts w:ascii="Simplified Arabic" w:eastAsia="Calibri" w:hAnsi="Simplified Arabic" w:cs="Simplified Arabic"/>
          <w:sz w:val="30"/>
          <w:szCs w:val="30"/>
        </w:rPr>
        <w:t>.</w:t>
      </w:r>
    </w:p>
    <w:p w14:paraId="75A54691" w14:textId="77777777" w:rsidR="00DA72CE" w:rsidRPr="00DA72CE" w:rsidRDefault="00DA72CE" w:rsidP="00DA72CE">
      <w:pPr>
        <w:bidi/>
        <w:spacing w:line="240" w:lineRule="auto"/>
        <w:jc w:val="center"/>
        <w:rPr>
          <w:rFonts w:ascii="Simplified Arabic" w:eastAsia="Calibri" w:hAnsi="Simplified Arabic" w:cs="Simplified Arabic"/>
          <w:sz w:val="30"/>
          <w:szCs w:val="30"/>
          <w:rtl/>
        </w:rPr>
      </w:pPr>
      <w:r w:rsidRPr="00DA72CE">
        <w:rPr>
          <w:rFonts w:ascii="Simplified Arabic" w:eastAsia="Calibri" w:hAnsi="Simplified Arabic" w:cs="Simplified Arabic"/>
          <w:sz w:val="30"/>
          <w:szCs w:val="30"/>
          <w:rtl/>
        </w:rPr>
        <w:t>وختاماً، الحمد لله من قبل ومن بعد، حمداً كثيراً طيباً مباركاً فيه، كما ينبغي لجلال وجهه وعظيم سلطانه</w:t>
      </w:r>
      <w:r w:rsidRPr="00DA72CE">
        <w:rPr>
          <w:rFonts w:ascii="Simplified Arabic" w:eastAsia="Calibri" w:hAnsi="Simplified Arabic" w:cs="Simplified Arabic"/>
          <w:sz w:val="30"/>
          <w:szCs w:val="30"/>
        </w:rPr>
        <w:t>.</w:t>
      </w:r>
    </w:p>
    <w:p w14:paraId="5076CCC4" w14:textId="2AAF62F0" w:rsidR="001502A1" w:rsidRPr="005F0DA9" w:rsidRDefault="001502A1" w:rsidP="00DA72CE">
      <w:pPr>
        <w:bidi/>
        <w:spacing w:line="240" w:lineRule="auto"/>
        <w:jc w:val="center"/>
        <w:rPr>
          <w:rFonts w:ascii="Simplified Arabic" w:eastAsia="Calibri" w:hAnsi="Simplified Arabic" w:cs="Simplified Arabic"/>
          <w:sz w:val="30"/>
          <w:szCs w:val="30"/>
          <w:rtl/>
        </w:rPr>
      </w:pPr>
    </w:p>
    <w:bookmarkEnd w:id="4"/>
    <w:p w14:paraId="595CE597" w14:textId="77777777" w:rsidR="001502A1" w:rsidRPr="005F0DA9" w:rsidRDefault="001502A1" w:rsidP="001502A1">
      <w:pPr>
        <w:bidi/>
        <w:rPr>
          <w:rFonts w:asciiTheme="majorHAnsi" w:eastAsiaTheme="majorEastAsia" w:hAnsiTheme="majorHAnsi" w:cs="Sakkal Majalla"/>
          <w:bCs/>
          <w:sz w:val="42"/>
          <w:szCs w:val="46"/>
          <w:rtl/>
        </w:rPr>
      </w:pPr>
      <w:r w:rsidRPr="005F0DA9">
        <w:rPr>
          <w:sz w:val="24"/>
          <w:szCs w:val="24"/>
          <w:rtl/>
        </w:rPr>
        <w:br w:type="page"/>
      </w:r>
    </w:p>
    <w:p w14:paraId="5554CF53" w14:textId="2FD4C890" w:rsidR="001502A1" w:rsidRPr="005F0DA9" w:rsidRDefault="001502A1" w:rsidP="008E2F51">
      <w:pPr>
        <w:pStyle w:val="Heading1"/>
        <w:bidi/>
        <w:rPr>
          <w:sz w:val="42"/>
          <w:szCs w:val="46"/>
          <w:rtl/>
        </w:rPr>
      </w:pPr>
      <w:bookmarkStart w:id="5" w:name="_Toc224358863"/>
      <w:r w:rsidRPr="005F0DA9">
        <w:rPr>
          <w:sz w:val="42"/>
          <w:szCs w:val="46"/>
          <w:rtl/>
        </w:rPr>
        <w:lastRenderedPageBreak/>
        <w:t>الملخص</w:t>
      </w:r>
      <w:bookmarkEnd w:id="5"/>
    </w:p>
    <w:p w14:paraId="7D4DA19E" w14:textId="77777777" w:rsidR="00FE7E3E" w:rsidRPr="00FE7E3E" w:rsidRDefault="00FE7E3E" w:rsidP="00FE7E3E">
      <w:pPr>
        <w:bidi/>
        <w:spacing w:line="360" w:lineRule="auto"/>
        <w:ind w:firstLine="720"/>
        <w:jc w:val="both"/>
        <w:rPr>
          <w:rFonts w:ascii="Sakkal Majalla" w:hAnsi="Sakkal Majalla" w:cs="Sakkal Majalla"/>
          <w:spacing w:val="-4"/>
          <w:sz w:val="28"/>
          <w:szCs w:val="28"/>
          <w:lang w:val="en-GB"/>
        </w:rPr>
      </w:pPr>
      <w:r w:rsidRPr="00FE7E3E">
        <w:rPr>
          <w:rFonts w:ascii="Sakkal Majalla" w:hAnsi="Sakkal Majalla" w:cs="Sakkal Majalla"/>
          <w:spacing w:val="-4"/>
          <w:sz w:val="28"/>
          <w:szCs w:val="28"/>
          <w:rtl/>
        </w:rPr>
        <w:t>استهدفت هذه الدراسة استقصاء أثر التميز المؤسسي بأبعاده المختلفة (القيادة والرؤية، الاستراتيجية والتخطيط، إدارة العمليات والموارد، والنتائج والأداء) في تعزيز جودة ممارسات إدارة الموارد البشرية وتطوير الأداء المؤسسي العام في الجامعات الحكومية بمدينة الرياض. وقد سعى البحث بشكل أساسي إلى تحديد مستويات ممارسة هذه المتغيرات من وجهة نظر المنسوبين، مع تحليل الفروق الإحصائية في تصوراتهم التي قد تعزى لطبيعة وظائفهم (أكاديمي/إداري). ولتحقيق هذه الأهداف، اعتمدت الدراسة على المنهج الوصفي التحليلي، حيث جرى جمع البيانات الميدانية عبر استبانة علمية محكمة طُبقت على عينة ممثلة بلغت (432) فرداً من أعضاء هيئة التدريس والكوادر الإدارية بالجامعات محل الدراسة</w:t>
      </w:r>
      <w:r w:rsidRPr="00FE7E3E">
        <w:rPr>
          <w:rFonts w:ascii="Sakkal Majalla" w:hAnsi="Sakkal Majalla" w:cs="Sakkal Majalla"/>
          <w:spacing w:val="-4"/>
          <w:sz w:val="28"/>
          <w:szCs w:val="28"/>
          <w:lang w:val="en-GB"/>
        </w:rPr>
        <w:t>.</w:t>
      </w:r>
    </w:p>
    <w:p w14:paraId="3665F0C4" w14:textId="255E9E98" w:rsidR="00FE7E3E" w:rsidRPr="00FE7E3E" w:rsidRDefault="00FE7E3E" w:rsidP="00FE7E3E">
      <w:pPr>
        <w:bidi/>
        <w:spacing w:line="360" w:lineRule="auto"/>
        <w:ind w:firstLine="720"/>
        <w:jc w:val="both"/>
        <w:rPr>
          <w:rFonts w:ascii="Sakkal Majalla" w:hAnsi="Sakkal Majalla" w:cs="Sakkal Majalla"/>
          <w:spacing w:val="-4"/>
          <w:sz w:val="28"/>
          <w:szCs w:val="28"/>
          <w:lang w:val="en-GB"/>
        </w:rPr>
      </w:pPr>
      <w:r w:rsidRPr="00FE7E3E">
        <w:rPr>
          <w:rFonts w:ascii="Sakkal Majalla" w:hAnsi="Sakkal Majalla" w:cs="Sakkal Majalla"/>
          <w:spacing w:val="-4"/>
          <w:sz w:val="28"/>
          <w:szCs w:val="28"/>
          <w:rtl/>
        </w:rPr>
        <w:t>وكشفت النتائج الميدانية عن واقع متقدم للمتغيرات محل البحث، حيث تبين أن التميز المؤسسي يُمارس بمستوى "مرتفع" بمتوسط حسابي عام بلغ (3.72)، مع تصدر بُعد "النتائج والأداء" للمرتبة الأولى، يليه بُعد "القيادة والرؤية". كما أظهرت النتائج جودة عالية في ممارسات إدارة الموارد البشرية بمتوسط (3.87)، وبروز نظام "الحوافز والمكافآت" كأكثر الممارسات تفعيلاً، في حين سجل الأداء المؤسسي العام أعلى مستويات التقدير بمتوسط (3.95). وتعكس هذه النتائج حالة من النضج الإداري والتشغيلي في بيئة التعليم العالي بمدينة الرياض، وقدرة الجامعات على المواءمة بين عملياتها الداخلية وبين المعايير الوطنية والدولية للتفوق التنظيمي</w:t>
      </w:r>
      <w:r w:rsidRPr="005F0DA9">
        <w:rPr>
          <w:rFonts w:ascii="Sakkal Majalla" w:hAnsi="Sakkal Majalla" w:cs="Sakkal Majalla" w:hint="cs"/>
          <w:spacing w:val="-4"/>
          <w:sz w:val="28"/>
          <w:szCs w:val="28"/>
          <w:rtl/>
          <w:lang w:val="en-GB"/>
        </w:rPr>
        <w:t xml:space="preserve">، </w:t>
      </w:r>
      <w:r w:rsidRPr="005F0DA9">
        <w:rPr>
          <w:rFonts w:ascii="Sakkal Majalla" w:hAnsi="Sakkal Majalla" w:cs="Sakkal Majalla" w:hint="cs"/>
          <w:spacing w:val="-4"/>
          <w:sz w:val="28"/>
          <w:szCs w:val="28"/>
          <w:rtl/>
        </w:rPr>
        <w:t>و</w:t>
      </w:r>
      <w:r w:rsidRPr="00FE7E3E">
        <w:rPr>
          <w:rFonts w:ascii="Sakkal Majalla" w:hAnsi="Sakkal Majalla" w:cs="Sakkal Majalla"/>
          <w:spacing w:val="-4"/>
          <w:sz w:val="28"/>
          <w:szCs w:val="28"/>
          <w:rtl/>
        </w:rPr>
        <w:t>أثبتت النتائج وجود أثر إيجابي ذي دلالة إحصائية للتميز المؤسسي في تطوير الأداء المؤسسي العام عند مستوى دلالة (0.000)، حيث تبين أن أبعاد التميز تفسر ما نسبته (74.6%) من التباين الحاصل في مستوى الأداء</w:t>
      </w:r>
      <w:r w:rsidRPr="00FE7E3E">
        <w:rPr>
          <w:rFonts w:ascii="Sakkal Majalla" w:hAnsi="Sakkal Majalla" w:cs="Sakkal Majalla"/>
          <w:spacing w:val="-4"/>
          <w:sz w:val="28"/>
          <w:szCs w:val="28"/>
          <w:lang w:val="en-GB"/>
        </w:rPr>
        <w:t xml:space="preserve"> (R^2 = 0.746). </w:t>
      </w:r>
      <w:r w:rsidRPr="00FE7E3E">
        <w:rPr>
          <w:rFonts w:ascii="Sakkal Majalla" w:hAnsi="Sakkal Majalla" w:cs="Sakkal Majalla"/>
          <w:spacing w:val="-4"/>
          <w:sz w:val="28"/>
          <w:szCs w:val="28"/>
          <w:rtl/>
        </w:rPr>
        <w:t>كما أكدت النتائج وجود أثر جوهري للتميز في تجويد ممارسات المورد البشري بمعامل ارتباط بلغ (0.837). وفيما يخص المتغيرات الديموغرافية، كشفت الدراسة عن وجود فروق ذات دلالة إحصائية في إدراك مستويات التميز والأداء لصالح "الأكاديميين"، مما يشير إلى تباين في الوعي بمعايير الجودة بين الكوادر التعليمية والإدارية.</w:t>
      </w:r>
    </w:p>
    <w:p w14:paraId="3DE6FCEF" w14:textId="5F046238" w:rsidR="00FE7E3E" w:rsidRPr="00FE7E3E" w:rsidRDefault="00FE7E3E" w:rsidP="00FE7E3E">
      <w:pPr>
        <w:bidi/>
        <w:spacing w:line="360" w:lineRule="auto"/>
        <w:jc w:val="both"/>
        <w:rPr>
          <w:rFonts w:ascii="Sakkal Majalla" w:hAnsi="Sakkal Majalla" w:cs="Sakkal Majalla"/>
          <w:spacing w:val="-4"/>
          <w:sz w:val="24"/>
          <w:szCs w:val="24"/>
          <w:lang w:val="en-GB"/>
        </w:rPr>
      </w:pPr>
      <w:r w:rsidRPr="00FE7E3E">
        <w:rPr>
          <w:rFonts w:ascii="Sakkal Majalla" w:hAnsi="Sakkal Majalla" w:cs="Sakkal Majalla"/>
          <w:b/>
          <w:bCs/>
          <w:spacing w:val="-4"/>
          <w:sz w:val="24"/>
          <w:szCs w:val="24"/>
          <w:rtl/>
        </w:rPr>
        <w:t>الكلمات المفتاحية</w:t>
      </w:r>
      <w:r w:rsidRPr="00FE7E3E">
        <w:rPr>
          <w:rFonts w:ascii="Sakkal Majalla" w:hAnsi="Sakkal Majalla" w:cs="Sakkal Majalla"/>
          <w:b/>
          <w:bCs/>
          <w:spacing w:val="-4"/>
          <w:sz w:val="24"/>
          <w:szCs w:val="24"/>
          <w:lang w:val="en-GB"/>
        </w:rPr>
        <w:t>:</w:t>
      </w:r>
      <w:r w:rsidRPr="005F0DA9">
        <w:rPr>
          <w:rFonts w:ascii="Sakkal Majalla" w:hAnsi="Sakkal Majalla" w:cs="Sakkal Majalla" w:hint="cs"/>
          <w:b/>
          <w:bCs/>
          <w:spacing w:val="-4"/>
          <w:sz w:val="24"/>
          <w:szCs w:val="24"/>
          <w:rtl/>
          <w:lang w:val="en-GB"/>
        </w:rPr>
        <w:t xml:space="preserve"> </w:t>
      </w:r>
      <w:r w:rsidRPr="00FE7E3E">
        <w:rPr>
          <w:rFonts w:ascii="Sakkal Majalla" w:hAnsi="Sakkal Majalla" w:cs="Sakkal Majalla"/>
          <w:b/>
          <w:bCs/>
          <w:spacing w:val="-4"/>
          <w:sz w:val="24"/>
          <w:szCs w:val="24"/>
          <w:rtl/>
        </w:rPr>
        <w:t>التميز المؤسسي، إدارة الموارد البشرية، الأداء المؤسسي، الجامعات الحكومية، رؤية المملكة 2030</w:t>
      </w:r>
      <w:r w:rsidRPr="00FE7E3E">
        <w:rPr>
          <w:rFonts w:ascii="Sakkal Majalla" w:hAnsi="Sakkal Majalla" w:cs="Sakkal Majalla"/>
          <w:b/>
          <w:bCs/>
          <w:spacing w:val="-4"/>
          <w:sz w:val="24"/>
          <w:szCs w:val="24"/>
          <w:lang w:val="en-GB"/>
        </w:rPr>
        <w:t>.</w:t>
      </w:r>
    </w:p>
    <w:p w14:paraId="673DAF6F" w14:textId="77777777" w:rsidR="005E494A" w:rsidRPr="005F0DA9" w:rsidRDefault="005E494A">
      <w:pPr>
        <w:rPr>
          <w:rFonts w:asciiTheme="majorHAnsi" w:eastAsiaTheme="majorEastAsia" w:hAnsiTheme="majorHAnsi" w:cs="Sakkal Majalla"/>
          <w:bCs/>
          <w:sz w:val="42"/>
          <w:szCs w:val="46"/>
        </w:rPr>
      </w:pPr>
      <w:r w:rsidRPr="005F0DA9">
        <w:rPr>
          <w:sz w:val="24"/>
          <w:szCs w:val="24"/>
        </w:rPr>
        <w:br w:type="page"/>
      </w:r>
    </w:p>
    <w:p w14:paraId="67EC37F3" w14:textId="77777777" w:rsidR="00BF318A" w:rsidRPr="005F0DA9" w:rsidRDefault="001502A1" w:rsidP="001502A1">
      <w:pPr>
        <w:pStyle w:val="Heading1"/>
        <w:rPr>
          <w:sz w:val="42"/>
          <w:szCs w:val="46"/>
          <w:rtl/>
        </w:rPr>
      </w:pPr>
      <w:bookmarkStart w:id="6" w:name="_Toc224358864"/>
      <w:r w:rsidRPr="005F0DA9">
        <w:rPr>
          <w:sz w:val="42"/>
          <w:szCs w:val="46"/>
        </w:rPr>
        <w:lastRenderedPageBreak/>
        <w:t>Abstract</w:t>
      </w:r>
      <w:bookmarkEnd w:id="6"/>
    </w:p>
    <w:p w14:paraId="254C1E7B" w14:textId="77777777" w:rsidR="008A3477" w:rsidRPr="008A3477" w:rsidRDefault="008A3477" w:rsidP="008A3477">
      <w:pPr>
        <w:spacing w:line="276" w:lineRule="auto"/>
        <w:ind w:firstLine="709"/>
        <w:jc w:val="both"/>
        <w:rPr>
          <w:rFonts w:ascii="Times New Roman" w:hAnsi="Times New Roman" w:cs="Times New Roman"/>
          <w:sz w:val="24"/>
          <w:szCs w:val="24"/>
          <w:lang w:val="en-GB"/>
        </w:rPr>
      </w:pPr>
      <w:r w:rsidRPr="008A3477">
        <w:rPr>
          <w:rFonts w:ascii="Times New Roman" w:hAnsi="Times New Roman" w:cs="Times New Roman"/>
          <w:sz w:val="24"/>
          <w:szCs w:val="24"/>
          <w:lang w:val="en-GB"/>
        </w:rPr>
        <w:t xml:space="preserve">This study aimed to investigate the impact of institutional excellence across its various dimensions (leadership and vision, strategy and planning, operations and resources management, and results and performance) in enhancing the quality of human resource management practices and improving overall institutional performance in public universities in Riyadh. The research primarily sought to determine the levels of practice of these variables from the perspective of the respondents, </w:t>
      </w:r>
      <w:proofErr w:type="spellStart"/>
      <w:r w:rsidRPr="008A3477">
        <w:rPr>
          <w:rFonts w:ascii="Times New Roman" w:hAnsi="Times New Roman" w:cs="Times New Roman"/>
          <w:sz w:val="24"/>
          <w:szCs w:val="24"/>
          <w:lang w:val="en-GB"/>
        </w:rPr>
        <w:t>analyzing</w:t>
      </w:r>
      <w:proofErr w:type="spellEnd"/>
      <w:r w:rsidRPr="008A3477">
        <w:rPr>
          <w:rFonts w:ascii="Times New Roman" w:hAnsi="Times New Roman" w:cs="Times New Roman"/>
          <w:sz w:val="24"/>
          <w:szCs w:val="24"/>
          <w:lang w:val="en-GB"/>
        </w:rPr>
        <w:t xml:space="preserve"> the statistical differences in their perceptions that may be attributed to the nature of their roles (academic/administrative).</w:t>
      </w:r>
    </w:p>
    <w:p w14:paraId="743A0D40" w14:textId="77777777" w:rsidR="008A3477" w:rsidRPr="008A3477" w:rsidRDefault="008A3477" w:rsidP="008A3477">
      <w:pPr>
        <w:spacing w:line="276" w:lineRule="auto"/>
        <w:ind w:firstLine="709"/>
        <w:jc w:val="both"/>
        <w:rPr>
          <w:rFonts w:ascii="Times New Roman" w:hAnsi="Times New Roman" w:cs="Times New Roman"/>
          <w:sz w:val="24"/>
          <w:szCs w:val="24"/>
          <w:lang w:val="en-GB"/>
        </w:rPr>
      </w:pPr>
      <w:r w:rsidRPr="008A3477">
        <w:rPr>
          <w:rFonts w:ascii="Times New Roman" w:hAnsi="Times New Roman" w:cs="Times New Roman"/>
          <w:sz w:val="24"/>
          <w:szCs w:val="24"/>
          <w:lang w:val="en-GB"/>
        </w:rPr>
        <w:t>To achieve these goals, the study relied on a descriptive analytical approach, collecting field data through a scientifically validated questionnaire applied to a representative sample of (432) individuals from faculty members and administrative staff at the studied universities.</w:t>
      </w:r>
    </w:p>
    <w:p w14:paraId="721B55C5" w14:textId="77777777" w:rsidR="008A3477" w:rsidRPr="008A3477" w:rsidRDefault="008A3477" w:rsidP="008A3477">
      <w:pPr>
        <w:spacing w:line="276" w:lineRule="auto"/>
        <w:ind w:firstLine="709"/>
        <w:jc w:val="both"/>
        <w:rPr>
          <w:rFonts w:ascii="Times New Roman" w:hAnsi="Times New Roman" w:cs="Times New Roman"/>
          <w:sz w:val="24"/>
          <w:szCs w:val="24"/>
          <w:lang w:val="en-GB"/>
        </w:rPr>
      </w:pPr>
      <w:r w:rsidRPr="008A3477">
        <w:rPr>
          <w:rFonts w:ascii="Times New Roman" w:hAnsi="Times New Roman" w:cs="Times New Roman"/>
          <w:sz w:val="24"/>
          <w:szCs w:val="24"/>
          <w:lang w:val="en-GB"/>
        </w:rPr>
        <w:t>The field results revealed an advanced state of the variables under investigation, indicating that institutional excellence is practiced at a "high" level with an overall mean of (3.72), with the "results and performance" dimension ranking first, followed by the "leadership and vision" dimension. The findings also showed high quality in human resource management practices with a mean of (3.87), highlighting the "incentives and rewards" system as the most activated practice, while overall institutional performance recorded the highest appreciation levels with a mean of (3.95).</w:t>
      </w:r>
    </w:p>
    <w:p w14:paraId="1DB65AC8" w14:textId="77777777" w:rsidR="008A3477" w:rsidRPr="008A3477" w:rsidRDefault="008A3477" w:rsidP="008A3477">
      <w:pPr>
        <w:spacing w:line="276" w:lineRule="auto"/>
        <w:ind w:firstLine="709"/>
        <w:jc w:val="both"/>
        <w:rPr>
          <w:rFonts w:ascii="Times New Roman" w:hAnsi="Times New Roman" w:cs="Times New Roman"/>
          <w:sz w:val="24"/>
          <w:szCs w:val="24"/>
          <w:lang w:val="en-GB"/>
        </w:rPr>
      </w:pPr>
      <w:r w:rsidRPr="008A3477">
        <w:rPr>
          <w:rFonts w:ascii="Times New Roman" w:hAnsi="Times New Roman" w:cs="Times New Roman"/>
          <w:sz w:val="24"/>
          <w:szCs w:val="24"/>
          <w:lang w:val="en-GB"/>
        </w:rPr>
        <w:t>These results reflect a state of managerial and operational maturity in the higher education environment of Riyadh, demonstrating the universities' ability to align their internal processes with national and international standards for organizational excellence. The results confirmed a statistically significant positive impact of institutional excellence on the development of overall institutional performance at a significance level of (0.000), revealing that the dimensions of excellence explain (74.6%) of the variance in performance level (R² = 0.746). Additionally, the results confirmed a substantive effect of excellence in enhancing human resource practices, with a correlation coefficient of (0.837).</w:t>
      </w:r>
    </w:p>
    <w:p w14:paraId="77C57A01" w14:textId="77777777" w:rsidR="008A3477" w:rsidRPr="008A3477" w:rsidRDefault="008A3477" w:rsidP="008A3477">
      <w:pPr>
        <w:spacing w:line="276" w:lineRule="auto"/>
        <w:ind w:firstLine="709"/>
        <w:jc w:val="both"/>
        <w:rPr>
          <w:rFonts w:ascii="Times New Roman" w:hAnsi="Times New Roman" w:cs="Times New Roman"/>
          <w:sz w:val="24"/>
          <w:szCs w:val="24"/>
          <w:lang w:val="en-GB"/>
        </w:rPr>
      </w:pPr>
      <w:r w:rsidRPr="008A3477">
        <w:rPr>
          <w:rFonts w:ascii="Times New Roman" w:hAnsi="Times New Roman" w:cs="Times New Roman"/>
          <w:sz w:val="24"/>
          <w:szCs w:val="24"/>
          <w:lang w:val="en-GB"/>
        </w:rPr>
        <w:t xml:space="preserve">Regarding demographic variables, the study revealed statistically significant differences in the perceptions of excellence and performance levels </w:t>
      </w:r>
      <w:proofErr w:type="spellStart"/>
      <w:r w:rsidRPr="008A3477">
        <w:rPr>
          <w:rFonts w:ascii="Times New Roman" w:hAnsi="Times New Roman" w:cs="Times New Roman"/>
          <w:sz w:val="24"/>
          <w:szCs w:val="24"/>
          <w:lang w:val="en-GB"/>
        </w:rPr>
        <w:t>favoring</w:t>
      </w:r>
      <w:proofErr w:type="spellEnd"/>
      <w:r w:rsidRPr="008A3477">
        <w:rPr>
          <w:rFonts w:ascii="Times New Roman" w:hAnsi="Times New Roman" w:cs="Times New Roman"/>
          <w:sz w:val="24"/>
          <w:szCs w:val="24"/>
          <w:lang w:val="en-GB"/>
        </w:rPr>
        <w:t xml:space="preserve"> "academics," indicating a variance in the awareness of quality standards between educational and administrative staff.</w:t>
      </w:r>
    </w:p>
    <w:p w14:paraId="6DE65FE9" w14:textId="77777777" w:rsidR="008A3477" w:rsidRPr="008A3477" w:rsidRDefault="008A3477" w:rsidP="008A3477">
      <w:pPr>
        <w:spacing w:line="276" w:lineRule="auto"/>
        <w:ind w:firstLine="709"/>
        <w:jc w:val="both"/>
        <w:rPr>
          <w:rFonts w:ascii="Times New Roman" w:hAnsi="Times New Roman" w:cs="Times New Roman"/>
          <w:sz w:val="24"/>
          <w:szCs w:val="24"/>
          <w:lang w:val="en-GB"/>
        </w:rPr>
      </w:pPr>
      <w:r w:rsidRPr="008A3477">
        <w:rPr>
          <w:rFonts w:ascii="Times New Roman" w:hAnsi="Times New Roman" w:cs="Times New Roman"/>
          <w:b/>
          <w:bCs/>
          <w:sz w:val="24"/>
          <w:szCs w:val="24"/>
          <w:lang w:val="en-GB"/>
        </w:rPr>
        <w:t>Keywords</w:t>
      </w:r>
      <w:r w:rsidRPr="008A3477">
        <w:rPr>
          <w:rFonts w:ascii="Times New Roman" w:hAnsi="Times New Roman" w:cs="Times New Roman"/>
          <w:sz w:val="24"/>
          <w:szCs w:val="24"/>
          <w:lang w:val="en-GB"/>
        </w:rPr>
        <w:t>: Institutional excellence, human resource management, institutional performance, public universities, Saudi Vision 2030.</w:t>
      </w:r>
    </w:p>
    <w:p w14:paraId="4A18D951" w14:textId="77777777" w:rsidR="00BF318A" w:rsidRPr="005F0DA9" w:rsidRDefault="008E2F51">
      <w:pPr>
        <w:rPr>
          <w:rFonts w:ascii="Sakkal Majalla" w:hAnsi="Sakkal Majalla" w:cs="Sakkal Majalla"/>
          <w:b/>
          <w:bCs/>
          <w:sz w:val="38"/>
          <w:szCs w:val="38"/>
          <w:rtl/>
          <w:lang w:val="en-GB"/>
        </w:rPr>
      </w:pPr>
      <w:r w:rsidRPr="005F0DA9">
        <w:rPr>
          <w:rFonts w:ascii="Sakkal Majalla" w:hAnsi="Sakkal Majalla" w:cs="Sakkal Majalla"/>
          <w:b/>
          <w:bCs/>
          <w:sz w:val="38"/>
          <w:szCs w:val="38"/>
          <w:rtl/>
          <w:lang w:val="en-GB"/>
        </w:rPr>
        <w:br w:type="page"/>
      </w:r>
    </w:p>
    <w:sdt>
      <w:sdtPr>
        <w:rPr>
          <w:rFonts w:asciiTheme="minorHAnsi" w:eastAsiaTheme="minorHAnsi" w:hAnsiTheme="minorHAnsi" w:cstheme="minorBidi"/>
          <w:b w:val="0"/>
          <w:bCs w:val="0"/>
          <w:sz w:val="24"/>
          <w:szCs w:val="24"/>
        </w:rPr>
        <w:id w:val="-1115753377"/>
        <w:docPartObj>
          <w:docPartGallery w:val="Table of Contents"/>
          <w:docPartUnique/>
        </w:docPartObj>
      </w:sdtPr>
      <w:sdtEndPr>
        <w:rPr>
          <w:rFonts w:ascii="Sakkal Majalla" w:hAnsi="Sakkal Majalla" w:cs="Sakkal Majalla"/>
          <w:noProof/>
          <w:sz w:val="30"/>
          <w:szCs w:val="30"/>
          <w:rtl w:val="0"/>
        </w:rPr>
      </w:sdtEndPr>
      <w:sdtContent>
        <w:p w14:paraId="35C0F2A8" w14:textId="7B9CD15D" w:rsidR="001502A1" w:rsidRPr="005F0DA9" w:rsidRDefault="001502A1">
          <w:pPr>
            <w:pStyle w:val="TOCHeading"/>
            <w:rPr>
              <w:rStyle w:val="Heading1Char"/>
              <w:sz w:val="42"/>
              <w:szCs w:val="46"/>
              <w:lang w:bidi="ar-EG"/>
            </w:rPr>
          </w:pPr>
          <w:r w:rsidRPr="005F0DA9">
            <w:rPr>
              <w:rStyle w:val="Heading1Char"/>
              <w:rFonts w:hint="cs"/>
              <w:sz w:val="42"/>
              <w:szCs w:val="46"/>
            </w:rPr>
            <w:t xml:space="preserve">جدول المحتويات </w:t>
          </w:r>
        </w:p>
        <w:p w14:paraId="41A1EF8A" w14:textId="71F96AA7" w:rsidR="00E16821" w:rsidRDefault="001502A1">
          <w:pPr>
            <w:pStyle w:val="TOC1"/>
            <w:rPr>
              <w:rFonts w:asciiTheme="minorHAnsi" w:eastAsiaTheme="minorEastAsia" w:hAnsiTheme="minorHAnsi" w:cstheme="minorBidi"/>
              <w:b w:val="0"/>
              <w:bCs w:val="0"/>
              <w:sz w:val="22"/>
              <w:szCs w:val="22"/>
              <w:rtl/>
            </w:rPr>
          </w:pPr>
          <w:r w:rsidRPr="005F0DA9">
            <w:rPr>
              <w:rFonts w:ascii="Sakkal Majalla" w:hAnsi="Sakkal Majalla" w:cs="Sakkal Majalla"/>
              <w:sz w:val="30"/>
              <w:szCs w:val="30"/>
            </w:rPr>
            <w:fldChar w:fldCharType="begin"/>
          </w:r>
          <w:r w:rsidRPr="005F0DA9">
            <w:rPr>
              <w:rFonts w:ascii="Sakkal Majalla" w:hAnsi="Sakkal Majalla" w:cs="Sakkal Majalla"/>
              <w:sz w:val="30"/>
              <w:szCs w:val="30"/>
            </w:rPr>
            <w:instrText xml:space="preserve"> TOC \o "1-3" \h \z \u </w:instrText>
          </w:r>
          <w:r w:rsidRPr="005F0DA9">
            <w:rPr>
              <w:rFonts w:ascii="Sakkal Majalla" w:hAnsi="Sakkal Majalla" w:cs="Sakkal Majalla"/>
              <w:sz w:val="30"/>
              <w:szCs w:val="30"/>
            </w:rPr>
            <w:fldChar w:fldCharType="separate"/>
          </w:r>
          <w:hyperlink w:anchor="_Toc224358861" w:history="1">
            <w:r w:rsidR="00E16821" w:rsidRPr="004A2422">
              <w:rPr>
                <w:rStyle w:val="Hyperlink"/>
                <w:rtl/>
              </w:rPr>
              <w:t>الإهداء</w:t>
            </w:r>
            <w:r w:rsidR="00E16821">
              <w:rPr>
                <w:webHidden/>
                <w:rtl/>
              </w:rPr>
              <w:tab/>
            </w:r>
            <w:r w:rsidR="00E16821">
              <w:rPr>
                <w:webHidden/>
                <w:rtl/>
              </w:rPr>
              <w:fldChar w:fldCharType="begin"/>
            </w:r>
            <w:r w:rsidR="00E16821">
              <w:rPr>
                <w:webHidden/>
                <w:rtl/>
              </w:rPr>
              <w:instrText xml:space="preserve"> </w:instrText>
            </w:r>
            <w:r w:rsidR="00E16821">
              <w:rPr>
                <w:webHidden/>
              </w:rPr>
              <w:instrText>PAGEREF</w:instrText>
            </w:r>
            <w:r w:rsidR="00E16821">
              <w:rPr>
                <w:webHidden/>
                <w:rtl/>
              </w:rPr>
              <w:instrText xml:space="preserve"> _</w:instrText>
            </w:r>
            <w:r w:rsidR="00E16821">
              <w:rPr>
                <w:webHidden/>
              </w:rPr>
              <w:instrText>Toc224358861 \h</w:instrText>
            </w:r>
            <w:r w:rsidR="00E16821">
              <w:rPr>
                <w:webHidden/>
                <w:rtl/>
              </w:rPr>
              <w:instrText xml:space="preserve"> </w:instrText>
            </w:r>
            <w:r w:rsidR="00E16821">
              <w:rPr>
                <w:webHidden/>
                <w:rtl/>
              </w:rPr>
            </w:r>
            <w:r w:rsidR="00E16821">
              <w:rPr>
                <w:webHidden/>
                <w:rtl/>
              </w:rPr>
              <w:fldChar w:fldCharType="separate"/>
            </w:r>
            <w:r w:rsidR="00E16821">
              <w:rPr>
                <w:rFonts w:hint="eastAsia"/>
                <w:webHidden/>
                <w:rtl/>
              </w:rPr>
              <w:t>ت‌</w:t>
            </w:r>
            <w:r w:rsidR="00E16821">
              <w:rPr>
                <w:webHidden/>
                <w:rtl/>
              </w:rPr>
              <w:fldChar w:fldCharType="end"/>
            </w:r>
          </w:hyperlink>
        </w:p>
        <w:p w14:paraId="7C6F58CC" w14:textId="4EA74A62" w:rsidR="00E16821" w:rsidRDefault="00E16821">
          <w:pPr>
            <w:pStyle w:val="TOC1"/>
            <w:rPr>
              <w:rFonts w:asciiTheme="minorHAnsi" w:eastAsiaTheme="minorEastAsia" w:hAnsiTheme="minorHAnsi" w:cstheme="minorBidi"/>
              <w:b w:val="0"/>
              <w:bCs w:val="0"/>
              <w:sz w:val="22"/>
              <w:szCs w:val="22"/>
              <w:rtl/>
            </w:rPr>
          </w:pPr>
          <w:hyperlink w:anchor="_Toc224358862" w:history="1">
            <w:r w:rsidRPr="004A2422">
              <w:rPr>
                <w:rStyle w:val="Hyperlink"/>
                <w:rtl/>
              </w:rPr>
              <w:t>الشكر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Toc224358862 \h</w:instrText>
            </w:r>
            <w:r>
              <w:rPr>
                <w:webHidden/>
                <w:rtl/>
              </w:rPr>
              <w:instrText xml:space="preserve"> </w:instrText>
            </w:r>
            <w:r>
              <w:rPr>
                <w:webHidden/>
                <w:rtl/>
              </w:rPr>
            </w:r>
            <w:r>
              <w:rPr>
                <w:webHidden/>
                <w:rtl/>
              </w:rPr>
              <w:fldChar w:fldCharType="separate"/>
            </w:r>
            <w:r>
              <w:rPr>
                <w:rFonts w:hint="eastAsia"/>
                <w:webHidden/>
                <w:rtl/>
              </w:rPr>
              <w:t>ث‌</w:t>
            </w:r>
            <w:r>
              <w:rPr>
                <w:webHidden/>
                <w:rtl/>
              </w:rPr>
              <w:fldChar w:fldCharType="end"/>
            </w:r>
          </w:hyperlink>
        </w:p>
        <w:p w14:paraId="56AE77E1" w14:textId="7D8155F7" w:rsidR="00E16821" w:rsidRDefault="00E16821">
          <w:pPr>
            <w:pStyle w:val="TOC1"/>
            <w:rPr>
              <w:rFonts w:asciiTheme="minorHAnsi" w:eastAsiaTheme="minorEastAsia" w:hAnsiTheme="minorHAnsi" w:cstheme="minorBidi"/>
              <w:b w:val="0"/>
              <w:bCs w:val="0"/>
              <w:sz w:val="22"/>
              <w:szCs w:val="22"/>
              <w:rtl/>
            </w:rPr>
          </w:pPr>
          <w:hyperlink w:anchor="_Toc224358863" w:history="1">
            <w:r w:rsidRPr="004A2422">
              <w:rPr>
                <w:rStyle w:val="Hyperlink"/>
                <w:rtl/>
              </w:rPr>
              <w:t>الملخص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Toc224358863 \h</w:instrText>
            </w:r>
            <w:r>
              <w:rPr>
                <w:webHidden/>
                <w:rtl/>
              </w:rPr>
              <w:instrText xml:space="preserve"> </w:instrText>
            </w:r>
            <w:r>
              <w:rPr>
                <w:webHidden/>
                <w:rtl/>
              </w:rPr>
            </w:r>
            <w:r>
              <w:rPr>
                <w:webHidden/>
                <w:rtl/>
              </w:rPr>
              <w:fldChar w:fldCharType="separate"/>
            </w:r>
            <w:r>
              <w:rPr>
                <w:rFonts w:hint="eastAsia"/>
                <w:webHidden/>
                <w:rtl/>
              </w:rPr>
              <w:t>ج‌</w:t>
            </w:r>
            <w:r>
              <w:rPr>
                <w:webHidden/>
                <w:rtl/>
              </w:rPr>
              <w:fldChar w:fldCharType="end"/>
            </w:r>
          </w:hyperlink>
        </w:p>
        <w:p w14:paraId="7E39D09F" w14:textId="71D2789F" w:rsidR="00E16821" w:rsidRDefault="00E16821">
          <w:pPr>
            <w:pStyle w:val="TOC1"/>
            <w:rPr>
              <w:rFonts w:asciiTheme="minorHAnsi" w:eastAsiaTheme="minorEastAsia" w:hAnsiTheme="minorHAnsi" w:cstheme="minorBidi"/>
              <w:b w:val="0"/>
              <w:bCs w:val="0"/>
              <w:sz w:val="22"/>
              <w:szCs w:val="22"/>
              <w:rtl/>
            </w:rPr>
          </w:pPr>
          <w:hyperlink w:anchor="_Toc224358864" w:history="1">
            <w:r w:rsidRPr="004A2422">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Toc224358864 \h</w:instrText>
            </w:r>
            <w:r>
              <w:rPr>
                <w:webHidden/>
                <w:rtl/>
              </w:rPr>
              <w:instrText xml:space="preserve"> </w:instrText>
            </w:r>
            <w:r>
              <w:rPr>
                <w:webHidden/>
                <w:rtl/>
              </w:rPr>
            </w:r>
            <w:r>
              <w:rPr>
                <w:webHidden/>
                <w:rtl/>
              </w:rPr>
              <w:fldChar w:fldCharType="separate"/>
            </w:r>
            <w:r>
              <w:rPr>
                <w:rFonts w:hint="eastAsia"/>
                <w:webHidden/>
                <w:rtl/>
              </w:rPr>
              <w:t>ح‌</w:t>
            </w:r>
            <w:r>
              <w:rPr>
                <w:webHidden/>
                <w:rtl/>
              </w:rPr>
              <w:fldChar w:fldCharType="end"/>
            </w:r>
          </w:hyperlink>
        </w:p>
        <w:p w14:paraId="0B055475" w14:textId="556417D8" w:rsidR="00E16821" w:rsidRDefault="00E16821">
          <w:pPr>
            <w:pStyle w:val="TOC1"/>
            <w:rPr>
              <w:rFonts w:asciiTheme="minorHAnsi" w:eastAsiaTheme="minorEastAsia" w:hAnsiTheme="minorHAnsi" w:cstheme="minorBidi"/>
              <w:b w:val="0"/>
              <w:bCs w:val="0"/>
              <w:sz w:val="22"/>
              <w:szCs w:val="22"/>
              <w:rtl/>
            </w:rPr>
          </w:pPr>
          <w:hyperlink w:anchor="_Toc224358865" w:history="1">
            <w:r w:rsidRPr="004A2422">
              <w:rPr>
                <w:rStyle w:val="Hyperlink"/>
                <w:rtl/>
              </w:rPr>
              <w:t>فهرس 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Toc224358865 \h</w:instrText>
            </w:r>
            <w:r>
              <w:rPr>
                <w:webHidden/>
                <w:rtl/>
              </w:rPr>
              <w:instrText xml:space="preserve"> </w:instrText>
            </w:r>
            <w:r>
              <w:rPr>
                <w:webHidden/>
                <w:rtl/>
              </w:rPr>
            </w:r>
            <w:r>
              <w:rPr>
                <w:webHidden/>
                <w:rtl/>
              </w:rPr>
              <w:fldChar w:fldCharType="separate"/>
            </w:r>
            <w:r>
              <w:rPr>
                <w:rFonts w:hint="eastAsia"/>
                <w:webHidden/>
                <w:rtl/>
              </w:rPr>
              <w:t>ذ‌</w:t>
            </w:r>
            <w:r>
              <w:rPr>
                <w:webHidden/>
                <w:rtl/>
              </w:rPr>
              <w:fldChar w:fldCharType="end"/>
            </w:r>
          </w:hyperlink>
        </w:p>
        <w:p w14:paraId="6685C72C" w14:textId="177B4CAD" w:rsidR="00E16821" w:rsidRDefault="00E16821">
          <w:pPr>
            <w:pStyle w:val="TOC1"/>
            <w:rPr>
              <w:rFonts w:asciiTheme="minorHAnsi" w:eastAsiaTheme="minorEastAsia" w:hAnsiTheme="minorHAnsi" w:cstheme="minorBidi"/>
              <w:b w:val="0"/>
              <w:bCs w:val="0"/>
              <w:sz w:val="22"/>
              <w:szCs w:val="22"/>
              <w:rtl/>
            </w:rPr>
          </w:pPr>
          <w:hyperlink w:anchor="_Toc224358866" w:history="1">
            <w:r w:rsidRPr="004A2422">
              <w:rPr>
                <w:rStyle w:val="Hyperlink"/>
                <w:rtl/>
              </w:rPr>
              <w:t>فهرس 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Toc224358866 \h</w:instrText>
            </w:r>
            <w:r>
              <w:rPr>
                <w:webHidden/>
                <w:rtl/>
              </w:rPr>
              <w:instrText xml:space="preserve"> </w:instrText>
            </w:r>
            <w:r>
              <w:rPr>
                <w:webHidden/>
                <w:rtl/>
              </w:rPr>
            </w:r>
            <w:r>
              <w:rPr>
                <w:webHidden/>
                <w:rtl/>
              </w:rPr>
              <w:fldChar w:fldCharType="separate"/>
            </w:r>
            <w:r>
              <w:rPr>
                <w:rFonts w:hint="eastAsia"/>
                <w:webHidden/>
                <w:rtl/>
              </w:rPr>
              <w:t>ر‌</w:t>
            </w:r>
            <w:r>
              <w:rPr>
                <w:webHidden/>
                <w:rtl/>
              </w:rPr>
              <w:fldChar w:fldCharType="end"/>
            </w:r>
          </w:hyperlink>
        </w:p>
        <w:p w14:paraId="3536C571" w14:textId="519E9258" w:rsidR="00E16821" w:rsidRDefault="00E16821">
          <w:pPr>
            <w:pStyle w:val="TOC1"/>
            <w:rPr>
              <w:rFonts w:asciiTheme="minorHAnsi" w:eastAsiaTheme="minorEastAsia" w:hAnsiTheme="minorHAnsi" w:cstheme="minorBidi"/>
              <w:b w:val="0"/>
              <w:bCs w:val="0"/>
              <w:sz w:val="22"/>
              <w:szCs w:val="22"/>
              <w:rtl/>
            </w:rPr>
          </w:pPr>
          <w:hyperlink w:anchor="_Toc224358867" w:history="1">
            <w:r w:rsidRPr="004A2422">
              <w:rPr>
                <w:rStyle w:val="Hyperlink"/>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Toc224358867 \h</w:instrText>
            </w:r>
            <w:r>
              <w:rPr>
                <w:webHidden/>
                <w:rtl/>
              </w:rPr>
              <w:instrText xml:space="preserve"> </w:instrText>
            </w:r>
            <w:r>
              <w:rPr>
                <w:webHidden/>
                <w:rtl/>
              </w:rPr>
            </w:r>
            <w:r>
              <w:rPr>
                <w:webHidden/>
                <w:rtl/>
              </w:rPr>
              <w:fldChar w:fldCharType="separate"/>
            </w:r>
            <w:r>
              <w:rPr>
                <w:webHidden/>
                <w:rtl/>
              </w:rPr>
              <w:t>1</w:t>
            </w:r>
            <w:r>
              <w:rPr>
                <w:webHidden/>
                <w:rtl/>
              </w:rPr>
              <w:fldChar w:fldCharType="end"/>
            </w:r>
          </w:hyperlink>
        </w:p>
        <w:p w14:paraId="11414D74" w14:textId="5C7B19AF" w:rsidR="00E16821" w:rsidRDefault="00E16821">
          <w:pPr>
            <w:pStyle w:val="TOC2"/>
            <w:rPr>
              <w:rFonts w:eastAsiaTheme="minorEastAsia"/>
              <w:noProof/>
              <w:rtl/>
            </w:rPr>
          </w:pPr>
          <w:hyperlink w:anchor="_Toc224358868" w:history="1">
            <w:r w:rsidRPr="004A2422">
              <w:rPr>
                <w:rStyle w:val="Hyperlink"/>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Toc224358868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14526F9" w14:textId="62F46261" w:rsidR="00E16821" w:rsidRDefault="00E16821">
          <w:pPr>
            <w:pStyle w:val="TOC2"/>
            <w:rPr>
              <w:rFonts w:eastAsiaTheme="minorEastAsia"/>
              <w:noProof/>
              <w:rtl/>
            </w:rPr>
          </w:pPr>
          <w:hyperlink w:anchor="_Toc224358869" w:history="1">
            <w:r w:rsidRPr="004A2422">
              <w:rPr>
                <w:rStyle w:val="Hyperlink"/>
                <w:noProof/>
                <w:rtl/>
              </w:rPr>
              <w:t>2</w:t>
            </w:r>
            <w:r w:rsidRPr="004A2422">
              <w:rPr>
                <w:rStyle w:val="Hyperlink"/>
                <w:noProof/>
              </w:rPr>
              <w:t xml:space="preserve">. </w:t>
            </w:r>
            <w:r w:rsidRPr="004A2422">
              <w:rPr>
                <w:rStyle w:val="Hyperlink"/>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Toc224358869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4F4CB0B" w14:textId="06DEC3ED" w:rsidR="00E16821" w:rsidRDefault="00E16821">
          <w:pPr>
            <w:pStyle w:val="TOC2"/>
            <w:rPr>
              <w:rFonts w:eastAsiaTheme="minorEastAsia"/>
              <w:noProof/>
              <w:rtl/>
            </w:rPr>
          </w:pPr>
          <w:hyperlink w:anchor="_Toc224358870" w:history="1">
            <w:r w:rsidRPr="004A2422">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E1E1B64" w14:textId="376ABEEB" w:rsidR="00E16821" w:rsidRDefault="00E16821">
          <w:pPr>
            <w:pStyle w:val="TOC3"/>
            <w:tabs>
              <w:tab w:val="right" w:leader="dot" w:pos="8777"/>
            </w:tabs>
            <w:bidi/>
            <w:rPr>
              <w:rFonts w:eastAsiaTheme="minorEastAsia"/>
              <w:noProof/>
              <w:rtl/>
            </w:rPr>
          </w:pPr>
          <w:hyperlink w:anchor="_Toc224358871" w:history="1">
            <w:r w:rsidRPr="004A2422">
              <w:rPr>
                <w:rStyle w:val="Hyperlink"/>
                <w:noProof/>
                <w:rtl/>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40DC696" w14:textId="5868407D" w:rsidR="00E16821" w:rsidRDefault="00E16821">
          <w:pPr>
            <w:pStyle w:val="TOC3"/>
            <w:tabs>
              <w:tab w:val="right" w:leader="dot" w:pos="8777"/>
            </w:tabs>
            <w:bidi/>
            <w:rPr>
              <w:rFonts w:eastAsiaTheme="minorEastAsia"/>
              <w:noProof/>
              <w:rtl/>
            </w:rPr>
          </w:pPr>
          <w:hyperlink w:anchor="_Toc224358872" w:history="1">
            <w:r w:rsidRPr="004A2422">
              <w:rPr>
                <w:rStyle w:val="Hyperlink"/>
                <w:noProof/>
                <w:rtl/>
              </w:rPr>
              <w:t>الأهمية التطبيقية</w:t>
            </w:r>
            <w:r w:rsidRPr="004A2422">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F883A9D" w14:textId="53823826" w:rsidR="00E16821" w:rsidRDefault="00E16821">
          <w:pPr>
            <w:pStyle w:val="TOC2"/>
            <w:rPr>
              <w:rFonts w:eastAsiaTheme="minorEastAsia"/>
              <w:noProof/>
              <w:rtl/>
            </w:rPr>
          </w:pPr>
          <w:hyperlink w:anchor="_Toc224358873" w:history="1">
            <w:r w:rsidRPr="004A2422">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83D75E0" w14:textId="20C540FF" w:rsidR="00E16821" w:rsidRDefault="00E16821">
          <w:pPr>
            <w:pStyle w:val="TOC2"/>
            <w:rPr>
              <w:rFonts w:eastAsiaTheme="minorEastAsia"/>
              <w:noProof/>
              <w:rtl/>
            </w:rPr>
          </w:pPr>
          <w:hyperlink w:anchor="_Toc224358874" w:history="1">
            <w:r w:rsidRPr="004A2422">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8DFC7E0" w14:textId="3FEE075B" w:rsidR="00E16821" w:rsidRDefault="00E16821">
          <w:pPr>
            <w:pStyle w:val="TOC2"/>
            <w:rPr>
              <w:rFonts w:eastAsiaTheme="minorEastAsia"/>
              <w:noProof/>
              <w:rtl/>
            </w:rPr>
          </w:pPr>
          <w:hyperlink w:anchor="_Toc224358875" w:history="1">
            <w:r w:rsidRPr="004A2422">
              <w:rPr>
                <w:rStyle w:val="Hyperlink"/>
                <w:noProof/>
                <w:rtl/>
              </w:rPr>
              <w:t>الدراسات السابقة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C03AA5F" w14:textId="081E7C94" w:rsidR="00E16821" w:rsidRDefault="00E16821">
          <w:pPr>
            <w:pStyle w:val="TOC3"/>
            <w:tabs>
              <w:tab w:val="right" w:leader="dot" w:pos="8777"/>
            </w:tabs>
            <w:bidi/>
            <w:rPr>
              <w:rFonts w:eastAsiaTheme="minorEastAsia"/>
              <w:noProof/>
              <w:rtl/>
            </w:rPr>
          </w:pPr>
          <w:hyperlink w:anchor="_Toc224358876" w:history="1">
            <w:r w:rsidRPr="004A2422">
              <w:rPr>
                <w:rStyle w:val="Hyperlink"/>
                <w:noProof/>
                <w:spacing w:val="-6"/>
                <w:rtl/>
              </w:rPr>
              <w:t>المحور الأول: ممارسات إدارة الموارد البشرية والتميز المؤسسي في مؤسسات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3AC0216" w14:textId="65903D57" w:rsidR="00E16821" w:rsidRDefault="00E16821">
          <w:pPr>
            <w:pStyle w:val="TOC3"/>
            <w:tabs>
              <w:tab w:val="right" w:leader="dot" w:pos="8777"/>
            </w:tabs>
            <w:bidi/>
            <w:rPr>
              <w:rFonts w:eastAsiaTheme="minorEastAsia"/>
              <w:noProof/>
              <w:rtl/>
            </w:rPr>
          </w:pPr>
          <w:hyperlink w:anchor="_Toc224358877" w:history="1">
            <w:r w:rsidRPr="004A2422">
              <w:rPr>
                <w:rStyle w:val="Hyperlink"/>
                <w:noProof/>
                <w:rtl/>
              </w:rPr>
              <w:t>المحور الثاني: إدارة الموارد البشرية الاستراتيجية والتميز المؤسسي في قطاع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8D8DE55" w14:textId="07641574" w:rsidR="00E16821" w:rsidRDefault="00E16821">
          <w:pPr>
            <w:pStyle w:val="TOC3"/>
            <w:tabs>
              <w:tab w:val="right" w:leader="dot" w:pos="8777"/>
            </w:tabs>
            <w:bidi/>
            <w:rPr>
              <w:rFonts w:eastAsiaTheme="minorEastAsia"/>
              <w:noProof/>
              <w:rtl/>
            </w:rPr>
          </w:pPr>
          <w:hyperlink w:anchor="_Toc224358878" w:history="1">
            <w:r w:rsidRPr="004A2422">
              <w:rPr>
                <w:rStyle w:val="Hyperlink"/>
                <w:noProof/>
                <w:spacing w:val="-6"/>
                <w:rtl/>
              </w:rPr>
              <w:t>المحور الثالث: مداخل قياس وتطوير الأداء المؤسسي والميزة التنافسية في الجامعات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2D642A3" w14:textId="3F1844F7" w:rsidR="00E16821" w:rsidRDefault="00E16821">
          <w:pPr>
            <w:pStyle w:val="TOC3"/>
            <w:tabs>
              <w:tab w:val="right" w:leader="dot" w:pos="8777"/>
            </w:tabs>
            <w:bidi/>
            <w:rPr>
              <w:rFonts w:eastAsiaTheme="minorEastAsia"/>
              <w:noProof/>
              <w:rtl/>
            </w:rPr>
          </w:pPr>
          <w:hyperlink w:anchor="_Toc224358879" w:history="1">
            <w:r w:rsidRPr="004A2422">
              <w:rPr>
                <w:rStyle w:val="Hyperlink"/>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Toc224358879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0C7464C" w14:textId="7C82E3E7" w:rsidR="00E16821" w:rsidRDefault="00E16821">
          <w:pPr>
            <w:pStyle w:val="TOC2"/>
            <w:rPr>
              <w:rFonts w:eastAsiaTheme="minorEastAsia"/>
              <w:noProof/>
              <w:rtl/>
            </w:rPr>
          </w:pPr>
          <w:hyperlink w:anchor="_Toc224358880" w:history="1">
            <w:r w:rsidRPr="004A2422">
              <w:rPr>
                <w:rStyle w:val="Hyperlink"/>
                <w:noProof/>
                <w:rtl/>
              </w:rPr>
              <w:t>مصطلحات الدراسة وتعريفاتها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7E0BEB5" w14:textId="49877191" w:rsidR="00E16821" w:rsidRDefault="00E16821">
          <w:pPr>
            <w:pStyle w:val="TOC1"/>
            <w:rPr>
              <w:rFonts w:asciiTheme="minorHAnsi" w:eastAsiaTheme="minorEastAsia" w:hAnsiTheme="minorHAnsi" w:cstheme="minorBidi"/>
              <w:b w:val="0"/>
              <w:bCs w:val="0"/>
              <w:sz w:val="22"/>
              <w:szCs w:val="22"/>
              <w:rtl/>
            </w:rPr>
          </w:pPr>
          <w:hyperlink w:anchor="_Toc224358881" w:history="1">
            <w:r w:rsidRPr="004A2422">
              <w:rPr>
                <w:rStyle w:val="Hyperlink"/>
                <w:rtl/>
              </w:rPr>
              <w:t>الفصل الثاني: الإطار النظري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Toc224358881 \h</w:instrText>
            </w:r>
            <w:r>
              <w:rPr>
                <w:webHidden/>
                <w:rtl/>
              </w:rPr>
              <w:instrText xml:space="preserve"> </w:instrText>
            </w:r>
            <w:r>
              <w:rPr>
                <w:webHidden/>
                <w:rtl/>
              </w:rPr>
            </w:r>
            <w:r>
              <w:rPr>
                <w:webHidden/>
                <w:rtl/>
              </w:rPr>
              <w:fldChar w:fldCharType="separate"/>
            </w:r>
            <w:r>
              <w:rPr>
                <w:webHidden/>
                <w:rtl/>
              </w:rPr>
              <w:t>23</w:t>
            </w:r>
            <w:r>
              <w:rPr>
                <w:webHidden/>
                <w:rtl/>
              </w:rPr>
              <w:fldChar w:fldCharType="end"/>
            </w:r>
          </w:hyperlink>
        </w:p>
        <w:p w14:paraId="5400EB36" w14:textId="74F9ADF6" w:rsidR="00E16821" w:rsidRDefault="00E16821">
          <w:pPr>
            <w:pStyle w:val="TOC2"/>
            <w:rPr>
              <w:rFonts w:eastAsiaTheme="minorEastAsia"/>
              <w:noProof/>
              <w:rtl/>
            </w:rPr>
          </w:pPr>
          <w:hyperlink w:anchor="_Toc224358882" w:history="1">
            <w:r w:rsidRPr="004A2422">
              <w:rPr>
                <w:rStyle w:val="Hyperlink"/>
                <w:noProof/>
                <w:rtl/>
              </w:rPr>
              <w:t>المبحث الأول: استراتيجيات التسويق الرقمي: المفهوم، الأنواع، والانتشار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Toc224358882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24C5F11" w14:textId="3301946D" w:rsidR="00E16821" w:rsidRDefault="00E16821">
          <w:pPr>
            <w:pStyle w:val="TOC3"/>
            <w:tabs>
              <w:tab w:val="right" w:leader="dot" w:pos="8777"/>
            </w:tabs>
            <w:bidi/>
            <w:rPr>
              <w:rFonts w:eastAsiaTheme="minorEastAsia"/>
              <w:noProof/>
              <w:rtl/>
            </w:rPr>
          </w:pPr>
          <w:hyperlink w:anchor="_Toc224358883" w:history="1">
            <w:r w:rsidRPr="004A2422">
              <w:rPr>
                <w:rStyle w:val="Hyperlink"/>
                <w:noProof/>
                <w:spacing w:val="-4"/>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6E7F0F6" w14:textId="033BFB41" w:rsidR="00E16821" w:rsidRDefault="00E16821">
          <w:pPr>
            <w:pStyle w:val="TOC2"/>
            <w:rPr>
              <w:rFonts w:eastAsiaTheme="minorEastAsia"/>
              <w:noProof/>
              <w:rtl/>
            </w:rPr>
          </w:pPr>
          <w:hyperlink w:anchor="_Toc224358884" w:history="1">
            <w:r w:rsidRPr="004A2422">
              <w:rPr>
                <w:rStyle w:val="Hyperlink"/>
                <w:noProof/>
                <w:spacing w:val="-4"/>
                <w:rtl/>
              </w:rPr>
              <w:t>المبحث الأول: التميز المؤسسي - المفهوم والأبعاد والنماذج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B13C26C" w14:textId="08B28775" w:rsidR="00E16821" w:rsidRDefault="00E16821">
          <w:pPr>
            <w:pStyle w:val="TOC3"/>
            <w:tabs>
              <w:tab w:val="right" w:leader="dot" w:pos="8777"/>
            </w:tabs>
            <w:bidi/>
            <w:rPr>
              <w:rFonts w:eastAsiaTheme="minorEastAsia"/>
              <w:noProof/>
              <w:rtl/>
            </w:rPr>
          </w:pPr>
          <w:hyperlink w:anchor="_Toc224358885" w:history="1">
            <w:r w:rsidRPr="004A2422">
              <w:rPr>
                <w:rStyle w:val="Hyperlink"/>
                <w:noProof/>
                <w:spacing w:val="-4"/>
                <w:rtl/>
              </w:rPr>
              <w:t>1.3 النظريات المؤسسة لمفهوم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0164D6E" w14:textId="67C0528F" w:rsidR="00E16821" w:rsidRDefault="00E16821">
          <w:pPr>
            <w:pStyle w:val="TOC3"/>
            <w:tabs>
              <w:tab w:val="right" w:leader="dot" w:pos="8777"/>
            </w:tabs>
            <w:bidi/>
            <w:rPr>
              <w:rFonts w:eastAsiaTheme="minorEastAsia"/>
              <w:noProof/>
              <w:rtl/>
            </w:rPr>
          </w:pPr>
          <w:hyperlink w:anchor="_Toc224358886" w:history="1">
            <w:r w:rsidRPr="004A2422">
              <w:rPr>
                <w:rStyle w:val="Hyperlink"/>
                <w:noProof/>
                <w:spacing w:val="-4"/>
                <w:rtl/>
              </w:rPr>
              <w:t>1.4 أبعاد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Toc224358886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2A51E2C" w14:textId="33552412" w:rsidR="00E16821" w:rsidRDefault="00E16821">
          <w:pPr>
            <w:pStyle w:val="TOC3"/>
            <w:tabs>
              <w:tab w:val="right" w:leader="dot" w:pos="8777"/>
            </w:tabs>
            <w:bidi/>
            <w:rPr>
              <w:rFonts w:eastAsiaTheme="minorEastAsia"/>
              <w:noProof/>
              <w:rtl/>
            </w:rPr>
          </w:pPr>
          <w:hyperlink w:anchor="_Toc224358887" w:history="1">
            <w:r w:rsidRPr="004A2422">
              <w:rPr>
                <w:rStyle w:val="Hyperlink"/>
                <w:noProof/>
                <w:spacing w:val="-4"/>
                <w:rtl/>
              </w:rPr>
              <w:t>1.5 نماذج التميز المؤسسي العالمية والعربية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Toc224358887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3835413" w14:textId="21ED5D52" w:rsidR="00E16821" w:rsidRDefault="00E16821">
          <w:pPr>
            <w:pStyle w:val="TOC3"/>
            <w:tabs>
              <w:tab w:val="right" w:leader="dot" w:pos="8777"/>
            </w:tabs>
            <w:bidi/>
            <w:rPr>
              <w:rFonts w:eastAsiaTheme="minorEastAsia"/>
              <w:noProof/>
              <w:rtl/>
            </w:rPr>
          </w:pPr>
          <w:hyperlink w:anchor="_Toc224358888" w:history="1">
            <w:r w:rsidRPr="004A2422">
              <w:rPr>
                <w:rStyle w:val="Hyperlink"/>
                <w:noProof/>
                <w:spacing w:val="-4"/>
                <w:rtl/>
              </w:rPr>
              <w:t>1.6 التميز المؤسسي في سياق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03D51CA" w14:textId="775FD1BE" w:rsidR="00E16821" w:rsidRDefault="00E16821">
          <w:pPr>
            <w:pStyle w:val="TOC3"/>
            <w:tabs>
              <w:tab w:val="right" w:leader="dot" w:pos="8777"/>
            </w:tabs>
            <w:bidi/>
            <w:rPr>
              <w:rFonts w:eastAsiaTheme="minorEastAsia"/>
              <w:noProof/>
              <w:rtl/>
            </w:rPr>
          </w:pPr>
          <w:hyperlink w:anchor="_Toc224358889" w:history="1">
            <w:r w:rsidRPr="004A2422">
              <w:rPr>
                <w:rStyle w:val="Hyperlink"/>
                <w:noProof/>
                <w:spacing w:val="-4"/>
                <w:rtl/>
              </w:rPr>
              <w:t>1.7 التحديات التي تواجه تحقيق التميز المؤسسي في الجامعات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Toc224358889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B779A01" w14:textId="18CE95E3" w:rsidR="00E16821" w:rsidRDefault="00E16821">
          <w:pPr>
            <w:pStyle w:val="TOC3"/>
            <w:tabs>
              <w:tab w:val="right" w:leader="dot" w:pos="8777"/>
            </w:tabs>
            <w:bidi/>
            <w:rPr>
              <w:rFonts w:eastAsiaTheme="minorEastAsia"/>
              <w:noProof/>
              <w:rtl/>
            </w:rPr>
          </w:pPr>
          <w:hyperlink w:anchor="_Toc224358890" w:history="1">
            <w:r w:rsidRPr="004A2422">
              <w:rPr>
                <w:rStyle w:val="Hyperlink"/>
                <w:noProof/>
                <w:spacing w:val="-4"/>
                <w:rtl/>
              </w:rPr>
              <w:t>1.8 استراتيجيات تحقيق واستدامة التميز المؤسسي في الجامعات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Toc224358890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365C20A9" w14:textId="1CDA537C" w:rsidR="00E16821" w:rsidRDefault="00E16821">
          <w:pPr>
            <w:pStyle w:val="TOC3"/>
            <w:tabs>
              <w:tab w:val="right" w:leader="dot" w:pos="8777"/>
            </w:tabs>
            <w:bidi/>
            <w:rPr>
              <w:rFonts w:eastAsiaTheme="minorEastAsia"/>
              <w:noProof/>
              <w:rtl/>
            </w:rPr>
          </w:pPr>
          <w:hyperlink w:anchor="_Toc224358891" w:history="1">
            <w:r w:rsidRPr="004A2422">
              <w:rPr>
                <w:rStyle w:val="Hyperlink"/>
                <w:noProof/>
                <w:spacing w:val="-4"/>
                <w:rtl/>
              </w:rPr>
              <w:t>1.9 العلاقة بين التميز المؤسسي والثقافة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075DB676" w14:textId="47360170" w:rsidR="00E16821" w:rsidRDefault="00E16821">
          <w:pPr>
            <w:pStyle w:val="TOC3"/>
            <w:tabs>
              <w:tab w:val="right" w:leader="dot" w:pos="8777"/>
            </w:tabs>
            <w:bidi/>
            <w:rPr>
              <w:rFonts w:eastAsiaTheme="minorEastAsia"/>
              <w:noProof/>
              <w:rtl/>
            </w:rPr>
          </w:pPr>
          <w:hyperlink w:anchor="_Toc224358892" w:history="1">
            <w:r w:rsidRPr="004A2422">
              <w:rPr>
                <w:rStyle w:val="Hyperlink"/>
                <w:noProof/>
                <w:spacing w:val="-4"/>
                <w:rtl/>
              </w:rPr>
              <w:t>1.10 دور القيادة في دفع عجلة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Toc224358892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12D6FC9" w14:textId="5480CEF1" w:rsidR="00E16821" w:rsidRDefault="00E16821">
          <w:pPr>
            <w:pStyle w:val="TOC2"/>
            <w:rPr>
              <w:rFonts w:eastAsiaTheme="minorEastAsia"/>
              <w:noProof/>
              <w:rtl/>
            </w:rPr>
          </w:pPr>
          <w:hyperlink w:anchor="_Toc224358893" w:history="1">
            <w:r w:rsidRPr="004A2422">
              <w:rPr>
                <w:rStyle w:val="Hyperlink"/>
                <w:noProof/>
                <w:spacing w:val="-4"/>
                <w:rtl/>
              </w:rPr>
              <w:t>المبحث الثاني: إدارة الموارد البشرية - المفهوم والوظائف والدور 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7263E39" w14:textId="7388E807" w:rsidR="00E16821" w:rsidRDefault="00E16821">
          <w:pPr>
            <w:pStyle w:val="TOC3"/>
            <w:tabs>
              <w:tab w:val="right" w:leader="dot" w:pos="8777"/>
            </w:tabs>
            <w:bidi/>
            <w:rPr>
              <w:rFonts w:eastAsiaTheme="minorEastAsia"/>
              <w:noProof/>
              <w:rtl/>
            </w:rPr>
          </w:pPr>
          <w:hyperlink w:anchor="_Toc224358894" w:history="1">
            <w:r w:rsidRPr="004A2422">
              <w:rPr>
                <w:rStyle w:val="Hyperlink"/>
                <w:noProof/>
                <w:spacing w:val="-4"/>
                <w:rtl/>
              </w:rPr>
              <w:t>2.1 التعريفات والمفاهيم الأساسية لإدارة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Toc224358894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512DE021" w14:textId="0DAEF5AD" w:rsidR="00E16821" w:rsidRDefault="00E16821">
          <w:pPr>
            <w:pStyle w:val="TOC3"/>
            <w:tabs>
              <w:tab w:val="right" w:leader="dot" w:pos="8777"/>
            </w:tabs>
            <w:bidi/>
            <w:rPr>
              <w:rFonts w:eastAsiaTheme="minorEastAsia"/>
              <w:noProof/>
              <w:rtl/>
            </w:rPr>
          </w:pPr>
          <w:hyperlink w:anchor="_Toc224358895" w:history="1">
            <w:r w:rsidRPr="004A2422">
              <w:rPr>
                <w:rStyle w:val="Hyperlink"/>
                <w:noProof/>
                <w:spacing w:val="-4"/>
                <w:rtl/>
              </w:rPr>
              <w:t>2.2 التطور التاريخي لإدارة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Toc224358895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67FC4081" w14:textId="6912752A" w:rsidR="00E16821" w:rsidRDefault="00E16821">
          <w:pPr>
            <w:pStyle w:val="TOC3"/>
            <w:tabs>
              <w:tab w:val="right" w:leader="dot" w:pos="8777"/>
            </w:tabs>
            <w:bidi/>
            <w:rPr>
              <w:rFonts w:eastAsiaTheme="minorEastAsia"/>
              <w:noProof/>
              <w:rtl/>
            </w:rPr>
          </w:pPr>
          <w:hyperlink w:anchor="_Toc224358896" w:history="1">
            <w:r w:rsidRPr="004A2422">
              <w:rPr>
                <w:rStyle w:val="Hyperlink"/>
                <w:noProof/>
                <w:spacing w:val="-4"/>
                <w:rtl/>
              </w:rPr>
              <w:t>2.3 النظريات المؤسسة لإدارة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Toc224358896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34391FE" w14:textId="2744A854" w:rsidR="00E16821" w:rsidRDefault="00E16821">
          <w:pPr>
            <w:pStyle w:val="TOC3"/>
            <w:tabs>
              <w:tab w:val="right" w:leader="dot" w:pos="8777"/>
            </w:tabs>
            <w:bidi/>
            <w:rPr>
              <w:rFonts w:eastAsiaTheme="minorEastAsia"/>
              <w:noProof/>
              <w:rtl/>
            </w:rPr>
          </w:pPr>
          <w:hyperlink w:anchor="_Toc224358897" w:history="1">
            <w:r w:rsidRPr="004A2422">
              <w:rPr>
                <w:rStyle w:val="Hyperlink"/>
                <w:noProof/>
                <w:spacing w:val="-4"/>
                <w:rtl/>
              </w:rPr>
              <w:t>الوظائف الأساسية لإدارة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Toc224358897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6244A426" w14:textId="1035CB8B" w:rsidR="00E16821" w:rsidRDefault="00E16821">
          <w:pPr>
            <w:pStyle w:val="TOC2"/>
            <w:rPr>
              <w:rFonts w:eastAsiaTheme="minorEastAsia"/>
              <w:noProof/>
              <w:rtl/>
            </w:rPr>
          </w:pPr>
          <w:hyperlink w:anchor="_Toc224358898" w:history="1">
            <w:r w:rsidRPr="004A2422">
              <w:rPr>
                <w:rStyle w:val="Hyperlink"/>
                <w:noProof/>
                <w:spacing w:val="-4"/>
                <w:rtl/>
              </w:rPr>
              <w:t>المبحث الثالث : إدارة الموارد البشرية الاستراتيجية في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Toc224358898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7E5A2EB3" w14:textId="338DD470" w:rsidR="00E16821" w:rsidRDefault="00E16821">
          <w:pPr>
            <w:pStyle w:val="TOC3"/>
            <w:tabs>
              <w:tab w:val="right" w:leader="dot" w:pos="8777"/>
            </w:tabs>
            <w:bidi/>
            <w:rPr>
              <w:rFonts w:eastAsiaTheme="minorEastAsia"/>
              <w:noProof/>
              <w:rtl/>
            </w:rPr>
          </w:pPr>
          <w:hyperlink w:anchor="_Toc224358899" w:history="1">
            <w:r w:rsidRPr="004A2422">
              <w:rPr>
                <w:rStyle w:val="Hyperlink"/>
                <w:noProof/>
                <w:spacing w:val="-4"/>
                <w:rtl/>
              </w:rPr>
              <w:t>3.1 مفهوم وأهمية إدارة الموارد البشرية الاستراتيجية في الجامعات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Toc224358899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64BE949E" w14:textId="143CAC2C" w:rsidR="00E16821" w:rsidRDefault="00E16821">
          <w:pPr>
            <w:pStyle w:val="TOC3"/>
            <w:tabs>
              <w:tab w:val="right" w:leader="dot" w:pos="8777"/>
            </w:tabs>
            <w:bidi/>
            <w:rPr>
              <w:rFonts w:eastAsiaTheme="minorEastAsia"/>
              <w:noProof/>
              <w:rtl/>
            </w:rPr>
          </w:pPr>
          <w:hyperlink w:anchor="_Toc224358900" w:history="1">
            <w:r w:rsidRPr="004A2422">
              <w:rPr>
                <w:rStyle w:val="Hyperlink"/>
                <w:noProof/>
                <w:spacing w:val="-4"/>
                <w:rtl/>
              </w:rPr>
              <w:t>3.2 تحديات إدارة الموارد البشرية في الجامعات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Toc224358900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E585A85" w14:textId="2B6EBD4C" w:rsidR="00E16821" w:rsidRDefault="00E16821">
          <w:pPr>
            <w:pStyle w:val="TOC3"/>
            <w:tabs>
              <w:tab w:val="right" w:leader="dot" w:pos="8777"/>
            </w:tabs>
            <w:bidi/>
            <w:rPr>
              <w:rFonts w:eastAsiaTheme="minorEastAsia"/>
              <w:noProof/>
              <w:rtl/>
            </w:rPr>
          </w:pPr>
          <w:hyperlink w:anchor="_Toc224358901" w:history="1">
            <w:r w:rsidRPr="004A2422">
              <w:rPr>
                <w:rStyle w:val="Hyperlink"/>
                <w:noProof/>
                <w:spacing w:val="-4"/>
                <w:rtl/>
              </w:rPr>
              <w:t>3.3 دور إدارة الموارد البشرية في دعم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Toc224358901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1E959A74" w14:textId="0DE857EC" w:rsidR="00E16821" w:rsidRDefault="00E16821">
          <w:pPr>
            <w:pStyle w:val="TOC2"/>
            <w:rPr>
              <w:rFonts w:eastAsiaTheme="minorEastAsia"/>
              <w:noProof/>
              <w:rtl/>
            </w:rPr>
          </w:pPr>
          <w:hyperlink w:anchor="_Toc224358902" w:history="1">
            <w:r w:rsidRPr="004A2422">
              <w:rPr>
                <w:rStyle w:val="Hyperlink"/>
                <w:noProof/>
                <w:spacing w:val="-4"/>
                <w:rtl/>
              </w:rPr>
              <w:t>المبحث الرابع إدارة الموارد البشرية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Toc224358902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6C530A9C" w14:textId="0C4D9558" w:rsidR="00E16821" w:rsidRDefault="00E16821">
          <w:pPr>
            <w:pStyle w:val="TOC3"/>
            <w:tabs>
              <w:tab w:val="right" w:leader="dot" w:pos="8777"/>
            </w:tabs>
            <w:bidi/>
            <w:rPr>
              <w:rFonts w:eastAsiaTheme="minorEastAsia"/>
              <w:noProof/>
              <w:rtl/>
            </w:rPr>
          </w:pPr>
          <w:hyperlink w:anchor="_Toc224358903" w:history="1">
            <w:r w:rsidRPr="004A2422">
              <w:rPr>
                <w:rStyle w:val="Hyperlink"/>
                <w:noProof/>
                <w:spacing w:val="-4"/>
                <w:rtl/>
              </w:rPr>
              <w:t>4.1 مفهوم إدارة الموارد البشرية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Toc224358903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48CB04E6" w14:textId="374B4FE3" w:rsidR="00E16821" w:rsidRDefault="00E16821">
          <w:pPr>
            <w:pStyle w:val="TOC3"/>
            <w:tabs>
              <w:tab w:val="right" w:leader="dot" w:pos="8777"/>
            </w:tabs>
            <w:bidi/>
            <w:rPr>
              <w:rFonts w:eastAsiaTheme="minorEastAsia"/>
              <w:noProof/>
              <w:rtl/>
            </w:rPr>
          </w:pPr>
          <w:hyperlink w:anchor="_Toc224358904" w:history="1">
            <w:r w:rsidRPr="004A2422">
              <w:rPr>
                <w:rStyle w:val="Hyperlink"/>
                <w:noProof/>
                <w:spacing w:val="-4"/>
                <w:rtl/>
              </w:rPr>
              <w:t>4.2 فوائد تطبيق إدارة الموارد البشرية الرقمية في الجامعات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Toc224358904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2F87B9B5" w14:textId="4358C2E0" w:rsidR="00E16821" w:rsidRDefault="00E16821">
          <w:pPr>
            <w:pStyle w:val="TOC3"/>
            <w:tabs>
              <w:tab w:val="right" w:leader="dot" w:pos="8777"/>
            </w:tabs>
            <w:bidi/>
            <w:rPr>
              <w:rFonts w:eastAsiaTheme="minorEastAsia"/>
              <w:noProof/>
              <w:rtl/>
            </w:rPr>
          </w:pPr>
          <w:hyperlink w:anchor="_Toc224358905" w:history="1">
            <w:r w:rsidRPr="004A2422">
              <w:rPr>
                <w:rStyle w:val="Hyperlink"/>
                <w:noProof/>
                <w:spacing w:val="-4"/>
                <w:rtl/>
              </w:rPr>
              <w:t>4.3 تحديات التطبيق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Toc224358905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4EC198B" w14:textId="7D8270A8" w:rsidR="00E16821" w:rsidRDefault="00E16821">
          <w:pPr>
            <w:pStyle w:val="TOC2"/>
            <w:rPr>
              <w:rFonts w:eastAsiaTheme="minorEastAsia"/>
              <w:noProof/>
              <w:rtl/>
            </w:rPr>
          </w:pPr>
          <w:hyperlink w:anchor="_Toc224358906" w:history="1">
            <w:r w:rsidRPr="004A2422">
              <w:rPr>
                <w:rStyle w:val="Hyperlink"/>
                <w:noProof/>
                <w:spacing w:val="-4"/>
                <w:rtl/>
              </w:rPr>
              <w:t>المبحث الخامس: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Toc224358906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709C933B" w14:textId="2DDD3B42" w:rsidR="00E16821" w:rsidRDefault="00E16821">
          <w:pPr>
            <w:pStyle w:val="TOC3"/>
            <w:tabs>
              <w:tab w:val="right" w:leader="dot" w:pos="8777"/>
            </w:tabs>
            <w:bidi/>
            <w:rPr>
              <w:rFonts w:eastAsiaTheme="minorEastAsia"/>
              <w:noProof/>
              <w:rtl/>
            </w:rPr>
          </w:pPr>
          <w:hyperlink w:anchor="_Toc224358907" w:history="1">
            <w:r w:rsidRPr="004A2422">
              <w:rPr>
                <w:rStyle w:val="Hyperlink"/>
                <w:noProof/>
                <w:spacing w:val="-4"/>
                <w:rtl/>
              </w:rPr>
              <w:t>1.5 التعريفات والمفاهيم الأساسية للأداء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Toc224358907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41C91EF1" w14:textId="668D3868" w:rsidR="00E16821" w:rsidRDefault="00E16821">
          <w:pPr>
            <w:pStyle w:val="TOC3"/>
            <w:tabs>
              <w:tab w:val="right" w:leader="dot" w:pos="8777"/>
            </w:tabs>
            <w:bidi/>
            <w:rPr>
              <w:rFonts w:eastAsiaTheme="minorEastAsia"/>
              <w:noProof/>
              <w:rtl/>
            </w:rPr>
          </w:pPr>
          <w:hyperlink w:anchor="_Toc224358908" w:history="1">
            <w:r w:rsidRPr="004A2422">
              <w:rPr>
                <w:rStyle w:val="Hyperlink"/>
                <w:noProof/>
                <w:spacing w:val="-4"/>
                <w:rtl/>
              </w:rPr>
              <w:t>2.5 التطور التاريخي لمفهوم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Toc224358908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5BB4DB97" w14:textId="34CAFD30" w:rsidR="00E16821" w:rsidRDefault="00E16821">
          <w:pPr>
            <w:pStyle w:val="TOC3"/>
            <w:tabs>
              <w:tab w:val="right" w:leader="dot" w:pos="8777"/>
            </w:tabs>
            <w:bidi/>
            <w:rPr>
              <w:rFonts w:eastAsiaTheme="minorEastAsia"/>
              <w:noProof/>
              <w:rtl/>
            </w:rPr>
          </w:pPr>
          <w:hyperlink w:anchor="_Toc224358909" w:history="1">
            <w:r w:rsidRPr="004A2422">
              <w:rPr>
                <w:rStyle w:val="Hyperlink"/>
                <w:noProof/>
                <w:spacing w:val="-4"/>
                <w:rtl/>
              </w:rPr>
              <w:t>3.5 النظريات المؤسسة لمفهوم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Toc224358909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44591A1B" w14:textId="77F4B6A4" w:rsidR="00E16821" w:rsidRDefault="00E16821">
          <w:pPr>
            <w:pStyle w:val="TOC3"/>
            <w:tabs>
              <w:tab w:val="right" w:leader="dot" w:pos="8777"/>
            </w:tabs>
            <w:bidi/>
            <w:rPr>
              <w:rFonts w:eastAsiaTheme="minorEastAsia"/>
              <w:noProof/>
              <w:rtl/>
            </w:rPr>
          </w:pPr>
          <w:hyperlink w:anchor="_Toc224358910" w:history="1">
            <w:r w:rsidRPr="004A2422">
              <w:rPr>
                <w:rStyle w:val="Hyperlink"/>
                <w:noProof/>
                <w:spacing w:val="-4"/>
                <w:rtl/>
              </w:rPr>
              <w:t>4.5 الأبعاد الرئيسية للأداء المؤسسي في الجامعات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Toc224358910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294B4704" w14:textId="13093C97" w:rsidR="00E16821" w:rsidRDefault="00E16821">
          <w:pPr>
            <w:pStyle w:val="TOC3"/>
            <w:tabs>
              <w:tab w:val="right" w:leader="dot" w:pos="8777"/>
            </w:tabs>
            <w:bidi/>
            <w:rPr>
              <w:rFonts w:eastAsiaTheme="minorEastAsia"/>
              <w:noProof/>
              <w:rtl/>
            </w:rPr>
          </w:pPr>
          <w:hyperlink w:anchor="_Toc224358911" w:history="1">
            <w:r w:rsidRPr="004A2422">
              <w:rPr>
                <w:rStyle w:val="Hyperlink"/>
                <w:noProof/>
                <w:spacing w:val="-4"/>
                <w:rtl/>
              </w:rPr>
              <w:t>5.5 أنواع مؤشرات قياس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Toc224358911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47F029B0" w14:textId="2B142924" w:rsidR="00E16821" w:rsidRDefault="00E16821">
          <w:pPr>
            <w:pStyle w:val="TOC3"/>
            <w:tabs>
              <w:tab w:val="right" w:leader="dot" w:pos="8777"/>
            </w:tabs>
            <w:bidi/>
            <w:rPr>
              <w:rFonts w:eastAsiaTheme="minorEastAsia"/>
              <w:noProof/>
              <w:rtl/>
            </w:rPr>
          </w:pPr>
          <w:hyperlink w:anchor="_Toc224358912" w:history="1">
            <w:r w:rsidRPr="004A2422">
              <w:rPr>
                <w:rStyle w:val="Hyperlink"/>
                <w:noProof/>
                <w:spacing w:val="-4"/>
                <w:rtl/>
              </w:rPr>
              <w:t>6.5 نماذج قياس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Toc224358912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637C187B" w14:textId="3E678729" w:rsidR="00E16821" w:rsidRDefault="00E16821">
          <w:pPr>
            <w:pStyle w:val="TOC3"/>
            <w:tabs>
              <w:tab w:val="right" w:leader="dot" w:pos="8777"/>
            </w:tabs>
            <w:bidi/>
            <w:rPr>
              <w:rFonts w:eastAsiaTheme="minorEastAsia"/>
              <w:noProof/>
              <w:rtl/>
            </w:rPr>
          </w:pPr>
          <w:hyperlink w:anchor="_Toc224358913" w:history="1">
            <w:r w:rsidRPr="004A2422">
              <w:rPr>
                <w:rStyle w:val="Hyperlink"/>
                <w:noProof/>
                <w:spacing w:val="-4"/>
                <w:rtl/>
              </w:rPr>
              <w:t>7.5 خصائص قياس الأداء في الجامعات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Toc224358913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2AC414D4" w14:textId="515E6A60" w:rsidR="00E16821" w:rsidRDefault="00E16821">
          <w:pPr>
            <w:pStyle w:val="TOC3"/>
            <w:tabs>
              <w:tab w:val="right" w:leader="dot" w:pos="8777"/>
            </w:tabs>
            <w:bidi/>
            <w:rPr>
              <w:rFonts w:eastAsiaTheme="minorEastAsia"/>
              <w:noProof/>
              <w:rtl/>
            </w:rPr>
          </w:pPr>
          <w:hyperlink w:anchor="_Toc224358914" w:history="1">
            <w:r w:rsidRPr="004A2422">
              <w:rPr>
                <w:rStyle w:val="Hyperlink"/>
                <w:noProof/>
                <w:spacing w:val="-4"/>
                <w:rtl/>
              </w:rPr>
              <w:t>8.5 معايير قياس الأداء في الجامعات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Toc224358914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3F5FE34E" w14:textId="75F01613" w:rsidR="00E16821" w:rsidRDefault="00E16821">
          <w:pPr>
            <w:pStyle w:val="TOC3"/>
            <w:tabs>
              <w:tab w:val="right" w:leader="dot" w:pos="8777"/>
            </w:tabs>
            <w:bidi/>
            <w:rPr>
              <w:rFonts w:eastAsiaTheme="minorEastAsia"/>
              <w:noProof/>
              <w:rtl/>
            </w:rPr>
          </w:pPr>
          <w:hyperlink w:anchor="_Toc224358915" w:history="1">
            <w:r w:rsidRPr="004A2422">
              <w:rPr>
                <w:rStyle w:val="Hyperlink"/>
                <w:noProof/>
                <w:spacing w:val="-4"/>
                <w:rtl/>
              </w:rPr>
              <w:t>9.5 تحديات قياس الأداء المؤسسي في الجامعات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Toc224358915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4629DBE4" w14:textId="19662F9B" w:rsidR="001502A1" w:rsidRPr="005F0DA9" w:rsidRDefault="001502A1" w:rsidP="00465C13">
          <w:pPr>
            <w:spacing w:line="276" w:lineRule="auto"/>
            <w:rPr>
              <w:rFonts w:ascii="Sakkal Majalla" w:hAnsi="Sakkal Majalla" w:cs="Sakkal Majalla"/>
              <w:sz w:val="30"/>
              <w:szCs w:val="30"/>
            </w:rPr>
          </w:pPr>
          <w:r w:rsidRPr="005F0DA9">
            <w:rPr>
              <w:rFonts w:ascii="Sakkal Majalla" w:hAnsi="Sakkal Majalla" w:cs="Sakkal Majalla"/>
              <w:b/>
              <w:bCs/>
              <w:noProof/>
              <w:sz w:val="30"/>
              <w:szCs w:val="30"/>
            </w:rPr>
            <w:fldChar w:fldCharType="end"/>
          </w:r>
        </w:p>
      </w:sdtContent>
    </w:sdt>
    <w:p w14:paraId="1522C9AF" w14:textId="77777777" w:rsidR="001502A1" w:rsidRPr="005F0DA9" w:rsidRDefault="001502A1">
      <w:pPr>
        <w:rPr>
          <w:b/>
          <w:sz w:val="24"/>
          <w:szCs w:val="24"/>
          <w:rtl/>
        </w:rPr>
      </w:pPr>
      <w:r w:rsidRPr="005F0DA9">
        <w:rPr>
          <w:b/>
          <w:sz w:val="24"/>
          <w:szCs w:val="24"/>
          <w:rtl/>
        </w:rPr>
        <w:br w:type="page"/>
      </w:r>
    </w:p>
    <w:p w14:paraId="19C4731F" w14:textId="77777777" w:rsidR="001502A1" w:rsidRPr="005F0DA9" w:rsidRDefault="001502A1">
      <w:pPr>
        <w:rPr>
          <w:rFonts w:asciiTheme="majorHAnsi" w:eastAsiaTheme="majorEastAsia" w:hAnsiTheme="majorHAnsi" w:cs="Sakkal Majalla"/>
          <w:b/>
          <w:bCs/>
          <w:sz w:val="42"/>
          <w:szCs w:val="46"/>
          <w:rtl/>
        </w:rPr>
      </w:pPr>
      <w:r w:rsidRPr="005F0DA9">
        <w:rPr>
          <w:b/>
          <w:sz w:val="24"/>
          <w:szCs w:val="24"/>
          <w:rtl/>
        </w:rPr>
        <w:lastRenderedPageBreak/>
        <w:br w:type="page"/>
      </w:r>
    </w:p>
    <w:p w14:paraId="2F06A932" w14:textId="77777777" w:rsidR="001502A1" w:rsidRPr="005F0DA9" w:rsidRDefault="001502A1" w:rsidP="004A6808">
      <w:pPr>
        <w:pStyle w:val="Heading1"/>
        <w:bidi/>
        <w:rPr>
          <w:b/>
          <w:sz w:val="42"/>
          <w:szCs w:val="46"/>
          <w:rtl/>
        </w:rPr>
        <w:sectPr w:rsidR="001502A1" w:rsidRPr="005F0DA9" w:rsidSect="005F0DA9">
          <w:headerReference w:type="even" r:id="rId10"/>
          <w:headerReference w:type="default" r:id="rId11"/>
          <w:footerReference w:type="default" r:id="rId12"/>
          <w:headerReference w:type="first" r:id="rId13"/>
          <w:footerReference w:type="first" r:id="rId14"/>
          <w:type w:val="continuous"/>
          <w:pgSz w:w="11906" w:h="16838"/>
          <w:pgMar w:top="1418" w:right="1701" w:bottom="1418" w:left="1418" w:header="709" w:footer="709" w:gutter="0"/>
          <w:pgBorders w:offsetFrom="page">
            <w:top w:val="thinThickMediumGap" w:sz="24" w:space="24" w:color="auto"/>
            <w:left w:val="thinThickMediumGap" w:sz="24" w:space="24" w:color="auto"/>
            <w:bottom w:val="thinThickMediumGap" w:sz="24" w:space="24" w:color="auto"/>
            <w:right w:val="thinThickMediumGap" w:sz="24" w:space="24" w:color="auto"/>
          </w:pgBorders>
          <w:pgNumType w:fmt="arabicAlpha" w:start="1"/>
          <w:cols w:space="708"/>
          <w:titlePg/>
          <w:bidi/>
          <w:rtlGutter/>
          <w:docGrid w:linePitch="360"/>
        </w:sectPr>
      </w:pPr>
    </w:p>
    <w:p w14:paraId="720E5A1F" w14:textId="77777777" w:rsidR="001502A1" w:rsidRPr="005F0DA9" w:rsidRDefault="001502A1">
      <w:pPr>
        <w:rPr>
          <w:rFonts w:asciiTheme="majorHAnsi" w:eastAsiaTheme="majorEastAsia" w:hAnsiTheme="majorHAnsi" w:cs="Sakkal Majalla"/>
          <w:b/>
          <w:bCs/>
          <w:sz w:val="42"/>
          <w:szCs w:val="46"/>
        </w:rPr>
      </w:pPr>
      <w:r w:rsidRPr="005F0DA9">
        <w:rPr>
          <w:b/>
          <w:sz w:val="24"/>
          <w:szCs w:val="24"/>
          <w:rtl/>
        </w:rPr>
        <w:lastRenderedPageBreak/>
        <w:br w:type="page"/>
      </w:r>
      <w:bookmarkStart w:id="7" w:name="_GoBack"/>
      <w:bookmarkEnd w:id="7"/>
    </w:p>
    <w:p w14:paraId="513AFB03" w14:textId="77777777" w:rsidR="001502A1" w:rsidRPr="005F0DA9" w:rsidRDefault="001502A1" w:rsidP="004A6808">
      <w:pPr>
        <w:pStyle w:val="Heading1"/>
        <w:bidi/>
        <w:rPr>
          <w:b/>
          <w:sz w:val="42"/>
          <w:szCs w:val="46"/>
          <w:rtl/>
        </w:rPr>
        <w:sectPr w:rsidR="001502A1" w:rsidRPr="005F0DA9" w:rsidSect="005F0DA9">
          <w:type w:val="continuous"/>
          <w:pgSz w:w="11906" w:h="16838"/>
          <w:pgMar w:top="1418" w:right="1797" w:bottom="1440" w:left="1797" w:header="709" w:footer="709" w:gutter="0"/>
          <w:pgBorders w:offsetFrom="page">
            <w:top w:val="thinThickMediumGap" w:sz="24" w:space="24" w:color="auto"/>
            <w:left w:val="thinThickMediumGap" w:sz="24" w:space="24" w:color="auto"/>
            <w:bottom w:val="thinThickMediumGap" w:sz="24" w:space="24" w:color="auto"/>
            <w:right w:val="thinThickMediumGap" w:sz="24" w:space="24" w:color="auto"/>
          </w:pgBorders>
          <w:cols w:space="708"/>
          <w:titlePg/>
          <w:bidi/>
          <w:rtlGutter/>
          <w:docGrid w:linePitch="360"/>
        </w:sectPr>
      </w:pPr>
    </w:p>
    <w:p w14:paraId="40BD1C23" w14:textId="77777777" w:rsidR="001502A1" w:rsidRPr="005F0DA9" w:rsidRDefault="001502A1">
      <w:pPr>
        <w:rPr>
          <w:rFonts w:asciiTheme="majorHAnsi" w:eastAsiaTheme="majorEastAsia" w:hAnsiTheme="majorHAnsi" w:cs="Sakkal Majalla"/>
          <w:b/>
          <w:bCs/>
          <w:sz w:val="42"/>
          <w:szCs w:val="46"/>
          <w:rtl/>
        </w:rPr>
      </w:pPr>
      <w:r w:rsidRPr="005F0DA9">
        <w:rPr>
          <w:b/>
          <w:sz w:val="24"/>
          <w:szCs w:val="24"/>
          <w:rtl/>
        </w:rPr>
        <w:lastRenderedPageBreak/>
        <w:br w:type="page"/>
      </w:r>
    </w:p>
    <w:p w14:paraId="0C9A2FD5" w14:textId="12CF9613" w:rsidR="004A6808" w:rsidRPr="005F0DA9" w:rsidRDefault="004A6808" w:rsidP="004A6808">
      <w:pPr>
        <w:pStyle w:val="Heading1"/>
        <w:bidi/>
        <w:rPr>
          <w:b/>
          <w:sz w:val="42"/>
          <w:szCs w:val="46"/>
          <w:rtl/>
        </w:rPr>
      </w:pPr>
      <w:bookmarkStart w:id="8" w:name="_Toc224358867"/>
      <w:r w:rsidRPr="005F0DA9">
        <w:rPr>
          <w:rFonts w:hint="cs"/>
          <w:b/>
          <w:sz w:val="42"/>
          <w:szCs w:val="46"/>
          <w:rtl/>
        </w:rPr>
        <w:lastRenderedPageBreak/>
        <w:t>الفصل الأول</w:t>
      </w:r>
      <w:bookmarkEnd w:id="8"/>
    </w:p>
    <w:p w14:paraId="73698F92" w14:textId="253F688A" w:rsidR="005A03DD" w:rsidRPr="005F0DA9" w:rsidRDefault="005A03DD" w:rsidP="0047180A">
      <w:pPr>
        <w:pStyle w:val="Heading2"/>
        <w:bidi/>
        <w:rPr>
          <w:b w:val="0"/>
          <w:bCs w:val="0"/>
          <w:sz w:val="34"/>
          <w:szCs w:val="38"/>
          <w:rtl/>
        </w:rPr>
      </w:pPr>
      <w:bookmarkStart w:id="9" w:name="_Toc224358868"/>
      <w:r w:rsidRPr="005F0DA9">
        <w:rPr>
          <w:sz w:val="34"/>
          <w:szCs w:val="38"/>
          <w:rtl/>
        </w:rPr>
        <w:t>مقدمة الدراسة</w:t>
      </w:r>
      <w:bookmarkEnd w:id="9"/>
    </w:p>
    <w:p w14:paraId="2EFB39E7"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sz w:val="30"/>
          <w:szCs w:val="30"/>
          <w:rtl/>
        </w:rPr>
        <w:t>يمثل التميز المؤسسي في الفكر الإداري المعاصر نقطة التحول من "الإدارة بالواجبات" إلى "الإدارة بالنتائج والابتكار"، حيث لم يعد كافياً للمنظمات التعليمية أن تؤدي دورها التقليدي فحسب، بل بات لزاماً عليها تبني معايير استثنائية تضمن لها التفوق في بيئة عالمية متسارعة. وفي ظل هذا المشهد، تبرز الموارد البشرية كحجر الزاوية والقوة المحركة لأي تحول نحو التميز؛ إذ إن نجاح المؤسسات الأكاديمية لا يقاس فقط ببنيتها التقنية، بل بمدى كفاءة وفاعلية الكوادر البشرية القادرة على تجسيد قيم التميز في الأداء اليومي (فكري، 2023؛ محمود، 2020)</w:t>
      </w:r>
      <w:r w:rsidRPr="005F0DA9">
        <w:rPr>
          <w:rFonts w:ascii="Sakkal Majalla" w:hAnsi="Sakkal Majalla" w:cs="Sakkal Majalla"/>
          <w:sz w:val="30"/>
          <w:szCs w:val="30"/>
          <w:lang w:val="en-GB"/>
        </w:rPr>
        <w:t>.</w:t>
      </w:r>
    </w:p>
    <w:p w14:paraId="76E91EBE"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sz w:val="30"/>
          <w:szCs w:val="30"/>
          <w:rtl/>
        </w:rPr>
        <w:t>وفي سياق التعليم العالي السعودي، تشهد الجامعات حراكاً تطويرياً شاملاً مدفوعاً بمستهدفات "رؤية المملكة 2030"، التي وضعت التميز في الأداء الحكومي والارتقاء برأس المال البشري على رأس أولوياتها. وتعتبر الجامعات الحكومية بمدينة الرياض نماذج رائدة في هذا التحول، حيث تواجه تحديات مستمرة للموازنة بين التوسع الكمي والنوعي وبين الحفاظ على معايير الجودة والاعتماد الأكاديمي. وتشير الدراسات الحديثة (الجاسر، 2023؛ النصير، 2023) إلى أن القياس الدوري للأداء وتطوير نظم الموارد البشرية وفق معايير التميز هو السبيل الوحيد لضمان مخرجات تعليمية وإدارية تنافسية، تتواكب مع تطلعات القيادة الرشيدة في بناء اقتصاد معرفي متين</w:t>
      </w:r>
      <w:r w:rsidRPr="005F0DA9">
        <w:rPr>
          <w:rFonts w:ascii="Sakkal Majalla" w:hAnsi="Sakkal Majalla" w:cs="Sakkal Majalla"/>
          <w:sz w:val="30"/>
          <w:szCs w:val="30"/>
          <w:lang w:val="en-GB"/>
        </w:rPr>
        <w:t>.</w:t>
      </w:r>
    </w:p>
    <w:p w14:paraId="684D5855"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sz w:val="30"/>
          <w:szCs w:val="30"/>
          <w:rtl/>
        </w:rPr>
        <w:t>إن العلاقة التفاعلية بين التميز المؤسسي وإدارة الموارد البشرية تتجاوز مجرد التحسين الإجرائي؛ فهي تمتد لتشمل صياغة رؤية تعليمية واضحة، وتعزيز الالتزام التنظيمي، وتبسيط إجراءات العمل (موسى، 2024؛ عسيري والعمود، 2024). ومن هنا، تنبثق أهمية الدراسة الحالية في بحث "الدور التعزيزي" الذي يلعبه التميز المؤسسي في تطوير ممارسات إدارة الموارد البشرية، وكيف ينعكس ذلك في نهاية المطاف على مستوى الأداء المؤسسي الشامل للجامعات الحكومية في العاصمة الرياض</w:t>
      </w:r>
      <w:r w:rsidRPr="005F0DA9">
        <w:rPr>
          <w:rFonts w:ascii="Sakkal Majalla" w:hAnsi="Sakkal Majalla" w:cs="Sakkal Majalla"/>
          <w:sz w:val="30"/>
          <w:szCs w:val="30"/>
          <w:lang w:val="en-GB"/>
        </w:rPr>
        <w:t>.</w:t>
      </w:r>
    </w:p>
    <w:p w14:paraId="7A4291B6"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sz w:val="30"/>
          <w:szCs w:val="30"/>
          <w:rtl/>
        </w:rPr>
        <w:lastRenderedPageBreak/>
        <w:t>بناءً على ذلك، تأتي هذه الدراسة لتقديم قراءة ميدانية تحليلية ترصد وجهات نظر أعضاء هيئة التدريس والكوادر الإدارية، بهدف تحديد مستويات التميز المطبقة، وتقييم جودة إدارة الموارد البشرية والأداء العام، والكشف عن أثر الخصائص الديموغرافية والوظيفية في تشكيل هذه التصورات، مما يساهم في تقديم خارطة طريق تدعم مسيرة التميز في مؤسسات التعليم العالي السعودية</w:t>
      </w:r>
      <w:r w:rsidRPr="005F0DA9">
        <w:rPr>
          <w:rFonts w:ascii="Sakkal Majalla" w:hAnsi="Sakkal Majalla" w:cs="Sakkal Majalla"/>
          <w:sz w:val="30"/>
          <w:szCs w:val="30"/>
          <w:lang w:val="en-GB"/>
        </w:rPr>
        <w:t>.</w:t>
      </w:r>
    </w:p>
    <w:p w14:paraId="4F763CF1" w14:textId="42E5FA0C" w:rsidR="00747A59" w:rsidRPr="005F0DA9" w:rsidRDefault="00747A59" w:rsidP="0000054D">
      <w:pPr>
        <w:pStyle w:val="Heading2"/>
        <w:bidi/>
        <w:rPr>
          <w:sz w:val="34"/>
          <w:szCs w:val="38"/>
          <w:rtl/>
        </w:rPr>
      </w:pPr>
      <w:bookmarkStart w:id="10" w:name="_Toc224358869"/>
      <w:r w:rsidRPr="005F0DA9">
        <w:rPr>
          <w:sz w:val="34"/>
          <w:szCs w:val="38"/>
          <w:rtl/>
        </w:rPr>
        <w:t>2</w:t>
      </w:r>
      <w:r w:rsidRPr="005F0DA9">
        <w:rPr>
          <w:sz w:val="34"/>
          <w:szCs w:val="38"/>
        </w:rPr>
        <w:t xml:space="preserve">. </w:t>
      </w:r>
      <w:r w:rsidRPr="005F0DA9">
        <w:rPr>
          <w:sz w:val="34"/>
          <w:szCs w:val="38"/>
          <w:rtl/>
        </w:rPr>
        <w:t>مشكلة الدراسة</w:t>
      </w:r>
      <w:r w:rsidR="0000054D" w:rsidRPr="005F0DA9">
        <w:rPr>
          <w:rFonts w:hint="cs"/>
          <w:sz w:val="34"/>
          <w:szCs w:val="38"/>
          <w:rtl/>
        </w:rPr>
        <w:t xml:space="preserve"> وأسئلتها</w:t>
      </w:r>
      <w:bookmarkEnd w:id="10"/>
      <w:r w:rsidR="0000054D" w:rsidRPr="005F0DA9">
        <w:rPr>
          <w:rFonts w:hint="cs"/>
          <w:sz w:val="34"/>
          <w:szCs w:val="38"/>
          <w:rtl/>
        </w:rPr>
        <w:t xml:space="preserve"> </w:t>
      </w:r>
    </w:p>
    <w:p w14:paraId="302CC2A4"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sz w:val="30"/>
          <w:szCs w:val="30"/>
          <w:rtl/>
        </w:rPr>
        <w:t>على الرغم من الحراك التطويري الواسع الذي تشهده الجامعات الحكومية في مدينة الرياض، والسعي الحثيث لتبني معايير الجودة والاعتماد، إلا أن هذا التوسع والتحسين الإجرائي لا يضمن بالضرورة تحقيق "التميز المؤسسي" بمعناه الشامل، ولا يكفل بالتبعية الارتقاء التلقائي بجودة إدارة الموارد البشرية أو الوصول بالأداء المؤسسي إلى مستويات تنافسية عالمية. فالمشكلة الجوهرية تكمن في وجود تباين بين حجم الجهود المبذولة لتطبيق نماذج التميز وبين العائد الفعلي الملموس على مستوى كفاءة الكوادر البشرية (الأكاديمية والإدارية) واستدامة الأداء العالي، وذلك نتيجة لعدم وجود فهم عميق لكيفية تحويل معايير التميز إلى محركات فعلية تعزز من بيئة العمل وترفع من كفاءة المخرجات.</w:t>
      </w:r>
    </w:p>
    <w:p w14:paraId="4033E71E" w14:textId="77777777" w:rsidR="007649AC" w:rsidRPr="005F0DA9" w:rsidRDefault="007649AC" w:rsidP="007649AC">
      <w:pPr>
        <w:bidi/>
        <w:spacing w:line="360" w:lineRule="auto"/>
        <w:ind w:firstLine="720"/>
        <w:jc w:val="both"/>
        <w:rPr>
          <w:rFonts w:ascii="Sakkal Majalla" w:hAnsi="Sakkal Majalla" w:cs="Sakkal Majalla"/>
          <w:sz w:val="30"/>
          <w:szCs w:val="30"/>
          <w:rtl/>
        </w:rPr>
      </w:pPr>
      <w:r w:rsidRPr="005F0DA9">
        <w:rPr>
          <w:rFonts w:ascii="Sakkal Majalla" w:hAnsi="Sakkal Majalla" w:cs="Sakkal Majalla"/>
          <w:sz w:val="30"/>
          <w:szCs w:val="30"/>
          <w:rtl/>
        </w:rPr>
        <w:t>تتجلى إحدى أبرز مظاهر المشكلة في "الفجوة التطبيقية" بين تبني نماذج التميز نظرياً وممارسة وظائف الموارد البشرية واقعياً. فبينما تسعى الجامعات لاستيفاء متطلبات التميز، لا يزال هناك تحديات تتعلق بمدى مواءمة هذه المتطلبات مع استراتيجيات الاستقطاب، والتدريب، وتقييم الأداء. وقد أكدت دراسة (صديق، 2019) أن مجرد وجود وظائف للموارد البشرية لا يكفي لتحقيق التميز ما لم تكن هناك علاقة ارتباطية وثيقة وممنهجة. وتتفاقم المشكلة عندما تفتقر بعض الممارسات الإدارية إلى "الشفافية والعدالة التنظيمية" في أنظمة التحفيز والترقية، مما يؤثر سلباً على الالتزام العاطفي للعاملين، وهو ما أشارت إليه دراسة (داهش، 2022) بأن إدراك قوة نظام الموارد البشرية هو الشرط الأساسي لتعزيز سلوك المواطنة التنظيمية.</w:t>
      </w:r>
    </w:p>
    <w:p w14:paraId="22364610" w14:textId="77777777" w:rsidR="007649AC" w:rsidRPr="005F0DA9" w:rsidRDefault="007649AC" w:rsidP="007649AC">
      <w:pPr>
        <w:bidi/>
        <w:spacing w:line="360" w:lineRule="auto"/>
        <w:ind w:firstLine="720"/>
        <w:jc w:val="both"/>
        <w:rPr>
          <w:rFonts w:ascii="Sakkal Majalla" w:hAnsi="Sakkal Majalla" w:cs="Sakkal Majalla"/>
          <w:sz w:val="30"/>
          <w:szCs w:val="30"/>
          <w:rtl/>
        </w:rPr>
      </w:pPr>
      <w:r w:rsidRPr="005F0DA9">
        <w:rPr>
          <w:rFonts w:ascii="Sakkal Majalla" w:hAnsi="Sakkal Majalla" w:cs="Sakkal Majalla"/>
          <w:sz w:val="30"/>
          <w:szCs w:val="30"/>
          <w:rtl/>
        </w:rPr>
        <w:lastRenderedPageBreak/>
        <w:t>كما أنه مع ارتفاع سقف التوقعات المرتبطة برؤية المملكة 2030، لم يعد الأداء الإداري التقليدي كافياً لضمان ريادة الجامعات. وتشير المشكلة إلى أن بعض الجامعات قد تركز على استيفاء "المعايير الشكلية" للتميز، متجاهلة الأبعاد الأكثر عمقاً مثل "تمكين الموارد البشرية" و"الابتكار في الإجراءات". وقد أثبتت دراسة (محمود، 2020) أن التمكين هو الوقود الحقيقي للتميز، إلا أن دراسة (عسيري والعمود، 2024) بينت أن مستوى تطبيق إدارة إجراءات العمل لا يزال "متوسطاً" في بعض الجامعات السعودية، مما يشير إلى صعوبة تحقيق توازن بين المتطلبات البيروقراطية وبين المرونة اللازمة لتحقيق أداء مؤسسي متفوق يوفر الوقت والجهد.</w:t>
      </w:r>
    </w:p>
    <w:p w14:paraId="172A9753" w14:textId="77777777" w:rsidR="007649AC" w:rsidRPr="005F0DA9" w:rsidRDefault="007649AC" w:rsidP="007649AC">
      <w:pPr>
        <w:bidi/>
        <w:spacing w:line="360" w:lineRule="auto"/>
        <w:ind w:firstLine="720"/>
        <w:jc w:val="both"/>
        <w:rPr>
          <w:rFonts w:ascii="Sakkal Majalla" w:hAnsi="Sakkal Majalla" w:cs="Sakkal Majalla"/>
          <w:sz w:val="30"/>
          <w:szCs w:val="30"/>
          <w:rtl/>
        </w:rPr>
      </w:pPr>
      <w:r w:rsidRPr="005F0DA9">
        <w:rPr>
          <w:rFonts w:ascii="Sakkal Majalla" w:hAnsi="Sakkal Majalla" w:cs="Sakkal Majalla"/>
          <w:sz w:val="30"/>
          <w:szCs w:val="30"/>
          <w:rtl/>
        </w:rPr>
        <w:t>وفيما يتعلق بالبعد التقني والمعرفي، تواجه الجامعات تحدياً في سرعة تلاشي ميزة "التحول الرقمي" إذا لم يقترن بتميز مؤسسي مستدام. فالعاملون يتعرضون لضغوط تكنولوجية مستمرة، مما قد يؤدي إلى "إرهاق تنظيمي" إذا لم تكن البيئة ذكية وداعمة. وقد أشارت دراسة (الحربي وآخرون، 2025) إلى أهمية نموذج "الجامعة الذكية" في تحسين الأداء، بينما حذرت دراسات أخرى من أن ضعف صيانة الموارد البشرية (صحياً واجتماعياً) قد يعيق الوصول لمستويات التميز الحكومي المنشودة (عبد العال، 2023). وتبرز المشكلة هنا في مدى قدرة الجامعات الحكومية بالرياض على دمج التميز التقني بالتميز البشري لخلق بيئة عمل محفزة للإبداع.</w:t>
      </w:r>
    </w:p>
    <w:p w14:paraId="57FC17E1" w14:textId="77777777" w:rsidR="007649AC" w:rsidRPr="005F0DA9" w:rsidRDefault="007649AC" w:rsidP="007649AC">
      <w:pPr>
        <w:bidi/>
        <w:spacing w:line="360" w:lineRule="auto"/>
        <w:ind w:firstLine="720"/>
        <w:jc w:val="both"/>
        <w:rPr>
          <w:rFonts w:ascii="Sakkal Majalla" w:hAnsi="Sakkal Majalla" w:cs="Sakkal Majalla"/>
          <w:sz w:val="30"/>
          <w:szCs w:val="30"/>
          <w:rtl/>
        </w:rPr>
      </w:pPr>
      <w:r w:rsidRPr="005F0DA9">
        <w:rPr>
          <w:rFonts w:ascii="Sakkal Majalla" w:hAnsi="Sakkal Majalla" w:cs="Sakkal Majalla"/>
          <w:sz w:val="30"/>
          <w:szCs w:val="30"/>
          <w:rtl/>
        </w:rPr>
        <w:t xml:space="preserve">بناءً على ما سبق، يمكن تلخيص مشكلة الدراسة في التساؤل الرئيس التالي: </w:t>
      </w:r>
      <w:r w:rsidRPr="005F0DA9">
        <w:rPr>
          <w:rFonts w:ascii="Sakkal Majalla" w:hAnsi="Sakkal Majalla" w:cs="Sakkal Majalla"/>
          <w:b/>
          <w:bCs/>
          <w:sz w:val="30"/>
          <w:szCs w:val="30"/>
          <w:rtl/>
        </w:rPr>
        <w:t>ما دور التميز المؤسسي في تعزيز إدارة الموارد البشرية والأداء المؤسسي في الجامعات الحكومية بمدينة الرياض؟</w:t>
      </w:r>
    </w:p>
    <w:p w14:paraId="7D2CEC93" w14:textId="77777777" w:rsidR="007649AC" w:rsidRPr="005F0DA9" w:rsidRDefault="007649AC" w:rsidP="007649AC">
      <w:pPr>
        <w:bidi/>
        <w:spacing w:line="360" w:lineRule="auto"/>
        <w:ind w:firstLine="720"/>
        <w:jc w:val="both"/>
        <w:rPr>
          <w:rFonts w:ascii="Sakkal Majalla" w:hAnsi="Sakkal Majalla" w:cs="Sakkal Majalla"/>
          <w:sz w:val="30"/>
          <w:szCs w:val="30"/>
          <w:rtl/>
        </w:rPr>
      </w:pPr>
      <w:r w:rsidRPr="005F0DA9">
        <w:rPr>
          <w:rFonts w:ascii="Sakkal Majalla" w:hAnsi="Sakkal Majalla" w:cs="Sakkal Majalla"/>
          <w:sz w:val="30"/>
          <w:szCs w:val="30"/>
          <w:rtl/>
        </w:rPr>
        <w:t>وينبثق من هذا التساؤل الرئيس الأسئلة الفرعية التالية:</w:t>
      </w:r>
    </w:p>
    <w:p w14:paraId="3F7CBB70" w14:textId="77777777" w:rsidR="007649AC" w:rsidRPr="005F0DA9" w:rsidRDefault="007649AC" w:rsidP="0025018A">
      <w:pPr>
        <w:numPr>
          <w:ilvl w:val="0"/>
          <w:numId w:val="3"/>
        </w:numPr>
        <w:bidi/>
        <w:spacing w:line="360" w:lineRule="auto"/>
        <w:jc w:val="both"/>
        <w:rPr>
          <w:rFonts w:ascii="Sakkal Majalla" w:hAnsi="Sakkal Majalla" w:cs="Sakkal Majalla"/>
          <w:sz w:val="30"/>
          <w:szCs w:val="30"/>
          <w:rtl/>
        </w:rPr>
      </w:pPr>
      <w:r w:rsidRPr="005F0DA9">
        <w:rPr>
          <w:rFonts w:ascii="Sakkal Majalla" w:hAnsi="Sakkal Majalla" w:cs="Sakkal Majalla"/>
          <w:sz w:val="30"/>
          <w:szCs w:val="30"/>
          <w:rtl/>
        </w:rPr>
        <w:t>ما مستوى التميز المؤسسي في الجامعات الحكومية بمدينة الرياض من وجهة نظر العاملين (أعضاء هيئة تدريس وكوادر إدارية)؟</w:t>
      </w:r>
    </w:p>
    <w:p w14:paraId="2F2F913A" w14:textId="77777777" w:rsidR="007649AC" w:rsidRPr="005F0DA9" w:rsidRDefault="007649AC" w:rsidP="0025018A">
      <w:pPr>
        <w:numPr>
          <w:ilvl w:val="0"/>
          <w:numId w:val="3"/>
        </w:numPr>
        <w:bidi/>
        <w:spacing w:line="360" w:lineRule="auto"/>
        <w:jc w:val="both"/>
        <w:rPr>
          <w:rFonts w:ascii="Sakkal Majalla" w:hAnsi="Sakkal Majalla" w:cs="Sakkal Majalla"/>
          <w:sz w:val="30"/>
          <w:szCs w:val="30"/>
          <w:rtl/>
        </w:rPr>
      </w:pPr>
      <w:r w:rsidRPr="005F0DA9">
        <w:rPr>
          <w:rFonts w:ascii="Sakkal Majalla" w:hAnsi="Sakkal Majalla" w:cs="Sakkal Majalla"/>
          <w:sz w:val="30"/>
          <w:szCs w:val="30"/>
          <w:rtl/>
        </w:rPr>
        <w:t>ما مستوى جودة ممارسات إدارة الموارد البشرية في هذه الجامعات من منظور منسوبيها؟</w:t>
      </w:r>
    </w:p>
    <w:p w14:paraId="4EE33A3B" w14:textId="77777777" w:rsidR="007649AC" w:rsidRPr="005F0DA9" w:rsidRDefault="007649AC" w:rsidP="0025018A">
      <w:pPr>
        <w:numPr>
          <w:ilvl w:val="0"/>
          <w:numId w:val="3"/>
        </w:numPr>
        <w:bidi/>
        <w:spacing w:line="360" w:lineRule="auto"/>
        <w:jc w:val="both"/>
        <w:rPr>
          <w:rFonts w:ascii="Sakkal Majalla" w:hAnsi="Sakkal Majalla" w:cs="Sakkal Majalla"/>
          <w:sz w:val="30"/>
          <w:szCs w:val="30"/>
          <w:rtl/>
        </w:rPr>
      </w:pPr>
      <w:r w:rsidRPr="005F0DA9">
        <w:rPr>
          <w:rFonts w:ascii="Sakkal Majalla" w:hAnsi="Sakkal Majalla" w:cs="Sakkal Majalla"/>
          <w:sz w:val="30"/>
          <w:szCs w:val="30"/>
          <w:rtl/>
        </w:rPr>
        <w:t>ما مستوى الأداء المؤسسي العام في الجامعات الحكومية بمدينة الرياض؟</w:t>
      </w:r>
    </w:p>
    <w:p w14:paraId="7E3DD34E" w14:textId="77777777" w:rsidR="007649AC" w:rsidRPr="005F0DA9" w:rsidRDefault="007649AC" w:rsidP="0025018A">
      <w:pPr>
        <w:numPr>
          <w:ilvl w:val="0"/>
          <w:numId w:val="3"/>
        </w:numPr>
        <w:bidi/>
        <w:spacing w:line="360" w:lineRule="auto"/>
        <w:jc w:val="both"/>
        <w:rPr>
          <w:rFonts w:ascii="Sakkal Majalla" w:hAnsi="Sakkal Majalla" w:cs="Sakkal Majalla"/>
          <w:sz w:val="30"/>
          <w:szCs w:val="30"/>
          <w:rtl/>
        </w:rPr>
      </w:pPr>
      <w:r w:rsidRPr="005F0DA9">
        <w:rPr>
          <w:rFonts w:ascii="Sakkal Majalla" w:hAnsi="Sakkal Majalla" w:cs="Sakkal Majalla"/>
          <w:sz w:val="30"/>
          <w:szCs w:val="30"/>
          <w:rtl/>
        </w:rPr>
        <w:lastRenderedPageBreak/>
        <w:t>ما أثر التميز المؤسسي (بأبعاده المختلفة) في تعزيز إدارة الموارد البشرية وتطوير الأداء المؤسسي في الجامعات محل الدراسة؟</w:t>
      </w:r>
    </w:p>
    <w:p w14:paraId="24E04A6E" w14:textId="3A1037DE" w:rsidR="007649AC" w:rsidRPr="005F0DA9" w:rsidRDefault="007649AC" w:rsidP="0025018A">
      <w:pPr>
        <w:numPr>
          <w:ilvl w:val="0"/>
          <w:numId w:val="3"/>
        </w:numPr>
        <w:bidi/>
        <w:spacing w:line="360" w:lineRule="auto"/>
        <w:jc w:val="both"/>
        <w:rPr>
          <w:rFonts w:ascii="Sakkal Majalla" w:hAnsi="Sakkal Majalla" w:cs="Sakkal Majalla"/>
          <w:sz w:val="30"/>
          <w:szCs w:val="30"/>
          <w:rtl/>
        </w:rPr>
      </w:pPr>
      <w:r w:rsidRPr="005F0DA9">
        <w:rPr>
          <w:rFonts w:ascii="Sakkal Majalla" w:hAnsi="Sakkal Majalla" w:cs="Sakkal Majalla"/>
          <w:sz w:val="30"/>
          <w:szCs w:val="30"/>
          <w:rtl/>
        </w:rPr>
        <w:t xml:space="preserve">هل توجد فروق ذات دلالة إحصائية في تصورات المشاركين حول مستويات التميز وإدارة الموارد البشرية والأداء المؤسسي تُعزى </w:t>
      </w:r>
      <w:r w:rsidRPr="005F0DA9">
        <w:rPr>
          <w:rFonts w:ascii="Sakkal Majalla" w:hAnsi="Sakkal Majalla" w:cs="Sakkal Majalla" w:hint="cs"/>
          <w:sz w:val="30"/>
          <w:szCs w:val="30"/>
          <w:rtl/>
        </w:rPr>
        <w:t xml:space="preserve">لاختلاف طبيعة وظيفية المشاركين في </w:t>
      </w:r>
      <w:proofErr w:type="gramStart"/>
      <w:r w:rsidRPr="005F0DA9">
        <w:rPr>
          <w:rFonts w:ascii="Sakkal Majalla" w:hAnsi="Sakkal Majalla" w:cs="Sakkal Majalla" w:hint="cs"/>
          <w:sz w:val="30"/>
          <w:szCs w:val="30"/>
          <w:rtl/>
        </w:rPr>
        <w:t>الدراسة ؟</w:t>
      </w:r>
      <w:proofErr w:type="gramEnd"/>
    </w:p>
    <w:p w14:paraId="0113FC15" w14:textId="6969FA64" w:rsidR="005A03DD" w:rsidRPr="005F0DA9" w:rsidRDefault="005A03DD" w:rsidP="00E66772">
      <w:pPr>
        <w:pStyle w:val="Heading2"/>
        <w:bidi/>
        <w:spacing w:line="312" w:lineRule="auto"/>
        <w:rPr>
          <w:sz w:val="30"/>
          <w:szCs w:val="30"/>
          <w:rtl/>
        </w:rPr>
      </w:pPr>
      <w:bookmarkStart w:id="11" w:name="_Toc224358870"/>
      <w:r w:rsidRPr="005F0DA9">
        <w:rPr>
          <w:rFonts w:hint="cs"/>
          <w:sz w:val="34"/>
          <w:szCs w:val="38"/>
          <w:rtl/>
        </w:rPr>
        <w:t>أهمية الدرا</w:t>
      </w:r>
      <w:r w:rsidR="004A6808" w:rsidRPr="005F0DA9">
        <w:rPr>
          <w:rFonts w:hint="cs"/>
          <w:sz w:val="34"/>
          <w:szCs w:val="38"/>
          <w:rtl/>
        </w:rPr>
        <w:t>سة:</w:t>
      </w:r>
      <w:bookmarkEnd w:id="11"/>
    </w:p>
    <w:p w14:paraId="76BA63D4" w14:textId="77777777" w:rsidR="005A03DD" w:rsidRPr="005F0DA9" w:rsidRDefault="005A03DD" w:rsidP="00E66772">
      <w:pPr>
        <w:pStyle w:val="Heading3"/>
        <w:bidi/>
        <w:spacing w:line="312" w:lineRule="auto"/>
        <w:rPr>
          <w:bCs w:val="0"/>
          <w:sz w:val="30"/>
          <w:szCs w:val="34"/>
        </w:rPr>
      </w:pPr>
      <w:bookmarkStart w:id="12" w:name="_Toc224358871"/>
      <w:r w:rsidRPr="005F0DA9">
        <w:rPr>
          <w:sz w:val="30"/>
          <w:szCs w:val="34"/>
          <w:rtl/>
        </w:rPr>
        <w:t>الأهمية النظرية:</w:t>
      </w:r>
      <w:bookmarkEnd w:id="12"/>
    </w:p>
    <w:p w14:paraId="1BCD3C84"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Pr>
      </w:pPr>
      <w:r w:rsidRPr="005F0DA9">
        <w:rPr>
          <w:rFonts w:ascii="Sakkal Majalla" w:hAnsi="Sakkal Majalla" w:cs="Sakkal Majalla"/>
          <w:sz w:val="30"/>
          <w:szCs w:val="30"/>
          <w:rtl/>
        </w:rPr>
        <w:t>بناءً على عناصر "أهمية الدراسة" التي قدمتها، ومع مواءمتها لتخصص دراستك الحالية حول "دور التميز المؤسسي في تعزيز إدارة الموارد البشرية والأداء المؤسسي بالجامعات الحكومية في الرياض"، إليك إعادة صياغة متكاملة للأهمية بجانبيها النظري والتطبيقي:</w:t>
      </w:r>
    </w:p>
    <w:p w14:paraId="2B976687"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Pr>
      </w:pPr>
      <w:r w:rsidRPr="005F0DA9">
        <w:rPr>
          <w:rFonts w:ascii="Sakkal Majalla" w:hAnsi="Sakkal Majalla" w:cs="Sakkal Majalla"/>
          <w:sz w:val="30"/>
          <w:szCs w:val="30"/>
          <w:rtl/>
        </w:rPr>
        <w:t>أهمية الدراسة</w:t>
      </w:r>
    </w:p>
    <w:p w14:paraId="6A4502F6"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Pr>
      </w:pPr>
      <w:r w:rsidRPr="005F0DA9">
        <w:rPr>
          <w:rFonts w:ascii="Sakkal Majalla" w:hAnsi="Sakkal Majalla" w:cs="Sakkal Majalla"/>
          <w:sz w:val="30"/>
          <w:szCs w:val="30"/>
          <w:rtl/>
        </w:rPr>
        <w:t>أولاً: الأهمية النظرية:</w:t>
      </w:r>
    </w:p>
    <w:p w14:paraId="748F80DD"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Pr>
      </w:pPr>
      <w:r w:rsidRPr="005F0DA9">
        <w:rPr>
          <w:rFonts w:ascii="Sakkal Majalla" w:hAnsi="Sakkal Majalla" w:cs="Sakkal Majalla"/>
          <w:sz w:val="30"/>
          <w:szCs w:val="30"/>
          <w:rtl/>
        </w:rPr>
        <w:t>تعد هذه الدراسة امتداداً علمياً للأبحاث المهتمة بمجال الفكر الإداري الحديث، حيث تسعى لتعميق الفهم حول العلاقة التكاملية بين التميز المؤسسي كمدخل تطويري، وبين إدارة الموارد البشرية والأداء المؤسسي داخل البيئة الأكاديمية.</w:t>
      </w:r>
    </w:p>
    <w:p w14:paraId="404F94E6"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Pr>
      </w:pPr>
      <w:r w:rsidRPr="005F0DA9">
        <w:rPr>
          <w:rFonts w:ascii="Sakkal Majalla" w:hAnsi="Sakkal Majalla" w:cs="Sakkal Majalla"/>
          <w:sz w:val="30"/>
          <w:szCs w:val="30"/>
          <w:rtl/>
        </w:rPr>
        <w:t>تأتي هذه الدراسة كاستجابة واعية لمتطلبات "رؤية المملكة 2030"، التي تضع التميز في الأداء الحكومي والارتقاء برأس المال البشري كركيزة أساسية، مما يجعلها مرجعاً علمياً للباحثين والمسؤولين في قطاع التعليم العالي السعودي.</w:t>
      </w:r>
    </w:p>
    <w:p w14:paraId="481003B6"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Pr>
      </w:pPr>
      <w:r w:rsidRPr="005F0DA9">
        <w:rPr>
          <w:rFonts w:ascii="Sakkal Majalla" w:hAnsi="Sakkal Majalla" w:cs="Sakkal Majalla"/>
          <w:sz w:val="30"/>
          <w:szCs w:val="30"/>
          <w:rtl/>
        </w:rPr>
        <w:t>تساهم الدراسة في إثراء الأدبيات التربوية والإدارية المتعلقة بنماذج التميز العالمية والمحلية، وسد الفجوة البحثية حول كيفية انعكاس هذه النماذج على الوظائف الاستراتيجية للموارد البشرية (كالتمكين، والصيانة، والتحفيز) في ظل خصوصية الجامعات الحكومية بمدينة الرياض.</w:t>
      </w:r>
    </w:p>
    <w:p w14:paraId="296B33E3"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Pr>
      </w:pPr>
      <w:r w:rsidRPr="005F0DA9">
        <w:rPr>
          <w:rFonts w:ascii="Sakkal Majalla" w:hAnsi="Sakkal Majalla" w:cs="Sakkal Majalla"/>
          <w:sz w:val="30"/>
          <w:szCs w:val="30"/>
          <w:rtl/>
        </w:rPr>
        <w:lastRenderedPageBreak/>
        <w:t>تعتبر إضافة نوعية للمكتبة العربية والسعودية، كونها تجمع بين ثلاثة متغيرات حيوية (التميز، الموارد البشرية، الأداء) في إطار بحثي واحد، مما يوفر إطاراً نظرياً محدثاً يواكب التحولات المتسارعة في منظومة التعليم الجامعي.</w:t>
      </w:r>
    </w:p>
    <w:p w14:paraId="1E12E0D2" w14:textId="77777777" w:rsidR="007618A8" w:rsidRPr="005F0DA9" w:rsidRDefault="007618A8" w:rsidP="007618A8">
      <w:pPr>
        <w:pStyle w:val="Heading3"/>
        <w:bidi/>
        <w:rPr>
          <w:sz w:val="30"/>
          <w:szCs w:val="34"/>
          <w:rtl/>
        </w:rPr>
      </w:pPr>
      <w:bookmarkStart w:id="13" w:name="_Toc224358872"/>
      <w:r w:rsidRPr="005F0DA9">
        <w:rPr>
          <w:sz w:val="30"/>
          <w:szCs w:val="34"/>
          <w:rtl/>
        </w:rPr>
        <w:t>الأهمية التطبيقية</w:t>
      </w:r>
      <w:r w:rsidRPr="005F0DA9">
        <w:rPr>
          <w:sz w:val="30"/>
          <w:szCs w:val="34"/>
        </w:rPr>
        <w:t>:</w:t>
      </w:r>
      <w:bookmarkEnd w:id="13"/>
      <w:r w:rsidRPr="005F0DA9">
        <w:rPr>
          <w:sz w:val="30"/>
          <w:szCs w:val="34"/>
        </w:rPr>
        <w:t xml:space="preserve"> </w:t>
      </w:r>
    </w:p>
    <w:p w14:paraId="161CD692"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tl/>
        </w:rPr>
      </w:pPr>
      <w:r w:rsidRPr="005F0DA9">
        <w:rPr>
          <w:rFonts w:ascii="Sakkal Majalla" w:hAnsi="Sakkal Majalla" w:cs="Sakkal Majalla"/>
          <w:sz w:val="30"/>
          <w:szCs w:val="30"/>
          <w:rtl/>
        </w:rPr>
        <w:t>تساعد نتائج الدراسة القيادات الجامعية (رؤساء الجامعات، والعمداء، ومديري الموارد البشرية) في مدينة الرياض على فهم العلاقة الارتباطية بين تبني معايير التميز وبين تحسن الأداء الفعلي للعاملين واستدامة الأداء المؤسسي</w:t>
      </w:r>
      <w:r w:rsidRPr="005F0DA9">
        <w:rPr>
          <w:rFonts w:ascii="Sakkal Majalla" w:hAnsi="Sakkal Majalla" w:cs="Sakkal Majalla"/>
          <w:sz w:val="30"/>
          <w:szCs w:val="30"/>
        </w:rPr>
        <w:t>.</w:t>
      </w:r>
    </w:p>
    <w:p w14:paraId="67F732E2"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tl/>
        </w:rPr>
      </w:pPr>
      <w:r w:rsidRPr="005F0DA9">
        <w:rPr>
          <w:rFonts w:ascii="Sakkal Majalla" w:hAnsi="Sakkal Majalla" w:cs="Sakkal Majalla"/>
          <w:sz w:val="30"/>
          <w:szCs w:val="30"/>
          <w:rtl/>
        </w:rPr>
        <w:t>تساهم في تشخيص واقع التميز المؤسسي في الجامعات محل الدراسة، وتحديد الفجوات في ممارسات إدارة الموارد البشرية، مما يتيح لصناع القرار وضع خطط تحسينية مبنية على معطيات ميدانية دقيقة</w:t>
      </w:r>
      <w:r w:rsidRPr="005F0DA9">
        <w:rPr>
          <w:rFonts w:ascii="Sakkal Majalla" w:hAnsi="Sakkal Majalla" w:cs="Sakkal Majalla"/>
          <w:sz w:val="30"/>
          <w:szCs w:val="30"/>
        </w:rPr>
        <w:t>.</w:t>
      </w:r>
    </w:p>
    <w:p w14:paraId="5D250040"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tl/>
        </w:rPr>
      </w:pPr>
      <w:r w:rsidRPr="005F0DA9">
        <w:rPr>
          <w:rFonts w:ascii="Sakkal Majalla" w:hAnsi="Sakkal Majalla" w:cs="Sakkal Majalla"/>
          <w:sz w:val="30"/>
          <w:szCs w:val="30"/>
          <w:rtl/>
        </w:rPr>
        <w:t>تقدم الدراسة قائمة من التوصيات والآليات الإجرائية التي تساعد الجامعات الحكومية على رفع مستوى جودة مخرجاتها، من خلال التركيز على المحركات البشرية والتقنية التي كشفت الدراسة عن أهميتها في تحقيق التميز</w:t>
      </w:r>
      <w:r w:rsidRPr="005F0DA9">
        <w:rPr>
          <w:rFonts w:ascii="Sakkal Majalla" w:hAnsi="Sakkal Majalla" w:cs="Sakkal Majalla"/>
          <w:sz w:val="30"/>
          <w:szCs w:val="30"/>
        </w:rPr>
        <w:t>.</w:t>
      </w:r>
    </w:p>
    <w:p w14:paraId="30FB4E0E" w14:textId="77777777" w:rsidR="007649AC" w:rsidRPr="005F0DA9" w:rsidRDefault="007649AC" w:rsidP="0025018A">
      <w:pPr>
        <w:pStyle w:val="ListParagraph"/>
        <w:numPr>
          <w:ilvl w:val="0"/>
          <w:numId w:val="2"/>
        </w:numPr>
        <w:bidi/>
        <w:spacing w:line="312" w:lineRule="auto"/>
        <w:jc w:val="both"/>
        <w:rPr>
          <w:rFonts w:ascii="Sakkal Majalla" w:hAnsi="Sakkal Majalla" w:cs="Sakkal Majalla"/>
          <w:sz w:val="30"/>
          <w:szCs w:val="30"/>
          <w:rtl/>
        </w:rPr>
      </w:pPr>
      <w:r w:rsidRPr="005F0DA9">
        <w:rPr>
          <w:rFonts w:ascii="Sakkal Majalla" w:hAnsi="Sakkal Majalla" w:cs="Sakkal Majalla"/>
          <w:sz w:val="30"/>
          <w:szCs w:val="30"/>
          <w:rtl/>
        </w:rPr>
        <w:t>تتجلى الأهمية التطبيقية في الكشف عن الفروق الجوهرية في تصورات التميز والأداء بناءً على "طبيعة الوظيفة" (أكاديمي/إداري)، مما يُمكّن إدارات الجامعات من تصميم سياسات إدارية وتطويرية مخصصة لكل فئة وظيفية بما يحقق الرضا الوظيفي والتميز العام.</w:t>
      </w:r>
    </w:p>
    <w:p w14:paraId="7B39EDAB" w14:textId="77777777" w:rsidR="005A03DD" w:rsidRPr="005F0DA9" w:rsidRDefault="005A03DD" w:rsidP="004A6808">
      <w:pPr>
        <w:pStyle w:val="Heading2"/>
        <w:bidi/>
        <w:rPr>
          <w:sz w:val="34"/>
          <w:szCs w:val="38"/>
          <w:rtl/>
        </w:rPr>
      </w:pPr>
      <w:bookmarkStart w:id="14" w:name="_Toc224358873"/>
      <w:r w:rsidRPr="005F0DA9">
        <w:rPr>
          <w:rFonts w:hint="cs"/>
          <w:sz w:val="34"/>
          <w:szCs w:val="38"/>
          <w:rtl/>
        </w:rPr>
        <w:t>أهداف الدراسة</w:t>
      </w:r>
      <w:r w:rsidRPr="005F0DA9">
        <w:rPr>
          <w:sz w:val="34"/>
          <w:szCs w:val="38"/>
          <w:rtl/>
        </w:rPr>
        <w:t>:</w:t>
      </w:r>
      <w:bookmarkEnd w:id="14"/>
    </w:p>
    <w:p w14:paraId="791563FB" w14:textId="77777777" w:rsidR="007649AC" w:rsidRPr="005F0DA9" w:rsidRDefault="007649AC" w:rsidP="0025018A">
      <w:pPr>
        <w:numPr>
          <w:ilvl w:val="0"/>
          <w:numId w:val="1"/>
        </w:numPr>
        <w:bidi/>
        <w:rPr>
          <w:rFonts w:ascii="Sakkal Majalla" w:hAnsi="Sakkal Majalla" w:cs="Sakkal Majalla"/>
          <w:sz w:val="30"/>
          <w:szCs w:val="30"/>
        </w:rPr>
      </w:pPr>
      <w:r w:rsidRPr="005F0DA9">
        <w:rPr>
          <w:rFonts w:ascii="Sakkal Majalla" w:hAnsi="Sakkal Majalla" w:cs="Sakkal Majalla"/>
          <w:sz w:val="30"/>
          <w:szCs w:val="30"/>
          <w:rtl/>
        </w:rPr>
        <w:t>التعرف على مستوى التميز المؤسسي في الجامعات الحكومية بمدينة الرياض من وجهة نظر العاملين (أعضاء هيئة التدريس والكوادر الإدارية)، وتحديد أبعاد التميز الأكثر تحققاً في بيئتها التنظيمية.</w:t>
      </w:r>
    </w:p>
    <w:p w14:paraId="44A98C25" w14:textId="6087E82E" w:rsidR="007649AC" w:rsidRPr="005F0DA9" w:rsidRDefault="007649AC" w:rsidP="0025018A">
      <w:pPr>
        <w:numPr>
          <w:ilvl w:val="0"/>
          <w:numId w:val="1"/>
        </w:numPr>
        <w:bidi/>
        <w:rPr>
          <w:rFonts w:ascii="Sakkal Majalla" w:hAnsi="Sakkal Majalla" w:cs="Sakkal Majalla"/>
          <w:sz w:val="30"/>
          <w:szCs w:val="30"/>
        </w:rPr>
      </w:pPr>
      <w:r w:rsidRPr="005F0DA9">
        <w:rPr>
          <w:rFonts w:ascii="Sakkal Majalla" w:hAnsi="Sakkal Majalla" w:cs="Sakkal Majalla" w:hint="cs"/>
          <w:sz w:val="30"/>
          <w:szCs w:val="30"/>
          <w:rtl/>
        </w:rPr>
        <w:t xml:space="preserve">التعرف </w:t>
      </w:r>
      <w:r w:rsidRPr="005F0DA9">
        <w:rPr>
          <w:rFonts w:ascii="Sakkal Majalla" w:hAnsi="Sakkal Majalla" w:cs="Sakkal Majalla"/>
          <w:sz w:val="30"/>
          <w:szCs w:val="30"/>
          <w:rtl/>
        </w:rPr>
        <w:t>على مستوى جودة ممارسات إدارة الموارد البشرية في الجامعات محل الدراسة، وتقييم كفاءة الوظائف المتعلقة بالاستقطاب، والتدريب، والتحفيز، والتمكين من منظور المنسوبين.</w:t>
      </w:r>
    </w:p>
    <w:p w14:paraId="377239F0" w14:textId="16849AD3" w:rsidR="007649AC" w:rsidRPr="005F0DA9" w:rsidRDefault="007649AC" w:rsidP="0025018A">
      <w:pPr>
        <w:numPr>
          <w:ilvl w:val="0"/>
          <w:numId w:val="1"/>
        </w:numPr>
        <w:bidi/>
        <w:rPr>
          <w:rFonts w:ascii="Sakkal Majalla" w:hAnsi="Sakkal Majalla" w:cs="Sakkal Majalla"/>
          <w:sz w:val="30"/>
          <w:szCs w:val="30"/>
        </w:rPr>
      </w:pPr>
      <w:r w:rsidRPr="005F0DA9">
        <w:rPr>
          <w:rFonts w:ascii="Sakkal Majalla" w:hAnsi="Sakkal Majalla" w:cs="Sakkal Majalla" w:hint="cs"/>
          <w:sz w:val="30"/>
          <w:szCs w:val="30"/>
          <w:rtl/>
        </w:rPr>
        <w:lastRenderedPageBreak/>
        <w:t xml:space="preserve">التعرف على </w:t>
      </w:r>
      <w:r w:rsidRPr="005F0DA9">
        <w:rPr>
          <w:rFonts w:ascii="Sakkal Majalla" w:hAnsi="Sakkal Majalla" w:cs="Sakkal Majalla"/>
          <w:sz w:val="30"/>
          <w:szCs w:val="30"/>
          <w:rtl/>
        </w:rPr>
        <w:t>مستوى الأداء المؤسسي العام في الجامعات الحكومية بمدينة الرياض، ورصد درجة تحقق معايير الكفاءة والفاعلية والإنتاجية في مخرجاتها التعليمية والإدارية.</w:t>
      </w:r>
    </w:p>
    <w:p w14:paraId="34258581" w14:textId="249DCAB2" w:rsidR="007649AC" w:rsidRPr="005F0DA9" w:rsidRDefault="007649AC" w:rsidP="0025018A">
      <w:pPr>
        <w:numPr>
          <w:ilvl w:val="0"/>
          <w:numId w:val="1"/>
        </w:numPr>
        <w:bidi/>
        <w:rPr>
          <w:rFonts w:ascii="Sakkal Majalla" w:hAnsi="Sakkal Majalla" w:cs="Sakkal Majalla"/>
          <w:sz w:val="30"/>
          <w:szCs w:val="30"/>
        </w:rPr>
      </w:pPr>
      <w:r w:rsidRPr="005F0DA9">
        <w:rPr>
          <w:rFonts w:ascii="Sakkal Majalla" w:hAnsi="Sakkal Majalla" w:cs="Sakkal Majalla" w:hint="cs"/>
          <w:sz w:val="30"/>
          <w:szCs w:val="30"/>
          <w:rtl/>
        </w:rPr>
        <w:t xml:space="preserve">التعرف على </w:t>
      </w:r>
      <w:r w:rsidRPr="005F0DA9">
        <w:rPr>
          <w:rFonts w:ascii="Sakkal Majalla" w:hAnsi="Sakkal Majalla" w:cs="Sakkal Majalla"/>
          <w:sz w:val="30"/>
          <w:szCs w:val="30"/>
          <w:rtl/>
        </w:rPr>
        <w:t>أثر التميز المؤسسي (بأبعاده المختلفة) في تعزيز إدارة الموارد البشرية والارتقاء بمستوى الأداء المؤسسي في الجامعات الحكومية بمدينة الرياض، لتحديد العلاقة الارتباطية والسببية بين هذه المتغيرات.</w:t>
      </w:r>
    </w:p>
    <w:p w14:paraId="1E7F6D1F" w14:textId="77777777" w:rsidR="007649AC" w:rsidRPr="005F0DA9" w:rsidRDefault="007649AC" w:rsidP="0025018A">
      <w:pPr>
        <w:numPr>
          <w:ilvl w:val="0"/>
          <w:numId w:val="1"/>
        </w:numPr>
        <w:bidi/>
        <w:rPr>
          <w:rFonts w:ascii="Sakkal Majalla" w:hAnsi="Sakkal Majalla" w:cs="Sakkal Majalla"/>
          <w:sz w:val="30"/>
          <w:szCs w:val="30"/>
        </w:rPr>
      </w:pPr>
      <w:r w:rsidRPr="005F0DA9">
        <w:rPr>
          <w:rFonts w:ascii="Sakkal Majalla" w:hAnsi="Sakkal Majalla" w:cs="Sakkal Majalla"/>
          <w:sz w:val="30"/>
          <w:szCs w:val="30"/>
          <w:rtl/>
        </w:rPr>
        <w:t>الكشف عن مدى وجود فروق ذات دلالة إحصائية في تصورات المشاركين حول (مستويات التميز المؤسسي، وإدارة الموارد البشرية، والأداء المؤسسي) تُعزى لاختلاف طبيعة وظيفة المشاركين في الدراسة (أكاديمي/إداري).</w:t>
      </w:r>
    </w:p>
    <w:p w14:paraId="2FFFA113" w14:textId="1A00A569" w:rsidR="005A03DD" w:rsidRPr="005F0DA9" w:rsidRDefault="005A03DD" w:rsidP="0047180A">
      <w:pPr>
        <w:pStyle w:val="Heading2"/>
        <w:bidi/>
        <w:rPr>
          <w:sz w:val="34"/>
          <w:szCs w:val="38"/>
          <w:rtl/>
        </w:rPr>
      </w:pPr>
      <w:bookmarkStart w:id="15" w:name="_Toc224358874"/>
      <w:r w:rsidRPr="005F0DA9">
        <w:rPr>
          <w:rStyle w:val="Heading2Char"/>
          <w:rFonts w:hint="cs"/>
          <w:sz w:val="34"/>
          <w:szCs w:val="38"/>
          <w:rtl/>
        </w:rPr>
        <w:t>فرضيات</w:t>
      </w:r>
      <w:r w:rsidRPr="005F0DA9">
        <w:rPr>
          <w:rFonts w:hint="cs"/>
          <w:sz w:val="34"/>
          <w:szCs w:val="38"/>
          <w:rtl/>
        </w:rPr>
        <w:t xml:space="preserve"> الدراسة</w:t>
      </w:r>
      <w:r w:rsidRPr="005F0DA9">
        <w:rPr>
          <w:sz w:val="34"/>
          <w:szCs w:val="38"/>
          <w:rtl/>
        </w:rPr>
        <w:t>:</w:t>
      </w:r>
      <w:bookmarkEnd w:id="15"/>
    </w:p>
    <w:p w14:paraId="58CB1A01"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b/>
          <w:bCs/>
          <w:sz w:val="30"/>
          <w:szCs w:val="30"/>
          <w:rtl/>
          <w:lang w:val="en-GB"/>
        </w:rPr>
        <w:t>الفرضية الرئيسة الأولى</w:t>
      </w:r>
      <w:r w:rsidRPr="005F0DA9">
        <w:rPr>
          <w:rFonts w:ascii="Sakkal Majalla" w:hAnsi="Sakkal Majalla" w:cs="Sakkal Majalla"/>
          <w:b/>
          <w:bCs/>
          <w:sz w:val="30"/>
          <w:szCs w:val="30"/>
          <w:lang w:val="en-GB"/>
        </w:rPr>
        <w:t>:</w:t>
      </w:r>
      <w:r w:rsidRPr="005F0DA9">
        <w:rPr>
          <w:rFonts w:ascii="Sakkal Majalla" w:hAnsi="Sakkal Majalla" w:cs="Sakkal Majalla"/>
          <w:sz w:val="30"/>
          <w:szCs w:val="30"/>
          <w:lang w:val="en-GB"/>
        </w:rPr>
        <w:t xml:space="preserve"> </w:t>
      </w:r>
      <w:r w:rsidRPr="005F0DA9">
        <w:rPr>
          <w:rFonts w:ascii="Sakkal Majalla" w:hAnsi="Sakkal Majalla" w:cs="Sakkal Majalla"/>
          <w:sz w:val="30"/>
          <w:szCs w:val="30"/>
          <w:rtl/>
          <w:lang w:val="en-GB"/>
        </w:rPr>
        <w:t xml:space="preserve">يوجد أثر ذو دلالة إحصائية للتميز المؤسسي (بأبعاده المختلفة) في تعزيز </w:t>
      </w:r>
      <w:r w:rsidRPr="005F0DA9">
        <w:rPr>
          <w:rFonts w:ascii="Sakkal Majalla" w:hAnsi="Sakkal Majalla" w:cs="Sakkal Majalla"/>
          <w:b/>
          <w:bCs/>
          <w:sz w:val="30"/>
          <w:szCs w:val="30"/>
          <w:rtl/>
          <w:lang w:val="en-GB"/>
        </w:rPr>
        <w:t>إدارة الموارد البشرية</w:t>
      </w:r>
      <w:r w:rsidRPr="005F0DA9">
        <w:rPr>
          <w:rFonts w:ascii="Sakkal Majalla" w:hAnsi="Sakkal Majalla" w:cs="Sakkal Majalla"/>
          <w:sz w:val="30"/>
          <w:szCs w:val="30"/>
          <w:rtl/>
          <w:lang w:val="en-GB"/>
        </w:rPr>
        <w:t xml:space="preserve"> لدى العاملين في الجامعات الحكومية بمدينة الرياض عند مستوى دلالة</w:t>
      </w:r>
      <w:r w:rsidRPr="005F0DA9">
        <w:rPr>
          <w:rFonts w:ascii="Sakkal Majalla" w:hAnsi="Sakkal Majalla" w:cs="Sakkal Majalla"/>
          <w:sz w:val="30"/>
          <w:szCs w:val="30"/>
          <w:lang w:val="en-GB"/>
        </w:rPr>
        <w:t xml:space="preserve"> (</w:t>
      </w:r>
      <w:r w:rsidRPr="005F0DA9">
        <w:rPr>
          <w:rFonts w:ascii="Cambria" w:hAnsi="Cambria" w:cs="Cambria"/>
          <w:sz w:val="30"/>
          <w:szCs w:val="30"/>
          <w:lang w:val="en-GB"/>
        </w:rPr>
        <w:t>α</w:t>
      </w:r>
      <w:r w:rsidRPr="005F0DA9">
        <w:rPr>
          <w:rFonts w:ascii="Sakkal Majalla" w:hAnsi="Sakkal Majalla" w:cs="Sakkal Majalla"/>
          <w:sz w:val="30"/>
          <w:szCs w:val="30"/>
          <w:lang w:val="en-GB"/>
        </w:rPr>
        <w:t xml:space="preserve"> ≤ 0.05).</w:t>
      </w:r>
    </w:p>
    <w:p w14:paraId="02B16F5C"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b/>
          <w:bCs/>
          <w:sz w:val="30"/>
          <w:szCs w:val="30"/>
          <w:rtl/>
          <w:lang w:val="en-GB"/>
        </w:rPr>
        <w:t>الفرضية الرئيسة الثانية</w:t>
      </w:r>
      <w:r w:rsidRPr="005F0DA9">
        <w:rPr>
          <w:rFonts w:ascii="Sakkal Majalla" w:hAnsi="Sakkal Majalla" w:cs="Sakkal Majalla"/>
          <w:b/>
          <w:bCs/>
          <w:sz w:val="30"/>
          <w:szCs w:val="30"/>
          <w:lang w:val="en-GB"/>
        </w:rPr>
        <w:t>:</w:t>
      </w:r>
      <w:r w:rsidRPr="005F0DA9">
        <w:rPr>
          <w:rFonts w:ascii="Sakkal Majalla" w:hAnsi="Sakkal Majalla" w:cs="Sakkal Majalla"/>
          <w:sz w:val="30"/>
          <w:szCs w:val="30"/>
          <w:lang w:val="en-GB"/>
        </w:rPr>
        <w:t xml:space="preserve"> </w:t>
      </w:r>
      <w:r w:rsidRPr="005F0DA9">
        <w:rPr>
          <w:rFonts w:ascii="Sakkal Majalla" w:hAnsi="Sakkal Majalla" w:cs="Sakkal Majalla"/>
          <w:sz w:val="30"/>
          <w:szCs w:val="30"/>
          <w:rtl/>
          <w:lang w:val="en-GB"/>
        </w:rPr>
        <w:t xml:space="preserve">يوجد أثر ذو دلالة إحصائية للتميز المؤسسي (بأبعاده المختلفة) في تحسين </w:t>
      </w:r>
      <w:r w:rsidRPr="005F0DA9">
        <w:rPr>
          <w:rFonts w:ascii="Sakkal Majalla" w:hAnsi="Sakkal Majalla" w:cs="Sakkal Majalla"/>
          <w:b/>
          <w:bCs/>
          <w:sz w:val="30"/>
          <w:szCs w:val="30"/>
          <w:rtl/>
          <w:lang w:val="en-GB"/>
        </w:rPr>
        <w:t>الأداء المؤسسي</w:t>
      </w:r>
      <w:r w:rsidRPr="005F0DA9">
        <w:rPr>
          <w:rFonts w:ascii="Sakkal Majalla" w:hAnsi="Sakkal Majalla" w:cs="Sakkal Majalla"/>
          <w:sz w:val="30"/>
          <w:szCs w:val="30"/>
          <w:rtl/>
          <w:lang w:val="en-GB"/>
        </w:rPr>
        <w:t xml:space="preserve"> للجامعات الحكومية بمدينة الرياض عند مستوى دلالة</w:t>
      </w:r>
      <w:r w:rsidRPr="005F0DA9">
        <w:rPr>
          <w:rFonts w:ascii="Sakkal Majalla" w:hAnsi="Sakkal Majalla" w:cs="Sakkal Majalla"/>
          <w:sz w:val="30"/>
          <w:szCs w:val="30"/>
          <w:lang w:val="en-GB"/>
        </w:rPr>
        <w:t xml:space="preserve"> (</w:t>
      </w:r>
      <w:r w:rsidRPr="005F0DA9">
        <w:rPr>
          <w:rFonts w:ascii="Cambria" w:hAnsi="Cambria" w:cs="Cambria"/>
          <w:sz w:val="30"/>
          <w:szCs w:val="30"/>
          <w:lang w:val="en-GB"/>
        </w:rPr>
        <w:t>α</w:t>
      </w:r>
      <w:r w:rsidRPr="005F0DA9">
        <w:rPr>
          <w:rFonts w:ascii="Sakkal Majalla" w:hAnsi="Sakkal Majalla" w:cs="Sakkal Majalla"/>
          <w:sz w:val="30"/>
          <w:szCs w:val="30"/>
          <w:lang w:val="en-GB"/>
        </w:rPr>
        <w:t xml:space="preserve"> ≤ 0.05).</w:t>
      </w:r>
    </w:p>
    <w:p w14:paraId="6C09CB79" w14:textId="77777777" w:rsidR="007649AC" w:rsidRPr="005F0DA9" w:rsidRDefault="007649AC" w:rsidP="007649AC">
      <w:pPr>
        <w:bidi/>
        <w:spacing w:line="360" w:lineRule="auto"/>
        <w:ind w:firstLine="720"/>
        <w:jc w:val="both"/>
        <w:rPr>
          <w:rFonts w:ascii="Sakkal Majalla" w:hAnsi="Sakkal Majalla" w:cs="Sakkal Majalla"/>
          <w:sz w:val="30"/>
          <w:szCs w:val="30"/>
          <w:lang w:val="en-GB"/>
        </w:rPr>
      </w:pPr>
      <w:r w:rsidRPr="005F0DA9">
        <w:rPr>
          <w:rFonts w:ascii="Sakkal Majalla" w:hAnsi="Sakkal Majalla" w:cs="Sakkal Majalla"/>
          <w:b/>
          <w:bCs/>
          <w:sz w:val="30"/>
          <w:szCs w:val="30"/>
          <w:rtl/>
          <w:lang w:val="en-GB"/>
        </w:rPr>
        <w:t>الفرضية الرئيسة الثالثة (فرضية الفروق)</w:t>
      </w:r>
      <w:r w:rsidRPr="005F0DA9">
        <w:rPr>
          <w:rFonts w:ascii="Sakkal Majalla" w:hAnsi="Sakkal Majalla" w:cs="Sakkal Majalla"/>
          <w:b/>
          <w:bCs/>
          <w:sz w:val="30"/>
          <w:szCs w:val="30"/>
          <w:lang w:val="en-GB"/>
        </w:rPr>
        <w:t>:</w:t>
      </w:r>
      <w:r w:rsidRPr="005F0DA9">
        <w:rPr>
          <w:rFonts w:ascii="Sakkal Majalla" w:hAnsi="Sakkal Majalla" w:cs="Sakkal Majalla"/>
          <w:sz w:val="30"/>
          <w:szCs w:val="30"/>
          <w:lang w:val="en-GB"/>
        </w:rPr>
        <w:t xml:space="preserve"> </w:t>
      </w:r>
      <w:r w:rsidRPr="005F0DA9">
        <w:rPr>
          <w:rFonts w:ascii="Sakkal Majalla" w:hAnsi="Sakkal Majalla" w:cs="Sakkal Majalla"/>
          <w:sz w:val="30"/>
          <w:szCs w:val="30"/>
          <w:rtl/>
          <w:lang w:val="en-GB"/>
        </w:rPr>
        <w:t xml:space="preserve">توجد فروق ذات دلالة إحصائية في تصورات المشاركين حول مستويات (التميز المؤسسي، وإدارة الموارد البشرية، والأداء المؤسسي) في الجامعات الحكومية بمدينة الرياض تُعزى لمتغير </w:t>
      </w:r>
      <w:r w:rsidRPr="005F0DA9">
        <w:rPr>
          <w:rFonts w:ascii="Sakkal Majalla" w:hAnsi="Sakkal Majalla" w:cs="Sakkal Majalla"/>
          <w:b/>
          <w:bCs/>
          <w:sz w:val="30"/>
          <w:szCs w:val="30"/>
          <w:rtl/>
          <w:lang w:val="en-GB"/>
        </w:rPr>
        <w:t>طبيعة الوظيفة</w:t>
      </w:r>
      <w:r w:rsidRPr="005F0DA9">
        <w:rPr>
          <w:rFonts w:ascii="Sakkal Majalla" w:hAnsi="Sakkal Majalla" w:cs="Sakkal Majalla"/>
          <w:sz w:val="30"/>
          <w:szCs w:val="30"/>
          <w:rtl/>
          <w:lang w:val="en-GB"/>
        </w:rPr>
        <w:t xml:space="preserve"> (أكاديمي/إداري) عند مستوى دلالة</w:t>
      </w:r>
      <w:r w:rsidRPr="005F0DA9">
        <w:rPr>
          <w:rFonts w:ascii="Sakkal Majalla" w:hAnsi="Sakkal Majalla" w:cs="Sakkal Majalla"/>
          <w:sz w:val="30"/>
          <w:szCs w:val="30"/>
          <w:lang w:val="en-GB"/>
        </w:rPr>
        <w:t xml:space="preserve"> (</w:t>
      </w:r>
      <w:r w:rsidRPr="005F0DA9">
        <w:rPr>
          <w:rFonts w:ascii="Cambria" w:hAnsi="Cambria" w:cs="Cambria"/>
          <w:sz w:val="30"/>
          <w:szCs w:val="30"/>
          <w:lang w:val="en-GB"/>
        </w:rPr>
        <w:t>α</w:t>
      </w:r>
      <w:r w:rsidRPr="005F0DA9">
        <w:rPr>
          <w:rFonts w:ascii="Sakkal Majalla" w:hAnsi="Sakkal Majalla" w:cs="Sakkal Majalla"/>
          <w:sz w:val="30"/>
          <w:szCs w:val="30"/>
          <w:lang w:val="en-GB"/>
        </w:rPr>
        <w:t xml:space="preserve"> ≤ 0.05).</w:t>
      </w:r>
    </w:p>
    <w:p w14:paraId="1C774A2D" w14:textId="24430BB1" w:rsidR="005A03DD" w:rsidRPr="005F0DA9" w:rsidRDefault="005A03DD" w:rsidP="004A6808">
      <w:pPr>
        <w:pStyle w:val="Heading2"/>
        <w:bidi/>
        <w:rPr>
          <w:sz w:val="34"/>
          <w:szCs w:val="38"/>
          <w:rtl/>
        </w:rPr>
      </w:pPr>
      <w:bookmarkStart w:id="16" w:name="_Toc224358875"/>
      <w:r w:rsidRPr="005F0DA9">
        <w:rPr>
          <w:rFonts w:hint="cs"/>
          <w:sz w:val="34"/>
          <w:szCs w:val="38"/>
          <w:rtl/>
        </w:rPr>
        <w:t xml:space="preserve">الدراسات </w:t>
      </w:r>
      <w:proofErr w:type="gramStart"/>
      <w:r w:rsidR="004A6808" w:rsidRPr="005F0DA9">
        <w:rPr>
          <w:rFonts w:hint="cs"/>
          <w:sz w:val="34"/>
          <w:szCs w:val="38"/>
          <w:rtl/>
        </w:rPr>
        <w:t xml:space="preserve">السابقة </w:t>
      </w:r>
      <w:r w:rsidRPr="005F0DA9">
        <w:rPr>
          <w:sz w:val="34"/>
          <w:szCs w:val="38"/>
          <w:rtl/>
        </w:rPr>
        <w:t>:</w:t>
      </w:r>
      <w:bookmarkEnd w:id="16"/>
      <w:proofErr w:type="gramEnd"/>
      <w:r w:rsidR="003F5790" w:rsidRPr="005F0DA9">
        <w:rPr>
          <w:rFonts w:hint="cs"/>
          <w:sz w:val="34"/>
          <w:szCs w:val="38"/>
          <w:rtl/>
        </w:rPr>
        <w:t xml:space="preserve"> </w:t>
      </w:r>
    </w:p>
    <w:p w14:paraId="7EFFDEBF" w14:textId="77777777" w:rsidR="000D363A" w:rsidRPr="000D363A" w:rsidRDefault="000D363A" w:rsidP="000D363A">
      <w:pPr>
        <w:pStyle w:val="Heading3"/>
        <w:bidi/>
        <w:rPr>
          <w:spacing w:val="-6"/>
          <w:sz w:val="30"/>
          <w:szCs w:val="34"/>
          <w:rtl/>
        </w:rPr>
      </w:pPr>
      <w:bookmarkStart w:id="17" w:name="_Toc224358876"/>
      <w:r w:rsidRPr="000D363A">
        <w:rPr>
          <w:spacing w:val="-6"/>
          <w:sz w:val="30"/>
          <w:szCs w:val="34"/>
          <w:rtl/>
        </w:rPr>
        <w:t>المحور الأول: ممارسات إدارة الموارد البشرية والتميز المؤسسي في مؤسسات التعليم العالي</w:t>
      </w:r>
      <w:bookmarkEnd w:id="17"/>
    </w:p>
    <w:p w14:paraId="391132A2"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proofErr w:type="spellStart"/>
      <w:r w:rsidRPr="000D363A">
        <w:rPr>
          <w:rFonts w:ascii="Sakkal Majalla" w:hAnsi="Sakkal Majalla" w:cs="Sakkal Majalla"/>
          <w:b/>
          <w:bCs/>
          <w:sz w:val="30"/>
          <w:szCs w:val="30"/>
          <w:rtl/>
        </w:rPr>
        <w:t>بوزناد</w:t>
      </w:r>
      <w:proofErr w:type="spellEnd"/>
      <w:r w:rsidRPr="000D363A">
        <w:rPr>
          <w:rFonts w:ascii="Sakkal Majalla" w:hAnsi="Sakkal Majalla" w:cs="Sakkal Majalla"/>
          <w:b/>
          <w:bCs/>
          <w:sz w:val="30"/>
          <w:szCs w:val="30"/>
          <w:rtl/>
        </w:rPr>
        <w:t xml:space="preserve"> (2025)</w:t>
      </w:r>
      <w:r w:rsidRPr="000D363A">
        <w:rPr>
          <w:rFonts w:ascii="Sakkal Majalla" w:hAnsi="Sakkal Majalla" w:cs="Sakkal Majalla"/>
          <w:sz w:val="30"/>
          <w:szCs w:val="30"/>
          <w:rtl/>
        </w:rPr>
        <w:t xml:space="preserve"> التي بعنوان بـ "دور وظائف إدارة الموارد البشرية في تحقيق تميز الأداء المؤسسي لدى موظفي جامعة المسيلة" إلى استقصاء الدور الحيوي الذي تلعبه ممارسات الموارد البشرية في الارتقاء بمستوى الأداء الجامعي وتحويله إلى أداء متميز يتسم بالكفاءة والفعالية. هدفت </w:t>
      </w:r>
      <w:r w:rsidRPr="000D363A">
        <w:rPr>
          <w:rFonts w:ascii="Sakkal Majalla" w:hAnsi="Sakkal Majalla" w:cs="Sakkal Majalla"/>
          <w:sz w:val="30"/>
          <w:szCs w:val="30"/>
          <w:rtl/>
        </w:rPr>
        <w:lastRenderedPageBreak/>
        <w:t>الدراسة بشكل أساسي إلى التعرف على طبيعة العلاقة بين وظائف إدارة الموارد البشرية (المتمثلة في: تخطيط الموارد البشرية، الاستقطاب، التحفيز، وإدارة وتقييم الأداء) وبين تحقيق تميز الأداء المؤسسي في سياق التعليم العالي. ولتحقيق هذه الأهداف، اعتمدت الباحثة على المنهج الوصفي لمناسبته لوصف وتحليل الظاهرة المدروسة، حيث طُبقت الدراسة على عينة مكونة من (50) موظفاً إدارياً من مختلف الإدارات التابعة لجامعة المسيلة بالجزائر، وقد استُخدمت الاستبانة كأداة رئيسة لجمع البيانات الميدانية. توصلت نتائج الدراسة إلى وجود علاقة ارتباطية موجبة ذات دلالة إحصائية بين ممارسة وظائف إدارة الموارد البشرية وبين تحقيق تميز الأداء المؤسسي، كما أظهرت النتائج التفصيلية وجود ارتباط معنوي لكل وظيفة من الوظائف المدروسة (التخطيط، الاستقطاب، التحفيز، والتقييم) على حدة مع التميز المؤسسي، مما يشير إلى أن الاهتمام بالعنصر البشري وتطوير آليات إدارته يعد الركيزة الأساسية لنجاح الجامعات في تحقيق أهدافها الاستراتيجية وتفوقها التنظيمي. وأوصت الدراسة بضرورة تعزيز نظام التحفيز المادي والمعنوي، وتطوير أساليب الاستقطاب لاستقطاب الكفاءات القادرة على الإبداع والابتكار بما يضمن استدامة التميز في الأداء الجامعي.</w:t>
      </w:r>
    </w:p>
    <w:p w14:paraId="63D04465"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أهلي (2025)</w:t>
      </w:r>
      <w:r w:rsidRPr="000D363A">
        <w:rPr>
          <w:rFonts w:ascii="Sakkal Majalla" w:hAnsi="Sakkal Majalla" w:cs="Sakkal Majalla"/>
          <w:sz w:val="30"/>
          <w:szCs w:val="30"/>
          <w:rtl/>
        </w:rPr>
        <w:t xml:space="preserve"> التي بعنوان بـ "أثر وظائف الموارد البشرية على التميز المؤسسي في جامعات الإمارات العربية المتحدة: الدور الوسيط للابتكار المؤسسي" إلى فحص العلاقة المعقدة بين ممارسات إدارة الموارد البشرية والوصول إلى حالة التميز في مؤسسات التعليم العالي، مع التركيز على الكيفية التي يمكن بها للابتكار أن يعمل كجسر لتعزيز هذه العلاقة. هدفت الدراسة بشكل رئيس إلى استكشاف أثر وظائف الموارد البشرية (التوظيف، التدريب، تقييم الأداء، ونظام المكافآت) في تحقيق التميز المؤسسي، بالإضافة إلى تحديد الدور الوسيط الذي يلعبه الابتكار المؤسسي في تدعيم هذا الأثر داخل الجامعات الإماراتية. واعتمدت الدراسة المنهج الوصفي التحليلي الكمي، حيث طُبقت ميدانياً على عينة من الأكاديميين والإداريين في الجامعات الحكومية والخاصة بدولة الإمارات العربية المتحدة، واستُخدمت الاستبانة أداةً لجمع البيانات التي تم تحليلها باستخدام تقنيات النمذجة الهيكلية بمعادلات المسار (</w:t>
      </w:r>
      <w:r w:rsidRPr="000D363A">
        <w:rPr>
          <w:rFonts w:ascii="Sakkal Majalla" w:hAnsi="Sakkal Majalla" w:cs="Sakkal Majalla"/>
          <w:sz w:val="30"/>
          <w:szCs w:val="30"/>
          <w:lang w:val="en-GB"/>
        </w:rPr>
        <w:t>PLS-SEM</w:t>
      </w:r>
      <w:r w:rsidRPr="000D363A">
        <w:rPr>
          <w:rFonts w:ascii="Sakkal Majalla" w:hAnsi="Sakkal Majalla" w:cs="Sakkal Majalla"/>
          <w:sz w:val="30"/>
          <w:szCs w:val="30"/>
          <w:rtl/>
        </w:rPr>
        <w:t xml:space="preserve">). وتوصلت نتائج الدراسة إلى وجود أثر إيجابي جوهري وذو دلالة إحصائية لوظائف </w:t>
      </w:r>
      <w:r w:rsidRPr="000D363A">
        <w:rPr>
          <w:rFonts w:ascii="Sakkal Majalla" w:hAnsi="Sakkal Majalla" w:cs="Sakkal Majalla"/>
          <w:sz w:val="30"/>
          <w:szCs w:val="30"/>
          <w:rtl/>
        </w:rPr>
        <w:lastRenderedPageBreak/>
        <w:t>الموارد البشرية في تحقيق التميز المؤسسي، كما أكدت النتائج أن الابتكار المؤسسي يعمل كمتغير وسيط فعال، مما يعني أن استثمار الجامعات في كفاءات موظفيها وتطوير قدراتهم يؤدي إلى توليد أفكار ابتكارية تساهم بدورها في رفع كفاءة الأداء وتحقيق معايير التميز العالمية. وأوصت الدراسة بضرورة صياغة استراتيجيات موارد بشرية تركز بشكل مكثف على رعاية المبدعين وتوفير بيئة محفزة للابتكار، مع التأكيد على أهمية التحسين المستمر للعمليات الإدارية والأكاديمية لضمان استدامة التميز في بيئة تعليمية تنافسية.</w:t>
      </w:r>
    </w:p>
    <w:p w14:paraId="47DCC4D6"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صديق (2019)</w:t>
      </w:r>
      <w:r w:rsidRPr="000D363A">
        <w:rPr>
          <w:rFonts w:ascii="Sakkal Majalla" w:hAnsi="Sakkal Majalla" w:cs="Sakkal Majalla"/>
          <w:sz w:val="30"/>
          <w:szCs w:val="30"/>
          <w:rtl/>
        </w:rPr>
        <w:t xml:space="preserve"> التي بعنوان بـ "إدارة الموارد البشرية ودورها في التميز المؤسسي" إلى أهمية الدور الذي تلعبه الموارد البشرية باعتبارها العنصر الأكثر حيوية في ضمان بقاء المنظمات واستدامتها في ظل المتغيرات المتسارعة. هدفت الدراسة بشكل أساسي إلى التعرف على دور إدارة الموارد البشرية ووظائفها المختلفة (الاستقطاب والتعيين، التدريب والتطوير، تقييم الأداء، التعويضات والمكافآت، والصحة والسلامة المهنية) في تحقيق التميز المؤسسي، مع رصد طبيعة العلاقة والارتباط بين هذه الوظائف ومعايير التميز. واعتمدت الدراسة المنهج الوصفي التحليلي لملاءمته لطبيعة البحث، حيث طُبقت الدراسة على عينة من أعضاء هيئة التدريس والموظفين الإداريين في جامعة المجمعة بالمملكة العربية السعودية، وقد استُخدمت الاستبانة الإلكترونية المصممة وفق مقياس </w:t>
      </w:r>
      <w:proofErr w:type="spellStart"/>
      <w:r w:rsidRPr="000D363A">
        <w:rPr>
          <w:rFonts w:ascii="Sakkal Majalla" w:hAnsi="Sakkal Majalla" w:cs="Sakkal Majalla"/>
          <w:sz w:val="30"/>
          <w:szCs w:val="30"/>
          <w:rtl/>
        </w:rPr>
        <w:t>ليكرت</w:t>
      </w:r>
      <w:proofErr w:type="spellEnd"/>
      <w:r w:rsidRPr="000D363A">
        <w:rPr>
          <w:rFonts w:ascii="Sakkal Majalla" w:hAnsi="Sakkal Majalla" w:cs="Sakkal Majalla"/>
          <w:sz w:val="30"/>
          <w:szCs w:val="30"/>
          <w:rtl/>
        </w:rPr>
        <w:t xml:space="preserve"> الخماسي كأداة رئيسة لجمع البيانات. وتوصلت نتائج الدراسة إلى وجود علاقة ارتباطية إيجابية وذات دلالة إحصائية بين ممارسات إدارة الموارد البشرية وتحقيق التميز المؤسسي بكافة أبعاده، حيث أظهرت النتائج أن عمليات الاختيار والتعيين الدقيقة، وبرامج التدريب المستمرة، وأنظمة التقييم والتعويضات العادلة، تساهم بشكل مباشر في رفع كفاءة الأداء التنظيمي والوصول إلى التميز. كما أكدت الدراسة أن المنظمات التي لا تسعى للتميز والابتكار في إدارة كوادرها البشرية تكون عرضة للتراجع والاندثار. وأوصت الدراسة بضرورة تعزيز الثقافة التنظيمية الداعمة للتميز، وتطوير مهارات العاملين بشكل مستمر، والتركيز على الصحة والسلامة المهنية كجزء لا يتجزأ من استراتيجية التميز الشامل، مع ضرورة مواءمة أهداف الأفراد مع الأهداف الاستراتيجية للمؤسسة لضمان أداء مؤسسي متفوق.</w:t>
      </w:r>
    </w:p>
    <w:p w14:paraId="7B782007"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lastRenderedPageBreak/>
        <w:t xml:space="preserve">تطرقت دراسة </w:t>
      </w:r>
      <w:r w:rsidRPr="000D363A">
        <w:rPr>
          <w:rFonts w:ascii="Sakkal Majalla" w:hAnsi="Sakkal Majalla" w:cs="Sakkal Majalla"/>
          <w:b/>
          <w:bCs/>
          <w:sz w:val="30"/>
          <w:szCs w:val="30"/>
          <w:rtl/>
        </w:rPr>
        <w:t>داهش (2022)</w:t>
      </w:r>
      <w:r w:rsidRPr="000D363A">
        <w:rPr>
          <w:rFonts w:ascii="Sakkal Majalla" w:hAnsi="Sakkal Majalla" w:cs="Sakkal Majalla"/>
          <w:sz w:val="30"/>
          <w:szCs w:val="30"/>
          <w:rtl/>
        </w:rPr>
        <w:t xml:space="preserve"> التي بعنوان بـ "العلاقة بين إدراك أعضاء هيئة التدريس بالجامعات السعودية لقوة نظام إدارة الموارد البشرية وسلوك المواطنة التنظيمية: الدور الوسيط للالتزام العاطفي" إلى تحليل وفهم كيف يمكن لجودة وقوة نظام إدارة الموارد البشرية أن تؤثر في سلوكيات الموظفين التطوعية التي تتجاوز الواجبات الرسمية. هدفت الدراسة بشكل رئيس إلى بحث العلاقة المباشرة بين إدراك أعضاء هيئة التدريس لقوة نظام إدارة الموارد البشرية بأبعادها الثلاثة (التميز، الاتساق، والتوافق) وبين سلوك المواطنة التنظيمية، بالإضافة إلى استكشاف الأثر غير المباشرة لهذه العلاقة من خلال الدور الوسيط للالتزام العاطفي. واعتمدت الدراسة المنهج الوصفي التحليلي لملاءمته لطبيعة المتغيرات، حيث طُبقت الدراسة ميدانياً على عينة مكونة من (291) عضو هيئة تدريس في الجامعات السعودية، واستُخدمت الاستبانة أداةً لجمع البيانات. وتوصلت نتائج الدراسة إلى وجود علاقة ارتباط وتأثير إيجابية ذات دلالة إحصائية بين قوة نظام إدارة الموارد البشرية وسلوكيات المواطنة التنظيمية، حيث كان بعد "الاتساق" هو الأكثر تأثيراً، يليه "التميز" ثم "الاتفاق". كما كشفت النتائج عن الدور الوسيط الجوهري للالتزام العاطفي في تعزيز هذه العلاقة، بينما أظهرت النتائج عدم وجود فروق ذات دلالة إحصائية في إدراك قوة النظام تعزى للنوع أو الجنسية أو الرتبة الأكاديمية أو الخبرة. وأوصت الدراسة بضرورة اهتمام الجامعات السعودية ببناء نظام موارد بشرية يتسم بالوضوح والتميز والاتساق في سياساته، لتعزيز الروابط العاطفية لأعضاء هيئة التدريس تجاه جامعاتهم، مما يحفزهم على بذل جهود إضافية تساهم في تحقيق التميز المؤسسي والأهداف الاستراتيجية للتعليم العالي.</w:t>
      </w:r>
    </w:p>
    <w:p w14:paraId="4A71A806"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عبد العال (2023)</w:t>
      </w:r>
      <w:r w:rsidRPr="000D363A">
        <w:rPr>
          <w:rFonts w:ascii="Sakkal Majalla" w:hAnsi="Sakkal Majalla" w:cs="Sakkal Majalla"/>
          <w:sz w:val="30"/>
          <w:szCs w:val="30"/>
          <w:rtl/>
        </w:rPr>
        <w:t xml:space="preserve"> التي بعنوان بـ "صيانة الموارد البشرية بجامعة بني سويف كمدخل لتحقيق معايير جائزة المؤسسة الحكومية المتميزة: دراسة تطبيقية على أعضاء هيئة التدريس" إلى أهمية المحافظة على الأصول البشرية الأكاديمية وضمان استقرارها المادي والمهني كركيزة أساسية للوصول إلى التميز الحكومي. هدفت الدراسة بشكل رئيس إلى وضع تصور مقترح لتحسين برامج صيانة الموارد البشرية (المتمثلة في: السلامة المهنية، الرعاية الصحية، والرفاهية الاجتماعية) بما يساهم في تحقيق معايير جائزة مصر للتميز الحكومي (فئة الكليات) في جامعة بني سويف. واعتمدت الباحثة المنهج </w:t>
      </w:r>
      <w:r w:rsidRPr="000D363A">
        <w:rPr>
          <w:rFonts w:ascii="Sakkal Majalla" w:hAnsi="Sakkal Majalla" w:cs="Sakkal Majalla"/>
          <w:sz w:val="30"/>
          <w:szCs w:val="30"/>
          <w:rtl/>
        </w:rPr>
        <w:lastRenderedPageBreak/>
        <w:t>الوصفي لمناسبته لطبيعة الدراسة، حيث تم جمع البيانات باستخدام استبانة وُزعت على عينة من أعضاء هيئة التدريس، بالإضافة إلى إجراء مقابلات مع منسقي الجائزة بالكليات للوقوف على المعوقات الميدانية. وتوصلت نتائج الدراسة إلى أن مستوى ممارسة صيانة الموارد البشرية بالجامعة جاء بدرجة "متوسطة"، كما كشفت عن وجود تحديات إدارية ومالية تواجه الكليات في استيفاء معايير التميز، وأبرزت النتائج الحاجة الماسة لتطوير منظومة الرعاية الصحية والخدمات الاجتماعية المقدمة للأكاديميين كحافز لرفع الأداء المؤسسي. وقدمت الدراسة تصوراً متكاملاً يتضمن آليات إجرائية لتحويل برامج الصيانة إلى أداة استراتيجية تدعم ترشح الكليات لجوائز التميز. وأوصت الدراسة بضرورة توفير بيئة عمل آمنة، وتعزيز الخدمات الترفيهية والاجتماعية، وربط نظام صيانة الموارد البشرية بالخطط الاستراتيجية للجامعة لضمان استدامة التميز المؤسسي والمنافسة القوية على المستويين المحلي والدولي.</w:t>
      </w:r>
    </w:p>
    <w:p w14:paraId="0547D536"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فكري (2023)</w:t>
      </w:r>
      <w:r w:rsidRPr="000D363A">
        <w:rPr>
          <w:rFonts w:ascii="Sakkal Majalla" w:hAnsi="Sakkal Majalla" w:cs="Sakkal Majalla"/>
          <w:sz w:val="30"/>
          <w:szCs w:val="30"/>
          <w:rtl/>
        </w:rPr>
        <w:t xml:space="preserve"> التي بعنوان بـ "دور أنشطة إدارة الموارد البشرية في تحقيق التميز المؤسسي في المنظمات الحكومية: دراسة ميدانية على جامعة القاهرة" إلى استكشاف العلاقة الحيوية بين الممارسات الإدارية الحديثة للموارد البشرية والارتقاء بالأداء المؤسسي في القطاع الحكومي التعليمي. هدفت الدراسة بشكل رئيس إلى التعرف على مستوى تطبيق أنشطة إدارة الموارد البشرية (تخطيط الموارد البشرية، الاختيار والتعيين، التدريب، وتقييم الأداء) وتأثيرها في تحقيق التميز المؤسسي بأبعاده (التميز القيادي، تميز الخدمات، والتميز البشري) داخل جامعة القاهرة. واعتمد الباحث المنهج الوصفي التحليلي لمناسبته لأهداف الدراسة، حيث طُبقت ميدانياً على عينة عشوائية بلغت (152) موظفاً وموظفة من العاملين في جامعة القاهرة، واستُخدمت الاستبانة أداةً رئيسة لجمع البيانات التي خُضعت للتحليل الإحصائي باستخدام برنامج (</w:t>
      </w:r>
      <w:r w:rsidRPr="000D363A">
        <w:rPr>
          <w:rFonts w:ascii="Sakkal Majalla" w:hAnsi="Sakkal Majalla" w:cs="Sakkal Majalla"/>
          <w:sz w:val="30"/>
          <w:szCs w:val="30"/>
          <w:lang w:val="en-GB"/>
        </w:rPr>
        <w:t>SPSS</w:t>
      </w:r>
      <w:r w:rsidRPr="000D363A">
        <w:rPr>
          <w:rFonts w:ascii="Sakkal Majalla" w:hAnsi="Sakkal Majalla" w:cs="Sakkal Majalla"/>
          <w:sz w:val="30"/>
          <w:szCs w:val="30"/>
          <w:rtl/>
        </w:rPr>
        <w:t xml:space="preserve">). وتوصلت نتائج الدراسة إلى وجود أثر إيجابي ذي دلالة إحصائية لأنشطة إدارة الموارد البشرية في تحقيق التميز المؤسسي، حيث تبيّن أن جامعة القاهرة تتمتع بمستوى عالٍ من عملية تخطيط الموارد البشرية بما يتوافق مع استراتيجيتها المنهجية. كما كشفت النتائج أن بُعد "تميز الخدمات" كان من أبرز ثمار الاهتمام بالموارد البشرية، مما يعكس قدرة الجامعة على تقديم خدمات دقيقة وسريعة مدعومة بنظم تكنولوجية حديثة. وأوصت الدراسة بضرورة استمرار الإدارة </w:t>
      </w:r>
      <w:r w:rsidRPr="000D363A">
        <w:rPr>
          <w:rFonts w:ascii="Sakkal Majalla" w:hAnsi="Sakkal Majalla" w:cs="Sakkal Majalla"/>
          <w:sz w:val="30"/>
          <w:szCs w:val="30"/>
          <w:rtl/>
        </w:rPr>
        <w:lastRenderedPageBreak/>
        <w:t>العليا في دعم برامج دمج الموظفين الجدد، وتعزيز الموازنة بين العمل والأنشطة الاجتماعية والترفيهية للعاملين، مع التأكيد على أهمية القياس الدوري لمستوى الرضا الوظيفي لضمان استدامة التميز المؤسسي والمنافسة القوية في ميدان التعليم العالي.</w:t>
      </w:r>
    </w:p>
    <w:p w14:paraId="2FCB22BA"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هاشم والحاج (2025)</w:t>
      </w:r>
      <w:r w:rsidRPr="000D363A">
        <w:rPr>
          <w:rFonts w:ascii="Sakkal Majalla" w:hAnsi="Sakkal Majalla" w:cs="Sakkal Majalla"/>
          <w:sz w:val="30"/>
          <w:szCs w:val="30"/>
          <w:rtl/>
        </w:rPr>
        <w:t xml:space="preserve"> التي بعنوان بـ "واقع أداء إدارة الموارد البشرية في الجامعات الأهلية بمدينة تعز في ضوء إدارة التميز المؤسسي" إلى تقييم مدى مواكبة ممارسات الموارد البشرية في التعليم العالي الخاص لمعايير التميز، وذلك كمدخل لتطوير الأداء الأكاديمي والإداري في بيئة تتسم بالتنافسية الشديدة. هدفت الدراسة بشكل رئيس إلى التعرف على واقع أداء إدارة الموارد البشرية (تخطيط الموارد البشرية، الاختيار والتعيين، التدريب والتطوير، وتحفيز الموارد البشرية) في ضوء أبعاد التميز المؤسسي في الجامعات الأهلية بمدينة تعز، بالإضافة إلى رصد الفروق في وجهات نظر أفراد العينة تبعاً لمتغيرات النوع، المؤهل العلمي، والخبرة. واعتمدت الدراسة المنهج الوصفي التحليلي، حيث طُبقت ميدانياً على عينة مكونة من (170) فرداً من القيادات الأكاديمية والإدارية في الجامعات الأهلية المستهدفة، واستُخدمت الاستبانة أداةً رئيسة لجمع البيانات. وتوصلت نتائج الدراسة إلى أن واقع أداء إدارة الموارد البشرية في ضوء التميز المؤسسي جاء بدرجة "متوسطة" بشكل عام، حيث حصل مجال "الاختيار والتعيين" على أعلى درجة، بينما جاء مجال "تحفيز الموارد البشرية" في المرتبة الأخيرة، مما يشير إلى وجود فجوة في أنظمة الحوافز والدعم المعنوي والمادي. كما كشفت النتائج عن عدم وجود فروق ذات دلالة إحصائية في تقديرات أفراد العينة تعزى للنوع أو الخبرة، بينما وجدت فروق تعزى للمؤهل العلمي لصالح حملة الدكتوراه. وأوصت الدراسة بضرورة صياغة استراتيجيات واضحة لإدارة الموارد البشرية تتبنى معايير التميز العالمية، والاهتمام بتطوير نظم الأجور والحوافز، وتكثيف البرامج التدريبية النوعية للقيادات الإدارية والأكاديمية، لتعزيز قدرة الجامعات الأهلية في اليمن على تحقيق الريادة والتميز المستدام.</w:t>
      </w:r>
    </w:p>
    <w:p w14:paraId="1F00168F"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lang w:val="en-GB"/>
        </w:rPr>
        <w:t>Addo</w:t>
      </w:r>
      <w:r w:rsidRPr="000D363A">
        <w:rPr>
          <w:rFonts w:ascii="Sakkal Majalla" w:hAnsi="Sakkal Majalla" w:cs="Sakkal Majalla"/>
          <w:b/>
          <w:bCs/>
          <w:sz w:val="30"/>
          <w:szCs w:val="30"/>
          <w:rtl/>
        </w:rPr>
        <w:t xml:space="preserve"> (2022)</w:t>
      </w:r>
      <w:r w:rsidRPr="000D363A">
        <w:rPr>
          <w:rFonts w:ascii="Sakkal Majalla" w:hAnsi="Sakkal Majalla" w:cs="Sakkal Majalla"/>
          <w:sz w:val="30"/>
          <w:szCs w:val="30"/>
          <w:rtl/>
        </w:rPr>
        <w:t xml:space="preserve"> التي بعنوان بـ "دور إدارة الموارد البشرية في الفعالية المؤسسية: دراسة مقارنة لجامعتين غانيتين" إلى فحص الدور الذي تلعبه إدارة الموارد البشرية في تعزيز الفعالية </w:t>
      </w:r>
      <w:r w:rsidRPr="000D363A">
        <w:rPr>
          <w:rFonts w:ascii="Sakkal Majalla" w:hAnsi="Sakkal Majalla" w:cs="Sakkal Majalla"/>
          <w:sz w:val="30"/>
          <w:szCs w:val="30"/>
          <w:rtl/>
        </w:rPr>
        <w:lastRenderedPageBreak/>
        <w:t xml:space="preserve">المؤسسية داخل الجامعات. هدفت الدراسة بشكل رئيسي إلى استكشاف الاستراتيجيات المبتكرة التي اعتمدتها جامعتان غانيتان لتحسين إدارة الموارد البشرية، وتقييم تأثيرها على الأداء العام للمؤسسة، بما في ذلك جذب وتطوير واستبقاء الكفاءات الأكاديمية والإدارية. ولتحقيق هذه الأهداف، اعتمد الباحث المنهج المقارن الوصفي، حيث تم تطبيق الدراسة على جامعتين عامة في غانا، مع استخدام الاستبانات والمقابلات كأدوات لجمع البيانات، والتي خضعت للتحليل الإحصائي. وتوصلت نتائج الدراسة إلى وجود تأثير إيجابي ملحوظ للممارسات الفعالة في إدارة الموارد البشرية على الفعالية المؤسسية، حيث أظهرت أن التركيز على التدريب والمكافآت يعزز الإنتاجية البحثية والأكاديمية، مع الحاجة إلى تكامل أكبر بين استراتيجيات الموارد البشرية والأهداف المؤسسية. كما أبرزت النتائج أهمية مواجهة التحديات مثل الفساد والروتين الإداري لتحقيق تميز مستدام. واختتمت الدراسة بتوصيات تؤكد على ضرورة تبني نماذج إدارة موارد بشرية مبتكرة، مثل </w:t>
      </w:r>
      <w:proofErr w:type="spellStart"/>
      <w:r w:rsidRPr="000D363A">
        <w:rPr>
          <w:rFonts w:ascii="Sakkal Majalla" w:hAnsi="Sakkal Majalla" w:cs="Sakkal Majalla"/>
          <w:sz w:val="30"/>
          <w:szCs w:val="30"/>
          <w:rtl/>
        </w:rPr>
        <w:t>الرقمنة</w:t>
      </w:r>
      <w:proofErr w:type="spellEnd"/>
      <w:r w:rsidRPr="000D363A">
        <w:rPr>
          <w:rFonts w:ascii="Sakkal Majalla" w:hAnsi="Sakkal Majalla" w:cs="Sakkal Majalla"/>
          <w:sz w:val="30"/>
          <w:szCs w:val="30"/>
          <w:rtl/>
        </w:rPr>
        <w:t xml:space="preserve"> والتدريب المستمر، لدعم التميز في الجامعات العامة في سياقات مشابهة لغانا.</w:t>
      </w:r>
    </w:p>
    <w:p w14:paraId="616E2F62"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lang w:val="en-GB"/>
        </w:rPr>
        <w:t>Onyango</w:t>
      </w:r>
      <w:r w:rsidRPr="000D363A">
        <w:rPr>
          <w:rFonts w:ascii="Sakkal Majalla" w:hAnsi="Sakkal Majalla" w:cs="Sakkal Majalla"/>
          <w:b/>
          <w:bCs/>
          <w:sz w:val="30"/>
          <w:szCs w:val="30"/>
          <w:rtl/>
        </w:rPr>
        <w:t xml:space="preserve"> (2013)</w:t>
      </w:r>
      <w:r w:rsidRPr="000D363A">
        <w:rPr>
          <w:rFonts w:ascii="Sakkal Majalla" w:hAnsi="Sakkal Majalla" w:cs="Sakkal Majalla"/>
          <w:sz w:val="30"/>
          <w:szCs w:val="30"/>
          <w:rtl/>
        </w:rPr>
        <w:t xml:space="preserve"> التي بعنوان بـ "دور إدارة الموارد البشرية في التحول الفعال والتنافسية في الجامعات العامة في كينيا" إلى استكشاف كيفية مساهمة إدارة الموارد البشرية في تحقيق التحول والتنافسية داخل الجامعات العامة. هدفت الدراسة بشكل أساسي إلى تحديد دور إدارة الموارد البشرية في تحقيق الأهداف المؤسسية، وتقييم كيف تساهم برامجها في تعزيز الفعالية والتنافسية، بالإضافة إلى فحص الممارسات والإجراءات المتعلقة بها. ولتحقيق هذه الأهداف، اعتمد الباحث على المنهج المختلط الذي يجمع بين المصادر الأولية (استبانات ومقابلات) والثانوية، مع تطبيق الدراسة على سبع جامعات عامة في كينيا تأسست بين 1974 و2008، وتحليل البيانات من خلال أدوات إحصائية. وتوصلت نتائج الدراسة إلى أن مشكلات إدارة الموارد البشرية مثل الإدارة السيئة، نقص الابتكار، والفساد تعيق التحول والتنافسية، مع تأكيد على أن الممارسات الفعالة في التوظيف والتدريب تساهم في تحسين الأداء الأكاديمي والرتب العالمية. كما أظهرت النتائج أهمية تكامل السياسات البشرية مع الهيكل المؤسسي لتجنب الإهدار والروتين. واختتمت الدراسة بتوصيات تركز على تبني ممارسات إدارية </w:t>
      </w:r>
      <w:r w:rsidRPr="000D363A">
        <w:rPr>
          <w:rFonts w:ascii="Sakkal Majalla" w:hAnsi="Sakkal Majalla" w:cs="Sakkal Majalla"/>
          <w:sz w:val="30"/>
          <w:szCs w:val="30"/>
          <w:rtl/>
        </w:rPr>
        <w:lastRenderedPageBreak/>
        <w:t>حديثة، مثل تحسين علاقات الموظفين والسلامة، لتحقيق تحول مستدام وتنافسية عالية في الجامعات العامة.</w:t>
      </w:r>
    </w:p>
    <w:p w14:paraId="5B1CAEB9"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proofErr w:type="spellStart"/>
      <w:r w:rsidRPr="000D363A">
        <w:rPr>
          <w:rFonts w:ascii="Sakkal Majalla" w:hAnsi="Sakkal Majalla" w:cs="Sakkal Majalla"/>
          <w:b/>
          <w:bCs/>
          <w:sz w:val="30"/>
          <w:szCs w:val="30"/>
          <w:lang w:val="en-GB"/>
        </w:rPr>
        <w:t>Ogunlola</w:t>
      </w:r>
      <w:proofErr w:type="spellEnd"/>
      <w:r w:rsidRPr="000D363A">
        <w:rPr>
          <w:rFonts w:ascii="Sakkal Majalla" w:hAnsi="Sakkal Majalla" w:cs="Sakkal Majalla"/>
          <w:b/>
          <w:bCs/>
          <w:sz w:val="30"/>
          <w:szCs w:val="30"/>
          <w:lang w:val="en-GB"/>
        </w:rPr>
        <w:t>, A., et al</w:t>
      </w:r>
      <w:r w:rsidRPr="000D363A">
        <w:rPr>
          <w:rFonts w:ascii="Sakkal Majalla" w:hAnsi="Sakkal Majalla" w:cs="Sakkal Majalla"/>
          <w:b/>
          <w:bCs/>
          <w:sz w:val="30"/>
          <w:szCs w:val="30"/>
          <w:rtl/>
        </w:rPr>
        <w:t>. (2024)</w:t>
      </w:r>
      <w:r w:rsidRPr="000D363A">
        <w:rPr>
          <w:rFonts w:ascii="Sakkal Majalla" w:hAnsi="Sakkal Majalla" w:cs="Sakkal Majalla"/>
          <w:sz w:val="30"/>
          <w:szCs w:val="30"/>
          <w:rtl/>
        </w:rPr>
        <w:t xml:space="preserve"> التي بعنوان بـ "فتح إمكانيات الإنسان للتميز المؤسسي: فحص ممارسات إدارة المواهب والإنتاجية الموظفين في جامعات ولاية </w:t>
      </w:r>
      <w:proofErr w:type="spellStart"/>
      <w:r w:rsidRPr="000D363A">
        <w:rPr>
          <w:rFonts w:ascii="Sakkal Majalla" w:hAnsi="Sakkal Majalla" w:cs="Sakkal Majalla"/>
          <w:sz w:val="30"/>
          <w:szCs w:val="30"/>
          <w:rtl/>
        </w:rPr>
        <w:t>أوغون</w:t>
      </w:r>
      <w:proofErr w:type="spellEnd"/>
      <w:r w:rsidRPr="000D363A">
        <w:rPr>
          <w:rFonts w:ascii="Sakkal Majalla" w:hAnsi="Sakkal Majalla" w:cs="Sakkal Majalla"/>
          <w:sz w:val="30"/>
          <w:szCs w:val="30"/>
          <w:rtl/>
        </w:rPr>
        <w:t xml:space="preserve">، نيجيريا" إلى تحليل العلاقة بين ممارسات إدارة المواهب والإنتاجية في الجامعات. هدفت الدراسة بشكل رئيسي إلى استكشاف كيف تعزز إدارة المواهب (مثل التوظيف، التطوير، والاستبقاء) الإنتاجية والتميز المؤسسي، مع التركيز على أبعاد التميز في الجامعات العامة. ولتحقيق هذه الأهداف، اعتمد الباحثون المنهج الوصفي التحليلي، حيث تم تطبيق الدراسة على عينة من الموظفين في جامعات ولاية </w:t>
      </w:r>
      <w:proofErr w:type="spellStart"/>
      <w:r w:rsidRPr="000D363A">
        <w:rPr>
          <w:rFonts w:ascii="Sakkal Majalla" w:hAnsi="Sakkal Majalla" w:cs="Sakkal Majalla"/>
          <w:sz w:val="30"/>
          <w:szCs w:val="30"/>
          <w:rtl/>
        </w:rPr>
        <w:t>أوغون</w:t>
      </w:r>
      <w:proofErr w:type="spellEnd"/>
      <w:r w:rsidRPr="000D363A">
        <w:rPr>
          <w:rFonts w:ascii="Sakkal Majalla" w:hAnsi="Sakkal Majalla" w:cs="Sakkal Majalla"/>
          <w:sz w:val="30"/>
          <w:szCs w:val="30"/>
          <w:rtl/>
        </w:rPr>
        <w:t>، مع استخدام الاستبانات وتحليل إحصائي متقدم. وتوصلت نتائج الدراسة إلى وجود علاقة إيجابية قوية بين ممارسات إدارة المواهب والإنتاجية، مما يساهم في التميز المؤسسي من خلال تحسين الكفاءة والابتكار. كما أبرزت النتائج أن الاستثمار في المواهب يقلل من الإهدار ويعزز الأداء العام. واختتمت الدراسة بتوصيات تؤكد على ضرورة دمج إدارة المواهب في الاستراتيجيات المؤسسية لتحقيق تميز مستدام في الجامعات النيجيرية.</w:t>
      </w:r>
    </w:p>
    <w:p w14:paraId="7667CD2A"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proofErr w:type="spellStart"/>
      <w:r w:rsidRPr="000D363A">
        <w:rPr>
          <w:rFonts w:ascii="Sakkal Majalla" w:hAnsi="Sakkal Majalla" w:cs="Sakkal Majalla"/>
          <w:b/>
          <w:bCs/>
          <w:sz w:val="30"/>
          <w:szCs w:val="30"/>
          <w:lang w:val="en-GB"/>
        </w:rPr>
        <w:t>Przytuła</w:t>
      </w:r>
      <w:proofErr w:type="spellEnd"/>
      <w:r w:rsidRPr="000D363A">
        <w:rPr>
          <w:rFonts w:ascii="Sakkal Majalla" w:hAnsi="Sakkal Majalla" w:cs="Sakkal Majalla"/>
          <w:b/>
          <w:bCs/>
          <w:sz w:val="30"/>
          <w:szCs w:val="30"/>
          <w:lang w:val="en-GB"/>
        </w:rPr>
        <w:t>, et al</w:t>
      </w:r>
      <w:r w:rsidRPr="000D363A">
        <w:rPr>
          <w:rFonts w:ascii="Sakkal Majalla" w:hAnsi="Sakkal Majalla" w:cs="Sakkal Majalla"/>
          <w:b/>
          <w:bCs/>
          <w:sz w:val="30"/>
          <w:szCs w:val="30"/>
          <w:rtl/>
        </w:rPr>
        <w:t>. (2024)</w:t>
      </w:r>
      <w:r w:rsidRPr="000D363A">
        <w:rPr>
          <w:rFonts w:ascii="Sakkal Majalla" w:hAnsi="Sakkal Majalla" w:cs="Sakkal Majalla"/>
          <w:sz w:val="30"/>
          <w:szCs w:val="30"/>
          <w:rtl/>
        </w:rPr>
        <w:t xml:space="preserve"> التي بعنوان بـ "إدارة الموارد البشرية في مؤسسات التعليم العالي: منظور دولي" إلى تقديم رؤى نظرية وعملية جديدة حول ممارسات إدارة الموارد البشرية في الجامعات، مع التركيز على التحديات الناتجة عن العولمة والتنافسية </w:t>
      </w:r>
      <w:proofErr w:type="spellStart"/>
      <w:r w:rsidRPr="000D363A">
        <w:rPr>
          <w:rFonts w:ascii="Sakkal Majalla" w:hAnsi="Sakkal Majalla" w:cs="Sakkal Majalla"/>
          <w:sz w:val="30"/>
          <w:szCs w:val="30"/>
          <w:rtl/>
        </w:rPr>
        <w:t>والرقمنة</w:t>
      </w:r>
      <w:proofErr w:type="spellEnd"/>
      <w:r w:rsidRPr="000D363A">
        <w:rPr>
          <w:rFonts w:ascii="Sakkal Majalla" w:hAnsi="Sakkal Majalla" w:cs="Sakkal Majalla"/>
          <w:sz w:val="30"/>
          <w:szCs w:val="30"/>
          <w:rtl/>
        </w:rPr>
        <w:t xml:space="preserve">. هدفت الدراسة بشكل رئيسي إلى تحليل كيفية تطبيق ممارسات إدارة الموارد البشرية بشكل منهجي لجذب وتطوير واستبقاء العلماء، ومواءمة هذه الممارسات مع المهام الأكاديمية الرئيسية (البحث والتدريس والمهمة الثالثة)، بالإضافة إلى فحص الاتجاهات العالمية مثل الاحتفاظ بالكفاءات والتنوع </w:t>
      </w:r>
      <w:proofErr w:type="spellStart"/>
      <w:r w:rsidRPr="000D363A">
        <w:rPr>
          <w:rFonts w:ascii="Sakkal Majalla" w:hAnsi="Sakkal Majalla" w:cs="Sakkal Majalla"/>
          <w:sz w:val="30"/>
          <w:szCs w:val="30"/>
          <w:rtl/>
        </w:rPr>
        <w:t>والرقمنة</w:t>
      </w:r>
      <w:proofErr w:type="spellEnd"/>
      <w:r w:rsidRPr="000D363A">
        <w:rPr>
          <w:rFonts w:ascii="Sakkal Majalla" w:hAnsi="Sakkal Majalla" w:cs="Sakkal Majalla"/>
          <w:sz w:val="30"/>
          <w:szCs w:val="30"/>
          <w:rtl/>
        </w:rPr>
        <w:t xml:space="preserve"> في سياقات أوروبية وأمريكية. ولتحقيق هذه الأهداف، اعتمد الباحثون على تحليل عميق للأدبيات العالمية ومقارنة نماذج إدارة الموارد البشرية عبر الدول، مع التركيز على التحليل النظري والعملي دون بيانات أولية. وتوصلت نتائج الدراسة إلى أن ممارسات إدارة الموارد البشرية غالباً ما تكون متفرقة وليست منهجية، مما يؤدي إلى تحديات مثل الإرهاق الأكاديمي </w:t>
      </w:r>
      <w:proofErr w:type="spellStart"/>
      <w:r w:rsidRPr="000D363A">
        <w:rPr>
          <w:rFonts w:ascii="Sakkal Majalla" w:hAnsi="Sakkal Majalla" w:cs="Sakkal Majalla"/>
          <w:sz w:val="30"/>
          <w:szCs w:val="30"/>
          <w:rtl/>
        </w:rPr>
        <w:t>والتكنوسترس</w:t>
      </w:r>
      <w:proofErr w:type="spellEnd"/>
      <w:r w:rsidRPr="000D363A">
        <w:rPr>
          <w:rFonts w:ascii="Sakkal Majalla" w:hAnsi="Sakkal Majalla" w:cs="Sakkal Majalla"/>
          <w:sz w:val="30"/>
          <w:szCs w:val="30"/>
          <w:rtl/>
        </w:rPr>
        <w:t xml:space="preserve">، مع تأكيد على أن التنوع </w:t>
      </w:r>
      <w:proofErr w:type="spellStart"/>
      <w:r w:rsidRPr="000D363A">
        <w:rPr>
          <w:rFonts w:ascii="Sakkal Majalla" w:hAnsi="Sakkal Majalla" w:cs="Sakkal Majalla"/>
          <w:sz w:val="30"/>
          <w:szCs w:val="30"/>
          <w:rtl/>
        </w:rPr>
        <w:t>والرقمنة</w:t>
      </w:r>
      <w:proofErr w:type="spellEnd"/>
      <w:r w:rsidRPr="000D363A">
        <w:rPr>
          <w:rFonts w:ascii="Sakkal Majalla" w:hAnsi="Sakkal Majalla" w:cs="Sakkal Majalla"/>
          <w:sz w:val="30"/>
          <w:szCs w:val="30"/>
          <w:rtl/>
        </w:rPr>
        <w:t xml:space="preserve"> يعززان الابتكار والأداء </w:t>
      </w:r>
      <w:r w:rsidRPr="000D363A">
        <w:rPr>
          <w:rFonts w:ascii="Sakkal Majalla" w:hAnsi="Sakkal Majalla" w:cs="Sakkal Majalla"/>
          <w:sz w:val="30"/>
          <w:szCs w:val="30"/>
          <w:rtl/>
        </w:rPr>
        <w:lastRenderedPageBreak/>
        <w:t xml:space="preserve">المؤسسي. كما أظهرت النتائج أهمية مواءمة إدارة الموارد البشرية مع المهام الأكاديمية لتحقيق التميز المستدام. واختتمت الدراسة بتوصيات تؤكد ضرورة تبني نماذج إدارة موارد بشرية متكاملة، مثل استخدام تقنيات الذكاء الاصطناعي لتخفيف الإرهاق، وتعزيز التنوع لتحسين الابتكار، مع التوازن بين </w:t>
      </w:r>
      <w:proofErr w:type="spellStart"/>
      <w:r w:rsidRPr="000D363A">
        <w:rPr>
          <w:rFonts w:ascii="Sakkal Majalla" w:hAnsi="Sakkal Majalla" w:cs="Sakkal Majalla"/>
          <w:sz w:val="30"/>
          <w:szCs w:val="30"/>
          <w:rtl/>
        </w:rPr>
        <w:t>النيوليبرالية</w:t>
      </w:r>
      <w:proofErr w:type="spellEnd"/>
      <w:r w:rsidRPr="000D363A">
        <w:rPr>
          <w:rFonts w:ascii="Sakkal Majalla" w:hAnsi="Sakkal Majalla" w:cs="Sakkal Majalla"/>
          <w:sz w:val="30"/>
          <w:szCs w:val="30"/>
          <w:rtl/>
        </w:rPr>
        <w:t xml:space="preserve"> والقيم الأكاديمية لدعم الأداء المؤسسي في الجامعات الأوروبية والأمريكية.</w:t>
      </w:r>
    </w:p>
    <w:p w14:paraId="0736BBEC"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proofErr w:type="spellStart"/>
      <w:r w:rsidRPr="000D363A">
        <w:rPr>
          <w:rFonts w:ascii="Sakkal Majalla" w:hAnsi="Sakkal Majalla" w:cs="Sakkal Majalla"/>
          <w:b/>
          <w:bCs/>
          <w:sz w:val="30"/>
          <w:szCs w:val="30"/>
          <w:lang w:val="en-GB"/>
        </w:rPr>
        <w:t>Elbawab</w:t>
      </w:r>
      <w:proofErr w:type="spellEnd"/>
      <w:r w:rsidRPr="000D363A">
        <w:rPr>
          <w:rFonts w:ascii="Sakkal Majalla" w:hAnsi="Sakkal Majalla" w:cs="Sakkal Majalla"/>
          <w:b/>
          <w:bCs/>
          <w:sz w:val="30"/>
          <w:szCs w:val="30"/>
          <w:rtl/>
        </w:rPr>
        <w:t>, (2024)</w:t>
      </w:r>
      <w:r w:rsidRPr="000D363A">
        <w:rPr>
          <w:rFonts w:ascii="Sakkal Majalla" w:hAnsi="Sakkal Majalla" w:cs="Sakkal Majalla"/>
          <w:sz w:val="30"/>
          <w:szCs w:val="30"/>
          <w:rtl/>
        </w:rPr>
        <w:t xml:space="preserve"> التي بعنوان بـ "ربط التعلم المؤسسي والأداء المستدام في الجامعات: دراسة تجريبية في أوروبا" إلى استكشاف كيفية مساهمة ثقافة التعلم المؤسسي في تعزيز عملية التعلم المؤسسي لتحقيق أداء أفضل وأداء مستدام في الجامعات. هدفت الدراسة بشكل أساسي إلى فحص العلاقة بين ثقافة التعلم المؤسسي (الحوار والاستفسار والاتصال بالنظام) وعملية التعلم المؤسسي (اكتساب المعلومات ونشر المعرفة)، وتأثيرها على الأداء المؤسسي والأداء المستدام (البيئي والاجتماعي) في الجامعات العامة الأوروبية. ولتحقيق هذه الأهداف، اعتمد الباحث على المنهج الكمي من خلال جمع 221 استطلاعاً من أساتذة الجامعات العامة في أوروبا (مثل إسبانيا وفرنسا وألمانيا)، مع استخدام مقاييس مقتبسة وتحليل الإحصاء الوصفي والانحدار المتعدد ووساطة </w:t>
      </w:r>
      <w:r w:rsidRPr="000D363A">
        <w:rPr>
          <w:rFonts w:ascii="Sakkal Majalla" w:hAnsi="Sakkal Majalla" w:cs="Sakkal Majalla"/>
          <w:sz w:val="30"/>
          <w:szCs w:val="30"/>
          <w:lang w:val="en-GB"/>
        </w:rPr>
        <w:t>PROCESS</w:t>
      </w:r>
      <w:r w:rsidRPr="000D363A">
        <w:rPr>
          <w:rFonts w:ascii="Sakkal Majalla" w:hAnsi="Sakkal Majalla" w:cs="Sakkal Majalla"/>
          <w:sz w:val="30"/>
          <w:szCs w:val="30"/>
          <w:rtl/>
        </w:rPr>
        <w:t>. وتوصلت نتائج الدراسة إلى وجود علاقة إيجابية بين ثقافة التعلم المؤسسي وعملية التعلم، وتأثير إيجابي لعملية التعلم على الأداء المؤسسي والمستدام، مع دور وسيط لعملية التعلم في تعزيز الأداء. كما أبرزت النتائج أن التعلم يساهم في تحسين الابتكار والاستدامة البيئية والاجتماعية. واختتمت الدراسة بتوصيات تركز على تعزيز ثقافة التعلم من خلال الاجتماعات الدورية والتعاون مع السوق، ودمج مؤشرات الاستدامة في التصنيفات لتحقيق أداء مستدام في الجامعات الأوروبية.</w:t>
      </w:r>
    </w:p>
    <w:p w14:paraId="59D4035B" w14:textId="77777777" w:rsidR="000D363A" w:rsidRPr="005F0DA9" w:rsidRDefault="000D363A" w:rsidP="000D363A">
      <w:pPr>
        <w:pStyle w:val="Heading3"/>
        <w:bidi/>
        <w:rPr>
          <w:rtl/>
        </w:rPr>
      </w:pPr>
      <w:bookmarkStart w:id="18" w:name="_Toc224358877"/>
      <w:r w:rsidRPr="005F0DA9">
        <w:rPr>
          <w:rtl/>
        </w:rPr>
        <w:t>المحور الثاني: إدارة الموارد البشرية الاستراتيجية والتميز المؤسسي في قطاع الأعمال</w:t>
      </w:r>
      <w:bookmarkEnd w:id="18"/>
    </w:p>
    <w:p w14:paraId="3591A3DC"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حمزة ومحمد وحسن وموسى والعبيد (2025)</w:t>
      </w:r>
      <w:r w:rsidRPr="000D363A">
        <w:rPr>
          <w:rFonts w:ascii="Sakkal Majalla" w:hAnsi="Sakkal Majalla" w:cs="Sakkal Majalla"/>
          <w:sz w:val="30"/>
          <w:szCs w:val="30"/>
          <w:rtl/>
        </w:rPr>
        <w:t xml:space="preserve"> التي بعنوان بـ "أثر إدارة الموارد البشرية الاستراتيجية في تحقيق التميز المؤسسي في قطاع الأعمال" إلى استقصاء الدور الجوهري الذي تؤديه ممارسات إدارة الموارد البشرية من منظور استراتيجي في تعزيز قدرة المنظمات على الوصول إلى مستويات متقدمة من التميز التنظيمي. هدفت الدراسة بشكل رئيس إلى فحص العلاقة بين ممارسات </w:t>
      </w:r>
      <w:r w:rsidRPr="000D363A">
        <w:rPr>
          <w:rFonts w:ascii="Sakkal Majalla" w:hAnsi="Sakkal Majalla" w:cs="Sakkal Majalla"/>
          <w:sz w:val="30"/>
          <w:szCs w:val="30"/>
          <w:rtl/>
        </w:rPr>
        <w:lastRenderedPageBreak/>
        <w:t>إدارة الموارد البشرية الاستراتيجية (تخطيط القوى العاملة، التوظيف، التدريب، المكافآت، وتقييم الأداء) وبين أبعاد التميز المؤسسي في شركات قطاع الأعمال. ولتحقيق هذه الأهداف، اعتمد الباحثون المنهج الوصفي التحليلي لملاءمته لطبيعة الدراسة الميدانية، حيث طُبقت الدراسة على عينة من العاملين في شركات قطاع الأعمال، واستُخدمت الاستبانة أداةً رئيسة لجمع البيانات التي خضعت للتحليل الإحصائي المتقدم باستخدام نمذجة المعادلات الهيكلية (</w:t>
      </w:r>
      <w:r w:rsidRPr="000D363A">
        <w:rPr>
          <w:rFonts w:ascii="Sakkal Majalla" w:hAnsi="Sakkal Majalla" w:cs="Sakkal Majalla"/>
          <w:sz w:val="30"/>
          <w:szCs w:val="30"/>
          <w:lang w:val="en-GB"/>
        </w:rPr>
        <w:t>SEM</w:t>
      </w:r>
      <w:r w:rsidRPr="000D363A">
        <w:rPr>
          <w:rFonts w:ascii="Sakkal Majalla" w:hAnsi="Sakkal Majalla" w:cs="Sakkal Majalla"/>
          <w:sz w:val="30"/>
          <w:szCs w:val="30"/>
          <w:rtl/>
        </w:rPr>
        <w:t xml:space="preserve">). وتوصلت نتائج الدراسة إلى وجود أثر إيجابي ذي دلالة إحصائية لإدارة الموارد البشرية الاستراتيجية في تحقيق التميز المؤسسي، حيث تبيّن أن الممارسات المتكاملة في اختيار وتدريب وتحفيز العاملين تساهم بشكل مباشر في تحسين جودة العمليات والابتكار التنظيمي. كما أظهرت النتائج أن التميز المؤسسي لا يتحقق بمعزل عن مواءمة استراتيجيات الموارد البشرية مع الرؤية الكلية للمنظمة. وأوصت الدراسة بضرورة تبني قيادات قطاع الأعمال لسياسات استراتيجية تركز على رأس المال البشري كأصل تنافسي، والعمل على </w:t>
      </w:r>
      <w:proofErr w:type="spellStart"/>
      <w:r w:rsidRPr="000D363A">
        <w:rPr>
          <w:rFonts w:ascii="Sakkal Majalla" w:hAnsi="Sakkal Majalla" w:cs="Sakkal Majalla"/>
          <w:sz w:val="30"/>
          <w:szCs w:val="30"/>
          <w:rtl/>
        </w:rPr>
        <w:t>رقمنة</w:t>
      </w:r>
      <w:proofErr w:type="spellEnd"/>
      <w:r w:rsidRPr="000D363A">
        <w:rPr>
          <w:rFonts w:ascii="Sakkal Majalla" w:hAnsi="Sakkal Majalla" w:cs="Sakkal Majalla"/>
          <w:sz w:val="30"/>
          <w:szCs w:val="30"/>
          <w:rtl/>
        </w:rPr>
        <w:t xml:space="preserve"> عمليات الموارد البشرية لدعم الشفافية والتميز المستدام في الأداء.</w:t>
      </w:r>
    </w:p>
    <w:p w14:paraId="7682952B" w14:textId="77777777" w:rsidR="000D363A" w:rsidRPr="005F0DA9" w:rsidRDefault="000D363A" w:rsidP="000D363A">
      <w:pPr>
        <w:pStyle w:val="Heading3"/>
        <w:bidi/>
        <w:rPr>
          <w:spacing w:val="-6"/>
          <w:rtl/>
        </w:rPr>
      </w:pPr>
      <w:bookmarkStart w:id="19" w:name="_Toc224358878"/>
      <w:r w:rsidRPr="005F0DA9">
        <w:rPr>
          <w:spacing w:val="-6"/>
          <w:rtl/>
        </w:rPr>
        <w:t>المحور الثالث: مداخل قياس وتطوير الأداء المؤسسي والميزة التنافسية في الجامعات السعودية</w:t>
      </w:r>
      <w:bookmarkEnd w:id="19"/>
    </w:p>
    <w:p w14:paraId="0AA18A49"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اليامي (2023)</w:t>
      </w:r>
      <w:r w:rsidRPr="000D363A">
        <w:rPr>
          <w:rFonts w:ascii="Sakkal Majalla" w:hAnsi="Sakkal Majalla" w:cs="Sakkal Majalla"/>
          <w:sz w:val="30"/>
          <w:szCs w:val="30"/>
          <w:rtl/>
        </w:rPr>
        <w:t xml:space="preserve"> التي بعنوان بـ "تأثير تنوع الموارد البشرية على تحقيق التميز في الأداء المؤسسي: دراسة تطبيقية على مستشفيات المملكة العربية السعودية" إلى استكشاف واحدة من القضايا الإدارية المعاصرة والمتمثلة في كيفية إدارة التعددية الثقافية والخلفيات المتنوعة للعاملين لتحويلها إلى ميزة تنافسية تحقق التفوق للمنظمات الصحية. هدفت الدراسة بشكل رئيس إلى قياس أثر تنوع الموارد البشرية بأبعده المختلفة (التنوع في النوع الاجتماعي، التنوع في العمر، التنوع في المؤهل العلمي، والتنوع في الجنسية) على تحقيق التميز في الأداء المؤسسي داخل البيئة الاستشفائية السعودية. واعتمدت الدراسة المنهج الوصفي التحليلي لوصف وتحليل المتغيرات واختبار الفرضيات، حيث طُبقت الدراسة ميدانياً على عينة مكونة من (341) فرداً من العاملين في المستشفيات السعودية، واستُخدمت الاستبانة أداةً لجمع البيانات. وتوصلت نتائج الدراسة إلى وجود تأثير إيجابي ذي دلالة إحصائية لتنوع الموارد البشرية في تحقيق التميز في الأداء المؤسسي، مما يشير إلى أن المستشفيات التي تنجح في استيعاب </w:t>
      </w:r>
      <w:r w:rsidRPr="000D363A">
        <w:rPr>
          <w:rFonts w:ascii="Sakkal Majalla" w:hAnsi="Sakkal Majalla" w:cs="Sakkal Majalla"/>
          <w:sz w:val="30"/>
          <w:szCs w:val="30"/>
          <w:rtl/>
        </w:rPr>
        <w:lastRenderedPageBreak/>
        <w:t>التنوع الثقافي والمهني لمنسوبيها وتوظيفه بشكل فعال تكون أكثر قدرة على الابتكار وتحسين جودة الخدمات الطبية المقدمة. كما كشفت النتائج أن بُعد "التنوع في المؤهل العلمي" و"التنوع في الجنسية" كان لهما الأثر الأبرز في تعزيز القدرات التنافسية والتميز المؤسسي. وأوصت الدراسة بضرورة صياغة سياسات إدارية تدعم ثقافة التسامح وقبول الآخر، وتكثيف البرامج التدريبية التي تستهدف إدارة التنوع، مع التأكيد على أهمية وجود قيادة إدارية تؤمن بأن التنوع هو محفز للإبداع وليس سبباً للصراع، وذلك لضمان استدامة التميز في القطاع الصحي السعودي بما يتوافق مع رؤية المملكة 2030.</w:t>
      </w:r>
    </w:p>
    <w:p w14:paraId="7242C924"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النصير (2023)</w:t>
      </w:r>
      <w:r w:rsidRPr="000D363A">
        <w:rPr>
          <w:rFonts w:ascii="Sakkal Majalla" w:hAnsi="Sakkal Majalla" w:cs="Sakkal Majalla"/>
          <w:sz w:val="30"/>
          <w:szCs w:val="30"/>
          <w:rtl/>
        </w:rPr>
        <w:t xml:space="preserve"> التي بعنوان بـ "قياس الأداء المؤسسي في الجامعات السعودية من وجهة نظر ممارسي الجودة" إلى رصد واقع ومنهجيات قياس الأداء في مؤسسات التعليم العالي بالمملكة، وذلك في ظل الاهتمام المتزايد بالجودة والاعتماد الأكاديمي كمتطلبات أساسية لرؤية المملكة 2030. هدفت الدراسة بشكل رئيس إلى التعرف على مستوى قياس الأداء المؤسسي في الجامعات السعودية (دراسة حالة على جامعات: الحدود الشمالية، الجوف، حائل، وحفر الباطن)، وتحديد الأدوات المستخدمة في عملية القياس، فضلاً عن الكشف عن دور الإدارة العليا والمعوقات التي تواجه هذه العملية من وجهة نظر ممارسي الجودة. واعتمد الباحث المنهج الوصفي التحليلي لملاءمته لطبيعة أهداف البحث، حيث طُبقت الدراسة ميدانياً على عينة مكونة من (94) موظفاً من ممارسي الجودة في الجامعات المستهدفة، واستُخدمت الاستبانة أداةً لجمع البيانات. وتوصلت نتائج الدراسة إلى أن الجامعات السعودية تولي اهتماماً كبيراً لقياس الأداء المؤسسي وتمتلك وحدات إدارية متخصصة لهذه المهمة، حيث جاءت "مؤشرات الأداء الرئيسية" (</w:t>
      </w:r>
      <w:r w:rsidRPr="000D363A">
        <w:rPr>
          <w:rFonts w:ascii="Sakkal Majalla" w:hAnsi="Sakkal Majalla" w:cs="Sakkal Majalla"/>
          <w:sz w:val="30"/>
          <w:szCs w:val="30"/>
          <w:lang w:val="en-GB"/>
        </w:rPr>
        <w:t>KPIs</w:t>
      </w:r>
      <w:r w:rsidRPr="000D363A">
        <w:rPr>
          <w:rFonts w:ascii="Sakkal Majalla" w:hAnsi="Sakkal Majalla" w:cs="Sakkal Majalla"/>
          <w:sz w:val="30"/>
          <w:szCs w:val="30"/>
          <w:rtl/>
        </w:rPr>
        <w:t xml:space="preserve">) في المرتبة الأولى كأهم أداة قياس مستخدمة، تليها التقارير السنوية ثم المقارنات المرجعية. كما كشفت النتائج عن الدور القيادي والمحوري للإدارة العليا في دعم وتصميم نظم القياس والاعتماد على القدرات الذاتية للجامعات في تطوير هذه النظم. وأظهرت النتائج أن أبرز الدوافع لقياس الأداء هي متطلبات الاعتماد الأكاديمي وتحسين جودة المخرجات، بينما تتمثل أهم التحديات في الحاجة لتطوير الكوادر البشرية وزيادة الوعي بثقافة القياس. وأوصت الدراسة </w:t>
      </w:r>
      <w:r w:rsidRPr="000D363A">
        <w:rPr>
          <w:rFonts w:ascii="Sakkal Majalla" w:hAnsi="Sakkal Majalla" w:cs="Sakkal Majalla"/>
          <w:sz w:val="30"/>
          <w:szCs w:val="30"/>
          <w:rtl/>
        </w:rPr>
        <w:lastRenderedPageBreak/>
        <w:t>بضرورة استكمال التحول الرقمي في أنظمة قياس الأداء، وتعزيز الشفافية في عرض النتائج، مع العمل على ربط نتائج القياس بعمليات التحسين المستمر لضمان الوصول إلى التميز المؤسسي الشامل.</w:t>
      </w:r>
    </w:p>
    <w:p w14:paraId="072B53E1" w14:textId="77777777" w:rsidR="000D363A" w:rsidRPr="000D363A"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القرشي (2024)</w:t>
      </w:r>
      <w:r w:rsidRPr="000D363A">
        <w:rPr>
          <w:rFonts w:ascii="Sakkal Majalla" w:hAnsi="Sakkal Majalla" w:cs="Sakkal Majalla"/>
          <w:sz w:val="30"/>
          <w:szCs w:val="30"/>
          <w:rtl/>
        </w:rPr>
        <w:t xml:space="preserve"> التي بعنوان بـ "التميز المؤسسي مدخل لتحقيق الميزة التنافسية في الجامعات السعودية في ضوء خبرة الولايات المتحدة الأمريكية (تصور مقترح)" إلى أهمية تبني نماذج التميز العالمية كركيزة استراتيجية لتعزيز القدرات التنافسية للجامعات السعودية في ظل التحولات الاقتصادية والمعرفية. هدفت الدراسة بشكل رئيس إلى بناء تصور مقترح للتميز المؤسسي يساهم في تحقيق الميزة التنافسية، وذلك من خلال الكشف عن واقع أبعاد التميز المؤسسي (القيادة، العمليات، الموارد البشرية والمالية، والمعرفة) ودرجة تحقيق الميزة التنافسية (التميز، الجودة، المرونة، الريادة، والإبداع) في الجامعات السعودية، مع الاستفادة من تجربة الولايات المتحدة الأمريكية في هذا المجال. واعتمدت الباحثة المنهج الوصفي التحليلي لمناسبته لأهداف الدراسة، حيث طُبقت ميدانياً على عينة مكونة من (303) قائداً من القيادات الأكاديمية والإدارية في الجامعات السعودية، واستُخدمت الاستبانة أداةً رئيسة لجمع البيانات. وتوصلت نتائج الدراسة إلى أن درجة توافر أبعاد التميز المؤسسي ودرجة تحقيق الميزة التنافسية في الجامعات السعودية جاءت بدرجة "عالية"، كما كشفت النتائج عن وجود إسهام معنوي وذو دلالة إحصائية لأبعاد التميز المؤسسي في تحقيق الميزة التنافسية، حيث كان بُعد "المعرفة" هو الأكثر إسهاماً وتأثيراً. وأظهرت الدراسة أن الاستفادة من خبرات الجامعات الأمريكية في ممارسات القيادة التحويلية وإدارة الابتكار تعزز من فرص الجامعات المحلية في المنافسة العالمية. وأوصت الدراسة بتبني التصور المقترح الذي قدمته الباحثة، وضرورة تركيز الجامعات على تطوير أنظمة إدارة المعرفة، ودعم استقلالية الجامعات، وتعزيز ثقافة الإبداع والريادة بين منسوبيها لضمان استدامة التفوق المؤسسي وتحقيق مستهدفات رؤية المملكة 2030.</w:t>
      </w:r>
    </w:p>
    <w:p w14:paraId="243DA480" w14:textId="77777777" w:rsidR="000D363A" w:rsidRPr="005F0DA9" w:rsidRDefault="000D363A" w:rsidP="000D363A">
      <w:pPr>
        <w:bidi/>
        <w:spacing w:line="360" w:lineRule="auto"/>
        <w:ind w:firstLine="720"/>
        <w:jc w:val="both"/>
        <w:rPr>
          <w:rFonts w:ascii="Sakkal Majalla" w:hAnsi="Sakkal Majalla" w:cs="Sakkal Majalla"/>
          <w:sz w:val="30"/>
          <w:szCs w:val="30"/>
          <w:rtl/>
        </w:rPr>
      </w:pPr>
      <w:r w:rsidRPr="000D363A">
        <w:rPr>
          <w:rFonts w:ascii="Sakkal Majalla" w:hAnsi="Sakkal Majalla" w:cs="Sakkal Majalla"/>
          <w:sz w:val="30"/>
          <w:szCs w:val="30"/>
          <w:rtl/>
        </w:rPr>
        <w:t xml:space="preserve">تطرقت دراسة </w:t>
      </w:r>
      <w:r w:rsidRPr="000D363A">
        <w:rPr>
          <w:rFonts w:ascii="Sakkal Majalla" w:hAnsi="Sakkal Majalla" w:cs="Sakkal Majalla"/>
          <w:b/>
          <w:bCs/>
          <w:sz w:val="30"/>
          <w:szCs w:val="30"/>
          <w:rtl/>
        </w:rPr>
        <w:t>عسيري والعمود (2024)</w:t>
      </w:r>
      <w:r w:rsidRPr="000D363A">
        <w:rPr>
          <w:rFonts w:ascii="Sakkal Majalla" w:hAnsi="Sakkal Majalla" w:cs="Sakkal Majalla"/>
          <w:sz w:val="30"/>
          <w:szCs w:val="30"/>
          <w:rtl/>
        </w:rPr>
        <w:t xml:space="preserve"> التي بعنوان بـ "إدارة إجراءات العمل (</w:t>
      </w:r>
      <w:r w:rsidRPr="000D363A">
        <w:rPr>
          <w:rFonts w:ascii="Sakkal Majalla" w:hAnsi="Sakkal Majalla" w:cs="Sakkal Majalla"/>
          <w:sz w:val="30"/>
          <w:szCs w:val="30"/>
          <w:lang w:val="en-GB"/>
        </w:rPr>
        <w:t>BPM</w:t>
      </w:r>
      <w:r w:rsidRPr="000D363A">
        <w:rPr>
          <w:rFonts w:ascii="Sakkal Majalla" w:hAnsi="Sakkal Majalla" w:cs="Sakkal Majalla"/>
          <w:sz w:val="30"/>
          <w:szCs w:val="30"/>
          <w:rtl/>
        </w:rPr>
        <w:t xml:space="preserve">) في الجامعات السعودية لتطوير أداءها المؤسسي" إلى أهمية التحول من نمط الإدارة التقليدي إلى منهجية إدارة العمليات كمدخل استراتيجي لرفع كفاءة وفاعلية مؤسسات التعليم العالي. هدفت الدراسة بشكل </w:t>
      </w:r>
      <w:r w:rsidRPr="000D363A">
        <w:rPr>
          <w:rFonts w:ascii="Sakkal Majalla" w:hAnsi="Sakkal Majalla" w:cs="Sakkal Majalla"/>
          <w:sz w:val="30"/>
          <w:szCs w:val="30"/>
          <w:rtl/>
        </w:rPr>
        <w:lastRenderedPageBreak/>
        <w:t>رئيس إلى تحليل أبرز التجارب والخبرات العالمية في تطبيق منهجية إدارة إجراءات العمل في الجامعات، والتعرف على مستوى تطبيقها في الجامعات السعودية من وجهة نظر القيادات الإدارية والأكاديمية والإداريين، بالإضافة إلى تقديم مقترحات عملية تساهم في تعزيز تطبيق هذا المدخل لتطوير الأداء المؤسسي. واعتمدت الدراسة المنهج الوصفي التحليلي لملاءمته لطبيعة البحث، حيث طُبقت ميدانياً على عينة استطلاعية قوامها (105) من القيادات والإداريين في الجامعات السعودية، واستُخدمت الاستبانة أداةً لجمع البيانات. وتوصلت نتائج الدراسة إلى أن مستوى تطبيق إدارة إجراءات العمل في الجامعات السعودية جاء بدرجة "متوسطة"، مع وجود قناعة عالية لدى أفراد العينة بأهمية هذا المدخل في تحسين جودة الخدمات الأكاديمية وتبسيط الإجراءات الإدارية. كما كشفت النتائج عن وجود فوائد جمة لتطبيق هذه المنهجية، منها زيادة الوضوح التنظيمي، وتقليل الهدر في الوقت والجهد، وتعزيز الشفافية. وأوصت الدراسة بضرورة تبني القيادات الجامعية لمنهجية (</w:t>
      </w:r>
      <w:r w:rsidRPr="000D363A">
        <w:rPr>
          <w:rFonts w:ascii="Sakkal Majalla" w:hAnsi="Sakkal Majalla" w:cs="Sakkal Majalla"/>
          <w:sz w:val="30"/>
          <w:szCs w:val="30"/>
          <w:lang w:val="en-GB"/>
        </w:rPr>
        <w:t>BPM</w:t>
      </w:r>
      <w:r w:rsidRPr="000D363A">
        <w:rPr>
          <w:rFonts w:ascii="Sakkal Majalla" w:hAnsi="Sakkal Majalla" w:cs="Sakkal Majalla"/>
          <w:sz w:val="30"/>
          <w:szCs w:val="30"/>
          <w:rtl/>
        </w:rPr>
        <w:t>) كخيار استراتيجي لتطوير الأداء، والعمل على توفير البنية التحتية التقنية اللازمة، وتدريب الكوادر البشرية على مهارات نمذجة وتحليل العمليات، لضمان مخرجات إدارية وأكاديمية تتوافق مع تطلعات رؤية المملكة 2030 في تحقيق التميز المؤسسي المستدام.</w:t>
      </w:r>
    </w:p>
    <w:p w14:paraId="5ACF7444" w14:textId="4434EC5F" w:rsidR="000D363A" w:rsidRPr="005F0DA9" w:rsidRDefault="000D363A" w:rsidP="000D363A">
      <w:pPr>
        <w:pStyle w:val="Heading3"/>
        <w:bidi/>
        <w:rPr>
          <w:rtl/>
        </w:rPr>
      </w:pPr>
      <w:bookmarkStart w:id="20" w:name="_Toc224358879"/>
      <w:r w:rsidRPr="005F0DA9">
        <w:rPr>
          <w:rFonts w:hint="cs"/>
          <w:rtl/>
        </w:rPr>
        <w:t>التعقيب على الدراسات السابقة</w:t>
      </w:r>
      <w:bookmarkEnd w:id="20"/>
      <w:r w:rsidRPr="005F0DA9">
        <w:rPr>
          <w:rFonts w:hint="cs"/>
          <w:rtl/>
        </w:rPr>
        <w:t xml:space="preserve"> </w:t>
      </w:r>
    </w:p>
    <w:p w14:paraId="776A91E4" w14:textId="77777777"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sz w:val="30"/>
          <w:szCs w:val="30"/>
          <w:rtl/>
        </w:rPr>
        <w:t xml:space="preserve">تُظهر المراجعة المتفحصة للدراسات السابقة تنوعاً ثرياً في تناول متغيرات الدراسة، حيث ركزت الدراسات العربية (مثل دراسة القرشي، 2024؛ </w:t>
      </w:r>
      <w:proofErr w:type="spellStart"/>
      <w:r w:rsidRPr="000D363A">
        <w:rPr>
          <w:rFonts w:ascii="Sakkal Majalla" w:hAnsi="Sakkal Majalla" w:cs="Sakkal Majalla"/>
          <w:sz w:val="30"/>
          <w:szCs w:val="30"/>
          <w:rtl/>
        </w:rPr>
        <w:t>وبوزناد</w:t>
      </w:r>
      <w:proofErr w:type="spellEnd"/>
      <w:r w:rsidRPr="000D363A">
        <w:rPr>
          <w:rFonts w:ascii="Sakkal Majalla" w:hAnsi="Sakkal Majalla" w:cs="Sakkal Majalla"/>
          <w:sz w:val="30"/>
          <w:szCs w:val="30"/>
          <w:rtl/>
        </w:rPr>
        <w:t>، 2025؛ وحمزة وآخرون، 2025) على أثر ممارسات الموارد البشرية الاستراتيجية في تحقيق التميز، بينما تعمقت الدراسات الأجنبية</w:t>
      </w:r>
      <w:r w:rsidRPr="000D363A">
        <w:rPr>
          <w:rFonts w:ascii="Sakkal Majalla" w:hAnsi="Sakkal Majalla" w:cs="Sakkal Majalla"/>
          <w:sz w:val="30"/>
          <w:szCs w:val="30"/>
          <w:lang w:val="en-GB"/>
        </w:rPr>
        <w:t xml:space="preserve"> (</w:t>
      </w:r>
      <w:r w:rsidRPr="000D363A">
        <w:rPr>
          <w:rFonts w:ascii="Sakkal Majalla" w:hAnsi="Sakkal Majalla" w:cs="Sakkal Majalla"/>
          <w:sz w:val="30"/>
          <w:szCs w:val="30"/>
          <w:rtl/>
        </w:rPr>
        <w:t>مثل دراسة</w:t>
      </w:r>
      <w:r w:rsidRPr="000D363A">
        <w:rPr>
          <w:rFonts w:ascii="Sakkal Majalla" w:hAnsi="Sakkal Majalla" w:cs="Sakkal Majalla"/>
          <w:sz w:val="30"/>
          <w:szCs w:val="30"/>
          <w:lang w:val="en-GB"/>
        </w:rPr>
        <w:t xml:space="preserve"> </w:t>
      </w:r>
      <w:proofErr w:type="spellStart"/>
      <w:r w:rsidRPr="000D363A">
        <w:rPr>
          <w:rFonts w:ascii="Sakkal Majalla" w:hAnsi="Sakkal Majalla" w:cs="Sakkal Majalla"/>
          <w:sz w:val="30"/>
          <w:szCs w:val="30"/>
          <w:lang w:val="en-GB"/>
        </w:rPr>
        <w:t>Przytuła</w:t>
      </w:r>
      <w:proofErr w:type="spellEnd"/>
      <w:r w:rsidRPr="000D363A">
        <w:rPr>
          <w:rFonts w:ascii="Sakkal Majalla" w:hAnsi="Sakkal Majalla" w:cs="Sakkal Majalla"/>
          <w:sz w:val="30"/>
          <w:szCs w:val="30"/>
          <w:lang w:val="en-GB"/>
        </w:rPr>
        <w:t xml:space="preserve"> et al., 2024</w:t>
      </w:r>
      <w:r w:rsidRPr="000D363A">
        <w:rPr>
          <w:rFonts w:ascii="Sakkal Majalla" w:hAnsi="Sakkal Majalla" w:cs="Sakkal Majalla"/>
          <w:sz w:val="30"/>
          <w:szCs w:val="30"/>
          <w:rtl/>
        </w:rPr>
        <w:t>؛ و</w:t>
      </w:r>
      <w:proofErr w:type="spellStart"/>
      <w:r w:rsidRPr="000D363A">
        <w:rPr>
          <w:rFonts w:ascii="Sakkal Majalla" w:hAnsi="Sakkal Majalla" w:cs="Sakkal Majalla"/>
          <w:sz w:val="30"/>
          <w:szCs w:val="30"/>
          <w:lang w:val="en-GB"/>
        </w:rPr>
        <w:t>Elbawab</w:t>
      </w:r>
      <w:proofErr w:type="spellEnd"/>
      <w:r w:rsidRPr="000D363A">
        <w:rPr>
          <w:rFonts w:ascii="Sakkal Majalla" w:hAnsi="Sakkal Majalla" w:cs="Sakkal Majalla"/>
          <w:sz w:val="30"/>
          <w:szCs w:val="30"/>
          <w:lang w:val="en-GB"/>
        </w:rPr>
        <w:t xml:space="preserve">, 2024) </w:t>
      </w:r>
      <w:r w:rsidRPr="000D363A">
        <w:rPr>
          <w:rFonts w:ascii="Sakkal Majalla" w:hAnsi="Sakkal Majalla" w:cs="Sakkal Majalla"/>
          <w:sz w:val="30"/>
          <w:szCs w:val="30"/>
          <w:rtl/>
        </w:rPr>
        <w:t xml:space="preserve">في أبعاد العولمة والتعلم المؤسسي المستدام. وقد استفادت الدراسة الحالية من هذا الإرث العلمي في عدة نقاط جوهرية؛ أولها بلورة الإطار النظري وبناء أداة الدراسة (الاستبانة) بالاعتماد على أبعاد علمية رصينة للتميز المؤسسي وإدارة الموارد البشرية، وثانيها تحديد المنهجية الأنسب وهي المنهج الوصفي التحليلي الذي أثبت كفاءته في الدراسات الميدانية المماثلة، وثالثها </w:t>
      </w:r>
      <w:r w:rsidRPr="000D363A">
        <w:rPr>
          <w:rFonts w:ascii="Sakkal Majalla" w:hAnsi="Sakkal Majalla" w:cs="Sakkal Majalla"/>
          <w:sz w:val="30"/>
          <w:szCs w:val="30"/>
          <w:rtl/>
        </w:rPr>
        <w:lastRenderedPageBreak/>
        <w:t>صياغة الفرضيات البحثية بناءً على الفجوات التي تركتها الدراسات السابقة، خاصة فيما يتعلق ببيئة الجامعات الحكومية السعودية في ظل مستهدفات رؤية 2030</w:t>
      </w:r>
      <w:r w:rsidRPr="000D363A">
        <w:rPr>
          <w:rFonts w:ascii="Sakkal Majalla" w:hAnsi="Sakkal Majalla" w:cs="Sakkal Majalla"/>
          <w:sz w:val="30"/>
          <w:szCs w:val="30"/>
          <w:lang w:val="en-GB"/>
        </w:rPr>
        <w:t>.</w:t>
      </w:r>
    </w:p>
    <w:p w14:paraId="4E6BC632" w14:textId="77777777"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sz w:val="30"/>
          <w:szCs w:val="30"/>
          <w:rtl/>
        </w:rPr>
        <w:t>وفيما يتعلق بنقاط التشابه والاختلاف، تتفق الدراسة الحالية مع معظم الدراسات السابقة (مثل دراسة صديق، 2019؛ وفكري، 2023) في تبنيها للعلاقة الارتباطية والسببية بين كفاءة الموارد البشرية والوصول إلى التميز التنظيمي، وفي استخدامها للمجتمع الجامعي كبيئة تطبيقية. ومع ذلك، تبرز نقاط الاختلاف في النطاق الجغرافي والزماني؛ حيث تركز هذه الدراسة حصراً على الجامعات الحكومية في مدينة الرياض كقطب استراتيجي للتعليم العالي، وفي وقت تشهد فيه هذه المؤسسات تحولات هيكلية كبرى نحو الاستقلال المالي والإداري، وهو سياق يختلف عن السياقات التي تناولتها الدراسات الأجنبية</w:t>
      </w:r>
      <w:r w:rsidRPr="000D363A">
        <w:rPr>
          <w:rFonts w:ascii="Sakkal Majalla" w:hAnsi="Sakkal Majalla" w:cs="Sakkal Majalla"/>
          <w:sz w:val="30"/>
          <w:szCs w:val="30"/>
          <w:lang w:val="en-GB"/>
        </w:rPr>
        <w:t xml:space="preserve"> (</w:t>
      </w:r>
      <w:r w:rsidRPr="000D363A">
        <w:rPr>
          <w:rFonts w:ascii="Sakkal Majalla" w:hAnsi="Sakkal Majalla" w:cs="Sakkal Majalla"/>
          <w:sz w:val="30"/>
          <w:szCs w:val="30"/>
          <w:rtl/>
        </w:rPr>
        <w:t>كالدراسة الكينية لـ</w:t>
      </w:r>
      <w:r w:rsidRPr="000D363A">
        <w:rPr>
          <w:rFonts w:ascii="Sakkal Majalla" w:hAnsi="Sakkal Majalla" w:cs="Sakkal Majalla"/>
          <w:sz w:val="30"/>
          <w:szCs w:val="30"/>
          <w:lang w:val="en-GB"/>
        </w:rPr>
        <w:t xml:space="preserve"> Onyango</w:t>
      </w:r>
      <w:r w:rsidRPr="000D363A">
        <w:rPr>
          <w:rFonts w:ascii="Sakkal Majalla" w:hAnsi="Sakkal Majalla" w:cs="Sakkal Majalla"/>
          <w:sz w:val="30"/>
          <w:szCs w:val="30"/>
          <w:rtl/>
        </w:rPr>
        <w:t>، أو النيجيرية لـ</w:t>
      </w:r>
      <w:r w:rsidRPr="000D363A">
        <w:rPr>
          <w:rFonts w:ascii="Sakkal Majalla" w:hAnsi="Sakkal Majalla" w:cs="Sakkal Majalla"/>
          <w:sz w:val="30"/>
          <w:szCs w:val="30"/>
          <w:lang w:val="en-GB"/>
        </w:rPr>
        <w:t xml:space="preserve"> </w:t>
      </w:r>
      <w:proofErr w:type="spellStart"/>
      <w:r w:rsidRPr="000D363A">
        <w:rPr>
          <w:rFonts w:ascii="Sakkal Majalla" w:hAnsi="Sakkal Majalla" w:cs="Sakkal Majalla"/>
          <w:sz w:val="30"/>
          <w:szCs w:val="30"/>
          <w:lang w:val="en-GB"/>
        </w:rPr>
        <w:t>Ogunlola</w:t>
      </w:r>
      <w:proofErr w:type="spellEnd"/>
      <w:r w:rsidRPr="000D363A">
        <w:rPr>
          <w:rFonts w:ascii="Sakkal Majalla" w:hAnsi="Sakkal Majalla" w:cs="Sakkal Majalla"/>
          <w:sz w:val="30"/>
          <w:szCs w:val="30"/>
          <w:lang w:val="en-GB"/>
        </w:rPr>
        <w:t xml:space="preserve">) </w:t>
      </w:r>
      <w:r w:rsidRPr="000D363A">
        <w:rPr>
          <w:rFonts w:ascii="Sakkal Majalla" w:hAnsi="Sakkal Majalla" w:cs="Sakkal Majalla"/>
          <w:sz w:val="30"/>
          <w:szCs w:val="30"/>
          <w:rtl/>
        </w:rPr>
        <w:t>أو حتى الدراسات العربية التي طبقت على قطاعات الأعمال أو بيئات إقليمية مختلفة كاليمن ومصر والإمارات</w:t>
      </w:r>
      <w:r w:rsidRPr="000D363A">
        <w:rPr>
          <w:rFonts w:ascii="Sakkal Majalla" w:hAnsi="Sakkal Majalla" w:cs="Sakkal Majalla"/>
          <w:sz w:val="30"/>
          <w:szCs w:val="30"/>
          <w:lang w:val="en-GB"/>
        </w:rPr>
        <w:t>.</w:t>
      </w:r>
    </w:p>
    <w:p w14:paraId="179F5B6F" w14:textId="77777777" w:rsidR="000D363A" w:rsidRPr="005F0DA9" w:rsidRDefault="000D363A" w:rsidP="000D363A">
      <w:pPr>
        <w:bidi/>
        <w:spacing w:line="360" w:lineRule="auto"/>
        <w:ind w:firstLine="720"/>
        <w:jc w:val="both"/>
        <w:rPr>
          <w:rFonts w:ascii="Sakkal Majalla" w:hAnsi="Sakkal Majalla" w:cs="Sakkal Majalla"/>
          <w:sz w:val="30"/>
          <w:szCs w:val="30"/>
          <w:rtl/>
          <w:lang w:val="en-GB"/>
        </w:rPr>
      </w:pPr>
      <w:r w:rsidRPr="000D363A">
        <w:rPr>
          <w:rFonts w:ascii="Sakkal Majalla" w:hAnsi="Sakkal Majalla" w:cs="Sakkal Majalla"/>
          <w:sz w:val="30"/>
          <w:szCs w:val="30"/>
          <w:rtl/>
        </w:rPr>
        <w:t>أما ما يميز الدراسة الحالية ويمنحها صبغتها المتفردة، فهو سعيها لدمج ثلاثي المتغيرات (التميز المؤسسي، إدارة الموارد البشرية، والأداء المؤسسي) في نموذج تحليلي واحد يطبق على بيئة الجامعات السعودية الكبرى بمدينة الرياض، وهو ما يندر وجوده في دراسة واحدة بهذا الشمول. وتتفرد الدراسة أيضاً بتقديم رؤية تقييمية من وجهة نظر مزدوجة (أعضاء هيئة التدريس والكوادر الإدارية)، مما يعطي شمولية أكبر للنتائج. كما تتجاوز الدراسة مجرد رصد الواقع إلى محاولة تحديد أبعاد التميز "الأكثر تحققاً" وربطها بكفاءة الوظائف البشرية النوعية (كالتدريب والتمكين)، مما يوفر لصناع القرار في الجامعات السعودية خارطة طريق عملية قائمة على الأدلة الميدانية لرفع مستوى الإنتاجية والمخرجات التعليمية بما يتوافق مع معايير الجودة العالمية والاعتماد الأكاديمي</w:t>
      </w:r>
      <w:r w:rsidRPr="000D363A">
        <w:rPr>
          <w:rFonts w:ascii="Sakkal Majalla" w:hAnsi="Sakkal Majalla" w:cs="Sakkal Majalla"/>
          <w:sz w:val="30"/>
          <w:szCs w:val="30"/>
          <w:lang w:val="en-GB"/>
        </w:rPr>
        <w:t>.</w:t>
      </w:r>
    </w:p>
    <w:p w14:paraId="434D5899" w14:textId="77777777"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sz w:val="30"/>
          <w:szCs w:val="30"/>
          <w:rtl/>
          <w:lang w:val="en-GB"/>
        </w:rPr>
        <w:t xml:space="preserve">تتبلور الفجوة البحثية التي تسعى الدراسة الحالية لسدها في عدة أبعاد رئيسة، أولها </w:t>
      </w:r>
      <w:r w:rsidRPr="000D363A">
        <w:rPr>
          <w:rFonts w:ascii="Sakkal Majalla" w:hAnsi="Sakkal Majalla" w:cs="Sakkal Majalla"/>
          <w:b/>
          <w:bCs/>
          <w:sz w:val="30"/>
          <w:szCs w:val="30"/>
          <w:rtl/>
          <w:lang w:val="en-GB"/>
        </w:rPr>
        <w:t>الفجوة الموضوعية والتكاملية</w:t>
      </w:r>
      <w:r w:rsidRPr="000D363A">
        <w:rPr>
          <w:rFonts w:ascii="Sakkal Majalla" w:hAnsi="Sakkal Majalla" w:cs="Sakkal Majalla"/>
          <w:sz w:val="30"/>
          <w:szCs w:val="30"/>
          <w:rtl/>
          <w:lang w:val="en-GB"/>
        </w:rPr>
        <w:t>؛ حيث ركزت أغلب الأدبيات السابقة على فحص العلاقة بين متغيرين فقط، مثل العلاقة بين ممارسات الموارد البشرية والتميز المؤسسي كما في دراسة (</w:t>
      </w:r>
      <w:proofErr w:type="spellStart"/>
      <w:r w:rsidRPr="000D363A">
        <w:rPr>
          <w:rFonts w:ascii="Sakkal Majalla" w:hAnsi="Sakkal Majalla" w:cs="Sakkal Majalla"/>
          <w:sz w:val="30"/>
          <w:szCs w:val="30"/>
          <w:rtl/>
          <w:lang w:val="en-GB"/>
        </w:rPr>
        <w:t>بوزناد</w:t>
      </w:r>
      <w:proofErr w:type="spellEnd"/>
      <w:r w:rsidRPr="000D363A">
        <w:rPr>
          <w:rFonts w:ascii="Sakkal Majalla" w:hAnsi="Sakkal Majalla" w:cs="Sakkal Majalla"/>
          <w:sz w:val="30"/>
          <w:szCs w:val="30"/>
          <w:rtl/>
          <w:lang w:val="en-GB"/>
        </w:rPr>
        <w:t xml:space="preserve">، 2025) ودراسة (صديق، </w:t>
      </w:r>
      <w:r w:rsidRPr="000D363A">
        <w:rPr>
          <w:rFonts w:ascii="Sakkal Majalla" w:hAnsi="Sakkal Majalla" w:cs="Sakkal Majalla"/>
          <w:sz w:val="30"/>
          <w:szCs w:val="30"/>
          <w:rtl/>
          <w:lang w:val="en-GB"/>
        </w:rPr>
        <w:lastRenderedPageBreak/>
        <w:t>2019)، أو العلاقة بين التميز والميزة التنافسية كما في دراسة (القرشي، 2024)، بينما تفتقر المكتبة العربية إلى نماذج تكاملية تجمع بين "التميز المؤسسي" كمتغير مستقل، و"إدارة الموارد البشرية" كمتغير وسيط وداعم، و"الأداء المؤسسي" كمتغير تابع ومخرج نهائي، خاصة في سياق التعليم العالي الذي يتطلب مواءمة دقيقة بين الأداء الأكاديمي والإداري</w:t>
      </w:r>
      <w:r w:rsidRPr="000D363A">
        <w:rPr>
          <w:rFonts w:ascii="Sakkal Majalla" w:hAnsi="Sakkal Majalla" w:cs="Sakkal Majalla"/>
          <w:sz w:val="30"/>
          <w:szCs w:val="30"/>
          <w:lang w:val="en-GB"/>
        </w:rPr>
        <w:t>.</w:t>
      </w:r>
    </w:p>
    <w:p w14:paraId="094CCE43" w14:textId="77777777"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sz w:val="30"/>
          <w:szCs w:val="30"/>
          <w:rtl/>
          <w:lang w:val="en-GB"/>
        </w:rPr>
        <w:t xml:space="preserve">أما من حيث </w:t>
      </w:r>
      <w:r w:rsidRPr="000D363A">
        <w:rPr>
          <w:rFonts w:ascii="Sakkal Majalla" w:hAnsi="Sakkal Majalla" w:cs="Sakkal Majalla"/>
          <w:b/>
          <w:bCs/>
          <w:sz w:val="30"/>
          <w:szCs w:val="30"/>
          <w:rtl/>
          <w:lang w:val="en-GB"/>
        </w:rPr>
        <w:t>الفجوة السياقية والمكانية</w:t>
      </w:r>
      <w:r w:rsidRPr="000D363A">
        <w:rPr>
          <w:rFonts w:ascii="Sakkal Majalla" w:hAnsi="Sakkal Majalla" w:cs="Sakkal Majalla"/>
          <w:sz w:val="30"/>
          <w:szCs w:val="30"/>
          <w:rtl/>
          <w:lang w:val="en-GB"/>
        </w:rPr>
        <w:t>، فبالرغم من وجود دراسات طبقت معايير التميز في قطاع الأعمال (حمزة وآخرون، 2025) أو القطاع الصحي (اليامي، 2023)، إلا أن هناك ندرة في الدراسات الميدانية الحديثة التي تستهدف الجامعات الحكومية في "مدينة الرياض" بخصوصيتها التنظيمية الضخمة. فمدينة الرياض تمثل مركز الثقل التعليمي في المملكة، والجامعات الحكومية فيها تخضع حالياً لتحولات هيكلية كبرى نحو الاستقلال الإداري والمالي، مما يجعل من الدراسات التي أُجريت في بيئات إقليمية مختلفة</w:t>
      </w:r>
      <w:r w:rsidRPr="000D363A">
        <w:rPr>
          <w:rFonts w:ascii="Sakkal Majalla" w:hAnsi="Sakkal Majalla" w:cs="Sakkal Majalla"/>
          <w:sz w:val="30"/>
          <w:szCs w:val="30"/>
          <w:lang w:val="en-GB"/>
        </w:rPr>
        <w:t xml:space="preserve"> (</w:t>
      </w:r>
      <w:r w:rsidRPr="000D363A">
        <w:rPr>
          <w:rFonts w:ascii="Sakkal Majalla" w:hAnsi="Sakkal Majalla" w:cs="Sakkal Majalla"/>
          <w:sz w:val="30"/>
          <w:szCs w:val="30"/>
          <w:rtl/>
          <w:lang w:val="en-GB"/>
        </w:rPr>
        <w:t>مثل دراسة أهلي، 2025 في الإمارات، أو الدراسات الدولية لـ</w:t>
      </w:r>
      <w:r w:rsidRPr="000D363A">
        <w:rPr>
          <w:rFonts w:ascii="Sakkal Majalla" w:hAnsi="Sakkal Majalla" w:cs="Sakkal Majalla"/>
          <w:sz w:val="30"/>
          <w:szCs w:val="30"/>
          <w:lang w:val="en-GB"/>
        </w:rPr>
        <w:t xml:space="preserve"> </w:t>
      </w:r>
      <w:proofErr w:type="spellStart"/>
      <w:r w:rsidRPr="000D363A">
        <w:rPr>
          <w:rFonts w:ascii="Sakkal Majalla" w:hAnsi="Sakkal Majalla" w:cs="Sakkal Majalla"/>
          <w:sz w:val="30"/>
          <w:szCs w:val="30"/>
          <w:lang w:val="en-GB"/>
        </w:rPr>
        <w:t>Przytuła</w:t>
      </w:r>
      <w:proofErr w:type="spellEnd"/>
      <w:r w:rsidRPr="000D363A">
        <w:rPr>
          <w:rFonts w:ascii="Sakkal Majalla" w:hAnsi="Sakkal Majalla" w:cs="Sakkal Majalla"/>
          <w:sz w:val="30"/>
          <w:szCs w:val="30"/>
          <w:lang w:val="en-GB"/>
        </w:rPr>
        <w:t xml:space="preserve"> et al., 2024) </w:t>
      </w:r>
      <w:r w:rsidRPr="000D363A">
        <w:rPr>
          <w:rFonts w:ascii="Sakkal Majalla" w:hAnsi="Sakkal Majalla" w:cs="Sakkal Majalla"/>
          <w:sz w:val="30"/>
          <w:szCs w:val="30"/>
          <w:rtl/>
          <w:lang w:val="en-GB"/>
        </w:rPr>
        <w:t>غير قادرة على عكس الواقع التنظيمي الحالي لجامعات الرياض بدقة، وهو ما يستوجب وجود دراسة محلية ترصد مستوى التميز وكفاءة الوظائف البشرية في هذا السياق الزماني والمكاني النوعي</w:t>
      </w:r>
      <w:r w:rsidRPr="000D363A">
        <w:rPr>
          <w:rFonts w:ascii="Sakkal Majalla" w:hAnsi="Sakkal Majalla" w:cs="Sakkal Majalla"/>
          <w:sz w:val="30"/>
          <w:szCs w:val="30"/>
          <w:lang w:val="en-GB"/>
        </w:rPr>
        <w:t>.</w:t>
      </w:r>
    </w:p>
    <w:p w14:paraId="62918A4C" w14:textId="77777777"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sz w:val="30"/>
          <w:szCs w:val="30"/>
          <w:rtl/>
          <w:lang w:val="en-GB"/>
        </w:rPr>
        <w:t xml:space="preserve">وفيما يتعلق بـ </w:t>
      </w:r>
      <w:r w:rsidRPr="000D363A">
        <w:rPr>
          <w:rFonts w:ascii="Sakkal Majalla" w:hAnsi="Sakkal Majalla" w:cs="Sakkal Majalla"/>
          <w:b/>
          <w:bCs/>
          <w:sz w:val="30"/>
          <w:szCs w:val="30"/>
          <w:rtl/>
          <w:lang w:val="en-GB"/>
        </w:rPr>
        <w:t>الفجوة المنهجية والزمنية</w:t>
      </w:r>
      <w:r w:rsidRPr="000D363A">
        <w:rPr>
          <w:rFonts w:ascii="Sakkal Majalla" w:hAnsi="Sakkal Majalla" w:cs="Sakkal Majalla"/>
          <w:sz w:val="30"/>
          <w:szCs w:val="30"/>
          <w:rtl/>
          <w:lang w:val="en-GB"/>
        </w:rPr>
        <w:t>، يلاحظ أن الدراسات السابقة غالباً ما اكتفت برصد الواقع الوصفي أو ركزت على فئات محدودة، في حين تبرز الحاجة الماسة لدراسة تحليلية "تفسيرية" تستهدف كلاً من أعضاء هيئة التدريس والكوادر الإدارية معاً لتقديم رؤية شمولية. كما أن التطورات المتلاحقة في رؤية المملكة 2030 جعلت من الدراسات التي أُجريت قبل سنوات قليلة</w:t>
      </w:r>
      <w:r w:rsidRPr="000D363A">
        <w:rPr>
          <w:rFonts w:ascii="Sakkal Majalla" w:hAnsi="Sakkal Majalla" w:cs="Sakkal Majalla"/>
          <w:sz w:val="30"/>
          <w:szCs w:val="30"/>
          <w:lang w:val="en-GB"/>
        </w:rPr>
        <w:t xml:space="preserve"> (</w:t>
      </w:r>
      <w:r w:rsidRPr="000D363A">
        <w:rPr>
          <w:rFonts w:ascii="Sakkal Majalla" w:hAnsi="Sakkal Majalla" w:cs="Sakkal Majalla"/>
          <w:sz w:val="30"/>
          <w:szCs w:val="30"/>
          <w:rtl/>
          <w:lang w:val="en-GB"/>
        </w:rPr>
        <w:t>مثل</w:t>
      </w:r>
      <w:r w:rsidRPr="000D363A">
        <w:rPr>
          <w:rFonts w:ascii="Sakkal Majalla" w:hAnsi="Sakkal Majalla" w:cs="Sakkal Majalla"/>
          <w:sz w:val="30"/>
          <w:szCs w:val="30"/>
          <w:lang w:val="en-GB"/>
        </w:rPr>
        <w:t xml:space="preserve"> Onyango, 2013) </w:t>
      </w:r>
      <w:r w:rsidRPr="000D363A">
        <w:rPr>
          <w:rFonts w:ascii="Sakkal Majalla" w:hAnsi="Sakkal Majalla" w:cs="Sakkal Majalla"/>
          <w:sz w:val="30"/>
          <w:szCs w:val="30"/>
          <w:rtl/>
          <w:lang w:val="en-GB"/>
        </w:rPr>
        <w:t>غير مواكبة للتحولات الرقمية والمعايير الجديدة للتميز الحكومي السعودي. وبناءً على ذلك، تأتي هذه الدراسة لتسد هذه الفجوات عبر تقديم إطار تحليلي حديث يحدد "أبعاد التميز الأكثر تأثيراً" ويوفر لصناع القرار في الجامعات الحكومية السعودية مخرجات قائمة على أدلة ميدانية تدعم تحسين إدارة رأس المال البشري والارتقاء بالأداء المؤسسي الشامل</w:t>
      </w:r>
      <w:r w:rsidRPr="000D363A">
        <w:rPr>
          <w:rFonts w:ascii="Sakkal Majalla" w:hAnsi="Sakkal Majalla" w:cs="Sakkal Majalla"/>
          <w:sz w:val="30"/>
          <w:szCs w:val="30"/>
          <w:lang w:val="en-GB"/>
        </w:rPr>
        <w:t>.</w:t>
      </w:r>
    </w:p>
    <w:p w14:paraId="6A1E898D" w14:textId="77777777" w:rsidR="007618A8" w:rsidRPr="005F0DA9" w:rsidRDefault="007618A8" w:rsidP="007618A8">
      <w:pPr>
        <w:pStyle w:val="Heading2"/>
        <w:bidi/>
        <w:rPr>
          <w:sz w:val="34"/>
          <w:szCs w:val="38"/>
          <w:rtl/>
        </w:rPr>
      </w:pPr>
      <w:bookmarkStart w:id="21" w:name="_Toc224358880"/>
      <w:r w:rsidRPr="005F0DA9">
        <w:rPr>
          <w:sz w:val="34"/>
          <w:szCs w:val="38"/>
          <w:rtl/>
        </w:rPr>
        <w:lastRenderedPageBreak/>
        <w:t>مصطلحات الدراسة وتعريفاتها الإجرائية</w:t>
      </w:r>
      <w:bookmarkEnd w:id="21"/>
    </w:p>
    <w:p w14:paraId="25D38C5F" w14:textId="7E5A8A09"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b/>
          <w:bCs/>
          <w:sz w:val="30"/>
          <w:szCs w:val="30"/>
          <w:rtl/>
        </w:rPr>
        <w:t>التميز المؤسسي</w:t>
      </w:r>
      <w:r w:rsidRPr="000D363A">
        <w:rPr>
          <w:rFonts w:ascii="Sakkal Majalla" w:hAnsi="Sakkal Majalla" w:cs="Sakkal Majalla"/>
          <w:b/>
          <w:bCs/>
          <w:sz w:val="30"/>
          <w:szCs w:val="30"/>
          <w:lang w:val="en-GB"/>
        </w:rPr>
        <w:t xml:space="preserve"> (Institutional Excellence):</w:t>
      </w:r>
      <w:r w:rsidRPr="005F0DA9">
        <w:rPr>
          <w:rFonts w:ascii="Sakkal Majalla" w:hAnsi="Sakkal Majalla" w:cs="Sakkal Majalla" w:hint="cs"/>
          <w:b/>
          <w:bCs/>
          <w:sz w:val="30"/>
          <w:szCs w:val="30"/>
          <w:rtl/>
          <w:lang w:val="en-GB"/>
        </w:rPr>
        <w:t xml:space="preserve">: </w:t>
      </w:r>
      <w:r w:rsidRPr="005F0DA9">
        <w:rPr>
          <w:rFonts w:ascii="Sakkal Majalla" w:hAnsi="Sakkal Majalla" w:cs="Sakkal Majalla" w:hint="cs"/>
          <w:sz w:val="30"/>
          <w:szCs w:val="30"/>
          <w:rtl/>
          <w:lang w:val="en-GB"/>
        </w:rPr>
        <w:t>يعرف</w:t>
      </w:r>
      <w:r w:rsidRPr="005F0DA9">
        <w:rPr>
          <w:rFonts w:ascii="Sakkal Majalla" w:hAnsi="Sakkal Majalla" w:cs="Sakkal Majalla" w:hint="cs"/>
          <w:b/>
          <w:bCs/>
          <w:sz w:val="30"/>
          <w:szCs w:val="30"/>
          <w:rtl/>
          <w:lang w:val="en-GB"/>
        </w:rPr>
        <w:t xml:space="preserve"> </w:t>
      </w:r>
      <w:r w:rsidRPr="005F0DA9">
        <w:rPr>
          <w:rFonts w:ascii="Sakkal Majalla" w:hAnsi="Sakkal Majalla" w:cs="Sakkal Majalla" w:hint="cs"/>
          <w:sz w:val="30"/>
          <w:szCs w:val="30"/>
          <w:rtl/>
        </w:rPr>
        <w:t>إنه</w:t>
      </w:r>
      <w:r w:rsidRPr="005F0DA9">
        <w:rPr>
          <w:rFonts w:ascii="Sakkal Majalla" w:hAnsi="Sakkal Majalla" w:cs="Sakkal Majalla" w:hint="cs"/>
          <w:b/>
          <w:bCs/>
          <w:sz w:val="30"/>
          <w:szCs w:val="30"/>
          <w:rtl/>
        </w:rPr>
        <w:t xml:space="preserve"> </w:t>
      </w:r>
      <w:r w:rsidRPr="000D363A">
        <w:rPr>
          <w:rFonts w:ascii="Sakkal Majalla" w:hAnsi="Sakkal Majalla" w:cs="Sakkal Majalla"/>
          <w:sz w:val="30"/>
          <w:szCs w:val="30"/>
          <w:rtl/>
        </w:rPr>
        <w:t>هو حالة من الأداء المتفوق والمستدام للمؤسسة، تضمن تلبية وتجاوز توقعات أصحاب المصلحة من خلال تبني معايير جودة شاملة، وقيادة ملهمة، وعمليات مبتكرة تهدف إلى تحقيق نتائج ريادية (حجازي، 2024؛ القرشي، 2024)</w:t>
      </w:r>
      <w:r w:rsidRPr="005F0DA9">
        <w:rPr>
          <w:rFonts w:ascii="Sakkal Majalla" w:hAnsi="Sakkal Majalla" w:cs="Sakkal Majalla" w:hint="cs"/>
          <w:sz w:val="30"/>
          <w:szCs w:val="30"/>
          <w:rtl/>
          <w:lang w:val="en-GB"/>
        </w:rPr>
        <w:t>، و</w:t>
      </w:r>
      <w:r w:rsidRPr="000D363A">
        <w:rPr>
          <w:rFonts w:ascii="Sakkal Majalla" w:hAnsi="Sakkal Majalla" w:cs="Sakkal Majalla"/>
          <w:sz w:val="30"/>
          <w:szCs w:val="30"/>
          <w:rtl/>
        </w:rPr>
        <w:t>تعرفه الدراسة الحالية إجرائياً بأنه: مدى توافر معايير التفوق التنظيمي في الجامعات الحكومية بمدينة الرياض من وجهة نظر المنسوبين، ويشمل أبعاد (القيادة الإدارية، التخطيط الاستراتيجي، ثقافة الابتكار، والتركيز على المستفيد)، ويقاس من خلال الدرجة التي يحصل عليها المستجيب في المحور الأول من الاستبانة</w:t>
      </w:r>
      <w:r w:rsidRPr="000D363A">
        <w:rPr>
          <w:rFonts w:ascii="Sakkal Majalla" w:hAnsi="Sakkal Majalla" w:cs="Sakkal Majalla"/>
          <w:sz w:val="30"/>
          <w:szCs w:val="30"/>
          <w:lang w:val="en-GB"/>
        </w:rPr>
        <w:t>.</w:t>
      </w:r>
    </w:p>
    <w:p w14:paraId="58B9E2DC" w14:textId="2ACF7FF1"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b/>
          <w:bCs/>
          <w:sz w:val="30"/>
          <w:szCs w:val="30"/>
          <w:rtl/>
        </w:rPr>
        <w:t>إدارة الموارد البشرية</w:t>
      </w:r>
      <w:r w:rsidRPr="000D363A">
        <w:rPr>
          <w:rFonts w:ascii="Sakkal Majalla" w:hAnsi="Sakkal Majalla" w:cs="Sakkal Majalla"/>
          <w:b/>
          <w:bCs/>
          <w:sz w:val="30"/>
          <w:szCs w:val="30"/>
          <w:lang w:val="en-GB"/>
        </w:rPr>
        <w:t xml:space="preserve"> (Human Resource Management):</w:t>
      </w:r>
      <w:r w:rsidRPr="005F0DA9">
        <w:rPr>
          <w:rFonts w:ascii="Sakkal Majalla" w:hAnsi="Sakkal Majalla" w:cs="Sakkal Majalla" w:hint="cs"/>
          <w:b/>
          <w:bCs/>
          <w:sz w:val="30"/>
          <w:szCs w:val="30"/>
          <w:rtl/>
          <w:lang w:val="en-GB"/>
        </w:rPr>
        <w:t xml:space="preserve"> : </w:t>
      </w:r>
      <w:r w:rsidRPr="005F0DA9">
        <w:rPr>
          <w:rFonts w:ascii="Sakkal Majalla" w:hAnsi="Sakkal Majalla" w:cs="Sakkal Majalla" w:hint="cs"/>
          <w:b/>
          <w:bCs/>
          <w:sz w:val="30"/>
          <w:szCs w:val="30"/>
          <w:rtl/>
        </w:rPr>
        <w:t xml:space="preserve"> </w:t>
      </w:r>
      <w:r w:rsidRPr="005F0DA9">
        <w:rPr>
          <w:rFonts w:ascii="Sakkal Majalla" w:hAnsi="Sakkal Majalla" w:cs="Sakkal Majalla" w:hint="cs"/>
          <w:sz w:val="30"/>
          <w:szCs w:val="30"/>
          <w:rtl/>
        </w:rPr>
        <w:t xml:space="preserve"> يعرف بإنها </w:t>
      </w:r>
      <w:r w:rsidRPr="000D363A">
        <w:rPr>
          <w:rFonts w:ascii="Sakkal Majalla" w:hAnsi="Sakkal Majalla" w:cs="Sakkal Majalla"/>
          <w:sz w:val="30"/>
          <w:szCs w:val="30"/>
          <w:rtl/>
        </w:rPr>
        <w:t>هي مجموعة الاستراتيجيات والسياسات والممارسات التي تهدف إلى جذب وتطوير وتحفيز والحفاظ على رأس المال البشري في المنظمة، بما يضمن تحقيق التوازن بين أهداف الأفراد والأهداف الاستراتيجية للمؤسسة (صديق، 2019؛ أهلي، 2025)</w:t>
      </w:r>
      <w:r w:rsidRPr="005F0DA9">
        <w:rPr>
          <w:rFonts w:ascii="Sakkal Majalla" w:hAnsi="Sakkal Majalla" w:cs="Sakkal Majalla" w:hint="cs"/>
          <w:sz w:val="30"/>
          <w:szCs w:val="30"/>
          <w:rtl/>
          <w:lang w:val="en-GB"/>
        </w:rPr>
        <w:t xml:space="preserve">، وتعرفه </w:t>
      </w:r>
      <w:r w:rsidRPr="000D363A">
        <w:rPr>
          <w:rFonts w:ascii="Sakkal Majalla" w:hAnsi="Sakkal Majalla" w:cs="Sakkal Majalla"/>
          <w:sz w:val="30"/>
          <w:szCs w:val="30"/>
          <w:rtl/>
        </w:rPr>
        <w:t>الدراسة الحالية إجرائياً بأنه: مستوى جودة وكفاءة الممارسات الإدارية الموجهة للعاملين في الجامعات محل الدراسة، وتحديداً في وظائف (الاستقطاب والاختيار، التدريب والتطوير، نظام التحفيز والمكافآت، وتمكين العاملين)، ويقاس من خلال استجابات أفراد العينة على فقرات المحور الثاني في الاستبانة</w:t>
      </w:r>
      <w:r w:rsidRPr="000D363A">
        <w:rPr>
          <w:rFonts w:ascii="Sakkal Majalla" w:hAnsi="Sakkal Majalla" w:cs="Sakkal Majalla"/>
          <w:sz w:val="30"/>
          <w:szCs w:val="30"/>
          <w:lang w:val="en-GB"/>
        </w:rPr>
        <w:t>.</w:t>
      </w:r>
    </w:p>
    <w:p w14:paraId="3339FE5F" w14:textId="690A02F8"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b/>
          <w:bCs/>
          <w:sz w:val="30"/>
          <w:szCs w:val="30"/>
          <w:rtl/>
        </w:rPr>
        <w:t>الأداء المؤسسي</w:t>
      </w:r>
      <w:r w:rsidRPr="000D363A">
        <w:rPr>
          <w:rFonts w:ascii="Sakkal Majalla" w:hAnsi="Sakkal Majalla" w:cs="Sakkal Majalla"/>
          <w:b/>
          <w:bCs/>
          <w:sz w:val="30"/>
          <w:szCs w:val="30"/>
          <w:lang w:val="en-GB"/>
        </w:rPr>
        <w:t xml:space="preserve"> (Institutional Performance):</w:t>
      </w:r>
      <w:r w:rsidRPr="005F0DA9">
        <w:rPr>
          <w:rFonts w:ascii="Sakkal Majalla" w:hAnsi="Sakkal Majalla" w:cs="Sakkal Majalla" w:hint="cs"/>
          <w:b/>
          <w:bCs/>
          <w:sz w:val="30"/>
          <w:szCs w:val="30"/>
          <w:rtl/>
          <w:lang w:val="en-GB"/>
        </w:rPr>
        <w:t xml:space="preserve"> : </w:t>
      </w:r>
      <w:r w:rsidRPr="005F0DA9">
        <w:rPr>
          <w:rFonts w:ascii="Sakkal Majalla" w:hAnsi="Sakkal Majalla" w:cs="Sakkal Majalla" w:hint="cs"/>
          <w:sz w:val="30"/>
          <w:szCs w:val="30"/>
          <w:rtl/>
          <w:lang w:val="en-GB"/>
        </w:rPr>
        <w:t>يعرف بإنه</w:t>
      </w:r>
      <w:r w:rsidRPr="005F0DA9">
        <w:rPr>
          <w:rFonts w:ascii="Sakkal Majalla" w:hAnsi="Sakkal Majalla" w:cs="Sakkal Majalla" w:hint="cs"/>
          <w:b/>
          <w:bCs/>
          <w:sz w:val="30"/>
          <w:szCs w:val="30"/>
          <w:rtl/>
          <w:lang w:val="en-GB"/>
        </w:rPr>
        <w:t xml:space="preserve"> </w:t>
      </w:r>
      <w:r w:rsidRPr="000D363A">
        <w:rPr>
          <w:rFonts w:ascii="Sakkal Majalla" w:hAnsi="Sakkal Majalla" w:cs="Sakkal Majalla"/>
          <w:sz w:val="30"/>
          <w:szCs w:val="30"/>
          <w:rtl/>
        </w:rPr>
        <w:t>هو المحصلة النهائية لنشاط المؤسسة التي تعكس مدى قدرتها على استخدام مواردها بكفاءة</w:t>
      </w:r>
      <w:r w:rsidRPr="000D363A">
        <w:rPr>
          <w:rFonts w:ascii="Sakkal Majalla" w:hAnsi="Sakkal Majalla" w:cs="Sakkal Majalla"/>
          <w:sz w:val="30"/>
          <w:szCs w:val="30"/>
          <w:lang w:val="en-GB"/>
        </w:rPr>
        <w:t xml:space="preserve"> (Efficiency) </w:t>
      </w:r>
      <w:r w:rsidRPr="000D363A">
        <w:rPr>
          <w:rFonts w:ascii="Sakkal Majalla" w:hAnsi="Sakkal Majalla" w:cs="Sakkal Majalla"/>
          <w:sz w:val="30"/>
          <w:szCs w:val="30"/>
          <w:rtl/>
        </w:rPr>
        <w:t>لتحقيق أهدافها بفاعلية</w:t>
      </w:r>
      <w:r w:rsidRPr="000D363A">
        <w:rPr>
          <w:rFonts w:ascii="Sakkal Majalla" w:hAnsi="Sakkal Majalla" w:cs="Sakkal Majalla"/>
          <w:sz w:val="30"/>
          <w:szCs w:val="30"/>
          <w:lang w:val="en-GB"/>
        </w:rPr>
        <w:t xml:space="preserve"> (Effectiveness)</w:t>
      </w:r>
      <w:r w:rsidRPr="000D363A">
        <w:rPr>
          <w:rFonts w:ascii="Sakkal Majalla" w:hAnsi="Sakkal Majalla" w:cs="Sakkal Majalla"/>
          <w:sz w:val="30"/>
          <w:szCs w:val="30"/>
          <w:rtl/>
        </w:rPr>
        <w:t>، ويظهر في شكل مخرجات تعليمية وبحثية وإدارية متميزة (النصير، 2023؛ عسيري والعمود، 2024)</w:t>
      </w:r>
      <w:r w:rsidRPr="005F0DA9">
        <w:rPr>
          <w:rFonts w:ascii="Sakkal Majalla" w:hAnsi="Sakkal Majalla" w:cs="Sakkal Majalla" w:hint="cs"/>
          <w:sz w:val="30"/>
          <w:szCs w:val="30"/>
          <w:rtl/>
          <w:lang w:val="en-GB"/>
        </w:rPr>
        <w:t>، و</w:t>
      </w:r>
      <w:r w:rsidRPr="000D363A">
        <w:rPr>
          <w:rFonts w:ascii="Sakkal Majalla" w:hAnsi="Sakkal Majalla" w:cs="Sakkal Majalla"/>
          <w:sz w:val="30"/>
          <w:szCs w:val="30"/>
          <w:rtl/>
        </w:rPr>
        <w:t>تعرفه الدراسة الحالية إجرائياً بأنه: درجة تحقق معايير الإنجاز في الجامعات الحكومية بمدينة الرياض، متمثلة في (جودة المخرجات، كفاءة العمليات الإدارية، والإنتاجية العامة للمنسوبين)، ويقاس بالدرجة الكلية التي يمنحها المستجيب لفقرات المحور الثالث في الاستبانة</w:t>
      </w:r>
      <w:r w:rsidRPr="000D363A">
        <w:rPr>
          <w:rFonts w:ascii="Sakkal Majalla" w:hAnsi="Sakkal Majalla" w:cs="Sakkal Majalla"/>
          <w:sz w:val="30"/>
          <w:szCs w:val="30"/>
          <w:lang w:val="en-GB"/>
        </w:rPr>
        <w:t>.</w:t>
      </w:r>
    </w:p>
    <w:p w14:paraId="4506AC12" w14:textId="6571AFF7" w:rsidR="000D363A" w:rsidRPr="000D363A" w:rsidRDefault="000D363A" w:rsidP="000D363A">
      <w:pPr>
        <w:bidi/>
        <w:spacing w:line="360" w:lineRule="auto"/>
        <w:ind w:firstLine="720"/>
        <w:jc w:val="both"/>
        <w:rPr>
          <w:rFonts w:ascii="Sakkal Majalla" w:hAnsi="Sakkal Majalla" w:cs="Sakkal Majalla"/>
          <w:sz w:val="30"/>
          <w:szCs w:val="30"/>
          <w:lang w:val="en-GB"/>
        </w:rPr>
      </w:pPr>
      <w:r w:rsidRPr="000D363A">
        <w:rPr>
          <w:rFonts w:ascii="Sakkal Majalla" w:hAnsi="Sakkal Majalla" w:cs="Sakkal Majalla"/>
          <w:b/>
          <w:bCs/>
          <w:sz w:val="30"/>
          <w:szCs w:val="30"/>
          <w:rtl/>
        </w:rPr>
        <w:lastRenderedPageBreak/>
        <w:t xml:space="preserve">رابعاً: الجامعات الحكومية بمدينة </w:t>
      </w:r>
      <w:r w:rsidRPr="005F0DA9">
        <w:rPr>
          <w:rFonts w:ascii="Sakkal Majalla" w:hAnsi="Sakkal Majalla" w:cs="Sakkal Majalla" w:hint="cs"/>
          <w:b/>
          <w:bCs/>
          <w:sz w:val="30"/>
          <w:szCs w:val="30"/>
          <w:rtl/>
        </w:rPr>
        <w:t xml:space="preserve">: </w:t>
      </w:r>
      <w:r w:rsidRPr="000D363A">
        <w:rPr>
          <w:rFonts w:ascii="Sakkal Majalla" w:hAnsi="Sakkal Majalla" w:cs="Sakkal Majalla"/>
          <w:sz w:val="30"/>
          <w:szCs w:val="30"/>
          <w:rtl/>
        </w:rPr>
        <w:t>هي مؤسسات التعليم العالي الممولة من الدولة، والتي تهدف إلى تقديم التعليم الأكاديمي، والبحث العلمي، وخدمة المجتمع وفق الأنظمة واللوائح الرسمية بوزارة التعليم في المملكة العربية السعودية</w:t>
      </w:r>
      <w:r w:rsidRPr="005F0DA9">
        <w:rPr>
          <w:rFonts w:ascii="Sakkal Majalla" w:hAnsi="Sakkal Majalla" w:cs="Sakkal Majalla" w:hint="cs"/>
          <w:sz w:val="30"/>
          <w:szCs w:val="30"/>
          <w:rtl/>
          <w:lang w:val="en-GB"/>
        </w:rPr>
        <w:t xml:space="preserve">، </w:t>
      </w:r>
      <w:r w:rsidRPr="000D363A">
        <w:rPr>
          <w:rFonts w:ascii="Sakkal Majalla" w:hAnsi="Sakkal Majalla" w:cs="Sakkal Majalla"/>
          <w:sz w:val="30"/>
          <w:szCs w:val="30"/>
          <w:rtl/>
        </w:rPr>
        <w:t>يقصد بها في هذه الدراسة: المؤسسات الأكاديمية الحكومية التي تقع مقراتها الرئيسية في مدينة الرياض، والتي سيتم التطبيق الميداني عليها (مثل: جامعة الملك سعود، جامعة الأميرة نورة بنت عبد الرحمن، جامعة الإمام محمد بن سعود الإسلامية)، وتمثل المجتمع الذي تُسحب منه عينة الدراسة من أعضاء هيئة التدريس والإداريين</w:t>
      </w:r>
      <w:r w:rsidRPr="000D363A">
        <w:rPr>
          <w:rFonts w:ascii="Sakkal Majalla" w:hAnsi="Sakkal Majalla" w:cs="Sakkal Majalla"/>
          <w:sz w:val="30"/>
          <w:szCs w:val="30"/>
          <w:lang w:val="en-GB"/>
        </w:rPr>
        <w:t>.</w:t>
      </w:r>
    </w:p>
    <w:p w14:paraId="71957A67" w14:textId="77777777" w:rsidR="004A6808" w:rsidRPr="005F0DA9" w:rsidRDefault="004A6808">
      <w:pPr>
        <w:rPr>
          <w:b/>
          <w:bCs/>
          <w:sz w:val="34"/>
          <w:szCs w:val="34"/>
          <w:rtl/>
        </w:rPr>
      </w:pPr>
      <w:r w:rsidRPr="005F0DA9">
        <w:rPr>
          <w:b/>
          <w:bCs/>
          <w:sz w:val="34"/>
          <w:szCs w:val="34"/>
          <w:rtl/>
        </w:rPr>
        <w:br w:type="page"/>
      </w:r>
    </w:p>
    <w:p w14:paraId="2D7A0160" w14:textId="1B2E245F" w:rsidR="00C9514A" w:rsidRPr="005F0DA9" w:rsidRDefault="0061389B" w:rsidP="004A6808">
      <w:pPr>
        <w:pStyle w:val="Heading1"/>
        <w:bidi/>
        <w:rPr>
          <w:rFonts w:ascii="Sakkal Majalla" w:hAnsi="Sakkal Majalla"/>
          <w:sz w:val="26"/>
          <w:szCs w:val="26"/>
          <w:rtl/>
        </w:rPr>
      </w:pPr>
      <w:bookmarkStart w:id="22" w:name="_Toc224358881"/>
      <w:r w:rsidRPr="005F0DA9">
        <w:rPr>
          <w:rFonts w:hint="cs"/>
          <w:sz w:val="42"/>
          <w:szCs w:val="46"/>
          <w:rtl/>
        </w:rPr>
        <w:lastRenderedPageBreak/>
        <w:t>الفصل الثاني:</w:t>
      </w:r>
      <w:r w:rsidR="00771B36" w:rsidRPr="005F0DA9">
        <w:rPr>
          <w:rFonts w:hint="cs"/>
          <w:sz w:val="42"/>
          <w:szCs w:val="46"/>
          <w:rtl/>
        </w:rPr>
        <w:t xml:space="preserve"> الإطار </w:t>
      </w:r>
      <w:r w:rsidRPr="005F0DA9">
        <w:rPr>
          <w:rFonts w:hint="cs"/>
          <w:sz w:val="42"/>
          <w:szCs w:val="46"/>
          <w:rtl/>
        </w:rPr>
        <w:t>النظري</w:t>
      </w:r>
      <w:r w:rsidR="00FE2D05" w:rsidRPr="005F0DA9">
        <w:rPr>
          <w:rFonts w:hint="cs"/>
          <w:sz w:val="42"/>
          <w:szCs w:val="46"/>
          <w:rtl/>
        </w:rPr>
        <w:t xml:space="preserve"> </w:t>
      </w:r>
      <w:r w:rsidRPr="005F0DA9">
        <w:rPr>
          <w:rFonts w:hint="cs"/>
          <w:sz w:val="42"/>
          <w:szCs w:val="46"/>
          <w:rtl/>
        </w:rPr>
        <w:t>للدراسة</w:t>
      </w:r>
      <w:bookmarkEnd w:id="22"/>
    </w:p>
    <w:p w14:paraId="522A470E" w14:textId="28A36527" w:rsidR="00E821DF" w:rsidRPr="005F0DA9" w:rsidRDefault="00E821DF" w:rsidP="00E821DF">
      <w:pPr>
        <w:pStyle w:val="Heading2"/>
        <w:bidi/>
        <w:jc w:val="center"/>
        <w:rPr>
          <w:sz w:val="34"/>
          <w:szCs w:val="38"/>
          <w:rtl/>
        </w:rPr>
      </w:pPr>
      <w:bookmarkStart w:id="23" w:name="_Toc224358882"/>
      <w:r w:rsidRPr="005F0DA9">
        <w:rPr>
          <w:sz w:val="34"/>
          <w:szCs w:val="38"/>
          <w:rtl/>
        </w:rPr>
        <w:t xml:space="preserve">المبحث الأول: </w:t>
      </w:r>
      <w:r w:rsidR="005335DA" w:rsidRPr="005F0DA9">
        <w:rPr>
          <w:sz w:val="34"/>
          <w:szCs w:val="38"/>
          <w:rtl/>
        </w:rPr>
        <w:t>استراتيجيات التسويق الرقمي: المفهوم، الأنواع، والانتشار في المملكة العربية السعودية</w:t>
      </w:r>
      <w:bookmarkEnd w:id="23"/>
      <w:r w:rsidR="005335DA" w:rsidRPr="005F0DA9">
        <w:rPr>
          <w:rFonts w:hint="cs"/>
          <w:sz w:val="34"/>
          <w:szCs w:val="38"/>
          <w:rtl/>
        </w:rPr>
        <w:t xml:space="preserve"> </w:t>
      </w:r>
    </w:p>
    <w:p w14:paraId="5AB57330" w14:textId="18F34EAD" w:rsidR="00590F45" w:rsidRPr="00DA72CE" w:rsidRDefault="00590F45" w:rsidP="00590F45">
      <w:pPr>
        <w:pStyle w:val="Heading3"/>
        <w:bidi/>
        <w:rPr>
          <w:spacing w:val="-4"/>
          <w:sz w:val="30"/>
          <w:szCs w:val="34"/>
        </w:rPr>
      </w:pPr>
      <w:r w:rsidRPr="00DA72CE">
        <w:rPr>
          <w:spacing w:val="-4"/>
          <w:sz w:val="30"/>
          <w:szCs w:val="34"/>
          <w:rtl/>
        </w:rPr>
        <w:t xml:space="preserve"> </w:t>
      </w:r>
      <w:bookmarkStart w:id="24" w:name="_Toc224358883"/>
      <w:r w:rsidRPr="00DA72CE">
        <w:rPr>
          <w:spacing w:val="-4"/>
          <w:sz w:val="30"/>
          <w:szCs w:val="34"/>
          <w:rtl/>
        </w:rPr>
        <w:t>مقدمة</w:t>
      </w:r>
      <w:bookmarkEnd w:id="24"/>
      <w:r w:rsidRPr="00DA72CE">
        <w:rPr>
          <w:spacing w:val="-4"/>
          <w:sz w:val="30"/>
          <w:szCs w:val="34"/>
          <w:rtl/>
        </w:rPr>
        <w:t xml:space="preserve"> </w:t>
      </w:r>
    </w:p>
    <w:p w14:paraId="699B9A37" w14:textId="77777777" w:rsidR="00590F45" w:rsidRPr="00DA72CE" w:rsidRDefault="00590F45" w:rsidP="00DA72CE">
      <w:pPr>
        <w:bidi/>
        <w:spacing w:after="0" w:line="336"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يمثل الإطار النظري للدراسة الحالية الركيزة الأساسية التي تستند إليها عملية البحث العلمي، حيث يوفر الأساس المفاهيمي والمنهجي لفهم الظاهرة المدروسة وتحليل العلاقات بين متغيراتها الرئيسية. وتكتسب هذه الدراسة أهميتها من تركيزها على ثلاثة متغيرات جوهرية في بيئة التعليم العالي السعودي، وهي: التميز المؤسسي، وإدارة الموارد البشرية، والأداء المؤسسي، وذلك في سياق الجامعات الحكومية بمدينة الرياض التي تشكل نواة منظومة التعليم الجامعي في المملكة العربية السعودية.</w:t>
      </w:r>
    </w:p>
    <w:p w14:paraId="4B2DC920" w14:textId="77777777" w:rsidR="00590F45" w:rsidRPr="00DA72CE" w:rsidRDefault="00590F45" w:rsidP="00DA72CE">
      <w:pPr>
        <w:bidi/>
        <w:spacing w:after="0" w:line="336"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وتستند الدراسة الحالية إلى فرضية أساسية مفادها أن التميز المؤسسي بأبعاده المختلفة (القيادة، العمليات، الموارد البشرية والمالية، المعرفة) يلعب دوراً محورياً في تعزيز ممارسات إدارة الموارد البشرية (الاستقطاب، التدريب، التحفيز، التمكين) والارتقاء بمستوى الأداء المؤسسي (الكفاءة، الفاعلية، الإنتاجية) في الجامعات الحكومية. ولتحقيق أهداف الدراسة الأربعة المتمثلة في التعرف على مستوى التميز المؤسسي، وتقييم جودة ممارسات إدارة الموارد البشرية، ورصد مستوى الأداء المؤسسي، وتحليل الأثر والعلاقة بين هذه المتغيرات، كان لا بد من بناء إطار نظري متين يستند إلى الأدبيات العلمية والدراسات السابقة العربية والأجنبية.</w:t>
      </w:r>
    </w:p>
    <w:p w14:paraId="0912EB33" w14:textId="77777777" w:rsidR="00BF318A" w:rsidRPr="00DA72CE" w:rsidRDefault="00590F45" w:rsidP="00DA72CE">
      <w:pPr>
        <w:bidi/>
        <w:spacing w:after="0" w:line="336"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ويهدف هذا الإطار النظري إلى تقديم مراجعة شاملة ومعمقة للمفاهيم والنظريات والنماذج المرتبطة بمتغيرات الدراسة، مع التركيز بشكل خاص على الدراسات العربية التي تناولت هذه الظواهر في سياق التعليم العالي السعودي والعربي، إيماناً بأهمية توظيف المعرفة المحلية في فهم واقع الجامعات السعودية وتحدياتها وفرص تطويرها. كما يسعى الإطار إلى تحديد الفجوات البحثية التي تسهم الدراسة الحالية في سدها، وبناء نموذج مفاهيمي يوضح العلاقات المتوقعة بين المتغيرات.</w:t>
      </w:r>
    </w:p>
    <w:p w14:paraId="672465E5" w14:textId="5B4F378C" w:rsidR="00590F45" w:rsidRPr="00DA72CE" w:rsidRDefault="00590F45" w:rsidP="00DA72CE">
      <w:pPr>
        <w:bidi/>
        <w:spacing w:after="0" w:line="336"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 xml:space="preserve">وقد تم تقسيم الإطار النظري إلى خمسة مباحث رئيسة، يتناول المبحث الأول مفهوم التميز المؤسسي وأبعاده ونماذجه النظرية، بينما يركز المبحث الثاني على إدارة الموارد البشرية ومفاهيمها ووظائفها الاستراتيجية. أما </w:t>
      </w:r>
      <w:r w:rsidRPr="00DA72CE">
        <w:rPr>
          <w:rFonts w:ascii="Sakkal Majalla" w:hAnsi="Sakkal Majalla" w:cs="Sakkal Majalla"/>
          <w:spacing w:val="-8"/>
          <w:sz w:val="30"/>
          <w:szCs w:val="30"/>
          <w:rtl/>
        </w:rPr>
        <w:lastRenderedPageBreak/>
        <w:t>المبحث الثالث فيتناول الأداء المؤسسي ومؤشرات قياسه في مؤسسات التعليم العالي، في حين يخصص المبحث الرابع لتحليل العلاقة التبادلية بين المتغيرات الثلاثة بناءً على الأدلة التجريبية من الدراسات السابقة. وينتهي الإطار بالمبحث الخامس الذي يقدم النموذج المفاهيمي للدراسة الحالية ويحدد الفجوات البحثية التي تسعى لمعالجتها.</w:t>
      </w:r>
    </w:p>
    <w:p w14:paraId="33E74BDA" w14:textId="77777777" w:rsidR="00590F45" w:rsidRPr="00DA72CE" w:rsidRDefault="00590F45" w:rsidP="00DA72CE">
      <w:pPr>
        <w:bidi/>
        <w:spacing w:after="0" w:line="336"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إن التطور المتسارع في قطاع التعليم العالي على المستوى العالمي، وما يشهده من تحولات استراتيجية في ظل اقتصاد المعرفة والثورة الرقمية، يفرض على الجامعات السعودية إعادة النظر في نماذجها الإدارية والتنظيمية لضمان الاستدامة والتنافسية. وفي هذا السياق، تبرز أهمية التميز المؤسسي كمدخل استراتيجي لتحقيق الرؤية الطموحة للمملكة 2030 التي تهدف إلى تطوير منظومة التعليم العالي ورفع كفاءتها (القرشي، 2024). كما أن تطبيق معايير الاعتماد الأكاديمي والجودة الشاملة يتطلب تبني ممارسات إدارية متطورة تعزز من قدرات المؤسسات التعليمية على الابتكار والتكيف مع المتغيرات (الجاسر، 2023).</w:t>
      </w:r>
    </w:p>
    <w:p w14:paraId="56293969" w14:textId="77777777" w:rsidR="00BF318A" w:rsidRPr="00DA72CE" w:rsidRDefault="00590F45" w:rsidP="00DA72CE">
      <w:pPr>
        <w:bidi/>
        <w:spacing w:after="0" w:line="336"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وتعتبر إدارة الموارد البشرية في الجامعات من الركائز الأساسية لتحقيق التميز، حيث يمثل العنصر البشري -سواء من أعضاء هيئة التدريس أو الكوادر الإدارية- المحرك الرئيسي لعملية التطوير والتحول المؤسسي. وتشير الأدبيات إلى أن المؤسسات التي تستثمر في تطوير كفاءاتها البشرية وتبني أنظمة تحفيزية فعالة تكون أكثر قدرة على تحقيق أهدافها الاستراتيجية والتميز في أدائها (حمزة ومحمد وحسن وموسى والعبيد، 2025). وفي سياق الجامعات السعودية، تبرز الحاجة إلى دراسات ميدانية تستكشف واقع ممارسات إدارة الموارد البشرية وعلاقتها بمستويات التميز والأداء المؤسسي، خاصة في ظل الجهود الحكومية المكثفة لتطوير القطاع.</w:t>
      </w:r>
    </w:p>
    <w:p w14:paraId="171D8E5B" w14:textId="77777777" w:rsidR="00840C0F" w:rsidRPr="00DA72CE" w:rsidRDefault="00590F45" w:rsidP="00DA72CE">
      <w:pPr>
        <w:bidi/>
        <w:spacing w:after="0" w:line="336"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أما الأداء المؤسسي في الجامعات، فيمثل المحصلة النهائية لفعالية الممارسات الإدارية والأكاديمية، ويعكس قدرة المؤسسة على تحقيق رسالتها وأهدافها بكفاءة وفعالية. وتتطلب عملية قياس الأداء المؤسسي في التعليم العالي تبني مؤشرات متعددة الأبعاد تشمل الجوانب الأكاديمية والبحثية والخدمية والإدارية، مع مراعاة خصوصية هذه المؤسسات وتعدد أصحاب المصلحة فيها (النصير، 2023). وقد أولت الجامعات السعودية اهتماماً متزايداً بقياس الأداء المؤسسي من خلال وحدات متخصصة ومؤشرات أداء رئيسية تتوافق مع المعايير المحلية والدولية (عسيري والعمود، 2024).</w:t>
      </w:r>
    </w:p>
    <w:p w14:paraId="383A5004" w14:textId="122B02F8" w:rsidR="00BF318A" w:rsidRPr="00DA72CE" w:rsidRDefault="00BF318A">
      <w:pPr>
        <w:rPr>
          <w:rFonts w:asciiTheme="majorHAnsi" w:eastAsiaTheme="majorEastAsia" w:hAnsiTheme="majorHAnsi" w:cs="Sakkal Majalla"/>
          <w:b/>
          <w:bCs/>
          <w:spacing w:val="-4"/>
          <w:sz w:val="32"/>
          <w:szCs w:val="36"/>
          <w:rtl/>
        </w:rPr>
      </w:pPr>
      <w:r w:rsidRPr="00DA72CE">
        <w:rPr>
          <w:spacing w:val="-4"/>
          <w:rtl/>
        </w:rPr>
        <w:br w:type="page"/>
      </w:r>
    </w:p>
    <w:p w14:paraId="4B22F174" w14:textId="5FA0D5E3" w:rsidR="00590F45" w:rsidRPr="00DA72CE" w:rsidRDefault="00590F45" w:rsidP="00BF318A">
      <w:pPr>
        <w:pStyle w:val="Heading2"/>
        <w:bidi/>
        <w:jc w:val="center"/>
        <w:rPr>
          <w:spacing w:val="-4"/>
        </w:rPr>
      </w:pPr>
      <w:bookmarkStart w:id="25" w:name="_Toc224358884"/>
      <w:r w:rsidRPr="00DA72CE">
        <w:rPr>
          <w:spacing w:val="-4"/>
          <w:rtl/>
        </w:rPr>
        <w:lastRenderedPageBreak/>
        <w:t>المبحث الأول: التميز المؤسسي - المفهوم والأبعاد والنماذج النظرية</w:t>
      </w:r>
      <w:bookmarkEnd w:id="25"/>
    </w:p>
    <w:p w14:paraId="609EE352" w14:textId="628160AB" w:rsidR="00590F45" w:rsidRPr="00DA72CE" w:rsidRDefault="00590F45" w:rsidP="00BF318A">
      <w:pPr>
        <w:pStyle w:val="Heading4"/>
        <w:bidi/>
        <w:rPr>
          <w:spacing w:val="-4"/>
        </w:rPr>
      </w:pPr>
      <w:r w:rsidRPr="00DA72CE">
        <w:rPr>
          <w:spacing w:val="-4"/>
          <w:rtl/>
        </w:rPr>
        <w:t xml:space="preserve"> 1.1 التعريفات والمفاهيم الأساسية للتميز المؤسسي</w:t>
      </w:r>
    </w:p>
    <w:p w14:paraId="394267EC"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يشكل مفهوم التميز المؤسسي (</w:t>
      </w:r>
      <w:r w:rsidRPr="00DA72CE">
        <w:rPr>
          <w:rFonts w:ascii="Sakkal Majalla" w:hAnsi="Sakkal Majalla" w:cs="Sakkal Majalla"/>
          <w:spacing w:val="-4"/>
          <w:sz w:val="30"/>
          <w:szCs w:val="30"/>
        </w:rPr>
        <w:t>Institutional Excellence</w:t>
      </w:r>
      <w:r w:rsidRPr="00DA72CE">
        <w:rPr>
          <w:rFonts w:ascii="Sakkal Majalla" w:hAnsi="Sakkal Majalla" w:cs="Sakkal Majalla"/>
          <w:spacing w:val="-4"/>
          <w:sz w:val="30"/>
          <w:szCs w:val="30"/>
          <w:rtl/>
        </w:rPr>
        <w:t>) أحد المفاهيم المحورية في الأدبيات الإدارية المعاصرة، حيث حظي باهتمام واسع من الباحثين والممارسين في مختلف القطاعات، وخاصة في قطاع التعليم العالي الذي يشهد تحولات متسارعة وتحديات تنافسية متزايدة. وتتنوع التعريفات التي قدمها الباحثون لهذا المفهوم وفقاً للزاوية التي ينظرون منها والقطاع الذي يطبقونه عليه.</w:t>
      </w:r>
    </w:p>
    <w:p w14:paraId="76D98043"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فيعرف </w:t>
      </w:r>
      <w:proofErr w:type="spellStart"/>
      <w:r w:rsidRPr="00DA72CE">
        <w:rPr>
          <w:rFonts w:ascii="Sakkal Majalla" w:hAnsi="Sakkal Majalla" w:cs="Sakkal Majalla"/>
          <w:spacing w:val="-4"/>
          <w:sz w:val="30"/>
          <w:szCs w:val="30"/>
          <w:rtl/>
        </w:rPr>
        <w:t>جريارد</w:t>
      </w:r>
      <w:proofErr w:type="spellEnd"/>
      <w:r w:rsidRPr="00DA72CE">
        <w:rPr>
          <w:rFonts w:ascii="Sakkal Majalla" w:hAnsi="Sakkal Majalla" w:cs="Sakkal Majalla"/>
          <w:spacing w:val="-4"/>
          <w:sz w:val="30"/>
          <w:szCs w:val="30"/>
          <w:rtl/>
        </w:rPr>
        <w:t xml:space="preserve"> وبينار (2008، نقلاً عن القرشي، 2024) التميز المؤسسي بأنه "استثمار المنظمات للفرص الحاسمة التي يسبقها التخطيط الاستراتيجي لإدراك رؤية مشتركة، يسودها وضوح الهدف وكفاية المصادر والحرص على الأداء الفعال والآلي" (ص. 31). ويركز هذا التعريف على البعد الاستراتيجي للتميز وأهميته في تحقيق الرؤى التنظيمية الطموحة.</w:t>
      </w:r>
    </w:p>
    <w:p w14:paraId="41F14BDD"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أما الربي (2015، نقلاً عن القرشي، 2024) فيعرف التميز المؤسسي بأنه "مجموعة من الخصائص التنظيمية النادرة والفريدة من نوعها التي تتمتع بها المنظمة قياساً بالمنظمات المنافسة، مما يجعلها قادرة على إدارة مواردها بتعزيز مركزها التنافسي" (ص. 23). ويبرز هذا التعريف الطبيعة النسبية للتميز وارتباطه بالقدرة التنافسية للمنظمة في بيئتها الخارجية.</w:t>
      </w:r>
    </w:p>
    <w:p w14:paraId="2E6D2C88"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سياق التعليم العالي، يعرف النصير (2023) التميز المؤسسي في الجامعات بأنه "حالة من التفوق والتفرد في الأداء والخدمات المقدمة من الجامعات، والمبنية على الإمكانات والنتائج؛ وذلك لتحقيق أعلى مراتب الجودة، وذلك على أسس ومفاهيم إدارية رائدة، تتضمن التركيز على معايير الجودة والكفاءة والفاعلية" (ص. 105). ويضيف هذا التعريف بُعداً نوعياً يربط التميز بجودة المخرجات التعليمية والبحثية والخدمية.</w:t>
      </w:r>
    </w:p>
    <w:p w14:paraId="4197D1AD"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ومن منظور أكثر شمولية، يعرف حجازي (2024) التميز المؤسسي بأنه "القدرة المؤسسية على تحقيق الأهداف الاستراتيجية بكفاءة وفعالية عالية، من خلال توظيف أفضل الممارسات الإدارية والابتكارات </w:t>
      </w:r>
      <w:r w:rsidRPr="00DA72CE">
        <w:rPr>
          <w:rFonts w:ascii="Sakkal Majalla" w:hAnsi="Sakkal Majalla" w:cs="Sakkal Majalla"/>
          <w:spacing w:val="-4"/>
          <w:sz w:val="30"/>
          <w:szCs w:val="30"/>
          <w:rtl/>
        </w:rPr>
        <w:lastRenderedPageBreak/>
        <w:t>التنظيمية، مع الحفاظ على الاستدامة والتكيف مع المتغيرات البيئية" (ص. 89). ويجمع هذا التعريف بين الأبعاد الكمية (الكفاءة) والنوعية (الفعالية) والاستراتيجية (التكيف والاستدامة).</w:t>
      </w:r>
    </w:p>
    <w:p w14:paraId="3FBC461E"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يعرف القرشي (2024) التميز المؤسسي في الجامعات السعودية بأنه "نظام متكامل من الممارسات والعمليات التي تهدف إلى تحقيق التفوق في جميع جوانب الأداء الجامعي، بما يشمل القيادة، والعمليات، والموارد، والمعرفة، وذلك من خلال تبني معايير عالمية مع مراعاة الخصوصية المحلية" (ص. 529). ويبرز هذا التعريف أهمية التكامل بين المعايير العالمية والخصوصية المحلية في سياق التميز المؤسسي.</w:t>
      </w:r>
    </w:p>
    <w:p w14:paraId="45E4EAE7"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أهلي (2025) إلى أن التميز المؤسسي في جامعات الإمارات العربية المتحدة يرتبط بشكل وثيق بالقدرة على الابتكار وتوليد المعرفة، حيث يعتبر "القدرة المؤسسية على تحويل الموارد والإمكانيات إلى مخرجات متميزة تحقق القيمة المضافة لأصحاب المصلحة، مع الحفاظ على الاستدامة والتكيف مع المتغيرات" (ص. 328).</w:t>
      </w:r>
    </w:p>
    <w:p w14:paraId="00DA3EC5"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ومن ناحية أخرى، يعرف فكري (2023) التميز المؤسسي في المنظمات الحكومية بأنه "الحالة التي تصل إليها المؤسسة عندما تحقق أهدافها الاستراتيجية بأعلى مستويات الكفاءة والفعالية، من خلال تبني ثقافة التميز والابتكار في جميع ممارساتها وعملياتها" (ص. 148). ويركز هذا التعريف على الدور المحوري للثقافة التنظيمية في تحقيق التميز.</w:t>
      </w:r>
    </w:p>
    <w:p w14:paraId="4B6ED57F"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وتجمع معظم التعريفات السابقة على أن التميز المؤسسي ليس حالة ثابتة، بل هو عملية ديناميكية مستمرة تتطلب التخطيط الاستراتيجي، والابتكار، والتحسين المستمر، والمواءمة مع المتغيرات البيئية. كما تشير إلى أن التميز المؤسسي مفهوم متعدد الأبعاد لا يمكن اختزاله في مؤشر واحد، بل يتطلب نظرة شمولية تشمل جميع جوانب الأداء المؤسسي.</w:t>
      </w:r>
    </w:p>
    <w:p w14:paraId="4468FE2A" w14:textId="77777777" w:rsidR="00BF318A" w:rsidRPr="00DA72CE" w:rsidRDefault="00BF318A">
      <w:pPr>
        <w:rPr>
          <w:rFonts w:eastAsiaTheme="majorEastAsia" w:cs="Sakkal Majalla"/>
          <w:b/>
          <w:bCs/>
          <w:i/>
          <w:spacing w:val="-4"/>
          <w:szCs w:val="32"/>
          <w:rtl/>
        </w:rPr>
      </w:pPr>
      <w:r w:rsidRPr="00DA72CE">
        <w:rPr>
          <w:b/>
          <w:spacing w:val="-4"/>
          <w:rtl/>
        </w:rPr>
        <w:br w:type="page"/>
      </w:r>
    </w:p>
    <w:p w14:paraId="2964E324" w14:textId="520FD4F1" w:rsidR="00590F45" w:rsidRPr="00DA72CE" w:rsidRDefault="00590F45" w:rsidP="00BF318A">
      <w:pPr>
        <w:pStyle w:val="Heading4"/>
        <w:bidi/>
        <w:rPr>
          <w:b/>
          <w:spacing w:val="-4"/>
        </w:rPr>
      </w:pPr>
      <w:r w:rsidRPr="00DA72CE">
        <w:rPr>
          <w:b/>
          <w:spacing w:val="-4"/>
          <w:rtl/>
        </w:rPr>
        <w:lastRenderedPageBreak/>
        <w:t xml:space="preserve"> 1.2 التطور التاريخي لمفهوم التميز المؤسسي</w:t>
      </w:r>
    </w:p>
    <w:p w14:paraId="7C1A2956"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مر مفهوم التميز المؤسسي بمراحل تطورية متعددة تعكس تطور الفكر الإداري وتغير متطلبات البيئة التنظيمية. ففي الخمسينيات والستينيات من القرن العشرين، كان التركيز منصباً على الكفاءة التشغيلية وزيادة الإنتاجية كمعايير أساسية للأداء المتميز، متأثراً بمدرسة الإدارة العلمية لفريدريك تايلور ومبادئ هنري </w:t>
      </w:r>
      <w:proofErr w:type="spellStart"/>
      <w:r w:rsidRPr="00DA72CE">
        <w:rPr>
          <w:rFonts w:ascii="Sakkal Majalla" w:hAnsi="Sakkal Majalla" w:cs="Sakkal Majalla"/>
          <w:spacing w:val="-4"/>
          <w:sz w:val="30"/>
          <w:szCs w:val="30"/>
          <w:rtl/>
        </w:rPr>
        <w:t>فايول</w:t>
      </w:r>
      <w:proofErr w:type="spellEnd"/>
      <w:r w:rsidRPr="00DA72CE">
        <w:rPr>
          <w:rFonts w:ascii="Sakkal Majalla" w:hAnsi="Sakkal Majalla" w:cs="Sakkal Majalla"/>
          <w:spacing w:val="-4"/>
          <w:sz w:val="30"/>
          <w:szCs w:val="30"/>
          <w:rtl/>
        </w:rPr>
        <w:t xml:space="preserve"> الإدارية (</w:t>
      </w:r>
      <w:proofErr w:type="spellStart"/>
      <w:r w:rsidRPr="00DA72CE">
        <w:rPr>
          <w:rFonts w:ascii="Sakkal Majalla" w:hAnsi="Sakkal Majalla" w:cs="Sakkal Majalla"/>
          <w:spacing w:val="-4"/>
          <w:sz w:val="30"/>
          <w:szCs w:val="30"/>
        </w:rPr>
        <w:t>Przytuła</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Sułkowski</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Kulikowski</w:t>
      </w:r>
      <w:proofErr w:type="spellEnd"/>
      <w:r w:rsidRPr="00DA72CE">
        <w:rPr>
          <w:rFonts w:ascii="Sakkal Majalla" w:hAnsi="Sakkal Majalla" w:cs="Sakkal Majalla"/>
          <w:spacing w:val="-4"/>
          <w:sz w:val="30"/>
          <w:szCs w:val="30"/>
        </w:rPr>
        <w:t>, 2024</w:t>
      </w:r>
      <w:r w:rsidRPr="00DA72CE">
        <w:rPr>
          <w:rFonts w:ascii="Sakkal Majalla" w:hAnsi="Sakkal Majalla" w:cs="Sakkal Majalla"/>
          <w:spacing w:val="-4"/>
          <w:sz w:val="30"/>
          <w:szCs w:val="30"/>
          <w:rtl/>
        </w:rPr>
        <w:t>).</w:t>
      </w:r>
    </w:p>
    <w:p w14:paraId="22EF9033"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السبعينيات والثمانينيات، ظهرت مفاهيم جديدة ترتبط بالجودة الشاملة (</w:t>
      </w:r>
      <w:r w:rsidRPr="00DA72CE">
        <w:rPr>
          <w:rFonts w:ascii="Sakkal Majalla" w:hAnsi="Sakkal Majalla" w:cs="Sakkal Majalla"/>
          <w:spacing w:val="-4"/>
          <w:sz w:val="30"/>
          <w:szCs w:val="30"/>
        </w:rPr>
        <w:t>TQM</w:t>
      </w:r>
      <w:r w:rsidRPr="00DA72CE">
        <w:rPr>
          <w:rFonts w:ascii="Sakkal Majalla" w:hAnsi="Sakkal Majalla" w:cs="Sakkal Majalla"/>
          <w:spacing w:val="-4"/>
          <w:sz w:val="30"/>
          <w:szCs w:val="30"/>
          <w:rtl/>
        </w:rPr>
        <w:t xml:space="preserve">) وإدارة الجودة، حيث أصبح التميز يرتبط بقدرة المنظمة على تلبية توقعات العملاء وتجاوزها، مع التركيز على التحسين المستمر ومشاركة العاملين في عمليات التطوير (صديق، 2019). وقد ساهمت جوائز التميز العالمية مثل جائزة مالكم </w:t>
      </w:r>
      <w:proofErr w:type="spellStart"/>
      <w:r w:rsidRPr="00DA72CE">
        <w:rPr>
          <w:rFonts w:ascii="Sakkal Majalla" w:hAnsi="Sakkal Majalla" w:cs="Sakkal Majalla"/>
          <w:spacing w:val="-4"/>
          <w:sz w:val="30"/>
          <w:szCs w:val="30"/>
          <w:rtl/>
        </w:rPr>
        <w:t>بالدريج</w:t>
      </w:r>
      <w:proofErr w:type="spellEnd"/>
      <w:r w:rsidRPr="00DA72CE">
        <w:rPr>
          <w:rFonts w:ascii="Sakkal Majalla" w:hAnsi="Sakkal Majalla" w:cs="Sakkal Majalla"/>
          <w:spacing w:val="-4"/>
          <w:sz w:val="30"/>
          <w:szCs w:val="30"/>
          <w:rtl/>
        </w:rPr>
        <w:t xml:space="preserve"> للجودة في الولايات المتحدة (1987) والجائزة الأوروبية للتميز (1992) في ترسيخ معايير ومؤشرات موضوعية لقياس التميز المؤسسي.</w:t>
      </w:r>
    </w:p>
    <w:p w14:paraId="32141E19"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التسعينيات وأوائل الألفية الثالثة، تطور المفهوم ليشمل أبعاداً استراتيجية وتنظيمية أوسع، حيث أصبح التميز المؤسسي يرتبط بالقدرة على الابتكار والتعلم التنظيمي وإدارة المعرفة، مع التركيز على رأس المال البشري كأهم مصدر للميزة التنافسية المستدامة (أهلي، 2025). وقد ساهمت نظريات مثل نظرية الموارد (</w:t>
      </w:r>
      <w:r w:rsidRPr="00DA72CE">
        <w:rPr>
          <w:rFonts w:ascii="Sakkal Majalla" w:hAnsi="Sakkal Majalla" w:cs="Sakkal Majalla"/>
          <w:spacing w:val="-4"/>
          <w:sz w:val="30"/>
          <w:szCs w:val="30"/>
        </w:rPr>
        <w:t>Resource-Based View</w:t>
      </w:r>
      <w:r w:rsidRPr="00DA72CE">
        <w:rPr>
          <w:rFonts w:ascii="Sakkal Majalla" w:hAnsi="Sakkal Majalla" w:cs="Sakkal Majalla"/>
          <w:spacing w:val="-4"/>
          <w:sz w:val="30"/>
          <w:szCs w:val="30"/>
          <w:rtl/>
        </w:rPr>
        <w:t>) ونظرية القدرات الديناميكية (</w:t>
      </w:r>
      <w:r w:rsidRPr="00DA72CE">
        <w:rPr>
          <w:rFonts w:ascii="Sakkal Majalla" w:hAnsi="Sakkal Majalla" w:cs="Sakkal Majalla"/>
          <w:spacing w:val="-4"/>
          <w:sz w:val="30"/>
          <w:szCs w:val="30"/>
        </w:rPr>
        <w:t>Dynamic Capabilities</w:t>
      </w:r>
      <w:r w:rsidRPr="00DA72CE">
        <w:rPr>
          <w:rFonts w:ascii="Sakkal Majalla" w:hAnsi="Sakkal Majalla" w:cs="Sakkal Majalla"/>
          <w:spacing w:val="-4"/>
          <w:sz w:val="30"/>
          <w:szCs w:val="30"/>
          <w:rtl/>
        </w:rPr>
        <w:t>) في إثراء الفهم النظري للتميز المؤسسي.</w:t>
      </w:r>
    </w:p>
    <w:p w14:paraId="7123FEA9"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العقد الأخير، شهد المفهوم تحولاً نحو التميز المستدام الذي يراعي الأبعاد البيئية والاجتماعية والحوكمة (</w:t>
      </w:r>
      <w:r w:rsidRPr="00DA72CE">
        <w:rPr>
          <w:rFonts w:ascii="Sakkal Majalla" w:hAnsi="Sakkal Majalla" w:cs="Sakkal Majalla"/>
          <w:spacing w:val="-4"/>
          <w:sz w:val="30"/>
          <w:szCs w:val="30"/>
        </w:rPr>
        <w:t>ESG</w:t>
      </w:r>
      <w:r w:rsidRPr="00DA72CE">
        <w:rPr>
          <w:rFonts w:ascii="Sakkal Majalla" w:hAnsi="Sakkal Majalla" w:cs="Sakkal Majalla"/>
          <w:spacing w:val="-4"/>
          <w:sz w:val="30"/>
          <w:szCs w:val="30"/>
          <w:rtl/>
        </w:rPr>
        <w:t xml:space="preserve">)، مع التركيز على </w:t>
      </w:r>
      <w:proofErr w:type="spellStart"/>
      <w:r w:rsidRPr="00DA72CE">
        <w:rPr>
          <w:rFonts w:ascii="Sakkal Majalla" w:hAnsi="Sakkal Majalla" w:cs="Sakkal Majalla"/>
          <w:spacing w:val="-4"/>
          <w:sz w:val="30"/>
          <w:szCs w:val="30"/>
          <w:rtl/>
        </w:rPr>
        <w:t>الرقمنة</w:t>
      </w:r>
      <w:proofErr w:type="spellEnd"/>
      <w:r w:rsidRPr="00DA72CE">
        <w:rPr>
          <w:rFonts w:ascii="Sakkal Majalla" w:hAnsi="Sakkal Majalla" w:cs="Sakkal Majalla"/>
          <w:spacing w:val="-4"/>
          <w:sz w:val="30"/>
          <w:szCs w:val="30"/>
          <w:rtl/>
        </w:rPr>
        <w:t xml:space="preserve"> والتحول الرقمي كعوامل تمكين للتميز في عصر الثورة الصناعية الرابعة (عسيري والعمود، 2024). وفي سياق التعليم العالي السعودي، جاء مفهوم التميز المؤسسي متسقاً مع أهداف رؤية المملكة 2030 التي تهدف إلى رفع كفاءة وفعالية مؤسسات التعليم العالي وتعزيز قدرتها التنافسية عالمياً (اليامي، 2023).</w:t>
      </w:r>
    </w:p>
    <w:p w14:paraId="0DE325AE"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وتشير دراسة الحازمي (2022) إلى أن مفهوم التميز المؤسسي في الجامعات السعودية تطور بشكل ملحوظ خلال العقد الماضي، حيث انتقل من التركيز على الجوانب الإجرائية والشكلية إلى التركيز على النتائج والأثر، مع تبني نماذج عالمية مثل النموذج الأوروبي للتميز (</w:t>
      </w:r>
      <w:r w:rsidRPr="00DA72CE">
        <w:rPr>
          <w:rFonts w:ascii="Sakkal Majalla" w:hAnsi="Sakkal Majalla" w:cs="Sakkal Majalla"/>
          <w:spacing w:val="-4"/>
          <w:sz w:val="30"/>
          <w:szCs w:val="30"/>
        </w:rPr>
        <w:t>EFQM</w:t>
      </w:r>
      <w:r w:rsidRPr="00DA72CE">
        <w:rPr>
          <w:rFonts w:ascii="Sakkal Majalla" w:hAnsi="Sakkal Majalla" w:cs="Sakkal Majalla"/>
          <w:spacing w:val="-4"/>
          <w:sz w:val="30"/>
          <w:szCs w:val="30"/>
          <w:rtl/>
        </w:rPr>
        <w:t xml:space="preserve">) ونموذج </w:t>
      </w:r>
      <w:proofErr w:type="spellStart"/>
      <w:r w:rsidRPr="00DA72CE">
        <w:rPr>
          <w:rFonts w:ascii="Sakkal Majalla" w:hAnsi="Sakkal Majalla" w:cs="Sakkal Majalla"/>
          <w:spacing w:val="-4"/>
          <w:sz w:val="30"/>
          <w:szCs w:val="30"/>
          <w:rtl/>
        </w:rPr>
        <w:t>بالدريج</w:t>
      </w:r>
      <w:proofErr w:type="spellEnd"/>
      <w:r w:rsidRPr="00DA72CE">
        <w:rPr>
          <w:rFonts w:ascii="Sakkal Majalla" w:hAnsi="Sakkal Majalla" w:cs="Sakkal Majalla"/>
          <w:spacing w:val="-4"/>
          <w:sz w:val="30"/>
          <w:szCs w:val="30"/>
          <w:rtl/>
        </w:rPr>
        <w:t>، مع تكييفها لتناسب السياق المحلي.</w:t>
      </w:r>
    </w:p>
    <w:p w14:paraId="6FE53A1D"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تؤكد دراسة الجاسر (2023) أن الجامعات السعودية الناشئة تشهد تحولاً استراتيجياً نحو التميز المؤسسي، حيث أصبحت تعتمد على معايير الاعتماد الأكاديمي والجودة كأدوات رئيسية لتحقيق التميز، مع التركيز على تطوير الكوادر البشرية والبنية التحتية التكنولوجية.</w:t>
      </w:r>
    </w:p>
    <w:p w14:paraId="5E2D9F08" w14:textId="2FCA9622" w:rsidR="00590F45" w:rsidRPr="00DA72CE" w:rsidRDefault="00590F45" w:rsidP="00BF318A">
      <w:pPr>
        <w:pStyle w:val="Heading3"/>
        <w:bidi/>
        <w:rPr>
          <w:spacing w:val="-4"/>
        </w:rPr>
      </w:pPr>
      <w:r w:rsidRPr="00DA72CE">
        <w:rPr>
          <w:spacing w:val="-4"/>
          <w:rtl/>
        </w:rPr>
        <w:t xml:space="preserve"> </w:t>
      </w:r>
      <w:bookmarkStart w:id="26" w:name="_Toc224358885"/>
      <w:r w:rsidRPr="00DA72CE">
        <w:rPr>
          <w:spacing w:val="-4"/>
          <w:rtl/>
        </w:rPr>
        <w:t>1.3 النظريات المؤسسة لمفهوم التميز المؤسسي</w:t>
      </w:r>
      <w:bookmarkEnd w:id="26"/>
    </w:p>
    <w:p w14:paraId="49292290"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يستند مفهوم التميز المؤسسي إلى مجموعة من النظريات الإدارية والتنظيمية التي توفر الأساس النظري لفهم آليات تحقيق التميز واستدامته. ومن أبرز هذه النظريات:</w:t>
      </w:r>
    </w:p>
    <w:p w14:paraId="4142A6D9" w14:textId="4FF102A8" w:rsidR="00590F45" w:rsidRPr="00DA72CE" w:rsidRDefault="00590F45" w:rsidP="00BF318A">
      <w:pPr>
        <w:pStyle w:val="Heading4"/>
        <w:bidi/>
        <w:rPr>
          <w:spacing w:val="-4"/>
        </w:rPr>
      </w:pPr>
      <w:r w:rsidRPr="00DA72CE">
        <w:rPr>
          <w:spacing w:val="-4"/>
          <w:rtl/>
        </w:rPr>
        <w:t>أ. نظرية الموارد (</w:t>
      </w:r>
      <w:r w:rsidRPr="00DA72CE">
        <w:rPr>
          <w:spacing w:val="-4"/>
        </w:rPr>
        <w:t>Resource-Based View - RBV</w:t>
      </w:r>
      <w:r w:rsidRPr="00DA72CE">
        <w:rPr>
          <w:spacing w:val="-4"/>
          <w:rtl/>
        </w:rPr>
        <w:t>)</w:t>
      </w:r>
    </w:p>
    <w:p w14:paraId="01A63D9A"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تُعد نظرية الموارد من أهم النظريات التي تفسر التميز المؤسسي، حيث تفترض أن المنظمات تحقق التميز والميزة التنافسية من خلال امتلاك موارد نادرة، قيمة، غير قابلة للتقليد، وغير قابلة للاستبدال (</w:t>
      </w:r>
      <w:r w:rsidRPr="00DA72CE">
        <w:rPr>
          <w:rFonts w:ascii="Sakkal Majalla" w:hAnsi="Sakkal Majalla" w:cs="Sakkal Majalla"/>
          <w:spacing w:val="-4"/>
          <w:sz w:val="30"/>
          <w:szCs w:val="30"/>
        </w:rPr>
        <w:t>VRIN</w:t>
      </w:r>
      <w:r w:rsidRPr="00DA72CE">
        <w:rPr>
          <w:rFonts w:ascii="Sakkal Majalla" w:hAnsi="Sakkal Majalla" w:cs="Sakkal Majalla"/>
          <w:spacing w:val="-4"/>
          <w:sz w:val="30"/>
          <w:szCs w:val="30"/>
          <w:rtl/>
        </w:rPr>
        <w:t>). وفي سياق التعليم العالي، تشمل هذه الموارد الكفاءات الأكاديمية المتميزة، البنية التحتية البحثية المتطورة، السمعة المؤسسية، والشراكات الاستراتيجية (أهلي، 2025).</w:t>
      </w:r>
    </w:p>
    <w:p w14:paraId="4F3B1C28"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القرشي (2024) إلى أن الجامعات السعودية التي تحقق التميز المؤسسي تمتلك موارد بشرية ومعرفية فريدة تساهم في تعزيز قدرتها التنافسية، حيث كان بُعد "المعرفة" هو الأكثر إسهاماً وتأثيراً في تحقيق الميزة التنافسية.</w:t>
      </w:r>
    </w:p>
    <w:p w14:paraId="7DBBD847"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وتؤكد دراسة الخصاونة وبن محمد </w:t>
      </w:r>
      <w:proofErr w:type="spellStart"/>
      <w:r w:rsidRPr="00DA72CE">
        <w:rPr>
          <w:rFonts w:ascii="Sakkal Majalla" w:hAnsi="Sakkal Majalla" w:cs="Sakkal Majalla"/>
          <w:spacing w:val="-4"/>
          <w:sz w:val="30"/>
          <w:szCs w:val="30"/>
          <w:rtl/>
        </w:rPr>
        <w:t>والدبيعي</w:t>
      </w:r>
      <w:proofErr w:type="spellEnd"/>
      <w:r w:rsidRPr="00DA72CE">
        <w:rPr>
          <w:rFonts w:ascii="Sakkal Majalla" w:hAnsi="Sakkal Majalla" w:cs="Sakkal Majalla"/>
          <w:spacing w:val="-4"/>
          <w:sz w:val="30"/>
          <w:szCs w:val="30"/>
          <w:rtl/>
        </w:rPr>
        <w:t xml:space="preserve"> (2020) أن الدور المعدل لإدارة المواهب في العلاقة بين رأس المال البشري والتميز المؤسسي في القطاع الحكومي في إمارة </w:t>
      </w:r>
      <w:proofErr w:type="gramStart"/>
      <w:r w:rsidRPr="00DA72CE">
        <w:rPr>
          <w:rFonts w:ascii="Sakkal Majalla" w:hAnsi="Sakkal Majalla" w:cs="Sakkal Majalla"/>
          <w:spacing w:val="-4"/>
          <w:sz w:val="30"/>
          <w:szCs w:val="30"/>
          <w:rtl/>
        </w:rPr>
        <w:t>أبوظبي</w:t>
      </w:r>
      <w:proofErr w:type="gramEnd"/>
      <w:r w:rsidRPr="00DA72CE">
        <w:rPr>
          <w:rFonts w:ascii="Sakkal Majalla" w:hAnsi="Sakkal Majalla" w:cs="Sakkal Majalla"/>
          <w:spacing w:val="-4"/>
          <w:sz w:val="30"/>
          <w:szCs w:val="30"/>
          <w:rtl/>
        </w:rPr>
        <w:t xml:space="preserve"> يبرز أهمية الموارد البشرية كأصل استراتيجي لتحقيق التميز.</w:t>
      </w:r>
    </w:p>
    <w:p w14:paraId="04FE0B3B" w14:textId="2485152B" w:rsidR="00590F45" w:rsidRPr="00DA72CE" w:rsidRDefault="00590F45" w:rsidP="00BF318A">
      <w:pPr>
        <w:pStyle w:val="Heading4"/>
        <w:bidi/>
        <w:rPr>
          <w:spacing w:val="-4"/>
        </w:rPr>
      </w:pPr>
      <w:r w:rsidRPr="00DA72CE">
        <w:rPr>
          <w:spacing w:val="-4"/>
          <w:rtl/>
        </w:rPr>
        <w:lastRenderedPageBreak/>
        <w:t>ب. نظرية القدرات الديناميكية (</w:t>
      </w:r>
      <w:r w:rsidRPr="00DA72CE">
        <w:rPr>
          <w:spacing w:val="-4"/>
        </w:rPr>
        <w:t>Dynamic Capabilities Theory</w:t>
      </w:r>
      <w:r w:rsidRPr="00DA72CE">
        <w:rPr>
          <w:spacing w:val="-4"/>
          <w:rtl/>
        </w:rPr>
        <w:t>)</w:t>
      </w:r>
    </w:p>
    <w:p w14:paraId="537EDC88"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تُركز هذه النظرية على قدرة المنظمة على تطوير وتجديد وإعادة تكوين مواردها وقدراتها للتكيف مع المتغيرات البيئية السريعة. وفي سياق الجامعات، تشمل القدرات الديناميكية القدرة على الابتكار في البرامج الأكاديمية، التكيف مع التحولات التكنولوجية، والاستجابة لمتطلبات سوق العمل (</w:t>
      </w:r>
      <w:proofErr w:type="spellStart"/>
      <w:r w:rsidRPr="00DA72CE">
        <w:rPr>
          <w:rFonts w:ascii="Sakkal Majalla" w:hAnsi="Sakkal Majalla" w:cs="Sakkal Majalla"/>
          <w:spacing w:val="-4"/>
          <w:sz w:val="30"/>
          <w:szCs w:val="30"/>
        </w:rPr>
        <w:t>Przytuła</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Sułkowski</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Kulikowski</w:t>
      </w:r>
      <w:proofErr w:type="spellEnd"/>
      <w:r w:rsidRPr="00DA72CE">
        <w:rPr>
          <w:rFonts w:ascii="Sakkal Majalla" w:hAnsi="Sakkal Majalla" w:cs="Sakkal Majalla"/>
          <w:spacing w:val="-4"/>
          <w:sz w:val="30"/>
          <w:szCs w:val="30"/>
        </w:rPr>
        <w:t>, 2024</w:t>
      </w:r>
      <w:r w:rsidRPr="00DA72CE">
        <w:rPr>
          <w:rFonts w:ascii="Sakkal Majalla" w:hAnsi="Sakkal Majalla" w:cs="Sakkal Majalla"/>
          <w:spacing w:val="-4"/>
          <w:sz w:val="30"/>
          <w:szCs w:val="30"/>
          <w:rtl/>
        </w:rPr>
        <w:t>).</w:t>
      </w:r>
    </w:p>
    <w:p w14:paraId="40058CA7"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في الجامعات السعودية يعزز من قدراتها الديناميكية، حيث يساهم في زيادة المرونة التنظيمية والقدرة على التكيف مع المتغيرات.</w:t>
      </w:r>
    </w:p>
    <w:p w14:paraId="6935693F"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الحربي والمهدي ونصر وأحمد (2025) إلى أن آليات تحسين جودة الأداء المؤسسي بالجامعات السعودية الناشئة على ضوء نموذج الجامعة الذكية تتطلب تبني قدرات ديناميكية تمكن الجامعات من التكيف مع متطلبات التحول الرقمي والابتكار.</w:t>
      </w:r>
    </w:p>
    <w:p w14:paraId="276362AD" w14:textId="657575EF" w:rsidR="00590F45" w:rsidRPr="00DA72CE" w:rsidRDefault="00590F45" w:rsidP="00BF318A">
      <w:pPr>
        <w:pStyle w:val="Heading4"/>
        <w:bidi/>
        <w:rPr>
          <w:spacing w:val="-4"/>
        </w:rPr>
      </w:pPr>
      <w:r w:rsidRPr="00DA72CE">
        <w:rPr>
          <w:spacing w:val="-4"/>
          <w:rtl/>
        </w:rPr>
        <w:t>ج. نظرية أصحاب المصلحة (</w:t>
      </w:r>
      <w:r w:rsidRPr="00DA72CE">
        <w:rPr>
          <w:spacing w:val="-4"/>
        </w:rPr>
        <w:t>Stakeholder Theory</w:t>
      </w:r>
      <w:r w:rsidRPr="00DA72CE">
        <w:rPr>
          <w:spacing w:val="-4"/>
          <w:rtl/>
        </w:rPr>
        <w:t>)</w:t>
      </w:r>
    </w:p>
    <w:p w14:paraId="2148910A"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تُبرز هذه النظرية أهمية تلبية توقعات واحتياجات جميع أصحاب المصلحة في المنظمة، بما في ذلك الطلاب، أعضاء هيئة التدريس، الإداريين، الخريجين، سوق العمل، والمجتمع. وفي سياق التميز المؤسسي في الجامعات، يتطلب الأمر موازنة متعددة الأبعاد لتلبية هذه التوقعات المتنوعة (النصير، 2023).</w:t>
      </w:r>
    </w:p>
    <w:p w14:paraId="6F597DC3"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داهش (2022) إلى أن إدراك أعضاء هيئة التدريس لقوة نظام إدارة الموارد البشرية يؤثر في سلوكياتهم التنظيمية، مما يبرز أهمية مراعاة توقعات هذا الشريك الاستراتيجي في تحقيق التميز المؤسسي.</w:t>
      </w:r>
    </w:p>
    <w:p w14:paraId="7F11159E"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محمد (2021) أن دور نظام معلومات الموارد البشرية في تحقيق التميز التنظيمي في المستشفيات الخاصة في السليمانية يتطلب فهم توقعات أصحاب المصلحة وتصميم أنظمة تلبي احتياجاتهم المتنوعة.</w:t>
      </w:r>
    </w:p>
    <w:p w14:paraId="7751019F" w14:textId="7273D77A" w:rsidR="00590F45" w:rsidRPr="00DA72CE" w:rsidRDefault="00590F45" w:rsidP="00BF318A">
      <w:pPr>
        <w:pStyle w:val="Heading4"/>
        <w:bidi/>
        <w:rPr>
          <w:spacing w:val="-4"/>
        </w:rPr>
      </w:pPr>
      <w:r w:rsidRPr="00DA72CE">
        <w:rPr>
          <w:spacing w:val="-4"/>
          <w:rtl/>
        </w:rPr>
        <w:lastRenderedPageBreak/>
        <w:t>د. نظرية التعلم التنظيمي (</w:t>
      </w:r>
      <w:r w:rsidRPr="00DA72CE">
        <w:rPr>
          <w:spacing w:val="-4"/>
        </w:rPr>
        <w:t>Organizational Learning Theory</w:t>
      </w:r>
      <w:r w:rsidRPr="00DA72CE">
        <w:rPr>
          <w:spacing w:val="-4"/>
          <w:rtl/>
        </w:rPr>
        <w:t>)</w:t>
      </w:r>
    </w:p>
    <w:p w14:paraId="26C30D84"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تُركز هذه النظرية على قدرة المنظمة على اكتساب المعرفة، ونشرها، وتطبيقها لتحسين الأداء والابتكار. وفي سياق التعليم العالي، يعتبر التعلم التنظيمي من الركائز الأساسية للتميز المؤسسي، حيث تساهم الجامعات في إنتاج المعرفة ونشرها (</w:t>
      </w:r>
      <w:proofErr w:type="spellStart"/>
      <w:r w:rsidRPr="00DA72CE">
        <w:rPr>
          <w:rFonts w:ascii="Sakkal Majalla" w:hAnsi="Sakkal Majalla" w:cs="Sakkal Majalla"/>
          <w:spacing w:val="-4"/>
          <w:sz w:val="30"/>
          <w:szCs w:val="30"/>
        </w:rPr>
        <w:t>Elbawab</w:t>
      </w:r>
      <w:proofErr w:type="spellEnd"/>
      <w:r w:rsidRPr="00DA72CE">
        <w:rPr>
          <w:rFonts w:ascii="Sakkal Majalla" w:hAnsi="Sakkal Majalla" w:cs="Sakkal Majalla"/>
          <w:spacing w:val="-4"/>
          <w:sz w:val="30"/>
          <w:szCs w:val="30"/>
        </w:rPr>
        <w:t>, 2024</w:t>
      </w:r>
      <w:r w:rsidRPr="00DA72CE">
        <w:rPr>
          <w:rFonts w:ascii="Sakkal Majalla" w:hAnsi="Sakkal Majalla" w:cs="Sakkal Majalla"/>
          <w:spacing w:val="-4"/>
          <w:sz w:val="30"/>
          <w:szCs w:val="30"/>
          <w:rtl/>
        </w:rPr>
        <w:t>).</w:t>
      </w:r>
    </w:p>
    <w:p w14:paraId="6E0F0D6B"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أهلي (2025) أن الابتكار المؤسسي يعمل كمتغير وسيط فعال في تعزيز العلاقة بين ممارسات الموارد البشرية والتميز المؤسسي، مما يبرز دور التعلم والابتكار في تحقيق التميز.</w:t>
      </w:r>
    </w:p>
    <w:p w14:paraId="7CD7EA98"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السامرائي (2025) إلى أن أثر الذكاء التنظيمي على التميز المؤسسي في الجامعات الخاصة بمحافظة الدقهلية يعكس أهمية قدرات المنظمة على جمع وتحليل واستخدام المعلومات في تعزيز القدرة على اتخاذ القرارات الاستراتيجية.</w:t>
      </w:r>
    </w:p>
    <w:p w14:paraId="4A92DE89" w14:textId="1D442B05" w:rsidR="00590F45" w:rsidRPr="00DA72CE" w:rsidRDefault="00590F45" w:rsidP="00BF318A">
      <w:pPr>
        <w:pStyle w:val="Heading4"/>
        <w:bidi/>
        <w:rPr>
          <w:spacing w:val="-4"/>
        </w:rPr>
      </w:pPr>
      <w:r w:rsidRPr="00DA72CE">
        <w:rPr>
          <w:spacing w:val="-4"/>
          <w:rtl/>
        </w:rPr>
        <w:t>هـ. نظرية الوكالة (</w:t>
      </w:r>
      <w:r w:rsidRPr="00DA72CE">
        <w:rPr>
          <w:spacing w:val="-4"/>
        </w:rPr>
        <w:t>Agency Theory</w:t>
      </w:r>
      <w:r w:rsidRPr="00DA72CE">
        <w:rPr>
          <w:spacing w:val="-4"/>
          <w:rtl/>
        </w:rPr>
        <w:t>)</w:t>
      </w:r>
    </w:p>
    <w:p w14:paraId="071A7D46"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تُفسر هذه النظرية العلاقة بين الملاك (أو الجهة المالكة) والوكلاء (الإدارة التنفيذية)، وتُركز على آليات الحوكمة لضمان مواءمة المصالح. وفي سياق الجامعات الحكومية، تُبرز أهمية أنظمة الحوكمة والرقابة في تحقيق التميز المؤسسي وضمان المساءلة (القرشي، 2024).</w:t>
      </w:r>
    </w:p>
    <w:p w14:paraId="4A846AD8" w14:textId="312ED904" w:rsidR="00590F45" w:rsidRPr="00DA72CE" w:rsidRDefault="00590F45"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w:t>
      </w:r>
      <w:proofErr w:type="spellStart"/>
      <w:r w:rsidRPr="00DA72CE">
        <w:rPr>
          <w:rFonts w:ascii="Sakkal Majalla" w:hAnsi="Sakkal Majalla" w:cs="Sakkal Majalla"/>
          <w:spacing w:val="-4"/>
          <w:sz w:val="30"/>
          <w:szCs w:val="30"/>
          <w:rtl/>
        </w:rPr>
        <w:t>صاحبى</w:t>
      </w:r>
      <w:proofErr w:type="spellEnd"/>
      <w:r w:rsidRPr="00DA72CE">
        <w:rPr>
          <w:rFonts w:ascii="Sakkal Majalla" w:hAnsi="Sakkal Majalla" w:cs="Sakkal Majalla"/>
          <w:spacing w:val="-4"/>
          <w:sz w:val="30"/>
          <w:szCs w:val="30"/>
          <w:rtl/>
        </w:rPr>
        <w:t xml:space="preserve"> </w:t>
      </w:r>
      <w:proofErr w:type="spellStart"/>
      <w:r w:rsidRPr="00DA72CE">
        <w:rPr>
          <w:rFonts w:ascii="Sakkal Majalla" w:hAnsi="Sakkal Majalla" w:cs="Sakkal Majalla"/>
          <w:spacing w:val="-4"/>
          <w:sz w:val="30"/>
          <w:szCs w:val="30"/>
          <w:rtl/>
        </w:rPr>
        <w:t>وبلقيدوم</w:t>
      </w:r>
      <w:proofErr w:type="spellEnd"/>
      <w:r w:rsidRPr="00DA72CE">
        <w:rPr>
          <w:rFonts w:ascii="Sakkal Majalla" w:hAnsi="Sakkal Majalla" w:cs="Sakkal Majalla"/>
          <w:spacing w:val="-4"/>
          <w:sz w:val="30"/>
          <w:szCs w:val="30"/>
          <w:rtl/>
        </w:rPr>
        <w:t xml:space="preserve"> (2023) إلى أن دور إدارة الموارد البشرية في تحقيق التميز المؤسساتي في مؤسسات التأمين يتطلب آليات حوكمة فعالة لضمان مواءمة مصالح الإدارة مع أهداف المؤسسة.</w:t>
      </w:r>
    </w:p>
    <w:p w14:paraId="5503CE2A" w14:textId="5820B897" w:rsidR="00590F45" w:rsidRPr="00DA72CE" w:rsidRDefault="00590F45" w:rsidP="00BF318A">
      <w:pPr>
        <w:pStyle w:val="Heading4"/>
        <w:bidi/>
        <w:rPr>
          <w:spacing w:val="-4"/>
        </w:rPr>
      </w:pPr>
      <w:r w:rsidRPr="00DA72CE">
        <w:rPr>
          <w:spacing w:val="-4"/>
          <w:rtl/>
        </w:rPr>
        <w:t>و. نظرية التبادل الاجتماعي (</w:t>
      </w:r>
      <w:r w:rsidRPr="00DA72CE">
        <w:rPr>
          <w:spacing w:val="-4"/>
        </w:rPr>
        <w:t>Social Exchange Theory</w:t>
      </w:r>
      <w:r w:rsidRPr="00DA72CE">
        <w:rPr>
          <w:spacing w:val="-4"/>
          <w:rtl/>
        </w:rPr>
        <w:t>)</w:t>
      </w:r>
    </w:p>
    <w:p w14:paraId="0922C4EE"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تُفسر هذه النظرية العلاقة بين المنظمة والموظفين على أساس التبادل المتبادل، حيث يستجيب الموظفون للممارسات الإيجابية في الموارد البشرية بزيادة الالتزام والأداء. وتشير دراسة داهش (2022) إلى أن الالتزام العاطفي يعمل كمتغير وسيط في العلاقة بين قوة نظام إدارة الموارد البشرية وسلوك المواطنة التنظيمية.</w:t>
      </w:r>
    </w:p>
    <w:p w14:paraId="3E3422FA"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وتؤكد دراسة عباس وعبد الحسين (2022) أن دور إدارة الموارد البشرية في تحقيق التميز التنظيمي في وزارة العمل والشؤون الاجتماعية يعكس أهمية علاقات التبادل الإيجابي بين الإدارة والموظفين.</w:t>
      </w:r>
    </w:p>
    <w:p w14:paraId="281652E5" w14:textId="5A17F20C" w:rsidR="00590F45" w:rsidRPr="00DA72CE" w:rsidRDefault="00590F45" w:rsidP="00BF318A">
      <w:pPr>
        <w:pStyle w:val="Heading3"/>
        <w:bidi/>
        <w:rPr>
          <w:spacing w:val="-4"/>
        </w:rPr>
      </w:pPr>
      <w:r w:rsidRPr="00DA72CE">
        <w:rPr>
          <w:spacing w:val="-4"/>
          <w:rtl/>
        </w:rPr>
        <w:t xml:space="preserve"> </w:t>
      </w:r>
      <w:bookmarkStart w:id="27" w:name="_Toc224358886"/>
      <w:r w:rsidRPr="00DA72CE">
        <w:rPr>
          <w:spacing w:val="-4"/>
          <w:rtl/>
        </w:rPr>
        <w:t>1.4 أبعاد التميز المؤسسي</w:t>
      </w:r>
      <w:bookmarkEnd w:id="27"/>
    </w:p>
    <w:p w14:paraId="193C3847"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تتفق معظم الأدبيات على أن التميز المؤسسي مفهوم متعدد الأبعاد لا يمكن اختزاله في مؤشر واحد. وقد حددت الدراسات السابقة مجموعة من الأبعاد الأساسية التي تشكل بنية التميز المؤسسي، ومن أبرزها:</w:t>
      </w:r>
    </w:p>
    <w:p w14:paraId="77B13503" w14:textId="13F115B9" w:rsidR="00590F45" w:rsidRPr="00DA72CE" w:rsidRDefault="00590F45" w:rsidP="00BF318A">
      <w:pPr>
        <w:pStyle w:val="Heading4"/>
        <w:bidi/>
        <w:rPr>
          <w:spacing w:val="-4"/>
        </w:rPr>
      </w:pPr>
      <w:r w:rsidRPr="00DA72CE">
        <w:rPr>
          <w:spacing w:val="-4"/>
          <w:rtl/>
        </w:rPr>
        <w:t>أ. بُعد القيادة (</w:t>
      </w:r>
      <w:r w:rsidRPr="00DA72CE">
        <w:rPr>
          <w:spacing w:val="-4"/>
        </w:rPr>
        <w:t>Leadership Dimension</w:t>
      </w:r>
      <w:r w:rsidRPr="00DA72CE">
        <w:rPr>
          <w:spacing w:val="-4"/>
          <w:rtl/>
        </w:rPr>
        <w:t>)</w:t>
      </w:r>
    </w:p>
    <w:p w14:paraId="43E0DA91"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يمثل بُعد القيادة حجر الزاوية في أي نموذج للتميز المؤسسي، حيث تلعب القيادة الفعالة دوراً محورياً في توجيه المنظمة نحو تحقيق رؤيتها ورسالتها. وتشير دراسة القرشي (2024) إلى أن القيادة المتميزة تتسم بوضوح الرؤية، والقدرة على التحفيز والتأثير، والمرونة في اتخاذ القرارات، والالتزام بالقيم الأخلاقية والمهنية.</w:t>
      </w:r>
    </w:p>
    <w:p w14:paraId="0B61E4EA"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سياق الجامعات السعودية، تؤكد دراسة داهش (2022) أن قوة نظام إدارة الموارد البشرية -الذي يعتبر أحد تجليات القيادة الفعالة- تؤثر إيجابياً في سلوكيات أعضاء هيئة التدريس وتعزز التزامهم العاطفي تجاه مؤسساتهم.</w:t>
      </w:r>
    </w:p>
    <w:p w14:paraId="6237D06F"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تشير دراسة الحازمي (2022) إلى أن القيادة المستدامة تمثل مدخلاً أساسياً لتحقيق التميز المؤسسي في الجامعات السعودية، حيث تساهم في تعزيز الثقافة التنظيمية الداعمة للابتكار والتحسين المستمر.</w:t>
      </w:r>
    </w:p>
    <w:p w14:paraId="5BA12A3E"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مختار مفتاح عاشور وخالد مفتاح على عاشور (2024) أن العلاقة بين التميز المؤسسي والجودة الشاملة في مؤسسات التعليم العالي في الجامعات الخاصة المعتمدة في مدينة طرابلس تتطلب قيادة فاعلة قادرة على توجيه الجهود نحو تحقيق الأهداف الاستراتيجية.</w:t>
      </w:r>
    </w:p>
    <w:p w14:paraId="003D61A0" w14:textId="2D8CE6D2" w:rsidR="00590F45" w:rsidRPr="00DA72CE" w:rsidRDefault="00590F45" w:rsidP="00BF318A">
      <w:pPr>
        <w:pStyle w:val="Heading4"/>
        <w:bidi/>
        <w:rPr>
          <w:spacing w:val="-4"/>
        </w:rPr>
      </w:pPr>
      <w:r w:rsidRPr="00DA72CE">
        <w:rPr>
          <w:spacing w:val="-4"/>
          <w:rtl/>
        </w:rPr>
        <w:lastRenderedPageBreak/>
        <w:t>ب. بُعد العمليات (</w:t>
      </w:r>
      <w:r w:rsidRPr="00DA72CE">
        <w:rPr>
          <w:spacing w:val="-4"/>
        </w:rPr>
        <w:t>Processes Dimension</w:t>
      </w:r>
      <w:r w:rsidRPr="00DA72CE">
        <w:rPr>
          <w:spacing w:val="-4"/>
          <w:rtl/>
        </w:rPr>
        <w:t>)</w:t>
      </w:r>
    </w:p>
    <w:p w14:paraId="460A691D"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يشير هذا البعد إلى كفاءة وفعالية العمليات الإدارية والأكاديمية داخل المؤسسة، بما في ذلك عمليات التخطيط، والتنفيذ، والمتابعة، والتقييم. وتؤكد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في الجامعات السعودية يساهم في زيادة الوضوح التنظيمي، وتقليل الهدر في الوقت والجهد، وتعزيز الشفافية، مما ينعكس إيجاباً على مستوى التميز المؤسسي.</w:t>
      </w:r>
    </w:p>
    <w:p w14:paraId="0388E344"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الحربي والمهدي ونصر وأحمد (2025) إلى أن الجامعات السعودية الناشئة تحتاج إلى تبني نماذج الجامعة الذكية لتحسين جودة الأداء المؤسسي، حيث تساهم </w:t>
      </w:r>
      <w:proofErr w:type="spellStart"/>
      <w:r w:rsidRPr="00DA72CE">
        <w:rPr>
          <w:rFonts w:ascii="Sakkal Majalla" w:hAnsi="Sakkal Majalla" w:cs="Sakkal Majalla"/>
          <w:spacing w:val="-4"/>
          <w:sz w:val="30"/>
          <w:szCs w:val="30"/>
          <w:rtl/>
        </w:rPr>
        <w:t>الرقمنة</w:t>
      </w:r>
      <w:proofErr w:type="spellEnd"/>
      <w:r w:rsidRPr="00DA72CE">
        <w:rPr>
          <w:rFonts w:ascii="Sakkal Majalla" w:hAnsi="Sakkal Majalla" w:cs="Sakkal Majalla"/>
          <w:spacing w:val="-4"/>
          <w:sz w:val="30"/>
          <w:szCs w:val="30"/>
          <w:rtl/>
        </w:rPr>
        <w:t xml:space="preserve"> والأتمتة في تبسيط الإجراءات وزيادة الكفاءة.</w:t>
      </w:r>
    </w:p>
    <w:p w14:paraId="0A0EB3BE"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موسى (2024) أن أثر برامج التميز المؤسسي على تحديد الرؤية التعليمية بالتطبيق على الجامعات الحكومية يتطلب عمليات منهجية ومنظمة لضمان تحقيق الأهداف التعليمية والاستراتيجية.</w:t>
      </w:r>
    </w:p>
    <w:p w14:paraId="61CD2CFD" w14:textId="7C7F7433" w:rsidR="00590F45" w:rsidRPr="00DA72CE" w:rsidRDefault="00590F45" w:rsidP="00BF318A">
      <w:pPr>
        <w:pStyle w:val="Heading4"/>
        <w:bidi/>
        <w:rPr>
          <w:spacing w:val="-4"/>
        </w:rPr>
      </w:pPr>
      <w:r w:rsidRPr="00DA72CE">
        <w:rPr>
          <w:spacing w:val="-4"/>
          <w:rtl/>
        </w:rPr>
        <w:t>ج. بُعد الموارد البشرية والمالية (</w:t>
      </w:r>
      <w:r w:rsidRPr="00DA72CE">
        <w:rPr>
          <w:spacing w:val="-4"/>
        </w:rPr>
        <w:t>Human and Financial Resources Dimension</w:t>
      </w:r>
      <w:r w:rsidRPr="00DA72CE">
        <w:rPr>
          <w:spacing w:val="-4"/>
          <w:rtl/>
        </w:rPr>
        <w:t>)</w:t>
      </w:r>
    </w:p>
    <w:p w14:paraId="21DD03D9"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يعتبر هذا البعد من أهم أبعاد التميز المؤسسي، خاصة في مؤسسات التعليم العالي التي تعتمد بشكل أساسي على الكفاءات البشرية والميزانيات المخصصة للبحث والتدريس. وتشير دراسة </w:t>
      </w:r>
      <w:proofErr w:type="spellStart"/>
      <w:r w:rsidRPr="00DA72CE">
        <w:rPr>
          <w:rFonts w:ascii="Sakkal Majalla" w:hAnsi="Sakkal Majalla" w:cs="Sakkal Majalla"/>
          <w:spacing w:val="-4"/>
          <w:sz w:val="30"/>
          <w:szCs w:val="30"/>
          <w:rtl/>
        </w:rPr>
        <w:t>بوزناد</w:t>
      </w:r>
      <w:proofErr w:type="spellEnd"/>
      <w:r w:rsidRPr="00DA72CE">
        <w:rPr>
          <w:rFonts w:ascii="Sakkal Majalla" w:hAnsi="Sakkal Majalla" w:cs="Sakkal Majalla"/>
          <w:spacing w:val="-4"/>
          <w:sz w:val="30"/>
          <w:szCs w:val="30"/>
          <w:rtl/>
        </w:rPr>
        <w:t xml:space="preserve"> (2025) إلى أن وظائف إدارة الموارد البشرية (التخطيط، الاستقطاب، التحفيز، التقييم) ترتبط ارتباطاً وثيقاً بتحقيق تميز الأداء المؤسسي في الجامعات.</w:t>
      </w:r>
    </w:p>
    <w:p w14:paraId="335A2FEB"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تؤكد دراسة عبد العال (2023) أن صيانة الموارد البشرية (السلامة المهنية، الرعاية الصحية، الرفاهية الاجتماعية) تمثل مدخلاً أساسياً لتحقيق معايير التميز الحكومي.</w:t>
      </w:r>
    </w:p>
    <w:p w14:paraId="14F7C447"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اليامي (2023) إلى أن تنوع الموارد البشرية بأبعاده المختلفة (التنوع في النوع الاجتماعي، العمر، المؤهل العلمي، الجنسية) يؤثر إيجابياً في تحقيق التميز في الأداء المؤسسي، مما يبرز أهمية إدارة التنوع كعامل تمكين للتميز.</w:t>
      </w:r>
    </w:p>
    <w:p w14:paraId="068235B6"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وتؤكد دراسة محمود (2020) أن تمكين الموارد البشرية وتحقيق التميز المؤسسي بالجمعيات الأهلية يتطلب استثماراً استراتيجياً في الكوادر البشرية وتطوير قدراتهم.</w:t>
      </w:r>
    </w:p>
    <w:p w14:paraId="713C4667" w14:textId="17BD7F93" w:rsidR="00590F45" w:rsidRPr="00DA72CE" w:rsidRDefault="00590F45" w:rsidP="00BF318A">
      <w:pPr>
        <w:pStyle w:val="Heading4"/>
        <w:bidi/>
        <w:rPr>
          <w:spacing w:val="-4"/>
        </w:rPr>
      </w:pPr>
      <w:r w:rsidRPr="00DA72CE">
        <w:rPr>
          <w:spacing w:val="-4"/>
          <w:rtl/>
        </w:rPr>
        <w:t>د. بُعد المعرفة والابتكار (</w:t>
      </w:r>
      <w:r w:rsidRPr="00DA72CE">
        <w:rPr>
          <w:spacing w:val="-4"/>
        </w:rPr>
        <w:t>Knowledge and Innovation Dimension</w:t>
      </w:r>
      <w:r w:rsidRPr="00DA72CE">
        <w:rPr>
          <w:spacing w:val="-4"/>
          <w:rtl/>
        </w:rPr>
        <w:t>)</w:t>
      </w:r>
    </w:p>
    <w:p w14:paraId="71615737"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في عصر الاقتصاد المعرفي، أصبح بُعد المعرفة والابتكار من المحددات الرئيسية للتميز المؤسسي، خاصة في الجامعات التي تمثل مراكز لإنتاج المعرفة ونشرها. وتوضح دراسة أهلي (2025) أن الابتكار المؤسسي يعمل كمتغير وسيط فعال في تعزيز العلاقة بين ممارسات الموارد البشرية والتميز المؤسسي في الجامعات الإماراتية.</w:t>
      </w:r>
    </w:p>
    <w:p w14:paraId="4D1AE6EE"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تشير دراسة القرشي (2024) إلى أن بُعد "المعرفة" كان الأكثر إسهاماً وتأثيراً في تحقيق الميزة التنافسية في الجامعات السعودية، مما يبرز أهمية الاستثمار في إدارة المعرفة والبحث العلمي.</w:t>
      </w:r>
    </w:p>
    <w:p w14:paraId="08725134" w14:textId="6C567D89"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السامرائي (2025) أن الذكاء التنظيمي يؤثر إيجابياً في تحقيق التميز المؤسسي في الجامعات الخاصة، حيث تساهم قدرات المنظمة على جمع وتحليل واستخدام المعلومات في تعزيز القدرة على اتخاذ القرارات الاستراتيجية.</w:t>
      </w:r>
    </w:p>
    <w:p w14:paraId="24AF71BA" w14:textId="68E5B217" w:rsidR="00590F45" w:rsidRPr="00DA72CE" w:rsidRDefault="00590F45" w:rsidP="00BF318A">
      <w:pPr>
        <w:pStyle w:val="Heading4"/>
        <w:bidi/>
        <w:rPr>
          <w:spacing w:val="-4"/>
        </w:rPr>
      </w:pPr>
      <w:r w:rsidRPr="00DA72CE">
        <w:rPr>
          <w:spacing w:val="-4"/>
          <w:rtl/>
        </w:rPr>
        <w:t>هـ. بُعد الجودة والتحسين المستمر (</w:t>
      </w:r>
      <w:r w:rsidRPr="00DA72CE">
        <w:rPr>
          <w:spacing w:val="-4"/>
        </w:rPr>
        <w:t>Quality and Continuous Improvement Dimension</w:t>
      </w:r>
      <w:r w:rsidRPr="00DA72CE">
        <w:rPr>
          <w:spacing w:val="-4"/>
          <w:rtl/>
        </w:rPr>
        <w:t>)</w:t>
      </w:r>
    </w:p>
    <w:p w14:paraId="10258EC6"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يشير هذا البعد إلى التزام المؤسسة بمعايير الجودة والتفوق في جميع ممارساتها، مع السعي المستمر للتحسين والتطوير. وتشير دراسة النصير (2023) إلى أن أبرز الدوافع لقياس الأداء في الجامعات السعودية هي متطلبات الاعتماد الأكاديمي وتحسين جودة المخرجات، مما يعكس أهمية هذا البعد في تحقيق التميز.</w:t>
      </w:r>
    </w:p>
    <w:p w14:paraId="3410EE74"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الجاسر (2023) أن البرامج التدريبية المصممة وفقاً لمتطلبات الاعتماد الأكاديمي تساهم في تطوير أداء الموظفين الإداريين بالجامعات السعودية، مما يعزز من قدرتها على تحقيق التميز المؤسسي.</w:t>
      </w:r>
    </w:p>
    <w:p w14:paraId="59FA9A62"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وتشير دراسة مختار مفتاح عاشور وخالد مفتاح على عاشور (2024) إلى أن العلاقة الطردية بين التميز المؤسسي والجودة الشاملة في الجامعات الخاصة المعتمدة في مدينة طرابلس تعكس أهمية الالتزام بمعايير الجودة كمدخل لتحقيق التميز.</w:t>
      </w:r>
    </w:p>
    <w:p w14:paraId="0A4ABDF8" w14:textId="77777777" w:rsidR="00BF318A" w:rsidRPr="00DA72CE" w:rsidRDefault="00590F45" w:rsidP="00BF318A">
      <w:pPr>
        <w:pStyle w:val="Heading3"/>
        <w:bidi/>
        <w:rPr>
          <w:spacing w:val="-4"/>
        </w:rPr>
      </w:pPr>
      <w:r w:rsidRPr="00DA72CE">
        <w:rPr>
          <w:spacing w:val="-4"/>
          <w:rtl/>
        </w:rPr>
        <w:t xml:space="preserve"> </w:t>
      </w:r>
      <w:bookmarkStart w:id="28" w:name="_Toc224358887"/>
      <w:r w:rsidRPr="00DA72CE">
        <w:rPr>
          <w:spacing w:val="-4"/>
          <w:rtl/>
        </w:rPr>
        <w:t>1.5 نماذج التميز المؤسسي العالمية والعربية</w:t>
      </w:r>
      <w:bookmarkEnd w:id="28"/>
    </w:p>
    <w:p w14:paraId="56237181" w14:textId="72AA4CA1"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استندت العديد من المؤسسات والباحثين إلى نماذج عالمية معتمدة لقياس وتحسين التميز المؤسسي، ومن أبرز هذه النماذج:</w:t>
      </w:r>
    </w:p>
    <w:p w14:paraId="4037BE7F" w14:textId="63A333D2" w:rsidR="00590F45" w:rsidRPr="00DA72CE" w:rsidRDefault="00590F45" w:rsidP="00BF318A">
      <w:pPr>
        <w:pStyle w:val="Heading4"/>
        <w:bidi/>
        <w:rPr>
          <w:spacing w:val="-4"/>
        </w:rPr>
      </w:pPr>
      <w:r w:rsidRPr="00DA72CE">
        <w:rPr>
          <w:spacing w:val="-4"/>
          <w:rtl/>
        </w:rPr>
        <w:t>أ. نموذج المؤسسة الأوروبية لإدارة الجودة (</w:t>
      </w:r>
      <w:r w:rsidRPr="00DA72CE">
        <w:rPr>
          <w:spacing w:val="-4"/>
        </w:rPr>
        <w:t>EFQM</w:t>
      </w:r>
      <w:r w:rsidRPr="00DA72CE">
        <w:rPr>
          <w:spacing w:val="-4"/>
          <w:rtl/>
        </w:rPr>
        <w:t>)</w:t>
      </w:r>
    </w:p>
    <w:p w14:paraId="2D63684E"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يُعد نموذج الـ </w:t>
      </w:r>
      <w:r w:rsidRPr="00DA72CE">
        <w:rPr>
          <w:rFonts w:ascii="Sakkal Majalla" w:hAnsi="Sakkal Majalla" w:cs="Sakkal Majalla"/>
          <w:spacing w:val="-4"/>
          <w:sz w:val="30"/>
          <w:szCs w:val="30"/>
        </w:rPr>
        <w:t>EFQM</w:t>
      </w:r>
      <w:r w:rsidRPr="00DA72CE">
        <w:rPr>
          <w:rFonts w:ascii="Sakkal Majalla" w:hAnsi="Sakkal Majalla" w:cs="Sakkal Majalla"/>
          <w:spacing w:val="-4"/>
          <w:sz w:val="30"/>
          <w:szCs w:val="30"/>
          <w:rtl/>
        </w:rPr>
        <w:t xml:space="preserve"> من أكثر النماذج انتشاراً عالمياً لقياس التميز المؤسسي، حيث يعتمد على تسعة معايير مقسمة إلى مجموعتين: معايير "الممكنات" (القيادة، الاستراتيجية، الأشخاص، الشراكات والموارد، العمليات والمنتجات والخدمات) ومعايير "النتائج" (نتائج الأشخاص، نتائج العملاء، نتائج المجتمع، نتائج الأداء الرئيسي). وقد استخدمت العديد من الجامعات السعودية هذا النموذج كإطار مرجعي لبرامج التميز المؤسسي، حيث تشير دراسة النصير (2023) إلى أن الجامعات السعودية تولي اهتماماً كبيراً لقياس الأداء المؤسسي وتمتلك وحدات إدارية متخصصة لهذه المهمة، حيث جاءت "مؤشرات الأداء الرئيسية" (</w:t>
      </w:r>
      <w:r w:rsidRPr="00DA72CE">
        <w:rPr>
          <w:rFonts w:ascii="Sakkal Majalla" w:hAnsi="Sakkal Majalla" w:cs="Sakkal Majalla"/>
          <w:spacing w:val="-4"/>
          <w:sz w:val="30"/>
          <w:szCs w:val="30"/>
        </w:rPr>
        <w:t>KPIs</w:t>
      </w:r>
      <w:r w:rsidRPr="00DA72CE">
        <w:rPr>
          <w:rFonts w:ascii="Sakkal Majalla" w:hAnsi="Sakkal Majalla" w:cs="Sakkal Majalla"/>
          <w:spacing w:val="-4"/>
          <w:sz w:val="30"/>
          <w:szCs w:val="30"/>
          <w:rtl/>
        </w:rPr>
        <w:t>) في المرتبة الأولى كأهم أداة قياس مستخدمة.</w:t>
      </w:r>
    </w:p>
    <w:p w14:paraId="55D6B1F2"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شحاتة (2021، نقلاً عن الأدبيات) إلى أن تطبيق نموذج الـ </w:t>
      </w:r>
      <w:r w:rsidRPr="00DA72CE">
        <w:rPr>
          <w:rFonts w:ascii="Sakkal Majalla" w:hAnsi="Sakkal Majalla" w:cs="Sakkal Majalla"/>
          <w:spacing w:val="-4"/>
          <w:sz w:val="30"/>
          <w:szCs w:val="30"/>
        </w:rPr>
        <w:t>EFQM</w:t>
      </w:r>
      <w:r w:rsidRPr="00DA72CE">
        <w:rPr>
          <w:rFonts w:ascii="Sakkal Majalla" w:hAnsi="Sakkal Majalla" w:cs="Sakkal Majalla"/>
          <w:spacing w:val="-4"/>
          <w:sz w:val="30"/>
          <w:szCs w:val="30"/>
          <w:rtl/>
        </w:rPr>
        <w:t xml:space="preserve"> في الجامعات المصرية يساهم في تحسين جودة الأداء المؤسسي، حيث يوفر إطاراً شاملاً لتقييم وتطوير الممارسات الإدارية والأكاديمية.</w:t>
      </w:r>
    </w:p>
    <w:p w14:paraId="584CBDF3" w14:textId="672A1E3B"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وتؤكد دراسة عسيري والعمود (2024) أن تطبيق نموذج الـ </w:t>
      </w:r>
      <w:r w:rsidRPr="00DA72CE">
        <w:rPr>
          <w:rFonts w:ascii="Sakkal Majalla" w:hAnsi="Sakkal Majalla" w:cs="Sakkal Majalla"/>
          <w:spacing w:val="-4"/>
          <w:sz w:val="30"/>
          <w:szCs w:val="30"/>
        </w:rPr>
        <w:t>EFQM</w:t>
      </w:r>
      <w:r w:rsidRPr="00DA72CE">
        <w:rPr>
          <w:rFonts w:ascii="Sakkal Majalla" w:hAnsi="Sakkal Majalla" w:cs="Sakkal Majalla"/>
          <w:spacing w:val="-4"/>
          <w:sz w:val="30"/>
          <w:szCs w:val="30"/>
          <w:rtl/>
        </w:rPr>
        <w:t xml:space="preserve"> في الجامعات السعودية يتطلب تكييف المعايير العالمية مع الخصوصية المحلية لضمان فعالية التطبيق وتحقيق النتائج المرجوة.</w:t>
      </w:r>
    </w:p>
    <w:p w14:paraId="147EB7D7" w14:textId="36CD762F" w:rsidR="00590F45" w:rsidRPr="00DA72CE" w:rsidRDefault="00590F45" w:rsidP="00BF318A">
      <w:pPr>
        <w:pStyle w:val="Heading4"/>
        <w:bidi/>
        <w:rPr>
          <w:spacing w:val="-4"/>
        </w:rPr>
      </w:pPr>
      <w:r w:rsidRPr="00DA72CE">
        <w:rPr>
          <w:spacing w:val="-4"/>
          <w:rtl/>
        </w:rPr>
        <w:lastRenderedPageBreak/>
        <w:t xml:space="preserve">ب. نموذج مالكم </w:t>
      </w:r>
      <w:proofErr w:type="spellStart"/>
      <w:r w:rsidRPr="00DA72CE">
        <w:rPr>
          <w:spacing w:val="-4"/>
          <w:rtl/>
        </w:rPr>
        <w:t>بالدريج</w:t>
      </w:r>
      <w:proofErr w:type="spellEnd"/>
      <w:r w:rsidRPr="00DA72CE">
        <w:rPr>
          <w:spacing w:val="-4"/>
          <w:rtl/>
        </w:rPr>
        <w:t xml:space="preserve"> للتميز في الأداء (</w:t>
      </w:r>
      <w:r w:rsidRPr="00DA72CE">
        <w:rPr>
          <w:spacing w:val="-4"/>
        </w:rPr>
        <w:t>Baldrige Excellence Framework</w:t>
      </w:r>
      <w:r w:rsidRPr="00DA72CE">
        <w:rPr>
          <w:spacing w:val="-4"/>
          <w:rtl/>
        </w:rPr>
        <w:t>)</w:t>
      </w:r>
    </w:p>
    <w:p w14:paraId="70E9E511" w14:textId="77777777" w:rsidR="00BF318A" w:rsidRPr="00DA72CE" w:rsidRDefault="00590F45" w:rsidP="00590F45">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يُعد هذا النموذج الأمريكي من الرواد في مجال التميز المؤسسي، حيث يركز على سبعة معايير: القيادة، التخطيط الاستراتيجي، التركيز على العملاء، القياس والتحليل وإدارة المعرفة، التركيز على القوى العاملة، إدارة العمليات، والنتائج. وقد استفادت العديد من مؤسسات التعليم العالي من هذا النموذج في تطوير أنظمتها الإدارية والأكاديمية، حيث تؤكد دراسة فكري (2023) أن جامعة القاهرة تتمتع بمستوى عالٍ من عملية تخطيط الموارد البشرية بما يتوافق مع استراتيجيتها المنهجية، مما يعكس تأثير تبني نماذج التميز العالمية.</w:t>
      </w:r>
    </w:p>
    <w:p w14:paraId="01607852"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الحربي والمهدي ونصر وأحمد (2025) إلى أن تطبيق معايير نموذج </w:t>
      </w:r>
      <w:proofErr w:type="spellStart"/>
      <w:r w:rsidRPr="00DA72CE">
        <w:rPr>
          <w:rFonts w:ascii="Sakkal Majalla" w:hAnsi="Sakkal Majalla" w:cs="Sakkal Majalla"/>
          <w:spacing w:val="-4"/>
          <w:sz w:val="30"/>
          <w:szCs w:val="30"/>
          <w:rtl/>
        </w:rPr>
        <w:t>بالدريج</w:t>
      </w:r>
      <w:proofErr w:type="spellEnd"/>
      <w:r w:rsidRPr="00DA72CE">
        <w:rPr>
          <w:rFonts w:ascii="Sakkal Majalla" w:hAnsi="Sakkal Majalla" w:cs="Sakkal Majalla"/>
          <w:spacing w:val="-4"/>
          <w:sz w:val="30"/>
          <w:szCs w:val="30"/>
          <w:rtl/>
        </w:rPr>
        <w:t xml:space="preserve"> في مؤسسات التعليم العالي يساهم في تحقيق درجة عالية من التميز المؤسسي، حيث يوفر مؤشرات موضوعية لقياس الأداء وتحديد مجالات التحسين.</w:t>
      </w:r>
    </w:p>
    <w:p w14:paraId="37387CB7" w14:textId="22145729"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القرشي (2024) أن الاستفادة من خبرات الجامعات الأمريكية في ممارسات القيادة التحويلية وإدارة الابتكار تعزز من فرص الجامعات المحلية في المنافسة العالمية.</w:t>
      </w:r>
    </w:p>
    <w:p w14:paraId="79E1E0CA" w14:textId="3A630282" w:rsidR="00590F45" w:rsidRPr="00DA72CE" w:rsidRDefault="00590F45" w:rsidP="00BF318A">
      <w:pPr>
        <w:pStyle w:val="Heading4"/>
        <w:bidi/>
        <w:rPr>
          <w:spacing w:val="-4"/>
        </w:rPr>
      </w:pPr>
      <w:r w:rsidRPr="00DA72CE">
        <w:rPr>
          <w:spacing w:val="-4"/>
          <w:rtl/>
        </w:rPr>
        <w:t xml:space="preserve">ج. نموذج جائزة الملك </w:t>
      </w:r>
      <w:proofErr w:type="gramStart"/>
      <w:r w:rsidRPr="00DA72CE">
        <w:rPr>
          <w:spacing w:val="-4"/>
          <w:rtl/>
        </w:rPr>
        <w:t>عبدالعزيز</w:t>
      </w:r>
      <w:proofErr w:type="gramEnd"/>
      <w:r w:rsidRPr="00DA72CE">
        <w:rPr>
          <w:spacing w:val="-4"/>
          <w:rtl/>
        </w:rPr>
        <w:t xml:space="preserve"> للجودة</w:t>
      </w:r>
    </w:p>
    <w:p w14:paraId="792B0009"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على المستوى المحلي، يمثل نموذج جائزة الملك </w:t>
      </w:r>
      <w:proofErr w:type="gramStart"/>
      <w:r w:rsidRPr="00DA72CE">
        <w:rPr>
          <w:rFonts w:ascii="Sakkal Majalla" w:hAnsi="Sakkal Majalla" w:cs="Sakkal Majalla"/>
          <w:spacing w:val="-4"/>
          <w:sz w:val="30"/>
          <w:szCs w:val="30"/>
          <w:rtl/>
        </w:rPr>
        <w:t>عبدالعزيز</w:t>
      </w:r>
      <w:proofErr w:type="gramEnd"/>
      <w:r w:rsidRPr="00DA72CE">
        <w:rPr>
          <w:rFonts w:ascii="Sakkal Majalla" w:hAnsi="Sakkal Majalla" w:cs="Sakkal Majalla"/>
          <w:spacing w:val="-4"/>
          <w:sz w:val="30"/>
          <w:szCs w:val="30"/>
          <w:rtl/>
        </w:rPr>
        <w:t xml:space="preserve"> للجودة الإطار الوطني المعتمد للتميز المؤسسي في المملكة العربية السعودية، حيث يتوافق مع أفضل الممارسات العالمية مع مراعاة الخصوصية المحلية. وتشير دراسة عبد العال (2023) إلى أن معايير جائزة مصر للتميز الحكومي (التي تتشابه في فلسفتها مع الجائزة السعودية) تركز على مجالات مثل القيادة، التخطيط الاستراتيجي، إدارة الموارد البشرية، وإدارة العمليات، مما يوفر إطاراً شاملاً لتقييم وتحسين الأداء المؤسسي.</w:t>
      </w:r>
    </w:p>
    <w:p w14:paraId="10841EC8"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الحازمي (2022) أن تطبيق مبادئ التميز المؤسسي في المنظمات الحكومية السعودية يوفر خريطة طريق لتطوير ثقافة التميز، مما يساهم في تحسين الأداء وزيادة الرضا لدى أصحاب المصلحة.</w:t>
      </w:r>
    </w:p>
    <w:p w14:paraId="3FB09D83" w14:textId="6FA46358"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الجاسر (2023) إلى أن متطلبات الاعتماد الأكاديمي والجودة في الجامعات السعودية تتوافق مع معايير جائزة الملك </w:t>
      </w:r>
      <w:proofErr w:type="gramStart"/>
      <w:r w:rsidRPr="00DA72CE">
        <w:rPr>
          <w:rFonts w:ascii="Sakkal Majalla" w:hAnsi="Sakkal Majalla" w:cs="Sakkal Majalla"/>
          <w:spacing w:val="-4"/>
          <w:sz w:val="30"/>
          <w:szCs w:val="30"/>
          <w:rtl/>
        </w:rPr>
        <w:t>عبدالعزيز</w:t>
      </w:r>
      <w:proofErr w:type="gramEnd"/>
      <w:r w:rsidRPr="00DA72CE">
        <w:rPr>
          <w:rFonts w:ascii="Sakkal Majalla" w:hAnsi="Sakkal Majalla" w:cs="Sakkal Majalla"/>
          <w:spacing w:val="-4"/>
          <w:sz w:val="30"/>
          <w:szCs w:val="30"/>
          <w:rtl/>
        </w:rPr>
        <w:t xml:space="preserve"> للجودة، مما يعزز من فرص الجامعات في تحقيق التميز المؤسسي.</w:t>
      </w:r>
    </w:p>
    <w:p w14:paraId="6E7EB637" w14:textId="1CBE1F20" w:rsidR="00590F45" w:rsidRPr="00DA72CE" w:rsidRDefault="00590F45" w:rsidP="00BF318A">
      <w:pPr>
        <w:pStyle w:val="Heading4"/>
        <w:bidi/>
        <w:rPr>
          <w:spacing w:val="-4"/>
        </w:rPr>
      </w:pPr>
      <w:r w:rsidRPr="00DA72CE">
        <w:rPr>
          <w:spacing w:val="-4"/>
          <w:rtl/>
        </w:rPr>
        <w:lastRenderedPageBreak/>
        <w:t>د. نموذج التميز في التعليم العالي (</w:t>
      </w:r>
      <w:r w:rsidRPr="00DA72CE">
        <w:rPr>
          <w:spacing w:val="-4"/>
        </w:rPr>
        <w:t>Excellence in Higher Education Model</w:t>
      </w:r>
      <w:r w:rsidRPr="00DA72CE">
        <w:rPr>
          <w:spacing w:val="-4"/>
          <w:rtl/>
        </w:rPr>
        <w:t>)</w:t>
      </w:r>
    </w:p>
    <w:p w14:paraId="01BCCD28"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طور هذا النموذج خصيصاً لمؤسسات التعليم العالي، حيث يراعي الطبيعة المزدوجة للجامعة (أكاديمية وإدارية) وتعدد أصحاب المصلحة. ويشمل النموذج معايير مثل: جودة البرامج الأكاديمية، التميز في البحث العلمي، خدمة المجتمع، الحوكمة المؤسسية، والاستدامة المالية.</w:t>
      </w:r>
    </w:p>
    <w:p w14:paraId="002720E4"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أهلي (2025) إلى أن تطبيق نموذج التميز للمؤسسات التعليمية في جامعات الإمارات العربية المتحدة يساهم في تحسين جودة المخرجات التعليمية والبحثية، حيث يوفر إطاراً مرناً يمكن تكييفه مع خصوصية كل مؤسسة تعليمية.</w:t>
      </w:r>
    </w:p>
    <w:p w14:paraId="1C32004D" w14:textId="77777777" w:rsidR="00BF318A" w:rsidRPr="00DA72CE" w:rsidRDefault="00590F45" w:rsidP="00590F45">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وتؤكد دراسة النصير (2023) أن تطوير نموذج لقياس مؤشرات الأداء المؤسسي في الجامعات السعودية يتطلب الاستفادة من التوجهات الوطنية والدولية، مع مراعاة الخصوصية المحلية وأهداف رؤية 2030.</w:t>
      </w:r>
    </w:p>
    <w:p w14:paraId="0126CEED" w14:textId="174DBC00" w:rsidR="00590F45" w:rsidRPr="00DA72CE" w:rsidRDefault="00590F45" w:rsidP="00BF318A">
      <w:pPr>
        <w:pStyle w:val="Heading3"/>
        <w:bidi/>
        <w:rPr>
          <w:spacing w:val="-4"/>
        </w:rPr>
      </w:pPr>
      <w:r w:rsidRPr="00DA72CE">
        <w:rPr>
          <w:spacing w:val="-4"/>
          <w:rtl/>
        </w:rPr>
        <w:t xml:space="preserve"> </w:t>
      </w:r>
      <w:bookmarkStart w:id="29" w:name="_Toc224358888"/>
      <w:r w:rsidRPr="00DA72CE">
        <w:rPr>
          <w:spacing w:val="-4"/>
          <w:rtl/>
        </w:rPr>
        <w:t>1.6 التميز المؤسسي في سياق التعليم العالي</w:t>
      </w:r>
      <w:bookmarkEnd w:id="29"/>
    </w:p>
    <w:p w14:paraId="5BD547C8" w14:textId="2B798CC9" w:rsidR="00590F45" w:rsidRPr="00DA72CE" w:rsidRDefault="00590F45" w:rsidP="00BF318A">
      <w:pPr>
        <w:pStyle w:val="Heading4"/>
        <w:bidi/>
        <w:rPr>
          <w:spacing w:val="-4"/>
        </w:rPr>
      </w:pPr>
      <w:r w:rsidRPr="00DA72CE">
        <w:rPr>
          <w:spacing w:val="-4"/>
          <w:rtl/>
        </w:rPr>
        <w:t>أ. خصائص التميز المؤسسي في الجامعات</w:t>
      </w:r>
    </w:p>
    <w:p w14:paraId="202FAD62" w14:textId="77777777"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تتميز مؤسسات التعليم العالي بخصائص فريدة تؤثر في مفهوم وتطبيق التميز المؤسسي فيها، ومن أبرز هذه الخصائص:</w:t>
      </w:r>
    </w:p>
    <w:p w14:paraId="2905F212" w14:textId="0DC5AA20" w:rsidR="00590F45" w:rsidRPr="00DA72CE" w:rsidRDefault="00590F45" w:rsidP="00590F45">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الطبيعة المزدوجة للجامعة (أكاديمية وإدارية)</w:t>
      </w:r>
    </w:p>
    <w:p w14:paraId="488E5CDC"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تجمع الجامعات بين الوظيفة الأكاديمية (التدريس والبحث العلمي) والوظيفة الإدارية (إدارة الموارد والعمليات)، مما يتطلب نماذج تميز قادرة على الموازنة بين هذين البعدين. وتؤكد دراسة داهش (2022) أن إدراك أعضاء هيئة التدريس لقوة نظام إدارة الموارد البشرية يؤثر في سلوكياتهم التنظيمية، مما يبرز أهمية التكامل بين الجوانب الأكاديمية والإدارية في تحقيق التميز.</w:t>
      </w:r>
    </w:p>
    <w:p w14:paraId="749ABA64" w14:textId="6A93F0EB"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فكري (2023) إلى أن جامعة القاهرة تتمتع بمستوى عالٍ من عملية تخطيط الموارد البشرية بما يتوافق مع استراتيجيتها المنهجية، مما يعكس أهمية التكامل بين الجوانب الأكاديمية والإدارية في تحقيق التميز المؤسسي.</w:t>
      </w:r>
    </w:p>
    <w:p w14:paraId="079BF88E" w14:textId="2167D8DA" w:rsidR="00590F45" w:rsidRPr="00DA72CE" w:rsidRDefault="00590F45" w:rsidP="00590F45">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lastRenderedPageBreak/>
        <w:t>تعدد أصحاب المصلحة (</w:t>
      </w:r>
      <w:r w:rsidRPr="00DA72CE">
        <w:rPr>
          <w:rFonts w:ascii="Sakkal Majalla" w:hAnsi="Sakkal Majalla" w:cs="Sakkal Majalla"/>
          <w:b/>
          <w:bCs/>
          <w:spacing w:val="-4"/>
          <w:sz w:val="30"/>
          <w:szCs w:val="30"/>
        </w:rPr>
        <w:t>Stakeholders</w:t>
      </w:r>
      <w:r w:rsidRPr="00DA72CE">
        <w:rPr>
          <w:rFonts w:ascii="Sakkal Majalla" w:hAnsi="Sakkal Majalla" w:cs="Sakkal Majalla"/>
          <w:b/>
          <w:bCs/>
          <w:spacing w:val="-4"/>
          <w:sz w:val="30"/>
          <w:szCs w:val="30"/>
          <w:rtl/>
        </w:rPr>
        <w:t>)</w:t>
      </w:r>
    </w:p>
    <w:p w14:paraId="16F3895A"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تخدم الجامعات مجموعة متنوعة من أصحاب المصلحة بما في ذلك الطلاب، أعضاء هيئة التدريس، الإداريين، الخريجين، سوق العمل، والمجتمع ككل، مما يجعل معايير التميز أكثر تعقيداً وتعدداً. وتشير دراسة النصير (2023) إلى أن أبرز الدوافع لقياس الأداء في الجامعات السعودية هي متطلبات الاعتماد الأكاديمي وتحسين جودة المخرجات، مما يعكس أهمية تلبية توقعات مختلف أصحاب المصلحة.</w:t>
      </w:r>
    </w:p>
    <w:p w14:paraId="3D03C55A" w14:textId="650F4C6B"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القرشي (2024) أن استقلالية الجامعات تعزز من قدرتها على الابتكار والتنافس عالمياً، مما يتطلب نماذج تميز تراعي توقعات أصحاب المصلحة المتنوعين.</w:t>
      </w:r>
    </w:p>
    <w:p w14:paraId="07B12402" w14:textId="260C5F24" w:rsidR="00590F45" w:rsidRPr="00DA72CE" w:rsidRDefault="00590F45" w:rsidP="00590F45">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الاعتماد على المعرفة والابتكار</w:t>
      </w:r>
    </w:p>
    <w:p w14:paraId="629EDDF3"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تعتبر الجامعات مراكز لإنتاج المعرفة ونشرها، مما يجعل الابتكار والبحث العلمي من المؤشرات الأساسية للتميز فيها. وتوضح دراسة أهلي (2025) أن استثمار الجامعات في كفاءات موظفيها وتطوير قدراتهم يؤدي إلى توليد أفكار ابتكارية تساهم بدورها في رفع كفاءة الأداء وتحقيق معايير التميز العالمية.</w:t>
      </w:r>
    </w:p>
    <w:p w14:paraId="666FF676" w14:textId="6C430836"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السامرائي (2025) إلى أن الذكاء التنظيمي يؤثر إيجابياً في تحقيق التميز المؤسسي في الجامعات الخاصة، حيث تساهم قدرات المنظمة على جمع وتحليل واستخدام المعلومات في تعزيز القدرة على اتخاذ القرارات الاستراتيجية.</w:t>
      </w:r>
    </w:p>
    <w:p w14:paraId="7F8290C6" w14:textId="346E7E58" w:rsidR="00590F45" w:rsidRPr="00DA72CE" w:rsidRDefault="00590F45" w:rsidP="00590F45">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الاستقلالية الأكاديمية والحوكمة</w:t>
      </w:r>
    </w:p>
    <w:p w14:paraId="23580ABD"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تتمتع الجامعات بدرجة من الاستقلالية الأكاديمية التي تمكنها من اتخاذ قرارات تتعلق بالمناهج والبحث العلمي، مما يتطلب نماذج حوكمة متوازنة تضمن المساءلة مع الحفاظ على الحرية الأكاديمية. وتشير دراسة القرشي (2024) إلى أن استقلالية الجامعات تعزز من قدرتها على الابتكار والتنافس عالمياً.</w:t>
      </w:r>
    </w:p>
    <w:p w14:paraId="695EEA29" w14:textId="533E97F2"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وتؤكد دراسة </w:t>
      </w:r>
      <w:proofErr w:type="spellStart"/>
      <w:r w:rsidRPr="00DA72CE">
        <w:rPr>
          <w:rFonts w:ascii="Sakkal Majalla" w:hAnsi="Sakkal Majalla" w:cs="Sakkal Majalla"/>
          <w:spacing w:val="-4"/>
          <w:sz w:val="30"/>
          <w:szCs w:val="30"/>
          <w:rtl/>
        </w:rPr>
        <w:t>صاحبى</w:t>
      </w:r>
      <w:proofErr w:type="spellEnd"/>
      <w:r w:rsidRPr="00DA72CE">
        <w:rPr>
          <w:rFonts w:ascii="Sakkal Majalla" w:hAnsi="Sakkal Majalla" w:cs="Sakkal Majalla"/>
          <w:spacing w:val="-4"/>
          <w:sz w:val="30"/>
          <w:szCs w:val="30"/>
          <w:rtl/>
        </w:rPr>
        <w:t xml:space="preserve"> </w:t>
      </w:r>
      <w:proofErr w:type="spellStart"/>
      <w:r w:rsidRPr="00DA72CE">
        <w:rPr>
          <w:rFonts w:ascii="Sakkal Majalla" w:hAnsi="Sakkal Majalla" w:cs="Sakkal Majalla"/>
          <w:spacing w:val="-4"/>
          <w:sz w:val="30"/>
          <w:szCs w:val="30"/>
          <w:rtl/>
        </w:rPr>
        <w:t>وبلقيدوم</w:t>
      </w:r>
      <w:proofErr w:type="spellEnd"/>
      <w:r w:rsidRPr="00DA72CE">
        <w:rPr>
          <w:rFonts w:ascii="Sakkal Majalla" w:hAnsi="Sakkal Majalla" w:cs="Sakkal Majalla"/>
          <w:spacing w:val="-4"/>
          <w:sz w:val="30"/>
          <w:szCs w:val="30"/>
          <w:rtl/>
        </w:rPr>
        <w:t xml:space="preserve"> (2023) أن دور إدارة الموارد البشرية في تحقيق التميز المؤسساتي في مؤسسات التأمين يتطلب آليات حوكمة فعالة لضمان مواءمة مصالح الإدارة مع أهداف المؤسسة.</w:t>
      </w:r>
    </w:p>
    <w:p w14:paraId="45E767C6" w14:textId="4A8FB930" w:rsidR="00590F45" w:rsidRPr="00DA72CE" w:rsidRDefault="00590F45" w:rsidP="00BF318A">
      <w:pPr>
        <w:pStyle w:val="Heading4"/>
        <w:bidi/>
        <w:rPr>
          <w:spacing w:val="-4"/>
        </w:rPr>
      </w:pPr>
      <w:r w:rsidRPr="00DA72CE">
        <w:rPr>
          <w:spacing w:val="-4"/>
          <w:rtl/>
        </w:rPr>
        <w:lastRenderedPageBreak/>
        <w:t>ب. مؤشرات قياس التميز المؤسسي في الجامعات</w:t>
      </w:r>
    </w:p>
    <w:p w14:paraId="5984ED19" w14:textId="77777777" w:rsidR="00590F45" w:rsidRPr="00DA72CE" w:rsidRDefault="00590F45" w:rsidP="00590F45">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تتنوع المؤشرات المستخدمة لقياس التميز المؤسسي في الجامعات، ويمكن تصنيفها إلى ثلاث فئات رئيسية:</w:t>
      </w:r>
    </w:p>
    <w:p w14:paraId="7EA37D82" w14:textId="4518998D" w:rsidR="00590F45" w:rsidRPr="00DA72CE" w:rsidRDefault="00590F45" w:rsidP="00590F45">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المؤشرات الكمية (</w:t>
      </w:r>
      <w:r w:rsidRPr="00DA72CE">
        <w:rPr>
          <w:rFonts w:ascii="Sakkal Majalla" w:hAnsi="Sakkal Majalla" w:cs="Sakkal Majalla"/>
          <w:b/>
          <w:bCs/>
          <w:spacing w:val="-4"/>
          <w:sz w:val="30"/>
          <w:szCs w:val="30"/>
        </w:rPr>
        <w:t>Quantitative Indicators</w:t>
      </w:r>
      <w:r w:rsidRPr="00DA72CE">
        <w:rPr>
          <w:rFonts w:ascii="Sakkal Majalla" w:hAnsi="Sakkal Majalla" w:cs="Sakkal Majalla"/>
          <w:b/>
          <w:bCs/>
          <w:spacing w:val="-4"/>
          <w:sz w:val="30"/>
          <w:szCs w:val="30"/>
          <w:rtl/>
        </w:rPr>
        <w:t>)</w:t>
      </w:r>
    </w:p>
    <w:p w14:paraId="0543280A"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تشمل هذه المؤشرات البيانات القابلة للقياس العددي مثل: معدلات التخرج، نسب التوظيف للخريجين، عدد الأبحاث المنشورة في مجلات محكمة، حجم التمويل البحثي، نسب رضا الطلاب وأعضاء هيئة التدريس، وغيرها. وتؤكد دراسة النصير (2023) أن "مؤشرات الأداء الرئيسية" (</w:t>
      </w:r>
      <w:r w:rsidRPr="00DA72CE">
        <w:rPr>
          <w:rFonts w:ascii="Sakkal Majalla" w:hAnsi="Sakkal Majalla" w:cs="Sakkal Majalla"/>
          <w:spacing w:val="-4"/>
          <w:sz w:val="30"/>
          <w:szCs w:val="30"/>
        </w:rPr>
        <w:t>KPIs</w:t>
      </w:r>
      <w:r w:rsidRPr="00DA72CE">
        <w:rPr>
          <w:rFonts w:ascii="Sakkal Majalla" w:hAnsi="Sakkal Majalla" w:cs="Sakkal Majalla"/>
          <w:spacing w:val="-4"/>
          <w:sz w:val="30"/>
          <w:szCs w:val="30"/>
          <w:rtl/>
        </w:rPr>
        <w:t>) جاءت في المرتبة الأولى كأهم أداة قياس مستخدمة في الجامعات السعودية.</w:t>
      </w:r>
    </w:p>
    <w:p w14:paraId="49D6E733"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الحربي والمهدي ونصر وأحمد (2025) إلى أن تطوير مؤشرات أداء رئيسية للجامعات العامة يتطلب مراعاة معايير الجودة والاعتماد الأكاديمي، مع التركيز على النتائج والأثر بدلاً من المدخلات والعمليات فقط.</w:t>
      </w:r>
    </w:p>
    <w:p w14:paraId="521A0CB4" w14:textId="0A1B068C" w:rsidR="00590F45"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موسى (2024) أن أثر برامج التميز المؤسسي على تحديد الرؤية التعليمية يتطلب مؤشرات كمية قابلة للقياس لتقييم التقدم نحو تحقيق الأهداف الاستراتيجية.</w:t>
      </w:r>
    </w:p>
    <w:p w14:paraId="188AEECB" w14:textId="224ABE15" w:rsidR="00590F45" w:rsidRPr="00DA72CE" w:rsidRDefault="00590F45" w:rsidP="00590F45">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المؤشرات النوعية (</w:t>
      </w:r>
      <w:r w:rsidRPr="00DA72CE">
        <w:rPr>
          <w:rFonts w:ascii="Sakkal Majalla" w:hAnsi="Sakkal Majalla" w:cs="Sakkal Majalla"/>
          <w:b/>
          <w:bCs/>
          <w:spacing w:val="-4"/>
          <w:sz w:val="30"/>
          <w:szCs w:val="30"/>
        </w:rPr>
        <w:t>Qualitative Indicators</w:t>
      </w:r>
      <w:r w:rsidRPr="00DA72CE">
        <w:rPr>
          <w:rFonts w:ascii="Sakkal Majalla" w:hAnsi="Sakkal Majalla" w:cs="Sakkal Majalla"/>
          <w:b/>
          <w:bCs/>
          <w:spacing w:val="-4"/>
          <w:sz w:val="30"/>
          <w:szCs w:val="30"/>
          <w:rtl/>
        </w:rPr>
        <w:t>)</w:t>
      </w:r>
    </w:p>
    <w:p w14:paraId="1A89ACEF"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تشمل هذه المؤشرات الجوانب التي يصعب قياسها كمياً مثل: جودة البرامج الأكاديمية، سمعة الجامعة محلياً وعالمياً، ثقافة الابتكار والتعلم المستمر، جودة القيادة الإدارية، وغيرها. وتشير دراسة القرشي (2024) إلى أن درجة توافر أبعاد التميز المؤسسي ودرجة تحقيق الميزة التنافسية في الجامعات السعودية جاءت بدرجة "عالية"، مما يعكس الاهتمام بالجوانب النوعية للتميز.</w:t>
      </w:r>
    </w:p>
    <w:p w14:paraId="0C13620B"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مختار مفتاح عاشور وخالد مفتاح على عاشور (2024) أن العلاقة بين التميز المؤسسي والجودة الشاملة في مؤسسات التعليم العالي تتطلب مؤشرات نوعية تقيس مدى التزام المؤسسة بقيم التميز والابتكار في ممارساتها اليومية.</w:t>
      </w:r>
    </w:p>
    <w:p w14:paraId="5AC931A3" w14:textId="0C78A9B6" w:rsidR="00590F45" w:rsidRPr="00DA72CE" w:rsidRDefault="00590F45" w:rsidP="00590F45">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lastRenderedPageBreak/>
        <w:t>وتشير دراسة أهلي (2025) إلى أن الابتكار المؤسسي يعمل كمتغير وسيط فعال في تعزيز العلاقة بين ممارسات الموارد البشرية والتميز المؤسسي، مما يبرز أهمية المؤشرات النوعية في قياس جوانب الابتكار والإبداع.</w:t>
      </w:r>
    </w:p>
    <w:p w14:paraId="67347227" w14:textId="395AE23C" w:rsidR="00590F45" w:rsidRPr="00DA72CE" w:rsidRDefault="00590F45" w:rsidP="00590F45">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المؤشرات المركبة (</w:t>
      </w:r>
      <w:r w:rsidRPr="00DA72CE">
        <w:rPr>
          <w:rFonts w:ascii="Sakkal Majalla" w:hAnsi="Sakkal Majalla" w:cs="Sakkal Majalla"/>
          <w:b/>
          <w:bCs/>
          <w:spacing w:val="-4"/>
          <w:sz w:val="30"/>
          <w:szCs w:val="30"/>
        </w:rPr>
        <w:t>Composite Indicators</w:t>
      </w:r>
      <w:r w:rsidRPr="00DA72CE">
        <w:rPr>
          <w:rFonts w:ascii="Sakkal Majalla" w:hAnsi="Sakkal Majalla" w:cs="Sakkal Majalla"/>
          <w:b/>
          <w:bCs/>
          <w:spacing w:val="-4"/>
          <w:sz w:val="30"/>
          <w:szCs w:val="30"/>
          <w:rtl/>
        </w:rPr>
        <w:t>)</w:t>
      </w:r>
    </w:p>
    <w:p w14:paraId="55D21FFA"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تجمع هذه المؤشرات بين البيانات الكمية والنوعية في مؤشرات مركبة توفر صورة شاملة عن مستوى التميز، مثل: تصنيفات الجامعات العالمية (</w:t>
      </w:r>
      <w:r w:rsidRPr="00DA72CE">
        <w:rPr>
          <w:rFonts w:ascii="Sakkal Majalla" w:hAnsi="Sakkal Majalla" w:cs="Sakkal Majalla"/>
          <w:spacing w:val="-4"/>
          <w:sz w:val="30"/>
          <w:szCs w:val="30"/>
        </w:rPr>
        <w:t>QS, THE, ARWU</w:t>
      </w:r>
      <w:r w:rsidRPr="00DA72CE">
        <w:rPr>
          <w:rFonts w:ascii="Sakkal Majalla" w:hAnsi="Sakkal Majalla" w:cs="Sakkal Majalla"/>
          <w:spacing w:val="-4"/>
          <w:sz w:val="30"/>
          <w:szCs w:val="30"/>
          <w:rtl/>
        </w:rPr>
        <w:t>)، نتائج الاعتماد الأكاديمي، تقييمات جوائز التميز، وغيرها. وتوضح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يساهم في تعزيز الشفافية وزيادة الوضوح التنظيمي، مما يدعم عملية القياس الشامل للأداء المؤسسي.</w:t>
      </w:r>
    </w:p>
    <w:p w14:paraId="4B88BA8A"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القرشي (2024) إلى أن الاستفادة من خبرات الجامعات الأمريكية في ممارسات القيادة التحويلية وإدارة الابتكار تعزز من فرص الجامعات المحلية في المنافسة العالمية، مما يتطلب مؤشرات مركبة تقيس الجوانب المختلفة للتميز.</w:t>
      </w:r>
    </w:p>
    <w:p w14:paraId="4600B947" w14:textId="77777777" w:rsidR="00BF318A" w:rsidRPr="00DA72CE" w:rsidRDefault="00590F45" w:rsidP="00590F45">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النصير (2023) أن تطوير نموذج لقياس مؤشرات الأداء المؤسسي في الجامعات السعودية يتطلب الاستفادة من التوجهات الوطنية والدولية، مع مراعاة الخصوصية المحلية وأهداف رؤية 2030.</w:t>
      </w:r>
    </w:p>
    <w:p w14:paraId="3DDF1332" w14:textId="35F5C021" w:rsidR="00BF318A" w:rsidRPr="00DA72CE" w:rsidRDefault="00BF318A" w:rsidP="00BF318A">
      <w:pPr>
        <w:pStyle w:val="Heading3"/>
        <w:bidi/>
        <w:rPr>
          <w:spacing w:val="-4"/>
        </w:rPr>
      </w:pPr>
      <w:r w:rsidRPr="00DA72CE">
        <w:rPr>
          <w:spacing w:val="-4"/>
          <w:rtl/>
        </w:rPr>
        <w:t xml:space="preserve"> </w:t>
      </w:r>
      <w:bookmarkStart w:id="30" w:name="_Toc224358889"/>
      <w:r w:rsidRPr="00DA72CE">
        <w:rPr>
          <w:spacing w:val="-4"/>
          <w:rtl/>
        </w:rPr>
        <w:t>1.7 التحديات التي تواجه تحقيق التميز المؤسسي في الجامعات</w:t>
      </w:r>
      <w:bookmarkEnd w:id="30"/>
    </w:p>
    <w:p w14:paraId="65D3BBE2" w14:textId="77777777"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على الرغم من الأهمية البالغة للتميز المؤسسي ودوره المحوري في رفع كفاءة وفعالية مؤسسات التعليم العالي، إلا أن هناك مجموعة من التحديات والعقبات التي تواجه الجامعات، وخاصة الحكومية منها، في سعيها لتحقيق هذا التميز واستدامته. وتتنوع هذه التحديات بين تحديات إدارية، ومالية، وبشرية، وتقنية، وثقافية، مما يستدعي وقفة تحليلية عميقة لفهمها ووضع المعالجات المناسبة لها.</w:t>
      </w:r>
    </w:p>
    <w:p w14:paraId="73DB75C9" w14:textId="203AD657" w:rsidR="00BF318A" w:rsidRPr="00DA72CE" w:rsidRDefault="00BF318A" w:rsidP="00840C0F">
      <w:pPr>
        <w:pStyle w:val="Heading4"/>
        <w:bidi/>
        <w:rPr>
          <w:spacing w:val="-4"/>
        </w:rPr>
      </w:pPr>
      <w:r w:rsidRPr="00DA72CE">
        <w:rPr>
          <w:spacing w:val="-4"/>
          <w:rtl/>
        </w:rPr>
        <w:t>أ. التحديات الإدارية والبيروقراطية</w:t>
      </w:r>
    </w:p>
    <w:p w14:paraId="2F178DE6"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تُعد البيروقراطية وتعقيد الإجراءات الإدارية من أبرز المعوقات التي تواجه الجامعات الحكومية في تحقيق التميز المؤسسي. حيث تؤدي الروتينيات الإدارية المفرطة إلى إبطاء عملية اتخاذ القرارات، وتحد من </w:t>
      </w:r>
      <w:r w:rsidRPr="00DA72CE">
        <w:rPr>
          <w:rFonts w:ascii="Sakkal Majalla" w:hAnsi="Sakkal Majalla" w:cs="Sakkal Majalla"/>
          <w:spacing w:val="-4"/>
          <w:sz w:val="30"/>
          <w:szCs w:val="30"/>
          <w:rtl/>
        </w:rPr>
        <w:lastRenderedPageBreak/>
        <w:t>المرونة اللازمة للاستجابة السريعة للمتغيرات البيئية والمتطلبات الأكاديمية المتطورة. وتشير دراسة النصير (2023) إلى أن أبرز التحديات التي تواجه قياس الأداء المؤسسي في الجامعات السعودية تتمثل في الحاجة لتطوير الكوادر البشرية وزيادة الوعي بثقافة القياس، بالإضافة إلى وجود بعض الإجراءات الروتينية التي تعيق سرعة تنفيذ مبادرات التميز. كما تؤكد دراسة عسيري والعمود (2024) أن مستوى تطبيق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في الجامعات السعودية جاء بدرجة "متوسطة"، مما يشير إلى وجود هدراً في الوقت والجهد بسبب عدم تبسيط الإجراءات، وهو ما يؤثر سلباً على كفاءة العمليات الإدارية المطلوبة للتميز.</w:t>
      </w:r>
    </w:p>
    <w:p w14:paraId="46091505" w14:textId="5E34EA90"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سياق مشابه، توضح دراسة هاشم والحاج (2025) أن واقع أداء إدارة الموارد البشرية في الجامعات الأهلية بمدينة تعز جاء بدرجة "متوسطة"، حيث واجهت الجامعات تحديات إدارية تتعلق بعدم وضوح السياسات وعدم وجود استراتيجيات موارد بشرية متكاملة، وهو ما ينطبق جزئياً على العديد من الجامعات الحكومية التي تعاني من مركزية القرارات الإدارية. كما تشير دراسة عبيد (2022، نقلاً عن الأدبيات) إلى أن الفساد الإداري والروتين المفرط في الجامعات العامة في بعض الدول النامية يعيق التحول نحو التميز، مما يستدعي إصلاحات إدارية جذرية.</w:t>
      </w:r>
    </w:p>
    <w:p w14:paraId="1EA0C5B0" w14:textId="13A3B15D" w:rsidR="00BF318A" w:rsidRPr="00DA72CE" w:rsidRDefault="00BF318A" w:rsidP="00840C0F">
      <w:pPr>
        <w:pStyle w:val="Heading4"/>
        <w:bidi/>
        <w:rPr>
          <w:spacing w:val="-4"/>
        </w:rPr>
      </w:pPr>
      <w:r w:rsidRPr="00DA72CE">
        <w:rPr>
          <w:spacing w:val="-4"/>
          <w:rtl/>
        </w:rPr>
        <w:t>ب. التحديات البشرية والثقافية</w:t>
      </w:r>
    </w:p>
    <w:p w14:paraId="07ADA961"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يمثل العنصر البشري وتحديات الثقافة التنظيمية عائقاً آخر أمام التميز المؤسسي. فمقاومة التغيير من قبل بعض العاملين، وضعف الانتماء المؤسسي، وعدم وجود ثقافة داعمة للابتكار والمخاطرة المحسوبة، كلها عوامل تؤثر سلباً على مبادرات التميز. وتشير دراسة صديق (2019) إلى أن المنظمات التي لا تسعى للتميز والابتكار في إدارة كوادرها البشرية تكون عرضة للتراجع والاندثار، مؤكدة على ضرورة تعزيز الثقافة التنظيمية الداعمة للتميز وتطوير مهارات العاملين بشكل مستمر.</w:t>
      </w:r>
    </w:p>
    <w:p w14:paraId="5F1D7E73"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كما تكشف دراسة داهش (2022) عن أن التزام أعضاء هيئة التدريس العاطفي تجاه جامعاتهم يتأثر بقوة بنظام إدارة الموارد البشرية، حيث أن عدم وضوح السياسات أو عدم عدالتها قد يؤدي إلى تراجع الالتزام وبالتالي تراجع الأداء المؤسسي. وفي هذا الصدد، تؤكد دراسة اليامي (2023) أن إدارة التنوع البشري تمثل </w:t>
      </w:r>
      <w:r w:rsidRPr="00DA72CE">
        <w:rPr>
          <w:rFonts w:ascii="Sakkal Majalla" w:hAnsi="Sakkal Majalla" w:cs="Sakkal Majalla"/>
          <w:spacing w:val="-4"/>
          <w:sz w:val="30"/>
          <w:szCs w:val="30"/>
          <w:rtl/>
        </w:rPr>
        <w:lastRenderedPageBreak/>
        <w:t>تحدياً وفرصة في آن واحد، حيث أن عدم وجود سياسات إدارية تدعم ثقافة التسامح وقبول الآخر قد يؤدي إلى صراعات داخلية تعيق تحقيق التميز في الأداء المؤسسي.</w:t>
      </w:r>
    </w:p>
    <w:p w14:paraId="7183AD6B" w14:textId="1CE6D8F2"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w:t>
      </w:r>
      <w:proofErr w:type="spellStart"/>
      <w:r w:rsidRPr="00DA72CE">
        <w:rPr>
          <w:rFonts w:ascii="Sakkal Majalla" w:hAnsi="Sakkal Majalla" w:cs="Sakkal Majalla"/>
          <w:spacing w:val="-4"/>
          <w:sz w:val="30"/>
          <w:szCs w:val="30"/>
        </w:rPr>
        <w:t>Przytuła</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Sułkowski</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Kulikowski</w:t>
      </w:r>
      <w:proofErr w:type="spellEnd"/>
      <w:r w:rsidRPr="00DA72CE">
        <w:rPr>
          <w:rFonts w:ascii="Sakkal Majalla" w:hAnsi="Sakkal Majalla" w:cs="Sakkal Majalla"/>
          <w:spacing w:val="-4"/>
          <w:sz w:val="30"/>
          <w:szCs w:val="30"/>
          <w:rtl/>
        </w:rPr>
        <w:t xml:space="preserve"> (2024) إلى أن ممارسات إدارة الموارد البشرية في مؤسسات التعليم العالي غالباً ما تكون متفرقة وليست منهجية، مما يؤدي إلى تحديات مثل الإرهاق الأكاديمي (</w:t>
      </w:r>
      <w:r w:rsidRPr="00DA72CE">
        <w:rPr>
          <w:rFonts w:ascii="Sakkal Majalla" w:hAnsi="Sakkal Majalla" w:cs="Sakkal Majalla"/>
          <w:spacing w:val="-4"/>
          <w:sz w:val="30"/>
          <w:szCs w:val="30"/>
        </w:rPr>
        <w:t>Academic Burnout</w:t>
      </w:r>
      <w:r w:rsidRPr="00DA72CE">
        <w:rPr>
          <w:rFonts w:ascii="Sakkal Majalla" w:hAnsi="Sakkal Majalla" w:cs="Sakkal Majalla"/>
          <w:spacing w:val="-4"/>
          <w:sz w:val="30"/>
          <w:szCs w:val="30"/>
          <w:rtl/>
        </w:rPr>
        <w:t>) وصعوبة الاحتفاظ بالكفاءات المتميزة، وهو تحدي يواجه الجامعات السعودية أيضاً في ظل التنافس العالمي على الكفاءات.</w:t>
      </w:r>
    </w:p>
    <w:p w14:paraId="712FC3D0" w14:textId="55F05372" w:rsidR="00BF318A" w:rsidRPr="00DA72CE" w:rsidRDefault="00BF318A" w:rsidP="00840C0F">
      <w:pPr>
        <w:pStyle w:val="Heading4"/>
        <w:bidi/>
        <w:rPr>
          <w:spacing w:val="-4"/>
        </w:rPr>
      </w:pPr>
      <w:r w:rsidRPr="00DA72CE">
        <w:rPr>
          <w:spacing w:val="-4"/>
          <w:rtl/>
        </w:rPr>
        <w:t>ج. التحديات المالية والموارد</w:t>
      </w:r>
    </w:p>
    <w:p w14:paraId="1273080F"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يعتبر توفر الموارد المالية الكافية شرطاً أساسياً لتحقيق التميز المؤسسي، حيث تتطلب مبادرات التطوير والبحث العلمي والبنية التحتية التكنولوجية استثمارات ضخمة. وتشير دراسة عبد العال (2023) إلى وجود تحديات إدارية ومالية تواجه الكليات في استيفاء معايير التميز، وأبرزت النتائج الحاجة الماسة لتطوير منظومة الرعاية الصحية والخدمات الاجتماعية المقدمة للأكاديميين كحافز لرفع الأداء المؤسسي.</w:t>
      </w:r>
    </w:p>
    <w:p w14:paraId="69224360" w14:textId="7BAC0CC6"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كما تؤكد دراسة القرشي (2024) أن الموارد المالية تعتبر أحد أبعاد التميز المؤسسي، وأن عدم كفاية التمويل المخصص للبحث العلمي والابتكار قد يحد من قدرة الجامعات على تحقيق الميزة التنافسية. وفي سياق الدول النامية، توضح دراسة </w:t>
      </w:r>
      <w:r w:rsidRPr="00DA72CE">
        <w:rPr>
          <w:rFonts w:ascii="Sakkal Majalla" w:hAnsi="Sakkal Majalla" w:cs="Sakkal Majalla"/>
          <w:spacing w:val="-4"/>
          <w:sz w:val="30"/>
          <w:szCs w:val="30"/>
        </w:rPr>
        <w:t>Addo</w:t>
      </w:r>
      <w:r w:rsidRPr="00DA72CE">
        <w:rPr>
          <w:rFonts w:ascii="Sakkal Majalla" w:hAnsi="Sakkal Majalla" w:cs="Sakkal Majalla"/>
          <w:spacing w:val="-4"/>
          <w:sz w:val="30"/>
          <w:szCs w:val="30"/>
          <w:rtl/>
        </w:rPr>
        <w:t xml:space="preserve"> (2022) أن نقص الموارد المالية في الجامعات الغانية أثر على قدرتها على تحسين إدارة الموارد البشرية وبالتالي الفعالية المؤسسية، مما يعكس أهمية الموارد المالية كعامل تمكين للتميز.</w:t>
      </w:r>
    </w:p>
    <w:p w14:paraId="5740EF49" w14:textId="55DBE4A1" w:rsidR="00BF318A" w:rsidRPr="00DA72CE" w:rsidRDefault="00BF318A" w:rsidP="00840C0F">
      <w:pPr>
        <w:pStyle w:val="Heading4"/>
        <w:bidi/>
        <w:rPr>
          <w:spacing w:val="-4"/>
        </w:rPr>
      </w:pPr>
      <w:r w:rsidRPr="00DA72CE">
        <w:rPr>
          <w:spacing w:val="-4"/>
          <w:rtl/>
        </w:rPr>
        <w:t>د. التحديات التقنية والرقمية</w:t>
      </w:r>
    </w:p>
    <w:p w14:paraId="570C3939"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في عصر التحول الرقمي، أصبح عدم مواكبة التطورات التكنولوجية تحدياً كبيراً يواجه الجامعات. وتشير دراسة عسيري والعمود (2024) إلى ضرورة توفير البنية التحتية التقنية اللازمة لتطبيق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xml:space="preserve">)، وأن عدم توفرها يمثل عائقاً أمام تطوير الأداء المؤسسي. كما تؤكد دراسة الجاسر </w:t>
      </w:r>
      <w:r w:rsidRPr="00DA72CE">
        <w:rPr>
          <w:rFonts w:ascii="Sakkal Majalla" w:hAnsi="Sakkal Majalla" w:cs="Sakkal Majalla"/>
          <w:spacing w:val="-4"/>
          <w:sz w:val="30"/>
          <w:szCs w:val="30"/>
          <w:rtl/>
        </w:rPr>
        <w:lastRenderedPageBreak/>
        <w:t>(2023) أن البرامج التدريبية يجب أن تصمم وفقاً لمتطلبات الاعتماد الأكاديمي والتحول الرقمي، وأن الفجوة في المهارات الرقمية لدى الموظفين الإداريين تمثل تحدياً يجب معالجته لتحقيق التميز.</w:t>
      </w:r>
    </w:p>
    <w:p w14:paraId="1A265998"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w:t>
      </w:r>
      <w:proofErr w:type="spellStart"/>
      <w:r w:rsidRPr="00DA72CE">
        <w:rPr>
          <w:rFonts w:ascii="Sakkal Majalla" w:hAnsi="Sakkal Majalla" w:cs="Sakkal Majalla"/>
          <w:spacing w:val="-4"/>
          <w:sz w:val="30"/>
          <w:szCs w:val="30"/>
        </w:rPr>
        <w:t>Elbawab</w:t>
      </w:r>
      <w:proofErr w:type="spellEnd"/>
      <w:r w:rsidRPr="00DA72CE">
        <w:rPr>
          <w:rFonts w:ascii="Sakkal Majalla" w:hAnsi="Sakkal Majalla" w:cs="Sakkal Majalla"/>
          <w:spacing w:val="-4"/>
          <w:sz w:val="30"/>
          <w:szCs w:val="30"/>
          <w:rtl/>
        </w:rPr>
        <w:t xml:space="preserve"> (2024) إلى أن التعلم المؤسسي </w:t>
      </w:r>
      <w:proofErr w:type="spellStart"/>
      <w:r w:rsidRPr="00DA72CE">
        <w:rPr>
          <w:rFonts w:ascii="Sakkal Majalla" w:hAnsi="Sakkal Majalla" w:cs="Sakkal Majalla"/>
          <w:spacing w:val="-4"/>
          <w:sz w:val="30"/>
          <w:szCs w:val="30"/>
          <w:rtl/>
        </w:rPr>
        <w:t>والرقمنة</w:t>
      </w:r>
      <w:proofErr w:type="spellEnd"/>
      <w:r w:rsidRPr="00DA72CE">
        <w:rPr>
          <w:rFonts w:ascii="Sakkal Majalla" w:hAnsi="Sakkal Majalla" w:cs="Sakkal Majalla"/>
          <w:spacing w:val="-4"/>
          <w:sz w:val="30"/>
          <w:szCs w:val="30"/>
          <w:rtl/>
        </w:rPr>
        <w:t xml:space="preserve"> يساهمان في تحسين الأداء المستدام في الجامعات الأوروبية، مما يبرز أن التخلف التقني يمثل عائقاً أمام التميز المستدام. وفي السياق السعودي، تؤكد دراسة الحربي والمهدي ونصر وأحمد (2025) أن آليات تحسين جودة الأداء المؤسسي بالجامعات السعودية الناشئة تتطلب تبني نموذج الجامعة الذكية، مما يستلزم تجاوز التحديات التقنية المتعلقة بالأمن </w:t>
      </w:r>
      <w:proofErr w:type="spellStart"/>
      <w:r w:rsidRPr="00DA72CE">
        <w:rPr>
          <w:rFonts w:ascii="Sakkal Majalla" w:hAnsi="Sakkal Majalla" w:cs="Sakkal Majalla"/>
          <w:spacing w:val="-4"/>
          <w:sz w:val="30"/>
          <w:szCs w:val="30"/>
          <w:rtl/>
        </w:rPr>
        <w:t>السيبراني</w:t>
      </w:r>
      <w:proofErr w:type="spellEnd"/>
      <w:r w:rsidRPr="00DA72CE">
        <w:rPr>
          <w:rFonts w:ascii="Sakkal Majalla" w:hAnsi="Sakkal Majalla" w:cs="Sakkal Majalla"/>
          <w:spacing w:val="-4"/>
          <w:sz w:val="30"/>
          <w:szCs w:val="30"/>
          <w:rtl/>
        </w:rPr>
        <w:t xml:space="preserve"> وتكامل الأنظمة.</w:t>
      </w:r>
    </w:p>
    <w:p w14:paraId="250D0C60" w14:textId="2E4778A7" w:rsidR="00840C0F" w:rsidRPr="00DA72CE" w:rsidRDefault="00BF318A" w:rsidP="00840C0F">
      <w:pPr>
        <w:pStyle w:val="Heading3"/>
        <w:bidi/>
        <w:rPr>
          <w:spacing w:val="-4"/>
        </w:rPr>
      </w:pPr>
      <w:r w:rsidRPr="00DA72CE">
        <w:rPr>
          <w:spacing w:val="-4"/>
          <w:rtl/>
        </w:rPr>
        <w:t xml:space="preserve"> </w:t>
      </w:r>
      <w:bookmarkStart w:id="31" w:name="_Toc224358890"/>
      <w:r w:rsidRPr="00DA72CE">
        <w:rPr>
          <w:spacing w:val="-4"/>
          <w:rtl/>
        </w:rPr>
        <w:t>1.8 استراتيجيات تحقيق واستدامة التميز المؤسسي في الجامعات</w:t>
      </w:r>
      <w:bookmarkEnd w:id="31"/>
    </w:p>
    <w:p w14:paraId="7D6A645D" w14:textId="2E58F072"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للتغلب على التحديات المذكورة أعلاه وتحقيق التميز المؤسسي المستدام، تتبنى الجامعات مجموعة من الاستراتيجيات والآليات التي تهدف إلى تعزيز القدرات التنظيمية ورفع مستوى الأداء. وتستند هذه الاستراتيجيات إلى أفضل الممارسات العالمية مع تكييفها لتناسب البيئة المحلية.</w:t>
      </w:r>
    </w:p>
    <w:p w14:paraId="43E6F2EC" w14:textId="6F68DC75" w:rsidR="00BF318A" w:rsidRPr="00DA72CE" w:rsidRDefault="00BF318A" w:rsidP="00840C0F">
      <w:pPr>
        <w:pStyle w:val="Heading4"/>
        <w:bidi/>
        <w:rPr>
          <w:spacing w:val="-4"/>
        </w:rPr>
      </w:pPr>
      <w:r w:rsidRPr="00DA72CE">
        <w:rPr>
          <w:spacing w:val="-4"/>
          <w:rtl/>
        </w:rPr>
        <w:t>أ. الاستراتيجية الأولى: التكامل الاستراتيجي ومواءمة الموارد البشرية</w:t>
      </w:r>
    </w:p>
    <w:p w14:paraId="7311ACD2"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تُعد مواءمة استراتيجيات الموارد البشرية مع الأهداف الاستراتيجية للجامعة من أهم استراتيجيات تحقيق التميز. حيث يجب أن تكون سياسات التوظيف والتدريب والتحفيز مصممة لخدمة الرؤية والرسالة المؤسسية. وتشير دراسة حمزة ومحمد وحسن وموسى والعبيد (2025) إلى أن التميز المؤسسي لا يتحقق بمعزل عن مواءمة استراتيجيات الموارد البشرية مع الرؤية الكلية للمنظمة، مما يبرز أهمية التكامل الاستراتيجي.</w:t>
      </w:r>
    </w:p>
    <w:p w14:paraId="00CDF3BA" w14:textId="49B2FFF1"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كما تؤكد دراسة أهلي (2025) أن صياغة استراتيجيات موارد بشرية تركز بشكل مكثف على رعاية المبدعين وتوفير بيئة محفزة للابتكار، مع التأكيد على أهمية التحسين المستمر للعمليات الإدارية والأكاديمية، تضمن استدامة التميز في بيئة تعليمية تنافسية. وفي جامعة القاهرة، أوضح فكري (2023) أن المستوى العالي </w:t>
      </w:r>
      <w:r w:rsidRPr="00DA72CE">
        <w:rPr>
          <w:rFonts w:ascii="Sakkal Majalla" w:hAnsi="Sakkal Majalla" w:cs="Sakkal Majalla"/>
          <w:spacing w:val="-4"/>
          <w:sz w:val="30"/>
          <w:szCs w:val="30"/>
          <w:rtl/>
        </w:rPr>
        <w:lastRenderedPageBreak/>
        <w:t>من عملية تخطيط الموارد البشرية بما يتوافق مع الاستراتيجية المنهجية للجامعة كان عاملاً أساسياً في تحقيق التميز المؤسسي.</w:t>
      </w:r>
    </w:p>
    <w:p w14:paraId="43F88BE6" w14:textId="385F4C81" w:rsidR="00BF318A" w:rsidRPr="00DA72CE" w:rsidRDefault="00BF318A" w:rsidP="00840C0F">
      <w:pPr>
        <w:pStyle w:val="Heading4"/>
        <w:bidi/>
        <w:rPr>
          <w:spacing w:val="-4"/>
        </w:rPr>
      </w:pPr>
      <w:r w:rsidRPr="00DA72CE">
        <w:rPr>
          <w:spacing w:val="-4"/>
          <w:rtl/>
        </w:rPr>
        <w:t>ب. الاستراتيجية الثانية: تطوير القيادة وبناء القدرات</w:t>
      </w:r>
    </w:p>
    <w:p w14:paraId="61E3E1E0"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تلعب القيادة دوراً محورياً في قيادة عجلة التميز المؤسسي. وتتطلب استراتيجيات التميز تطوير كفاءات القادة الأكاديميين والإداريين لتمكينهم من إدارة التغيير والابتكار. وتشير دراسة الحازمي (2022) إلى أن القيادة المستدامة تمثل مدخلاً أساسياً لتحقيق التميز المؤسسي في الجامعات السعودية، حيث تساهم في تعزيز الثقافة التنظيمية الداعمة للابتكار والتحسين المستمر.</w:t>
      </w:r>
    </w:p>
    <w:p w14:paraId="0D2DB3DE" w14:textId="38459EA5"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كما تؤكد دراسة القرشي (2024) أن الاستفادة من خبرات الجامعات الأمريكية في ممارسات القيادة التحويلية وإدارة الابتكار تعزز من فرص الجامعات المحلية في المنافسة العالمية. وتوصي دراسة </w:t>
      </w:r>
      <w:proofErr w:type="spellStart"/>
      <w:r w:rsidRPr="00DA72CE">
        <w:rPr>
          <w:rFonts w:ascii="Sakkal Majalla" w:hAnsi="Sakkal Majalla" w:cs="Sakkal Majalla"/>
          <w:spacing w:val="-4"/>
          <w:sz w:val="30"/>
          <w:szCs w:val="30"/>
          <w:rtl/>
        </w:rPr>
        <w:t>بوزناد</w:t>
      </w:r>
      <w:proofErr w:type="spellEnd"/>
      <w:r w:rsidRPr="00DA72CE">
        <w:rPr>
          <w:rFonts w:ascii="Sakkal Majalla" w:hAnsi="Sakkal Majalla" w:cs="Sakkal Majalla"/>
          <w:spacing w:val="-4"/>
          <w:sz w:val="30"/>
          <w:szCs w:val="30"/>
          <w:rtl/>
        </w:rPr>
        <w:t xml:space="preserve"> (2025) بضرورة تعزيز نظام التحفيز المادي والمعنوي، وتطوير أساليب الاستقطاب لاستقطاب الكفاءات القادرة على الإبداع والابتكار بما يضمن استدامة التميز في الأداء الجامعي، وهو ما يتطلب قيادة واعية بأهمية رأس المال البشري.</w:t>
      </w:r>
    </w:p>
    <w:p w14:paraId="6F973162" w14:textId="23D8E9BA" w:rsidR="00BF318A" w:rsidRPr="00DA72CE" w:rsidRDefault="00BF318A" w:rsidP="00840C0F">
      <w:pPr>
        <w:pStyle w:val="Heading4"/>
        <w:bidi/>
        <w:rPr>
          <w:spacing w:val="-4"/>
        </w:rPr>
      </w:pPr>
      <w:r w:rsidRPr="00DA72CE">
        <w:rPr>
          <w:spacing w:val="-4"/>
          <w:rtl/>
        </w:rPr>
        <w:t>ج. الاستراتيجية الثالثة: تبني نماذج التميز والجودة الشاملة</w:t>
      </w:r>
    </w:p>
    <w:p w14:paraId="42B3DBA7"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يعتبر تبني نماذج عالمية للتميز مثل نموذج </w:t>
      </w:r>
      <w:r w:rsidRPr="00DA72CE">
        <w:rPr>
          <w:rFonts w:ascii="Sakkal Majalla" w:hAnsi="Sakkal Majalla" w:cs="Sakkal Majalla"/>
          <w:spacing w:val="-4"/>
          <w:sz w:val="30"/>
          <w:szCs w:val="30"/>
        </w:rPr>
        <w:t>EFQM</w:t>
      </w:r>
      <w:r w:rsidRPr="00DA72CE">
        <w:rPr>
          <w:rFonts w:ascii="Sakkal Majalla" w:hAnsi="Sakkal Majalla" w:cs="Sakkal Majalla"/>
          <w:spacing w:val="-4"/>
          <w:sz w:val="30"/>
          <w:szCs w:val="30"/>
          <w:rtl/>
        </w:rPr>
        <w:t xml:space="preserve"> أو </w:t>
      </w:r>
      <w:proofErr w:type="spellStart"/>
      <w:r w:rsidRPr="00DA72CE">
        <w:rPr>
          <w:rFonts w:ascii="Sakkal Majalla" w:hAnsi="Sakkal Majalla" w:cs="Sakkal Majalla"/>
          <w:spacing w:val="-4"/>
          <w:sz w:val="30"/>
          <w:szCs w:val="30"/>
          <w:rtl/>
        </w:rPr>
        <w:t>بالدريج</w:t>
      </w:r>
      <w:proofErr w:type="spellEnd"/>
      <w:r w:rsidRPr="00DA72CE">
        <w:rPr>
          <w:rFonts w:ascii="Sakkal Majalla" w:hAnsi="Sakkal Majalla" w:cs="Sakkal Majalla"/>
          <w:spacing w:val="-4"/>
          <w:sz w:val="30"/>
          <w:szCs w:val="30"/>
          <w:rtl/>
        </w:rPr>
        <w:t xml:space="preserve"> أو جائزة الملك </w:t>
      </w:r>
      <w:proofErr w:type="gramStart"/>
      <w:r w:rsidRPr="00DA72CE">
        <w:rPr>
          <w:rFonts w:ascii="Sakkal Majalla" w:hAnsi="Sakkal Majalla" w:cs="Sakkal Majalla"/>
          <w:spacing w:val="-4"/>
          <w:sz w:val="30"/>
          <w:szCs w:val="30"/>
          <w:rtl/>
        </w:rPr>
        <w:t>عبدالعزيز</w:t>
      </w:r>
      <w:proofErr w:type="gramEnd"/>
      <w:r w:rsidRPr="00DA72CE">
        <w:rPr>
          <w:rFonts w:ascii="Sakkal Majalla" w:hAnsi="Sakkal Majalla" w:cs="Sakkal Majalla"/>
          <w:spacing w:val="-4"/>
          <w:sz w:val="30"/>
          <w:szCs w:val="30"/>
          <w:rtl/>
        </w:rPr>
        <w:t xml:space="preserve"> للجودة استراتيجية فعالة لتوحيد الجهود نحو التميز. وتشير دراسة النصير (2023) إلى أن الجامعات السعودية تولي اهتماماً كبيراً لقياس الأداء المؤسسي وتمتلك وحدات إدارية متخصصة لهذه المهمة، حيث جاءت "مؤشرات الأداء الرئيسية" (</w:t>
      </w:r>
      <w:r w:rsidRPr="00DA72CE">
        <w:rPr>
          <w:rFonts w:ascii="Sakkal Majalla" w:hAnsi="Sakkal Majalla" w:cs="Sakkal Majalla"/>
          <w:spacing w:val="-4"/>
          <w:sz w:val="30"/>
          <w:szCs w:val="30"/>
        </w:rPr>
        <w:t>KPIs</w:t>
      </w:r>
      <w:r w:rsidRPr="00DA72CE">
        <w:rPr>
          <w:rFonts w:ascii="Sakkal Majalla" w:hAnsi="Sakkal Majalla" w:cs="Sakkal Majalla"/>
          <w:spacing w:val="-4"/>
          <w:sz w:val="30"/>
          <w:szCs w:val="30"/>
          <w:rtl/>
        </w:rPr>
        <w:t>) في المرتبة الأولى كأهم أداة قياس مستخدمة.</w:t>
      </w:r>
    </w:p>
    <w:p w14:paraId="7765852B" w14:textId="1BE887F1"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عسيري والعمود (2024) أن تبني القيادات الجامعية لمنهجية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xml:space="preserve">) كخيار استراتيجي لتطوير الأداء، والعمل على توفير البنية التحتية التقنية اللازمة، يضمن مخرجات إدارية وأكاديمية تتوافق مع تطلعات رؤية المملكة 2030 في تحقيق التميز المؤسسي المستدام. كما تشير دراسة مختار مفتاح عاشور وخالد </w:t>
      </w:r>
      <w:r w:rsidRPr="00DA72CE">
        <w:rPr>
          <w:rFonts w:ascii="Sakkal Majalla" w:hAnsi="Sakkal Majalla" w:cs="Sakkal Majalla"/>
          <w:spacing w:val="-4"/>
          <w:sz w:val="30"/>
          <w:szCs w:val="30"/>
          <w:rtl/>
        </w:rPr>
        <w:lastRenderedPageBreak/>
        <w:t>مفتاح على عاشور (2024) إلى أن العلاقة الطردية بين التميز المؤسسي والجودة الشاملة في الجامعات الخاصة المعتمدة في مدينة طرابلس تعكس أهمية الالتزام بمعايير الجودة كمدخل لتحقيق التميز.</w:t>
      </w:r>
    </w:p>
    <w:p w14:paraId="01FE2DD0" w14:textId="1DFF3CE9" w:rsidR="00BF318A" w:rsidRPr="00DA72CE" w:rsidRDefault="00BF318A" w:rsidP="00840C0F">
      <w:pPr>
        <w:pStyle w:val="Heading4"/>
        <w:bidi/>
        <w:rPr>
          <w:spacing w:val="-4"/>
        </w:rPr>
      </w:pPr>
      <w:r w:rsidRPr="00DA72CE">
        <w:rPr>
          <w:spacing w:val="-4"/>
          <w:rtl/>
        </w:rPr>
        <w:t>د. الاستراتيجية الرابعة: تعزيز الابتكار وإدارة المعرفة</w:t>
      </w:r>
    </w:p>
    <w:p w14:paraId="4E64743B"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في اقتصاد المعرفة، يصبح الابتكار وإدارة المعرفة من الاستراتيجيات الأساسية للتميز. وتتطلب هذه الاستراتيجية بناء أنظمة فعالة لتوليد المعرفة ونقلها وتطبيقها. وتشير دراسة أهلي (2025) إلى أن الابتكار المؤسسي يعمل كمتغير وسيط فعال في تعزيز العلاقة بين ممارسات الموارد البشرية والتميز المؤسسي، مما يعني أن استثمار الجامعات في كفاءات موظفيها يؤدي إلى توليد أفكار ابتكارية تساهم في رفع كفاءة الأداء.</w:t>
      </w:r>
    </w:p>
    <w:p w14:paraId="4BEB8CBA" w14:textId="1D367CF5"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تؤكد دراسة السامرائي (2025) أن الذكاء التنظيمي يؤثر إيجابياً في تحقيق التميز المؤسسي، حيث تساهم قدرات المنظمة على جمع وتحليل واستخدام المعلومات في تعزيز القدرة على اتخاذ القرارات الاستراتيجية. وتوصي دراسة القرشي (2024) بضرورة تركيز الجامعات على تطوير أنظمة إدارة المعرفة، ودعم استقلالية الجامعات، وتعزيز ثقافة الإبداع والريادة بين منسوبيها لضمان استدامة التفوق المؤسسي.</w:t>
      </w:r>
    </w:p>
    <w:p w14:paraId="51E6A280" w14:textId="5AF1C236" w:rsidR="00BF318A" w:rsidRPr="00DA72CE" w:rsidRDefault="00BF318A" w:rsidP="00840C0F">
      <w:pPr>
        <w:pStyle w:val="Heading4"/>
        <w:bidi/>
        <w:rPr>
          <w:spacing w:val="-4"/>
        </w:rPr>
      </w:pPr>
      <w:r w:rsidRPr="00DA72CE">
        <w:rPr>
          <w:spacing w:val="-4"/>
          <w:rtl/>
        </w:rPr>
        <w:t>هـ. الاستراتيجية الخامسة: الشراكات الاستراتيجية والتواصل المجتمعي</w:t>
      </w:r>
    </w:p>
    <w:p w14:paraId="0AF1BFB8"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لا يمكن للجامعة أن تحقق التميز بمعزل عن مجتمعها وشركائها الاستراتيجيين. وتتضمن هذه الاستراتيجية تعزيز العلاقات مع قطاع الصناعة والمؤسسات الحكومية والمجتمع المحلي. وتشير دراسة أهلي (2025) إلى أن التميز المؤسسي يرتبط بالقدرة على تحقيق القيمة المضافة لأصحاب المصلحة، مما يتطلب شراكات فعالة. كما تؤكد دراسة اليامي (2023) أن التنوع في الجنسية والمؤهل العلمي يعزز القدرات التنافسية، مما يبرز أهمية الشراكات الدولية وتبادل الخبرات.</w:t>
      </w:r>
    </w:p>
    <w:p w14:paraId="2B7C6147" w14:textId="01185A88" w:rsidR="00840C0F" w:rsidRPr="00DA72CE" w:rsidRDefault="00BF318A" w:rsidP="00840C0F">
      <w:pPr>
        <w:pStyle w:val="Heading3"/>
        <w:bidi/>
        <w:rPr>
          <w:spacing w:val="-4"/>
        </w:rPr>
      </w:pPr>
      <w:r w:rsidRPr="00DA72CE">
        <w:rPr>
          <w:spacing w:val="-4"/>
          <w:rtl/>
        </w:rPr>
        <w:t xml:space="preserve"> </w:t>
      </w:r>
      <w:bookmarkStart w:id="32" w:name="_Toc224358891"/>
      <w:r w:rsidRPr="00DA72CE">
        <w:rPr>
          <w:spacing w:val="-4"/>
          <w:rtl/>
        </w:rPr>
        <w:t>1.9 العلاقة بين التميز المؤسسي والثقافة التنظيمية</w:t>
      </w:r>
      <w:bookmarkEnd w:id="32"/>
    </w:p>
    <w:p w14:paraId="39BDEFD9" w14:textId="6CFFC6D9"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تُعد الثقافة التنظيمية (</w:t>
      </w:r>
      <w:r w:rsidRPr="00DA72CE">
        <w:rPr>
          <w:rFonts w:ascii="Sakkal Majalla" w:hAnsi="Sakkal Majalla" w:cs="Sakkal Majalla"/>
          <w:spacing w:val="-4"/>
          <w:sz w:val="30"/>
          <w:szCs w:val="30"/>
        </w:rPr>
        <w:t>Organizational Culture</w:t>
      </w:r>
      <w:r w:rsidRPr="00DA72CE">
        <w:rPr>
          <w:rFonts w:ascii="Sakkal Majalla" w:hAnsi="Sakkal Majalla" w:cs="Sakkal Majalla"/>
          <w:spacing w:val="-4"/>
          <w:sz w:val="30"/>
          <w:szCs w:val="30"/>
          <w:rtl/>
        </w:rPr>
        <w:t xml:space="preserve">) البيئة الحاضنة للتميز المؤسسي، حيث تشكل القيم والمعتقدات والسلوكيات المشتركة بين أفراد المنظمة الأساس الذي تُبنى عليه ممارسات التميز. ولا يمكن </w:t>
      </w:r>
      <w:r w:rsidRPr="00DA72CE">
        <w:rPr>
          <w:rFonts w:ascii="Sakkal Majalla" w:hAnsi="Sakkal Majalla" w:cs="Sakkal Majalla"/>
          <w:spacing w:val="-4"/>
          <w:sz w:val="30"/>
          <w:szCs w:val="30"/>
          <w:rtl/>
        </w:rPr>
        <w:lastRenderedPageBreak/>
        <w:t>فصل التميز المؤسسي عن الثقافة التنظيمية الداعمة له، حيث أن الأنظمة والإجراءات وحدها لا تكفي دون ثقافة تؤمن بأهمية الجودة والتحسين المستمر.</w:t>
      </w:r>
    </w:p>
    <w:p w14:paraId="3DDA2034" w14:textId="534EF7B4" w:rsidR="00BF318A" w:rsidRPr="00DA72CE" w:rsidRDefault="00BF318A" w:rsidP="00840C0F">
      <w:pPr>
        <w:pStyle w:val="Heading4"/>
        <w:bidi/>
        <w:rPr>
          <w:spacing w:val="-4"/>
        </w:rPr>
      </w:pPr>
      <w:r w:rsidRPr="00DA72CE">
        <w:rPr>
          <w:spacing w:val="-4"/>
          <w:rtl/>
        </w:rPr>
        <w:t>أ. دور القيم التنظيمية في تعزيز التميز</w:t>
      </w:r>
    </w:p>
    <w:p w14:paraId="16B53555"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تلعب القيم التنظيمية مثل النزاهة، الشفافية، الابتكار، والعمل الجماعي، دوراً حاسماً في توجيه سلوكيات الأفراد نحو تحقيق التميز. وتشير دراسة صديق (2019) إلى ضرورة تعزيز الثقافة التنظيمية الداعمة للتميز، وتطوير مهارات العاملين بشكل مستمر، والتركيز على الصحة والسلامة المهنية كجزء لا يتجزأ من استراتيجية التميز الشامل.</w:t>
      </w:r>
    </w:p>
    <w:p w14:paraId="018B6A20" w14:textId="03C0CE41"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تؤكد دراسة فكري (2023) أن التميز المؤسسي في المنظمات الحكومية يتطلب تبني ثقافة التميز والابتكار في جميع الممارسات والعمليات، حيث أن الحالة التي تصل إليها المؤسسة عندما تحقق أهدافها الاستراتيجية بأعلى مستويات الكفاءة والفعالية تعتمد بشكل كبير على الثقافة السائدة.</w:t>
      </w:r>
    </w:p>
    <w:p w14:paraId="1E95F939" w14:textId="336EA9EC" w:rsidR="00BF318A" w:rsidRPr="00DA72CE" w:rsidRDefault="00BF318A" w:rsidP="00840C0F">
      <w:pPr>
        <w:pStyle w:val="Heading4"/>
        <w:bidi/>
        <w:rPr>
          <w:spacing w:val="-4"/>
        </w:rPr>
      </w:pPr>
      <w:r w:rsidRPr="00DA72CE">
        <w:rPr>
          <w:spacing w:val="-4"/>
          <w:rtl/>
        </w:rPr>
        <w:t>ب. الثقافة الداعمة للتعلم والابتكار</w:t>
      </w:r>
    </w:p>
    <w:p w14:paraId="7E06C4E2"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تتطلب بيئة التميز ثقافة تنظيمية تدعم التعلم المستمر وتشجع على الابتكار وتحمل المخاطر المحسوبة. وتشير دراسة </w:t>
      </w:r>
      <w:proofErr w:type="spellStart"/>
      <w:r w:rsidRPr="00DA72CE">
        <w:rPr>
          <w:rFonts w:ascii="Sakkal Majalla" w:hAnsi="Sakkal Majalla" w:cs="Sakkal Majalla"/>
          <w:spacing w:val="-4"/>
          <w:sz w:val="30"/>
          <w:szCs w:val="30"/>
        </w:rPr>
        <w:t>Elbawab</w:t>
      </w:r>
      <w:proofErr w:type="spellEnd"/>
      <w:r w:rsidRPr="00DA72CE">
        <w:rPr>
          <w:rFonts w:ascii="Sakkal Majalla" w:hAnsi="Sakkal Majalla" w:cs="Sakkal Majalla"/>
          <w:spacing w:val="-4"/>
          <w:sz w:val="30"/>
          <w:szCs w:val="30"/>
          <w:rtl/>
        </w:rPr>
        <w:t xml:space="preserve"> (2024) إلى أن ثقافة التعلم المؤسسي تساهم في تعزيز عملية التعلم المؤسسي لتحقيق أداء أفضل وأداء مستدام في الجامعات، حيث أن التعلم يساهم في تحسين الابتكار والاستدامة البيئية والاجتماعية.</w:t>
      </w:r>
    </w:p>
    <w:p w14:paraId="16F1EFEE" w14:textId="2559B879"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أهلي (2025) أن استثمار الجامعات في كفاءات موظفيها وتطوير قدراتهم يؤدي إلى توليد أفكار ابتكارية تساهم بدورها في رفع كفاءة الأداء وتحقيق معايير التميز العالمية، وهو ما يتطلب ثقافة تنظيمية لا تعاقب على الفشل بل تعتبره فرصة للتعلم.</w:t>
      </w:r>
    </w:p>
    <w:p w14:paraId="7730FBEB" w14:textId="016686D6" w:rsidR="00BF318A" w:rsidRPr="00DA72CE" w:rsidRDefault="00BF318A" w:rsidP="00840C0F">
      <w:pPr>
        <w:pStyle w:val="Heading4"/>
        <w:bidi/>
        <w:rPr>
          <w:spacing w:val="-4"/>
        </w:rPr>
      </w:pPr>
      <w:r w:rsidRPr="00DA72CE">
        <w:rPr>
          <w:spacing w:val="-4"/>
          <w:rtl/>
        </w:rPr>
        <w:t>ج. تأثير الثقافة على التزام العاملين</w:t>
      </w:r>
    </w:p>
    <w:p w14:paraId="790EEFCC"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ترتبط الثقافة التنظيمية ارتباطاً وثيقاً بالتزام العاملين وانتمائهم للمؤسسة، وهو ما ينعكس مباشرة على الأداء المؤسسي. وتشير دراسة داهش (2022) إلى أن الالتزام العاطفي يعمل كمتغير وسيط جوهري في </w:t>
      </w:r>
      <w:r w:rsidRPr="00DA72CE">
        <w:rPr>
          <w:rFonts w:ascii="Sakkal Majalla" w:hAnsi="Sakkal Majalla" w:cs="Sakkal Majalla"/>
          <w:spacing w:val="-4"/>
          <w:sz w:val="30"/>
          <w:szCs w:val="30"/>
          <w:rtl/>
        </w:rPr>
        <w:lastRenderedPageBreak/>
        <w:t>تعزيز العلاقة بين قوة نظام إدارة الموارد البشرية وسلوكيات المواطنة التنظيمية، مما يحفز الموظفين على بذل جهود إضافية تساهم في تحقيق التميز المؤسسي.</w:t>
      </w:r>
    </w:p>
    <w:p w14:paraId="0650F7FF"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تؤكد دراسة عباس وعبد الحسين (2022) أن دور إدارة الموارد البشرية في تحقيق التميز التنظيمي يعتمد على بناء علاقات إيجابية بين الإدارة والموظفين تعزز من الانتماء والولاء المؤسسي.</w:t>
      </w:r>
    </w:p>
    <w:p w14:paraId="3BEB363E" w14:textId="2BA9E0C1" w:rsidR="00840C0F" w:rsidRPr="00DA72CE" w:rsidRDefault="00BF318A" w:rsidP="00840C0F">
      <w:pPr>
        <w:pStyle w:val="Heading3"/>
        <w:bidi/>
        <w:rPr>
          <w:spacing w:val="-4"/>
        </w:rPr>
      </w:pPr>
      <w:r w:rsidRPr="00DA72CE">
        <w:rPr>
          <w:spacing w:val="-4"/>
          <w:rtl/>
        </w:rPr>
        <w:t xml:space="preserve"> </w:t>
      </w:r>
      <w:bookmarkStart w:id="33" w:name="_Toc224358892"/>
      <w:r w:rsidRPr="00DA72CE">
        <w:rPr>
          <w:spacing w:val="-4"/>
          <w:rtl/>
        </w:rPr>
        <w:t>1.10 دور القيادة في دفع عجلة التميز المؤسسي</w:t>
      </w:r>
      <w:bookmarkEnd w:id="33"/>
    </w:p>
    <w:p w14:paraId="30EEBF82" w14:textId="7F24A56D"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تُعد القيادة (</w:t>
      </w:r>
      <w:r w:rsidRPr="00DA72CE">
        <w:rPr>
          <w:rFonts w:ascii="Sakkal Majalla" w:hAnsi="Sakkal Majalla" w:cs="Sakkal Majalla"/>
          <w:spacing w:val="-4"/>
          <w:sz w:val="30"/>
          <w:szCs w:val="30"/>
        </w:rPr>
        <w:t>Leadership</w:t>
      </w:r>
      <w:r w:rsidRPr="00DA72CE">
        <w:rPr>
          <w:rFonts w:ascii="Sakkal Majalla" w:hAnsi="Sakkal Majalla" w:cs="Sakkal Majalla"/>
          <w:spacing w:val="-4"/>
          <w:sz w:val="30"/>
          <w:szCs w:val="30"/>
          <w:rtl/>
        </w:rPr>
        <w:t>) المحرك الأساسي لعملية التميز المؤسسي، حيث تقع على عاتق القادة مسؤولية وضع الرؤية، وتحفيز العاملين، وتوجيه الموارد نحو تحقيق الأهداف الاستراتيجية. وتتنوع أنماط القيادة المؤثرة في التميز المؤسسي بين القيادة التحويلية، القيادة الاستراتيجية، والقيادة المستدامة.</w:t>
      </w:r>
    </w:p>
    <w:p w14:paraId="63EE9840" w14:textId="10266BFE" w:rsidR="00BF318A" w:rsidRPr="00DA72CE" w:rsidRDefault="00BF318A" w:rsidP="00840C0F">
      <w:pPr>
        <w:pStyle w:val="Heading4"/>
        <w:bidi/>
        <w:rPr>
          <w:spacing w:val="-4"/>
        </w:rPr>
      </w:pPr>
      <w:r w:rsidRPr="00DA72CE">
        <w:rPr>
          <w:spacing w:val="-4"/>
          <w:rtl/>
        </w:rPr>
        <w:t>أ. القيادة التحويلية والتميز</w:t>
      </w:r>
    </w:p>
    <w:p w14:paraId="23B72605"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تركز القيادة التحويلية على إلهام العاملين وتطوير قدراتهم وتوجيههم نحو رؤية مشتركة. وتشير دراسة القرشي (2024) إلى أن الاستفادة من خبرات الجامعات الأمريكية في ممارسات القيادة التحويلية وإدارة الابتكار تعزز من فرص الجامعات المحلية في المنافسة العالمية.</w:t>
      </w:r>
    </w:p>
    <w:p w14:paraId="44B83CF0" w14:textId="577AF934"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كما تؤكد دراسة الحازمي (2022) أن القيادة المستدامة تمثل مدخلاً أساسياً لتحقيق التميز المؤسسي في الجامعات السعودية، حيث تساهم في تعزيز الثقافة التنظيمية الداعمة للابتكار والتحسين المستمر.</w:t>
      </w:r>
    </w:p>
    <w:p w14:paraId="69BFD765" w14:textId="229FBB4E" w:rsidR="00BF318A" w:rsidRPr="00DA72CE" w:rsidRDefault="00BF318A" w:rsidP="00840C0F">
      <w:pPr>
        <w:pStyle w:val="Heading4"/>
        <w:bidi/>
        <w:rPr>
          <w:spacing w:val="-4"/>
        </w:rPr>
      </w:pPr>
      <w:r w:rsidRPr="00DA72CE">
        <w:rPr>
          <w:spacing w:val="-4"/>
          <w:rtl/>
        </w:rPr>
        <w:t>ب. القيادة الاستراتيجية ومواءمة الموارد</w:t>
      </w:r>
    </w:p>
    <w:p w14:paraId="290E94D7"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تتمثل مهمة القيادة الاستراتيجية في ضمان مواءمة الموارد والقدرات مع الأهداف طويلة المدى. وتشير دراسة حمزة ومحمد وحسن وموسى والعبيد (2025) إلى أن التميز المؤسسي لا يتحقق بمعزل عن مواءمة استراتيجيات الموارد البشرية مع الرؤية الكلية للمنظمة، مما يبرز دور القيادة في تحقيق هذا التكامل.</w:t>
      </w:r>
    </w:p>
    <w:p w14:paraId="1E582442" w14:textId="3E60F7C8" w:rsidR="00BF318A"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 xml:space="preserve">وتؤكد دراسة </w:t>
      </w:r>
      <w:proofErr w:type="spellStart"/>
      <w:r w:rsidRPr="00DA72CE">
        <w:rPr>
          <w:rFonts w:ascii="Sakkal Majalla" w:hAnsi="Sakkal Majalla" w:cs="Sakkal Majalla"/>
          <w:spacing w:val="-4"/>
          <w:sz w:val="30"/>
          <w:szCs w:val="30"/>
          <w:rtl/>
        </w:rPr>
        <w:t>بوزناد</w:t>
      </w:r>
      <w:proofErr w:type="spellEnd"/>
      <w:r w:rsidRPr="00DA72CE">
        <w:rPr>
          <w:rFonts w:ascii="Sakkal Majalla" w:hAnsi="Sakkal Majalla" w:cs="Sakkal Majalla"/>
          <w:spacing w:val="-4"/>
          <w:sz w:val="30"/>
          <w:szCs w:val="30"/>
          <w:rtl/>
        </w:rPr>
        <w:t xml:space="preserve"> (2025) أن الاهتمام بالعنصر البشري وتطوير آليات إدارته يعد الركيزة الأساسية لنجاح الجامعات في تحقيق أهدافها الاستراتيجية وتفوقها التنظيمي، وهو ما يتطلب قيادة تدرك قيمة رأس المال البشري.</w:t>
      </w:r>
    </w:p>
    <w:p w14:paraId="7A67D4C0" w14:textId="1A7FD8DD" w:rsidR="00BF318A" w:rsidRPr="00DA72CE" w:rsidRDefault="00BF318A" w:rsidP="00840C0F">
      <w:pPr>
        <w:pStyle w:val="Heading4"/>
        <w:bidi/>
        <w:rPr>
          <w:spacing w:val="-4"/>
        </w:rPr>
      </w:pPr>
      <w:r w:rsidRPr="00DA72CE">
        <w:rPr>
          <w:spacing w:val="-4"/>
          <w:rtl/>
        </w:rPr>
        <w:t>ج. القيادة الداعمة للتمكين والمشاركة</w:t>
      </w:r>
    </w:p>
    <w:p w14:paraId="562298C9"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تساهم القيادة الداعمة للتمكين في تفويض الصلاحيات وتشجيع المشاركة في اتخاذ القرارات، مما يعزز من شعور العاملين بالمسؤولية تجاه التميز. وتشير دراسة محمود (2020) أن تمكين الموارد البشرية يمثل مدخلاً أساسياً لتحقيق التميز المؤسسي، حيث يساهم في تعزيز الالتزام التنظيمي والابتكار.</w:t>
      </w:r>
    </w:p>
    <w:p w14:paraId="50F0CF62" w14:textId="77777777" w:rsidR="00840C0F" w:rsidRPr="00DA72CE" w:rsidRDefault="00BF318A" w:rsidP="00BF318A">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يتطلب تدريب الكوادر البشرية على مهارات نمذجة وتحليل العمليات، وهو ما يحتاج إلى قيادة تدعم التطوير المهني المستمر.</w:t>
      </w:r>
    </w:p>
    <w:p w14:paraId="5B3619EA" w14:textId="77777777" w:rsidR="00840C0F" w:rsidRPr="00DA72CE" w:rsidRDefault="00840C0F">
      <w:pPr>
        <w:rPr>
          <w:rFonts w:ascii="Sakkal Majalla" w:hAnsi="Sakkal Majalla" w:cs="Sakkal Majalla"/>
          <w:spacing w:val="-4"/>
          <w:sz w:val="30"/>
          <w:szCs w:val="30"/>
          <w:rtl/>
        </w:rPr>
      </w:pPr>
      <w:r w:rsidRPr="00DA72CE">
        <w:rPr>
          <w:rFonts w:ascii="Sakkal Majalla" w:hAnsi="Sakkal Majalla" w:cs="Sakkal Majalla"/>
          <w:spacing w:val="-4"/>
          <w:sz w:val="30"/>
          <w:szCs w:val="30"/>
          <w:rtl/>
        </w:rPr>
        <w:br w:type="page"/>
      </w:r>
    </w:p>
    <w:p w14:paraId="3B293A28" w14:textId="02A3A679" w:rsidR="00840C0F" w:rsidRPr="00DA72CE" w:rsidRDefault="00840C0F" w:rsidP="00F83577">
      <w:pPr>
        <w:pStyle w:val="Heading2"/>
        <w:bidi/>
        <w:rPr>
          <w:spacing w:val="-4"/>
        </w:rPr>
      </w:pPr>
      <w:bookmarkStart w:id="34" w:name="_Toc224358893"/>
      <w:r w:rsidRPr="00DA72CE">
        <w:rPr>
          <w:spacing w:val="-4"/>
          <w:rtl/>
        </w:rPr>
        <w:lastRenderedPageBreak/>
        <w:t>المبحث الثاني: إدارة الموارد البشرية - المفهوم والوظائف والدور الاستراتيجي</w:t>
      </w:r>
      <w:bookmarkEnd w:id="34"/>
    </w:p>
    <w:p w14:paraId="7B8651F8" w14:textId="058067EF" w:rsidR="00840C0F" w:rsidRPr="00DA72CE" w:rsidRDefault="00840C0F" w:rsidP="00840C0F">
      <w:pPr>
        <w:pStyle w:val="Heading3"/>
        <w:bidi/>
        <w:rPr>
          <w:spacing w:val="-4"/>
        </w:rPr>
      </w:pPr>
      <w:r w:rsidRPr="00DA72CE">
        <w:rPr>
          <w:spacing w:val="-4"/>
          <w:rtl/>
        </w:rPr>
        <w:t xml:space="preserve"> </w:t>
      </w:r>
      <w:bookmarkStart w:id="35" w:name="_Toc224358894"/>
      <w:r w:rsidRPr="00DA72CE">
        <w:rPr>
          <w:spacing w:val="-4"/>
          <w:rtl/>
        </w:rPr>
        <w:t>2.1 التعريفات والمفاهيم الأساسية لإدارة الموارد البشرية</w:t>
      </w:r>
      <w:bookmarkEnd w:id="35"/>
    </w:p>
    <w:p w14:paraId="34B948F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تشكل إدارة الموارد البشرية أحد الحقول المعرفية الحيوية في علم الإدارة، وقد تعددت التعريفات التي قدمها الباحثون والممارسون لهذا المفهوم، مما يعكس تعدد الزوايا التي يُنظر منها إلى العنصر البشري داخل المنظمات. وتتراوح هذه التعريفات بين النظرة التقليدية التي تركز على الجوانب الإجرائية، والنظرة الاستراتيجية التي تعتبر الموارد البشرية شريكاً في صنع القرار.</w:t>
      </w:r>
    </w:p>
    <w:p w14:paraId="338147E3"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فيعرف صديق (2019) إدارة الموارد البشرية بأنها "مجموعة من السياسات والممارسات الإدارية المصممة لإدارة العنصر البشري في المنظمة بشكل فعال، بما يشمل الاستقطاب، والتعيين، والتدريب، والتطوير، والتقييم، والمكافأة، والحفاظ على رضا العاملين والتزامهم" (ص. 187). ويركز هذا التعريف على الجوانب الوظيفية والتشغيلية لإدارة الموارد البشرية، معتبراً إياها مجموعة من الأنشطة المنسقة لإدارة الأفراد.</w:t>
      </w:r>
    </w:p>
    <w:p w14:paraId="3B9B7F9E"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أما حمزة ومحمد وحسن وموسى والعبيد (2025) فيعرفون إدارة الموارد البشرية الاستراتيجية بأنها "النظام المتكامل للممارسات والسياسات المتعلقة بالعنصر البشري، والمصمم لتحقيق أهداف المنظمة الاستراتيجية من خلال مواءمة استراتيجيات الموارد البشرية مع الرؤية والرسالة التنظيمية" (ص. 2327). ويبرز هذا التعريف البعد الاستراتيجي لإدارة الموارد البشرية وارتباطها بالأهداف طويلة المدى للمنظمة، مما يتجاوز المهام الروتينية إلى المساهمة في الميزة التنافسية.</w:t>
      </w:r>
    </w:p>
    <w:p w14:paraId="710BC6B9"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سياق التعليم العالي، تعرف دراسة أهلي (2025) إدارة الموارد البشرية في الجامعات بأنها "مجموعة الممارسات المنهجية المتعلقة بجذب، وتطوير، وتحفيز، والاحتفاظ بالكفاءات الأكاديمية والإدارية، بما يضمن تحقيق الأهداف التعليمية والبحثية والخدمية للجامعة" (ص. 328). ويضيف هذا التعريف بُعداً نوعياً يراعي الطبيعة الخاصة لمؤسسات التعليم العالي وأهدافها المتعددة.</w:t>
      </w:r>
    </w:p>
    <w:p w14:paraId="1A49E716"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كما يعرف فكري (2023) إدارة الموارد البشرية في المنظمات الحكومية بأنها "النظام المتكامل الذي يهدف إلى تعظيم مساهمة العنصر البشري في تحقيق الأهداف التنظيمية، من خلال تصميم وتنفيذ </w:t>
      </w:r>
      <w:r w:rsidRPr="00DA72CE">
        <w:rPr>
          <w:rFonts w:ascii="Sakkal Majalla" w:hAnsi="Sakkal Majalla" w:cs="Sakkal Majalla"/>
          <w:spacing w:val="-4"/>
          <w:sz w:val="30"/>
          <w:szCs w:val="30"/>
          <w:rtl/>
        </w:rPr>
        <w:lastRenderedPageBreak/>
        <w:t>سياسات وممارسات فعالة تتعلق بالتوظيف، والتدريب، والتقييم، والمكافأة" (ص. 149). ويركز هذا التعريف على الدور الاستراتيجي للموارد البشرية في القطاع الحكومي وارتباطه بالأداء التنظيمي.</w:t>
      </w:r>
    </w:p>
    <w:p w14:paraId="4CF62E69"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عباس وعبد الحسين (2022) إلى أن إدارة الموارد البشرية تُعد "الوظيفة الإدارية المسؤولة عن تحديد الاحتياجات من القوى العاملة، واختيار الأكفاء، وتدريبهم، وتقييم أدائهم، وتعويضهم، والحفاظ على علاقات عمل إيجابية، بما يساهم في تحقيق التميز التنظيمي" (ص. 169). ويؤكد هذا التعريف على الشمولية في مهام إدارة الموارد البشرية وارتباطها المباشر بالتميز.</w:t>
      </w:r>
    </w:p>
    <w:p w14:paraId="0AE83D82"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ومن منظور حديث، يعرف </w:t>
      </w:r>
      <w:proofErr w:type="spellStart"/>
      <w:r w:rsidRPr="00DA72CE">
        <w:rPr>
          <w:rFonts w:ascii="Sakkal Majalla" w:hAnsi="Sakkal Majalla" w:cs="Sakkal Majalla"/>
          <w:spacing w:val="-4"/>
          <w:sz w:val="30"/>
          <w:szCs w:val="30"/>
        </w:rPr>
        <w:t>Przytuła</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Sułkowski</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Kulikowski</w:t>
      </w:r>
      <w:proofErr w:type="spellEnd"/>
      <w:r w:rsidRPr="00DA72CE">
        <w:rPr>
          <w:rFonts w:ascii="Sakkal Majalla" w:hAnsi="Sakkal Majalla" w:cs="Sakkal Majalla"/>
          <w:spacing w:val="-4"/>
          <w:sz w:val="30"/>
          <w:szCs w:val="30"/>
          <w:rtl/>
        </w:rPr>
        <w:t xml:space="preserve"> (2024) إدارة الموارد البشرية في مؤسسات التعليم العالي بأنها "النظام الديناميكي لإدارة رأس المال البشري الذي يتكيف مع التحديات العالمية </w:t>
      </w:r>
      <w:proofErr w:type="spellStart"/>
      <w:r w:rsidRPr="00DA72CE">
        <w:rPr>
          <w:rFonts w:ascii="Sakkal Majalla" w:hAnsi="Sakkal Majalla" w:cs="Sakkal Majalla"/>
          <w:spacing w:val="-4"/>
          <w:sz w:val="30"/>
          <w:szCs w:val="30"/>
          <w:rtl/>
        </w:rPr>
        <w:t>والرقمنة</w:t>
      </w:r>
      <w:proofErr w:type="spellEnd"/>
      <w:r w:rsidRPr="00DA72CE">
        <w:rPr>
          <w:rFonts w:ascii="Sakkal Majalla" w:hAnsi="Sakkal Majalla" w:cs="Sakkal Majalla"/>
          <w:spacing w:val="-4"/>
          <w:sz w:val="30"/>
          <w:szCs w:val="30"/>
          <w:rtl/>
        </w:rPr>
        <w:t>، لضمان جذب وتطوير العلماء والباحثين بما يتوافق مع المهام الأكاديمية الرئيسية" (ص. 45). ويبرز هذا التعريف التحديات المعاصرة مثل العولمة والتكنولوجيا في تعريف الوظيفة.</w:t>
      </w:r>
    </w:p>
    <w:p w14:paraId="291E5040"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وتجمع معظم التعريفات السابقة على أن إدارة الموارد البشرية لم تعد مجرد إدارة للشؤون الشخصية، بل أصبحت نظاماً استراتيجياً متكاملاً يهدف إلى تعظيم العائد من الاستثمار في العنصر البشري، وذلك من خلال مجموعة من الممارسات المترابطة التي تؤثر مباشرة على أداء المنظمة وتميزها المؤسسي.</w:t>
      </w:r>
    </w:p>
    <w:p w14:paraId="72A07288" w14:textId="75DFD6DE" w:rsidR="00840C0F" w:rsidRPr="00DA72CE" w:rsidRDefault="00840C0F" w:rsidP="00840C0F">
      <w:pPr>
        <w:pStyle w:val="Heading3"/>
        <w:bidi/>
        <w:rPr>
          <w:spacing w:val="-4"/>
        </w:rPr>
      </w:pPr>
      <w:r w:rsidRPr="00DA72CE">
        <w:rPr>
          <w:spacing w:val="-4"/>
          <w:rtl/>
        </w:rPr>
        <w:t xml:space="preserve"> </w:t>
      </w:r>
      <w:bookmarkStart w:id="36" w:name="_Toc224358895"/>
      <w:r w:rsidRPr="00DA72CE">
        <w:rPr>
          <w:spacing w:val="-4"/>
          <w:rtl/>
        </w:rPr>
        <w:t>2.2 التطور التاريخي لإدارة الموارد البشرية</w:t>
      </w:r>
      <w:bookmarkEnd w:id="36"/>
    </w:p>
    <w:p w14:paraId="45CC3067" w14:textId="080CEB02"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مرت إدارة الموارد البشرية بمراحل تطورية متعددة تعكس تغير النظرة للعنصر البشري في المنظمات، من كونه مجرد أداة إنتاج إلى كونه شريكاً استراتيجياً وأصلاً غير ملموس ذو قيمة عالية. ويمكن تقسيم هذا التطور إلى خمس مراحل رئيسية:</w:t>
      </w:r>
    </w:p>
    <w:p w14:paraId="4FD6E907" w14:textId="46E9E24C" w:rsidR="00840C0F" w:rsidRPr="00DA72CE" w:rsidRDefault="00840C0F" w:rsidP="00840C0F">
      <w:pPr>
        <w:pStyle w:val="Heading4"/>
        <w:bidi/>
        <w:rPr>
          <w:spacing w:val="-4"/>
        </w:rPr>
      </w:pPr>
      <w:r w:rsidRPr="00DA72CE">
        <w:rPr>
          <w:spacing w:val="-4"/>
          <w:rtl/>
        </w:rPr>
        <w:t>أ. مرحلة إدارة الأفراد (</w:t>
      </w:r>
      <w:r w:rsidRPr="00DA72CE">
        <w:rPr>
          <w:spacing w:val="-4"/>
        </w:rPr>
        <w:t>Personnel Management</w:t>
      </w:r>
      <w:r w:rsidRPr="00DA72CE">
        <w:rPr>
          <w:spacing w:val="-4"/>
          <w:rtl/>
        </w:rPr>
        <w:t>) - حتى السبعينيات</w:t>
      </w:r>
    </w:p>
    <w:p w14:paraId="02B6A037"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في هذه المرحلة، كان التركيز منصباً على الجوانب الإدارية الروتينية المتعلقة بالموظفين مثل: التوظيف، الرواتب، السجلات، والامتثال للقوانين. وكانت النظرة للعاملين تعتبرهم "تكلفة" يجب التحكم فيها </w:t>
      </w:r>
      <w:r w:rsidRPr="00DA72CE">
        <w:rPr>
          <w:rFonts w:ascii="Sakkal Majalla" w:hAnsi="Sakkal Majalla" w:cs="Sakkal Majalla"/>
          <w:spacing w:val="-4"/>
          <w:sz w:val="30"/>
          <w:szCs w:val="30"/>
          <w:rtl/>
        </w:rPr>
        <w:lastRenderedPageBreak/>
        <w:t>بدلاً من "أصل" يجب الاستثمار فيه (صديق، 2019). وكانت الوظيفة تسمى "مكتب شؤون الموظفين"، ودورها كان خدمياً وإجرائياً بحتاً دون مشاركة في التخطيط الاستراتيجي.</w:t>
      </w:r>
    </w:p>
    <w:p w14:paraId="0F47B3E4" w14:textId="583F7DB1" w:rsidR="00840C0F" w:rsidRPr="00DA72CE" w:rsidRDefault="00840C0F" w:rsidP="00840C0F">
      <w:pPr>
        <w:pStyle w:val="Heading4"/>
        <w:bidi/>
        <w:rPr>
          <w:spacing w:val="-4"/>
        </w:rPr>
      </w:pPr>
      <w:r w:rsidRPr="00DA72CE">
        <w:rPr>
          <w:spacing w:val="-4"/>
          <w:rtl/>
        </w:rPr>
        <w:t>ب. مرحلة إدارة الموارد البشرية (</w:t>
      </w:r>
      <w:r w:rsidRPr="00DA72CE">
        <w:rPr>
          <w:spacing w:val="-4"/>
        </w:rPr>
        <w:t>HRM</w:t>
      </w:r>
      <w:r w:rsidRPr="00DA72CE">
        <w:rPr>
          <w:spacing w:val="-4"/>
          <w:rtl/>
        </w:rPr>
        <w:t>) - الثمانينيات والتسعينيات</w:t>
      </w:r>
    </w:p>
    <w:p w14:paraId="4CCCE09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شهدت هذه المرحلة تحولاً جوهرياً في النظرة للعنصر البشري من "تكلفة" إلى "مورد" استراتيجي يمكن استثماره لتحقيق الميزة التنافسية. وبدأت المنظمات في تطوير ممارسات أكثر شمولية تتعلق بالتدريب، التطوير، التحفيز، وإدارة الأداء (حمزة ومحمد وحسن وموسى والعبيد، 2025). وظهر مصطلح "إدارة الموارد البشرية" ليحل محل "إدارة الأفراد"، مما يعكس تغير الفلسفة الإدارية نحو الاهتمام بتنمية القدرات البشرية.</w:t>
      </w:r>
    </w:p>
    <w:p w14:paraId="40D4E980" w14:textId="7AA143AB" w:rsidR="00840C0F" w:rsidRPr="00DA72CE" w:rsidRDefault="00840C0F" w:rsidP="00840C0F">
      <w:pPr>
        <w:pStyle w:val="Heading4"/>
        <w:bidi/>
        <w:rPr>
          <w:spacing w:val="-4"/>
        </w:rPr>
      </w:pPr>
      <w:r w:rsidRPr="00DA72CE">
        <w:rPr>
          <w:spacing w:val="-4"/>
          <w:rtl/>
        </w:rPr>
        <w:t>ج. مرحلة إدارة الموارد البشرية الاستراتيجية (</w:t>
      </w:r>
      <w:r w:rsidRPr="00DA72CE">
        <w:rPr>
          <w:spacing w:val="-4"/>
        </w:rPr>
        <w:t>Strategic HRM</w:t>
      </w:r>
      <w:r w:rsidRPr="00DA72CE">
        <w:rPr>
          <w:spacing w:val="-4"/>
          <w:rtl/>
        </w:rPr>
        <w:t>) - الألفية الثالثة</w:t>
      </w:r>
    </w:p>
    <w:p w14:paraId="430EA4DF"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في هذه المرحلة، أصبح التركيز على مواءمة استراتيجيات الموارد البشرية مع الأهداف الاستراتيجية للمنظمة، مع الاهتمام برأس المال البشري، والثقافة التنظيمية، والابتكار كعوامل تمكين للتميز المؤسسي (أهلي، 2025). وتشير دراسة فكري (2023) إلى أن جامعة القاهرة تتمتع بمستوى عالٍ من عملية تخطيط الموارد البشرية بما يتوافق مع استراتيجيتها المنهجية، مما يعكس تبني نهج الموارد البشرية الاستراتيجية. وأصبحت إدارة الموارد البشرية شريكاً في مجلس الإدارة تساهم في صياغة الرؤية المستقبلية.</w:t>
      </w:r>
    </w:p>
    <w:p w14:paraId="1AE82F64" w14:textId="1713B263" w:rsidR="00840C0F" w:rsidRPr="00DA72CE" w:rsidRDefault="00840C0F" w:rsidP="00840C0F">
      <w:pPr>
        <w:pStyle w:val="Heading4"/>
        <w:bidi/>
        <w:rPr>
          <w:spacing w:val="-4"/>
        </w:rPr>
      </w:pPr>
      <w:r w:rsidRPr="00DA72CE">
        <w:rPr>
          <w:spacing w:val="-4"/>
          <w:rtl/>
        </w:rPr>
        <w:t>د. مرحلة إدارة الموارد البشرية القائمة على الكفاءات (</w:t>
      </w:r>
      <w:r w:rsidRPr="00DA72CE">
        <w:rPr>
          <w:spacing w:val="-4"/>
        </w:rPr>
        <w:t>Competency-Based HRM</w:t>
      </w:r>
      <w:r w:rsidRPr="00DA72CE">
        <w:rPr>
          <w:spacing w:val="-4"/>
          <w:rtl/>
        </w:rPr>
        <w:t>) - العقد الأول من الألفية</w:t>
      </w:r>
    </w:p>
    <w:p w14:paraId="586EC307"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ركزت هذه المرحلة على تحديد الكفاءات الأساسية المطلوبة لكل وظيفة، وبناء أنظمة التوظيف والتدريب والتقييم بناءً على هذه الكفاءات. وتهدف إلى ضمان توافق مهارات الأفراد مع متطلبات الأداء المتميز. وتشير دراسة الخصاونة وبن محمد </w:t>
      </w:r>
      <w:proofErr w:type="spellStart"/>
      <w:r w:rsidRPr="00DA72CE">
        <w:rPr>
          <w:rFonts w:ascii="Sakkal Majalla" w:hAnsi="Sakkal Majalla" w:cs="Sakkal Majalla"/>
          <w:spacing w:val="-4"/>
          <w:sz w:val="30"/>
          <w:szCs w:val="30"/>
          <w:rtl/>
        </w:rPr>
        <w:t>والدبيعي</w:t>
      </w:r>
      <w:proofErr w:type="spellEnd"/>
      <w:r w:rsidRPr="00DA72CE">
        <w:rPr>
          <w:rFonts w:ascii="Sakkal Majalla" w:hAnsi="Sakkal Majalla" w:cs="Sakkal Majalla"/>
          <w:spacing w:val="-4"/>
          <w:sz w:val="30"/>
          <w:szCs w:val="30"/>
          <w:rtl/>
        </w:rPr>
        <w:t xml:space="preserve"> (2020) إلى أن إدارة المواهب تلعب دوراً معدلاً في العلاقة بين رأس المال البشري والتميز المؤسسي، مما يبرز أهمية التركيز على الكفاءات والمواهب بدلاً من الوظائف فقط.</w:t>
      </w:r>
    </w:p>
    <w:p w14:paraId="5A36EA3B" w14:textId="23D5C1A3" w:rsidR="00840C0F" w:rsidRPr="00DA72CE" w:rsidRDefault="00840C0F" w:rsidP="00840C0F">
      <w:pPr>
        <w:pStyle w:val="Heading4"/>
        <w:bidi/>
        <w:rPr>
          <w:spacing w:val="-4"/>
        </w:rPr>
      </w:pPr>
      <w:r w:rsidRPr="00DA72CE">
        <w:rPr>
          <w:spacing w:val="-4"/>
          <w:rtl/>
        </w:rPr>
        <w:t>هـ. مرحلة إدارة الموارد البشرية الرقمية (</w:t>
      </w:r>
      <w:r w:rsidRPr="00DA72CE">
        <w:rPr>
          <w:spacing w:val="-4"/>
        </w:rPr>
        <w:t>Digital HRM</w:t>
      </w:r>
      <w:r w:rsidRPr="00DA72CE">
        <w:rPr>
          <w:spacing w:val="-4"/>
          <w:rtl/>
        </w:rPr>
        <w:t>) - العقد الأخير</w:t>
      </w:r>
    </w:p>
    <w:p w14:paraId="78510FF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مع التطور التكنولوجي المتسارع، بدأت المنظمات في توظيف التقنيات الرقمية مثل: الذكاء الاصطناعي، تحليلات البيانات، ومنصات التعلم الإلكتروني لتحسين كفاءة وفعالية ممارسات الموارد البشرية. </w:t>
      </w:r>
      <w:r w:rsidRPr="00DA72CE">
        <w:rPr>
          <w:rFonts w:ascii="Sakkal Majalla" w:hAnsi="Sakkal Majalla" w:cs="Sakkal Majalla"/>
          <w:spacing w:val="-4"/>
          <w:sz w:val="30"/>
          <w:szCs w:val="30"/>
          <w:rtl/>
        </w:rPr>
        <w:lastRenderedPageBreak/>
        <w:t xml:space="preserve">وتؤكد دراسة عسيري والعمود (2024) أن التحول الرقمي في إدارة العمليات يساهم في تعزيز الشفافية وزيادة الكفاءة التنظيمية. وتشير دراسة </w:t>
      </w:r>
      <w:proofErr w:type="spellStart"/>
      <w:r w:rsidRPr="00DA72CE">
        <w:rPr>
          <w:rFonts w:ascii="Sakkal Majalla" w:hAnsi="Sakkal Majalla" w:cs="Sakkal Majalla"/>
          <w:spacing w:val="-4"/>
          <w:sz w:val="30"/>
          <w:szCs w:val="30"/>
        </w:rPr>
        <w:t>Przytuła</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Sułkowski</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Kulikowski</w:t>
      </w:r>
      <w:proofErr w:type="spellEnd"/>
      <w:r w:rsidRPr="00DA72CE">
        <w:rPr>
          <w:rFonts w:ascii="Sakkal Majalla" w:hAnsi="Sakkal Majalla" w:cs="Sakkal Majalla"/>
          <w:spacing w:val="-4"/>
          <w:sz w:val="30"/>
          <w:szCs w:val="30"/>
          <w:rtl/>
        </w:rPr>
        <w:t xml:space="preserve"> (2024) إلى أن </w:t>
      </w:r>
      <w:proofErr w:type="spellStart"/>
      <w:r w:rsidRPr="00DA72CE">
        <w:rPr>
          <w:rFonts w:ascii="Sakkal Majalla" w:hAnsi="Sakkal Majalla" w:cs="Sakkal Majalla"/>
          <w:spacing w:val="-4"/>
          <w:sz w:val="30"/>
          <w:szCs w:val="30"/>
          <w:rtl/>
        </w:rPr>
        <w:t>الرقمنة</w:t>
      </w:r>
      <w:proofErr w:type="spellEnd"/>
      <w:r w:rsidRPr="00DA72CE">
        <w:rPr>
          <w:rFonts w:ascii="Sakkal Majalla" w:hAnsi="Sakkal Majalla" w:cs="Sakkal Majalla"/>
          <w:spacing w:val="-4"/>
          <w:sz w:val="30"/>
          <w:szCs w:val="30"/>
          <w:rtl/>
        </w:rPr>
        <w:t xml:space="preserve"> تعزز الابتكار والأداء المؤسسي، لكنها تتطلب موازنة بين القيم الأكاديمية والكفاءة التقنية.</w:t>
      </w:r>
    </w:p>
    <w:p w14:paraId="5CAE44B3" w14:textId="2B06E823" w:rsidR="00840C0F" w:rsidRPr="00DA72CE" w:rsidRDefault="00840C0F" w:rsidP="00840C0F">
      <w:pPr>
        <w:pStyle w:val="Heading3"/>
        <w:bidi/>
        <w:rPr>
          <w:spacing w:val="-4"/>
        </w:rPr>
      </w:pPr>
      <w:r w:rsidRPr="00DA72CE">
        <w:rPr>
          <w:spacing w:val="-4"/>
          <w:rtl/>
        </w:rPr>
        <w:t xml:space="preserve"> </w:t>
      </w:r>
      <w:bookmarkStart w:id="37" w:name="_Toc224358896"/>
      <w:r w:rsidRPr="00DA72CE">
        <w:rPr>
          <w:spacing w:val="-4"/>
          <w:rtl/>
        </w:rPr>
        <w:t>2.3 النظريات المؤسسة لإدارة الموارد البشرية</w:t>
      </w:r>
      <w:bookmarkEnd w:id="37"/>
    </w:p>
    <w:p w14:paraId="74C5C95F" w14:textId="0959FF92"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تستند إدارة الموارد البشرية إلى مجموعة من النظريات الإدارية والتنظيمية التي توفر الأساس لفهم العلاقة بين الممارسات البشرية والأداء التنظيمي، وتفسر كيفية مساهمة هذه الممارسات في تحقيق التميز المؤسسي.</w:t>
      </w:r>
    </w:p>
    <w:p w14:paraId="319CF8F3" w14:textId="53E83141" w:rsidR="00840C0F" w:rsidRPr="00DA72CE" w:rsidRDefault="00840C0F" w:rsidP="00840C0F">
      <w:pPr>
        <w:pStyle w:val="Heading4"/>
        <w:bidi/>
        <w:rPr>
          <w:spacing w:val="-4"/>
        </w:rPr>
      </w:pPr>
      <w:r w:rsidRPr="00DA72CE">
        <w:rPr>
          <w:spacing w:val="-4"/>
          <w:rtl/>
        </w:rPr>
        <w:t>أ. نظرية الموارد البشرية الاستراتيجية (</w:t>
      </w:r>
      <w:r w:rsidRPr="00DA72CE">
        <w:rPr>
          <w:spacing w:val="-4"/>
        </w:rPr>
        <w:t>Strategic HRM Theory</w:t>
      </w:r>
      <w:r w:rsidRPr="00DA72CE">
        <w:rPr>
          <w:spacing w:val="-4"/>
          <w:rtl/>
        </w:rPr>
        <w:t>)</w:t>
      </w:r>
    </w:p>
    <w:p w14:paraId="6BCCAF30"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تُركز هذه النظرية على أهمية مواءمة ممارسات الموارد البشرية مع الاستراتيجية التنظيمية لتحقيق الميزة التنافسية. وتشير إلى أن المنظمات التي تدمج استراتيجيات الموارد البشرية في التخطيط الاستراتيجي تكون أكثر قدرة على تحقيق التميز (حمزة ومحمد وحسن وموسى والعبيد، 2025). وتفترض النظرية أن هناك "توافقاً رأسياً" بين استراتيجية الموارد البشرية واستراتيجية العمل، </w:t>
      </w:r>
      <w:proofErr w:type="spellStart"/>
      <w:r w:rsidRPr="00DA72CE">
        <w:rPr>
          <w:rFonts w:ascii="Sakkal Majalla" w:hAnsi="Sakkal Majalla" w:cs="Sakkal Majalla"/>
          <w:spacing w:val="-4"/>
          <w:sz w:val="30"/>
          <w:szCs w:val="30"/>
          <w:rtl/>
        </w:rPr>
        <w:t>و"توافقاً</w:t>
      </w:r>
      <w:proofErr w:type="spellEnd"/>
      <w:r w:rsidRPr="00DA72CE">
        <w:rPr>
          <w:rFonts w:ascii="Sakkal Majalla" w:hAnsi="Sakkal Majalla" w:cs="Sakkal Majalla"/>
          <w:spacing w:val="-4"/>
          <w:sz w:val="30"/>
          <w:szCs w:val="30"/>
          <w:rtl/>
        </w:rPr>
        <w:t xml:space="preserve"> أفقياً" بين ممارسات الموارد البشرية نفسها.</w:t>
      </w:r>
    </w:p>
    <w:p w14:paraId="4A61BC31" w14:textId="217049D2"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أحمد ومحمود (2021، نقلاً عن الأدبيات) أن النظريات الاستراتيجية لإدارة الموارد البشرية تُبرز أهمية التكامل بين السياسات البشرية والأهداف التنظيمية لتعزيز الأداء والابتكار، خاصة في القطاعات المعرفية مثل التعليم العالي.</w:t>
      </w:r>
    </w:p>
    <w:p w14:paraId="1964FD5F" w14:textId="100E3526" w:rsidR="00840C0F" w:rsidRPr="00DA72CE" w:rsidRDefault="00840C0F" w:rsidP="00840C0F">
      <w:pPr>
        <w:pStyle w:val="Heading4"/>
        <w:bidi/>
        <w:rPr>
          <w:spacing w:val="-4"/>
        </w:rPr>
      </w:pPr>
      <w:r w:rsidRPr="00DA72CE">
        <w:rPr>
          <w:spacing w:val="-4"/>
          <w:rtl/>
        </w:rPr>
        <w:t>ب. نظرية التبادل الاجتماعي (</w:t>
      </w:r>
      <w:r w:rsidRPr="00DA72CE">
        <w:rPr>
          <w:spacing w:val="-4"/>
        </w:rPr>
        <w:t>Social Exchange Theory</w:t>
      </w:r>
      <w:r w:rsidRPr="00DA72CE">
        <w:rPr>
          <w:spacing w:val="-4"/>
          <w:rtl/>
        </w:rPr>
        <w:t>)</w:t>
      </w:r>
    </w:p>
    <w:p w14:paraId="06CCCE19"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تُفسر هذه النظرية العلاقة بين المنظمة والموظفين على أساس التبادل المتبادل، حيث يستجيب الموظفون للممارسات الإيجابية في الموارد البشرية بزيادة الالتزام والأداء. وتشير دراسة داهش (2022) إلى أن الالتزام العاطفي يعمل كمتغير وسيط في العلاقة بين قوة نظام إدارة الموارد البشرية وسلوك المواطنة </w:t>
      </w:r>
      <w:r w:rsidRPr="00DA72CE">
        <w:rPr>
          <w:rFonts w:ascii="Sakkal Majalla" w:hAnsi="Sakkal Majalla" w:cs="Sakkal Majalla"/>
          <w:spacing w:val="-4"/>
          <w:sz w:val="30"/>
          <w:szCs w:val="30"/>
          <w:rtl/>
        </w:rPr>
        <w:lastRenderedPageBreak/>
        <w:t>التنظيمية. وتفترض النظرية أن عندما تستثمر المنظمة في موظفيها (من خلال التدريب، المكافآت، الدعم)، يشعر الموظفون بالالتزام برد الجميل من خلال الأداء المتميز والولاء.</w:t>
      </w:r>
    </w:p>
    <w:p w14:paraId="3827B926" w14:textId="1E8C48AD"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عباس وعبد الحسين (2022) أن دور إدارة الموارد البشرية في تحقيق التميز التنظيمي يعتمد على بناء علاقات إيجابية بين الإدارة والموظفين تعزز من الانتماء والولاء المؤسسي، وهو ما يتوافق مع مبادئ نظرية التبادل الاجتماعي.</w:t>
      </w:r>
    </w:p>
    <w:p w14:paraId="7B77D17E" w14:textId="6089184D" w:rsidR="00840C0F" w:rsidRPr="00DA72CE" w:rsidRDefault="00840C0F" w:rsidP="00840C0F">
      <w:pPr>
        <w:pStyle w:val="Heading4"/>
        <w:bidi/>
        <w:rPr>
          <w:spacing w:val="-4"/>
        </w:rPr>
      </w:pPr>
      <w:r w:rsidRPr="00DA72CE">
        <w:rPr>
          <w:spacing w:val="-4"/>
          <w:rtl/>
        </w:rPr>
        <w:t>ج. نظرية التوقع (</w:t>
      </w:r>
      <w:r w:rsidRPr="00DA72CE">
        <w:rPr>
          <w:spacing w:val="-4"/>
        </w:rPr>
        <w:t>Expectancy Theory</w:t>
      </w:r>
      <w:r w:rsidRPr="00DA72CE">
        <w:rPr>
          <w:spacing w:val="-4"/>
          <w:rtl/>
        </w:rPr>
        <w:t>)</w:t>
      </w:r>
    </w:p>
    <w:p w14:paraId="7B913463"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تُركز هذه النظرية على أن تحفيز الموظفين يعتمد على توقعهم أن جهودهم ستؤدي إلى أداء جيد، وأن هذا الأداء سيُكافأ بمخرجات مرغوبة. وتشير دراسة </w:t>
      </w:r>
      <w:proofErr w:type="spellStart"/>
      <w:r w:rsidRPr="00DA72CE">
        <w:rPr>
          <w:rFonts w:ascii="Sakkal Majalla" w:hAnsi="Sakkal Majalla" w:cs="Sakkal Majalla"/>
          <w:spacing w:val="-4"/>
          <w:sz w:val="30"/>
          <w:szCs w:val="30"/>
          <w:rtl/>
        </w:rPr>
        <w:t>بوزناد</w:t>
      </w:r>
      <w:proofErr w:type="spellEnd"/>
      <w:r w:rsidRPr="00DA72CE">
        <w:rPr>
          <w:rFonts w:ascii="Sakkal Majalla" w:hAnsi="Sakkal Majalla" w:cs="Sakkal Majalla"/>
          <w:spacing w:val="-4"/>
          <w:sz w:val="30"/>
          <w:szCs w:val="30"/>
          <w:rtl/>
        </w:rPr>
        <w:t xml:space="preserve"> (2025) إلى أهمية تعزيز نظام التحفيز المادي والمعنوي لضمان استدامة التميز في الأداء الجامعي. وتتكون النظرية من ثلاثة عناصر: التوقع (الجهد يؤدي لأداء)، الوسيلة (الأداء يؤدي لمكافأة)، والتكافؤ (قيمة المكافأة).</w:t>
      </w:r>
    </w:p>
    <w:p w14:paraId="27B5EE62" w14:textId="6AC75192"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وتوضح دراسة هاشم والحاج (2025) أن مجال "تحفيز الموارد البشرية" جاء في المرتبة الأخيرة في واقع أداء إدارة الموارد البشرية في الجامعات الأهلية بمدينة تعز، مما يشير إلى وجود فجوة في أنظمة الحوافز تستدعي المعالجة بناءً على مبادئ نظرية التوقع.</w:t>
      </w:r>
    </w:p>
    <w:p w14:paraId="5F6B0748" w14:textId="4940369B" w:rsidR="00840C0F" w:rsidRPr="00DA72CE" w:rsidRDefault="00840C0F" w:rsidP="00840C0F">
      <w:pPr>
        <w:pStyle w:val="Heading4"/>
        <w:bidi/>
        <w:rPr>
          <w:spacing w:val="-4"/>
        </w:rPr>
      </w:pPr>
      <w:r w:rsidRPr="00DA72CE">
        <w:rPr>
          <w:spacing w:val="-4"/>
          <w:rtl/>
        </w:rPr>
        <w:t>د. نظرية رأس المال البشري (</w:t>
      </w:r>
      <w:r w:rsidRPr="00DA72CE">
        <w:rPr>
          <w:spacing w:val="-4"/>
        </w:rPr>
        <w:t>Human Capital Theory</w:t>
      </w:r>
      <w:r w:rsidRPr="00DA72CE">
        <w:rPr>
          <w:spacing w:val="-4"/>
          <w:rtl/>
        </w:rPr>
        <w:t>)</w:t>
      </w:r>
    </w:p>
    <w:p w14:paraId="13427433"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تُؤكد هذه النظرية على أن الاستثمار في تطوير المعارف والمهارات والقدرات البشرية يؤدي إلى زيادة الإنتاجية والقيمة المضافة. وتشير دراسة أهلي (2025) إلى أن استثمار الجامعات في كفاءات موظفيها يؤدي إلى توليد أفكار ابتكارية تساهم في تحقيق التميز المؤسسي. وتعتبر النظرية أن التعليم والتدريب استثمار وليس تكلفة، والعائد عليه يظهر في شكل أداء مؤسسي متميز.</w:t>
      </w:r>
    </w:p>
    <w:p w14:paraId="6DF5D57B" w14:textId="6338C09F"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وتؤكد دراسة اليامي (2023) أن تنوع الموارد البشرية بأبعاده المختلفة يؤثر إيجابياً في تحقيق التميز في الأداء المؤسسي، مما يبرز أهمية إدارة التنوع كعامل تمكين للتميز، وهو ما يتوافق مع فكرة تنوع رأس المال البشري.</w:t>
      </w:r>
    </w:p>
    <w:p w14:paraId="5DE5F4DF" w14:textId="01D0C095" w:rsidR="00840C0F" w:rsidRPr="00DA72CE" w:rsidRDefault="00840C0F" w:rsidP="00840C0F">
      <w:pPr>
        <w:pStyle w:val="Heading4"/>
        <w:bidi/>
        <w:rPr>
          <w:spacing w:val="-4"/>
        </w:rPr>
      </w:pPr>
      <w:r w:rsidRPr="00DA72CE">
        <w:rPr>
          <w:spacing w:val="-4"/>
          <w:rtl/>
        </w:rPr>
        <w:lastRenderedPageBreak/>
        <w:t>هـ. نظرية الوكالة (</w:t>
      </w:r>
      <w:r w:rsidRPr="00DA72CE">
        <w:rPr>
          <w:spacing w:val="-4"/>
        </w:rPr>
        <w:t>Agency Theory</w:t>
      </w:r>
      <w:r w:rsidRPr="00DA72CE">
        <w:rPr>
          <w:spacing w:val="-4"/>
          <w:rtl/>
        </w:rPr>
        <w:t>)</w:t>
      </w:r>
    </w:p>
    <w:p w14:paraId="01CD3A1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تُفسر هذه النظرية العلاقة بين الملاك (أو الجهة المالكة) والوكلاء (الإدارة التنفيذية)، وتُركز على آليات الحوكمة لضمان مواءمة المصالح. وفي سياق الجامعات الحكومية، تُبرز أهمية أنظمة الحوكمة والرقابة في تحقيق التميز المؤسسي وضمان المساءلة (القرشي، 2024). وتطبق النظرية على إدارة الموارد البشرية من خلال أنظمة الحوافز المرتبطة بالأداء لتقليل تضارب المصالح.</w:t>
      </w:r>
    </w:p>
    <w:p w14:paraId="5C26DE41"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w:t>
      </w:r>
      <w:proofErr w:type="spellStart"/>
      <w:r w:rsidRPr="00DA72CE">
        <w:rPr>
          <w:rFonts w:ascii="Sakkal Majalla" w:hAnsi="Sakkal Majalla" w:cs="Sakkal Majalla"/>
          <w:spacing w:val="-4"/>
          <w:sz w:val="30"/>
          <w:szCs w:val="30"/>
          <w:rtl/>
        </w:rPr>
        <w:t>صاحبى</w:t>
      </w:r>
      <w:proofErr w:type="spellEnd"/>
      <w:r w:rsidRPr="00DA72CE">
        <w:rPr>
          <w:rFonts w:ascii="Sakkal Majalla" w:hAnsi="Sakkal Majalla" w:cs="Sakkal Majalla"/>
          <w:spacing w:val="-4"/>
          <w:sz w:val="30"/>
          <w:szCs w:val="30"/>
          <w:rtl/>
        </w:rPr>
        <w:t xml:space="preserve"> </w:t>
      </w:r>
      <w:proofErr w:type="spellStart"/>
      <w:r w:rsidRPr="00DA72CE">
        <w:rPr>
          <w:rFonts w:ascii="Sakkal Majalla" w:hAnsi="Sakkal Majalla" w:cs="Sakkal Majalla"/>
          <w:spacing w:val="-4"/>
          <w:sz w:val="30"/>
          <w:szCs w:val="30"/>
          <w:rtl/>
        </w:rPr>
        <w:t>وبلقيدوم</w:t>
      </w:r>
      <w:proofErr w:type="spellEnd"/>
      <w:r w:rsidRPr="00DA72CE">
        <w:rPr>
          <w:rFonts w:ascii="Sakkal Majalla" w:hAnsi="Sakkal Majalla" w:cs="Sakkal Majalla"/>
          <w:spacing w:val="-4"/>
          <w:sz w:val="30"/>
          <w:szCs w:val="30"/>
          <w:rtl/>
        </w:rPr>
        <w:t xml:space="preserve"> (2023) إلى أن دور إدارة الموارد البشرية في تحقيق التميز المؤسساتي في مؤسسات التأمين يتطلب آليات حوكمة فعالة لضمان مواءمة مصالح الإدارة مع أهداف المؤسسة، مما يعكس تطبيقاً لنظرية الوكالة.</w:t>
      </w:r>
    </w:p>
    <w:p w14:paraId="3A966008" w14:textId="31D0FA88" w:rsidR="00840C0F" w:rsidRPr="00DA72CE" w:rsidRDefault="00840C0F" w:rsidP="00F83577">
      <w:pPr>
        <w:pStyle w:val="Heading3"/>
        <w:bidi/>
        <w:rPr>
          <w:spacing w:val="-4"/>
        </w:rPr>
      </w:pPr>
      <w:bookmarkStart w:id="38" w:name="_Toc224358897"/>
      <w:r w:rsidRPr="00DA72CE">
        <w:rPr>
          <w:spacing w:val="-4"/>
          <w:rtl/>
        </w:rPr>
        <w:t>الوظائف الأساسية لإدارة الموارد البشرية</w:t>
      </w:r>
      <w:bookmarkEnd w:id="38"/>
    </w:p>
    <w:p w14:paraId="01CCEB50"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تتكون إدارة الموارد البشرية من مجموعة من الوظائف المترابطة التي تعمل كمنظومة متكاملة لإدارة العنصر البشري. وتختلف أهمية كل وظيفة حسب طبيعة المنظمة وأهدافها، لكنها جميعاً تساهم في تحقيق الأداء المتميز.</w:t>
      </w:r>
    </w:p>
    <w:p w14:paraId="368DDB24" w14:textId="3927F8EC" w:rsidR="00840C0F" w:rsidRPr="00DA72CE" w:rsidRDefault="00840C0F" w:rsidP="00F83577">
      <w:pPr>
        <w:pStyle w:val="Heading4"/>
        <w:bidi/>
        <w:rPr>
          <w:spacing w:val="-4"/>
        </w:rPr>
      </w:pPr>
      <w:r w:rsidRPr="00DA72CE">
        <w:rPr>
          <w:spacing w:val="-4"/>
          <w:rtl/>
        </w:rPr>
        <w:t xml:space="preserve"> 2.1 تخطيط الموارد البشرية (</w:t>
      </w:r>
      <w:r w:rsidRPr="00DA72CE">
        <w:rPr>
          <w:spacing w:val="-4"/>
        </w:rPr>
        <w:t>Human Resource Planning</w:t>
      </w:r>
      <w:r w:rsidRPr="00DA72CE">
        <w:rPr>
          <w:spacing w:val="-4"/>
          <w:rtl/>
        </w:rPr>
        <w:t>)</w:t>
      </w:r>
    </w:p>
    <w:p w14:paraId="12D556BE"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تمثل هذه الوظيفة الأساس الاستراتيجي لإدارة الموارد البشرية، حيث تختص بتقدير الاحتياجات الحالية والمستقبلية من الكوادر البشرية، وتحديد الفجوات بين العرض والطلب، ووضع الخطط لمعالجتها. وتشير دراسة </w:t>
      </w:r>
      <w:proofErr w:type="spellStart"/>
      <w:r w:rsidRPr="00DA72CE">
        <w:rPr>
          <w:rFonts w:ascii="Sakkal Majalla" w:hAnsi="Sakkal Majalla" w:cs="Sakkal Majalla"/>
          <w:spacing w:val="-4"/>
          <w:sz w:val="30"/>
          <w:szCs w:val="30"/>
          <w:rtl/>
        </w:rPr>
        <w:t>بوزناد</w:t>
      </w:r>
      <w:proofErr w:type="spellEnd"/>
      <w:r w:rsidRPr="00DA72CE">
        <w:rPr>
          <w:rFonts w:ascii="Sakkal Majalla" w:hAnsi="Sakkal Majalla" w:cs="Sakkal Majalla"/>
          <w:spacing w:val="-4"/>
          <w:sz w:val="30"/>
          <w:szCs w:val="30"/>
          <w:rtl/>
        </w:rPr>
        <w:t xml:space="preserve"> (2025) إلى أن تخطيط الموارد البشرية يرتبط ارتباطاً معنوياً بتحقيق تميز الأداء المؤسسي في جامعة المسيلة، مما يؤكد أهمية هذه الوظيفة في ضمان توافر الكفاءات المناسبة في الوقت والمكان المناسبين.</w:t>
      </w:r>
    </w:p>
    <w:p w14:paraId="1D876A01"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وتتضمن عملية التخطيط تحليل العرض الحالي من الموظفين، وتوقع الطلب المستقبلي بناءً على الخطط الاستراتيجية للجامعة، ثم وضع خطط للتوظيف أو التدريب أو التقاعد لسد الفجوة. وتؤكد دراسة </w:t>
      </w:r>
      <w:r w:rsidRPr="00DA72CE">
        <w:rPr>
          <w:rFonts w:ascii="Sakkal Majalla" w:hAnsi="Sakkal Majalla" w:cs="Sakkal Majalla"/>
          <w:spacing w:val="-4"/>
          <w:sz w:val="30"/>
          <w:szCs w:val="30"/>
          <w:rtl/>
        </w:rPr>
        <w:lastRenderedPageBreak/>
        <w:t>فكري (2023) أن جامعة القاهرة تتمتع بمستوى عالٍ من عملية تخطيط الموارد البشرية بما يتوافق مع استراتيجيتها المنهجية، مما يعكس أهمية هذه الوظيفة في تحقيق التميز المؤسسي.</w:t>
      </w:r>
    </w:p>
    <w:p w14:paraId="7E06D42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الجامعات السعودية، يشير النصير (2023) إلى أن الجامعات تولي اهتماماً كبيراً لقياس الأداء المؤسسي وتمتلك وحدات إدارية متخصصة لهذه المهمة، مما يتطلب تخطيطاً دقيقاً للموارد البشرية لتشغيل هذه الوحدات وتحقيق أهداف القياس. كما تؤكد دراسة الجاسر (2023) أن البرامج التدريبية يجب أن تصمم وفقاً لمتطلبات الاعتماد الأكاديمي، وهو ما يتطلب تخطيطاً مسبقاً للاحتياجات التدريبية بناءً على فجوات الكفاءات.</w:t>
      </w:r>
    </w:p>
    <w:p w14:paraId="1595F63F" w14:textId="667CF8EA" w:rsidR="00840C0F" w:rsidRPr="00DA72CE" w:rsidRDefault="00840C0F" w:rsidP="00F83577">
      <w:pPr>
        <w:pStyle w:val="Heading4"/>
        <w:bidi/>
        <w:rPr>
          <w:spacing w:val="-4"/>
        </w:rPr>
      </w:pPr>
      <w:r w:rsidRPr="00DA72CE">
        <w:rPr>
          <w:spacing w:val="-4"/>
          <w:rtl/>
        </w:rPr>
        <w:t xml:space="preserve"> 2.2 الاستقطاب والاختيار (</w:t>
      </w:r>
      <w:r w:rsidRPr="00DA72CE">
        <w:rPr>
          <w:spacing w:val="-4"/>
        </w:rPr>
        <w:t>Recruitment and Selection</w:t>
      </w:r>
      <w:r w:rsidRPr="00DA72CE">
        <w:rPr>
          <w:spacing w:val="-4"/>
          <w:rtl/>
        </w:rPr>
        <w:t>)</w:t>
      </w:r>
    </w:p>
    <w:p w14:paraId="227DB9D3"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تختص هذه الوظيفة بجذب المرشحين المؤهلين للوظائف الشاغرة، واختيار الأنسب منهم بناءً على معايير موضوعية. وتؤكد دراسة هاشم والحاج (2025) أن مجال "الاختيار والتعيين" حصل على أعلى درجة في واقع أداء إدارة الموارد البشرية في الجامعات الأهلية بمدينة تعز، مما يعكس الاهتمام بهذه الوظيفة الحيوية.</w:t>
      </w:r>
    </w:p>
    <w:p w14:paraId="68E8228A"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وتشمل عملية الاستقطاب تحديد مصادر التوظيف (داخلية أو خارجية)، ونشر الإعلانات، وفحص الطلبات، بينما تشمل عملية الاختيار استخدام المقابلات، والاختبارات، والمراجع لضمان ملاءمة المرشح للوظيفة. وتشير دراسة اليامي (2023) إلى أن "التنوع في المؤهل العلمي" و"التنوع في الجنسية" كان لهما الأثر الأبرز في تعزيز القدرات التنافسية والتميز المؤسسي في المستشفيات السعودية، مما يبرز أهمية استقطاب كفاءات متنوعة.</w:t>
      </w:r>
    </w:p>
    <w:p w14:paraId="194166C3"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وتؤكد دراسة </w:t>
      </w:r>
      <w:r w:rsidRPr="00DA72CE">
        <w:rPr>
          <w:rFonts w:ascii="Sakkal Majalla" w:hAnsi="Sakkal Majalla" w:cs="Sakkal Majalla"/>
          <w:spacing w:val="-4"/>
          <w:sz w:val="30"/>
          <w:szCs w:val="30"/>
        </w:rPr>
        <w:t>Addo</w:t>
      </w:r>
      <w:r w:rsidRPr="00DA72CE">
        <w:rPr>
          <w:rFonts w:ascii="Sakkal Majalla" w:hAnsi="Sakkal Majalla" w:cs="Sakkal Majalla"/>
          <w:spacing w:val="-4"/>
          <w:sz w:val="30"/>
          <w:szCs w:val="30"/>
          <w:rtl/>
        </w:rPr>
        <w:t xml:space="preserve"> (2022) أن التركيز على التدريب والمكافآت يعزز الإنتاجية البحثية والأكاديمية، لكن ذلك يبدأ باستقطاب الكفاءات القادرة على البحث والإبداع. وفي الجامعات السعودية، تشير دراسة القرشي (2024) إلى أن الاستفادة من خبرات الجامعات الأمريكية في ممارسات القيادة التحويلية يتطلب استقطاب قيادات أكاديمية قادرة على تطبيق هذه الممارسات.</w:t>
      </w:r>
    </w:p>
    <w:p w14:paraId="61BDA03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وتشير دراسة محمد (2021) إلى أن دور نظام معلومات الموارد البشرية في تحقيق التميز التنظيمي يتضمن تسهيل عمليات الاستقطاب والاختيار من خلال قواعد بيانات دقيقة، مما يقلل من الوقت والتكلفة ويزيد من دقة الاختيار.</w:t>
      </w:r>
    </w:p>
    <w:p w14:paraId="48C5BDFD" w14:textId="09AEF8D9" w:rsidR="00840C0F" w:rsidRPr="00DA72CE" w:rsidRDefault="00840C0F" w:rsidP="00F83577">
      <w:pPr>
        <w:pStyle w:val="Heading4"/>
        <w:bidi/>
        <w:rPr>
          <w:spacing w:val="-4"/>
        </w:rPr>
      </w:pPr>
      <w:r w:rsidRPr="00DA72CE">
        <w:rPr>
          <w:spacing w:val="-4"/>
          <w:rtl/>
        </w:rPr>
        <w:t xml:space="preserve"> 2.3 التدريب والتطوير (</w:t>
      </w:r>
      <w:r w:rsidRPr="00DA72CE">
        <w:rPr>
          <w:spacing w:val="-4"/>
        </w:rPr>
        <w:t>Training and Development</w:t>
      </w:r>
      <w:r w:rsidRPr="00DA72CE">
        <w:rPr>
          <w:spacing w:val="-4"/>
          <w:rtl/>
        </w:rPr>
        <w:t>)</w:t>
      </w:r>
    </w:p>
    <w:p w14:paraId="439828EF"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تهدف هذه الوظيفة إلى تطوير معارف ومهارات وقدرات العاملين لتمكينهم من أداء مهامهم بفعالية أكبر، وإعدادهم للمناصب المستقبلية. وتوضح دراسة أهلي (2025) أن استثمار الجامعات في كفاءات موظفيها وتطوير قدراتهم يؤدي إلى توليد أفكار ابتكارية تساهم بدورها في رفع كفاءة الأداء وتحقيق معايير التميز العالمية.</w:t>
      </w:r>
    </w:p>
    <w:p w14:paraId="19B6DE39"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وتشمل أنشطة التدريب البرامج التوجيهية للموظفين الجدد، وبرامج التطوير الفني والإداري، وبرامج القيادة، والتعليم المستمر. وتؤكد دراسة الجاسر (2023) أن البرامج التدريبية المصممة وفقاً لمتطلبات الاعتماد الأكاديمي تساهم في تطوير أداء الموظفين الإداريين بالجامعات السعودية.</w:t>
      </w:r>
    </w:p>
    <w:p w14:paraId="45283A5A"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يتطلب تدريب الكوادر البشرية على مهارات نمذجة وتحليل العمليات لضمان مخرجات إدارية وأكاديمية تتوافق مع تطلعات رؤية المملكة 2030. كما تؤكد دراسة الحازمي (2022) أن القيادة المستدامة تتطلب تطوير القيادات الأكاديمية من خلال برامج تدريبية متخصصة تركز على مهارات المستقبل.</w:t>
      </w:r>
    </w:p>
    <w:p w14:paraId="18C66B4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وتوضح دراسة </w:t>
      </w:r>
      <w:r w:rsidRPr="00DA72CE">
        <w:rPr>
          <w:rFonts w:ascii="Sakkal Majalla" w:hAnsi="Sakkal Majalla" w:cs="Sakkal Majalla"/>
          <w:spacing w:val="-4"/>
          <w:sz w:val="30"/>
          <w:szCs w:val="30"/>
        </w:rPr>
        <w:t>Onyango</w:t>
      </w:r>
      <w:r w:rsidRPr="00DA72CE">
        <w:rPr>
          <w:rFonts w:ascii="Sakkal Majalla" w:hAnsi="Sakkal Majalla" w:cs="Sakkal Majalla"/>
          <w:spacing w:val="-4"/>
          <w:sz w:val="30"/>
          <w:szCs w:val="30"/>
          <w:rtl/>
        </w:rPr>
        <w:t xml:space="preserve"> (2013) أن الممارسات الفعالة في التوظيف والتدريب تساهم في تحسين الأداء الأكاديمي والرتب العالمية للجامعات، لكن المشكلات مثل نقص الابتكار تعيق التحول، مما يبرز أهمية تدريب على الابتكار.</w:t>
      </w:r>
    </w:p>
    <w:p w14:paraId="7B9567F6" w14:textId="1CCA8526" w:rsidR="00840C0F" w:rsidRPr="00DA72CE" w:rsidRDefault="00840C0F" w:rsidP="00F83577">
      <w:pPr>
        <w:pStyle w:val="Heading4"/>
        <w:bidi/>
        <w:rPr>
          <w:spacing w:val="-4"/>
        </w:rPr>
      </w:pPr>
      <w:r w:rsidRPr="00DA72CE">
        <w:rPr>
          <w:spacing w:val="-4"/>
          <w:rtl/>
        </w:rPr>
        <w:t xml:space="preserve"> 2.4 التحفيز والمكافآت (</w:t>
      </w:r>
      <w:r w:rsidRPr="00DA72CE">
        <w:rPr>
          <w:spacing w:val="-4"/>
        </w:rPr>
        <w:t>Motivation and Rewards</w:t>
      </w:r>
      <w:r w:rsidRPr="00DA72CE">
        <w:rPr>
          <w:spacing w:val="-4"/>
          <w:rtl/>
        </w:rPr>
        <w:t>)</w:t>
      </w:r>
    </w:p>
    <w:p w14:paraId="61C29A32"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تختص هذه الوظيفة بتصميم أنظمة تحفيزية مادية ومعنوية تشجع العاملين على بذل أقصى جهودهم وتحقيق أهداف المنظمة. وتشير دراسة </w:t>
      </w:r>
      <w:proofErr w:type="spellStart"/>
      <w:r w:rsidRPr="00DA72CE">
        <w:rPr>
          <w:rFonts w:ascii="Sakkal Majalla" w:hAnsi="Sakkal Majalla" w:cs="Sakkal Majalla"/>
          <w:spacing w:val="-4"/>
          <w:sz w:val="30"/>
          <w:szCs w:val="30"/>
          <w:rtl/>
        </w:rPr>
        <w:t>بوزناد</w:t>
      </w:r>
      <w:proofErr w:type="spellEnd"/>
      <w:r w:rsidRPr="00DA72CE">
        <w:rPr>
          <w:rFonts w:ascii="Sakkal Majalla" w:hAnsi="Sakkal Majalla" w:cs="Sakkal Majalla"/>
          <w:spacing w:val="-4"/>
          <w:sz w:val="30"/>
          <w:szCs w:val="30"/>
          <w:rtl/>
        </w:rPr>
        <w:t xml:space="preserve"> (2025) إلى ضرورة تعزيز نظام التحفيز المادي والمعنوي في جامعة المسيلة لضمان استدامة التميز في الأداء الجامعي.</w:t>
      </w:r>
    </w:p>
    <w:p w14:paraId="149AC27E"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 xml:space="preserve">وتشمل المكافآت المادية (الرواتب، </w:t>
      </w:r>
      <w:r w:rsidRPr="00DA72CE">
        <w:rPr>
          <w:rFonts w:ascii="Sakkal Majalla" w:hAnsi="Sakkal Majalla" w:cs="Sakkal Majalla"/>
          <w:spacing w:val="-4"/>
          <w:sz w:val="30"/>
          <w:szCs w:val="30"/>
        </w:rPr>
        <w:t>bonuses</w:t>
      </w:r>
      <w:r w:rsidRPr="00DA72CE">
        <w:rPr>
          <w:rFonts w:ascii="Sakkal Majalla" w:hAnsi="Sakkal Majalla" w:cs="Sakkal Majalla"/>
          <w:spacing w:val="-4"/>
          <w:sz w:val="30"/>
          <w:szCs w:val="30"/>
          <w:rtl/>
        </w:rPr>
        <w:t>، المزايا) والمكافآت المعنوية (التقدير، الترقيات، بيئة العمل). وتؤكد دراسة هاشم والحاج (2025) أن مجال "تحفيز الموارد البشرية" جاء في المرتبة الأخيرة في واقع أداء إدارة الموارد البشرية في الجامعات الأهلية بمدينة تعز، مما يشير إلى وجود فجوة في أنظمة الحوافز تستدعي المعالجة.</w:t>
      </w:r>
    </w:p>
    <w:p w14:paraId="1A1E670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داهش (2022) إلى أن بُعد "الاتساق" في نظام إدارة الموارد البشرية كان الأكثر تأثيراً في تعزيز سلوك المواطنة التنظيمية لدى أعضاء هيئة التدريس في الجامعات السعودية، يليه "التميز" ثم "الاتفاق"، مما يؤكد أهمية عدالة وشفافية أنظمة التقييم والمكافآت.</w:t>
      </w:r>
    </w:p>
    <w:p w14:paraId="33D6A29F"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عبد العال (2023) أن صيانة الموارد البشرية (السلامة المهنية، الرعاية الصحية، الرفاهية الاجتماعية) تمثل مدخلاً أساسياً لتحقيق معايير التميز الحكومي، وهي جزء من نظام المكافآت غير المباشرة. كما تشير دراسة محمود (2020) أن تمكين الموارد البشرية وتحقيق التميز المؤسسي بالجمعيات الأهلية يتطلب استثماراً استراتيجياً في الكوادر البشرية وتطوير قدراتهم، وهو ما يرتبط بالتحفيز الذاتي.</w:t>
      </w:r>
    </w:p>
    <w:p w14:paraId="421B7987" w14:textId="410C4BD1" w:rsidR="00840C0F" w:rsidRPr="00DA72CE" w:rsidRDefault="00840C0F" w:rsidP="00F83577">
      <w:pPr>
        <w:pStyle w:val="Heading4"/>
        <w:bidi/>
        <w:rPr>
          <w:spacing w:val="-4"/>
        </w:rPr>
      </w:pPr>
      <w:r w:rsidRPr="00DA72CE">
        <w:rPr>
          <w:spacing w:val="-4"/>
          <w:rtl/>
        </w:rPr>
        <w:t xml:space="preserve"> 2.5 تقييم الأداء (</w:t>
      </w:r>
      <w:r w:rsidRPr="00DA72CE">
        <w:rPr>
          <w:spacing w:val="-4"/>
        </w:rPr>
        <w:t>Performance Appraisal</w:t>
      </w:r>
      <w:r w:rsidRPr="00DA72CE">
        <w:rPr>
          <w:spacing w:val="-4"/>
          <w:rtl/>
        </w:rPr>
        <w:t>)</w:t>
      </w:r>
    </w:p>
    <w:p w14:paraId="59F4104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تهدف هذه الوظيفة إلى قياس أداء العاملين بشكل منهجي وموضوعي، وتحديد نقاط القوة والضعف، ووضع خطط للتحسين. وتوضح دراسة داهش (2022) أن بُعد "الاتساق" في نظام إدارة الموارد البشرية كان الأكثر تأثيراً في تعزيز سلوك المواطنة التنظيمية لدى أعضاء هيئة التدريس في الجامعات السعودية، مما يؤكد أهمية عدالة وشفافية أنظمة التقييم.</w:t>
      </w:r>
    </w:p>
    <w:p w14:paraId="1E27EB59"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وتشمل عملية التقييم تحديد معايير الأداء، وجمع البيانات، وتقديم التغذية الراجعة، وربط النتائج بالمكافآت والتطوير. وتشير دراسة النصير (2023) إلى أن "مؤشرات الأداء الرئيسية" (</w:t>
      </w:r>
      <w:r w:rsidRPr="00DA72CE">
        <w:rPr>
          <w:rFonts w:ascii="Sakkal Majalla" w:hAnsi="Sakkal Majalla" w:cs="Sakkal Majalla"/>
          <w:spacing w:val="-8"/>
          <w:sz w:val="30"/>
          <w:szCs w:val="30"/>
        </w:rPr>
        <w:t>KPIs</w:t>
      </w:r>
      <w:r w:rsidRPr="00DA72CE">
        <w:rPr>
          <w:rFonts w:ascii="Sakkal Majalla" w:hAnsi="Sakkal Majalla" w:cs="Sakkal Majalla"/>
          <w:spacing w:val="-8"/>
          <w:sz w:val="30"/>
          <w:szCs w:val="30"/>
          <w:rtl/>
        </w:rPr>
        <w:t>) جاءت في المرتبة الأولى كأهم أداة قياس مستخدمة في الجامعات السعودية، وهي أداة أساسية في تقييم الأداء المؤسسي والفردي.</w:t>
      </w:r>
    </w:p>
    <w:p w14:paraId="4F2B41A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وتؤكد دراسة موسى (2024) أن أثر برامج التميز المؤسسي على تحديد الرؤية التعليمية يتطلب مؤشرات كمية قابلة للقياس لتقييم التقدم نحو تحقيق الأهداف الاستراتيجية، وهو ما يتم عبر أنظمة تقييم </w:t>
      </w:r>
      <w:r w:rsidRPr="00DA72CE">
        <w:rPr>
          <w:rFonts w:ascii="Sakkal Majalla" w:hAnsi="Sakkal Majalla" w:cs="Sakkal Majalla"/>
          <w:spacing w:val="-4"/>
          <w:sz w:val="30"/>
          <w:szCs w:val="30"/>
          <w:rtl/>
        </w:rPr>
        <w:lastRenderedPageBreak/>
        <w:t>الأداء. وتشير دراسة الحربي والمهدي ونصر وأحمد (2025) إلى أن تطوير مؤشرات أداء رئيسية للجامعات العامة يتطلب مراعاة معايير الجودة والاعتماد الأكاديمي، مع التركيز على النتائج والأثر.</w:t>
      </w:r>
    </w:p>
    <w:p w14:paraId="6999BAEF" w14:textId="50880D01" w:rsidR="00840C0F" w:rsidRPr="00DA72CE" w:rsidRDefault="00840C0F" w:rsidP="00F83577">
      <w:pPr>
        <w:pStyle w:val="Heading4"/>
        <w:bidi/>
        <w:rPr>
          <w:spacing w:val="-4"/>
        </w:rPr>
      </w:pPr>
      <w:r w:rsidRPr="00DA72CE">
        <w:rPr>
          <w:spacing w:val="-4"/>
          <w:rtl/>
        </w:rPr>
        <w:t xml:space="preserve"> 2.6 العلاقات الصناعية والسلامة المهنية (</w:t>
      </w:r>
      <w:r w:rsidRPr="00DA72CE">
        <w:rPr>
          <w:spacing w:val="-4"/>
        </w:rPr>
        <w:t>Industrial Relations and Safety</w:t>
      </w:r>
      <w:r w:rsidRPr="00DA72CE">
        <w:rPr>
          <w:spacing w:val="-4"/>
          <w:rtl/>
        </w:rPr>
        <w:t>)</w:t>
      </w:r>
    </w:p>
    <w:p w14:paraId="7A0306C6"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تختص هذه الوظيفة بإدارة العلاقة بين المنظمة والموظفين، وضمان بيئة عمل آمنة وصحية، والامتثال للقوانين واللوائح. وتشير دراسة صديق (2019) إلى ضرورة التركيز على الصحة والسلامة المهنية كجزء لا يتجزأ من استراتيجية التميز الشامل.</w:t>
      </w:r>
    </w:p>
    <w:p w14:paraId="58D59ED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وتشمل الأنشطة التفاوض على عقود العمل، وإدارة الشكاوى، وضمان السلامة المهنية، وتعزيز الرفاهية. وتؤكد دراسة عبد العال (2023) أن مستوى ممارسة صيانة الموارد البشرية بالجامعة جاء بدرجة "متوسطة"، وكشفت عن وجود تحديات إدارية ومالية تواجه الكليات في استيفاء معايير التميز، وأبرزت النتائج الحاجة الماسة لتطوير منظومة الرعاية الصحية والخدمات الاجتماعية.</w:t>
      </w:r>
    </w:p>
    <w:p w14:paraId="0D8C9AF7"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اليامي (2023) إلى ضرورة صياغة سياسات إدارية تدعم ثقافة التسامح وقبول الآخر، وتكثيف البرامج التدريبية التي تستهدف إدارة التنوع، لضمان استدامة التميز في القطاع الصحي السعودي بما يتوافق مع رؤية المملكة 2030، وهو ما ينطبق على بيئة العمل الجامعية.</w:t>
      </w:r>
    </w:p>
    <w:p w14:paraId="73FBDD0B" w14:textId="7D72DE29" w:rsidR="00840C0F" w:rsidRPr="00DA72CE" w:rsidRDefault="00D333F7" w:rsidP="0063363D">
      <w:pPr>
        <w:pStyle w:val="Heading2"/>
        <w:bidi/>
        <w:jc w:val="center"/>
        <w:rPr>
          <w:spacing w:val="-4"/>
        </w:rPr>
      </w:pPr>
      <w:bookmarkStart w:id="39" w:name="_Toc224358898"/>
      <w:r w:rsidRPr="00DA72CE">
        <w:rPr>
          <w:rFonts w:hint="cs"/>
          <w:spacing w:val="-4"/>
          <w:rtl/>
        </w:rPr>
        <w:t xml:space="preserve">المبحث </w:t>
      </w:r>
      <w:proofErr w:type="gramStart"/>
      <w:r w:rsidRPr="00DA72CE">
        <w:rPr>
          <w:rFonts w:hint="cs"/>
          <w:spacing w:val="-4"/>
          <w:rtl/>
        </w:rPr>
        <w:t>الثالث :</w:t>
      </w:r>
      <w:proofErr w:type="gramEnd"/>
      <w:r w:rsidRPr="00DA72CE">
        <w:rPr>
          <w:rFonts w:hint="cs"/>
          <w:spacing w:val="-4"/>
          <w:rtl/>
        </w:rPr>
        <w:t xml:space="preserve"> </w:t>
      </w:r>
      <w:r w:rsidR="00840C0F" w:rsidRPr="00DA72CE">
        <w:rPr>
          <w:spacing w:val="-4"/>
          <w:rtl/>
        </w:rPr>
        <w:t>إدارة الموارد البشرية الاستراتيجية في التعليم العالي</w:t>
      </w:r>
      <w:bookmarkEnd w:id="39"/>
    </w:p>
    <w:p w14:paraId="0B75EB9C" w14:textId="0C9B6A11" w:rsidR="00840C0F" w:rsidRPr="00DA72CE" w:rsidRDefault="00840C0F" w:rsidP="0063363D">
      <w:pPr>
        <w:pStyle w:val="Heading3"/>
        <w:bidi/>
        <w:rPr>
          <w:spacing w:val="-4"/>
        </w:rPr>
      </w:pPr>
      <w:r w:rsidRPr="00DA72CE">
        <w:rPr>
          <w:spacing w:val="-4"/>
          <w:rtl/>
        </w:rPr>
        <w:t xml:space="preserve"> </w:t>
      </w:r>
      <w:bookmarkStart w:id="40" w:name="_Toc224358899"/>
      <w:r w:rsidRPr="00DA72CE">
        <w:rPr>
          <w:spacing w:val="-4"/>
          <w:rtl/>
        </w:rPr>
        <w:t>3.1 مفهوم وأهمية إدارة الموارد البشرية الاستراتيجية في الجامعات</w:t>
      </w:r>
      <w:bookmarkEnd w:id="40"/>
    </w:p>
    <w:p w14:paraId="6F4B48E9"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تشير إدارة الموارد البشرية الاستراتيجية في الجامعات إلى عملية مواءمة ممارسات الموارد البشرية مع الأهداف الاستراتيجية للتعليم العالي، مثل: تحسين جودة التعليم، تعزيز البحث العلمي، خدمة المجتمع، ورفع التصنيف العالمي. وتؤكد دراسة حمزة ومحمد وحسن وموسى والعبيد (2025) أن التميز المؤسسي لا يتحقق بمعزل عن مواءمة استراتيجيات الموارد البشرية مع الرؤية الكلية للمنظمة، مما يبرز أهمية التكامل الاستراتيجي.</w:t>
      </w:r>
    </w:p>
    <w:p w14:paraId="6C663C18" w14:textId="320B1C59"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وتتمثل أهمية إدارة الموارد البشرية الاستراتيجية في الجامعات في عدة جوانب جوهرية:</w:t>
      </w:r>
    </w:p>
    <w:p w14:paraId="115F6163" w14:textId="25A39BE7" w:rsidR="00840C0F" w:rsidRPr="00DA72CE" w:rsidRDefault="00840C0F" w:rsidP="0063363D">
      <w:pPr>
        <w:pStyle w:val="Heading4"/>
        <w:bidi/>
        <w:rPr>
          <w:spacing w:val="-4"/>
        </w:rPr>
      </w:pPr>
      <w:r w:rsidRPr="00DA72CE">
        <w:rPr>
          <w:spacing w:val="-4"/>
          <w:rtl/>
        </w:rPr>
        <w:lastRenderedPageBreak/>
        <w:t>أ. جذب والاحتفاظ بالكفاءات الأكاديمية المتميزة</w:t>
      </w:r>
    </w:p>
    <w:p w14:paraId="2EBAB83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في ظل التنافس العالمي على الكفاءات العلمية، تحتاج الجامعات إلى استراتيجيات موارد بشرية فعالة لجذب والاحتفاظ بالباحثين والمدرسين المتميزين. وتشير دراسة </w:t>
      </w:r>
      <w:proofErr w:type="spellStart"/>
      <w:r w:rsidRPr="00DA72CE">
        <w:rPr>
          <w:rFonts w:ascii="Sakkal Majalla" w:hAnsi="Sakkal Majalla" w:cs="Sakkal Majalla"/>
          <w:spacing w:val="-4"/>
          <w:sz w:val="30"/>
          <w:szCs w:val="30"/>
        </w:rPr>
        <w:t>Przytuła</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Sułkowski</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Kulikowski</w:t>
      </w:r>
      <w:proofErr w:type="spellEnd"/>
      <w:r w:rsidRPr="00DA72CE">
        <w:rPr>
          <w:rFonts w:ascii="Sakkal Majalla" w:hAnsi="Sakkal Majalla" w:cs="Sakkal Majalla"/>
          <w:spacing w:val="-4"/>
          <w:sz w:val="30"/>
          <w:szCs w:val="30"/>
          <w:rtl/>
        </w:rPr>
        <w:t xml:space="preserve"> (2024) إلى أن ممارسات إدارة الموارد البشرية غالباً ما تكون متفرقة وليست منهجية في مؤسسات التعليم العالي، مما يؤدي إلى تحديات مثل الإرهاق الأكاديمي وصعوبة الاحتفاظ بالكفاءات.</w:t>
      </w:r>
    </w:p>
    <w:p w14:paraId="04311C4D" w14:textId="645BBEFC"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القرشي (2024) أن الاستفادة من خبرات الجامعات الأمريكية في ممارسات القيادة التحويلية وإدارة الابتكار تعزز من فرص الجامعات المحلية في المنافسة العالمية، مما يتطلب استقطاب قيادات وكفاءات قادرة على تطبيق هذه الممارسات.</w:t>
      </w:r>
    </w:p>
    <w:p w14:paraId="339CD673" w14:textId="1C92EEE6" w:rsidR="00840C0F" w:rsidRPr="00DA72CE" w:rsidRDefault="00840C0F" w:rsidP="0063363D">
      <w:pPr>
        <w:pStyle w:val="Heading4"/>
        <w:bidi/>
        <w:rPr>
          <w:spacing w:val="-4"/>
        </w:rPr>
      </w:pPr>
      <w:r w:rsidRPr="00DA72CE">
        <w:rPr>
          <w:spacing w:val="-4"/>
          <w:rtl/>
        </w:rPr>
        <w:t>ب. تطوير القدرات البحثية والابتكارية</w:t>
      </w:r>
    </w:p>
    <w:p w14:paraId="4FC7F7C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تعتبر الجامعات مراكز لإنتاج المعرفة، مما يتطلب استراتيجيات موارد بشرية تركز على تطوير القدرات البحثية والابتكارية لأعضاء هيئة التدريس. وتوضح دراسة أهلي (2025) أن الابتكار المؤسسي يعمل كمتغير وسيط فعال في تعزيز العلاقة بين ممارسات الموارد البشرية والتميز المؤسسي في الجامعات.</w:t>
      </w:r>
    </w:p>
    <w:p w14:paraId="04ED9B2C" w14:textId="7F7893B8"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السامرائي (2025) إلى أن الذكاء التنظيمي يؤثر إيجابياً في تحقيق التميز المؤسسي في الجامعات الخاصة، حيث تساهم قدرات المنظمة على جمع وتحليل واستخدام المعلومات في تعزيز القدرة على اتخاذ القرارات الاستراتيجية، وهو ما يتطلب كوادر بشرية مدربة على استخدام البيانات.</w:t>
      </w:r>
    </w:p>
    <w:p w14:paraId="0C3B72B9" w14:textId="6553999A" w:rsidR="00840C0F" w:rsidRPr="00DA72CE" w:rsidRDefault="00840C0F" w:rsidP="0063363D">
      <w:pPr>
        <w:pStyle w:val="Heading4"/>
        <w:bidi/>
        <w:rPr>
          <w:spacing w:val="-4"/>
        </w:rPr>
      </w:pPr>
      <w:r w:rsidRPr="00DA72CE">
        <w:rPr>
          <w:spacing w:val="-4"/>
          <w:rtl/>
        </w:rPr>
        <w:t>ج. تعزيز جودة التعليم والتعلم</w:t>
      </w:r>
    </w:p>
    <w:p w14:paraId="33FE5B9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تؤثر كفاءة وقدرات أعضاء هيئة التدريس بشكل مباشر على جودة العملية التعليمية، مما يجعل تطوير الموارد البشرية استثماراً في جودة المخرجات التعليمية. وتشير دراسة فكري (2023) أن بُعد "تميز الخدمات" كان من أبرز ثمار الاهتمام بالموارد البشرية في جامعة القاهرة، مما يعكس قدرة الجامعة على تقديم خدمات دقيقة وسريعة مدعومة بنظم تكنولوجية حديثة.</w:t>
      </w:r>
    </w:p>
    <w:p w14:paraId="1A754841" w14:textId="1FEF222A"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وتؤكد دراسة الجاسر (2023) أن البرامج التدريبية المصممة وفقاً لمتطلبات الاعتماد الأكاديمي تساهم في تطوير أداء الموظفين الإداريين بالجامعات السعودية، مما يعزز من قدرتها على تحقيق التميز المؤسسي ودعم العملية التعليمية.</w:t>
      </w:r>
    </w:p>
    <w:p w14:paraId="6D7AB2BC" w14:textId="114AE9BD" w:rsidR="00840C0F" w:rsidRPr="00DA72CE" w:rsidRDefault="00840C0F" w:rsidP="0063363D">
      <w:pPr>
        <w:pStyle w:val="Heading4"/>
        <w:bidi/>
        <w:rPr>
          <w:spacing w:val="-4"/>
        </w:rPr>
      </w:pPr>
      <w:r w:rsidRPr="00DA72CE">
        <w:rPr>
          <w:spacing w:val="-4"/>
          <w:rtl/>
        </w:rPr>
        <w:t>د. دعم التحول الرقمي والابتكار المؤسسي</w:t>
      </w:r>
    </w:p>
    <w:p w14:paraId="1685D86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مع تسارع التحول الرقمي في التعليم العالي، تحتاج الجامعات إلى استراتيجيات موارد بشرية تدعم تطوير المهارات الرقمية وتعزيز ثقافة الابتكار. وتؤكد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يتطلب تدريب الكوادر البشرية على مهارات نمذجة وتحليل العمليات لضمان مخرجات إدارية وأكاديمية تتوافق مع تطلعات رؤية المملكة 2030.</w:t>
      </w:r>
    </w:p>
    <w:p w14:paraId="32EDB6D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وتشير دراسة </w:t>
      </w:r>
      <w:proofErr w:type="spellStart"/>
      <w:r w:rsidRPr="00DA72CE">
        <w:rPr>
          <w:rFonts w:ascii="Sakkal Majalla" w:hAnsi="Sakkal Majalla" w:cs="Sakkal Majalla"/>
          <w:spacing w:val="-4"/>
          <w:sz w:val="30"/>
          <w:szCs w:val="30"/>
        </w:rPr>
        <w:t>Elbawab</w:t>
      </w:r>
      <w:proofErr w:type="spellEnd"/>
      <w:r w:rsidRPr="00DA72CE">
        <w:rPr>
          <w:rFonts w:ascii="Sakkal Majalla" w:hAnsi="Sakkal Majalla" w:cs="Sakkal Majalla"/>
          <w:spacing w:val="-4"/>
          <w:sz w:val="30"/>
          <w:szCs w:val="30"/>
          <w:rtl/>
        </w:rPr>
        <w:t xml:space="preserve"> (2024) إلى أن التعلم المؤسسي </w:t>
      </w:r>
      <w:proofErr w:type="spellStart"/>
      <w:r w:rsidRPr="00DA72CE">
        <w:rPr>
          <w:rFonts w:ascii="Sakkal Majalla" w:hAnsi="Sakkal Majalla" w:cs="Sakkal Majalla"/>
          <w:spacing w:val="-4"/>
          <w:sz w:val="30"/>
          <w:szCs w:val="30"/>
          <w:rtl/>
        </w:rPr>
        <w:t>والرقمنة</w:t>
      </w:r>
      <w:proofErr w:type="spellEnd"/>
      <w:r w:rsidRPr="00DA72CE">
        <w:rPr>
          <w:rFonts w:ascii="Sakkal Majalla" w:hAnsi="Sakkal Majalla" w:cs="Sakkal Majalla"/>
          <w:spacing w:val="-4"/>
          <w:sz w:val="30"/>
          <w:szCs w:val="30"/>
          <w:rtl/>
        </w:rPr>
        <w:t xml:space="preserve"> يساهمان في تحسين الأداء المستدام في الجامعات الأوروبية، مما يبرز أن التخلف التقني يمثل عائقاً أمام التميز المستدام، وهو ما يتطلب موارد بشرية رقمية.</w:t>
      </w:r>
    </w:p>
    <w:p w14:paraId="0298AEEE" w14:textId="036559EA" w:rsidR="00840C0F" w:rsidRPr="00DA72CE" w:rsidRDefault="00840C0F" w:rsidP="0063363D">
      <w:pPr>
        <w:pStyle w:val="Heading3"/>
        <w:bidi/>
        <w:rPr>
          <w:spacing w:val="-4"/>
        </w:rPr>
      </w:pPr>
      <w:r w:rsidRPr="00DA72CE">
        <w:rPr>
          <w:spacing w:val="-4"/>
          <w:rtl/>
        </w:rPr>
        <w:t xml:space="preserve"> </w:t>
      </w:r>
      <w:bookmarkStart w:id="41" w:name="_Toc224358900"/>
      <w:r w:rsidRPr="00DA72CE">
        <w:rPr>
          <w:spacing w:val="-4"/>
          <w:rtl/>
        </w:rPr>
        <w:t>3.2 تحديات إدارة الموارد البشرية في الجامعات السعودية</w:t>
      </w:r>
      <w:bookmarkEnd w:id="41"/>
    </w:p>
    <w:p w14:paraId="3332C4BA" w14:textId="5D5E380A"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تواجه إدارة الموارد البشرية في الجامعات السعودية مجموعة من التحديات التي تؤثر في فعاليتها، وتستدعي معالجات استراتيجية لضمان تحقيق الأهداف المنشودة.</w:t>
      </w:r>
    </w:p>
    <w:p w14:paraId="51257951" w14:textId="06EBB57B" w:rsidR="00840C0F" w:rsidRPr="00DA72CE" w:rsidRDefault="00840C0F" w:rsidP="0063363D">
      <w:pPr>
        <w:pStyle w:val="Heading4"/>
        <w:bidi/>
        <w:rPr>
          <w:spacing w:val="-4"/>
        </w:rPr>
      </w:pPr>
      <w:r w:rsidRPr="00DA72CE">
        <w:rPr>
          <w:spacing w:val="-4"/>
          <w:rtl/>
        </w:rPr>
        <w:t>أ. الفجوة بين المهارات المطلوبة والمتاحة</w:t>
      </w:r>
    </w:p>
    <w:p w14:paraId="25ABE6BA"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تشير دراسة الجاسر (2023) إلى الحاجة لتطوير برامج تدريبية تلبي متطلبات الاعتماد الأكاديمي والمعايير العالمية، مما يعكس وجود فجوة بين المهارات الحالية للموظفين الإداريين والمتطلبات المستقبلية. وتتطلب هذه الفجوة خطط تدريبية مكثفة وبرامج تطوير قيادي لسدها.</w:t>
      </w:r>
    </w:p>
    <w:p w14:paraId="49F1D7B4" w14:textId="422173FF" w:rsidR="00840C0F" w:rsidRPr="00DA72CE" w:rsidRDefault="00840C0F" w:rsidP="0063363D">
      <w:pPr>
        <w:pStyle w:val="Heading4"/>
        <w:bidi/>
        <w:rPr>
          <w:spacing w:val="-4"/>
        </w:rPr>
      </w:pPr>
      <w:r w:rsidRPr="00DA72CE">
        <w:rPr>
          <w:spacing w:val="-4"/>
          <w:rtl/>
        </w:rPr>
        <w:t>ب. محدودية المرونة في أنظمة التوظيف والمكافآت</w:t>
      </w:r>
    </w:p>
    <w:p w14:paraId="388E560F"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تعاني الجامعات الحكومية في المملكة من بعض القيود البيروقراطية التي تحد من مرونتها في استقطاب الكفاءات المتميزة وتصميم أنظمة تحفيزية تنافسية. وتؤكد دراسة هاشم والحاج (2025) أن مجال </w:t>
      </w:r>
      <w:r w:rsidRPr="00DA72CE">
        <w:rPr>
          <w:rFonts w:ascii="Sakkal Majalla" w:hAnsi="Sakkal Majalla" w:cs="Sakkal Majalla"/>
          <w:spacing w:val="-4"/>
          <w:sz w:val="30"/>
          <w:szCs w:val="30"/>
          <w:rtl/>
        </w:rPr>
        <w:lastRenderedPageBreak/>
        <w:t>"تحفيز الموارد البشرية" جاء في المرتبة الأخيرة في واقع أداء إدارة الموارد البشرية في الجامعات الأهلية، مما يشير إلى تحديات مشتركة في قطاع التعليم العالي.</w:t>
      </w:r>
    </w:p>
    <w:p w14:paraId="114D591A" w14:textId="612737A3"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عبد العال (2023) إلى وجود تحديات إدارية ومالية تواجه الكليات في استيفاء معايير التميز، وأبرزت النتائج الحاجة الماسة لتطوير منظومة الرعاية الصحية والخدمات الاجتماعية المقدمة للأكاديميين كحافز لرفع الأداء المؤسسي.</w:t>
      </w:r>
    </w:p>
    <w:p w14:paraId="589EFEAA" w14:textId="5C808338" w:rsidR="00840C0F" w:rsidRPr="00DA72CE" w:rsidRDefault="00840C0F" w:rsidP="0063363D">
      <w:pPr>
        <w:pStyle w:val="Heading4"/>
        <w:bidi/>
        <w:rPr>
          <w:spacing w:val="-4"/>
        </w:rPr>
      </w:pPr>
      <w:r w:rsidRPr="00DA72CE">
        <w:rPr>
          <w:spacing w:val="-4"/>
          <w:rtl/>
        </w:rPr>
        <w:t>ج. الحاجة لتعزيز الثقافة التنظيمية الداعمة للتميز</w:t>
      </w:r>
    </w:p>
    <w:p w14:paraId="1F4D44DB"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يتطلب تحقيق التميز المؤسسي ثقافة تنظيمية تدعم الابتكار، التعلم المستمر، والمساءلة، وهو ما يحتاج إلى جهود متواصلة في التطوير التنظيمي. وتشير دراسة صديق (2019) إلى ضرورة تعزيز الثقافة التنظيمية الداعمة للتميز، وتطوير مهارات العاملين بشكل مستمر، والتركيز على الصحة والسلامة المهنية كجزء لا يتجزأ من استراتيجية التميز الشامل.</w:t>
      </w:r>
    </w:p>
    <w:p w14:paraId="27773F9A" w14:textId="27BD2BFD"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داهش (2022) أن الالتزام العاطفي يعمل كمتغير وسيط جوهري في تعزيز العلاقة بين قوة نظام إدارة الموارد البشرية وسلوكيات المواطنة التنظيمية، مما يحفز الموظفين على بذل جهود إضافية تساهم في تحقيق التميز المؤسسي، وهو ما يتطلب ثقافة داعمة.</w:t>
      </w:r>
    </w:p>
    <w:p w14:paraId="2889AEE6" w14:textId="771A0A70" w:rsidR="00840C0F" w:rsidRPr="00DA72CE" w:rsidRDefault="00840C0F" w:rsidP="0063363D">
      <w:pPr>
        <w:pStyle w:val="Heading4"/>
        <w:bidi/>
        <w:rPr>
          <w:spacing w:val="-4"/>
        </w:rPr>
      </w:pPr>
      <w:r w:rsidRPr="00DA72CE">
        <w:rPr>
          <w:spacing w:val="-4"/>
          <w:rtl/>
        </w:rPr>
        <w:t>د. التكامل بين الجوانب الأكاديمية والإدارية</w:t>
      </w:r>
    </w:p>
    <w:p w14:paraId="199ECFC6"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تواجه الجامعات تحدياً في تحقيق التكامل بين الممارسات الإدارية والكفاءات الأكاديمية، مما يتطلب نماذج إدارية مرنة تراعي الطبيعة المزدوجة للجامعة. وتوضح دراسة داهش (2022) أن قوة نظام إدارة الموارد البشرية تؤثر في سلوكيات أعضاء هيئة التدريس، مما يبرز أهمية التكامل بين الجوانب الإدارية والأكاديمية.</w:t>
      </w:r>
    </w:p>
    <w:p w14:paraId="7011B336" w14:textId="102FECDF"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فكري (2023) إلى أن جامعة القاهرة تتمتع بمستوى عالٍ من عملية تخطيط الموارد البشرية بما يتوافق مع استراتيجيتها المنهجية، مما يعكس أهمية التكامل بين الجوانب الأكاديمية والإدارية في تحقيق التميز المؤسسي.</w:t>
      </w:r>
    </w:p>
    <w:p w14:paraId="34F17FE1" w14:textId="7282EBDD" w:rsidR="00840C0F" w:rsidRPr="00DA72CE" w:rsidRDefault="00840C0F" w:rsidP="0063363D">
      <w:pPr>
        <w:pStyle w:val="Heading4"/>
        <w:bidi/>
        <w:rPr>
          <w:spacing w:val="-4"/>
        </w:rPr>
      </w:pPr>
      <w:r w:rsidRPr="00DA72CE">
        <w:rPr>
          <w:spacing w:val="-4"/>
          <w:rtl/>
        </w:rPr>
        <w:lastRenderedPageBreak/>
        <w:t>هـ. التكيف مع متطلبات رؤية 2030</w:t>
      </w:r>
    </w:p>
    <w:p w14:paraId="22CE38C6"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تشكل متطلبات رؤية المملكة 2030 تحدياً وفرصة في آن واحد لإدارة الموارد البشرية في الجامعات السعودية، حيث تتطلب تطوير كفاءات تتوافق مع مستهدفات التحول الاقتصادي والمعرفي. وتشير دراسة اليامي (2023) إلى أهمية صياغة سياسات إدارية تدعم ثقافة التسامح وقبول الآخر، وتكثيف البرامج التدريبية التي تستهدف إدارة التنوع، لضمان استدامة التميز في القطاع الصحي السعودي بما يتوافق مع رؤية المملكة 2030.</w:t>
      </w:r>
    </w:p>
    <w:p w14:paraId="2DE3F16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الحربي والمهدي ونصر وأحمد (2025) أن آليات تحسين جودة الأداء المؤسسي بالجامعات السعودية الناشئة على ضوء نموذج الجامعة الذكية تتطلب تبني قدرات ديناميكية تمكن الجامعات من التكيف مع متطلبات التحول الرقمي والابتكار.</w:t>
      </w:r>
    </w:p>
    <w:p w14:paraId="39112E15" w14:textId="5A86AF3E" w:rsidR="00840C0F" w:rsidRPr="00DA72CE" w:rsidRDefault="00840C0F" w:rsidP="0063363D">
      <w:pPr>
        <w:pStyle w:val="Heading3"/>
        <w:bidi/>
        <w:rPr>
          <w:spacing w:val="-4"/>
        </w:rPr>
      </w:pPr>
      <w:r w:rsidRPr="00DA72CE">
        <w:rPr>
          <w:spacing w:val="-4"/>
          <w:rtl/>
        </w:rPr>
        <w:t xml:space="preserve"> </w:t>
      </w:r>
      <w:bookmarkStart w:id="42" w:name="_Toc224358901"/>
      <w:r w:rsidRPr="00DA72CE">
        <w:rPr>
          <w:spacing w:val="-4"/>
          <w:rtl/>
        </w:rPr>
        <w:t>3.3 دور إدارة الموارد البشرية في دعم التميز المؤسسي</w:t>
      </w:r>
      <w:bookmarkEnd w:id="42"/>
    </w:p>
    <w:p w14:paraId="18290D08" w14:textId="00B19E43"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تلعب إدارة الموارد البشرية دوراً محورياً في دعم التميز المؤسسي من خلال عدة آليات تربط بين الممارسات البشرية ومخرجات التميز.</w:t>
      </w:r>
    </w:p>
    <w:p w14:paraId="29009B48" w14:textId="63BA770C" w:rsidR="00840C0F" w:rsidRPr="00DA72CE" w:rsidRDefault="00840C0F" w:rsidP="0063363D">
      <w:pPr>
        <w:pStyle w:val="Heading4"/>
        <w:bidi/>
        <w:rPr>
          <w:spacing w:val="-4"/>
        </w:rPr>
      </w:pPr>
      <w:r w:rsidRPr="00DA72CE">
        <w:rPr>
          <w:spacing w:val="-4"/>
          <w:rtl/>
        </w:rPr>
        <w:t>أ. الآلية الأولى: تحسين الكفاءة التشغيلية</w:t>
      </w:r>
    </w:p>
    <w:p w14:paraId="1751D8E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من خلال تخطيط الموارد البشرية الفعال وتبسيط إجراءات التوظيف والتدريب، تساهم إدارة الموارد البشرية في رفع كفاءة العمليات الإدارية والأكاديمية. وتشير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في الجامعات السعودية يساهم في زيادة الوضوح التنظيمي، وتقليل الهدر في الوقت والجهد، وتعزيز الشفافية، مما ينعكس إيجاباً على مستوى التميز المؤسسي.</w:t>
      </w:r>
    </w:p>
    <w:p w14:paraId="110E2C05" w14:textId="7AB54AAC" w:rsidR="00840C0F" w:rsidRPr="00DA72CE" w:rsidRDefault="00840C0F" w:rsidP="0063363D">
      <w:pPr>
        <w:pStyle w:val="Heading4"/>
        <w:bidi/>
        <w:rPr>
          <w:spacing w:val="-4"/>
        </w:rPr>
      </w:pPr>
      <w:r w:rsidRPr="00DA72CE">
        <w:rPr>
          <w:spacing w:val="-4"/>
          <w:rtl/>
        </w:rPr>
        <w:t>ب. الآلية الثانية: تعزيز الابتكار والإبداع</w:t>
      </w:r>
    </w:p>
    <w:p w14:paraId="67BB857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من خلال أنظمة التحفيز والتدريب التي تشجع على الإبداع، تساهم إدارة الموارد البشرية في توليد أفكار جديدة تحسن الأداء. وتوضح دراسة أهلي (2025) أن الابتكار المؤسسي يعمل كمتغير وسيط فعال في تعزيز العلاقة بين ممارسات الموارد البشرية والتميز المؤسسي، مما يعني أن استثمار الجامعات في كفاءات موظفيها يؤدي إلى توليد أفكار ابتكارية.</w:t>
      </w:r>
    </w:p>
    <w:p w14:paraId="5AD6BC15" w14:textId="06679EC5" w:rsidR="00840C0F" w:rsidRPr="00DA72CE" w:rsidRDefault="00840C0F" w:rsidP="0063363D">
      <w:pPr>
        <w:pStyle w:val="Heading4"/>
        <w:bidi/>
        <w:rPr>
          <w:spacing w:val="-4"/>
        </w:rPr>
      </w:pPr>
      <w:r w:rsidRPr="00DA72CE">
        <w:rPr>
          <w:spacing w:val="-4"/>
          <w:rtl/>
        </w:rPr>
        <w:lastRenderedPageBreak/>
        <w:t>ج. الآلية الثالثة: بناء الالتزام التنظيمي</w:t>
      </w:r>
    </w:p>
    <w:p w14:paraId="7AFA5D26"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من خلال ممارسات الموارد البشرية العادلة والداعمة، يزداد التزام الموظفين تجاه المنظمة، مما ينعكس على الأداء. وتشير دراسة داهش (2022) إلى أن الالتزام العاطفي يعمل كمتغير وسيط في العلاقة بين قوة نظام إدارة الموارد البشرية وسلوك المواطنة التنظيمية، مما يحفز الموظفين على بذل جهود إضافية.</w:t>
      </w:r>
    </w:p>
    <w:p w14:paraId="264E249D" w14:textId="6002DCFA" w:rsidR="00840C0F" w:rsidRPr="00DA72CE" w:rsidRDefault="00840C0F" w:rsidP="0063363D">
      <w:pPr>
        <w:pStyle w:val="Heading4"/>
        <w:bidi/>
        <w:rPr>
          <w:spacing w:val="-4"/>
        </w:rPr>
      </w:pPr>
      <w:r w:rsidRPr="00DA72CE">
        <w:rPr>
          <w:spacing w:val="-4"/>
          <w:rtl/>
        </w:rPr>
        <w:t>د. الآلية الرابعة: ضمان الجودة والاعتماد</w:t>
      </w:r>
    </w:p>
    <w:p w14:paraId="276CC425"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من خلال تطوير الكفاءات بما يتوافق مع معايير الاعتماد، تساهم إدارة الموارد البشرية في ضمان جودة المخرجات. وتؤكد دراسة الجاسر (2023) أن البرامج التدريبية المصممة وفقاً لمتطلبات الاعتماد الأكاديمي تساهم في تطوير أداء الموظفين الإداريين بالجامعات السعودية، مما يعزز من قدرتها على تحقيق التميز المؤسسي.</w:t>
      </w:r>
    </w:p>
    <w:p w14:paraId="3A6254F7" w14:textId="77777777" w:rsidR="00DA72CE" w:rsidRDefault="00DA72CE">
      <w:pPr>
        <w:rPr>
          <w:rFonts w:asciiTheme="majorHAnsi" w:eastAsiaTheme="majorEastAsia" w:hAnsiTheme="majorHAnsi" w:cs="Sakkal Majalla"/>
          <w:b/>
          <w:bCs/>
          <w:spacing w:val="-4"/>
          <w:sz w:val="32"/>
          <w:szCs w:val="36"/>
          <w:rtl/>
        </w:rPr>
      </w:pPr>
      <w:r>
        <w:rPr>
          <w:spacing w:val="-4"/>
          <w:rtl/>
        </w:rPr>
        <w:br w:type="page"/>
      </w:r>
    </w:p>
    <w:p w14:paraId="6F0A1CA1" w14:textId="6BE1395B" w:rsidR="00840C0F" w:rsidRPr="00DA72CE" w:rsidRDefault="0063363D" w:rsidP="0063363D">
      <w:pPr>
        <w:pStyle w:val="Heading2"/>
        <w:bidi/>
        <w:jc w:val="center"/>
        <w:rPr>
          <w:spacing w:val="-4"/>
        </w:rPr>
      </w:pPr>
      <w:bookmarkStart w:id="43" w:name="_Toc224358902"/>
      <w:r w:rsidRPr="00DA72CE">
        <w:rPr>
          <w:rFonts w:hint="cs"/>
          <w:spacing w:val="-4"/>
          <w:rtl/>
        </w:rPr>
        <w:lastRenderedPageBreak/>
        <w:t xml:space="preserve">المبحث الرابع </w:t>
      </w:r>
      <w:r w:rsidR="00840C0F" w:rsidRPr="00DA72CE">
        <w:rPr>
          <w:spacing w:val="-4"/>
          <w:rtl/>
        </w:rPr>
        <w:t>إدارة الموارد البشرية الرقمية</w:t>
      </w:r>
      <w:bookmarkEnd w:id="43"/>
      <w:r w:rsidR="00840C0F" w:rsidRPr="00DA72CE">
        <w:rPr>
          <w:spacing w:val="-4"/>
          <w:rtl/>
        </w:rPr>
        <w:t xml:space="preserve"> </w:t>
      </w:r>
    </w:p>
    <w:p w14:paraId="0DFAD9A2" w14:textId="4433A860" w:rsidR="00840C0F" w:rsidRPr="00DA72CE" w:rsidRDefault="00840C0F" w:rsidP="0063363D">
      <w:pPr>
        <w:pStyle w:val="Heading3"/>
        <w:bidi/>
        <w:rPr>
          <w:spacing w:val="-4"/>
        </w:rPr>
      </w:pPr>
      <w:r w:rsidRPr="00DA72CE">
        <w:rPr>
          <w:spacing w:val="-4"/>
          <w:rtl/>
        </w:rPr>
        <w:t xml:space="preserve"> </w:t>
      </w:r>
      <w:bookmarkStart w:id="44" w:name="_Toc224358903"/>
      <w:r w:rsidRPr="00DA72CE">
        <w:rPr>
          <w:spacing w:val="-4"/>
          <w:rtl/>
        </w:rPr>
        <w:t>4.1 مفهوم إدارة الموارد البشرية الرقمية</w:t>
      </w:r>
      <w:bookmarkEnd w:id="44"/>
    </w:p>
    <w:p w14:paraId="7EC04597"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تشير إدارة الموارد البشرية الرقمية (</w:t>
      </w:r>
      <w:r w:rsidRPr="00DA72CE">
        <w:rPr>
          <w:rFonts w:ascii="Sakkal Majalla" w:hAnsi="Sakkal Majalla" w:cs="Sakkal Majalla"/>
          <w:spacing w:val="-4"/>
          <w:sz w:val="30"/>
          <w:szCs w:val="30"/>
        </w:rPr>
        <w:t>Digital HRM</w:t>
      </w:r>
      <w:r w:rsidRPr="00DA72CE">
        <w:rPr>
          <w:rFonts w:ascii="Sakkal Majalla" w:hAnsi="Sakkal Majalla" w:cs="Sakkal Majalla"/>
          <w:spacing w:val="-4"/>
          <w:sz w:val="30"/>
          <w:szCs w:val="30"/>
          <w:rtl/>
        </w:rPr>
        <w:t>) إلى استخدام التقنيات الرقمية المتقدمة لإدارة الوظائف البشرية، مما يحسن الكفاءة والدقة وسرعة اتخاذ القرار. وتشير دراسة عسيري والعمود (2024) أن التحول الرقمي في إدارة العمليات يساهم في تعزيز الشفافية وزيادة الكفاءة التنظيمية.</w:t>
      </w:r>
    </w:p>
    <w:p w14:paraId="267696B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وتشمل التقنيات المستخدمة: أنظمة تخطيط موارد المؤسسات (</w:t>
      </w:r>
      <w:r w:rsidRPr="00DA72CE">
        <w:rPr>
          <w:rFonts w:ascii="Sakkal Majalla" w:hAnsi="Sakkal Majalla" w:cs="Sakkal Majalla"/>
          <w:spacing w:val="-4"/>
          <w:sz w:val="30"/>
          <w:szCs w:val="30"/>
        </w:rPr>
        <w:t>ERP</w:t>
      </w:r>
      <w:r w:rsidRPr="00DA72CE">
        <w:rPr>
          <w:rFonts w:ascii="Sakkal Majalla" w:hAnsi="Sakkal Majalla" w:cs="Sakkal Majalla"/>
          <w:spacing w:val="-4"/>
          <w:sz w:val="30"/>
          <w:szCs w:val="30"/>
          <w:rtl/>
        </w:rPr>
        <w:t>)، الذكاء الاصطناعي في التوظيف، منصات التعلم الإلكتروني، وتحليلات البيانات البشرية (</w:t>
      </w:r>
      <w:r w:rsidRPr="00DA72CE">
        <w:rPr>
          <w:rFonts w:ascii="Sakkal Majalla" w:hAnsi="Sakkal Majalla" w:cs="Sakkal Majalla"/>
          <w:spacing w:val="-4"/>
          <w:sz w:val="30"/>
          <w:szCs w:val="30"/>
        </w:rPr>
        <w:t>People Analytics</w:t>
      </w:r>
      <w:r w:rsidRPr="00DA72CE">
        <w:rPr>
          <w:rFonts w:ascii="Sakkal Majalla" w:hAnsi="Sakkal Majalla" w:cs="Sakkal Majalla"/>
          <w:spacing w:val="-4"/>
          <w:sz w:val="30"/>
          <w:szCs w:val="30"/>
          <w:rtl/>
        </w:rPr>
        <w:t xml:space="preserve">). وتؤكد دراسة </w:t>
      </w:r>
      <w:proofErr w:type="spellStart"/>
      <w:r w:rsidRPr="00DA72CE">
        <w:rPr>
          <w:rFonts w:ascii="Sakkal Majalla" w:hAnsi="Sakkal Majalla" w:cs="Sakkal Majalla"/>
          <w:spacing w:val="-4"/>
          <w:sz w:val="30"/>
          <w:szCs w:val="30"/>
        </w:rPr>
        <w:t>Przytuła</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Sułkowski</w:t>
      </w:r>
      <w:proofErr w:type="spellEnd"/>
      <w:r w:rsidRPr="00DA72CE">
        <w:rPr>
          <w:rFonts w:ascii="Sakkal Majalla" w:hAnsi="Sakkal Majalla" w:cs="Sakkal Majalla"/>
          <w:spacing w:val="-4"/>
          <w:sz w:val="30"/>
          <w:szCs w:val="30"/>
        </w:rPr>
        <w:t xml:space="preserve"> and </w:t>
      </w:r>
      <w:proofErr w:type="spellStart"/>
      <w:r w:rsidRPr="00DA72CE">
        <w:rPr>
          <w:rFonts w:ascii="Sakkal Majalla" w:hAnsi="Sakkal Majalla" w:cs="Sakkal Majalla"/>
          <w:spacing w:val="-4"/>
          <w:sz w:val="30"/>
          <w:szCs w:val="30"/>
        </w:rPr>
        <w:t>Kulikowski</w:t>
      </w:r>
      <w:proofErr w:type="spellEnd"/>
      <w:r w:rsidRPr="00DA72CE">
        <w:rPr>
          <w:rFonts w:ascii="Sakkal Majalla" w:hAnsi="Sakkal Majalla" w:cs="Sakkal Majalla"/>
          <w:spacing w:val="-4"/>
          <w:sz w:val="30"/>
          <w:szCs w:val="30"/>
          <w:rtl/>
        </w:rPr>
        <w:t xml:space="preserve"> (2024) أن </w:t>
      </w:r>
      <w:proofErr w:type="spellStart"/>
      <w:r w:rsidRPr="00DA72CE">
        <w:rPr>
          <w:rFonts w:ascii="Sakkal Majalla" w:hAnsi="Sakkal Majalla" w:cs="Sakkal Majalla"/>
          <w:spacing w:val="-4"/>
          <w:sz w:val="30"/>
          <w:szCs w:val="30"/>
          <w:rtl/>
        </w:rPr>
        <w:t>الرقمنة</w:t>
      </w:r>
      <w:proofErr w:type="spellEnd"/>
      <w:r w:rsidRPr="00DA72CE">
        <w:rPr>
          <w:rFonts w:ascii="Sakkal Majalla" w:hAnsi="Sakkal Majalla" w:cs="Sakkal Majalla"/>
          <w:spacing w:val="-4"/>
          <w:sz w:val="30"/>
          <w:szCs w:val="30"/>
          <w:rtl/>
        </w:rPr>
        <w:t xml:space="preserve"> تعزز الابتكار والأداء المؤسسي، لكنها تتطلب موازنة بين القيم الأكاديمية والكفاءة التقنية.</w:t>
      </w:r>
    </w:p>
    <w:p w14:paraId="715B9BA6" w14:textId="7259DF60" w:rsidR="00840C0F" w:rsidRPr="00DA72CE" w:rsidRDefault="00840C0F" w:rsidP="0063363D">
      <w:pPr>
        <w:pStyle w:val="Heading3"/>
        <w:bidi/>
        <w:rPr>
          <w:spacing w:val="-4"/>
        </w:rPr>
      </w:pPr>
      <w:r w:rsidRPr="00DA72CE">
        <w:rPr>
          <w:spacing w:val="-4"/>
          <w:rtl/>
        </w:rPr>
        <w:t xml:space="preserve"> </w:t>
      </w:r>
      <w:bookmarkStart w:id="45" w:name="_Toc224358904"/>
      <w:r w:rsidRPr="00DA72CE">
        <w:rPr>
          <w:spacing w:val="-4"/>
          <w:rtl/>
        </w:rPr>
        <w:t>4.2 فوائد تطبيق إدارة الموارد البشرية الرقمية في الجامعات</w:t>
      </w:r>
      <w:bookmarkEnd w:id="45"/>
    </w:p>
    <w:p w14:paraId="1672077E" w14:textId="02B35DF3"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أ. زيادة الكفاءة </w:t>
      </w:r>
      <w:proofErr w:type="gramStart"/>
      <w:r w:rsidRPr="00DA72CE">
        <w:rPr>
          <w:rFonts w:ascii="Sakkal Majalla" w:hAnsi="Sakkal Majalla" w:cs="Sakkal Majalla"/>
          <w:b/>
          <w:bCs/>
          <w:spacing w:val="-4"/>
          <w:sz w:val="30"/>
          <w:szCs w:val="30"/>
          <w:rtl/>
        </w:rPr>
        <w:t>والدقة</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تقلل الأنظمة الرقمية من الأخطاء اليدوية وتسرع الإجراءات، مما يحرر وقت موظفي الموارد البشرية للتركيز على المهام الاستراتيجية. وتشير دراسة محمد (2021) إلى أن دور نظام معلومات الموارد البشرية في تحقيق التميز التنظيمي يتضمن تسهيل العمليات من خلال قواعد بيانات دقيقة.</w:t>
      </w:r>
    </w:p>
    <w:p w14:paraId="3E25CD88" w14:textId="6F2EFF94"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ب. تحسين تجربة </w:t>
      </w:r>
      <w:proofErr w:type="gramStart"/>
      <w:r w:rsidRPr="00DA72CE">
        <w:rPr>
          <w:rFonts w:ascii="Sakkal Majalla" w:hAnsi="Sakkal Majalla" w:cs="Sakkal Majalla"/>
          <w:b/>
          <w:bCs/>
          <w:spacing w:val="-4"/>
          <w:sz w:val="30"/>
          <w:szCs w:val="30"/>
          <w:rtl/>
        </w:rPr>
        <w:t>الموظف</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توفر البوابات الإلكترونية خدمات ذاتية للموظفين (مثل طلب الإجازات، كشف الراتب)، مما يزيد من رضاهم. وتؤكد دراسة فكري (2023) أن بُعد "تميز الخدمات" كان من أبرز ثمار الاهتمام بالموارد البشرية في جامعة القاهرة، مما يعكس قدرة الجامعة على تقديم خدمات دقيقة وسريعة مدعومة بنظم تكنولوجية حديثة.</w:t>
      </w:r>
    </w:p>
    <w:p w14:paraId="0591A796" w14:textId="778D4E2B"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ج. دعم اتخاذ </w:t>
      </w:r>
      <w:proofErr w:type="gramStart"/>
      <w:r w:rsidRPr="00DA72CE">
        <w:rPr>
          <w:rFonts w:ascii="Sakkal Majalla" w:hAnsi="Sakkal Majalla" w:cs="Sakkal Majalla"/>
          <w:b/>
          <w:bCs/>
          <w:spacing w:val="-4"/>
          <w:sz w:val="30"/>
          <w:szCs w:val="30"/>
          <w:rtl/>
        </w:rPr>
        <w:t>القرار</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توفر تحليلات البيانات رؤى حول أداء الموظفين، معدلات الدوران، واحتياجات التدريب، مما يدعم القرار الاستراتيجي. وتشير دراسة النصير (2023) إلى أن "مؤشرات الأداء الرئيسية" (</w:t>
      </w:r>
      <w:r w:rsidRPr="00DA72CE">
        <w:rPr>
          <w:rFonts w:ascii="Sakkal Majalla" w:hAnsi="Sakkal Majalla" w:cs="Sakkal Majalla"/>
          <w:spacing w:val="-4"/>
          <w:sz w:val="30"/>
          <w:szCs w:val="30"/>
        </w:rPr>
        <w:t>KPIs</w:t>
      </w:r>
      <w:r w:rsidRPr="00DA72CE">
        <w:rPr>
          <w:rFonts w:ascii="Sakkal Majalla" w:hAnsi="Sakkal Majalla" w:cs="Sakkal Majalla"/>
          <w:spacing w:val="-4"/>
          <w:sz w:val="30"/>
          <w:szCs w:val="30"/>
          <w:rtl/>
        </w:rPr>
        <w:t>) جاءت في المرتبة الأولى كأهم أداة قياس مستخدمة في الجامعات السعودية، وهي تعتمد على البيانات الرقمية.</w:t>
      </w:r>
    </w:p>
    <w:p w14:paraId="0F38BF88" w14:textId="20B4ABCA" w:rsidR="00840C0F" w:rsidRPr="00DA72CE" w:rsidRDefault="00840C0F" w:rsidP="0063363D">
      <w:pPr>
        <w:pStyle w:val="Heading3"/>
        <w:bidi/>
        <w:rPr>
          <w:spacing w:val="-4"/>
        </w:rPr>
      </w:pPr>
      <w:r w:rsidRPr="00DA72CE">
        <w:rPr>
          <w:spacing w:val="-4"/>
          <w:rtl/>
        </w:rPr>
        <w:lastRenderedPageBreak/>
        <w:t xml:space="preserve"> </w:t>
      </w:r>
      <w:bookmarkStart w:id="46" w:name="_Toc224358905"/>
      <w:r w:rsidRPr="00DA72CE">
        <w:rPr>
          <w:spacing w:val="-4"/>
          <w:rtl/>
        </w:rPr>
        <w:t>4.3 تحديات التطبيق الرقمي</w:t>
      </w:r>
      <w:bookmarkEnd w:id="46"/>
    </w:p>
    <w:p w14:paraId="2349D2D0" w14:textId="0D6AD846"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أ. مقاومة </w:t>
      </w:r>
      <w:proofErr w:type="gramStart"/>
      <w:r w:rsidRPr="00DA72CE">
        <w:rPr>
          <w:rFonts w:ascii="Sakkal Majalla" w:hAnsi="Sakkal Majalla" w:cs="Sakkal Majalla"/>
          <w:b/>
          <w:bCs/>
          <w:spacing w:val="-4"/>
          <w:sz w:val="30"/>
          <w:szCs w:val="30"/>
          <w:rtl/>
        </w:rPr>
        <w:t>التغيير</w:t>
      </w:r>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قد</w:t>
      </w:r>
      <w:proofErr w:type="gramEnd"/>
      <w:r w:rsidRPr="00DA72CE">
        <w:rPr>
          <w:rFonts w:ascii="Sakkal Majalla" w:hAnsi="Sakkal Majalla" w:cs="Sakkal Majalla"/>
          <w:spacing w:val="-4"/>
          <w:sz w:val="30"/>
          <w:szCs w:val="30"/>
          <w:rtl/>
        </w:rPr>
        <w:t xml:space="preserve"> يقاوم بعض الموظفين التحول الرقمي خوفاً من فقدان الوظائف أو صعوبة الاستخدام. وتشير دراسة صديق (2019) إلى ضرورة تعزيز الثقافة التنظيمية الداعمة للتميز، وتطوير مهارات العاملين بشكل مستمر، للتغلب على مقاومة التغيير.</w:t>
      </w:r>
    </w:p>
    <w:p w14:paraId="7BE11405" w14:textId="6A200BA7"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ب. أمن البيانات </w:t>
      </w:r>
      <w:proofErr w:type="gramStart"/>
      <w:r w:rsidRPr="00DA72CE">
        <w:rPr>
          <w:rFonts w:ascii="Sakkal Majalla" w:hAnsi="Sakkal Majalla" w:cs="Sakkal Majalla"/>
          <w:b/>
          <w:bCs/>
          <w:spacing w:val="-4"/>
          <w:sz w:val="30"/>
          <w:szCs w:val="30"/>
          <w:rtl/>
        </w:rPr>
        <w:t>والخصوصية</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 xml:space="preserve">تتطلب الأنظمة الرقمية حماية بيانات الموظفين من الاختراقات. وتشير دراسة الحربي والمهدي ونصر وأحمد (2025) أن آليات تحسين جودة الأداء المؤسسي بالجامعات السعودية الناشئة تتطلب تبني نموذج الجامعة الذكية، مما يستلزم تجاوز التحديات التقنية المتعلقة بالأمن </w:t>
      </w:r>
      <w:proofErr w:type="spellStart"/>
      <w:r w:rsidRPr="00DA72CE">
        <w:rPr>
          <w:rFonts w:ascii="Sakkal Majalla" w:hAnsi="Sakkal Majalla" w:cs="Sakkal Majalla"/>
          <w:spacing w:val="-4"/>
          <w:sz w:val="30"/>
          <w:szCs w:val="30"/>
          <w:rtl/>
        </w:rPr>
        <w:t>السيبراني</w:t>
      </w:r>
      <w:proofErr w:type="spellEnd"/>
      <w:r w:rsidRPr="00DA72CE">
        <w:rPr>
          <w:rFonts w:ascii="Sakkal Majalla" w:hAnsi="Sakkal Majalla" w:cs="Sakkal Majalla"/>
          <w:spacing w:val="-4"/>
          <w:sz w:val="30"/>
          <w:szCs w:val="30"/>
          <w:rtl/>
        </w:rPr>
        <w:t>.</w:t>
      </w:r>
    </w:p>
    <w:p w14:paraId="7344F5CA" w14:textId="3CC05EBC"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ج. التكلفة والبنية </w:t>
      </w:r>
      <w:proofErr w:type="gramStart"/>
      <w:r w:rsidRPr="00DA72CE">
        <w:rPr>
          <w:rFonts w:ascii="Sakkal Majalla" w:hAnsi="Sakkal Majalla" w:cs="Sakkal Majalla"/>
          <w:b/>
          <w:bCs/>
          <w:spacing w:val="-4"/>
          <w:sz w:val="30"/>
          <w:szCs w:val="30"/>
          <w:rtl/>
        </w:rPr>
        <w:t>التحتية</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يتطلب التطبيق الرقمي استثمارات في الأجهزة والبرمجيات والتدريب. وتؤكد دراسة عبد العال (2023) وجود تحديات إدارية ومالية تواجه الكليات في استيفاء معايير التميز، مما قد يؤثر على القدرة على الاستثمار في التقنيات الرقمية.</w:t>
      </w:r>
    </w:p>
    <w:p w14:paraId="5FB2510A" w14:textId="77777777" w:rsidR="00F83577" w:rsidRPr="00DA72CE" w:rsidRDefault="00F83577">
      <w:pPr>
        <w:rPr>
          <w:rFonts w:ascii="Sakkal Majalla" w:hAnsi="Sakkal Majalla" w:cs="Sakkal Majalla"/>
          <w:spacing w:val="-4"/>
          <w:sz w:val="30"/>
          <w:szCs w:val="30"/>
          <w:rtl/>
        </w:rPr>
      </w:pPr>
      <w:r w:rsidRPr="00DA72CE">
        <w:rPr>
          <w:rFonts w:ascii="Sakkal Majalla" w:hAnsi="Sakkal Majalla" w:cs="Sakkal Majalla"/>
          <w:spacing w:val="-4"/>
          <w:sz w:val="30"/>
          <w:szCs w:val="30"/>
          <w:rtl/>
        </w:rPr>
        <w:br w:type="page"/>
      </w:r>
    </w:p>
    <w:p w14:paraId="706F246A" w14:textId="27EF83BE" w:rsidR="00840C0F" w:rsidRPr="00DA72CE" w:rsidRDefault="00840C0F" w:rsidP="0063363D">
      <w:pPr>
        <w:pStyle w:val="Heading2"/>
        <w:bidi/>
        <w:jc w:val="center"/>
        <w:rPr>
          <w:spacing w:val="-4"/>
        </w:rPr>
      </w:pPr>
      <w:bookmarkStart w:id="47" w:name="_Toc224358906"/>
      <w:r w:rsidRPr="00DA72CE">
        <w:rPr>
          <w:spacing w:val="-4"/>
          <w:rtl/>
        </w:rPr>
        <w:lastRenderedPageBreak/>
        <w:t xml:space="preserve">المبحث </w:t>
      </w:r>
      <w:r w:rsidR="0063363D" w:rsidRPr="00DA72CE">
        <w:rPr>
          <w:rFonts w:hint="cs"/>
          <w:spacing w:val="-4"/>
          <w:rtl/>
        </w:rPr>
        <w:t>الخامس</w:t>
      </w:r>
      <w:r w:rsidRPr="00DA72CE">
        <w:rPr>
          <w:spacing w:val="-4"/>
          <w:rtl/>
        </w:rPr>
        <w:t>: الأداء المؤسسي</w:t>
      </w:r>
      <w:bookmarkEnd w:id="47"/>
    </w:p>
    <w:p w14:paraId="17794D3B" w14:textId="782C3788" w:rsidR="00840C0F" w:rsidRPr="00DA72CE" w:rsidRDefault="0063363D" w:rsidP="00F83577">
      <w:pPr>
        <w:pStyle w:val="Heading3"/>
        <w:bidi/>
        <w:rPr>
          <w:spacing w:val="-4"/>
        </w:rPr>
      </w:pPr>
      <w:bookmarkStart w:id="48" w:name="_Toc224358907"/>
      <w:r w:rsidRPr="00DA72CE">
        <w:rPr>
          <w:rFonts w:hint="cs"/>
          <w:spacing w:val="-4"/>
          <w:rtl/>
        </w:rPr>
        <w:t>1.5</w:t>
      </w:r>
      <w:r w:rsidR="00840C0F" w:rsidRPr="00DA72CE">
        <w:rPr>
          <w:spacing w:val="-4"/>
          <w:rtl/>
        </w:rPr>
        <w:t xml:space="preserve"> التعريفات والمفاهيم الأساسية للأداء المؤسسي</w:t>
      </w:r>
      <w:bookmarkEnd w:id="48"/>
    </w:p>
    <w:p w14:paraId="305EF209"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يشكل الأداء المؤسسي مفهوماً مركباً ومتعدد الأوجه، وقد اختلف الباحثون والممارسون في تعريفه وفقاً للمنظور الذي يتبنونه وطبيعة المؤسسة التي يتم دراسة أدائها. فبينما يركز البعض على الجوانب المالية والإنتاجية، يركز آخرون على الجوانب النوعية والاجتماعية والاستدامة.</w:t>
      </w:r>
    </w:p>
    <w:p w14:paraId="632C550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فيعرف النصير (2023) الأداء المؤسسي في الجامعات بأنه "مستوى تحقيق المؤسسة التعليمية لأهدافها الاستراتيجية والعملياتية، من خلال مؤشرات الكفاءة والفعالية والإنتاجية في المخرجات التعليمية والبحثية والخدمية" (ص. 103). ويركز هذا التعريف على الأبعاد المتعددة للأداء في سياق التعليم العالي، وربطه بالمخرجات المباشرة للجامعة.</w:t>
      </w:r>
    </w:p>
    <w:p w14:paraId="7D438C96"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أما الحربي والمهدي ونصر وأحمد (2025) فيعرفون الأداء المؤسسي في الجامعات الناشئة بأنه "القدرة المؤسسية على تقديم خدمات تعليمية وبحثية وخدمية عالية الجودة، مع تحقيق الكفاءة في استخدام الموارد والفعالية في تحقيق الأهداف الاستراتيجية" (ص. 151). ويبرز هذا التعريف أهمية الموازنة بين الجودة والكفاءة في قياس الأداء، خاصة في الجامعات التي تمر بمراحل نمو وتأسيس.</w:t>
      </w:r>
    </w:p>
    <w:p w14:paraId="1BD5812D"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وفي سياق أوسع، يعرف موسى (2024) الأداء المؤسسي بأنه "محصلة التفاعل بين المدخلات والعمليات والمخرجات في المنظمة، والتي تُقاس من خلال مؤشرات كمية ونوعية تعكس مستوى الكفاءة والفعالية والإنتاجية" (ص. 2397). ويجمع هذا التعريف بين الأبعاد الكمية والنوعية للأداء المؤسسي، معتبراً إياها نتاجاً لعملية تحويلية للموارد.</w:t>
      </w:r>
    </w:p>
    <w:p w14:paraId="11D01E6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كما يعرف فكري (2023) الأداء المؤسسي في المنظمات الحكومية بأنه "القدرة على تحقيق الأهداف العامة للمؤسسة بأعلى مستويات الجودة وأقل التكاليف الممكنة، مع الالتزام بالمعايير القانونية والأخلاقية، ورضا أصحاب المصلحة" (ص. 150). ويركز هذا التعريف على البعد الحكومي والالتزام </w:t>
      </w:r>
      <w:r w:rsidRPr="00DA72CE">
        <w:rPr>
          <w:rFonts w:ascii="Sakkal Majalla" w:hAnsi="Sakkal Majalla" w:cs="Sakkal Majalla"/>
          <w:spacing w:val="-4"/>
          <w:sz w:val="30"/>
          <w:szCs w:val="30"/>
        </w:rPr>
        <w:t>regulatory compliance</w:t>
      </w:r>
      <w:r w:rsidRPr="00DA72CE">
        <w:rPr>
          <w:rFonts w:ascii="Sakkal Majalla" w:hAnsi="Sakkal Majalla" w:cs="Sakkal Majalla"/>
          <w:spacing w:val="-4"/>
          <w:sz w:val="30"/>
          <w:szCs w:val="30"/>
          <w:rtl/>
        </w:rPr>
        <w:t xml:space="preserve"> الذي يميز المؤسسات العامة.</w:t>
      </w:r>
    </w:p>
    <w:p w14:paraId="737B2C12"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lastRenderedPageBreak/>
        <w:t>وتشير دراسة عباس وعبد الحسين (2022) إلى أن الأداء المؤسسي يُعد "النتيجة النهائية لفعالية الممارسات الإدارية والتنظيمية، ويعكس قدرة المؤسسة على البقاء والنمو في بيئة تنافسية متغيرة" (ص. 170). ويؤكد هذا التعريف على البعد الاستراتيجي للأداء وارتباطه بالبقاء التنظيمي.</w:t>
      </w:r>
    </w:p>
    <w:p w14:paraId="6AB6FA2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ومن منظور حديث يركز على الاستدامة، يعرف </w:t>
      </w:r>
      <w:proofErr w:type="spellStart"/>
      <w:r w:rsidRPr="00DA72CE">
        <w:rPr>
          <w:rFonts w:ascii="Sakkal Majalla" w:hAnsi="Sakkal Majalla" w:cs="Sakkal Majalla"/>
          <w:spacing w:val="-4"/>
          <w:sz w:val="30"/>
          <w:szCs w:val="30"/>
        </w:rPr>
        <w:t>Elbawab</w:t>
      </w:r>
      <w:proofErr w:type="spellEnd"/>
      <w:r w:rsidRPr="00DA72CE">
        <w:rPr>
          <w:rFonts w:ascii="Sakkal Majalla" w:hAnsi="Sakkal Majalla" w:cs="Sakkal Majalla"/>
          <w:spacing w:val="-4"/>
          <w:sz w:val="30"/>
          <w:szCs w:val="30"/>
          <w:rtl/>
        </w:rPr>
        <w:t xml:space="preserve"> (2024) الأداء المؤسسي المستدام في الجامعات بأنه "القدرة على تحقيق الأداء الأكاديمي والإداري المتميز مع الحفاظ على التوازن البيئي والاجتماعي، وضمان استمرارية الأداء للأجيال القادمة" (ص. 5). ويضيف هذا التعريف بُعداً زمنياً وبيئياً لمفهوم الأداء يتجاوز النتائج قصيرة الأجل.</w:t>
      </w:r>
    </w:p>
    <w:p w14:paraId="496D54BE"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وتجمع معظم التعريفات السابقة على أن الأداء المؤسسي ليس مفهوماً أحادي البعد، بل هو مفهوم شامل يتضمن الكفاءة (</w:t>
      </w:r>
      <w:r w:rsidRPr="00DA72CE">
        <w:rPr>
          <w:rFonts w:ascii="Sakkal Majalla" w:hAnsi="Sakkal Majalla" w:cs="Sakkal Majalla"/>
          <w:spacing w:val="-4"/>
          <w:sz w:val="30"/>
          <w:szCs w:val="30"/>
        </w:rPr>
        <w:t>Efficiency</w:t>
      </w:r>
      <w:r w:rsidRPr="00DA72CE">
        <w:rPr>
          <w:rFonts w:ascii="Sakkal Majalla" w:hAnsi="Sakkal Majalla" w:cs="Sakkal Majalla"/>
          <w:spacing w:val="-4"/>
          <w:sz w:val="30"/>
          <w:szCs w:val="30"/>
          <w:rtl/>
        </w:rPr>
        <w:t>) التي تعني تحقيق الأهداف بأقل الموارد، والفعالية (</w:t>
      </w:r>
      <w:r w:rsidRPr="00DA72CE">
        <w:rPr>
          <w:rFonts w:ascii="Sakkal Majalla" w:hAnsi="Sakkal Majalla" w:cs="Sakkal Majalla"/>
          <w:spacing w:val="-4"/>
          <w:sz w:val="30"/>
          <w:szCs w:val="30"/>
        </w:rPr>
        <w:t>Effectiveness</w:t>
      </w:r>
      <w:r w:rsidRPr="00DA72CE">
        <w:rPr>
          <w:rFonts w:ascii="Sakkal Majalla" w:hAnsi="Sakkal Majalla" w:cs="Sakkal Majalla"/>
          <w:spacing w:val="-4"/>
          <w:sz w:val="30"/>
          <w:szCs w:val="30"/>
          <w:rtl/>
        </w:rPr>
        <w:t>) التي تعني تحقيق الأهداف الصحيحة، بالإضافة إلى الجودة والاستدامة. كما تشير إلى أن قياس الأداء يتطلب مؤشرات متنوعة تعكس طبيعة عمل المؤسسة وأهدافها الاستراتيجية.</w:t>
      </w:r>
    </w:p>
    <w:p w14:paraId="778D8E2F" w14:textId="2BF7A28B" w:rsidR="00840C0F" w:rsidRPr="00DA72CE" w:rsidRDefault="0063363D" w:rsidP="00F83577">
      <w:pPr>
        <w:pStyle w:val="Heading3"/>
        <w:bidi/>
        <w:rPr>
          <w:spacing w:val="-4"/>
        </w:rPr>
      </w:pPr>
      <w:bookmarkStart w:id="49" w:name="_Toc224358908"/>
      <w:r w:rsidRPr="00DA72CE">
        <w:rPr>
          <w:rFonts w:hint="cs"/>
          <w:spacing w:val="-4"/>
          <w:rtl/>
        </w:rPr>
        <w:t>2.5</w:t>
      </w:r>
      <w:r w:rsidR="00840C0F" w:rsidRPr="00DA72CE">
        <w:rPr>
          <w:spacing w:val="-4"/>
          <w:rtl/>
        </w:rPr>
        <w:t xml:space="preserve"> التطور التاريخي لمفهوم الأداء المؤسسي</w:t>
      </w:r>
      <w:bookmarkEnd w:id="49"/>
    </w:p>
    <w:p w14:paraId="2B25F9D2" w14:textId="4D8EBA4A"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مر مفهوم قياس وإدارة الأداء المؤسسي بمراحل تطورية متعددة تعكس تغير بيئة الأعمال وتوقعات أصحاب المصلحة. ويمكن تقسيم هذا التطور إلى أربع مراحل رئيسية:</w:t>
      </w:r>
    </w:p>
    <w:p w14:paraId="0D9A9B0C" w14:textId="32A66CAF"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أ. مرحلة التركيز على الأداء المالي (</w:t>
      </w:r>
      <w:r w:rsidRPr="00DA72CE">
        <w:rPr>
          <w:rFonts w:ascii="Sakkal Majalla" w:hAnsi="Sakkal Majalla" w:cs="Sakkal Majalla"/>
          <w:b/>
          <w:bCs/>
          <w:spacing w:val="-4"/>
          <w:sz w:val="30"/>
          <w:szCs w:val="30"/>
        </w:rPr>
        <w:t>Financial Performance Era</w:t>
      </w:r>
      <w:r w:rsidRPr="00DA72CE">
        <w:rPr>
          <w:rFonts w:ascii="Sakkal Majalla" w:hAnsi="Sakkal Majalla" w:cs="Sakkal Majalla"/>
          <w:b/>
          <w:bCs/>
          <w:spacing w:val="-4"/>
          <w:sz w:val="30"/>
          <w:szCs w:val="30"/>
          <w:rtl/>
        </w:rPr>
        <w:t xml:space="preserve">) - حتى </w:t>
      </w:r>
      <w:proofErr w:type="gramStart"/>
      <w:r w:rsidRPr="00DA72CE">
        <w:rPr>
          <w:rFonts w:ascii="Sakkal Majalla" w:hAnsi="Sakkal Majalla" w:cs="Sakkal Majalla"/>
          <w:b/>
          <w:bCs/>
          <w:spacing w:val="-4"/>
          <w:sz w:val="30"/>
          <w:szCs w:val="30"/>
          <w:rtl/>
        </w:rPr>
        <w:t>الثمانينيات</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في هذه المرحلة، كان التركيز منصباً بشكل شبه كامل على المؤشرات المالية مثل: الأرباح، العائد على الاستثمار، وحصة السوق. وكانت المنظمات تعتبر النجاح المالي هو المؤشر الوحيد للأداء الجيد. وكانت هذه المرحلة مناسبة للقطاع الصناعي والتجاري، لكنها كانت قاصرة عن قياس أداء المؤسسات الخدمية والتعليمية التي لا تهدف للربح بالدرجة الأولى.</w:t>
      </w:r>
    </w:p>
    <w:p w14:paraId="6E0B70E0" w14:textId="4EE0FA42"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ب. مرحلة الأداء المتوازن (</w:t>
      </w:r>
      <w:r w:rsidRPr="00DA72CE">
        <w:rPr>
          <w:rFonts w:ascii="Sakkal Majalla" w:hAnsi="Sakkal Majalla" w:cs="Sakkal Majalla"/>
          <w:b/>
          <w:bCs/>
          <w:spacing w:val="-4"/>
          <w:sz w:val="30"/>
          <w:szCs w:val="30"/>
        </w:rPr>
        <w:t>Balanced Performance Era</w:t>
      </w:r>
      <w:r w:rsidRPr="00DA72CE">
        <w:rPr>
          <w:rFonts w:ascii="Sakkal Majalla" w:hAnsi="Sakkal Majalla" w:cs="Sakkal Majalla"/>
          <w:b/>
          <w:bCs/>
          <w:spacing w:val="-4"/>
          <w:sz w:val="30"/>
          <w:szCs w:val="30"/>
          <w:rtl/>
        </w:rPr>
        <w:t xml:space="preserve">) </w:t>
      </w:r>
      <w:r w:rsidR="0063363D" w:rsidRPr="00DA72CE">
        <w:rPr>
          <w:rFonts w:ascii="Sakkal Majalla" w:hAnsi="Sakkal Majalla" w:cs="Sakkal Majalla"/>
          <w:b/>
          <w:bCs/>
          <w:spacing w:val="-4"/>
          <w:sz w:val="30"/>
          <w:szCs w:val="30"/>
          <w:rtl/>
        </w:rPr>
        <w:t>–</w:t>
      </w:r>
      <w:r w:rsidRPr="00DA72CE">
        <w:rPr>
          <w:rFonts w:ascii="Sakkal Majalla" w:hAnsi="Sakkal Majalla" w:cs="Sakkal Majalla"/>
          <w:b/>
          <w:bCs/>
          <w:spacing w:val="-4"/>
          <w:sz w:val="30"/>
          <w:szCs w:val="30"/>
          <w:rtl/>
        </w:rPr>
        <w:t xml:space="preserve"> </w:t>
      </w:r>
      <w:proofErr w:type="gramStart"/>
      <w:r w:rsidRPr="00DA72CE">
        <w:rPr>
          <w:rFonts w:ascii="Sakkal Majalla" w:hAnsi="Sakkal Majalla" w:cs="Sakkal Majalla"/>
          <w:b/>
          <w:bCs/>
          <w:spacing w:val="-4"/>
          <w:sz w:val="30"/>
          <w:szCs w:val="30"/>
          <w:rtl/>
        </w:rPr>
        <w:t>التسعينيات</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مع ظهور بطاقة الأداء المتوازن (</w:t>
      </w:r>
      <w:r w:rsidRPr="00DA72CE">
        <w:rPr>
          <w:rFonts w:ascii="Sakkal Majalla" w:hAnsi="Sakkal Majalla" w:cs="Sakkal Majalla"/>
          <w:spacing w:val="-4"/>
          <w:sz w:val="30"/>
          <w:szCs w:val="30"/>
        </w:rPr>
        <w:t>Balanced Scorecard</w:t>
      </w:r>
      <w:r w:rsidRPr="00DA72CE">
        <w:rPr>
          <w:rFonts w:ascii="Sakkal Majalla" w:hAnsi="Sakkal Majalla" w:cs="Sakkal Majalla"/>
          <w:spacing w:val="-4"/>
          <w:sz w:val="30"/>
          <w:szCs w:val="30"/>
          <w:rtl/>
        </w:rPr>
        <w:t xml:space="preserve">) في بداية التسعينيات، توسع مفهوم الأداء ليشمل أبعاداً غير مالية مثل: رضا </w:t>
      </w:r>
      <w:r w:rsidRPr="00DA72CE">
        <w:rPr>
          <w:rFonts w:ascii="Sakkal Majalla" w:hAnsi="Sakkal Majalla" w:cs="Sakkal Majalla"/>
          <w:spacing w:val="-4"/>
          <w:sz w:val="30"/>
          <w:szCs w:val="30"/>
          <w:rtl/>
        </w:rPr>
        <w:lastRenderedPageBreak/>
        <w:t>العملاء، العمليات الداخلية، والتعلم والنمو. وأدركت المؤسسات أن النجاح المالي هو نتيجة لأداء جيد في مجالات أخرى غير مالية. وبدأت الجامعات في تبني مؤشرات لقياس رضا الطلاب وجودة البحث العلمي بالإضافة إلى المؤشرات المالية.</w:t>
      </w:r>
    </w:p>
    <w:p w14:paraId="31B8A8D9" w14:textId="49CB1E63"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ج. مرحلة الأداء الشامل والجودة (</w:t>
      </w:r>
      <w:r w:rsidRPr="00DA72CE">
        <w:rPr>
          <w:rFonts w:ascii="Sakkal Majalla" w:hAnsi="Sakkal Majalla" w:cs="Sakkal Majalla"/>
          <w:b/>
          <w:bCs/>
          <w:spacing w:val="-4"/>
          <w:sz w:val="30"/>
          <w:szCs w:val="30"/>
        </w:rPr>
        <w:t>Total Performance and Quality Era</w:t>
      </w:r>
      <w:r w:rsidRPr="00DA72CE">
        <w:rPr>
          <w:rFonts w:ascii="Sakkal Majalla" w:hAnsi="Sakkal Majalla" w:cs="Sakkal Majalla"/>
          <w:b/>
          <w:bCs/>
          <w:spacing w:val="-4"/>
          <w:sz w:val="30"/>
          <w:szCs w:val="30"/>
          <w:rtl/>
        </w:rPr>
        <w:t xml:space="preserve">) - الألفية </w:t>
      </w:r>
      <w:proofErr w:type="gramStart"/>
      <w:r w:rsidRPr="00DA72CE">
        <w:rPr>
          <w:rFonts w:ascii="Sakkal Majalla" w:hAnsi="Sakkal Majalla" w:cs="Sakkal Majalla"/>
          <w:b/>
          <w:bCs/>
          <w:spacing w:val="-4"/>
          <w:sz w:val="30"/>
          <w:szCs w:val="30"/>
          <w:rtl/>
        </w:rPr>
        <w:t>الثالثة</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شهدت هذه المرحلة دمج مفاهيم الجودة الشاملة (</w:t>
      </w:r>
      <w:r w:rsidRPr="00DA72CE">
        <w:rPr>
          <w:rFonts w:ascii="Sakkal Majalla" w:hAnsi="Sakkal Majalla" w:cs="Sakkal Majalla"/>
          <w:spacing w:val="-4"/>
          <w:sz w:val="30"/>
          <w:szCs w:val="30"/>
        </w:rPr>
        <w:t>TQM</w:t>
      </w:r>
      <w:r w:rsidRPr="00DA72CE">
        <w:rPr>
          <w:rFonts w:ascii="Sakkal Majalla" w:hAnsi="Sakkal Majalla" w:cs="Sakkal Majalla"/>
          <w:spacing w:val="-4"/>
          <w:sz w:val="30"/>
          <w:szCs w:val="30"/>
          <w:rtl/>
        </w:rPr>
        <w:t xml:space="preserve">) والتميز المؤسسي في قياس الأداء. وأصبح الأداء يُقاس بمدى الالتزام بمعايير الجودة العالمية مثل </w:t>
      </w:r>
      <w:r w:rsidRPr="00DA72CE">
        <w:rPr>
          <w:rFonts w:ascii="Sakkal Majalla" w:hAnsi="Sakkal Majalla" w:cs="Sakkal Majalla"/>
          <w:spacing w:val="-4"/>
          <w:sz w:val="30"/>
          <w:szCs w:val="30"/>
        </w:rPr>
        <w:t>ISO</w:t>
      </w:r>
      <w:r w:rsidRPr="00DA72CE">
        <w:rPr>
          <w:rFonts w:ascii="Sakkal Majalla" w:hAnsi="Sakkal Majalla" w:cs="Sakkal Majalla"/>
          <w:spacing w:val="-4"/>
          <w:sz w:val="30"/>
          <w:szCs w:val="30"/>
          <w:rtl/>
        </w:rPr>
        <w:t xml:space="preserve"> وجوائز التميز. وتشير دراسة النصير (2023) إلى أن الجامعات السعودية أولت اهتماماً كبيراً لقياس الأداء المؤسسي في هذه المرحلة وتمتلك وحدات إدارية متخصصة لهذه المهمة، حيث جاءت "مؤشرات الأداء الرئيسية" (</w:t>
      </w:r>
      <w:r w:rsidRPr="00DA72CE">
        <w:rPr>
          <w:rFonts w:ascii="Sakkal Majalla" w:hAnsi="Sakkal Majalla" w:cs="Sakkal Majalla"/>
          <w:spacing w:val="-4"/>
          <w:sz w:val="30"/>
          <w:szCs w:val="30"/>
        </w:rPr>
        <w:t>KPIs</w:t>
      </w:r>
      <w:r w:rsidRPr="00DA72CE">
        <w:rPr>
          <w:rFonts w:ascii="Sakkal Majalla" w:hAnsi="Sakkal Majalla" w:cs="Sakkal Majalla"/>
          <w:spacing w:val="-4"/>
          <w:sz w:val="30"/>
          <w:szCs w:val="30"/>
          <w:rtl/>
        </w:rPr>
        <w:t>) في المرتبة الأولى كأهم أداة قياس مستخدمة.</w:t>
      </w:r>
    </w:p>
    <w:p w14:paraId="37B3735D" w14:textId="784B4CB7"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د. مرحلة الأداء المستدام والذكي (</w:t>
      </w:r>
      <w:r w:rsidRPr="00DA72CE">
        <w:rPr>
          <w:rFonts w:ascii="Sakkal Majalla" w:hAnsi="Sakkal Majalla" w:cs="Sakkal Majalla"/>
          <w:b/>
          <w:bCs/>
          <w:spacing w:val="-4"/>
          <w:sz w:val="30"/>
          <w:szCs w:val="30"/>
        </w:rPr>
        <w:t>Sustainable and Smart Performance Era</w:t>
      </w:r>
      <w:r w:rsidRPr="00DA72CE">
        <w:rPr>
          <w:rFonts w:ascii="Sakkal Majalla" w:hAnsi="Sakkal Majalla" w:cs="Sakkal Majalla"/>
          <w:b/>
          <w:bCs/>
          <w:spacing w:val="-4"/>
          <w:sz w:val="30"/>
          <w:szCs w:val="30"/>
          <w:rtl/>
        </w:rPr>
        <w:t xml:space="preserve">) - العقد </w:t>
      </w:r>
      <w:proofErr w:type="gramStart"/>
      <w:r w:rsidRPr="00DA72CE">
        <w:rPr>
          <w:rFonts w:ascii="Sakkal Majalla" w:hAnsi="Sakkal Majalla" w:cs="Sakkal Majalla"/>
          <w:b/>
          <w:bCs/>
          <w:spacing w:val="-4"/>
          <w:sz w:val="30"/>
          <w:szCs w:val="30"/>
          <w:rtl/>
        </w:rPr>
        <w:t>الأخير</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spacing w:val="-4"/>
          <w:sz w:val="30"/>
          <w:szCs w:val="30"/>
          <w:rtl/>
        </w:rPr>
        <w:t>في العصر الحالي، أصبح الأداء يُقاس بمدى استدامته البيئية والاجتماعية (</w:t>
      </w:r>
      <w:r w:rsidRPr="00DA72CE">
        <w:rPr>
          <w:rFonts w:ascii="Sakkal Majalla" w:hAnsi="Sakkal Majalla" w:cs="Sakkal Majalla"/>
          <w:spacing w:val="-4"/>
          <w:sz w:val="30"/>
          <w:szCs w:val="30"/>
        </w:rPr>
        <w:t>ESG</w:t>
      </w:r>
      <w:r w:rsidRPr="00DA72CE">
        <w:rPr>
          <w:rFonts w:ascii="Sakkal Majalla" w:hAnsi="Sakkal Majalla" w:cs="Sakkal Majalla"/>
          <w:spacing w:val="-4"/>
          <w:sz w:val="30"/>
          <w:szCs w:val="30"/>
          <w:rtl/>
        </w:rPr>
        <w:t xml:space="preserve">)، ودرجة ذكائه الرقمي. وتشير دراسة الحربي والمهدي ونصر وأحمد (2025) إلى أن آليات تحسين جودة الأداء المؤسسي بالجامعات السعودية الناشئة تتطلب تبني نموذج الجامعة الذكية، مما يعكس التحول نحو الأداء الرقمي والمستدام. وتؤكد دراسة </w:t>
      </w:r>
      <w:proofErr w:type="spellStart"/>
      <w:r w:rsidRPr="00DA72CE">
        <w:rPr>
          <w:rFonts w:ascii="Sakkal Majalla" w:hAnsi="Sakkal Majalla" w:cs="Sakkal Majalla"/>
          <w:spacing w:val="-4"/>
          <w:sz w:val="30"/>
          <w:szCs w:val="30"/>
        </w:rPr>
        <w:t>Elbawab</w:t>
      </w:r>
      <w:proofErr w:type="spellEnd"/>
      <w:r w:rsidRPr="00DA72CE">
        <w:rPr>
          <w:rFonts w:ascii="Sakkal Majalla" w:hAnsi="Sakkal Majalla" w:cs="Sakkal Majalla"/>
          <w:spacing w:val="-4"/>
          <w:sz w:val="30"/>
          <w:szCs w:val="30"/>
          <w:rtl/>
        </w:rPr>
        <w:t xml:space="preserve"> (2024) أن التعلم المؤسسي </w:t>
      </w:r>
      <w:proofErr w:type="spellStart"/>
      <w:r w:rsidRPr="00DA72CE">
        <w:rPr>
          <w:rFonts w:ascii="Sakkal Majalla" w:hAnsi="Sakkal Majalla" w:cs="Sakkal Majalla"/>
          <w:spacing w:val="-4"/>
          <w:sz w:val="30"/>
          <w:szCs w:val="30"/>
          <w:rtl/>
        </w:rPr>
        <w:t>والرقمنة</w:t>
      </w:r>
      <w:proofErr w:type="spellEnd"/>
      <w:r w:rsidRPr="00DA72CE">
        <w:rPr>
          <w:rFonts w:ascii="Sakkal Majalla" w:hAnsi="Sakkal Majalla" w:cs="Sakkal Majalla"/>
          <w:spacing w:val="-4"/>
          <w:sz w:val="30"/>
          <w:szCs w:val="30"/>
          <w:rtl/>
        </w:rPr>
        <w:t xml:space="preserve"> يساهمان في تحسين الأداء المستدام في الجامعات الأوروبية، مما يبرز أن التخلف التقني يمثل عائقاً أمام التميز المستدام.</w:t>
      </w:r>
    </w:p>
    <w:p w14:paraId="548ACD5E" w14:textId="7EB2C0E5" w:rsidR="00840C0F" w:rsidRPr="00DA72CE" w:rsidRDefault="0063363D" w:rsidP="00F83577">
      <w:pPr>
        <w:pStyle w:val="Heading3"/>
        <w:bidi/>
        <w:rPr>
          <w:spacing w:val="-4"/>
        </w:rPr>
      </w:pPr>
      <w:bookmarkStart w:id="50" w:name="_Toc224358909"/>
      <w:r w:rsidRPr="00DA72CE">
        <w:rPr>
          <w:rFonts w:hint="cs"/>
          <w:spacing w:val="-4"/>
          <w:rtl/>
        </w:rPr>
        <w:t>3.5</w:t>
      </w:r>
      <w:r w:rsidR="00840C0F" w:rsidRPr="00DA72CE">
        <w:rPr>
          <w:spacing w:val="-4"/>
          <w:rtl/>
        </w:rPr>
        <w:t xml:space="preserve"> النظريات المؤسسة لمفهوم الأداء المؤسسي</w:t>
      </w:r>
      <w:bookmarkEnd w:id="50"/>
    </w:p>
    <w:p w14:paraId="64688582" w14:textId="1633993F"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يستند مفهوم الأداء المؤسسي إلى مجموعة من النظريات الإدارية والتنظيمية التي توفر الأساس لفهم آليات قياسه وتحسينه، وتفسر العلاقة بين ممارسات الإدارة ونتائج الأداء.</w:t>
      </w:r>
    </w:p>
    <w:p w14:paraId="05FEE959" w14:textId="7224F92F" w:rsidR="00840C0F" w:rsidRPr="00DA72CE" w:rsidRDefault="00840C0F" w:rsidP="00F83577">
      <w:pPr>
        <w:pStyle w:val="Heading4"/>
        <w:bidi/>
        <w:rPr>
          <w:spacing w:val="-4"/>
        </w:rPr>
      </w:pPr>
      <w:r w:rsidRPr="00DA72CE">
        <w:rPr>
          <w:spacing w:val="-4"/>
          <w:rtl/>
        </w:rPr>
        <w:t>أ. نظرية النظم (</w:t>
      </w:r>
      <w:r w:rsidRPr="00DA72CE">
        <w:rPr>
          <w:spacing w:val="-4"/>
        </w:rPr>
        <w:t>Systems Theory</w:t>
      </w:r>
      <w:r w:rsidRPr="00DA72CE">
        <w:rPr>
          <w:spacing w:val="-4"/>
          <w:rtl/>
        </w:rPr>
        <w:t>)</w:t>
      </w:r>
    </w:p>
    <w:p w14:paraId="6BF5DB62"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 xml:space="preserve">تُركز هذه النظرية على المنظمة كنظام متكامل يتفاعل مع بيئته، حيث يؤثر أداء كل جزء في الأداء الكلي. وتشير إلى أن تحسين الأداء المؤسسي يتطلب نظرة شمولية تشمل جميع مكونات النظام التنظيمي </w:t>
      </w:r>
      <w:r w:rsidRPr="00DA72CE">
        <w:rPr>
          <w:rFonts w:ascii="Sakkal Majalla" w:hAnsi="Sakkal Majalla" w:cs="Sakkal Majalla"/>
          <w:spacing w:val="-4"/>
          <w:sz w:val="30"/>
          <w:szCs w:val="30"/>
          <w:rtl/>
        </w:rPr>
        <w:lastRenderedPageBreak/>
        <w:t>(النصير، 2023). وتفترض النظرية أن المدخلات (الموارد البشرية، المالية) تتحول عبر العمليات إلى مخرجات (خدمات، خريجين)، وأن أي خلل في جزء يؤثر على الكل.</w:t>
      </w:r>
    </w:p>
    <w:p w14:paraId="0306643C" w14:textId="1EC7A446"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وتؤكد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في الجامعات السعودية يعزز من وضوح النظام التنظيمي، حيث يساهم في زيادة المرونة التنظيمية والقدرة على التكيف مع المتغيرات، مما ينعكس على الأداء الكلي.</w:t>
      </w:r>
    </w:p>
    <w:p w14:paraId="49842613" w14:textId="19B32774" w:rsidR="00840C0F" w:rsidRPr="00DA72CE" w:rsidRDefault="00840C0F" w:rsidP="00F83577">
      <w:pPr>
        <w:pStyle w:val="Heading4"/>
        <w:bidi/>
        <w:rPr>
          <w:spacing w:val="-4"/>
        </w:rPr>
      </w:pPr>
      <w:r w:rsidRPr="00DA72CE">
        <w:rPr>
          <w:spacing w:val="-4"/>
          <w:rtl/>
        </w:rPr>
        <w:t>ب. نظرية الأهداف (</w:t>
      </w:r>
      <w:r w:rsidRPr="00DA72CE">
        <w:rPr>
          <w:spacing w:val="-4"/>
        </w:rPr>
        <w:t>Goal Theory</w:t>
      </w:r>
      <w:r w:rsidRPr="00DA72CE">
        <w:rPr>
          <w:spacing w:val="-4"/>
          <w:rtl/>
        </w:rPr>
        <w:t>)</w:t>
      </w:r>
    </w:p>
    <w:p w14:paraId="5CED7FD9"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تُؤكد هذه النظرية على أن الأداء المؤسسي يُقاس بمدى تحقيق المنظمة لأهدافها المحددة مسبقاً. وتشير إلى أهمية وضوح الأهداف وقابليتها للقياس في تقييم الأداء (موسى، 2024). وتفترض أن وجود أهداف واضحة ومحددة زمنياً يحفز الأفراد ويرشد جهودهم نحو تحقيق الأداء المتميز.</w:t>
      </w:r>
    </w:p>
    <w:p w14:paraId="4D35D463" w14:textId="689CA832"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وتشير دراسة موسى (2024) إلى أن أثر برامج التميز المؤسسي على تحديد الرؤية التعليمية بالتطبيق على الجامعات الحكومية يتطلب مؤشرات كمية قابلة للقياس لتقييم التقدم نحو تحقيق الأهداف الاستراتيجية، وهو ما يتوافق مع مبادئ نظرية الأهداف.</w:t>
      </w:r>
    </w:p>
    <w:p w14:paraId="40AA57BB" w14:textId="32872909" w:rsidR="00840C0F" w:rsidRPr="00DA72CE" w:rsidRDefault="00840C0F" w:rsidP="00F83577">
      <w:pPr>
        <w:pStyle w:val="Heading4"/>
        <w:bidi/>
        <w:rPr>
          <w:spacing w:val="-4"/>
        </w:rPr>
      </w:pPr>
      <w:r w:rsidRPr="00DA72CE">
        <w:rPr>
          <w:spacing w:val="-4"/>
          <w:rtl/>
        </w:rPr>
        <w:t>ج. نظرية أصحاب المصلحة (</w:t>
      </w:r>
      <w:r w:rsidRPr="00DA72CE">
        <w:rPr>
          <w:spacing w:val="-4"/>
        </w:rPr>
        <w:t>Stakeholder Theory</w:t>
      </w:r>
      <w:r w:rsidRPr="00DA72CE">
        <w:rPr>
          <w:spacing w:val="-4"/>
          <w:rtl/>
        </w:rPr>
        <w:t>)</w:t>
      </w:r>
    </w:p>
    <w:p w14:paraId="1EFA39FD" w14:textId="056D024A"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spacing w:val="-4"/>
          <w:sz w:val="30"/>
          <w:szCs w:val="30"/>
          <w:rtl/>
        </w:rPr>
        <w:t>تُبرز هذه النظرية أهمية تلبية توقعات جميع أصحاب المصلحة في تقييم الأداء المؤسسي. وتشير إلى أن الأداء المتميز يتطلب موازنة متعددة الأبعاد لتلبية هذه التوقعات المتنوعة (داهش، 2022). وتفترض أن نجاح الجامعة لا يُقاس فقط برضا الطلاب، بل رضا أعضاء هيئة التدري</w:t>
      </w:r>
      <w:r w:rsidRPr="00DA72CE">
        <w:rPr>
          <w:rFonts w:ascii="Sakkal Majalla" w:hAnsi="Sakkal Majalla" w:cs="Sakkal Majalla" w:hint="eastAsia"/>
          <w:spacing w:val="-4"/>
          <w:sz w:val="30"/>
          <w:szCs w:val="30"/>
          <w:rtl/>
        </w:rPr>
        <w:t>س،</w:t>
      </w:r>
      <w:r w:rsidRPr="00DA72CE">
        <w:rPr>
          <w:rFonts w:ascii="Sakkal Majalla" w:hAnsi="Sakkal Majalla" w:cs="Sakkal Majalla"/>
          <w:spacing w:val="-4"/>
          <w:sz w:val="30"/>
          <w:szCs w:val="30"/>
          <w:rtl/>
        </w:rPr>
        <w:t xml:space="preserve"> المجتمع، الحكومة، وسوق العمل.</w:t>
      </w:r>
    </w:p>
    <w:p w14:paraId="6C59E3D5" w14:textId="6B11A52A"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وتؤكد</w:t>
      </w:r>
      <w:r w:rsidRPr="00DA72CE">
        <w:rPr>
          <w:rFonts w:ascii="Sakkal Majalla" w:hAnsi="Sakkal Majalla" w:cs="Sakkal Majalla"/>
          <w:spacing w:val="-4"/>
          <w:sz w:val="30"/>
          <w:szCs w:val="30"/>
          <w:rtl/>
        </w:rPr>
        <w:t xml:space="preserve"> دراسة القرشي (2024) أن استقلالية الجامعات تعزز من قدرتها على الابتكار والتنافس عالمياً، مما يتطلب نماذج تميز تراعي توقعات أصحاب المصلحة المتنوعين، وهو ما ينعكس على تقييم الأداء المؤسسي الشامل.</w:t>
      </w:r>
    </w:p>
    <w:p w14:paraId="30EFF311" w14:textId="4EC43E2A" w:rsidR="00840C0F" w:rsidRPr="00DA72CE" w:rsidRDefault="00840C0F" w:rsidP="00F83577">
      <w:pPr>
        <w:pStyle w:val="Heading4"/>
        <w:bidi/>
        <w:rPr>
          <w:spacing w:val="-4"/>
        </w:rPr>
      </w:pPr>
      <w:r w:rsidRPr="00DA72CE">
        <w:rPr>
          <w:spacing w:val="-4"/>
          <w:rtl/>
        </w:rPr>
        <w:lastRenderedPageBreak/>
        <w:t>د. نظرية الكفاءة والفعالية (</w:t>
      </w:r>
      <w:r w:rsidRPr="00DA72CE">
        <w:rPr>
          <w:spacing w:val="-4"/>
        </w:rPr>
        <w:t>Efficiency-Effectiveness Theory</w:t>
      </w:r>
      <w:r w:rsidRPr="00DA72CE">
        <w:rPr>
          <w:spacing w:val="-4"/>
          <w:rtl/>
        </w:rPr>
        <w:t>)</w:t>
      </w:r>
    </w:p>
    <w:p w14:paraId="47079EC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تُميز</w:t>
      </w:r>
      <w:r w:rsidRPr="00DA72CE">
        <w:rPr>
          <w:rFonts w:ascii="Sakkal Majalla" w:hAnsi="Sakkal Majalla" w:cs="Sakkal Majalla"/>
          <w:spacing w:val="-4"/>
          <w:sz w:val="30"/>
          <w:szCs w:val="30"/>
          <w:rtl/>
        </w:rPr>
        <w:t xml:space="preserve"> هذه النظرية بين الكفاءة (تحقيق الأهداف بأقل الموارد) والفعالية (تحقيق الأهداف الصحيحة). وتشير إلى أن الأداء المؤسسي المتميز يتطلب تحقيق التوازن بين البعدين (الحربي والمهدي ونصر وأحمد، 2025). وتفترض أن المنظمة قد تكون </w:t>
      </w:r>
      <w:proofErr w:type="spellStart"/>
      <w:r w:rsidRPr="00DA72CE">
        <w:rPr>
          <w:rFonts w:ascii="Sakkal Majalla" w:hAnsi="Sakkal Majalla" w:cs="Sakkal Majalla"/>
          <w:spacing w:val="-4"/>
          <w:sz w:val="30"/>
          <w:szCs w:val="30"/>
          <w:rtl/>
        </w:rPr>
        <w:t>كفوءة</w:t>
      </w:r>
      <w:proofErr w:type="spellEnd"/>
      <w:r w:rsidRPr="00DA72CE">
        <w:rPr>
          <w:rFonts w:ascii="Sakkal Majalla" w:hAnsi="Sakkal Majalla" w:cs="Sakkal Majalla"/>
          <w:spacing w:val="-4"/>
          <w:sz w:val="30"/>
          <w:szCs w:val="30"/>
          <w:rtl/>
        </w:rPr>
        <w:t xml:space="preserve"> لكنها غير فعالة إذا كانت تح</w:t>
      </w:r>
      <w:r w:rsidRPr="00DA72CE">
        <w:rPr>
          <w:rFonts w:ascii="Sakkal Majalla" w:hAnsi="Sakkal Majalla" w:cs="Sakkal Majalla" w:hint="eastAsia"/>
          <w:spacing w:val="-4"/>
          <w:sz w:val="30"/>
          <w:szCs w:val="30"/>
          <w:rtl/>
        </w:rPr>
        <w:t>قق</w:t>
      </w:r>
      <w:r w:rsidRPr="00DA72CE">
        <w:rPr>
          <w:rFonts w:ascii="Sakkal Majalla" w:hAnsi="Sakkal Majalla" w:cs="Sakkal Majalla"/>
          <w:spacing w:val="-4"/>
          <w:sz w:val="30"/>
          <w:szCs w:val="30"/>
          <w:rtl/>
        </w:rPr>
        <w:t xml:space="preserve"> أهدافاً خاطئة، والعكس صحيح.</w:t>
      </w:r>
    </w:p>
    <w:p w14:paraId="3CA36BB2" w14:textId="176CE130"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وتوضح</w:t>
      </w:r>
      <w:r w:rsidRPr="00DA72CE">
        <w:rPr>
          <w:rFonts w:ascii="Sakkal Majalla" w:hAnsi="Sakkal Majalla" w:cs="Sakkal Majalla"/>
          <w:spacing w:val="-4"/>
          <w:sz w:val="30"/>
          <w:szCs w:val="30"/>
          <w:rtl/>
        </w:rPr>
        <w:t xml:space="preserve"> دراسة فكري (2023) أن جامعة القاهرة تتمتع بمستوى عالٍ من عملية تخطيط الموارد البشرية بما يتوافق مع استراتيجيتها المنهجية، مما يعكس تحقيق التوازن بين الكفاءة في استخدام الموارد والفعالية في تحقيق الأهداف.</w:t>
      </w:r>
    </w:p>
    <w:p w14:paraId="27E5D50A" w14:textId="25A84007" w:rsidR="00840C0F" w:rsidRPr="00DA72CE" w:rsidRDefault="00840C0F" w:rsidP="00F83577">
      <w:pPr>
        <w:pStyle w:val="Heading4"/>
        <w:bidi/>
        <w:rPr>
          <w:spacing w:val="-4"/>
        </w:rPr>
      </w:pPr>
      <w:r w:rsidRPr="00DA72CE">
        <w:rPr>
          <w:spacing w:val="-4"/>
          <w:rtl/>
        </w:rPr>
        <w:t>هـ. نظرية الوكالة (</w:t>
      </w:r>
      <w:r w:rsidRPr="00DA72CE">
        <w:rPr>
          <w:spacing w:val="-4"/>
        </w:rPr>
        <w:t>Agency Theory</w:t>
      </w:r>
      <w:r w:rsidRPr="00DA72CE">
        <w:rPr>
          <w:spacing w:val="-4"/>
          <w:rtl/>
        </w:rPr>
        <w:t>)</w:t>
      </w:r>
    </w:p>
    <w:p w14:paraId="344A719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تُفسر</w:t>
      </w:r>
      <w:r w:rsidRPr="00DA72CE">
        <w:rPr>
          <w:rFonts w:ascii="Sakkal Majalla" w:hAnsi="Sakkal Majalla" w:cs="Sakkal Majalla"/>
          <w:spacing w:val="-4"/>
          <w:sz w:val="30"/>
          <w:szCs w:val="30"/>
          <w:rtl/>
        </w:rPr>
        <w:t xml:space="preserve"> هذه النظرية العلاقة بين الملاك (أو الجهة المالكة) والوكلاء (الإدارة التنفيذية)، وتُركز على آليات الحوكمة لضمان مواءمة المصالح. وفي سياق الجامعات الحكومية، تُبرز أهمية أنظمة الحوكمة والرقابة في تحقيق الأداء المؤسسي وضمان المساءلة (القرشي، 2024). وتطبق النظرية على الأداء من خلال ربط مكافآت الإدارة بمؤشرات أداء محددة.</w:t>
      </w:r>
    </w:p>
    <w:p w14:paraId="551168EE" w14:textId="17F484B3" w:rsidR="00840C0F" w:rsidRPr="00DA72CE" w:rsidRDefault="0063363D" w:rsidP="00F83577">
      <w:pPr>
        <w:pStyle w:val="Heading3"/>
        <w:bidi/>
        <w:rPr>
          <w:spacing w:val="-4"/>
        </w:rPr>
      </w:pPr>
      <w:bookmarkStart w:id="51" w:name="_Toc224358910"/>
      <w:r w:rsidRPr="00DA72CE">
        <w:rPr>
          <w:rFonts w:hint="cs"/>
          <w:spacing w:val="-4"/>
          <w:rtl/>
        </w:rPr>
        <w:t>4.5</w:t>
      </w:r>
      <w:r w:rsidR="00840C0F" w:rsidRPr="00DA72CE">
        <w:rPr>
          <w:spacing w:val="-4"/>
          <w:rtl/>
        </w:rPr>
        <w:t xml:space="preserve"> الأبعاد الرئيسية للأداء المؤسسي في الجامعات</w:t>
      </w:r>
      <w:bookmarkEnd w:id="51"/>
    </w:p>
    <w:p w14:paraId="6653A4EF" w14:textId="0A7C13D4"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يتكون</w:t>
      </w:r>
      <w:r w:rsidRPr="00DA72CE">
        <w:rPr>
          <w:rFonts w:ascii="Sakkal Majalla" w:hAnsi="Sakkal Majalla" w:cs="Sakkal Majalla"/>
          <w:spacing w:val="-4"/>
          <w:sz w:val="30"/>
          <w:szCs w:val="30"/>
          <w:rtl/>
        </w:rPr>
        <w:t xml:space="preserve"> الأداء المؤسسي في الجامعات من مجموعة من الأبعاد المترابطة التي تعكس الطبيعة المتعددة المهام لهذه المؤسسات. ويمكن تحديد خمسة أبعاد رئيسية للأداء المؤسسي في الجامعات الحكومية:</w:t>
      </w:r>
    </w:p>
    <w:p w14:paraId="13829857" w14:textId="325DE257" w:rsidR="00840C0F" w:rsidRPr="00DA72CE" w:rsidRDefault="00840C0F" w:rsidP="00F83577">
      <w:pPr>
        <w:pStyle w:val="Heading4"/>
        <w:bidi/>
        <w:rPr>
          <w:spacing w:val="-4"/>
        </w:rPr>
      </w:pPr>
      <w:r w:rsidRPr="00DA72CE">
        <w:rPr>
          <w:spacing w:val="-4"/>
          <w:rtl/>
        </w:rPr>
        <w:t>أ. البعد الأكاديمي والتعليمي (</w:t>
      </w:r>
      <w:r w:rsidRPr="00DA72CE">
        <w:rPr>
          <w:spacing w:val="-4"/>
        </w:rPr>
        <w:t>Academic and Educational Dimension</w:t>
      </w:r>
      <w:r w:rsidRPr="00DA72CE">
        <w:rPr>
          <w:spacing w:val="-4"/>
          <w:rtl/>
        </w:rPr>
        <w:t>)</w:t>
      </w:r>
    </w:p>
    <w:p w14:paraId="0D5522C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يشمل</w:t>
      </w:r>
      <w:r w:rsidRPr="00DA72CE">
        <w:rPr>
          <w:rFonts w:ascii="Sakkal Majalla" w:hAnsi="Sakkal Majalla" w:cs="Sakkal Majalla"/>
          <w:spacing w:val="-4"/>
          <w:sz w:val="30"/>
          <w:szCs w:val="30"/>
          <w:rtl/>
        </w:rPr>
        <w:t xml:space="preserve"> هذا البعد مؤشرات جودة البرامج التعليمية، كفاءة العملية التدريسية، رضا الطلاب، ومعدلات التخرج والتوظيف. ويعتبر هذا البعد هو الجوهر الأساسي لعمل الجامعات. وتشير دراسة النصير (2023) إلى أن تحسين جودة المخرجات التعليمية يمثل أحد أبرز دوافع قياس الأداء في </w:t>
      </w:r>
      <w:r w:rsidRPr="00DA72CE">
        <w:rPr>
          <w:rFonts w:ascii="Sakkal Majalla" w:hAnsi="Sakkal Majalla" w:cs="Sakkal Majalla" w:hint="eastAsia"/>
          <w:spacing w:val="-4"/>
          <w:sz w:val="30"/>
          <w:szCs w:val="30"/>
          <w:rtl/>
        </w:rPr>
        <w:t>الجامعات</w:t>
      </w:r>
      <w:r w:rsidRPr="00DA72CE">
        <w:rPr>
          <w:rFonts w:ascii="Sakkal Majalla" w:hAnsi="Sakkal Majalla" w:cs="Sakkal Majalla"/>
          <w:spacing w:val="-4"/>
          <w:sz w:val="30"/>
          <w:szCs w:val="30"/>
          <w:rtl/>
        </w:rPr>
        <w:t xml:space="preserve"> السعودية.</w:t>
      </w:r>
    </w:p>
    <w:p w14:paraId="4D0AEC2B" w14:textId="6890929B"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lastRenderedPageBreak/>
        <w:t>ويتضمن</w:t>
      </w:r>
      <w:r w:rsidRPr="00DA72CE">
        <w:rPr>
          <w:rFonts w:ascii="Sakkal Majalla" w:hAnsi="Sakkal Majalla" w:cs="Sakkal Majalla"/>
          <w:spacing w:val="-4"/>
          <w:sz w:val="30"/>
          <w:szCs w:val="30"/>
          <w:rtl/>
        </w:rPr>
        <w:t xml:space="preserve"> هذا البعد مؤشرات فرعية مثل: نسبة النجاح، معدل التراكمي للخريجين، نسبة التوظيف خلال سنة من التخرج، رضا الطلاب عن المقررات، واعتماد البرامج أكاديمياً. وتؤكد دراسة الجاسر (2023) أن البرامج التدريبية المصممة وفقاً لمتطلبات الاعتماد الأكاديمي تساهم في تط</w:t>
      </w:r>
      <w:r w:rsidRPr="00DA72CE">
        <w:rPr>
          <w:rFonts w:ascii="Sakkal Majalla" w:hAnsi="Sakkal Majalla" w:cs="Sakkal Majalla" w:hint="eastAsia"/>
          <w:spacing w:val="-4"/>
          <w:sz w:val="30"/>
          <w:szCs w:val="30"/>
          <w:rtl/>
        </w:rPr>
        <w:t>وير</w:t>
      </w:r>
      <w:r w:rsidRPr="00DA72CE">
        <w:rPr>
          <w:rFonts w:ascii="Sakkal Majalla" w:hAnsi="Sakkal Majalla" w:cs="Sakkal Majalla"/>
          <w:spacing w:val="-4"/>
          <w:sz w:val="30"/>
          <w:szCs w:val="30"/>
          <w:rtl/>
        </w:rPr>
        <w:t xml:space="preserve"> أداء الموظفين الإداريين بالجامعات السعودية، مما ينعكس إيجاباً على البعد الأكاديمي.</w:t>
      </w:r>
    </w:p>
    <w:p w14:paraId="323A0D78" w14:textId="43092AFB" w:rsidR="00840C0F" w:rsidRPr="00DA72CE" w:rsidRDefault="00840C0F" w:rsidP="00F83577">
      <w:pPr>
        <w:pStyle w:val="Heading4"/>
        <w:bidi/>
        <w:rPr>
          <w:spacing w:val="-4"/>
        </w:rPr>
      </w:pPr>
      <w:r w:rsidRPr="00DA72CE">
        <w:rPr>
          <w:spacing w:val="-4"/>
          <w:rtl/>
        </w:rPr>
        <w:t>ب. البعد البحثي والابتكار (</w:t>
      </w:r>
      <w:r w:rsidRPr="00DA72CE">
        <w:rPr>
          <w:spacing w:val="-4"/>
        </w:rPr>
        <w:t>Research and Innovation Dimension</w:t>
      </w:r>
      <w:r w:rsidRPr="00DA72CE">
        <w:rPr>
          <w:spacing w:val="-4"/>
          <w:rtl/>
        </w:rPr>
        <w:t>)</w:t>
      </w:r>
    </w:p>
    <w:p w14:paraId="6266638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يشمل</w:t>
      </w:r>
      <w:r w:rsidRPr="00DA72CE">
        <w:rPr>
          <w:rFonts w:ascii="Sakkal Majalla" w:hAnsi="Sakkal Majalla" w:cs="Sakkal Majalla"/>
          <w:spacing w:val="-4"/>
          <w:sz w:val="30"/>
          <w:szCs w:val="30"/>
          <w:rtl/>
        </w:rPr>
        <w:t xml:space="preserve"> هذا البعد مؤشرات الإنتاج البحثي، جودة الأبحاث المنشورة، حجم التمويل البحثي، والتأثير العلمي (عدد الاقتباسات). وتعتبر الجامعات مراكز لإنتاج المعرفة، مما يجعل هذا البعد حاسماً في تصنيفها العالمي. وتشير دراسة القرشي (2024) إلى أن بُعد "المعرفة" كان الأكث</w:t>
      </w:r>
      <w:r w:rsidRPr="00DA72CE">
        <w:rPr>
          <w:rFonts w:ascii="Sakkal Majalla" w:hAnsi="Sakkal Majalla" w:cs="Sakkal Majalla" w:hint="eastAsia"/>
          <w:spacing w:val="-4"/>
          <w:sz w:val="30"/>
          <w:szCs w:val="30"/>
          <w:rtl/>
        </w:rPr>
        <w:t>ر</w:t>
      </w:r>
      <w:r w:rsidRPr="00DA72CE">
        <w:rPr>
          <w:rFonts w:ascii="Sakkal Majalla" w:hAnsi="Sakkal Majalla" w:cs="Sakkal Majalla"/>
          <w:spacing w:val="-4"/>
          <w:sz w:val="30"/>
          <w:szCs w:val="30"/>
          <w:rtl/>
        </w:rPr>
        <w:t xml:space="preserve"> إسهاماً في تحقيق الميزة التنافسية في الجامعات السعودية.</w:t>
      </w:r>
    </w:p>
    <w:p w14:paraId="683FB48A" w14:textId="63E4FA62"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ويتضمن</w:t>
      </w:r>
      <w:r w:rsidRPr="00DA72CE">
        <w:rPr>
          <w:rFonts w:ascii="Sakkal Majalla" w:hAnsi="Sakkal Majalla" w:cs="Sakkal Majalla"/>
          <w:spacing w:val="-4"/>
          <w:sz w:val="30"/>
          <w:szCs w:val="30"/>
          <w:rtl/>
        </w:rPr>
        <w:t xml:space="preserve"> مؤشرات مثل: عدد الأبحاث المنشورة في مجلات مصنفة (</w:t>
      </w:r>
      <w:r w:rsidRPr="00DA72CE">
        <w:rPr>
          <w:rFonts w:ascii="Sakkal Majalla" w:hAnsi="Sakkal Majalla" w:cs="Sakkal Majalla"/>
          <w:spacing w:val="-4"/>
          <w:sz w:val="30"/>
          <w:szCs w:val="30"/>
        </w:rPr>
        <w:t>Q1</w:t>
      </w:r>
      <w:r w:rsidRPr="00DA72CE">
        <w:rPr>
          <w:rFonts w:ascii="Sakkal Majalla" w:hAnsi="Sakkal Majalla" w:cs="Sakkal Majalla"/>
          <w:spacing w:val="-4"/>
          <w:sz w:val="30"/>
          <w:szCs w:val="30"/>
          <w:rtl/>
        </w:rPr>
        <w:t>)، عدد براءات الاختراع، حجم المنح البحثية الخارجية، ومعدل الاستشهاد بالأبحاث. وتوضح دراسة أهلي (2025) أن الابتكار المؤسسي يعمل كمتغير وسيط فعال في تعزيز العلاقة بين ممارسات الموارد البشرية والتميز ا</w:t>
      </w:r>
      <w:r w:rsidRPr="00DA72CE">
        <w:rPr>
          <w:rFonts w:ascii="Sakkal Majalla" w:hAnsi="Sakkal Majalla" w:cs="Sakkal Majalla" w:hint="eastAsia"/>
          <w:spacing w:val="-4"/>
          <w:sz w:val="30"/>
          <w:szCs w:val="30"/>
          <w:rtl/>
        </w:rPr>
        <w:t>لمؤسسي،</w:t>
      </w:r>
      <w:r w:rsidRPr="00DA72CE">
        <w:rPr>
          <w:rFonts w:ascii="Sakkal Majalla" w:hAnsi="Sakkal Majalla" w:cs="Sakkal Majalla"/>
          <w:spacing w:val="-4"/>
          <w:sz w:val="30"/>
          <w:szCs w:val="30"/>
          <w:rtl/>
        </w:rPr>
        <w:t xml:space="preserve"> مما يبرز أهمية البعد البحثي كمخرج للابتكار.</w:t>
      </w:r>
    </w:p>
    <w:p w14:paraId="25C8C94D" w14:textId="6230C795" w:rsidR="00840C0F" w:rsidRPr="00DA72CE" w:rsidRDefault="00840C0F" w:rsidP="00F83577">
      <w:pPr>
        <w:pStyle w:val="Heading4"/>
        <w:bidi/>
        <w:rPr>
          <w:spacing w:val="-4"/>
        </w:rPr>
      </w:pPr>
      <w:r w:rsidRPr="00DA72CE">
        <w:rPr>
          <w:spacing w:val="-4"/>
          <w:rtl/>
        </w:rPr>
        <w:t>ج. البعد الخدمي والمجتمعي (</w:t>
      </w:r>
      <w:r w:rsidRPr="00DA72CE">
        <w:rPr>
          <w:spacing w:val="-4"/>
        </w:rPr>
        <w:t>Service and Community Dimension</w:t>
      </w:r>
      <w:r w:rsidRPr="00DA72CE">
        <w:rPr>
          <w:spacing w:val="-4"/>
          <w:rtl/>
        </w:rPr>
        <w:t>)</w:t>
      </w:r>
    </w:p>
    <w:p w14:paraId="6C93D6F6"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يشمل</w:t>
      </w:r>
      <w:r w:rsidRPr="00DA72CE">
        <w:rPr>
          <w:rFonts w:ascii="Sakkal Majalla" w:hAnsi="Sakkal Majalla" w:cs="Sakkal Majalla"/>
          <w:spacing w:val="-4"/>
          <w:sz w:val="30"/>
          <w:szCs w:val="30"/>
          <w:rtl/>
        </w:rPr>
        <w:t xml:space="preserve"> هذا البعد مؤشرات خدمة المجتمع، الشراكات الاستراتيجية، وتأثير الجامعة على التنمية المحلية. وتتوقع المجتمعات من الجامعات دوراً فاعلاً في حل المشكلات المجتمعية. وتشير دراسة أهلي (2025) إلى أن الابتكار المؤسسي يساهم في تعزيز قدرة الجامعات على خدمة المجتمع وتحقيق الأثر الاجتماعي.</w:t>
      </w:r>
    </w:p>
    <w:p w14:paraId="04A102FC" w14:textId="0437D284"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ويتضمن</w:t>
      </w:r>
      <w:r w:rsidRPr="00DA72CE">
        <w:rPr>
          <w:rFonts w:ascii="Sakkal Majalla" w:hAnsi="Sakkal Majalla" w:cs="Sakkal Majalla"/>
          <w:spacing w:val="-4"/>
          <w:sz w:val="30"/>
          <w:szCs w:val="30"/>
          <w:rtl/>
        </w:rPr>
        <w:t xml:space="preserve"> مؤشرات مثل: عدد برامج خدمة المجتمع، عدد الشراكات مع القطاع الصناعي، حجم الاستشارات المقدمة، ورضا المجتمع عن خدمات الجامعة. وتؤكد دراسة اليامي (2023) أن التنوع في الجنسية والمؤهل العلمي يعزز القدرات التنافسية، مما يبرز أهمية الشراكات الدولية وتبادل ا</w:t>
      </w:r>
      <w:r w:rsidRPr="00DA72CE">
        <w:rPr>
          <w:rFonts w:ascii="Sakkal Majalla" w:hAnsi="Sakkal Majalla" w:cs="Sakkal Majalla" w:hint="eastAsia"/>
          <w:spacing w:val="-4"/>
          <w:sz w:val="30"/>
          <w:szCs w:val="30"/>
          <w:rtl/>
        </w:rPr>
        <w:t>لخبرات</w:t>
      </w:r>
      <w:r w:rsidRPr="00DA72CE">
        <w:rPr>
          <w:rFonts w:ascii="Sakkal Majalla" w:hAnsi="Sakkal Majalla" w:cs="Sakkal Majalla"/>
          <w:spacing w:val="-4"/>
          <w:sz w:val="30"/>
          <w:szCs w:val="30"/>
          <w:rtl/>
        </w:rPr>
        <w:t xml:space="preserve"> كجزء من البعد المجتمعي.</w:t>
      </w:r>
    </w:p>
    <w:p w14:paraId="2DCC2984" w14:textId="3D04ED8C" w:rsidR="00840C0F" w:rsidRPr="00DA72CE" w:rsidRDefault="00840C0F" w:rsidP="00F83577">
      <w:pPr>
        <w:pStyle w:val="Heading4"/>
        <w:bidi/>
        <w:rPr>
          <w:spacing w:val="-4"/>
        </w:rPr>
      </w:pPr>
      <w:r w:rsidRPr="00DA72CE">
        <w:rPr>
          <w:spacing w:val="-4"/>
          <w:rtl/>
        </w:rPr>
        <w:lastRenderedPageBreak/>
        <w:t xml:space="preserve">د. البعد </w:t>
      </w:r>
      <w:r w:rsidRPr="00DA72CE">
        <w:rPr>
          <w:rStyle w:val="Heading4Char"/>
          <w:bCs/>
          <w:i/>
          <w:spacing w:val="-4"/>
          <w:rtl/>
        </w:rPr>
        <w:t>الإداري</w:t>
      </w:r>
      <w:r w:rsidRPr="00DA72CE">
        <w:rPr>
          <w:spacing w:val="-4"/>
          <w:rtl/>
        </w:rPr>
        <w:t xml:space="preserve"> والمالي (</w:t>
      </w:r>
      <w:r w:rsidRPr="00DA72CE">
        <w:rPr>
          <w:spacing w:val="-4"/>
        </w:rPr>
        <w:t>Administrative and Financial Dimension</w:t>
      </w:r>
      <w:r w:rsidRPr="00DA72CE">
        <w:rPr>
          <w:spacing w:val="-4"/>
          <w:rtl/>
        </w:rPr>
        <w:t>)</w:t>
      </w:r>
    </w:p>
    <w:p w14:paraId="035B0E61"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يشمل</w:t>
      </w:r>
      <w:r w:rsidRPr="00DA72CE">
        <w:rPr>
          <w:rFonts w:ascii="Sakkal Majalla" w:hAnsi="Sakkal Majalla" w:cs="Sakkal Majalla"/>
          <w:spacing w:val="-4"/>
          <w:sz w:val="30"/>
          <w:szCs w:val="30"/>
          <w:rtl/>
        </w:rPr>
        <w:t xml:space="preserve"> هذا البعد مؤشرات كفاءة العمليات الإدارية، الشفافية المالية، وإدارة الموارد. ويتطلب الأداء المتميز إدارة رشيدة للموارد المالية والبشرية. وتشير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يساهم في زيادة الوضوح التنظيمي وتقليل ال</w:t>
      </w:r>
      <w:r w:rsidRPr="00DA72CE">
        <w:rPr>
          <w:rFonts w:ascii="Sakkal Majalla" w:hAnsi="Sakkal Majalla" w:cs="Sakkal Majalla" w:hint="eastAsia"/>
          <w:spacing w:val="-4"/>
          <w:sz w:val="30"/>
          <w:szCs w:val="30"/>
          <w:rtl/>
        </w:rPr>
        <w:t>هدر</w:t>
      </w:r>
      <w:r w:rsidRPr="00DA72CE">
        <w:rPr>
          <w:rFonts w:ascii="Sakkal Majalla" w:hAnsi="Sakkal Majalla" w:cs="Sakkal Majalla"/>
          <w:spacing w:val="-4"/>
          <w:sz w:val="30"/>
          <w:szCs w:val="30"/>
          <w:rtl/>
        </w:rPr>
        <w:t xml:space="preserve"> في الوقت والجهد، مما ينعكس على الكفاءة الإدارية.</w:t>
      </w:r>
    </w:p>
    <w:p w14:paraId="491C92C8" w14:textId="21ACF5B6"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ويتضمن</w:t>
      </w:r>
      <w:r w:rsidRPr="00DA72CE">
        <w:rPr>
          <w:rFonts w:ascii="Sakkal Majalla" w:hAnsi="Sakkal Majalla" w:cs="Sakkal Majalla"/>
          <w:spacing w:val="-4"/>
          <w:sz w:val="30"/>
          <w:szCs w:val="30"/>
          <w:rtl/>
        </w:rPr>
        <w:t xml:space="preserve"> مؤشرات مثل: نسبة تنفيذ الميزانية، معدل دوران الموظفين، وقت إنجاز المعاملات، ورضا الموظفين الإداريين. وتؤكد دراسة </w:t>
      </w:r>
      <w:proofErr w:type="spellStart"/>
      <w:r w:rsidRPr="00DA72CE">
        <w:rPr>
          <w:rFonts w:ascii="Sakkal Majalla" w:hAnsi="Sakkal Majalla" w:cs="Sakkal Majalla"/>
          <w:spacing w:val="-4"/>
          <w:sz w:val="30"/>
          <w:szCs w:val="30"/>
          <w:rtl/>
        </w:rPr>
        <w:t>بوزناد</w:t>
      </w:r>
      <w:proofErr w:type="spellEnd"/>
      <w:r w:rsidRPr="00DA72CE">
        <w:rPr>
          <w:rFonts w:ascii="Sakkal Majalla" w:hAnsi="Sakkal Majalla" w:cs="Sakkal Majalla"/>
          <w:spacing w:val="-4"/>
          <w:sz w:val="30"/>
          <w:szCs w:val="30"/>
          <w:rtl/>
        </w:rPr>
        <w:t xml:space="preserve"> (2025) أن وظائف إدارة الموارد البشرية (التخطيط، الاستقطاب، التحفيز، التقييم) ترتبط ارتباطاً وثيقاً بتحقيق تميز الأداء المؤسسي في </w:t>
      </w:r>
      <w:r w:rsidRPr="00DA72CE">
        <w:rPr>
          <w:rFonts w:ascii="Sakkal Majalla" w:hAnsi="Sakkal Majalla" w:cs="Sakkal Majalla" w:hint="eastAsia"/>
          <w:spacing w:val="-4"/>
          <w:sz w:val="30"/>
          <w:szCs w:val="30"/>
          <w:rtl/>
        </w:rPr>
        <w:t>الجامعات،</w:t>
      </w:r>
      <w:r w:rsidRPr="00DA72CE">
        <w:rPr>
          <w:rFonts w:ascii="Sakkal Majalla" w:hAnsi="Sakkal Majalla" w:cs="Sakkal Majalla"/>
          <w:spacing w:val="-4"/>
          <w:sz w:val="30"/>
          <w:szCs w:val="30"/>
          <w:rtl/>
        </w:rPr>
        <w:t xml:space="preserve"> وهو ما يندرج تحت هذا البعد.</w:t>
      </w:r>
    </w:p>
    <w:p w14:paraId="3FC24233" w14:textId="1B7ABE24" w:rsidR="00840C0F" w:rsidRPr="00DA72CE" w:rsidRDefault="00840C0F" w:rsidP="00F83577">
      <w:pPr>
        <w:pStyle w:val="Heading4"/>
        <w:bidi/>
        <w:rPr>
          <w:spacing w:val="-4"/>
        </w:rPr>
      </w:pPr>
      <w:r w:rsidRPr="00DA72CE">
        <w:rPr>
          <w:spacing w:val="-4"/>
          <w:rtl/>
        </w:rPr>
        <w:t xml:space="preserve">هـ. بُعد الاستدامة </w:t>
      </w:r>
      <w:proofErr w:type="spellStart"/>
      <w:r w:rsidRPr="00DA72CE">
        <w:rPr>
          <w:spacing w:val="-4"/>
          <w:rtl/>
        </w:rPr>
        <w:t>والرقمنة</w:t>
      </w:r>
      <w:proofErr w:type="spellEnd"/>
      <w:r w:rsidRPr="00DA72CE">
        <w:rPr>
          <w:spacing w:val="-4"/>
          <w:rtl/>
        </w:rPr>
        <w:t xml:space="preserve"> (</w:t>
      </w:r>
      <w:r w:rsidRPr="00DA72CE">
        <w:rPr>
          <w:spacing w:val="-4"/>
        </w:rPr>
        <w:t>Sustainability and Digitalization Dimension</w:t>
      </w:r>
      <w:r w:rsidRPr="00DA72CE">
        <w:rPr>
          <w:spacing w:val="-4"/>
          <w:rtl/>
        </w:rPr>
        <w:t>)</w:t>
      </w:r>
    </w:p>
    <w:p w14:paraId="29AF29DE"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يشمل</w:t>
      </w:r>
      <w:r w:rsidRPr="00DA72CE">
        <w:rPr>
          <w:rFonts w:ascii="Sakkal Majalla" w:hAnsi="Sakkal Majalla" w:cs="Sakkal Majalla"/>
          <w:spacing w:val="-4"/>
          <w:sz w:val="30"/>
          <w:szCs w:val="30"/>
          <w:rtl/>
        </w:rPr>
        <w:t xml:space="preserve"> هذا البعد مؤشرات الابتكار المؤسسي، التحول الرقمي، والاستدامة البيئية والاجتماعية. وهو بُعد حديث أصبح ضرورياً في ظل الثورة الصناعية الرابعة. وتشير دراسة [[39]] إلى أن التصنيف العالمي للجامعات السعودية (</w:t>
      </w:r>
      <w:r w:rsidRPr="00DA72CE">
        <w:rPr>
          <w:rFonts w:ascii="Sakkal Majalla" w:hAnsi="Sakkal Majalla" w:cs="Sakkal Majalla"/>
          <w:spacing w:val="-4"/>
          <w:sz w:val="30"/>
          <w:szCs w:val="30"/>
        </w:rPr>
        <w:t>SGR</w:t>
      </w:r>
      <w:r w:rsidRPr="00DA72CE">
        <w:rPr>
          <w:rFonts w:ascii="Sakkal Majalla" w:hAnsi="Sakkal Majalla" w:cs="Sakkal Majalla"/>
          <w:spacing w:val="-4"/>
          <w:sz w:val="30"/>
          <w:szCs w:val="30"/>
          <w:rtl/>
        </w:rPr>
        <w:t>) يدعم التميز المؤسسي ويحسن الكفاءة والفعالية و</w:t>
      </w:r>
      <w:r w:rsidRPr="00DA72CE">
        <w:rPr>
          <w:rFonts w:ascii="Sakkal Majalla" w:hAnsi="Sakkal Majalla" w:cs="Sakkal Majalla" w:hint="eastAsia"/>
          <w:spacing w:val="-4"/>
          <w:sz w:val="30"/>
          <w:szCs w:val="30"/>
          <w:rtl/>
        </w:rPr>
        <w:t>الاستدامة</w:t>
      </w:r>
      <w:r w:rsidRPr="00DA72CE">
        <w:rPr>
          <w:rFonts w:ascii="Sakkal Majalla" w:hAnsi="Sakkal Majalla" w:cs="Sakkal Majalla"/>
          <w:spacing w:val="-4"/>
          <w:sz w:val="30"/>
          <w:szCs w:val="30"/>
          <w:rtl/>
        </w:rPr>
        <w:t xml:space="preserve"> في مؤسسات التعليم العالي.</w:t>
      </w:r>
    </w:p>
    <w:p w14:paraId="70DC418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ويتضمن</w:t>
      </w:r>
      <w:r w:rsidRPr="00DA72CE">
        <w:rPr>
          <w:rFonts w:ascii="Sakkal Majalla" w:hAnsi="Sakkal Majalla" w:cs="Sakkal Majalla"/>
          <w:spacing w:val="-4"/>
          <w:sz w:val="30"/>
          <w:szCs w:val="30"/>
          <w:rtl/>
        </w:rPr>
        <w:t xml:space="preserve"> مؤشرات مثل: نسبة الخدمات الإلكترونية، البصمة الكربونية للجامعة، برامج الاستدامة، </w:t>
      </w:r>
      <w:proofErr w:type="spellStart"/>
      <w:r w:rsidRPr="00DA72CE">
        <w:rPr>
          <w:rFonts w:ascii="Sakkal Majalla" w:hAnsi="Sakkal Majalla" w:cs="Sakkal Majalla"/>
          <w:spacing w:val="-4"/>
          <w:sz w:val="30"/>
          <w:szCs w:val="30"/>
          <w:rtl/>
        </w:rPr>
        <w:t>وم</w:t>
      </w:r>
      <w:proofErr w:type="spellEnd"/>
      <w:r w:rsidRPr="00DA72CE">
        <w:rPr>
          <w:rFonts w:ascii="Sakkal Majalla" w:hAnsi="Sakkal Majalla" w:cs="Sakkal Majalla"/>
          <w:spacing w:val="-4"/>
          <w:sz w:val="30"/>
          <w:szCs w:val="30"/>
          <w:rtl/>
        </w:rPr>
        <w:t xml:space="preserve"> </w:t>
      </w:r>
      <w:proofErr w:type="spellStart"/>
      <w:r w:rsidRPr="00DA72CE">
        <w:rPr>
          <w:rFonts w:ascii="Cambria" w:hAnsi="Cambria" w:cs="Cambria"/>
          <w:spacing w:val="-4"/>
          <w:sz w:val="30"/>
          <w:szCs w:val="30"/>
        </w:rPr>
        <w:t>индекс</w:t>
      </w:r>
      <w:proofErr w:type="spellEnd"/>
      <w:r w:rsidRPr="00DA72CE">
        <w:rPr>
          <w:rFonts w:ascii="Sakkal Majalla" w:hAnsi="Sakkal Majalla" w:cs="Sakkal Majalla"/>
          <w:spacing w:val="-4"/>
          <w:sz w:val="30"/>
          <w:szCs w:val="30"/>
          <w:rtl/>
        </w:rPr>
        <w:t xml:space="preserve"> الابتكار المؤسسي. وتؤكد دراسة الحربي والمهدي ونصر وأحمد (2025) أن آليات تحسين جودة الأداء المؤسسي بالجامعات السعودية الناشئة تتطلب تبني نموذج الجامعة الذكية، </w:t>
      </w:r>
      <w:r w:rsidRPr="00DA72CE">
        <w:rPr>
          <w:rFonts w:ascii="Sakkal Majalla" w:hAnsi="Sakkal Majalla" w:cs="Sakkal Majalla" w:hint="eastAsia"/>
          <w:spacing w:val="-4"/>
          <w:sz w:val="30"/>
          <w:szCs w:val="30"/>
          <w:rtl/>
        </w:rPr>
        <w:t>مما</w:t>
      </w:r>
      <w:r w:rsidRPr="00DA72CE">
        <w:rPr>
          <w:rFonts w:ascii="Sakkal Majalla" w:hAnsi="Sakkal Majalla" w:cs="Sakkal Majalla"/>
          <w:spacing w:val="-4"/>
          <w:sz w:val="30"/>
          <w:szCs w:val="30"/>
          <w:rtl/>
        </w:rPr>
        <w:t xml:space="preserve"> يستلزم تجاوز التحديات التقنية المتعلقة بالأمن </w:t>
      </w:r>
      <w:proofErr w:type="spellStart"/>
      <w:r w:rsidRPr="00DA72CE">
        <w:rPr>
          <w:rFonts w:ascii="Sakkal Majalla" w:hAnsi="Sakkal Majalla" w:cs="Sakkal Majalla"/>
          <w:spacing w:val="-4"/>
          <w:sz w:val="30"/>
          <w:szCs w:val="30"/>
          <w:rtl/>
        </w:rPr>
        <w:t>السيبراني</w:t>
      </w:r>
      <w:proofErr w:type="spellEnd"/>
      <w:r w:rsidRPr="00DA72CE">
        <w:rPr>
          <w:rFonts w:ascii="Sakkal Majalla" w:hAnsi="Sakkal Majalla" w:cs="Sakkal Majalla"/>
          <w:spacing w:val="-4"/>
          <w:sz w:val="30"/>
          <w:szCs w:val="30"/>
          <w:rtl/>
        </w:rPr>
        <w:t xml:space="preserve"> وتكامل الأنظمة.</w:t>
      </w:r>
    </w:p>
    <w:p w14:paraId="2F38647C" w14:textId="49281CE6" w:rsidR="00840C0F" w:rsidRPr="00DA72CE" w:rsidRDefault="0063363D" w:rsidP="00F83577">
      <w:pPr>
        <w:pStyle w:val="Heading3"/>
        <w:bidi/>
        <w:rPr>
          <w:spacing w:val="-4"/>
        </w:rPr>
      </w:pPr>
      <w:bookmarkStart w:id="52" w:name="_Toc224358911"/>
      <w:r w:rsidRPr="00DA72CE">
        <w:rPr>
          <w:rFonts w:hint="cs"/>
          <w:spacing w:val="-4"/>
          <w:rtl/>
        </w:rPr>
        <w:t>5.5</w:t>
      </w:r>
      <w:r w:rsidR="00840C0F" w:rsidRPr="00DA72CE">
        <w:rPr>
          <w:spacing w:val="-4"/>
          <w:rtl/>
        </w:rPr>
        <w:t xml:space="preserve"> أنواع مؤشرات قياس الأداء المؤسسي</w:t>
      </w:r>
      <w:bookmarkEnd w:id="52"/>
    </w:p>
    <w:p w14:paraId="33A3296D" w14:textId="29229845"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تتنوع</w:t>
      </w:r>
      <w:r w:rsidRPr="00DA72CE">
        <w:rPr>
          <w:rFonts w:ascii="Sakkal Majalla" w:hAnsi="Sakkal Majalla" w:cs="Sakkal Majalla"/>
          <w:spacing w:val="-4"/>
          <w:sz w:val="30"/>
          <w:szCs w:val="30"/>
          <w:rtl/>
        </w:rPr>
        <w:t xml:space="preserve"> المؤشرات المستخدمة لقياس الأداء المؤسسي في الجامعات، ويمكن تصنيفها إلى ثلاث فئات رئيسية بناءً على طبيعة البيانات وطريقة القياس:</w:t>
      </w:r>
    </w:p>
    <w:p w14:paraId="7004EA92" w14:textId="53A7982F" w:rsidR="00840C0F" w:rsidRPr="00DA72CE" w:rsidRDefault="00840C0F" w:rsidP="00F83577">
      <w:pPr>
        <w:pStyle w:val="Heading4"/>
        <w:bidi/>
        <w:rPr>
          <w:spacing w:val="-4"/>
        </w:rPr>
      </w:pPr>
      <w:r w:rsidRPr="00DA72CE">
        <w:rPr>
          <w:spacing w:val="-4"/>
          <w:rtl/>
        </w:rPr>
        <w:lastRenderedPageBreak/>
        <w:t>أ. المؤشرات الكمية (</w:t>
      </w:r>
      <w:r w:rsidRPr="00DA72CE">
        <w:rPr>
          <w:spacing w:val="-4"/>
        </w:rPr>
        <w:t>Quantitative Indicators</w:t>
      </w:r>
      <w:r w:rsidRPr="00DA72CE">
        <w:rPr>
          <w:spacing w:val="-4"/>
          <w:rtl/>
        </w:rPr>
        <w:t>)</w:t>
      </w:r>
    </w:p>
    <w:p w14:paraId="0E97E7AF"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تشمل</w:t>
      </w:r>
      <w:r w:rsidRPr="00DA72CE">
        <w:rPr>
          <w:rFonts w:ascii="Sakkal Majalla" w:hAnsi="Sakkal Majalla" w:cs="Sakkal Majalla"/>
          <w:spacing w:val="-4"/>
          <w:sz w:val="30"/>
          <w:szCs w:val="30"/>
          <w:rtl/>
        </w:rPr>
        <w:t xml:space="preserve"> هذه المؤشرات البيانات القابلة للقياس العددي والموضوعي، وهي الأسهل في الجمع والتحليل. وتشمل هذه المؤشرات البيانات القابلة للقياس العددي مثل: معدلات التخرج، نسب التوظيف للخريجين، عدد الأبحاث المنشورة في مجلات محكمة، حجم التمويل البحثي، نسب رضا الطلاب وأ</w:t>
      </w:r>
      <w:r w:rsidRPr="00DA72CE">
        <w:rPr>
          <w:rFonts w:ascii="Sakkal Majalla" w:hAnsi="Sakkal Majalla" w:cs="Sakkal Majalla" w:hint="eastAsia"/>
          <w:spacing w:val="-4"/>
          <w:sz w:val="30"/>
          <w:szCs w:val="30"/>
          <w:rtl/>
        </w:rPr>
        <w:t>عضاء</w:t>
      </w:r>
      <w:r w:rsidRPr="00DA72CE">
        <w:rPr>
          <w:rFonts w:ascii="Sakkal Majalla" w:hAnsi="Sakkal Majalla" w:cs="Sakkal Majalla"/>
          <w:spacing w:val="-4"/>
          <w:sz w:val="30"/>
          <w:szCs w:val="30"/>
          <w:rtl/>
        </w:rPr>
        <w:t xml:space="preserve"> هيئة التدريس، وغيرها. وتؤكد دراسة النصير (2023) أن "مؤشرات الأداء الرئيسية" (</w:t>
      </w:r>
      <w:r w:rsidRPr="00DA72CE">
        <w:rPr>
          <w:rFonts w:ascii="Sakkal Majalla" w:hAnsi="Sakkal Majalla" w:cs="Sakkal Majalla"/>
          <w:spacing w:val="-4"/>
          <w:sz w:val="30"/>
          <w:szCs w:val="30"/>
        </w:rPr>
        <w:t>KPIs</w:t>
      </w:r>
      <w:r w:rsidRPr="00DA72CE">
        <w:rPr>
          <w:rFonts w:ascii="Sakkal Majalla" w:hAnsi="Sakkal Majalla" w:cs="Sakkal Majalla"/>
          <w:spacing w:val="-4"/>
          <w:sz w:val="30"/>
          <w:szCs w:val="30"/>
          <w:rtl/>
        </w:rPr>
        <w:t>) جاءت في المرتبة الأولى كأهم أداة قياس مستخدمة في الجامعات السعودية.</w:t>
      </w:r>
    </w:p>
    <w:p w14:paraId="693C7234" w14:textId="07C0E82E"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وتشير</w:t>
      </w:r>
      <w:r w:rsidRPr="00DA72CE">
        <w:rPr>
          <w:rFonts w:ascii="Sakkal Majalla" w:hAnsi="Sakkal Majalla" w:cs="Sakkal Majalla"/>
          <w:spacing w:val="-4"/>
          <w:sz w:val="30"/>
          <w:szCs w:val="30"/>
          <w:rtl/>
        </w:rPr>
        <w:t xml:space="preserve"> دراسة الحربي والمهدي ونصر وأحمد (2025) إلى أن تطوير مؤشرات أداء رئيسية للجامعات العامة يتطلب مراعاة معايير الجودة والاعتماد الأكاديمي، مع التركيز على النتائج والأثر بدلاً من المدخلات والعمليات فقط. وتتميز هذه المؤشرات بالدقة والمقارنات الزمنية، لكنها قد تغفل الجوانب النوعية.</w:t>
      </w:r>
    </w:p>
    <w:p w14:paraId="083C3A97" w14:textId="7024349E" w:rsidR="00840C0F" w:rsidRPr="00DA72CE" w:rsidRDefault="00840C0F" w:rsidP="00F83577">
      <w:pPr>
        <w:pStyle w:val="Heading4"/>
        <w:bidi/>
        <w:rPr>
          <w:spacing w:val="-4"/>
        </w:rPr>
      </w:pPr>
      <w:r w:rsidRPr="00DA72CE">
        <w:rPr>
          <w:spacing w:val="-4"/>
          <w:rtl/>
        </w:rPr>
        <w:t>ب. المؤشرات النوعية (</w:t>
      </w:r>
      <w:r w:rsidRPr="00DA72CE">
        <w:rPr>
          <w:spacing w:val="-4"/>
        </w:rPr>
        <w:t>Qualitative Indicators</w:t>
      </w:r>
      <w:r w:rsidRPr="00DA72CE">
        <w:rPr>
          <w:spacing w:val="-4"/>
          <w:rtl/>
        </w:rPr>
        <w:t>)</w:t>
      </w:r>
    </w:p>
    <w:p w14:paraId="4F264C9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تشمل</w:t>
      </w:r>
      <w:r w:rsidRPr="00DA72CE">
        <w:rPr>
          <w:rFonts w:ascii="Sakkal Majalla" w:hAnsi="Sakkal Majalla" w:cs="Sakkal Majalla"/>
          <w:spacing w:val="-4"/>
          <w:sz w:val="30"/>
          <w:szCs w:val="30"/>
          <w:rtl/>
        </w:rPr>
        <w:t xml:space="preserve"> هذه المؤشرات الجوانب التي يصعب قياسها كمياً مثل: جودة البرامج الأكاديمية، سمعة الجامعة محلياً وعالمياً، ثقافة الابتكار والتعلم المستمر، جودة القيادة الإدارية، وغيرها. وتشير دراسة القرشي (2024) إلى أن درجة توافر أبعاد التميز المؤسسي ودرجة تحقيق الميزة </w:t>
      </w:r>
      <w:r w:rsidRPr="00DA72CE">
        <w:rPr>
          <w:rFonts w:ascii="Sakkal Majalla" w:hAnsi="Sakkal Majalla" w:cs="Sakkal Majalla" w:hint="eastAsia"/>
          <w:spacing w:val="-4"/>
          <w:sz w:val="30"/>
          <w:szCs w:val="30"/>
          <w:rtl/>
        </w:rPr>
        <w:t>التنافسية</w:t>
      </w:r>
      <w:r w:rsidRPr="00DA72CE">
        <w:rPr>
          <w:rFonts w:ascii="Sakkal Majalla" w:hAnsi="Sakkal Majalla" w:cs="Sakkal Majalla"/>
          <w:spacing w:val="-4"/>
          <w:sz w:val="30"/>
          <w:szCs w:val="30"/>
          <w:rtl/>
        </w:rPr>
        <w:t xml:space="preserve"> في الجامعات السعودية جاءت بدرجة "عالية"، مما يعكس الاهتمام بالجوانب النوعية للتميز.</w:t>
      </w:r>
    </w:p>
    <w:p w14:paraId="64B476EF" w14:textId="2F724DFA"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وتؤكد</w:t>
      </w:r>
      <w:r w:rsidRPr="00DA72CE">
        <w:rPr>
          <w:rFonts w:ascii="Sakkal Majalla" w:hAnsi="Sakkal Majalla" w:cs="Sakkal Majalla"/>
          <w:spacing w:val="-4"/>
          <w:sz w:val="30"/>
          <w:szCs w:val="30"/>
          <w:rtl/>
        </w:rPr>
        <w:t xml:space="preserve"> دراسة مختار مفتاح عاشور وخالد مفتاح على عاشور (2024) أن العلاقة بين التميز المؤسسي والجودة الشاملة في مؤسسات التعليم العالي تتطلب مؤشرات نوعية تقيس مدى التزام المؤسسة بقيم التميز والابتكار في ممارساتها اليومية. وتعتمد هذه المؤشرات غالباً على استطلاعا</w:t>
      </w:r>
      <w:r w:rsidRPr="00DA72CE">
        <w:rPr>
          <w:rFonts w:ascii="Sakkal Majalla" w:hAnsi="Sakkal Majalla" w:cs="Sakkal Majalla" w:hint="eastAsia"/>
          <w:spacing w:val="-4"/>
          <w:sz w:val="30"/>
          <w:szCs w:val="30"/>
          <w:rtl/>
        </w:rPr>
        <w:t>ت</w:t>
      </w:r>
      <w:r w:rsidRPr="00DA72CE">
        <w:rPr>
          <w:rFonts w:ascii="Sakkal Majalla" w:hAnsi="Sakkal Majalla" w:cs="Sakkal Majalla"/>
          <w:spacing w:val="-4"/>
          <w:sz w:val="30"/>
          <w:szCs w:val="30"/>
          <w:rtl/>
        </w:rPr>
        <w:t xml:space="preserve"> الرأي والتقييمات الخبيرة، وقد تكون ذاتية بعض الشيء.</w:t>
      </w:r>
    </w:p>
    <w:p w14:paraId="2872E0F4" w14:textId="7FF885AD" w:rsidR="00840C0F" w:rsidRPr="00DA72CE" w:rsidRDefault="00840C0F" w:rsidP="00F83577">
      <w:pPr>
        <w:pStyle w:val="Heading4"/>
        <w:bidi/>
        <w:rPr>
          <w:spacing w:val="-4"/>
        </w:rPr>
      </w:pPr>
      <w:r w:rsidRPr="00DA72CE">
        <w:rPr>
          <w:spacing w:val="-4"/>
          <w:rtl/>
        </w:rPr>
        <w:t>ج. المؤشرات المركبة (</w:t>
      </w:r>
      <w:r w:rsidRPr="00DA72CE">
        <w:rPr>
          <w:spacing w:val="-4"/>
        </w:rPr>
        <w:t>Composite Indicators</w:t>
      </w:r>
      <w:r w:rsidRPr="00DA72CE">
        <w:rPr>
          <w:spacing w:val="-4"/>
          <w:rtl/>
        </w:rPr>
        <w:t>)</w:t>
      </w:r>
    </w:p>
    <w:p w14:paraId="33658F8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تجمع</w:t>
      </w:r>
      <w:r w:rsidRPr="00DA72CE">
        <w:rPr>
          <w:rFonts w:ascii="Sakkal Majalla" w:hAnsi="Sakkal Majalla" w:cs="Sakkal Majalla"/>
          <w:spacing w:val="-4"/>
          <w:sz w:val="30"/>
          <w:szCs w:val="30"/>
          <w:rtl/>
        </w:rPr>
        <w:t xml:space="preserve"> هذه المؤشرات بين البيانات الكمية والنوعية في مؤشرات مركبة توفر صورة شاملة عن مستوى التميز، مثل: تصنيفات الجامعات العالمية (</w:t>
      </w:r>
      <w:r w:rsidRPr="00DA72CE">
        <w:rPr>
          <w:rFonts w:ascii="Sakkal Majalla" w:hAnsi="Sakkal Majalla" w:cs="Sakkal Majalla"/>
          <w:spacing w:val="-4"/>
          <w:sz w:val="30"/>
          <w:szCs w:val="30"/>
        </w:rPr>
        <w:t>QS, THE, ARWU</w:t>
      </w:r>
      <w:r w:rsidRPr="00DA72CE">
        <w:rPr>
          <w:rFonts w:ascii="Sakkal Majalla" w:hAnsi="Sakkal Majalla" w:cs="Sakkal Majalla"/>
          <w:spacing w:val="-4"/>
          <w:sz w:val="30"/>
          <w:szCs w:val="30"/>
          <w:rtl/>
        </w:rPr>
        <w:t xml:space="preserve">)، نتائج الاعتماد الأكاديمي، تقييمات جوائز </w:t>
      </w:r>
      <w:r w:rsidRPr="00DA72CE">
        <w:rPr>
          <w:rFonts w:ascii="Sakkal Majalla" w:hAnsi="Sakkal Majalla" w:cs="Sakkal Majalla"/>
          <w:spacing w:val="-4"/>
          <w:sz w:val="30"/>
          <w:szCs w:val="30"/>
          <w:rtl/>
        </w:rPr>
        <w:lastRenderedPageBreak/>
        <w:t>التميز، وغيرها. وتوضح دراسة عسيري والعمود (2024) أن تطبيق منهجية إدارة إ</w:t>
      </w:r>
      <w:r w:rsidRPr="00DA72CE">
        <w:rPr>
          <w:rFonts w:ascii="Sakkal Majalla" w:hAnsi="Sakkal Majalla" w:cs="Sakkal Majalla" w:hint="eastAsia"/>
          <w:spacing w:val="-4"/>
          <w:sz w:val="30"/>
          <w:szCs w:val="30"/>
          <w:rtl/>
        </w:rPr>
        <w:t>جراءات</w:t>
      </w:r>
      <w:r w:rsidRPr="00DA72CE">
        <w:rPr>
          <w:rFonts w:ascii="Sakkal Majalla" w:hAnsi="Sakkal Majalla" w:cs="Sakkal Majalla"/>
          <w:spacing w:val="-4"/>
          <w:sz w:val="30"/>
          <w:szCs w:val="30"/>
          <w:rtl/>
        </w:rPr>
        <w:t xml:space="preserve">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يساهم في تعزيز الشفافية وزيادة الوضوح التنظيمي، مما يدعم عملية القياس الشامل للأداء المؤسسي.</w:t>
      </w:r>
    </w:p>
    <w:p w14:paraId="0489CF1B"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وتشير</w:t>
      </w:r>
      <w:r w:rsidRPr="00DA72CE">
        <w:rPr>
          <w:rFonts w:ascii="Sakkal Majalla" w:hAnsi="Sakkal Majalla" w:cs="Sakkal Majalla"/>
          <w:spacing w:val="-4"/>
          <w:sz w:val="30"/>
          <w:szCs w:val="30"/>
          <w:rtl/>
        </w:rPr>
        <w:t xml:space="preserve"> دراسة القرشي (2024) إلى أن الاستفادة من خبرات الجامعات الأمريكية في ممارسات القيادة التحويلية وإدارة الابتكار تعزز من فرص الجامعات المحلية في المنافسة العالمية، مما يتطلب مؤشرات مركبة تقيس الجوانب المختلفة للتميز. وتتميز هذه المؤشرات بالشمولية، لكنها قد تكون معقدة في الحساب والتفسير.</w:t>
      </w:r>
    </w:p>
    <w:p w14:paraId="66EE2D62" w14:textId="78277AC3" w:rsidR="00840C0F" w:rsidRPr="00DA72CE" w:rsidRDefault="0063363D" w:rsidP="00F83577">
      <w:pPr>
        <w:pStyle w:val="Heading3"/>
        <w:bidi/>
        <w:rPr>
          <w:spacing w:val="-4"/>
        </w:rPr>
      </w:pPr>
      <w:bookmarkStart w:id="53" w:name="_Toc224358912"/>
      <w:r w:rsidRPr="00DA72CE">
        <w:rPr>
          <w:rFonts w:hint="cs"/>
          <w:spacing w:val="-4"/>
          <w:rtl/>
        </w:rPr>
        <w:t xml:space="preserve">6.5 </w:t>
      </w:r>
      <w:r w:rsidR="00840C0F" w:rsidRPr="00DA72CE">
        <w:rPr>
          <w:spacing w:val="-4"/>
          <w:rtl/>
        </w:rPr>
        <w:t>نماذج قياس الأداء المؤسسي</w:t>
      </w:r>
      <w:bookmarkEnd w:id="53"/>
    </w:p>
    <w:p w14:paraId="7E5709B4" w14:textId="1D9D7B3C" w:rsidR="00840C0F" w:rsidRPr="00DA72CE" w:rsidRDefault="00840C0F" w:rsidP="00F83577">
      <w:pPr>
        <w:pStyle w:val="Heading4"/>
        <w:bidi/>
        <w:rPr>
          <w:spacing w:val="-4"/>
        </w:rPr>
      </w:pPr>
      <w:r w:rsidRPr="00DA72CE">
        <w:rPr>
          <w:spacing w:val="-4"/>
          <w:rtl/>
        </w:rPr>
        <w:t>بطاقة الأداء المتوازن (</w:t>
      </w:r>
      <w:r w:rsidRPr="00DA72CE">
        <w:rPr>
          <w:spacing w:val="-4"/>
        </w:rPr>
        <w:t>Balanced Scorecard - BSC</w:t>
      </w:r>
      <w:r w:rsidRPr="00DA72CE">
        <w:rPr>
          <w:spacing w:val="-4"/>
          <w:rtl/>
        </w:rPr>
        <w:t>)</w:t>
      </w:r>
    </w:p>
    <w:p w14:paraId="7355A642"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تُعد</w:t>
      </w:r>
      <w:r w:rsidRPr="00DA72CE">
        <w:rPr>
          <w:rFonts w:ascii="Sakkal Majalla" w:hAnsi="Sakkal Majalla" w:cs="Sakkal Majalla"/>
          <w:spacing w:val="-4"/>
          <w:sz w:val="30"/>
          <w:szCs w:val="30"/>
          <w:rtl/>
        </w:rPr>
        <w:t xml:space="preserve"> بطاقة الأداء المتوازن من أكثر النماذج انتشاراً لقياس الأداء المؤسسي، حيث طورها </w:t>
      </w:r>
      <w:r w:rsidRPr="00DA72CE">
        <w:rPr>
          <w:rFonts w:ascii="Sakkal Majalla" w:hAnsi="Sakkal Majalla" w:cs="Sakkal Majalla"/>
          <w:spacing w:val="-4"/>
          <w:sz w:val="30"/>
          <w:szCs w:val="30"/>
        </w:rPr>
        <w:t>Kaplan</w:t>
      </w:r>
      <w:r w:rsidRPr="00DA72CE">
        <w:rPr>
          <w:rFonts w:ascii="Sakkal Majalla" w:hAnsi="Sakkal Majalla" w:cs="Sakkal Majalla"/>
          <w:spacing w:val="-4"/>
          <w:sz w:val="30"/>
          <w:szCs w:val="30"/>
          <w:rtl/>
        </w:rPr>
        <w:t xml:space="preserve"> </w:t>
      </w:r>
      <w:proofErr w:type="gramStart"/>
      <w:r w:rsidRPr="00DA72CE">
        <w:rPr>
          <w:rFonts w:ascii="Sakkal Majalla" w:hAnsi="Sakkal Majalla" w:cs="Sakkal Majalla"/>
          <w:spacing w:val="-4"/>
          <w:sz w:val="30"/>
          <w:szCs w:val="30"/>
          <w:rtl/>
        </w:rPr>
        <w:t xml:space="preserve">و </w:t>
      </w:r>
      <w:r w:rsidRPr="00DA72CE">
        <w:rPr>
          <w:rFonts w:ascii="Sakkal Majalla" w:hAnsi="Sakkal Majalla" w:cs="Sakkal Majalla"/>
          <w:spacing w:val="-4"/>
          <w:sz w:val="30"/>
          <w:szCs w:val="30"/>
        </w:rPr>
        <w:t>Norton</w:t>
      </w:r>
      <w:proofErr w:type="gramEnd"/>
      <w:r w:rsidRPr="00DA72CE">
        <w:rPr>
          <w:rFonts w:ascii="Sakkal Majalla" w:hAnsi="Sakkal Majalla" w:cs="Sakkal Majalla"/>
          <w:spacing w:val="-4"/>
          <w:sz w:val="30"/>
          <w:szCs w:val="30"/>
          <w:rtl/>
        </w:rPr>
        <w:t xml:space="preserve"> في بداية التسعينيات. ويركز النموذج على أربعة أبعاد رئيسية: البعد المالي، بُعد العملاء، بُعد العمليات الداخلية، وبُعد التعلم والنمو. وقد استخدمت العديد من ال</w:t>
      </w:r>
      <w:r w:rsidRPr="00DA72CE">
        <w:rPr>
          <w:rFonts w:ascii="Sakkal Majalla" w:hAnsi="Sakkal Majalla" w:cs="Sakkal Majalla" w:hint="eastAsia"/>
          <w:spacing w:val="-4"/>
          <w:sz w:val="30"/>
          <w:szCs w:val="30"/>
          <w:rtl/>
        </w:rPr>
        <w:t>جامعات</w:t>
      </w:r>
      <w:r w:rsidRPr="00DA72CE">
        <w:rPr>
          <w:rFonts w:ascii="Sakkal Majalla" w:hAnsi="Sakkal Majalla" w:cs="Sakkal Majalla"/>
          <w:spacing w:val="-4"/>
          <w:sz w:val="30"/>
          <w:szCs w:val="30"/>
          <w:rtl/>
        </w:rPr>
        <w:t xml:space="preserve"> هذا النموذج لقياس أدائها بشكل متوازن وشامل، حيث يترجم الرؤية الاستراتيجية إلى مؤشرات أداء قابلة للقياس.</w:t>
      </w:r>
    </w:p>
    <w:p w14:paraId="32174416" w14:textId="59788101" w:rsidR="00840C0F" w:rsidRPr="00DA72CE" w:rsidRDefault="00F83577"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cs"/>
          <w:spacing w:val="-4"/>
          <w:sz w:val="30"/>
          <w:szCs w:val="30"/>
          <w:rtl/>
          <w:lang w:bidi="ar-EG"/>
        </w:rPr>
        <w:t>و</w:t>
      </w:r>
      <w:r w:rsidR="00840C0F" w:rsidRPr="00DA72CE">
        <w:rPr>
          <w:rFonts w:ascii="Sakkal Majalla" w:hAnsi="Sakkal Majalla" w:cs="Sakkal Majalla"/>
          <w:spacing w:val="-4"/>
          <w:sz w:val="30"/>
          <w:szCs w:val="30"/>
          <w:rtl/>
        </w:rPr>
        <w:t xml:space="preserve">إدارة الأداء في مؤسسات التعليم العالي تتطلب نماذج متكاملة تجمع بين إدارة الأداء التنظيمي والأداء الفردي، وهو ما توفره بطاقة الأداء المتوازن من خلال ربط أهداف المؤسسة بأهداف الأفراد. وتتميز البطاقة بقدرتها على ربط المؤشرات المالية </w:t>
      </w:r>
      <w:r w:rsidR="00840C0F" w:rsidRPr="00DA72CE">
        <w:rPr>
          <w:rFonts w:ascii="Sakkal Majalla" w:hAnsi="Sakkal Majalla" w:cs="Sakkal Majalla" w:hint="eastAsia"/>
          <w:spacing w:val="-4"/>
          <w:sz w:val="30"/>
          <w:szCs w:val="30"/>
          <w:rtl/>
        </w:rPr>
        <w:t>وغير</w:t>
      </w:r>
      <w:r w:rsidR="00840C0F" w:rsidRPr="00DA72CE">
        <w:rPr>
          <w:rFonts w:ascii="Sakkal Majalla" w:hAnsi="Sakkal Majalla" w:cs="Sakkal Majalla"/>
          <w:spacing w:val="-4"/>
          <w:sz w:val="30"/>
          <w:szCs w:val="30"/>
          <w:rtl/>
        </w:rPr>
        <w:t xml:space="preserve"> المالية، مما يجعلها مناسبة للجامعات التي تهدف لأبعاد متعددة.</w:t>
      </w:r>
    </w:p>
    <w:p w14:paraId="158A195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وفي</w:t>
      </w:r>
      <w:r w:rsidRPr="00DA72CE">
        <w:rPr>
          <w:rFonts w:ascii="Sakkal Majalla" w:hAnsi="Sakkal Majalla" w:cs="Sakkal Majalla"/>
          <w:spacing w:val="-4"/>
          <w:sz w:val="30"/>
          <w:szCs w:val="30"/>
          <w:rtl/>
        </w:rPr>
        <w:t xml:space="preserve"> السياق السعودي، تشير دراسة موسى (2024) إلى أن أثر برامج التميز المؤسسي على تحديد الرؤية التعليمية يتطلب مؤشرات كمية قابلة للقياس لتقييم التقدم نحو تحقيق الأهداف الاستراتيجية، وهو ما يتم عبر أنظمة تقييم الأداء مثل بطاقة الأداء المتوازن. وتؤكد الدراسة أن الربط بين الرؤية والمؤشرات يضمن تحقيق التوافق الاستراتيجي.</w:t>
      </w:r>
    </w:p>
    <w:p w14:paraId="13D9EE9B" w14:textId="78343619" w:rsidR="00840C0F" w:rsidRPr="00DA72CE" w:rsidRDefault="00840C0F" w:rsidP="00F83577">
      <w:pPr>
        <w:pStyle w:val="Heading4"/>
        <w:bidi/>
        <w:rPr>
          <w:spacing w:val="-4"/>
        </w:rPr>
      </w:pPr>
      <w:r w:rsidRPr="00DA72CE">
        <w:rPr>
          <w:spacing w:val="-4"/>
          <w:rtl/>
        </w:rPr>
        <w:lastRenderedPageBreak/>
        <w:t>نموذج المؤسسة الأوروبية لإدارة الجودة (</w:t>
      </w:r>
      <w:r w:rsidRPr="00DA72CE">
        <w:rPr>
          <w:spacing w:val="-4"/>
        </w:rPr>
        <w:t>EFQM</w:t>
      </w:r>
      <w:r w:rsidRPr="00DA72CE">
        <w:rPr>
          <w:spacing w:val="-4"/>
          <w:rtl/>
        </w:rPr>
        <w:t>)</w:t>
      </w:r>
    </w:p>
    <w:p w14:paraId="05E394DA"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يعتمد</w:t>
      </w:r>
      <w:r w:rsidRPr="00DA72CE">
        <w:rPr>
          <w:rFonts w:ascii="Sakkal Majalla" w:hAnsi="Sakkal Majalla" w:cs="Sakkal Majalla"/>
          <w:spacing w:val="-4"/>
          <w:sz w:val="30"/>
          <w:szCs w:val="30"/>
          <w:rtl/>
        </w:rPr>
        <w:t xml:space="preserve"> هذا النموذج على تسعة معايير مقسمة إلى "الممكنات" (القيادة، الاستراتيجية، الأشخاص، الشراكات والموارد، العمليات) و"النتائج" (نتائج الأشخاص، نتائج العملاء، نتائج المجتمع، نتائج الأداء الرئيسي). ويوفر إطاراً شاملاً لتقييم وتحسين الأداء المؤسسي من خلال ال</w:t>
      </w:r>
      <w:r w:rsidRPr="00DA72CE">
        <w:rPr>
          <w:rFonts w:ascii="Sakkal Majalla" w:hAnsi="Sakkal Majalla" w:cs="Sakkal Majalla" w:hint="eastAsia"/>
          <w:spacing w:val="-4"/>
          <w:sz w:val="30"/>
          <w:szCs w:val="30"/>
          <w:rtl/>
        </w:rPr>
        <w:t>تشخيص</w:t>
      </w:r>
      <w:r w:rsidRPr="00DA72CE">
        <w:rPr>
          <w:rFonts w:ascii="Sakkal Majalla" w:hAnsi="Sakkal Majalla" w:cs="Sakkal Majalla"/>
          <w:spacing w:val="-4"/>
          <w:sz w:val="30"/>
          <w:szCs w:val="30"/>
          <w:rtl/>
        </w:rPr>
        <w:t xml:space="preserve"> الذاتي وتحديد مجالات التحسين. وقد استخدمته العديد من الجامعات السعودية كإطار مرجعي لبرامج التميز المؤسسي.</w:t>
      </w:r>
    </w:p>
    <w:p w14:paraId="5B8323E9"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hint="eastAsia"/>
          <w:spacing w:val="-8"/>
          <w:sz w:val="30"/>
          <w:szCs w:val="30"/>
          <w:rtl/>
        </w:rPr>
        <w:t>وتشير</w:t>
      </w:r>
      <w:r w:rsidRPr="00DA72CE">
        <w:rPr>
          <w:rFonts w:ascii="Sakkal Majalla" w:hAnsi="Sakkal Majalla" w:cs="Sakkal Majalla"/>
          <w:spacing w:val="-8"/>
          <w:sz w:val="30"/>
          <w:szCs w:val="30"/>
          <w:rtl/>
        </w:rPr>
        <w:t xml:space="preserve"> دراسة النصير (2023) إلى أن الجامعات السعودية تولي اهتماماً كبيراً لقياس الأداء المؤسسي وتمتلك وحدات إدارية متخصصة لهذه المهمة، حيث جاءت "مؤشرات الأداء الرئيسية" (</w:t>
      </w:r>
      <w:r w:rsidRPr="00DA72CE">
        <w:rPr>
          <w:rFonts w:ascii="Sakkal Majalla" w:hAnsi="Sakkal Majalla" w:cs="Sakkal Majalla"/>
          <w:spacing w:val="-8"/>
          <w:sz w:val="30"/>
          <w:szCs w:val="30"/>
        </w:rPr>
        <w:t>KPIs</w:t>
      </w:r>
      <w:r w:rsidRPr="00DA72CE">
        <w:rPr>
          <w:rFonts w:ascii="Sakkal Majalla" w:hAnsi="Sakkal Majalla" w:cs="Sakkal Majalla"/>
          <w:spacing w:val="-8"/>
          <w:sz w:val="30"/>
          <w:szCs w:val="30"/>
          <w:rtl/>
        </w:rPr>
        <w:t xml:space="preserve">) في المرتبة الأولى كأهم أداة قياس مستخدمة، وغالباً ما تكون مستمدة من نماذج مثل </w:t>
      </w:r>
      <w:r w:rsidRPr="00DA72CE">
        <w:rPr>
          <w:rFonts w:ascii="Sakkal Majalla" w:hAnsi="Sakkal Majalla" w:cs="Sakkal Majalla"/>
          <w:spacing w:val="-8"/>
          <w:sz w:val="30"/>
          <w:szCs w:val="30"/>
        </w:rPr>
        <w:t>EFQM</w:t>
      </w:r>
      <w:r w:rsidRPr="00DA72CE">
        <w:rPr>
          <w:rFonts w:ascii="Sakkal Majalla" w:hAnsi="Sakkal Majalla" w:cs="Sakkal Majalla"/>
          <w:spacing w:val="-8"/>
          <w:sz w:val="30"/>
          <w:szCs w:val="30"/>
          <w:rtl/>
        </w:rPr>
        <w:t xml:space="preserve">. وتؤكد دراسة [[54]] أن تطبيق نموذج الـ </w:t>
      </w:r>
      <w:r w:rsidRPr="00DA72CE">
        <w:rPr>
          <w:rFonts w:ascii="Sakkal Majalla" w:hAnsi="Sakkal Majalla" w:cs="Sakkal Majalla"/>
          <w:spacing w:val="-8"/>
          <w:sz w:val="30"/>
          <w:szCs w:val="30"/>
        </w:rPr>
        <w:t>EFQM</w:t>
      </w:r>
      <w:r w:rsidRPr="00DA72CE">
        <w:rPr>
          <w:rFonts w:ascii="Sakkal Majalla" w:hAnsi="Sakkal Majalla" w:cs="Sakkal Majalla"/>
          <w:spacing w:val="-8"/>
          <w:sz w:val="30"/>
          <w:szCs w:val="30"/>
          <w:rtl/>
        </w:rPr>
        <w:t xml:space="preserve"> في الجامعات المصرية يساهم في تحسين جودة الأداء المؤسسي من خلال توفير إطار منهجي للتقييم والتطوير.</w:t>
      </w:r>
    </w:p>
    <w:p w14:paraId="006BE28C"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وتوضح</w:t>
      </w:r>
      <w:r w:rsidRPr="00DA72CE">
        <w:rPr>
          <w:rFonts w:ascii="Sakkal Majalla" w:hAnsi="Sakkal Majalla" w:cs="Sakkal Majalla"/>
          <w:spacing w:val="-4"/>
          <w:sz w:val="30"/>
          <w:szCs w:val="30"/>
          <w:rtl/>
        </w:rPr>
        <w:t xml:space="preserve"> دراسة عسيري والعمود (2024) أن تطبيق نموذج الـ </w:t>
      </w:r>
      <w:r w:rsidRPr="00DA72CE">
        <w:rPr>
          <w:rFonts w:ascii="Sakkal Majalla" w:hAnsi="Sakkal Majalla" w:cs="Sakkal Majalla"/>
          <w:spacing w:val="-4"/>
          <w:sz w:val="30"/>
          <w:szCs w:val="30"/>
        </w:rPr>
        <w:t>EFQM</w:t>
      </w:r>
      <w:r w:rsidRPr="00DA72CE">
        <w:rPr>
          <w:rFonts w:ascii="Sakkal Majalla" w:hAnsi="Sakkal Majalla" w:cs="Sakkal Majalla"/>
          <w:spacing w:val="-4"/>
          <w:sz w:val="30"/>
          <w:szCs w:val="30"/>
          <w:rtl/>
        </w:rPr>
        <w:t xml:space="preserve"> في الجامعات السعودية يتطلب تكييف المعايير العالمية مع الخصوصية المحلية لضمان فعالية التطبيق وتحقيق النتائج المرجوة، خاصة في جانب العمليات والأشخاص.</w:t>
      </w:r>
    </w:p>
    <w:p w14:paraId="7FED5AC0" w14:textId="060C54F9" w:rsidR="00840C0F" w:rsidRPr="00DA72CE" w:rsidRDefault="00840C0F" w:rsidP="00F83577">
      <w:pPr>
        <w:pStyle w:val="Heading4"/>
        <w:bidi/>
        <w:rPr>
          <w:spacing w:val="-4"/>
        </w:rPr>
      </w:pPr>
      <w:r w:rsidRPr="00DA72CE">
        <w:rPr>
          <w:spacing w:val="-4"/>
          <w:rtl/>
        </w:rPr>
        <w:t xml:space="preserve">نموذج مالكم </w:t>
      </w:r>
      <w:proofErr w:type="spellStart"/>
      <w:r w:rsidRPr="00DA72CE">
        <w:rPr>
          <w:spacing w:val="-4"/>
          <w:rtl/>
        </w:rPr>
        <w:t>بالدريج</w:t>
      </w:r>
      <w:proofErr w:type="spellEnd"/>
      <w:r w:rsidRPr="00DA72CE">
        <w:rPr>
          <w:spacing w:val="-4"/>
          <w:rtl/>
        </w:rPr>
        <w:t xml:space="preserve"> (</w:t>
      </w:r>
      <w:r w:rsidRPr="00DA72CE">
        <w:rPr>
          <w:spacing w:val="-4"/>
        </w:rPr>
        <w:t>Baldrige Framework</w:t>
      </w:r>
      <w:r w:rsidRPr="00DA72CE">
        <w:rPr>
          <w:spacing w:val="-4"/>
          <w:rtl/>
        </w:rPr>
        <w:t>)</w:t>
      </w:r>
    </w:p>
    <w:p w14:paraId="0673F538"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يركز</w:t>
      </w:r>
      <w:r w:rsidRPr="00DA72CE">
        <w:rPr>
          <w:rFonts w:ascii="Sakkal Majalla" w:hAnsi="Sakkal Majalla" w:cs="Sakkal Majalla"/>
          <w:spacing w:val="-4"/>
          <w:sz w:val="30"/>
          <w:szCs w:val="30"/>
          <w:rtl/>
        </w:rPr>
        <w:t xml:space="preserve"> هذا النموذج على سبعة معايير تشمل القيادة، التخطيط الاستراتيجي، التركيز على العملاء، القياس والتحليل، القوى العاملة، العمليات، والنتائج. وقد استفادت منه العديد من مؤسسات التعليم العالي في تطوير أنظمتها الإدارية والأكاديمية، حيث يوفر منهجية دقيقة لقياس </w:t>
      </w:r>
      <w:r w:rsidRPr="00DA72CE">
        <w:rPr>
          <w:rFonts w:ascii="Sakkal Majalla" w:hAnsi="Sakkal Majalla" w:cs="Sakkal Majalla" w:hint="eastAsia"/>
          <w:spacing w:val="-4"/>
          <w:sz w:val="30"/>
          <w:szCs w:val="30"/>
          <w:rtl/>
        </w:rPr>
        <w:t>الأداء</w:t>
      </w:r>
      <w:r w:rsidRPr="00DA72CE">
        <w:rPr>
          <w:rFonts w:ascii="Sakkal Majalla" w:hAnsi="Sakkal Majalla" w:cs="Sakkal Majalla"/>
          <w:spacing w:val="-4"/>
          <w:sz w:val="30"/>
          <w:szCs w:val="30"/>
          <w:rtl/>
        </w:rPr>
        <w:t xml:space="preserve"> مقارنة بالمعايير العالمية.</w:t>
      </w:r>
    </w:p>
    <w:p w14:paraId="07D3B2B3"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hint="eastAsia"/>
          <w:spacing w:val="-8"/>
          <w:sz w:val="30"/>
          <w:szCs w:val="30"/>
          <w:rtl/>
        </w:rPr>
        <w:t>وتشير</w:t>
      </w:r>
      <w:r w:rsidRPr="00DA72CE">
        <w:rPr>
          <w:rFonts w:ascii="Sakkal Majalla" w:hAnsi="Sakkal Majalla" w:cs="Sakkal Majalla"/>
          <w:spacing w:val="-8"/>
          <w:sz w:val="30"/>
          <w:szCs w:val="30"/>
          <w:rtl/>
        </w:rPr>
        <w:t xml:space="preserve"> دراسة الحربي والمهدي ونصر وأحمد (2025) إلى أن تطبيق معايير نموذج </w:t>
      </w:r>
      <w:proofErr w:type="spellStart"/>
      <w:r w:rsidRPr="00DA72CE">
        <w:rPr>
          <w:rFonts w:ascii="Sakkal Majalla" w:hAnsi="Sakkal Majalla" w:cs="Sakkal Majalla"/>
          <w:spacing w:val="-8"/>
          <w:sz w:val="30"/>
          <w:szCs w:val="30"/>
          <w:rtl/>
        </w:rPr>
        <w:t>بالدريج</w:t>
      </w:r>
      <w:proofErr w:type="spellEnd"/>
      <w:r w:rsidRPr="00DA72CE">
        <w:rPr>
          <w:rFonts w:ascii="Sakkal Majalla" w:hAnsi="Sakkal Majalla" w:cs="Sakkal Majalla"/>
          <w:spacing w:val="-8"/>
          <w:sz w:val="30"/>
          <w:szCs w:val="30"/>
          <w:rtl/>
        </w:rPr>
        <w:t xml:space="preserve"> في مؤسسات التعليم العالي يساهم في تحقيق درجة عالية من التميز المؤسسي، حيث يوفر مؤشرات موضوعية لقياس الأداء وتحديد مجالات التحسين. وتؤكد دراسة فكري (2023) أن جامعة القاهرة تتمتع </w:t>
      </w:r>
      <w:r w:rsidRPr="00DA72CE">
        <w:rPr>
          <w:rFonts w:ascii="Sakkal Majalla" w:hAnsi="Sakkal Majalla" w:cs="Sakkal Majalla" w:hint="eastAsia"/>
          <w:spacing w:val="-8"/>
          <w:sz w:val="30"/>
          <w:szCs w:val="30"/>
          <w:rtl/>
        </w:rPr>
        <w:t>بمستوى</w:t>
      </w:r>
      <w:r w:rsidRPr="00DA72CE">
        <w:rPr>
          <w:rFonts w:ascii="Sakkal Majalla" w:hAnsi="Sakkal Majalla" w:cs="Sakkal Majalla"/>
          <w:spacing w:val="-8"/>
          <w:sz w:val="30"/>
          <w:szCs w:val="30"/>
          <w:rtl/>
        </w:rPr>
        <w:t xml:space="preserve"> عالٍ من عملية تخطيط الموارد البشرية بما يتوافق مع استراتيجيتها المنهجية، مما يعكس تأثير تبني نماذج التميز العالمية مثل </w:t>
      </w:r>
      <w:proofErr w:type="spellStart"/>
      <w:r w:rsidRPr="00DA72CE">
        <w:rPr>
          <w:rFonts w:ascii="Sakkal Majalla" w:hAnsi="Sakkal Majalla" w:cs="Sakkal Majalla"/>
          <w:spacing w:val="-8"/>
          <w:sz w:val="30"/>
          <w:szCs w:val="30"/>
          <w:rtl/>
        </w:rPr>
        <w:t>بالدريج</w:t>
      </w:r>
      <w:proofErr w:type="spellEnd"/>
      <w:r w:rsidRPr="00DA72CE">
        <w:rPr>
          <w:rFonts w:ascii="Sakkal Majalla" w:hAnsi="Sakkal Majalla" w:cs="Sakkal Majalla"/>
          <w:spacing w:val="-8"/>
          <w:sz w:val="30"/>
          <w:szCs w:val="30"/>
          <w:rtl/>
        </w:rPr>
        <w:t>.</w:t>
      </w:r>
    </w:p>
    <w:p w14:paraId="0F8D98AB"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lastRenderedPageBreak/>
        <w:t>وتوضح</w:t>
      </w:r>
      <w:r w:rsidRPr="00DA72CE">
        <w:rPr>
          <w:rFonts w:ascii="Sakkal Majalla" w:hAnsi="Sakkal Majalla" w:cs="Sakkal Majalla"/>
          <w:spacing w:val="-4"/>
          <w:sz w:val="30"/>
          <w:szCs w:val="30"/>
          <w:rtl/>
        </w:rPr>
        <w:t xml:space="preserve"> دراسة القرشي (2024) أن الاستفادة من خبرات الجامعات الأمريكية في ممارسات القيادة التحويلية وإدارة الابتكار تعزز من فرص الجامعات المحلية في المنافسة العالمية، ونموذج </w:t>
      </w:r>
      <w:proofErr w:type="spellStart"/>
      <w:r w:rsidRPr="00DA72CE">
        <w:rPr>
          <w:rFonts w:ascii="Sakkal Majalla" w:hAnsi="Sakkal Majalla" w:cs="Sakkal Majalla"/>
          <w:spacing w:val="-4"/>
          <w:sz w:val="30"/>
          <w:szCs w:val="30"/>
          <w:rtl/>
        </w:rPr>
        <w:t>بالدريج</w:t>
      </w:r>
      <w:proofErr w:type="spellEnd"/>
      <w:r w:rsidRPr="00DA72CE">
        <w:rPr>
          <w:rFonts w:ascii="Sakkal Majalla" w:hAnsi="Sakkal Majalla" w:cs="Sakkal Majalla"/>
          <w:spacing w:val="-4"/>
          <w:sz w:val="30"/>
          <w:szCs w:val="30"/>
          <w:rtl/>
        </w:rPr>
        <w:t xml:space="preserve"> هو النموذج الأمريكي الرائد في هذا المجال.</w:t>
      </w:r>
    </w:p>
    <w:p w14:paraId="71626513" w14:textId="2224798C" w:rsidR="00840C0F" w:rsidRPr="00DA72CE" w:rsidRDefault="00840C0F" w:rsidP="00F83577">
      <w:pPr>
        <w:pStyle w:val="Heading4"/>
        <w:bidi/>
        <w:rPr>
          <w:spacing w:val="-4"/>
        </w:rPr>
      </w:pPr>
      <w:r w:rsidRPr="00DA72CE">
        <w:rPr>
          <w:spacing w:val="-4"/>
          <w:rtl/>
        </w:rPr>
        <w:t>نموذج الأداء المستدام (</w:t>
      </w:r>
      <w:r w:rsidRPr="00DA72CE">
        <w:rPr>
          <w:spacing w:val="-4"/>
        </w:rPr>
        <w:t>Sustainable Performance Model</w:t>
      </w:r>
      <w:r w:rsidRPr="00DA72CE">
        <w:rPr>
          <w:spacing w:val="-4"/>
          <w:rtl/>
        </w:rPr>
        <w:t>)</w:t>
      </w:r>
    </w:p>
    <w:p w14:paraId="197FB66F"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يركز</w:t>
      </w:r>
      <w:r w:rsidRPr="00DA72CE">
        <w:rPr>
          <w:rFonts w:ascii="Sakkal Majalla" w:hAnsi="Sakkal Majalla" w:cs="Sakkal Majalla"/>
          <w:spacing w:val="-4"/>
          <w:sz w:val="30"/>
          <w:szCs w:val="30"/>
          <w:rtl/>
        </w:rPr>
        <w:t xml:space="preserve"> هذا النموذج على دمج الأبعاد البيئية والاجتماعية والحوكمة (</w:t>
      </w:r>
      <w:r w:rsidRPr="00DA72CE">
        <w:rPr>
          <w:rFonts w:ascii="Sakkal Majalla" w:hAnsi="Sakkal Majalla" w:cs="Sakkal Majalla"/>
          <w:spacing w:val="-4"/>
          <w:sz w:val="30"/>
          <w:szCs w:val="30"/>
        </w:rPr>
        <w:t>ESG</w:t>
      </w:r>
      <w:r w:rsidRPr="00DA72CE">
        <w:rPr>
          <w:rFonts w:ascii="Sakkal Majalla" w:hAnsi="Sakkal Majalla" w:cs="Sakkal Majalla"/>
          <w:spacing w:val="-4"/>
          <w:sz w:val="30"/>
          <w:szCs w:val="30"/>
          <w:rtl/>
        </w:rPr>
        <w:t xml:space="preserve">) في قياس الأداء المؤسسي، بالإضافة للأبعاد الاقتصادية والأكاديمية. وهو نموذج حديث يستجيب للتحديات العالمية المتعلقة بالتغير المناخي والمسؤولية الاجتماعية. وتشير دراسة </w:t>
      </w:r>
      <w:proofErr w:type="spellStart"/>
      <w:r w:rsidRPr="00DA72CE">
        <w:rPr>
          <w:rFonts w:ascii="Sakkal Majalla" w:hAnsi="Sakkal Majalla" w:cs="Sakkal Majalla"/>
          <w:spacing w:val="-4"/>
          <w:sz w:val="30"/>
          <w:szCs w:val="30"/>
        </w:rPr>
        <w:t>Elbawab</w:t>
      </w:r>
      <w:proofErr w:type="spellEnd"/>
      <w:r w:rsidRPr="00DA72CE">
        <w:rPr>
          <w:rFonts w:ascii="Sakkal Majalla" w:hAnsi="Sakkal Majalla" w:cs="Sakkal Majalla"/>
          <w:spacing w:val="-4"/>
          <w:sz w:val="30"/>
          <w:szCs w:val="30"/>
          <w:rtl/>
        </w:rPr>
        <w:t xml:space="preserve"> (2024) إلى أن ا</w:t>
      </w:r>
      <w:r w:rsidRPr="00DA72CE">
        <w:rPr>
          <w:rFonts w:ascii="Sakkal Majalla" w:hAnsi="Sakkal Majalla" w:cs="Sakkal Majalla" w:hint="eastAsia"/>
          <w:spacing w:val="-4"/>
          <w:sz w:val="30"/>
          <w:szCs w:val="30"/>
          <w:rtl/>
        </w:rPr>
        <w:t>لتعلم</w:t>
      </w:r>
      <w:r w:rsidRPr="00DA72CE">
        <w:rPr>
          <w:rFonts w:ascii="Sakkal Majalla" w:hAnsi="Sakkal Majalla" w:cs="Sakkal Majalla"/>
          <w:spacing w:val="-4"/>
          <w:sz w:val="30"/>
          <w:szCs w:val="30"/>
          <w:rtl/>
        </w:rPr>
        <w:t xml:space="preserve"> المؤسسي يساهم في تحسين الأداء المستدام في الجامعات الأوروبية من خلال تعزيز الابتكار والاستدامة البيئية والاجتماعية.</w:t>
      </w:r>
    </w:p>
    <w:p w14:paraId="4149FE1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ويتضمن</w:t>
      </w:r>
      <w:r w:rsidRPr="00DA72CE">
        <w:rPr>
          <w:rFonts w:ascii="Sakkal Majalla" w:hAnsi="Sakkal Majalla" w:cs="Sakkal Majalla"/>
          <w:spacing w:val="-4"/>
          <w:sz w:val="30"/>
          <w:szCs w:val="30"/>
          <w:rtl/>
        </w:rPr>
        <w:t xml:space="preserve"> النموذج مؤشرات مثل: كفاءة استهلاك الطاقة، برامج المسؤولية الاجتماعية، تنوع القوى العاملة، والحوكمة الأخلاقية. وتؤكد دراسة اليامي (2023) أن تأثير تنوع الموارد البشرية على تحقيق التميز في الأداء المؤسسي يعكس أهمية البعد الاجتماعي في الأداء المستدام، خ</w:t>
      </w:r>
      <w:r w:rsidRPr="00DA72CE">
        <w:rPr>
          <w:rFonts w:ascii="Sakkal Majalla" w:hAnsi="Sakkal Majalla" w:cs="Sakkal Majalla" w:hint="eastAsia"/>
          <w:spacing w:val="-4"/>
          <w:sz w:val="30"/>
          <w:szCs w:val="30"/>
          <w:rtl/>
        </w:rPr>
        <w:t>اصة</w:t>
      </w:r>
      <w:r w:rsidRPr="00DA72CE">
        <w:rPr>
          <w:rFonts w:ascii="Sakkal Majalla" w:hAnsi="Sakkal Majalla" w:cs="Sakkal Majalla"/>
          <w:spacing w:val="-4"/>
          <w:sz w:val="30"/>
          <w:szCs w:val="30"/>
          <w:rtl/>
        </w:rPr>
        <w:t xml:space="preserve"> في قطاع الصحة والتعليم.</w:t>
      </w:r>
    </w:p>
    <w:p w14:paraId="32FA0D0A" w14:textId="220E8506" w:rsidR="00840C0F" w:rsidRPr="00DA72CE" w:rsidRDefault="00F83577"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cs"/>
          <w:spacing w:val="-4"/>
          <w:sz w:val="30"/>
          <w:szCs w:val="30"/>
          <w:rtl/>
        </w:rPr>
        <w:t>و</w:t>
      </w:r>
      <w:r w:rsidR="00840C0F" w:rsidRPr="00DA72CE">
        <w:rPr>
          <w:rFonts w:ascii="Sakkal Majalla" w:hAnsi="Sakkal Majalla" w:cs="Sakkal Majalla"/>
          <w:spacing w:val="-4"/>
          <w:sz w:val="30"/>
          <w:szCs w:val="30"/>
          <w:rtl/>
        </w:rPr>
        <w:t>التصنيف العالمي للجامعات السعودية (</w:t>
      </w:r>
      <w:r w:rsidR="00840C0F" w:rsidRPr="00DA72CE">
        <w:rPr>
          <w:rFonts w:ascii="Sakkal Majalla" w:hAnsi="Sakkal Majalla" w:cs="Sakkal Majalla"/>
          <w:spacing w:val="-4"/>
          <w:sz w:val="30"/>
          <w:szCs w:val="30"/>
        </w:rPr>
        <w:t>SGR</w:t>
      </w:r>
      <w:r w:rsidR="00840C0F" w:rsidRPr="00DA72CE">
        <w:rPr>
          <w:rFonts w:ascii="Sakkal Majalla" w:hAnsi="Sakkal Majalla" w:cs="Sakkal Majalla"/>
          <w:spacing w:val="-4"/>
          <w:sz w:val="30"/>
          <w:szCs w:val="30"/>
          <w:rtl/>
        </w:rPr>
        <w:t>) يدعم التميز المؤسسي ويحسن الكفاءة والفعالية والاستدامة في مؤسسات التعليم العالي، مما يعكس تبني مفاهيم الأداء المستدام على المستوى الوطني.</w:t>
      </w:r>
    </w:p>
    <w:p w14:paraId="595A9690" w14:textId="6C57C653" w:rsidR="00840C0F" w:rsidRPr="00DA72CE" w:rsidRDefault="00840C0F" w:rsidP="00F83577">
      <w:pPr>
        <w:pStyle w:val="Heading4"/>
        <w:bidi/>
        <w:rPr>
          <w:spacing w:val="-4"/>
        </w:rPr>
      </w:pPr>
      <w:r w:rsidRPr="00DA72CE">
        <w:rPr>
          <w:spacing w:val="-4"/>
          <w:rtl/>
        </w:rPr>
        <w:t>نموذج الجامعة الذكية (</w:t>
      </w:r>
      <w:r w:rsidRPr="00DA72CE">
        <w:rPr>
          <w:spacing w:val="-4"/>
        </w:rPr>
        <w:t>Smart University Model</w:t>
      </w:r>
      <w:r w:rsidRPr="00DA72CE">
        <w:rPr>
          <w:spacing w:val="-4"/>
          <w:rtl/>
        </w:rPr>
        <w:t>)</w:t>
      </w:r>
    </w:p>
    <w:p w14:paraId="1308C5A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هو</w:t>
      </w:r>
      <w:r w:rsidRPr="00DA72CE">
        <w:rPr>
          <w:rFonts w:ascii="Sakkal Majalla" w:hAnsi="Sakkal Majalla" w:cs="Sakkal Majalla"/>
          <w:spacing w:val="-4"/>
          <w:sz w:val="30"/>
          <w:szCs w:val="30"/>
          <w:rtl/>
        </w:rPr>
        <w:t xml:space="preserve"> نموذج حديث يركز على دمج التقنيات الرقمية الذكية في جميع جوانب أداء الجامعة، من التعليم الإلكتروني إلى الإدارة الذكية. ويشمل مؤشرات مثل: نسبة </w:t>
      </w:r>
      <w:proofErr w:type="spellStart"/>
      <w:r w:rsidRPr="00DA72CE">
        <w:rPr>
          <w:rFonts w:ascii="Sakkal Majalla" w:hAnsi="Sakkal Majalla" w:cs="Sakkal Majalla"/>
          <w:spacing w:val="-4"/>
          <w:sz w:val="30"/>
          <w:szCs w:val="30"/>
          <w:rtl/>
        </w:rPr>
        <w:t>الرقمنة</w:t>
      </w:r>
      <w:proofErr w:type="spellEnd"/>
      <w:r w:rsidRPr="00DA72CE">
        <w:rPr>
          <w:rFonts w:ascii="Sakkal Majalla" w:hAnsi="Sakkal Majalla" w:cs="Sakkal Majalla"/>
          <w:spacing w:val="-4"/>
          <w:sz w:val="30"/>
          <w:szCs w:val="30"/>
          <w:rtl/>
        </w:rPr>
        <w:t>، البنية التحتية الذكية، والمهارات الرقمية للكوادر. وتشير دراسة الحربي والمهدي ونصر وأحمد (2025) إلى أن آ</w:t>
      </w:r>
      <w:r w:rsidRPr="00DA72CE">
        <w:rPr>
          <w:rFonts w:ascii="Sakkal Majalla" w:hAnsi="Sakkal Majalla" w:cs="Sakkal Majalla" w:hint="eastAsia"/>
          <w:spacing w:val="-4"/>
          <w:sz w:val="30"/>
          <w:szCs w:val="30"/>
          <w:rtl/>
        </w:rPr>
        <w:t>ليات</w:t>
      </w:r>
      <w:r w:rsidRPr="00DA72CE">
        <w:rPr>
          <w:rFonts w:ascii="Sakkal Majalla" w:hAnsi="Sakkal Majalla" w:cs="Sakkal Majalla"/>
          <w:spacing w:val="-4"/>
          <w:sz w:val="30"/>
          <w:szCs w:val="30"/>
          <w:rtl/>
        </w:rPr>
        <w:t xml:space="preserve"> تحسين جودة الأداء المؤسسي بالجامعات السعودية الناشئة تتطلب تبني نموذج الجامعة الذكية، مما يستلزم تجاوز التحديات التقنية المتعلقة بالأمن </w:t>
      </w:r>
      <w:proofErr w:type="spellStart"/>
      <w:r w:rsidRPr="00DA72CE">
        <w:rPr>
          <w:rFonts w:ascii="Sakkal Majalla" w:hAnsi="Sakkal Majalla" w:cs="Sakkal Majalla"/>
          <w:spacing w:val="-4"/>
          <w:sz w:val="30"/>
          <w:szCs w:val="30"/>
          <w:rtl/>
        </w:rPr>
        <w:t>السيبراني</w:t>
      </w:r>
      <w:proofErr w:type="spellEnd"/>
      <w:r w:rsidRPr="00DA72CE">
        <w:rPr>
          <w:rFonts w:ascii="Sakkal Majalla" w:hAnsi="Sakkal Majalla" w:cs="Sakkal Majalla"/>
          <w:spacing w:val="-4"/>
          <w:sz w:val="30"/>
          <w:szCs w:val="30"/>
          <w:rtl/>
        </w:rPr>
        <w:t xml:space="preserve"> وتكامل الأنظمة.</w:t>
      </w:r>
    </w:p>
    <w:p w14:paraId="0CDBC3C5"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lastRenderedPageBreak/>
        <w:t>وتؤكد</w:t>
      </w:r>
      <w:r w:rsidRPr="00DA72CE">
        <w:rPr>
          <w:rFonts w:ascii="Sakkal Majalla" w:hAnsi="Sakkal Majalla" w:cs="Sakkal Majalla"/>
          <w:spacing w:val="-4"/>
          <w:sz w:val="30"/>
          <w:szCs w:val="30"/>
          <w:rtl/>
        </w:rPr>
        <w:t xml:space="preserve"> دراسة عسيري والعمود (2024) أن 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في الجامعات السعودية يساهم في زيادة الوضوح التنظيمي، وتقليل الهدر في الوقت والجهد، وتعزيز الشفافية، مما ينعكس إيجاباً على مستوى الأداء المؤسسي الذكي.</w:t>
      </w:r>
    </w:p>
    <w:p w14:paraId="16420BDC" w14:textId="6143C335" w:rsidR="00840C0F" w:rsidRPr="00DA72CE" w:rsidRDefault="0063363D" w:rsidP="0063363D">
      <w:pPr>
        <w:pStyle w:val="Heading3"/>
        <w:bidi/>
        <w:rPr>
          <w:spacing w:val="-4"/>
        </w:rPr>
      </w:pPr>
      <w:bookmarkStart w:id="54" w:name="_Toc224358913"/>
      <w:r w:rsidRPr="00DA72CE">
        <w:rPr>
          <w:rFonts w:hint="cs"/>
          <w:spacing w:val="-4"/>
          <w:rtl/>
        </w:rPr>
        <w:t>7.5</w:t>
      </w:r>
      <w:r w:rsidR="00840C0F" w:rsidRPr="00DA72CE">
        <w:rPr>
          <w:spacing w:val="-4"/>
          <w:rtl/>
        </w:rPr>
        <w:t xml:space="preserve"> خصائص قياس الأداء في الجامعات السعودية</w:t>
      </w:r>
      <w:bookmarkEnd w:id="54"/>
    </w:p>
    <w:p w14:paraId="117653BC" w14:textId="00D2137B"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تتميز</w:t>
      </w:r>
      <w:r w:rsidRPr="00DA72CE">
        <w:rPr>
          <w:rFonts w:ascii="Sakkal Majalla" w:hAnsi="Sakkal Majalla" w:cs="Sakkal Majalla"/>
          <w:spacing w:val="-4"/>
          <w:sz w:val="30"/>
          <w:szCs w:val="30"/>
          <w:rtl/>
        </w:rPr>
        <w:t xml:space="preserve"> عملية قياس الأداء في الجامعات السعودية بعدة خصائص فريدة تنبع من طبيعة النظام التعليمي والأهداف الوطنية:</w:t>
      </w:r>
    </w:p>
    <w:p w14:paraId="63E2D7F9" w14:textId="0643A226" w:rsidR="00840C0F" w:rsidRPr="00DA72CE" w:rsidRDefault="00840C0F" w:rsidP="00840C0F">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أ. الارتباط برؤية 2030</w:t>
      </w:r>
    </w:p>
    <w:p w14:paraId="10845A6E"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hint="eastAsia"/>
          <w:spacing w:val="-8"/>
          <w:sz w:val="30"/>
          <w:szCs w:val="30"/>
          <w:rtl/>
        </w:rPr>
        <w:t>ترتبط</w:t>
      </w:r>
      <w:r w:rsidRPr="00DA72CE">
        <w:rPr>
          <w:rFonts w:ascii="Sakkal Majalla" w:hAnsi="Sakkal Majalla" w:cs="Sakkal Majalla"/>
          <w:spacing w:val="-8"/>
          <w:sz w:val="30"/>
          <w:szCs w:val="30"/>
          <w:rtl/>
        </w:rPr>
        <w:t xml:space="preserve"> مؤشرات أداء الجامعات بشكل مباشر بمستهدفات رؤية المملكة 2030، خاصة فيما يتعلق برفع تصنيف الجامعات العالمي، وزيادة مساهمة البحث العلمي في الناتج المحلي، وتطوير المهارات. وتشير دراسة القرشي (2024) إلى أن ضرورة تركيز الجامعات على تطوير أنظمة إدارة المعرف</w:t>
      </w:r>
      <w:r w:rsidRPr="00DA72CE">
        <w:rPr>
          <w:rFonts w:ascii="Sakkal Majalla" w:hAnsi="Sakkal Majalla" w:cs="Sakkal Majalla" w:hint="eastAsia"/>
          <w:spacing w:val="-8"/>
          <w:sz w:val="30"/>
          <w:szCs w:val="30"/>
          <w:rtl/>
        </w:rPr>
        <w:t>ة،</w:t>
      </w:r>
      <w:r w:rsidRPr="00DA72CE">
        <w:rPr>
          <w:rFonts w:ascii="Sakkal Majalla" w:hAnsi="Sakkal Majalla" w:cs="Sakkal Majalla"/>
          <w:spacing w:val="-8"/>
          <w:sz w:val="30"/>
          <w:szCs w:val="30"/>
          <w:rtl/>
        </w:rPr>
        <w:t xml:space="preserve"> ودعم استقلالية الجامعات، وتعزيز ثقافة الإبداع والريادة بين منسوبيها لضمان استدامة التفوق المؤسسي وتحقيق مستهدفات رؤية المملكة 2030.</w:t>
      </w:r>
    </w:p>
    <w:p w14:paraId="4E9A4F44" w14:textId="75596DDD" w:rsidR="00840C0F" w:rsidRPr="00DA72CE" w:rsidRDefault="00840C0F" w:rsidP="00840C0F">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ب. الاعتماد على المؤشرات الوطنية الموحدة</w:t>
      </w:r>
    </w:p>
    <w:p w14:paraId="10DFB3CE"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تعتمد</w:t>
      </w:r>
      <w:r w:rsidRPr="00DA72CE">
        <w:rPr>
          <w:rFonts w:ascii="Sakkal Majalla" w:hAnsi="Sakkal Majalla" w:cs="Sakkal Majalla"/>
          <w:spacing w:val="-4"/>
          <w:sz w:val="30"/>
          <w:szCs w:val="30"/>
          <w:rtl/>
        </w:rPr>
        <w:t xml:space="preserve"> الجامعات على مؤشرات أداء وطنية موحدة تصدرها وزارة التعليم وهيئة تقويم التعليم والتدريب، مما يسهل المقارنة بين الجامعات الحكومية. وتشير دراسة النصير (2023) إلى أن الجامعات السعودية تولي اهتماماً كبيراً لقياس الأداء المؤسسي وتمتلك وحدات إدارية متخصصة ل</w:t>
      </w:r>
      <w:r w:rsidRPr="00DA72CE">
        <w:rPr>
          <w:rFonts w:ascii="Sakkal Majalla" w:hAnsi="Sakkal Majalla" w:cs="Sakkal Majalla" w:hint="eastAsia"/>
          <w:spacing w:val="-4"/>
          <w:sz w:val="30"/>
          <w:szCs w:val="30"/>
          <w:rtl/>
        </w:rPr>
        <w:t>هذه</w:t>
      </w:r>
      <w:r w:rsidRPr="00DA72CE">
        <w:rPr>
          <w:rFonts w:ascii="Sakkal Majalla" w:hAnsi="Sakkal Majalla" w:cs="Sakkal Majalla"/>
          <w:spacing w:val="-4"/>
          <w:sz w:val="30"/>
          <w:szCs w:val="30"/>
          <w:rtl/>
        </w:rPr>
        <w:t xml:space="preserve"> المهمة، حيث جاءت "مؤشرات الأداء الرئيسية" (</w:t>
      </w:r>
      <w:r w:rsidRPr="00DA72CE">
        <w:rPr>
          <w:rFonts w:ascii="Sakkal Majalla" w:hAnsi="Sakkal Majalla" w:cs="Sakkal Majalla"/>
          <w:spacing w:val="-4"/>
          <w:sz w:val="30"/>
          <w:szCs w:val="30"/>
        </w:rPr>
        <w:t>KPIs</w:t>
      </w:r>
      <w:r w:rsidRPr="00DA72CE">
        <w:rPr>
          <w:rFonts w:ascii="Sakkal Majalla" w:hAnsi="Sakkal Majalla" w:cs="Sakkal Majalla"/>
          <w:spacing w:val="-4"/>
          <w:sz w:val="30"/>
          <w:szCs w:val="30"/>
          <w:rtl/>
        </w:rPr>
        <w:t>) في المرتبة الأولى كأهم أداة قياس مستخدمة.</w:t>
      </w:r>
    </w:p>
    <w:p w14:paraId="0770CD09" w14:textId="6AC2A7EE" w:rsidR="00840C0F" w:rsidRPr="00DA72CE" w:rsidRDefault="00840C0F" w:rsidP="00840C0F">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t>ج. التكامل بين الاعتماد الأكاديمي والأداء المؤسسي</w:t>
      </w:r>
    </w:p>
    <w:p w14:paraId="0D767C15" w14:textId="77777777" w:rsidR="00840C0F" w:rsidRPr="00DA72CE" w:rsidRDefault="00840C0F" w:rsidP="00840C0F">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hint="eastAsia"/>
          <w:spacing w:val="-8"/>
          <w:sz w:val="30"/>
          <w:szCs w:val="30"/>
          <w:rtl/>
        </w:rPr>
        <w:t>تُربط</w:t>
      </w:r>
      <w:r w:rsidRPr="00DA72CE">
        <w:rPr>
          <w:rFonts w:ascii="Sakkal Majalla" w:hAnsi="Sakkal Majalla" w:cs="Sakkal Majalla"/>
          <w:spacing w:val="-8"/>
          <w:sz w:val="30"/>
          <w:szCs w:val="30"/>
          <w:rtl/>
        </w:rPr>
        <w:t xml:space="preserve"> نتائج الأداء المؤسسي بعمليات الاعتماد الأكاديمي للبرامج والمؤسسة، مما يجعل القياس إلزامياً وذو عواقب مباشرة على اعتماد الجامعة. وتشير دراسة الجاسر (2023) أن متطلبات الاعتماد الأكاديمي تمثل دافعاً رئيسياً لتحسين الأداء المؤسسي في الجامعات السعودية، حي</w:t>
      </w:r>
      <w:r w:rsidRPr="00DA72CE">
        <w:rPr>
          <w:rFonts w:ascii="Sakkal Majalla" w:hAnsi="Sakkal Majalla" w:cs="Sakkal Majalla" w:hint="eastAsia"/>
          <w:spacing w:val="-8"/>
          <w:sz w:val="30"/>
          <w:szCs w:val="30"/>
          <w:rtl/>
        </w:rPr>
        <w:t>ث</w:t>
      </w:r>
      <w:r w:rsidRPr="00DA72CE">
        <w:rPr>
          <w:rFonts w:ascii="Sakkal Majalla" w:hAnsi="Sakkal Majalla" w:cs="Sakkal Majalla"/>
          <w:spacing w:val="-8"/>
          <w:sz w:val="30"/>
          <w:szCs w:val="30"/>
          <w:rtl/>
        </w:rPr>
        <w:t xml:space="preserve"> تصمم البرامج التدريبية وفقاً لهذه المتطلبات.</w:t>
      </w:r>
    </w:p>
    <w:p w14:paraId="38F3A62D" w14:textId="32D0B69D" w:rsidR="00840C0F" w:rsidRPr="00DA72CE" w:rsidRDefault="00840C0F" w:rsidP="00840C0F">
      <w:pPr>
        <w:bidi/>
        <w:spacing w:line="360" w:lineRule="auto"/>
        <w:ind w:firstLine="720"/>
        <w:jc w:val="both"/>
        <w:rPr>
          <w:rFonts w:ascii="Sakkal Majalla" w:hAnsi="Sakkal Majalla" w:cs="Sakkal Majalla"/>
          <w:b/>
          <w:bCs/>
          <w:spacing w:val="-4"/>
          <w:sz w:val="30"/>
          <w:szCs w:val="30"/>
        </w:rPr>
      </w:pPr>
      <w:r w:rsidRPr="00DA72CE">
        <w:rPr>
          <w:rFonts w:ascii="Sakkal Majalla" w:hAnsi="Sakkal Majalla" w:cs="Sakkal Majalla"/>
          <w:b/>
          <w:bCs/>
          <w:spacing w:val="-4"/>
          <w:sz w:val="30"/>
          <w:szCs w:val="30"/>
          <w:rtl/>
        </w:rPr>
        <w:lastRenderedPageBreak/>
        <w:t>د. التركيز على التحول الرقمي في القياس</w:t>
      </w:r>
    </w:p>
    <w:p w14:paraId="7B52DE54" w14:textId="77777777"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تتجه</w:t>
      </w:r>
      <w:r w:rsidRPr="00DA72CE">
        <w:rPr>
          <w:rFonts w:ascii="Sakkal Majalla" w:hAnsi="Sakkal Majalla" w:cs="Sakkal Majalla"/>
          <w:spacing w:val="-4"/>
          <w:sz w:val="30"/>
          <w:szCs w:val="30"/>
          <w:rtl/>
        </w:rPr>
        <w:t xml:space="preserve"> الجامعات السعودية نحو أنظمة قياس أداء رقمية متكاملة (</w:t>
      </w:r>
      <w:r w:rsidRPr="00DA72CE">
        <w:rPr>
          <w:rFonts w:ascii="Sakkal Majalla" w:hAnsi="Sakkal Majalla" w:cs="Sakkal Majalla"/>
          <w:spacing w:val="-4"/>
          <w:sz w:val="30"/>
          <w:szCs w:val="30"/>
        </w:rPr>
        <w:t>Dashboards</w:t>
      </w:r>
      <w:r w:rsidRPr="00DA72CE">
        <w:rPr>
          <w:rFonts w:ascii="Sakkal Majalla" w:hAnsi="Sakkal Majalla" w:cs="Sakkal Majalla"/>
          <w:spacing w:val="-4"/>
          <w:sz w:val="30"/>
          <w:szCs w:val="30"/>
          <w:rtl/>
        </w:rPr>
        <w:t>) تتيح متابعة المؤشرات لحظياً. وتؤكد دراسة عسيري والعمود (2024) أن التحول الرقمي في إدارة العمليات يساهم في تعزيز الشفافية وزيادة الكفاءة التنظيمية، مما ينعكس على دقة وسرعة قياس الأداء.</w:t>
      </w:r>
    </w:p>
    <w:p w14:paraId="6F13721F" w14:textId="2F8367EE" w:rsidR="00840C0F" w:rsidRPr="00DA72CE" w:rsidRDefault="0063363D" w:rsidP="0063363D">
      <w:pPr>
        <w:pStyle w:val="Heading3"/>
        <w:bidi/>
        <w:rPr>
          <w:spacing w:val="-4"/>
        </w:rPr>
      </w:pPr>
      <w:bookmarkStart w:id="55" w:name="_Toc224358914"/>
      <w:r w:rsidRPr="00DA72CE">
        <w:rPr>
          <w:rFonts w:hint="cs"/>
          <w:spacing w:val="-4"/>
          <w:rtl/>
        </w:rPr>
        <w:t>8.5</w:t>
      </w:r>
      <w:r w:rsidR="00840C0F" w:rsidRPr="00DA72CE">
        <w:rPr>
          <w:spacing w:val="-4"/>
          <w:rtl/>
        </w:rPr>
        <w:t xml:space="preserve"> معايير قياس الأداء في الجامعات الحكومية</w:t>
      </w:r>
      <w:bookmarkEnd w:id="55"/>
    </w:p>
    <w:p w14:paraId="2E4BA784" w14:textId="74A167AE" w:rsidR="00840C0F" w:rsidRPr="00DA72CE" w:rsidRDefault="00840C0F" w:rsidP="00840C0F">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hint="eastAsia"/>
          <w:spacing w:val="-4"/>
          <w:sz w:val="30"/>
          <w:szCs w:val="30"/>
          <w:rtl/>
        </w:rPr>
        <w:t>أولت</w:t>
      </w:r>
      <w:r w:rsidRPr="00DA72CE">
        <w:rPr>
          <w:rFonts w:ascii="Sakkal Majalla" w:hAnsi="Sakkal Majalla" w:cs="Sakkal Majalla"/>
          <w:spacing w:val="-4"/>
          <w:sz w:val="30"/>
          <w:szCs w:val="30"/>
          <w:rtl/>
        </w:rPr>
        <w:t xml:space="preserve"> الجامعات الحكومية في مدينة الرياض وغيرها اهتماماً متزايداً بقياس الأداء المؤسسي من خلال عدة معايير وآليات:</w:t>
      </w:r>
    </w:p>
    <w:p w14:paraId="33755127" w14:textId="5EAD7EC2" w:rsidR="00840C0F" w:rsidRPr="00DA72CE" w:rsidRDefault="00840C0F" w:rsidP="0063363D">
      <w:pPr>
        <w:bidi/>
        <w:spacing w:line="360" w:lineRule="auto"/>
        <w:ind w:firstLine="720"/>
        <w:jc w:val="both"/>
        <w:rPr>
          <w:rFonts w:ascii="Sakkal Majalla" w:hAnsi="Sakkal Majalla" w:cs="Sakkal Majalla"/>
          <w:spacing w:val="-8"/>
          <w:sz w:val="30"/>
          <w:szCs w:val="30"/>
        </w:rPr>
      </w:pPr>
      <w:r w:rsidRPr="00DA72CE">
        <w:rPr>
          <w:rFonts w:ascii="Sakkal Majalla" w:hAnsi="Sakkal Majalla" w:cs="Sakkal Majalla"/>
          <w:spacing w:val="-8"/>
          <w:sz w:val="30"/>
          <w:szCs w:val="30"/>
          <w:rtl/>
        </w:rPr>
        <w:t xml:space="preserve">أ. وحدات التميز </w:t>
      </w:r>
      <w:proofErr w:type="gramStart"/>
      <w:r w:rsidRPr="00DA72CE">
        <w:rPr>
          <w:rFonts w:ascii="Sakkal Majalla" w:hAnsi="Sakkal Majalla" w:cs="Sakkal Majalla"/>
          <w:spacing w:val="-8"/>
          <w:sz w:val="30"/>
          <w:szCs w:val="30"/>
          <w:rtl/>
        </w:rPr>
        <w:t>المؤسسي</w:t>
      </w:r>
      <w:r w:rsidR="0063363D" w:rsidRPr="00DA72CE">
        <w:rPr>
          <w:rFonts w:ascii="Sakkal Majalla" w:hAnsi="Sakkal Majalla" w:cs="Sakkal Majalla" w:hint="cs"/>
          <w:spacing w:val="-8"/>
          <w:sz w:val="30"/>
          <w:szCs w:val="30"/>
          <w:rtl/>
        </w:rPr>
        <w:t xml:space="preserve"> :</w:t>
      </w:r>
      <w:proofErr w:type="gramEnd"/>
      <w:r w:rsidR="0063363D" w:rsidRPr="00DA72CE">
        <w:rPr>
          <w:rFonts w:ascii="Sakkal Majalla" w:hAnsi="Sakkal Majalla" w:cs="Sakkal Majalla" w:hint="cs"/>
          <w:spacing w:val="-8"/>
          <w:sz w:val="30"/>
          <w:szCs w:val="30"/>
          <w:rtl/>
        </w:rPr>
        <w:t xml:space="preserve">  </w:t>
      </w:r>
      <w:r w:rsidRPr="00DA72CE">
        <w:rPr>
          <w:rFonts w:ascii="Sakkal Majalla" w:hAnsi="Sakkal Majalla" w:cs="Sakkal Majalla" w:hint="eastAsia"/>
          <w:spacing w:val="-8"/>
          <w:sz w:val="30"/>
          <w:szCs w:val="30"/>
          <w:rtl/>
        </w:rPr>
        <w:t>أنشأت</w:t>
      </w:r>
      <w:r w:rsidRPr="00DA72CE">
        <w:rPr>
          <w:rFonts w:ascii="Sakkal Majalla" w:hAnsi="Sakkal Majalla" w:cs="Sakkal Majalla"/>
          <w:spacing w:val="-8"/>
          <w:sz w:val="30"/>
          <w:szCs w:val="30"/>
          <w:rtl/>
        </w:rPr>
        <w:t xml:space="preserve"> العديد من الجامعات السعودية وحدات متخصصة للتميز المؤسسي تعمل على تطبيق المنهجيات والنماذج العلمية لتحقيق التميز وتأهيل الجهات إدارياً وأكاديمياً. وتشير دراسة [[5]] إلى أن وحدات التميز المؤسسي تلعب دوراً محورياً في تنسيق جهود القياس والتحسين داخل الجا</w:t>
      </w:r>
      <w:r w:rsidRPr="00DA72CE">
        <w:rPr>
          <w:rFonts w:ascii="Sakkal Majalla" w:hAnsi="Sakkal Majalla" w:cs="Sakkal Majalla" w:hint="eastAsia"/>
          <w:spacing w:val="-8"/>
          <w:sz w:val="30"/>
          <w:szCs w:val="30"/>
          <w:rtl/>
        </w:rPr>
        <w:t>معات</w:t>
      </w:r>
      <w:r w:rsidRPr="00DA72CE">
        <w:rPr>
          <w:rFonts w:ascii="Sakkal Majalla" w:hAnsi="Sakkal Majalla" w:cs="Sakkal Majalla"/>
          <w:spacing w:val="-8"/>
          <w:sz w:val="30"/>
          <w:szCs w:val="30"/>
          <w:rtl/>
        </w:rPr>
        <w:t>.</w:t>
      </w:r>
    </w:p>
    <w:p w14:paraId="34A160E8" w14:textId="38BC6D9C"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ب. مؤشرات الأداء الوطنية (</w:t>
      </w:r>
      <w:r w:rsidRPr="00DA72CE">
        <w:rPr>
          <w:rFonts w:ascii="Sakkal Majalla" w:hAnsi="Sakkal Majalla" w:cs="Sakkal Majalla"/>
          <w:b/>
          <w:bCs/>
          <w:spacing w:val="-4"/>
          <w:sz w:val="30"/>
          <w:szCs w:val="30"/>
        </w:rPr>
        <w:t>KPIs</w:t>
      </w:r>
      <w:proofErr w:type="gramStart"/>
      <w:r w:rsidRPr="00DA72CE">
        <w:rPr>
          <w:rFonts w:ascii="Sakkal Majalla" w:hAnsi="Sakkal Majalla" w:cs="Sakkal Majalla"/>
          <w:b/>
          <w:bCs/>
          <w:spacing w:val="-4"/>
          <w:sz w:val="30"/>
          <w:szCs w:val="30"/>
          <w:rtl/>
        </w:rPr>
        <w:t>)</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hint="eastAsia"/>
          <w:spacing w:val="-4"/>
          <w:sz w:val="30"/>
          <w:szCs w:val="30"/>
          <w:rtl/>
        </w:rPr>
        <w:t>تعتمد</w:t>
      </w:r>
      <w:r w:rsidRPr="00DA72CE">
        <w:rPr>
          <w:rFonts w:ascii="Sakkal Majalla" w:hAnsi="Sakkal Majalla" w:cs="Sakkal Majalla"/>
          <w:spacing w:val="-4"/>
          <w:sz w:val="30"/>
          <w:szCs w:val="30"/>
          <w:rtl/>
        </w:rPr>
        <w:t xml:space="preserve"> الجامعات السعودية على مؤشرات أداء وطنية تتوافق مع أهداف رؤية 2030، مثل: مؤشرات التصنيف العالمي للجامعات السعودية (</w:t>
      </w:r>
      <w:r w:rsidRPr="00DA72CE">
        <w:rPr>
          <w:rFonts w:ascii="Sakkal Majalla" w:hAnsi="Sakkal Majalla" w:cs="Sakkal Majalla"/>
          <w:spacing w:val="-4"/>
          <w:sz w:val="30"/>
          <w:szCs w:val="30"/>
        </w:rPr>
        <w:t>SGR</w:t>
      </w:r>
      <w:r w:rsidRPr="00DA72CE">
        <w:rPr>
          <w:rFonts w:ascii="Sakkal Majalla" w:hAnsi="Sakkal Majalla" w:cs="Sakkal Majalla"/>
          <w:spacing w:val="-4"/>
          <w:sz w:val="30"/>
          <w:szCs w:val="30"/>
          <w:rtl/>
        </w:rPr>
        <w:t>) التي تدعم التميز المؤسسي وتحسن الكفاءة والفعالية. وتشير دراسة [[39]] إلى أن هذا التصنيف يدعم التميز المؤسسي ويحسن الكفاءة والفعالية والاستدامة في مؤسسات التعليم العالي.</w:t>
      </w:r>
    </w:p>
    <w:p w14:paraId="37BE5262" w14:textId="468E33E1"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ج. متطلبات الاعتماد الأكاديمي (</w:t>
      </w:r>
      <w:r w:rsidRPr="00DA72CE">
        <w:rPr>
          <w:rFonts w:ascii="Sakkal Majalla" w:hAnsi="Sakkal Majalla" w:cs="Sakkal Majalla"/>
          <w:b/>
          <w:bCs/>
          <w:spacing w:val="-4"/>
          <w:sz w:val="30"/>
          <w:szCs w:val="30"/>
        </w:rPr>
        <w:t>NCAAA</w:t>
      </w:r>
      <w:proofErr w:type="gramStart"/>
      <w:r w:rsidRPr="00DA72CE">
        <w:rPr>
          <w:rFonts w:ascii="Sakkal Majalla" w:hAnsi="Sakkal Majalla" w:cs="Sakkal Majalla"/>
          <w:b/>
          <w:bCs/>
          <w:spacing w:val="-4"/>
          <w:sz w:val="30"/>
          <w:szCs w:val="30"/>
          <w:rtl/>
        </w:rPr>
        <w:t>)</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hint="eastAsia"/>
          <w:spacing w:val="-4"/>
          <w:sz w:val="30"/>
          <w:szCs w:val="30"/>
          <w:rtl/>
        </w:rPr>
        <w:t>تشكل</w:t>
      </w:r>
      <w:r w:rsidRPr="00DA72CE">
        <w:rPr>
          <w:rFonts w:ascii="Sakkal Majalla" w:hAnsi="Sakkal Majalla" w:cs="Sakkal Majalla"/>
          <w:spacing w:val="-4"/>
          <w:sz w:val="30"/>
          <w:szCs w:val="30"/>
          <w:rtl/>
        </w:rPr>
        <w:t xml:space="preserve"> متطلبات الهيئة الوطنية للتقويم والاعتماد الأكاديمي (</w:t>
      </w:r>
      <w:r w:rsidRPr="00DA72CE">
        <w:rPr>
          <w:rFonts w:ascii="Sakkal Majalla" w:hAnsi="Sakkal Majalla" w:cs="Sakkal Majalla"/>
          <w:spacing w:val="-4"/>
          <w:sz w:val="30"/>
          <w:szCs w:val="30"/>
        </w:rPr>
        <w:t>NCAAA</w:t>
      </w:r>
      <w:r w:rsidRPr="00DA72CE">
        <w:rPr>
          <w:rFonts w:ascii="Sakkal Majalla" w:hAnsi="Sakkal Majalla" w:cs="Sakkal Majalla"/>
          <w:spacing w:val="-4"/>
          <w:sz w:val="30"/>
          <w:szCs w:val="30"/>
          <w:rtl/>
        </w:rPr>
        <w:t>) إطاراً مرجعياً لقياس وتحسين الأداء المؤسسي في الجامعات السعودية. وتشير دراسة الجاسر (2023) إلى أن البرامج التدريبية المصممة وفقاً لمتطلبات الاعتماد الأكاديمي تساهم في تطوير أداء الموظفين الإدا</w:t>
      </w:r>
      <w:r w:rsidRPr="00DA72CE">
        <w:rPr>
          <w:rFonts w:ascii="Sakkal Majalla" w:hAnsi="Sakkal Majalla" w:cs="Sakkal Majalla" w:hint="eastAsia"/>
          <w:spacing w:val="-4"/>
          <w:sz w:val="30"/>
          <w:szCs w:val="30"/>
          <w:rtl/>
        </w:rPr>
        <w:t>ريين</w:t>
      </w:r>
      <w:r w:rsidRPr="00DA72CE">
        <w:rPr>
          <w:rFonts w:ascii="Sakkal Majalla" w:hAnsi="Sakkal Majalla" w:cs="Sakkal Majalla"/>
          <w:spacing w:val="-4"/>
          <w:sz w:val="30"/>
          <w:szCs w:val="30"/>
          <w:rtl/>
        </w:rPr>
        <w:t xml:space="preserve"> بالجامعات السعودية.</w:t>
      </w:r>
    </w:p>
    <w:p w14:paraId="763E818A" w14:textId="64A42088"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د. مبادرات التحول </w:t>
      </w:r>
      <w:proofErr w:type="gramStart"/>
      <w:r w:rsidRPr="00DA72CE">
        <w:rPr>
          <w:rFonts w:ascii="Sakkal Majalla" w:hAnsi="Sakkal Majalla" w:cs="Sakkal Majalla"/>
          <w:b/>
          <w:bCs/>
          <w:spacing w:val="-4"/>
          <w:sz w:val="30"/>
          <w:szCs w:val="30"/>
          <w:rtl/>
        </w:rPr>
        <w:t>الرقمي</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hint="eastAsia"/>
          <w:spacing w:val="-4"/>
          <w:sz w:val="30"/>
          <w:szCs w:val="30"/>
          <w:rtl/>
        </w:rPr>
        <w:t>تسهم</w:t>
      </w:r>
      <w:r w:rsidRPr="00DA72CE">
        <w:rPr>
          <w:rFonts w:ascii="Sakkal Majalla" w:hAnsi="Sakkal Majalla" w:cs="Sakkal Majalla"/>
          <w:spacing w:val="-4"/>
          <w:sz w:val="30"/>
          <w:szCs w:val="30"/>
          <w:rtl/>
        </w:rPr>
        <w:t xml:space="preserve"> مبادرات التحول الرقمي في الجامعات السعودية في تعزيز كفاءة وفعالية قياس الأداء المؤسسي من خلال أنظمة إلكترونية متكاملة. وتؤكد دراسة عسيري والعمود (2024) أن </w:t>
      </w:r>
      <w:r w:rsidRPr="00DA72CE">
        <w:rPr>
          <w:rFonts w:ascii="Sakkal Majalla" w:hAnsi="Sakkal Majalla" w:cs="Sakkal Majalla"/>
          <w:spacing w:val="-4"/>
          <w:sz w:val="30"/>
          <w:szCs w:val="30"/>
          <w:rtl/>
        </w:rPr>
        <w:lastRenderedPageBreak/>
        <w:t>تطبيق منهجية إدارة إجراءات العمل (</w:t>
      </w:r>
      <w:r w:rsidRPr="00DA72CE">
        <w:rPr>
          <w:rFonts w:ascii="Sakkal Majalla" w:hAnsi="Sakkal Majalla" w:cs="Sakkal Majalla"/>
          <w:spacing w:val="-4"/>
          <w:sz w:val="30"/>
          <w:szCs w:val="30"/>
        </w:rPr>
        <w:t>BPM</w:t>
      </w:r>
      <w:r w:rsidRPr="00DA72CE">
        <w:rPr>
          <w:rFonts w:ascii="Sakkal Majalla" w:hAnsi="Sakkal Majalla" w:cs="Sakkal Majalla"/>
          <w:spacing w:val="-4"/>
          <w:sz w:val="30"/>
          <w:szCs w:val="30"/>
          <w:rtl/>
        </w:rPr>
        <w:t>) يتطلب تدريب الكوادر البشرية على مهارات نمذجة وتحليل العمل</w:t>
      </w:r>
      <w:r w:rsidRPr="00DA72CE">
        <w:rPr>
          <w:rFonts w:ascii="Sakkal Majalla" w:hAnsi="Sakkal Majalla" w:cs="Sakkal Majalla" w:hint="eastAsia"/>
          <w:spacing w:val="-4"/>
          <w:sz w:val="30"/>
          <w:szCs w:val="30"/>
          <w:rtl/>
        </w:rPr>
        <w:t>يات</w:t>
      </w:r>
      <w:r w:rsidRPr="00DA72CE">
        <w:rPr>
          <w:rFonts w:ascii="Sakkal Majalla" w:hAnsi="Sakkal Majalla" w:cs="Sakkal Majalla"/>
          <w:spacing w:val="-4"/>
          <w:sz w:val="30"/>
          <w:szCs w:val="30"/>
          <w:rtl/>
        </w:rPr>
        <w:t xml:space="preserve"> لضمان مخرجات إدارية وأكاديمية تتوافق مع تطلعات رؤية المملكة 2030.</w:t>
      </w:r>
    </w:p>
    <w:p w14:paraId="2F25EB35" w14:textId="38D73ACD" w:rsidR="00840C0F" w:rsidRPr="00DA72CE" w:rsidRDefault="0063363D" w:rsidP="0063363D">
      <w:pPr>
        <w:pStyle w:val="Heading3"/>
        <w:bidi/>
        <w:rPr>
          <w:spacing w:val="-4"/>
        </w:rPr>
      </w:pPr>
      <w:bookmarkStart w:id="56" w:name="_Toc224358915"/>
      <w:r w:rsidRPr="00DA72CE">
        <w:rPr>
          <w:rFonts w:hint="cs"/>
          <w:spacing w:val="-4"/>
          <w:rtl/>
        </w:rPr>
        <w:t>9.5</w:t>
      </w:r>
      <w:r w:rsidR="00840C0F" w:rsidRPr="00DA72CE">
        <w:rPr>
          <w:spacing w:val="-4"/>
          <w:rtl/>
        </w:rPr>
        <w:t xml:space="preserve"> تحديات قياس الأداء المؤسسي في الجامعات</w:t>
      </w:r>
      <w:bookmarkEnd w:id="56"/>
    </w:p>
    <w:p w14:paraId="4CC8136C" w14:textId="2E69E293" w:rsidR="00840C0F" w:rsidRPr="00DA72CE" w:rsidRDefault="00840C0F" w:rsidP="00DA72CE">
      <w:pPr>
        <w:bidi/>
        <w:spacing w:line="360" w:lineRule="auto"/>
        <w:jc w:val="both"/>
        <w:rPr>
          <w:rFonts w:ascii="Sakkal Majalla" w:hAnsi="Sakkal Majalla" w:cs="Sakkal Majalla"/>
          <w:spacing w:val="-8"/>
          <w:sz w:val="30"/>
          <w:szCs w:val="30"/>
        </w:rPr>
      </w:pPr>
      <w:r w:rsidRPr="00DA72CE">
        <w:rPr>
          <w:rFonts w:ascii="Sakkal Majalla" w:hAnsi="Sakkal Majalla" w:cs="Sakkal Majalla" w:hint="eastAsia"/>
          <w:spacing w:val="-8"/>
          <w:sz w:val="30"/>
          <w:szCs w:val="30"/>
          <w:rtl/>
        </w:rPr>
        <w:t>على</w:t>
      </w:r>
      <w:r w:rsidRPr="00DA72CE">
        <w:rPr>
          <w:rFonts w:ascii="Sakkal Majalla" w:hAnsi="Sakkal Majalla" w:cs="Sakkal Majalla"/>
          <w:spacing w:val="-8"/>
          <w:sz w:val="30"/>
          <w:szCs w:val="30"/>
          <w:rtl/>
        </w:rPr>
        <w:t xml:space="preserve"> الرغم من الاهتمام الكبير بقياس الأداء، إلا أن هناك تحديات تواجه الجامعات السعودية في هذه العملية:</w:t>
      </w:r>
    </w:p>
    <w:p w14:paraId="5F4CD1C7" w14:textId="13BD4811"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أ. تحديات تتعلق </w:t>
      </w:r>
      <w:proofErr w:type="gramStart"/>
      <w:r w:rsidRPr="00DA72CE">
        <w:rPr>
          <w:rFonts w:ascii="Sakkal Majalla" w:hAnsi="Sakkal Majalla" w:cs="Sakkal Majalla"/>
          <w:b/>
          <w:bCs/>
          <w:spacing w:val="-4"/>
          <w:sz w:val="30"/>
          <w:szCs w:val="30"/>
          <w:rtl/>
        </w:rPr>
        <w:t>بالبيانات</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hint="eastAsia"/>
          <w:spacing w:val="-4"/>
          <w:sz w:val="30"/>
          <w:szCs w:val="30"/>
          <w:rtl/>
        </w:rPr>
        <w:t>تشمل</w:t>
      </w:r>
      <w:r w:rsidRPr="00DA72CE">
        <w:rPr>
          <w:rFonts w:ascii="Sakkal Majalla" w:hAnsi="Sakkal Majalla" w:cs="Sakkal Majalla"/>
          <w:spacing w:val="-4"/>
          <w:sz w:val="30"/>
          <w:szCs w:val="30"/>
          <w:rtl/>
        </w:rPr>
        <w:t xml:space="preserve"> صعوبة توفر البيانات الدقيقة والحديثة، وتشتت البيانات بين الإدارات المختلفة، وعدم توحيد تعريفات المؤشرات. وتشير دراسة النصير (2023) إلى أن أبرز التحديات في قياس الأداء تتمثل في الحاجة لتطوير الكوادر البشرية وزيادة الوعي بثقافة القياس، بالإضافة إلى وجود بعض الإجراءات الروتينية التي تعيق سرعة تنفيذ مبادرات التميز.</w:t>
      </w:r>
    </w:p>
    <w:p w14:paraId="6FC757DC" w14:textId="19E1AD20"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ب. تحديات ثقافية وتنظيمية</w:t>
      </w:r>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hint="eastAsia"/>
          <w:spacing w:val="-4"/>
          <w:sz w:val="30"/>
          <w:szCs w:val="30"/>
          <w:rtl/>
        </w:rPr>
        <w:t>تشمل</w:t>
      </w:r>
      <w:r w:rsidRPr="00DA72CE">
        <w:rPr>
          <w:rFonts w:ascii="Sakkal Majalla" w:hAnsi="Sakkal Majalla" w:cs="Sakkal Majalla"/>
          <w:spacing w:val="-4"/>
          <w:sz w:val="30"/>
          <w:szCs w:val="30"/>
          <w:rtl/>
        </w:rPr>
        <w:t xml:space="preserve"> مقاومة بعض العاملين للقياس خوفاً من المحاسبة، وضعف ثقافة استخدام البيانات في اتخاذ القرار. وتؤكد دراسة صديق (2019) إلى ضرورة تعزيز الثقافة التنظيمية الداعمة للتميز، وتطوير مهارات العاملين بشكل مستمر، والتركيز على الصحة والسلامة المهنية كجزء لا يتجزأ م</w:t>
      </w:r>
      <w:r w:rsidRPr="00DA72CE">
        <w:rPr>
          <w:rFonts w:ascii="Sakkal Majalla" w:hAnsi="Sakkal Majalla" w:cs="Sakkal Majalla" w:hint="eastAsia"/>
          <w:spacing w:val="-4"/>
          <w:sz w:val="30"/>
          <w:szCs w:val="30"/>
          <w:rtl/>
        </w:rPr>
        <w:t>ن</w:t>
      </w:r>
      <w:r w:rsidRPr="00DA72CE">
        <w:rPr>
          <w:rFonts w:ascii="Sakkal Majalla" w:hAnsi="Sakkal Majalla" w:cs="Sakkal Majalla"/>
          <w:spacing w:val="-4"/>
          <w:sz w:val="30"/>
          <w:szCs w:val="30"/>
          <w:rtl/>
        </w:rPr>
        <w:t xml:space="preserve"> استراتيجية التميز الشامل، وهو ما ينطبق على ثقافة القياس.</w:t>
      </w:r>
    </w:p>
    <w:p w14:paraId="35E5478D" w14:textId="201724B4"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ج. تحديات تتعلق </w:t>
      </w:r>
      <w:proofErr w:type="gramStart"/>
      <w:r w:rsidRPr="00DA72CE">
        <w:rPr>
          <w:rFonts w:ascii="Sakkal Majalla" w:hAnsi="Sakkal Majalla" w:cs="Sakkal Majalla"/>
          <w:b/>
          <w:bCs/>
          <w:spacing w:val="-4"/>
          <w:sz w:val="30"/>
          <w:szCs w:val="30"/>
          <w:rtl/>
        </w:rPr>
        <w:t>بالموارد</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hint="eastAsia"/>
          <w:spacing w:val="-4"/>
          <w:sz w:val="30"/>
          <w:szCs w:val="30"/>
          <w:rtl/>
        </w:rPr>
        <w:t>تشمل</w:t>
      </w:r>
      <w:r w:rsidRPr="00DA72CE">
        <w:rPr>
          <w:rFonts w:ascii="Sakkal Majalla" w:hAnsi="Sakkal Majalla" w:cs="Sakkal Majalla"/>
          <w:spacing w:val="-4"/>
          <w:sz w:val="30"/>
          <w:szCs w:val="30"/>
          <w:rtl/>
        </w:rPr>
        <w:t xml:space="preserve"> نقص الكوادر المتخصصة في قياس الأداء، ومحدودية الميزانيات المخصصة لأنظمة القياس والتقييم. وتشير دراسة عبد العال (2023) إلى وجود تحديات إدارية ومالية تواجه الكليات في استيفاء معايير التميز، وأبرزت النتائج الحاجة الماسة لتطوير منظومة الرعاية الصحية والخد</w:t>
      </w:r>
      <w:r w:rsidRPr="00DA72CE">
        <w:rPr>
          <w:rFonts w:ascii="Sakkal Majalla" w:hAnsi="Sakkal Majalla" w:cs="Sakkal Majalla" w:hint="eastAsia"/>
          <w:spacing w:val="-4"/>
          <w:sz w:val="30"/>
          <w:szCs w:val="30"/>
          <w:rtl/>
        </w:rPr>
        <w:t>مات</w:t>
      </w:r>
      <w:r w:rsidRPr="00DA72CE">
        <w:rPr>
          <w:rFonts w:ascii="Sakkal Majalla" w:hAnsi="Sakkal Majalla" w:cs="Sakkal Majalla"/>
          <w:spacing w:val="-4"/>
          <w:sz w:val="30"/>
          <w:szCs w:val="30"/>
          <w:rtl/>
        </w:rPr>
        <w:t xml:space="preserve"> الاجتماعية المقدمة للأكاديميين كحافز لرفع الأداء المؤسسي، وهو ما ينطبق على موارد قياس الأداء.</w:t>
      </w:r>
    </w:p>
    <w:p w14:paraId="2E88503F" w14:textId="028D34C8" w:rsidR="00840C0F" w:rsidRPr="00DA72CE" w:rsidRDefault="00840C0F" w:rsidP="0063363D">
      <w:pPr>
        <w:bidi/>
        <w:spacing w:line="360" w:lineRule="auto"/>
        <w:ind w:firstLine="720"/>
        <w:jc w:val="both"/>
        <w:rPr>
          <w:rFonts w:ascii="Sakkal Majalla" w:hAnsi="Sakkal Majalla" w:cs="Sakkal Majalla"/>
          <w:spacing w:val="-4"/>
          <w:sz w:val="30"/>
          <w:szCs w:val="30"/>
        </w:rPr>
      </w:pPr>
      <w:r w:rsidRPr="00DA72CE">
        <w:rPr>
          <w:rFonts w:ascii="Sakkal Majalla" w:hAnsi="Sakkal Majalla" w:cs="Sakkal Majalla"/>
          <w:b/>
          <w:bCs/>
          <w:spacing w:val="-4"/>
          <w:sz w:val="30"/>
          <w:szCs w:val="30"/>
          <w:rtl/>
        </w:rPr>
        <w:t xml:space="preserve">د. تحديات التكامل بين </w:t>
      </w:r>
      <w:proofErr w:type="gramStart"/>
      <w:r w:rsidRPr="00DA72CE">
        <w:rPr>
          <w:rFonts w:ascii="Sakkal Majalla" w:hAnsi="Sakkal Majalla" w:cs="Sakkal Majalla"/>
          <w:b/>
          <w:bCs/>
          <w:spacing w:val="-4"/>
          <w:sz w:val="30"/>
          <w:szCs w:val="30"/>
          <w:rtl/>
        </w:rPr>
        <w:t>المؤشرات</w:t>
      </w:r>
      <w:r w:rsidR="0063363D" w:rsidRPr="00DA72CE">
        <w:rPr>
          <w:rFonts w:ascii="Sakkal Majalla" w:hAnsi="Sakkal Majalla" w:cs="Sakkal Majalla" w:hint="cs"/>
          <w:b/>
          <w:bCs/>
          <w:spacing w:val="-4"/>
          <w:sz w:val="30"/>
          <w:szCs w:val="30"/>
          <w:rtl/>
        </w:rPr>
        <w:t xml:space="preserve"> :</w:t>
      </w:r>
      <w:proofErr w:type="gramEnd"/>
      <w:r w:rsidR="0063363D" w:rsidRPr="00DA72CE">
        <w:rPr>
          <w:rFonts w:ascii="Sakkal Majalla" w:hAnsi="Sakkal Majalla" w:cs="Sakkal Majalla" w:hint="cs"/>
          <w:b/>
          <w:bCs/>
          <w:spacing w:val="-4"/>
          <w:sz w:val="30"/>
          <w:szCs w:val="30"/>
          <w:rtl/>
        </w:rPr>
        <w:t xml:space="preserve"> </w:t>
      </w:r>
      <w:r w:rsidRPr="00DA72CE">
        <w:rPr>
          <w:rFonts w:ascii="Sakkal Majalla" w:hAnsi="Sakkal Majalla" w:cs="Sakkal Majalla" w:hint="eastAsia"/>
          <w:spacing w:val="-4"/>
          <w:sz w:val="30"/>
          <w:szCs w:val="30"/>
          <w:rtl/>
        </w:rPr>
        <w:t>تشمل</w:t>
      </w:r>
      <w:r w:rsidRPr="00DA72CE">
        <w:rPr>
          <w:rFonts w:ascii="Sakkal Majalla" w:hAnsi="Sakkal Majalla" w:cs="Sakkal Majalla"/>
          <w:spacing w:val="-4"/>
          <w:sz w:val="30"/>
          <w:szCs w:val="30"/>
          <w:rtl/>
        </w:rPr>
        <w:t xml:space="preserve"> صعوبة الربط بين مؤشرات الأداء الفردية والمؤسسية، وعدم وضوح العلاقة بين بعض المؤشرات والأهداف الاستراتيجية. وتؤكد دراسة موسى (2024) أن أثر برامج التميز المؤسسي على تحديد الرؤية التعليمية يتطلب مؤشرات كمية قابلة للقياس لتقييم التقدم نحو تحقيق الأهداف ال</w:t>
      </w:r>
      <w:r w:rsidRPr="00DA72CE">
        <w:rPr>
          <w:rFonts w:ascii="Sakkal Majalla" w:hAnsi="Sakkal Majalla" w:cs="Sakkal Majalla" w:hint="eastAsia"/>
          <w:spacing w:val="-4"/>
          <w:sz w:val="30"/>
          <w:szCs w:val="30"/>
          <w:rtl/>
        </w:rPr>
        <w:t>استراتيجية،</w:t>
      </w:r>
      <w:r w:rsidRPr="00DA72CE">
        <w:rPr>
          <w:rFonts w:ascii="Sakkal Majalla" w:hAnsi="Sakkal Majalla" w:cs="Sakkal Majalla"/>
          <w:spacing w:val="-4"/>
          <w:sz w:val="30"/>
          <w:szCs w:val="30"/>
          <w:rtl/>
        </w:rPr>
        <w:t xml:space="preserve"> وهو ما يتطلب تكاملاً دقيقاً.</w:t>
      </w:r>
    </w:p>
    <w:p w14:paraId="24792699" w14:textId="56CA7979" w:rsidR="008555E2" w:rsidRPr="00DA72CE" w:rsidRDefault="008555E2">
      <w:pPr>
        <w:rPr>
          <w:rFonts w:ascii="Sakkal Majalla" w:hAnsi="Sakkal Majalla" w:cs="Sakkal Majalla"/>
          <w:spacing w:val="-4"/>
          <w:sz w:val="30"/>
          <w:szCs w:val="30"/>
          <w:rtl/>
        </w:rPr>
      </w:pPr>
      <w:r w:rsidRPr="00DA72CE">
        <w:rPr>
          <w:rFonts w:ascii="Sakkal Majalla" w:hAnsi="Sakkal Majalla" w:cs="Sakkal Majalla"/>
          <w:spacing w:val="-4"/>
          <w:sz w:val="30"/>
          <w:szCs w:val="30"/>
          <w:rtl/>
        </w:rPr>
        <w:br w:type="page"/>
      </w:r>
    </w:p>
    <w:p w14:paraId="044D752D" w14:textId="49B1A8F5" w:rsidR="00CE5C57" w:rsidRPr="00DA72CE" w:rsidRDefault="00CE5C57" w:rsidP="00CE5C57">
      <w:pPr>
        <w:rPr>
          <w:rFonts w:ascii="Sakkal Majalla" w:hAnsi="Sakkal Majalla" w:cs="Sakkal Majalla"/>
          <w:b/>
          <w:bCs/>
          <w:spacing w:val="-4"/>
          <w:sz w:val="30"/>
          <w:szCs w:val="30"/>
          <w:rtl/>
          <w:lang w:val="en-GB"/>
        </w:rPr>
      </w:pPr>
      <w:r w:rsidRPr="00DA72CE">
        <w:rPr>
          <w:rFonts w:ascii="Times New Roman"/>
          <w:b/>
          <w:noProof/>
          <w:spacing w:val="-4"/>
          <w:szCs w:val="24"/>
        </w:rPr>
        <w:lastRenderedPageBreak/>
        <w:drawing>
          <wp:anchor distT="0" distB="0" distL="114300" distR="114300" simplePos="0" relativeHeight="251659269" behindDoc="0" locked="0" layoutInCell="1" allowOverlap="1" wp14:anchorId="3FABA522" wp14:editId="7FF12BD6">
            <wp:simplePos x="0" y="0"/>
            <wp:positionH relativeFrom="margin">
              <wp:posOffset>-292798</wp:posOffset>
            </wp:positionH>
            <wp:positionV relativeFrom="margin">
              <wp:posOffset>221472</wp:posOffset>
            </wp:positionV>
            <wp:extent cx="1516380" cy="666115"/>
            <wp:effectExtent l="0" t="0" r="7620" b="635"/>
            <wp:wrapSquare wrapText="bothSides"/>
            <wp:docPr id="16145454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D9F0C90" w14:textId="77777777" w:rsidR="00CE5C57" w:rsidRPr="00DA72CE" w:rsidRDefault="00CE5C57" w:rsidP="00CE5C57">
      <w:pPr>
        <w:rPr>
          <w:rFonts w:ascii="Sakkal Majalla" w:hAnsi="Sakkal Majalla" w:cs="Sakkal Majalla"/>
          <w:b/>
          <w:bCs/>
          <w:spacing w:val="-4"/>
          <w:sz w:val="30"/>
          <w:szCs w:val="30"/>
          <w:rtl/>
          <w:lang w:val="en-GB"/>
        </w:rPr>
      </w:pPr>
    </w:p>
    <w:p w14:paraId="7683C4AB" w14:textId="77777777" w:rsidR="00CE5C57" w:rsidRPr="00DA72CE" w:rsidRDefault="00CE5C57" w:rsidP="00CE5C57">
      <w:pPr>
        <w:jc w:val="center"/>
        <w:rPr>
          <w:rFonts w:ascii="Sakkal Majalla" w:hAnsi="Sakkal Majalla" w:cs="Sakkal Majalla"/>
          <w:b/>
          <w:bCs/>
          <w:spacing w:val="-4"/>
          <w:sz w:val="30"/>
          <w:szCs w:val="30"/>
          <w:rtl/>
          <w:lang w:val="en-GB"/>
        </w:rPr>
      </w:pPr>
    </w:p>
    <w:p w14:paraId="40F3F4F9" w14:textId="77777777" w:rsidR="00CE5C57" w:rsidRPr="00DA72CE" w:rsidRDefault="00CE5C57" w:rsidP="00CE5C57">
      <w:pPr>
        <w:jc w:val="center"/>
        <w:rPr>
          <w:rFonts w:ascii="Sakkal Majalla" w:hAnsi="Sakkal Majalla" w:cs="Sakkal Majalla"/>
          <w:b/>
          <w:bCs/>
          <w:spacing w:val="-4"/>
          <w:sz w:val="30"/>
          <w:szCs w:val="30"/>
          <w:rtl/>
          <w:lang w:val="en-GB"/>
        </w:rPr>
      </w:pPr>
    </w:p>
    <w:p w14:paraId="749D2F44" w14:textId="77777777" w:rsidR="00CE5C57" w:rsidRPr="00DA72CE" w:rsidRDefault="00CE5C57" w:rsidP="00CE5C57">
      <w:pPr>
        <w:jc w:val="center"/>
        <w:rPr>
          <w:rFonts w:ascii="Sakkal Majalla" w:hAnsi="Sakkal Majalla" w:cs="Sakkal Majalla"/>
          <w:b/>
          <w:bCs/>
          <w:spacing w:val="-4"/>
          <w:sz w:val="30"/>
          <w:szCs w:val="30"/>
          <w:rtl/>
          <w:lang w:val="en-GB"/>
        </w:rPr>
      </w:pPr>
      <w:proofErr w:type="spellStart"/>
      <w:r w:rsidRPr="00DA72CE">
        <w:rPr>
          <w:rFonts w:ascii="Sakkal Majalla" w:hAnsi="Sakkal Majalla" w:cs="Sakkal Majalla"/>
          <w:b/>
          <w:bCs/>
          <w:spacing w:val="-4"/>
          <w:sz w:val="30"/>
          <w:szCs w:val="30"/>
          <w:lang w:val="en-GB"/>
        </w:rPr>
        <w:t>Medeoush</w:t>
      </w:r>
      <w:proofErr w:type="spellEnd"/>
      <w:r w:rsidRPr="00DA72CE">
        <w:rPr>
          <w:rFonts w:ascii="Sakkal Majalla" w:hAnsi="Sakkal Majalla" w:cs="Sakkal Majalla"/>
          <w:b/>
          <w:bCs/>
          <w:spacing w:val="-4"/>
          <w:sz w:val="30"/>
          <w:szCs w:val="30"/>
          <w:lang w:val="en-GB"/>
        </w:rPr>
        <w:t xml:space="preserve"> University</w:t>
      </w:r>
      <w:r w:rsidRPr="00DA72CE">
        <w:rPr>
          <w:rFonts w:ascii="Sakkal Majalla" w:hAnsi="Sakkal Majalla" w:cs="Sakkal Majalla"/>
          <w:spacing w:val="-4"/>
          <w:sz w:val="30"/>
          <w:szCs w:val="30"/>
          <w:lang w:val="en-GB"/>
        </w:rPr>
        <w:br/>
      </w:r>
      <w:r w:rsidRPr="00DA72CE">
        <w:rPr>
          <w:rFonts w:ascii="Sakkal Majalla" w:hAnsi="Sakkal Majalla" w:cs="Sakkal Majalla"/>
          <w:b/>
          <w:bCs/>
          <w:spacing w:val="-4"/>
          <w:sz w:val="30"/>
          <w:szCs w:val="30"/>
          <w:lang w:val="en-GB"/>
        </w:rPr>
        <w:t>College of Management</w:t>
      </w:r>
      <w:r w:rsidRPr="00DA72CE">
        <w:rPr>
          <w:rFonts w:ascii="Sakkal Majalla" w:hAnsi="Sakkal Majalla" w:cs="Sakkal Majalla"/>
          <w:spacing w:val="-4"/>
          <w:sz w:val="30"/>
          <w:szCs w:val="30"/>
          <w:lang w:val="en-GB"/>
        </w:rPr>
        <w:br/>
      </w:r>
    </w:p>
    <w:p w14:paraId="037745BD" w14:textId="77777777" w:rsidR="00CE5C57" w:rsidRPr="00DA72CE" w:rsidRDefault="00CE5C57" w:rsidP="00CE5C57">
      <w:pPr>
        <w:jc w:val="center"/>
        <w:rPr>
          <w:rFonts w:ascii="Sakkal Majalla" w:hAnsi="Sakkal Majalla" w:cs="Sakkal Majalla"/>
          <w:b/>
          <w:bCs/>
          <w:spacing w:val="-4"/>
          <w:sz w:val="30"/>
          <w:szCs w:val="30"/>
          <w:rtl/>
          <w:lang w:val="en-GB"/>
        </w:rPr>
      </w:pPr>
    </w:p>
    <w:p w14:paraId="46AD1869" w14:textId="102C02E2" w:rsidR="00CE5C57" w:rsidRPr="00DA72CE" w:rsidRDefault="00CE5C57" w:rsidP="00CE5C57">
      <w:pPr>
        <w:spacing w:line="360" w:lineRule="auto"/>
        <w:jc w:val="center"/>
        <w:rPr>
          <w:rFonts w:asciiTheme="majorBidi" w:hAnsiTheme="majorBidi" w:cstheme="majorBidi"/>
          <w:b/>
          <w:bCs/>
          <w:spacing w:val="-4"/>
          <w:sz w:val="34"/>
          <w:szCs w:val="34"/>
          <w:rtl/>
          <w:lang w:val="en-GB"/>
        </w:rPr>
      </w:pPr>
      <w:r w:rsidRPr="00DA72CE">
        <w:rPr>
          <w:rFonts w:asciiTheme="majorBidi" w:hAnsiTheme="majorBidi" w:cstheme="majorBidi"/>
          <w:b/>
          <w:bCs/>
          <w:spacing w:val="-4"/>
          <w:sz w:val="34"/>
          <w:szCs w:val="34"/>
          <w:lang w:val="en-GB"/>
        </w:rPr>
        <w:t>The Role of Institutional Excellence in Enhancing Human Resource Management and Institutional Performance: A Field Study on Public Universities in Riyadh.</w:t>
      </w:r>
    </w:p>
    <w:p w14:paraId="4F42E49B" w14:textId="77777777" w:rsidR="00CE5C57" w:rsidRPr="00DA72CE" w:rsidRDefault="00CE5C57" w:rsidP="00CE5C57">
      <w:pPr>
        <w:jc w:val="center"/>
        <w:rPr>
          <w:rFonts w:ascii="Sakkal Majalla" w:hAnsi="Sakkal Majalla" w:cs="Sakkal Majalla"/>
          <w:b/>
          <w:bCs/>
          <w:spacing w:val="-4"/>
          <w:sz w:val="30"/>
          <w:szCs w:val="30"/>
          <w:rtl/>
          <w:lang w:val="en-GB"/>
        </w:rPr>
      </w:pPr>
    </w:p>
    <w:p w14:paraId="23731DA7" w14:textId="77777777" w:rsidR="00CE5C57" w:rsidRPr="00DA72CE" w:rsidRDefault="00CE5C57" w:rsidP="00CE5C57">
      <w:pPr>
        <w:rPr>
          <w:rFonts w:ascii="Sakkal Majalla" w:hAnsi="Sakkal Majalla" w:cs="Sakkal Majalla"/>
          <w:spacing w:val="-4"/>
          <w:sz w:val="30"/>
          <w:szCs w:val="30"/>
          <w:rtl/>
          <w:lang w:val="en-GB"/>
        </w:rPr>
      </w:pPr>
    </w:p>
    <w:p w14:paraId="09FC2847" w14:textId="77777777" w:rsidR="00CE5C57" w:rsidRPr="00DA72CE" w:rsidRDefault="00CE5C57" w:rsidP="00CE5C57">
      <w:pPr>
        <w:jc w:val="center"/>
        <w:rPr>
          <w:rFonts w:ascii="Sakkal Majalla" w:hAnsi="Sakkal Majalla" w:cs="Sakkal Majalla"/>
          <w:b/>
          <w:bCs/>
          <w:spacing w:val="-4"/>
          <w:sz w:val="42"/>
          <w:szCs w:val="42"/>
          <w:rtl/>
          <w:lang w:val="en-GB"/>
        </w:rPr>
      </w:pPr>
      <w:r w:rsidRPr="00DA72CE">
        <w:rPr>
          <w:rFonts w:ascii="Sakkal Majalla" w:hAnsi="Sakkal Majalla" w:cs="Sakkal Majalla"/>
          <w:b/>
          <w:bCs/>
          <w:spacing w:val="-4"/>
          <w:sz w:val="42"/>
          <w:szCs w:val="42"/>
          <w:lang w:val="en-GB"/>
        </w:rPr>
        <w:t>Prepared by: Fahd Al-Mohammed</w:t>
      </w:r>
    </w:p>
    <w:p w14:paraId="798E5A7E" w14:textId="12455C8C" w:rsidR="00CE5C57" w:rsidRPr="00DA72CE" w:rsidRDefault="00CE5C57" w:rsidP="00CE5C57">
      <w:pPr>
        <w:jc w:val="center"/>
        <w:rPr>
          <w:rFonts w:ascii="Sakkal Majalla" w:hAnsi="Sakkal Majalla" w:cs="Sakkal Majalla"/>
          <w:spacing w:val="-4"/>
          <w:sz w:val="30"/>
          <w:szCs w:val="30"/>
          <w:lang w:val="en-GB"/>
        </w:rPr>
      </w:pPr>
      <w:r w:rsidRPr="00DA72CE">
        <w:rPr>
          <w:rFonts w:ascii="Sakkal Majalla" w:hAnsi="Sakkal Majalla" w:cs="Sakkal Majalla"/>
          <w:spacing w:val="-4"/>
          <w:sz w:val="30"/>
          <w:szCs w:val="30"/>
          <w:lang w:val="en-GB"/>
        </w:rPr>
        <w:br/>
        <w:t>Kingdom of Saudi Arabia</w:t>
      </w:r>
      <w:r w:rsidRPr="00DA72CE">
        <w:rPr>
          <w:rFonts w:ascii="Sakkal Majalla" w:hAnsi="Sakkal Majalla" w:cs="Sakkal Majalla"/>
          <w:spacing w:val="-4"/>
          <w:sz w:val="30"/>
          <w:szCs w:val="30"/>
          <w:lang w:val="en-GB"/>
        </w:rPr>
        <w:br/>
        <w:t xml:space="preserve">A thesis submitted to </w:t>
      </w:r>
      <w:proofErr w:type="spellStart"/>
      <w:r w:rsidRPr="00DA72CE">
        <w:rPr>
          <w:rFonts w:ascii="Sakkal Majalla" w:hAnsi="Sakkal Majalla" w:cs="Sakkal Majalla"/>
          <w:spacing w:val="-4"/>
          <w:sz w:val="30"/>
          <w:szCs w:val="30"/>
          <w:lang w:val="en-GB"/>
        </w:rPr>
        <w:t>Medeoush</w:t>
      </w:r>
      <w:proofErr w:type="spellEnd"/>
      <w:r w:rsidRPr="00DA72CE">
        <w:rPr>
          <w:rFonts w:ascii="Sakkal Majalla" w:hAnsi="Sakkal Majalla" w:cs="Sakkal Majalla"/>
          <w:spacing w:val="-4"/>
          <w:sz w:val="30"/>
          <w:szCs w:val="30"/>
          <w:lang w:val="en-GB"/>
        </w:rPr>
        <w:t xml:space="preserve"> University in partial </w:t>
      </w:r>
      <w:proofErr w:type="spellStart"/>
      <w:r w:rsidRPr="00DA72CE">
        <w:rPr>
          <w:rFonts w:ascii="Sakkal Majalla" w:hAnsi="Sakkal Majalla" w:cs="Sakkal Majalla"/>
          <w:spacing w:val="-4"/>
          <w:sz w:val="30"/>
          <w:szCs w:val="30"/>
          <w:lang w:val="en-GB"/>
        </w:rPr>
        <w:t>fulfillment</w:t>
      </w:r>
      <w:proofErr w:type="spellEnd"/>
      <w:r w:rsidRPr="00DA72CE">
        <w:rPr>
          <w:rFonts w:ascii="Sakkal Majalla" w:hAnsi="Sakkal Majalla" w:cs="Sakkal Majalla"/>
          <w:spacing w:val="-4"/>
          <w:sz w:val="30"/>
          <w:szCs w:val="30"/>
          <w:lang w:val="en-GB"/>
        </w:rPr>
        <w:t xml:space="preserve"> of the requirements for the Master's degree in Business Administration.</w:t>
      </w:r>
    </w:p>
    <w:p w14:paraId="77FD6C04" w14:textId="77777777" w:rsidR="00DA72CE" w:rsidRPr="00DA72CE" w:rsidRDefault="00DA72CE" w:rsidP="00DA72CE">
      <w:pPr>
        <w:jc w:val="center"/>
        <w:rPr>
          <w:rFonts w:ascii="Sakkal Majalla" w:hAnsi="Sakkal Majalla" w:cs="Sakkal Majalla"/>
          <w:b/>
          <w:bCs/>
          <w:spacing w:val="-4"/>
          <w:sz w:val="42"/>
          <w:szCs w:val="42"/>
          <w:rtl/>
          <w:lang w:val="en-GB"/>
        </w:rPr>
      </w:pPr>
      <w:r w:rsidRPr="00DA72CE">
        <w:rPr>
          <w:rFonts w:ascii="Sakkal Majalla" w:hAnsi="Sakkal Majalla" w:cs="Sakkal Majalla"/>
          <w:b/>
          <w:bCs/>
          <w:spacing w:val="-4"/>
          <w:sz w:val="42"/>
          <w:szCs w:val="42"/>
          <w:lang w:val="en-GB"/>
        </w:rPr>
        <w:t xml:space="preserve">Supervised by: </w:t>
      </w:r>
    </w:p>
    <w:p w14:paraId="5025DC06" w14:textId="77777777" w:rsidR="00DA72CE" w:rsidRPr="00DA72CE" w:rsidRDefault="00DA72CE" w:rsidP="00DA72CE">
      <w:pPr>
        <w:jc w:val="center"/>
        <w:rPr>
          <w:rFonts w:ascii="Sakkal Majalla" w:hAnsi="Sakkal Majalla" w:cs="Sakkal Majalla"/>
          <w:b/>
          <w:bCs/>
          <w:spacing w:val="-4"/>
          <w:sz w:val="42"/>
          <w:szCs w:val="42"/>
        </w:rPr>
      </w:pPr>
      <w:proofErr w:type="spellStart"/>
      <w:r w:rsidRPr="00DA72CE">
        <w:rPr>
          <w:rFonts w:ascii="Sakkal Majalla" w:hAnsi="Sakkal Majalla" w:cs="Sakkal Majalla" w:hint="cs"/>
          <w:b/>
          <w:bCs/>
          <w:spacing w:val="-4"/>
          <w:sz w:val="42"/>
          <w:szCs w:val="42"/>
          <w:lang w:val="en-GB"/>
        </w:rPr>
        <w:t>Dr.</w:t>
      </w:r>
      <w:proofErr w:type="spellEnd"/>
      <w:r w:rsidRPr="00DA72CE">
        <w:rPr>
          <w:rFonts w:ascii="Sakkal Majalla" w:hAnsi="Sakkal Majalla" w:cs="Sakkal Majalla" w:hint="cs"/>
          <w:b/>
          <w:bCs/>
          <w:spacing w:val="-4"/>
          <w:sz w:val="42"/>
          <w:szCs w:val="42"/>
          <w:lang w:val="en-GB"/>
        </w:rPr>
        <w:t xml:space="preserve"> Al-Faisal </w:t>
      </w:r>
      <w:proofErr w:type="spellStart"/>
      <w:r w:rsidRPr="00DA72CE">
        <w:rPr>
          <w:rFonts w:ascii="Sakkal Majalla" w:hAnsi="Sakkal Majalla" w:cs="Sakkal Majalla" w:hint="cs"/>
          <w:b/>
          <w:bCs/>
          <w:spacing w:val="-4"/>
          <w:sz w:val="42"/>
          <w:szCs w:val="42"/>
          <w:lang w:val="en-GB"/>
        </w:rPr>
        <w:t>Abdelhameed</w:t>
      </w:r>
      <w:proofErr w:type="spellEnd"/>
      <w:r w:rsidRPr="00DA72CE">
        <w:rPr>
          <w:rFonts w:ascii="Sakkal Majalla" w:hAnsi="Sakkal Majalla" w:cs="Sakkal Majalla" w:hint="cs"/>
          <w:b/>
          <w:bCs/>
          <w:spacing w:val="-4"/>
          <w:sz w:val="42"/>
          <w:szCs w:val="42"/>
          <w:lang w:val="en-GB"/>
        </w:rPr>
        <w:t xml:space="preserve"> Mohamed</w:t>
      </w:r>
    </w:p>
    <w:p w14:paraId="5776B4B6" w14:textId="77777777" w:rsidR="00DA72CE" w:rsidRPr="00DA72CE" w:rsidRDefault="00DA72CE" w:rsidP="00DA72CE">
      <w:pPr>
        <w:jc w:val="center"/>
        <w:rPr>
          <w:rFonts w:ascii="Sakkal Majalla" w:hAnsi="Sakkal Majalla" w:cs="Sakkal Majalla"/>
          <w:b/>
          <w:bCs/>
          <w:spacing w:val="-4"/>
          <w:sz w:val="42"/>
          <w:szCs w:val="42"/>
          <w:rtl/>
          <w:lang w:val="en-GB"/>
        </w:rPr>
      </w:pPr>
      <w:proofErr w:type="spellStart"/>
      <w:r w:rsidRPr="00DA72CE">
        <w:rPr>
          <w:rFonts w:ascii="Sakkal Majalla" w:hAnsi="Sakkal Majalla" w:cs="Sakkal Majalla" w:hint="cs"/>
          <w:b/>
          <w:bCs/>
          <w:spacing w:val="-4"/>
          <w:sz w:val="42"/>
          <w:szCs w:val="42"/>
          <w:lang w:val="en-GB"/>
        </w:rPr>
        <w:t>Dr.</w:t>
      </w:r>
      <w:proofErr w:type="spellEnd"/>
      <w:r w:rsidRPr="00DA72CE">
        <w:rPr>
          <w:rFonts w:ascii="Sakkal Majalla" w:hAnsi="Sakkal Majalla" w:cs="Sakkal Majalla" w:hint="cs"/>
          <w:b/>
          <w:bCs/>
          <w:spacing w:val="-4"/>
          <w:sz w:val="42"/>
          <w:szCs w:val="42"/>
          <w:lang w:val="en-GB"/>
        </w:rPr>
        <w:t xml:space="preserve"> Fayez Ali </w:t>
      </w:r>
      <w:proofErr w:type="spellStart"/>
      <w:r w:rsidRPr="00DA72CE">
        <w:rPr>
          <w:rFonts w:ascii="Sakkal Majalla" w:hAnsi="Sakkal Majalla" w:cs="Sakkal Majalla" w:hint="cs"/>
          <w:b/>
          <w:bCs/>
          <w:spacing w:val="-4"/>
          <w:sz w:val="42"/>
          <w:szCs w:val="42"/>
          <w:lang w:val="en-GB"/>
        </w:rPr>
        <w:t>Jrad</w:t>
      </w:r>
      <w:proofErr w:type="spellEnd"/>
      <w:r w:rsidRPr="00DA72CE">
        <w:rPr>
          <w:rFonts w:ascii="Sakkal Majalla" w:hAnsi="Sakkal Majalla" w:cs="Sakkal Majalla" w:hint="cs"/>
          <w:b/>
          <w:bCs/>
          <w:spacing w:val="-4"/>
          <w:sz w:val="42"/>
          <w:szCs w:val="42"/>
          <w:lang w:val="en-GB"/>
        </w:rPr>
        <w:t xml:space="preserve"> </w:t>
      </w:r>
    </w:p>
    <w:p w14:paraId="7453BF24" w14:textId="77777777" w:rsidR="00CE5C57" w:rsidRPr="00DA72CE" w:rsidRDefault="00CE5C57" w:rsidP="00CE5C57">
      <w:pPr>
        <w:rPr>
          <w:rFonts w:ascii="Sakkal Majalla" w:hAnsi="Sakkal Majalla" w:cs="Sakkal Majalla"/>
          <w:spacing w:val="-4"/>
          <w:sz w:val="30"/>
          <w:szCs w:val="30"/>
          <w:rtl/>
          <w:lang w:val="en-GB"/>
        </w:rPr>
      </w:pPr>
    </w:p>
    <w:sectPr w:rsidR="00CE5C57" w:rsidRPr="00DA72CE" w:rsidSect="005F0DA9">
      <w:footerReference w:type="default" r:id="rId15"/>
      <w:type w:val="continuous"/>
      <w:pgSz w:w="11906" w:h="16838"/>
      <w:pgMar w:top="1418" w:right="1797" w:bottom="1440" w:left="1797" w:header="709" w:footer="709" w:gutter="0"/>
      <w:pgBorders w:offsetFrom="page">
        <w:top w:val="thinThickMediumGap" w:sz="24" w:space="24" w:color="auto"/>
        <w:left w:val="thinThickMediumGap" w:sz="24" w:space="24" w:color="auto"/>
        <w:bottom w:val="thinThickMediumGap" w:sz="24" w:space="24" w:color="auto"/>
        <w:right w:val="thinThickMedium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04F0E" w14:textId="77777777" w:rsidR="0025018A" w:rsidRDefault="0025018A">
      <w:pPr>
        <w:spacing w:after="0" w:line="240" w:lineRule="auto"/>
      </w:pPr>
      <w:r>
        <w:separator/>
      </w:r>
    </w:p>
  </w:endnote>
  <w:endnote w:type="continuationSeparator" w:id="0">
    <w:p w14:paraId="34D5EE9A" w14:textId="77777777" w:rsidR="0025018A" w:rsidRDefault="0025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altName w:val="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Yu Gothic">
    <w:altName w:val="游ゴシック"/>
    <w:panose1 w:val="020B0400000000000000"/>
    <w:charset w:val="80"/>
    <w:family w:val="swiss"/>
    <w:pitch w:val="variable"/>
    <w:sig w:usb0="E00002FF" w:usb1="2AC7FDFF" w:usb2="00000016" w:usb3="00000000" w:csb0="0002009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5EC8263B" w14:textId="77777777" w:rsidR="002A4122" w:rsidRDefault="002A412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415E6EA9" w:rsidR="002A4122" w:rsidRDefault="002A41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7B811" w14:textId="6B0F1423" w:rsidR="002A4122" w:rsidRPr="00883E09" w:rsidRDefault="002A4122" w:rsidP="002A4122">
    <w:pPr>
      <w:pStyle w:val="Footer"/>
      <w:bidi/>
      <w:rPr>
        <w:sz w:val="24"/>
        <w:szCs w:val="24"/>
      </w:rPr>
    </w:pPr>
    <w:r>
      <w:rPr>
        <w:rFonts w:ascii="Times New Roman"/>
        <w:b/>
        <w:noProof/>
        <w:sz w:val="20"/>
      </w:rPr>
      <w:drawing>
        <wp:anchor distT="0" distB="0" distL="114300" distR="114300" simplePos="0" relativeHeight="251658240" behindDoc="0" locked="0" layoutInCell="1" allowOverlap="1" wp14:anchorId="1C3FC6B5" wp14:editId="55B6DE4D">
          <wp:simplePos x="0" y="0"/>
          <wp:positionH relativeFrom="margin">
            <wp:posOffset>-236220</wp:posOffset>
          </wp:positionH>
          <wp:positionV relativeFrom="margin">
            <wp:posOffset>8957945</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1444654"/>
      <w:docPartObj>
        <w:docPartGallery w:val="Page Numbers (Bottom of Page)"/>
        <w:docPartUnique/>
      </w:docPartObj>
    </w:sdtPr>
    <w:sdtEndPr>
      <w:rPr>
        <w:noProof/>
      </w:rPr>
    </w:sdtEndPr>
    <w:sdtContent>
      <w:p w14:paraId="3687DD71" w14:textId="77777777" w:rsidR="002A4122" w:rsidRDefault="002A412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0AFFFC89" w14:textId="69FD53E1" w:rsidR="002A4122" w:rsidRDefault="002A4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6DE31" w14:textId="77777777" w:rsidR="0025018A" w:rsidRDefault="0025018A">
      <w:pPr>
        <w:spacing w:after="0" w:line="240" w:lineRule="auto"/>
      </w:pPr>
      <w:r>
        <w:separator/>
      </w:r>
    </w:p>
  </w:footnote>
  <w:footnote w:type="continuationSeparator" w:id="0">
    <w:p w14:paraId="22AA169E" w14:textId="77777777" w:rsidR="0025018A" w:rsidRDefault="00250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A14A5" w14:textId="3C435008" w:rsidR="002A4122" w:rsidRDefault="002A41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B9791" w14:textId="7D620B95" w:rsidR="002A4122" w:rsidRDefault="002A41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E7C3D" w14:textId="31FE89FE" w:rsidR="002A4122" w:rsidRDefault="002A41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07E4A"/>
    <w:multiLevelType w:val="multilevel"/>
    <w:tmpl w:val="42CA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45A5A"/>
    <w:multiLevelType w:val="hybridMultilevel"/>
    <w:tmpl w:val="0D7A6F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E7B315C"/>
    <w:multiLevelType w:val="multilevel"/>
    <w:tmpl w:val="999A5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054D"/>
    <w:rsid w:val="00001B2A"/>
    <w:rsid w:val="00003EF2"/>
    <w:rsid w:val="00004414"/>
    <w:rsid w:val="00004536"/>
    <w:rsid w:val="00004AAF"/>
    <w:rsid w:val="00004CC0"/>
    <w:rsid w:val="00004CD2"/>
    <w:rsid w:val="00004F54"/>
    <w:rsid w:val="000052E3"/>
    <w:rsid w:val="00005B2E"/>
    <w:rsid w:val="00005ED1"/>
    <w:rsid w:val="000065C5"/>
    <w:rsid w:val="00007F52"/>
    <w:rsid w:val="0001003F"/>
    <w:rsid w:val="00010471"/>
    <w:rsid w:val="000104E5"/>
    <w:rsid w:val="000105B8"/>
    <w:rsid w:val="00010C47"/>
    <w:rsid w:val="00011121"/>
    <w:rsid w:val="00011CCD"/>
    <w:rsid w:val="00013252"/>
    <w:rsid w:val="000142AE"/>
    <w:rsid w:val="00015A39"/>
    <w:rsid w:val="00015A97"/>
    <w:rsid w:val="000161DD"/>
    <w:rsid w:val="0001688D"/>
    <w:rsid w:val="00017061"/>
    <w:rsid w:val="00022B18"/>
    <w:rsid w:val="00022CF5"/>
    <w:rsid w:val="00023073"/>
    <w:rsid w:val="0002348D"/>
    <w:rsid w:val="000235FB"/>
    <w:rsid w:val="000242B6"/>
    <w:rsid w:val="000245ED"/>
    <w:rsid w:val="000248C3"/>
    <w:rsid w:val="0002522F"/>
    <w:rsid w:val="000252E8"/>
    <w:rsid w:val="00025CDD"/>
    <w:rsid w:val="00026661"/>
    <w:rsid w:val="00027816"/>
    <w:rsid w:val="000278B7"/>
    <w:rsid w:val="00027CBB"/>
    <w:rsid w:val="00030374"/>
    <w:rsid w:val="00030CD0"/>
    <w:rsid w:val="00031298"/>
    <w:rsid w:val="00031823"/>
    <w:rsid w:val="00032BCF"/>
    <w:rsid w:val="00033D5F"/>
    <w:rsid w:val="000345E3"/>
    <w:rsid w:val="0003546C"/>
    <w:rsid w:val="00035D34"/>
    <w:rsid w:val="00035F23"/>
    <w:rsid w:val="000363D2"/>
    <w:rsid w:val="00036CE3"/>
    <w:rsid w:val="00036EAE"/>
    <w:rsid w:val="00037D45"/>
    <w:rsid w:val="00042C19"/>
    <w:rsid w:val="00042EDD"/>
    <w:rsid w:val="0004433F"/>
    <w:rsid w:val="00044FC7"/>
    <w:rsid w:val="00045D23"/>
    <w:rsid w:val="00046BA9"/>
    <w:rsid w:val="00047364"/>
    <w:rsid w:val="000513B1"/>
    <w:rsid w:val="00051417"/>
    <w:rsid w:val="000516E0"/>
    <w:rsid w:val="00051ECB"/>
    <w:rsid w:val="0005301D"/>
    <w:rsid w:val="000534CE"/>
    <w:rsid w:val="00054586"/>
    <w:rsid w:val="000546E4"/>
    <w:rsid w:val="00055BEB"/>
    <w:rsid w:val="000560A0"/>
    <w:rsid w:val="0005757E"/>
    <w:rsid w:val="000607D9"/>
    <w:rsid w:val="000614EB"/>
    <w:rsid w:val="00061E49"/>
    <w:rsid w:val="00062883"/>
    <w:rsid w:val="00062D20"/>
    <w:rsid w:val="000631CD"/>
    <w:rsid w:val="000639F5"/>
    <w:rsid w:val="000640A7"/>
    <w:rsid w:val="00064B26"/>
    <w:rsid w:val="0006502F"/>
    <w:rsid w:val="00065B87"/>
    <w:rsid w:val="00067388"/>
    <w:rsid w:val="00067456"/>
    <w:rsid w:val="0007081F"/>
    <w:rsid w:val="000711F4"/>
    <w:rsid w:val="000714B6"/>
    <w:rsid w:val="00071620"/>
    <w:rsid w:val="00071713"/>
    <w:rsid w:val="000717EE"/>
    <w:rsid w:val="00071A42"/>
    <w:rsid w:val="00071BCE"/>
    <w:rsid w:val="000721E7"/>
    <w:rsid w:val="000722F2"/>
    <w:rsid w:val="000734AC"/>
    <w:rsid w:val="00073AFB"/>
    <w:rsid w:val="0007418A"/>
    <w:rsid w:val="0007437D"/>
    <w:rsid w:val="00075529"/>
    <w:rsid w:val="00075D73"/>
    <w:rsid w:val="00076291"/>
    <w:rsid w:val="00082297"/>
    <w:rsid w:val="000828F5"/>
    <w:rsid w:val="00082C43"/>
    <w:rsid w:val="000830E5"/>
    <w:rsid w:val="00083179"/>
    <w:rsid w:val="00083448"/>
    <w:rsid w:val="00083DF0"/>
    <w:rsid w:val="00087802"/>
    <w:rsid w:val="00087AA7"/>
    <w:rsid w:val="00087D83"/>
    <w:rsid w:val="000901E0"/>
    <w:rsid w:val="00090ED6"/>
    <w:rsid w:val="00092978"/>
    <w:rsid w:val="00093145"/>
    <w:rsid w:val="000935F2"/>
    <w:rsid w:val="000944C5"/>
    <w:rsid w:val="00094524"/>
    <w:rsid w:val="000948C3"/>
    <w:rsid w:val="00094BB5"/>
    <w:rsid w:val="000955F7"/>
    <w:rsid w:val="00095851"/>
    <w:rsid w:val="00096046"/>
    <w:rsid w:val="000969F1"/>
    <w:rsid w:val="00096C8C"/>
    <w:rsid w:val="00096F32"/>
    <w:rsid w:val="00097C28"/>
    <w:rsid w:val="000A0FC5"/>
    <w:rsid w:val="000A12D2"/>
    <w:rsid w:val="000A1367"/>
    <w:rsid w:val="000A13FC"/>
    <w:rsid w:val="000A1BDA"/>
    <w:rsid w:val="000A1D72"/>
    <w:rsid w:val="000A24E5"/>
    <w:rsid w:val="000A294B"/>
    <w:rsid w:val="000A2DE2"/>
    <w:rsid w:val="000A36A7"/>
    <w:rsid w:val="000A38C6"/>
    <w:rsid w:val="000A48E9"/>
    <w:rsid w:val="000A6588"/>
    <w:rsid w:val="000B06BD"/>
    <w:rsid w:val="000B15CD"/>
    <w:rsid w:val="000B2652"/>
    <w:rsid w:val="000B3CFF"/>
    <w:rsid w:val="000B3E05"/>
    <w:rsid w:val="000B68F7"/>
    <w:rsid w:val="000B6AE1"/>
    <w:rsid w:val="000B6FDF"/>
    <w:rsid w:val="000B73B0"/>
    <w:rsid w:val="000B76DD"/>
    <w:rsid w:val="000C0253"/>
    <w:rsid w:val="000C02B8"/>
    <w:rsid w:val="000C0785"/>
    <w:rsid w:val="000C0861"/>
    <w:rsid w:val="000C1031"/>
    <w:rsid w:val="000C1FD5"/>
    <w:rsid w:val="000C2432"/>
    <w:rsid w:val="000C3320"/>
    <w:rsid w:val="000C3720"/>
    <w:rsid w:val="000C37DE"/>
    <w:rsid w:val="000C3A8D"/>
    <w:rsid w:val="000C4548"/>
    <w:rsid w:val="000C4A2D"/>
    <w:rsid w:val="000C4BE0"/>
    <w:rsid w:val="000C5BBA"/>
    <w:rsid w:val="000C5C22"/>
    <w:rsid w:val="000C60F5"/>
    <w:rsid w:val="000C678F"/>
    <w:rsid w:val="000C67C8"/>
    <w:rsid w:val="000C6C47"/>
    <w:rsid w:val="000C748A"/>
    <w:rsid w:val="000C756C"/>
    <w:rsid w:val="000D1142"/>
    <w:rsid w:val="000D14AB"/>
    <w:rsid w:val="000D1C60"/>
    <w:rsid w:val="000D277F"/>
    <w:rsid w:val="000D29EC"/>
    <w:rsid w:val="000D363A"/>
    <w:rsid w:val="000D4362"/>
    <w:rsid w:val="000D43A5"/>
    <w:rsid w:val="000D4451"/>
    <w:rsid w:val="000D4676"/>
    <w:rsid w:val="000D536E"/>
    <w:rsid w:val="000D558B"/>
    <w:rsid w:val="000D5908"/>
    <w:rsid w:val="000D5A9E"/>
    <w:rsid w:val="000D5C28"/>
    <w:rsid w:val="000D61B5"/>
    <w:rsid w:val="000D6415"/>
    <w:rsid w:val="000D6812"/>
    <w:rsid w:val="000D7464"/>
    <w:rsid w:val="000D777D"/>
    <w:rsid w:val="000E03E0"/>
    <w:rsid w:val="000E14DD"/>
    <w:rsid w:val="000E331A"/>
    <w:rsid w:val="000E3DDE"/>
    <w:rsid w:val="000E441D"/>
    <w:rsid w:val="000E4776"/>
    <w:rsid w:val="000E51EC"/>
    <w:rsid w:val="000E5A9F"/>
    <w:rsid w:val="000F009A"/>
    <w:rsid w:val="000F0F06"/>
    <w:rsid w:val="000F3299"/>
    <w:rsid w:val="000F3D3B"/>
    <w:rsid w:val="000F3D58"/>
    <w:rsid w:val="000F52AA"/>
    <w:rsid w:val="000F5403"/>
    <w:rsid w:val="000F582E"/>
    <w:rsid w:val="000F5955"/>
    <w:rsid w:val="000F5C5A"/>
    <w:rsid w:val="000F6CFF"/>
    <w:rsid w:val="000F77C1"/>
    <w:rsid w:val="000F7F5D"/>
    <w:rsid w:val="000F7FF5"/>
    <w:rsid w:val="001009FF"/>
    <w:rsid w:val="00100DB8"/>
    <w:rsid w:val="001013FC"/>
    <w:rsid w:val="0010294B"/>
    <w:rsid w:val="00105409"/>
    <w:rsid w:val="001058F7"/>
    <w:rsid w:val="00105B51"/>
    <w:rsid w:val="00106160"/>
    <w:rsid w:val="00106772"/>
    <w:rsid w:val="00110BC3"/>
    <w:rsid w:val="001118F0"/>
    <w:rsid w:val="00112330"/>
    <w:rsid w:val="00112699"/>
    <w:rsid w:val="00113838"/>
    <w:rsid w:val="001139C0"/>
    <w:rsid w:val="001148F4"/>
    <w:rsid w:val="00115032"/>
    <w:rsid w:val="00115CFE"/>
    <w:rsid w:val="00115E50"/>
    <w:rsid w:val="001165D6"/>
    <w:rsid w:val="00117576"/>
    <w:rsid w:val="00120495"/>
    <w:rsid w:val="0012057D"/>
    <w:rsid w:val="00120BC9"/>
    <w:rsid w:val="00120D57"/>
    <w:rsid w:val="00121D55"/>
    <w:rsid w:val="00121F9F"/>
    <w:rsid w:val="001232FB"/>
    <w:rsid w:val="001236DF"/>
    <w:rsid w:val="00124E4E"/>
    <w:rsid w:val="001255E1"/>
    <w:rsid w:val="001277DB"/>
    <w:rsid w:val="0013072F"/>
    <w:rsid w:val="00131203"/>
    <w:rsid w:val="00131444"/>
    <w:rsid w:val="00133886"/>
    <w:rsid w:val="00133B50"/>
    <w:rsid w:val="00134344"/>
    <w:rsid w:val="00135982"/>
    <w:rsid w:val="00137F4D"/>
    <w:rsid w:val="00141FDF"/>
    <w:rsid w:val="00143533"/>
    <w:rsid w:val="00144B5B"/>
    <w:rsid w:val="00144F22"/>
    <w:rsid w:val="00145CD4"/>
    <w:rsid w:val="00146641"/>
    <w:rsid w:val="00146818"/>
    <w:rsid w:val="001502A1"/>
    <w:rsid w:val="00151F31"/>
    <w:rsid w:val="00151F4B"/>
    <w:rsid w:val="001522C0"/>
    <w:rsid w:val="001524E3"/>
    <w:rsid w:val="001527AF"/>
    <w:rsid w:val="001536EE"/>
    <w:rsid w:val="00153CCF"/>
    <w:rsid w:val="00153DA2"/>
    <w:rsid w:val="00155E4B"/>
    <w:rsid w:val="00157FC3"/>
    <w:rsid w:val="00160860"/>
    <w:rsid w:val="00160904"/>
    <w:rsid w:val="00160DCC"/>
    <w:rsid w:val="001611EE"/>
    <w:rsid w:val="00161C5D"/>
    <w:rsid w:val="001623FC"/>
    <w:rsid w:val="001628AC"/>
    <w:rsid w:val="00163388"/>
    <w:rsid w:val="0016459F"/>
    <w:rsid w:val="00164C97"/>
    <w:rsid w:val="00164D39"/>
    <w:rsid w:val="00165670"/>
    <w:rsid w:val="001659F7"/>
    <w:rsid w:val="0016674E"/>
    <w:rsid w:val="00167166"/>
    <w:rsid w:val="0016728C"/>
    <w:rsid w:val="0017107D"/>
    <w:rsid w:val="00171C41"/>
    <w:rsid w:val="00172436"/>
    <w:rsid w:val="00173207"/>
    <w:rsid w:val="001736BF"/>
    <w:rsid w:val="0017387F"/>
    <w:rsid w:val="0017606C"/>
    <w:rsid w:val="0017658F"/>
    <w:rsid w:val="00176707"/>
    <w:rsid w:val="00176D14"/>
    <w:rsid w:val="0018016E"/>
    <w:rsid w:val="0018017C"/>
    <w:rsid w:val="00180DE6"/>
    <w:rsid w:val="00181DFE"/>
    <w:rsid w:val="001829F5"/>
    <w:rsid w:val="001831BF"/>
    <w:rsid w:val="001834BE"/>
    <w:rsid w:val="001836A3"/>
    <w:rsid w:val="0018370F"/>
    <w:rsid w:val="001846A1"/>
    <w:rsid w:val="001849A1"/>
    <w:rsid w:val="00184B0A"/>
    <w:rsid w:val="00184B88"/>
    <w:rsid w:val="00184C26"/>
    <w:rsid w:val="00185824"/>
    <w:rsid w:val="00185D1C"/>
    <w:rsid w:val="00186A12"/>
    <w:rsid w:val="00187210"/>
    <w:rsid w:val="00190E9E"/>
    <w:rsid w:val="00191251"/>
    <w:rsid w:val="001913C4"/>
    <w:rsid w:val="001928CB"/>
    <w:rsid w:val="0019347B"/>
    <w:rsid w:val="00193794"/>
    <w:rsid w:val="00193AE1"/>
    <w:rsid w:val="00193FBD"/>
    <w:rsid w:val="001943BD"/>
    <w:rsid w:val="00194DE4"/>
    <w:rsid w:val="00194DF6"/>
    <w:rsid w:val="00195DC8"/>
    <w:rsid w:val="001A01A3"/>
    <w:rsid w:val="001A1528"/>
    <w:rsid w:val="001A21CE"/>
    <w:rsid w:val="001A358B"/>
    <w:rsid w:val="001A3ED2"/>
    <w:rsid w:val="001A4483"/>
    <w:rsid w:val="001A45EB"/>
    <w:rsid w:val="001A4B2A"/>
    <w:rsid w:val="001A7225"/>
    <w:rsid w:val="001A7657"/>
    <w:rsid w:val="001A7BBA"/>
    <w:rsid w:val="001B057B"/>
    <w:rsid w:val="001B0D4F"/>
    <w:rsid w:val="001B1077"/>
    <w:rsid w:val="001B1402"/>
    <w:rsid w:val="001B2B3F"/>
    <w:rsid w:val="001B315D"/>
    <w:rsid w:val="001B33A4"/>
    <w:rsid w:val="001B44A7"/>
    <w:rsid w:val="001B4B44"/>
    <w:rsid w:val="001B6B00"/>
    <w:rsid w:val="001C1F41"/>
    <w:rsid w:val="001C23EA"/>
    <w:rsid w:val="001C2B41"/>
    <w:rsid w:val="001C3907"/>
    <w:rsid w:val="001C5882"/>
    <w:rsid w:val="001C5AE1"/>
    <w:rsid w:val="001C76AC"/>
    <w:rsid w:val="001D0950"/>
    <w:rsid w:val="001D1AD7"/>
    <w:rsid w:val="001D2FE2"/>
    <w:rsid w:val="001D3D53"/>
    <w:rsid w:val="001D44A7"/>
    <w:rsid w:val="001D4B29"/>
    <w:rsid w:val="001D4F25"/>
    <w:rsid w:val="001D55EA"/>
    <w:rsid w:val="001D6931"/>
    <w:rsid w:val="001D7424"/>
    <w:rsid w:val="001D74C8"/>
    <w:rsid w:val="001D7A07"/>
    <w:rsid w:val="001E0173"/>
    <w:rsid w:val="001E0359"/>
    <w:rsid w:val="001E0893"/>
    <w:rsid w:val="001E08FD"/>
    <w:rsid w:val="001E11C4"/>
    <w:rsid w:val="001E3747"/>
    <w:rsid w:val="001E38EB"/>
    <w:rsid w:val="001E3E74"/>
    <w:rsid w:val="001E43B2"/>
    <w:rsid w:val="001E4B90"/>
    <w:rsid w:val="001E6253"/>
    <w:rsid w:val="001E6CBA"/>
    <w:rsid w:val="001E7A2B"/>
    <w:rsid w:val="001F0162"/>
    <w:rsid w:val="001F0210"/>
    <w:rsid w:val="001F0958"/>
    <w:rsid w:val="001F09CC"/>
    <w:rsid w:val="001F17C9"/>
    <w:rsid w:val="001F1BE9"/>
    <w:rsid w:val="001F349D"/>
    <w:rsid w:val="001F3CD6"/>
    <w:rsid w:val="001F41EA"/>
    <w:rsid w:val="001F46C0"/>
    <w:rsid w:val="001F5B8D"/>
    <w:rsid w:val="001F6045"/>
    <w:rsid w:val="001F668D"/>
    <w:rsid w:val="001F7180"/>
    <w:rsid w:val="001F7F0D"/>
    <w:rsid w:val="001F7F0F"/>
    <w:rsid w:val="002001BD"/>
    <w:rsid w:val="00200269"/>
    <w:rsid w:val="0020069F"/>
    <w:rsid w:val="00201390"/>
    <w:rsid w:val="00201494"/>
    <w:rsid w:val="002016A7"/>
    <w:rsid w:val="002016EA"/>
    <w:rsid w:val="00202CE5"/>
    <w:rsid w:val="002034A6"/>
    <w:rsid w:val="0020393C"/>
    <w:rsid w:val="00203A4A"/>
    <w:rsid w:val="00203C2D"/>
    <w:rsid w:val="0020454C"/>
    <w:rsid w:val="00205271"/>
    <w:rsid w:val="00205885"/>
    <w:rsid w:val="00205BA8"/>
    <w:rsid w:val="0020669F"/>
    <w:rsid w:val="0020743F"/>
    <w:rsid w:val="002077E9"/>
    <w:rsid w:val="00207AA6"/>
    <w:rsid w:val="00212A98"/>
    <w:rsid w:val="00212FB6"/>
    <w:rsid w:val="0021381F"/>
    <w:rsid w:val="002139B5"/>
    <w:rsid w:val="00215DFB"/>
    <w:rsid w:val="00216C8E"/>
    <w:rsid w:val="0021725B"/>
    <w:rsid w:val="00217DBC"/>
    <w:rsid w:val="002203EB"/>
    <w:rsid w:val="00221189"/>
    <w:rsid w:val="00221E31"/>
    <w:rsid w:val="00223EED"/>
    <w:rsid w:val="00224886"/>
    <w:rsid w:val="002259E6"/>
    <w:rsid w:val="00227504"/>
    <w:rsid w:val="00227872"/>
    <w:rsid w:val="002302BA"/>
    <w:rsid w:val="0023070C"/>
    <w:rsid w:val="00230831"/>
    <w:rsid w:val="00231991"/>
    <w:rsid w:val="00232395"/>
    <w:rsid w:val="00232CA7"/>
    <w:rsid w:val="002336AF"/>
    <w:rsid w:val="00233FE4"/>
    <w:rsid w:val="0023452F"/>
    <w:rsid w:val="00234771"/>
    <w:rsid w:val="00234D31"/>
    <w:rsid w:val="00235ACC"/>
    <w:rsid w:val="00235BE8"/>
    <w:rsid w:val="00235FD8"/>
    <w:rsid w:val="0023633A"/>
    <w:rsid w:val="00236351"/>
    <w:rsid w:val="002364DA"/>
    <w:rsid w:val="0023689A"/>
    <w:rsid w:val="0023692B"/>
    <w:rsid w:val="002372AA"/>
    <w:rsid w:val="00237462"/>
    <w:rsid w:val="00242837"/>
    <w:rsid w:val="00242D86"/>
    <w:rsid w:val="00243545"/>
    <w:rsid w:val="00244612"/>
    <w:rsid w:val="00244A4A"/>
    <w:rsid w:val="00245F49"/>
    <w:rsid w:val="00246E5A"/>
    <w:rsid w:val="0025018A"/>
    <w:rsid w:val="0025024F"/>
    <w:rsid w:val="00250B4B"/>
    <w:rsid w:val="0025143D"/>
    <w:rsid w:val="0025204F"/>
    <w:rsid w:val="00252A0E"/>
    <w:rsid w:val="00252BF5"/>
    <w:rsid w:val="00252CC0"/>
    <w:rsid w:val="002540D4"/>
    <w:rsid w:val="00254199"/>
    <w:rsid w:val="002541B8"/>
    <w:rsid w:val="00254852"/>
    <w:rsid w:val="00254E1C"/>
    <w:rsid w:val="00255B28"/>
    <w:rsid w:val="00256E29"/>
    <w:rsid w:val="00257020"/>
    <w:rsid w:val="002600E9"/>
    <w:rsid w:val="002602C6"/>
    <w:rsid w:val="002612F2"/>
    <w:rsid w:val="0026146B"/>
    <w:rsid w:val="00261590"/>
    <w:rsid w:val="00261939"/>
    <w:rsid w:val="0026304C"/>
    <w:rsid w:val="0026400E"/>
    <w:rsid w:val="00264237"/>
    <w:rsid w:val="002646E3"/>
    <w:rsid w:val="00264D74"/>
    <w:rsid w:val="002654FE"/>
    <w:rsid w:val="0026591D"/>
    <w:rsid w:val="00271CD5"/>
    <w:rsid w:val="00271F8A"/>
    <w:rsid w:val="00272915"/>
    <w:rsid w:val="00272B7B"/>
    <w:rsid w:val="0027340A"/>
    <w:rsid w:val="00273CFD"/>
    <w:rsid w:val="00273D70"/>
    <w:rsid w:val="00274212"/>
    <w:rsid w:val="00274606"/>
    <w:rsid w:val="00274FDE"/>
    <w:rsid w:val="0027539F"/>
    <w:rsid w:val="002754EE"/>
    <w:rsid w:val="00275840"/>
    <w:rsid w:val="0027597E"/>
    <w:rsid w:val="00275CEA"/>
    <w:rsid w:val="00276017"/>
    <w:rsid w:val="00277BCA"/>
    <w:rsid w:val="0028014A"/>
    <w:rsid w:val="00280A47"/>
    <w:rsid w:val="00280ECB"/>
    <w:rsid w:val="00281571"/>
    <w:rsid w:val="0028181D"/>
    <w:rsid w:val="00281869"/>
    <w:rsid w:val="00281D7D"/>
    <w:rsid w:val="00281E64"/>
    <w:rsid w:val="002828CE"/>
    <w:rsid w:val="00282A21"/>
    <w:rsid w:val="002832E2"/>
    <w:rsid w:val="0028382E"/>
    <w:rsid w:val="00283CB8"/>
    <w:rsid w:val="00283EFB"/>
    <w:rsid w:val="002843A8"/>
    <w:rsid w:val="0028460E"/>
    <w:rsid w:val="00284B5C"/>
    <w:rsid w:val="00286B9F"/>
    <w:rsid w:val="00286DCE"/>
    <w:rsid w:val="00287055"/>
    <w:rsid w:val="00287505"/>
    <w:rsid w:val="002876A6"/>
    <w:rsid w:val="002900AF"/>
    <w:rsid w:val="002908D9"/>
    <w:rsid w:val="00290E9D"/>
    <w:rsid w:val="002915DD"/>
    <w:rsid w:val="002920D4"/>
    <w:rsid w:val="0029269F"/>
    <w:rsid w:val="002947CC"/>
    <w:rsid w:val="00294A8F"/>
    <w:rsid w:val="00294BBA"/>
    <w:rsid w:val="0029543B"/>
    <w:rsid w:val="0029594C"/>
    <w:rsid w:val="002966EF"/>
    <w:rsid w:val="0029681D"/>
    <w:rsid w:val="00297A9C"/>
    <w:rsid w:val="002A04D3"/>
    <w:rsid w:val="002A0F01"/>
    <w:rsid w:val="002A255E"/>
    <w:rsid w:val="002A2BD0"/>
    <w:rsid w:val="002A2FBF"/>
    <w:rsid w:val="002A385B"/>
    <w:rsid w:val="002A4122"/>
    <w:rsid w:val="002A4592"/>
    <w:rsid w:val="002A67E2"/>
    <w:rsid w:val="002A7599"/>
    <w:rsid w:val="002A785B"/>
    <w:rsid w:val="002A7C66"/>
    <w:rsid w:val="002A7DC9"/>
    <w:rsid w:val="002B0529"/>
    <w:rsid w:val="002B061B"/>
    <w:rsid w:val="002B121C"/>
    <w:rsid w:val="002B2521"/>
    <w:rsid w:val="002B265B"/>
    <w:rsid w:val="002B2766"/>
    <w:rsid w:val="002B289D"/>
    <w:rsid w:val="002B28A3"/>
    <w:rsid w:val="002B3A22"/>
    <w:rsid w:val="002B4244"/>
    <w:rsid w:val="002B4F7B"/>
    <w:rsid w:val="002B4FB0"/>
    <w:rsid w:val="002B5138"/>
    <w:rsid w:val="002B51E2"/>
    <w:rsid w:val="002B5560"/>
    <w:rsid w:val="002B5E3B"/>
    <w:rsid w:val="002B65B3"/>
    <w:rsid w:val="002B661D"/>
    <w:rsid w:val="002B78ED"/>
    <w:rsid w:val="002B7BB9"/>
    <w:rsid w:val="002B7FF9"/>
    <w:rsid w:val="002C0224"/>
    <w:rsid w:val="002C0242"/>
    <w:rsid w:val="002C0372"/>
    <w:rsid w:val="002C1E5C"/>
    <w:rsid w:val="002C34CB"/>
    <w:rsid w:val="002C3885"/>
    <w:rsid w:val="002C3AF8"/>
    <w:rsid w:val="002C3D2A"/>
    <w:rsid w:val="002C40C6"/>
    <w:rsid w:val="002C4443"/>
    <w:rsid w:val="002C46A1"/>
    <w:rsid w:val="002C48E7"/>
    <w:rsid w:val="002C59DA"/>
    <w:rsid w:val="002C5CD5"/>
    <w:rsid w:val="002C6508"/>
    <w:rsid w:val="002C650D"/>
    <w:rsid w:val="002C69A5"/>
    <w:rsid w:val="002C6C1A"/>
    <w:rsid w:val="002C71D0"/>
    <w:rsid w:val="002C7976"/>
    <w:rsid w:val="002C7AC5"/>
    <w:rsid w:val="002C7B6D"/>
    <w:rsid w:val="002D00DF"/>
    <w:rsid w:val="002D1327"/>
    <w:rsid w:val="002D1398"/>
    <w:rsid w:val="002D13AF"/>
    <w:rsid w:val="002D15E8"/>
    <w:rsid w:val="002D17C0"/>
    <w:rsid w:val="002D2481"/>
    <w:rsid w:val="002D273F"/>
    <w:rsid w:val="002D318C"/>
    <w:rsid w:val="002D415F"/>
    <w:rsid w:val="002D45CD"/>
    <w:rsid w:val="002D467F"/>
    <w:rsid w:val="002D72C5"/>
    <w:rsid w:val="002E0B91"/>
    <w:rsid w:val="002E0E78"/>
    <w:rsid w:val="002E14A8"/>
    <w:rsid w:val="002E152A"/>
    <w:rsid w:val="002E19E3"/>
    <w:rsid w:val="002E1EFB"/>
    <w:rsid w:val="002E1FB8"/>
    <w:rsid w:val="002E2B97"/>
    <w:rsid w:val="002E2EC3"/>
    <w:rsid w:val="002E4403"/>
    <w:rsid w:val="002E4C34"/>
    <w:rsid w:val="002E4F37"/>
    <w:rsid w:val="002E5691"/>
    <w:rsid w:val="002E5C72"/>
    <w:rsid w:val="002E6B7F"/>
    <w:rsid w:val="002E6C37"/>
    <w:rsid w:val="002E6EA6"/>
    <w:rsid w:val="002E6F69"/>
    <w:rsid w:val="002E713C"/>
    <w:rsid w:val="002F04A7"/>
    <w:rsid w:val="002F1F5D"/>
    <w:rsid w:val="002F2579"/>
    <w:rsid w:val="002F2C8E"/>
    <w:rsid w:val="002F4936"/>
    <w:rsid w:val="002F4A43"/>
    <w:rsid w:val="002F502E"/>
    <w:rsid w:val="002F536C"/>
    <w:rsid w:val="002F5929"/>
    <w:rsid w:val="002F5ED6"/>
    <w:rsid w:val="002F62B7"/>
    <w:rsid w:val="002F665B"/>
    <w:rsid w:val="002F69DE"/>
    <w:rsid w:val="002F6D89"/>
    <w:rsid w:val="002F70CC"/>
    <w:rsid w:val="002F7338"/>
    <w:rsid w:val="002F7A9A"/>
    <w:rsid w:val="00300400"/>
    <w:rsid w:val="00301E97"/>
    <w:rsid w:val="00301F24"/>
    <w:rsid w:val="00302478"/>
    <w:rsid w:val="003027BC"/>
    <w:rsid w:val="003035A3"/>
    <w:rsid w:val="00303CFF"/>
    <w:rsid w:val="00303EB5"/>
    <w:rsid w:val="0030458E"/>
    <w:rsid w:val="0030602E"/>
    <w:rsid w:val="003063D5"/>
    <w:rsid w:val="00306EA4"/>
    <w:rsid w:val="00310FB4"/>
    <w:rsid w:val="003124CE"/>
    <w:rsid w:val="00312970"/>
    <w:rsid w:val="0031301F"/>
    <w:rsid w:val="00313AC8"/>
    <w:rsid w:val="00313E2E"/>
    <w:rsid w:val="0031454C"/>
    <w:rsid w:val="00314BB7"/>
    <w:rsid w:val="00314D83"/>
    <w:rsid w:val="00315004"/>
    <w:rsid w:val="003157CF"/>
    <w:rsid w:val="00316812"/>
    <w:rsid w:val="003168CB"/>
    <w:rsid w:val="003170D9"/>
    <w:rsid w:val="00317A7B"/>
    <w:rsid w:val="003220CA"/>
    <w:rsid w:val="00322943"/>
    <w:rsid w:val="00322BC2"/>
    <w:rsid w:val="00323C6D"/>
    <w:rsid w:val="00325495"/>
    <w:rsid w:val="003258C3"/>
    <w:rsid w:val="00325EB4"/>
    <w:rsid w:val="00325F9F"/>
    <w:rsid w:val="00326169"/>
    <w:rsid w:val="003264DF"/>
    <w:rsid w:val="0032666B"/>
    <w:rsid w:val="00326F8E"/>
    <w:rsid w:val="0032724A"/>
    <w:rsid w:val="00327320"/>
    <w:rsid w:val="0032789D"/>
    <w:rsid w:val="00327DEF"/>
    <w:rsid w:val="0033079A"/>
    <w:rsid w:val="00330961"/>
    <w:rsid w:val="00330DC1"/>
    <w:rsid w:val="00331A2C"/>
    <w:rsid w:val="003321B7"/>
    <w:rsid w:val="00333863"/>
    <w:rsid w:val="00333A6B"/>
    <w:rsid w:val="00335076"/>
    <w:rsid w:val="00335C94"/>
    <w:rsid w:val="0033632B"/>
    <w:rsid w:val="003374C9"/>
    <w:rsid w:val="00337720"/>
    <w:rsid w:val="00337E92"/>
    <w:rsid w:val="00340342"/>
    <w:rsid w:val="0034064D"/>
    <w:rsid w:val="00340EA5"/>
    <w:rsid w:val="00341D3D"/>
    <w:rsid w:val="0034230D"/>
    <w:rsid w:val="0034285D"/>
    <w:rsid w:val="00343408"/>
    <w:rsid w:val="00343AC6"/>
    <w:rsid w:val="00343CA1"/>
    <w:rsid w:val="00343DC1"/>
    <w:rsid w:val="0034424D"/>
    <w:rsid w:val="00344888"/>
    <w:rsid w:val="00344BE6"/>
    <w:rsid w:val="00346275"/>
    <w:rsid w:val="003466DB"/>
    <w:rsid w:val="00346B61"/>
    <w:rsid w:val="00346BD6"/>
    <w:rsid w:val="00347303"/>
    <w:rsid w:val="00347E61"/>
    <w:rsid w:val="00350238"/>
    <w:rsid w:val="00351402"/>
    <w:rsid w:val="003523B8"/>
    <w:rsid w:val="003542E8"/>
    <w:rsid w:val="00354C07"/>
    <w:rsid w:val="00354D83"/>
    <w:rsid w:val="0035537D"/>
    <w:rsid w:val="00355BDA"/>
    <w:rsid w:val="00355EE1"/>
    <w:rsid w:val="00356659"/>
    <w:rsid w:val="00356CDC"/>
    <w:rsid w:val="00356E61"/>
    <w:rsid w:val="00356F2E"/>
    <w:rsid w:val="00357116"/>
    <w:rsid w:val="003576E2"/>
    <w:rsid w:val="00360A65"/>
    <w:rsid w:val="0036209D"/>
    <w:rsid w:val="00362901"/>
    <w:rsid w:val="00362970"/>
    <w:rsid w:val="00362DC3"/>
    <w:rsid w:val="00362FA2"/>
    <w:rsid w:val="003639B8"/>
    <w:rsid w:val="00364712"/>
    <w:rsid w:val="00365DEC"/>
    <w:rsid w:val="003665E6"/>
    <w:rsid w:val="00366766"/>
    <w:rsid w:val="00366A3C"/>
    <w:rsid w:val="003670CF"/>
    <w:rsid w:val="0036766E"/>
    <w:rsid w:val="00367BBE"/>
    <w:rsid w:val="003700C1"/>
    <w:rsid w:val="0037147F"/>
    <w:rsid w:val="00372149"/>
    <w:rsid w:val="00372A22"/>
    <w:rsid w:val="0037340D"/>
    <w:rsid w:val="003741A6"/>
    <w:rsid w:val="00375386"/>
    <w:rsid w:val="00375B21"/>
    <w:rsid w:val="00376B48"/>
    <w:rsid w:val="00376D2E"/>
    <w:rsid w:val="00376F6B"/>
    <w:rsid w:val="003772B2"/>
    <w:rsid w:val="0037746A"/>
    <w:rsid w:val="00377604"/>
    <w:rsid w:val="0038023C"/>
    <w:rsid w:val="00380D41"/>
    <w:rsid w:val="00381E2F"/>
    <w:rsid w:val="003820A2"/>
    <w:rsid w:val="0038251E"/>
    <w:rsid w:val="00382984"/>
    <w:rsid w:val="0038482F"/>
    <w:rsid w:val="0038534D"/>
    <w:rsid w:val="003853BA"/>
    <w:rsid w:val="00385866"/>
    <w:rsid w:val="003864B3"/>
    <w:rsid w:val="0038782D"/>
    <w:rsid w:val="00387D4A"/>
    <w:rsid w:val="0039094C"/>
    <w:rsid w:val="003926B0"/>
    <w:rsid w:val="00392D17"/>
    <w:rsid w:val="00393620"/>
    <w:rsid w:val="00393919"/>
    <w:rsid w:val="00394542"/>
    <w:rsid w:val="003946F0"/>
    <w:rsid w:val="0039626D"/>
    <w:rsid w:val="0039683E"/>
    <w:rsid w:val="00396BEA"/>
    <w:rsid w:val="003974EF"/>
    <w:rsid w:val="003A05CC"/>
    <w:rsid w:val="003A0E15"/>
    <w:rsid w:val="003A1C9C"/>
    <w:rsid w:val="003A275D"/>
    <w:rsid w:val="003A2D07"/>
    <w:rsid w:val="003A3BA9"/>
    <w:rsid w:val="003A3EEF"/>
    <w:rsid w:val="003A3FB2"/>
    <w:rsid w:val="003A4406"/>
    <w:rsid w:val="003A486A"/>
    <w:rsid w:val="003A4D7A"/>
    <w:rsid w:val="003A4DE9"/>
    <w:rsid w:val="003A52D2"/>
    <w:rsid w:val="003A5FBB"/>
    <w:rsid w:val="003A6A3E"/>
    <w:rsid w:val="003A7921"/>
    <w:rsid w:val="003A7D2D"/>
    <w:rsid w:val="003A7E44"/>
    <w:rsid w:val="003A7E6D"/>
    <w:rsid w:val="003B0ADF"/>
    <w:rsid w:val="003B1052"/>
    <w:rsid w:val="003B1A56"/>
    <w:rsid w:val="003B2872"/>
    <w:rsid w:val="003B388D"/>
    <w:rsid w:val="003B49A7"/>
    <w:rsid w:val="003B4A7C"/>
    <w:rsid w:val="003B4D1D"/>
    <w:rsid w:val="003B5866"/>
    <w:rsid w:val="003B59A5"/>
    <w:rsid w:val="003C09E8"/>
    <w:rsid w:val="003C0D58"/>
    <w:rsid w:val="003C205F"/>
    <w:rsid w:val="003C20D8"/>
    <w:rsid w:val="003C2357"/>
    <w:rsid w:val="003C387F"/>
    <w:rsid w:val="003C391A"/>
    <w:rsid w:val="003C39A1"/>
    <w:rsid w:val="003C3B72"/>
    <w:rsid w:val="003C480D"/>
    <w:rsid w:val="003C7B5C"/>
    <w:rsid w:val="003C7CC3"/>
    <w:rsid w:val="003D0A66"/>
    <w:rsid w:val="003D0AEF"/>
    <w:rsid w:val="003D0F39"/>
    <w:rsid w:val="003D18F5"/>
    <w:rsid w:val="003D1B14"/>
    <w:rsid w:val="003D1DFB"/>
    <w:rsid w:val="003D249D"/>
    <w:rsid w:val="003D301D"/>
    <w:rsid w:val="003D3126"/>
    <w:rsid w:val="003D32BC"/>
    <w:rsid w:val="003D485F"/>
    <w:rsid w:val="003D56E6"/>
    <w:rsid w:val="003D5C59"/>
    <w:rsid w:val="003D5CA9"/>
    <w:rsid w:val="003D651F"/>
    <w:rsid w:val="003D6735"/>
    <w:rsid w:val="003D6E0B"/>
    <w:rsid w:val="003D7C8F"/>
    <w:rsid w:val="003E1EAB"/>
    <w:rsid w:val="003E22BB"/>
    <w:rsid w:val="003E2668"/>
    <w:rsid w:val="003E3A34"/>
    <w:rsid w:val="003E57A0"/>
    <w:rsid w:val="003E57EA"/>
    <w:rsid w:val="003E6505"/>
    <w:rsid w:val="003E7AEC"/>
    <w:rsid w:val="003E7C5A"/>
    <w:rsid w:val="003F0214"/>
    <w:rsid w:val="003F08A4"/>
    <w:rsid w:val="003F0BD6"/>
    <w:rsid w:val="003F146F"/>
    <w:rsid w:val="003F1861"/>
    <w:rsid w:val="003F1E69"/>
    <w:rsid w:val="003F2F3D"/>
    <w:rsid w:val="003F33A3"/>
    <w:rsid w:val="003F4ACF"/>
    <w:rsid w:val="003F573B"/>
    <w:rsid w:val="003F5790"/>
    <w:rsid w:val="003F5931"/>
    <w:rsid w:val="003F5A99"/>
    <w:rsid w:val="003F5AAC"/>
    <w:rsid w:val="003F5F90"/>
    <w:rsid w:val="003F688D"/>
    <w:rsid w:val="003F69F7"/>
    <w:rsid w:val="003F6DF8"/>
    <w:rsid w:val="003F7780"/>
    <w:rsid w:val="003F7B19"/>
    <w:rsid w:val="004001D1"/>
    <w:rsid w:val="004002F1"/>
    <w:rsid w:val="00400F4E"/>
    <w:rsid w:val="00404154"/>
    <w:rsid w:val="004047FF"/>
    <w:rsid w:val="004048F9"/>
    <w:rsid w:val="00405F75"/>
    <w:rsid w:val="00407903"/>
    <w:rsid w:val="00410526"/>
    <w:rsid w:val="00410626"/>
    <w:rsid w:val="004109FD"/>
    <w:rsid w:val="00413181"/>
    <w:rsid w:val="004140DB"/>
    <w:rsid w:val="004140F3"/>
    <w:rsid w:val="004143AB"/>
    <w:rsid w:val="0041464A"/>
    <w:rsid w:val="00414E73"/>
    <w:rsid w:val="00416094"/>
    <w:rsid w:val="004161D9"/>
    <w:rsid w:val="00416C2C"/>
    <w:rsid w:val="00420CD2"/>
    <w:rsid w:val="00421D04"/>
    <w:rsid w:val="004220A5"/>
    <w:rsid w:val="004228DF"/>
    <w:rsid w:val="00422BC2"/>
    <w:rsid w:val="0042366B"/>
    <w:rsid w:val="00423789"/>
    <w:rsid w:val="00424CD7"/>
    <w:rsid w:val="004253FE"/>
    <w:rsid w:val="004266AD"/>
    <w:rsid w:val="00426A9C"/>
    <w:rsid w:val="00426ECA"/>
    <w:rsid w:val="004270CF"/>
    <w:rsid w:val="004276DF"/>
    <w:rsid w:val="00427932"/>
    <w:rsid w:val="00427A93"/>
    <w:rsid w:val="00430519"/>
    <w:rsid w:val="00431867"/>
    <w:rsid w:val="00432D31"/>
    <w:rsid w:val="00432DA5"/>
    <w:rsid w:val="004335A2"/>
    <w:rsid w:val="004335BD"/>
    <w:rsid w:val="00433AEC"/>
    <w:rsid w:val="0043408F"/>
    <w:rsid w:val="00434C10"/>
    <w:rsid w:val="0043642D"/>
    <w:rsid w:val="00437EFE"/>
    <w:rsid w:val="004410FC"/>
    <w:rsid w:val="00441367"/>
    <w:rsid w:val="004413B5"/>
    <w:rsid w:val="0044146E"/>
    <w:rsid w:val="0044193A"/>
    <w:rsid w:val="00441BC7"/>
    <w:rsid w:val="004420A0"/>
    <w:rsid w:val="00442D55"/>
    <w:rsid w:val="0044367C"/>
    <w:rsid w:val="00443EAE"/>
    <w:rsid w:val="00443F42"/>
    <w:rsid w:val="004449F1"/>
    <w:rsid w:val="00445D55"/>
    <w:rsid w:val="004461AB"/>
    <w:rsid w:val="0044633B"/>
    <w:rsid w:val="004475A3"/>
    <w:rsid w:val="00447C75"/>
    <w:rsid w:val="0045296F"/>
    <w:rsid w:val="00453778"/>
    <w:rsid w:val="004538B9"/>
    <w:rsid w:val="00453AAA"/>
    <w:rsid w:val="00453C92"/>
    <w:rsid w:val="00453F6B"/>
    <w:rsid w:val="004545E3"/>
    <w:rsid w:val="00454847"/>
    <w:rsid w:val="00454ED8"/>
    <w:rsid w:val="004551DF"/>
    <w:rsid w:val="004555F0"/>
    <w:rsid w:val="00455810"/>
    <w:rsid w:val="00456999"/>
    <w:rsid w:val="004601CA"/>
    <w:rsid w:val="0046073F"/>
    <w:rsid w:val="00461BDC"/>
    <w:rsid w:val="004638B9"/>
    <w:rsid w:val="00463F87"/>
    <w:rsid w:val="00464168"/>
    <w:rsid w:val="00465102"/>
    <w:rsid w:val="00465700"/>
    <w:rsid w:val="004659F3"/>
    <w:rsid w:val="00465C13"/>
    <w:rsid w:val="004667D0"/>
    <w:rsid w:val="0046690C"/>
    <w:rsid w:val="004678BC"/>
    <w:rsid w:val="00470108"/>
    <w:rsid w:val="00470E03"/>
    <w:rsid w:val="0047180A"/>
    <w:rsid w:val="004719BC"/>
    <w:rsid w:val="00471EBF"/>
    <w:rsid w:val="004723D2"/>
    <w:rsid w:val="00472A5D"/>
    <w:rsid w:val="00472DF9"/>
    <w:rsid w:val="004733A1"/>
    <w:rsid w:val="00474163"/>
    <w:rsid w:val="00474190"/>
    <w:rsid w:val="004764CF"/>
    <w:rsid w:val="004765C0"/>
    <w:rsid w:val="00480C42"/>
    <w:rsid w:val="0048171A"/>
    <w:rsid w:val="00482E83"/>
    <w:rsid w:val="00483D00"/>
    <w:rsid w:val="00483FBA"/>
    <w:rsid w:val="0048495E"/>
    <w:rsid w:val="00485328"/>
    <w:rsid w:val="00485ED6"/>
    <w:rsid w:val="0048687C"/>
    <w:rsid w:val="00487DAE"/>
    <w:rsid w:val="004917E0"/>
    <w:rsid w:val="00491EE5"/>
    <w:rsid w:val="00492FE5"/>
    <w:rsid w:val="004939B3"/>
    <w:rsid w:val="00494291"/>
    <w:rsid w:val="004948E3"/>
    <w:rsid w:val="00494FEF"/>
    <w:rsid w:val="004965D6"/>
    <w:rsid w:val="00497078"/>
    <w:rsid w:val="00497167"/>
    <w:rsid w:val="0049768C"/>
    <w:rsid w:val="004A0523"/>
    <w:rsid w:val="004A137E"/>
    <w:rsid w:val="004A3FEC"/>
    <w:rsid w:val="004A4263"/>
    <w:rsid w:val="004A46BE"/>
    <w:rsid w:val="004A46DA"/>
    <w:rsid w:val="004A4761"/>
    <w:rsid w:val="004A4F4B"/>
    <w:rsid w:val="004A58AE"/>
    <w:rsid w:val="004A5E25"/>
    <w:rsid w:val="004A6751"/>
    <w:rsid w:val="004A6808"/>
    <w:rsid w:val="004A687E"/>
    <w:rsid w:val="004A70E3"/>
    <w:rsid w:val="004A7202"/>
    <w:rsid w:val="004A7B35"/>
    <w:rsid w:val="004A7BB1"/>
    <w:rsid w:val="004B0069"/>
    <w:rsid w:val="004B02D3"/>
    <w:rsid w:val="004B0388"/>
    <w:rsid w:val="004B07C3"/>
    <w:rsid w:val="004B19C4"/>
    <w:rsid w:val="004B1B3D"/>
    <w:rsid w:val="004B1F1B"/>
    <w:rsid w:val="004B2207"/>
    <w:rsid w:val="004B2C2E"/>
    <w:rsid w:val="004B2F40"/>
    <w:rsid w:val="004B3428"/>
    <w:rsid w:val="004B4E5A"/>
    <w:rsid w:val="004B551E"/>
    <w:rsid w:val="004B5F10"/>
    <w:rsid w:val="004B62A2"/>
    <w:rsid w:val="004B6539"/>
    <w:rsid w:val="004B6601"/>
    <w:rsid w:val="004B6E1A"/>
    <w:rsid w:val="004B77D2"/>
    <w:rsid w:val="004B7CAC"/>
    <w:rsid w:val="004C008B"/>
    <w:rsid w:val="004C03A7"/>
    <w:rsid w:val="004C0D39"/>
    <w:rsid w:val="004C0FB8"/>
    <w:rsid w:val="004C25A0"/>
    <w:rsid w:val="004C32B0"/>
    <w:rsid w:val="004C331E"/>
    <w:rsid w:val="004C39C6"/>
    <w:rsid w:val="004C3B9E"/>
    <w:rsid w:val="004C65BA"/>
    <w:rsid w:val="004C67A1"/>
    <w:rsid w:val="004C7090"/>
    <w:rsid w:val="004D1AF3"/>
    <w:rsid w:val="004D323C"/>
    <w:rsid w:val="004D4928"/>
    <w:rsid w:val="004D5451"/>
    <w:rsid w:val="004D5460"/>
    <w:rsid w:val="004D548D"/>
    <w:rsid w:val="004D565C"/>
    <w:rsid w:val="004D634F"/>
    <w:rsid w:val="004D6621"/>
    <w:rsid w:val="004D7262"/>
    <w:rsid w:val="004D7543"/>
    <w:rsid w:val="004D767A"/>
    <w:rsid w:val="004D7A72"/>
    <w:rsid w:val="004E0847"/>
    <w:rsid w:val="004E19A4"/>
    <w:rsid w:val="004E201B"/>
    <w:rsid w:val="004E217C"/>
    <w:rsid w:val="004E238B"/>
    <w:rsid w:val="004E2872"/>
    <w:rsid w:val="004E314D"/>
    <w:rsid w:val="004E3727"/>
    <w:rsid w:val="004E4503"/>
    <w:rsid w:val="004E5549"/>
    <w:rsid w:val="004E5650"/>
    <w:rsid w:val="004E606D"/>
    <w:rsid w:val="004E795A"/>
    <w:rsid w:val="004E7BDC"/>
    <w:rsid w:val="004F00E6"/>
    <w:rsid w:val="004F0DF3"/>
    <w:rsid w:val="004F0E1E"/>
    <w:rsid w:val="004F129C"/>
    <w:rsid w:val="004F22E9"/>
    <w:rsid w:val="004F320D"/>
    <w:rsid w:val="004F33AF"/>
    <w:rsid w:val="004F38E4"/>
    <w:rsid w:val="004F39E1"/>
    <w:rsid w:val="004F4270"/>
    <w:rsid w:val="004F4767"/>
    <w:rsid w:val="004F5617"/>
    <w:rsid w:val="004F5D81"/>
    <w:rsid w:val="004F66ED"/>
    <w:rsid w:val="004F6D98"/>
    <w:rsid w:val="004F7545"/>
    <w:rsid w:val="00500CCF"/>
    <w:rsid w:val="00502413"/>
    <w:rsid w:val="0050242D"/>
    <w:rsid w:val="005030E3"/>
    <w:rsid w:val="00503273"/>
    <w:rsid w:val="005042C6"/>
    <w:rsid w:val="00504C38"/>
    <w:rsid w:val="0050556E"/>
    <w:rsid w:val="0050623A"/>
    <w:rsid w:val="005064EC"/>
    <w:rsid w:val="00506A9B"/>
    <w:rsid w:val="005105A3"/>
    <w:rsid w:val="00511AFE"/>
    <w:rsid w:val="00512414"/>
    <w:rsid w:val="00513080"/>
    <w:rsid w:val="00513C40"/>
    <w:rsid w:val="0051497C"/>
    <w:rsid w:val="0051556E"/>
    <w:rsid w:val="0051579A"/>
    <w:rsid w:val="005159A6"/>
    <w:rsid w:val="00515E95"/>
    <w:rsid w:val="0051628E"/>
    <w:rsid w:val="00516633"/>
    <w:rsid w:val="005167C1"/>
    <w:rsid w:val="005173C1"/>
    <w:rsid w:val="005202D1"/>
    <w:rsid w:val="00520C52"/>
    <w:rsid w:val="005217E3"/>
    <w:rsid w:val="00523231"/>
    <w:rsid w:val="00523D83"/>
    <w:rsid w:val="00523F94"/>
    <w:rsid w:val="005250D5"/>
    <w:rsid w:val="00525E09"/>
    <w:rsid w:val="00526320"/>
    <w:rsid w:val="0052723F"/>
    <w:rsid w:val="005272D7"/>
    <w:rsid w:val="00527B9F"/>
    <w:rsid w:val="00530BB7"/>
    <w:rsid w:val="00530CB0"/>
    <w:rsid w:val="00531A88"/>
    <w:rsid w:val="00532564"/>
    <w:rsid w:val="005335DA"/>
    <w:rsid w:val="00534BCF"/>
    <w:rsid w:val="005351F8"/>
    <w:rsid w:val="0053560F"/>
    <w:rsid w:val="0053589E"/>
    <w:rsid w:val="005365C6"/>
    <w:rsid w:val="00536AB9"/>
    <w:rsid w:val="005374A6"/>
    <w:rsid w:val="00537C32"/>
    <w:rsid w:val="005400AB"/>
    <w:rsid w:val="00540311"/>
    <w:rsid w:val="00540881"/>
    <w:rsid w:val="00540AD4"/>
    <w:rsid w:val="00541EAF"/>
    <w:rsid w:val="00542B07"/>
    <w:rsid w:val="005432BC"/>
    <w:rsid w:val="00543AF8"/>
    <w:rsid w:val="00543CAF"/>
    <w:rsid w:val="00544BD4"/>
    <w:rsid w:val="00544E13"/>
    <w:rsid w:val="0054556C"/>
    <w:rsid w:val="005461E6"/>
    <w:rsid w:val="005463F2"/>
    <w:rsid w:val="005464BD"/>
    <w:rsid w:val="00546755"/>
    <w:rsid w:val="0054761B"/>
    <w:rsid w:val="00547BD8"/>
    <w:rsid w:val="005504D9"/>
    <w:rsid w:val="00550B9A"/>
    <w:rsid w:val="00550C6C"/>
    <w:rsid w:val="005514B5"/>
    <w:rsid w:val="00551FA3"/>
    <w:rsid w:val="00552707"/>
    <w:rsid w:val="00553C5A"/>
    <w:rsid w:val="00553EE5"/>
    <w:rsid w:val="00554428"/>
    <w:rsid w:val="00554D2D"/>
    <w:rsid w:val="005556DC"/>
    <w:rsid w:val="00555AB5"/>
    <w:rsid w:val="00555DC8"/>
    <w:rsid w:val="00556760"/>
    <w:rsid w:val="0055705B"/>
    <w:rsid w:val="00557555"/>
    <w:rsid w:val="0055794E"/>
    <w:rsid w:val="00560173"/>
    <w:rsid w:val="00560D24"/>
    <w:rsid w:val="00562B20"/>
    <w:rsid w:val="00562EB0"/>
    <w:rsid w:val="00563C03"/>
    <w:rsid w:val="00565594"/>
    <w:rsid w:val="00565B79"/>
    <w:rsid w:val="00567D22"/>
    <w:rsid w:val="00570052"/>
    <w:rsid w:val="00570883"/>
    <w:rsid w:val="0057093F"/>
    <w:rsid w:val="00570DC9"/>
    <w:rsid w:val="0057152C"/>
    <w:rsid w:val="005716DA"/>
    <w:rsid w:val="00571768"/>
    <w:rsid w:val="0057212C"/>
    <w:rsid w:val="005721C5"/>
    <w:rsid w:val="00572871"/>
    <w:rsid w:val="00574BBF"/>
    <w:rsid w:val="005763B7"/>
    <w:rsid w:val="00577683"/>
    <w:rsid w:val="00577A96"/>
    <w:rsid w:val="00577AA7"/>
    <w:rsid w:val="00580452"/>
    <w:rsid w:val="00580716"/>
    <w:rsid w:val="00581168"/>
    <w:rsid w:val="0058187A"/>
    <w:rsid w:val="0058213D"/>
    <w:rsid w:val="005840D0"/>
    <w:rsid w:val="005847DE"/>
    <w:rsid w:val="0058588D"/>
    <w:rsid w:val="005860A2"/>
    <w:rsid w:val="00586C3C"/>
    <w:rsid w:val="00587AF8"/>
    <w:rsid w:val="00590278"/>
    <w:rsid w:val="005903AD"/>
    <w:rsid w:val="00590845"/>
    <w:rsid w:val="00590E98"/>
    <w:rsid w:val="00590F45"/>
    <w:rsid w:val="00591425"/>
    <w:rsid w:val="00592B32"/>
    <w:rsid w:val="005932A5"/>
    <w:rsid w:val="00593474"/>
    <w:rsid w:val="005938DC"/>
    <w:rsid w:val="00593B23"/>
    <w:rsid w:val="00595D40"/>
    <w:rsid w:val="00596CD3"/>
    <w:rsid w:val="0059740D"/>
    <w:rsid w:val="00597F32"/>
    <w:rsid w:val="005A02B2"/>
    <w:rsid w:val="005A03DD"/>
    <w:rsid w:val="005A064C"/>
    <w:rsid w:val="005A070D"/>
    <w:rsid w:val="005A0BE2"/>
    <w:rsid w:val="005A13B5"/>
    <w:rsid w:val="005A20FF"/>
    <w:rsid w:val="005A26EF"/>
    <w:rsid w:val="005A28A9"/>
    <w:rsid w:val="005A30A3"/>
    <w:rsid w:val="005A3583"/>
    <w:rsid w:val="005A3DD6"/>
    <w:rsid w:val="005A434A"/>
    <w:rsid w:val="005A708C"/>
    <w:rsid w:val="005B19AD"/>
    <w:rsid w:val="005B1E8D"/>
    <w:rsid w:val="005B2E2B"/>
    <w:rsid w:val="005B432B"/>
    <w:rsid w:val="005B5CAD"/>
    <w:rsid w:val="005B6557"/>
    <w:rsid w:val="005B6A7F"/>
    <w:rsid w:val="005B6E8B"/>
    <w:rsid w:val="005B72E3"/>
    <w:rsid w:val="005C00A3"/>
    <w:rsid w:val="005C04FE"/>
    <w:rsid w:val="005C0E3D"/>
    <w:rsid w:val="005C2078"/>
    <w:rsid w:val="005C236D"/>
    <w:rsid w:val="005C25F2"/>
    <w:rsid w:val="005C3B25"/>
    <w:rsid w:val="005C3C93"/>
    <w:rsid w:val="005C6362"/>
    <w:rsid w:val="005D07D6"/>
    <w:rsid w:val="005D09C5"/>
    <w:rsid w:val="005D0F25"/>
    <w:rsid w:val="005D154A"/>
    <w:rsid w:val="005D252D"/>
    <w:rsid w:val="005D3126"/>
    <w:rsid w:val="005D3299"/>
    <w:rsid w:val="005D34CA"/>
    <w:rsid w:val="005D35CF"/>
    <w:rsid w:val="005D4202"/>
    <w:rsid w:val="005D45C2"/>
    <w:rsid w:val="005D4820"/>
    <w:rsid w:val="005D63D2"/>
    <w:rsid w:val="005D6422"/>
    <w:rsid w:val="005D6FBA"/>
    <w:rsid w:val="005D72C7"/>
    <w:rsid w:val="005D751A"/>
    <w:rsid w:val="005D75F9"/>
    <w:rsid w:val="005D7797"/>
    <w:rsid w:val="005E00C5"/>
    <w:rsid w:val="005E176E"/>
    <w:rsid w:val="005E1874"/>
    <w:rsid w:val="005E2B44"/>
    <w:rsid w:val="005E2EC2"/>
    <w:rsid w:val="005E330B"/>
    <w:rsid w:val="005E3396"/>
    <w:rsid w:val="005E37DC"/>
    <w:rsid w:val="005E3C24"/>
    <w:rsid w:val="005E494A"/>
    <w:rsid w:val="005E5043"/>
    <w:rsid w:val="005E50BA"/>
    <w:rsid w:val="005E518A"/>
    <w:rsid w:val="005E6CAC"/>
    <w:rsid w:val="005E6F49"/>
    <w:rsid w:val="005E75D8"/>
    <w:rsid w:val="005F04AB"/>
    <w:rsid w:val="005F0DA9"/>
    <w:rsid w:val="005F1ED3"/>
    <w:rsid w:val="005F233C"/>
    <w:rsid w:val="005F2DAC"/>
    <w:rsid w:val="005F3256"/>
    <w:rsid w:val="005F4803"/>
    <w:rsid w:val="005F5D71"/>
    <w:rsid w:val="005F7DD8"/>
    <w:rsid w:val="00600546"/>
    <w:rsid w:val="00601392"/>
    <w:rsid w:val="00602289"/>
    <w:rsid w:val="00603A08"/>
    <w:rsid w:val="006043A5"/>
    <w:rsid w:val="00604733"/>
    <w:rsid w:val="006050A2"/>
    <w:rsid w:val="006051D5"/>
    <w:rsid w:val="00605518"/>
    <w:rsid w:val="0061026C"/>
    <w:rsid w:val="00610391"/>
    <w:rsid w:val="00610B25"/>
    <w:rsid w:val="006116B2"/>
    <w:rsid w:val="00612A25"/>
    <w:rsid w:val="00613253"/>
    <w:rsid w:val="0061389B"/>
    <w:rsid w:val="00614FE3"/>
    <w:rsid w:val="00615155"/>
    <w:rsid w:val="00615BAB"/>
    <w:rsid w:val="00616248"/>
    <w:rsid w:val="00616335"/>
    <w:rsid w:val="00617753"/>
    <w:rsid w:val="00617CDF"/>
    <w:rsid w:val="00620017"/>
    <w:rsid w:val="00620202"/>
    <w:rsid w:val="00620E61"/>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128D"/>
    <w:rsid w:val="00631799"/>
    <w:rsid w:val="00631AC4"/>
    <w:rsid w:val="00631DF3"/>
    <w:rsid w:val="0063275F"/>
    <w:rsid w:val="00632868"/>
    <w:rsid w:val="006331C7"/>
    <w:rsid w:val="0063363D"/>
    <w:rsid w:val="006338A7"/>
    <w:rsid w:val="00633CE1"/>
    <w:rsid w:val="006348F8"/>
    <w:rsid w:val="00635CA1"/>
    <w:rsid w:val="00636079"/>
    <w:rsid w:val="00636B2C"/>
    <w:rsid w:val="00636BE8"/>
    <w:rsid w:val="0063770B"/>
    <w:rsid w:val="006403D5"/>
    <w:rsid w:val="0064040A"/>
    <w:rsid w:val="006407C2"/>
    <w:rsid w:val="006420DC"/>
    <w:rsid w:val="0064350F"/>
    <w:rsid w:val="00643528"/>
    <w:rsid w:val="00645285"/>
    <w:rsid w:val="006452CB"/>
    <w:rsid w:val="00645B88"/>
    <w:rsid w:val="00645BCB"/>
    <w:rsid w:val="0064650E"/>
    <w:rsid w:val="00646BC5"/>
    <w:rsid w:val="00646CDC"/>
    <w:rsid w:val="0064761D"/>
    <w:rsid w:val="0064767F"/>
    <w:rsid w:val="00647B63"/>
    <w:rsid w:val="00647FF4"/>
    <w:rsid w:val="00650305"/>
    <w:rsid w:val="00650A56"/>
    <w:rsid w:val="00650CF2"/>
    <w:rsid w:val="00651289"/>
    <w:rsid w:val="00652BD5"/>
    <w:rsid w:val="00653898"/>
    <w:rsid w:val="006538BC"/>
    <w:rsid w:val="00654DBE"/>
    <w:rsid w:val="0065504C"/>
    <w:rsid w:val="00655563"/>
    <w:rsid w:val="00655ABC"/>
    <w:rsid w:val="00655E80"/>
    <w:rsid w:val="00656BF8"/>
    <w:rsid w:val="00657227"/>
    <w:rsid w:val="00657328"/>
    <w:rsid w:val="0065766C"/>
    <w:rsid w:val="006576AA"/>
    <w:rsid w:val="006578B3"/>
    <w:rsid w:val="00657A89"/>
    <w:rsid w:val="00661538"/>
    <w:rsid w:val="00663C40"/>
    <w:rsid w:val="00664B59"/>
    <w:rsid w:val="00665413"/>
    <w:rsid w:val="0066563B"/>
    <w:rsid w:val="0066597F"/>
    <w:rsid w:val="00667C48"/>
    <w:rsid w:val="00670281"/>
    <w:rsid w:val="00670515"/>
    <w:rsid w:val="006708AA"/>
    <w:rsid w:val="00670C21"/>
    <w:rsid w:val="006711CE"/>
    <w:rsid w:val="006717AA"/>
    <w:rsid w:val="00671A55"/>
    <w:rsid w:val="00672188"/>
    <w:rsid w:val="006725E0"/>
    <w:rsid w:val="006726DD"/>
    <w:rsid w:val="006732D1"/>
    <w:rsid w:val="006737FA"/>
    <w:rsid w:val="00673C3A"/>
    <w:rsid w:val="00673DD8"/>
    <w:rsid w:val="0067427C"/>
    <w:rsid w:val="006747C5"/>
    <w:rsid w:val="00674856"/>
    <w:rsid w:val="00675763"/>
    <w:rsid w:val="006758DB"/>
    <w:rsid w:val="00675D1C"/>
    <w:rsid w:val="006766A9"/>
    <w:rsid w:val="00676AD1"/>
    <w:rsid w:val="00677342"/>
    <w:rsid w:val="006773FD"/>
    <w:rsid w:val="006801BD"/>
    <w:rsid w:val="0068091A"/>
    <w:rsid w:val="00680AC6"/>
    <w:rsid w:val="00680B8C"/>
    <w:rsid w:val="00680D09"/>
    <w:rsid w:val="00681535"/>
    <w:rsid w:val="00682AFD"/>
    <w:rsid w:val="006838F4"/>
    <w:rsid w:val="00685C42"/>
    <w:rsid w:val="00687070"/>
    <w:rsid w:val="00687174"/>
    <w:rsid w:val="0068751D"/>
    <w:rsid w:val="006907D7"/>
    <w:rsid w:val="006908DE"/>
    <w:rsid w:val="00690B02"/>
    <w:rsid w:val="0069121B"/>
    <w:rsid w:val="00692704"/>
    <w:rsid w:val="00692E17"/>
    <w:rsid w:val="0069379C"/>
    <w:rsid w:val="00693FDE"/>
    <w:rsid w:val="006950D3"/>
    <w:rsid w:val="00696AEB"/>
    <w:rsid w:val="00696C6E"/>
    <w:rsid w:val="00697839"/>
    <w:rsid w:val="00697FA4"/>
    <w:rsid w:val="006A0E0A"/>
    <w:rsid w:val="006A0E6A"/>
    <w:rsid w:val="006A2E0E"/>
    <w:rsid w:val="006A2E69"/>
    <w:rsid w:val="006A3853"/>
    <w:rsid w:val="006A435D"/>
    <w:rsid w:val="006A4542"/>
    <w:rsid w:val="006A4AF6"/>
    <w:rsid w:val="006A51FF"/>
    <w:rsid w:val="006A5553"/>
    <w:rsid w:val="006B0C05"/>
    <w:rsid w:val="006B241D"/>
    <w:rsid w:val="006B2E60"/>
    <w:rsid w:val="006B2E99"/>
    <w:rsid w:val="006B3CA3"/>
    <w:rsid w:val="006B4130"/>
    <w:rsid w:val="006B44E6"/>
    <w:rsid w:val="006B53BC"/>
    <w:rsid w:val="006B5668"/>
    <w:rsid w:val="006B5934"/>
    <w:rsid w:val="006B59CD"/>
    <w:rsid w:val="006B5D1B"/>
    <w:rsid w:val="006B5EA7"/>
    <w:rsid w:val="006B6210"/>
    <w:rsid w:val="006B65C2"/>
    <w:rsid w:val="006B6ACF"/>
    <w:rsid w:val="006B7BEA"/>
    <w:rsid w:val="006B7D2B"/>
    <w:rsid w:val="006C0695"/>
    <w:rsid w:val="006C0747"/>
    <w:rsid w:val="006C08D9"/>
    <w:rsid w:val="006C33D3"/>
    <w:rsid w:val="006C397C"/>
    <w:rsid w:val="006C3AC3"/>
    <w:rsid w:val="006C3C07"/>
    <w:rsid w:val="006C67CC"/>
    <w:rsid w:val="006C688F"/>
    <w:rsid w:val="006C6EA6"/>
    <w:rsid w:val="006C75AF"/>
    <w:rsid w:val="006C7E8E"/>
    <w:rsid w:val="006C7FEA"/>
    <w:rsid w:val="006D06E0"/>
    <w:rsid w:val="006D178B"/>
    <w:rsid w:val="006D1DDE"/>
    <w:rsid w:val="006D23C7"/>
    <w:rsid w:val="006D24B5"/>
    <w:rsid w:val="006D27AB"/>
    <w:rsid w:val="006D2EEA"/>
    <w:rsid w:val="006D3710"/>
    <w:rsid w:val="006D4218"/>
    <w:rsid w:val="006D496F"/>
    <w:rsid w:val="006D5182"/>
    <w:rsid w:val="006D55D0"/>
    <w:rsid w:val="006D5DB1"/>
    <w:rsid w:val="006D63BD"/>
    <w:rsid w:val="006D6928"/>
    <w:rsid w:val="006D6FB7"/>
    <w:rsid w:val="006D7299"/>
    <w:rsid w:val="006D73BD"/>
    <w:rsid w:val="006D78E7"/>
    <w:rsid w:val="006D7FE9"/>
    <w:rsid w:val="006E04CE"/>
    <w:rsid w:val="006E1057"/>
    <w:rsid w:val="006E12B9"/>
    <w:rsid w:val="006E1750"/>
    <w:rsid w:val="006E19DA"/>
    <w:rsid w:val="006E202A"/>
    <w:rsid w:val="006E3B16"/>
    <w:rsid w:val="006E45AC"/>
    <w:rsid w:val="006E55DF"/>
    <w:rsid w:val="006E68BF"/>
    <w:rsid w:val="006E701C"/>
    <w:rsid w:val="006E74A9"/>
    <w:rsid w:val="006E794C"/>
    <w:rsid w:val="006E7EBD"/>
    <w:rsid w:val="006E7FE4"/>
    <w:rsid w:val="006F0B05"/>
    <w:rsid w:val="006F10AA"/>
    <w:rsid w:val="006F1F97"/>
    <w:rsid w:val="006F2739"/>
    <w:rsid w:val="006F29D9"/>
    <w:rsid w:val="006F3F03"/>
    <w:rsid w:val="006F401C"/>
    <w:rsid w:val="006F4687"/>
    <w:rsid w:val="006F52DA"/>
    <w:rsid w:val="006F53E5"/>
    <w:rsid w:val="006F559C"/>
    <w:rsid w:val="006F5981"/>
    <w:rsid w:val="006F5F14"/>
    <w:rsid w:val="006F695E"/>
    <w:rsid w:val="006F7A5E"/>
    <w:rsid w:val="007007F5"/>
    <w:rsid w:val="00700B8D"/>
    <w:rsid w:val="00700F1B"/>
    <w:rsid w:val="00700FCE"/>
    <w:rsid w:val="00701619"/>
    <w:rsid w:val="007039B6"/>
    <w:rsid w:val="00703B1C"/>
    <w:rsid w:val="007043CD"/>
    <w:rsid w:val="00704E75"/>
    <w:rsid w:val="007050A0"/>
    <w:rsid w:val="00705740"/>
    <w:rsid w:val="00705BE8"/>
    <w:rsid w:val="007060FE"/>
    <w:rsid w:val="007068CA"/>
    <w:rsid w:val="00710B5B"/>
    <w:rsid w:val="00711384"/>
    <w:rsid w:val="00712101"/>
    <w:rsid w:val="00712708"/>
    <w:rsid w:val="00712C08"/>
    <w:rsid w:val="00712E47"/>
    <w:rsid w:val="00713F51"/>
    <w:rsid w:val="00714FF5"/>
    <w:rsid w:val="0071503C"/>
    <w:rsid w:val="00715E72"/>
    <w:rsid w:val="007164D1"/>
    <w:rsid w:val="007165BB"/>
    <w:rsid w:val="007165D0"/>
    <w:rsid w:val="00717F05"/>
    <w:rsid w:val="007202B3"/>
    <w:rsid w:val="00720B4B"/>
    <w:rsid w:val="00720E21"/>
    <w:rsid w:val="007216A0"/>
    <w:rsid w:val="007219A8"/>
    <w:rsid w:val="00721A0B"/>
    <w:rsid w:val="00721C39"/>
    <w:rsid w:val="007232D2"/>
    <w:rsid w:val="007240E0"/>
    <w:rsid w:val="0072482C"/>
    <w:rsid w:val="00724867"/>
    <w:rsid w:val="00725F22"/>
    <w:rsid w:val="00726158"/>
    <w:rsid w:val="0072649E"/>
    <w:rsid w:val="00726B42"/>
    <w:rsid w:val="00727F3C"/>
    <w:rsid w:val="00730908"/>
    <w:rsid w:val="00730B16"/>
    <w:rsid w:val="0073112B"/>
    <w:rsid w:val="0073299B"/>
    <w:rsid w:val="00733909"/>
    <w:rsid w:val="0073484E"/>
    <w:rsid w:val="00734FFA"/>
    <w:rsid w:val="007351A2"/>
    <w:rsid w:val="0073591C"/>
    <w:rsid w:val="00735BF6"/>
    <w:rsid w:val="00736932"/>
    <w:rsid w:val="00737284"/>
    <w:rsid w:val="00737563"/>
    <w:rsid w:val="00737A8F"/>
    <w:rsid w:val="00737E96"/>
    <w:rsid w:val="0074005B"/>
    <w:rsid w:val="0074037A"/>
    <w:rsid w:val="0074092D"/>
    <w:rsid w:val="007417DE"/>
    <w:rsid w:val="00741957"/>
    <w:rsid w:val="007420E0"/>
    <w:rsid w:val="00743415"/>
    <w:rsid w:val="00743F68"/>
    <w:rsid w:val="0074482E"/>
    <w:rsid w:val="007448A5"/>
    <w:rsid w:val="00744A77"/>
    <w:rsid w:val="00744FB5"/>
    <w:rsid w:val="00745B0A"/>
    <w:rsid w:val="00745DCD"/>
    <w:rsid w:val="0074664E"/>
    <w:rsid w:val="00746AD8"/>
    <w:rsid w:val="00746C98"/>
    <w:rsid w:val="0074777D"/>
    <w:rsid w:val="00747A59"/>
    <w:rsid w:val="00747BC6"/>
    <w:rsid w:val="0075015A"/>
    <w:rsid w:val="00750F95"/>
    <w:rsid w:val="007518BD"/>
    <w:rsid w:val="007524FD"/>
    <w:rsid w:val="007525AC"/>
    <w:rsid w:val="00752AA5"/>
    <w:rsid w:val="00752BED"/>
    <w:rsid w:val="0075314E"/>
    <w:rsid w:val="00753586"/>
    <w:rsid w:val="0075412F"/>
    <w:rsid w:val="007547EF"/>
    <w:rsid w:val="00756136"/>
    <w:rsid w:val="007562C7"/>
    <w:rsid w:val="0075680C"/>
    <w:rsid w:val="00756965"/>
    <w:rsid w:val="00757CE9"/>
    <w:rsid w:val="0076157C"/>
    <w:rsid w:val="007618A8"/>
    <w:rsid w:val="007619D6"/>
    <w:rsid w:val="00761F5A"/>
    <w:rsid w:val="007620D9"/>
    <w:rsid w:val="007622BA"/>
    <w:rsid w:val="00763C8A"/>
    <w:rsid w:val="007649AC"/>
    <w:rsid w:val="00764C7C"/>
    <w:rsid w:val="0076558E"/>
    <w:rsid w:val="0076565F"/>
    <w:rsid w:val="007663A9"/>
    <w:rsid w:val="007665B5"/>
    <w:rsid w:val="00766EB5"/>
    <w:rsid w:val="007705EE"/>
    <w:rsid w:val="00770A09"/>
    <w:rsid w:val="007715FE"/>
    <w:rsid w:val="00771B36"/>
    <w:rsid w:val="00771D34"/>
    <w:rsid w:val="00772053"/>
    <w:rsid w:val="007720B5"/>
    <w:rsid w:val="0077232D"/>
    <w:rsid w:val="00772846"/>
    <w:rsid w:val="00772CC2"/>
    <w:rsid w:val="00772F71"/>
    <w:rsid w:val="0077363A"/>
    <w:rsid w:val="00773D25"/>
    <w:rsid w:val="00774433"/>
    <w:rsid w:val="00774F22"/>
    <w:rsid w:val="0077660F"/>
    <w:rsid w:val="00776644"/>
    <w:rsid w:val="00776E4C"/>
    <w:rsid w:val="0078096A"/>
    <w:rsid w:val="00780B70"/>
    <w:rsid w:val="00780E55"/>
    <w:rsid w:val="00781976"/>
    <w:rsid w:val="0078217F"/>
    <w:rsid w:val="00782358"/>
    <w:rsid w:val="00782417"/>
    <w:rsid w:val="00783724"/>
    <w:rsid w:val="00784261"/>
    <w:rsid w:val="00784441"/>
    <w:rsid w:val="00785641"/>
    <w:rsid w:val="00785ED2"/>
    <w:rsid w:val="007868BE"/>
    <w:rsid w:val="0078758C"/>
    <w:rsid w:val="00787FB5"/>
    <w:rsid w:val="0079020C"/>
    <w:rsid w:val="00790A09"/>
    <w:rsid w:val="0079161A"/>
    <w:rsid w:val="007940CA"/>
    <w:rsid w:val="007946FB"/>
    <w:rsid w:val="00794D1C"/>
    <w:rsid w:val="00796236"/>
    <w:rsid w:val="00796A0F"/>
    <w:rsid w:val="007A001E"/>
    <w:rsid w:val="007A1009"/>
    <w:rsid w:val="007A139C"/>
    <w:rsid w:val="007A353D"/>
    <w:rsid w:val="007A424A"/>
    <w:rsid w:val="007A51C2"/>
    <w:rsid w:val="007A55DE"/>
    <w:rsid w:val="007A60CA"/>
    <w:rsid w:val="007A6CB3"/>
    <w:rsid w:val="007A6FC0"/>
    <w:rsid w:val="007A7052"/>
    <w:rsid w:val="007A7733"/>
    <w:rsid w:val="007B0B74"/>
    <w:rsid w:val="007B1DDF"/>
    <w:rsid w:val="007B24BB"/>
    <w:rsid w:val="007B2BB6"/>
    <w:rsid w:val="007B3A4F"/>
    <w:rsid w:val="007B5057"/>
    <w:rsid w:val="007C018D"/>
    <w:rsid w:val="007C0284"/>
    <w:rsid w:val="007C061D"/>
    <w:rsid w:val="007C1481"/>
    <w:rsid w:val="007C210F"/>
    <w:rsid w:val="007C2AAA"/>
    <w:rsid w:val="007C35A1"/>
    <w:rsid w:val="007C3658"/>
    <w:rsid w:val="007C396C"/>
    <w:rsid w:val="007C3A33"/>
    <w:rsid w:val="007C4084"/>
    <w:rsid w:val="007C7611"/>
    <w:rsid w:val="007C7BD6"/>
    <w:rsid w:val="007C7BF0"/>
    <w:rsid w:val="007D1713"/>
    <w:rsid w:val="007D17AB"/>
    <w:rsid w:val="007D195B"/>
    <w:rsid w:val="007D1C92"/>
    <w:rsid w:val="007D1EE3"/>
    <w:rsid w:val="007D3796"/>
    <w:rsid w:val="007D3C35"/>
    <w:rsid w:val="007D3E90"/>
    <w:rsid w:val="007D3F40"/>
    <w:rsid w:val="007D46FC"/>
    <w:rsid w:val="007D51C8"/>
    <w:rsid w:val="007D5C2D"/>
    <w:rsid w:val="007D5CA2"/>
    <w:rsid w:val="007E0D31"/>
    <w:rsid w:val="007E1072"/>
    <w:rsid w:val="007E312F"/>
    <w:rsid w:val="007E3721"/>
    <w:rsid w:val="007E38B1"/>
    <w:rsid w:val="007E41D2"/>
    <w:rsid w:val="007E4D33"/>
    <w:rsid w:val="007E5599"/>
    <w:rsid w:val="007E5A58"/>
    <w:rsid w:val="007E5D5D"/>
    <w:rsid w:val="007E62B8"/>
    <w:rsid w:val="007E6546"/>
    <w:rsid w:val="007E7792"/>
    <w:rsid w:val="007F01A9"/>
    <w:rsid w:val="007F06C8"/>
    <w:rsid w:val="007F0DF8"/>
    <w:rsid w:val="007F0EAB"/>
    <w:rsid w:val="007F0FA8"/>
    <w:rsid w:val="007F1919"/>
    <w:rsid w:val="007F1D5C"/>
    <w:rsid w:val="007F1DB3"/>
    <w:rsid w:val="007F205E"/>
    <w:rsid w:val="007F2F41"/>
    <w:rsid w:val="007F3875"/>
    <w:rsid w:val="007F3C22"/>
    <w:rsid w:val="007F5FD3"/>
    <w:rsid w:val="007F62E5"/>
    <w:rsid w:val="007F6414"/>
    <w:rsid w:val="007F65C0"/>
    <w:rsid w:val="00800A21"/>
    <w:rsid w:val="00800F85"/>
    <w:rsid w:val="008014EE"/>
    <w:rsid w:val="00801C14"/>
    <w:rsid w:val="00801E64"/>
    <w:rsid w:val="00802241"/>
    <w:rsid w:val="008026CF"/>
    <w:rsid w:val="00802BA6"/>
    <w:rsid w:val="00803230"/>
    <w:rsid w:val="00803630"/>
    <w:rsid w:val="0080372E"/>
    <w:rsid w:val="00805285"/>
    <w:rsid w:val="00805C0C"/>
    <w:rsid w:val="00806397"/>
    <w:rsid w:val="008065BD"/>
    <w:rsid w:val="008106C6"/>
    <w:rsid w:val="0081156D"/>
    <w:rsid w:val="0081207E"/>
    <w:rsid w:val="0081211B"/>
    <w:rsid w:val="008122AB"/>
    <w:rsid w:val="00812AE4"/>
    <w:rsid w:val="00812FA0"/>
    <w:rsid w:val="0081387B"/>
    <w:rsid w:val="00813894"/>
    <w:rsid w:val="00814262"/>
    <w:rsid w:val="00814C82"/>
    <w:rsid w:val="00815189"/>
    <w:rsid w:val="008155DC"/>
    <w:rsid w:val="00816377"/>
    <w:rsid w:val="008203EB"/>
    <w:rsid w:val="00821E03"/>
    <w:rsid w:val="0082304D"/>
    <w:rsid w:val="00823089"/>
    <w:rsid w:val="008241D7"/>
    <w:rsid w:val="00825864"/>
    <w:rsid w:val="00825D9F"/>
    <w:rsid w:val="00826142"/>
    <w:rsid w:val="0082691D"/>
    <w:rsid w:val="00830F4B"/>
    <w:rsid w:val="00831332"/>
    <w:rsid w:val="008327AD"/>
    <w:rsid w:val="00832D4E"/>
    <w:rsid w:val="00834B1E"/>
    <w:rsid w:val="00834B8C"/>
    <w:rsid w:val="00834F27"/>
    <w:rsid w:val="00835E66"/>
    <w:rsid w:val="00836CED"/>
    <w:rsid w:val="00837501"/>
    <w:rsid w:val="00837623"/>
    <w:rsid w:val="00840C0F"/>
    <w:rsid w:val="008412AB"/>
    <w:rsid w:val="008418C1"/>
    <w:rsid w:val="00842CAB"/>
    <w:rsid w:val="0084338B"/>
    <w:rsid w:val="00843483"/>
    <w:rsid w:val="0084357B"/>
    <w:rsid w:val="00844EF2"/>
    <w:rsid w:val="0084574A"/>
    <w:rsid w:val="00846021"/>
    <w:rsid w:val="00846615"/>
    <w:rsid w:val="0084662D"/>
    <w:rsid w:val="008509AA"/>
    <w:rsid w:val="00850A72"/>
    <w:rsid w:val="00850BA9"/>
    <w:rsid w:val="00850DF2"/>
    <w:rsid w:val="00850E95"/>
    <w:rsid w:val="00851970"/>
    <w:rsid w:val="008555E2"/>
    <w:rsid w:val="00855A72"/>
    <w:rsid w:val="00855B44"/>
    <w:rsid w:val="00856AD3"/>
    <w:rsid w:val="0085739B"/>
    <w:rsid w:val="0085745F"/>
    <w:rsid w:val="008579E2"/>
    <w:rsid w:val="00857FBA"/>
    <w:rsid w:val="008603DA"/>
    <w:rsid w:val="00860924"/>
    <w:rsid w:val="00861FB0"/>
    <w:rsid w:val="008626F5"/>
    <w:rsid w:val="0086270B"/>
    <w:rsid w:val="00863746"/>
    <w:rsid w:val="0086379B"/>
    <w:rsid w:val="00864098"/>
    <w:rsid w:val="0086574D"/>
    <w:rsid w:val="00865E19"/>
    <w:rsid w:val="008666F9"/>
    <w:rsid w:val="00867FC4"/>
    <w:rsid w:val="008704D2"/>
    <w:rsid w:val="00870C56"/>
    <w:rsid w:val="0087180E"/>
    <w:rsid w:val="00872380"/>
    <w:rsid w:val="008731EA"/>
    <w:rsid w:val="00873515"/>
    <w:rsid w:val="008743AF"/>
    <w:rsid w:val="0087476F"/>
    <w:rsid w:val="008750AA"/>
    <w:rsid w:val="00875E23"/>
    <w:rsid w:val="00875E76"/>
    <w:rsid w:val="0087648C"/>
    <w:rsid w:val="00876586"/>
    <w:rsid w:val="00876F54"/>
    <w:rsid w:val="00880B4E"/>
    <w:rsid w:val="00880ECD"/>
    <w:rsid w:val="00880FEA"/>
    <w:rsid w:val="008813E3"/>
    <w:rsid w:val="008814ED"/>
    <w:rsid w:val="00881EA4"/>
    <w:rsid w:val="00881F23"/>
    <w:rsid w:val="00882C28"/>
    <w:rsid w:val="00883231"/>
    <w:rsid w:val="00883EF4"/>
    <w:rsid w:val="00883F87"/>
    <w:rsid w:val="0088430E"/>
    <w:rsid w:val="008844AA"/>
    <w:rsid w:val="008852A5"/>
    <w:rsid w:val="00885985"/>
    <w:rsid w:val="0088693A"/>
    <w:rsid w:val="0088750D"/>
    <w:rsid w:val="00887877"/>
    <w:rsid w:val="00887D14"/>
    <w:rsid w:val="00887D1A"/>
    <w:rsid w:val="008906F3"/>
    <w:rsid w:val="00890944"/>
    <w:rsid w:val="00890B7F"/>
    <w:rsid w:val="00891020"/>
    <w:rsid w:val="00891E24"/>
    <w:rsid w:val="00891FE1"/>
    <w:rsid w:val="008921A8"/>
    <w:rsid w:val="00892A26"/>
    <w:rsid w:val="00892C50"/>
    <w:rsid w:val="00892FCF"/>
    <w:rsid w:val="008931CD"/>
    <w:rsid w:val="00893282"/>
    <w:rsid w:val="00893994"/>
    <w:rsid w:val="008945F8"/>
    <w:rsid w:val="00894F44"/>
    <w:rsid w:val="00895124"/>
    <w:rsid w:val="008965C3"/>
    <w:rsid w:val="008974C8"/>
    <w:rsid w:val="00897B13"/>
    <w:rsid w:val="00897B8D"/>
    <w:rsid w:val="008A050C"/>
    <w:rsid w:val="008A0E55"/>
    <w:rsid w:val="008A181F"/>
    <w:rsid w:val="008A21DD"/>
    <w:rsid w:val="008A222E"/>
    <w:rsid w:val="008A250C"/>
    <w:rsid w:val="008A2CAB"/>
    <w:rsid w:val="008A2F25"/>
    <w:rsid w:val="008A3477"/>
    <w:rsid w:val="008A3990"/>
    <w:rsid w:val="008A42FA"/>
    <w:rsid w:val="008A4D13"/>
    <w:rsid w:val="008A596E"/>
    <w:rsid w:val="008A60A3"/>
    <w:rsid w:val="008A626A"/>
    <w:rsid w:val="008B065E"/>
    <w:rsid w:val="008B0FA3"/>
    <w:rsid w:val="008B22BB"/>
    <w:rsid w:val="008B2FFB"/>
    <w:rsid w:val="008B310A"/>
    <w:rsid w:val="008B3639"/>
    <w:rsid w:val="008B3D53"/>
    <w:rsid w:val="008B425A"/>
    <w:rsid w:val="008B4322"/>
    <w:rsid w:val="008B5C30"/>
    <w:rsid w:val="008B5FC1"/>
    <w:rsid w:val="008B67FD"/>
    <w:rsid w:val="008B69DD"/>
    <w:rsid w:val="008B7880"/>
    <w:rsid w:val="008B7A6C"/>
    <w:rsid w:val="008B7F8E"/>
    <w:rsid w:val="008C0CF2"/>
    <w:rsid w:val="008C22A1"/>
    <w:rsid w:val="008C2370"/>
    <w:rsid w:val="008C23E5"/>
    <w:rsid w:val="008C30B0"/>
    <w:rsid w:val="008C4026"/>
    <w:rsid w:val="008C41EB"/>
    <w:rsid w:val="008C4433"/>
    <w:rsid w:val="008C4C5F"/>
    <w:rsid w:val="008C4F55"/>
    <w:rsid w:val="008C53CB"/>
    <w:rsid w:val="008C5A91"/>
    <w:rsid w:val="008C7EFC"/>
    <w:rsid w:val="008C7F0D"/>
    <w:rsid w:val="008D003C"/>
    <w:rsid w:val="008D047D"/>
    <w:rsid w:val="008D10F0"/>
    <w:rsid w:val="008D11D2"/>
    <w:rsid w:val="008D1B5B"/>
    <w:rsid w:val="008D4729"/>
    <w:rsid w:val="008D4797"/>
    <w:rsid w:val="008D504F"/>
    <w:rsid w:val="008D516A"/>
    <w:rsid w:val="008D631C"/>
    <w:rsid w:val="008D66E5"/>
    <w:rsid w:val="008D76BC"/>
    <w:rsid w:val="008D7A47"/>
    <w:rsid w:val="008E10F9"/>
    <w:rsid w:val="008E1106"/>
    <w:rsid w:val="008E1797"/>
    <w:rsid w:val="008E1958"/>
    <w:rsid w:val="008E2F51"/>
    <w:rsid w:val="008E3039"/>
    <w:rsid w:val="008E3CE0"/>
    <w:rsid w:val="008E4594"/>
    <w:rsid w:val="008E46EC"/>
    <w:rsid w:val="008E4DB8"/>
    <w:rsid w:val="008E52BD"/>
    <w:rsid w:val="008E6150"/>
    <w:rsid w:val="008E6F4D"/>
    <w:rsid w:val="008E7C1D"/>
    <w:rsid w:val="008E7D4F"/>
    <w:rsid w:val="008F138B"/>
    <w:rsid w:val="008F16B5"/>
    <w:rsid w:val="008F26A8"/>
    <w:rsid w:val="008F35AD"/>
    <w:rsid w:val="008F4B78"/>
    <w:rsid w:val="008F4D80"/>
    <w:rsid w:val="008F4E09"/>
    <w:rsid w:val="008F4E46"/>
    <w:rsid w:val="008F5860"/>
    <w:rsid w:val="008F6086"/>
    <w:rsid w:val="008F7E2E"/>
    <w:rsid w:val="0090299A"/>
    <w:rsid w:val="0090454E"/>
    <w:rsid w:val="00904C76"/>
    <w:rsid w:val="00906489"/>
    <w:rsid w:val="0090678D"/>
    <w:rsid w:val="00906E23"/>
    <w:rsid w:val="00907EF3"/>
    <w:rsid w:val="0091000A"/>
    <w:rsid w:val="00910996"/>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20492"/>
    <w:rsid w:val="00920A82"/>
    <w:rsid w:val="00921162"/>
    <w:rsid w:val="0092199D"/>
    <w:rsid w:val="0092213D"/>
    <w:rsid w:val="00923381"/>
    <w:rsid w:val="009250AE"/>
    <w:rsid w:val="00926416"/>
    <w:rsid w:val="00926624"/>
    <w:rsid w:val="00927F94"/>
    <w:rsid w:val="009312CD"/>
    <w:rsid w:val="009314E5"/>
    <w:rsid w:val="009317C4"/>
    <w:rsid w:val="00931C85"/>
    <w:rsid w:val="00933875"/>
    <w:rsid w:val="0093496A"/>
    <w:rsid w:val="00935BAC"/>
    <w:rsid w:val="00937A18"/>
    <w:rsid w:val="009400D8"/>
    <w:rsid w:val="009404CD"/>
    <w:rsid w:val="00940AF3"/>
    <w:rsid w:val="00940E6A"/>
    <w:rsid w:val="00941087"/>
    <w:rsid w:val="009416C1"/>
    <w:rsid w:val="00941B2D"/>
    <w:rsid w:val="00942944"/>
    <w:rsid w:val="00942A0E"/>
    <w:rsid w:val="00943545"/>
    <w:rsid w:val="00943FC3"/>
    <w:rsid w:val="009466BE"/>
    <w:rsid w:val="00946D5E"/>
    <w:rsid w:val="00947586"/>
    <w:rsid w:val="00951C5A"/>
    <w:rsid w:val="00952950"/>
    <w:rsid w:val="009536C8"/>
    <w:rsid w:val="00955FCB"/>
    <w:rsid w:val="009561C7"/>
    <w:rsid w:val="00957028"/>
    <w:rsid w:val="00957222"/>
    <w:rsid w:val="00957CDD"/>
    <w:rsid w:val="0096026F"/>
    <w:rsid w:val="009605AE"/>
    <w:rsid w:val="00960A39"/>
    <w:rsid w:val="00961B10"/>
    <w:rsid w:val="00962129"/>
    <w:rsid w:val="00962323"/>
    <w:rsid w:val="00962855"/>
    <w:rsid w:val="00962DE2"/>
    <w:rsid w:val="00963C71"/>
    <w:rsid w:val="00964BAE"/>
    <w:rsid w:val="00965595"/>
    <w:rsid w:val="00965BF0"/>
    <w:rsid w:val="00966D38"/>
    <w:rsid w:val="00966D39"/>
    <w:rsid w:val="00967841"/>
    <w:rsid w:val="00970BAC"/>
    <w:rsid w:val="00971DD1"/>
    <w:rsid w:val="00972177"/>
    <w:rsid w:val="00973C90"/>
    <w:rsid w:val="00974739"/>
    <w:rsid w:val="00974946"/>
    <w:rsid w:val="00974F17"/>
    <w:rsid w:val="009757FD"/>
    <w:rsid w:val="00975EEA"/>
    <w:rsid w:val="00975F49"/>
    <w:rsid w:val="00976078"/>
    <w:rsid w:val="00976D77"/>
    <w:rsid w:val="00976E83"/>
    <w:rsid w:val="00977775"/>
    <w:rsid w:val="00980D1D"/>
    <w:rsid w:val="00981DC9"/>
    <w:rsid w:val="009826E9"/>
    <w:rsid w:val="00982A78"/>
    <w:rsid w:val="00984860"/>
    <w:rsid w:val="0098510B"/>
    <w:rsid w:val="0098562F"/>
    <w:rsid w:val="00985D9B"/>
    <w:rsid w:val="00986035"/>
    <w:rsid w:val="00986E23"/>
    <w:rsid w:val="009872EB"/>
    <w:rsid w:val="009873AA"/>
    <w:rsid w:val="00987B72"/>
    <w:rsid w:val="0099001F"/>
    <w:rsid w:val="0099068B"/>
    <w:rsid w:val="00990D0E"/>
    <w:rsid w:val="00991248"/>
    <w:rsid w:val="0099244A"/>
    <w:rsid w:val="00992A67"/>
    <w:rsid w:val="0099365D"/>
    <w:rsid w:val="00993D57"/>
    <w:rsid w:val="009942E9"/>
    <w:rsid w:val="00995AC2"/>
    <w:rsid w:val="0099663C"/>
    <w:rsid w:val="00996D34"/>
    <w:rsid w:val="00996D8C"/>
    <w:rsid w:val="009971B8"/>
    <w:rsid w:val="009971EF"/>
    <w:rsid w:val="0099737C"/>
    <w:rsid w:val="009A040E"/>
    <w:rsid w:val="009A0D3C"/>
    <w:rsid w:val="009A24B9"/>
    <w:rsid w:val="009A340B"/>
    <w:rsid w:val="009A39FC"/>
    <w:rsid w:val="009A42E8"/>
    <w:rsid w:val="009A4A02"/>
    <w:rsid w:val="009A57C3"/>
    <w:rsid w:val="009A5B4A"/>
    <w:rsid w:val="009A5C4D"/>
    <w:rsid w:val="009B01DF"/>
    <w:rsid w:val="009B0AD8"/>
    <w:rsid w:val="009B0D80"/>
    <w:rsid w:val="009B21AF"/>
    <w:rsid w:val="009B249F"/>
    <w:rsid w:val="009B381C"/>
    <w:rsid w:val="009B3EEA"/>
    <w:rsid w:val="009B6405"/>
    <w:rsid w:val="009B706C"/>
    <w:rsid w:val="009B7AAD"/>
    <w:rsid w:val="009C018E"/>
    <w:rsid w:val="009C067F"/>
    <w:rsid w:val="009C0DC7"/>
    <w:rsid w:val="009C143A"/>
    <w:rsid w:val="009C1DC2"/>
    <w:rsid w:val="009C2327"/>
    <w:rsid w:val="009C39DB"/>
    <w:rsid w:val="009C3E6F"/>
    <w:rsid w:val="009C40EC"/>
    <w:rsid w:val="009C470B"/>
    <w:rsid w:val="009C4DBC"/>
    <w:rsid w:val="009C4E16"/>
    <w:rsid w:val="009C542E"/>
    <w:rsid w:val="009C5E35"/>
    <w:rsid w:val="009C6429"/>
    <w:rsid w:val="009C6563"/>
    <w:rsid w:val="009C67C9"/>
    <w:rsid w:val="009C704A"/>
    <w:rsid w:val="009C75FE"/>
    <w:rsid w:val="009D0159"/>
    <w:rsid w:val="009D0893"/>
    <w:rsid w:val="009D11DE"/>
    <w:rsid w:val="009D13B3"/>
    <w:rsid w:val="009D15F7"/>
    <w:rsid w:val="009D19CC"/>
    <w:rsid w:val="009D2CB8"/>
    <w:rsid w:val="009D3CDD"/>
    <w:rsid w:val="009D4082"/>
    <w:rsid w:val="009D4AB9"/>
    <w:rsid w:val="009D5585"/>
    <w:rsid w:val="009D56A7"/>
    <w:rsid w:val="009D5864"/>
    <w:rsid w:val="009D5942"/>
    <w:rsid w:val="009D65EF"/>
    <w:rsid w:val="009D74B3"/>
    <w:rsid w:val="009D74DB"/>
    <w:rsid w:val="009D78E9"/>
    <w:rsid w:val="009D7CEC"/>
    <w:rsid w:val="009E04AB"/>
    <w:rsid w:val="009E08C3"/>
    <w:rsid w:val="009E0EE4"/>
    <w:rsid w:val="009E10B7"/>
    <w:rsid w:val="009E1A86"/>
    <w:rsid w:val="009E1BE5"/>
    <w:rsid w:val="009E1BEE"/>
    <w:rsid w:val="009E25A2"/>
    <w:rsid w:val="009E2795"/>
    <w:rsid w:val="009E3588"/>
    <w:rsid w:val="009E4FE2"/>
    <w:rsid w:val="009E59D1"/>
    <w:rsid w:val="009E6191"/>
    <w:rsid w:val="009E6316"/>
    <w:rsid w:val="009E752B"/>
    <w:rsid w:val="009F08F4"/>
    <w:rsid w:val="009F095A"/>
    <w:rsid w:val="009F1E9D"/>
    <w:rsid w:val="009F227E"/>
    <w:rsid w:val="009F2416"/>
    <w:rsid w:val="009F2ADF"/>
    <w:rsid w:val="009F2DE2"/>
    <w:rsid w:val="009F4376"/>
    <w:rsid w:val="009F4AA9"/>
    <w:rsid w:val="009F4CFE"/>
    <w:rsid w:val="009F5711"/>
    <w:rsid w:val="009F6355"/>
    <w:rsid w:val="009F641B"/>
    <w:rsid w:val="009F7113"/>
    <w:rsid w:val="009F7541"/>
    <w:rsid w:val="009F75BA"/>
    <w:rsid w:val="009F766A"/>
    <w:rsid w:val="00A00D6C"/>
    <w:rsid w:val="00A00F85"/>
    <w:rsid w:val="00A010BE"/>
    <w:rsid w:val="00A017D3"/>
    <w:rsid w:val="00A0218B"/>
    <w:rsid w:val="00A02641"/>
    <w:rsid w:val="00A02E7E"/>
    <w:rsid w:val="00A03051"/>
    <w:rsid w:val="00A047A0"/>
    <w:rsid w:val="00A04C6D"/>
    <w:rsid w:val="00A04CA7"/>
    <w:rsid w:val="00A04D9E"/>
    <w:rsid w:val="00A05980"/>
    <w:rsid w:val="00A0633F"/>
    <w:rsid w:val="00A06509"/>
    <w:rsid w:val="00A068FC"/>
    <w:rsid w:val="00A1004C"/>
    <w:rsid w:val="00A10C46"/>
    <w:rsid w:val="00A1188F"/>
    <w:rsid w:val="00A11B71"/>
    <w:rsid w:val="00A131B2"/>
    <w:rsid w:val="00A138FA"/>
    <w:rsid w:val="00A13EA6"/>
    <w:rsid w:val="00A143CE"/>
    <w:rsid w:val="00A14DE1"/>
    <w:rsid w:val="00A1504B"/>
    <w:rsid w:val="00A154C4"/>
    <w:rsid w:val="00A16044"/>
    <w:rsid w:val="00A16200"/>
    <w:rsid w:val="00A1665D"/>
    <w:rsid w:val="00A16BFA"/>
    <w:rsid w:val="00A170FE"/>
    <w:rsid w:val="00A1771E"/>
    <w:rsid w:val="00A17F42"/>
    <w:rsid w:val="00A20477"/>
    <w:rsid w:val="00A20879"/>
    <w:rsid w:val="00A2257D"/>
    <w:rsid w:val="00A22F76"/>
    <w:rsid w:val="00A22FAD"/>
    <w:rsid w:val="00A23212"/>
    <w:rsid w:val="00A232C6"/>
    <w:rsid w:val="00A237DB"/>
    <w:rsid w:val="00A24294"/>
    <w:rsid w:val="00A24741"/>
    <w:rsid w:val="00A249C0"/>
    <w:rsid w:val="00A24C58"/>
    <w:rsid w:val="00A2636B"/>
    <w:rsid w:val="00A26879"/>
    <w:rsid w:val="00A31142"/>
    <w:rsid w:val="00A31AA7"/>
    <w:rsid w:val="00A31C87"/>
    <w:rsid w:val="00A32088"/>
    <w:rsid w:val="00A324A5"/>
    <w:rsid w:val="00A33BA1"/>
    <w:rsid w:val="00A347F4"/>
    <w:rsid w:val="00A35FC9"/>
    <w:rsid w:val="00A36755"/>
    <w:rsid w:val="00A36B65"/>
    <w:rsid w:val="00A37E72"/>
    <w:rsid w:val="00A40E20"/>
    <w:rsid w:val="00A41466"/>
    <w:rsid w:val="00A41EAC"/>
    <w:rsid w:val="00A42946"/>
    <w:rsid w:val="00A44A7B"/>
    <w:rsid w:val="00A44C7A"/>
    <w:rsid w:val="00A453DD"/>
    <w:rsid w:val="00A4547C"/>
    <w:rsid w:val="00A45CAA"/>
    <w:rsid w:val="00A46D85"/>
    <w:rsid w:val="00A47402"/>
    <w:rsid w:val="00A477BD"/>
    <w:rsid w:val="00A477CE"/>
    <w:rsid w:val="00A47B63"/>
    <w:rsid w:val="00A500C0"/>
    <w:rsid w:val="00A505D3"/>
    <w:rsid w:val="00A5157B"/>
    <w:rsid w:val="00A51B30"/>
    <w:rsid w:val="00A527DE"/>
    <w:rsid w:val="00A52A18"/>
    <w:rsid w:val="00A52AF1"/>
    <w:rsid w:val="00A52F65"/>
    <w:rsid w:val="00A54902"/>
    <w:rsid w:val="00A549DF"/>
    <w:rsid w:val="00A55819"/>
    <w:rsid w:val="00A56702"/>
    <w:rsid w:val="00A57A53"/>
    <w:rsid w:val="00A57CD5"/>
    <w:rsid w:val="00A610F6"/>
    <w:rsid w:val="00A6121D"/>
    <w:rsid w:val="00A619BA"/>
    <w:rsid w:val="00A62617"/>
    <w:rsid w:val="00A62DD4"/>
    <w:rsid w:val="00A63068"/>
    <w:rsid w:val="00A64A3B"/>
    <w:rsid w:val="00A6513E"/>
    <w:rsid w:val="00A65748"/>
    <w:rsid w:val="00A6611A"/>
    <w:rsid w:val="00A661B6"/>
    <w:rsid w:val="00A664FC"/>
    <w:rsid w:val="00A66E47"/>
    <w:rsid w:val="00A67D61"/>
    <w:rsid w:val="00A705A4"/>
    <w:rsid w:val="00A70EC9"/>
    <w:rsid w:val="00A72351"/>
    <w:rsid w:val="00A72874"/>
    <w:rsid w:val="00A73A7F"/>
    <w:rsid w:val="00A7437B"/>
    <w:rsid w:val="00A74622"/>
    <w:rsid w:val="00A7624D"/>
    <w:rsid w:val="00A76F14"/>
    <w:rsid w:val="00A77969"/>
    <w:rsid w:val="00A77E75"/>
    <w:rsid w:val="00A8092F"/>
    <w:rsid w:val="00A809A2"/>
    <w:rsid w:val="00A8132F"/>
    <w:rsid w:val="00A825B6"/>
    <w:rsid w:val="00A82D73"/>
    <w:rsid w:val="00A82F12"/>
    <w:rsid w:val="00A83B3A"/>
    <w:rsid w:val="00A84AC5"/>
    <w:rsid w:val="00A85135"/>
    <w:rsid w:val="00A858BC"/>
    <w:rsid w:val="00A86E68"/>
    <w:rsid w:val="00A87453"/>
    <w:rsid w:val="00A9075C"/>
    <w:rsid w:val="00A907C2"/>
    <w:rsid w:val="00A9167E"/>
    <w:rsid w:val="00A91BAA"/>
    <w:rsid w:val="00A92BC1"/>
    <w:rsid w:val="00A93D71"/>
    <w:rsid w:val="00A93E32"/>
    <w:rsid w:val="00A93EA4"/>
    <w:rsid w:val="00A95A06"/>
    <w:rsid w:val="00A95E09"/>
    <w:rsid w:val="00A965BB"/>
    <w:rsid w:val="00A9690C"/>
    <w:rsid w:val="00A97490"/>
    <w:rsid w:val="00A97809"/>
    <w:rsid w:val="00AA1431"/>
    <w:rsid w:val="00AA1A10"/>
    <w:rsid w:val="00AA20D4"/>
    <w:rsid w:val="00AA251F"/>
    <w:rsid w:val="00AA265B"/>
    <w:rsid w:val="00AA2A90"/>
    <w:rsid w:val="00AA3243"/>
    <w:rsid w:val="00AA37AD"/>
    <w:rsid w:val="00AA3A8D"/>
    <w:rsid w:val="00AA5443"/>
    <w:rsid w:val="00AA54C4"/>
    <w:rsid w:val="00AA62FA"/>
    <w:rsid w:val="00AA68F5"/>
    <w:rsid w:val="00AA6E9E"/>
    <w:rsid w:val="00AA71B4"/>
    <w:rsid w:val="00AA7548"/>
    <w:rsid w:val="00AB0D3F"/>
    <w:rsid w:val="00AB1A34"/>
    <w:rsid w:val="00AB2A57"/>
    <w:rsid w:val="00AB312D"/>
    <w:rsid w:val="00AB3406"/>
    <w:rsid w:val="00AB4A03"/>
    <w:rsid w:val="00AB57BE"/>
    <w:rsid w:val="00AB5DDC"/>
    <w:rsid w:val="00AB6DD2"/>
    <w:rsid w:val="00AB729F"/>
    <w:rsid w:val="00AB78F4"/>
    <w:rsid w:val="00AB7EEB"/>
    <w:rsid w:val="00AC0701"/>
    <w:rsid w:val="00AC0D46"/>
    <w:rsid w:val="00AC16C5"/>
    <w:rsid w:val="00AC1DCE"/>
    <w:rsid w:val="00AC2423"/>
    <w:rsid w:val="00AC2D89"/>
    <w:rsid w:val="00AC4783"/>
    <w:rsid w:val="00AC5963"/>
    <w:rsid w:val="00AC60CB"/>
    <w:rsid w:val="00AC6294"/>
    <w:rsid w:val="00AC6A1C"/>
    <w:rsid w:val="00AC7FA7"/>
    <w:rsid w:val="00AD0E7B"/>
    <w:rsid w:val="00AD1C66"/>
    <w:rsid w:val="00AD2564"/>
    <w:rsid w:val="00AD2CB4"/>
    <w:rsid w:val="00AD38C5"/>
    <w:rsid w:val="00AD3CBB"/>
    <w:rsid w:val="00AD42E1"/>
    <w:rsid w:val="00AD44C1"/>
    <w:rsid w:val="00AD5140"/>
    <w:rsid w:val="00AD600F"/>
    <w:rsid w:val="00AD64A0"/>
    <w:rsid w:val="00AD6B9B"/>
    <w:rsid w:val="00AD6C92"/>
    <w:rsid w:val="00AD6D8C"/>
    <w:rsid w:val="00AD7A43"/>
    <w:rsid w:val="00AE07DD"/>
    <w:rsid w:val="00AE08C8"/>
    <w:rsid w:val="00AE0D35"/>
    <w:rsid w:val="00AE1852"/>
    <w:rsid w:val="00AE2F45"/>
    <w:rsid w:val="00AE5811"/>
    <w:rsid w:val="00AE5B48"/>
    <w:rsid w:val="00AE6D0B"/>
    <w:rsid w:val="00AF040D"/>
    <w:rsid w:val="00AF0EE2"/>
    <w:rsid w:val="00AF1BEB"/>
    <w:rsid w:val="00AF28B1"/>
    <w:rsid w:val="00AF34BE"/>
    <w:rsid w:val="00AF563D"/>
    <w:rsid w:val="00AF6BD6"/>
    <w:rsid w:val="00AF6EAC"/>
    <w:rsid w:val="00AF714C"/>
    <w:rsid w:val="00AF72D4"/>
    <w:rsid w:val="00AF79D5"/>
    <w:rsid w:val="00B009C8"/>
    <w:rsid w:val="00B00A17"/>
    <w:rsid w:val="00B029B2"/>
    <w:rsid w:val="00B040EA"/>
    <w:rsid w:val="00B04EB1"/>
    <w:rsid w:val="00B056BC"/>
    <w:rsid w:val="00B05FCB"/>
    <w:rsid w:val="00B06024"/>
    <w:rsid w:val="00B10CD8"/>
    <w:rsid w:val="00B10E63"/>
    <w:rsid w:val="00B1176D"/>
    <w:rsid w:val="00B1237E"/>
    <w:rsid w:val="00B128A1"/>
    <w:rsid w:val="00B12C52"/>
    <w:rsid w:val="00B12CB6"/>
    <w:rsid w:val="00B13356"/>
    <w:rsid w:val="00B1411D"/>
    <w:rsid w:val="00B15A90"/>
    <w:rsid w:val="00B165C5"/>
    <w:rsid w:val="00B20CF1"/>
    <w:rsid w:val="00B2156C"/>
    <w:rsid w:val="00B22E82"/>
    <w:rsid w:val="00B2371C"/>
    <w:rsid w:val="00B240D4"/>
    <w:rsid w:val="00B2578B"/>
    <w:rsid w:val="00B26252"/>
    <w:rsid w:val="00B26696"/>
    <w:rsid w:val="00B27EFB"/>
    <w:rsid w:val="00B305FA"/>
    <w:rsid w:val="00B307C2"/>
    <w:rsid w:val="00B30FC3"/>
    <w:rsid w:val="00B31786"/>
    <w:rsid w:val="00B31E89"/>
    <w:rsid w:val="00B32DDF"/>
    <w:rsid w:val="00B33085"/>
    <w:rsid w:val="00B349ED"/>
    <w:rsid w:val="00B34EBC"/>
    <w:rsid w:val="00B34F9B"/>
    <w:rsid w:val="00B35366"/>
    <w:rsid w:val="00B3553C"/>
    <w:rsid w:val="00B3590B"/>
    <w:rsid w:val="00B359B5"/>
    <w:rsid w:val="00B362AA"/>
    <w:rsid w:val="00B3665C"/>
    <w:rsid w:val="00B36C45"/>
    <w:rsid w:val="00B37774"/>
    <w:rsid w:val="00B4019A"/>
    <w:rsid w:val="00B40E81"/>
    <w:rsid w:val="00B41402"/>
    <w:rsid w:val="00B4166C"/>
    <w:rsid w:val="00B4197D"/>
    <w:rsid w:val="00B429D5"/>
    <w:rsid w:val="00B42A9A"/>
    <w:rsid w:val="00B430CB"/>
    <w:rsid w:val="00B43E3B"/>
    <w:rsid w:val="00B44287"/>
    <w:rsid w:val="00B4440A"/>
    <w:rsid w:val="00B44F34"/>
    <w:rsid w:val="00B45475"/>
    <w:rsid w:val="00B460B3"/>
    <w:rsid w:val="00B46536"/>
    <w:rsid w:val="00B47A1C"/>
    <w:rsid w:val="00B50621"/>
    <w:rsid w:val="00B508D8"/>
    <w:rsid w:val="00B5101C"/>
    <w:rsid w:val="00B51552"/>
    <w:rsid w:val="00B51A1B"/>
    <w:rsid w:val="00B52F93"/>
    <w:rsid w:val="00B53090"/>
    <w:rsid w:val="00B533F5"/>
    <w:rsid w:val="00B54C50"/>
    <w:rsid w:val="00B5626E"/>
    <w:rsid w:val="00B569FF"/>
    <w:rsid w:val="00B578A8"/>
    <w:rsid w:val="00B612BA"/>
    <w:rsid w:val="00B6189E"/>
    <w:rsid w:val="00B622AC"/>
    <w:rsid w:val="00B62B6E"/>
    <w:rsid w:val="00B63224"/>
    <w:rsid w:val="00B65491"/>
    <w:rsid w:val="00B666AD"/>
    <w:rsid w:val="00B66B39"/>
    <w:rsid w:val="00B66C13"/>
    <w:rsid w:val="00B66CD2"/>
    <w:rsid w:val="00B66DC0"/>
    <w:rsid w:val="00B6727E"/>
    <w:rsid w:val="00B6765D"/>
    <w:rsid w:val="00B67699"/>
    <w:rsid w:val="00B67E5A"/>
    <w:rsid w:val="00B719A2"/>
    <w:rsid w:val="00B728C5"/>
    <w:rsid w:val="00B74438"/>
    <w:rsid w:val="00B74724"/>
    <w:rsid w:val="00B74E96"/>
    <w:rsid w:val="00B752E2"/>
    <w:rsid w:val="00B75DA1"/>
    <w:rsid w:val="00B7603B"/>
    <w:rsid w:val="00B7634B"/>
    <w:rsid w:val="00B763FC"/>
    <w:rsid w:val="00B77166"/>
    <w:rsid w:val="00B7731B"/>
    <w:rsid w:val="00B773C8"/>
    <w:rsid w:val="00B800FE"/>
    <w:rsid w:val="00B8194E"/>
    <w:rsid w:val="00B822EC"/>
    <w:rsid w:val="00B827ED"/>
    <w:rsid w:val="00B832F9"/>
    <w:rsid w:val="00B83AA7"/>
    <w:rsid w:val="00B83CB2"/>
    <w:rsid w:val="00B84AAA"/>
    <w:rsid w:val="00B84D7B"/>
    <w:rsid w:val="00B85372"/>
    <w:rsid w:val="00B85A70"/>
    <w:rsid w:val="00B85D3F"/>
    <w:rsid w:val="00B86904"/>
    <w:rsid w:val="00B875A7"/>
    <w:rsid w:val="00B9047B"/>
    <w:rsid w:val="00B92AAF"/>
    <w:rsid w:val="00B93624"/>
    <w:rsid w:val="00B93EF7"/>
    <w:rsid w:val="00B96F55"/>
    <w:rsid w:val="00BA2DAC"/>
    <w:rsid w:val="00BA358B"/>
    <w:rsid w:val="00BA3635"/>
    <w:rsid w:val="00BA3D9E"/>
    <w:rsid w:val="00BA55A2"/>
    <w:rsid w:val="00BA6323"/>
    <w:rsid w:val="00BA779A"/>
    <w:rsid w:val="00BA7D53"/>
    <w:rsid w:val="00BB03D8"/>
    <w:rsid w:val="00BB0898"/>
    <w:rsid w:val="00BB0F2A"/>
    <w:rsid w:val="00BB1047"/>
    <w:rsid w:val="00BB2B07"/>
    <w:rsid w:val="00BB32E0"/>
    <w:rsid w:val="00BB4ED2"/>
    <w:rsid w:val="00BB50E6"/>
    <w:rsid w:val="00BB598A"/>
    <w:rsid w:val="00BB5F51"/>
    <w:rsid w:val="00BB6147"/>
    <w:rsid w:val="00BB6A28"/>
    <w:rsid w:val="00BB7D73"/>
    <w:rsid w:val="00BC02C4"/>
    <w:rsid w:val="00BC0546"/>
    <w:rsid w:val="00BC0FD7"/>
    <w:rsid w:val="00BC3349"/>
    <w:rsid w:val="00BC3898"/>
    <w:rsid w:val="00BC3B32"/>
    <w:rsid w:val="00BC3CE7"/>
    <w:rsid w:val="00BC3FF4"/>
    <w:rsid w:val="00BC4970"/>
    <w:rsid w:val="00BC53C9"/>
    <w:rsid w:val="00BC555B"/>
    <w:rsid w:val="00BC589E"/>
    <w:rsid w:val="00BC58F7"/>
    <w:rsid w:val="00BC5C18"/>
    <w:rsid w:val="00BC6F10"/>
    <w:rsid w:val="00BC7550"/>
    <w:rsid w:val="00BD07BE"/>
    <w:rsid w:val="00BD12EB"/>
    <w:rsid w:val="00BD148C"/>
    <w:rsid w:val="00BD1E85"/>
    <w:rsid w:val="00BD394E"/>
    <w:rsid w:val="00BD3F94"/>
    <w:rsid w:val="00BD5416"/>
    <w:rsid w:val="00BD555C"/>
    <w:rsid w:val="00BD5DFE"/>
    <w:rsid w:val="00BD5F34"/>
    <w:rsid w:val="00BD6239"/>
    <w:rsid w:val="00BD6513"/>
    <w:rsid w:val="00BD7425"/>
    <w:rsid w:val="00BD75F8"/>
    <w:rsid w:val="00BD7C6B"/>
    <w:rsid w:val="00BE11CA"/>
    <w:rsid w:val="00BE13E4"/>
    <w:rsid w:val="00BE1535"/>
    <w:rsid w:val="00BE1898"/>
    <w:rsid w:val="00BE258C"/>
    <w:rsid w:val="00BE2609"/>
    <w:rsid w:val="00BE29AC"/>
    <w:rsid w:val="00BE2BF2"/>
    <w:rsid w:val="00BE331E"/>
    <w:rsid w:val="00BE3F91"/>
    <w:rsid w:val="00BE5655"/>
    <w:rsid w:val="00BE5FA9"/>
    <w:rsid w:val="00BE72D8"/>
    <w:rsid w:val="00BE7F07"/>
    <w:rsid w:val="00BE7F3E"/>
    <w:rsid w:val="00BF0537"/>
    <w:rsid w:val="00BF0A30"/>
    <w:rsid w:val="00BF0EA6"/>
    <w:rsid w:val="00BF10B9"/>
    <w:rsid w:val="00BF168A"/>
    <w:rsid w:val="00BF1DC3"/>
    <w:rsid w:val="00BF2503"/>
    <w:rsid w:val="00BF267E"/>
    <w:rsid w:val="00BF27BB"/>
    <w:rsid w:val="00BF2C21"/>
    <w:rsid w:val="00BF318A"/>
    <w:rsid w:val="00BF3F68"/>
    <w:rsid w:val="00BF438E"/>
    <w:rsid w:val="00BF47DB"/>
    <w:rsid w:val="00BF54C1"/>
    <w:rsid w:val="00BF5A01"/>
    <w:rsid w:val="00C003DB"/>
    <w:rsid w:val="00C008ED"/>
    <w:rsid w:val="00C0108F"/>
    <w:rsid w:val="00C0123E"/>
    <w:rsid w:val="00C01A4D"/>
    <w:rsid w:val="00C01D5E"/>
    <w:rsid w:val="00C0288A"/>
    <w:rsid w:val="00C02890"/>
    <w:rsid w:val="00C02CC3"/>
    <w:rsid w:val="00C0339B"/>
    <w:rsid w:val="00C0372A"/>
    <w:rsid w:val="00C03B41"/>
    <w:rsid w:val="00C04504"/>
    <w:rsid w:val="00C04D7A"/>
    <w:rsid w:val="00C05202"/>
    <w:rsid w:val="00C058D5"/>
    <w:rsid w:val="00C05F76"/>
    <w:rsid w:val="00C06CCF"/>
    <w:rsid w:val="00C1040E"/>
    <w:rsid w:val="00C10E8A"/>
    <w:rsid w:val="00C11B60"/>
    <w:rsid w:val="00C12078"/>
    <w:rsid w:val="00C120AC"/>
    <w:rsid w:val="00C12729"/>
    <w:rsid w:val="00C12AC3"/>
    <w:rsid w:val="00C135F0"/>
    <w:rsid w:val="00C148B3"/>
    <w:rsid w:val="00C15707"/>
    <w:rsid w:val="00C16A92"/>
    <w:rsid w:val="00C17704"/>
    <w:rsid w:val="00C17D88"/>
    <w:rsid w:val="00C21196"/>
    <w:rsid w:val="00C2120C"/>
    <w:rsid w:val="00C2138F"/>
    <w:rsid w:val="00C218C3"/>
    <w:rsid w:val="00C21950"/>
    <w:rsid w:val="00C22540"/>
    <w:rsid w:val="00C23036"/>
    <w:rsid w:val="00C2323D"/>
    <w:rsid w:val="00C234BB"/>
    <w:rsid w:val="00C238DC"/>
    <w:rsid w:val="00C23BFE"/>
    <w:rsid w:val="00C24535"/>
    <w:rsid w:val="00C24E49"/>
    <w:rsid w:val="00C2536F"/>
    <w:rsid w:val="00C2543F"/>
    <w:rsid w:val="00C25A8C"/>
    <w:rsid w:val="00C26762"/>
    <w:rsid w:val="00C267AF"/>
    <w:rsid w:val="00C269A8"/>
    <w:rsid w:val="00C27207"/>
    <w:rsid w:val="00C2785E"/>
    <w:rsid w:val="00C27FCD"/>
    <w:rsid w:val="00C308D3"/>
    <w:rsid w:val="00C30942"/>
    <w:rsid w:val="00C31E39"/>
    <w:rsid w:val="00C31EB0"/>
    <w:rsid w:val="00C31F50"/>
    <w:rsid w:val="00C32136"/>
    <w:rsid w:val="00C32A96"/>
    <w:rsid w:val="00C32F8F"/>
    <w:rsid w:val="00C33A7F"/>
    <w:rsid w:val="00C357F1"/>
    <w:rsid w:val="00C35A59"/>
    <w:rsid w:val="00C35C38"/>
    <w:rsid w:val="00C35CC5"/>
    <w:rsid w:val="00C362DF"/>
    <w:rsid w:val="00C3664E"/>
    <w:rsid w:val="00C366C9"/>
    <w:rsid w:val="00C36C87"/>
    <w:rsid w:val="00C3766C"/>
    <w:rsid w:val="00C37D2F"/>
    <w:rsid w:val="00C402CB"/>
    <w:rsid w:val="00C40B4E"/>
    <w:rsid w:val="00C40D58"/>
    <w:rsid w:val="00C4165E"/>
    <w:rsid w:val="00C42600"/>
    <w:rsid w:val="00C42D29"/>
    <w:rsid w:val="00C43A42"/>
    <w:rsid w:val="00C43A5B"/>
    <w:rsid w:val="00C43AE3"/>
    <w:rsid w:val="00C43C70"/>
    <w:rsid w:val="00C449BC"/>
    <w:rsid w:val="00C44ACF"/>
    <w:rsid w:val="00C45A91"/>
    <w:rsid w:val="00C46721"/>
    <w:rsid w:val="00C4679D"/>
    <w:rsid w:val="00C503F1"/>
    <w:rsid w:val="00C50630"/>
    <w:rsid w:val="00C50C3D"/>
    <w:rsid w:val="00C52C78"/>
    <w:rsid w:val="00C53C49"/>
    <w:rsid w:val="00C53C51"/>
    <w:rsid w:val="00C5469A"/>
    <w:rsid w:val="00C5550E"/>
    <w:rsid w:val="00C572A7"/>
    <w:rsid w:val="00C5784A"/>
    <w:rsid w:val="00C6142B"/>
    <w:rsid w:val="00C61A63"/>
    <w:rsid w:val="00C623F5"/>
    <w:rsid w:val="00C62D23"/>
    <w:rsid w:val="00C6344E"/>
    <w:rsid w:val="00C63E74"/>
    <w:rsid w:val="00C64865"/>
    <w:rsid w:val="00C67CD4"/>
    <w:rsid w:val="00C703F6"/>
    <w:rsid w:val="00C70C4D"/>
    <w:rsid w:val="00C71EEC"/>
    <w:rsid w:val="00C75E95"/>
    <w:rsid w:val="00C765D6"/>
    <w:rsid w:val="00C76630"/>
    <w:rsid w:val="00C771A5"/>
    <w:rsid w:val="00C77B01"/>
    <w:rsid w:val="00C814C4"/>
    <w:rsid w:val="00C829E1"/>
    <w:rsid w:val="00C83222"/>
    <w:rsid w:val="00C8397F"/>
    <w:rsid w:val="00C8440F"/>
    <w:rsid w:val="00C84790"/>
    <w:rsid w:val="00C85580"/>
    <w:rsid w:val="00C855F7"/>
    <w:rsid w:val="00C900D4"/>
    <w:rsid w:val="00C90B04"/>
    <w:rsid w:val="00C90EA9"/>
    <w:rsid w:val="00C90F11"/>
    <w:rsid w:val="00C919C0"/>
    <w:rsid w:val="00C91D7C"/>
    <w:rsid w:val="00C92698"/>
    <w:rsid w:val="00C92E40"/>
    <w:rsid w:val="00C93AC4"/>
    <w:rsid w:val="00C93ED9"/>
    <w:rsid w:val="00C94C01"/>
    <w:rsid w:val="00C94CD8"/>
    <w:rsid w:val="00C9514A"/>
    <w:rsid w:val="00C95258"/>
    <w:rsid w:val="00C95BD4"/>
    <w:rsid w:val="00C96286"/>
    <w:rsid w:val="00C965A2"/>
    <w:rsid w:val="00C96A62"/>
    <w:rsid w:val="00C974BF"/>
    <w:rsid w:val="00C97816"/>
    <w:rsid w:val="00C97AED"/>
    <w:rsid w:val="00C97B4D"/>
    <w:rsid w:val="00C97B99"/>
    <w:rsid w:val="00C97C75"/>
    <w:rsid w:val="00C97E30"/>
    <w:rsid w:val="00CA0090"/>
    <w:rsid w:val="00CA0AD5"/>
    <w:rsid w:val="00CA0B42"/>
    <w:rsid w:val="00CA0DBB"/>
    <w:rsid w:val="00CA101E"/>
    <w:rsid w:val="00CA118C"/>
    <w:rsid w:val="00CA1294"/>
    <w:rsid w:val="00CA1F99"/>
    <w:rsid w:val="00CA23E2"/>
    <w:rsid w:val="00CA2B47"/>
    <w:rsid w:val="00CA3270"/>
    <w:rsid w:val="00CA3D10"/>
    <w:rsid w:val="00CA3EC3"/>
    <w:rsid w:val="00CA501D"/>
    <w:rsid w:val="00CA596E"/>
    <w:rsid w:val="00CA6C91"/>
    <w:rsid w:val="00CA70C9"/>
    <w:rsid w:val="00CA7383"/>
    <w:rsid w:val="00CB017A"/>
    <w:rsid w:val="00CB086B"/>
    <w:rsid w:val="00CB10E3"/>
    <w:rsid w:val="00CB1378"/>
    <w:rsid w:val="00CB2295"/>
    <w:rsid w:val="00CB3072"/>
    <w:rsid w:val="00CB3C46"/>
    <w:rsid w:val="00CB3E14"/>
    <w:rsid w:val="00CB4722"/>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310A"/>
    <w:rsid w:val="00CC3215"/>
    <w:rsid w:val="00CC3C08"/>
    <w:rsid w:val="00CC4EB5"/>
    <w:rsid w:val="00CC63DA"/>
    <w:rsid w:val="00CC6BD4"/>
    <w:rsid w:val="00CC7D0F"/>
    <w:rsid w:val="00CD05C5"/>
    <w:rsid w:val="00CD1054"/>
    <w:rsid w:val="00CD11E1"/>
    <w:rsid w:val="00CD1E6F"/>
    <w:rsid w:val="00CD27B6"/>
    <w:rsid w:val="00CD3D65"/>
    <w:rsid w:val="00CD5E0F"/>
    <w:rsid w:val="00CD6206"/>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D71"/>
    <w:rsid w:val="00CE3DFB"/>
    <w:rsid w:val="00CE4719"/>
    <w:rsid w:val="00CE4BD9"/>
    <w:rsid w:val="00CE516F"/>
    <w:rsid w:val="00CE5C57"/>
    <w:rsid w:val="00CE664B"/>
    <w:rsid w:val="00CE7BB4"/>
    <w:rsid w:val="00CF02BC"/>
    <w:rsid w:val="00CF1050"/>
    <w:rsid w:val="00CF1843"/>
    <w:rsid w:val="00CF18F5"/>
    <w:rsid w:val="00CF1F9D"/>
    <w:rsid w:val="00CF2372"/>
    <w:rsid w:val="00CF23E8"/>
    <w:rsid w:val="00CF32A5"/>
    <w:rsid w:val="00CF47DB"/>
    <w:rsid w:val="00CF4846"/>
    <w:rsid w:val="00CF55C4"/>
    <w:rsid w:val="00CF60C7"/>
    <w:rsid w:val="00CF62C2"/>
    <w:rsid w:val="00CF6B14"/>
    <w:rsid w:val="00CF7125"/>
    <w:rsid w:val="00CF78EA"/>
    <w:rsid w:val="00D00B29"/>
    <w:rsid w:val="00D00DC6"/>
    <w:rsid w:val="00D014E9"/>
    <w:rsid w:val="00D01BC0"/>
    <w:rsid w:val="00D02A7C"/>
    <w:rsid w:val="00D02E1D"/>
    <w:rsid w:val="00D02EA8"/>
    <w:rsid w:val="00D06245"/>
    <w:rsid w:val="00D062CD"/>
    <w:rsid w:val="00D06E7A"/>
    <w:rsid w:val="00D07014"/>
    <w:rsid w:val="00D07532"/>
    <w:rsid w:val="00D07BD9"/>
    <w:rsid w:val="00D1062F"/>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553"/>
    <w:rsid w:val="00D16B0B"/>
    <w:rsid w:val="00D16DAE"/>
    <w:rsid w:val="00D171B5"/>
    <w:rsid w:val="00D1757C"/>
    <w:rsid w:val="00D20902"/>
    <w:rsid w:val="00D20D2D"/>
    <w:rsid w:val="00D23480"/>
    <w:rsid w:val="00D23CD9"/>
    <w:rsid w:val="00D24BB4"/>
    <w:rsid w:val="00D25535"/>
    <w:rsid w:val="00D257CD"/>
    <w:rsid w:val="00D258E8"/>
    <w:rsid w:val="00D25AB6"/>
    <w:rsid w:val="00D263B9"/>
    <w:rsid w:val="00D26EAA"/>
    <w:rsid w:val="00D300C8"/>
    <w:rsid w:val="00D31F1E"/>
    <w:rsid w:val="00D32545"/>
    <w:rsid w:val="00D333D9"/>
    <w:rsid w:val="00D333F7"/>
    <w:rsid w:val="00D33DD1"/>
    <w:rsid w:val="00D349BD"/>
    <w:rsid w:val="00D35084"/>
    <w:rsid w:val="00D36561"/>
    <w:rsid w:val="00D3738D"/>
    <w:rsid w:val="00D37418"/>
    <w:rsid w:val="00D40455"/>
    <w:rsid w:val="00D404A4"/>
    <w:rsid w:val="00D4062A"/>
    <w:rsid w:val="00D40AEF"/>
    <w:rsid w:val="00D40EC7"/>
    <w:rsid w:val="00D40F93"/>
    <w:rsid w:val="00D413D1"/>
    <w:rsid w:val="00D42052"/>
    <w:rsid w:val="00D425A3"/>
    <w:rsid w:val="00D44710"/>
    <w:rsid w:val="00D44D95"/>
    <w:rsid w:val="00D44E11"/>
    <w:rsid w:val="00D454CF"/>
    <w:rsid w:val="00D46198"/>
    <w:rsid w:val="00D465E5"/>
    <w:rsid w:val="00D46B01"/>
    <w:rsid w:val="00D46BC0"/>
    <w:rsid w:val="00D47160"/>
    <w:rsid w:val="00D479F0"/>
    <w:rsid w:val="00D47C4A"/>
    <w:rsid w:val="00D47D84"/>
    <w:rsid w:val="00D51178"/>
    <w:rsid w:val="00D528BA"/>
    <w:rsid w:val="00D52A32"/>
    <w:rsid w:val="00D53016"/>
    <w:rsid w:val="00D5315B"/>
    <w:rsid w:val="00D53A19"/>
    <w:rsid w:val="00D54B16"/>
    <w:rsid w:val="00D5513B"/>
    <w:rsid w:val="00D5647B"/>
    <w:rsid w:val="00D565E6"/>
    <w:rsid w:val="00D57FDA"/>
    <w:rsid w:val="00D6089E"/>
    <w:rsid w:val="00D609A0"/>
    <w:rsid w:val="00D60AC6"/>
    <w:rsid w:val="00D60C6A"/>
    <w:rsid w:val="00D621D8"/>
    <w:rsid w:val="00D62C29"/>
    <w:rsid w:val="00D62C84"/>
    <w:rsid w:val="00D63039"/>
    <w:rsid w:val="00D640AC"/>
    <w:rsid w:val="00D64ADF"/>
    <w:rsid w:val="00D64B85"/>
    <w:rsid w:val="00D64DDA"/>
    <w:rsid w:val="00D66275"/>
    <w:rsid w:val="00D67211"/>
    <w:rsid w:val="00D6752E"/>
    <w:rsid w:val="00D67E83"/>
    <w:rsid w:val="00D7083C"/>
    <w:rsid w:val="00D7105B"/>
    <w:rsid w:val="00D71F33"/>
    <w:rsid w:val="00D72DAA"/>
    <w:rsid w:val="00D7373B"/>
    <w:rsid w:val="00D74AE5"/>
    <w:rsid w:val="00D7510D"/>
    <w:rsid w:val="00D75B9E"/>
    <w:rsid w:val="00D80593"/>
    <w:rsid w:val="00D80822"/>
    <w:rsid w:val="00D809FB"/>
    <w:rsid w:val="00D82067"/>
    <w:rsid w:val="00D84184"/>
    <w:rsid w:val="00D84AE1"/>
    <w:rsid w:val="00D84BFB"/>
    <w:rsid w:val="00D85107"/>
    <w:rsid w:val="00D8519C"/>
    <w:rsid w:val="00D85B52"/>
    <w:rsid w:val="00D85C76"/>
    <w:rsid w:val="00D85D84"/>
    <w:rsid w:val="00D8617B"/>
    <w:rsid w:val="00D86330"/>
    <w:rsid w:val="00D86A89"/>
    <w:rsid w:val="00D908D4"/>
    <w:rsid w:val="00D90F7E"/>
    <w:rsid w:val="00D91298"/>
    <w:rsid w:val="00D922DC"/>
    <w:rsid w:val="00D9279F"/>
    <w:rsid w:val="00D93A28"/>
    <w:rsid w:val="00D94928"/>
    <w:rsid w:val="00D94B66"/>
    <w:rsid w:val="00D94B7D"/>
    <w:rsid w:val="00D953BA"/>
    <w:rsid w:val="00D95DDA"/>
    <w:rsid w:val="00D97359"/>
    <w:rsid w:val="00D973F0"/>
    <w:rsid w:val="00D97417"/>
    <w:rsid w:val="00D97A4E"/>
    <w:rsid w:val="00D97AAF"/>
    <w:rsid w:val="00D97CEC"/>
    <w:rsid w:val="00DA0663"/>
    <w:rsid w:val="00DA180E"/>
    <w:rsid w:val="00DA1A60"/>
    <w:rsid w:val="00DA219D"/>
    <w:rsid w:val="00DA26A6"/>
    <w:rsid w:val="00DA3800"/>
    <w:rsid w:val="00DA4556"/>
    <w:rsid w:val="00DA49D5"/>
    <w:rsid w:val="00DA5F77"/>
    <w:rsid w:val="00DA6C5B"/>
    <w:rsid w:val="00DA72CE"/>
    <w:rsid w:val="00DA7E5A"/>
    <w:rsid w:val="00DA7F36"/>
    <w:rsid w:val="00DB1DC4"/>
    <w:rsid w:val="00DB2DBC"/>
    <w:rsid w:val="00DB3592"/>
    <w:rsid w:val="00DB37B7"/>
    <w:rsid w:val="00DB5F0D"/>
    <w:rsid w:val="00DC09AE"/>
    <w:rsid w:val="00DC0BCA"/>
    <w:rsid w:val="00DC10D2"/>
    <w:rsid w:val="00DC129B"/>
    <w:rsid w:val="00DC180E"/>
    <w:rsid w:val="00DC1E91"/>
    <w:rsid w:val="00DC2A54"/>
    <w:rsid w:val="00DC2B2E"/>
    <w:rsid w:val="00DC3A16"/>
    <w:rsid w:val="00DC3D3A"/>
    <w:rsid w:val="00DC458F"/>
    <w:rsid w:val="00DC48E0"/>
    <w:rsid w:val="00DC50C3"/>
    <w:rsid w:val="00DC583C"/>
    <w:rsid w:val="00DC5B1D"/>
    <w:rsid w:val="00DC6437"/>
    <w:rsid w:val="00DC7235"/>
    <w:rsid w:val="00DC745C"/>
    <w:rsid w:val="00DC7EA1"/>
    <w:rsid w:val="00DD0349"/>
    <w:rsid w:val="00DD06F2"/>
    <w:rsid w:val="00DD13B8"/>
    <w:rsid w:val="00DD14EE"/>
    <w:rsid w:val="00DD1688"/>
    <w:rsid w:val="00DD17D1"/>
    <w:rsid w:val="00DD1A54"/>
    <w:rsid w:val="00DD1E8D"/>
    <w:rsid w:val="00DD24B2"/>
    <w:rsid w:val="00DD28B3"/>
    <w:rsid w:val="00DD3F98"/>
    <w:rsid w:val="00DD415C"/>
    <w:rsid w:val="00DD46B1"/>
    <w:rsid w:val="00DD5BBF"/>
    <w:rsid w:val="00DD6231"/>
    <w:rsid w:val="00DD656C"/>
    <w:rsid w:val="00DD66C3"/>
    <w:rsid w:val="00DD670F"/>
    <w:rsid w:val="00DD7F5E"/>
    <w:rsid w:val="00DE00B0"/>
    <w:rsid w:val="00DE0294"/>
    <w:rsid w:val="00DE1864"/>
    <w:rsid w:val="00DE24B5"/>
    <w:rsid w:val="00DE2FE9"/>
    <w:rsid w:val="00DE3331"/>
    <w:rsid w:val="00DE550F"/>
    <w:rsid w:val="00DE56CB"/>
    <w:rsid w:val="00DE6091"/>
    <w:rsid w:val="00DE61F8"/>
    <w:rsid w:val="00DE643A"/>
    <w:rsid w:val="00DE7153"/>
    <w:rsid w:val="00DE79DC"/>
    <w:rsid w:val="00DE7AA0"/>
    <w:rsid w:val="00DF0C8C"/>
    <w:rsid w:val="00DF177B"/>
    <w:rsid w:val="00DF21D7"/>
    <w:rsid w:val="00DF2274"/>
    <w:rsid w:val="00DF2A92"/>
    <w:rsid w:val="00DF2D5F"/>
    <w:rsid w:val="00DF39E3"/>
    <w:rsid w:val="00DF5DE7"/>
    <w:rsid w:val="00DF5E76"/>
    <w:rsid w:val="00DF65D0"/>
    <w:rsid w:val="00DF6B24"/>
    <w:rsid w:val="00DF7091"/>
    <w:rsid w:val="00DF7797"/>
    <w:rsid w:val="00E00EEB"/>
    <w:rsid w:val="00E03DF0"/>
    <w:rsid w:val="00E0580E"/>
    <w:rsid w:val="00E0608D"/>
    <w:rsid w:val="00E075AA"/>
    <w:rsid w:val="00E077F3"/>
    <w:rsid w:val="00E07D8F"/>
    <w:rsid w:val="00E10709"/>
    <w:rsid w:val="00E11458"/>
    <w:rsid w:val="00E116FD"/>
    <w:rsid w:val="00E1171F"/>
    <w:rsid w:val="00E124E5"/>
    <w:rsid w:val="00E14046"/>
    <w:rsid w:val="00E1432D"/>
    <w:rsid w:val="00E1471E"/>
    <w:rsid w:val="00E14E2E"/>
    <w:rsid w:val="00E1539B"/>
    <w:rsid w:val="00E162F4"/>
    <w:rsid w:val="00E16801"/>
    <w:rsid w:val="00E16821"/>
    <w:rsid w:val="00E172BF"/>
    <w:rsid w:val="00E17991"/>
    <w:rsid w:val="00E20089"/>
    <w:rsid w:val="00E20E1E"/>
    <w:rsid w:val="00E2110F"/>
    <w:rsid w:val="00E21684"/>
    <w:rsid w:val="00E21B3E"/>
    <w:rsid w:val="00E225AC"/>
    <w:rsid w:val="00E2281F"/>
    <w:rsid w:val="00E22D61"/>
    <w:rsid w:val="00E23A43"/>
    <w:rsid w:val="00E24412"/>
    <w:rsid w:val="00E25BF5"/>
    <w:rsid w:val="00E25D41"/>
    <w:rsid w:val="00E25DAA"/>
    <w:rsid w:val="00E2656C"/>
    <w:rsid w:val="00E2747E"/>
    <w:rsid w:val="00E27A0A"/>
    <w:rsid w:val="00E32D41"/>
    <w:rsid w:val="00E34B2A"/>
    <w:rsid w:val="00E350C0"/>
    <w:rsid w:val="00E35A05"/>
    <w:rsid w:val="00E360C8"/>
    <w:rsid w:val="00E36887"/>
    <w:rsid w:val="00E36EB7"/>
    <w:rsid w:val="00E37219"/>
    <w:rsid w:val="00E40ADF"/>
    <w:rsid w:val="00E422B7"/>
    <w:rsid w:val="00E43E46"/>
    <w:rsid w:val="00E44AED"/>
    <w:rsid w:val="00E46170"/>
    <w:rsid w:val="00E4660E"/>
    <w:rsid w:val="00E46A29"/>
    <w:rsid w:val="00E46F96"/>
    <w:rsid w:val="00E5035A"/>
    <w:rsid w:val="00E50985"/>
    <w:rsid w:val="00E5285A"/>
    <w:rsid w:val="00E52A9D"/>
    <w:rsid w:val="00E52ED7"/>
    <w:rsid w:val="00E534E0"/>
    <w:rsid w:val="00E539E1"/>
    <w:rsid w:val="00E53AE8"/>
    <w:rsid w:val="00E54447"/>
    <w:rsid w:val="00E54C6C"/>
    <w:rsid w:val="00E5552F"/>
    <w:rsid w:val="00E555AF"/>
    <w:rsid w:val="00E5562D"/>
    <w:rsid w:val="00E55C40"/>
    <w:rsid w:val="00E55CAA"/>
    <w:rsid w:val="00E566DB"/>
    <w:rsid w:val="00E57D48"/>
    <w:rsid w:val="00E57F00"/>
    <w:rsid w:val="00E57FC4"/>
    <w:rsid w:val="00E602C4"/>
    <w:rsid w:val="00E60427"/>
    <w:rsid w:val="00E62933"/>
    <w:rsid w:val="00E62F76"/>
    <w:rsid w:val="00E6313C"/>
    <w:rsid w:val="00E64AB2"/>
    <w:rsid w:val="00E65675"/>
    <w:rsid w:val="00E66772"/>
    <w:rsid w:val="00E66A56"/>
    <w:rsid w:val="00E67216"/>
    <w:rsid w:val="00E67CF7"/>
    <w:rsid w:val="00E702BD"/>
    <w:rsid w:val="00E70775"/>
    <w:rsid w:val="00E712DB"/>
    <w:rsid w:val="00E71327"/>
    <w:rsid w:val="00E71C42"/>
    <w:rsid w:val="00E722A8"/>
    <w:rsid w:val="00E72FC1"/>
    <w:rsid w:val="00E7320F"/>
    <w:rsid w:val="00E73B0E"/>
    <w:rsid w:val="00E73E46"/>
    <w:rsid w:val="00E75795"/>
    <w:rsid w:val="00E75E14"/>
    <w:rsid w:val="00E7627B"/>
    <w:rsid w:val="00E76D36"/>
    <w:rsid w:val="00E820C4"/>
    <w:rsid w:val="00E821DF"/>
    <w:rsid w:val="00E83B36"/>
    <w:rsid w:val="00E84124"/>
    <w:rsid w:val="00E849D2"/>
    <w:rsid w:val="00E853AE"/>
    <w:rsid w:val="00E85B69"/>
    <w:rsid w:val="00E86031"/>
    <w:rsid w:val="00E86D11"/>
    <w:rsid w:val="00E872E6"/>
    <w:rsid w:val="00E87A38"/>
    <w:rsid w:val="00E87D60"/>
    <w:rsid w:val="00E908F2"/>
    <w:rsid w:val="00E9154A"/>
    <w:rsid w:val="00E91AD2"/>
    <w:rsid w:val="00E92C9C"/>
    <w:rsid w:val="00E92CD4"/>
    <w:rsid w:val="00E93C8D"/>
    <w:rsid w:val="00E93E6E"/>
    <w:rsid w:val="00E93F1E"/>
    <w:rsid w:val="00E9402D"/>
    <w:rsid w:val="00E94C45"/>
    <w:rsid w:val="00E958DF"/>
    <w:rsid w:val="00E9591D"/>
    <w:rsid w:val="00E95EA0"/>
    <w:rsid w:val="00E96F83"/>
    <w:rsid w:val="00EA0876"/>
    <w:rsid w:val="00EA0A24"/>
    <w:rsid w:val="00EA0CF1"/>
    <w:rsid w:val="00EA200A"/>
    <w:rsid w:val="00EA2FE5"/>
    <w:rsid w:val="00EA30E7"/>
    <w:rsid w:val="00EA3C88"/>
    <w:rsid w:val="00EA41E7"/>
    <w:rsid w:val="00EA47BC"/>
    <w:rsid w:val="00EA4C20"/>
    <w:rsid w:val="00EA5996"/>
    <w:rsid w:val="00EA6380"/>
    <w:rsid w:val="00EA6540"/>
    <w:rsid w:val="00EA6917"/>
    <w:rsid w:val="00EA75D6"/>
    <w:rsid w:val="00EA7CDE"/>
    <w:rsid w:val="00EA7DF9"/>
    <w:rsid w:val="00EB03A5"/>
    <w:rsid w:val="00EB0DC0"/>
    <w:rsid w:val="00EB0DCA"/>
    <w:rsid w:val="00EB160F"/>
    <w:rsid w:val="00EB168F"/>
    <w:rsid w:val="00EB1D1C"/>
    <w:rsid w:val="00EB1FF3"/>
    <w:rsid w:val="00EB2F4E"/>
    <w:rsid w:val="00EB31E8"/>
    <w:rsid w:val="00EB3624"/>
    <w:rsid w:val="00EB4864"/>
    <w:rsid w:val="00EB4BA4"/>
    <w:rsid w:val="00EB5892"/>
    <w:rsid w:val="00EB65F6"/>
    <w:rsid w:val="00EB7280"/>
    <w:rsid w:val="00EB7362"/>
    <w:rsid w:val="00EB79EB"/>
    <w:rsid w:val="00EC0232"/>
    <w:rsid w:val="00EC2A6F"/>
    <w:rsid w:val="00EC2C15"/>
    <w:rsid w:val="00EC2C46"/>
    <w:rsid w:val="00EC3100"/>
    <w:rsid w:val="00EC3208"/>
    <w:rsid w:val="00EC3D3D"/>
    <w:rsid w:val="00EC3D82"/>
    <w:rsid w:val="00EC3D96"/>
    <w:rsid w:val="00EC3FFB"/>
    <w:rsid w:val="00EC4208"/>
    <w:rsid w:val="00EC5309"/>
    <w:rsid w:val="00EC59B4"/>
    <w:rsid w:val="00EC5B01"/>
    <w:rsid w:val="00EC6EF2"/>
    <w:rsid w:val="00EC7D73"/>
    <w:rsid w:val="00ED2B39"/>
    <w:rsid w:val="00ED2EC2"/>
    <w:rsid w:val="00ED3405"/>
    <w:rsid w:val="00ED3479"/>
    <w:rsid w:val="00ED35C5"/>
    <w:rsid w:val="00ED4655"/>
    <w:rsid w:val="00ED5199"/>
    <w:rsid w:val="00ED5563"/>
    <w:rsid w:val="00ED58C1"/>
    <w:rsid w:val="00ED640B"/>
    <w:rsid w:val="00ED6506"/>
    <w:rsid w:val="00ED6A3F"/>
    <w:rsid w:val="00ED74D3"/>
    <w:rsid w:val="00ED76AF"/>
    <w:rsid w:val="00EE0CA7"/>
    <w:rsid w:val="00EE1E9B"/>
    <w:rsid w:val="00EE2CAF"/>
    <w:rsid w:val="00EE2FEF"/>
    <w:rsid w:val="00EE38F4"/>
    <w:rsid w:val="00EE4052"/>
    <w:rsid w:val="00EE41A7"/>
    <w:rsid w:val="00EE533D"/>
    <w:rsid w:val="00EE62E0"/>
    <w:rsid w:val="00EE6C75"/>
    <w:rsid w:val="00EE741E"/>
    <w:rsid w:val="00EF0675"/>
    <w:rsid w:val="00EF1C60"/>
    <w:rsid w:val="00EF23AE"/>
    <w:rsid w:val="00EF2469"/>
    <w:rsid w:val="00EF25C0"/>
    <w:rsid w:val="00EF381D"/>
    <w:rsid w:val="00EF4923"/>
    <w:rsid w:val="00EF4940"/>
    <w:rsid w:val="00EF4D58"/>
    <w:rsid w:val="00EF4D90"/>
    <w:rsid w:val="00EF5A80"/>
    <w:rsid w:val="00EF6206"/>
    <w:rsid w:val="00EF64D1"/>
    <w:rsid w:val="00EF6A72"/>
    <w:rsid w:val="00EF6ACD"/>
    <w:rsid w:val="00EF7017"/>
    <w:rsid w:val="00EF7FD7"/>
    <w:rsid w:val="00F004DD"/>
    <w:rsid w:val="00F006AC"/>
    <w:rsid w:val="00F0082B"/>
    <w:rsid w:val="00F01164"/>
    <w:rsid w:val="00F0134C"/>
    <w:rsid w:val="00F0160E"/>
    <w:rsid w:val="00F022E9"/>
    <w:rsid w:val="00F02DDE"/>
    <w:rsid w:val="00F03225"/>
    <w:rsid w:val="00F03254"/>
    <w:rsid w:val="00F0330B"/>
    <w:rsid w:val="00F03A8D"/>
    <w:rsid w:val="00F03DEA"/>
    <w:rsid w:val="00F048B3"/>
    <w:rsid w:val="00F051A1"/>
    <w:rsid w:val="00F051D6"/>
    <w:rsid w:val="00F0599C"/>
    <w:rsid w:val="00F05CFA"/>
    <w:rsid w:val="00F05D86"/>
    <w:rsid w:val="00F0631F"/>
    <w:rsid w:val="00F07E4F"/>
    <w:rsid w:val="00F1104D"/>
    <w:rsid w:val="00F1134F"/>
    <w:rsid w:val="00F117E5"/>
    <w:rsid w:val="00F117E9"/>
    <w:rsid w:val="00F12D5D"/>
    <w:rsid w:val="00F12DA2"/>
    <w:rsid w:val="00F142A5"/>
    <w:rsid w:val="00F14738"/>
    <w:rsid w:val="00F1517E"/>
    <w:rsid w:val="00F15711"/>
    <w:rsid w:val="00F16A82"/>
    <w:rsid w:val="00F1752D"/>
    <w:rsid w:val="00F209CA"/>
    <w:rsid w:val="00F21055"/>
    <w:rsid w:val="00F21C9E"/>
    <w:rsid w:val="00F22E4E"/>
    <w:rsid w:val="00F22E70"/>
    <w:rsid w:val="00F2325D"/>
    <w:rsid w:val="00F241C1"/>
    <w:rsid w:val="00F24517"/>
    <w:rsid w:val="00F247FF"/>
    <w:rsid w:val="00F25064"/>
    <w:rsid w:val="00F25913"/>
    <w:rsid w:val="00F26BF7"/>
    <w:rsid w:val="00F276B6"/>
    <w:rsid w:val="00F27B57"/>
    <w:rsid w:val="00F30960"/>
    <w:rsid w:val="00F32C50"/>
    <w:rsid w:val="00F33270"/>
    <w:rsid w:val="00F341FB"/>
    <w:rsid w:val="00F350B3"/>
    <w:rsid w:val="00F36A2E"/>
    <w:rsid w:val="00F376C9"/>
    <w:rsid w:val="00F37865"/>
    <w:rsid w:val="00F37E85"/>
    <w:rsid w:val="00F40DA3"/>
    <w:rsid w:val="00F41012"/>
    <w:rsid w:val="00F42277"/>
    <w:rsid w:val="00F427CD"/>
    <w:rsid w:val="00F42A9E"/>
    <w:rsid w:val="00F42BD3"/>
    <w:rsid w:val="00F4373D"/>
    <w:rsid w:val="00F44DC5"/>
    <w:rsid w:val="00F44E58"/>
    <w:rsid w:val="00F458F0"/>
    <w:rsid w:val="00F47979"/>
    <w:rsid w:val="00F479C5"/>
    <w:rsid w:val="00F47A06"/>
    <w:rsid w:val="00F50414"/>
    <w:rsid w:val="00F51860"/>
    <w:rsid w:val="00F518DE"/>
    <w:rsid w:val="00F51A8C"/>
    <w:rsid w:val="00F51B83"/>
    <w:rsid w:val="00F51F14"/>
    <w:rsid w:val="00F5208F"/>
    <w:rsid w:val="00F53186"/>
    <w:rsid w:val="00F531D9"/>
    <w:rsid w:val="00F53235"/>
    <w:rsid w:val="00F54515"/>
    <w:rsid w:val="00F55371"/>
    <w:rsid w:val="00F55B1F"/>
    <w:rsid w:val="00F55C02"/>
    <w:rsid w:val="00F55FEF"/>
    <w:rsid w:val="00F56A45"/>
    <w:rsid w:val="00F57BBA"/>
    <w:rsid w:val="00F603AF"/>
    <w:rsid w:val="00F606E6"/>
    <w:rsid w:val="00F61148"/>
    <w:rsid w:val="00F61DF2"/>
    <w:rsid w:val="00F63925"/>
    <w:rsid w:val="00F639DE"/>
    <w:rsid w:val="00F64369"/>
    <w:rsid w:val="00F648AB"/>
    <w:rsid w:val="00F664DA"/>
    <w:rsid w:val="00F71780"/>
    <w:rsid w:val="00F72D07"/>
    <w:rsid w:val="00F73CA9"/>
    <w:rsid w:val="00F74416"/>
    <w:rsid w:val="00F74FAD"/>
    <w:rsid w:val="00F753FF"/>
    <w:rsid w:val="00F755FD"/>
    <w:rsid w:val="00F75849"/>
    <w:rsid w:val="00F760EF"/>
    <w:rsid w:val="00F76C0D"/>
    <w:rsid w:val="00F77266"/>
    <w:rsid w:val="00F7740F"/>
    <w:rsid w:val="00F77A83"/>
    <w:rsid w:val="00F77DAB"/>
    <w:rsid w:val="00F77FBA"/>
    <w:rsid w:val="00F80F9A"/>
    <w:rsid w:val="00F81411"/>
    <w:rsid w:val="00F81CD3"/>
    <w:rsid w:val="00F8211A"/>
    <w:rsid w:val="00F82584"/>
    <w:rsid w:val="00F82EC7"/>
    <w:rsid w:val="00F83577"/>
    <w:rsid w:val="00F8544E"/>
    <w:rsid w:val="00F85906"/>
    <w:rsid w:val="00F85945"/>
    <w:rsid w:val="00F85E1E"/>
    <w:rsid w:val="00F8643B"/>
    <w:rsid w:val="00F90206"/>
    <w:rsid w:val="00F91FF9"/>
    <w:rsid w:val="00F92586"/>
    <w:rsid w:val="00F92AFC"/>
    <w:rsid w:val="00F93A3D"/>
    <w:rsid w:val="00F94168"/>
    <w:rsid w:val="00F94E2A"/>
    <w:rsid w:val="00F955FE"/>
    <w:rsid w:val="00F95AA3"/>
    <w:rsid w:val="00F95D49"/>
    <w:rsid w:val="00F95EFF"/>
    <w:rsid w:val="00F9604D"/>
    <w:rsid w:val="00F96762"/>
    <w:rsid w:val="00F97A74"/>
    <w:rsid w:val="00FA0D27"/>
    <w:rsid w:val="00FA1898"/>
    <w:rsid w:val="00FA2A8C"/>
    <w:rsid w:val="00FA38A7"/>
    <w:rsid w:val="00FA3C9C"/>
    <w:rsid w:val="00FA4972"/>
    <w:rsid w:val="00FA5206"/>
    <w:rsid w:val="00FA5467"/>
    <w:rsid w:val="00FA5563"/>
    <w:rsid w:val="00FA6B05"/>
    <w:rsid w:val="00FA7266"/>
    <w:rsid w:val="00FA74D5"/>
    <w:rsid w:val="00FA769E"/>
    <w:rsid w:val="00FA7B0F"/>
    <w:rsid w:val="00FB0971"/>
    <w:rsid w:val="00FB130B"/>
    <w:rsid w:val="00FB14F1"/>
    <w:rsid w:val="00FB1652"/>
    <w:rsid w:val="00FB26A4"/>
    <w:rsid w:val="00FB35B7"/>
    <w:rsid w:val="00FB4915"/>
    <w:rsid w:val="00FB4A58"/>
    <w:rsid w:val="00FB4BFC"/>
    <w:rsid w:val="00FB4EC7"/>
    <w:rsid w:val="00FB6333"/>
    <w:rsid w:val="00FB6FCF"/>
    <w:rsid w:val="00FB738A"/>
    <w:rsid w:val="00FB779D"/>
    <w:rsid w:val="00FC11D0"/>
    <w:rsid w:val="00FC2760"/>
    <w:rsid w:val="00FC2F94"/>
    <w:rsid w:val="00FC307F"/>
    <w:rsid w:val="00FC33D1"/>
    <w:rsid w:val="00FC4762"/>
    <w:rsid w:val="00FC4FFD"/>
    <w:rsid w:val="00FC54E9"/>
    <w:rsid w:val="00FC594B"/>
    <w:rsid w:val="00FC69B5"/>
    <w:rsid w:val="00FC6B57"/>
    <w:rsid w:val="00FC7B27"/>
    <w:rsid w:val="00FC7C43"/>
    <w:rsid w:val="00FD08C6"/>
    <w:rsid w:val="00FD1835"/>
    <w:rsid w:val="00FD39FD"/>
    <w:rsid w:val="00FD3BFA"/>
    <w:rsid w:val="00FD4A20"/>
    <w:rsid w:val="00FD4D7D"/>
    <w:rsid w:val="00FD57E5"/>
    <w:rsid w:val="00FD5C08"/>
    <w:rsid w:val="00FD6129"/>
    <w:rsid w:val="00FD68C0"/>
    <w:rsid w:val="00FD7360"/>
    <w:rsid w:val="00FD7605"/>
    <w:rsid w:val="00FD7840"/>
    <w:rsid w:val="00FD7C18"/>
    <w:rsid w:val="00FD7ED9"/>
    <w:rsid w:val="00FE2013"/>
    <w:rsid w:val="00FE2492"/>
    <w:rsid w:val="00FE2879"/>
    <w:rsid w:val="00FE2D05"/>
    <w:rsid w:val="00FE2EFC"/>
    <w:rsid w:val="00FE43BD"/>
    <w:rsid w:val="00FE45A2"/>
    <w:rsid w:val="00FE4760"/>
    <w:rsid w:val="00FE4AE0"/>
    <w:rsid w:val="00FE6605"/>
    <w:rsid w:val="00FE67BF"/>
    <w:rsid w:val="00FE71EB"/>
    <w:rsid w:val="00FE779C"/>
    <w:rsid w:val="00FE7A82"/>
    <w:rsid w:val="00FE7ADF"/>
    <w:rsid w:val="00FE7B92"/>
    <w:rsid w:val="00FE7E3E"/>
    <w:rsid w:val="00FE7F03"/>
    <w:rsid w:val="00FF2218"/>
    <w:rsid w:val="00FF24A5"/>
    <w:rsid w:val="00FF2DB0"/>
    <w:rsid w:val="00FF31AC"/>
    <w:rsid w:val="00FF382B"/>
    <w:rsid w:val="00FF4338"/>
    <w:rsid w:val="00FF4822"/>
    <w:rsid w:val="00FF66B4"/>
    <w:rsid w:val="00FF6A98"/>
    <w:rsid w:val="00FF7A39"/>
    <w:rsid w:val="00FF7C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03DD"/>
    <w:rPr>
      <w:kern w:val="0"/>
      <w14:ligatures w14:val="none"/>
    </w:rPr>
  </w:style>
  <w:style w:type="paragraph" w:styleId="Heading1">
    <w:name w:val="heading 1"/>
    <w:basedOn w:val="Normal"/>
    <w:next w:val="Normal"/>
    <w:link w:val="Heading1Char"/>
    <w:uiPriority w:val="9"/>
    <w:qFormat/>
    <w:rsid w:val="004A6808"/>
    <w:pPr>
      <w:keepNext/>
      <w:keepLines/>
      <w:spacing w:before="360" w:after="80" w:line="360" w:lineRule="auto"/>
      <w:jc w:val="center"/>
      <w:outlineLvl w:val="0"/>
    </w:pPr>
    <w:rPr>
      <w:rFonts w:asciiTheme="majorHAnsi" w:eastAsiaTheme="majorEastAsia" w:hAnsiTheme="majorHAnsi" w:cs="Sakkal Majalla"/>
      <w:bCs/>
      <w:sz w:val="40"/>
      <w:szCs w:val="44"/>
    </w:rPr>
  </w:style>
  <w:style w:type="paragraph" w:styleId="Heading2">
    <w:name w:val="heading 2"/>
    <w:basedOn w:val="Normal"/>
    <w:next w:val="Normal"/>
    <w:link w:val="Heading2Char"/>
    <w:uiPriority w:val="99"/>
    <w:unhideWhenUsed/>
    <w:qFormat/>
    <w:rsid w:val="004A6808"/>
    <w:pPr>
      <w:keepNext/>
      <w:keepLines/>
      <w:spacing w:before="160" w:after="80" w:line="360" w:lineRule="auto"/>
      <w:outlineLvl w:val="1"/>
    </w:pPr>
    <w:rPr>
      <w:rFonts w:asciiTheme="majorHAnsi" w:eastAsiaTheme="majorEastAsia" w:hAnsiTheme="majorHAnsi" w:cs="Sakkal Majalla"/>
      <w:b/>
      <w:bCs/>
      <w:sz w:val="32"/>
      <w:szCs w:val="36"/>
    </w:rPr>
  </w:style>
  <w:style w:type="paragraph" w:styleId="Heading3">
    <w:name w:val="heading 3"/>
    <w:basedOn w:val="Normal"/>
    <w:next w:val="Normal"/>
    <w:link w:val="Heading3Char"/>
    <w:uiPriority w:val="9"/>
    <w:unhideWhenUsed/>
    <w:qFormat/>
    <w:rsid w:val="000B76DD"/>
    <w:pPr>
      <w:keepNext/>
      <w:keepLines/>
      <w:spacing w:before="160" w:after="80"/>
      <w:outlineLvl w:val="2"/>
    </w:pPr>
    <w:rPr>
      <w:rFonts w:eastAsiaTheme="majorEastAsia" w:cs="Sakkal Majalla"/>
      <w:bCs/>
      <w:sz w:val="28"/>
      <w:szCs w:val="32"/>
    </w:rPr>
  </w:style>
  <w:style w:type="paragraph" w:styleId="Heading4">
    <w:name w:val="heading 4"/>
    <w:basedOn w:val="Normal"/>
    <w:next w:val="Normal"/>
    <w:link w:val="Heading4Char"/>
    <w:uiPriority w:val="9"/>
    <w:unhideWhenUsed/>
    <w:qFormat/>
    <w:rsid w:val="00BF318A"/>
    <w:pPr>
      <w:keepNext/>
      <w:keepLines/>
      <w:spacing w:before="80" w:after="40"/>
      <w:outlineLvl w:val="3"/>
    </w:pPr>
    <w:rPr>
      <w:rFonts w:eastAsiaTheme="majorEastAsia" w:cs="Sakkal Majalla"/>
      <w:bCs/>
      <w:i/>
      <w:szCs w:val="32"/>
    </w:rPr>
  </w:style>
  <w:style w:type="paragraph" w:styleId="Heading5">
    <w:name w:val="heading 5"/>
    <w:basedOn w:val="Normal"/>
    <w:next w:val="Normal"/>
    <w:link w:val="Heading5Char"/>
    <w:uiPriority w:val="9"/>
    <w:unhideWhenUsed/>
    <w:qFormat/>
    <w:rsid w:val="005A03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0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808"/>
    <w:rPr>
      <w:rFonts w:asciiTheme="majorHAnsi" w:eastAsiaTheme="majorEastAsia" w:hAnsiTheme="majorHAnsi" w:cs="Sakkal Majalla"/>
      <w:bCs/>
      <w:kern w:val="0"/>
      <w:sz w:val="40"/>
      <w:szCs w:val="44"/>
      <w14:ligatures w14:val="none"/>
    </w:rPr>
  </w:style>
  <w:style w:type="character" w:customStyle="1" w:styleId="Heading2Char">
    <w:name w:val="Heading 2 Char"/>
    <w:basedOn w:val="DefaultParagraphFont"/>
    <w:link w:val="Heading2"/>
    <w:uiPriority w:val="99"/>
    <w:rsid w:val="004A6808"/>
    <w:rPr>
      <w:rFonts w:asciiTheme="majorHAnsi" w:eastAsiaTheme="majorEastAsia" w:hAnsiTheme="majorHAnsi" w:cs="Sakkal Majalla"/>
      <w:b/>
      <w:bCs/>
      <w:kern w:val="0"/>
      <w:sz w:val="32"/>
      <w:szCs w:val="36"/>
      <w14:ligatures w14:val="none"/>
    </w:rPr>
  </w:style>
  <w:style w:type="character" w:customStyle="1" w:styleId="Heading3Char">
    <w:name w:val="Heading 3 Char"/>
    <w:basedOn w:val="DefaultParagraphFont"/>
    <w:link w:val="Heading3"/>
    <w:uiPriority w:val="9"/>
    <w:rsid w:val="000B76DD"/>
    <w:rPr>
      <w:rFonts w:eastAsiaTheme="majorEastAsia" w:cs="Sakkal Majalla"/>
      <w:bCs/>
      <w:kern w:val="0"/>
      <w:sz w:val="28"/>
      <w:szCs w:val="32"/>
      <w14:ligatures w14:val="none"/>
    </w:rPr>
  </w:style>
  <w:style w:type="character" w:customStyle="1" w:styleId="Heading4Char">
    <w:name w:val="Heading 4 Char"/>
    <w:basedOn w:val="DefaultParagraphFont"/>
    <w:link w:val="Heading4"/>
    <w:uiPriority w:val="9"/>
    <w:rsid w:val="00BF318A"/>
    <w:rPr>
      <w:rFonts w:eastAsiaTheme="majorEastAsia" w:cs="Sakkal Majalla"/>
      <w:bCs/>
      <w:i/>
      <w:kern w:val="0"/>
      <w:szCs w:val="32"/>
      <w14:ligatures w14:val="none"/>
    </w:rPr>
  </w:style>
  <w:style w:type="character" w:customStyle="1" w:styleId="Heading5Char">
    <w:name w:val="Heading 5 Char"/>
    <w:basedOn w:val="DefaultParagraphFont"/>
    <w:link w:val="Heading5"/>
    <w:uiPriority w:val="9"/>
    <w:rsid w:val="005A03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0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3DD"/>
    <w:rPr>
      <w:rFonts w:eastAsiaTheme="majorEastAsia" w:cstheme="majorBidi"/>
      <w:color w:val="272727" w:themeColor="text1" w:themeTint="D8"/>
    </w:rPr>
  </w:style>
  <w:style w:type="paragraph" w:styleId="Title">
    <w:name w:val="Title"/>
    <w:basedOn w:val="Normal"/>
    <w:next w:val="Normal"/>
    <w:link w:val="TitleChar"/>
    <w:uiPriority w:val="10"/>
    <w:qFormat/>
    <w:rsid w:val="005A0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3DD"/>
    <w:pPr>
      <w:spacing w:before="160"/>
      <w:jc w:val="center"/>
    </w:pPr>
    <w:rPr>
      <w:i/>
      <w:iCs/>
      <w:color w:val="404040" w:themeColor="text1" w:themeTint="BF"/>
    </w:rPr>
  </w:style>
  <w:style w:type="character" w:customStyle="1" w:styleId="QuoteChar">
    <w:name w:val="Quote Char"/>
    <w:basedOn w:val="DefaultParagraphFont"/>
    <w:link w:val="Quote"/>
    <w:uiPriority w:val="29"/>
    <w:rsid w:val="005A03DD"/>
    <w:rPr>
      <w:i/>
      <w:iCs/>
      <w:color w:val="404040" w:themeColor="text1" w:themeTint="BF"/>
    </w:rPr>
  </w:style>
  <w:style w:type="paragraph" w:styleId="ListParagraph">
    <w:name w:val="List Paragraph"/>
    <w:aliases w:val="عنوان رئيسي,سرد الفقراتCxSpLast,NumberedList, سرد الفقرات1, سرد الفقرات11,سرد الفقرات1,سرد الفقرات11,النص, سرد الفقرات,سرد الفقرات"/>
    <w:basedOn w:val="Normal"/>
    <w:link w:val="ListParagraphChar"/>
    <w:uiPriority w:val="34"/>
    <w:qFormat/>
    <w:rsid w:val="005A03DD"/>
    <w:pPr>
      <w:ind w:left="720"/>
      <w:contextualSpacing/>
    </w:pPr>
  </w:style>
  <w:style w:type="character" w:styleId="IntenseEmphasis">
    <w:name w:val="Intense Emphasis"/>
    <w:basedOn w:val="DefaultParagraphFont"/>
    <w:uiPriority w:val="21"/>
    <w:qFormat/>
    <w:rsid w:val="005A03DD"/>
    <w:rPr>
      <w:i/>
      <w:iCs/>
      <w:color w:val="2F5496" w:themeColor="accent1" w:themeShade="BF"/>
    </w:rPr>
  </w:style>
  <w:style w:type="paragraph" w:styleId="IntenseQuote">
    <w:name w:val="Intense Quote"/>
    <w:basedOn w:val="Normal"/>
    <w:next w:val="Normal"/>
    <w:link w:val="IntenseQuoteChar"/>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03DD"/>
    <w:rPr>
      <w:i/>
      <w:iCs/>
      <w:color w:val="2F5496" w:themeColor="accent1" w:themeShade="BF"/>
    </w:rPr>
  </w:style>
  <w:style w:type="character" w:styleId="IntenseReference">
    <w:name w:val="Intense Reference"/>
    <w:basedOn w:val="DefaultParagraphFont"/>
    <w:uiPriority w:val="32"/>
    <w:qFormat/>
    <w:rsid w:val="005A03DD"/>
    <w:rPr>
      <w:b/>
      <w:bCs/>
      <w:smallCaps/>
      <w:color w:val="2F5496" w:themeColor="accent1" w:themeShade="BF"/>
      <w:spacing w:val="5"/>
    </w:rPr>
  </w:style>
  <w:style w:type="paragraph" w:styleId="Header">
    <w:name w:val="header"/>
    <w:basedOn w:val="Normal"/>
    <w:link w:val="HeaderChar"/>
    <w:uiPriority w:val="99"/>
    <w:unhideWhenUsed/>
    <w:rsid w:val="005A03DD"/>
    <w:pPr>
      <w:tabs>
        <w:tab w:val="center" w:pos="4153"/>
        <w:tab w:val="right" w:pos="8306"/>
      </w:tabs>
      <w:spacing w:after="0" w:line="240" w:lineRule="auto"/>
    </w:pPr>
  </w:style>
  <w:style w:type="character" w:customStyle="1" w:styleId="HeaderChar">
    <w:name w:val="Header Char"/>
    <w:basedOn w:val="DefaultParagraphFont"/>
    <w:link w:val="Header"/>
    <w:uiPriority w:val="99"/>
    <w:rsid w:val="005A03DD"/>
    <w:rPr>
      <w:kern w:val="0"/>
      <w14:ligatures w14:val="none"/>
    </w:rPr>
  </w:style>
  <w:style w:type="paragraph" w:styleId="Footer">
    <w:name w:val="footer"/>
    <w:basedOn w:val="Normal"/>
    <w:link w:val="FooterChar"/>
    <w:uiPriority w:val="99"/>
    <w:unhideWhenUsed/>
    <w:rsid w:val="005A03DD"/>
    <w:pPr>
      <w:tabs>
        <w:tab w:val="center" w:pos="4153"/>
        <w:tab w:val="right" w:pos="8306"/>
      </w:tabs>
      <w:spacing w:after="0" w:line="240" w:lineRule="auto"/>
    </w:pPr>
  </w:style>
  <w:style w:type="character" w:customStyle="1" w:styleId="FooterChar">
    <w:name w:val="Footer Char"/>
    <w:basedOn w:val="DefaultParagraphFont"/>
    <w:link w:val="Footer"/>
    <w:uiPriority w:val="99"/>
    <w:rsid w:val="005A03DD"/>
    <w:rPr>
      <w:kern w:val="0"/>
      <w14:ligatures w14:val="none"/>
    </w:rPr>
  </w:style>
  <w:style w:type="table" w:styleId="TableGrid">
    <w:name w:val="Table Grid"/>
    <w:basedOn w:val="TableNormal"/>
    <w:uiPriority w:val="39"/>
    <w:rsid w:val="005A03D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03D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03DD"/>
    <w:rPr>
      <w:color w:val="0000FF"/>
      <w:u w:val="single"/>
    </w:rPr>
  </w:style>
  <w:style w:type="character" w:customStyle="1" w:styleId="ListParagraphChar">
    <w:name w:val="List Paragraph Char"/>
    <w:aliases w:val="عنوان رئيسي Char,سرد الفقراتCxSpLast Char,NumberedList Char, سرد الفقرات1 Char, سرد الفقرات11 Char,سرد الفقرات1 Char,سرد الفقرات11 Char,النص Char, سرد الفقرات Char,سرد الفقرات Char"/>
    <w:link w:val="ListParagraph"/>
    <w:uiPriority w:val="34"/>
    <w:rsid w:val="005A03DD"/>
  </w:style>
  <w:style w:type="paragraph" w:customStyle="1" w:styleId="citationtext">
    <w:name w:val="citationtext"/>
    <w:basedOn w:val="Normal"/>
    <w:rsid w:val="005A03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00C1"/>
    <w:rPr>
      <w:i/>
      <w:iCs/>
    </w:rPr>
  </w:style>
  <w:style w:type="paragraph" w:styleId="BalloonText">
    <w:name w:val="Balloon Text"/>
    <w:basedOn w:val="Normal"/>
    <w:link w:val="BalloonTextChar"/>
    <w:uiPriority w:val="99"/>
    <w:semiHidden/>
    <w:unhideWhenUsed/>
    <w:rsid w:val="00BA7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D53"/>
    <w:rPr>
      <w:rFonts w:ascii="Tahoma" w:hAnsi="Tahoma" w:cs="Tahoma"/>
      <w:kern w:val="0"/>
      <w:sz w:val="16"/>
      <w:szCs w:val="16"/>
      <w14:ligatures w14:val="none"/>
    </w:rPr>
  </w:style>
  <w:style w:type="character" w:styleId="Strong">
    <w:name w:val="Strong"/>
    <w:basedOn w:val="DefaultParagraphFont"/>
    <w:uiPriority w:val="22"/>
    <w:qFormat/>
    <w:rsid w:val="00BA7D53"/>
    <w:rPr>
      <w:b/>
      <w:bCs/>
    </w:rPr>
  </w:style>
  <w:style w:type="table" w:styleId="GridTable4-Accent3">
    <w:name w:val="Grid Table 4 Accent 3"/>
    <w:basedOn w:val="TableNormal"/>
    <w:uiPriority w:val="49"/>
    <w:rsid w:val="002C40C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8412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Revision">
    <w:name w:val="Revision"/>
    <w:hidden/>
    <w:uiPriority w:val="99"/>
    <w:semiHidden/>
    <w:rsid w:val="00217DBC"/>
    <w:pPr>
      <w:spacing w:after="0" w:line="240" w:lineRule="auto"/>
    </w:pPr>
    <w:rPr>
      <w:kern w:val="0"/>
      <w14:ligatures w14:val="none"/>
    </w:rPr>
  </w:style>
  <w:style w:type="paragraph" w:styleId="Caption">
    <w:name w:val="caption"/>
    <w:basedOn w:val="Normal"/>
    <w:next w:val="Normal"/>
    <w:uiPriority w:val="35"/>
    <w:unhideWhenUsed/>
    <w:qFormat/>
    <w:rsid w:val="00D8617B"/>
    <w:pPr>
      <w:spacing w:after="120" w:line="240" w:lineRule="auto"/>
      <w:jc w:val="center"/>
    </w:pPr>
    <w:rPr>
      <w:rFonts w:cs="Sakkal Majalla"/>
      <w:bCs/>
      <w:i/>
      <w:iCs/>
      <w:sz w:val="18"/>
      <w:szCs w:val="24"/>
    </w:rPr>
  </w:style>
  <w:style w:type="paragraph" w:styleId="FootnoteText">
    <w:name w:val="footnote text"/>
    <w:basedOn w:val="Normal"/>
    <w:link w:val="FootnoteTextChar"/>
    <w:uiPriority w:val="99"/>
    <w:unhideWhenUsed/>
    <w:rsid w:val="004B7CAC"/>
    <w:pPr>
      <w:spacing w:after="0" w:line="240" w:lineRule="auto"/>
    </w:pPr>
    <w:rPr>
      <w:sz w:val="20"/>
      <w:szCs w:val="20"/>
    </w:rPr>
  </w:style>
  <w:style w:type="character" w:customStyle="1" w:styleId="FootnoteTextChar">
    <w:name w:val="Footnote Text Char"/>
    <w:basedOn w:val="DefaultParagraphFont"/>
    <w:link w:val="FootnoteText"/>
    <w:uiPriority w:val="99"/>
    <w:rsid w:val="004B7CAC"/>
    <w:rPr>
      <w:kern w:val="0"/>
      <w:sz w:val="20"/>
      <w:szCs w:val="20"/>
      <w14:ligatures w14:val="none"/>
    </w:rPr>
  </w:style>
  <w:style w:type="character" w:styleId="FootnoteReference">
    <w:name w:val="footnote reference"/>
    <w:basedOn w:val="DefaultParagraphFont"/>
    <w:uiPriority w:val="99"/>
    <w:semiHidden/>
    <w:unhideWhenUsed/>
    <w:rsid w:val="004B7CAC"/>
    <w:rPr>
      <w:vertAlign w:val="superscript"/>
    </w:rPr>
  </w:style>
  <w:style w:type="character" w:styleId="CommentReference">
    <w:name w:val="annotation reference"/>
    <w:basedOn w:val="DefaultParagraphFont"/>
    <w:uiPriority w:val="99"/>
    <w:semiHidden/>
    <w:unhideWhenUsed/>
    <w:rsid w:val="004B7CAC"/>
    <w:rPr>
      <w:sz w:val="16"/>
      <w:szCs w:val="16"/>
    </w:rPr>
  </w:style>
  <w:style w:type="paragraph" w:styleId="CommentText">
    <w:name w:val="annotation text"/>
    <w:basedOn w:val="Normal"/>
    <w:link w:val="CommentTextChar"/>
    <w:uiPriority w:val="99"/>
    <w:unhideWhenUsed/>
    <w:rsid w:val="004B7CAC"/>
    <w:pPr>
      <w:spacing w:after="0" w:line="240" w:lineRule="auto"/>
    </w:pPr>
    <w:rPr>
      <w:sz w:val="20"/>
      <w:szCs w:val="20"/>
    </w:rPr>
  </w:style>
  <w:style w:type="character" w:customStyle="1" w:styleId="CommentTextChar">
    <w:name w:val="Comment Text Char"/>
    <w:basedOn w:val="DefaultParagraphFont"/>
    <w:link w:val="CommentText"/>
    <w:uiPriority w:val="99"/>
    <w:rsid w:val="004B7CAC"/>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B7CAC"/>
    <w:rPr>
      <w:b/>
      <w:bCs/>
    </w:rPr>
  </w:style>
  <w:style w:type="character" w:customStyle="1" w:styleId="CommentSubjectChar">
    <w:name w:val="Comment Subject Char"/>
    <w:basedOn w:val="CommentTextChar"/>
    <w:link w:val="CommentSubject"/>
    <w:uiPriority w:val="99"/>
    <w:semiHidden/>
    <w:rsid w:val="004B7CAC"/>
    <w:rPr>
      <w:b/>
      <w:bCs/>
      <w:kern w:val="0"/>
      <w:sz w:val="20"/>
      <w:szCs w:val="20"/>
      <w14:ligatures w14:val="none"/>
    </w:rPr>
  </w:style>
  <w:style w:type="table" w:customStyle="1" w:styleId="1">
    <w:name w:val="شبكة جدول فاتح1"/>
    <w:basedOn w:val="TableNormal"/>
    <w:uiPriority w:val="40"/>
    <w:rsid w:val="004B7CAC"/>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جدول عادي 11"/>
    <w:basedOn w:val="TableNormal"/>
    <w:uiPriority w:val="41"/>
    <w:rsid w:val="004B7CAC"/>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Accent11">
    <w:name w:val="Grid Table 5 Dark - Accent 11"/>
    <w:basedOn w:val="TableNormal"/>
    <w:uiPriority w:val="50"/>
    <w:rsid w:val="004B7CAC"/>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51">
    <w:name w:val="Grid Table 5 Dark - Accent 51"/>
    <w:basedOn w:val="TableNormal"/>
    <w:uiPriority w:val="50"/>
    <w:rsid w:val="004B7CAC"/>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4-Accent11">
    <w:name w:val="Grid Table 4 - Accent 11"/>
    <w:basedOn w:val="TableNormal"/>
    <w:uiPriority w:val="49"/>
    <w:rsid w:val="004B7CAC"/>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0">
    <w:name w:val="شبكة جدول1"/>
    <w:basedOn w:val="TableNormal"/>
    <w:uiPriority w:val="39"/>
    <w:rsid w:val="004B7CAC"/>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DefaultParagraphFont"/>
    <w:uiPriority w:val="99"/>
    <w:semiHidden/>
    <w:rsid w:val="004B7CAC"/>
    <w:rPr>
      <w:sz w:val="20"/>
      <w:szCs w:val="20"/>
    </w:rPr>
  </w:style>
  <w:style w:type="character" w:customStyle="1" w:styleId="Char1">
    <w:name w:val="نص حاشية سفلية Char1"/>
    <w:basedOn w:val="DefaultParagraphFont"/>
    <w:uiPriority w:val="99"/>
    <w:semiHidden/>
    <w:rsid w:val="004B7CAC"/>
    <w:rPr>
      <w:sz w:val="20"/>
      <w:szCs w:val="20"/>
    </w:rPr>
  </w:style>
  <w:style w:type="paragraph" w:customStyle="1" w:styleId="12">
    <w:name w:val="بلا تباعد1"/>
    <w:uiPriority w:val="1"/>
    <w:qFormat/>
    <w:rsid w:val="004B7CAC"/>
    <w:pPr>
      <w:bidi/>
      <w:spacing w:after="0" w:line="240" w:lineRule="auto"/>
    </w:pPr>
    <w:rPr>
      <w:rFonts w:ascii="Calibri" w:eastAsia="Times New Roman" w:hAnsi="Calibri" w:cs="Arial"/>
      <w:kern w:val="0"/>
      <w14:ligatures w14:val="none"/>
    </w:rPr>
  </w:style>
  <w:style w:type="paragraph" w:customStyle="1" w:styleId="a">
    <w:name w:val="المهند"/>
    <w:basedOn w:val="Normal"/>
    <w:rsid w:val="004B7CAC"/>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paragraph" w:styleId="TOCHeading">
    <w:name w:val="TOC Heading"/>
    <w:basedOn w:val="Heading1"/>
    <w:next w:val="Normal"/>
    <w:uiPriority w:val="39"/>
    <w:unhideWhenUsed/>
    <w:qFormat/>
    <w:rsid w:val="004B7CAC"/>
    <w:pPr>
      <w:bidi/>
      <w:spacing w:before="0" w:after="0" w:line="259" w:lineRule="auto"/>
      <w:outlineLvl w:val="9"/>
    </w:pPr>
    <w:rPr>
      <w:rFonts w:cs="Times New Roman"/>
      <w:b/>
      <w:sz w:val="36"/>
      <w:szCs w:val="36"/>
      <w:rtl/>
    </w:rPr>
  </w:style>
  <w:style w:type="paragraph" w:styleId="TOC1">
    <w:name w:val="toc 1"/>
    <w:basedOn w:val="Normal"/>
    <w:next w:val="Normal"/>
    <w:autoRedefine/>
    <w:uiPriority w:val="39"/>
    <w:unhideWhenUsed/>
    <w:rsid w:val="004B7CAC"/>
    <w:pPr>
      <w:tabs>
        <w:tab w:val="right" w:leader="dot" w:pos="9355"/>
      </w:tabs>
      <w:bidi/>
      <w:spacing w:after="0" w:line="240" w:lineRule="auto"/>
      <w:jc w:val="center"/>
    </w:pPr>
    <w:rPr>
      <w:rFonts w:ascii="Simplified Arabic" w:eastAsia="Calibri" w:hAnsi="Simplified Arabic" w:cs="Simplified Arabic"/>
      <w:b/>
      <w:bCs/>
      <w:noProof/>
      <w:sz w:val="28"/>
      <w:szCs w:val="28"/>
    </w:rPr>
  </w:style>
  <w:style w:type="paragraph" w:styleId="TOC2">
    <w:name w:val="toc 2"/>
    <w:basedOn w:val="Normal"/>
    <w:next w:val="Normal"/>
    <w:autoRedefine/>
    <w:uiPriority w:val="39"/>
    <w:unhideWhenUsed/>
    <w:rsid w:val="004B7CAC"/>
    <w:pPr>
      <w:tabs>
        <w:tab w:val="left" w:pos="566"/>
        <w:tab w:val="right" w:leader="dot" w:pos="9061"/>
      </w:tabs>
      <w:bidi/>
      <w:spacing w:after="0" w:line="276" w:lineRule="auto"/>
      <w:ind w:left="220"/>
    </w:pPr>
  </w:style>
  <w:style w:type="paragraph" w:styleId="TOC3">
    <w:name w:val="toc 3"/>
    <w:basedOn w:val="Normal"/>
    <w:next w:val="Normal"/>
    <w:autoRedefine/>
    <w:uiPriority w:val="39"/>
    <w:unhideWhenUsed/>
    <w:rsid w:val="004B7CAC"/>
    <w:pPr>
      <w:spacing w:after="100" w:line="276" w:lineRule="auto"/>
      <w:ind w:left="440"/>
    </w:pPr>
  </w:style>
  <w:style w:type="paragraph" w:styleId="TableofFigures">
    <w:name w:val="table of figures"/>
    <w:basedOn w:val="Normal"/>
    <w:next w:val="Normal"/>
    <w:uiPriority w:val="99"/>
    <w:unhideWhenUsed/>
    <w:rsid w:val="004B7CAC"/>
    <w:pPr>
      <w:spacing w:after="0" w:line="276" w:lineRule="auto"/>
    </w:pPr>
  </w:style>
  <w:style w:type="character" w:styleId="FollowedHyperlink">
    <w:name w:val="FollowedHyperlink"/>
    <w:basedOn w:val="DefaultParagraphFont"/>
    <w:uiPriority w:val="99"/>
    <w:semiHidden/>
    <w:unhideWhenUsed/>
    <w:rsid w:val="004B7CAC"/>
    <w:rPr>
      <w:color w:val="954F72" w:themeColor="followedHyperlink"/>
      <w:u w:val="single"/>
    </w:rPr>
  </w:style>
  <w:style w:type="character" w:styleId="PlaceholderText">
    <w:name w:val="Placeholder Text"/>
    <w:basedOn w:val="DefaultParagraphFont"/>
    <w:uiPriority w:val="99"/>
    <w:semiHidden/>
    <w:rsid w:val="004B7CAC"/>
    <w:rPr>
      <w:color w:val="808080"/>
    </w:rPr>
  </w:style>
  <w:style w:type="table" w:customStyle="1" w:styleId="TableGrid1">
    <w:name w:val="Table Grid1"/>
    <w:basedOn w:val="TableNormal"/>
    <w:next w:val="TableGrid"/>
    <w:rsid w:val="004B7CAC"/>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4B7CAC"/>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4B7CAC"/>
    <w:pPr>
      <w:spacing w:after="0" w:line="240" w:lineRule="auto"/>
    </w:pPr>
    <w:rPr>
      <w:rFonts w:ascii="Calibri" w:eastAsia="Calibri" w:hAnsi="Calibri" w:cs="Arial"/>
      <w:kern w:val="0"/>
      <w14:ligatures w14:val="none"/>
    </w:rPr>
  </w:style>
  <w:style w:type="table" w:customStyle="1" w:styleId="Style1">
    <w:name w:val="Style1"/>
    <w:basedOn w:val="TableNormal"/>
    <w:uiPriority w:val="99"/>
    <w:rsid w:val="004B7C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tcBorders>
      </w:tcPr>
    </w:tblStylePr>
    <w:tblStylePr w:type="lastRow">
      <w:tblPr/>
      <w:tcPr>
        <w:tcBorders>
          <w:top w:val="nil"/>
          <w:bottom w:val="nil"/>
        </w:tcBorders>
      </w:tcPr>
    </w:tblStylePr>
  </w:style>
  <w:style w:type="character" w:customStyle="1" w:styleId="13">
    <w:name w:val="إشارة لم يتم حلها1"/>
    <w:basedOn w:val="DefaultParagraphFont"/>
    <w:uiPriority w:val="99"/>
    <w:semiHidden/>
    <w:unhideWhenUsed/>
    <w:rsid w:val="004B7CAC"/>
    <w:rPr>
      <w:color w:val="605E5C"/>
      <w:shd w:val="clear" w:color="auto" w:fill="E1DFDD"/>
    </w:rPr>
  </w:style>
  <w:style w:type="table" w:customStyle="1" w:styleId="2">
    <w:name w:val="شبكة جدول2"/>
    <w:basedOn w:val="TableNormal"/>
    <w:next w:val="TableGrid"/>
    <w:uiPriority w:val="39"/>
    <w:rsid w:val="004B7C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39"/>
    <w:rsid w:val="004B7C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B7CAC"/>
    <w:rPr>
      <w:color w:val="605E5C"/>
      <w:shd w:val="clear" w:color="auto" w:fill="E1DFDD"/>
    </w:rPr>
  </w:style>
  <w:style w:type="character" w:customStyle="1" w:styleId="identifier">
    <w:name w:val="identifier"/>
    <w:basedOn w:val="DefaultParagraphFont"/>
    <w:rsid w:val="004B7CAC"/>
  </w:style>
  <w:style w:type="paragraph" w:customStyle="1" w:styleId="dx-doi">
    <w:name w:val="dx-doi"/>
    <w:basedOn w:val="Normal"/>
    <w:rsid w:val="004B7CAC"/>
    <w:pPr>
      <w:spacing w:before="100" w:beforeAutospacing="1" w:after="100" w:afterAutospacing="1" w:line="240" w:lineRule="auto"/>
    </w:pPr>
    <w:rPr>
      <w:rFonts w:ascii="Times New Roman" w:eastAsia="Times New Roman" w:hAnsi="Times New Roman" w:cs="Times New Roman"/>
      <w:sz w:val="24"/>
      <w:szCs w:val="24"/>
    </w:rPr>
  </w:style>
  <w:style w:type="table" w:styleId="ListTable4-Accent1">
    <w:name w:val="List Table 4 Accent 1"/>
    <w:basedOn w:val="TableNormal"/>
    <w:uiPriority w:val="49"/>
    <w:rsid w:val="004B7CAC"/>
    <w:pPr>
      <w:spacing w:after="0" w:line="240" w:lineRule="auto"/>
    </w:pPr>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TableNormal"/>
    <w:next w:val="TableGrid"/>
    <w:rsid w:val="004B7CAC"/>
    <w:pPr>
      <w:bidi/>
      <w:spacing w:after="0" w:line="240" w:lineRule="auto"/>
    </w:pPr>
    <w:rPr>
      <w:rFonts w:eastAsiaTheme="minorEastAs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4B7CAC"/>
    <w:pPr>
      <w:spacing w:after="100" w:line="278" w:lineRule="auto"/>
      <w:ind w:left="720"/>
    </w:pPr>
    <w:rPr>
      <w:rFonts w:eastAsiaTheme="minorEastAsia"/>
      <w:kern w:val="2"/>
      <w:sz w:val="24"/>
      <w:szCs w:val="24"/>
      <w:lang w:eastAsia="ja-JP"/>
      <w14:ligatures w14:val="standardContextual"/>
    </w:rPr>
  </w:style>
  <w:style w:type="paragraph" w:styleId="TOC5">
    <w:name w:val="toc 5"/>
    <w:basedOn w:val="Normal"/>
    <w:next w:val="Normal"/>
    <w:autoRedefine/>
    <w:uiPriority w:val="39"/>
    <w:unhideWhenUsed/>
    <w:rsid w:val="004B7CAC"/>
    <w:pPr>
      <w:spacing w:after="100" w:line="278" w:lineRule="auto"/>
      <w:ind w:left="960"/>
    </w:pPr>
    <w:rPr>
      <w:rFonts w:eastAsiaTheme="minorEastAsia"/>
      <w:kern w:val="2"/>
      <w:sz w:val="24"/>
      <w:szCs w:val="24"/>
      <w:lang w:eastAsia="ja-JP"/>
      <w14:ligatures w14:val="standardContextual"/>
    </w:rPr>
  </w:style>
  <w:style w:type="paragraph" w:styleId="TOC6">
    <w:name w:val="toc 6"/>
    <w:basedOn w:val="Normal"/>
    <w:next w:val="Normal"/>
    <w:autoRedefine/>
    <w:uiPriority w:val="39"/>
    <w:unhideWhenUsed/>
    <w:rsid w:val="004B7CAC"/>
    <w:pPr>
      <w:spacing w:after="100" w:line="278" w:lineRule="auto"/>
      <w:ind w:left="1200"/>
    </w:pPr>
    <w:rPr>
      <w:rFonts w:eastAsiaTheme="minorEastAsia"/>
      <w:kern w:val="2"/>
      <w:sz w:val="24"/>
      <w:szCs w:val="24"/>
      <w:lang w:eastAsia="ja-JP"/>
      <w14:ligatures w14:val="standardContextual"/>
    </w:rPr>
  </w:style>
  <w:style w:type="paragraph" w:styleId="TOC7">
    <w:name w:val="toc 7"/>
    <w:basedOn w:val="Normal"/>
    <w:next w:val="Normal"/>
    <w:autoRedefine/>
    <w:uiPriority w:val="39"/>
    <w:unhideWhenUsed/>
    <w:rsid w:val="004B7CAC"/>
    <w:pPr>
      <w:spacing w:after="100" w:line="278" w:lineRule="auto"/>
      <w:ind w:left="1440"/>
    </w:pPr>
    <w:rPr>
      <w:rFonts w:eastAsiaTheme="minorEastAsia"/>
      <w:kern w:val="2"/>
      <w:sz w:val="24"/>
      <w:szCs w:val="24"/>
      <w:lang w:eastAsia="ja-JP"/>
      <w14:ligatures w14:val="standardContextual"/>
    </w:rPr>
  </w:style>
  <w:style w:type="paragraph" w:styleId="TOC8">
    <w:name w:val="toc 8"/>
    <w:basedOn w:val="Normal"/>
    <w:next w:val="Normal"/>
    <w:autoRedefine/>
    <w:uiPriority w:val="39"/>
    <w:unhideWhenUsed/>
    <w:rsid w:val="004B7CAC"/>
    <w:pPr>
      <w:spacing w:after="100" w:line="278" w:lineRule="auto"/>
      <w:ind w:left="1680"/>
    </w:pPr>
    <w:rPr>
      <w:rFonts w:eastAsiaTheme="minorEastAsia"/>
      <w:kern w:val="2"/>
      <w:sz w:val="24"/>
      <w:szCs w:val="24"/>
      <w:lang w:eastAsia="ja-JP"/>
      <w14:ligatures w14:val="standardContextual"/>
    </w:rPr>
  </w:style>
  <w:style w:type="paragraph" w:styleId="TOC9">
    <w:name w:val="toc 9"/>
    <w:basedOn w:val="Normal"/>
    <w:next w:val="Normal"/>
    <w:autoRedefine/>
    <w:uiPriority w:val="39"/>
    <w:unhideWhenUsed/>
    <w:rsid w:val="004B7CAC"/>
    <w:pPr>
      <w:spacing w:after="100" w:line="278" w:lineRule="auto"/>
      <w:ind w:left="1920"/>
    </w:pPr>
    <w:rPr>
      <w:rFonts w:eastAsiaTheme="minorEastAsia"/>
      <w:kern w:val="2"/>
      <w:sz w:val="24"/>
      <w:szCs w:val="24"/>
      <w:lang w:eastAsia="ja-JP"/>
      <w14:ligatures w14:val="standardContextual"/>
    </w:rPr>
  </w:style>
  <w:style w:type="character" w:styleId="UnresolvedMention">
    <w:name w:val="Unresolved Mention"/>
    <w:basedOn w:val="DefaultParagraphFont"/>
    <w:uiPriority w:val="99"/>
    <w:semiHidden/>
    <w:unhideWhenUsed/>
    <w:rsid w:val="004B7CAC"/>
    <w:rPr>
      <w:color w:val="605E5C"/>
      <w:shd w:val="clear" w:color="auto" w:fill="E1DFDD"/>
    </w:rPr>
  </w:style>
  <w:style w:type="table" w:styleId="GridTable5Dark-Accent5">
    <w:name w:val="Grid Table 5 Dark Accent 5"/>
    <w:basedOn w:val="TableNormal"/>
    <w:uiPriority w:val="50"/>
    <w:rsid w:val="007618A8"/>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4">
    <w:name w:val="Grid Table 5 Dark Accent 4"/>
    <w:basedOn w:val="TableNormal"/>
    <w:uiPriority w:val="50"/>
    <w:rsid w:val="007618A8"/>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59A13-41A1-474A-A792-334D2C3F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20879</Words>
  <Characters>119011</Characters>
  <Application>Microsoft Office Word</Application>
  <DocSecurity>0</DocSecurity>
  <Lines>991</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Fahad Almohammed</cp:lastModifiedBy>
  <cp:revision>2</cp:revision>
  <cp:lastPrinted>2026-03-14T02:25:00Z</cp:lastPrinted>
  <dcterms:created xsi:type="dcterms:W3CDTF">2026-03-14T02:39:00Z</dcterms:created>
  <dcterms:modified xsi:type="dcterms:W3CDTF">2026-03-14T02:39:00Z</dcterms:modified>
</cp:coreProperties>
</file>