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3B3E6E75" w:rsidR="00973EF0" w:rsidRDefault="00973EF0" w:rsidP="00973EF0">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C6F6900" wp14:editId="554AECEF">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4FBFBF34">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5F4C28BC"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6B11EBCA"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98FA27D" w14:textId="77777777" w:rsidR="00973EF0" w:rsidRPr="00AD5D94" w:rsidRDefault="00973EF0" w:rsidP="00973EF0">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w:t>
      </w:r>
      <w:r>
        <w:rPr>
          <w:rFonts w:asciiTheme="majorBidi" w:hAnsiTheme="majorBidi" w:cstheme="majorBidi"/>
          <w:sz w:val="36"/>
          <w:szCs w:val="36"/>
          <w:lang w:bidi="ar-EG"/>
        </w:rPr>
        <w:t>n</w:t>
      </w:r>
      <w:r w:rsidRPr="00AD5D94">
        <w:rPr>
          <w:rFonts w:asciiTheme="majorBidi" w:hAnsiTheme="majorBidi" w:cstheme="majorBidi"/>
          <w:sz w:val="36"/>
          <w:szCs w:val="36"/>
          <w:lang w:bidi="ar-EG"/>
        </w:rPr>
        <w:t xml:space="preserve"> Saudi Industrial Companies</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7777777" w:rsidR="00973EF0" w:rsidRPr="00433305" w:rsidRDefault="00973EF0" w:rsidP="00973EF0">
      <w:pPr>
        <w:tabs>
          <w:tab w:val="left" w:pos="5505"/>
        </w:tabs>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095"/>
        <w:gridCol w:w="4201"/>
      </w:tblGrid>
      <w:tr w:rsidR="00973EF0" w:rsidRPr="00433305" w14:paraId="639B01DC" w14:textId="77777777" w:rsidTr="00E602CB">
        <w:tc>
          <w:tcPr>
            <w:tcW w:w="4675" w:type="dxa"/>
          </w:tcPr>
          <w:p w14:paraId="202046BF"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1146C908"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973EF0" w:rsidRPr="00433305" w14:paraId="474C6158" w14:textId="77777777" w:rsidTr="00E602CB">
        <w:tc>
          <w:tcPr>
            <w:tcW w:w="4675" w:type="dxa"/>
          </w:tcPr>
          <w:p w14:paraId="4CA3397A"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2CE0CE05"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973EF0" w:rsidRPr="00433305" w14:paraId="636ED327" w14:textId="77777777" w:rsidTr="00E602CB">
        <w:tc>
          <w:tcPr>
            <w:tcW w:w="4675" w:type="dxa"/>
          </w:tcPr>
          <w:p w14:paraId="583F4A67"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0F163EAB"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4ACF1226" w14:textId="77777777" w:rsidR="00973EF0" w:rsidRDefault="00973EF0" w:rsidP="00973EF0">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04F829E1" w14:textId="77777777" w:rsidR="00973EF0" w:rsidRDefault="00973EF0"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17BB25BF" w14:textId="2CCAC250" w:rsidR="007A230D" w:rsidRDefault="00973EF0">
          <w:pPr>
            <w:pStyle w:val="TOC1"/>
            <w:rPr>
              <w:rFonts w:eastAsiaTheme="minorEastAsia"/>
              <w:noProof/>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05643197" w:history="1">
            <w:r w:rsidR="007A230D" w:rsidRPr="00B57595">
              <w:rPr>
                <w:rStyle w:val="Hyperlink"/>
                <w:rFonts w:ascii="Traditional Arabic" w:hAnsi="Traditional Arabic" w:cs="Diwani Letter" w:hint="eastAsia"/>
                <w:b/>
                <w:bCs/>
                <w:noProof/>
                <w:rtl/>
                <w:lang w:bidi="ar-EG"/>
              </w:rPr>
              <w:t>الفصل</w:t>
            </w:r>
            <w:r w:rsidR="007A230D" w:rsidRPr="00B57595">
              <w:rPr>
                <w:rStyle w:val="Hyperlink"/>
                <w:rFonts w:ascii="Traditional Arabic" w:hAnsi="Traditional Arabic" w:cs="Diwani Letter"/>
                <w:b/>
                <w:bCs/>
                <w:noProof/>
                <w:rtl/>
                <w:lang w:bidi="ar-EG"/>
              </w:rPr>
              <w:t xml:space="preserve"> </w:t>
            </w:r>
            <w:r w:rsidR="007A230D" w:rsidRPr="00B57595">
              <w:rPr>
                <w:rStyle w:val="Hyperlink"/>
                <w:rFonts w:ascii="Traditional Arabic" w:hAnsi="Traditional Arabic" w:cs="Diwani Letter" w:hint="eastAsia"/>
                <w:b/>
                <w:bCs/>
                <w:noProof/>
                <w:rtl/>
                <w:lang w:bidi="ar-EG"/>
              </w:rPr>
              <w:t>الأول</w:t>
            </w:r>
            <w:r w:rsidR="007A230D" w:rsidRPr="00B57595">
              <w:rPr>
                <w:rStyle w:val="Hyperlink"/>
                <w:rFonts w:ascii="Traditional Arabic" w:hAnsi="Traditional Arabic" w:cs="Diwani Letter"/>
                <w:b/>
                <w:bCs/>
                <w:noProof/>
                <w:rtl/>
                <w:lang w:bidi="ar-EG"/>
              </w:rPr>
              <w:t xml:space="preserve">: </w:t>
            </w:r>
            <w:r w:rsidR="007A230D" w:rsidRPr="00B57595">
              <w:rPr>
                <w:rStyle w:val="Hyperlink"/>
                <w:rFonts w:ascii="Traditional Arabic" w:hAnsi="Traditional Arabic" w:cs="Diwani Letter" w:hint="eastAsia"/>
                <w:b/>
                <w:bCs/>
                <w:noProof/>
                <w:rtl/>
                <w:lang w:bidi="ar-EG"/>
              </w:rPr>
              <w:t>الإطار</w:t>
            </w:r>
            <w:r w:rsidR="007A230D" w:rsidRPr="00B57595">
              <w:rPr>
                <w:rStyle w:val="Hyperlink"/>
                <w:rFonts w:ascii="Traditional Arabic" w:hAnsi="Traditional Arabic" w:cs="Diwani Letter"/>
                <w:b/>
                <w:bCs/>
                <w:noProof/>
                <w:rtl/>
                <w:lang w:bidi="ar-EG"/>
              </w:rPr>
              <w:t xml:space="preserve"> </w:t>
            </w:r>
            <w:r w:rsidR="007A230D" w:rsidRPr="00B57595">
              <w:rPr>
                <w:rStyle w:val="Hyperlink"/>
                <w:rFonts w:ascii="Traditional Arabic" w:hAnsi="Traditional Arabic" w:cs="Diwani Letter" w:hint="eastAsia"/>
                <w:b/>
                <w:bCs/>
                <w:noProof/>
                <w:rtl/>
                <w:lang w:bidi="ar-EG"/>
              </w:rPr>
              <w:t>المنهجي</w:t>
            </w:r>
            <w:r w:rsidR="007A230D" w:rsidRPr="00B57595">
              <w:rPr>
                <w:rStyle w:val="Hyperlink"/>
                <w:rFonts w:ascii="Traditional Arabic" w:hAnsi="Traditional Arabic" w:cs="Diwani Letter"/>
                <w:b/>
                <w:bCs/>
                <w:noProof/>
                <w:rtl/>
                <w:lang w:bidi="ar-EG"/>
              </w:rPr>
              <w:t xml:space="preserve"> </w:t>
            </w:r>
            <w:r w:rsidR="007A230D" w:rsidRPr="00B57595">
              <w:rPr>
                <w:rStyle w:val="Hyperlink"/>
                <w:rFonts w:ascii="Traditional Arabic" w:hAnsi="Traditional Arabic" w:cs="Diwani Letter" w:hint="eastAsia"/>
                <w:b/>
                <w:bCs/>
                <w:noProof/>
                <w:rtl/>
                <w:lang w:bidi="ar-EG"/>
              </w:rPr>
              <w:t>للدراسة</w:t>
            </w:r>
            <w:r w:rsidR="007A230D">
              <w:rPr>
                <w:noProof/>
                <w:webHidden/>
                <w:rtl/>
              </w:rPr>
              <w:tab/>
            </w:r>
            <w:r w:rsidR="007A230D">
              <w:rPr>
                <w:noProof/>
                <w:webHidden/>
                <w:rtl/>
              </w:rPr>
              <w:fldChar w:fldCharType="begin"/>
            </w:r>
            <w:r w:rsidR="007A230D">
              <w:rPr>
                <w:noProof/>
                <w:webHidden/>
                <w:rtl/>
              </w:rPr>
              <w:instrText xml:space="preserve"> </w:instrText>
            </w:r>
            <w:r w:rsidR="007A230D">
              <w:rPr>
                <w:noProof/>
                <w:webHidden/>
              </w:rPr>
              <w:instrText>PAGEREF</w:instrText>
            </w:r>
            <w:r w:rsidR="007A230D">
              <w:rPr>
                <w:noProof/>
                <w:webHidden/>
                <w:rtl/>
              </w:rPr>
              <w:instrText xml:space="preserve"> _</w:instrText>
            </w:r>
            <w:r w:rsidR="007A230D">
              <w:rPr>
                <w:noProof/>
                <w:webHidden/>
              </w:rPr>
              <w:instrText>Toc205643197 \h</w:instrText>
            </w:r>
            <w:r w:rsidR="007A230D">
              <w:rPr>
                <w:noProof/>
                <w:webHidden/>
                <w:rtl/>
              </w:rPr>
              <w:instrText xml:space="preserve"> </w:instrText>
            </w:r>
            <w:r w:rsidR="007A230D">
              <w:rPr>
                <w:noProof/>
                <w:webHidden/>
                <w:rtl/>
              </w:rPr>
            </w:r>
            <w:r w:rsidR="007A230D">
              <w:rPr>
                <w:noProof/>
                <w:webHidden/>
                <w:rtl/>
              </w:rPr>
              <w:fldChar w:fldCharType="separate"/>
            </w:r>
            <w:r w:rsidR="007A230D">
              <w:rPr>
                <w:noProof/>
                <w:webHidden/>
                <w:rtl/>
              </w:rPr>
              <w:t>4</w:t>
            </w:r>
            <w:r w:rsidR="007A230D">
              <w:rPr>
                <w:noProof/>
                <w:webHidden/>
                <w:rtl/>
              </w:rPr>
              <w:fldChar w:fldCharType="end"/>
            </w:r>
          </w:hyperlink>
        </w:p>
        <w:p w14:paraId="01A3CC7C" w14:textId="39E4A7F1" w:rsidR="007A230D" w:rsidRDefault="007A230D">
          <w:pPr>
            <w:pStyle w:val="TOC2"/>
            <w:tabs>
              <w:tab w:val="right" w:leader="dot" w:pos="8296"/>
            </w:tabs>
            <w:bidi/>
            <w:rPr>
              <w:rFonts w:eastAsiaTheme="minorEastAsia"/>
              <w:noProof/>
              <w:rtl/>
            </w:rPr>
          </w:pPr>
          <w:hyperlink w:anchor="_Toc205643198" w:history="1">
            <w:r w:rsidRPr="00B57595">
              <w:rPr>
                <w:rStyle w:val="Hyperlink"/>
                <w:rFonts w:ascii="Traditional Arabic" w:hAnsi="Traditional Arabic" w:cs="Traditional Arabic" w:hint="eastAsia"/>
                <w:b/>
                <w:bCs/>
                <w:noProof/>
                <w:rtl/>
                <w:lang w:bidi="ar-EG"/>
              </w:rPr>
              <w:t>المقدمة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Toc205643198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3E85817" w14:textId="1A8D4898" w:rsidR="007A230D" w:rsidRDefault="007A230D">
          <w:pPr>
            <w:pStyle w:val="TOC2"/>
            <w:tabs>
              <w:tab w:val="right" w:leader="dot" w:pos="8296"/>
            </w:tabs>
            <w:bidi/>
            <w:rPr>
              <w:rFonts w:eastAsiaTheme="minorEastAsia"/>
              <w:noProof/>
              <w:rtl/>
            </w:rPr>
          </w:pPr>
          <w:hyperlink w:anchor="_Toc205643199" w:history="1">
            <w:r w:rsidRPr="00B57595">
              <w:rPr>
                <w:rStyle w:val="Hyperlink"/>
                <w:rFonts w:ascii="Traditional Arabic" w:hAnsi="Traditional Arabic" w:cs="Traditional Arabic" w:hint="eastAsia"/>
                <w:b/>
                <w:bCs/>
                <w:noProof/>
                <w:rtl/>
                <w:lang w:bidi="ar-EG"/>
              </w:rPr>
              <w:t>مشكلة</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Toc205643199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3880FD3" w14:textId="1A929475" w:rsidR="007A230D" w:rsidRDefault="007A230D">
          <w:pPr>
            <w:pStyle w:val="TOC2"/>
            <w:tabs>
              <w:tab w:val="right" w:leader="dot" w:pos="8296"/>
            </w:tabs>
            <w:bidi/>
            <w:rPr>
              <w:rFonts w:eastAsiaTheme="minorEastAsia"/>
              <w:noProof/>
              <w:rtl/>
            </w:rPr>
          </w:pPr>
          <w:hyperlink w:anchor="_Toc205643200" w:history="1">
            <w:r w:rsidRPr="00B57595">
              <w:rPr>
                <w:rStyle w:val="Hyperlink"/>
                <w:rFonts w:ascii="Traditional Arabic" w:hAnsi="Traditional Arabic" w:cs="Traditional Arabic" w:hint="eastAsia"/>
                <w:b/>
                <w:bCs/>
                <w:noProof/>
                <w:rtl/>
                <w:lang w:bidi="ar-EG"/>
              </w:rPr>
              <w:t>تساؤلات</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5D3C9BC" w14:textId="76B0DF28" w:rsidR="007A230D" w:rsidRDefault="007A230D">
          <w:pPr>
            <w:pStyle w:val="TOC2"/>
            <w:tabs>
              <w:tab w:val="right" w:leader="dot" w:pos="8296"/>
            </w:tabs>
            <w:bidi/>
            <w:rPr>
              <w:rFonts w:eastAsiaTheme="minorEastAsia"/>
              <w:noProof/>
              <w:rtl/>
            </w:rPr>
          </w:pPr>
          <w:hyperlink w:anchor="_Toc205643201" w:history="1">
            <w:r w:rsidRPr="00B57595">
              <w:rPr>
                <w:rStyle w:val="Hyperlink"/>
                <w:rFonts w:ascii="Traditional Arabic" w:hAnsi="Traditional Arabic" w:cs="Traditional Arabic" w:hint="eastAsia"/>
                <w:b/>
                <w:bCs/>
                <w:noProof/>
                <w:rtl/>
                <w:lang w:bidi="ar-EG"/>
              </w:rPr>
              <w:t>أهمية</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8EEEEB6" w14:textId="6893230F" w:rsidR="007A230D" w:rsidRDefault="007A230D">
          <w:pPr>
            <w:pStyle w:val="TOC2"/>
            <w:tabs>
              <w:tab w:val="right" w:leader="dot" w:pos="8296"/>
            </w:tabs>
            <w:bidi/>
            <w:rPr>
              <w:rFonts w:eastAsiaTheme="minorEastAsia"/>
              <w:noProof/>
              <w:rtl/>
            </w:rPr>
          </w:pPr>
          <w:hyperlink w:anchor="_Toc205643202" w:history="1">
            <w:r w:rsidRPr="00B57595">
              <w:rPr>
                <w:rStyle w:val="Hyperlink"/>
                <w:rFonts w:ascii="Traditional Arabic" w:hAnsi="Traditional Arabic" w:cs="Traditional Arabic" w:hint="eastAsia"/>
                <w:b/>
                <w:bCs/>
                <w:noProof/>
                <w:rtl/>
                <w:lang w:bidi="ar-EG"/>
              </w:rPr>
              <w:t>أهداف</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148BA73" w14:textId="0B700177" w:rsidR="007A230D" w:rsidRDefault="007A230D">
          <w:pPr>
            <w:pStyle w:val="TOC2"/>
            <w:tabs>
              <w:tab w:val="right" w:leader="dot" w:pos="8296"/>
            </w:tabs>
            <w:bidi/>
            <w:rPr>
              <w:rFonts w:eastAsiaTheme="minorEastAsia"/>
              <w:noProof/>
              <w:rtl/>
            </w:rPr>
          </w:pPr>
          <w:hyperlink w:anchor="_Toc205643203" w:history="1">
            <w:r w:rsidRPr="00B57595">
              <w:rPr>
                <w:rStyle w:val="Hyperlink"/>
                <w:rFonts w:ascii="Traditional Arabic" w:hAnsi="Traditional Arabic" w:cs="Traditional Arabic" w:hint="eastAsia"/>
                <w:b/>
                <w:bCs/>
                <w:noProof/>
                <w:rtl/>
                <w:lang w:bidi="ar-EG"/>
              </w:rPr>
              <w:t>فروض</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E258AD8" w14:textId="696A936C" w:rsidR="007A230D" w:rsidRDefault="007A230D">
          <w:pPr>
            <w:pStyle w:val="TOC2"/>
            <w:tabs>
              <w:tab w:val="right" w:leader="dot" w:pos="8296"/>
            </w:tabs>
            <w:bidi/>
            <w:rPr>
              <w:rFonts w:eastAsiaTheme="minorEastAsia"/>
              <w:noProof/>
              <w:rtl/>
            </w:rPr>
          </w:pPr>
          <w:hyperlink w:anchor="_Toc205643204" w:history="1">
            <w:r w:rsidRPr="00B57595">
              <w:rPr>
                <w:rStyle w:val="Hyperlink"/>
                <w:rFonts w:ascii="Traditional Arabic" w:hAnsi="Traditional Arabic" w:cs="Traditional Arabic" w:hint="eastAsia"/>
                <w:b/>
                <w:bCs/>
                <w:noProof/>
                <w:rtl/>
                <w:lang w:bidi="ar-EG"/>
              </w:rPr>
              <w:t>مفاهيم</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14C5BBB" w14:textId="672E77A7" w:rsidR="007A230D" w:rsidRDefault="007A230D">
          <w:pPr>
            <w:pStyle w:val="TOC2"/>
            <w:tabs>
              <w:tab w:val="right" w:leader="dot" w:pos="8296"/>
            </w:tabs>
            <w:bidi/>
            <w:rPr>
              <w:rFonts w:eastAsiaTheme="minorEastAsia"/>
              <w:noProof/>
              <w:rtl/>
            </w:rPr>
          </w:pPr>
          <w:hyperlink w:anchor="_Toc205643205" w:history="1">
            <w:r w:rsidRPr="00B57595">
              <w:rPr>
                <w:rStyle w:val="Hyperlink"/>
                <w:rFonts w:ascii="Traditional Arabic" w:hAnsi="Traditional Arabic" w:cs="Traditional Arabic" w:hint="eastAsia"/>
                <w:b/>
                <w:bCs/>
                <w:noProof/>
                <w:rtl/>
                <w:lang w:bidi="ar-EG"/>
              </w:rPr>
              <w:t>حدود</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9680361" w14:textId="3721DAB8" w:rsidR="007A230D" w:rsidRDefault="007A230D">
          <w:pPr>
            <w:pStyle w:val="TOC2"/>
            <w:tabs>
              <w:tab w:val="right" w:leader="dot" w:pos="8296"/>
            </w:tabs>
            <w:bidi/>
            <w:rPr>
              <w:rFonts w:eastAsiaTheme="minorEastAsia"/>
              <w:noProof/>
              <w:rtl/>
            </w:rPr>
          </w:pPr>
          <w:hyperlink w:anchor="_Toc205643206" w:history="1">
            <w:r w:rsidRPr="00B57595">
              <w:rPr>
                <w:rStyle w:val="Hyperlink"/>
                <w:rFonts w:ascii="Traditional Arabic" w:hAnsi="Traditional Arabic" w:cs="Traditional Arabic" w:hint="eastAsia"/>
                <w:b/>
                <w:bCs/>
                <w:noProof/>
                <w:rtl/>
                <w:lang w:bidi="ar-EG"/>
              </w:rPr>
              <w:t>إجراءات</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ومنهجية</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656700A" w14:textId="6589FB13" w:rsidR="007A230D" w:rsidRDefault="007A230D">
          <w:pPr>
            <w:pStyle w:val="TOC2"/>
            <w:tabs>
              <w:tab w:val="right" w:leader="dot" w:pos="8296"/>
            </w:tabs>
            <w:bidi/>
            <w:rPr>
              <w:rFonts w:eastAsiaTheme="minorEastAsia"/>
              <w:noProof/>
              <w:rtl/>
            </w:rPr>
          </w:pPr>
          <w:hyperlink w:anchor="_Toc205643207" w:history="1">
            <w:r w:rsidRPr="00B57595">
              <w:rPr>
                <w:rStyle w:val="Hyperlink"/>
                <w:rFonts w:ascii="Traditional Arabic" w:hAnsi="Traditional Arabic" w:cs="Traditional Arabic" w:hint="eastAsia"/>
                <w:b/>
                <w:bCs/>
                <w:noProof/>
                <w:rtl/>
                <w:lang w:bidi="ar-EG"/>
              </w:rPr>
              <w:t>المعالجات</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الإحصائية</w:t>
            </w:r>
            <w:r w:rsidRPr="00B57595">
              <w:rPr>
                <w:rStyle w:val="Hyperlink"/>
                <w:rFonts w:ascii="Traditional Arabic" w:hAnsi="Traditional Arabic" w:cs="Traditional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D14F445" w14:textId="21CE3D9C" w:rsidR="007A230D" w:rsidRDefault="007A230D">
          <w:pPr>
            <w:pStyle w:val="TOC1"/>
            <w:rPr>
              <w:rFonts w:eastAsiaTheme="minorEastAsia"/>
              <w:noProof/>
              <w:rtl/>
            </w:rPr>
          </w:pPr>
          <w:hyperlink w:anchor="_Toc205643208" w:history="1">
            <w:r w:rsidRPr="00B57595">
              <w:rPr>
                <w:rStyle w:val="Hyperlink"/>
                <w:rFonts w:ascii="Simplified Arabic" w:hAnsi="Simplified Arabic" w:cs="Simplified Arabic" w:hint="eastAsia"/>
                <w:b/>
                <w:bCs/>
                <w:noProof/>
                <w:rtl/>
              </w:rPr>
              <w:t>الأساليب</w:t>
            </w:r>
            <w:r w:rsidRPr="00B57595">
              <w:rPr>
                <w:rStyle w:val="Hyperlink"/>
                <w:rFonts w:ascii="Simplified Arabic" w:hAnsi="Simplified Arabic" w:cs="Simplified Arabic"/>
                <w:b/>
                <w:bCs/>
                <w:noProof/>
                <w:rtl/>
              </w:rPr>
              <w:t xml:space="preserve"> </w:t>
            </w:r>
            <w:r w:rsidRPr="00B57595">
              <w:rPr>
                <w:rStyle w:val="Hyperlink"/>
                <w:rFonts w:ascii="Simplified Arabic" w:hAnsi="Simplified Arabic" w:cs="Simplified Arabic" w:hint="eastAsia"/>
                <w:b/>
                <w:bCs/>
                <w:noProof/>
                <w:rtl/>
              </w:rPr>
              <w:t>الإحصائية</w:t>
            </w:r>
            <w:r w:rsidRPr="00B57595">
              <w:rPr>
                <w:rStyle w:val="Hyperlink"/>
                <w:rFonts w:ascii="Simplified Arabic" w:hAnsi="Simplified Arabic" w:cs="Simplified Arabic"/>
                <w:b/>
                <w:bCs/>
                <w:noProof/>
                <w:rtl/>
              </w:rPr>
              <w:t xml:space="preserve"> </w:t>
            </w:r>
            <w:r w:rsidRPr="00B57595">
              <w:rPr>
                <w:rStyle w:val="Hyperlink"/>
                <w:rFonts w:ascii="Simplified Arabic" w:hAnsi="Simplified Arabic" w:cs="Simplified Arabic" w:hint="eastAsia"/>
                <w:b/>
                <w:bCs/>
                <w:noProof/>
                <w:rtl/>
              </w:rPr>
              <w:t>المستخدمة</w:t>
            </w:r>
            <w:r w:rsidRPr="00B57595">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Toc205643208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7EBBD3B" w14:textId="269D8421" w:rsidR="007A230D" w:rsidRDefault="007A230D">
          <w:pPr>
            <w:pStyle w:val="TOC2"/>
            <w:tabs>
              <w:tab w:val="right" w:leader="dot" w:pos="8296"/>
            </w:tabs>
            <w:bidi/>
            <w:rPr>
              <w:rFonts w:eastAsiaTheme="minorEastAsia"/>
              <w:noProof/>
              <w:rtl/>
            </w:rPr>
          </w:pPr>
          <w:hyperlink w:anchor="_Toc205643209" w:history="1">
            <w:r w:rsidRPr="00B57595">
              <w:rPr>
                <w:rStyle w:val="Hyperlink"/>
                <w:rFonts w:ascii="Traditional Arabic" w:hAnsi="Traditional Arabic" w:cs="Traditional Arabic" w:hint="eastAsia"/>
                <w:b/>
                <w:bCs/>
                <w:noProof/>
                <w:rtl/>
                <w:lang w:bidi="ar-EG"/>
              </w:rPr>
              <w:t>نموذج</w:t>
            </w:r>
            <w:r w:rsidRPr="00B57595">
              <w:rPr>
                <w:rStyle w:val="Hyperlink"/>
                <w:rFonts w:ascii="Traditional Arabic" w:hAnsi="Traditional Arabic" w:cs="Traditional Arabic"/>
                <w:b/>
                <w:bCs/>
                <w:noProof/>
                <w:rtl/>
                <w:lang w:bidi="ar-EG"/>
              </w:rPr>
              <w:t xml:space="preserve"> </w:t>
            </w:r>
            <w:r w:rsidRPr="00B57595">
              <w:rPr>
                <w:rStyle w:val="Hyperlink"/>
                <w:rFonts w:ascii="Traditional Arabic" w:hAnsi="Traditional Arabic" w:cs="Traditional Arabic" w:hint="eastAsia"/>
                <w:b/>
                <w:bCs/>
                <w:noProof/>
                <w:rtl/>
                <w:lang w:bidi="ar-EG"/>
              </w:rPr>
              <w:t>الدراسة</w:t>
            </w:r>
            <w:r w:rsidRPr="00B57595">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Toc205643209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9C742D2" w14:textId="29DDEAFE" w:rsidR="007A230D" w:rsidRDefault="007A230D">
          <w:pPr>
            <w:pStyle w:val="TOC1"/>
            <w:rPr>
              <w:rFonts w:eastAsiaTheme="minorEastAsia"/>
              <w:noProof/>
              <w:rtl/>
            </w:rPr>
          </w:pPr>
          <w:hyperlink w:anchor="_Toc205643210" w:history="1">
            <w:r w:rsidRPr="00B57595">
              <w:rPr>
                <w:rStyle w:val="Hyperlink"/>
                <w:rFonts w:ascii="Traditional Arabic" w:hAnsi="Traditional Arabic" w:cs="Traditional Arabic" w:hint="eastAsia"/>
                <w:b/>
                <w:bCs/>
                <w:noProof/>
                <w:rtl/>
                <w:lang w:bidi="ar-EG"/>
              </w:rPr>
              <w:t>المراجع</w:t>
            </w:r>
            <w:r w:rsidRPr="00B57595">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Toc205643210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4271638" w14:textId="7C5B4994"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05643197"/>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05643198"/>
      <w:r>
        <w:rPr>
          <w:rFonts w:ascii="Traditional Arabic" w:hAnsi="Traditional Arabic" w:cs="Traditional Arabic" w:hint="cs"/>
          <w:b/>
          <w:bCs/>
          <w:color w:val="auto"/>
          <w:rtl/>
          <w:lang w:bidi="ar-EG"/>
        </w:rPr>
        <w:lastRenderedPageBreak/>
        <w:t>المقدمة</w:t>
      </w:r>
      <w:r>
        <w:rPr>
          <w:rFonts w:ascii="Traditional Arabic" w:hAnsi="Traditional Arabic" w:cs="Traditional Arabic"/>
          <w:b/>
          <w:bCs/>
          <w:color w:val="auto"/>
          <w:lang w:bidi="ar-EG"/>
        </w:rPr>
        <w:t>:</w:t>
      </w:r>
      <w:bookmarkEnd w:id="1"/>
    </w:p>
    <w:p w14:paraId="0BA4FE7E" w14:textId="103F3A8D" w:rsidR="00973EF0" w:rsidRPr="007D0F48"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العمل</w:t>
      </w:r>
      <w:r w:rsidR="005B75B4" w:rsidRPr="005B75B4">
        <w:rPr>
          <w:rFonts w:ascii="Traditional Arabic" w:hAnsi="Traditional Arabic" w:cs="Traditional Arabic"/>
          <w:sz w:val="28"/>
          <w:szCs w:val="28"/>
          <w:rtl/>
        </w:rPr>
        <w:t xml:space="preserve"> </w:t>
      </w:r>
      <w:r w:rsidR="005B75B4">
        <w:rPr>
          <w:rFonts w:ascii="Traditional Arabic" w:hAnsi="Traditional Arabic" w:cs="Traditional Arabic"/>
          <w:sz w:val="28"/>
          <w:szCs w:val="28"/>
        </w:rPr>
        <w:t>.</w:t>
      </w:r>
      <w:sdt>
        <w:sdtPr>
          <w:rPr>
            <w:rFonts w:ascii="Traditional Arabic" w:hAnsi="Traditional Arabic" w:cs="Traditional Arabic"/>
            <w:sz w:val="28"/>
            <w:szCs w:val="28"/>
            <w:rtl/>
          </w:rPr>
          <w:id w:val="442587036"/>
          <w:citation/>
        </w:sdtPr>
        <w:sdtContent>
          <w:r w:rsidR="005B75B4">
            <w:rPr>
              <w:rFonts w:ascii="Traditional Arabic" w:hAnsi="Traditional Arabic" w:cs="Traditional Arabic"/>
              <w:sz w:val="28"/>
              <w:szCs w:val="28"/>
              <w:rtl/>
            </w:rPr>
            <w:fldChar w:fldCharType="begin"/>
          </w:r>
          <w:r w:rsidR="005B75B4">
            <w:rPr>
              <w:rFonts w:ascii="Traditional Arabic" w:hAnsi="Traditional Arabic" w:cs="Traditional Arabic"/>
              <w:sz w:val="28"/>
              <w:szCs w:val="28"/>
            </w:rPr>
            <w:instrText xml:space="preserve"> CITATION Mus23 \l 1033 </w:instrText>
          </w:r>
          <w:r w:rsidR="005B75B4">
            <w:rPr>
              <w:rFonts w:ascii="Traditional Arabic" w:hAnsi="Traditional Arabic" w:cs="Traditional Arabic"/>
              <w:sz w:val="28"/>
              <w:szCs w:val="28"/>
              <w:rtl/>
            </w:rPr>
            <w:fldChar w:fldCharType="separate"/>
          </w:r>
          <w:r w:rsidR="005B75B4">
            <w:rPr>
              <w:rFonts w:ascii="Traditional Arabic" w:hAnsi="Traditional Arabic" w:cs="Traditional Arabic"/>
              <w:noProof/>
              <w:sz w:val="28"/>
              <w:szCs w:val="28"/>
            </w:rPr>
            <w:t xml:space="preserve"> </w:t>
          </w:r>
          <w:r w:rsidR="005B75B4" w:rsidRPr="00A54325">
            <w:rPr>
              <w:rFonts w:ascii="Traditional Arabic" w:hAnsi="Traditional Arabic" w:cs="Traditional Arabic"/>
              <w:noProof/>
              <w:sz w:val="28"/>
              <w:szCs w:val="28"/>
            </w:rPr>
            <w:t>(Musaigwa, 2023)</w:t>
          </w:r>
          <w:r w:rsidR="005B75B4">
            <w:rPr>
              <w:rFonts w:ascii="Traditional Arabic" w:hAnsi="Traditional Arabic" w:cs="Traditional Arabic"/>
              <w:sz w:val="28"/>
              <w:szCs w:val="28"/>
              <w:rtl/>
            </w:rPr>
            <w:fldChar w:fldCharType="end"/>
          </w:r>
        </w:sdtContent>
      </w:sdt>
    </w:p>
    <w:p w14:paraId="53C3CE96" w14:textId="12283787"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w:t>
      </w:r>
      <w:r w:rsidR="00DF1482" w:rsidRPr="007D0F48">
        <w:rPr>
          <w:rFonts w:ascii="Traditional Arabic" w:hAnsi="Traditional Arabic" w:cs="Traditional Arabic" w:hint="cs"/>
          <w:sz w:val="28"/>
          <w:szCs w:val="28"/>
          <w:rtl/>
        </w:rPr>
        <w:t>التنظيمي</w:t>
      </w:r>
      <w:r w:rsidR="00DF1482" w:rsidRPr="007D0F48">
        <w:rPr>
          <w:rFonts w:ascii="Traditional Arabic" w:hAnsi="Traditional Arabic" w:cs="Traditional Arabic" w:hint="eastAsia"/>
          <w:sz w:val="28"/>
          <w:szCs w:val="28"/>
          <w:rtl/>
        </w:rPr>
        <w:t>ة</w:t>
      </w:r>
      <w:r w:rsidR="00DF1482">
        <w:rPr>
          <w:rFonts w:ascii="Traditional Arabic" w:hAnsi="Traditional Arabic" w:cs="Traditional Arabic"/>
          <w:sz w:val="28"/>
          <w:szCs w:val="28"/>
        </w:rPr>
        <w:t xml:space="preserve"> </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1595128507"/>
          <w:citation/>
        </w:sdtPr>
        <w:sdtContent>
          <w:r w:rsidR="00DF1482">
            <w:rPr>
              <w:rFonts w:ascii="Traditional Arabic" w:hAnsi="Traditional Arabic" w:cs="Traditional Arabic"/>
              <w:sz w:val="28"/>
              <w:szCs w:val="28"/>
              <w:rtl/>
            </w:rPr>
            <w:fldChar w:fldCharType="begin"/>
          </w:r>
          <w:r w:rsidR="00DF1482">
            <w:rPr>
              <w:rFonts w:ascii="Traditional Arabic" w:hAnsi="Traditional Arabic" w:cs="Traditional Arabic"/>
              <w:sz w:val="28"/>
              <w:szCs w:val="28"/>
            </w:rPr>
            <w:instrText xml:space="preserve"> CITATION Can21 \l 1033 </w:instrText>
          </w:r>
          <w:r w:rsidR="00DF1482">
            <w:rPr>
              <w:rFonts w:ascii="Traditional Arabic" w:hAnsi="Traditional Arabic" w:cs="Traditional Arabic"/>
              <w:sz w:val="28"/>
              <w:szCs w:val="28"/>
              <w:rtl/>
            </w:rPr>
            <w:fldChar w:fldCharType="separate"/>
          </w:r>
          <w:r w:rsidR="00DF1482">
            <w:rPr>
              <w:rFonts w:ascii="Traditional Arabic" w:hAnsi="Traditional Arabic" w:cs="Traditional Arabic"/>
              <w:noProof/>
              <w:sz w:val="28"/>
              <w:szCs w:val="28"/>
            </w:rPr>
            <w:t xml:space="preserve"> </w:t>
          </w:r>
          <w:r w:rsidR="00DF1482" w:rsidRPr="00DF1482">
            <w:rPr>
              <w:rFonts w:ascii="Traditional Arabic" w:hAnsi="Traditional Arabic" w:cs="Traditional Arabic"/>
              <w:noProof/>
              <w:sz w:val="28"/>
              <w:szCs w:val="28"/>
            </w:rPr>
            <w:t>(Canavesi, 2021)</w:t>
          </w:r>
          <w:r w:rsidR="00DF1482">
            <w:rPr>
              <w:rFonts w:ascii="Traditional Arabic" w:hAnsi="Traditional Arabic" w:cs="Traditional Arabic"/>
              <w:sz w:val="28"/>
              <w:szCs w:val="28"/>
              <w:rtl/>
            </w:rPr>
            <w:fldChar w:fldCharType="end"/>
          </w:r>
        </w:sdtContent>
      </w:sdt>
      <w:r w:rsidR="00DF1482">
        <w:rPr>
          <w:rFonts w:ascii="Traditional Arabic" w:hAnsi="Traditional Arabic" w:cs="Traditional Arabic"/>
          <w:sz w:val="28"/>
          <w:szCs w:val="28"/>
        </w:rPr>
        <w:t xml:space="preserve"> </w:t>
      </w:r>
    </w:p>
    <w:p w14:paraId="19D92DC8" w14:textId="5FA3CD15"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العمل</w:t>
      </w:r>
      <w:r w:rsidR="00104854">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9655538"/>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Sco21 \l 1033 </w:instrText>
          </w:r>
          <w:r w:rsidR="00F14C0A">
            <w:rPr>
              <w:rFonts w:ascii="Traditional Arabic" w:hAnsi="Traditional Arabic" w:cs="Traditional Arabic"/>
              <w:sz w:val="28"/>
              <w:szCs w:val="28"/>
              <w:rtl/>
            </w:rPr>
            <w:fldChar w:fldCharType="separate"/>
          </w:r>
          <w:r w:rsidR="00F14C0A" w:rsidRPr="00F14C0A">
            <w:rPr>
              <w:rFonts w:ascii="Traditional Arabic" w:hAnsi="Traditional Arabic" w:cs="Traditional Arabic"/>
              <w:noProof/>
              <w:sz w:val="28"/>
              <w:szCs w:val="28"/>
            </w:rPr>
            <w:t>(Scott Zimmer, 2021)</w:t>
          </w:r>
          <w:r w:rsidR="00F14C0A">
            <w:rPr>
              <w:rFonts w:ascii="Traditional Arabic" w:hAnsi="Traditional Arabic" w:cs="Traditional Arabic"/>
              <w:sz w:val="28"/>
              <w:szCs w:val="28"/>
              <w:rtl/>
            </w:rPr>
            <w:fldChar w:fldCharType="end"/>
          </w:r>
        </w:sdtContent>
      </w:sdt>
      <w:r w:rsidR="00104854">
        <w:rPr>
          <w:rFonts w:ascii="Traditional Arabic" w:hAnsi="Traditional Arabic" w:cs="Traditional Arabic"/>
          <w:sz w:val="28"/>
          <w:szCs w:val="28"/>
        </w:rPr>
        <w:t xml:space="preserve">  </w:t>
      </w:r>
    </w:p>
    <w:p w14:paraId="3BBE0A9A" w14:textId="344F7E89"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w:t>
      </w:r>
      <w:r w:rsidRPr="007D0F48">
        <w:rPr>
          <w:rFonts w:ascii="Traditional Arabic" w:hAnsi="Traditional Arabic" w:cs="Traditional Arabic"/>
          <w:sz w:val="28"/>
          <w:szCs w:val="28"/>
          <w:rtl/>
        </w:rPr>
        <w:lastRenderedPageBreak/>
        <w:t>مع الخصوصية السعودية يُسهم في تقديم رؤى عملية وعلمية تسهم في تطوير السياسات الإدارية وأساليب القيادة المتبعة</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457846925"/>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Mba20 \l 1033 </w:instrText>
          </w:r>
          <w:r w:rsidR="00F14C0A">
            <w:rPr>
              <w:rFonts w:ascii="Traditional Arabic" w:hAnsi="Traditional Arabic" w:cs="Traditional Arabic"/>
              <w:sz w:val="28"/>
              <w:szCs w:val="28"/>
              <w:rtl/>
            </w:rPr>
            <w:fldChar w:fldCharType="separate"/>
          </w:r>
          <w:r w:rsidR="00F14C0A">
            <w:rPr>
              <w:rFonts w:ascii="Traditional Arabic" w:hAnsi="Traditional Arabic" w:cs="Traditional Arabic"/>
              <w:noProof/>
              <w:sz w:val="28"/>
              <w:szCs w:val="28"/>
            </w:rPr>
            <w:t xml:space="preserve"> </w:t>
          </w:r>
          <w:r w:rsidR="00F14C0A" w:rsidRPr="00F14C0A">
            <w:rPr>
              <w:rFonts w:ascii="Traditional Arabic" w:hAnsi="Traditional Arabic" w:cs="Traditional Arabic"/>
              <w:noProof/>
              <w:sz w:val="28"/>
              <w:szCs w:val="28"/>
            </w:rPr>
            <w:t>(Mbandi, 2020)</w:t>
          </w:r>
          <w:r w:rsidR="00F14C0A">
            <w:rPr>
              <w:rFonts w:ascii="Traditional Arabic" w:hAnsi="Traditional Arabic" w:cs="Traditional Arabic"/>
              <w:sz w:val="28"/>
              <w:szCs w:val="28"/>
              <w:rtl/>
            </w:rPr>
            <w:fldChar w:fldCharType="end"/>
          </w:r>
        </w:sdtContent>
      </w:sdt>
      <w:r w:rsidR="00F14C0A">
        <w:rPr>
          <w:rFonts w:ascii="Traditional Arabic" w:hAnsi="Traditional Arabic" w:cs="Traditional Arabic"/>
          <w:sz w:val="28"/>
          <w:szCs w:val="28"/>
        </w:rPr>
        <w:t xml:space="preserve"> </w:t>
      </w:r>
    </w:p>
    <w:p w14:paraId="4739A4C5" w14:textId="5313354E" w:rsidR="005B75B4"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475831977"/>
          <w:citation/>
        </w:sdtPr>
        <w:sdtContent>
          <w:r w:rsidR="004F7F19">
            <w:rPr>
              <w:rFonts w:ascii="Traditional Arabic" w:hAnsi="Traditional Arabic" w:cs="Traditional Arabic"/>
              <w:sz w:val="28"/>
              <w:szCs w:val="28"/>
              <w:rtl/>
              <w:lang w:bidi="ar-EG"/>
            </w:rPr>
            <w:fldChar w:fldCharType="begin"/>
          </w:r>
          <w:r w:rsidR="004F7F19">
            <w:rPr>
              <w:rFonts w:ascii="Traditional Arabic" w:hAnsi="Traditional Arabic" w:cs="Traditional Arabic"/>
              <w:sz w:val="28"/>
              <w:szCs w:val="28"/>
              <w:lang w:bidi="ar-EG"/>
            </w:rPr>
            <w:instrText xml:space="preserve"> CITATION Bae22 \l 1033 </w:instrText>
          </w:r>
          <w:r w:rsidR="004F7F19">
            <w:rPr>
              <w:rFonts w:ascii="Traditional Arabic" w:hAnsi="Traditional Arabic" w:cs="Traditional Arabic"/>
              <w:sz w:val="28"/>
              <w:szCs w:val="28"/>
              <w:rtl/>
              <w:lang w:bidi="ar-EG"/>
            </w:rPr>
            <w:fldChar w:fldCharType="separate"/>
          </w:r>
          <w:r w:rsidR="004F7F19">
            <w:rPr>
              <w:rFonts w:ascii="Traditional Arabic" w:hAnsi="Traditional Arabic" w:cs="Traditional Arabic"/>
              <w:noProof/>
              <w:sz w:val="28"/>
              <w:szCs w:val="28"/>
              <w:lang w:bidi="ar-EG"/>
            </w:rPr>
            <w:t xml:space="preserve"> </w:t>
          </w:r>
          <w:r w:rsidR="004F7F19" w:rsidRPr="004F7F19">
            <w:rPr>
              <w:rFonts w:ascii="Traditional Arabic" w:hAnsi="Traditional Arabic" w:cs="Traditional Arabic"/>
              <w:noProof/>
              <w:sz w:val="28"/>
              <w:szCs w:val="28"/>
              <w:lang w:bidi="ar-EG"/>
            </w:rPr>
            <w:t>(Baety, 2022)</w:t>
          </w:r>
          <w:r w:rsidR="004F7F19">
            <w:rPr>
              <w:rFonts w:ascii="Traditional Arabic" w:hAnsi="Traditional Arabic" w:cs="Traditional Arabic"/>
              <w:sz w:val="28"/>
              <w:szCs w:val="28"/>
              <w:rtl/>
              <w:lang w:bidi="ar-EG"/>
            </w:rPr>
            <w:fldChar w:fldCharType="end"/>
          </w:r>
        </w:sdtContent>
      </w:sdt>
    </w:p>
    <w:p w14:paraId="7842E096" w14:textId="40B0D6CD" w:rsidR="00973EF0" w:rsidRPr="005B75B4" w:rsidRDefault="00973EF0" w:rsidP="005B75B4">
      <w:pPr>
        <w:tabs>
          <w:tab w:val="left" w:pos="5505"/>
        </w:tabs>
        <w:spacing w:line="360" w:lineRule="auto"/>
        <w:jc w:val="both"/>
        <w:rPr>
          <w:rFonts w:ascii="Traditional Arabic" w:hAnsi="Traditional Arabic" w:cs="Traditional Arabic"/>
          <w:sz w:val="28"/>
          <w:szCs w:val="28"/>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05643199"/>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24CC56A3" w:rsidR="00973EF0" w:rsidRPr="00AD5D94" w:rsidRDefault="00973EF0" w:rsidP="00E94F1F">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w:t>
      </w:r>
      <w:r w:rsidR="00B313FF" w:rsidRPr="00B313FF">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245246814"/>
          <w:citation/>
        </w:sdtPr>
        <w:sdtContent>
          <w:r w:rsidR="00B313FF">
            <w:rPr>
              <w:rFonts w:ascii="Traditional Arabic" w:hAnsi="Traditional Arabic" w:cs="Traditional Arabic"/>
              <w:sz w:val="28"/>
              <w:szCs w:val="28"/>
              <w:rtl/>
            </w:rPr>
            <w:fldChar w:fldCharType="begin"/>
          </w:r>
          <w:r w:rsidR="00B313FF">
            <w:rPr>
              <w:rFonts w:ascii="Traditional Arabic" w:hAnsi="Traditional Arabic" w:cs="Traditional Arabic"/>
              <w:sz w:val="28"/>
              <w:szCs w:val="28"/>
            </w:rPr>
            <w:instrText xml:space="preserve"> CITATION AlK241 \l 1033 </w:instrText>
          </w:r>
          <w:r w:rsidR="00B313FF">
            <w:rPr>
              <w:rFonts w:ascii="Traditional Arabic" w:hAnsi="Traditional Arabic" w:cs="Traditional Arabic"/>
              <w:sz w:val="28"/>
              <w:szCs w:val="28"/>
              <w:rtl/>
            </w:rPr>
            <w:fldChar w:fldCharType="separate"/>
          </w:r>
          <w:r w:rsidR="00B313FF">
            <w:rPr>
              <w:rFonts w:ascii="Traditional Arabic" w:hAnsi="Traditional Arabic" w:cs="Traditional Arabic"/>
              <w:noProof/>
              <w:sz w:val="28"/>
              <w:szCs w:val="28"/>
            </w:rPr>
            <w:t xml:space="preserve"> </w:t>
          </w:r>
          <w:r w:rsidR="00B313FF" w:rsidRPr="00275E9E">
            <w:rPr>
              <w:rFonts w:ascii="Traditional Arabic" w:hAnsi="Traditional Arabic" w:cs="Traditional Arabic"/>
              <w:noProof/>
              <w:sz w:val="28"/>
              <w:szCs w:val="28"/>
            </w:rPr>
            <w:t>(Al-Khudairi, 2024)</w:t>
          </w:r>
          <w:r w:rsidR="00B313FF">
            <w:rPr>
              <w:rFonts w:ascii="Traditional Arabic" w:hAnsi="Traditional Arabic" w:cs="Traditional Arabic"/>
              <w:sz w:val="28"/>
              <w:szCs w:val="28"/>
              <w:rtl/>
            </w:rPr>
            <w:fldChar w:fldCharType="end"/>
          </w:r>
        </w:sdtContent>
      </w:sdt>
      <w:r w:rsidRPr="00FD3729">
        <w:rPr>
          <w:rFonts w:ascii="Traditional Arabic" w:hAnsi="Traditional Arabic" w:cs="Traditional Arabic"/>
          <w:sz w:val="28"/>
          <w:szCs w:val="28"/>
          <w:rtl/>
        </w:rPr>
        <w:t>.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المملكة</w:t>
      </w:r>
      <w:r w:rsidR="00E94F1F">
        <w:rPr>
          <w:rFonts w:ascii="Traditional Arabic" w:hAnsi="Traditional Arabic" w:cs="Traditional Arabic" w:hint="cs"/>
          <w:sz w:val="28"/>
          <w:szCs w:val="28"/>
          <w:rtl/>
        </w:rPr>
        <w:t xml:space="preserve"> </w:t>
      </w:r>
      <w:r w:rsidR="00E94F1F">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xml:space="preserve">، يتمحور السؤال الرئيسي للدراسة حول فهم العلاقة بين القيادة الخادمة وسلوكيات </w:t>
      </w:r>
      <w:r w:rsidRPr="00AD5D94">
        <w:rPr>
          <w:rFonts w:ascii="Traditional Arabic" w:hAnsi="Traditional Arabic" w:cs="Traditional Arabic"/>
          <w:sz w:val="28"/>
          <w:szCs w:val="28"/>
          <w:rtl/>
        </w:rPr>
        <w:lastRenderedPageBreak/>
        <w:t>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05643200"/>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rsidP="00E94F1F">
      <w:pPr>
        <w:pStyle w:val="ListParagraph"/>
        <w:numPr>
          <w:ilvl w:val="0"/>
          <w:numId w:val="10"/>
        </w:numPr>
        <w:spacing w:line="360"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05643201"/>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7672D5C0" w:rsidR="00973EF0" w:rsidRDefault="00973EF0" w:rsidP="003D2B4D">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أن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w:t>
      </w:r>
      <w:r w:rsidRPr="00AD5D94">
        <w:rPr>
          <w:rFonts w:ascii="Traditional Arabic" w:hAnsi="Traditional Arabic" w:cs="Traditional Arabic"/>
          <w:sz w:val="28"/>
          <w:szCs w:val="28"/>
          <w:rtl/>
        </w:rPr>
        <w:lastRenderedPageBreak/>
        <w:t>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003D2B4D">
        <w:rPr>
          <w:rFonts w:ascii="Traditional Arabic" w:hAnsi="Traditional Arabic" w:cs="Traditional Arabic"/>
          <w:sz w:val="28"/>
          <w:szCs w:val="28"/>
        </w:rPr>
        <w:t>.</w:t>
      </w:r>
      <w:sdt>
        <w:sdtPr>
          <w:rPr>
            <w:rFonts w:ascii="Traditional Arabic" w:hAnsi="Traditional Arabic" w:cs="Traditional Arabic"/>
            <w:sz w:val="28"/>
            <w:szCs w:val="28"/>
            <w:rtl/>
          </w:rPr>
          <w:id w:val="-1285578356"/>
          <w:citation/>
        </w:sdtPr>
        <w:sdtContent>
          <w:r w:rsidR="003D2B4D">
            <w:rPr>
              <w:rFonts w:ascii="Traditional Arabic" w:hAnsi="Traditional Arabic" w:cs="Traditional Arabic"/>
              <w:sz w:val="28"/>
              <w:szCs w:val="28"/>
              <w:rtl/>
            </w:rPr>
            <w:fldChar w:fldCharType="begin"/>
          </w:r>
          <w:r w:rsidR="003D2B4D">
            <w:rPr>
              <w:rFonts w:ascii="Traditional Arabic" w:hAnsi="Traditional Arabic" w:cs="Traditional Arabic"/>
              <w:sz w:val="28"/>
              <w:szCs w:val="28"/>
            </w:rPr>
            <w:instrText xml:space="preserve"> CITATION Ham20 \l 1033 </w:instrText>
          </w:r>
          <w:r w:rsidR="003D2B4D">
            <w:rPr>
              <w:rFonts w:ascii="Traditional Arabic" w:hAnsi="Traditional Arabic" w:cs="Traditional Arabic"/>
              <w:sz w:val="28"/>
              <w:szCs w:val="28"/>
              <w:rtl/>
            </w:rPr>
            <w:fldChar w:fldCharType="separate"/>
          </w:r>
          <w:r w:rsidR="003D2B4D" w:rsidRPr="003D2B4D">
            <w:rPr>
              <w:rFonts w:ascii="Traditional Arabic" w:hAnsi="Traditional Arabic" w:cs="Traditional Arabic"/>
              <w:noProof/>
              <w:sz w:val="28"/>
              <w:szCs w:val="28"/>
            </w:rPr>
            <w:t>(Hamdan, 2020)</w:t>
          </w:r>
          <w:r w:rsidR="003D2B4D">
            <w:rPr>
              <w:rFonts w:ascii="Traditional Arabic" w:hAnsi="Traditional Arabic" w:cs="Traditional Arabic"/>
              <w:sz w:val="28"/>
              <w:szCs w:val="28"/>
              <w:rtl/>
            </w:rPr>
            <w:fldChar w:fldCharType="end"/>
          </w:r>
        </w:sdtContent>
      </w:sdt>
      <w:r w:rsidR="003D2B4D">
        <w:rPr>
          <w:rFonts w:ascii="Traditional Arabic" w:hAnsi="Traditional Arabic" w:cs="Traditional Arabic"/>
          <w:sz w:val="28"/>
          <w:szCs w:val="28"/>
        </w:rPr>
        <w:t xml:space="preserve"> </w:t>
      </w:r>
    </w:p>
    <w:p w14:paraId="481FB622" w14:textId="77777777" w:rsidR="00E94F1F" w:rsidRDefault="00E94F1F" w:rsidP="00973EF0">
      <w:pPr>
        <w:spacing w:after="0" w:line="360" w:lineRule="auto"/>
        <w:jc w:val="both"/>
        <w:rPr>
          <w:rFonts w:ascii="Traditional Arabic" w:hAnsi="Traditional Arabic" w:cs="Traditional Arabic"/>
          <w:sz w:val="28"/>
          <w:szCs w:val="28"/>
          <w:rtl/>
        </w:rPr>
      </w:pPr>
    </w:p>
    <w:p w14:paraId="6FAC0F41" w14:textId="77777777" w:rsidR="00E94F1F" w:rsidRPr="00AD5D94" w:rsidRDefault="00E94F1F" w:rsidP="00973EF0">
      <w:pPr>
        <w:spacing w:after="0" w:line="360" w:lineRule="auto"/>
        <w:jc w:val="both"/>
        <w:rPr>
          <w:rFonts w:ascii="Traditional Arabic" w:hAnsi="Traditional Arabic" w:cs="Traditional Arabic"/>
          <w:sz w:val="28"/>
          <w:szCs w:val="28"/>
          <w:rtl/>
        </w:rPr>
      </w:pPr>
    </w:p>
    <w:p w14:paraId="3C2C3A76"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النظرية</w:t>
      </w:r>
    </w:p>
    <w:p w14:paraId="07CB82E2" w14:textId="27F0F035"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007F2D96">
        <w:rPr>
          <w:rFonts w:ascii="Traditional Arabic" w:hAnsi="Traditional Arabic" w:cs="Traditional Arabic"/>
          <w:sz w:val="28"/>
          <w:szCs w:val="28"/>
        </w:rPr>
        <w:t>.</w:t>
      </w:r>
      <w:sdt>
        <w:sdtPr>
          <w:rPr>
            <w:rFonts w:ascii="Traditional Arabic" w:hAnsi="Traditional Arabic" w:cs="Traditional Arabic"/>
            <w:sz w:val="28"/>
            <w:szCs w:val="28"/>
            <w:rtl/>
          </w:rPr>
          <w:id w:val="1677915221"/>
          <w:citation/>
        </w:sdtPr>
        <w:sdtContent>
          <w:r w:rsidR="007F2D96">
            <w:rPr>
              <w:rFonts w:ascii="Traditional Arabic" w:hAnsi="Traditional Arabic" w:cs="Traditional Arabic"/>
              <w:sz w:val="28"/>
              <w:szCs w:val="28"/>
              <w:rtl/>
            </w:rPr>
            <w:fldChar w:fldCharType="begin"/>
          </w:r>
          <w:r w:rsidR="007F2D96">
            <w:rPr>
              <w:rFonts w:ascii="Traditional Arabic" w:hAnsi="Traditional Arabic" w:cs="Traditional Arabic"/>
              <w:sz w:val="28"/>
              <w:szCs w:val="28"/>
            </w:rPr>
            <w:instrText xml:space="preserve"> CITATION Bav20 \l 1033 </w:instrText>
          </w:r>
          <w:r w:rsidR="007F2D96">
            <w:rPr>
              <w:rFonts w:ascii="Traditional Arabic" w:hAnsi="Traditional Arabic" w:cs="Traditional Arabic"/>
              <w:sz w:val="28"/>
              <w:szCs w:val="28"/>
              <w:rtl/>
            </w:rPr>
            <w:fldChar w:fldCharType="separate"/>
          </w:r>
          <w:r w:rsidR="007F2D96">
            <w:rPr>
              <w:rFonts w:ascii="Traditional Arabic" w:hAnsi="Traditional Arabic" w:cs="Traditional Arabic"/>
              <w:noProof/>
              <w:sz w:val="28"/>
              <w:szCs w:val="28"/>
            </w:rPr>
            <w:t xml:space="preserve"> </w:t>
          </w:r>
          <w:r w:rsidR="007F2D96" w:rsidRPr="007F2D96">
            <w:rPr>
              <w:rFonts w:ascii="Traditional Arabic" w:hAnsi="Traditional Arabic" w:cs="Traditional Arabic"/>
              <w:noProof/>
              <w:sz w:val="28"/>
              <w:szCs w:val="28"/>
            </w:rPr>
            <w:t>(Bavik, 2020)</w:t>
          </w:r>
          <w:r w:rsidR="007F2D96">
            <w:rPr>
              <w:rFonts w:ascii="Traditional Arabic" w:hAnsi="Traditional Arabic" w:cs="Traditional Arabic"/>
              <w:sz w:val="28"/>
              <w:szCs w:val="28"/>
              <w:rtl/>
            </w:rPr>
            <w:fldChar w:fldCharType="end"/>
          </w:r>
        </w:sdtContent>
      </w:sdt>
      <w:r w:rsidR="007F2D96">
        <w:rPr>
          <w:rFonts w:ascii="Traditional Arabic" w:hAnsi="Traditional Arabic" w:cs="Traditional Arabic"/>
          <w:sz w:val="28"/>
          <w:szCs w:val="28"/>
        </w:rPr>
        <w:t xml:space="preserve"> </w:t>
      </w:r>
    </w:p>
    <w:p w14:paraId="2568CC8E" w14:textId="47557B75"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00A24993">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589276423"/>
          <w:citation/>
        </w:sdtPr>
        <w:sdtContent>
          <w:r w:rsidR="00A24993">
            <w:rPr>
              <w:rFonts w:ascii="Traditional Arabic" w:hAnsi="Traditional Arabic" w:cs="Traditional Arabic"/>
              <w:sz w:val="28"/>
              <w:szCs w:val="28"/>
              <w:rtl/>
            </w:rPr>
            <w:fldChar w:fldCharType="begin"/>
          </w:r>
          <w:r w:rsidR="00A24993">
            <w:rPr>
              <w:rFonts w:ascii="Traditional Arabic" w:hAnsi="Traditional Arabic" w:cs="Traditional Arabic"/>
              <w:sz w:val="28"/>
              <w:szCs w:val="28"/>
            </w:rPr>
            <w:instrText xml:space="preserve"> CITATION Che25 \l 1033 </w:instrText>
          </w:r>
          <w:r w:rsidR="00A24993">
            <w:rPr>
              <w:rFonts w:ascii="Traditional Arabic" w:hAnsi="Traditional Arabic" w:cs="Traditional Arabic"/>
              <w:sz w:val="28"/>
              <w:szCs w:val="28"/>
              <w:rtl/>
            </w:rPr>
            <w:fldChar w:fldCharType="separate"/>
          </w:r>
          <w:r w:rsidR="00A24993" w:rsidRPr="00A24993">
            <w:rPr>
              <w:rFonts w:ascii="Traditional Arabic" w:hAnsi="Traditional Arabic" w:cs="Traditional Arabic"/>
              <w:noProof/>
              <w:sz w:val="28"/>
              <w:szCs w:val="28"/>
            </w:rPr>
            <w:t>(Chen, 2025)</w:t>
          </w:r>
          <w:r w:rsidR="00A24993">
            <w:rPr>
              <w:rFonts w:ascii="Traditional Arabic" w:hAnsi="Traditional Arabic" w:cs="Traditional Arabic"/>
              <w:sz w:val="28"/>
              <w:szCs w:val="28"/>
              <w:rtl/>
            </w:rPr>
            <w:fldChar w:fldCharType="end"/>
          </w:r>
        </w:sdtContent>
      </w:sdt>
      <w:r w:rsidR="00A24993">
        <w:rPr>
          <w:rFonts w:ascii="Traditional Arabic" w:hAnsi="Traditional Arabic" w:cs="Traditional Arabic"/>
          <w:sz w:val="28"/>
          <w:szCs w:val="28"/>
        </w:rPr>
        <w:t xml:space="preserve"> </w:t>
      </w:r>
    </w:p>
    <w:p w14:paraId="407C1CC2" w14:textId="435D17DF"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w:t>
      </w:r>
      <w:r w:rsidR="00BB29AC">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88756727"/>
          <w:citation/>
        </w:sdtPr>
        <w:sdtContent>
          <w:r w:rsidR="00BB29AC">
            <w:rPr>
              <w:rFonts w:ascii="Traditional Arabic" w:hAnsi="Traditional Arabic" w:cs="Traditional Arabic"/>
              <w:sz w:val="28"/>
              <w:szCs w:val="28"/>
              <w:rtl/>
            </w:rPr>
            <w:fldChar w:fldCharType="begin"/>
          </w:r>
          <w:r w:rsidR="00BB29AC">
            <w:rPr>
              <w:rFonts w:ascii="Traditional Arabic" w:hAnsi="Traditional Arabic" w:cs="Traditional Arabic"/>
              <w:sz w:val="28"/>
              <w:szCs w:val="28"/>
            </w:rPr>
            <w:instrText xml:space="preserve"> CITATION Lid25 \l 1033 </w:instrText>
          </w:r>
          <w:r w:rsidR="00BB29AC">
            <w:rPr>
              <w:rFonts w:ascii="Traditional Arabic" w:hAnsi="Traditional Arabic" w:cs="Traditional Arabic"/>
              <w:sz w:val="28"/>
              <w:szCs w:val="28"/>
              <w:rtl/>
            </w:rPr>
            <w:fldChar w:fldCharType="separate"/>
          </w:r>
          <w:r w:rsidR="00BB29AC" w:rsidRPr="00BB29AC">
            <w:rPr>
              <w:rFonts w:ascii="Traditional Arabic" w:hAnsi="Traditional Arabic" w:cs="Traditional Arabic"/>
              <w:noProof/>
              <w:sz w:val="28"/>
              <w:szCs w:val="28"/>
            </w:rPr>
            <w:t>(Liden, 2025)</w:t>
          </w:r>
          <w:r w:rsidR="00BB29AC">
            <w:rPr>
              <w:rFonts w:ascii="Traditional Arabic" w:hAnsi="Traditional Arabic" w:cs="Traditional Arabic"/>
              <w:sz w:val="28"/>
              <w:szCs w:val="28"/>
              <w:rtl/>
            </w:rPr>
            <w:fldChar w:fldCharType="end"/>
          </w:r>
        </w:sdtContent>
      </w:sdt>
      <w:r w:rsidR="00BB29AC">
        <w:rPr>
          <w:rFonts w:ascii="Traditional Arabic" w:hAnsi="Traditional Arabic" w:cs="Traditional Arabic" w:hint="cs"/>
          <w:sz w:val="28"/>
          <w:szCs w:val="28"/>
          <w:rtl/>
        </w:rPr>
        <w:t>.</w:t>
      </w:r>
      <w:r w:rsidRPr="00AD5D94">
        <w:rPr>
          <w:rFonts w:ascii="Traditional Arabic" w:hAnsi="Traditional Arabic" w:cs="Traditional Arabic"/>
          <w:sz w:val="28"/>
          <w:szCs w:val="28"/>
          <w:rtl/>
        </w:rPr>
        <w:t xml:space="preserve"> </w:t>
      </w:r>
    </w:p>
    <w:p w14:paraId="746808A7"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5EE21E46"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w:t>
      </w:r>
      <w:r w:rsidRPr="00AD5D94">
        <w:rPr>
          <w:rFonts w:ascii="Traditional Arabic" w:hAnsi="Traditional Arabic" w:cs="Traditional Arabic"/>
          <w:sz w:val="28"/>
          <w:szCs w:val="28"/>
          <w:rtl/>
        </w:rPr>
        <w:lastRenderedPageBreak/>
        <w:t>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00AD23F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77517121"/>
          <w:citation/>
        </w:sdtPr>
        <w:sdtContent>
          <w:r w:rsidR="00AD23F7">
            <w:rPr>
              <w:rFonts w:ascii="Traditional Arabic" w:hAnsi="Traditional Arabic" w:cs="Traditional Arabic"/>
              <w:sz w:val="28"/>
              <w:szCs w:val="28"/>
              <w:rtl/>
            </w:rPr>
            <w:fldChar w:fldCharType="begin"/>
          </w:r>
          <w:r w:rsidR="00AD23F7">
            <w:rPr>
              <w:rFonts w:ascii="Traditional Arabic" w:hAnsi="Traditional Arabic" w:cs="Traditional Arabic"/>
              <w:sz w:val="28"/>
              <w:szCs w:val="28"/>
            </w:rPr>
            <w:instrText xml:space="preserve"> CITATION Bat21 \l 1033 </w:instrText>
          </w:r>
          <w:r w:rsidR="00AD23F7">
            <w:rPr>
              <w:rFonts w:ascii="Traditional Arabic" w:hAnsi="Traditional Arabic" w:cs="Traditional Arabic"/>
              <w:sz w:val="28"/>
              <w:szCs w:val="28"/>
              <w:rtl/>
            </w:rPr>
            <w:fldChar w:fldCharType="separate"/>
          </w:r>
          <w:r w:rsidR="00AD23F7" w:rsidRPr="00AD23F7">
            <w:rPr>
              <w:rFonts w:ascii="Traditional Arabic" w:hAnsi="Traditional Arabic" w:cs="Traditional Arabic"/>
              <w:noProof/>
              <w:sz w:val="28"/>
              <w:szCs w:val="28"/>
            </w:rPr>
            <w:t>(Batool, 2021)</w:t>
          </w:r>
          <w:r w:rsidR="00AD23F7">
            <w:rPr>
              <w:rFonts w:ascii="Traditional Arabic" w:hAnsi="Traditional Arabic" w:cs="Traditional Arabic"/>
              <w:sz w:val="28"/>
              <w:szCs w:val="28"/>
              <w:rtl/>
            </w:rPr>
            <w:fldChar w:fldCharType="end"/>
          </w:r>
        </w:sdtContent>
      </w:sdt>
      <w:r w:rsidR="00AD23F7">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4775FE66" w14:textId="5E8EE4A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00323812">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58264089"/>
          <w:citation/>
        </w:sdtPr>
        <w:sdtContent>
          <w:r w:rsidR="00323812">
            <w:rPr>
              <w:rFonts w:ascii="Traditional Arabic" w:hAnsi="Traditional Arabic" w:cs="Traditional Arabic"/>
              <w:sz w:val="28"/>
              <w:szCs w:val="28"/>
              <w:rtl/>
            </w:rPr>
            <w:fldChar w:fldCharType="begin"/>
          </w:r>
          <w:r w:rsidR="00323812">
            <w:rPr>
              <w:rFonts w:ascii="Traditional Arabic" w:hAnsi="Traditional Arabic" w:cs="Traditional Arabic"/>
              <w:sz w:val="28"/>
              <w:szCs w:val="28"/>
            </w:rPr>
            <w:instrText xml:space="preserve"> CITATION Tan23 \l 1033 </w:instrText>
          </w:r>
          <w:r w:rsidR="00323812">
            <w:rPr>
              <w:rFonts w:ascii="Traditional Arabic" w:hAnsi="Traditional Arabic" w:cs="Traditional Arabic"/>
              <w:sz w:val="28"/>
              <w:szCs w:val="28"/>
              <w:rtl/>
            </w:rPr>
            <w:fldChar w:fldCharType="separate"/>
          </w:r>
          <w:r w:rsidR="00323812" w:rsidRPr="00323812">
            <w:rPr>
              <w:rFonts w:ascii="Traditional Arabic" w:hAnsi="Traditional Arabic" w:cs="Traditional Arabic"/>
              <w:noProof/>
              <w:sz w:val="28"/>
              <w:szCs w:val="28"/>
            </w:rPr>
            <w:t>(Tanuwijaya, 2023)</w:t>
          </w:r>
          <w:r w:rsidR="00323812">
            <w:rPr>
              <w:rFonts w:ascii="Traditional Arabic" w:hAnsi="Traditional Arabic" w:cs="Traditional Arabic"/>
              <w:sz w:val="28"/>
              <w:szCs w:val="28"/>
              <w:rtl/>
            </w:rPr>
            <w:fldChar w:fldCharType="end"/>
          </w:r>
        </w:sdtContent>
      </w:sdt>
      <w:r w:rsidR="00323812">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14AD62AD" w14:textId="2836B88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w:t>
      </w:r>
      <w:r w:rsidR="00AF527E">
        <w:rPr>
          <w:rFonts w:ascii="Traditional Arabic" w:hAnsi="Traditional Arabic" w:cs="Traditional Arabic"/>
          <w:sz w:val="28"/>
          <w:szCs w:val="28"/>
        </w:rPr>
        <w:t>.</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05643202"/>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rsidP="00973EF0">
      <w:pPr>
        <w:pStyle w:val="ListParagraph"/>
        <w:numPr>
          <w:ilvl w:val="0"/>
          <w:numId w:val="1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lastRenderedPageBreak/>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05643203"/>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rsidP="00973EF0">
      <w:pPr>
        <w:numPr>
          <w:ilvl w:val="0"/>
          <w:numId w:val="1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594632D0" w14:textId="77777777" w:rsidR="00E94F1F" w:rsidRDefault="00E94F1F"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05643204"/>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16AEDD04"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عملهم</w:t>
      </w:r>
      <w:r w:rsidR="00E7268A">
        <w:rPr>
          <w:rFonts w:ascii="Traditional Arabic" w:hAnsi="Traditional Arabic" w:cs="Traditional Arabic"/>
          <w:sz w:val="28"/>
          <w:szCs w:val="28"/>
        </w:rPr>
        <w:t>.</w:t>
      </w:r>
      <w:sdt>
        <w:sdtPr>
          <w:rPr>
            <w:rFonts w:ascii="Traditional Arabic" w:hAnsi="Traditional Arabic" w:cs="Traditional Arabic"/>
            <w:sz w:val="28"/>
            <w:szCs w:val="28"/>
            <w:rtl/>
          </w:rPr>
          <w:id w:val="-1679503652"/>
          <w:citation/>
        </w:sdtPr>
        <w:sdtContent>
          <w:r w:rsidR="00E7268A">
            <w:rPr>
              <w:rFonts w:ascii="Traditional Arabic" w:hAnsi="Traditional Arabic" w:cs="Traditional Arabic"/>
              <w:sz w:val="28"/>
              <w:szCs w:val="28"/>
              <w:rtl/>
            </w:rPr>
            <w:fldChar w:fldCharType="begin"/>
          </w:r>
          <w:r w:rsidR="00E7268A">
            <w:rPr>
              <w:rFonts w:ascii="Traditional Arabic" w:hAnsi="Traditional Arabic" w:cs="Traditional Arabic"/>
              <w:sz w:val="28"/>
              <w:szCs w:val="28"/>
            </w:rPr>
            <w:instrText xml:space="preserve"> CITATION Agu23 \l 1033 </w:instrText>
          </w:r>
          <w:r w:rsidR="00E7268A">
            <w:rPr>
              <w:rFonts w:ascii="Traditional Arabic" w:hAnsi="Traditional Arabic" w:cs="Traditional Arabic"/>
              <w:sz w:val="28"/>
              <w:szCs w:val="28"/>
              <w:rtl/>
            </w:rPr>
            <w:fldChar w:fldCharType="separate"/>
          </w:r>
          <w:r w:rsidR="00E7268A" w:rsidRPr="00E7268A">
            <w:rPr>
              <w:rFonts w:ascii="Traditional Arabic" w:hAnsi="Traditional Arabic" w:cs="Traditional Arabic"/>
              <w:noProof/>
              <w:sz w:val="28"/>
              <w:szCs w:val="28"/>
            </w:rPr>
            <w:t>(Agusta, 2023)</w:t>
          </w:r>
          <w:r w:rsidR="00E7268A">
            <w:rPr>
              <w:rFonts w:ascii="Traditional Arabic" w:hAnsi="Traditional Arabic" w:cs="Traditional Arabic"/>
              <w:sz w:val="28"/>
              <w:szCs w:val="28"/>
              <w:rtl/>
            </w:rPr>
            <w:fldChar w:fldCharType="end"/>
          </w:r>
        </w:sdtContent>
      </w:sdt>
    </w:p>
    <w:p w14:paraId="690AC96B" w14:textId="77777777"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225DB03B" w:rsidR="00973EF0" w:rsidRPr="00AD5D94" w:rsidRDefault="00973EF0" w:rsidP="00973EF0">
      <w:pPr>
        <w:numPr>
          <w:ilvl w:val="0"/>
          <w:numId w:val="6"/>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00AF527E">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0F005AE8" w14:textId="4CCAF7E1" w:rsidR="00110DEB"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التعريف الإجرائي</w:t>
      </w:r>
      <w:r w:rsidRPr="00110DEB">
        <w:rPr>
          <w:rFonts w:ascii="Traditional Arabic" w:hAnsi="Traditional Arabic" w:cs="Traditional Arabic"/>
          <w:sz w:val="28"/>
          <w:szCs w:val="28"/>
          <w:lang w:bidi="ar-EG"/>
        </w:rPr>
        <w:t>:</w:t>
      </w:r>
      <w:r w:rsidRPr="00110DEB">
        <w:rPr>
          <w:rFonts w:ascii="Traditional Arabic" w:hAnsi="Traditional Arabic" w:cs="Traditional Arabic"/>
          <w:sz w:val="28"/>
          <w:szCs w:val="28"/>
          <w:rtl/>
          <w:lang w:bidi="ar-EG"/>
        </w:rPr>
        <w:t xml:space="preserve"> في</w:t>
      </w:r>
      <w:r w:rsidRPr="00110DEB">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00110DEB" w:rsidRPr="00110DEB">
        <w:rPr>
          <w:rFonts w:ascii="Traditional Arabic" w:hAnsi="Traditional Arabic" w:cs="Traditional Arabic"/>
          <w:b/>
          <w:bCs/>
          <w:sz w:val="28"/>
          <w:szCs w:val="28"/>
          <w:lang w:bidi="ar-EG"/>
        </w:rPr>
        <w:t>.</w:t>
      </w:r>
      <w:r w:rsidR="00110DEB">
        <w:rPr>
          <w:rFonts w:ascii="Traditional Arabic" w:hAnsi="Traditional Arabic" w:cs="Traditional Arabic"/>
          <w:b/>
          <w:bCs/>
          <w:sz w:val="28"/>
          <w:szCs w:val="28"/>
          <w:lang w:bidi="ar-EG"/>
        </w:rPr>
        <w:t xml:space="preserve">  </w:t>
      </w:r>
      <w:sdt>
        <w:sdtPr>
          <w:rPr>
            <w:rFonts w:ascii="Traditional Arabic" w:hAnsi="Traditional Arabic" w:cs="Traditional Arabic"/>
            <w:b/>
            <w:bCs/>
            <w:sz w:val="28"/>
            <w:szCs w:val="28"/>
            <w:rtl/>
            <w:lang w:bidi="ar-EG"/>
          </w:rPr>
          <w:id w:val="1851055434"/>
          <w:citation/>
        </w:sdtPr>
        <w:sdtContent>
          <w:r w:rsidR="00110DEB">
            <w:rPr>
              <w:rFonts w:ascii="Traditional Arabic" w:hAnsi="Traditional Arabic" w:cs="Traditional Arabic"/>
              <w:b/>
              <w:bCs/>
              <w:sz w:val="28"/>
              <w:szCs w:val="28"/>
              <w:rtl/>
              <w:lang w:bidi="ar-EG"/>
            </w:rPr>
            <w:fldChar w:fldCharType="begin"/>
          </w:r>
          <w:r w:rsidR="00110DEB">
            <w:rPr>
              <w:rFonts w:ascii="Traditional Arabic" w:hAnsi="Traditional Arabic" w:cs="Traditional Arabic"/>
              <w:b/>
              <w:bCs/>
              <w:sz w:val="28"/>
              <w:szCs w:val="28"/>
              <w:lang w:bidi="ar-EG"/>
            </w:rPr>
            <w:instrText xml:space="preserve"> CITATION Ori24 \l 1033 </w:instrText>
          </w:r>
          <w:r w:rsidR="00110DEB">
            <w:rPr>
              <w:rFonts w:ascii="Traditional Arabic" w:hAnsi="Traditional Arabic" w:cs="Traditional Arabic"/>
              <w:b/>
              <w:bCs/>
              <w:sz w:val="28"/>
              <w:szCs w:val="28"/>
              <w:rtl/>
              <w:lang w:bidi="ar-EG"/>
            </w:rPr>
            <w:fldChar w:fldCharType="separate"/>
          </w:r>
          <w:r w:rsidR="00110DEB" w:rsidRPr="00110DEB">
            <w:rPr>
              <w:rFonts w:ascii="Traditional Arabic" w:hAnsi="Traditional Arabic" w:cs="Traditional Arabic"/>
              <w:noProof/>
              <w:sz w:val="28"/>
              <w:szCs w:val="28"/>
              <w:lang w:bidi="ar-EG"/>
            </w:rPr>
            <w:t>(Orishede, 2024)</w:t>
          </w:r>
          <w:r w:rsidR="00110DEB">
            <w:rPr>
              <w:rFonts w:ascii="Traditional Arabic" w:hAnsi="Traditional Arabic" w:cs="Traditional Arabic"/>
              <w:b/>
              <w:bCs/>
              <w:sz w:val="28"/>
              <w:szCs w:val="28"/>
              <w:rtl/>
              <w:lang w:bidi="ar-EG"/>
            </w:rPr>
            <w:fldChar w:fldCharType="end"/>
          </w:r>
        </w:sdtContent>
      </w:sdt>
      <w:r w:rsidR="00110DEB">
        <w:rPr>
          <w:rFonts w:ascii="Traditional Arabic" w:hAnsi="Traditional Arabic" w:cs="Traditional Arabic"/>
          <w:b/>
          <w:bCs/>
          <w:sz w:val="28"/>
          <w:szCs w:val="28"/>
          <w:lang w:bidi="ar-EG"/>
        </w:rPr>
        <w:t xml:space="preserve">  </w:t>
      </w:r>
    </w:p>
    <w:p w14:paraId="1834E71E" w14:textId="32DACD3D" w:rsidR="00973EF0"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الشركات الصناعية السعودية</w:t>
      </w:r>
    </w:p>
    <w:p w14:paraId="671CDA92" w14:textId="3D222ECE" w:rsidR="00973EF0" w:rsidRPr="006C0787" w:rsidRDefault="00973EF0" w:rsidP="006C0787">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lastRenderedPageBreak/>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الصناعات التي تساهم في الاقتصاد الوطني. هذه الشركات تركز على توفير السلع والخدمات التي تلبي </w:t>
      </w:r>
      <w:r w:rsidRPr="006C0787">
        <w:rPr>
          <w:rFonts w:ascii="Traditional Arabic" w:hAnsi="Traditional Arabic" w:cs="Traditional Arabic"/>
          <w:sz w:val="28"/>
          <w:szCs w:val="28"/>
          <w:rtl/>
        </w:rPr>
        <w:t>احتياجات السوق المحلي والدولي</w:t>
      </w:r>
      <w:r w:rsidR="00AF527E" w:rsidRPr="006C0787">
        <w:rPr>
          <w:rFonts w:ascii="Traditional Arabic" w:hAnsi="Traditional Arabic" w:cs="Traditional Arabic"/>
          <w:sz w:val="28"/>
          <w:szCs w:val="28"/>
        </w:rPr>
        <w:t>.</w:t>
      </w:r>
      <w:r w:rsidRPr="006C0787">
        <w:rPr>
          <w:rFonts w:ascii="Traditional Arabic" w:hAnsi="Traditional Arabic" w:cs="Traditional Arabic"/>
          <w:sz w:val="28"/>
          <w:szCs w:val="28"/>
          <w:rtl/>
          <w:lang w:bidi="ar-EG"/>
        </w:rPr>
        <w:t xml:space="preserve"> </w:t>
      </w:r>
    </w:p>
    <w:p w14:paraId="58FA00BC" w14:textId="4F8F0815" w:rsidR="00973EF0" w:rsidRPr="00AD5D94" w:rsidRDefault="00973EF0" w:rsidP="00973EF0">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822778008"/>
          <w:citation/>
        </w:sdtPr>
        <w:sdtContent>
          <w:r w:rsidR="006C0787">
            <w:rPr>
              <w:rFonts w:ascii="Traditional Arabic" w:hAnsi="Traditional Arabic" w:cs="Traditional Arabic"/>
              <w:sz w:val="28"/>
              <w:szCs w:val="28"/>
              <w:rtl/>
              <w:lang w:bidi="ar-EG"/>
            </w:rPr>
            <w:fldChar w:fldCharType="begin"/>
          </w:r>
          <w:r w:rsidR="006C0787">
            <w:rPr>
              <w:rFonts w:ascii="Traditional Arabic" w:hAnsi="Traditional Arabic" w:cs="Traditional Arabic"/>
              <w:sz w:val="28"/>
              <w:szCs w:val="28"/>
              <w:lang w:bidi="ar-EG"/>
            </w:rPr>
            <w:instrText xml:space="preserve"> CITATION Alj24 \l 1033 </w:instrText>
          </w:r>
          <w:r w:rsidR="006C0787">
            <w:rPr>
              <w:rFonts w:ascii="Traditional Arabic" w:hAnsi="Traditional Arabic" w:cs="Traditional Arabic"/>
              <w:sz w:val="28"/>
              <w:szCs w:val="28"/>
              <w:rtl/>
              <w:lang w:bidi="ar-EG"/>
            </w:rPr>
            <w:fldChar w:fldCharType="separate"/>
          </w:r>
          <w:r w:rsidR="006C0787">
            <w:rPr>
              <w:rFonts w:ascii="Traditional Arabic" w:hAnsi="Traditional Arabic" w:cs="Traditional Arabic"/>
              <w:noProof/>
              <w:sz w:val="28"/>
              <w:szCs w:val="28"/>
              <w:lang w:bidi="ar-EG"/>
            </w:rPr>
            <w:t xml:space="preserve"> </w:t>
          </w:r>
          <w:r w:rsidR="006C0787" w:rsidRPr="006C0787">
            <w:rPr>
              <w:rFonts w:ascii="Traditional Arabic" w:hAnsi="Traditional Arabic" w:cs="Traditional Arabic"/>
              <w:noProof/>
              <w:sz w:val="28"/>
              <w:szCs w:val="28"/>
              <w:lang w:bidi="ar-EG"/>
            </w:rPr>
            <w:t>(Aljuaid, 2024)</w:t>
          </w:r>
          <w:r w:rsidR="006C0787">
            <w:rPr>
              <w:rFonts w:ascii="Traditional Arabic" w:hAnsi="Traditional Arabic" w:cs="Traditional Arabic"/>
              <w:sz w:val="28"/>
              <w:szCs w:val="28"/>
              <w:rtl/>
              <w:lang w:bidi="ar-EG"/>
            </w:rPr>
            <w:fldChar w:fldCharType="end"/>
          </w:r>
        </w:sdtContent>
      </w:sdt>
      <w:r w:rsidR="006C0787">
        <w:rPr>
          <w:rFonts w:ascii="Traditional Arabic" w:hAnsi="Traditional Arabic" w:cs="Traditional Arabic"/>
          <w:sz w:val="28"/>
          <w:szCs w:val="28"/>
          <w:lang w:bidi="ar-EG"/>
        </w:rPr>
        <w:t xml:space="preserve"> </w:t>
      </w:r>
    </w:p>
    <w:p w14:paraId="09FB0324"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3A96E19A"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lang w:bidi="ar-EG"/>
        </w:rPr>
        <w:t>.</w:t>
      </w:r>
    </w:p>
    <w:p w14:paraId="0790A9BB" w14:textId="77777777"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05643205"/>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lastRenderedPageBreak/>
        <w:t>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 xml:space="preserve">إلا أن هذه الحدود المكانية قد تُعد قيداً على تعميم النتائج، إذ إن خصائص البيئة الصناعية السعودية قد تختلف عن غيرها من البيئات </w:t>
      </w:r>
      <w:r w:rsidRPr="00296FA1">
        <w:rPr>
          <w:rFonts w:ascii="Traditional Arabic" w:hAnsi="Traditional Arabic" w:cs="Traditional Arabic"/>
          <w:sz w:val="28"/>
          <w:szCs w:val="28"/>
          <w:rtl/>
        </w:rPr>
        <w:lastRenderedPageBreak/>
        <w:t>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05643206"/>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05643207"/>
      <w:r w:rsidRPr="000F75B9">
        <w:rPr>
          <w:rFonts w:ascii="Traditional Arabic" w:hAnsi="Traditional Arabic" w:cs="Traditional Arabic"/>
          <w:b/>
          <w:bCs/>
          <w:color w:val="auto"/>
          <w:rtl/>
          <w:lang w:bidi="ar-EG"/>
        </w:rPr>
        <w:t>المعالجات الإحصائية:</w:t>
      </w:r>
      <w:bookmarkEnd w:id="10"/>
      <w:bookmarkEnd w:id="11"/>
    </w:p>
    <w:p w14:paraId="68F93811" w14:textId="2B89DA7A" w:rsidR="00A22405" w:rsidRDefault="00A22405" w:rsidP="00A22405">
      <w:pPr>
        <w:spacing w:line="360" w:lineRule="auto"/>
        <w:jc w:val="both"/>
        <w:rPr>
          <w:rFonts w:ascii="Traditional Arabic" w:hAnsi="Traditional Arabic" w:cs="Traditional Arabic"/>
          <w:sz w:val="28"/>
          <w:szCs w:val="28"/>
        </w:rPr>
      </w:pPr>
      <w:r w:rsidRPr="00A22405">
        <w:rPr>
          <w:rFonts w:ascii="Traditional Arabic" w:hAnsi="Traditional Arabic" w:cs="Traditional Arabic"/>
          <w:sz w:val="28"/>
          <w:szCs w:val="28"/>
          <w:rtl/>
        </w:rPr>
        <w:t>بعد جمع البيانات من أفراد العينة باستخدام استبانة مغلقة تعتمد على مقياس ليكرت الخماسي، سيتم تحليلها باستخدام أحد البرامج الإحصائية المناسبة مثل</w:t>
      </w:r>
      <w:r w:rsidRPr="00A22405">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22405">
        <w:rPr>
          <w:rFonts w:ascii="Traditional Arabic" w:hAnsi="Traditional Arabic" w:cs="Traditional Arabic"/>
          <w:sz w:val="28"/>
          <w:szCs w:val="28"/>
        </w:rPr>
        <w:t xml:space="preserve">SPSS </w:t>
      </w:r>
      <w:r w:rsidRPr="00A22405">
        <w:rPr>
          <w:rFonts w:ascii="Traditional Arabic" w:hAnsi="Traditional Arabic" w:cs="Traditional Arabic"/>
          <w:sz w:val="28"/>
          <w:szCs w:val="28"/>
          <w:rtl/>
        </w:rPr>
        <w:t>يتضمن التحليل الإحصائي تطبيق الأساليب التوصيفية لاستخلاص الخصائص العامة للبيانات كالمتوسطات والانحرافات المعيارية، إلى جانب استخدام التحليل الانحداري لاختبار الفرضيات وتحديد أثر القيادة الخادمة على سلوكيات المواطنة التنظيمية داخل الشركات الصناعية السعودية. تهدف هذه المعالجات إلى تقديم نتائج علمية دقيقة تعكس العلاقة بين المتغيرات محل الدراسة</w:t>
      </w:r>
      <w:r w:rsidRPr="00A22405">
        <w:rPr>
          <w:rFonts w:ascii="Traditional Arabic" w:hAnsi="Traditional Arabic" w:cs="Traditional Arabic"/>
          <w:sz w:val="28"/>
          <w:szCs w:val="28"/>
        </w:rPr>
        <w:t>.</w:t>
      </w:r>
    </w:p>
    <w:p w14:paraId="3FD31927" w14:textId="77777777" w:rsidR="00A22405" w:rsidRPr="00A22405" w:rsidRDefault="00A22405" w:rsidP="00A22405">
      <w:pPr>
        <w:spacing w:after="0" w:line="360" w:lineRule="auto"/>
        <w:jc w:val="both"/>
        <w:rPr>
          <w:rFonts w:ascii="Traditional Arabic" w:hAnsi="Traditional Arabic" w:cs="Traditional Arabic"/>
          <w:sz w:val="28"/>
          <w:szCs w:val="28"/>
        </w:rPr>
      </w:pPr>
    </w:p>
    <w:p w14:paraId="38FB32CC" w14:textId="77777777" w:rsidR="00A22405" w:rsidRPr="00A22405" w:rsidRDefault="00A22405" w:rsidP="00A22405">
      <w:pPr>
        <w:pStyle w:val="Heading1"/>
        <w:bidi/>
        <w:spacing w:before="0" w:line="360" w:lineRule="auto"/>
        <w:rPr>
          <w:rFonts w:ascii="Simplified Arabic" w:hAnsi="Simplified Arabic" w:cs="Simplified Arabic"/>
          <w:b/>
          <w:bCs/>
          <w:color w:val="auto"/>
          <w:sz w:val="28"/>
          <w:szCs w:val="28"/>
          <w:lang w:bidi="ar-EG"/>
        </w:rPr>
      </w:pPr>
      <w:bookmarkStart w:id="12" w:name="_Toc205643208"/>
      <w:r w:rsidRPr="00A22405">
        <w:rPr>
          <w:rFonts w:ascii="Simplified Arabic" w:hAnsi="Simplified Arabic" w:cs="Simplified Arabic"/>
          <w:b/>
          <w:bCs/>
          <w:color w:val="auto"/>
          <w:sz w:val="28"/>
          <w:szCs w:val="28"/>
          <w:rtl/>
        </w:rPr>
        <w:t>الأساليب الإحصائية المستخدمة</w:t>
      </w:r>
      <w:r w:rsidRPr="00A22405">
        <w:rPr>
          <w:rFonts w:ascii="Simplified Arabic" w:hAnsi="Simplified Arabic" w:cs="Simplified Arabic"/>
          <w:b/>
          <w:bCs/>
          <w:color w:val="auto"/>
          <w:sz w:val="28"/>
          <w:szCs w:val="28"/>
          <w:lang w:bidi="ar-EG"/>
        </w:rPr>
        <w:t>:</w:t>
      </w:r>
      <w:bookmarkEnd w:id="12"/>
    </w:p>
    <w:p w14:paraId="664FE9AD" w14:textId="22464DAC"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التحليل الوصفي</w:t>
      </w:r>
      <w:r w:rsidRPr="00B307AB">
        <w:rPr>
          <w:rFonts w:ascii="Traditional Arabic" w:hAnsi="Traditional Arabic" w:cs="Traditional Arabic"/>
          <w:sz w:val="28"/>
          <w:szCs w:val="28"/>
          <w:lang w:bidi="ar-EG"/>
        </w:rPr>
        <w:t>:</w:t>
      </w:r>
    </w:p>
    <w:p w14:paraId="2CAC5DD1" w14:textId="7177D5AD"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التحليل الوصفي للحصول على ملخص شامل لخصائص البيانات المُستقاة من عينة الدراسة. تشمل هذه الدراسة مقاييس النزعة المركزية، بما في ذلك المتوسط الحسابي والوسيط والمنوال، ومقاييس التشتت مثل الانحراف المعياري والمدى. يُساعد هذا التحليل في تحديد الاتجاهات والأنماط والتوزيعات الشاملة ضمن استجابات المشاركين. يُعدّ الإحصاء الوصفي مرحلةً أوليةً في إعداد البيانات قبل تطبيق اختبارات إحصائية أكثر تعقيدًا، مما يضمن فهمًا شاملًا لمجموعة البيانات وخلوها من أي شذوذ قبل إجراء التحليل الإحصائي الاستدلالي.</w:t>
      </w:r>
    </w:p>
    <w:p w14:paraId="6B97ECBF" w14:textId="2F8F5E5D"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تحليل الانحدار</w:t>
      </w:r>
      <w:r w:rsidRPr="00B307AB">
        <w:rPr>
          <w:rFonts w:ascii="Traditional Arabic" w:hAnsi="Traditional Arabic" w:cs="Traditional Arabic"/>
          <w:sz w:val="28"/>
          <w:szCs w:val="28"/>
          <w:lang w:bidi="ar-EG"/>
        </w:rPr>
        <w:t>:</w:t>
      </w:r>
    </w:p>
    <w:p w14:paraId="5AA62C8A"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تحليل الانحدار للتحقق من العلاقة بين متغير مستقل واحد أو أكثر والمتغير التابع. اختبرت هذه الدراسة الفرضيات المتعلقة بتأثير القيادة الخادمة على سلوكيات المواطنة التنظيمية. تُقيّم هذه الطريقة حجم العلاقات واتجاهها، ويمكنها التنبؤ بالقيم المستقبلية للمتغير التابع بناءً على المتغيرات المستقلة. تُنتج نماذج الانحدار، سواءً كانت بسيطة أو متعددة المتغيرات، نتائج مثل معامل التحديد (</w:t>
      </w:r>
      <w:r w:rsidRPr="00B307AB">
        <w:rPr>
          <w:rFonts w:ascii="Traditional Arabic" w:hAnsi="Traditional Arabic" w:cs="Traditional Arabic"/>
          <w:sz w:val="28"/>
          <w:szCs w:val="28"/>
          <w:lang w:bidi="ar-EG"/>
        </w:rPr>
        <w:t>R²</w:t>
      </w:r>
      <w:r w:rsidRPr="00B307AB">
        <w:rPr>
          <w:rFonts w:ascii="Traditional Arabic" w:hAnsi="Traditional Arabic" w:cs="Traditional Arabic"/>
          <w:sz w:val="28"/>
          <w:szCs w:val="28"/>
          <w:rtl/>
          <w:lang w:bidi="ar-EG"/>
        </w:rPr>
        <w:t>) ومعاملات بيتا، والتي توضح دور كل متغير مستقل في تفسير التغيرات في المتغير التابع.</w:t>
      </w:r>
    </w:p>
    <w:p w14:paraId="728FD7AB" w14:textId="2A23DF84"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اختبارات الموثوقية والصلاحية</w:t>
      </w:r>
      <w:r w:rsidRPr="00B307AB">
        <w:rPr>
          <w:rFonts w:ascii="Traditional Arabic" w:hAnsi="Traditional Arabic" w:cs="Traditional Arabic"/>
          <w:b/>
          <w:bCs/>
          <w:sz w:val="28"/>
          <w:szCs w:val="28"/>
          <w:lang w:bidi="ar-EG"/>
        </w:rPr>
        <w:t>:</w:t>
      </w:r>
    </w:p>
    <w:p w14:paraId="6F88A758"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للتأكد من جودة البيانات المُجمعة من خلال الاستبيان، أُجريت اختبارات الموثوقية والصلاحية. تتعلق الصلاحية بمدى دقة الأداة في قياس البنية المطلوبة، بينما تُشير الموثوقية إلى اتساق النتائج في بيئات متطابقة. استُخدم معامل ألفا كرونباخ لاختبار الاتساق الداخلي، حيث تُشير القيم الأعلى من 0.70 إلى موثوقية مُرضية. بالإضافة إلى ذلك، تم طلب آراء الخبراء لتحديد الصلاح الظاهري والمضموني. تُساعد هذه التقنيات في تأكيد جودة أداة القياس واتساقها، مما يُقلل من التحيز ويُعزز موثوقية نتائج الدراسة.</w:t>
      </w:r>
    </w:p>
    <w:p w14:paraId="767B4671" w14:textId="4A0133F4" w:rsidR="00B307AB" w:rsidRPr="00D20E93" w:rsidRDefault="00B307AB" w:rsidP="00D20E93">
      <w:pPr>
        <w:pStyle w:val="ListParagraph"/>
        <w:numPr>
          <w:ilvl w:val="0"/>
          <w:numId w:val="4"/>
        </w:numPr>
        <w:spacing w:line="360" w:lineRule="auto"/>
        <w:jc w:val="both"/>
        <w:rPr>
          <w:rFonts w:ascii="Traditional Arabic" w:hAnsi="Traditional Arabic" w:cs="Traditional Arabic"/>
          <w:b/>
          <w:bCs/>
          <w:sz w:val="28"/>
          <w:szCs w:val="28"/>
          <w:rtl/>
          <w:lang w:bidi="ar-EG"/>
        </w:rPr>
      </w:pPr>
      <w:r w:rsidRPr="00D20E93">
        <w:rPr>
          <w:rFonts w:ascii="Traditional Arabic" w:hAnsi="Traditional Arabic" w:cs="Traditional Arabic"/>
          <w:b/>
          <w:bCs/>
          <w:sz w:val="28"/>
          <w:szCs w:val="28"/>
          <w:rtl/>
          <w:lang w:bidi="ar-EG"/>
        </w:rPr>
        <w:lastRenderedPageBreak/>
        <w:t xml:space="preserve">استخدام برنامج </w:t>
      </w:r>
      <w:r w:rsidRPr="00D20E93">
        <w:rPr>
          <w:rFonts w:ascii="Traditional Arabic" w:hAnsi="Traditional Arabic" w:cs="Traditional Arabic"/>
          <w:b/>
          <w:bCs/>
          <w:sz w:val="28"/>
          <w:szCs w:val="28"/>
          <w:lang w:bidi="ar-EG"/>
        </w:rPr>
        <w:t>SPSS</w:t>
      </w:r>
      <w:r w:rsidRPr="00D20E93">
        <w:rPr>
          <w:rFonts w:ascii="Traditional Arabic" w:hAnsi="Traditional Arabic" w:cs="Traditional Arabic"/>
          <w:b/>
          <w:bCs/>
          <w:sz w:val="28"/>
          <w:szCs w:val="28"/>
          <w:rtl/>
          <w:lang w:bidi="ar-EG"/>
        </w:rPr>
        <w:t xml:space="preserve"> لتحليل البيانات</w:t>
      </w:r>
      <w:r w:rsidR="00D20E93" w:rsidRPr="00D20E93">
        <w:rPr>
          <w:rFonts w:ascii="Traditional Arabic" w:hAnsi="Traditional Arabic" w:cs="Traditional Arabic"/>
          <w:b/>
          <w:bCs/>
          <w:sz w:val="28"/>
          <w:szCs w:val="28"/>
          <w:lang w:bidi="ar-EG"/>
        </w:rPr>
        <w:t>:</w:t>
      </w:r>
    </w:p>
    <w:p w14:paraId="2F0C6125" w14:textId="1060F59D" w:rsidR="00A22405" w:rsidRDefault="00B307AB" w:rsidP="00B307AB">
      <w:pPr>
        <w:spacing w:line="360" w:lineRule="auto"/>
        <w:jc w:val="both"/>
        <w:rPr>
          <w:rFonts w:ascii="Traditional Arabic" w:hAnsi="Traditional Arabic" w:cs="Traditional Arabic"/>
          <w:sz w:val="28"/>
          <w:szCs w:val="28"/>
          <w:lang w:bidi="ar-EG"/>
        </w:rPr>
      </w:pPr>
      <w:r w:rsidRPr="00B307AB">
        <w:rPr>
          <w:rFonts w:ascii="Traditional Arabic" w:hAnsi="Traditional Arabic" w:cs="Traditional Arabic"/>
          <w:sz w:val="28"/>
          <w:szCs w:val="28"/>
          <w:rtl/>
          <w:lang w:bidi="ar-EG"/>
        </w:rPr>
        <w:t xml:space="preserve">تستخدم الدراسة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كأداة رئيسية لمعالجة البيانات الكمية وتقييمها. يتضمن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مجموعة واسعة من الإجراءات الإحصائية، بدءًا من الإحصاء الوصفي البسيط وصولًا إلى الاختبارات المعقدة مثل الانحدار والتحليل متعدد المتغيرات. تتيح واجهته سهلة الاستخدام إدخال البيانات وترميزها وتصنيفها، بالإضافة إلى إنشاء جداول ومخططات لعرض النتائج بوضوح. كما استُخدم البرنامج لإجراء اختبارات الموثوقية والصلاحية، مما يضمن دقة تحليل البيانات واستناده إلى أسس إحصائية سليمة. تُعزز هذه التقنية المنهجية بناء رؤى موثوقة تُسهم في التوصل إلى استنتاجات واقتراحات.</w:t>
      </w:r>
    </w:p>
    <w:p w14:paraId="39D89187" w14:textId="77777777" w:rsidR="00D20E93" w:rsidRPr="00A22405" w:rsidRDefault="00D20E93" w:rsidP="00B307AB">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3" w:name="_Toc205643209"/>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3"/>
    </w:p>
    <w:p w14:paraId="106750EE" w14:textId="3D74BE53"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أبعاد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16255947"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Default="00973EF0" w:rsidP="00AE6524">
      <w:pPr>
        <w:spacing w:after="0" w:line="360" w:lineRule="auto"/>
        <w:rPr>
          <w:b/>
          <w:bCs/>
          <w:u w:val="single"/>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bookmarkStart w:id="14" w:name="_Toc205643210" w:displacedByCustomXml="next"/>
    <w:sdt>
      <w:sdtPr>
        <w:rPr>
          <w:b/>
          <w:bCs/>
          <w:color w:val="auto"/>
          <w:sz w:val="32"/>
          <w:szCs w:val="32"/>
          <w:rtl/>
        </w:rPr>
        <w:id w:val="-636255072"/>
        <w:docPartObj>
          <w:docPartGallery w:val="Bibliographies"/>
          <w:docPartUnique/>
        </w:docPartObj>
      </w:sdtPr>
      <w:sdtEndPr>
        <w:rPr>
          <w:rFonts w:asciiTheme="minorHAnsi" w:eastAsiaTheme="minorHAnsi" w:hAnsiTheme="minorHAnsi" w:cstheme="minorBidi"/>
          <w:b w:val="0"/>
          <w:bCs w:val="0"/>
          <w:kern w:val="0"/>
          <w:sz w:val="22"/>
          <w:szCs w:val="22"/>
          <w14:ligatures w14:val="none"/>
        </w:rPr>
      </w:sdtEndPr>
      <w:sdtContent>
        <w:p w14:paraId="3AEDEAE6" w14:textId="58B098FE" w:rsidR="00E37B1C" w:rsidRPr="00892F61" w:rsidRDefault="00E37B1C" w:rsidP="00E37B1C">
          <w:pPr>
            <w:pStyle w:val="Heading1"/>
            <w:bidi/>
            <w:rPr>
              <w:rFonts w:hint="cs"/>
              <w:b/>
              <w:bCs/>
              <w:color w:val="auto"/>
              <w:sz w:val="32"/>
              <w:szCs w:val="32"/>
              <w:rtl/>
              <w:lang w:bidi="ar-EG"/>
            </w:rPr>
          </w:pPr>
          <w:r w:rsidRPr="00892F61">
            <w:rPr>
              <w:rFonts w:ascii="Traditional Arabic" w:hAnsi="Traditional Arabic" w:cs="Traditional Arabic"/>
              <w:b/>
              <w:bCs/>
              <w:color w:val="auto"/>
              <w:sz w:val="32"/>
              <w:szCs w:val="32"/>
              <w:rtl/>
              <w:lang w:bidi="ar-EG"/>
            </w:rPr>
            <w:t>المراجع</w:t>
          </w:r>
          <w:r w:rsidRPr="00892F61">
            <w:rPr>
              <w:rFonts w:hint="cs"/>
              <w:b/>
              <w:bCs/>
              <w:color w:val="auto"/>
              <w:sz w:val="32"/>
              <w:szCs w:val="32"/>
              <w:rtl/>
              <w:lang w:bidi="ar-EG"/>
            </w:rPr>
            <w:t>:</w:t>
          </w:r>
          <w:bookmarkEnd w:id="14"/>
        </w:p>
        <w:sdt>
          <w:sdtPr>
            <w:id w:val="-573587230"/>
            <w:bibliography/>
          </w:sdtPr>
          <w:sdtEndPr>
            <w:rPr>
              <w:kern w:val="0"/>
              <w:sz w:val="22"/>
              <w:szCs w:val="22"/>
              <w:rtl/>
              <w14:ligatures w14:val="none"/>
            </w:rPr>
          </w:sdtEndPr>
          <w:sdtContent>
            <w:p w14:paraId="2DE8C775" w14:textId="77777777" w:rsidR="00E37B1C" w:rsidRDefault="00E37B1C" w:rsidP="00E37B1C">
              <w:pPr>
                <w:pStyle w:val="Bibliography"/>
                <w:ind w:left="720" w:hanging="720"/>
                <w:rPr>
                  <w:noProof/>
                  <w:kern w:val="0"/>
                  <w14:ligatures w14:val="none"/>
                </w:rPr>
              </w:pPr>
              <w:r>
                <w:fldChar w:fldCharType="begin"/>
              </w:r>
              <w:r>
                <w:instrText xml:space="preserve"> BIBLIOGRAPHY </w:instrText>
              </w:r>
              <w:r>
                <w:fldChar w:fldCharType="separate"/>
              </w:r>
              <w:r>
                <w:rPr>
                  <w:noProof/>
                </w:rPr>
                <w:t>Agusta, N. F. (2023). Servant Leadership and Career Development: Supporting Employee Growth. doi:10.18415/ijmmu.v10i12.5320</w:t>
              </w:r>
            </w:p>
            <w:p w14:paraId="5638B1C3" w14:textId="77777777" w:rsidR="00E37B1C" w:rsidRDefault="00E37B1C" w:rsidP="00E37B1C">
              <w:pPr>
                <w:pStyle w:val="Bibliography"/>
                <w:ind w:left="720" w:hanging="720"/>
                <w:rPr>
                  <w:noProof/>
                </w:rPr>
              </w:pPr>
              <w:r>
                <w:rPr>
                  <w:noProof/>
                </w:rPr>
                <w:t>Aljuaid, A. A. (2024). Integrating Industry 4.0 for Sustainable Localized Manufacturing to Support Saudi Vision 2030: An Assessment of the Saudi Arabian Automotive Industry Model. doi:https://doi.org/10.3390/su16125096</w:t>
              </w:r>
            </w:p>
            <w:p w14:paraId="58087302" w14:textId="77777777" w:rsidR="00E37B1C" w:rsidRDefault="00E37B1C" w:rsidP="00E37B1C">
              <w:pPr>
                <w:pStyle w:val="Bibliography"/>
                <w:ind w:left="720" w:hanging="720"/>
                <w:rPr>
                  <w:noProof/>
                </w:rPr>
              </w:pPr>
              <w:r>
                <w:rPr>
                  <w:noProof/>
                </w:rPr>
                <w:t xml:space="preserve">Baety, N. (2022). Servant Leadership, Organizational Culture and Organizational Citizenship Behavior on Innovative Work Behavior. </w:t>
              </w:r>
              <w:r>
                <w:rPr>
                  <w:i/>
                  <w:iCs/>
                  <w:noProof/>
                </w:rPr>
                <w:t>11</w:t>
              </w:r>
              <w:r>
                <w:rPr>
                  <w:noProof/>
                </w:rPr>
                <w:t>(1). doi:10.15294/maj.v11i1.54626</w:t>
              </w:r>
            </w:p>
            <w:p w14:paraId="57310684" w14:textId="77777777" w:rsidR="00E37B1C" w:rsidRDefault="00E37B1C" w:rsidP="00E37B1C">
              <w:pPr>
                <w:pStyle w:val="Bibliography"/>
                <w:ind w:left="720" w:hanging="720"/>
                <w:rPr>
                  <w:noProof/>
                </w:rPr>
              </w:pPr>
              <w:r>
                <w:rPr>
                  <w:noProof/>
                </w:rPr>
                <w:t>Batool, F. (2021). The effect of servant leadership on organisational sustainability: the parallel mediation role of creativity and psychological resilience. doi:10.1108/LODJ-06-2021-0264</w:t>
              </w:r>
            </w:p>
            <w:p w14:paraId="0ED3DA49" w14:textId="77777777" w:rsidR="00E37B1C" w:rsidRDefault="00E37B1C" w:rsidP="00E37B1C">
              <w:pPr>
                <w:pStyle w:val="Bibliography"/>
                <w:ind w:left="720" w:hanging="720"/>
                <w:rPr>
                  <w:noProof/>
                </w:rPr>
              </w:pPr>
              <w:r>
                <w:rPr>
                  <w:noProof/>
                </w:rPr>
                <w:t>Bavik, A. (2020). A systematic review of the servant leadership literature in management and hospitality. doi:10.1108/IJCHM-10-2018-0788</w:t>
              </w:r>
            </w:p>
            <w:p w14:paraId="7069DE4F" w14:textId="77777777" w:rsidR="00E37B1C" w:rsidRDefault="00E37B1C" w:rsidP="00E37B1C">
              <w:pPr>
                <w:pStyle w:val="Bibliography"/>
                <w:ind w:left="720" w:hanging="720"/>
                <w:rPr>
                  <w:noProof/>
                </w:rPr>
              </w:pPr>
              <w:r>
                <w:rPr>
                  <w:noProof/>
                </w:rPr>
                <w:t>Canavesi, A. (2021). Servant Leadership and Employee Engagement: A Qualitative Study. doi:10.1007/s10672-021-09389-9</w:t>
              </w:r>
            </w:p>
            <w:p w14:paraId="28827AF5" w14:textId="77777777" w:rsidR="00E37B1C" w:rsidRDefault="00E37B1C" w:rsidP="00E37B1C">
              <w:pPr>
                <w:pStyle w:val="Bibliography"/>
                <w:ind w:left="720" w:hanging="720"/>
                <w:rPr>
                  <w:noProof/>
                </w:rPr>
              </w:pPr>
              <w:r>
                <w:rPr>
                  <w:noProof/>
                </w:rPr>
                <w:t>Chen, Y.-P. (2025). Leading the way to a safer workplace: What enables supervisors to be servant leaders and enhance subordinates’ workplace safety behaviors? Retrieved from https://www.sciencedirect.com/science/article/pii/S002243752500009X#:~:text=As%20such%2C%20we%20expect%20subordinates,and%20(b)%20safety%20participation.</w:t>
              </w:r>
            </w:p>
            <w:p w14:paraId="30B3BF07" w14:textId="77777777" w:rsidR="00E37B1C" w:rsidRDefault="00E37B1C" w:rsidP="00E37B1C">
              <w:pPr>
                <w:pStyle w:val="Bibliography"/>
                <w:ind w:left="720" w:hanging="720"/>
                <w:rPr>
                  <w:noProof/>
                </w:rPr>
              </w:pPr>
              <w:r>
                <w:rPr>
                  <w:noProof/>
                </w:rPr>
                <w:t xml:space="preserve">Hamdan, K. (2020). Servant leadership and its impact on organizational citizenship behavior: Exploring the mediating role of job satisfaction. </w:t>
              </w:r>
              <w:r>
                <w:rPr>
                  <w:i/>
                  <w:iCs/>
                  <w:noProof/>
                </w:rPr>
                <w:t>10</w:t>
              </w:r>
              <w:r>
                <w:rPr>
                  <w:noProof/>
                </w:rPr>
                <w:t>(10). doi:10.5267/j.msl.2020.2.025</w:t>
              </w:r>
            </w:p>
            <w:p w14:paraId="7AB447F5" w14:textId="77777777" w:rsidR="00E37B1C" w:rsidRDefault="00E37B1C" w:rsidP="00E37B1C">
              <w:pPr>
                <w:pStyle w:val="Bibliography"/>
                <w:ind w:left="720" w:hanging="720"/>
                <w:rPr>
                  <w:noProof/>
                </w:rPr>
              </w:pPr>
              <w:r>
                <w:rPr>
                  <w:noProof/>
                </w:rPr>
                <w:t xml:space="preserve">Liden, R. C. (2025). The evolution of leadership: Past insights, present trends, and future directions. </w:t>
              </w:r>
              <w:r>
                <w:rPr>
                  <w:i/>
                  <w:iCs/>
                  <w:noProof/>
                </w:rPr>
                <w:t>186</w:t>
              </w:r>
              <w:r>
                <w:rPr>
                  <w:noProof/>
                </w:rPr>
                <w:t>. doi:https://doi.org/10.1016/j.jbusres.2024.115036</w:t>
              </w:r>
            </w:p>
            <w:p w14:paraId="713968BA" w14:textId="77777777" w:rsidR="00E37B1C" w:rsidRDefault="00E37B1C" w:rsidP="00E37B1C">
              <w:pPr>
                <w:pStyle w:val="Bibliography"/>
                <w:ind w:left="720" w:hanging="720"/>
                <w:rPr>
                  <w:noProof/>
                </w:rPr>
              </w:pPr>
              <w:r>
                <w:rPr>
                  <w:noProof/>
                </w:rPr>
                <w:t>Mbandi, J. (2020). The Relationship between Servant Leadership and Organizational Citizenship Behavior, Job Satisfaction, and Service Climate. Retrieved from https://www.proquest.com/openview/23e71c091ec7e245e3d2a8c54231c5e3/1?pq-origsite=gscholar&amp;cbl=18750&amp;diss=y</w:t>
              </w:r>
            </w:p>
            <w:p w14:paraId="4273A8F9" w14:textId="77777777" w:rsidR="00E37B1C" w:rsidRDefault="00E37B1C" w:rsidP="00E37B1C">
              <w:pPr>
                <w:pStyle w:val="Bibliography"/>
                <w:ind w:left="720" w:hanging="720"/>
                <w:rPr>
                  <w:noProof/>
                </w:rPr>
              </w:pPr>
              <w:r>
                <w:rPr>
                  <w:noProof/>
                </w:rPr>
                <w:t>Musaigwa, M. (2023). The Role of Leadership in Managing Change. doi:10.32479/irmm.13526</w:t>
              </w:r>
            </w:p>
            <w:p w14:paraId="6A26269B" w14:textId="77777777" w:rsidR="00E37B1C" w:rsidRDefault="00E37B1C" w:rsidP="00E37B1C">
              <w:pPr>
                <w:pStyle w:val="Bibliography"/>
                <w:ind w:left="720" w:hanging="720"/>
                <w:rPr>
                  <w:noProof/>
                </w:rPr>
              </w:pPr>
              <w:r>
                <w:rPr>
                  <w:noProof/>
                </w:rPr>
                <w:t xml:space="preserve">Orishede, F. (2024). CITIZENSHIP BEHAVIOUR AND ORGANIZATIONAL PERFORMANCE: A REVIEW OF EXTANT LITERATURE. Retrieved from </w:t>
              </w:r>
              <w:r>
                <w:rPr>
                  <w:noProof/>
                </w:rPr>
                <w:lastRenderedPageBreak/>
                <w:t>https://www.researchgate.net/publication/377130313_CITIZENSHIP_BEHAVIOUR_AND_ORGANIZATIONAL_PERFORMANCE_A_REVIEW_OF_EXTANT_LITERATURE</w:t>
              </w:r>
            </w:p>
            <w:p w14:paraId="54A3F375" w14:textId="77777777" w:rsidR="00E37B1C" w:rsidRDefault="00E37B1C" w:rsidP="00E37B1C">
              <w:pPr>
                <w:pStyle w:val="Bibliography"/>
                <w:ind w:left="720" w:hanging="720"/>
                <w:rPr>
                  <w:noProof/>
                </w:rPr>
              </w:pPr>
              <w:r>
                <w:rPr>
                  <w:noProof/>
                </w:rPr>
                <w:t>Scott Zimmer, J. (2021). Organizational Citizenship Behavior (OCB). Retrieved from https://www.ebsco.com/research-starters/psychology/organizational-citizenship-behavior-ocb#:~:text=Organizational%20Citizenship%20Behavior%20(OCB)%20refers,organizational%20effectiveness%20and%20employee%20engagement.&amp;text=Go%20to%20EBSCOhost%20and%20sign</w:t>
              </w:r>
            </w:p>
            <w:p w14:paraId="30BF9F9A" w14:textId="77777777" w:rsidR="00E37B1C" w:rsidRDefault="00E37B1C" w:rsidP="00E37B1C">
              <w:pPr>
                <w:pStyle w:val="Bibliography"/>
                <w:ind w:left="720" w:hanging="720"/>
                <w:rPr>
                  <w:noProof/>
                </w:rPr>
              </w:pPr>
              <w:r>
                <w:rPr>
                  <w:noProof/>
                </w:rPr>
                <w:t>Tanuwijaya, J. (2023). The Impact of Servant Leadership on Employee Behavior. doi:10.15405/epsbs.2023.11.02.33</w:t>
              </w:r>
            </w:p>
            <w:p w14:paraId="54593A38" w14:textId="0CFF8FF6" w:rsidR="00E37B1C" w:rsidRDefault="00E37B1C" w:rsidP="00E37B1C">
              <w:r>
                <w:rPr>
                  <w:b/>
                  <w:bCs/>
                  <w:noProof/>
                </w:rPr>
                <w:fldChar w:fldCharType="end"/>
              </w:r>
            </w:p>
          </w:sdtContent>
        </w:sdt>
      </w:sdtContent>
    </w:sdt>
    <w:p w14:paraId="0A76FB0C" w14:textId="77777777" w:rsidR="00AE6524" w:rsidRDefault="00AE6524" w:rsidP="00AE6524">
      <w:pPr>
        <w:spacing w:after="0" w:line="360" w:lineRule="auto"/>
        <w:rPr>
          <w:b/>
          <w:bCs/>
          <w:u w:val="single"/>
          <w:lang w:bidi="ar-EG"/>
        </w:rPr>
      </w:pPr>
    </w:p>
    <w:p w14:paraId="6D12F63C" w14:textId="77777777" w:rsidR="00AE6524" w:rsidRDefault="00AE6524" w:rsidP="00AE6524">
      <w:pPr>
        <w:spacing w:after="0" w:line="360" w:lineRule="auto"/>
        <w:rPr>
          <w:b/>
          <w:bCs/>
          <w:u w:val="single"/>
          <w:lang w:bidi="ar-EG"/>
        </w:rPr>
      </w:pPr>
    </w:p>
    <w:p w14:paraId="61EC0D01" w14:textId="77777777" w:rsidR="00AE6524" w:rsidRDefault="00AE6524" w:rsidP="00AE6524">
      <w:pPr>
        <w:spacing w:after="0" w:line="360" w:lineRule="auto"/>
        <w:rPr>
          <w:b/>
          <w:bCs/>
          <w:u w:val="single"/>
          <w:lang w:bidi="ar-EG"/>
        </w:rPr>
      </w:pPr>
    </w:p>
    <w:p w14:paraId="3C997991" w14:textId="77777777" w:rsidR="00AE6524" w:rsidRDefault="00AE6524" w:rsidP="00AE6524">
      <w:pPr>
        <w:spacing w:after="0" w:line="360" w:lineRule="auto"/>
        <w:rPr>
          <w:b/>
          <w:bCs/>
          <w:u w:val="single"/>
          <w:lang w:bidi="ar-EG"/>
        </w:rPr>
      </w:pPr>
    </w:p>
    <w:p w14:paraId="3F78216A" w14:textId="77777777" w:rsidR="00AE6524" w:rsidRDefault="00AE6524" w:rsidP="00AE6524">
      <w:pPr>
        <w:spacing w:after="0" w:line="360" w:lineRule="auto"/>
        <w:rPr>
          <w:b/>
          <w:bCs/>
          <w:u w:val="single"/>
          <w:lang w:bidi="ar-EG"/>
        </w:rPr>
      </w:pPr>
    </w:p>
    <w:p w14:paraId="3E03C63F" w14:textId="77777777" w:rsidR="00AE6524" w:rsidRPr="007F530A" w:rsidRDefault="00AE6524" w:rsidP="00AE6524">
      <w:pPr>
        <w:spacing w:after="0" w:line="360" w:lineRule="auto"/>
        <w:rPr>
          <w:rFonts w:ascii="Traditional Arabic" w:hAnsi="Traditional Arabic" w:cs="Traditional Arabic"/>
          <w:b/>
          <w:bCs/>
          <w:sz w:val="28"/>
          <w:szCs w:val="28"/>
          <w:u w:val="single"/>
          <w:rtl/>
          <w:lang w:bidi="ar-EG"/>
        </w:rPr>
      </w:pPr>
    </w:p>
    <w:sectPr w:rsidR="00AE6524" w:rsidRPr="007F530A" w:rsidSect="00973EF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D755F" w14:textId="77777777" w:rsidR="005E5943" w:rsidRDefault="005E5943" w:rsidP="00973EF0">
      <w:pPr>
        <w:spacing w:after="0" w:line="240" w:lineRule="auto"/>
      </w:pPr>
      <w:r>
        <w:separator/>
      </w:r>
    </w:p>
  </w:endnote>
  <w:endnote w:type="continuationSeparator" w:id="0">
    <w:p w14:paraId="39F434B1" w14:textId="77777777" w:rsidR="005E5943" w:rsidRDefault="005E5943"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iwani Letter">
    <w:altName w:val="Arial"/>
    <w:panose1 w:val="0201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6B941" w14:textId="77777777" w:rsidR="005E5943" w:rsidRDefault="005E5943" w:rsidP="00973EF0">
      <w:pPr>
        <w:spacing w:after="0" w:line="240" w:lineRule="auto"/>
      </w:pPr>
      <w:r>
        <w:separator/>
      </w:r>
    </w:p>
  </w:footnote>
  <w:footnote w:type="continuationSeparator" w:id="0">
    <w:p w14:paraId="72878FF5" w14:textId="77777777" w:rsidR="005E5943" w:rsidRDefault="005E5943"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AB5009"/>
    <w:multiLevelType w:val="hybridMultilevel"/>
    <w:tmpl w:val="4B52F61E"/>
    <w:lvl w:ilvl="0" w:tplc="7B0CD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220A54"/>
    <w:multiLevelType w:val="multilevel"/>
    <w:tmpl w:val="D144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2745A6"/>
    <w:multiLevelType w:val="hybridMultilevel"/>
    <w:tmpl w:val="7AF8FC52"/>
    <w:lvl w:ilvl="0" w:tplc="A17693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730522">
    <w:abstractNumId w:val="4"/>
  </w:num>
  <w:num w:numId="2" w16cid:durableId="737823749">
    <w:abstractNumId w:val="9"/>
  </w:num>
  <w:num w:numId="3" w16cid:durableId="1191147352">
    <w:abstractNumId w:val="14"/>
  </w:num>
  <w:num w:numId="4" w16cid:durableId="2138796203">
    <w:abstractNumId w:val="11"/>
  </w:num>
  <w:num w:numId="5" w16cid:durableId="4746892">
    <w:abstractNumId w:val="6"/>
  </w:num>
  <w:num w:numId="6" w16cid:durableId="1972637646">
    <w:abstractNumId w:val="7"/>
  </w:num>
  <w:num w:numId="7" w16cid:durableId="1795638316">
    <w:abstractNumId w:val="1"/>
  </w:num>
  <w:num w:numId="8" w16cid:durableId="1316447723">
    <w:abstractNumId w:val="15"/>
  </w:num>
  <w:num w:numId="9" w16cid:durableId="1316370436">
    <w:abstractNumId w:val="2"/>
  </w:num>
  <w:num w:numId="10" w16cid:durableId="2015764682">
    <w:abstractNumId w:val="3"/>
  </w:num>
  <w:num w:numId="11" w16cid:durableId="431781711">
    <w:abstractNumId w:val="13"/>
  </w:num>
  <w:num w:numId="12" w16cid:durableId="259223337">
    <w:abstractNumId w:val="8"/>
  </w:num>
  <w:num w:numId="13" w16cid:durableId="1547374052">
    <w:abstractNumId w:val="0"/>
  </w:num>
  <w:num w:numId="14" w16cid:durableId="1725522859">
    <w:abstractNumId w:val="10"/>
  </w:num>
  <w:num w:numId="15" w16cid:durableId="317154413">
    <w:abstractNumId w:val="12"/>
  </w:num>
  <w:num w:numId="16" w16cid:durableId="613247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104854"/>
    <w:rsid w:val="00110DEB"/>
    <w:rsid w:val="001635E9"/>
    <w:rsid w:val="00174A05"/>
    <w:rsid w:val="00275E9E"/>
    <w:rsid w:val="00286B15"/>
    <w:rsid w:val="002F2814"/>
    <w:rsid w:val="00323812"/>
    <w:rsid w:val="00357A50"/>
    <w:rsid w:val="003C1AA7"/>
    <w:rsid w:val="003D2B4D"/>
    <w:rsid w:val="0048734B"/>
    <w:rsid w:val="004F7F19"/>
    <w:rsid w:val="00554CD2"/>
    <w:rsid w:val="0055634D"/>
    <w:rsid w:val="005B13C4"/>
    <w:rsid w:val="005B75B4"/>
    <w:rsid w:val="005E5943"/>
    <w:rsid w:val="006C0787"/>
    <w:rsid w:val="006E053F"/>
    <w:rsid w:val="00727118"/>
    <w:rsid w:val="007A230D"/>
    <w:rsid w:val="007F2D96"/>
    <w:rsid w:val="0086229B"/>
    <w:rsid w:val="00892F61"/>
    <w:rsid w:val="008F5A54"/>
    <w:rsid w:val="00924AF3"/>
    <w:rsid w:val="00973EF0"/>
    <w:rsid w:val="00A22405"/>
    <w:rsid w:val="00A24993"/>
    <w:rsid w:val="00A54325"/>
    <w:rsid w:val="00A64BD6"/>
    <w:rsid w:val="00AB2B59"/>
    <w:rsid w:val="00AD23F7"/>
    <w:rsid w:val="00AE6524"/>
    <w:rsid w:val="00AF527E"/>
    <w:rsid w:val="00B307AB"/>
    <w:rsid w:val="00B313FF"/>
    <w:rsid w:val="00B37753"/>
    <w:rsid w:val="00B56424"/>
    <w:rsid w:val="00BB29AC"/>
    <w:rsid w:val="00BE6CCC"/>
    <w:rsid w:val="00C93FAF"/>
    <w:rsid w:val="00CC1D1D"/>
    <w:rsid w:val="00CD3B5A"/>
    <w:rsid w:val="00D20E93"/>
    <w:rsid w:val="00DF1482"/>
    <w:rsid w:val="00E37B1C"/>
    <w:rsid w:val="00E7268A"/>
    <w:rsid w:val="00E7332B"/>
    <w:rsid w:val="00E91DD5"/>
    <w:rsid w:val="00E94F1F"/>
    <w:rsid w:val="00EC2F2D"/>
    <w:rsid w:val="00F14C0A"/>
    <w:rsid w:val="00F95A6D"/>
    <w:rsid w:val="00FB1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24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73EF0"/>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 w:type="character" w:customStyle="1" w:styleId="Heading3Char">
    <w:name w:val="Heading 3 Char"/>
    <w:basedOn w:val="DefaultParagraphFont"/>
    <w:link w:val="Heading3"/>
    <w:uiPriority w:val="9"/>
    <w:semiHidden/>
    <w:rsid w:val="00A2240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97599">
      <w:bodyDiv w:val="1"/>
      <w:marLeft w:val="0"/>
      <w:marRight w:val="0"/>
      <w:marTop w:val="0"/>
      <w:marBottom w:val="0"/>
      <w:divBdr>
        <w:top w:val="none" w:sz="0" w:space="0" w:color="auto"/>
        <w:left w:val="none" w:sz="0" w:space="0" w:color="auto"/>
        <w:bottom w:val="none" w:sz="0" w:space="0" w:color="auto"/>
        <w:right w:val="none" w:sz="0" w:space="0" w:color="auto"/>
      </w:divBdr>
    </w:div>
    <w:div w:id="48042811">
      <w:bodyDiv w:val="1"/>
      <w:marLeft w:val="0"/>
      <w:marRight w:val="0"/>
      <w:marTop w:val="0"/>
      <w:marBottom w:val="0"/>
      <w:divBdr>
        <w:top w:val="none" w:sz="0" w:space="0" w:color="auto"/>
        <w:left w:val="none" w:sz="0" w:space="0" w:color="auto"/>
        <w:bottom w:val="none" w:sz="0" w:space="0" w:color="auto"/>
        <w:right w:val="none" w:sz="0" w:space="0" w:color="auto"/>
      </w:divBdr>
    </w:div>
    <w:div w:id="64690773">
      <w:bodyDiv w:val="1"/>
      <w:marLeft w:val="0"/>
      <w:marRight w:val="0"/>
      <w:marTop w:val="0"/>
      <w:marBottom w:val="0"/>
      <w:divBdr>
        <w:top w:val="none" w:sz="0" w:space="0" w:color="auto"/>
        <w:left w:val="none" w:sz="0" w:space="0" w:color="auto"/>
        <w:bottom w:val="none" w:sz="0" w:space="0" w:color="auto"/>
        <w:right w:val="none" w:sz="0" w:space="0" w:color="auto"/>
      </w:divBdr>
    </w:div>
    <w:div w:id="90006483">
      <w:bodyDiv w:val="1"/>
      <w:marLeft w:val="0"/>
      <w:marRight w:val="0"/>
      <w:marTop w:val="0"/>
      <w:marBottom w:val="0"/>
      <w:divBdr>
        <w:top w:val="none" w:sz="0" w:space="0" w:color="auto"/>
        <w:left w:val="none" w:sz="0" w:space="0" w:color="auto"/>
        <w:bottom w:val="none" w:sz="0" w:space="0" w:color="auto"/>
        <w:right w:val="none" w:sz="0" w:space="0" w:color="auto"/>
      </w:divBdr>
    </w:div>
    <w:div w:id="93134973">
      <w:bodyDiv w:val="1"/>
      <w:marLeft w:val="0"/>
      <w:marRight w:val="0"/>
      <w:marTop w:val="0"/>
      <w:marBottom w:val="0"/>
      <w:divBdr>
        <w:top w:val="none" w:sz="0" w:space="0" w:color="auto"/>
        <w:left w:val="none" w:sz="0" w:space="0" w:color="auto"/>
        <w:bottom w:val="none" w:sz="0" w:space="0" w:color="auto"/>
        <w:right w:val="none" w:sz="0" w:space="0" w:color="auto"/>
      </w:divBdr>
    </w:div>
    <w:div w:id="174223506">
      <w:bodyDiv w:val="1"/>
      <w:marLeft w:val="0"/>
      <w:marRight w:val="0"/>
      <w:marTop w:val="0"/>
      <w:marBottom w:val="0"/>
      <w:divBdr>
        <w:top w:val="none" w:sz="0" w:space="0" w:color="auto"/>
        <w:left w:val="none" w:sz="0" w:space="0" w:color="auto"/>
        <w:bottom w:val="none" w:sz="0" w:space="0" w:color="auto"/>
        <w:right w:val="none" w:sz="0" w:space="0" w:color="auto"/>
      </w:divBdr>
    </w:div>
    <w:div w:id="216747640">
      <w:bodyDiv w:val="1"/>
      <w:marLeft w:val="0"/>
      <w:marRight w:val="0"/>
      <w:marTop w:val="0"/>
      <w:marBottom w:val="0"/>
      <w:divBdr>
        <w:top w:val="none" w:sz="0" w:space="0" w:color="auto"/>
        <w:left w:val="none" w:sz="0" w:space="0" w:color="auto"/>
        <w:bottom w:val="none" w:sz="0" w:space="0" w:color="auto"/>
        <w:right w:val="none" w:sz="0" w:space="0" w:color="auto"/>
      </w:divBdr>
    </w:div>
    <w:div w:id="223027700">
      <w:bodyDiv w:val="1"/>
      <w:marLeft w:val="0"/>
      <w:marRight w:val="0"/>
      <w:marTop w:val="0"/>
      <w:marBottom w:val="0"/>
      <w:divBdr>
        <w:top w:val="none" w:sz="0" w:space="0" w:color="auto"/>
        <w:left w:val="none" w:sz="0" w:space="0" w:color="auto"/>
        <w:bottom w:val="none" w:sz="0" w:space="0" w:color="auto"/>
        <w:right w:val="none" w:sz="0" w:space="0" w:color="auto"/>
      </w:divBdr>
    </w:div>
    <w:div w:id="224416604">
      <w:bodyDiv w:val="1"/>
      <w:marLeft w:val="0"/>
      <w:marRight w:val="0"/>
      <w:marTop w:val="0"/>
      <w:marBottom w:val="0"/>
      <w:divBdr>
        <w:top w:val="none" w:sz="0" w:space="0" w:color="auto"/>
        <w:left w:val="none" w:sz="0" w:space="0" w:color="auto"/>
        <w:bottom w:val="none" w:sz="0" w:space="0" w:color="auto"/>
        <w:right w:val="none" w:sz="0" w:space="0" w:color="auto"/>
      </w:divBdr>
    </w:div>
    <w:div w:id="236981966">
      <w:bodyDiv w:val="1"/>
      <w:marLeft w:val="0"/>
      <w:marRight w:val="0"/>
      <w:marTop w:val="0"/>
      <w:marBottom w:val="0"/>
      <w:divBdr>
        <w:top w:val="none" w:sz="0" w:space="0" w:color="auto"/>
        <w:left w:val="none" w:sz="0" w:space="0" w:color="auto"/>
        <w:bottom w:val="none" w:sz="0" w:space="0" w:color="auto"/>
        <w:right w:val="none" w:sz="0" w:space="0" w:color="auto"/>
      </w:divBdr>
    </w:div>
    <w:div w:id="306587716">
      <w:bodyDiv w:val="1"/>
      <w:marLeft w:val="0"/>
      <w:marRight w:val="0"/>
      <w:marTop w:val="0"/>
      <w:marBottom w:val="0"/>
      <w:divBdr>
        <w:top w:val="none" w:sz="0" w:space="0" w:color="auto"/>
        <w:left w:val="none" w:sz="0" w:space="0" w:color="auto"/>
        <w:bottom w:val="none" w:sz="0" w:space="0" w:color="auto"/>
        <w:right w:val="none" w:sz="0" w:space="0" w:color="auto"/>
      </w:divBdr>
    </w:div>
    <w:div w:id="501045968">
      <w:bodyDiv w:val="1"/>
      <w:marLeft w:val="0"/>
      <w:marRight w:val="0"/>
      <w:marTop w:val="0"/>
      <w:marBottom w:val="0"/>
      <w:divBdr>
        <w:top w:val="none" w:sz="0" w:space="0" w:color="auto"/>
        <w:left w:val="none" w:sz="0" w:space="0" w:color="auto"/>
        <w:bottom w:val="none" w:sz="0" w:space="0" w:color="auto"/>
        <w:right w:val="none" w:sz="0" w:space="0" w:color="auto"/>
      </w:divBdr>
    </w:div>
    <w:div w:id="514344833">
      <w:bodyDiv w:val="1"/>
      <w:marLeft w:val="0"/>
      <w:marRight w:val="0"/>
      <w:marTop w:val="0"/>
      <w:marBottom w:val="0"/>
      <w:divBdr>
        <w:top w:val="none" w:sz="0" w:space="0" w:color="auto"/>
        <w:left w:val="none" w:sz="0" w:space="0" w:color="auto"/>
        <w:bottom w:val="none" w:sz="0" w:space="0" w:color="auto"/>
        <w:right w:val="none" w:sz="0" w:space="0" w:color="auto"/>
      </w:divBdr>
    </w:div>
    <w:div w:id="596329920">
      <w:bodyDiv w:val="1"/>
      <w:marLeft w:val="0"/>
      <w:marRight w:val="0"/>
      <w:marTop w:val="0"/>
      <w:marBottom w:val="0"/>
      <w:divBdr>
        <w:top w:val="none" w:sz="0" w:space="0" w:color="auto"/>
        <w:left w:val="none" w:sz="0" w:space="0" w:color="auto"/>
        <w:bottom w:val="none" w:sz="0" w:space="0" w:color="auto"/>
        <w:right w:val="none" w:sz="0" w:space="0" w:color="auto"/>
      </w:divBdr>
    </w:div>
    <w:div w:id="663363895">
      <w:bodyDiv w:val="1"/>
      <w:marLeft w:val="0"/>
      <w:marRight w:val="0"/>
      <w:marTop w:val="0"/>
      <w:marBottom w:val="0"/>
      <w:divBdr>
        <w:top w:val="none" w:sz="0" w:space="0" w:color="auto"/>
        <w:left w:val="none" w:sz="0" w:space="0" w:color="auto"/>
        <w:bottom w:val="none" w:sz="0" w:space="0" w:color="auto"/>
        <w:right w:val="none" w:sz="0" w:space="0" w:color="auto"/>
      </w:divBdr>
    </w:div>
    <w:div w:id="666519662">
      <w:bodyDiv w:val="1"/>
      <w:marLeft w:val="0"/>
      <w:marRight w:val="0"/>
      <w:marTop w:val="0"/>
      <w:marBottom w:val="0"/>
      <w:divBdr>
        <w:top w:val="none" w:sz="0" w:space="0" w:color="auto"/>
        <w:left w:val="none" w:sz="0" w:space="0" w:color="auto"/>
        <w:bottom w:val="none" w:sz="0" w:space="0" w:color="auto"/>
        <w:right w:val="none" w:sz="0" w:space="0" w:color="auto"/>
      </w:divBdr>
    </w:div>
    <w:div w:id="712967908">
      <w:bodyDiv w:val="1"/>
      <w:marLeft w:val="0"/>
      <w:marRight w:val="0"/>
      <w:marTop w:val="0"/>
      <w:marBottom w:val="0"/>
      <w:divBdr>
        <w:top w:val="none" w:sz="0" w:space="0" w:color="auto"/>
        <w:left w:val="none" w:sz="0" w:space="0" w:color="auto"/>
        <w:bottom w:val="none" w:sz="0" w:space="0" w:color="auto"/>
        <w:right w:val="none" w:sz="0" w:space="0" w:color="auto"/>
      </w:divBdr>
    </w:div>
    <w:div w:id="713038443">
      <w:bodyDiv w:val="1"/>
      <w:marLeft w:val="0"/>
      <w:marRight w:val="0"/>
      <w:marTop w:val="0"/>
      <w:marBottom w:val="0"/>
      <w:divBdr>
        <w:top w:val="none" w:sz="0" w:space="0" w:color="auto"/>
        <w:left w:val="none" w:sz="0" w:space="0" w:color="auto"/>
        <w:bottom w:val="none" w:sz="0" w:space="0" w:color="auto"/>
        <w:right w:val="none" w:sz="0" w:space="0" w:color="auto"/>
      </w:divBdr>
    </w:div>
    <w:div w:id="1016931988">
      <w:bodyDiv w:val="1"/>
      <w:marLeft w:val="0"/>
      <w:marRight w:val="0"/>
      <w:marTop w:val="0"/>
      <w:marBottom w:val="0"/>
      <w:divBdr>
        <w:top w:val="none" w:sz="0" w:space="0" w:color="auto"/>
        <w:left w:val="none" w:sz="0" w:space="0" w:color="auto"/>
        <w:bottom w:val="none" w:sz="0" w:space="0" w:color="auto"/>
        <w:right w:val="none" w:sz="0" w:space="0" w:color="auto"/>
      </w:divBdr>
    </w:div>
    <w:div w:id="1056927099">
      <w:bodyDiv w:val="1"/>
      <w:marLeft w:val="0"/>
      <w:marRight w:val="0"/>
      <w:marTop w:val="0"/>
      <w:marBottom w:val="0"/>
      <w:divBdr>
        <w:top w:val="none" w:sz="0" w:space="0" w:color="auto"/>
        <w:left w:val="none" w:sz="0" w:space="0" w:color="auto"/>
        <w:bottom w:val="none" w:sz="0" w:space="0" w:color="auto"/>
        <w:right w:val="none" w:sz="0" w:space="0" w:color="auto"/>
      </w:divBdr>
    </w:div>
    <w:div w:id="1187446953">
      <w:bodyDiv w:val="1"/>
      <w:marLeft w:val="0"/>
      <w:marRight w:val="0"/>
      <w:marTop w:val="0"/>
      <w:marBottom w:val="0"/>
      <w:divBdr>
        <w:top w:val="none" w:sz="0" w:space="0" w:color="auto"/>
        <w:left w:val="none" w:sz="0" w:space="0" w:color="auto"/>
        <w:bottom w:val="none" w:sz="0" w:space="0" w:color="auto"/>
        <w:right w:val="none" w:sz="0" w:space="0" w:color="auto"/>
      </w:divBdr>
    </w:div>
    <w:div w:id="1238395448">
      <w:bodyDiv w:val="1"/>
      <w:marLeft w:val="0"/>
      <w:marRight w:val="0"/>
      <w:marTop w:val="0"/>
      <w:marBottom w:val="0"/>
      <w:divBdr>
        <w:top w:val="none" w:sz="0" w:space="0" w:color="auto"/>
        <w:left w:val="none" w:sz="0" w:space="0" w:color="auto"/>
        <w:bottom w:val="none" w:sz="0" w:space="0" w:color="auto"/>
        <w:right w:val="none" w:sz="0" w:space="0" w:color="auto"/>
      </w:divBdr>
    </w:div>
    <w:div w:id="1337686410">
      <w:bodyDiv w:val="1"/>
      <w:marLeft w:val="0"/>
      <w:marRight w:val="0"/>
      <w:marTop w:val="0"/>
      <w:marBottom w:val="0"/>
      <w:divBdr>
        <w:top w:val="none" w:sz="0" w:space="0" w:color="auto"/>
        <w:left w:val="none" w:sz="0" w:space="0" w:color="auto"/>
        <w:bottom w:val="none" w:sz="0" w:space="0" w:color="auto"/>
        <w:right w:val="none" w:sz="0" w:space="0" w:color="auto"/>
      </w:divBdr>
    </w:div>
    <w:div w:id="1340234815">
      <w:bodyDiv w:val="1"/>
      <w:marLeft w:val="0"/>
      <w:marRight w:val="0"/>
      <w:marTop w:val="0"/>
      <w:marBottom w:val="0"/>
      <w:divBdr>
        <w:top w:val="none" w:sz="0" w:space="0" w:color="auto"/>
        <w:left w:val="none" w:sz="0" w:space="0" w:color="auto"/>
        <w:bottom w:val="none" w:sz="0" w:space="0" w:color="auto"/>
        <w:right w:val="none" w:sz="0" w:space="0" w:color="auto"/>
      </w:divBdr>
    </w:div>
    <w:div w:id="1548297998">
      <w:bodyDiv w:val="1"/>
      <w:marLeft w:val="0"/>
      <w:marRight w:val="0"/>
      <w:marTop w:val="0"/>
      <w:marBottom w:val="0"/>
      <w:divBdr>
        <w:top w:val="none" w:sz="0" w:space="0" w:color="auto"/>
        <w:left w:val="none" w:sz="0" w:space="0" w:color="auto"/>
        <w:bottom w:val="none" w:sz="0" w:space="0" w:color="auto"/>
        <w:right w:val="none" w:sz="0" w:space="0" w:color="auto"/>
      </w:divBdr>
    </w:div>
    <w:div w:id="1647542053">
      <w:bodyDiv w:val="1"/>
      <w:marLeft w:val="0"/>
      <w:marRight w:val="0"/>
      <w:marTop w:val="0"/>
      <w:marBottom w:val="0"/>
      <w:divBdr>
        <w:top w:val="none" w:sz="0" w:space="0" w:color="auto"/>
        <w:left w:val="none" w:sz="0" w:space="0" w:color="auto"/>
        <w:bottom w:val="none" w:sz="0" w:space="0" w:color="auto"/>
        <w:right w:val="none" w:sz="0" w:space="0" w:color="auto"/>
      </w:divBdr>
    </w:div>
    <w:div w:id="1719161731">
      <w:bodyDiv w:val="1"/>
      <w:marLeft w:val="0"/>
      <w:marRight w:val="0"/>
      <w:marTop w:val="0"/>
      <w:marBottom w:val="0"/>
      <w:divBdr>
        <w:top w:val="none" w:sz="0" w:space="0" w:color="auto"/>
        <w:left w:val="none" w:sz="0" w:space="0" w:color="auto"/>
        <w:bottom w:val="none" w:sz="0" w:space="0" w:color="auto"/>
        <w:right w:val="none" w:sz="0" w:space="0" w:color="auto"/>
      </w:divBdr>
    </w:div>
    <w:div w:id="1894387200">
      <w:bodyDiv w:val="1"/>
      <w:marLeft w:val="0"/>
      <w:marRight w:val="0"/>
      <w:marTop w:val="0"/>
      <w:marBottom w:val="0"/>
      <w:divBdr>
        <w:top w:val="none" w:sz="0" w:space="0" w:color="auto"/>
        <w:left w:val="none" w:sz="0" w:space="0" w:color="auto"/>
        <w:bottom w:val="none" w:sz="0" w:space="0" w:color="auto"/>
        <w:right w:val="none" w:sz="0" w:space="0" w:color="auto"/>
      </w:divBdr>
    </w:div>
    <w:div w:id="192310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b:Tag>
    <b:SourceType>JournalArticle</b:SourceType>
    <b:Guid>{419C5B18-5032-4D97-B951-FC86B67331FA}</b:Guid>
    <b:Author>
      <b:Author>
        <b:NameList>
          <b:Person>
            <b:Last>Musaigwa</b:Last>
            <b:First>Misheck</b:First>
          </b:Person>
        </b:NameList>
      </b:Author>
    </b:Author>
    <b:Title>The Role of Leadership in Managing Change</b:Title>
    <b:Year>2023</b:Year>
    <b:URL>https://www.researchgate.net/publication/375562628_The_Role_of_Leadership_in_Managing_Change</b:URL>
    <b:DOI>10.32479/irmm.13526</b:DOI>
    <b:RefOrder>1</b:RefOrder>
  </b:Source>
  <b:Source>
    <b:Tag>Can21</b:Tag>
    <b:SourceType>JournalArticle</b:SourceType>
    <b:Guid>{38A51BBC-75F2-4AAE-A852-2110C65AAF84}</b:Guid>
    <b:Author>
      <b:Author>
        <b:NameList>
          <b:Person>
            <b:Last>Canavesi</b:Last>
            <b:First>Alice</b:First>
          </b:Person>
        </b:NameList>
      </b:Author>
    </b:Author>
    <b:Title>Servant Leadership and Employee Engagement: A Qualitative Study</b:Title>
    <b:Year>2021</b:Year>
    <b:URL>https://pmc.ncbi.nlm.nih.gov/articles/PMC8520456/</b:URL>
    <b:DOI>10.1007/s10672-021-09389-9</b:DOI>
    <b:RefOrder>2</b:RefOrder>
  </b:Source>
  <b:Source>
    <b:Tag>Sco21</b:Tag>
    <b:SourceType>JournalArticle</b:SourceType>
    <b:Guid>{5BF1F88A-EF9C-4A13-A360-E511B2EF6F45}</b:Guid>
    <b:Author>
      <b:Author>
        <b:NameList>
          <b:Person>
            <b:Last>Scott Zimmer</b:Last>
            <b:First>JD</b:First>
          </b:Person>
        </b:NameList>
      </b:Author>
    </b:Author>
    <b:Title>Organizational Citizenship Behavior (OCB)</b:Title>
    <b:Year>2021</b:Year>
    <b:URL>https://www.ebsco.com/research-starters/psychology/organizational-citizenship-behavior-ocb#:~:text=Organizational%20Citizenship%20Behavior%20(OCB)%20refers,organizational%20effectiveness%20and%20employee%20engagement.&amp;text=Go%20to%20EBSCOhost%20and%20sign</b:URL>
    <b:RefOrder>3</b:RefOrder>
  </b:Source>
  <b:Source>
    <b:Tag>Mba20</b:Tag>
    <b:SourceType>JournalArticle</b:SourceType>
    <b:Guid>{B4706F4B-06EB-4052-9C60-9D4BB1C866B6}</b:Guid>
    <b:Author>
      <b:Author>
        <b:NameList>
          <b:Person>
            <b:Last>Mbandi</b:Last>
            <b:First>Juebiline</b:First>
          </b:Person>
        </b:NameList>
      </b:Author>
    </b:Author>
    <b:Title>The Relationship between Servant Leadership and Organizational Citizenship Behavior, Job Satisfaction, and Service Climate</b:Title>
    <b:Year>2020</b:Year>
    <b:URL>https://www.proquest.com/openview/23e71c091ec7e245e3d2a8c54231c5e3/1?pq-origsite=gscholar&amp;cbl=18750&amp;diss=y</b:URL>
    <b:RefOrder>4</b:RefOrder>
  </b:Source>
  <b:Source>
    <b:Tag>Bae22</b:Tag>
    <b:SourceType>JournalArticle</b:SourceType>
    <b:Guid>{F5CEA458-5068-4746-8027-86A2BB3BA900}</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DOI>10.15294/maj.v11i1.54626</b:DOI>
    <b:RefOrder>5</b:RefOrder>
  </b:Source>
  <b:Source>
    <b:Tag>Ham20</b:Tag>
    <b:SourceType>JournalArticle</b:SourceType>
    <b:Guid>{1D51650A-F5B7-457F-8149-526BA8DE397A}</b:Guid>
    <b:Author>
      <b:Author>
        <b:NameList>
          <b:Person>
            <b:Last>Hamdan</b:Last>
            <b:First>Khaled</b:First>
          </b:Person>
        </b:NameList>
      </b:Author>
    </b:Author>
    <b:Title>Servant leadership and its impact on organizational citizenship behavior: Exploring the mediating role of job satisfaction</b:Title>
    <b:Year>2020</b:Year>
    <b:Volume>10</b:Volume>
    <b:Issue>10</b:Issue>
    <b:URL>https://www.researchgate.net/publication/340086280_Servant_leadership_and_its_impact_on_organizational_citizenship_behavior_Exploring_the_mediating_role_of_job_satisfaction</b:URL>
    <b:DOI>10.5267/j.msl.2020.2.025</b:DOI>
    <b:RefOrder>7</b:RefOrder>
  </b:Source>
  <b:Source>
    <b:Tag>Bav20</b:Tag>
    <b:SourceType>JournalArticle</b:SourceType>
    <b:Guid>{13F82538-CFA1-491F-BCDA-76FCFBC719D7}</b:Guid>
    <b:Author>
      <b:Author>
        <b:NameList>
          <b:Person>
            <b:Last>Bavik</b:Last>
            <b:First>Ali</b:First>
          </b:Person>
        </b:NameList>
      </b:Author>
    </b:Author>
    <b:Title>A systematic review of the servant leadership literature in management and hospitality</b:Title>
    <b:Year>2020</b:Year>
    <b:URL>https://www.researchgate.net/publication/336584099_A_systematic_review_of_the_servant_leadership_literature_in_management_and_hospitality</b:URL>
    <b:DOI>10.1108/IJCHM-10-2018-0788</b:DOI>
    <b:RefOrder>8</b:RefOrder>
  </b:Source>
  <b:Source>
    <b:Tag>Che25</b:Tag>
    <b:SourceType>JournalArticle</b:SourceType>
    <b:Guid>{6710BF77-8AF3-4CBA-973C-EE6D79088A38}</b:Guid>
    <b:Author>
      <b:Author>
        <b:NameList>
          <b:Person>
            <b:Last>Chen</b:Last>
            <b:First>Yu-Ping</b:First>
          </b:Person>
        </b:NameList>
      </b:Author>
    </b:Author>
    <b:Title>Leading the way to a safer workplace: What enables supervisors to be servant leaders and enhance subordinates’ workplace safety behaviors?</b:Title>
    <b:Year>2025</b:Year>
    <b:URL>https://www.sciencedirect.com/science/article/pii/S002243752500009X#:~:text=As%20such%2C%20we%20expect%20subordinates,and%20(b)%20safety%20participation.</b:URL>
    <b:RefOrder>9</b:RefOrder>
  </b:Source>
  <b:Source>
    <b:Tag>Lid25</b:Tag>
    <b:SourceType>JournalArticle</b:SourceType>
    <b:Guid>{E3851DC9-B16B-4E0C-8937-8C5AB9B5D434}</b:Guid>
    <b:Author>
      <b:Author>
        <b:NameList>
          <b:Person>
            <b:Last>Liden</b:Last>
            <b:First>Robert</b:First>
            <b:Middle>C.</b:Middle>
          </b:Person>
        </b:NameList>
      </b:Author>
    </b:Author>
    <b:Title>The evolution of leadership: Past insights, present trends, and future directions</b:Title>
    <b:Year>2025</b:Year>
    <b:Volume>186</b:Volume>
    <b:URL>https://www.sciencedirect.com/science/article/pii/S014829632400540X</b:URL>
    <b:DOI>https://doi.org/10.1016/j.jbusres.2024.115036</b:DOI>
    <b:RefOrder>10</b:RefOrder>
  </b:Source>
  <b:Source>
    <b:Tag>Bat21</b:Tag>
    <b:SourceType>JournalArticle</b:SourceType>
    <b:Guid>{94237F3C-FEA1-408C-B226-DA6586B69DD1}</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DOI>10.1108/LODJ-06-2021-0264</b:DOI>
    <b:RefOrder>11</b:RefOrder>
  </b:Source>
  <b:Source>
    <b:Tag>Tan23</b:Tag>
    <b:SourceType>JournalArticle</b:SourceType>
    <b:Guid>{D242FEB3-6623-4E23-9CB5-ED28993C09BB}</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DOI>10.15405/epsbs.2023.11.02.33</b:DOI>
    <b:RefOrder>12</b:RefOrder>
  </b:Source>
  <b:Source>
    <b:Tag>Agu23</b:Tag>
    <b:SourceType>JournalArticle</b:SourceType>
    <b:Guid>{B3250D0B-530D-4318-9555-B17BD0374E0A}</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DOI>10.18415/ijmmu.v10i12.5320</b:DOI>
    <b:RefOrder>13</b:RefOrder>
  </b:Source>
  <b:Source>
    <b:Tag>Ori24</b:Tag>
    <b:SourceType>JournalArticle</b:SourceType>
    <b:Guid>{7D9E7126-C783-4389-BD94-12A01B525AA7}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b:Tag>
    <b:SourceType>JournalArticle</b:SourceType>
    <b:Guid>{0B2F992F-B249-4E10-978D-68F275BE19F4}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URL>https://www.mdpi.com/2071-1050/16/12/5096</b:URL>
    <b:DOI>https://doi.org/10.3390/su16125096</b:DOI>
    <b:RefOrder>15</b:RefOrder>
  </b:Source>
  <b:Source>
    <b:Tag>AlK241</b:Tag>
    <b:SourceType>JournalArticle</b:SourceType>
    <b:Guid>{583B8C85-67AF-4806-91D8-E756BDD9965E}</b:Guid>
    <b:Author>
      <b:Author>
        <b:NameList>
          <b:Person>
            <b:Last>Al-Khudairi</b:Last>
            <b:First>Zainab</b:First>
            <b:Middle>Ibrahim</b:Middle>
          </b:Person>
        </b:NameList>
      </b:Author>
    </b:Author>
    <b:Title>nternal Marketing and Organizational Citizenship Behavior: Unraveling Its Impact on Members Staff Satisfaction at King Saud University in Riyadh</b:Title>
    <b:Year>2024</b:Year>
    <b:URL>https://journals.ekb.eg/article_424514_89174ca09157ba4a4596b33a9a670542.pdf</b:URL>
    <b:RefOrder>6</b:RefOrder>
  </b:Source>
</b:Sources>
</file>

<file path=customXml/itemProps1.xml><?xml version="1.0" encoding="utf-8"?>
<ds:datastoreItem xmlns:ds="http://schemas.openxmlformats.org/officeDocument/2006/customXml" ds:itemID="{8C001A0F-1915-400C-8584-8B89EE436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18</Pages>
  <Words>3618</Words>
  <Characters>20629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ENG.abdelrhman</cp:lastModifiedBy>
  <cp:revision>22</cp:revision>
  <dcterms:created xsi:type="dcterms:W3CDTF">2025-07-14T20:58:00Z</dcterms:created>
  <dcterms:modified xsi:type="dcterms:W3CDTF">2025-08-09T11:46:00Z</dcterms:modified>
</cp:coreProperties>
</file>