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6" Type="http://schemas.microsoft.com/office/2020/02/relationships/classificationlabels" Target="docMetadata/LabelInfo.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E7D6B" w14:textId="77777777"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D2E6DA8" w14:textId="77777777" w:rsidR="00E000FF" w:rsidRDefault="00E000FF" w:rsidP="00E000FF">
      <w:pPr>
        <w:bidi/>
        <w:spacing w:after="0" w:line="360" w:lineRule="auto"/>
        <w:jc w:val="center"/>
        <w:rPr>
          <w:rFonts w:ascii="Traditional Arabic" w:hAnsi="Traditional Arabic" w:cs="Traditional Arabic"/>
          <w:b/>
          <w:bCs/>
          <w:sz w:val="28"/>
          <w:szCs w:val="28"/>
          <w:rtl/>
        </w:rPr>
      </w:pPr>
    </w:p>
    <w:p w14:paraId="49317C34" w14:textId="77777777" w:rsidR="005D691F" w:rsidRDefault="00F4227D" w:rsidP="00E000FF">
      <w:pPr>
        <w:bidi/>
        <w:spacing w:after="0" w:line="360" w:lineRule="auto"/>
        <w:jc w:val="center"/>
      </w:pPr>
      <w:r>
        <w:rPr>
          <w:rFonts w:ascii="Traditional Arabic" w:hAnsi="Traditional Arabic" w:cs="Traditional Arabic"/>
          <w:b/>
          <w:bCs/>
          <w:sz w:val="28"/>
          <w:szCs w:val="28"/>
          <w:rtl/>
        </w:rPr>
        <w:t>جامعة ميدأوشن</w:t>
      </w:r>
    </w:p>
    <w:p w14:paraId="0A76BD3F" w14:textId="77777777" w:rsidR="005D691F" w:rsidRDefault="00F4227D" w:rsidP="00E000FF">
      <w:pPr>
        <w:bidi/>
        <w:spacing w:after="0" w:line="360" w:lineRule="auto"/>
        <w:jc w:val="center"/>
      </w:pPr>
      <w:r>
        <w:rPr>
          <w:rFonts w:ascii="Traditional Arabic" w:hAnsi="Traditional Arabic" w:cs="Traditional Arabic"/>
          <w:b/>
          <w:bCs/>
          <w:sz w:val="24"/>
          <w:szCs w:val="24"/>
          <w:rtl/>
        </w:rPr>
        <w:t>كلية الإدارة</w:t>
      </w:r>
    </w:p>
    <w:p w14:paraId="0846D203" w14:textId="77777777" w:rsidR="005D691F" w:rsidRDefault="005D691F" w:rsidP="00E000FF">
      <w:pPr>
        <w:bidi/>
        <w:spacing w:after="0" w:line="360" w:lineRule="auto"/>
      </w:pPr>
    </w:p>
    <w:p w14:paraId="1FF37271" w14:textId="77777777" w:rsidR="005D691F" w:rsidRDefault="00F4227D" w:rsidP="00E000FF">
      <w:pPr>
        <w:bidi/>
        <w:spacing w:after="0" w:line="360" w:lineRule="auto"/>
        <w:jc w:val="center"/>
      </w:pPr>
      <w:r>
        <w:rPr>
          <w:rFonts w:ascii="Traditional Arabic" w:hAnsi="Traditional Arabic" w:cs="Traditional Arabic"/>
          <w:b/>
          <w:bCs/>
          <w:sz w:val="36"/>
          <w:szCs w:val="36"/>
          <w:rtl/>
        </w:rPr>
        <w:t>أثر تقنية الترميز على الأمن السيبراني وكفاءة العمليات المالية في المؤسسات المالية السعودية</w:t>
      </w:r>
    </w:p>
    <w:p w14:paraId="597A191D" w14:textId="77777777" w:rsidR="005D691F" w:rsidRDefault="00F4227D" w:rsidP="00E000FF">
      <w:pPr>
        <w:bidi/>
        <w:spacing w:after="0" w:line="360" w:lineRule="auto"/>
        <w:jc w:val="center"/>
      </w:pPr>
      <w:r>
        <w:rPr>
          <w:rFonts w:ascii="Traditional Arabic" w:hAnsi="Traditional Arabic" w:cs="Traditional Arabic"/>
          <w:b/>
          <w:bCs/>
          <w:sz w:val="28"/>
          <w:szCs w:val="28"/>
          <w:rtl/>
        </w:rPr>
        <w:t>دراسة تحليلية وفق رؤية المملكة 2030</w:t>
      </w:r>
    </w:p>
    <w:p w14:paraId="3C2252FD" w14:textId="77777777" w:rsidR="005D691F" w:rsidRDefault="005D691F" w:rsidP="00E000FF">
      <w:pPr>
        <w:bidi/>
        <w:spacing w:after="0" w:line="360" w:lineRule="auto"/>
      </w:pPr>
    </w:p>
    <w:p w14:paraId="0BD68B81" w14:textId="77777777" w:rsidR="005D691F" w:rsidRDefault="00F4227D" w:rsidP="00E000FF">
      <w:pPr>
        <w:bidi/>
        <w:spacing w:after="0" w:line="360" w:lineRule="auto"/>
        <w:jc w:val="center"/>
      </w:pPr>
      <w:r>
        <w:rPr>
          <w:rFonts w:ascii="Traditional Arabic" w:hAnsi="Traditional Arabic" w:cs="Traditional Arabic"/>
          <w:b/>
          <w:bCs/>
          <w:sz w:val="28"/>
          <w:szCs w:val="28"/>
          <w:rtl/>
        </w:rPr>
        <w:t>إعداد</w:t>
      </w:r>
    </w:p>
    <w:p w14:paraId="40B2944D" w14:textId="77777777" w:rsidR="005D691F" w:rsidRDefault="00F4227D" w:rsidP="00E000FF">
      <w:pPr>
        <w:bidi/>
        <w:spacing w:after="0" w:line="360" w:lineRule="auto"/>
        <w:jc w:val="center"/>
      </w:pPr>
      <w:r>
        <w:rPr>
          <w:rFonts w:ascii="Traditional Arabic" w:hAnsi="Traditional Arabic" w:cs="Traditional Arabic"/>
          <w:b/>
          <w:bCs/>
          <w:sz w:val="28"/>
          <w:szCs w:val="28"/>
          <w:rtl/>
        </w:rPr>
        <w:t>فيصل معيض الشريف</w:t>
      </w:r>
    </w:p>
    <w:p w14:paraId="1DF02FE8" w14:textId="77777777" w:rsidR="005D691F" w:rsidRDefault="00F4227D" w:rsidP="00E000FF">
      <w:pPr>
        <w:bidi/>
        <w:spacing w:after="0" w:line="360" w:lineRule="auto"/>
        <w:jc w:val="center"/>
      </w:pPr>
      <w:r>
        <w:rPr>
          <w:rFonts w:ascii="Traditional Arabic" w:hAnsi="Traditional Arabic" w:cs="Traditional Arabic"/>
          <w:b/>
          <w:bCs/>
          <w:sz w:val="24"/>
          <w:szCs w:val="24"/>
          <w:rtl/>
        </w:rPr>
        <w:t>المملكة العربية السعودية</w:t>
      </w:r>
    </w:p>
    <w:p w14:paraId="226A9A45" w14:textId="77777777" w:rsidR="005D691F" w:rsidRDefault="005D691F" w:rsidP="00E000FF">
      <w:pPr>
        <w:bidi/>
        <w:spacing w:after="0" w:line="360" w:lineRule="auto"/>
      </w:pPr>
    </w:p>
    <w:p w14:paraId="6EAD0B60"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رسالة مقدمة لجامعة ميدأوشن لاستكمال متطلبات نيل درجة الدكتوراه في الفلسفة</w:t>
      </w:r>
    </w:p>
    <w:p w14:paraId="7F9A588F"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في</w:t>
      </w:r>
    </w:p>
    <w:p w14:paraId="5F445B5C"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الإدارة</w:t>
      </w:r>
    </w:p>
    <w:p w14:paraId="5C71CA89" w14:textId="77777777" w:rsidR="005D691F" w:rsidRPr="00E000FF" w:rsidRDefault="005D691F" w:rsidP="00E000FF">
      <w:pPr>
        <w:bidi/>
        <w:spacing w:after="0" w:line="360" w:lineRule="auto"/>
        <w:rPr>
          <w:sz w:val="26"/>
          <w:szCs w:val="26"/>
        </w:rPr>
      </w:pPr>
    </w:p>
    <w:p w14:paraId="1473DC1D"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sz w:val="20"/>
          <w:szCs w:val="20"/>
          <w:rtl/>
        </w:rPr>
        <w:t>1447 هـ - 2025 م</w:t>
      </w:r>
    </w:p>
    <w:p w14:paraId="3BCFFF0E" w14:textId="77777777" w:rsidR="005D691F" w:rsidRDefault="00F4227D" w:rsidP="00E000FF">
      <w:pPr>
        <w:bidi/>
        <w:spacing w:after="0"/>
      </w:pPr>
      <w:r>
        <w:br w:type="page"/>
      </w:r>
    </w:p>
    <w:p w14:paraId="3578909B" w14:textId="77777777" w:rsidR="005D691F" w:rsidRDefault="00F4227D" w:rsidP="00E000FF">
      <w:pPr>
        <w:spacing w:after="0" w:line="360" w:lineRule="auto"/>
        <w:jc w:val="center"/>
      </w:pPr>
      <w:r>
        <w:rPr>
          <w:rFonts w:ascii="Times New Roman" w:hAnsi="Times New Roman" w:cs="Times New Roman"/>
          <w:b/>
          <w:bCs/>
          <w:sz w:val="28"/>
          <w:szCs w:val="28"/>
        </w:rPr>
        <w:lastRenderedPageBreak/>
        <w:t>MIDOCEAN UNIVERSITY</w:t>
      </w:r>
    </w:p>
    <w:p w14:paraId="6D505FF3" w14:textId="77777777" w:rsidR="005D691F" w:rsidRDefault="00F4227D" w:rsidP="00E000FF">
      <w:pPr>
        <w:spacing w:after="0" w:line="360" w:lineRule="auto"/>
        <w:jc w:val="center"/>
      </w:pPr>
      <w:r>
        <w:rPr>
          <w:rFonts w:ascii="Times New Roman" w:hAnsi="Times New Roman" w:cs="Times New Roman"/>
          <w:b/>
          <w:bCs/>
          <w:sz w:val="24"/>
          <w:szCs w:val="24"/>
        </w:rPr>
        <w:t>College of Management</w:t>
      </w:r>
    </w:p>
    <w:p w14:paraId="3F7DDEB8" w14:textId="77777777" w:rsidR="005D691F" w:rsidRDefault="005D691F" w:rsidP="00E000FF">
      <w:pPr>
        <w:bidi/>
        <w:spacing w:after="0" w:line="360" w:lineRule="auto"/>
      </w:pPr>
    </w:p>
    <w:p w14:paraId="5AD612D5" w14:textId="77777777" w:rsidR="005D691F" w:rsidRDefault="00F4227D" w:rsidP="00E000FF">
      <w:pPr>
        <w:spacing w:after="0" w:line="360" w:lineRule="auto"/>
        <w:jc w:val="center"/>
      </w:pPr>
      <w:r>
        <w:rPr>
          <w:rFonts w:ascii="Times New Roman" w:hAnsi="Times New Roman" w:cs="Times New Roman"/>
          <w:b/>
          <w:bCs/>
          <w:sz w:val="36"/>
          <w:szCs w:val="36"/>
        </w:rPr>
        <w:t>THE IMPACT OF TOKENIZATION ON CYBERSECURITY AND FINANCIAL OPERATIONS EFFICIENCY IN SAUDI FINANCIAL INSTITUTIONS</w:t>
      </w:r>
    </w:p>
    <w:p w14:paraId="619D54FC" w14:textId="77777777" w:rsidR="005D691F" w:rsidRDefault="00F4227D" w:rsidP="00E000FF">
      <w:pPr>
        <w:spacing w:after="0" w:line="360" w:lineRule="auto"/>
        <w:jc w:val="center"/>
      </w:pPr>
      <w:r>
        <w:rPr>
          <w:rFonts w:ascii="Times New Roman" w:hAnsi="Times New Roman" w:cs="Times New Roman"/>
          <w:b/>
          <w:bCs/>
          <w:sz w:val="28"/>
          <w:szCs w:val="28"/>
        </w:rPr>
        <w:t>An Analytical Study in Light of Saudi Vision 2030</w:t>
      </w:r>
    </w:p>
    <w:p w14:paraId="6BD23F0E" w14:textId="77777777" w:rsidR="005D691F" w:rsidRDefault="005D691F" w:rsidP="00E000FF">
      <w:pPr>
        <w:bidi/>
        <w:spacing w:after="0" w:line="360" w:lineRule="auto"/>
      </w:pPr>
    </w:p>
    <w:p w14:paraId="7BC9F16C" w14:textId="77777777" w:rsidR="005D691F" w:rsidRDefault="00F4227D" w:rsidP="00E000FF">
      <w:pPr>
        <w:spacing w:after="0" w:line="360" w:lineRule="auto"/>
        <w:jc w:val="center"/>
      </w:pPr>
      <w:r>
        <w:rPr>
          <w:rFonts w:ascii="Times New Roman" w:hAnsi="Times New Roman" w:cs="Times New Roman"/>
          <w:b/>
          <w:bCs/>
          <w:sz w:val="28"/>
          <w:szCs w:val="28"/>
        </w:rPr>
        <w:t>By</w:t>
      </w:r>
    </w:p>
    <w:p w14:paraId="0D3FA74F" w14:textId="77777777" w:rsidR="005D691F" w:rsidRDefault="00F4227D" w:rsidP="00E000FF">
      <w:pPr>
        <w:spacing w:after="0" w:line="360" w:lineRule="auto"/>
        <w:jc w:val="center"/>
      </w:pPr>
      <w:r>
        <w:rPr>
          <w:rFonts w:ascii="Times New Roman" w:hAnsi="Times New Roman" w:cs="Times New Roman"/>
          <w:b/>
          <w:bCs/>
          <w:sz w:val="28"/>
          <w:szCs w:val="28"/>
        </w:rPr>
        <w:t>FAISAL MUAID AL-SHARIF</w:t>
      </w:r>
    </w:p>
    <w:p w14:paraId="5E024AE7" w14:textId="77777777" w:rsidR="005D691F" w:rsidRDefault="00F4227D" w:rsidP="00E000FF">
      <w:pPr>
        <w:spacing w:after="0" w:line="360" w:lineRule="auto"/>
        <w:jc w:val="center"/>
      </w:pPr>
      <w:r>
        <w:rPr>
          <w:rFonts w:ascii="Times New Roman" w:hAnsi="Times New Roman" w:cs="Times New Roman"/>
          <w:b/>
          <w:bCs/>
          <w:sz w:val="24"/>
          <w:szCs w:val="24"/>
        </w:rPr>
        <w:t>Saudi Arabia</w:t>
      </w:r>
    </w:p>
    <w:p w14:paraId="19006B85" w14:textId="77777777" w:rsidR="005D691F" w:rsidRDefault="005D691F" w:rsidP="00E000FF">
      <w:pPr>
        <w:bidi/>
        <w:spacing w:after="0" w:line="360" w:lineRule="auto"/>
      </w:pPr>
    </w:p>
    <w:p w14:paraId="40297A80" w14:textId="77777777" w:rsidR="005D691F" w:rsidRDefault="00F4227D" w:rsidP="00E000FF">
      <w:pPr>
        <w:spacing w:after="0" w:line="360" w:lineRule="auto"/>
        <w:jc w:val="center"/>
      </w:pPr>
      <w:r>
        <w:rPr>
          <w:rFonts w:ascii="Times New Roman" w:hAnsi="Times New Roman" w:cs="Times New Roman"/>
          <w:b/>
          <w:bCs/>
          <w:sz w:val="24"/>
          <w:szCs w:val="24"/>
        </w:rPr>
        <w:t xml:space="preserve">Submitted to </w:t>
      </w:r>
      <w:proofErr w:type="spellStart"/>
      <w:r>
        <w:rPr>
          <w:rFonts w:ascii="Times New Roman" w:hAnsi="Times New Roman" w:cs="Times New Roman"/>
          <w:b/>
          <w:bCs/>
          <w:sz w:val="24"/>
          <w:szCs w:val="24"/>
        </w:rPr>
        <w:t>Midocean</w:t>
      </w:r>
      <w:proofErr w:type="spellEnd"/>
      <w:r>
        <w:rPr>
          <w:rFonts w:ascii="Times New Roman" w:hAnsi="Times New Roman" w:cs="Times New Roman"/>
          <w:b/>
          <w:bCs/>
          <w:sz w:val="24"/>
          <w:szCs w:val="24"/>
        </w:rPr>
        <w:t xml:space="preserve"> University in partial fulfillment of the requirements for the degree of Doctor of Philosophy</w:t>
      </w:r>
    </w:p>
    <w:p w14:paraId="124D4849" w14:textId="77777777" w:rsidR="005D691F" w:rsidRDefault="00F4227D" w:rsidP="00E000FF">
      <w:pPr>
        <w:spacing w:after="0" w:line="360" w:lineRule="auto"/>
        <w:jc w:val="center"/>
      </w:pPr>
      <w:r>
        <w:rPr>
          <w:rFonts w:ascii="Times New Roman" w:hAnsi="Times New Roman" w:cs="Times New Roman"/>
          <w:b/>
          <w:bCs/>
          <w:sz w:val="24"/>
          <w:szCs w:val="24"/>
        </w:rPr>
        <w:t>in</w:t>
      </w:r>
    </w:p>
    <w:p w14:paraId="39DACC72" w14:textId="77777777" w:rsidR="005D691F" w:rsidRDefault="00F4227D" w:rsidP="00E000FF">
      <w:pPr>
        <w:spacing w:after="0" w:line="360" w:lineRule="auto"/>
        <w:jc w:val="center"/>
      </w:pPr>
      <w:r>
        <w:rPr>
          <w:rFonts w:ascii="Times New Roman" w:hAnsi="Times New Roman" w:cs="Times New Roman"/>
          <w:b/>
          <w:bCs/>
          <w:sz w:val="24"/>
          <w:szCs w:val="24"/>
        </w:rPr>
        <w:t>MANAGEMENT</w:t>
      </w:r>
    </w:p>
    <w:p w14:paraId="19E20689" w14:textId="77777777" w:rsidR="005D691F" w:rsidRDefault="005D691F" w:rsidP="00E000FF">
      <w:pPr>
        <w:bidi/>
        <w:spacing w:after="0" w:line="360" w:lineRule="auto"/>
      </w:pPr>
    </w:p>
    <w:p w14:paraId="0F217670" w14:textId="77777777" w:rsidR="005D691F" w:rsidRDefault="00F4227D" w:rsidP="00E000FF">
      <w:pPr>
        <w:spacing w:after="0" w:line="360" w:lineRule="auto"/>
        <w:jc w:val="center"/>
      </w:pPr>
      <w:r>
        <w:rPr>
          <w:rFonts w:ascii="Times New Roman" w:hAnsi="Times New Roman" w:cs="Times New Roman"/>
          <w:sz w:val="16"/>
          <w:szCs w:val="16"/>
        </w:rPr>
        <w:t>2025</w:t>
      </w:r>
    </w:p>
    <w:p w14:paraId="11C950CD" w14:textId="77777777" w:rsidR="005D691F" w:rsidRDefault="005D691F" w:rsidP="00E000FF">
      <w:pPr>
        <w:bidi/>
        <w:spacing w:after="0"/>
      </w:pPr>
    </w:p>
    <w:p w14:paraId="732D7F18"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br w:type="page"/>
      </w:r>
      <w:bookmarkStart w:id="0" w:name="_Toc224563911"/>
      <w:bookmarkStart w:id="1" w:name="_Toc234424105"/>
      <w:r>
        <w:rPr>
          <w:rFonts w:ascii="Traditional Arabic" w:hAnsi="Traditional Arabic" w:cs="Traditional Arabic" w:hint="cs"/>
          <w:b/>
          <w:bCs/>
          <w:color w:val="auto"/>
          <w:u w:val="single"/>
          <w:rtl/>
        </w:rPr>
        <w:lastRenderedPageBreak/>
        <w:t>المحتويات</w:t>
      </w:r>
      <w:bookmarkEnd w:id="0"/>
      <w:bookmarkEnd w:id="1"/>
    </w:p>
    <w:p w14:paraId="3371A585" w14:textId="77777777" w:rsidR="005D691F" w:rsidRDefault="00F4227D" w:rsidP="00E000FF">
      <w:pPr>
        <w:bidi/>
        <w:spacing w:after="0"/>
      </w:pPr>
      <w:r>
        <w:fldChar w:fldCharType="begin"/>
      </w:r>
      <w:r>
        <w:instrText xml:space="preserve">TOC \t "Hd1,1" \h \z \u </w:instrText>
      </w:r>
      <w:r>
        <w:fldChar w:fldCharType="separate"/>
      </w:r>
      <w:r w:rsidR="00D5434C">
        <w:rPr>
          <w:b/>
          <w:bCs/>
          <w:noProof/>
        </w:rPr>
        <w:t>No table of contents entries found.</w:t>
      </w:r>
      <w:r>
        <w:fldChar w:fldCharType="end"/>
      </w:r>
    </w:p>
    <w:p w14:paraId="29E7A514"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الجداول</w:t>
      </w:r>
    </w:p>
    <w:p w14:paraId="36B4A7DD" w14:textId="77777777" w:rsidR="005D691F" w:rsidRDefault="00F4227D" w:rsidP="00E000FF">
      <w:pPr>
        <w:bidi/>
        <w:spacing w:after="0"/>
      </w:pPr>
      <w:r>
        <w:fldChar w:fldCharType="begin"/>
      </w:r>
      <w:r>
        <w:instrText xml:space="preserve">TOC \t "TblCap,1" \h \z \u </w:instrText>
      </w:r>
      <w:r>
        <w:fldChar w:fldCharType="separate"/>
      </w:r>
      <w:r w:rsidR="00D5434C">
        <w:rPr>
          <w:b/>
          <w:bCs/>
          <w:noProof/>
        </w:rPr>
        <w:t>No table of contents entries found.</w:t>
      </w:r>
      <w:r>
        <w:fldChar w:fldCharType="end"/>
      </w:r>
    </w:p>
    <w:p w14:paraId="4B989A95"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الأشكال</w:t>
      </w:r>
    </w:p>
    <w:p w14:paraId="386F230A" w14:textId="77777777" w:rsidR="005D691F" w:rsidRDefault="00F4227D" w:rsidP="00E000FF">
      <w:pPr>
        <w:bidi/>
        <w:spacing w:after="0"/>
      </w:pPr>
      <w:r>
        <w:fldChar w:fldCharType="begin"/>
      </w:r>
      <w:r>
        <w:instrText xml:space="preserve">TOC \t "FigCap,1" \h \z \u </w:instrText>
      </w:r>
      <w:r>
        <w:fldChar w:fldCharType="separate"/>
      </w:r>
      <w:r w:rsidR="00D5434C">
        <w:rPr>
          <w:b/>
          <w:bCs/>
          <w:noProof/>
        </w:rPr>
        <w:t>No table of contents entries found.</w:t>
      </w:r>
      <w:r>
        <w:fldChar w:fldCharType="end"/>
      </w:r>
    </w:p>
    <w:p w14:paraId="1AA01977" w14:textId="77777777" w:rsidR="00C6300C" w:rsidRPr="00AD7D4E" w:rsidRDefault="00DF1676" w:rsidP="00E000FF">
      <w:pPr>
        <w:pStyle w:val="HeadingTOCEntry"/>
        <w:bidi/>
        <w:spacing w:after="0" w:line="360" w:lineRule="auto"/>
        <w:rPr>
          <w:rFonts w:ascii="Simplified Arabic" w:hAnsi="Simplified Arabic" w:cs="Simplified Arabic"/>
          <w:b/>
          <w:bCs/>
          <w:sz w:val="28"/>
          <w:szCs w:val="28"/>
          <w:u w:val="single"/>
        </w:rPr>
      </w:pPr>
      <w:bookmarkStart w:id="2" w:name="_Toc224563912"/>
      <w:bookmarkStart w:id="3" w:name="_Toc234424106"/>
      <w:r>
        <w:rPr>
          <w:rFonts w:ascii="Traditional Arabic" w:hAnsi="Traditional Arabic" w:cs="Traditional Arabic"/>
          <w:b/>
          <w:bCs/>
          <w:sz w:val="32"/>
          <w:szCs w:val="32"/>
          <w:u w:val="single"/>
          <w:rtl/>
        </w:rPr>
        <w:t>الملخص (بالعربية)</w:t>
      </w:r>
      <w:bookmarkEnd w:id="2"/>
      <w:bookmarkEnd w:id="3"/>
    </w:p>
    <w:p w14:paraId="0AFDB41D" w14:textId="77777777"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41F373C2" w14:textId="77777777"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33ACAE4C" w14:textId="77777777"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اعتمدت الدراسة المنهج الكمي الوصفي التحليلي، وطُبِّقت استبانة إلكترونية على عينة قصدية بلغت (196) مستجيباً من العاملين في وظائف تقنية المعلومات والأمن السيبراني والعمليات المالية والامتثال داخل المؤسسات المالية السعودية. وحُلِّلت البيانات بأساليب إحصائية لامعلمية شملت معامل ارتباط سبيرمان، واختبار مان-ويتني U، واختبار كروسكال-واليس، والانحدار المنقّح (Robust Regression)، وذلك بعد التحقق من انحراف البيانات عن التوزيع الطبيعي وعدم تجانس التباين.</w:t>
      </w:r>
    </w:p>
    <w:p w14:paraId="02A764C4" w14:textId="77777777" w:rsidR="00AD7D4E" w:rsidRDefault="00C6300C" w:rsidP="00E000FF">
      <w:pPr>
        <w:pStyle w:val="Heading2"/>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أظهرت النتائج وجود علاقة طردية دالة إحصائياً بين تطبيق تقنية الترميز ومستوى الأمن السيبراني المؤسسي (r = 0.641، p &lt; 0.001)، وبين تطبيق التقنية وكفاءة العمليات المالية (r = 0.625، p &lt; 0.001). كما فسّر نموذجا الانحدار المنقّح ما نسبته (78.3%) من التباين في الأمن السيبراني المؤسسي و(74.7%) من التباين في الكفاءة التشغيلية المالية. وكشفت النتائج عن فروق دالة إحصائياً تُعزى إلى مستوى تبنّي المؤسسة للتقنية ولنوع المؤسسة المالية. وتوصي الدراسة بتوسيع نطاق تطبيق الترميز وربطه بمنظومة الامتثال للمعايير الدولية بوصفه ممكِّناً لأهداف رؤية 2030.</w:t>
      </w:r>
    </w:p>
    <w:p w14:paraId="6AD16DCB" w14:textId="77777777" w:rsidR="0005531B" w:rsidRDefault="0005531B" w:rsidP="0005531B">
      <w:pPr>
        <w:bidi/>
        <w:rPr>
          <w:rtl/>
        </w:rPr>
      </w:pPr>
    </w:p>
    <w:p w14:paraId="7F6E0698" w14:textId="77777777" w:rsidR="0005531B" w:rsidRPr="0005531B" w:rsidRDefault="0005531B" w:rsidP="0005531B">
      <w:pPr>
        <w:bidi/>
      </w:pPr>
    </w:p>
    <w:p w14:paraId="3B00041C" w14:textId="77777777" w:rsidR="00AD7D4E" w:rsidRPr="00AD7D4E" w:rsidRDefault="00AD7D4E" w:rsidP="00E000FF">
      <w:pPr>
        <w:bidi/>
        <w:spacing w:after="0" w:line="360" w:lineRule="auto"/>
      </w:pPr>
    </w:p>
    <w:p w14:paraId="0AAA68A3" w14:textId="77777777" w:rsidR="0005778F" w:rsidRDefault="00F443A5" w:rsidP="00E000FF">
      <w:pPr>
        <w:pStyle w:val="HeadingTOCEntry"/>
        <w:spacing w:after="0" w:line="360" w:lineRule="auto"/>
        <w:rPr>
          <w:rFonts w:ascii="Traditional Arabic" w:hAnsi="Traditional Arabic" w:cs="Traditional Arabic"/>
          <w:b/>
          <w:bCs/>
          <w:sz w:val="32"/>
          <w:szCs w:val="32"/>
          <w:u w:val="single"/>
        </w:rPr>
      </w:pPr>
      <w:r w:rsidRPr="00F443A5">
        <w:rPr>
          <w:rFonts w:ascii="Traditional Arabic" w:hAnsi="Traditional Arabic" w:cs="Traditional Arabic"/>
          <w:b/>
          <w:bCs/>
          <w:sz w:val="32"/>
          <w:szCs w:val="32"/>
          <w:u w:val="single"/>
        </w:rPr>
        <w:lastRenderedPageBreak/>
        <w:t>Abstract (English)</w:t>
      </w:r>
    </w:p>
    <w:p w14:paraId="467CED1C"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p>
    <w:p w14:paraId="41A13858"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p>
    <w:p w14:paraId="60FB5465" w14:textId="77777777" w:rsidR="00F630BE"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 xml:space="preserve">The study adopted a quantitative descriptive-analytical approach. An electronic questionnaire was administered to a purposive sample of 196 respondents working in information technology, cybersecurity, financial operations and compliance functions within Saudi financial institutions. Data were </w:t>
      </w:r>
      <w:proofErr w:type="spellStart"/>
      <w:r w:rsidRPr="00F277A5">
        <w:rPr>
          <w:rFonts w:ascii="Traditional Arabic" w:hAnsi="Traditional Arabic" w:cs="Traditional Arabic"/>
          <w:sz w:val="28"/>
          <w:szCs w:val="28"/>
        </w:rPr>
        <w:t>analysed</w:t>
      </w:r>
      <w:proofErr w:type="spellEnd"/>
      <w:r w:rsidRPr="00F277A5">
        <w:rPr>
          <w:rFonts w:ascii="Traditional Arabic" w:hAnsi="Traditional Arabic" w:cs="Traditional Arabic"/>
          <w:sz w:val="28"/>
          <w:szCs w:val="28"/>
        </w:rPr>
        <w:t xml:space="preserve"> using non-parametric methods: Spearman rank correlation, Mann-Whitney U, </w:t>
      </w:r>
      <w:proofErr w:type="spellStart"/>
      <w:r w:rsidRPr="00F277A5">
        <w:rPr>
          <w:rFonts w:ascii="Traditional Arabic" w:hAnsi="Traditional Arabic" w:cs="Traditional Arabic"/>
          <w:sz w:val="28"/>
          <w:szCs w:val="28"/>
        </w:rPr>
        <w:t>Kruskal</w:t>
      </w:r>
      <w:proofErr w:type="spellEnd"/>
      <w:r w:rsidRPr="00F277A5">
        <w:rPr>
          <w:rFonts w:ascii="Traditional Arabic" w:hAnsi="Traditional Arabic" w:cs="Traditional Arabic"/>
          <w:sz w:val="28"/>
          <w:szCs w:val="28"/>
        </w:rPr>
        <w:t>-Wallis, and Robust Regression, following confirmation of non-normality and heterogeneity of variance.</w:t>
      </w:r>
    </w:p>
    <w:p w14:paraId="24E18B06" w14:textId="77777777" w:rsidR="00C6300C" w:rsidRPr="00F277A5" w:rsidRDefault="00F630BE" w:rsidP="00E000FF">
      <w:pPr>
        <w:pStyle w:val="Heading2"/>
        <w:spacing w:before="0" w:line="360" w:lineRule="auto"/>
        <w:jc w:val="both"/>
        <w:rPr>
          <w:rFonts w:ascii="Simplified Arabic" w:hAnsi="Simplified Arabic" w:cs="Simplified Arabic"/>
          <w:color w:val="auto"/>
          <w:sz w:val="28"/>
          <w:szCs w:val="28"/>
          <w:rtl/>
        </w:rPr>
      </w:pPr>
      <w:r w:rsidRPr="00F277A5">
        <w:rPr>
          <w:rFonts w:ascii="Traditional Arabic" w:eastAsiaTheme="minorHAnsi" w:hAnsi="Traditional Arabic" w:cs="Traditional Arabic"/>
          <w:color w:val="auto"/>
          <w:sz w:val="28"/>
          <w:szCs w:val="28"/>
        </w:rPr>
        <w:lastRenderedPageBreak/>
        <w:t>Results revealed a statistically significant positive relationship between tokenization adoption and institutional cybersecurity (r = 0.641, p &lt; 0.001), and between tokenization and financial operations efficiency (r = 0.625, p &lt; 0.001). The robust regression models explained 78.3% of the variance in institutional cybersecurity and 74.7% of the variance in financial operational efficiency. Significant differences were found according to the institution's adoption level and institution type. The study recommends expanding tokenization coverage and linking it to international compliance frameworks as an enabler of Vision 2030 objectives.</w:t>
      </w:r>
    </w:p>
    <w:p w14:paraId="7B9F20F8" w14:textId="77777777" w:rsidR="0005531B" w:rsidRDefault="0005531B">
      <w:pPr>
        <w:spacing w:after="200" w:line="276" w:lineRule="auto"/>
        <w:rPr>
          <w:rFonts w:ascii="Traditional Arabic" w:hAnsi="Traditional Arabic" w:cs="Traditional Arabic"/>
          <w:b/>
          <w:bCs/>
          <w:sz w:val="92"/>
          <w:szCs w:val="92"/>
          <w:rtl/>
        </w:rPr>
      </w:pPr>
      <w:bookmarkStart w:id="4" w:name="_Toc224563914"/>
      <w:bookmarkStart w:id="5" w:name="_Toc234424108"/>
      <w:r>
        <w:rPr>
          <w:rFonts w:ascii="Traditional Arabic" w:hAnsi="Traditional Arabic" w:cs="Traditional Arabic"/>
          <w:b/>
          <w:bCs/>
          <w:sz w:val="92"/>
          <w:szCs w:val="92"/>
          <w:rtl/>
        </w:rPr>
        <w:br w:type="page"/>
      </w:r>
    </w:p>
    <w:p w14:paraId="22C0C85A" w14:textId="77777777" w:rsidR="0005531B" w:rsidRDefault="0005531B" w:rsidP="00E000FF">
      <w:pPr>
        <w:pStyle w:val="HeadingTOCEntry"/>
        <w:bidi/>
        <w:spacing w:after="0" w:line="360" w:lineRule="auto"/>
        <w:ind w:left="432" w:hanging="432"/>
        <w:jc w:val="center"/>
        <w:rPr>
          <w:rFonts w:ascii="Traditional Arabic" w:hAnsi="Traditional Arabic" w:cs="Traditional Arabic"/>
          <w:b/>
          <w:bCs/>
          <w:sz w:val="92"/>
          <w:szCs w:val="92"/>
          <w:rtl/>
        </w:rPr>
      </w:pPr>
    </w:p>
    <w:p w14:paraId="58D2DAB8"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2C1D9D43"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0726D3B5" w14:textId="77777777" w:rsidR="00D370C1" w:rsidRPr="000C2DBF" w:rsidRDefault="00D370C1" w:rsidP="0005531B">
      <w:pPr>
        <w:pStyle w:val="HeadingTOCEntry"/>
        <w:bidi/>
        <w:spacing w:after="0" w:line="360" w:lineRule="auto"/>
        <w:ind w:left="432" w:hanging="432"/>
        <w:jc w:val="center"/>
        <w:rPr>
          <w:rFonts w:ascii="Simplified Arabic" w:hAnsi="Simplified Arabic" w:cs="Simplified Arabic"/>
          <w:b/>
          <w:bCs/>
          <w:sz w:val="96"/>
          <w:szCs w:val="96"/>
          <w:rtl/>
        </w:rPr>
      </w:pPr>
      <w:r w:rsidRPr="0005778F">
        <w:rPr>
          <w:rFonts w:ascii="Traditional Arabic" w:hAnsi="Traditional Arabic" w:cs="Traditional Arabic" w:hint="cs"/>
          <w:b/>
          <w:bCs/>
          <w:sz w:val="92"/>
          <w:szCs w:val="92"/>
          <w:rtl/>
        </w:rPr>
        <w:t>الفصل الأول</w:t>
      </w:r>
      <w:bookmarkEnd w:id="4"/>
      <w:bookmarkEnd w:id="5"/>
      <w:r w:rsidRPr="0005778F">
        <w:rPr>
          <w:rFonts w:ascii="Traditional Arabic" w:hAnsi="Traditional Arabic" w:cs="Traditional Arabic" w:hint="cs"/>
          <w:b/>
          <w:bCs/>
          <w:sz w:val="92"/>
          <w:szCs w:val="92"/>
          <w:rtl/>
        </w:rPr>
        <w:t xml:space="preserve"> </w:t>
      </w:r>
    </w:p>
    <w:p w14:paraId="77947B5A" w14:textId="77777777" w:rsidR="00D370C1" w:rsidRPr="0005778F" w:rsidRDefault="00D370C1" w:rsidP="00E000FF">
      <w:pPr>
        <w:bidi/>
        <w:spacing w:after="0" w:line="360" w:lineRule="auto"/>
        <w:jc w:val="center"/>
        <w:rPr>
          <w:rFonts w:ascii="Traditional Arabic" w:hAnsi="Traditional Arabic" w:cs="Traditional Arabic"/>
          <w:b/>
          <w:bCs/>
          <w:sz w:val="92"/>
          <w:szCs w:val="92"/>
          <w:rtl/>
        </w:rPr>
      </w:pPr>
      <w:r w:rsidRPr="0005778F">
        <w:rPr>
          <w:rFonts w:ascii="Traditional Arabic" w:hAnsi="Traditional Arabic" w:cs="Traditional Arabic" w:hint="cs"/>
          <w:b/>
          <w:bCs/>
          <w:sz w:val="92"/>
          <w:szCs w:val="92"/>
          <w:rtl/>
        </w:rPr>
        <w:t>الإطار العام</w:t>
      </w:r>
    </w:p>
    <w:p w14:paraId="164D192B" w14:textId="77777777" w:rsidR="0005778F" w:rsidRPr="0005778F" w:rsidRDefault="0005778F" w:rsidP="00E000FF">
      <w:pPr>
        <w:spacing w:after="0" w:line="276" w:lineRule="auto"/>
        <w:rPr>
          <w:rFonts w:ascii="Traditional Arabic" w:hAnsi="Traditional Arabic" w:cs="Traditional Arabic"/>
          <w:b/>
          <w:bCs/>
          <w:sz w:val="32"/>
          <w:szCs w:val="32"/>
          <w:rtl/>
        </w:rPr>
      </w:pPr>
      <w:r w:rsidRPr="0005778F">
        <w:rPr>
          <w:rFonts w:ascii="Traditional Arabic" w:hAnsi="Traditional Arabic" w:cs="Traditional Arabic"/>
          <w:b/>
          <w:bCs/>
          <w:sz w:val="32"/>
          <w:szCs w:val="32"/>
          <w:rtl/>
        </w:rPr>
        <w:br w:type="page"/>
      </w:r>
    </w:p>
    <w:p w14:paraId="26CB48A3" w14:textId="77777777" w:rsidR="0005778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1.1 مقدمة الدراسة</w:t>
      </w:r>
    </w:p>
    <w:p w14:paraId="5FAE49AA"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يشهد العالم تحولات متسارعة في قطاع التكنولوجيا المالية (</w:t>
      </w:r>
      <w:r w:rsidRPr="0005531B">
        <w:rPr>
          <w:rFonts w:ascii="Traditional Arabic" w:hAnsi="Traditional Arabic" w:cs="Traditional Arabic"/>
          <w:sz w:val="28"/>
          <w:szCs w:val="28"/>
        </w:rPr>
        <w:t>Fintech</w:t>
      </w:r>
      <w:r w:rsidRPr="0005531B">
        <w:rPr>
          <w:rFonts w:ascii="Traditional Arabic" w:hAnsi="Traditional Arabic" w:cs="Traditional Arabic"/>
          <w:sz w:val="28"/>
          <w:szCs w:val="28"/>
          <w:rtl/>
        </w:rPr>
        <w:t>) وتطبيقاتها المتنوعة، حيث برزت تقنية الترميز (</w:t>
      </w:r>
      <w:r w:rsidRPr="0005531B">
        <w:rPr>
          <w:rFonts w:ascii="Traditional Arabic" w:hAnsi="Traditional Arabic" w:cs="Traditional Arabic"/>
          <w:sz w:val="28"/>
          <w:szCs w:val="28"/>
        </w:rPr>
        <w:t>Tokenization</w:t>
      </w:r>
      <w:r w:rsidRPr="0005531B">
        <w:rPr>
          <w:rFonts w:ascii="Traditional Arabic" w:hAnsi="Traditional Arabic" w:cs="Traditional Arabic"/>
          <w:sz w:val="28"/>
          <w:szCs w:val="28"/>
          <w:rtl/>
        </w:rPr>
        <w:t>) 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p>
    <w:p w14:paraId="3C4CDE4B"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p>
    <w:p w14:paraId="6BF8AD6C"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 </w:t>
      </w:r>
      <w:r w:rsidRPr="0005531B">
        <w:rPr>
          <w:rFonts w:ascii="Traditional Arabic" w:hAnsi="Traditional Arabic" w:cs="Traditional Arabic"/>
          <w:sz w:val="28"/>
          <w:szCs w:val="28"/>
        </w:rPr>
        <w:t>Mordor Intelligence</w:t>
      </w:r>
      <w:r w:rsidRPr="0005531B">
        <w:rPr>
          <w:rFonts w:ascii="Traditional Arabic" w:hAnsi="Traditional Arabic" w:cs="Traditional Arabic"/>
          <w:sz w:val="28"/>
          <w:szCs w:val="28"/>
          <w:rtl/>
        </w:rPr>
        <w:t xml:space="preserve"> (2023) 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p>
    <w:p w14:paraId="3E2201B2"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p>
    <w:p w14:paraId="39A7CE13"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 </w:t>
      </w:r>
      <w:r w:rsidRPr="0005531B">
        <w:rPr>
          <w:rFonts w:ascii="Traditional Arabic" w:hAnsi="Traditional Arabic" w:cs="Traditional Arabic"/>
          <w:sz w:val="28"/>
          <w:szCs w:val="28"/>
        </w:rPr>
        <w:t>PwC</w:t>
      </w:r>
      <w:r w:rsidRPr="0005531B">
        <w:rPr>
          <w:rFonts w:ascii="Traditional Arabic" w:hAnsi="Traditional Arabic" w:cs="Traditional Arabic"/>
          <w:sz w:val="28"/>
          <w:szCs w:val="28"/>
          <w:rtl/>
        </w:rPr>
        <w:t xml:space="preserve"> (2022) أن المؤسسات المالية التي تطبق تقنيات الترميز بشكل فعال تشهد انخفاضاً في معدلات الاختراق بنسبة تصل إلى 73% وتحسناً في كفاءة المعاملات بنسبة 62%.</w:t>
      </w:r>
    </w:p>
    <w:p w14:paraId="75998285"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p>
    <w:p w14:paraId="1D311D6F" w14:textId="77777777" w:rsidR="00CF3CD3" w:rsidRPr="0005531B" w:rsidRDefault="00D46A37" w:rsidP="00E000FF">
      <w:pPr>
        <w:bidi/>
        <w:spacing w:after="0" w:line="360" w:lineRule="auto"/>
        <w:jc w:val="both"/>
        <w:rPr>
          <w:rFonts w:ascii="Traditional Arabic" w:hAnsi="Traditional Arabic" w:cs="Traditional Arabic"/>
          <w:sz w:val="28"/>
          <w:szCs w:val="28"/>
          <w:rtl/>
        </w:rPr>
      </w:pPr>
      <w:r w:rsidRPr="0005531B">
        <w:rPr>
          <w:rFonts w:ascii="Traditional Arabic" w:hAnsi="Traditional Arabic" w:cs="Traditional Arabic"/>
          <w:sz w:val="28"/>
          <w:szCs w:val="28"/>
          <w:rtl/>
        </w:rPr>
        <w:t>وفي ضوء ما تقدَّم من نمو متسارع في القطاع المالي السعودي، وتصاعد في التهديدات السيبرانية، وحضور متزايد لتقنية الترميز بوصفها أحد الحلول التقنية المطروحة، تبرز الحاجة إلى فحص علمي منضبط لأثر هذه التقنية على الأمن السيبراني وكفاءة العمليات المالية داخل المؤسسات المالية السعودية، وهو ما يتناوله المبحث التالي في إطار تحديد مشكلة الدراسة.</w:t>
      </w:r>
    </w:p>
    <w:p w14:paraId="0042DB35" w14:textId="77777777" w:rsidR="00D46A37" w:rsidRPr="0072768E" w:rsidRDefault="00D46A37" w:rsidP="00E000FF">
      <w:pPr>
        <w:bidi/>
        <w:spacing w:after="0" w:line="360" w:lineRule="auto"/>
        <w:jc w:val="both"/>
        <w:rPr>
          <w:rtl/>
        </w:rPr>
      </w:pPr>
    </w:p>
    <w:p w14:paraId="1FE0365B" w14:textId="77777777" w:rsidR="00D46A37" w:rsidRDefault="00883E09" w:rsidP="00E000FF">
      <w:pPr>
        <w:pStyle w:val="HeadingTOCEntry"/>
        <w:bidi/>
        <w:spacing w:after="0" w:line="360" w:lineRule="auto"/>
        <w:ind w:left="432" w:hanging="432"/>
        <w:jc w:val="both"/>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1.2 مشكلة الدراسة</w:t>
      </w:r>
    </w:p>
    <w:p w14:paraId="7791FA14"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وتتضح خطورة هذا الواقع عند النظر إلى انعكاساته المباشرة على ثقة عملاء المؤسسات المالية وعلى كفاءة عملياتها التشغيلية، وهو ما تكشفه المؤشرات الآتية.</w:t>
      </w:r>
    </w:p>
    <w:p w14:paraId="3633C242"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وتعكس هذه التهديدات تأثيراً مباشراً على ثقة المستهلكين، حيث يشير تقرير </w:t>
      </w:r>
      <w:r w:rsidRPr="0005531B">
        <w:rPr>
          <w:rFonts w:ascii="Traditional Arabic" w:hAnsi="Traditional Arabic" w:cs="Traditional Arabic"/>
          <w:sz w:val="28"/>
          <w:szCs w:val="28"/>
        </w:rPr>
        <w:t>Saudi Payments</w:t>
      </w:r>
      <w:r w:rsidRPr="0005531B">
        <w:rPr>
          <w:rFonts w:ascii="Traditional Arabic" w:hAnsi="Traditional Arabic" w:cs="Traditional Arabic"/>
          <w:sz w:val="28"/>
          <w:szCs w:val="28"/>
          <w:rtl/>
        </w:rPr>
        <w:t xml:space="preserve"> (2023) 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p>
    <w:p w14:paraId="7AB03484"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w:t>
      </w:r>
      <w:r w:rsidRPr="0005531B">
        <w:rPr>
          <w:rFonts w:ascii="Traditional Arabic" w:hAnsi="Traditional Arabic" w:cs="Traditional Arabic"/>
          <w:sz w:val="28"/>
          <w:szCs w:val="28"/>
          <w:rtl/>
        </w:rPr>
        <w:lastRenderedPageBreak/>
        <w:t>15-20 ريالاً للمعاملة الواحدة، بالإضافة إلى استهلاك موارد بشرية كبيرة للتحقق والمصادقة، مما يؤثر سلباً على تنافسية هذه المؤسسات وتجربة العملاء.</w:t>
      </w:r>
    </w:p>
    <w:p w14:paraId="54DBA449"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p>
    <w:p w14:paraId="093A79C9"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 (</w:t>
      </w:r>
      <w:r w:rsidRPr="0005531B">
        <w:rPr>
          <w:rFonts w:ascii="Traditional Arabic" w:hAnsi="Traditional Arabic" w:cs="Traditional Arabic"/>
          <w:sz w:val="28"/>
          <w:szCs w:val="28"/>
        </w:rPr>
        <w:t>World Economic Forum, 2024</w:t>
      </w:r>
      <w:r w:rsidRPr="0005531B">
        <w:rPr>
          <w:rFonts w:ascii="Traditional Arabic" w:hAnsi="Traditional Arabic" w:cs="Traditional Arabic"/>
          <w:sz w:val="28"/>
          <w:szCs w:val="28"/>
          <w:rtl/>
        </w:rPr>
        <w:t>) 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p>
    <w:p w14:paraId="235ED1C3"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p>
    <w:p w14:paraId="07A1F318" w14:textId="77777777" w:rsidR="00F277A5" w:rsidRPr="0005531B" w:rsidRDefault="00F277A5" w:rsidP="00E000FF">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ما سبق، تتبلور مشكلة الدراسة في وجود فجوة معرفية بين التوسع العملي في تطبيق تقنية الترميز داخل المؤسسات المالية السعودية من جهة، وندرة الأدلة الميدانية الكمية التي تقيس أثر هذا التطبيق وأثر الامتثال للمعايير الدولية على الأمن السيبراني المؤسسي وكفاءة العمليات المالية في البيئة السعودية من جهة أخرى، وتُصاغ هذه المشكلة في سؤال رئيس يُعرَض ضمن أسئلة الدراسة في المبحث التالي.</w:t>
      </w:r>
    </w:p>
    <w:p w14:paraId="6AF79D9B" w14:textId="77777777" w:rsidR="000F651A" w:rsidRPr="0072768E" w:rsidRDefault="000F651A"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cols w:space="708"/>
          <w:titlePg/>
          <w:bidi/>
          <w:rtlGutter/>
          <w:docGrid w:linePitch="360"/>
        </w:sectPr>
      </w:pPr>
    </w:p>
    <w:p w14:paraId="386644DC" w14:textId="77777777" w:rsidR="00D64F3E" w:rsidRPr="0072768E" w:rsidRDefault="004C6F90"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hint="cs"/>
          <w:b/>
          <w:bCs/>
          <w:sz w:val="32"/>
          <w:szCs w:val="32"/>
          <w:u w:val="single"/>
          <w:rtl/>
        </w:rPr>
        <w:lastRenderedPageBreak/>
        <w:t>1.3 أسئلة الدراسة</w:t>
      </w:r>
    </w:p>
    <w:p w14:paraId="466C8802" w14:textId="77777777" w:rsidR="00091751" w:rsidRPr="0072768E" w:rsidRDefault="00091751"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تسعى هذه الدراسة إلى الإجابة على التساؤل الرئيسي التالي:</w:t>
      </w:r>
    </w:p>
    <w:p w14:paraId="4CAA97A2" w14:textId="77777777" w:rsidR="00091751" w:rsidRPr="0072768E" w:rsidRDefault="00091751"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ما أثر تطبيق تقنية الترميز والامتثال للمعايير الدولية على الأمن السيبراني المؤسسي وكفاءة العمليات المالية في المؤسسات المالية السعودية؟</w:t>
      </w:r>
    </w:p>
    <w:p w14:paraId="4787F2B3"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6" w:name="_Toc217927615"/>
      <w:bookmarkStart w:id="7" w:name="_Toc224563918"/>
      <w:bookmarkStart w:id="8" w:name="_Toc224563975"/>
      <w:bookmarkStart w:id="9" w:name="_Toc234424112"/>
      <w:r>
        <w:rPr>
          <w:rFonts w:ascii="Traditional Arabic" w:hAnsi="Traditional Arabic" w:cs="Traditional Arabic"/>
          <w:b/>
          <w:bCs/>
          <w:color w:val="auto"/>
          <w:rtl/>
        </w:rPr>
        <w:t>وفي ضوء مشكلة الدراسة والتساؤل الرئيسي، يمكن تحديد التساؤلات البحثية الفرعية التالية:</w:t>
      </w:r>
      <w:bookmarkEnd w:id="6"/>
      <w:bookmarkEnd w:id="7"/>
      <w:bookmarkEnd w:id="8"/>
      <w:bookmarkEnd w:id="9"/>
    </w:p>
    <w:p w14:paraId="4576967E"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التساؤل البحثي الأول: ما أثر تطبيق تقنية الترميز والامتثال للمعايير الدولية على الأمن السيبراني المؤسسي في المؤسسات المالية السعودية؟</w:t>
      </w:r>
    </w:p>
    <w:p w14:paraId="717834F7"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10" w:name="_Toc217927617"/>
      <w:bookmarkStart w:id="11" w:name="_Toc224563920"/>
      <w:bookmarkStart w:id="12" w:name="_Toc224563977"/>
      <w:bookmarkStart w:id="13" w:name="_Toc234424114"/>
      <w:r>
        <w:rPr>
          <w:rFonts w:ascii="Traditional Arabic" w:hAnsi="Traditional Arabic" w:cs="Traditional Arabic"/>
          <w:b/>
          <w:bCs/>
          <w:color w:val="auto"/>
          <w:rtl/>
        </w:rPr>
        <w:t>الأسئلة الفرعية:</w:t>
      </w:r>
      <w:bookmarkEnd w:id="10"/>
      <w:bookmarkEnd w:id="11"/>
      <w:bookmarkEnd w:id="12"/>
      <w:bookmarkEnd w:id="13"/>
    </w:p>
    <w:p w14:paraId="2B94D5BA" w14:textId="77777777" w:rsidR="004A6241" w:rsidRPr="004A6241" w:rsidRDefault="004A6241" w:rsidP="00E000FF">
      <w:pPr>
        <w:pStyle w:val="Heading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تطبيق تقنية الترميز الأمني للبيانات على الأمن السيبراني المؤسسي في المؤسسات المالية السعودية؟</w:t>
      </w:r>
    </w:p>
    <w:p w14:paraId="07D80CED" w14:textId="77777777" w:rsidR="004A6241" w:rsidRPr="004A6241" w:rsidRDefault="004A6241" w:rsidP="00E000FF">
      <w:pPr>
        <w:pStyle w:val="Heading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مستوى الامتثال للمعايير الدولية للترميز وأمن البيانات على الأمن السيبراني المؤسسي في المؤسسات المالية السعودية؟</w:t>
      </w:r>
    </w:p>
    <w:p w14:paraId="06749719"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الثاني: ما أثر تطبيق تقنية الترميز والامتثال للمعايير الدولية على كفاءة العمليات المالية في المؤسسات المالية السعودية؟</w:t>
      </w:r>
    </w:p>
    <w:p w14:paraId="41D559FF" w14:textId="77777777" w:rsidR="004A6241" w:rsidRPr="004A6241" w:rsidRDefault="004A6241" w:rsidP="00E000FF">
      <w:pPr>
        <w:pStyle w:val="Heading1"/>
        <w:numPr>
          <w:ilvl w:val="0"/>
          <w:numId w:val="0"/>
        </w:numPr>
        <w:bidi/>
        <w:spacing w:before="0" w:line="360" w:lineRule="auto"/>
        <w:ind w:left="432" w:hanging="432"/>
        <w:jc w:val="both"/>
        <w:rPr>
          <w:rFonts w:ascii="Simplified Arabic" w:hAnsi="Simplified Arabic" w:cs="Simplified Arabic"/>
          <w:color w:val="auto"/>
          <w:sz w:val="28"/>
          <w:szCs w:val="28"/>
        </w:rPr>
      </w:pPr>
      <w:bookmarkStart w:id="14" w:name="_Toc217927622"/>
      <w:bookmarkStart w:id="15" w:name="_Toc224563925"/>
      <w:bookmarkStart w:id="16" w:name="_Toc224563982"/>
      <w:bookmarkStart w:id="17" w:name="_Toc234424119"/>
      <w:r>
        <w:rPr>
          <w:rFonts w:ascii="Traditional Arabic" w:hAnsi="Traditional Arabic" w:cs="Traditional Arabic"/>
          <w:b/>
          <w:bCs/>
          <w:color w:val="auto"/>
          <w:rtl/>
        </w:rPr>
        <w:lastRenderedPageBreak/>
        <w:t>الأسئلة الفرعية:</w:t>
      </w:r>
      <w:bookmarkEnd w:id="14"/>
      <w:bookmarkEnd w:id="15"/>
      <w:bookmarkEnd w:id="16"/>
      <w:bookmarkEnd w:id="17"/>
    </w:p>
    <w:p w14:paraId="30EA6327" w14:textId="77777777" w:rsidR="004A6241" w:rsidRPr="004A6241" w:rsidRDefault="004A6241" w:rsidP="00E000FF">
      <w:pPr>
        <w:pStyle w:val="Heading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تطبيق تقنية الترميز الأمني للبيانات على كفاءة العمليات المالية في المؤسسات المالية السعودية؟</w:t>
      </w:r>
    </w:p>
    <w:p w14:paraId="2AEAAF01" w14:textId="77777777" w:rsidR="004A6241" w:rsidRPr="004A6241" w:rsidRDefault="004A6241" w:rsidP="00E000FF">
      <w:pPr>
        <w:pStyle w:val="Heading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مستوى الامتثال للمعايير الدولية للترميز وأمن البيانات على كفاءة العمليات المالية في المؤسسات المالية السعودية؟</w:t>
      </w:r>
    </w:p>
    <w:p w14:paraId="0848790E"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الثالث: هل توجد فروق ذات دلالة إحصائية في مستوى الامتثال للمعايير الدولية والأمن السيبراني المؤسسي تُعزى إلى مستوى تبنّي المؤسسة المالية السعودية لتقنية الترميز؟</w:t>
      </w:r>
    </w:p>
    <w:p w14:paraId="5F58D0B2"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الأسئلة الفرعية:</w:t>
      </w:r>
    </w:p>
    <w:p w14:paraId="6D4B28DC"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هل توجد فروق ذات دلالة إحصائية في مستوى الامتثال للمعايير الدولية تُعزى إلى مستوى تبنّي المؤسسة المالية السعودية لتقنية الترميز؟</w:t>
      </w:r>
    </w:p>
    <w:p w14:paraId="776B64D9"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هل توجد فروق ذات دلالة إحصائية في مستوى الأمن السيبراني المؤسسي تُعزى إلى مستوى تبنّي المؤسسة المالية السعودية لتقنية الترميز؟</w:t>
      </w:r>
    </w:p>
    <w:p w14:paraId="6E08CC72" w14:textId="77777777" w:rsidR="003306B7"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1.4 أهمية الدراسة</w:t>
      </w:r>
    </w:p>
    <w:p w14:paraId="629815BE" w14:textId="77777777" w:rsidR="0005531B" w:rsidRDefault="003306B7" w:rsidP="0005531B">
      <w:pPr>
        <w:pStyle w:val="HeadingTOCEntry"/>
        <w:bidi/>
        <w:spacing w:after="0" w:line="360" w:lineRule="auto"/>
        <w:ind w:left="-58"/>
        <w:rPr>
          <w:rFonts w:ascii="Traditional Arabic" w:hAnsi="Traditional Arabic" w:cs="Traditional Arabic"/>
          <w:b/>
          <w:bCs/>
          <w:sz w:val="28"/>
          <w:szCs w:val="28"/>
          <w:rtl/>
        </w:rPr>
      </w:pPr>
      <w:r w:rsidRPr="003306B7">
        <w:rPr>
          <w:rFonts w:ascii="Traditional Arabic" w:hAnsi="Traditional Arabic" w:cs="Traditional Arabic"/>
          <w:b/>
          <w:bCs/>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p>
    <w:p w14:paraId="7F86FC40" w14:textId="77777777" w:rsidR="0005531B" w:rsidRDefault="00421EDA"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1.4.1 الأهمية النظرية</w:t>
      </w:r>
    </w:p>
    <w:p w14:paraId="78882878"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إثراء المعرفة العلمية: 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w:t>
      </w:r>
      <w:r>
        <w:rPr>
          <w:rFonts w:ascii="Traditional Arabic" w:hAnsi="Traditional Arabic" w:cs="Traditional Arabic"/>
          <w:b/>
          <w:bCs/>
          <w:sz w:val="28"/>
          <w:szCs w:val="28"/>
          <w:rtl/>
        </w:rPr>
        <w:lastRenderedPageBreak/>
        <w:t xml:space="preserve">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 </w:t>
      </w:r>
    </w:p>
    <w:p w14:paraId="1A858226"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الأطر النظرية: تُسهم الدراسة في توظيف نظرية التقنية والتنظيم والبيئة (TOE) لتفسير العلاقة بين متغيري الدراسة المستقلين (تطبيق تقنية الترميز، والامتثال للمعايير الدولية) والمتغيرين التابعين (الأمن السيبراني المؤسسي، وكفاءة العمليات المالية) داخل البيئة المالية السعودية.</w:t>
      </w:r>
    </w:p>
    <w:p w14:paraId="0EDEBDB4" w14:textId="77777777" w:rsidR="006C4DA5"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تحديد مؤشرات قياس: 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p>
    <w:p w14:paraId="12206A53" w14:textId="77777777" w:rsidR="00986114" w:rsidRPr="0072768E" w:rsidRDefault="00986114" w:rsidP="006C4DA5">
      <w:pPr>
        <w:pStyle w:val="HeadingTOCEntry"/>
        <w:bidi/>
        <w:spacing w:after="0" w:line="360" w:lineRule="auto"/>
        <w:ind w:left="-58"/>
        <w:rPr>
          <w:rFonts w:ascii="Simplified Arabic" w:hAnsi="Simplified Arabic" w:cs="Simplified Arabic"/>
          <w:sz w:val="28"/>
          <w:szCs w:val="28"/>
        </w:rPr>
      </w:pPr>
      <w:r>
        <w:rPr>
          <w:rFonts w:ascii="Traditional Arabic" w:hAnsi="Traditional Arabic" w:cs="Traditional Arabic"/>
          <w:b/>
          <w:bCs/>
          <w:sz w:val="28"/>
          <w:szCs w:val="28"/>
          <w:rtl/>
        </w:rPr>
        <w:t xml:space="preserve">تأصيل المفاهيم العلمية: 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 </w:t>
      </w:r>
    </w:p>
    <w:p w14:paraId="009BB405" w14:textId="77777777" w:rsidR="00986114" w:rsidRPr="0072768E" w:rsidRDefault="00986114"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إنشاء قاعدة معرفية: 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p>
    <w:p w14:paraId="7055CA54" w14:textId="77777777" w:rsidR="00421EDA" w:rsidRPr="0072768E" w:rsidRDefault="00421EDA" w:rsidP="00E000FF">
      <w:pPr>
        <w:pStyle w:val="HeadingTOCEntry"/>
        <w:bidi/>
        <w:spacing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1.4.2 الأهمية التطبيقية</w:t>
      </w:r>
    </w:p>
    <w:p w14:paraId="263FE04B" w14:textId="77777777"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 xml:space="preserve">دعم صناع القرار: 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 </w:t>
      </w:r>
    </w:p>
    <w:p w14:paraId="7B8C7223" w14:textId="77777777"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تحديد أولويات التطبيق: تُبيّن نتائج الدراسة أيّ متغيرات الدراسة المستقلة أقوى أثراً في الأمن السيبراني وكفاءة العمليات، بما يمكّن المؤسسات المالية من ترتيب أولوياتها التنفيذية عند التوسع في تطبيق الترميز.</w:t>
      </w:r>
    </w:p>
    <w:p w14:paraId="5603A133" w14:textId="77777777" w:rsidR="006C71F6" w:rsidRPr="0072768E" w:rsidRDefault="006C71F6"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الابتكار: 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 </w:t>
      </w:r>
    </w:p>
    <w:p w14:paraId="644BFE5D" w14:textId="77777777" w:rsidR="0080377D" w:rsidRPr="0072768E" w:rsidRDefault="0080377D"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526A11A5" w14:textId="77777777" w:rsidR="00E000F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1.5 أهداف الدراسة</w:t>
      </w:r>
    </w:p>
    <w:p w14:paraId="4A33DB4E" w14:textId="77777777" w:rsidR="00A34BF0" w:rsidRPr="0072768E" w:rsidRDefault="00A34BF0" w:rsidP="00E000FF">
      <w:pPr>
        <w:pStyle w:val="HeadingTOCEntry"/>
        <w:bidi/>
        <w:spacing w:after="0" w:line="360" w:lineRule="auto"/>
        <w:rPr>
          <w:rFonts w:ascii="Simplified Arabic" w:hAnsi="Simplified Arabic" w:cs="Simplified Arabic"/>
          <w:sz w:val="28"/>
          <w:szCs w:val="28"/>
        </w:rPr>
      </w:pPr>
      <w:r>
        <w:rPr>
          <w:rFonts w:ascii="Traditional Arabic" w:hAnsi="Traditional Arabic" w:cs="Traditional Arabic"/>
          <w:b/>
          <w:bCs/>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p>
    <w:p w14:paraId="42711C8C" w14:textId="77777777" w:rsidR="00E04048" w:rsidRPr="0072768E" w:rsidRDefault="00E04048" w:rsidP="00E000FF">
      <w:pPr>
        <w:pStyle w:val="Heading2"/>
        <w:numPr>
          <w:ilvl w:val="0"/>
          <w:numId w:val="3"/>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وتحليل تأثير تقنية الترميز على مؤشرات الأمن السيبراني في المؤسسات المالية السعودية، بما يشمل</w:t>
      </w:r>
      <w:r>
        <w:rPr>
          <w:rFonts w:ascii="Traditional Arabic" w:hAnsi="Traditional Arabic" w:cs="Traditional Arabic" w:hint="cs"/>
          <w:b/>
          <w:bCs/>
          <w:color w:val="auto"/>
          <w:sz w:val="28"/>
          <w:szCs w:val="28"/>
          <w:rtl/>
        </w:rPr>
        <w:t>:</w:t>
      </w:r>
    </w:p>
    <w:p w14:paraId="0860FF34"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تحليل تأثيرها على معدلات الاختراقات الأمنية وحوادث سرقة البيانات</w:t>
      </w:r>
      <w:r>
        <w:rPr>
          <w:rFonts w:ascii="Traditional Arabic" w:hAnsi="Traditional Arabic" w:cs="Traditional Arabic" w:hint="cs"/>
          <w:b/>
          <w:bCs/>
          <w:color w:val="auto"/>
          <w:sz w:val="28"/>
          <w:szCs w:val="28"/>
          <w:rtl/>
        </w:rPr>
        <w:t>.</w:t>
      </w:r>
    </w:p>
    <w:p w14:paraId="0C2B274A"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أثر مستوى الامتثال للمعايير الدولية للترميز وأمن البيانات على الأمن السيبراني المؤسسي في المؤسسات المالية السعودية.</w:t>
      </w:r>
    </w:p>
    <w:p w14:paraId="6E8EFA9A" w14:textId="77777777" w:rsidR="001058D2"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قياس فعاليتها في تعزيز القدرة على اكتشاف والتصدي للهجمات السيبرانية</w:t>
      </w:r>
      <w:r>
        <w:rPr>
          <w:rFonts w:ascii="Traditional Arabic" w:hAnsi="Traditional Arabic" w:cs="Traditional Arabic" w:hint="cs"/>
          <w:b/>
          <w:bCs/>
          <w:color w:val="auto"/>
          <w:sz w:val="28"/>
          <w:szCs w:val="28"/>
          <w:rtl/>
        </w:rPr>
        <w:t>.</w:t>
      </w:r>
    </w:p>
    <w:p w14:paraId="7E30D30A" w14:textId="77777777" w:rsidR="00D16538" w:rsidRPr="0072768E" w:rsidRDefault="00D16538" w:rsidP="00E000FF">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تحليل مساهمة تقنية الترميز في تحسين كفاءة العمليات المالية في القطاع المالي السعودي من حيث</w:t>
      </w:r>
      <w:r>
        <w:rPr>
          <w:rFonts w:ascii="Traditional Arabic" w:hAnsi="Traditional Arabic" w:cs="Traditional Arabic" w:hint="cs"/>
          <w:b/>
          <w:bCs/>
          <w:color w:val="auto"/>
          <w:sz w:val="28"/>
          <w:szCs w:val="28"/>
          <w:rtl/>
        </w:rPr>
        <w:t>:</w:t>
      </w:r>
    </w:p>
    <w:p w14:paraId="321D1275" w14:textId="77777777"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تقليل وقت معالجة المعاملات المالية</w:t>
      </w:r>
      <w:r>
        <w:rPr>
          <w:rFonts w:ascii="Traditional Arabic" w:hAnsi="Traditional Arabic" w:cs="Traditional Arabic" w:hint="cs"/>
          <w:b/>
          <w:bCs/>
          <w:color w:val="auto"/>
          <w:sz w:val="28"/>
          <w:szCs w:val="28"/>
          <w:rtl/>
        </w:rPr>
        <w:t>.</w:t>
      </w:r>
    </w:p>
    <w:p w14:paraId="2059D4AB" w14:textId="77777777"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خفض تكاليف العمليات التشغيلية</w:t>
      </w:r>
      <w:r>
        <w:rPr>
          <w:rFonts w:ascii="Traditional Arabic" w:hAnsi="Traditional Arabic" w:cs="Traditional Arabic" w:hint="cs"/>
          <w:b/>
          <w:bCs/>
          <w:color w:val="auto"/>
          <w:sz w:val="28"/>
          <w:szCs w:val="28"/>
          <w:rtl/>
        </w:rPr>
        <w:t>.</w:t>
      </w:r>
    </w:p>
    <w:p w14:paraId="31406682" w14:textId="77777777"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تحسين مستويات السيولة والوصول إلى الخدمات المالية</w:t>
      </w:r>
      <w:r>
        <w:rPr>
          <w:rFonts w:ascii="Traditional Arabic" w:hAnsi="Traditional Arabic" w:cs="Traditional Arabic" w:hint="cs"/>
          <w:b/>
          <w:bCs/>
          <w:color w:val="auto"/>
          <w:sz w:val="28"/>
          <w:szCs w:val="28"/>
          <w:rtl/>
        </w:rPr>
        <w:t>.</w:t>
      </w:r>
    </w:p>
    <w:p w14:paraId="0EA96085" w14:textId="77777777" w:rsidR="00D16538"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تعزيز تجربة العملاء وزيادة رضاهم.</w:t>
      </w:r>
    </w:p>
    <w:p w14:paraId="12E8993F" w14:textId="77777777" w:rsidR="00D16538" w:rsidRPr="00D16538" w:rsidRDefault="00D16538" w:rsidP="00E000FF">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مستوى الامتثال للمعايير الدولية والأمن السيبراني المؤسسي تبعاً لمستوى تبنّي المؤسسة المالية السعودية لتقنية الترميز.</w:t>
      </w:r>
    </w:p>
    <w:p w14:paraId="004BD1F1" w14:textId="77777777" w:rsidR="009365EF" w:rsidRPr="00C327A0" w:rsidRDefault="00D16538"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تتميز هذه الأهداف بكونها محددة وقابلة للقياس وقابلة للتحقيق وواقعية ومحددة زمنياً (SMART)، مما يساعد على توجيه الدراسة وضمان تحقيق نتائج ملموسة وعملية يمكن الاستفادة منها في تطوير القطاع المالي السعودي</w:t>
      </w:r>
      <w:r>
        <w:rPr>
          <w:rFonts w:ascii="Traditional Arabic" w:hAnsi="Traditional Arabic" w:cs="Traditional Arabic" w:hint="cs"/>
          <w:b/>
          <w:bCs/>
          <w:color w:val="auto"/>
          <w:sz w:val="28"/>
          <w:szCs w:val="28"/>
          <w:rtl/>
        </w:rPr>
        <w:t>.</w:t>
      </w:r>
    </w:p>
    <w:p w14:paraId="77C1CC09" w14:textId="77777777" w:rsidR="006C4DA5" w:rsidRDefault="006C4DA5" w:rsidP="00E000FF">
      <w:pPr>
        <w:pStyle w:val="HeadingTOCEntry"/>
        <w:bidi/>
        <w:spacing w:after="0" w:line="360" w:lineRule="auto"/>
        <w:ind w:left="432" w:hanging="432"/>
        <w:rPr>
          <w:rFonts w:ascii="Traditional Arabic" w:hAnsi="Traditional Arabic" w:cs="Traditional Arabic"/>
          <w:b/>
          <w:bCs/>
          <w:sz w:val="32"/>
          <w:szCs w:val="32"/>
          <w:u w:val="single"/>
          <w:rtl/>
        </w:rPr>
      </w:pPr>
    </w:p>
    <w:p w14:paraId="60BD6C08" w14:textId="77777777" w:rsidR="006C4DA5" w:rsidRDefault="006C4DA5" w:rsidP="006C4DA5">
      <w:pPr>
        <w:pStyle w:val="HeadingTOCEntry"/>
        <w:bidi/>
        <w:spacing w:after="0" w:line="360" w:lineRule="auto"/>
        <w:ind w:left="432" w:hanging="432"/>
        <w:rPr>
          <w:rFonts w:ascii="Traditional Arabic" w:hAnsi="Traditional Arabic" w:cs="Traditional Arabic"/>
          <w:b/>
          <w:bCs/>
          <w:sz w:val="32"/>
          <w:szCs w:val="32"/>
          <w:u w:val="single"/>
          <w:rtl/>
        </w:rPr>
      </w:pPr>
    </w:p>
    <w:p w14:paraId="5DE6533C" w14:textId="77777777" w:rsidR="006C4DA5" w:rsidRDefault="00A16E60" w:rsidP="006C4DA5">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1.6 فرضيات الدراسة</w:t>
      </w:r>
    </w:p>
    <w:p w14:paraId="681406F3" w14:textId="77777777" w:rsidR="001276DC" w:rsidRDefault="007E0546" w:rsidP="001276DC">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H1: يوجد أثر ذو دلالة إحصائية لتطبيق تقنية الترميز والامتثال للمعايير الدولية على الأمن السيبراني المؤسسي في المؤسسات المالية السعودية.</w:t>
      </w:r>
    </w:p>
    <w:p w14:paraId="635B9688"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H1a: يوجد أثر ذو دلالة إحصائية لتطبيق تقنية الترميز الأمني للبيانات على الأمن السيبراني المؤسسي في المؤسسات المالية السعودية.</w:t>
      </w:r>
    </w:p>
    <w:p w14:paraId="4BAABBB8"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H1b: يوجد أثر ذو دلالة إحصائية لمستوى الامتثال للمعايير الدولية على الأمن السيبراني المؤسسي في المؤسسات المالية السعودية.</w:t>
      </w:r>
    </w:p>
    <w:p w14:paraId="6FF0534A"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71B828BA"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40FF6886"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H2b: يوجد أثر ذو دلالة إحصائية لمستوى الامتثال للمعايير الدولية على كفاءة العمليات المالية في المؤسسات المالية السعودية.</w:t>
      </w:r>
    </w:p>
    <w:p w14:paraId="2159A763"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 توجد فروق ذات دلالة إحصائية في مستوى الامتثال للمعايير الدولية والأمن السيبراني المؤسسي تُعزى إلى مستوى تبنّي المؤسسة المالية السعودية لتقنية الترميز.</w:t>
      </w:r>
    </w:p>
    <w:p w14:paraId="0777381E"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H3a: توجد فروق ذات دلالة إحصائية في مستوى الامتثال للمعايير الدولية تُعزى إلى مستوى تبنّي المؤسسة المالية السعودية لتقنية الترميز.</w:t>
      </w:r>
    </w:p>
    <w:p w14:paraId="03B07E64"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H3b: توجد فروق ذات دلالة إحصائية في مستوى الأمن السيبراني المؤسسي تُعزى إلى مستوى تبنّي المؤسسة المالية السعودية لتقنية الترميز.</w:t>
      </w:r>
    </w:p>
    <w:p w14:paraId="24ED6B3E"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وتُمثّل هذه الفروض الثلاثة الرئيسة وفروعها الستة النسخة المعتمدة الوحيدة للدراسة، ويلتزم نصها وترقيمها بالتطابق التام في الفصل الأول والفصل الثالث والفصل الرابع. ولم تتضمن الدراسة أي متغير وسيط أو معدِّل، ومن ثمّ لم تُجرَ أي اختبارات وساطة أو تعديل.</w:t>
      </w:r>
    </w:p>
    <w:p w14:paraId="4337E3BE" w14:textId="77777777" w:rsidR="001276DC" w:rsidRDefault="001276DC" w:rsidP="001276DC">
      <w:pPr>
        <w:pStyle w:val="HeadingTOCEntry"/>
        <w:bidi/>
        <w:spacing w:after="0" w:line="360" w:lineRule="auto"/>
        <w:rPr>
          <w:rFonts w:ascii="Traditional Arabic" w:hAnsi="Traditional Arabic" w:cs="Traditional Arabic"/>
          <w:b/>
          <w:bCs/>
          <w:sz w:val="28"/>
          <w:szCs w:val="28"/>
          <w:rtl/>
        </w:rPr>
      </w:pPr>
    </w:p>
    <w:p w14:paraId="5228CF08" w14:textId="77777777" w:rsidR="001276DC" w:rsidRDefault="001276DC" w:rsidP="001276DC">
      <w:pPr>
        <w:pStyle w:val="HeadingTOCEntry"/>
        <w:bidi/>
        <w:spacing w:after="0" w:line="360" w:lineRule="auto"/>
        <w:rPr>
          <w:rFonts w:ascii="Traditional Arabic" w:hAnsi="Traditional Arabic" w:cs="Traditional Arabic"/>
          <w:b/>
          <w:bCs/>
          <w:sz w:val="28"/>
          <w:szCs w:val="28"/>
          <w:rtl/>
        </w:rPr>
      </w:pPr>
    </w:p>
    <w:p w14:paraId="029B4C0A" w14:textId="77777777" w:rsidR="003C0190" w:rsidRPr="0072768E" w:rsidRDefault="00AD783C" w:rsidP="001276DC">
      <w:pPr>
        <w:pStyle w:val="HeadingTOCEntry"/>
        <w:bidi/>
        <w:spacing w:after="0" w:line="360" w:lineRule="auto"/>
        <w:rPr>
          <w:rFonts w:ascii="Simplified Arabic" w:hAnsi="Simplified Arabic" w:cs="Simplified Arabic"/>
          <w:sz w:val="28"/>
          <w:szCs w:val="28"/>
          <w:rtl/>
        </w:rPr>
      </w:pPr>
      <w:r>
        <w:rPr>
          <w:rFonts w:ascii="Traditional Arabic" w:hAnsi="Traditional Arabic" w:cs="Traditional Arabic"/>
          <w:b/>
          <w:bCs/>
          <w:sz w:val="28"/>
          <w:szCs w:val="28"/>
          <w:u w:val="single"/>
          <w:rtl/>
        </w:rPr>
        <w:t>1.7 نموذج الدراسة</w:t>
      </w:r>
    </w:p>
    <w:p w14:paraId="1AC0BEDA" w14:textId="77777777" w:rsidR="002C300C" w:rsidRPr="0072768E" w:rsidRDefault="002C300C"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يوضّح نموذج الدراسة العلاقات المفترضة بين متغيراتها، وقد بُني بحيث يتطابق تطابقاً تاماً مع أسئلة الدراسة وفروضها. ويتكوّن النموذج من متغيرين مستقلين، ومتغيرين تابعين، ومجموعة من المتغيرات الضابطة التصنيفية، ولا يتضمن أي متغير وسيط أو معدِّل.</w:t>
      </w:r>
    </w:p>
    <w:p w14:paraId="6F6672E8" w14:textId="77777777" w:rsidR="00EE1529" w:rsidRPr="0072768E" w:rsidRDefault="00EE1529" w:rsidP="00E000FF">
      <w:pPr>
        <w:pStyle w:val="Heading2"/>
        <w:bidi/>
        <w:spacing w:before="0" w:line="360" w:lineRule="auto"/>
        <w:rPr>
          <w:color w:val="auto"/>
        </w:rPr>
      </w:pPr>
      <w:r>
        <w:rPr>
          <w:rFonts w:ascii="Traditional Arabic" w:hAnsi="Traditional Arabic" w:cs="Traditional Arabic"/>
          <w:b/>
          <w:bCs/>
          <w:color w:val="auto"/>
          <w:sz w:val="28"/>
          <w:szCs w:val="28"/>
          <w:rtl/>
        </w:rPr>
        <w:t>أولاً: المتغيران المستقلان</w:t>
      </w:r>
    </w:p>
    <w:p w14:paraId="48532A96"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تطبيق تقنية الترميز الأمني للبيانات: ويُقاس بست عبارات تتناول مدى استخدام المؤسسة للترميز في حماية بيانات الدفع والبيانات الحساسة.</w:t>
      </w:r>
    </w:p>
    <w:p w14:paraId="3995A385"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الامتثال للمعايير الدولية: ويُقاس بست عبارات تتناول مدى التزام المؤسسة بمتطلبات معايير PCI DSS وISO 27001 والضوابط الصادرة عن الجهات الرقابية الوطنية.</w:t>
      </w:r>
    </w:p>
    <w:p w14:paraId="3CAEF5CA" w14:textId="77777777" w:rsidR="00EE1529" w:rsidRPr="0072768E" w:rsidRDefault="00EE1529"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ثانياً: المتغيرات الضابطة (التصنيفية)</w:t>
      </w:r>
    </w:p>
    <w:p w14:paraId="1F18235F"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نوع المؤسسة المالية، وحجمها، وعمرها في السوق.</w:t>
      </w:r>
    </w:p>
    <w:p w14:paraId="7C11B6F2"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مستوى تبنّي المؤسسة لتقنية الترميز (معتمِدة / غير معتمِدة)، ويُستخدَم أساساً لتقسيم العينة عند اختبار الفرض الثالث.</w:t>
      </w:r>
    </w:p>
    <w:p w14:paraId="4EA44E09" w14:textId="77777777" w:rsidR="00EE1529" w:rsidRPr="0072768E" w:rsidRDefault="00EE1529"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ثالثاً: المتغيران التابعان</w:t>
      </w:r>
    </w:p>
    <w:p w14:paraId="10528D4F"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الأمن السيبراني المؤسسي: ويُقاس بست عبارات تتناول مستوى الحماية والوقاية والاستجابة للحوادث السيبرانية.</w:t>
      </w:r>
    </w:p>
    <w:p w14:paraId="4A03C19A" w14:textId="77777777" w:rsidR="00B1069E"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كفاءة العمليات المالية: وتُقاس بست عبارات تتناول سرعة المعالجة ودقتها وتكلفتها.</w:t>
      </w:r>
    </w:p>
    <w:p w14:paraId="0D2709BD"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رابعاً: الإطار التفسيري</w:t>
      </w:r>
    </w:p>
    <w:p w14:paraId="2DAD5481"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يُستخدَم بُعد التوافق مع رؤية المملكة 2030 والتحول الرقمي المالي إطاراً تفسيرياً لقراءة نتائج الدراسة وربطها بالسياق الوطني، ولا يدخل بوصفه متغيراً مستقلاً أو تابعاً ضمن الفروض، ولم تُصَغ له أي فرضية إحصائية.</w:t>
      </w:r>
    </w:p>
    <w:p w14:paraId="6D8F9F38" w14:textId="77777777" w:rsidR="00B1069E" w:rsidRPr="0072768E" w:rsidRDefault="00B1069E" w:rsidP="00E000FF">
      <w:pPr>
        <w:pStyle w:val="ListBullet"/>
        <w:numPr>
          <w:ilvl w:val="0"/>
          <w:numId w:val="0"/>
        </w:numPr>
        <w:bidi/>
        <w:spacing w:after="0" w:line="360" w:lineRule="auto"/>
        <w:rPr>
          <w:rFonts w:ascii="Simplified Arabic" w:hAnsi="Simplified Arabic" w:cs="Simplified Arabic"/>
          <w:sz w:val="24"/>
          <w:szCs w:val="24"/>
          <w:rtl/>
        </w:rPr>
      </w:pPr>
    </w:p>
    <w:tbl>
      <w:tblPr>
        <w:tblStyle w:val="TableGrid"/>
        <w:bidiVisual/>
        <w:tblW w:w="76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960"/>
        <w:gridCol w:w="1681"/>
        <w:gridCol w:w="2959"/>
      </w:tblGrid>
      <w:tr w:rsidR="00827F40" w14:paraId="38B0E3B6" w14:textId="77777777">
        <w:trPr>
          <w:tblHeader/>
        </w:trPr>
        <w:tc>
          <w:tcPr>
            <w:tcW w:w="3000" w:type="dxa"/>
            <w:shd w:val="clear" w:color="auto" w:fill="DCE9F5"/>
            <w:vAlign w:val="center"/>
          </w:tcPr>
          <w:p w14:paraId="39DC16B0" w14:textId="77777777" w:rsidR="00827F40" w:rsidRDefault="00F03C2E">
            <w:pPr>
              <w:bidi/>
              <w:spacing w:after="0" w:line="280" w:lineRule="auto"/>
              <w:jc w:val="center"/>
            </w:pPr>
            <w:r>
              <w:rPr>
                <w:rFonts w:ascii="Traditional Arabic" w:hAnsi="Traditional Arabic" w:cs="Traditional Arabic"/>
                <w:b/>
                <w:bCs/>
                <w:rtl/>
              </w:rPr>
              <w:t>المتغيران المستقلان</w:t>
            </w:r>
          </w:p>
        </w:tc>
        <w:tc>
          <w:tcPr>
            <w:tcW w:w="1600" w:type="dxa"/>
            <w:shd w:val="clear" w:color="auto" w:fill="DCE9F5"/>
            <w:vAlign w:val="center"/>
          </w:tcPr>
          <w:p w14:paraId="4B5F34A1" w14:textId="77777777" w:rsidR="00827F40" w:rsidRDefault="00F03C2E">
            <w:pPr>
              <w:bidi/>
              <w:spacing w:after="0" w:line="280" w:lineRule="auto"/>
              <w:jc w:val="center"/>
            </w:pPr>
            <w:r>
              <w:rPr>
                <w:rFonts w:ascii="Traditional Arabic" w:hAnsi="Traditional Arabic" w:cs="Traditional Arabic"/>
                <w:b/>
                <w:bCs/>
                <w:rtl/>
              </w:rPr>
              <w:t>اتجاه الأثر</w:t>
            </w:r>
          </w:p>
        </w:tc>
        <w:tc>
          <w:tcPr>
            <w:tcW w:w="3000" w:type="dxa"/>
            <w:shd w:val="clear" w:color="auto" w:fill="DCE9F5"/>
            <w:vAlign w:val="center"/>
          </w:tcPr>
          <w:p w14:paraId="1E72E466" w14:textId="77777777" w:rsidR="00827F40" w:rsidRDefault="00F03C2E">
            <w:pPr>
              <w:bidi/>
              <w:spacing w:after="0" w:line="280" w:lineRule="auto"/>
              <w:jc w:val="center"/>
            </w:pPr>
            <w:r>
              <w:rPr>
                <w:rFonts w:ascii="Traditional Arabic" w:hAnsi="Traditional Arabic" w:cs="Traditional Arabic"/>
                <w:b/>
                <w:bCs/>
                <w:rtl/>
              </w:rPr>
              <w:t>المتغيران التابعان</w:t>
            </w:r>
          </w:p>
        </w:tc>
      </w:tr>
      <w:tr w:rsidR="00827F40" w14:paraId="2D3A5D46" w14:textId="77777777">
        <w:tc>
          <w:tcPr>
            <w:tcW w:w="3000" w:type="dxa"/>
            <w:vAlign w:val="center"/>
          </w:tcPr>
          <w:p w14:paraId="751CA1F8" w14:textId="77777777" w:rsidR="00827F40" w:rsidRDefault="00F03C2E">
            <w:pPr>
              <w:bidi/>
              <w:spacing w:after="0" w:line="280" w:lineRule="auto"/>
              <w:jc w:val="right"/>
            </w:pPr>
            <w:r>
              <w:rPr>
                <w:rFonts w:ascii="Traditional Arabic" w:hAnsi="Traditional Arabic" w:cs="Traditional Arabic"/>
                <w:rtl/>
              </w:rPr>
              <w:t>تطبيق تقنية الترميز الأمني للبيانات</w:t>
            </w:r>
          </w:p>
          <w:p w14:paraId="667E93AA" w14:textId="77777777" w:rsidR="00827F40" w:rsidRDefault="00F03C2E">
            <w:pPr>
              <w:bidi/>
              <w:spacing w:after="0" w:line="280" w:lineRule="auto"/>
              <w:jc w:val="right"/>
            </w:pPr>
            <w:r>
              <w:rPr>
                <w:rFonts w:ascii="Traditional Arabic" w:hAnsi="Traditional Arabic" w:cs="Traditional Arabic"/>
                <w:rtl/>
              </w:rPr>
              <w:t>(H1a، H2a)</w:t>
            </w:r>
          </w:p>
        </w:tc>
        <w:tc>
          <w:tcPr>
            <w:tcW w:w="1600" w:type="dxa"/>
            <w:vAlign w:val="center"/>
          </w:tcPr>
          <w:p w14:paraId="20F3C23E" w14:textId="77777777" w:rsidR="00827F40" w:rsidRDefault="00F03C2E">
            <w:pPr>
              <w:bidi/>
              <w:spacing w:after="0" w:line="280" w:lineRule="auto"/>
              <w:jc w:val="right"/>
            </w:pPr>
            <w:r>
              <w:rPr>
                <w:rFonts w:ascii="Traditional Arabic" w:hAnsi="Traditional Arabic" w:cs="Traditional Arabic"/>
                <w:rtl/>
              </w:rPr>
              <w:t>◄────────</w:t>
            </w:r>
          </w:p>
        </w:tc>
        <w:tc>
          <w:tcPr>
            <w:tcW w:w="3000" w:type="dxa"/>
            <w:vAlign w:val="center"/>
          </w:tcPr>
          <w:p w14:paraId="426F8410" w14:textId="77777777" w:rsidR="00827F40" w:rsidRDefault="00F03C2E">
            <w:pPr>
              <w:bidi/>
              <w:spacing w:after="0" w:line="280" w:lineRule="auto"/>
              <w:jc w:val="right"/>
            </w:pPr>
            <w:r>
              <w:rPr>
                <w:rFonts w:ascii="Traditional Arabic" w:hAnsi="Traditional Arabic" w:cs="Traditional Arabic"/>
                <w:rtl/>
              </w:rPr>
              <w:t>الأمن السيبراني المؤسسي</w:t>
            </w:r>
          </w:p>
          <w:p w14:paraId="4B2A34DA" w14:textId="77777777" w:rsidR="00827F40" w:rsidRDefault="00F03C2E">
            <w:pPr>
              <w:bidi/>
              <w:spacing w:after="0" w:line="280" w:lineRule="auto"/>
              <w:jc w:val="right"/>
            </w:pPr>
            <w:r>
              <w:rPr>
                <w:rFonts w:ascii="Traditional Arabic" w:hAnsi="Traditional Arabic" w:cs="Traditional Arabic"/>
                <w:rtl/>
              </w:rPr>
              <w:t>(H1، H1a، H1b)</w:t>
            </w:r>
          </w:p>
        </w:tc>
      </w:tr>
      <w:tr w:rsidR="00827F40" w14:paraId="4DD1C1F3" w14:textId="77777777">
        <w:tc>
          <w:tcPr>
            <w:tcW w:w="3000" w:type="dxa"/>
            <w:vAlign w:val="center"/>
          </w:tcPr>
          <w:p w14:paraId="3319043F" w14:textId="77777777" w:rsidR="00827F40" w:rsidRDefault="00F03C2E">
            <w:pPr>
              <w:bidi/>
              <w:spacing w:after="0" w:line="280" w:lineRule="auto"/>
              <w:jc w:val="right"/>
            </w:pPr>
            <w:r>
              <w:rPr>
                <w:rFonts w:ascii="Traditional Arabic" w:hAnsi="Traditional Arabic" w:cs="Traditional Arabic"/>
                <w:rtl/>
              </w:rPr>
              <w:t>الامتثال للمعايير الدولية</w:t>
            </w:r>
          </w:p>
          <w:p w14:paraId="61C4B91B" w14:textId="77777777" w:rsidR="00827F40" w:rsidRDefault="00F03C2E">
            <w:pPr>
              <w:bidi/>
              <w:spacing w:after="0" w:line="280" w:lineRule="auto"/>
              <w:jc w:val="right"/>
            </w:pPr>
            <w:r>
              <w:rPr>
                <w:rFonts w:ascii="Traditional Arabic" w:hAnsi="Traditional Arabic" w:cs="Traditional Arabic"/>
                <w:rtl/>
              </w:rPr>
              <w:t>(H1b، H2b)</w:t>
            </w:r>
          </w:p>
        </w:tc>
        <w:tc>
          <w:tcPr>
            <w:tcW w:w="1600" w:type="dxa"/>
            <w:vAlign w:val="center"/>
          </w:tcPr>
          <w:p w14:paraId="52FE20F1" w14:textId="77777777" w:rsidR="00827F40" w:rsidRDefault="00F03C2E">
            <w:pPr>
              <w:bidi/>
              <w:spacing w:after="0" w:line="280" w:lineRule="auto"/>
              <w:jc w:val="right"/>
            </w:pPr>
            <w:r>
              <w:rPr>
                <w:rFonts w:ascii="Traditional Arabic" w:hAnsi="Traditional Arabic" w:cs="Traditional Arabic"/>
                <w:rtl/>
              </w:rPr>
              <w:t>◄────────</w:t>
            </w:r>
          </w:p>
        </w:tc>
        <w:tc>
          <w:tcPr>
            <w:tcW w:w="3000" w:type="dxa"/>
            <w:vAlign w:val="center"/>
          </w:tcPr>
          <w:p w14:paraId="7A42991C" w14:textId="77777777" w:rsidR="00827F40" w:rsidRDefault="00F03C2E">
            <w:pPr>
              <w:bidi/>
              <w:spacing w:after="0" w:line="280" w:lineRule="auto"/>
              <w:jc w:val="right"/>
            </w:pPr>
            <w:r>
              <w:rPr>
                <w:rFonts w:ascii="Traditional Arabic" w:hAnsi="Traditional Arabic" w:cs="Traditional Arabic"/>
                <w:rtl/>
              </w:rPr>
              <w:t>كفاءة العمليات المالية</w:t>
            </w:r>
          </w:p>
          <w:p w14:paraId="67F8C606" w14:textId="77777777" w:rsidR="00827F40" w:rsidRDefault="00F03C2E">
            <w:pPr>
              <w:bidi/>
              <w:spacing w:after="0" w:line="280" w:lineRule="auto"/>
              <w:jc w:val="right"/>
            </w:pPr>
            <w:r>
              <w:rPr>
                <w:rFonts w:ascii="Traditional Arabic" w:hAnsi="Traditional Arabic" w:cs="Traditional Arabic"/>
                <w:rtl/>
              </w:rPr>
              <w:t>(H2، H2a، H2b)</w:t>
            </w:r>
          </w:p>
        </w:tc>
      </w:tr>
      <w:tr w:rsidR="00827F40" w14:paraId="40D4E6B7" w14:textId="77777777">
        <w:tc>
          <w:tcPr>
            <w:tcW w:w="7600" w:type="dxa"/>
            <w:gridSpan w:val="3"/>
            <w:shd w:val="clear" w:color="auto" w:fill="F2F2F2"/>
            <w:vAlign w:val="center"/>
          </w:tcPr>
          <w:p w14:paraId="030A6517" w14:textId="77777777" w:rsidR="00827F40" w:rsidRDefault="00F03C2E">
            <w:pPr>
              <w:bidi/>
              <w:spacing w:after="0" w:line="280" w:lineRule="auto"/>
              <w:jc w:val="right"/>
            </w:pPr>
            <w:r>
              <w:rPr>
                <w:rFonts w:ascii="Traditional Arabic" w:hAnsi="Traditional Arabic" w:cs="Traditional Arabic"/>
                <w:rtl/>
              </w:rPr>
              <w:lastRenderedPageBreak/>
              <w:t>المتغيرات الضابطة (التصنيفية): نوع المؤسسة، حجمها، عمرها في السوق، ومستوى تبنّيها لتقنية الترميز (H3، H3a، H3b)</w:t>
            </w:r>
          </w:p>
        </w:tc>
      </w:tr>
      <w:tr w:rsidR="00827F40" w14:paraId="23C742F0" w14:textId="77777777">
        <w:tc>
          <w:tcPr>
            <w:tcW w:w="7600" w:type="dxa"/>
            <w:gridSpan w:val="3"/>
            <w:shd w:val="clear" w:color="auto" w:fill="F2F2F2"/>
            <w:vAlign w:val="center"/>
          </w:tcPr>
          <w:p w14:paraId="42A3DFA3" w14:textId="77777777" w:rsidR="00827F40" w:rsidRDefault="00F03C2E">
            <w:pPr>
              <w:bidi/>
              <w:spacing w:after="0" w:line="280" w:lineRule="auto"/>
              <w:jc w:val="right"/>
            </w:pPr>
            <w:r>
              <w:rPr>
                <w:rFonts w:ascii="Traditional Arabic" w:hAnsi="Traditional Arabic" w:cs="Traditional Arabic"/>
                <w:rtl/>
              </w:rPr>
              <w:t>الإطار التفسيري: التوافق مع رؤية المملكة 2030 والتحول الرقمي المالي — يُوظَّف في تفسير النتائج ولا يدخل ضمن الفروض</w:t>
            </w:r>
          </w:p>
        </w:tc>
      </w:tr>
    </w:tbl>
    <w:p w14:paraId="2E5FB90C" w14:textId="77777777" w:rsidR="00C30195" w:rsidRDefault="007E0546" w:rsidP="00E000FF">
      <w:pPr>
        <w:pStyle w:val="FigureCaption"/>
        <w:bidi/>
        <w:spacing w:after="0" w:line="300" w:lineRule="auto"/>
        <w:jc w:val="center"/>
        <w:rPr>
          <w:rFonts w:ascii="Simplified Arabic" w:hAnsi="Simplified Arabic" w:cs="Simplified Arabic"/>
          <w:b/>
          <w:sz w:val="24"/>
          <w:szCs w:val="24"/>
          <w:rtl/>
        </w:rPr>
      </w:pPr>
      <w:r>
        <w:rPr>
          <w:rFonts w:ascii="Traditional Arabic" w:hAnsi="Traditional Arabic" w:cs="Traditional Arabic"/>
          <w:b/>
          <w:bCs/>
          <w:sz w:val="24"/>
          <w:szCs w:val="24"/>
          <w:rtl/>
        </w:rPr>
        <w:t>شكل (1.1): نموذج الدراسة</w:t>
      </w:r>
    </w:p>
    <w:p w14:paraId="294ABC41" w14:textId="77777777" w:rsidR="00061609" w:rsidRPr="0072768E" w:rsidRDefault="00061609" w:rsidP="00E000FF">
      <w:pPr>
        <w:pStyle w:val="ListBullet"/>
        <w:numPr>
          <w:ilvl w:val="0"/>
          <w:numId w:val="0"/>
        </w:numPr>
        <w:bidi/>
        <w:spacing w:after="0" w:line="360" w:lineRule="auto"/>
        <w:ind w:left="360"/>
        <w:jc w:val="center"/>
        <w:rPr>
          <w:rFonts w:ascii="Simplified Arabic" w:hAnsi="Simplified Arabic" w:cs="Simplified Arabic"/>
          <w:b/>
          <w:bCs/>
          <w:sz w:val="20"/>
          <w:szCs w:val="20"/>
          <w:u w:val="single"/>
        </w:rPr>
      </w:pPr>
      <w:r>
        <w:rPr>
          <w:rFonts w:ascii="Traditional Arabic" w:hAnsi="Traditional Arabic" w:cs="Traditional Arabic"/>
          <w:b/>
          <w:bCs/>
          <w:sz w:val="24"/>
          <w:szCs w:val="24"/>
          <w:u w:val="single"/>
          <w:rtl/>
        </w:rPr>
        <w:t>المصدر: إعداد الباحث (2025). ملاحظة: يشير اتجاه الأسهم إلى الأثر المفترض من كل متغير مستقل نحو كل متغير تابع، وتُستخدَم المتغيرات الضابطة في تقسيم العينة عند اختبار الفروق فحسب. ولا يتضمن النموذج أي متغير وسيط أو معدِّل.</w:t>
      </w:r>
    </w:p>
    <w:p w14:paraId="3324DA9D" w14:textId="77777777" w:rsidR="006037BB" w:rsidRPr="0072768E" w:rsidRDefault="006037BB" w:rsidP="00E000FF">
      <w:pPr>
        <w:pStyle w:val="ListBullet"/>
        <w:numPr>
          <w:ilvl w:val="0"/>
          <w:numId w:val="0"/>
        </w:numPr>
        <w:bidi/>
        <w:spacing w:after="0" w:line="360" w:lineRule="auto"/>
        <w:rPr>
          <w:rFonts w:ascii="Simplified Arabic" w:hAnsi="Simplified Arabic" w:cs="Simplified Arabic"/>
          <w:sz w:val="24"/>
          <w:szCs w:val="24"/>
          <w:rtl/>
        </w:rPr>
      </w:pPr>
    </w:p>
    <w:p w14:paraId="27E37A13" w14:textId="77777777" w:rsidR="009D7E0E" w:rsidRDefault="009D7E0E" w:rsidP="00E000FF">
      <w:pPr>
        <w:bidi/>
        <w:spacing w:after="0" w:line="360" w:lineRule="auto"/>
        <w:rPr>
          <w:rFonts w:ascii="Traditional Arabic" w:hAnsi="Traditional Arabic" w:cs="Traditional Arabic"/>
          <w:b/>
          <w:sz w:val="48"/>
        </w:rPr>
      </w:pPr>
      <w:r>
        <w:rPr>
          <w:rFonts w:ascii="Traditional Arabic" w:hAnsi="Traditional Arabic" w:cs="Traditional Arabic"/>
          <w:b/>
          <w:sz w:val="24"/>
          <w:szCs w:val="24"/>
          <w:rtl/>
        </w:rPr>
        <w:br w:type="page"/>
      </w:r>
    </w:p>
    <w:p w14:paraId="5CCEF7DA" w14:textId="77777777" w:rsidR="00AD783C" w:rsidRPr="0072768E" w:rsidRDefault="00AD783C" w:rsidP="00E000FF">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1.8 مصطلحات الدراسة وتعريفاتها الإجرائية</w:t>
      </w:r>
    </w:p>
    <w:p w14:paraId="0B0754F1" w14:textId="77777777" w:rsidR="00DA2FBD" w:rsidRPr="0072768E" w:rsidRDefault="00DA2FBD" w:rsidP="00E000FF">
      <w:pPr>
        <w:pStyle w:val="Heading2"/>
        <w:bidi/>
        <w:spacing w:before="0" w:line="360" w:lineRule="auto"/>
        <w:jc w:val="both"/>
        <w:rPr>
          <w:color w:val="auto"/>
          <w:rtl/>
        </w:rPr>
      </w:pPr>
      <w:r>
        <w:rPr>
          <w:rFonts w:ascii="Traditional Arabic" w:hAnsi="Traditional Arabic" w:cs="Traditional Arabic"/>
          <w:b/>
          <w:bCs/>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p>
    <w:p w14:paraId="335266DC" w14:textId="77777777" w:rsidR="001A250A" w:rsidRPr="0072768E" w:rsidRDefault="00A279D5"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الترمي</w:t>
      </w:r>
      <w:r>
        <w:rPr>
          <w:rFonts w:ascii="Traditional Arabic" w:hAnsi="Traditional Arabic" w:cs="Traditional Arabic" w:hint="cs"/>
          <w:b/>
          <w:bCs/>
          <w:color w:val="auto"/>
          <w:sz w:val="28"/>
          <w:szCs w:val="28"/>
          <w:rtl/>
        </w:rPr>
        <w:t xml:space="preserve">ز </w:t>
      </w:r>
      <w:r>
        <w:rPr>
          <w:rFonts w:ascii="Traditional Arabic" w:hAnsi="Traditional Arabic" w:cs="Traditional Arabic"/>
          <w:b/>
          <w:bCs/>
          <w:color w:val="auto"/>
          <w:sz w:val="28"/>
          <w:szCs w:val="28"/>
          <w:rtl/>
        </w:rPr>
        <w:t>(Tokenization)</w:t>
      </w:r>
      <w:r>
        <w:rPr>
          <w:rFonts w:ascii="Traditional Arabic" w:hAnsi="Traditional Arabic" w:cs="Traditional Arabic" w:hint="cs"/>
          <w:b/>
          <w:bCs/>
          <w:color w:val="auto"/>
          <w:sz w:val="28"/>
          <w:szCs w:val="28"/>
          <w:rtl/>
        </w:rPr>
        <w:t>:</w:t>
      </w:r>
    </w:p>
    <w:p w14:paraId="7B40E06F" w14:textId="77777777" w:rsidR="001276DC" w:rsidRPr="001276DC" w:rsidRDefault="001276DC" w:rsidP="001276DC">
      <w:pPr>
        <w:pStyle w:val="Heading2"/>
        <w:bidi/>
        <w:spacing w:line="360" w:lineRule="auto"/>
        <w:jc w:val="both"/>
        <w:rPr>
          <w:rFonts w:ascii="Traditional Arabic" w:hAnsi="Traditional Arabic" w:cs="Traditional Arabic"/>
          <w:b/>
          <w:bCs/>
          <w:color w:val="auto"/>
          <w:sz w:val="28"/>
          <w:szCs w:val="28"/>
        </w:rPr>
      </w:pPr>
      <w:r w:rsidRPr="001276DC">
        <w:rPr>
          <w:rFonts w:ascii="Traditional Arabic" w:hAnsi="Traditional Arabic" w:cs="Traditional Arabic"/>
          <w:b/>
          <w:bCs/>
          <w:color w:val="auto"/>
          <w:sz w:val="28"/>
          <w:szCs w:val="28"/>
          <w:rtl/>
        </w:rPr>
        <w:t>التعريف الاصطلاحي: 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 (</w:t>
      </w:r>
      <w:r w:rsidRPr="001276DC">
        <w:rPr>
          <w:rFonts w:ascii="Traditional Arabic" w:hAnsi="Traditional Arabic" w:cs="Traditional Arabic"/>
          <w:b/>
          <w:bCs/>
          <w:color w:val="auto"/>
          <w:sz w:val="28"/>
          <w:szCs w:val="28"/>
        </w:rPr>
        <w:t>Payment Card Industry Data Security Standard [PCI DSS], 2022</w:t>
      </w:r>
      <w:r w:rsidRPr="001276DC">
        <w:rPr>
          <w:rFonts w:ascii="Traditional Arabic" w:hAnsi="Traditional Arabic" w:cs="Traditional Arabic"/>
          <w:b/>
          <w:bCs/>
          <w:color w:val="auto"/>
          <w:sz w:val="28"/>
          <w:szCs w:val="28"/>
          <w:rtl/>
        </w:rPr>
        <w:t>). كما تعرفه المنظمة الدولية للتوحيد القياسي (</w:t>
      </w:r>
      <w:r w:rsidRPr="001276DC">
        <w:rPr>
          <w:rFonts w:ascii="Traditional Arabic" w:hAnsi="Traditional Arabic" w:cs="Traditional Arabic"/>
          <w:b/>
          <w:bCs/>
          <w:color w:val="auto"/>
          <w:sz w:val="28"/>
          <w:szCs w:val="28"/>
        </w:rPr>
        <w:t>ISO</w:t>
      </w:r>
      <w:r w:rsidRPr="001276DC">
        <w:rPr>
          <w:rFonts w:ascii="Traditional Arabic" w:hAnsi="Traditional Arabic" w:cs="Traditional Arabic"/>
          <w:b/>
          <w:bCs/>
          <w:color w:val="auto"/>
          <w:sz w:val="28"/>
          <w:szCs w:val="28"/>
          <w:rtl/>
        </w:rPr>
        <w:t>) بأنه "عملية استبدال المعلومات الحساسة بقيمة رمزية غير حساسة تشير إلى البيانات الأصلية دون الكشف عنها" (</w:t>
      </w:r>
      <w:r w:rsidRPr="001276DC">
        <w:rPr>
          <w:rFonts w:ascii="Traditional Arabic" w:hAnsi="Traditional Arabic" w:cs="Traditional Arabic"/>
          <w:b/>
          <w:bCs/>
          <w:color w:val="auto"/>
          <w:sz w:val="28"/>
          <w:szCs w:val="28"/>
        </w:rPr>
        <w:t>ISO 20022, 2022</w:t>
      </w:r>
      <w:r w:rsidRPr="001276DC">
        <w:rPr>
          <w:rFonts w:ascii="Traditional Arabic" w:hAnsi="Traditional Arabic" w:cs="Traditional Arabic"/>
          <w:b/>
          <w:bCs/>
          <w:color w:val="auto"/>
          <w:sz w:val="28"/>
          <w:szCs w:val="28"/>
          <w:rtl/>
        </w:rPr>
        <w:t>).</w:t>
      </w:r>
    </w:p>
    <w:p w14:paraId="02EEEC5A" w14:textId="77777777" w:rsidR="001276DC" w:rsidRDefault="001276DC" w:rsidP="001276DC">
      <w:pPr>
        <w:pStyle w:val="Heading2"/>
        <w:bidi/>
        <w:spacing w:before="0" w:line="360" w:lineRule="auto"/>
        <w:jc w:val="both"/>
        <w:rPr>
          <w:rFonts w:ascii="Traditional Arabic" w:hAnsi="Traditional Arabic" w:cs="Traditional Arabic"/>
          <w:b/>
          <w:bCs/>
          <w:color w:val="auto"/>
          <w:sz w:val="28"/>
          <w:szCs w:val="28"/>
          <w:rtl/>
        </w:rPr>
      </w:pPr>
      <w:r w:rsidRPr="001276DC">
        <w:rPr>
          <w:rFonts w:ascii="Traditional Arabic" w:hAnsi="Traditional Arabic" w:cs="Traditional Arabic"/>
          <w:b/>
          <w:bCs/>
          <w:color w:val="auto"/>
          <w:sz w:val="28"/>
          <w:szCs w:val="28"/>
          <w:rtl/>
        </w:rPr>
        <w:t>التعريف الإجرائي: 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p>
    <w:p w14:paraId="22EDED13" w14:textId="77777777" w:rsidR="001A250A" w:rsidRPr="0072768E" w:rsidRDefault="00A279D5" w:rsidP="001276DC">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ترميز البيانات الحساسة</w:t>
      </w:r>
      <w:r>
        <w:rPr>
          <w:rFonts w:ascii="Traditional Arabic" w:hAnsi="Traditional Arabic" w:cs="Traditional Arabic" w:hint="cs"/>
          <w:b/>
          <w:bCs/>
          <w:color w:val="auto"/>
          <w:sz w:val="28"/>
          <w:szCs w:val="28"/>
          <w:rtl/>
        </w:rPr>
        <w:t xml:space="preserve"> </w:t>
      </w:r>
      <w:r>
        <w:rPr>
          <w:rFonts w:ascii="Traditional Arabic" w:hAnsi="Traditional Arabic" w:cs="Traditional Arabic"/>
          <w:b/>
          <w:bCs/>
          <w:color w:val="auto"/>
          <w:sz w:val="28"/>
          <w:szCs w:val="28"/>
          <w:rtl/>
        </w:rPr>
        <w:t>(Sensitive Data Tokenization)</w:t>
      </w:r>
      <w:r>
        <w:rPr>
          <w:rFonts w:ascii="Traditional Arabic" w:hAnsi="Traditional Arabic" w:cs="Traditional Arabic" w:hint="cs"/>
          <w:b/>
          <w:bCs/>
          <w:color w:val="auto"/>
          <w:sz w:val="28"/>
          <w:szCs w:val="28"/>
          <w:rtl/>
        </w:rPr>
        <w:t xml:space="preserve">: </w:t>
      </w:r>
    </w:p>
    <w:p w14:paraId="1CACA41C" w14:textId="77777777" w:rsidR="001276DC" w:rsidRPr="001276DC" w:rsidRDefault="001276DC" w:rsidP="001276DC">
      <w:pPr>
        <w:bidi/>
        <w:spacing w:after="0" w:line="360" w:lineRule="auto"/>
        <w:jc w:val="both"/>
        <w:rPr>
          <w:rFonts w:ascii="Traditional Arabic" w:eastAsiaTheme="majorEastAsia" w:hAnsi="Traditional Arabic" w:cs="Traditional Arabic"/>
          <w:b/>
          <w:bCs/>
          <w:sz w:val="28"/>
          <w:szCs w:val="28"/>
        </w:rPr>
      </w:pPr>
      <w:r w:rsidRPr="001276DC">
        <w:rPr>
          <w:rFonts w:ascii="Traditional Arabic" w:eastAsiaTheme="majorEastAsia" w:hAnsi="Traditional Arabic" w:cs="Traditional Arabic"/>
          <w:b/>
          <w:bCs/>
          <w:sz w:val="28"/>
          <w:szCs w:val="28"/>
          <w:rtl/>
        </w:rPr>
        <w:t>التعريف الاصطلاحي: 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 (</w:t>
      </w:r>
      <w:r w:rsidRPr="001276DC">
        <w:rPr>
          <w:rFonts w:ascii="Traditional Arabic" w:eastAsiaTheme="majorEastAsia" w:hAnsi="Traditional Arabic" w:cs="Traditional Arabic"/>
          <w:b/>
          <w:bCs/>
          <w:sz w:val="28"/>
          <w:szCs w:val="28"/>
        </w:rPr>
        <w:t>National Institute of Standards and Technology [NIST], 2023</w:t>
      </w:r>
      <w:r w:rsidRPr="001276DC">
        <w:rPr>
          <w:rFonts w:ascii="Traditional Arabic" w:eastAsiaTheme="majorEastAsia" w:hAnsi="Traditional Arabic" w:cs="Traditional Arabic"/>
          <w:b/>
          <w:bCs/>
          <w:sz w:val="28"/>
          <w:szCs w:val="28"/>
          <w:rtl/>
        </w:rPr>
        <w:t xml:space="preserve">). ويشير تعريف </w:t>
      </w:r>
      <w:r w:rsidRPr="001276DC">
        <w:rPr>
          <w:rFonts w:ascii="Traditional Arabic" w:eastAsiaTheme="majorEastAsia" w:hAnsi="Traditional Arabic" w:cs="Traditional Arabic"/>
          <w:b/>
          <w:bCs/>
          <w:sz w:val="28"/>
          <w:szCs w:val="28"/>
        </w:rPr>
        <w:t>Gartner</w:t>
      </w:r>
      <w:r w:rsidRPr="001276DC">
        <w:rPr>
          <w:rFonts w:ascii="Traditional Arabic" w:eastAsiaTheme="majorEastAsia" w:hAnsi="Traditional Arabic" w:cs="Traditional Arabic"/>
          <w:b/>
          <w:bCs/>
          <w:sz w:val="28"/>
          <w:szCs w:val="28"/>
          <w:rtl/>
        </w:rPr>
        <w:t xml:space="preserve"> (2023) إلى أنه "عملية إحلال رموز غير ذات معنى محل البيانات الحساسة مع الاحتفاظ بالقيمة التجارية للبيانات".</w:t>
      </w:r>
    </w:p>
    <w:p w14:paraId="2620851D" w14:textId="77777777" w:rsidR="0041700F" w:rsidRPr="001276DC" w:rsidRDefault="001276DC" w:rsidP="001276DC">
      <w:pPr>
        <w:bidi/>
        <w:spacing w:after="0" w:line="360" w:lineRule="auto"/>
        <w:jc w:val="both"/>
        <w:rPr>
          <w:rFonts w:ascii="Simplified Arabic" w:eastAsiaTheme="majorEastAsia" w:hAnsi="Simplified Arabic" w:cs="Simplified Arabic"/>
          <w:b/>
          <w:bCs/>
          <w:sz w:val="32"/>
          <w:szCs w:val="32"/>
          <w:rtl/>
        </w:rPr>
      </w:pPr>
      <w:r w:rsidRPr="001276DC">
        <w:rPr>
          <w:rFonts w:ascii="Traditional Arabic" w:eastAsiaTheme="majorEastAsia" w:hAnsi="Traditional Arabic" w:cs="Traditional Arabic"/>
          <w:b/>
          <w:bCs/>
          <w:sz w:val="28"/>
          <w:szCs w:val="28"/>
          <w:rtl/>
        </w:rPr>
        <w:lastRenderedPageBreak/>
        <w:t>التعريف الإجرائي: 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p>
    <w:p w14:paraId="489F7331" w14:textId="77777777" w:rsidR="0041700F" w:rsidRPr="0072768E" w:rsidRDefault="00A279D5" w:rsidP="00E000FF">
      <w:pPr>
        <w:bidi/>
        <w:spacing w:after="0"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ترميز المدفوعات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(Payment Tokenization)</w:t>
      </w:r>
      <w:r>
        <w:rPr>
          <w:rFonts w:ascii="Traditional Arabic" w:hAnsi="Traditional Arabic" w:cs="Traditional Arabic" w:hint="cs"/>
          <w:b/>
          <w:bCs/>
          <w:sz w:val="28"/>
          <w:szCs w:val="28"/>
          <w:rtl/>
        </w:rPr>
        <w:t xml:space="preserve">: </w:t>
      </w:r>
    </w:p>
    <w:p w14:paraId="2812E77C"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sidRPr="001276DC">
        <w:rPr>
          <w:rFonts w:ascii="Traditional Arabic" w:hAnsi="Traditional Arabic" w:cs="Traditional Arabic"/>
          <w:b/>
          <w:bCs/>
          <w:sz w:val="28"/>
          <w:szCs w:val="28"/>
          <w:rtl/>
        </w:rPr>
        <w:t>التعريف الاصطلاحي: يُعرّف اصطلاحاً بأنه استبدال معلومات الدفع الحساسة مثل أرقام بطاقات الائتمان برموز رقمية فريدة أثناء معالجة المعاملات المالية الإلكترونية (</w:t>
      </w:r>
      <w:r w:rsidRPr="001276DC">
        <w:rPr>
          <w:rFonts w:ascii="Traditional Arabic" w:hAnsi="Traditional Arabic" w:cs="Traditional Arabic"/>
          <w:b/>
          <w:bCs/>
          <w:sz w:val="28"/>
          <w:szCs w:val="28"/>
        </w:rPr>
        <w:t>International Organization for Standardization [ISO], 2020</w:t>
      </w:r>
      <w:r w:rsidRPr="001276DC">
        <w:rPr>
          <w:rFonts w:ascii="Traditional Arabic" w:hAnsi="Traditional Arabic" w:cs="Traditional Arabic"/>
          <w:b/>
          <w:bCs/>
          <w:sz w:val="28"/>
          <w:szCs w:val="28"/>
          <w:rtl/>
        </w:rPr>
        <w:t>). وتعرفه جمعية المدفوعات العالمية (</w:t>
      </w:r>
      <w:r w:rsidRPr="001276DC">
        <w:rPr>
          <w:rFonts w:ascii="Traditional Arabic" w:hAnsi="Traditional Arabic" w:cs="Traditional Arabic"/>
          <w:b/>
          <w:bCs/>
          <w:sz w:val="28"/>
          <w:szCs w:val="28"/>
        </w:rPr>
        <w:t>Global Payments Association, 2023</w:t>
      </w:r>
      <w:r w:rsidRPr="001276DC">
        <w:rPr>
          <w:rFonts w:ascii="Traditional Arabic" w:hAnsi="Traditional Arabic" w:cs="Traditional Arabic"/>
          <w:b/>
          <w:bCs/>
          <w:sz w:val="28"/>
          <w:szCs w:val="28"/>
          <w:rtl/>
        </w:rPr>
        <w:t>) بأنه "عملية استبدال بيانات حامل البطاقة برمز رقمي فريد يمكن استخدامه لإتمام المعاملة دون الكشف عن المعلومات الأصلية".</w:t>
      </w:r>
    </w:p>
    <w:p w14:paraId="78473ADD" w14:textId="77777777" w:rsidR="00CD417C" w:rsidRPr="001276DC" w:rsidRDefault="001276DC" w:rsidP="001276DC">
      <w:pPr>
        <w:bidi/>
        <w:spacing w:after="0" w:line="360" w:lineRule="auto"/>
        <w:jc w:val="both"/>
        <w:rPr>
          <w:rFonts w:ascii="Simplified Arabic" w:hAnsi="Simplified Arabic" w:cs="Simplified Arabic"/>
          <w:b/>
          <w:bCs/>
          <w:sz w:val="32"/>
          <w:szCs w:val="32"/>
          <w:rtl/>
        </w:rPr>
      </w:pPr>
      <w:r w:rsidRPr="001276DC">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p>
    <w:p w14:paraId="5FAA20AD" w14:textId="77777777" w:rsidR="00CD417C" w:rsidRPr="0072768E" w:rsidRDefault="00A279D5"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(Asset Tokenization)</w:t>
      </w:r>
      <w:r>
        <w:rPr>
          <w:rFonts w:ascii="Traditional Arabic" w:hAnsi="Traditional Arabic" w:cs="Traditional Arabic" w:hint="cs"/>
          <w:b/>
          <w:bCs/>
          <w:sz w:val="28"/>
          <w:szCs w:val="28"/>
          <w:rtl/>
        </w:rPr>
        <w:t xml:space="preserve">: </w:t>
      </w:r>
    </w:p>
    <w:p w14:paraId="1CB4785F"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sidRPr="001276DC">
        <w:rPr>
          <w:rFonts w:ascii="Traditional Arabic" w:hAnsi="Traditional Arabic" w:cs="Traditional Arabic"/>
          <w:b/>
          <w:bCs/>
          <w:sz w:val="28"/>
          <w:szCs w:val="28"/>
          <w:rtl/>
        </w:rPr>
        <w:t>التعريف الاصطلاحي: يُعرّف اصطلاحاً بأنه تحويل الأصول المالية التقليدية مثل الأسهم والسندات والعقارات إلى رموز رقمية يمكن تداولها على منصات سلسلة الكتل (</w:t>
      </w:r>
      <w:r w:rsidRPr="001276DC">
        <w:rPr>
          <w:rFonts w:ascii="Traditional Arabic" w:hAnsi="Traditional Arabic" w:cs="Traditional Arabic"/>
          <w:b/>
          <w:bCs/>
          <w:sz w:val="28"/>
          <w:szCs w:val="28"/>
        </w:rPr>
        <w:t>World Economic Forum [WEF], 2023</w:t>
      </w:r>
      <w:r w:rsidRPr="001276DC">
        <w:rPr>
          <w:rFonts w:ascii="Traditional Arabic" w:hAnsi="Traditional Arabic" w:cs="Traditional Arabic"/>
          <w:b/>
          <w:bCs/>
          <w:sz w:val="28"/>
          <w:szCs w:val="28"/>
          <w:rtl/>
        </w:rPr>
        <w:t>). ويعرفه البنك الدولي (</w:t>
      </w:r>
      <w:r w:rsidRPr="001276DC">
        <w:rPr>
          <w:rFonts w:ascii="Traditional Arabic" w:hAnsi="Traditional Arabic" w:cs="Traditional Arabic"/>
          <w:b/>
          <w:bCs/>
          <w:sz w:val="28"/>
          <w:szCs w:val="28"/>
        </w:rPr>
        <w:t>World Bank, 2022</w:t>
      </w:r>
      <w:r w:rsidRPr="001276DC">
        <w:rPr>
          <w:rFonts w:ascii="Traditional Arabic" w:hAnsi="Traditional Arabic" w:cs="Traditional Arabic"/>
          <w:b/>
          <w:bCs/>
          <w:sz w:val="28"/>
          <w:szCs w:val="28"/>
          <w:rtl/>
        </w:rPr>
        <w:t>) 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p>
    <w:p w14:paraId="527AA116" w14:textId="77777777" w:rsidR="001276DC" w:rsidRDefault="001276DC" w:rsidP="001276DC">
      <w:pPr>
        <w:bidi/>
        <w:spacing w:after="0" w:line="360" w:lineRule="auto"/>
        <w:jc w:val="both"/>
        <w:rPr>
          <w:rFonts w:ascii="Traditional Arabic" w:hAnsi="Traditional Arabic" w:cs="Traditional Arabic"/>
          <w:b/>
          <w:bCs/>
          <w:sz w:val="28"/>
          <w:szCs w:val="28"/>
          <w:rtl/>
        </w:rPr>
      </w:pPr>
      <w:r w:rsidRPr="001276DC">
        <w:rPr>
          <w:rFonts w:ascii="Traditional Arabic" w:hAnsi="Traditional Arabic" w:cs="Traditional Arabic"/>
          <w:b/>
          <w:bCs/>
          <w:sz w:val="28"/>
          <w:szCs w:val="28"/>
          <w:rtl/>
        </w:rPr>
        <w:lastRenderedPageBreak/>
        <w:t>التعريف الإجرائي: 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p>
    <w:p w14:paraId="4582BB42"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الترميز غير القابل للاستبدال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(Non-Fungible Tokenization)</w:t>
      </w:r>
      <w:r>
        <w:rPr>
          <w:rFonts w:ascii="Traditional Arabic" w:hAnsi="Traditional Arabic" w:cs="Traditional Arabic" w:hint="cs"/>
          <w:b/>
          <w:bCs/>
          <w:sz w:val="28"/>
          <w:szCs w:val="28"/>
          <w:rtl/>
        </w:rPr>
        <w:t xml:space="preserve">: </w:t>
      </w:r>
    </w:p>
    <w:p w14:paraId="4356ACE4"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إنشاء رموز رقمية فريدة غير قابلة للاستبدال لتمثيل الأصول الفريدة مثل الأعمال الفنية والملكية الفكرية (Ethereum Foundation, 2024). ويعرفه قاموس أكسفورد للتقنيات المالية (Oxford FinTech Dictionary, 2023) بأنه "رمز رقمي فريد لا يمكن استبداله بآخر، يمثل ملكية أصل فريد أو محتوى رقمي، ويستخدم تقنية البلوكتشين لتوثيق الملكية والأصالة".</w:t>
      </w:r>
    </w:p>
    <w:p w14:paraId="6F337F77"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p>
    <w:p w14:paraId="25ADF3D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الأمن السيبراني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(Cybersecurity)</w:t>
      </w:r>
      <w:r>
        <w:rPr>
          <w:rFonts w:ascii="Traditional Arabic" w:hAnsi="Traditional Arabic" w:cs="Traditional Arabic" w:hint="cs"/>
          <w:b/>
          <w:bCs/>
          <w:sz w:val="28"/>
          <w:szCs w:val="28"/>
          <w:rtl/>
        </w:rPr>
        <w:t xml:space="preserve">: </w:t>
      </w:r>
    </w:p>
    <w:p w14:paraId="1D7133E3"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 (ISO/IEC 27032, 2023) بأنه "حماية سلامة وسرية وتوافر المعلومات في الفضاء الإلكتروني". وتعرفه وكالة الأمن السيبراني والبنية التحتية (CISA, 2023) بأنه "فن حماية الشبكات والأنظمة والبرامج من الهجمات الرقمية التي تهدف إلى الوصول غير المصرح به للبيانات أو تعطيل العمليات الرقمية".</w:t>
      </w:r>
    </w:p>
    <w:p w14:paraId="1AE053B3"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 (مستوى الالتزام بالمعايير المحلية والدولية مثل ISO 27001 ومعايير الهيئة الوطنية للأمن السيبراني)، </w:t>
      </w:r>
      <w:r>
        <w:rPr>
          <w:rFonts w:ascii="Traditional Arabic" w:hAnsi="Traditional Arabic" w:cs="Traditional Arabic"/>
          <w:b/>
          <w:bCs/>
          <w:sz w:val="28"/>
          <w:szCs w:val="28"/>
          <w:rtl/>
        </w:rPr>
        <w:lastRenderedPageBreak/>
        <w:t>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Traditional Arabic" w:hAnsi="Traditional Arabic" w:cs="Traditional Arabic" w:hint="cs"/>
          <w:b/>
          <w:bCs/>
          <w:sz w:val="28"/>
          <w:szCs w:val="28"/>
          <w:rtl/>
        </w:rPr>
        <w:t>.</w:t>
      </w:r>
    </w:p>
    <w:p w14:paraId="2AF7B167"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كفاءة المعاملات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Transaction Efficiency)</w:t>
      </w:r>
      <w:r>
        <w:rPr>
          <w:rFonts w:ascii="Traditional Arabic" w:hAnsi="Traditional Arabic" w:cs="Traditional Arabic" w:hint="cs"/>
          <w:b/>
          <w:bCs/>
          <w:sz w:val="28"/>
          <w:szCs w:val="28"/>
          <w:rtl/>
        </w:rPr>
        <w:t xml:space="preserve">: </w:t>
      </w:r>
    </w:p>
    <w:p w14:paraId="7B5D78CF"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مدى سرعة ودقة وتكلفة إجراء المعاملات المالية (Bank for International Settlements [BIS], 2023). ويعرفها معهد التمويل الدولي (Institute of International Finance, 2022) بأنها "قدرة النظام المالي على تنفيذ المعاملات بسرعة وتكلفة منخفضة وبأقل قدر من المخاطر".</w:t>
      </w:r>
    </w:p>
    <w:p w14:paraId="4BF08679"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p>
    <w:p w14:paraId="6563B1B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رؤية المملكة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(Vision 2030)</w:t>
      </w:r>
      <w:r>
        <w:rPr>
          <w:rFonts w:ascii="Traditional Arabic" w:hAnsi="Traditional Arabic" w:cs="Traditional Arabic" w:hint="cs"/>
          <w:b/>
          <w:bCs/>
          <w:sz w:val="28"/>
          <w:szCs w:val="28"/>
          <w:rtl/>
        </w:rPr>
        <w:t xml:space="preserve">: </w:t>
      </w:r>
    </w:p>
    <w:p w14:paraId="3CA67B13"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p>
    <w:p w14:paraId="59CC5274"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w:t>
      </w:r>
      <w:r>
        <w:rPr>
          <w:rFonts w:ascii="Traditional Arabic" w:hAnsi="Traditional Arabic" w:cs="Traditional Arabic"/>
          <w:b/>
          <w:bCs/>
          <w:sz w:val="28"/>
          <w:szCs w:val="28"/>
          <w:rtl/>
        </w:rPr>
        <w:lastRenderedPageBreak/>
        <w:t>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Traditional Arabic" w:hAnsi="Traditional Arabic" w:cs="Traditional Arabic" w:hint="cs"/>
          <w:b/>
          <w:bCs/>
          <w:sz w:val="28"/>
          <w:szCs w:val="28"/>
          <w:rtl/>
        </w:rPr>
        <w:t>.</w:t>
      </w:r>
    </w:p>
    <w:p w14:paraId="0E842215"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(Digital Transformation)</w:t>
      </w:r>
      <w:r>
        <w:rPr>
          <w:rFonts w:ascii="Traditional Arabic" w:hAnsi="Traditional Arabic" w:cs="Traditional Arabic" w:hint="cs"/>
          <w:b/>
          <w:bCs/>
          <w:sz w:val="28"/>
          <w:szCs w:val="28"/>
          <w:rtl/>
        </w:rPr>
        <w:t>:</w:t>
      </w:r>
    </w:p>
    <w:p w14:paraId="7E1C2F5B"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عملية توظيف التكنولوجيا الرقمية وتبنيها في مختلف جوانب الأعمال لتحسين الأداء وزيادة القيمة وتعزيز تجربة العملاء (برنامج التحول الوطني، 2020؛ Gartner, 2023). وتعرفه مؤسسة MIT Sloan (2022) بأنه "عملية تكامل التقنيات الرقمية في جميع مجالات الأعمال، مما يؤدي إلى تغيير جوهري في طريقة عمل المؤسسات وتقديم قيمة للعملاء".</w:t>
      </w:r>
    </w:p>
    <w:p w14:paraId="1A51AAF3"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إدراك المستجيبين لإسهام تقنية الترميز في دعم التحول الرقمي المالي ومستهدفات رؤية 2030، ويُقاس بالدرجة التي يحصل عليها المستجيب على عبارات بُعد (التوافق مع رؤية 2030 والتحول الرقمي المالي) في أداة الدراسة.</w:t>
      </w:r>
    </w:p>
    <w:p w14:paraId="4A17ED8A"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القطاع المالي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(Financial Sector Development)</w:t>
      </w:r>
      <w:r>
        <w:rPr>
          <w:rFonts w:ascii="Traditional Arabic" w:hAnsi="Traditional Arabic" w:cs="Traditional Arabic" w:hint="cs"/>
          <w:b/>
          <w:bCs/>
          <w:sz w:val="28"/>
          <w:szCs w:val="28"/>
          <w:rtl/>
        </w:rPr>
        <w:t xml:space="preserve">: </w:t>
      </w:r>
    </w:p>
    <w:p w14:paraId="1300A8FE" w14:textId="77777777" w:rsidR="0067429E" w:rsidRDefault="00656233"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الإجراءات والسياسات التي تهدف إلى تعزيز استقرار وكفاءة وتنافسية القطاع المالي (برنامج تطوير القطاع المالي، 2018؛ International Monetary Fund [IMF], 2022). ويعرفه البنك الدولي (2023) بأنه "عملية تحسين وتوسيع الخدمات المالية وجعلها أكثر كفاءة واستقراراً وشمولاً، مما يساهم في النمو الاقتصادي والتنمية المستدامة".</w:t>
      </w:r>
    </w:p>
    <w:p w14:paraId="1B5FD44B" w14:textId="77777777" w:rsidR="001B355A" w:rsidRDefault="00656233" w:rsidP="001B355A">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p>
    <w:p w14:paraId="466007AE" w14:textId="77777777" w:rsidR="00FC3D33" w:rsidRPr="001B355A" w:rsidRDefault="00656233" w:rsidP="001B355A">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p>
    <w:p w14:paraId="6D136E28" w14:textId="77777777" w:rsidR="001B355A" w:rsidRDefault="00257F01"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1.9 إجراءات الدراسة</w:t>
      </w:r>
    </w:p>
    <w:p w14:paraId="1D75ED78" w14:textId="77777777" w:rsidR="001B355A" w:rsidRDefault="00E62032"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اعتمدت الدراسة المنهج الكمي الوصفي التحليلي، واستخدمت الاستبانة الإلكترونية أداةً وحيدة لجمع البيانات من عينة قصدية من العاملين في المؤسسات المالية السعودية، وحُلِّلت البيانات بأساليب إحصائية لامعلمية. ويُعرَض التفصيل الكامل لمنهج الدراسة ومجتمعها وعينتها وأداتها وصدقها وثباتها وأساليبها الإحصائية في الفصل الثالث (منهجية الدراسة)، تجنباً للتكرار.</w:t>
      </w:r>
    </w:p>
    <w:p w14:paraId="5023CE83" w14:textId="77777777" w:rsidR="001B355A" w:rsidRDefault="000A1E46"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1.10 حدود الدراسة</w:t>
      </w:r>
    </w:p>
    <w:p w14:paraId="08B66118"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hint="cs"/>
          <w:b/>
          <w:bCs/>
          <w:sz w:val="28"/>
          <w:szCs w:val="28"/>
          <w:rtl/>
        </w:rPr>
        <w:t>تعتبر</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إطاراً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منهجياً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يحدد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نطاق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ومجاله،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مما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يساعد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في</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تركيز</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الجهود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وضمان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دقة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النتائج</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وإمكانية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تعميمها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تتضمن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هذه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التالية</w:t>
      </w:r>
      <w:r>
        <w:rPr>
          <w:rFonts w:ascii="Traditional Arabic" w:hAnsi="Traditional Arabic" w:cs="Traditional Arabic"/>
          <w:b/>
          <w:bCs/>
          <w:sz w:val="28"/>
          <w:szCs w:val="28"/>
          <w:rtl/>
        </w:rPr>
        <w:t>:</w:t>
      </w:r>
    </w:p>
    <w:p w14:paraId="57B77F9A"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1.10.1 الحدود الموضوعية</w:t>
      </w:r>
    </w:p>
    <w:p w14:paraId="35A72564"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Traditional Arabic" w:hAnsi="Traditional Arabic" w:cs="Traditional Arabic" w:hint="cs"/>
          <w:b/>
          <w:bCs/>
          <w:sz w:val="28"/>
          <w:szCs w:val="28"/>
          <w:rtl/>
        </w:rPr>
        <w:t>.</w:t>
      </w:r>
    </w:p>
    <w:p w14:paraId="68523D20" w14:textId="77777777" w:rsidR="0063519C" w:rsidRDefault="0063519C" w:rsidP="001B355A">
      <w:pPr>
        <w:pStyle w:val="HeadingTOCEntry"/>
        <w:bidi/>
        <w:spacing w:after="0" w:line="360" w:lineRule="auto"/>
        <w:ind w:left="432" w:hanging="432"/>
        <w:rPr>
          <w:rFonts w:ascii="Traditional Arabic" w:hAnsi="Traditional Arabic" w:cs="Traditional Arabic"/>
          <w:b/>
          <w:bCs/>
          <w:sz w:val="28"/>
          <w:szCs w:val="28"/>
          <w:rtl/>
        </w:rPr>
      </w:pPr>
    </w:p>
    <w:p w14:paraId="35FFDFA0"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3432BF4A"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19E13C46"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70D1FA5B" w14:textId="77777777" w:rsidR="001B355A"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1.10.2 الحدود المكانية</w:t>
      </w:r>
    </w:p>
    <w:p w14:paraId="427E665A" w14:textId="77777777" w:rsidR="0063519C"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المؤسسات المالية العاملة في المملكة العربية السعودية، وتحديداً:</w:t>
      </w:r>
    </w:p>
    <w:p w14:paraId="062956C0" w14:textId="77777777" w:rsidR="0063519C"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التجارية المحلية التقليدية المرخصة من قبل البنك المركزي السعودي (ساما) وعددها 11 بنكاً.</w:t>
      </w:r>
    </w:p>
    <w:p w14:paraId="7AF1C53C" w14:textId="77777777" w:rsidR="0063519C"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الرقمية المحلية المرخصة وعددها 3 بنوك.</w:t>
      </w:r>
    </w:p>
    <w:p w14:paraId="2828858F" w14:textId="77777777" w:rsidR="007F6F3E"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شركات التقنية المالية (Fintech) المرخصة من قبل البنك المركزي السعودي وعددها 224 شركة.</w:t>
      </w:r>
    </w:p>
    <w:p w14:paraId="3598950B"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p>
    <w:p w14:paraId="399A9586" w14:textId="77777777" w:rsidR="007F6F3E" w:rsidRPr="0072768E"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1.10.3 الحدود الزمانية</w:t>
      </w:r>
    </w:p>
    <w:p w14:paraId="7A66F6F0"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تغطي الدراسة الفترة من يناير 2025 إلى ديسمبر 2026، وهي الفترة المخصصة لتنفيذ خطة البحث على النحو التالي:</w:t>
      </w:r>
    </w:p>
    <w:p w14:paraId="5B1C5D68"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أبريل 2025: مراجعة الأدبيات وتطوير أدوات الدراسة.</w:t>
      </w:r>
    </w:p>
    <w:p w14:paraId="6A384129"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مايو إلى ديسمبر 2025: جمع البيانات من عينة الدراسة.</w:t>
      </w:r>
    </w:p>
    <w:p w14:paraId="0B28AEB2"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يونيو 2026: تحليل البيانات واستخلاص النتائج.</w:t>
      </w:r>
    </w:p>
    <w:p w14:paraId="32C28C40"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يوليو إلى ديسمبر 2026: كتابة التقرير النهائي وتقديم التوصيات.</w:t>
      </w:r>
    </w:p>
    <w:p w14:paraId="6C8B45D2"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p>
    <w:p w14:paraId="36026993" w14:textId="77777777" w:rsidR="007F6F3E" w:rsidRPr="0072768E"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1.10.4 الحدود البشرية</w:t>
      </w:r>
    </w:p>
    <w:p w14:paraId="1598EF9E" w14:textId="77777777" w:rsidR="007F6F3E" w:rsidRPr="0063519C" w:rsidRDefault="007F6F3E" w:rsidP="00E000FF">
      <w:p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تشمل الدراسة الفئات التالية:</w:t>
      </w:r>
    </w:p>
    <w:p w14:paraId="272D3141"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القيادات الإدارية والتنفيذية: 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p>
    <w:p w14:paraId="0BC74E94"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lastRenderedPageBreak/>
        <w:t>الخبراء والمتخصصون: 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p>
    <w:p w14:paraId="781E2D93"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الفنيون والمختصون التقنيون: الموظفون الفنيون العاملون في مجال تطبيق الترميز مثل محللي البيانات ومطوري البرمجيات ومسؤولي الأمن السيبراني والمختصين في تقنيات الترميز المختلفة.</w:t>
      </w:r>
    </w:p>
    <w:p w14:paraId="38C747E1" w14:textId="77777777" w:rsidR="007F6F3E" w:rsidRPr="0063519C" w:rsidRDefault="007F6F3E" w:rsidP="00E000FF">
      <w:pPr>
        <w:pStyle w:val="Heading2"/>
        <w:bidi/>
        <w:spacing w:before="0" w:line="360" w:lineRule="auto"/>
        <w:jc w:val="both"/>
        <w:rPr>
          <w:rFonts w:ascii="Simplified Arabic" w:hAnsi="Simplified Arabic" w:cs="Simplified Arabic"/>
          <w:b/>
          <w:bCs/>
          <w:color w:val="auto"/>
          <w:sz w:val="28"/>
          <w:szCs w:val="28"/>
          <w:rtl/>
        </w:rPr>
      </w:pPr>
      <w:r w:rsidRPr="0063519C">
        <w:rPr>
          <w:rFonts w:ascii="Traditional Arabic" w:hAnsi="Traditional Arabic" w:cs="Traditional Arabic"/>
          <w:b/>
          <w:bCs/>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63519C">
        <w:rPr>
          <w:rFonts w:ascii="Traditional Arabic" w:hAnsi="Traditional Arabic" w:cs="Traditional Arabic" w:hint="cs"/>
          <w:b/>
          <w:bCs/>
          <w:color w:val="auto"/>
          <w:sz w:val="28"/>
          <w:szCs w:val="28"/>
          <w:rtl/>
        </w:rPr>
        <w:t>.</w:t>
      </w:r>
    </w:p>
    <w:p w14:paraId="501D56BB" w14:textId="77777777" w:rsidR="007F6F3E" w:rsidRPr="0063519C" w:rsidRDefault="007F6F3E" w:rsidP="00E000FF">
      <w:pPr>
        <w:pStyle w:val="HeadingTOCEntry"/>
        <w:bidi/>
        <w:spacing w:line="360" w:lineRule="auto"/>
        <w:rPr>
          <w:rFonts w:ascii="Simplified Arabic" w:hAnsi="Simplified Arabic" w:cs="Simplified Arabic"/>
          <w:b/>
          <w:bCs/>
          <w:sz w:val="28"/>
          <w:szCs w:val="28"/>
        </w:rPr>
      </w:pPr>
      <w:r>
        <w:rPr>
          <w:rFonts w:ascii="Traditional Arabic" w:hAnsi="Traditional Arabic" w:cs="Traditional Arabic"/>
          <w:b/>
          <w:bCs/>
          <w:sz w:val="28"/>
          <w:szCs w:val="28"/>
          <w:rtl/>
        </w:rPr>
        <w:t>1.10.5 مبررات اختيار حدود الدراسة</w:t>
      </w:r>
    </w:p>
    <w:p w14:paraId="10953587"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الموضوعية: 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p>
    <w:p w14:paraId="47333D9B"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المكانية: تم اختيار المؤسسات المالية السعودية لكونها تشهد تحولاً رقمياً متسارعاً، ولوجود فجوة بحثية في دراسة تأثير تقنية الترميز في السياق السعودي تحديداً.</w:t>
      </w:r>
    </w:p>
    <w:p w14:paraId="13CF3AAE"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الزمانية: تم تحديد الفترة 2025-2026 لضمان الحصول على بيانات حديثة تعكس الواقع الحالي لتبني تقنية الترميز وتأثيرها، في ظل التطور المتسارع للتكنولوجيا المالية.</w:t>
      </w:r>
    </w:p>
    <w:p w14:paraId="100AD0BF"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البشرية: تم اختيار مجموعة متنوعة من المشاركين لضمان الحصول على رؤية متكاملة تجمع بين الجوانب الإدارية والتقنية والتنظيمية والمستخدم النهائي.</w:t>
      </w:r>
    </w:p>
    <w:p w14:paraId="09F6F752" w14:textId="77777777" w:rsidR="007E4F21" w:rsidRDefault="007F6F3E"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p>
    <w:p w14:paraId="627AC6A6" w14:textId="77777777" w:rsidR="00AF5C9F" w:rsidRPr="00AF5C9F" w:rsidRDefault="00AF5C9F" w:rsidP="00E000FF">
      <w:pPr>
        <w:bidi/>
        <w:spacing w:after="0" w:line="360" w:lineRule="auto"/>
        <w:rPr>
          <w:rtl/>
        </w:rPr>
      </w:pPr>
    </w:p>
    <w:p w14:paraId="1B23C18C" w14:textId="77777777" w:rsidR="00A554AC" w:rsidRPr="0072768E" w:rsidRDefault="00A554AC" w:rsidP="00E000FF">
      <w:pPr>
        <w:bidi/>
        <w:spacing w:after="0" w:line="360" w:lineRule="auto"/>
        <w:jc w:val="both"/>
        <w:rPr>
          <w:rFonts w:ascii="Simplified Arabic" w:eastAsiaTheme="majorEastAsia" w:hAnsi="Simplified Arabic" w:cs="Simplified Arabic"/>
          <w:b/>
          <w:bCs/>
          <w:sz w:val="28"/>
          <w:szCs w:val="28"/>
          <w:rtl/>
        </w:rPr>
      </w:pPr>
    </w:p>
    <w:p w14:paraId="45C4D946" w14:textId="77777777" w:rsidR="004E6090" w:rsidRPr="0072768E" w:rsidRDefault="004E6090" w:rsidP="00E000FF">
      <w:pPr>
        <w:bidi/>
        <w:spacing w:after="0" w:line="360" w:lineRule="auto"/>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2BD01BDC" w14:textId="77777777" w:rsidR="0063519C" w:rsidRDefault="0063519C" w:rsidP="00E000FF">
      <w:pPr>
        <w:pStyle w:val="HeadingTOCEntry"/>
        <w:bidi/>
        <w:spacing w:after="0" w:line="360" w:lineRule="auto"/>
        <w:ind w:left="432" w:hanging="432"/>
        <w:jc w:val="center"/>
        <w:rPr>
          <w:rFonts w:ascii="Traditional Arabic" w:hAnsi="Traditional Arabic" w:cs="Traditional Arabic"/>
          <w:b/>
          <w:bCs/>
          <w:sz w:val="32"/>
          <w:szCs w:val="32"/>
          <w:rtl/>
        </w:rPr>
      </w:pPr>
      <w:bookmarkStart w:id="18" w:name="_Toc224563956"/>
      <w:bookmarkStart w:id="19" w:name="_Toc234424148"/>
    </w:p>
    <w:p w14:paraId="69C9A10F"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7734A9FE"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A6A648B"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1E9FF84C"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7A05403E" w14:textId="77777777" w:rsidR="00A40CCF" w:rsidRPr="004F6AF4" w:rsidRDefault="00A40CCF" w:rsidP="0063519C">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b/>
          <w:bCs/>
          <w:sz w:val="92"/>
          <w:szCs w:val="92"/>
          <w:rtl/>
        </w:rPr>
        <w:t>الفصل الثاني</w:t>
      </w:r>
      <w:bookmarkEnd w:id="18"/>
      <w:bookmarkEnd w:id="19"/>
    </w:p>
    <w:p w14:paraId="367E730D" w14:textId="77777777" w:rsidR="00BC00FF" w:rsidRPr="004F6AF4" w:rsidRDefault="00A40CCF" w:rsidP="004F6AF4">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b/>
          <w:bCs/>
          <w:sz w:val="92"/>
          <w:szCs w:val="92"/>
          <w:rtl/>
        </w:rPr>
        <w:t>الإطار النظري والدراسات السابقة</w:t>
      </w:r>
    </w:p>
    <w:p w14:paraId="2C107C30" w14:textId="77777777" w:rsidR="00F16CC0" w:rsidRPr="00F16CC0" w:rsidRDefault="00F16CC0"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0F78F556" w14:textId="77777777" w:rsidR="00786A9D" w:rsidRPr="00D26972" w:rsidRDefault="00786A9D" w:rsidP="00E000FF">
      <w:pPr>
        <w:pStyle w:val="HeadingTOCEntry"/>
        <w:bidi/>
        <w:spacing w:after="0" w:line="360" w:lineRule="auto"/>
        <w:ind w:left="432" w:hanging="432"/>
        <w:rPr>
          <w:rFonts w:ascii="Simplified Arabic" w:hAnsi="Simplified Arabic" w:cs="Simplified Arabic"/>
          <w:b/>
          <w:bCs/>
          <w:sz w:val="28"/>
          <w:szCs w:val="28"/>
          <w:u w:val="single"/>
        </w:rPr>
      </w:pPr>
      <w:bookmarkStart w:id="20" w:name="_Toc224563957"/>
      <w:bookmarkStart w:id="21" w:name="_Toc234424149"/>
      <w:r>
        <w:rPr>
          <w:rFonts w:ascii="Traditional Arabic" w:hAnsi="Traditional Arabic" w:cs="Traditional Arabic"/>
          <w:b/>
          <w:bCs/>
          <w:sz w:val="32"/>
          <w:szCs w:val="32"/>
          <w:u w:val="single"/>
          <w:rtl/>
        </w:rPr>
        <w:lastRenderedPageBreak/>
        <w:t>مقدمة الفصل</w:t>
      </w:r>
      <w:bookmarkEnd w:id="20"/>
      <w:bookmarkEnd w:id="21"/>
    </w:p>
    <w:p w14:paraId="2E68AB0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تمهيد</w:t>
      </w:r>
    </w:p>
    <w:p w14:paraId="0076DE2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 (Financial Stability Board, 2024; McKinsey &amp; Company, 2024). 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(Goghie, 2024; Ahammad et al., 2025)</w:t>
      </w:r>
      <w:r w:rsidRPr="004F6AF4">
        <w:rPr>
          <w:rFonts w:ascii="Traditional Arabic" w:hAnsi="Traditional Arabic" w:cs="Traditional Arabic" w:hint="cs"/>
          <w:b/>
          <w:bCs/>
          <w:sz w:val="28"/>
          <w:szCs w:val="28"/>
          <w:rtl/>
        </w:rPr>
        <w:t>.</w:t>
      </w:r>
    </w:p>
    <w:p w14:paraId="6B353C22"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22" w:name="_Toc224563958"/>
      <w:bookmarkStart w:id="23" w:name="_Toc234424150"/>
      <w:r w:rsidRPr="004F6AF4">
        <w:rPr>
          <w:rFonts w:ascii="Traditional Arabic" w:hAnsi="Traditional Arabic" w:cs="Traditional Arabic"/>
          <w:b/>
          <w:bCs/>
          <w:sz w:val="28"/>
          <w:szCs w:val="28"/>
          <w:u w:val="single"/>
          <w:rtl/>
        </w:rPr>
        <w:t>2.1</w:t>
      </w:r>
      <w:r w:rsidRPr="004F6AF4">
        <w:rPr>
          <w:rFonts w:ascii="Traditional Arabic" w:hAnsi="Traditional Arabic" w:cs="Traditional Arabic" w:hint="cs"/>
          <w:b/>
          <w:bCs/>
          <w:sz w:val="28"/>
          <w:szCs w:val="28"/>
          <w:u w:val="single"/>
          <w:rtl/>
        </w:rPr>
        <w:t xml:space="preserve"> </w:t>
      </w:r>
      <w:r w:rsidRPr="004F6AF4">
        <w:rPr>
          <w:rFonts w:ascii="Traditional Arabic" w:hAnsi="Traditional Arabic" w:cs="Traditional Arabic"/>
          <w:b/>
          <w:bCs/>
          <w:sz w:val="28"/>
          <w:szCs w:val="28"/>
          <w:u w:val="single"/>
          <w:rtl/>
        </w:rPr>
        <w:t>الإطار النظري</w:t>
      </w:r>
      <w:bookmarkEnd w:id="22"/>
      <w:bookmarkEnd w:id="23"/>
    </w:p>
    <w:p w14:paraId="7450C68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الأول (2.1.1) - الأمن السيبراني في النظم المالية الرقمية</w:t>
      </w:r>
    </w:p>
    <w:p w14:paraId="59DC4CA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 (ENISA, 2024; IBM Security, 2024)، وذلك نتيجة للاعتماد المتزايد على التقنيات الرقمية والاتصالات الإلكترونية في تقديم الخدمات المالية (Goghie, 2024; Ahammad et al., 2025)، بحيث أصبح الأمن السيبراني ليس مجرد متطلب تقني بل ضرورة استراتيجية تؤثر بشكل مباشر على استمرارية الأعمال وثقة العملاء والامتثال التنظيمي (Carapella et al., 2023; Karanovic et al., 2024). وفي ظل التحول الرقمي الشامل الذي تشهده المملكة العربية السعودية ضمن رؤية 2030، يكتسب الأمن السيبراني أهمية مضاعفة، حيث يشكل الأساس </w:t>
      </w:r>
      <w:r w:rsidRPr="004F6AF4">
        <w:rPr>
          <w:rFonts w:ascii="Traditional Arabic" w:hAnsi="Traditional Arabic" w:cs="Traditional Arabic"/>
          <w:b/>
          <w:bCs/>
          <w:sz w:val="28"/>
          <w:szCs w:val="28"/>
          <w:rtl/>
        </w:rPr>
        <w:lastRenderedPageBreak/>
        <w:t>الذي يقوم عليه بناء اقتصاد رقمي آمن ومستدام يحمي مصالح المواطنين والمستثمرين على حد سواء</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Saudi Central Bank, 2024; IMF, 2024</w:t>
      </w:r>
      <w:r w:rsidRPr="004F6AF4">
        <w:rPr>
          <w:rFonts w:ascii="Traditional Arabic" w:hAnsi="Traditional Arabic" w:cs="Traditional Arabic" w:hint="cs"/>
          <w:b/>
          <w:bCs/>
          <w:sz w:val="28"/>
          <w:szCs w:val="28"/>
          <w:rtl/>
        </w:rPr>
        <w:t>).</w:t>
      </w:r>
    </w:p>
    <w:p w14:paraId="7375A45E"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032F941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2.1.1.1 مفهوم الأمن السيبراني في القطاع المالي</w:t>
      </w:r>
    </w:p>
    <w:p w14:paraId="535156C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تعددت التعريفات التي تناولت مفهوم الأمن السيبراني في السياق المالي، حيث ينظر إليه من زوايا مختلفة تشمل البعد التقني والتنظيمي والاستراتيجي (ENISA, 2024; PCI Security Standards Council, 2024)، وجميع هذه التعريفات تؤكد على أن الأمن السيبراني ليس مجرد حماية تقنية بل منظومة شاملة تضم السياسات والإجراءات والتقنيات والموارد البشرية (Goghie, 2024; Sakarneh &amp; Kilani, 2024). تعرف الوكالة الأوروبية للأمن السيبراني ENISA (2024) 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والتوافرية (IBM Security, 2024; Ahammad et al., 2025)</w:t>
      </w:r>
      <w:r w:rsidRPr="004F6AF4">
        <w:rPr>
          <w:rFonts w:ascii="Traditional Arabic" w:hAnsi="Traditional Arabic" w:cs="Traditional Arabic" w:hint="cs"/>
          <w:b/>
          <w:bCs/>
          <w:sz w:val="28"/>
          <w:szCs w:val="28"/>
          <w:rtl/>
        </w:rPr>
        <w:t>.</w:t>
      </w:r>
    </w:p>
    <w:p w14:paraId="727AE60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من جانب آخر، يشير المعهد الوطني للمعايير والتقنية الأمريكي NIST 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 (Karanovic et al., 2024; Udeh et al., 2025)، وهذا التعريف يبرز الطبيعة المتعددة الأبعاد للأمن السيبراني التي تتجاوز الحلول التقنية لتشمل البعد البشري والتنظيمي (Sakarneh &amp; Kilani, 2024)</w:t>
      </w:r>
      <w:r w:rsidRPr="004F6AF4">
        <w:rPr>
          <w:rFonts w:ascii="Traditional Arabic" w:hAnsi="Traditional Arabic" w:cs="Traditional Arabic" w:hint="cs"/>
          <w:b/>
          <w:bCs/>
          <w:sz w:val="28"/>
          <w:szCs w:val="28"/>
          <w:rtl/>
        </w:rPr>
        <w:t>.</w:t>
      </w:r>
    </w:p>
    <w:p w14:paraId="6FD6EA2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بينما تعرف منظمة المعايير الدولية ISO/IEC 27001 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 (PCI Security Standards Council, 2024)، وهذا التعريف يضع الأمن السيبراني في إطار منهجي منظم قابل للقياس والتدقيق والتحسين المستمر (Carapella et al., 2023; Islam &amp; In, 2024)</w:t>
      </w:r>
      <w:r w:rsidRPr="004F6AF4">
        <w:rPr>
          <w:rFonts w:ascii="Traditional Arabic" w:hAnsi="Traditional Arabic" w:cs="Traditional Arabic" w:hint="cs"/>
          <w:b/>
          <w:bCs/>
          <w:sz w:val="28"/>
          <w:szCs w:val="28"/>
          <w:rtl/>
        </w:rPr>
        <w:t>.</w:t>
      </w:r>
    </w:p>
    <w:p w14:paraId="22E133E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 (ENISA, 2024; IBM Security, 2024; PCI Security Standards Council, 2024)، بحيث تضمن استمرارية تقديم الخدمات المالية بشكل آمن وموثوق يحفظ حقوق العملاء ويحمي أصول المؤسسة ويحقق الامتثال للمتطلبات التنظيمية (Saudi Central Bank, 2024; IMF, 2024)،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 (Goghie, 2024; Ahammad et al., 2025; Karanovic et al., 2024)</w:t>
      </w:r>
      <w:r w:rsidRPr="004F6AF4">
        <w:rPr>
          <w:rFonts w:ascii="Traditional Arabic" w:hAnsi="Traditional Arabic" w:cs="Traditional Arabic" w:hint="cs"/>
          <w:b/>
          <w:bCs/>
          <w:sz w:val="28"/>
          <w:szCs w:val="28"/>
          <w:rtl/>
        </w:rPr>
        <w:t>.</w:t>
      </w:r>
    </w:p>
    <w:p w14:paraId="34901F9F" w14:textId="77777777" w:rsidR="00F00638" w:rsidRPr="005E1B5F" w:rsidRDefault="00F00638" w:rsidP="00E000FF">
      <w:pPr>
        <w:bidi/>
        <w:spacing w:after="0" w:line="360" w:lineRule="auto"/>
        <w:jc w:val="both"/>
        <w:rPr>
          <w:rFonts w:ascii="Simplified Arabic" w:hAnsi="Simplified Arabic" w:cs="Simplified Arabic"/>
          <w:sz w:val="28"/>
          <w:szCs w:val="28"/>
        </w:rPr>
      </w:pPr>
    </w:p>
    <w:p w14:paraId="1819EB4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2.1.1.2 أهمية الأمن السيبراني في المؤسسات المالية</w:t>
      </w:r>
    </w:p>
    <w:p w14:paraId="3563FEC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تتعاظم أهمية الأمن السيبراني في المؤسسات المالية يوماً بعد يوم (ENISA, 2024; IBM Security, 2024)، حيث تتمثل هذه الأهمية فيما يلي:</w:t>
      </w:r>
    </w:p>
    <w:p w14:paraId="5832C9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حماية الأصول المالية والبيانات الحساسة للعملاء: حيث تحتفظ المؤسسات المالية بكميات هائلة من البيانات الشخصية والمالية شديدة الحساسية لملايين العملاء (PCI Security Standards Council, 2024; Goghie, 2024)، بما في ذلك تفاصيل الحسابات البنكية، ومعلومات البطاقات الائتمانية، وبيانات الهوية، والسجلات المالية (Ahammad et al., 2025; Carapella et al., 2023)، مما يجعلها </w:t>
      </w:r>
      <w:r w:rsidRPr="004F6AF4">
        <w:rPr>
          <w:rFonts w:ascii="Traditional Arabic" w:hAnsi="Traditional Arabic" w:cs="Traditional Arabic"/>
          <w:b/>
          <w:bCs/>
          <w:sz w:val="28"/>
          <w:szCs w:val="28"/>
          <w:rtl/>
        </w:rPr>
        <w:lastRenderedPageBreak/>
        <w:t>هدفاً رئيسياً للمهاجمين السيبرانيين الذين يسعون لسرقة هذه البيانات واستغلالها في عمليات احتيال مالي أو بيعها في الأسواق السوداء (ENISA, 2024; Karanovic et al., 2024)، بحيث أن أي اختراق لهذه البيانات قد يؤدي إلى خسائر مالية فادحة للعملاء وللمؤسسة وإلى تدمير الثقة التي تمثل رأس المال الحقيقي للمؤسسات المالية (IBM Security, 2024; Udeh et al., 2025)</w:t>
      </w:r>
      <w:r w:rsidRPr="004F6AF4">
        <w:rPr>
          <w:rFonts w:ascii="Traditional Arabic" w:hAnsi="Traditional Arabic" w:cs="Traditional Arabic" w:hint="cs"/>
          <w:b/>
          <w:bCs/>
          <w:sz w:val="28"/>
          <w:szCs w:val="28"/>
          <w:rtl/>
        </w:rPr>
        <w:t>.</w:t>
      </w:r>
    </w:p>
    <w:p w14:paraId="2F6B003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ضمان استمرارية الأعمال والخدمات المالية: من خلال حماية الأنظمة والبنية التحتية الحيوية من الهجمات التي قد تؤدي إلى تعطيل الخدمات (Ahammad et al., 2025; Karanovic et al., 2024)، بحيث أن أي توقف في تقديم الخدمات المالية قد يؤدي إلى خسائر اقتصادية ضخمة ليس فقط للمؤسسة المتأثرة بل للاقتصاد بأكمله (Saudi Central Bank, 2024; IMF, 2024)، حيث أن القطاع المالي يمثل شريان الحياة للنشاط الاقتصادي (Financial Stability Board, 2024)، وهذا يتطلب تصميم أنظمة أمنية قادرة على ضمان التوافرية والمرونة في مواجهة التهديدات المختلفة (Sakarneh &amp; Kilani, 2024; Almadadha, 2025</w:t>
      </w:r>
      <w:r w:rsidRPr="004F6AF4">
        <w:rPr>
          <w:rFonts w:ascii="Traditional Arabic" w:hAnsi="Traditional Arabic" w:cs="Traditional Arabic" w:hint="cs"/>
          <w:b/>
          <w:bCs/>
          <w:sz w:val="28"/>
          <w:szCs w:val="28"/>
          <w:rtl/>
        </w:rPr>
        <w:t>).</w:t>
      </w:r>
    </w:p>
    <w:p w14:paraId="36F3F73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الامتثال للمتطلبات التنظيمية والقانونية: حيث تفرض الجهات التنظيمية في مختلف الدول متطلبات صارمة على المؤسسات المالية فيما يتعلق بحماية البيانات والأمن السيبراني (PCI Security Standards Council, 2024; ENISA, 2024)، بما في ذلك معايير PCI DSS للمدفوعات، ومتطلبات البنوك المركزية، وقوانين حماية البيانات الشخصية (Saudi Central Bank, 2024)، ومتطلبات الهيئة الوطنية للأمن السيبراني في المملكة (IMF, 2024)، بحيث أن عدم الامتثال لهذه المتطلبات قد يؤدي إلى عقوبات مالية كبيرة وإلى تقييد العمليات وفقدان التراخيص في بعض الحالات (Carapella et al., 2023; Islam &amp; In, 2024</w:t>
      </w:r>
      <w:r w:rsidRPr="004F6AF4">
        <w:rPr>
          <w:rFonts w:ascii="Traditional Arabic" w:hAnsi="Traditional Arabic" w:cs="Traditional Arabic" w:hint="cs"/>
          <w:b/>
          <w:bCs/>
          <w:sz w:val="28"/>
          <w:szCs w:val="28"/>
          <w:rtl/>
        </w:rPr>
        <w:t>).</w:t>
      </w:r>
    </w:p>
    <w:p w14:paraId="48603D3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حماية السمعة والثقة المؤسسية: من خلال منع الحوادث السيبرانية التي قد تؤدي إلى تشويه سمعة المؤسسة وفقدان ثقة العملاء والمستثمرين (Goghie, 2024; Udeh et al., 2025)،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 (IBM Security, 2024; Karanovic et al., </w:t>
      </w:r>
      <w:r w:rsidRPr="004F6AF4">
        <w:rPr>
          <w:rFonts w:ascii="Traditional Arabic" w:hAnsi="Traditional Arabic" w:cs="Traditional Arabic"/>
          <w:b/>
          <w:bCs/>
          <w:sz w:val="28"/>
          <w:szCs w:val="28"/>
          <w:rtl/>
        </w:rPr>
        <w:lastRenderedPageBreak/>
        <w:t>2024)، وهذه الأضرار طويلة المدى قد تفوق بكثير التكاليف المباشرة للاختراق نفسه (Almadadha, 2025</w:t>
      </w:r>
      <w:r w:rsidRPr="004F6AF4">
        <w:rPr>
          <w:rFonts w:ascii="Traditional Arabic" w:hAnsi="Traditional Arabic" w:cs="Traditional Arabic" w:hint="cs"/>
          <w:b/>
          <w:bCs/>
          <w:sz w:val="28"/>
          <w:szCs w:val="28"/>
          <w:rtl/>
        </w:rPr>
        <w:t>).</w:t>
      </w:r>
    </w:p>
    <w:p w14:paraId="2F195C5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مواجهة التهديدات السيبرانية المتزايدة والمتطورة: 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 (ENISA, 2024)، إضافة إلى تزايد هجمات سلسلة التوريد التي تستهدف مقدمي الخدمات التقنية (Ahammad et al., 2025; Carapella et al., 2023)، مما يتطلب استثماراً مستمراً في تطوير القدرات الأمنية لمواكبة تطور التهديدات (IBM Security, 2024; Karanovic et al., 2024)</w:t>
      </w:r>
      <w:r w:rsidRPr="004F6AF4">
        <w:rPr>
          <w:rFonts w:ascii="Traditional Arabic" w:hAnsi="Traditional Arabic" w:cs="Traditional Arabic" w:hint="cs"/>
          <w:b/>
          <w:bCs/>
          <w:sz w:val="28"/>
          <w:szCs w:val="28"/>
          <w:rtl/>
        </w:rPr>
        <w:t>.</w:t>
      </w:r>
    </w:p>
    <w:p w14:paraId="7AF77A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الابتكار والتحول الرقمي الآمن: من خلال توفير بيئة آمنة تسمح للمؤسسات المالية بتبني التقنيات الحديثة والابتكار في تقديم الخدمات دون المساس بالأمن (Financial Stability Board, 2024; McKinsey &amp; Company, 2024)، بحيث يصبح الأمن السيبراني ممكناً للتحول الرقمي وليس عائقاً أمامه (Ahammad et al., 2025; Islam &amp; In, 2024)، وهذا يتطلب دمج الأمن في جميع مراحل تطوير المنتجات والخدمات الجديدة منذ البداية وليس كإضافة لاحقة (Sakarneh &amp; Kilani, 2024)</w:t>
      </w:r>
      <w:r w:rsidRPr="004F6AF4">
        <w:rPr>
          <w:rFonts w:ascii="Traditional Arabic" w:hAnsi="Traditional Arabic" w:cs="Traditional Arabic" w:hint="cs"/>
          <w:b/>
          <w:bCs/>
          <w:sz w:val="28"/>
          <w:szCs w:val="28"/>
          <w:rtl/>
        </w:rPr>
        <w:t>.</w:t>
      </w:r>
    </w:p>
    <w:p w14:paraId="032349A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دعم أهداف رؤية السعودية 2030 في بناء اقتصاد رقمي آمن: من خلال المساهمة في تعزيز الثقة في الخدمات المالية الرقمية وحماية المستخدمين والمستثمرين (Saudi Central Bank, 2024; Thunes Research, 2025)،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 (IMF, 2024)</w:t>
      </w:r>
      <w:r w:rsidRPr="004F6AF4">
        <w:rPr>
          <w:rFonts w:ascii="Traditional Arabic" w:hAnsi="Traditional Arabic" w:cs="Traditional Arabic" w:hint="cs"/>
          <w:b/>
          <w:bCs/>
          <w:sz w:val="28"/>
          <w:szCs w:val="28"/>
          <w:rtl/>
        </w:rPr>
        <w:t>.</w:t>
      </w:r>
    </w:p>
    <w:p w14:paraId="7BCC8A1D"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2.1.1.3 أبعاد ومكونات الأمن السيبراني في القطاع المالي</w:t>
      </w:r>
    </w:p>
    <w:p w14:paraId="70DB789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يتكون الأمن السيبراني في المؤسسات المالية من عدة أبعاد ومكونات رئيسية تعمل بشكل متكامل (ENISA, 2024; PCI Security Standards Council, 2024)، حيث تتمثل أهم هذه المكونات فيما يلي:</w:t>
      </w:r>
    </w:p>
    <w:p w14:paraId="2EAD310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أمن الشبكات والبنية التحتية: وتشمل حماية الشبكات الداخلية والخارجية من خلال جدران الحماية (Firewalls)، وأنظمة كشف ومنع الاختراق (IDS/IPS)، وتقسيم الشبكات (Network Segmentation)، والشبكات الافتراضية الخاصة (VPN) (Ahammad et al., 2025; Karanovic et al., 2024)، بحيث يتم التحكم في حركة البيانات ومراقبتها لمنع الوصول غير المصرح به والكشف المبكر عن الأنشطة المشبوهة التي قد تشير إلى محاولة اختراق (Goghie, 2024; Sakarneh &amp; Kilani, 2024)</w:t>
      </w:r>
      <w:r w:rsidRPr="004F6AF4">
        <w:rPr>
          <w:rFonts w:ascii="Traditional Arabic" w:hAnsi="Traditional Arabic" w:cs="Traditional Arabic" w:hint="cs"/>
          <w:b/>
          <w:bCs/>
          <w:sz w:val="28"/>
          <w:szCs w:val="28"/>
          <w:rtl/>
        </w:rPr>
        <w:t>.</w:t>
      </w:r>
    </w:p>
    <w:p w14:paraId="453E0DF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أمن التطبيقات والأنظمة: من خلال تطبيق ممارسات التطوير الآمن (Secure Development Lifecycle)، واختبار الاختراق المنتظم، ومعالجة الثغرات الأمنية بشكل استباقي، وتحديث الأنظمة بشكل مستمر (Ahammad et al., 2025; Islam &amp; In, 2024)، بحيث يتم تقليل نقاط الضعف التي قد يستغلها المهاجمون للوصول إلى الأنظمة المالية أو التلاعب بالبيانات (Carapella et al., 2023; Udeh et al., 2025</w:t>
      </w:r>
      <w:r w:rsidRPr="004F6AF4">
        <w:rPr>
          <w:rFonts w:ascii="Traditional Arabic" w:hAnsi="Traditional Arabic" w:cs="Traditional Arabic" w:hint="cs"/>
          <w:b/>
          <w:bCs/>
          <w:sz w:val="28"/>
          <w:szCs w:val="28"/>
          <w:rtl/>
        </w:rPr>
        <w:t>).</w:t>
      </w:r>
    </w:p>
    <w:p w14:paraId="78A9A5D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إدارة الهويات والوصول (Identity and Access Management): وتشمل آليات المصادقة القوية (Multi-Factor Authentication)، وإدارة الصلاحيات بناءً على الأدوار، ومراقبة الوصول للموارد الحساسة، ومراجعة الصلاحيات بشكل دوري (PCI Security Standards Council, 2024; Goghie, 2024)، بحيث يتم ضمان أن كل مستخدم يحصل فقط على المستوى المناسب من الوصول المطلوب لأداء مهامه وليس أكثر (Ahammad et al., 2025; Sakarneh &amp; Kilani, 2024)</w:t>
      </w:r>
      <w:r w:rsidRPr="004F6AF4">
        <w:rPr>
          <w:rFonts w:ascii="Traditional Arabic" w:hAnsi="Traditional Arabic" w:cs="Traditional Arabic" w:hint="cs"/>
          <w:b/>
          <w:bCs/>
          <w:sz w:val="28"/>
          <w:szCs w:val="28"/>
          <w:rtl/>
        </w:rPr>
        <w:t>.</w:t>
      </w:r>
    </w:p>
    <w:p w14:paraId="1F4B703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حماية البيانات والتشفير: من خلال تشفير البيانات في حالات السكون والنقل، وإدارة المفاتيح التشفيرية بشكل آمن، وتطبيق تقنيات إخفاء البيانات (Data Masking) والترميز (Tokenization) لحماية البيانات الحساسة (PCI Security Standards Council, 2024; Financial Stability Board, 2024)، بحيث حتى في حال اختراق قواعد البيانات فإن البيانات تبقى غير قابلة للقراءة بدون المفاتيح التشفيرية المناسبة (IBM Security, 2024; Carapella et al., 2023)</w:t>
      </w:r>
      <w:r w:rsidRPr="004F6AF4">
        <w:rPr>
          <w:rFonts w:ascii="Traditional Arabic" w:hAnsi="Traditional Arabic" w:cs="Traditional Arabic" w:hint="cs"/>
          <w:b/>
          <w:bCs/>
          <w:sz w:val="28"/>
          <w:szCs w:val="28"/>
          <w:rtl/>
        </w:rPr>
        <w:t>.</w:t>
      </w:r>
    </w:p>
    <w:p w14:paraId="2C1D8CE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المراقبة الأمنية والاستجابة للحوادث: عبر مراكز العمليات الأمنية (Security Operations Centers - SOC) التي تعمل على مدار الساعة لرصد التهديدات والحوادث الأمنية (ENISA, 2024; Karanovic et al., 2024)، وتحليل السجلات وأنماط الشبكة للكشف عن الأنشطة المشبوهة (Ahammad et al., 2025)، والاستجابة السريعة للحوادث عند حدوثها، وإجراء التحقيقات الجنائية الرقمية لفهم طبيعة الهجوم وتأثيره واتخاذ الإجراءات التصحيحية (Goghie, 2024; Udeh et al., 2025)</w:t>
      </w:r>
      <w:r w:rsidRPr="004F6AF4">
        <w:rPr>
          <w:rFonts w:ascii="Traditional Arabic" w:hAnsi="Traditional Arabic" w:cs="Traditional Arabic" w:hint="cs"/>
          <w:b/>
          <w:bCs/>
          <w:sz w:val="28"/>
          <w:szCs w:val="28"/>
          <w:rtl/>
        </w:rPr>
        <w:t>.</w:t>
      </w:r>
    </w:p>
    <w:p w14:paraId="04B280D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إدارة المخاطر السيبرانية: من خلال تقييم المخاطر بشكل منتظم، وتحديد الأصول الحرجة والتهديدات المحتملة، وتطبيق الضوابط المناسبة للتخفيف من المخاطر (Carapella et al., 2023; Saudi Central Bank, 2024)، ومراقبة فعالية هذه الضوابط وتحديثها بناءً على التغيرات في بيئة التهديدات (ENISA, 2024; IBM Security, 2024)، بحيث يتم اتخاذ قرارات مستنيرة بشأن الاستثمارات الأمنية وتخصيص الموارد (Sakarneh &amp; Kilani, 2024)</w:t>
      </w:r>
      <w:r w:rsidRPr="004F6AF4">
        <w:rPr>
          <w:rFonts w:ascii="Traditional Arabic" w:hAnsi="Traditional Arabic" w:cs="Traditional Arabic" w:hint="cs"/>
          <w:b/>
          <w:bCs/>
          <w:sz w:val="28"/>
          <w:szCs w:val="28"/>
          <w:rtl/>
        </w:rPr>
        <w:t>.</w:t>
      </w:r>
    </w:p>
    <w:p w14:paraId="4F05573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الوعي والتدريب الأمني: حيث يمثل العنصر البشري نقطة ضعف محتملة في أي منظومة أمنية (ENISA, 2024; Karanovic et al., 2024)، مما يتطلب تدريب الموظفين بشكل مستمر على أفضل الممارسات الأمنية، وتوعيتهم بالتهديدات الشائعة كهجمات التصيد الاحتيالي (Phishing) (Ahammad et al., 2025; Goghie, 2024)، واختبار مدى التزامهم بالسياسات الأمنية من خلال محاكاة الهجمات، بحيث يصبح كل موظف خط دفاع أول ضد التهديدات السيبرانية (Islam &amp; In, 2024; Sakarneh &amp; Kilani, 2024</w:t>
      </w:r>
      <w:r w:rsidRPr="004F6AF4">
        <w:rPr>
          <w:rFonts w:ascii="Traditional Arabic" w:hAnsi="Traditional Arabic" w:cs="Traditional Arabic" w:hint="cs"/>
          <w:b/>
          <w:bCs/>
          <w:sz w:val="28"/>
          <w:szCs w:val="28"/>
          <w:rtl/>
        </w:rPr>
        <w:t>).</w:t>
      </w:r>
    </w:p>
    <w:p w14:paraId="1AEF27F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2.1.1.4 التهديدات السيبرانية الرئيسية للمؤسسات المالية</w:t>
      </w:r>
    </w:p>
    <w:p w14:paraId="63DD839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تواجه المؤسسات المالية مجموعة واسعة من التهديدات السيبرانية التي تتطور باستمرار (ENISA, 2024; IBM Security, 2024)، حيث تتمثل أبرز هذه التهديدات فيما يلي:</w:t>
      </w:r>
    </w:p>
    <w:p w14:paraId="440E865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برامج الفدية (Ransomware)</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حيث يقوم المهاجمون بتشفير بيانات المؤسسة وطلب فدية لفك التشفير (ENISA, 2024; Karanovic et al., 2024)، مما قد يؤدي إلى توقف العمليات بشكل </w:t>
      </w:r>
      <w:r w:rsidRPr="004F6AF4">
        <w:rPr>
          <w:rFonts w:ascii="Traditional Arabic" w:hAnsi="Traditional Arabic" w:cs="Traditional Arabic"/>
          <w:b/>
          <w:bCs/>
          <w:sz w:val="28"/>
          <w:szCs w:val="28"/>
          <w:rtl/>
        </w:rPr>
        <w:lastRenderedPageBreak/>
        <w:t>كامل وخسائر مالية ضخمة (Ahammad et al., 2025; Carapella et al., 2023)، وقد شهدت السنوات الأخيرة ارتفاعاً حاداً في هذا النوع من الهجمات الموجهة للقطاع المالي (IBM Security, 2024).</w:t>
      </w:r>
    </w:p>
    <w:p w14:paraId="7C4541F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اختراقات البيانات وسرقة المعلومات: من خلال استهداف قواعد البيانات التي تحتوي على معلومات العملاء والحسابات (PCI Security Standards Council, 2024; Goghie, 2024)، بهدف سرقة هذه البيانات لاستخدامها في عمليات احتيال أو بيعها في الأسواق السوداء (ENISA, 2024)، وهذا النوع من الهجمات يمثل أكبر التهديدات للقطاع المالي من حيث الانتشار والأضرار المحتملة (IBM Security, 2024; Karanovic et al., 2024).</w:t>
      </w:r>
    </w:p>
    <w:p w14:paraId="0800E36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الحرمان من الخدمة (DDoS)</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التي تهدف إلى إغراق الأنظمة والخوادم بحركة مرور كثيفة لإيقاف الخدمات عن العمل (Ahammad et al., 2025; Karanovic et al., 2024)، مما يؤدي إلى عدم قدرة العملاء على الوصول للخدمات المالية الإلكترونية لفترات قد تطول (ENISA, 2024)، وهذا النوع يستخدم أحياناً كتشتيت للانتباه بينما يجري هجوم آخر أكثر خطورة (Carapella et al., 2023).</w:t>
      </w:r>
    </w:p>
    <w:p w14:paraId="25206FC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التصيد الاحتيالي والهندسة الاجتماعية: من خلال خداع الموظفين أو العملاء للكشف عن بيانات حساسة أو تنفيذ إجراءات معينة تمكن المهاجمين من الوصول للأنظمة (Goghie, 2024; Sakarneh &amp; Kilani, 2024)، وتعتبر هذه الهجمات من أكثر الهجمات نجاحاً لأنها تستهدف الحلقة الأضعف وهي العنصر البشري (ENISA, 2024; Islam &amp; In, 2024).</w:t>
      </w:r>
    </w:p>
    <w:p w14:paraId="686D408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سلسلة التوريد: حيث يستهدف المهاجمون مقدمي الخدمات التقنية للمؤسسات المالية للوصول إلى أنظمة المؤسسات الأساسية بشكل غير مباشر (ENISA, 2024; Carapella et al., 2023)، وهذا النوع شهد تزايداً ملحوظاً في الفترة الأخيرة ويمثل تحدياً كبيراً لأنه يستغل علاقات الثقة القائمة (Ahammad et al., 2025; Karanovic et al., 2024).</w:t>
      </w:r>
    </w:p>
    <w:p w14:paraId="4251FC1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برمجيات التجسس والبرمجيات الخبيثة: التي تستهدف سرقة البيانات أو مراقبة الأنشطة أو السيطرة على الأنظمة دون علم المستخدمين (IBM Security, 2024; Goghie, 2024)، وتتنوع هذه البرمجيات في مستوى </w:t>
      </w:r>
      <w:r w:rsidRPr="004F6AF4">
        <w:rPr>
          <w:rFonts w:ascii="Traditional Arabic" w:hAnsi="Traditional Arabic" w:cs="Traditional Arabic"/>
          <w:b/>
          <w:bCs/>
          <w:sz w:val="28"/>
          <w:szCs w:val="28"/>
          <w:rtl/>
        </w:rPr>
        <w:lastRenderedPageBreak/>
        <w:t>تطورها وقدراتها على التخفي والاستمرار في الأنظمة لفترات طويلة دون اكتشاف (ENISA, 2024; Udeh et al., 2025).</w:t>
      </w:r>
    </w:p>
    <w:p w14:paraId="5E42131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الثاني (2.1.2) -</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تقنية الترميز في المؤسسات المالية</w:t>
      </w:r>
    </w:p>
    <w:p w14:paraId="27E4484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(Financial Stability Board, 2024; PCI Security Standards Council, 2024)</w:t>
      </w:r>
      <w:r w:rsidRPr="004F6AF4">
        <w:rPr>
          <w:rFonts w:ascii="Traditional Arabic" w:hAnsi="Traditional Arabic" w:cs="Traditional Arabic" w:hint="cs"/>
          <w:b/>
          <w:bCs/>
          <w:sz w:val="28"/>
          <w:szCs w:val="28"/>
          <w:rtl/>
        </w:rPr>
        <w:t xml:space="preserve">. </w:t>
      </w:r>
    </w:p>
    <w:p w14:paraId="7BB5B89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(IBM Security, 2024; ENISA, 2024)</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مما جعل من الترميز حلاً تقنياً متكاملاً يجمع بين الأمان والكفاءة والابتكار</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(McKinsey &amp; Company, 2024; World Economic Forum, 2024)</w:t>
      </w:r>
      <w:r w:rsidRPr="004F6AF4">
        <w:rPr>
          <w:rFonts w:ascii="Traditional Arabic" w:hAnsi="Traditional Arabic" w:cs="Traditional Arabic" w:hint="cs"/>
          <w:b/>
          <w:bCs/>
          <w:sz w:val="28"/>
          <w:szCs w:val="28"/>
          <w:rtl/>
        </w:rPr>
        <w:t>.</w:t>
      </w:r>
    </w:p>
    <w:p w14:paraId="057748C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2.1.2.1</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مفهوم تقنية الترميز في المؤسسات المالية</w:t>
      </w:r>
    </w:p>
    <w:p w14:paraId="4C30D97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 (Goghie, 2024; Grossmann et al., 2025). فقد عرف مجلس الاستقرار المالي (Financial Stability Board, 2024) 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p>
    <w:p w14:paraId="09142AF0"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 xml:space="preserve">من جانب آخر، يشير مجلس معايير أمن PCI (PCI Security Standards Council, 2024) إلى أن الترميز في سياق حماية البيانات هو "عملية استبدال عنصر البيانات الحساسة برمز بديل غير حساس يسمى </w:t>
      </w:r>
      <w:r w:rsidRPr="004F6AF4">
        <w:rPr>
          <w:rFonts w:ascii="Traditional Arabic" w:hAnsi="Traditional Arabic" w:cs="Traditional Arabic"/>
          <w:b/>
          <w:bCs/>
          <w:sz w:val="28"/>
          <w:szCs w:val="28"/>
          <w:rtl/>
        </w:rPr>
        <w:lastRenderedPageBreak/>
        <w:t>Token،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sidRPr="004F6AF4">
        <w:rPr>
          <w:rFonts w:ascii="Traditional Arabic" w:hAnsi="Traditional Arabic" w:cs="Traditional Arabic" w:hint="cs"/>
          <w:b/>
          <w:bCs/>
          <w:sz w:val="28"/>
          <w:szCs w:val="28"/>
          <w:rtl/>
        </w:rPr>
        <w:t>ت.</w:t>
      </w:r>
    </w:p>
    <w:p w14:paraId="65BFF83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(Ahammad et al., 2025; Carapella et al., 2023)</w:t>
      </w:r>
      <w:r w:rsidRPr="004F6AF4">
        <w:rPr>
          <w:rFonts w:ascii="Traditional Arabic" w:hAnsi="Traditional Arabic" w:cs="Traditional Arabic" w:hint="cs"/>
          <w:b/>
          <w:bCs/>
          <w:sz w:val="28"/>
          <w:szCs w:val="28"/>
          <w:rtl/>
        </w:rPr>
        <w:t>.</w:t>
      </w:r>
    </w:p>
    <w:p w14:paraId="10A1B38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بينما تعرف شركة McKinsey &amp; Company (2024) 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sidRPr="004F6AF4">
        <w:rPr>
          <w:rFonts w:ascii="Traditional Arabic" w:hAnsi="Traditional Arabic" w:cs="Traditional Arabic" w:hint="cs"/>
          <w:b/>
          <w:bCs/>
          <w:sz w:val="28"/>
          <w:szCs w:val="28"/>
          <w:rtl/>
        </w:rPr>
        <w:t>.</w:t>
      </w:r>
    </w:p>
    <w:p w14:paraId="267093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(Lavayssière &amp; Zhang, 2025; Al-Qudah et al., 2025)</w:t>
      </w:r>
      <w:r w:rsidRPr="004F6AF4">
        <w:rPr>
          <w:rFonts w:ascii="Traditional Arabic" w:hAnsi="Traditional Arabic" w:cs="Traditional Arabic" w:hint="cs"/>
          <w:b/>
          <w:bCs/>
          <w:sz w:val="28"/>
          <w:szCs w:val="28"/>
          <w:rtl/>
        </w:rPr>
        <w:t>.</w:t>
      </w:r>
    </w:p>
    <w:p w14:paraId="47D7EA25"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413E7A50" w14:textId="77777777" w:rsidR="00F00638" w:rsidRPr="004F6AF4" w:rsidRDefault="00F00638" w:rsidP="00E000FF">
      <w:pPr>
        <w:bidi/>
        <w:spacing w:after="0" w:line="360" w:lineRule="auto"/>
        <w:jc w:val="right"/>
        <w:rPr>
          <w:rFonts w:ascii="Simplified Arabic" w:hAnsi="Simplified Arabic" w:cs="Simplified Arabic"/>
          <w:b/>
          <w:bCs/>
          <w:sz w:val="28"/>
          <w:szCs w:val="28"/>
          <w:rtl/>
        </w:rPr>
      </w:pPr>
      <w:r w:rsidRPr="004F6AF4">
        <w:rPr>
          <w:rFonts w:ascii="Traditional Arabic" w:hAnsi="Traditional Arabic" w:cs="Traditional Arabic"/>
          <w:b/>
          <w:bCs/>
          <w:sz w:val="28"/>
          <w:szCs w:val="28"/>
          <w:rtl/>
        </w:rPr>
        <w:t>(Financial Stability Board, 2024; PCI Security Standards Council, 2024; McKinsey &amp; Company, 2024)،</w:t>
      </w:r>
    </w:p>
    <w:p w14:paraId="14E725F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 (Karanovic et al., 2024; Udeh et al., 2025)، وذلك في إطار يجمع بين التقنيات الحديثة كالبلوكشين والعقود الذكية والذكاء الاصطناعي لتقديم حلول مالية متطورة تلبي احتياجات العصر الرقمي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(Islam &amp; In, 2024)</w:t>
      </w:r>
      <w:r w:rsidRPr="004F6AF4">
        <w:rPr>
          <w:rFonts w:ascii="Traditional Arabic" w:hAnsi="Traditional Arabic" w:cs="Traditional Arabic" w:hint="cs"/>
          <w:b/>
          <w:bCs/>
          <w:sz w:val="28"/>
          <w:szCs w:val="28"/>
          <w:rtl/>
        </w:rPr>
        <w:t>.</w:t>
      </w:r>
    </w:p>
    <w:p w14:paraId="02A8DCA3"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2.1.2.2</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أهمية تقنية الترميز في المؤسسات المالية</w:t>
      </w:r>
    </w:p>
    <w:p w14:paraId="2325138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تكتسب تقنية الترميز أهمية متزايدة في القطاع المالي العالمي والسعودي على وجه الخصوص (Saudi Central Bank, 2024; Thunes Research, 2025)، حيث تتمثل أهميتها فيما يلي:</w:t>
      </w:r>
    </w:p>
    <w:p w14:paraId="606A483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lastRenderedPageBreak/>
        <w:t>تعزيز الأمن السيبراني وحماية البيانات الحساسة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(PCI Security Standards Council, 2024; Ahammad et al., 2025)، بحيث أن البيانات الفعلية تبقى محفوظة في بيئة آمنة معزولة تماماً عن نقاط التعرض للاختراق، مما يوفر طبقة حماية إضافية تكمل تقنيات التشفير التقليدية</w:t>
      </w:r>
      <w:r w:rsidRPr="004F6AF4">
        <w:rPr>
          <w:rFonts w:ascii="Traditional Arabic" w:hAnsi="Traditional Arabic" w:cs="Traditional Arabic" w:hint="cs"/>
          <w:b/>
          <w:bCs/>
          <w:sz w:val="28"/>
          <w:szCs w:val="28"/>
          <w:rtl/>
        </w:rPr>
        <w:t>.</w:t>
      </w:r>
    </w:p>
    <w:p w14:paraId="6860EBE6"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(Goghie, 2024; Carapella et al., 2023)</w:t>
      </w:r>
      <w:r w:rsidRPr="004F6AF4">
        <w:rPr>
          <w:rFonts w:ascii="Traditional Arabic" w:hAnsi="Traditional Arabic" w:cs="Traditional Arabic" w:hint="cs"/>
          <w:b/>
          <w:bCs/>
          <w:sz w:val="28"/>
          <w:szCs w:val="28"/>
          <w:rtl/>
        </w:rPr>
        <w:t xml:space="preserve">. </w:t>
      </w:r>
    </w:p>
    <w:p w14:paraId="6946BD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(IBM Security, 2024)</w:t>
      </w:r>
      <w:r w:rsidRPr="004F6AF4">
        <w:rPr>
          <w:rFonts w:ascii="Traditional Arabic" w:hAnsi="Traditional Arabic" w:cs="Traditional Arabic" w:hint="cs"/>
          <w:b/>
          <w:bCs/>
          <w:sz w:val="28"/>
          <w:szCs w:val="28"/>
          <w:rtl/>
        </w:rPr>
        <w:t>.</w:t>
      </w:r>
    </w:p>
    <w:p w14:paraId="59EC6D36"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تحسين الكفاءة التشغيلية وتقليل تكاليف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قدرة أنظمة الترميز المبنية على البلوكشين على تسوية المعاملات بشكل شبه فوري بدلاً من الأيام التي تستغرقها الأنظمة التقليدية</w:t>
      </w:r>
      <w:r w:rsidRPr="004F6AF4">
        <w:rPr>
          <w:rFonts w:ascii="Traditional Arabic" w:hAnsi="Traditional Arabic" w:cs="Traditional Arabic" w:hint="cs"/>
          <w:b/>
          <w:bCs/>
          <w:sz w:val="28"/>
          <w:szCs w:val="28"/>
          <w:rtl/>
        </w:rPr>
        <w:t xml:space="preserve"> </w:t>
      </w:r>
    </w:p>
    <w:p w14:paraId="5E26A79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(Al-Qudah et al., 2025; Grossmann et al., 2025)، وذلك عبر إلغاء الحاجة للعديد من الوسطاء وأنظمة المقاصة المركزية التي تضيف تكاليف وتعقيدات للعمليات المالية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(Udeh et al., 2025)، بحيث تتمكن المؤسسات المالية من تحقيق وفورات كبيرة في التكاليف التشغيلية وتحسين تجربة العملاء من خلال خدمات أسرع وأكثر موثوقية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(Almadadha, 2025; Karanovic et al., 2024)</w:t>
      </w:r>
      <w:r w:rsidRPr="004F6AF4">
        <w:rPr>
          <w:rFonts w:ascii="Traditional Arabic" w:hAnsi="Traditional Arabic" w:cs="Traditional Arabic" w:hint="cs"/>
          <w:b/>
          <w:bCs/>
          <w:sz w:val="28"/>
          <w:szCs w:val="28"/>
          <w:rtl/>
        </w:rPr>
        <w:t xml:space="preserve">. </w:t>
      </w:r>
    </w:p>
    <w:p w14:paraId="0BF8A9D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(World Economic Forum, 2024)</w:t>
      </w:r>
      <w:r w:rsidRPr="004F6AF4">
        <w:rPr>
          <w:rFonts w:ascii="Traditional Arabic" w:hAnsi="Traditional Arabic" w:cs="Traditional Arabic" w:hint="cs"/>
          <w:b/>
          <w:bCs/>
          <w:sz w:val="28"/>
          <w:szCs w:val="28"/>
          <w:rtl/>
        </w:rPr>
        <w:t>.</w:t>
      </w:r>
    </w:p>
    <w:p w14:paraId="5D998B3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الشمول المالي وتوسيع قاعدة المستثمرين</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حيث تتيح تقنية الترميز إمكانية تجزئة الأصول عالية القيمة إلى وحدات صغيرة يمكن تداولها (Lavayssière &amp; Zhang, 2025; Multiple Authors, 2025)، مما يفتح المجال أمام صغار المستثمرين للمشاركة في أسواق كانت محصورة تقليدياً على المستثمرين المؤسسيين وكبار الأثرياء (McKinsey &amp; Company, 2024)، بحيث يمكن لأي مستثمر امتلاك حصة جزئية في عقار تجاري أو سندات حكومية أو أصول أخرى بقيمة استثمارية صغيرة نسبياً (Adigwe et al., 2024)، وهذا يتماشى بشكل مباشر مع أهداف رؤية السعودية 2030 في رفع معدل الشمول المالي وتمكين </w:t>
      </w:r>
      <w:r w:rsidRPr="004F6AF4">
        <w:rPr>
          <w:rFonts w:ascii="Traditional Arabic" w:hAnsi="Traditional Arabic" w:cs="Traditional Arabic"/>
          <w:b/>
          <w:bCs/>
          <w:sz w:val="28"/>
          <w:szCs w:val="28"/>
          <w:rtl/>
        </w:rPr>
        <w:lastRenderedPageBreak/>
        <w:t>المواطنين من المشاركة في الاقتصاد الرقمي بشكل فعال (Saudi Central Bank, 2024; IMF, 2024)</w:t>
      </w:r>
      <w:r w:rsidRPr="004F6AF4">
        <w:rPr>
          <w:rFonts w:ascii="Traditional Arabic" w:hAnsi="Traditional Arabic" w:cs="Traditional Arabic" w:hint="cs"/>
          <w:b/>
          <w:bCs/>
          <w:sz w:val="28"/>
          <w:szCs w:val="28"/>
          <w:rtl/>
        </w:rPr>
        <w:t>.</w:t>
      </w:r>
    </w:p>
    <w:p w14:paraId="667E36C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دعم التحول الرقمي والابتكار في نماذج الأعمال المالية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إتاحة الفرصة لتطوير منتجات وخدمات مالية مبتكرة لم تكن ممكنة في البيئة التقليدية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(Islam &amp; In, 2024; Sakarneh &amp; Kilani, 2024)،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(Ahammad et al., 2025; Udeh et al., 2025)، مما يخلق قيمة مضافة حقيقية للعملاء والمستثمرين ويعزز من تنافسية المؤسسات المالية في السوق</w:t>
      </w:r>
      <w:r w:rsidRPr="004F6AF4">
        <w:rPr>
          <w:rFonts w:ascii="Traditional Arabic" w:hAnsi="Traditional Arabic" w:cs="Traditional Arabic" w:hint="cs"/>
          <w:b/>
          <w:bCs/>
          <w:sz w:val="28"/>
          <w:szCs w:val="28"/>
          <w:rtl/>
        </w:rPr>
        <w:t>.</w:t>
      </w:r>
    </w:p>
    <w:p w14:paraId="1307ADC2" w14:textId="77777777" w:rsidR="00F00638" w:rsidRPr="004F6AF4" w:rsidRDefault="00F00638" w:rsidP="00E000FF">
      <w:pPr>
        <w:bidi/>
        <w:spacing w:after="0" w:line="360" w:lineRule="auto"/>
        <w:jc w:val="right"/>
        <w:rPr>
          <w:rFonts w:ascii="Simplified Arabic" w:hAnsi="Simplified Arabic" w:cs="Simplified Arabic"/>
          <w:b/>
          <w:bCs/>
          <w:sz w:val="28"/>
          <w:szCs w:val="28"/>
        </w:rPr>
      </w:pPr>
      <w:r w:rsidRPr="004F6AF4">
        <w:rPr>
          <w:rFonts w:ascii="Traditional Arabic" w:hAnsi="Traditional Arabic" w:cs="Traditional Arabic"/>
          <w:b/>
          <w:bCs/>
          <w:sz w:val="28"/>
          <w:szCs w:val="28"/>
          <w:rtl/>
        </w:rPr>
        <w:t>(Financial Stability Board, 2024; McKinsey &amp; Company, 2024).</w:t>
      </w:r>
    </w:p>
    <w:p w14:paraId="28A1B9E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الشفافية والامتثال التنظيمي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توفر تقنية الترميز سجلات غير قابلة للتعديل تحفظ جميع المعاملات بشكل دائم وشفاف</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(Goghie, 2024; Carapella et al., 2023)، مما يسهل عمليات المراجعة والتدقيق ويساعد المؤسسات المالية على الامتثال للمتطلبات التنظيمية المتزايدة التعقيد</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(PCI Security Standards Council, 2024; ENISA, 2024)، بحيث يمكن للجهات الرقابية الوصول إلى سجلات موثوقة ومحدثة بشكل فوري دون الحاجة لعمليات تدقيق مطولة ومكلفة</w:t>
      </w:r>
      <w:r w:rsidRPr="004F6AF4">
        <w:rPr>
          <w:rFonts w:ascii="Traditional Arabic" w:hAnsi="Traditional Arabic" w:cs="Traditional Arabic"/>
          <w:b/>
          <w:bCs/>
          <w:sz w:val="28"/>
          <w:szCs w:val="28"/>
          <w:rtl/>
        </w:rPr>
        <w:br/>
        <w:t>(Karanovic et al., 2024)، وهذا يقلل من مخاطر عدم الامتثال والعقوبات المرتبطة بها</w:t>
      </w:r>
      <w:r w:rsidRPr="004F6AF4">
        <w:rPr>
          <w:rFonts w:ascii="Traditional Arabic" w:hAnsi="Traditional Arabic" w:cs="Traditional Arabic"/>
          <w:b/>
          <w:bCs/>
          <w:sz w:val="28"/>
          <w:szCs w:val="28"/>
          <w:rtl/>
        </w:rPr>
        <w:br/>
        <w:t>(Sakarneh &amp; Kilani, 2024)</w:t>
      </w:r>
      <w:r w:rsidRPr="004F6AF4">
        <w:rPr>
          <w:rFonts w:ascii="Traditional Arabic" w:hAnsi="Traditional Arabic" w:cs="Traditional Arabic" w:hint="cs"/>
          <w:b/>
          <w:bCs/>
          <w:sz w:val="28"/>
          <w:szCs w:val="28"/>
          <w:rtl/>
        </w:rPr>
        <w:t>.</w:t>
      </w:r>
    </w:p>
    <w:p w14:paraId="5F6699C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المساهمة في تحقيق أهداف رؤية السعودية 2030</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دعم التحول الرقمي في القطاع المالي السعودي وتعزيز مكانة المملكة كمركز مالي إقليمي وعالمي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(Saudi Central Bank, 2024; Thunes Research, 2025)،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(IMF, 2024)، مما يسهم في بناء اقتصاد معرفي تنافسي قائم على الابتكار والتقنية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(McKinsey &amp; Company, 2024; World Economic Forum, 2024)</w:t>
      </w:r>
      <w:r w:rsidRPr="004F6AF4">
        <w:rPr>
          <w:rFonts w:ascii="Traditional Arabic" w:hAnsi="Traditional Arabic" w:cs="Traditional Arabic" w:hint="cs"/>
          <w:b/>
          <w:bCs/>
          <w:sz w:val="28"/>
          <w:szCs w:val="28"/>
          <w:rtl/>
        </w:rPr>
        <w:t>.</w:t>
      </w:r>
    </w:p>
    <w:p w14:paraId="7E25671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2.1.2.3</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أنواع تقنية الترميز في القطاع المالي</w:t>
      </w:r>
    </w:p>
    <w:p w14:paraId="7BF0BF5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تتنوع تطبيقات تقنية الترميز في القطاع المالي لتشمل عدة أنواع رئيسية، حيث يخدم كل نوع أغراضاً وحالات استخدام محددة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(Financial Stability Board, 2024; Multiple Authors, 2025)، وتتمثل أهم هذه الأنواع فيما يلي:</w:t>
      </w:r>
    </w:p>
    <w:p w14:paraId="5DEA1CB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البيانات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(Data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(PCI Security Standards Council, 2024)، بحيث تبقى البيانات الفعلية في بيئة آمنة معزولة بينما تستخدم الرموز في جميع العمليات اليومية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(Ahammad et al., 2025; Goghie, 2024)، وهذا النوع شائع بشكل كبير في أنظمة الدفع الإلكتروني ومعاملات التجارة الإلكترونية لتقليل مخاطر الاختراق وسرقة البيانات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(Saudi Central Bank, 2024)</w:t>
      </w:r>
      <w:r w:rsidRPr="004F6AF4">
        <w:rPr>
          <w:rFonts w:ascii="Traditional Arabic" w:hAnsi="Traditional Arabic" w:cs="Traditional Arabic" w:hint="cs"/>
          <w:b/>
          <w:bCs/>
          <w:sz w:val="28"/>
          <w:szCs w:val="28"/>
          <w:rtl/>
        </w:rPr>
        <w:t>.</w:t>
      </w:r>
    </w:p>
    <w:p w14:paraId="795D6349"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ترميز الأصول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(Asset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تحويل الحقوق في أصل مالي أو مادي إلى رموز رقمية يمكن تداولها على منصات رقمية</w:t>
      </w:r>
      <w:r w:rsidRPr="004F6AF4">
        <w:rPr>
          <w:rFonts w:ascii="Traditional Arabic" w:hAnsi="Traditional Arabic" w:cs="Traditional Arabic" w:hint="cs"/>
          <w:b/>
          <w:bCs/>
          <w:sz w:val="28"/>
          <w:szCs w:val="28"/>
          <w:rtl/>
        </w:rPr>
        <w:t xml:space="preserve"> مثل:</w:t>
      </w:r>
    </w:p>
    <w:p w14:paraId="0EB6E58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(McKinsey &amp; Company, 2024; Lavayssière &amp; Zhang, 2025)، بحيث يمكن ترميز أصول متنوعة تشمل الأوراق المالية، العقارات، السلع، الديون، حقوق الملكية الفكرية، وغيرها</w:t>
      </w:r>
      <w:r w:rsidRPr="004F6AF4">
        <w:rPr>
          <w:rFonts w:ascii="Traditional Arabic" w:hAnsi="Traditional Arabic" w:cs="Traditional Arabic"/>
          <w:b/>
          <w:bCs/>
          <w:sz w:val="28"/>
          <w:szCs w:val="28"/>
          <w:rtl/>
        </w:rPr>
        <w:br/>
        <w:t>(Multiple Authors, 2025; Adigwe et al., 2024)، مما يفتح إمكانيات جديدة للسيولة والتداول والملكية الجزئية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(Grossmann et al., 2025; Carapella et al., 2023)، وهذا النوع يمثل ثورة حقيقية في كيفية امتلاك وتداول الأصول في العصر الرقمي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(Financial Stability Board, 2024)</w:t>
      </w:r>
      <w:r w:rsidRPr="004F6AF4">
        <w:rPr>
          <w:rFonts w:ascii="Traditional Arabic" w:hAnsi="Traditional Arabic" w:cs="Traditional Arabic" w:hint="cs"/>
          <w:b/>
          <w:bCs/>
          <w:sz w:val="28"/>
          <w:szCs w:val="28"/>
          <w:rtl/>
        </w:rPr>
        <w:t>.</w:t>
      </w:r>
    </w:p>
    <w:p w14:paraId="199119A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(Transaction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يتم تحويل تفاصيل المعاملات المالية إلى رموز لحمايتها أثناء الإرسال والمعالجة</w:t>
      </w:r>
      <w:r w:rsidRPr="004F6AF4">
        <w:rPr>
          <w:rFonts w:ascii="Traditional Arabic" w:hAnsi="Traditional Arabic" w:cs="Traditional Arabic" w:hint="cs"/>
          <w:b/>
          <w:bCs/>
          <w:sz w:val="28"/>
          <w:szCs w:val="28"/>
          <w:rtl/>
        </w:rPr>
        <w:t xml:space="preserve"> حسب التقرير </w:t>
      </w:r>
      <w:r w:rsidRPr="004F6AF4">
        <w:rPr>
          <w:rFonts w:ascii="Traditional Arabic" w:hAnsi="Traditional Arabic" w:cs="Traditional Arabic"/>
          <w:b/>
          <w:bCs/>
          <w:sz w:val="28"/>
          <w:szCs w:val="28"/>
          <w:rtl/>
        </w:rPr>
        <w:t xml:space="preserve">(PCI Security Standards Council, 2024; Karanovic et al., 2024)، بحيث تبقى المعاملة آمنة من التلاعب أو الاعتراض حتى في بيئات الاتصال </w:t>
      </w:r>
      <w:r w:rsidRPr="004F6AF4">
        <w:rPr>
          <w:rFonts w:ascii="Traditional Arabic" w:hAnsi="Traditional Arabic" w:cs="Traditional Arabic"/>
          <w:b/>
          <w:bCs/>
          <w:sz w:val="28"/>
          <w:szCs w:val="28"/>
          <w:rtl/>
        </w:rPr>
        <w:lastRenderedPageBreak/>
        <w:t>غير الآمنة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(Ahammad et al., 2025)، وهذا النوع يستخدم بكثرة في المدفوعات عبر الهاتف المحمول والمحافظ الرقمية لضمان سلامة وأمن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(Thunes Research, 2025)</w:t>
      </w:r>
      <w:r w:rsidRPr="004F6AF4">
        <w:rPr>
          <w:rFonts w:ascii="Traditional Arabic" w:hAnsi="Traditional Arabic" w:cs="Traditional Arabic" w:hint="cs"/>
          <w:b/>
          <w:bCs/>
          <w:sz w:val="28"/>
          <w:szCs w:val="28"/>
          <w:rtl/>
        </w:rPr>
        <w:t>.</w:t>
      </w:r>
    </w:p>
    <w:p w14:paraId="6E91134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الهوية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(Identity Tokenization)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إنشاء هويات رقمية آمنة للأفراد والكيانات باستخدام تقنيات الترميز</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(Islam &amp; In, 2024; Goghie, 2024)، بحيث يمكن التحقق من الهوية دون الكشف عن البيانات الشخصية الفعلية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(ENISA, 2024)، مما يوفر توازناً بين متطلبات التحقق من الهوية والخصوصية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PCI Security Standards Council, 2024</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وهذا النوع يكتسب أهمية متزايدة في ظل التشديدات التنظيمية على معرفة العميل (KYC) ومكافحة غسل الأموال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(Saudi Central Bank, 2024; IMF, 2024)</w:t>
      </w:r>
      <w:r w:rsidRPr="004F6AF4">
        <w:rPr>
          <w:rFonts w:ascii="Traditional Arabic" w:hAnsi="Traditional Arabic" w:cs="Traditional Arabic" w:hint="cs"/>
          <w:b/>
          <w:bCs/>
          <w:sz w:val="28"/>
          <w:szCs w:val="28"/>
          <w:rtl/>
        </w:rPr>
        <w:t>.</w:t>
      </w:r>
    </w:p>
    <w:p w14:paraId="4E9E3455"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2.1.2.4 خصائص تقنية الترميز</w:t>
      </w:r>
    </w:p>
    <w:p w14:paraId="264A861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تتميز تقنية الترميز بمجموعة من الخصائص التقنية والتشغيلية التي تجعلها حلاً مناسباً للمؤسسات المالية (Financial Stability Board, 2024; McKinsey &amp; Company, 2024)، حيث تتمثل أهم هذه الخصائص فيما يلي:</w:t>
      </w:r>
    </w:p>
    <w:p w14:paraId="1407A2D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عدم القابلية للعكس</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(Irreversibility)</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أن العملية التصميمية للترميز تجعل من المستحيل عملياً استخراج البيانات الأصلية من الرمز دون الوصول إلى نظام الترميز المركزي (PCI Security Standards Council, 2024; Ahammad et al., 2025)، بحيث حتى في حال اختراق قاعدة البيانات التي تحتوي على الرموز فإن المخترق لن يتمكن من الحصول على البيانات الحساسة الفعلية (Goghie, 2024; Carapella et al., 2023)، وهذه الخاصية تمثل الفارق الجوهري بين الترميز والتشفير الذي يمكن عكسه بالمفتاح الصحيح (IBM Security, 2024)</w:t>
      </w:r>
      <w:r w:rsidRPr="004F6AF4">
        <w:rPr>
          <w:rFonts w:ascii="Traditional Arabic" w:hAnsi="Traditional Arabic" w:cs="Traditional Arabic" w:hint="cs"/>
          <w:b/>
          <w:bCs/>
          <w:sz w:val="28"/>
          <w:szCs w:val="28"/>
          <w:rtl/>
        </w:rPr>
        <w:t>.</w:t>
      </w:r>
    </w:p>
    <w:p w14:paraId="03FF9EB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الاحتفاظ بالتنسيق</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(Format Preservation</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في العديد من تطبيقات الترميز، يتم تصميم الرموز بحيث تحتفظ بنفس تنسيق البيانات الأصلية من حيث الطول ونوع الأحرف (PCI Security Standards Council, 2024)، مما يسمح باستخدام الرموز في الأنظمة الموجودة دون الحاجة لتعديلات كبيرة في البنية </w:t>
      </w:r>
      <w:r w:rsidRPr="004F6AF4">
        <w:rPr>
          <w:rFonts w:ascii="Traditional Arabic" w:hAnsi="Traditional Arabic" w:cs="Traditional Arabic"/>
          <w:b/>
          <w:bCs/>
          <w:sz w:val="28"/>
          <w:szCs w:val="28"/>
          <w:rtl/>
        </w:rPr>
        <w:lastRenderedPageBreak/>
        <w:t>التحتية التقنية (Sakarneh &amp; Kilani, 2024; Karanovic et al., 2024)، بحيث يمكن للمؤسسات المالية تطبيق الترميز بسلاسة دون تعطيل العمليات القائمة (Almadadha, 2025)</w:t>
      </w:r>
      <w:r w:rsidRPr="004F6AF4">
        <w:rPr>
          <w:rFonts w:ascii="Traditional Arabic" w:hAnsi="Traditional Arabic" w:cs="Traditional Arabic" w:hint="cs"/>
          <w:b/>
          <w:bCs/>
          <w:sz w:val="28"/>
          <w:szCs w:val="28"/>
          <w:rtl/>
        </w:rPr>
        <w:t>.</w:t>
      </w:r>
    </w:p>
    <w:p w14:paraId="0079000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القابلية للبرمجة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(Programmability)</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خاصة في ترميز الأصول، حيث يمكن دمج قواعد وشروط قابلة للتنفيذ التلقائي في الرموز نفسها من خلال العقود الذكية (Ahammad et al., 2025; Udeh et al., 2025)، بحيث تتم إدارة الحقوق والالتزامات المرتبطة بالأصل بشكل آلي دون الحاجة لتدخل بشري (Grossmann et al., 2025; Lavayssière &amp; Zhang, 2025)، مما يقلل من التكاليف والأخطاء ويزيد من الكفاءة التشغيلية بشكل كبير (Al-Qudah et al., 2025; Karanovic et al., 2024).</w:t>
      </w:r>
    </w:p>
    <w:p w14:paraId="3D02670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القابلية للتوسع (Scalability)</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حيث تدعم أنظمة الترميز الحديثة معالجة حجم هائل من المعاملات بشكل متزامن (Islam &amp; In, 2024; Karanovic et al., 2024)، مما يجعلها مناسبة للمؤسسات المالية الكبرى التي تتعامل مع ملايين المعاملات يومياً (Saudi Central Bank, 2024)، وذلك من خلال البنية التحتية الموزعة والمعمارية الحديثة التي تتيح التوسع الأفقي حسب الحاجة (Ahammad et al., 2025).</w:t>
      </w:r>
    </w:p>
    <w:p w14:paraId="20366B2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التشغيل البيني (Interoperability)</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إمكانية تبادل الرموز والتعامل معها عبر منصات وأنظمة مختلفة (Financial Stability Board, 2024; Multiple Authors, 2025)، بحيث لا تكون الرموز محصورة في نظام واحد بل يمكن نقلها وتداولها عبر بيئات متعددة (Islam &amp; In, 2024; Goghie, 2024)، وهذه الخاصية تعزز من السيولة والكفاءة في الأسواق المالية الرقمية وتفتح آفاقاً واسعة للابتكار والتعاون بين المؤسسات المالية المختلفة (McKinsey &amp; Company, 2024; World Economic Forum, 2024).</w:t>
      </w:r>
    </w:p>
    <w:p w14:paraId="62B8A727"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60F17F0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الثالث (2.1.3) - كفاءة العمليات المالية وعلاقتها بتقنية الترميز والأمن السيبراني</w:t>
      </w:r>
    </w:p>
    <w:p w14:paraId="2BA2ECB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تعد كفاءة العمليات المالية من الأهداف الرئيسية والاستراتيجية لأي مؤسسة مالية تسعى للتميز والتنافسية في بيئة أعمال سريعة التغير ومتزايدة التعقيد (McKinsey &amp; Company, 2024; Al-Qudah et al., 2025)، حيث أصبحت المؤسسات المالية مطالبة بتقديم خدمات أسرع وأكثر دقة وبتكلفة أقل مع الحفاظ على مستويات عالية من الجودة والأمان (Almadadha, 2025; Karanovic et al., 2024)، وذلك في ظل توقعات متزايدة من العملاء الذين أصبحوا أكثر وعياً ومطالبة بتجربة رقمية سلسة ومتكاملة (Thunes Research, 2025; Saudi Central Bank, 2024). ويرتبط مفهوم كفاءة العمليات ارتباطاً وثيقاً بالتحول الرقمي الذي يمثل رحلة شاملة لإعادة تصميم العمليات والخدمات باستخدام التقنيات الحديثة (Financial Stability Board, 2024; Islam &amp; In, 2024)، بحيث لا يقتصر التحول على مجرد رقمنة العمليات القائمة بل يشمل إعادة التفكير الجذري في نماذج الأعمال وطرق تقديم القيمة للعملاء (Sakarneh &amp; Kilani, 2024; Udeh et al., 2025</w:t>
      </w:r>
      <w:r w:rsidRPr="004F6AF4">
        <w:rPr>
          <w:rFonts w:ascii="Traditional Arabic" w:hAnsi="Traditional Arabic" w:cs="Traditional Arabic" w:hint="cs"/>
          <w:b/>
          <w:bCs/>
          <w:sz w:val="28"/>
          <w:szCs w:val="28"/>
          <w:rtl/>
        </w:rPr>
        <w:t>).</w:t>
      </w:r>
    </w:p>
    <w:p w14:paraId="245ED7C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2.1.3.1 مفهوم كفاءة العمليات المالية</w:t>
      </w:r>
    </w:p>
    <w:p w14:paraId="6589D8B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 (Al-Qudah et al., 2025; Grossmann et al., 2025)، وجميع هذه التعريفات تؤكد على أن الكفاءة ليست مجرد تقليل للتكاليف بل تحسين شامل للأداء</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Almadadha, 2025; Lavayssière &amp; Zhang, 2025</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 (Karanovic et al., 2024; Sakarneh &amp; Kilani, 2024)، وهذا التعريف يركز على العلاقة بين المدخلات والمخرجات كمقياس أساسي للكفاءة.</w:t>
      </w:r>
    </w:p>
    <w:p w14:paraId="744AFCD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w:t>
      </w:r>
      <w:r w:rsidRPr="004F6AF4">
        <w:rPr>
          <w:rFonts w:ascii="Traditional Arabic" w:hAnsi="Traditional Arabic" w:cs="Traditional Arabic"/>
          <w:b/>
          <w:bCs/>
          <w:sz w:val="28"/>
          <w:szCs w:val="28"/>
          <w:rtl/>
        </w:rPr>
        <w:lastRenderedPageBreak/>
        <w:t>الحديثة والأتمتة والتحسين المستمر للعمليات" (Al-Qudah et al., 2025; Almadadha, 2025)، بحيث تنعكس هذه الكفاءة على المؤشرات المالية للمؤسسة من خلال تحسين الربحية وزيادة القيمة المقدمة للمساهمين (Grossmann et al., 2025; Lavayssière &amp; Zhang, 2025)</w:t>
      </w:r>
      <w:r w:rsidRPr="004F6AF4">
        <w:rPr>
          <w:rFonts w:ascii="Traditional Arabic" w:hAnsi="Traditional Arabic" w:cs="Traditional Arabic" w:hint="cs"/>
          <w:b/>
          <w:bCs/>
          <w:sz w:val="28"/>
          <w:szCs w:val="28"/>
          <w:rtl/>
        </w:rPr>
        <w:t>.</w:t>
      </w:r>
    </w:p>
    <w:p w14:paraId="7BD32F6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 (McKinsey &amp; Company, 2024; Financial Stability Board, 2024)، وهذا التعريف يؤكد على أن الكفاءة ليست هدفاً ثابتاً بل عملية مستمرة من التحسين والتطوير (Islam &amp; In, 2024; Udeh et al., 2025</w:t>
      </w:r>
      <w:r w:rsidRPr="004F6AF4">
        <w:rPr>
          <w:rFonts w:ascii="Traditional Arabic" w:hAnsi="Traditional Arabic" w:cs="Traditional Arabic" w:hint="cs"/>
          <w:b/>
          <w:bCs/>
          <w:sz w:val="28"/>
          <w:szCs w:val="28"/>
          <w:rtl/>
        </w:rPr>
        <w:t>).</w:t>
      </w:r>
    </w:p>
    <w:p w14:paraId="6FCD839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 (Al-Qudah et al., 2025; Karanovic et al., 2024; Almadadha, 2025)،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 (Grossmann et al., 2025; Lavayssière &amp; Zhang, 2025; Sakarneh &amp; Kilani, 2024)،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 (Financial Stability Board, 2024; McKinsey &amp; Company, 2024; Udeh et al., 2025</w:t>
      </w:r>
      <w:r w:rsidRPr="004F6AF4">
        <w:rPr>
          <w:rFonts w:ascii="Traditional Arabic" w:hAnsi="Traditional Arabic" w:cs="Traditional Arabic" w:hint="cs"/>
          <w:b/>
          <w:bCs/>
          <w:sz w:val="28"/>
          <w:szCs w:val="28"/>
          <w:rtl/>
        </w:rPr>
        <w:t>).</w:t>
      </w:r>
    </w:p>
    <w:p w14:paraId="3A3D17B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2.1.3.2 أبعاد ومؤشرات كفاءة العمليات المالية</w:t>
      </w:r>
    </w:p>
    <w:p w14:paraId="54C45AD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تتعدد الأبعاد والمؤشرات التي يمكن من خلالها قياس كفاءة العمليات المالية (Al-Qudah et al., 2025; Karanovic et al., 2024)، حيث تتمثل أهم هذه الأبعاد فيما يلي:</w:t>
      </w:r>
    </w:p>
    <w:p w14:paraId="0BDDD84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سرعة تنفيذ المعاملات ودورات التسوية: وتقاس بالوقت المستغرق لإتمام المعاملة من البداية للنهاية، حيث كلما كانت العمليات أسرع كلما كانت أكثر كفاءة (Karanovic et al., 2024; Grossmann et al., 2025)، بحيث تتحول دورات التسوية من أيام في الأنظمة التقليدية (T+2 أو T+5) إلى ثوانٍ معدودة </w:t>
      </w:r>
      <w:r w:rsidRPr="004F6AF4">
        <w:rPr>
          <w:rFonts w:ascii="Traditional Arabic" w:hAnsi="Traditional Arabic" w:cs="Traditional Arabic"/>
          <w:b/>
          <w:bCs/>
          <w:sz w:val="28"/>
          <w:szCs w:val="28"/>
          <w:rtl/>
        </w:rPr>
        <w:lastRenderedPageBreak/>
        <w:t>في الأنظمة الرقمية الحديثة (Ahammad et al., 2025; Almadadha, 2025)،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 (Lavayssière &amp; Zhang, 2025; Financial Stability Board, 2024</w:t>
      </w:r>
      <w:r w:rsidRPr="004F6AF4">
        <w:rPr>
          <w:rFonts w:ascii="Traditional Arabic" w:hAnsi="Traditional Arabic" w:cs="Traditional Arabic" w:hint="cs"/>
          <w:b/>
          <w:bCs/>
          <w:sz w:val="28"/>
          <w:szCs w:val="28"/>
          <w:rtl/>
        </w:rPr>
        <w:t>).</w:t>
      </w:r>
    </w:p>
    <w:p w14:paraId="58BDE98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تكلفة العمليات التشغيلية: وتشمل جميع التكاليف المرتبطة بتنفيذ المعاملات من تكاليف المعالجة، والتسوية والمقاصة، والبنية التحتية التقنية، والموارد البشرية، والامتثال والمراجعة (Al-Qudah et al., 2025; Grossmann et al., 2025</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بحيث كلما انخفضت هذه التكاليف دون التأثير على الجودة كلما كانت العمليات أكثر كفاءة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(Karanovic et al., 2024; Sakarneh &amp; Kilani, 2024)،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(Al-Qudah et al., 2025)</w:t>
      </w:r>
      <w:r w:rsidRPr="004F6AF4">
        <w:rPr>
          <w:rFonts w:ascii="Traditional Arabic" w:hAnsi="Traditional Arabic" w:cs="Traditional Arabic" w:hint="cs"/>
          <w:b/>
          <w:bCs/>
          <w:sz w:val="28"/>
          <w:szCs w:val="28"/>
          <w:rtl/>
        </w:rPr>
        <w:t>.</w:t>
      </w:r>
    </w:p>
    <w:p w14:paraId="08B5284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دقة التنفيذ ومعدلات الأخطاء: من خلال قياس نسبة المعاملات التي تتم بشكل صحيح من المرة الأولى دون الحاجة لتصحيحات أو إعادة معالجة (Ahammad et al., 2025; Udeh et al., 2025)، بحيث أن الأتمتة الكاملة والسجلات غير القابلة للتعديل تساهم في تقليل الأخطاء البشرية والتناقضات في البيانات (Grossmann et al., 2025; Islam &amp; In, 2024)، مما يعزز موثوقية النظام المالي ويقلل من تكاليف التصحيح والمراجعة، وقد وثقت بعض الدراسات انخفاضاً بنسبة 90% في أخطاء التسوية بفضل الأتمتة الكاملة (Grossmann et al., 2025; Karanovic et al., 2024)</w:t>
      </w:r>
      <w:r w:rsidRPr="004F6AF4">
        <w:rPr>
          <w:rFonts w:ascii="Traditional Arabic" w:hAnsi="Traditional Arabic" w:cs="Traditional Arabic" w:hint="cs"/>
          <w:b/>
          <w:bCs/>
          <w:sz w:val="28"/>
          <w:szCs w:val="28"/>
          <w:rtl/>
        </w:rPr>
        <w:t>.</w:t>
      </w:r>
    </w:p>
    <w:p w14:paraId="28D6064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القدرة على التوسع والمرونة التشغيلية: وتقاس بقدرة الأنظمة على التعامل مع حجم متزايد من المعاملات دون تدهور في الأداء (Ahammad et al., 2025; Islam &amp; In, 2024)، وبقدرة المؤسسة على تقديم خدمات جديدة والتكيف مع التغيرات في احتياجات السوق بسرعة (McKinsey &amp; Company, 2024; Financial Stability Board, 2024)، بحيث تدعم البنية التحتية الحديثة معالجة ملايين المعاملات بشكل متزامن مع إمكانية التوسع الأفقي حسب الحاجة (Karanovic et al., 2024; Saudi Central Bank, 2024</w:t>
      </w:r>
      <w:r w:rsidRPr="004F6AF4">
        <w:rPr>
          <w:rFonts w:ascii="Traditional Arabic" w:hAnsi="Traditional Arabic" w:cs="Traditional Arabic" w:hint="cs"/>
          <w:b/>
          <w:bCs/>
          <w:sz w:val="28"/>
          <w:szCs w:val="28"/>
          <w:rtl/>
        </w:rPr>
        <w:t>).</w:t>
      </w:r>
    </w:p>
    <w:p w14:paraId="35BBA24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التوافرية والاستمرارية: من خلال قياس نسبة الوقت الذي تكون فيه الخدمات متاحة للعملاء (Almadadha, 2025; Karanovic et al., 2024)، حيث أن الأنظمة الحديثة تمكن من التشغيل على مدار الساعة طوال أيام الأسبوع (24/7) (Ahammad et al., 2025; Islam &amp; In, 2024)،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 (Saudi Central Bank, 2024; Thunes Research, 2025)</w:t>
      </w:r>
      <w:r w:rsidRPr="004F6AF4">
        <w:rPr>
          <w:rFonts w:ascii="Traditional Arabic" w:hAnsi="Traditional Arabic" w:cs="Traditional Arabic" w:hint="cs"/>
          <w:b/>
          <w:bCs/>
          <w:sz w:val="28"/>
          <w:szCs w:val="28"/>
          <w:rtl/>
        </w:rPr>
        <w:t>.</w:t>
      </w:r>
    </w:p>
    <w:p w14:paraId="7A4CE7B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جودة تجربة العملاء ومعدلات الرضا: من خلال قياس مدى سهولة استخدام الخدمات، وسرعة الاستجابة لاحتياجات العملاء، ومستوى الشفافية في العمليات، ومعدلات رضا العملاء (Udeh et al., 2025; Sakarneh &amp; Kilani, 2024)،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 (Almadadha, 2025; Thunes Research, 2025</w:t>
      </w:r>
      <w:r w:rsidRPr="004F6AF4">
        <w:rPr>
          <w:rFonts w:ascii="Traditional Arabic" w:hAnsi="Traditional Arabic" w:cs="Traditional Arabic" w:hint="cs"/>
          <w:b/>
          <w:bCs/>
          <w:sz w:val="28"/>
          <w:szCs w:val="28"/>
          <w:rtl/>
        </w:rPr>
        <w:t>).</w:t>
      </w:r>
    </w:p>
    <w:p w14:paraId="736134B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2.1.3.3 العلاقة بين تقنية الترميز وكفاءة العمليات المالية</w:t>
      </w:r>
    </w:p>
    <w:p w14:paraId="7330FC6A"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ترتبط تقنية الترميز بكفاءة العمليات المالية عبر ثلاث قنوات تشغيلية مباشرة. الأولى تقليص نطاق البيانات الحساسة الخاضعة للتدقيق داخل أنظمة المؤسسة، إذ يستبدل الترميز البيانات الأصلية برموز بديلة لا تحمل قيمة استغلالية، ما يقلّص عدد الأنظمة الداخلة في نطاق الامتثال ويخفّض كلفة التدقيق الدوري وزمنه. والثانية تسريع دورة تسوية المعاملات، لأن تمرير الرمز بدلاً من بيانات البطاقة الكاملة يقلّل خطوات التحقق والتشفير المتكررة بين أطراف المعاملة. والثالثة خفض كلفة معالجة الحوادث، إذ يصبح أثر أي تسريب محدوداً ما دامت البيانات المسرَّبة رموزاً لا تُفكّ خارج مخزن الرموز.</w:t>
      </w:r>
    </w:p>
    <w:p w14:paraId="395072E8"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أما العلاقة بين الأمن السيبراني وكفاءة العمليات المالية فتتحقق بصورة غير مباشرة، إذ إن انخفاض عدد الحوادث الأمنية يقلّل توقّف الخدمة وتكاليف الاستجابة والتعويض، ويرفع معدل إتمام المعاملات من المحاولة الأولى، وهو ما ينعكس مباشرة على مؤشرات الكفاءة التشغيلية. وبهذا تتشكل علاقة تسلسلية يمثل فيها الترميز مدخلاً تقنياً، ويمثل الأمن السيبراني حالة وسيطة في الأداء، وتمثل كفاءة العمليات المالية مخرجاً تشغيلياً.</w:t>
      </w:r>
    </w:p>
    <w:p w14:paraId="5E55069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يلعب التحول الرقمي دوراً محورياً في تحسين كفاءة العمليات المالية من خلال عدة آليات رئيسية (Financial Stability Board, 2024; McKinsey &amp; Company, 2024)، حيث تتمثل أهم هذه الآليات فيما يلي:</w:t>
      </w:r>
    </w:p>
    <w:p w14:paraId="7EEBE1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الأتمتة الذكية للعمليات: من خلال استخدام تقنيات الذكاء الاصطناعي والروبوتات البرمجية (RPA) لأتمتة العمليات اليدوية المتكررة (Ahammad et al., 2025; Karanovic et al., 2024)، بحيث يتم تحرير الموارد البشرية للتركيز على المهام ذات القيمة الأعلى التي تتطلب التفكير الإبداعي والحكم البشري (Sakarneh &amp; Kilani, 2024; Islam &amp; In, 2024)، مما يقلل من الأخطاء ويسرع من الإنجاز ويخفض التكاليف التشغيلية بشكل كبير (Al-Qudah et al., 2025; Grossmann et al., 2025)</w:t>
      </w:r>
      <w:r w:rsidRPr="004F6AF4">
        <w:rPr>
          <w:rFonts w:ascii="Traditional Arabic" w:hAnsi="Traditional Arabic" w:cs="Traditional Arabic" w:hint="cs"/>
          <w:b/>
          <w:bCs/>
          <w:sz w:val="28"/>
          <w:szCs w:val="28"/>
          <w:rtl/>
        </w:rPr>
        <w:t>.</w:t>
      </w:r>
    </w:p>
    <w:p w14:paraId="3A378A6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تحسين عمليات اتخاذ القرار بالبيانات: من خلال القدرة على جمع وتحليل كميات ضخمة من البيانات بشكل فوري (Almadadha, 2025; Karanovic et al., 2024)، بحيث يمكن للمؤسسات المالية اتخاذ قرارات أكثر استنارة بناءً على رؤى دقيقة ومحدثة، سواء فيما يتعلق بإدارة المخاطر، أو تحديد الأسعار، أو تطوير المنتجات، </w:t>
      </w:r>
      <w:r w:rsidRPr="004F6AF4">
        <w:rPr>
          <w:rFonts w:ascii="Traditional Arabic" w:hAnsi="Traditional Arabic" w:cs="Traditional Arabic"/>
          <w:b/>
          <w:bCs/>
          <w:sz w:val="28"/>
          <w:szCs w:val="28"/>
          <w:rtl/>
        </w:rPr>
        <w:lastRenderedPageBreak/>
        <w:t>أو استهداف العملاء (McKinsey &amp; Company, 2024; Udeh et al., 2025)، مما يحسن من فعالية القرارات ويقلل من المخاطر (Lavayssière &amp; Zhang, 2025; Carapella et al., 2023).</w:t>
      </w:r>
    </w:p>
    <w:p w14:paraId="7FC5583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تجربة العملاء الرقمية: عبر توفير منصات وتطبيقات رقمية سهلة الاستخدام تمكن العملاء من إنجاز معاملاتهم بشكل ذاتي في أي وقت ومن أي مكان (Saudi Central Bank, 2024; Thunes Research, 2025)، مع إمكانية التخصيص حسب احتياجات كل عميل، وتقديم خدمات استباقية بناءً على التحليلات التنبؤية (Sakarneh &amp; Kilani, 2024; Almadadha, 2025)، مما يعزز من رضا العملاء وولائهم (Karanovic et al., 2024; Udeh et al., 2025)</w:t>
      </w:r>
      <w:r w:rsidRPr="004F6AF4">
        <w:rPr>
          <w:rFonts w:ascii="Traditional Arabic" w:hAnsi="Traditional Arabic" w:cs="Traditional Arabic" w:hint="cs"/>
          <w:b/>
          <w:bCs/>
          <w:sz w:val="28"/>
          <w:szCs w:val="28"/>
          <w:rtl/>
        </w:rPr>
        <w:t>.</w:t>
      </w:r>
    </w:p>
    <w:p w14:paraId="50D675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خفض تكاليف البنية التحتية: من خلال الانتقال من الأنظمة القديمة المكلفة في الصيانة والتشغيل إلى حلول سحابية مرنة وقابلة للتوسع تدفع حسب الاستخدام (Ahammad et al., 2025; Islam &amp; In, 2024)، بحيث يمكن للمؤسسات المالية تقليل استثماراتها الرأسمالية في البنية التحتية التقنية والتركيز على الابتكار وتطوير الخدمات (Al-Qudah et al., 2025; Karanovic et al., 2024)</w:t>
      </w:r>
      <w:r w:rsidRPr="004F6AF4">
        <w:rPr>
          <w:rFonts w:ascii="Traditional Arabic" w:hAnsi="Traditional Arabic" w:cs="Traditional Arabic" w:hint="cs"/>
          <w:b/>
          <w:bCs/>
          <w:sz w:val="28"/>
          <w:szCs w:val="28"/>
          <w:rtl/>
        </w:rPr>
        <w:t>.</w:t>
      </w:r>
    </w:p>
    <w:p w14:paraId="4E666D7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نماذج أعمال جديدة: من خلال فتح إمكانيات لم تكن متاحة في البيئة التقليدية، مثل الخدمات المصرفية المفتوحة (Open Banking)، والتمويل اللامركزي (DeFi)، والمنتجات المالية القابلة للبرمجة (Financial Stability Board, 2024; McKinsey &amp; Company, 2024)، بحيث يمكن للمؤسسات المالية إعادة اختراع نفسها والمنافسة بطرق جديدة (Islam &amp; In, 2024; Thunes Research, 2025)</w:t>
      </w:r>
      <w:r w:rsidRPr="004F6AF4">
        <w:rPr>
          <w:rFonts w:ascii="Traditional Arabic" w:hAnsi="Traditional Arabic" w:cs="Traditional Arabic" w:hint="cs"/>
          <w:b/>
          <w:bCs/>
          <w:sz w:val="28"/>
          <w:szCs w:val="28"/>
          <w:rtl/>
        </w:rPr>
        <w:t>.</w:t>
      </w:r>
    </w:p>
    <w:p w14:paraId="4A825063"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p>
    <w:p w14:paraId="0452BDD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الرابع (2.1.4) - رؤية السعودية 2030 والتحول الرقمي في القطاع المالي</w:t>
      </w:r>
    </w:p>
    <w:p w14:paraId="754A56D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تمثل رؤية السعودية 2030 إطاراً استراتيجياً شاملاً ومتكاملاً للتحول الاقتصادي والاجتماعي في المملكة (Saudi Central Bank, 2024; IMF, 2024)، حيث تهدف إلى بناء مجتمع حيوي واقتصاد مزدهر </w:t>
      </w:r>
      <w:r w:rsidRPr="004F6AF4">
        <w:rPr>
          <w:rFonts w:ascii="Traditional Arabic" w:hAnsi="Traditional Arabic" w:cs="Traditional Arabic"/>
          <w:b/>
          <w:bCs/>
          <w:sz w:val="28"/>
          <w:szCs w:val="28"/>
          <w:rtl/>
        </w:rPr>
        <w:lastRenderedPageBreak/>
        <w:t>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 (Thunes Research, 2025). ويحتل التحول الرقمي موقعاً محورياً ضمن هذه الرؤية الطموحة، حيث يمثل ممكناً رئيسياً لتحقيق العديد من الأهداف الاستراتيجية عبر مختلف القطاعات (IMF, 2024; McKinsey &amp; Company, 2024)، ومن بينها القطاع المالي الذي يلعب دوراً حيوياً في دعم النمو الاقتصادي وتمكين ريادة الأعمال وجذب الاستثمارات (Saudi Central Bank, 2024; Financial Stability Board, 2024)</w:t>
      </w:r>
      <w:r w:rsidRPr="004F6AF4">
        <w:rPr>
          <w:rFonts w:ascii="Traditional Arabic" w:hAnsi="Traditional Arabic" w:cs="Traditional Arabic" w:hint="cs"/>
          <w:b/>
          <w:bCs/>
          <w:sz w:val="28"/>
          <w:szCs w:val="28"/>
          <w:rtl/>
        </w:rPr>
        <w:t>.</w:t>
      </w:r>
    </w:p>
    <w:p w14:paraId="3FF37A7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2.1.4.1 أهداف رؤية 2030 المرتبطة بالقطاع المالي الرقمي</w:t>
      </w:r>
    </w:p>
    <w:p w14:paraId="7AADC56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ترتبط العديد من أهداف رؤية 2030 بشكل مباشر بتطوير القطاع المالي الرقمي (Saudi Central Bank, 2024; Thunes Research, 2025)، حيث تتمثل أهم هذه الأهداف فيما يلي:</w:t>
      </w:r>
    </w:p>
    <w:p w14:paraId="777BC82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رفع معدل الشمول المالي وزيادة نسبة المعاملات غير النقدية: حيث تستهدف الرؤية الوصول إلى مجتمع أقل اعتماداً على النقد من خلال تحفيز استخدام وسائل الدفع الإلكترونية (Saudi Central Bank, 2024; IMF, 2024)، وتوسيع نطاق الوصول للخدمات المالية لتشمل كافة شرائح المجتمع بما في ذلك الفئات المحرومة تقليدياً من الخدمات المصرفية (Thunes Research, 2025; McKinsey &amp; Company, 2024)،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 (Saudi Central Bank, 2024)</w:t>
      </w:r>
      <w:r w:rsidRPr="004F6AF4">
        <w:rPr>
          <w:rFonts w:ascii="Traditional Arabic" w:hAnsi="Traditional Arabic" w:cs="Traditional Arabic" w:hint="cs"/>
          <w:b/>
          <w:bCs/>
          <w:sz w:val="28"/>
          <w:szCs w:val="28"/>
          <w:rtl/>
        </w:rPr>
        <w:t>.</w:t>
      </w:r>
    </w:p>
    <w:p w14:paraId="62BA6D0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تطوير بنية تحتية رقمية متطورة وآمنة: من خلال الاستثمار في شبكات الاتصالات عالية السرعة، ومراكز البيانات، والحوسبة السحابية، والأمن السيبراني (IMF, 2024; ENISA, 2024)، بحيث توفر المملكة بيئة رقمية تمكينية تدعم الابتكار والنمو في القطاع المالي وغيره من القطاعات (Thunes Research, 2025; Saudi Central Bank, 2024)، وتستقطب الاستثمارات التقنية العالمية (McKinsey &amp; Company, 2024; Financial Stability Board, 2024</w:t>
      </w:r>
      <w:r w:rsidRPr="004F6AF4">
        <w:rPr>
          <w:rFonts w:ascii="Traditional Arabic" w:hAnsi="Traditional Arabic" w:cs="Traditional Arabic" w:hint="cs"/>
          <w:b/>
          <w:bCs/>
          <w:sz w:val="28"/>
          <w:szCs w:val="28"/>
          <w:rtl/>
        </w:rPr>
        <w:t>).</w:t>
      </w:r>
    </w:p>
    <w:p w14:paraId="24F5EFA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تعزيز دور الفنتك والابتكار المالي: من خلال إنشاء بيئة تنظيمية داعمة للابتكار، وتوفير البيئات التجريبية (Regulatory Sandboxes) التي تمكن الشركات الناشئة من تجربة منتجاتها وخدماتها الجديدة في بيئة محكومة (Saudi Central Bank, 2024; IMF, 2024)، وتقديم الحوافز والدعم لشركات الفنتك (Thunes Research, 2025)، وقد شهد القطاع نمواً ملحوظاً حيث يعمل حالياً 72 شركة فنتك في مجال المدفوعات، مما يعكس بيئة تنافسية وابتكارية (Thunes Research, 2025; Islam &amp; In, 2024)</w:t>
      </w:r>
      <w:r w:rsidRPr="004F6AF4">
        <w:rPr>
          <w:rFonts w:ascii="Traditional Arabic" w:hAnsi="Traditional Arabic" w:cs="Traditional Arabic" w:hint="cs"/>
          <w:b/>
          <w:bCs/>
          <w:sz w:val="28"/>
          <w:szCs w:val="28"/>
          <w:rtl/>
        </w:rPr>
        <w:t>.</w:t>
      </w:r>
    </w:p>
    <w:p w14:paraId="09F6A28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كفاءة القطاع المالي وتنافسيته: من خلال تشجيع المؤسسات المالية على تبني أحدث التقنيات لتحسين عملياتها وخفض تكاليفها وتحسين تجربة عملائها (Saudi Central Bank, 2024; Sakarneh &amp; Kilani, 2024)، بحيث تصبح المؤسسات المالية السعودية قادرة على المنافسة عالمياً وجذب العملاء والاستثمارات من مختلف أنحاء العالم (IMF, 2024; McKinsey &amp; Company, 2024)</w:t>
      </w:r>
      <w:r w:rsidRPr="004F6AF4">
        <w:rPr>
          <w:rFonts w:ascii="Traditional Arabic" w:hAnsi="Traditional Arabic" w:cs="Traditional Arabic" w:hint="cs"/>
          <w:b/>
          <w:bCs/>
          <w:sz w:val="28"/>
          <w:szCs w:val="28"/>
          <w:rtl/>
        </w:rPr>
        <w:t>.</w:t>
      </w:r>
    </w:p>
    <w:p w14:paraId="55C68B0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تعزيز الأمن السيبراني وحماية البيانات: من خلال تطوير الأطر التنظيمية والمعايير الفنية التي تضمن حماية بيانات العملاء وأمن المعاملات المالية (Saudi Central Bank, 2024; ENISA, 2024)، وبناء قدرات وطنية في مجال الأمن السيبراني (IMF, 2024; PCI Security Standards Council, 2024)، بحيث تكون المملكة من الدول الرائدة عالمياً في هذا المجال الحيوي (Saudi Central Bank, 2024; IBM Security, 2024</w:t>
      </w:r>
      <w:r w:rsidRPr="004F6AF4">
        <w:rPr>
          <w:rFonts w:ascii="Traditional Arabic" w:hAnsi="Traditional Arabic" w:cs="Traditional Arabic" w:hint="cs"/>
          <w:b/>
          <w:bCs/>
          <w:sz w:val="28"/>
          <w:szCs w:val="28"/>
          <w:rtl/>
        </w:rPr>
        <w:t>).</w:t>
      </w:r>
    </w:p>
    <w:p w14:paraId="3CD0984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2.1.4.2 الإنجازات المحققة في التحول المالي الرقمي</w:t>
      </w:r>
    </w:p>
    <w:p w14:paraId="296DFA7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حققت المملكة العربية السعودية تقدماً ملموساً في مسيرة التحول المالي الرقمي ضمن رؤية 2030 (Saudi Central Bank, 2024; IMF, 2024)، حيث تتمثل أبرز هذه الإنجازات فيما يلي:</w:t>
      </w:r>
    </w:p>
    <w:p w14:paraId="7B2E5C9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نمو ملحوظ في المدفوعات الرقمية: حيث عالج نظام سريع 593 مليون معاملة في عام 2024، بينما وصلت نسبة المدفوعات الإلكترونية إلى 79% من إجمالي المعاملات (Saudi Central Bank, 2024)، مع تزايد استخدام تقنيات الدفع بدون بطاقة التي تعتمد على الترميز (Thunes Research, 2025; </w:t>
      </w:r>
      <w:r w:rsidRPr="004F6AF4">
        <w:rPr>
          <w:rFonts w:ascii="Traditional Arabic" w:hAnsi="Traditional Arabic" w:cs="Traditional Arabic"/>
          <w:b/>
          <w:bCs/>
          <w:sz w:val="28"/>
          <w:szCs w:val="28"/>
          <w:rtl/>
        </w:rPr>
        <w:lastRenderedPageBreak/>
        <w:t>Financial Stability Board, 2024)، مما يعكس التحول الكبير نحو الاقتصاد الرقمي (IMF, 2024; McKinsey &amp; Company, 2024</w:t>
      </w:r>
      <w:r w:rsidRPr="004F6AF4">
        <w:rPr>
          <w:rFonts w:ascii="Traditional Arabic" w:hAnsi="Traditional Arabic" w:cs="Traditional Arabic" w:hint="cs"/>
          <w:b/>
          <w:bCs/>
          <w:sz w:val="28"/>
          <w:szCs w:val="28"/>
          <w:rtl/>
        </w:rPr>
        <w:t>).</w:t>
      </w:r>
    </w:p>
    <w:p w14:paraId="3CA2803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توسع النظام البيئي للفنتك: من خلال زيادة عدد شركات الفنتك العاملة في المملكة، وتنوع الخدمات المقدمة لتشمل المدفوعات، والتمويل، والاستثمار، والتأمين، وغيرها (Thunes Research, 2025; Islam &amp; In, 2024)، مما يثري الخيارات المتاحة للمستهلكين ويعزز المنافسة والابتكار (Saudi Central Bank, 2024; Sakarneh &amp; Kilani, 2024</w:t>
      </w:r>
      <w:r w:rsidRPr="004F6AF4">
        <w:rPr>
          <w:rFonts w:ascii="Traditional Arabic" w:hAnsi="Traditional Arabic" w:cs="Traditional Arabic" w:hint="cs"/>
          <w:b/>
          <w:bCs/>
          <w:sz w:val="28"/>
          <w:szCs w:val="28"/>
          <w:rtl/>
        </w:rPr>
        <w:t>).</w:t>
      </w:r>
    </w:p>
    <w:p w14:paraId="411CBD5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إشادة دولية بالتقدم المحرز: 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 (IMF, 2024)، مما يضع المملكة في مصاف الدول الرائدة في هذا المجال (Saudi Central Bank, 2024; McKinsey &amp; Company, 2024</w:t>
      </w:r>
      <w:r w:rsidRPr="004F6AF4">
        <w:rPr>
          <w:rFonts w:ascii="Traditional Arabic" w:hAnsi="Traditional Arabic" w:cs="Traditional Arabic" w:hint="cs"/>
          <w:b/>
          <w:bCs/>
          <w:sz w:val="28"/>
          <w:szCs w:val="28"/>
          <w:rtl/>
        </w:rPr>
        <w:t>).</w:t>
      </w:r>
    </w:p>
    <w:p w14:paraId="06981E1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نمو متوقع للاقتصاد الرقمي: حيث تشير التوقعات إلى وصول قيمة الاقتصاد الرقمي في المملكة إلى 87 مليار دولار بحلول عام 2025، مع معدل انتشار رقمي يبلغ 99% (Thunes Research, 2025)، مما يعكس حجم الفرص الهائلة المتاحة في هذا القطاع (Saudi Central Bank, 2024; Financial Stability Board, 2024</w:t>
      </w:r>
      <w:r w:rsidRPr="004F6AF4">
        <w:rPr>
          <w:rFonts w:ascii="Traditional Arabic" w:hAnsi="Traditional Arabic" w:cs="Traditional Arabic" w:hint="cs"/>
          <w:b/>
          <w:bCs/>
          <w:sz w:val="28"/>
          <w:szCs w:val="28"/>
          <w:rtl/>
        </w:rPr>
        <w:t>).</w:t>
      </w:r>
    </w:p>
    <w:p w14:paraId="14C6A196"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2.1.4.3 دور تقنية الترميز في تحقيق أهداف رؤية 2030</w:t>
      </w:r>
    </w:p>
    <w:p w14:paraId="2331B37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تساهم تقنية الترميز بشكل مباشر في تحقيق العديد من أهداف رؤية 2030 في القطاع المالي (Saudi Central Bank, 2024; Financial Stability Board, 2024)، حيث يتمثل هذا الدور فيما يلي:</w:t>
      </w:r>
    </w:p>
    <w:p w14:paraId="44BD8F2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تعزيز الأمن السيبراني: من خلال توفير طبقة حماية إضافية للبيانات الحساسة (PCI Security Standards Council, 2024; Goghie, 2024)، بما يتماشى مع أهداف الرؤية في بناء فضاء إلكتروني آمن يحمي المواطنين والمستثمرين (Saudi Central Bank, 2024; ENISA, 2024)، ويعزز من ثقتهم في الخدمات المالية الرقمية (IMF, 2024; Ahammad et al., 2025)</w:t>
      </w:r>
      <w:r w:rsidRPr="004F6AF4">
        <w:rPr>
          <w:rFonts w:ascii="Traditional Arabic" w:hAnsi="Traditional Arabic" w:cs="Traditional Arabic" w:hint="cs"/>
          <w:b/>
          <w:bCs/>
          <w:sz w:val="28"/>
          <w:szCs w:val="28"/>
          <w:rtl/>
        </w:rPr>
        <w:t>.</w:t>
      </w:r>
    </w:p>
    <w:p w14:paraId="37299F3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تحسين كفاءة العمليات المالية: عبر تسريع المعاملات وخفض التكاليف (Al-Qudah et al., 2025; Grossmann et al., 2025)، بما يساهم في تعزيز تنافسية المؤسسات المالية السعودية ويجعلها أكثر جاذبية للعملاء والمستثمرين على المستوى الإقليمي والعالمي (Saudi Central Bank, 2024; McKinsey &amp; Company, 2024</w:t>
      </w:r>
      <w:r w:rsidRPr="004F6AF4">
        <w:rPr>
          <w:rFonts w:ascii="Traditional Arabic" w:hAnsi="Traditional Arabic" w:cs="Traditional Arabic" w:hint="cs"/>
          <w:b/>
          <w:bCs/>
          <w:sz w:val="28"/>
          <w:szCs w:val="28"/>
          <w:rtl/>
        </w:rPr>
        <w:t>).</w:t>
      </w:r>
    </w:p>
    <w:p w14:paraId="52CEB95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توسيع نطاق الشمول المالي: من خلال تمكين الملكية الجزئية للأصول وخفض حواجز الدخول للاستثمار (Lavayssière &amp; Zhang, 2025; Multiple Authors, 2025)، بما يفتح المجال أمام شرائح أوسع من المجتمع للمشاركة في الأسواق المالية والاستفادة من فرص الاستثمار (Saudi Central Bank, 2024; IMF, 2024</w:t>
      </w:r>
      <w:r w:rsidRPr="004F6AF4">
        <w:rPr>
          <w:rFonts w:ascii="Traditional Arabic" w:hAnsi="Traditional Arabic" w:cs="Traditional Arabic" w:hint="cs"/>
          <w:b/>
          <w:bCs/>
          <w:sz w:val="28"/>
          <w:szCs w:val="28"/>
          <w:rtl/>
        </w:rPr>
        <w:t>).</w:t>
      </w:r>
    </w:p>
    <w:p w14:paraId="5FA9BBD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دعم الابتكار المالي: عبر إتاحة إمكانيات جديدة لتطوير منتجات وخدمات مالية مبتكرة (Financial Stability Board, 2024; Islam &amp; In, 2024)، بما يعزز من النظام البيئي للفنتك ويجعل المملكة مركزاً إقليمياً للابتكار المالي (Thunes Research, 2025; McKinsey &amp; Company, 2024)</w:t>
      </w:r>
      <w:r w:rsidRPr="004F6AF4">
        <w:rPr>
          <w:rFonts w:ascii="Traditional Arabic" w:hAnsi="Traditional Arabic" w:cs="Traditional Arabic" w:hint="cs"/>
          <w:b/>
          <w:bCs/>
          <w:sz w:val="28"/>
          <w:szCs w:val="28"/>
          <w:rtl/>
        </w:rPr>
        <w:t>.</w:t>
      </w:r>
    </w:p>
    <w:p w14:paraId="0D98E50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جذب الاستثمارات: من خلال توفير بنية تحتية مالية رقمية متطورة تستقطب الاستثمارات المحلية والأجنبية (Saudi Central Bank, 2024; IMF, 2024)، وتعزز من مكانة المملكة كوجهة استثمارية جاذبة (McKinsey &amp; Company, 2024; Financial Stability Board, 2024)</w:t>
      </w:r>
      <w:r w:rsidRPr="004F6AF4">
        <w:rPr>
          <w:rFonts w:ascii="Traditional Arabic" w:hAnsi="Traditional Arabic" w:cs="Traditional Arabic" w:hint="cs"/>
          <w:b/>
          <w:bCs/>
          <w:sz w:val="28"/>
          <w:szCs w:val="28"/>
          <w:rtl/>
        </w:rPr>
        <w:t>.</w:t>
      </w:r>
    </w:p>
    <w:p w14:paraId="3D970BE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 الأسس النظرية المفسّرة للعلاقة بين تقنية الترميز والأمن السيبراني وكفاءة العمليات المالية</w:t>
      </w:r>
    </w:p>
    <w:p w14:paraId="66B1100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تستند الدراسة الحالية إلى مجموعة من النظريات والأطر المفاهيمية التي تفسر كيفية تأثير تقنية الترميز على كل من الأمن السيبراني وكفاءة العمليات المالية (Financial Stability Board, 2024; Carapella et al., 2023)، حيث توفر هذه النظريات الأساس المنطقي والعلمي لفهم الآليات والعمليات التي من خلالها تحدث هذه التأثيرات (Goghie, 2024; Udeh et al., 2025)، بحيث لا تقتصر الدراسة على مجرد رصد العلاقات الظاهرة بل تسعى لفهم الديناميكيات الكامنة وراءها من خلال عدسات نظرية متعددة (Grossmann et al., 2025; Lavayssière &amp; Zhang, 2025). وتتكامل هذه النظريات </w:t>
      </w:r>
      <w:r w:rsidRPr="004F6AF4">
        <w:rPr>
          <w:rFonts w:ascii="Traditional Arabic" w:hAnsi="Traditional Arabic" w:cs="Traditional Arabic"/>
          <w:b/>
          <w:bCs/>
          <w:sz w:val="28"/>
          <w:szCs w:val="28"/>
          <w:rtl/>
        </w:rPr>
        <w:lastRenderedPageBreak/>
        <w:t>لتقديم فهم شامل ومتعدد الأبعاد للظاهرة محل الدراسة (Al-Qudah et al., 2025; Karanovic et al., 2024)، بحيث تغطي الجوانب التقنية والاقتصادية والتنظيمية والسلوكية المرتبطة بتبني وتطبيق تقنية الترميز في المؤسسات المالية (Islam &amp; In, 2024; Sakarneh &amp; Kilani, 2024)</w:t>
      </w:r>
      <w:r w:rsidRPr="004F6AF4">
        <w:rPr>
          <w:rFonts w:ascii="Traditional Arabic" w:hAnsi="Traditional Arabic" w:cs="Traditional Arabic" w:hint="cs"/>
          <w:b/>
          <w:bCs/>
          <w:sz w:val="28"/>
          <w:szCs w:val="28"/>
          <w:rtl/>
        </w:rPr>
        <w:t>.</w:t>
      </w:r>
    </w:p>
    <w:p w14:paraId="31C1F98D"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2.1.5.1 نظرية أمن المعلومات (Information Security Theory)</w:t>
      </w:r>
    </w:p>
    <w:p w14:paraId="798F517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تقدم نظرية أمن المعلومات إطاراً أساسياً لفهم كيفية حماية الأصول المعلوماتية من التهديدات المختلفة (ENISA, 2024; PCI Security Standards Council, 2024)، حيث ترتكز هذه النظرية على ثلاثية CIA التي تمثل الأهداف الرئيسية لأمن المعلومات، وهي السرية (Confidentiality) والسلامة (Integrity) والتوافرية (Availability) (IBM Security, 2024; Ahammad et al., 2025)، بحيث يجب أن تحقق أي منظومة أمنية فعالة هذه الأهداف الثلاثة بشكل متوازن (Goghie, 2024; Carapella et al., 2023). وفي سياق تقنية الترميز، تتحقق السرية من خلال استبدال البيانات الحساسة برموز عديمة القيمة في حال اعتراضها (PCI Security Standards Council, 2024; Financial Stability Board, 2024)، مما يمنع الوصول غير المصرح به للمعلومات حتى في حال اختراق النظام (Ahammad et al., 2025; Karanovic et al., 2024)، وهذا يمثل طبقة حماية إضافية تكمل وتعزز من فعالية التشفير التقليدي (IBM Security, 2024). أما السلامة فتتحقق من خلال السجلات غير القابلة للتعديل في أنظمة البلوكشين التي تعتمد عليها العديد من تطبيقات الترميز (Goghie, 2024; Udeh et al., 2025)، بحيث يمكن التحقق من أن البيانات لم تتعرض للتلاعب أو التعديل غير المصرح به (Islam &amp; In, 2024; Carapella et al., 2023). وبالنسبة للتوافرية، فإن الطبيعة الموزعة للأنظمة اللامركزية تضمن استمرارية الخدمة حتى في حال تعطل بعض العقد في الشبكة (Ahammad et al., 2025; Karanovic et al., 2024)، مما يحسن من موثوقية واستمرارية الخدمات المالية (Almadadha, 2025; Sakarneh &amp; Kilani, 2024)</w:t>
      </w:r>
      <w:r w:rsidRPr="004F6AF4">
        <w:rPr>
          <w:rFonts w:ascii="Traditional Arabic" w:hAnsi="Traditional Arabic" w:cs="Traditional Arabic" w:hint="cs"/>
          <w:b/>
          <w:bCs/>
          <w:sz w:val="28"/>
          <w:szCs w:val="28"/>
          <w:rtl/>
        </w:rPr>
        <w:t>.</w:t>
      </w:r>
    </w:p>
    <w:p w14:paraId="0A361C41"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2.1.5.2 نظرية تكاليف المعاملات (Transaction Cost Economics)</w:t>
      </w:r>
    </w:p>
    <w:p w14:paraId="58E6960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طور ويليامسون (Williamson) نظرية تكاليف المعاملات لتفسير كيف تؤثر خصائص المعاملات على التكاليف المرتبطة بها وعلى الهياكل التنظيمية المناسبة لإدارتها (Grossmann et al., 2025; Al-Qudah et al., 2025)، حيث حدد ثلاثة أنواع رئيسية من تكاليف المعاملات (Lavayssière &amp; Zhang, 2025; Udeh et al., 2025)، وهي تكاليف البحث والمعلومات (Search and Information Costs) التي تتكبدها الأطراف للعثور على بعضها البعض والحصول على المعلومات اللازمة لاتخاذ القرارات، وتكاليف المفاوضة والتعاقد (Bargaining and Contracting Costs) التي تنشأ من التفاوض على شروط الصفقة وصياغة العقود، وتكاليف المراقبة والإنفاذ (Monitoring and Enforcement Costs) المرتبطة بضمان التزام الأطراف بشروط الاتفاق (Grossmann et al., 2025; Karanovic et al., 2024). وتساهم تقنية الترميز، خاصة عندما تكون مبنية على البلوكشين، في خفض هذه التكاليف الثلاثة بشكل جوهري (Al-Qudah et al., 2025; Ahammad et al., 2025)، حيث توفر الشفافية الفورية للمعلومات مما يقلل من تكاليف البحث والمعلومات (Udeh et al., 2025; Islam &amp; In, 2024)، وتمكن العقود الذكية من أتمتة عمليات التعاقد والتنفيذ مما يخفض تكاليف المفاوضة والتعاقد (Grossmann et al., 2025; Lavayssière &amp; Zhang, 2025)، بينما يوفر التنفيذ الذاتي للعقود الذكية آلية مضمونة للإنفاذ تلغي الحاجة للمراقبة اليدوية وتقلل من تكاليف المراقبة والإنفاذ (Udeh et al., 2025; Karanovic et al., 2024)، وهذا يفسر كيف تحقق تقنية الترميز وفورات كبيرة في تكاليف العمليات المالية (Al-Qudah et al., 2025; Almadadha, 2025; Sakarneh &amp; Kilani, 2024</w:t>
      </w:r>
      <w:r w:rsidRPr="004F6AF4">
        <w:rPr>
          <w:rFonts w:ascii="Traditional Arabic" w:hAnsi="Traditional Arabic" w:cs="Traditional Arabic" w:hint="cs"/>
          <w:b/>
          <w:bCs/>
          <w:sz w:val="28"/>
          <w:szCs w:val="28"/>
          <w:rtl/>
        </w:rPr>
        <w:t>).</w:t>
      </w:r>
    </w:p>
    <w:p w14:paraId="21171930"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2.1.5.3 نظرية إدارة المخاطر (Risk Management Theory)</w:t>
      </w:r>
    </w:p>
    <w:p w14:paraId="0E2DFD37"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 xml:space="preserve">توفر نظرية إدارة المخاطر إطاراً منظماً لتحديد المخاطر المحتملة وتقييمها واتخاذ الإجراءات المناسبة للتخفيف منها أو نقلها أو قبولها (Carapella et al., 2023; ENISA, 2024)، حيث تمر عملية إدارة المخاطر بمراحل متعددة تشمل تحديد المخاطر (Risk Identification)، وتقييم المخاطر (Risk Assessment)، ومعالجة المخاطر (Risk Treatment)، ومراقبة المخاطر (Risk </w:t>
      </w:r>
      <w:r w:rsidRPr="004F6AF4">
        <w:rPr>
          <w:rFonts w:ascii="Traditional Arabic" w:hAnsi="Traditional Arabic" w:cs="Traditional Arabic"/>
          <w:b/>
          <w:bCs/>
          <w:sz w:val="28"/>
          <w:szCs w:val="28"/>
          <w:rtl/>
        </w:rPr>
        <w:lastRenderedPageBreak/>
        <w:t>Monitoring) (IBM Security, 2024; Saudi Central Bank, 2024). وفي سياق تبني تقنية الترميز، يجب فهم أن هذه التقنية لا تلغي المخاطر بل تغير من طبيعتها (Carapella et al., 2023; Goghie, 2024)،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 (Ahammad et al., 2025; Karanovic et al., 2024). لذا فإن التطبيق الناجح للترميز يتطلب فهماً عميقاً لهذا التحول في طبيعة المخاطر (Carapella et al., 2023; ENISA, 2024)، وتصميم أطر إدارة مخاطر متطورة تأخذ في الاعتبار الخصائص الفريدة للتقنيات الجديدة (PCI Security Standards Council, 2024; Sakarneh &amp; Kilani, 2024)، وتطوير ضوابط وإجراءات مناسبة للتخفيف من المخاطر الناشئة (Saudi Central Bank, 2024; IMF, 2024)</w:t>
      </w:r>
      <w:r w:rsidRPr="004F6AF4">
        <w:rPr>
          <w:rFonts w:ascii="Traditional Arabic" w:hAnsi="Traditional Arabic" w:cs="Traditional Arabic" w:hint="cs"/>
          <w:b/>
          <w:bCs/>
          <w:sz w:val="28"/>
          <w:szCs w:val="28"/>
          <w:rtl/>
        </w:rPr>
        <w:t>.</w:t>
      </w:r>
    </w:p>
    <w:p w14:paraId="1557D1F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2.1.5.4 نموذج قبول التقنية (Technology Acceptance Model - TAM)</w:t>
      </w:r>
    </w:p>
    <w:p w14:paraId="651FBAC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طور ديفيس (Davis) نموذج قبول التقنية لتفسير العوامل التي تؤثر على قرارات الأفراد والمؤسسات بتبني أو رفض التقنيات الجديدة (Sakarneh &amp; Kilani, 2024; Islam &amp; In, 2024)، حيث يحدد النموذج عاملين رئيسيين يؤثران على قبول التقنية (Almadadha, 2025; Karanovic et al., 2024)، وهما الفائدة المدركة (Perceived Usefulness) التي تشير إلى درجة اعتقاد المستخدم بأن استخدام نظام معين سيحسن من أدائه، وسهولة الاستخدام المدركة (Perceived Ease of Use) التي تعبر عن درجة اعتقاد المستخدم بأن استخدام النظام لن يتطلب جهداً كبيراً (Ahammad et al., 2025; Udeh et al., 2025). وفي سياق تقنية الترميز، يمكن تطبيق هذا النموذج لفهم العوامل التي تعيق أو تسهل تبني المؤسسات المالية لهذه التقنية (Financial Stability Board, 2024; McKinsey &amp; Company, 2024)، حيث أن إدراك المؤسسة للفوائد المحتملة من الترميز من حيث تحسين الأمن وخفض التكاليف وزيادة الكفاءة يشكل محركاً رئيسياً للتبني (Al-Qudah et al., 2025; Grossmann et al., 2025; Lavayssière &amp; Zhang, 2025)، بينما قد تشكل التعقيدات التقنية المدركة </w:t>
      </w:r>
      <w:r w:rsidRPr="004F6AF4">
        <w:rPr>
          <w:rFonts w:ascii="Traditional Arabic" w:hAnsi="Traditional Arabic" w:cs="Traditional Arabic"/>
          <w:b/>
          <w:bCs/>
          <w:sz w:val="28"/>
          <w:szCs w:val="28"/>
          <w:rtl/>
        </w:rPr>
        <w:lastRenderedPageBreak/>
        <w:t>والحاجة لمهارات متخصصة والتكاليف الأولية للتطبيق عوائق أمام التبني (Carapella et al., 2023; Sakarneh &amp; Kilani, 2024)، وهذا يبرز أهمية التوعية والتدريب وتوفير حلول سهلة الاستخدام لتسهيل عملية التبني (Saudi Central Bank, 2024; Thunes Research, 2025)، وهو ما تفحصه الدراسة الحالية في السياق السعودي تحديداً (IMF, 2024)</w:t>
      </w:r>
      <w:r w:rsidRPr="004F6AF4">
        <w:rPr>
          <w:rFonts w:ascii="Traditional Arabic" w:hAnsi="Traditional Arabic" w:cs="Traditional Arabic" w:hint="cs"/>
          <w:b/>
          <w:bCs/>
          <w:sz w:val="28"/>
          <w:szCs w:val="28"/>
          <w:rtl/>
        </w:rPr>
        <w:t>.</w:t>
      </w:r>
    </w:p>
    <w:p w14:paraId="0D4DB618"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2.1.5.5 نظرية الانتشار والابتكار (Diffusion of Innovation Theory)</w:t>
      </w:r>
    </w:p>
    <w:p w14:paraId="794F80F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قدم روجرز (Rogers) نظرية انتشار الابتكار التي تشرح كيف تنتشر الأفكار والتقنيات الجديدة عبر المجتمعات والمؤسسات مع مرور الوقت (Islam &amp; In, 2024; Thunes Research, 2025)، حيث حدد خمس فئات من المتبنين بناءً على سرعة تبنيهم للابتكار (Sakarneh &amp; Kilani, 2024; Karanovic et al., 2024)، وهم المبتكرون (Innovators) الذين يتبنون التقنية في مراحلها المبكرة، ثم المتبنون الأوائل (Early Adopters)، ثم الأغلبية المبكرة (Early Majority)، فالأغلبية المتأخرة (Late Majority)، وأخيراً المتأخرون (Laggards) (Almadadha, 2025; Islam &amp; In, 2024). كما حدد خمس خصائص للابتكار تؤثر على سرعة انتشاره (Financial Stability Board, 2024; McKinsey &amp; Company, 2024)، وهي الميزة النسبية (Relative Advantage)، والتوافق (Compatibility)، والتعقيد (Complexity)، وقابلية التجربة (Trialability)، وقابلية الملاحظة (Observability) (Goghie, 2024; Ahammad et al., 2025). وبتطبيق هذه النظرية على تقنية الترميز، يمكن فهم أن المؤسسات المالية الرائدة والشركات الفنتك تمثل المبتكرين والمتبنين الأوائل (Thunes Research, 2025; Islam &amp; In, 2024)، بينما البنوك التقليدية الكبرى قد تكون ضمن الأغلبية المبكرة أو المتأخرة (Sakarneh &amp; Kilani, 2024; Almadadha, 2025)، ويعتمد معدل الانتشار على مدى وضوح الميزة النسبية للترميز (Al-Qudah et al., 2025; Karanovic et al., 2024)، ومدى توافقه مع البنية التحتية القائمة (Ahammad et al., 2025; Saudi Central Bank, 2024)، ومستوى التعقيد المدرك </w:t>
      </w:r>
      <w:r w:rsidRPr="004F6AF4">
        <w:rPr>
          <w:rFonts w:ascii="Traditional Arabic" w:hAnsi="Traditional Arabic" w:cs="Traditional Arabic"/>
          <w:b/>
          <w:bCs/>
          <w:sz w:val="28"/>
          <w:szCs w:val="28"/>
          <w:rtl/>
        </w:rPr>
        <w:lastRenderedPageBreak/>
        <w:t>(Carapella et al., 2023)، وتوفر فرص للتجربة في بيئات محدودة قبل التطبيق الشامل (Saudi Central Bank, 2024; IMF, 2024</w:t>
      </w:r>
      <w:r w:rsidRPr="004F6AF4">
        <w:rPr>
          <w:rFonts w:ascii="Traditional Arabic" w:hAnsi="Traditional Arabic" w:cs="Traditional Arabic" w:hint="cs"/>
          <w:b/>
          <w:bCs/>
          <w:sz w:val="28"/>
          <w:szCs w:val="28"/>
          <w:rtl/>
        </w:rPr>
        <w:t>).</w:t>
      </w:r>
    </w:p>
    <w:p w14:paraId="7A13AA85"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 (Financial Stability Board, 2024; ENISA, 2024; IBM Security, 2024; PCI Security Standards Council, 2024; Saudi Central Bank, 2024)،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 (Goghie, 2024; Al-Qudah et al., 2025; Grossmann et al., 2025; Carapella et al., 2023; Sakarneh &amp; Kilani, 2024; Islam &amp; In, 2024)،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 (Saudi Central Bank, 2024; IMF, 2024; Thunes Research, 2025)</w:t>
      </w:r>
      <w:r w:rsidRPr="004F6AF4">
        <w:rPr>
          <w:rFonts w:ascii="Traditional Arabic" w:hAnsi="Traditional Arabic" w:cs="Traditional Arabic" w:hint="cs"/>
          <w:b/>
          <w:bCs/>
          <w:sz w:val="28"/>
          <w:szCs w:val="28"/>
          <w:rtl/>
        </w:rPr>
        <w:t>.</w:t>
      </w:r>
    </w:p>
    <w:p w14:paraId="5F8196E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2.1.5.6 نظرية التقنية والتنظيم والبيئة (Technology–Organization–Environment)</w:t>
      </w:r>
    </w:p>
    <w:p w14:paraId="09869C4C"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تُعدّ نظرية التقنية والتنظيم والبيئة (TOE) التي طوّرها تورناتزكي وفليشر الإطار النظري الأنسب لتفسير العلاقة بين متغيرات هذه الدراسة، لأنها لا تفسّر قرار تبنّي التقنية وحده، بل تفسّر كذلك تفاوت أثر التقنية على أداء المؤسسات باختلاف سياقها. وتقوم النظرية على ثلاثة سياقات متفاعلة تحدد مجتمعةً مسار التبنّي وعمقه ونتائجه.</w:t>
      </w:r>
    </w:p>
    <w:p w14:paraId="0C26BF91"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التقني: خصائص تقنية الترميز ذاتها من حيث قابلية التكامل مع الأنظمة القائمة، ومستوى النضج، والميزة النسبية مقارنة بالبدائل. ويقابل هذا السياق في الدراسة الحالية بُعد الترميز الأمني للبيانات.</w:t>
      </w:r>
    </w:p>
    <w:p w14:paraId="458FDABE"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التنظيمي: حجم المؤسسة، وعمرها في السوق، وبنيتها التقنية، وجاهزية كوادرها. ويقابل هذا السياق في الدراسة الحالية المتغيرات الضابطة المتعلقة بخصائص المؤسسة ومستوى تبنّيها للتقنية.</w:t>
      </w:r>
    </w:p>
    <w:p w14:paraId="3AC78649"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البيئي: الضغوط التنظيمية والتشريعية الخارجية، ومتطلبات الجهات الرقابية، والمنافسة في السوق. ويقابل هذا السياق في الدراسة الحالية بُعد الامتثال للمعايير الدولية ومتطلبات البنك المركزي السعودي ومعيار PCI DSS.</w:t>
      </w:r>
    </w:p>
    <w:p w14:paraId="13778181"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ويُتوقع وفق هذه النظرية أن يكون أثر تقنية الترميز على الأمن السيبراني وكفاءة العمليات المالية أقوى في المؤسسات التي يجتمع فيها نضج تقني مرتفع مع ضغط تنظيمي خارجي واضح، وأن تظهر فروق دالة بين المؤسسات المعتمِدة للتقنية وغير المعتمِدة، وبين أنواع المؤسسات المالية المختلفة. وهذه التوقعات هي التي تُترجَم إلى فروض الدراسة الرئيسة الثلاثة وفروعها الستة.</w:t>
      </w:r>
    </w:p>
    <w:p w14:paraId="6AAFE350"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2.1.6 تفسير العلاقة بين تقنية الترميز والأمن السيبراني</w:t>
      </w:r>
    </w:p>
    <w:p w14:paraId="78B06FC4"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يعمل الترميز على تقليص سطح الهجوم عبر إزالة البيانات الحساسة من الأنظمة التشغيلية واستبدالها برموز بلا قيمة استغلالية خارج سياقها. وبذلك يفقد المهاجم الحافز الاقتصادي من اختراق تلك الأنظمة، لأن ما يحصل عليه لا يمكن تحويله إلى معاملة مالية. ومن هنا ينخفض احتمال اختراق البيانات المالية، وتنخفض معه خطورة تسريب بيانات البطاقات، إذ يبقى مخزن الرموز وحده هو النقطة الحساسة، وهي نقطة محدودة يسهل تحصينها ومراقبتها مقارنة بتحصين كامل البنية التشغيلية.</w:t>
      </w:r>
    </w:p>
    <w:p w14:paraId="23BCAE23"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وينعكس ذلك على ثلاثة مؤشرات أمنية: انخفاض عدد الحوادث الأمنية ذات الأثر المالي، وارتفاع مستوى الامتثال للمعايير الأمنية بسبب تقلّص نطاق التدقيق، وتحسّن قدرة المؤسسة على احتواء الحوادث لأن أثرها يبقى محصوراً. وهذه المؤشرات هي التي يقيسها بُعد الأمن السيبراني المؤسسي في أداة الدراسة.</w:t>
      </w:r>
    </w:p>
    <w:p w14:paraId="187138D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2.1.7 مقارنة تحليلية بين الترميز والتشفير</w:t>
      </w:r>
    </w:p>
    <w:p w14:paraId="4A9DD4C3"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يُخلَط كثيراً بين الترميز والتشفير رغم اختلافهما الجوهري في آلية العمل والأثر التنظيمي. ويوضح الجدول الآتي أوجه المقارنة بينهما وفق المعايير الأكثر ارتباطاً بموضوع الدراسة.</w:t>
      </w:r>
    </w:p>
    <w:tbl>
      <w:tblPr>
        <w:bidiVisual/>
        <w:tblW w:w="8298" w:type="dxa"/>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10"/>
        <w:gridCol w:w="3344"/>
        <w:gridCol w:w="3344"/>
      </w:tblGrid>
      <w:tr w:rsidR="005D691F" w:rsidRPr="004F6AF4" w14:paraId="229E2B9A" w14:textId="77777777" w:rsidTr="004F6AF4">
        <w:trPr>
          <w:jc w:val="center"/>
        </w:trPr>
        <w:tc>
          <w:tcPr>
            <w:tcW w:w="1610" w:type="dxa"/>
            <w:shd w:val="clear" w:color="auto" w:fill="DCE9F5"/>
            <w:vAlign w:val="center"/>
          </w:tcPr>
          <w:p w14:paraId="23F81C1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وجه المقارنة</w:t>
            </w:r>
          </w:p>
        </w:tc>
        <w:tc>
          <w:tcPr>
            <w:tcW w:w="3344" w:type="dxa"/>
            <w:shd w:val="clear" w:color="auto" w:fill="DCE9F5"/>
            <w:vAlign w:val="center"/>
          </w:tcPr>
          <w:p w14:paraId="0059D99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تقنية الترميز (Tokenization)</w:t>
            </w:r>
          </w:p>
        </w:tc>
        <w:tc>
          <w:tcPr>
            <w:tcW w:w="3344" w:type="dxa"/>
            <w:shd w:val="clear" w:color="auto" w:fill="DCE9F5"/>
            <w:vAlign w:val="center"/>
          </w:tcPr>
          <w:p w14:paraId="11FC999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التشفير (Encryption)</w:t>
            </w:r>
          </w:p>
        </w:tc>
      </w:tr>
      <w:tr w:rsidR="005D691F" w:rsidRPr="004F6AF4" w14:paraId="21AD0B7F" w14:textId="77777777" w:rsidTr="004F6AF4">
        <w:trPr>
          <w:jc w:val="center"/>
        </w:trPr>
        <w:tc>
          <w:tcPr>
            <w:tcW w:w="1610" w:type="dxa"/>
            <w:vAlign w:val="center"/>
          </w:tcPr>
          <w:p w14:paraId="28FB75B0"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آلية العمل</w:t>
            </w:r>
          </w:p>
        </w:tc>
        <w:tc>
          <w:tcPr>
            <w:tcW w:w="3344" w:type="dxa"/>
            <w:vAlign w:val="center"/>
          </w:tcPr>
          <w:p w14:paraId="51DEBC9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استبدال البيانة الحساسة برمز بديل لا تربطه بها علاقة رياضية</w:t>
            </w:r>
          </w:p>
        </w:tc>
        <w:tc>
          <w:tcPr>
            <w:tcW w:w="3344" w:type="dxa"/>
            <w:vAlign w:val="center"/>
          </w:tcPr>
          <w:p w14:paraId="68F532D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تحويل البيانة بخوارزمية ومفتاح إلى صيغة غير مقروءة</w:t>
            </w:r>
          </w:p>
        </w:tc>
      </w:tr>
      <w:tr w:rsidR="005D691F" w:rsidRPr="004F6AF4" w14:paraId="49A9F963" w14:textId="77777777" w:rsidTr="004F6AF4">
        <w:trPr>
          <w:jc w:val="center"/>
        </w:trPr>
        <w:tc>
          <w:tcPr>
            <w:tcW w:w="1610" w:type="dxa"/>
            <w:vAlign w:val="center"/>
          </w:tcPr>
          <w:p w14:paraId="069EDE5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قابلية الاسترجاع</w:t>
            </w:r>
          </w:p>
        </w:tc>
        <w:tc>
          <w:tcPr>
            <w:tcW w:w="3344" w:type="dxa"/>
            <w:vAlign w:val="center"/>
          </w:tcPr>
          <w:p w14:paraId="17C50D05"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لا يمكن استرجاع البيانة إلا بالرجوع إلى مخزن الرموز</w:t>
            </w:r>
          </w:p>
        </w:tc>
        <w:tc>
          <w:tcPr>
            <w:tcW w:w="3344" w:type="dxa"/>
            <w:vAlign w:val="center"/>
          </w:tcPr>
          <w:p w14:paraId="7D9148F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يمكن استرجاع البيانة بحيازة المفتاح</w:t>
            </w:r>
          </w:p>
        </w:tc>
      </w:tr>
      <w:tr w:rsidR="005D691F" w:rsidRPr="004F6AF4" w14:paraId="338D73CF" w14:textId="77777777" w:rsidTr="004F6AF4">
        <w:trPr>
          <w:jc w:val="center"/>
        </w:trPr>
        <w:tc>
          <w:tcPr>
            <w:tcW w:w="1610" w:type="dxa"/>
            <w:vAlign w:val="center"/>
          </w:tcPr>
          <w:p w14:paraId="18D11EF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نقطة الضعف الرئيسة</w:t>
            </w:r>
          </w:p>
        </w:tc>
        <w:tc>
          <w:tcPr>
            <w:tcW w:w="3344" w:type="dxa"/>
            <w:vAlign w:val="center"/>
          </w:tcPr>
          <w:p w14:paraId="299D8E9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مخزن الرموز</w:t>
            </w:r>
          </w:p>
        </w:tc>
        <w:tc>
          <w:tcPr>
            <w:tcW w:w="3344" w:type="dxa"/>
            <w:vAlign w:val="center"/>
          </w:tcPr>
          <w:p w14:paraId="1C74452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إدارة المفاتيح وتوزيعها</w:t>
            </w:r>
          </w:p>
        </w:tc>
      </w:tr>
      <w:tr w:rsidR="005D691F" w:rsidRPr="004F6AF4" w14:paraId="73AD144D" w14:textId="77777777" w:rsidTr="004F6AF4">
        <w:trPr>
          <w:jc w:val="center"/>
        </w:trPr>
        <w:tc>
          <w:tcPr>
            <w:tcW w:w="1610" w:type="dxa"/>
            <w:vAlign w:val="center"/>
          </w:tcPr>
          <w:p w14:paraId="54A09E1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الأثر على نطاق الامتثال</w:t>
            </w:r>
          </w:p>
        </w:tc>
        <w:tc>
          <w:tcPr>
            <w:tcW w:w="3344" w:type="dxa"/>
            <w:vAlign w:val="center"/>
          </w:tcPr>
          <w:p w14:paraId="30DDED04"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يقلّص نطاق أنظمة معيار PCI DSS بصورة كبيرة</w:t>
            </w:r>
          </w:p>
        </w:tc>
        <w:tc>
          <w:tcPr>
            <w:tcW w:w="3344" w:type="dxa"/>
            <w:vAlign w:val="center"/>
          </w:tcPr>
          <w:p w14:paraId="4CDA745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لا يُخرج الأنظمة من النطاق في الغالب</w:t>
            </w:r>
          </w:p>
        </w:tc>
      </w:tr>
      <w:tr w:rsidR="005D691F" w:rsidRPr="004F6AF4" w14:paraId="5723B244" w14:textId="77777777" w:rsidTr="004F6AF4">
        <w:trPr>
          <w:jc w:val="center"/>
        </w:trPr>
        <w:tc>
          <w:tcPr>
            <w:tcW w:w="1610" w:type="dxa"/>
            <w:vAlign w:val="center"/>
          </w:tcPr>
          <w:p w14:paraId="51F0B5B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الأثر على الأداء التشغيلي</w:t>
            </w:r>
          </w:p>
        </w:tc>
        <w:tc>
          <w:tcPr>
            <w:tcW w:w="3344" w:type="dxa"/>
            <w:vAlign w:val="center"/>
          </w:tcPr>
          <w:p w14:paraId="1A79504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منخفض الكلفة الحسابية عند المعالجة</w:t>
            </w:r>
          </w:p>
        </w:tc>
        <w:tc>
          <w:tcPr>
            <w:tcW w:w="3344" w:type="dxa"/>
            <w:vAlign w:val="center"/>
          </w:tcPr>
          <w:p w14:paraId="3B08AEB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يضيف عبئاً حسابياً عند كل عملية فك وتشفير</w:t>
            </w:r>
          </w:p>
        </w:tc>
      </w:tr>
      <w:tr w:rsidR="005D691F" w:rsidRPr="004F6AF4" w14:paraId="12EF8553" w14:textId="77777777" w:rsidTr="004F6AF4">
        <w:trPr>
          <w:jc w:val="center"/>
        </w:trPr>
        <w:tc>
          <w:tcPr>
            <w:tcW w:w="1610" w:type="dxa"/>
            <w:vAlign w:val="center"/>
          </w:tcPr>
          <w:p w14:paraId="0F7ACA5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الملاءمة لبيانات الدفع</w:t>
            </w:r>
          </w:p>
        </w:tc>
        <w:tc>
          <w:tcPr>
            <w:tcW w:w="3344" w:type="dxa"/>
            <w:vAlign w:val="center"/>
          </w:tcPr>
          <w:p w14:paraId="74B1848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عالية، ولا سيما في المعاملات المتكررة</w:t>
            </w:r>
          </w:p>
        </w:tc>
        <w:tc>
          <w:tcPr>
            <w:tcW w:w="3344" w:type="dxa"/>
            <w:vAlign w:val="center"/>
          </w:tcPr>
          <w:p w14:paraId="59364B3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متوسطة، وتُستخدم غالباً في مرحلة النقل</w:t>
            </w:r>
          </w:p>
        </w:tc>
      </w:tr>
    </w:tbl>
    <w:p w14:paraId="09DA718F"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(2.1): مقارنة تحليلية بين تقنية الترميز والتشفير</w:t>
      </w:r>
    </w:p>
    <w:p w14:paraId="1C433B77"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24" w:name="_Toc224563959"/>
      <w:bookmarkStart w:id="25" w:name="_Toc234424151"/>
    </w:p>
    <w:p w14:paraId="5A4D06C4"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5809726E"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7D77CF02" w14:textId="77777777" w:rsidR="00F00638" w:rsidRPr="00FB5EDA" w:rsidRDefault="00F00638" w:rsidP="004F6AF4">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2.2 الدراسات السابقة</w:t>
      </w:r>
      <w:bookmarkEnd w:id="24"/>
      <w:bookmarkEnd w:id="25"/>
    </w:p>
    <w:p w14:paraId="784D72E3" w14:textId="77777777" w:rsidR="00F00638" w:rsidRPr="004F6AF4" w:rsidRDefault="00F00638" w:rsidP="00E000FF">
      <w:pPr>
        <w:bidi/>
        <w:spacing w:after="0" w:line="360" w:lineRule="auto"/>
        <w:jc w:val="both"/>
        <w:rPr>
          <w:rFonts w:ascii="Simplified Arabic" w:hAnsi="Simplified Arabic" w:cs="Simplified Arabic"/>
          <w:sz w:val="32"/>
          <w:szCs w:val="32"/>
        </w:rPr>
      </w:pPr>
      <w:r w:rsidRPr="004F6AF4">
        <w:rPr>
          <w:rFonts w:ascii="Traditional Arabic" w:hAnsi="Traditional Arabic" w:cs="Traditional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Goghie, 2024; Ahammad et al., 2025; Al-Qudah et al., 2025</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Carapella et al., 2023; Grossmann et al., 2025; Karanovic et al., 2024)</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sidRPr="004F6AF4">
        <w:rPr>
          <w:rFonts w:ascii="Traditional Arabic" w:hAnsi="Traditional Arabic" w:cs="Traditional Arabic" w:hint="cs"/>
          <w:sz w:val="28"/>
          <w:szCs w:val="28"/>
          <w:rtl/>
        </w:rPr>
        <w:t>ل (</w:t>
      </w:r>
      <w:r w:rsidRPr="004F6AF4">
        <w:rPr>
          <w:rFonts w:ascii="Traditional Arabic" w:hAnsi="Traditional Arabic" w:cs="Traditional Arabic"/>
          <w:sz w:val="28"/>
          <w:szCs w:val="28"/>
          <w:rtl/>
        </w:rPr>
        <w:t>Islam &amp; In, 2024; Sakarneh &amp; Kilani, 2024</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مما يضمن الاستفادة من أحدث المعارف المتاحة في هذا المجال سريع التطور</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(Financial Stability Board, 2024; McKinsey &amp; Company, 2024)</w:t>
      </w:r>
      <w:r w:rsidRPr="004F6AF4">
        <w:rPr>
          <w:rFonts w:ascii="Traditional Arabic" w:hAnsi="Traditional Arabic" w:cs="Traditional Arabic" w:hint="cs"/>
          <w:sz w:val="28"/>
          <w:szCs w:val="28"/>
          <w:rtl/>
        </w:rPr>
        <w:t>.</w:t>
      </w:r>
    </w:p>
    <w:p w14:paraId="4E3D75B6"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2.2.1 الدراسات المرتبطة بالأمن السيبراني وتقنية الترميز</w:t>
      </w:r>
    </w:p>
    <w:p w14:paraId="26D99BB7"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تناولت عدة دراسات حديثة العلاقة بين تقنية الترميز والأمن السيبراني في القطاع المالي من زوايا متعددة، حيث أجرى Goghie (2024) دراسة حول كيفية إعادة تعريف تقنية الترميز والبلوكشين للسلطة والنفوذ في النظام المصرفي التقليدي، وذلك من خلال تحليل البنية التحتية لحالتين رئيسيتين هما SocGen-Forge من مجموعة Société Générale وشبكة الضمانات المرمزة من J.P. Morgan،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p>
    <w:p w14:paraId="053771BC"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كما قدم Ahammad et al. (2025) إطار عمل بلوكشين مبتكر يعتمد على منصة Ethereum لتعزيز الأمن والكفاءة في القطاع المصرفي، وذلك من خلال بناء نظام تجريبي باستخدام العقود الذكية على شبكة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Sepolia Testnet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وتطويره بتقنيات Solidity وEther.js وReact.js، بحيث أظهرت النتائج أن </w:t>
      </w:r>
      <w:r w:rsidRPr="004F6AF4">
        <w:rPr>
          <w:rFonts w:ascii="Traditional Arabic" w:hAnsi="Traditional Arabic" w:cs="Traditional Arabic"/>
          <w:b/>
          <w:bCs/>
          <w:sz w:val="28"/>
          <w:szCs w:val="28"/>
          <w:rtl/>
        </w:rPr>
        <w:lastRenderedPageBreak/>
        <w:t>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p>
    <w:p w14:paraId="3B12D9E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وفي نفس السياق، استهدف Grossmann et al. (2025) تصميم أسواق سندات مستقبلية تعتمد على الترميز لخفض تكاليف المعاملات، وذلك باستخدام منهجية Design Science Research 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البلوكشين.</w:t>
      </w:r>
    </w:p>
    <w:p w14:paraId="5D3DDA31"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بينما فحص Carapella et al. (2023) 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p>
    <w:p w14:paraId="28E865E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 (Goghie, 2024; Ahammad et al., 2025; Grossmann et al., 2025; Carapella et al., 2023). إلا أن هناك فجوة واضحة في هذه الدراسات تتمثل في غياب التطبيق على السياق السعودي تحديداً، حيث أن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p>
    <w:p w14:paraId="7699985E" w14:textId="77777777" w:rsidR="00F00638" w:rsidRDefault="00F00638" w:rsidP="00E000FF">
      <w:pPr>
        <w:bidi/>
        <w:spacing w:after="0" w:line="360" w:lineRule="auto"/>
        <w:jc w:val="both"/>
        <w:rPr>
          <w:rFonts w:ascii="Simplified Arabic" w:hAnsi="Simplified Arabic" w:cs="Simplified Arabic"/>
          <w:sz w:val="28"/>
          <w:szCs w:val="28"/>
          <w:rtl/>
        </w:rPr>
      </w:pPr>
    </w:p>
    <w:p w14:paraId="7D77455B" w14:textId="77777777" w:rsidR="00F00638" w:rsidRPr="00FB5EDA" w:rsidRDefault="00F00638" w:rsidP="00E000FF">
      <w:pPr>
        <w:bidi/>
        <w:spacing w:after="0" w:line="360" w:lineRule="auto"/>
        <w:jc w:val="both"/>
        <w:rPr>
          <w:rFonts w:ascii="Simplified Arabic" w:hAnsi="Simplified Arabic" w:cs="Simplified Arabic"/>
          <w:sz w:val="28"/>
          <w:szCs w:val="28"/>
        </w:rPr>
      </w:pPr>
    </w:p>
    <w:p w14:paraId="63ACB3F6"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2.2.2 الدراسات المرتبطة بكفاءة العمليات المالية وتقنية الترميز</w:t>
      </w:r>
    </w:p>
    <w:p w14:paraId="7380C09A"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ركزت مجموعة أخرى من الدراسات على قياس تأثير تقنية البلوكشين والترميز على كفاءة المعاملات المالية بشكل كمي وتطبيقي، حيث هدف Al-Qudah et al. (2025) إلى قياس تأثير تقنية البلوكشين على تكاليف المعاملات المصرفية بشكل كمي من خلال تحليل بيانات 17 بنكاً في الإمارات على مدى 7 سنوات باستخدام تقنية Random Forest، بحيث أظهرت النتائج علاقة سلبية قوية بمعامل ارتباط -0.73 بين تبني البلوكشين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البلوكشين.</w:t>
      </w:r>
    </w:p>
    <w:p w14:paraId="2D69C4CA"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كما فحص Almadadha (2025) العلاقة بين تبني تقنية البلوكشين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البلوكشين وتحسن الأداء المالي مع مكاسب واضحة في الكفاءة وإدارة التكاليف والربحية، ومثال بارز هو مشروع Lygon الذي خفض وقت معالجة الضمانات المصرفية من 30 يوماً إلى أقل من يوم واحد.</w:t>
      </w:r>
    </w:p>
    <w:p w14:paraId="4DAF41FD"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وفي سياق مماثل، استهدف Lavayssière &amp; Zhang (2025) 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المرمزة تسهل إعادة الرهن التلقائية للضمانات مما يحسن كفاءة استخدام رأس المال.</w:t>
      </w:r>
    </w:p>
    <w:p w14:paraId="5783611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بينما بحث Udeh et al. (2025) في تأثير البلوكشين والعقود الذكية على ديناميكيات الثقة في القطاع المالي باستخدام منهجية مختلطة تجمع بين دراسات الحالة مثل منصة Quorum من J.P. Morgan والتحليل الكيفي، بحيث أظهرت النتائج أن البلوكشين يقلل بشكل كبير من تكاليف المعاملات من خلال إلغاء الحاجة </w:t>
      </w:r>
      <w:r w:rsidRPr="004F6AF4">
        <w:rPr>
          <w:rFonts w:ascii="Traditional Arabic" w:hAnsi="Traditional Arabic" w:cs="Traditional Arabic"/>
          <w:b/>
          <w:bCs/>
          <w:sz w:val="28"/>
          <w:szCs w:val="28"/>
          <w:rtl/>
        </w:rPr>
        <w:lastRenderedPageBreak/>
        <w:t>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p>
    <w:p w14:paraId="6631D6C6"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تتفق دراسات المجموعة الثانية على أن تقنية الترميز والبلوكشين تحقق تحسينات جوهرية في كفاءة العمليات المالية من خلال خفض التكاليف وتسريع المعاملات وتحسين الأداء المالي الإجمالي (Al-Qudah et al., 2025; Almadadha, 2025; Lavayssière &amp; Zhang, 2025; Udeh et al., 2025). 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p>
    <w:p w14:paraId="21095514" w14:textId="77777777" w:rsidR="00F00638" w:rsidRPr="00FB5EDA" w:rsidRDefault="00F00638" w:rsidP="00E000FF">
      <w:pPr>
        <w:bidi/>
        <w:spacing w:after="0" w:line="360" w:lineRule="auto"/>
        <w:jc w:val="both"/>
        <w:rPr>
          <w:rFonts w:ascii="Simplified Arabic" w:hAnsi="Simplified Arabic" w:cs="Simplified Arabic"/>
          <w:sz w:val="28"/>
          <w:szCs w:val="28"/>
          <w:rtl/>
        </w:rPr>
      </w:pPr>
    </w:p>
    <w:p w14:paraId="7E11B05C" w14:textId="77777777" w:rsidR="00F00638" w:rsidRPr="00FB5EDA" w:rsidRDefault="00F00638" w:rsidP="00E000FF">
      <w:pPr>
        <w:pStyle w:val="HeadingTOCEntry"/>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2.2.3 الدراسات المرتبطة برؤية 2030 والتحول الرقمي في القطاع المالي</w:t>
      </w:r>
    </w:p>
    <w:p w14:paraId="07A7C04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تناولت بعض الدراسات الحديثة التحول الرقمي في القطاع المالي في السياق الإقليمي القريب من المملكة العربية السعودية، حيث هدف Sakarneh &amp; Kilani (2024) إلى فحص دور تقنية البلوكشين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البلوكشين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p>
    <w:p w14:paraId="4988D54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كما استهدف Islam &amp; In (2024) إجراء تحليل محتوى شامل لتطبيقات تقنية البلوكشين في القطاع المصرفي مع التركيز على العملات الرقمية للبنوك المركزية من خلال منهجية IntelliSLR التي تجمع بين نمذجة المواضيع الذكية وتحليل المحتوى التقليدي وفق إرشادات PRISMA، بحيث أظهرت النتائج أن البلوكشين يسهل الانتقال </w:t>
      </w:r>
      <w:r w:rsidRPr="004F6AF4">
        <w:rPr>
          <w:rFonts w:ascii="Traditional Arabic" w:hAnsi="Traditional Arabic" w:cs="Traditional Arabic"/>
          <w:b/>
          <w:bCs/>
          <w:sz w:val="28"/>
          <w:szCs w:val="28"/>
          <w:rtl/>
        </w:rPr>
        <w:lastRenderedPageBreak/>
        <w:t>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البلوكشين مع تحديات تتعلق بالقابلية للتوسع والخصوصية والحوكمة.</w:t>
      </w:r>
    </w:p>
    <w:p w14:paraId="216B3BC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تشير دراسات المجموعة الثالثة إلى أهمية السياق الإقليمي والتنظيمي في نجاح تبني تقنيات الترميز والبلوكشين (Sakarneh &amp; Kilani, 2024; Islam &amp; In, 2024)، حيث أن العوامل الثقافية والتنظيمية والمؤسسية تلعب دوراً محورياً في تحديد معدل ونجاح التبني. وبينما قدمت دراسة Sakarneh &amp; Kilani (2024) 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p>
    <w:p w14:paraId="29E0BDC6"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2DDD1A2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2.2.4 الدراسات المرتبطة بتطبيقات الترميز في المؤسسات المالية</w:t>
      </w:r>
    </w:p>
    <w:p w14:paraId="164190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ركزت مجموعة من الدراسات على التطبيقات الفعلية لتقنية الترميز في قطاعات وأصول متنوعة، حيث قدمت دراسة جماعية من باحثين متعددين (Multiple Authors, 2025) 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المرمزة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p>
    <w:p w14:paraId="6C5CF69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كما فحص Adigwe et al. (2024) ترميز الأصول الزراعية وتعزيز أمن البلوكشين ضد الاحتيال والمخاطر السيبرانية من خلال منهجية تجريبية تعتمد على تحليل بيانات من World Bank Global Findex وسجلات معاملات Ethereum وإحصاءات FAO، بحيث أظهرت النتائج أن الترميز يقلل وقت صرف </w:t>
      </w:r>
      <w:r w:rsidRPr="004F6AF4">
        <w:rPr>
          <w:rFonts w:ascii="Traditional Arabic" w:hAnsi="Traditional Arabic" w:cs="Traditional Arabic"/>
          <w:b/>
          <w:bCs/>
          <w:sz w:val="28"/>
          <w:szCs w:val="28"/>
          <w:rtl/>
        </w:rPr>
        <w:lastRenderedPageBreak/>
        <w:t>القروض بنسبة 31.3% ويخفض تكاليف المعاملات بنسبة 37.3% ويزيد الشفافية المالية بنسبة 40% مع انخفاض حالات الاحتيال بنسبة 15% في المعاملات المدعومة بالبلوكشين، وأوصت الدراسة بتعزيز أمن العقود الذكية والتحقق اللامركزي من الهوية والرقابة التنظيمية.</w:t>
      </w:r>
    </w:p>
    <w:p w14:paraId="456DE5B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بينما استهدف Karanovic et al. (2024) قياس تأثير البلوكشين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البلوكشين في البنوك التقليدية بلغ 47.3% بينما في شركات الفنتك بلغ 68.9%، وأظهر تحليل الانحدار أن 84.7% من التباين في الأداء المالي يمكن تفسيره بعوامل تبني البلوكشين.</w:t>
      </w:r>
    </w:p>
    <w:p w14:paraId="24116622" w14:textId="77777777" w:rsidR="00F00638" w:rsidRPr="00FB5EDA"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b/>
          <w:bCs/>
          <w:sz w:val="28"/>
          <w:szCs w:val="28"/>
          <w:rtl/>
        </w:rPr>
        <w:t>تكشف دراسات المجموعة الرابعة عن التنوع الكبير في تطبيقات تقنية الترميز عبر قطاعات وأصول وجغرافيات مختلفة (Multiple Authors, 2025; Adigwe et al., 2024; Karanovic et al., 2024)، حيث أن التقنية أثبتت قدرتها على تحسين الكفاءة والأمن في سياقات متنوعة تتراوح من الأصول الزراعية إلى الأوراق المالية التقليدية. وتبرز دراسة Karanovic et al. (2024) 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الفنتك) في السياق السعودي تحديداً، وهو ما تسعى الدراسة الحالية لمعالجته.</w:t>
      </w:r>
    </w:p>
    <w:p w14:paraId="4A87EDFC"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26" w:name="_Toc224563960"/>
      <w:bookmarkStart w:id="27" w:name="_Toc234424152"/>
    </w:p>
    <w:p w14:paraId="5BC1A8E6" w14:textId="77777777" w:rsidR="00F00638" w:rsidRPr="00FB5EDA" w:rsidRDefault="00F00638" w:rsidP="004F6AF4">
      <w:pPr>
        <w:pStyle w:val="HeadingTOCEntry"/>
        <w:bidi/>
        <w:spacing w:after="0" w:line="360" w:lineRule="auto"/>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t>2.3 جدول شامل للدراسات السابقة</w:t>
      </w:r>
      <w:bookmarkEnd w:id="26"/>
      <w:bookmarkEnd w:id="27"/>
    </w:p>
    <w:p w14:paraId="2F795CEB" w14:textId="77777777" w:rsidR="005D691F" w:rsidRDefault="005D691F" w:rsidP="00E000FF">
      <w:pPr>
        <w:bidi/>
        <w:spacing w:after="0"/>
        <w:sectPr w:rsidR="005D691F" w:rsidSect="006E2853">
          <w:pgSz w:w="11906" w:h="16838"/>
          <w:pgMar w:top="1440" w:right="1800" w:bottom="1440" w:left="1800" w:header="708" w:footer="144" w:gutter="0"/>
          <w:cols w:space="708"/>
          <w:titlePg/>
          <w:bidi/>
          <w:rtlGutter/>
          <w:docGrid w:linePitch="360"/>
        </w:sectPr>
      </w:pPr>
    </w:p>
    <w:p w14:paraId="5DEE6349" w14:textId="77777777" w:rsidR="00F00638" w:rsidRPr="00FB5EDA" w:rsidRDefault="00F00638" w:rsidP="00E000FF">
      <w:pPr>
        <w:pStyle w:val="TableCaption"/>
        <w:bidi/>
        <w:spacing w:after="0" w:line="300" w:lineRule="auto"/>
        <w:jc w:val="both"/>
        <w:rPr>
          <w:rFonts w:ascii="Simplified Arabic" w:hAnsi="Simplified Arabic" w:cs="Simplified Arabic"/>
          <w:sz w:val="28"/>
          <w:szCs w:val="28"/>
        </w:rPr>
      </w:pPr>
      <w:r>
        <w:rPr>
          <w:rFonts w:ascii="Traditional Arabic" w:hAnsi="Traditional Arabic" w:cs="Traditional Arabic"/>
          <w:b/>
          <w:bCs/>
          <w:sz w:val="24"/>
          <w:szCs w:val="24"/>
          <w:rtl/>
        </w:rPr>
        <w:lastRenderedPageBreak/>
        <w:t>جدول (2.2): تحليل مقارن للدراسات السابقة حول تقنية الترميز وأثرها على الأمن السيبراني وكفاءة العمليات المالية</w:t>
      </w:r>
    </w:p>
    <w:tbl>
      <w:tblPr>
        <w:bidiVisual/>
        <w:tblW w:w="147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00"/>
        <w:gridCol w:w="1700"/>
        <w:gridCol w:w="1900"/>
        <w:gridCol w:w="1500"/>
        <w:gridCol w:w="2000"/>
        <w:gridCol w:w="2100"/>
        <w:gridCol w:w="1900"/>
        <w:gridCol w:w="2000"/>
      </w:tblGrid>
      <w:tr w:rsidR="005D691F" w14:paraId="6CEF9570" w14:textId="77777777" w:rsidTr="004F6AF4">
        <w:trPr>
          <w:tblHeader/>
        </w:trPr>
        <w:tc>
          <w:tcPr>
            <w:tcW w:w="1600" w:type="dxa"/>
            <w:shd w:val="clear" w:color="auto" w:fill="DCE9F5"/>
            <w:vAlign w:val="center"/>
          </w:tcPr>
          <w:p w14:paraId="1D63BF0A" w14:textId="77777777" w:rsidR="005D691F" w:rsidRDefault="00F4227D" w:rsidP="004F6AF4">
            <w:pPr>
              <w:bidi/>
              <w:spacing w:after="0" w:line="260" w:lineRule="auto"/>
              <w:jc w:val="center"/>
            </w:pPr>
            <w:r>
              <w:rPr>
                <w:rFonts w:ascii="Traditional Arabic" w:hAnsi="Traditional Arabic" w:cs="Traditional Arabic"/>
                <w:b/>
                <w:bCs/>
                <w:rtl/>
              </w:rPr>
              <w:t>الباحث والسنة</w:t>
            </w:r>
          </w:p>
        </w:tc>
        <w:tc>
          <w:tcPr>
            <w:tcW w:w="1700" w:type="dxa"/>
            <w:shd w:val="clear" w:color="auto" w:fill="DCE9F5"/>
            <w:vAlign w:val="center"/>
          </w:tcPr>
          <w:p w14:paraId="16A49C1B" w14:textId="77777777" w:rsidR="005D691F" w:rsidRDefault="00F4227D" w:rsidP="004F6AF4">
            <w:pPr>
              <w:bidi/>
              <w:spacing w:after="0" w:line="260" w:lineRule="auto"/>
              <w:jc w:val="center"/>
            </w:pPr>
            <w:r>
              <w:rPr>
                <w:rFonts w:ascii="Traditional Arabic" w:hAnsi="Traditional Arabic" w:cs="Traditional Arabic"/>
                <w:b/>
                <w:bCs/>
                <w:rtl/>
              </w:rPr>
              <w:t>الدولة أو البيئة التطبيقية</w:t>
            </w:r>
          </w:p>
        </w:tc>
        <w:tc>
          <w:tcPr>
            <w:tcW w:w="1900" w:type="dxa"/>
            <w:shd w:val="clear" w:color="auto" w:fill="DCE9F5"/>
            <w:vAlign w:val="center"/>
          </w:tcPr>
          <w:p w14:paraId="4405777F" w14:textId="77777777" w:rsidR="005D691F" w:rsidRDefault="00F4227D" w:rsidP="004F6AF4">
            <w:pPr>
              <w:bidi/>
              <w:spacing w:after="0" w:line="260" w:lineRule="auto"/>
              <w:jc w:val="center"/>
            </w:pPr>
            <w:r>
              <w:rPr>
                <w:rFonts w:ascii="Traditional Arabic" w:hAnsi="Traditional Arabic" w:cs="Traditional Arabic"/>
                <w:b/>
                <w:bCs/>
                <w:rtl/>
              </w:rPr>
              <w:t>الهدف</w:t>
            </w:r>
          </w:p>
        </w:tc>
        <w:tc>
          <w:tcPr>
            <w:tcW w:w="1500" w:type="dxa"/>
            <w:shd w:val="clear" w:color="auto" w:fill="DCE9F5"/>
            <w:vAlign w:val="center"/>
          </w:tcPr>
          <w:p w14:paraId="20C62C1D" w14:textId="77777777" w:rsidR="005D691F" w:rsidRDefault="00F4227D" w:rsidP="004F6AF4">
            <w:pPr>
              <w:bidi/>
              <w:spacing w:after="0" w:line="260" w:lineRule="auto"/>
              <w:jc w:val="center"/>
            </w:pPr>
            <w:r>
              <w:rPr>
                <w:rFonts w:ascii="Traditional Arabic" w:hAnsi="Traditional Arabic" w:cs="Traditional Arabic"/>
                <w:b/>
                <w:bCs/>
                <w:rtl/>
              </w:rPr>
              <w:t>المنهج</w:t>
            </w:r>
          </w:p>
        </w:tc>
        <w:tc>
          <w:tcPr>
            <w:tcW w:w="2000" w:type="dxa"/>
            <w:shd w:val="clear" w:color="auto" w:fill="DCE9F5"/>
            <w:vAlign w:val="center"/>
          </w:tcPr>
          <w:p w14:paraId="6D971A5E" w14:textId="77777777" w:rsidR="005D691F" w:rsidRDefault="00F4227D" w:rsidP="004F6AF4">
            <w:pPr>
              <w:bidi/>
              <w:spacing w:after="0" w:line="260" w:lineRule="auto"/>
              <w:jc w:val="center"/>
            </w:pPr>
            <w:r>
              <w:rPr>
                <w:rFonts w:ascii="Traditional Arabic" w:hAnsi="Traditional Arabic" w:cs="Traditional Arabic"/>
                <w:b/>
                <w:bCs/>
                <w:rtl/>
              </w:rPr>
              <w:t>متغيرات الدراسة</w:t>
            </w:r>
          </w:p>
        </w:tc>
        <w:tc>
          <w:tcPr>
            <w:tcW w:w="2100" w:type="dxa"/>
            <w:shd w:val="clear" w:color="auto" w:fill="DCE9F5"/>
            <w:vAlign w:val="center"/>
          </w:tcPr>
          <w:p w14:paraId="58DB6D13" w14:textId="77777777" w:rsidR="005D691F" w:rsidRDefault="00F4227D" w:rsidP="004F6AF4">
            <w:pPr>
              <w:bidi/>
              <w:spacing w:after="0" w:line="260" w:lineRule="auto"/>
              <w:jc w:val="center"/>
            </w:pPr>
            <w:r>
              <w:rPr>
                <w:rFonts w:ascii="Traditional Arabic" w:hAnsi="Traditional Arabic" w:cs="Traditional Arabic"/>
                <w:b/>
                <w:bCs/>
                <w:rtl/>
              </w:rPr>
              <w:t>أهم النتائج</w:t>
            </w:r>
          </w:p>
        </w:tc>
        <w:tc>
          <w:tcPr>
            <w:tcW w:w="1900" w:type="dxa"/>
            <w:shd w:val="clear" w:color="auto" w:fill="DCE9F5"/>
            <w:vAlign w:val="center"/>
          </w:tcPr>
          <w:p w14:paraId="74F46584" w14:textId="77777777" w:rsidR="005D691F" w:rsidRDefault="00F4227D" w:rsidP="004F6AF4">
            <w:pPr>
              <w:bidi/>
              <w:spacing w:after="0" w:line="260" w:lineRule="auto"/>
              <w:jc w:val="center"/>
            </w:pPr>
            <w:r>
              <w:rPr>
                <w:rFonts w:ascii="Traditional Arabic" w:hAnsi="Traditional Arabic" w:cs="Traditional Arabic"/>
                <w:b/>
                <w:bCs/>
                <w:rtl/>
              </w:rPr>
              <w:t>أوجه القصور والفجوة</w:t>
            </w:r>
          </w:p>
        </w:tc>
        <w:tc>
          <w:tcPr>
            <w:tcW w:w="2000" w:type="dxa"/>
            <w:shd w:val="clear" w:color="auto" w:fill="DCE9F5"/>
            <w:vAlign w:val="center"/>
          </w:tcPr>
          <w:p w14:paraId="5EE75D35" w14:textId="77777777" w:rsidR="005D691F" w:rsidRDefault="00F4227D" w:rsidP="004F6AF4">
            <w:pPr>
              <w:bidi/>
              <w:spacing w:after="0" w:line="260" w:lineRule="auto"/>
              <w:jc w:val="center"/>
            </w:pPr>
            <w:r>
              <w:rPr>
                <w:rFonts w:ascii="Traditional Arabic" w:hAnsi="Traditional Arabic" w:cs="Traditional Arabic"/>
                <w:b/>
                <w:bCs/>
                <w:rtl/>
              </w:rPr>
              <w:t>أوجه الإفادة للدراسة الحالية</w:t>
            </w:r>
          </w:p>
        </w:tc>
      </w:tr>
      <w:tr w:rsidR="005D691F" w14:paraId="59CAAED7" w14:textId="77777777" w:rsidTr="004F6AF4">
        <w:tc>
          <w:tcPr>
            <w:tcW w:w="1600" w:type="dxa"/>
            <w:vAlign w:val="center"/>
          </w:tcPr>
          <w:p w14:paraId="3E44EC10" w14:textId="77777777" w:rsidR="005D691F" w:rsidRDefault="00F4227D" w:rsidP="004F6AF4">
            <w:pPr>
              <w:bidi/>
              <w:spacing w:after="0" w:line="260" w:lineRule="auto"/>
              <w:jc w:val="center"/>
            </w:pPr>
            <w:r>
              <w:rPr>
                <w:rFonts w:ascii="Traditional Arabic" w:hAnsi="Traditional Arabic" w:cs="Traditional Arabic"/>
                <w:rtl/>
              </w:rPr>
              <w:t>Goghie (2024)</w:t>
            </w:r>
          </w:p>
        </w:tc>
        <w:tc>
          <w:tcPr>
            <w:tcW w:w="1700" w:type="dxa"/>
            <w:vAlign w:val="center"/>
          </w:tcPr>
          <w:p w14:paraId="7520FDBF" w14:textId="77777777" w:rsidR="005D691F" w:rsidRDefault="00F4227D" w:rsidP="004F6AF4">
            <w:pPr>
              <w:bidi/>
              <w:spacing w:after="0" w:line="260" w:lineRule="auto"/>
              <w:jc w:val="center"/>
            </w:pPr>
            <w:r>
              <w:rPr>
                <w:rFonts w:ascii="Traditional Arabic" w:hAnsi="Traditional Arabic" w:cs="Traditional Arabic"/>
                <w:rtl/>
              </w:rPr>
              <w:t>أوروبا — بنوك كبرى</w:t>
            </w:r>
          </w:p>
        </w:tc>
        <w:tc>
          <w:tcPr>
            <w:tcW w:w="1900" w:type="dxa"/>
            <w:vAlign w:val="center"/>
          </w:tcPr>
          <w:p w14:paraId="0DB383B9" w14:textId="77777777" w:rsidR="005D691F" w:rsidRDefault="00F4227D" w:rsidP="004F6AF4">
            <w:pPr>
              <w:bidi/>
              <w:spacing w:after="0" w:line="260" w:lineRule="auto"/>
              <w:jc w:val="center"/>
            </w:pPr>
            <w:r>
              <w:rPr>
                <w:rFonts w:ascii="Traditional Arabic" w:hAnsi="Traditional Arabic" w:cs="Traditional Arabic"/>
                <w:rtl/>
              </w:rPr>
              <w:t>تحليل موقع البنوك الكبرى في بنية الترميز</w:t>
            </w:r>
          </w:p>
        </w:tc>
        <w:tc>
          <w:tcPr>
            <w:tcW w:w="1500" w:type="dxa"/>
            <w:vAlign w:val="center"/>
          </w:tcPr>
          <w:p w14:paraId="3AD102EF" w14:textId="77777777" w:rsidR="005D691F" w:rsidRDefault="00F4227D" w:rsidP="004F6AF4">
            <w:pPr>
              <w:bidi/>
              <w:spacing w:after="0" w:line="260" w:lineRule="auto"/>
              <w:jc w:val="center"/>
            </w:pPr>
            <w:r>
              <w:rPr>
                <w:rFonts w:ascii="Traditional Arabic" w:hAnsi="Traditional Arabic" w:cs="Traditional Arabic"/>
                <w:rtl/>
              </w:rPr>
              <w:t>تحليل البنية التحتية</w:t>
            </w:r>
          </w:p>
        </w:tc>
        <w:tc>
          <w:tcPr>
            <w:tcW w:w="2000" w:type="dxa"/>
            <w:vAlign w:val="center"/>
          </w:tcPr>
          <w:p w14:paraId="7F6A6389" w14:textId="77777777" w:rsidR="005D691F" w:rsidRDefault="00F4227D" w:rsidP="004F6AF4">
            <w:pPr>
              <w:bidi/>
              <w:spacing w:after="0" w:line="260" w:lineRule="auto"/>
              <w:jc w:val="center"/>
            </w:pPr>
            <w:r>
              <w:rPr>
                <w:rFonts w:ascii="Traditional Arabic" w:hAnsi="Traditional Arabic" w:cs="Traditional Arabic"/>
                <w:rtl/>
              </w:rPr>
              <w:t>المتغير المستقل: بنية الترميز / التابع: معايير الأمن</w:t>
            </w:r>
          </w:p>
        </w:tc>
        <w:tc>
          <w:tcPr>
            <w:tcW w:w="2100" w:type="dxa"/>
            <w:vAlign w:val="center"/>
          </w:tcPr>
          <w:p w14:paraId="2F79815F" w14:textId="77777777" w:rsidR="005D691F" w:rsidRDefault="00F4227D" w:rsidP="004F6AF4">
            <w:pPr>
              <w:bidi/>
              <w:spacing w:after="0" w:line="260" w:lineRule="auto"/>
              <w:jc w:val="center"/>
            </w:pPr>
            <w:r>
              <w:rPr>
                <w:rFonts w:ascii="Traditional Arabic" w:hAnsi="Traditional Arabic" w:cs="Traditional Arabic"/>
                <w:rtl/>
              </w:rPr>
              <w:t>البنوك الكبرى في موقع مركزي وتشكّل معايير الأمن</w:t>
            </w:r>
          </w:p>
        </w:tc>
        <w:tc>
          <w:tcPr>
            <w:tcW w:w="1900" w:type="dxa"/>
            <w:vAlign w:val="center"/>
          </w:tcPr>
          <w:p w14:paraId="6364E410" w14:textId="77777777" w:rsidR="005D691F" w:rsidRDefault="00F4227D" w:rsidP="004F6AF4">
            <w:pPr>
              <w:bidi/>
              <w:spacing w:after="0" w:line="260" w:lineRule="auto"/>
              <w:jc w:val="center"/>
            </w:pPr>
            <w:r>
              <w:rPr>
                <w:rFonts w:ascii="Traditional Arabic" w:hAnsi="Traditional Arabic" w:cs="Traditional Arabic"/>
                <w:rtl/>
              </w:rPr>
              <w:t>غياب التحليل الكمي لتوازن القوى بين البنوك الكبرى ومزوّدي خدمات الترميز، وعدم قياس أثر هذا التوازن على مستوى الامتثال أو على كفاءة العمليات، واقتصار الدراسة على البيئة الأوروبية دون الأسواق الناشئة.</w:t>
            </w:r>
          </w:p>
        </w:tc>
        <w:tc>
          <w:tcPr>
            <w:tcW w:w="2000" w:type="dxa"/>
            <w:vAlign w:val="center"/>
          </w:tcPr>
          <w:p w14:paraId="308E2FC0" w14:textId="77777777" w:rsidR="005D691F" w:rsidRDefault="00F4227D" w:rsidP="004F6AF4">
            <w:pPr>
              <w:bidi/>
              <w:spacing w:after="0" w:line="260" w:lineRule="auto"/>
              <w:jc w:val="center"/>
            </w:pPr>
            <w:r>
              <w:rPr>
                <w:rFonts w:ascii="Traditional Arabic" w:hAnsi="Traditional Arabic" w:cs="Traditional Arabic"/>
                <w:rtl/>
              </w:rPr>
              <w:t>تُفيد الدراسة الحالية في تفسير تفوّق البنوك على غيرها في مستوى تبنّي الترميز والامتثال، وفي تبرير إدراج نوع المؤسسة وحجمها ضمن المتغيرات الضابطة.</w:t>
            </w:r>
          </w:p>
        </w:tc>
      </w:tr>
      <w:tr w:rsidR="005D691F" w14:paraId="0A36AA88" w14:textId="77777777" w:rsidTr="004F6AF4">
        <w:tc>
          <w:tcPr>
            <w:tcW w:w="1600" w:type="dxa"/>
            <w:vAlign w:val="center"/>
          </w:tcPr>
          <w:p w14:paraId="4FA262FE" w14:textId="77777777" w:rsidR="005D691F" w:rsidRDefault="00F4227D" w:rsidP="004F6AF4">
            <w:pPr>
              <w:bidi/>
              <w:spacing w:after="0" w:line="260" w:lineRule="auto"/>
              <w:jc w:val="center"/>
            </w:pPr>
            <w:r>
              <w:rPr>
                <w:rFonts w:ascii="Traditional Arabic" w:hAnsi="Traditional Arabic" w:cs="Traditional Arabic"/>
                <w:rtl/>
              </w:rPr>
              <w:t>Ahammad et al. (2025)</w:t>
            </w:r>
          </w:p>
        </w:tc>
        <w:tc>
          <w:tcPr>
            <w:tcW w:w="1700" w:type="dxa"/>
            <w:vAlign w:val="center"/>
          </w:tcPr>
          <w:p w14:paraId="23BC91E7" w14:textId="77777777" w:rsidR="005D691F" w:rsidRDefault="00F4227D" w:rsidP="004F6AF4">
            <w:pPr>
              <w:bidi/>
              <w:spacing w:after="0" w:line="260" w:lineRule="auto"/>
              <w:jc w:val="center"/>
            </w:pPr>
            <w:r>
              <w:rPr>
                <w:rFonts w:ascii="Traditional Arabic" w:hAnsi="Traditional Arabic" w:cs="Traditional Arabic"/>
                <w:rtl/>
              </w:rPr>
              <w:t>بيئة تقنية — Ethereum</w:t>
            </w:r>
          </w:p>
        </w:tc>
        <w:tc>
          <w:tcPr>
            <w:tcW w:w="1900" w:type="dxa"/>
            <w:vAlign w:val="center"/>
          </w:tcPr>
          <w:p w14:paraId="1436066A" w14:textId="77777777" w:rsidR="005D691F" w:rsidRDefault="00F4227D" w:rsidP="004F6AF4">
            <w:pPr>
              <w:bidi/>
              <w:spacing w:after="0" w:line="260" w:lineRule="auto"/>
              <w:jc w:val="center"/>
            </w:pPr>
            <w:r>
              <w:rPr>
                <w:rFonts w:ascii="Traditional Arabic" w:hAnsi="Traditional Arabic" w:cs="Traditional Arabic"/>
                <w:rtl/>
              </w:rPr>
              <w:t>تطوير نموذج ترميز لإلغاء الوسطاء</w:t>
            </w:r>
          </w:p>
        </w:tc>
        <w:tc>
          <w:tcPr>
            <w:tcW w:w="1500" w:type="dxa"/>
            <w:vAlign w:val="center"/>
          </w:tcPr>
          <w:p w14:paraId="77A0CC86" w14:textId="77777777" w:rsidR="005D691F" w:rsidRDefault="00F4227D" w:rsidP="004F6AF4">
            <w:pPr>
              <w:bidi/>
              <w:spacing w:after="0" w:line="260" w:lineRule="auto"/>
              <w:jc w:val="center"/>
            </w:pPr>
            <w:r>
              <w:rPr>
                <w:rFonts w:ascii="Traditional Arabic" w:hAnsi="Traditional Arabic" w:cs="Traditional Arabic"/>
                <w:rtl/>
              </w:rPr>
              <w:t>تطوير تجريبي</w:t>
            </w:r>
          </w:p>
        </w:tc>
        <w:tc>
          <w:tcPr>
            <w:tcW w:w="2000" w:type="dxa"/>
            <w:vAlign w:val="center"/>
          </w:tcPr>
          <w:p w14:paraId="6ED31D79"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السرعة والأمن</w:t>
            </w:r>
          </w:p>
        </w:tc>
        <w:tc>
          <w:tcPr>
            <w:tcW w:w="2100" w:type="dxa"/>
            <w:vAlign w:val="center"/>
          </w:tcPr>
          <w:p w14:paraId="341EA145" w14:textId="77777777" w:rsidR="005D691F" w:rsidRDefault="00F4227D" w:rsidP="004F6AF4">
            <w:pPr>
              <w:bidi/>
              <w:spacing w:after="0" w:line="260" w:lineRule="auto"/>
              <w:jc w:val="center"/>
            </w:pPr>
            <w:r>
              <w:rPr>
                <w:rFonts w:ascii="Traditional Arabic" w:hAnsi="Traditional Arabic" w:cs="Traditional Arabic"/>
                <w:rtl/>
              </w:rPr>
              <w:t>إلغاء الوسطاء وتحسين السرعة والأمن</w:t>
            </w:r>
          </w:p>
        </w:tc>
        <w:tc>
          <w:tcPr>
            <w:tcW w:w="1900" w:type="dxa"/>
            <w:vAlign w:val="center"/>
          </w:tcPr>
          <w:p w14:paraId="161DA6B7" w14:textId="77777777" w:rsidR="005D691F" w:rsidRDefault="00F4227D" w:rsidP="004F6AF4">
            <w:pPr>
              <w:bidi/>
              <w:spacing w:after="0" w:line="260" w:lineRule="auto"/>
              <w:jc w:val="center"/>
            </w:pPr>
            <w:r>
              <w:rPr>
                <w:rFonts w:ascii="Traditional Arabic" w:hAnsi="Traditional Arabic" w:cs="Traditional Arabic"/>
                <w:rtl/>
              </w:rPr>
              <w:t>الحاجة لأبحاث التكامل بالأسواق الناشئة</w:t>
            </w:r>
          </w:p>
        </w:tc>
        <w:tc>
          <w:tcPr>
            <w:tcW w:w="2000" w:type="dxa"/>
            <w:vAlign w:val="center"/>
          </w:tcPr>
          <w:p w14:paraId="0A917B5F" w14:textId="77777777" w:rsidR="005D691F" w:rsidRDefault="00F4227D" w:rsidP="004F6AF4">
            <w:pPr>
              <w:bidi/>
              <w:spacing w:after="0" w:line="260" w:lineRule="auto"/>
              <w:jc w:val="center"/>
            </w:pPr>
            <w:r>
              <w:rPr>
                <w:rFonts w:ascii="Traditional Arabic" w:hAnsi="Traditional Arabic" w:cs="Traditional Arabic"/>
                <w:rtl/>
              </w:rPr>
              <w:t>دعم الربط بين الترميز وكفاءة العمليات في H2</w:t>
            </w:r>
          </w:p>
        </w:tc>
      </w:tr>
      <w:tr w:rsidR="005D691F" w14:paraId="0E1CEF95" w14:textId="77777777" w:rsidTr="004F6AF4">
        <w:tc>
          <w:tcPr>
            <w:tcW w:w="1600" w:type="dxa"/>
            <w:vAlign w:val="center"/>
          </w:tcPr>
          <w:p w14:paraId="6E38CDAA" w14:textId="77777777" w:rsidR="005D691F" w:rsidRDefault="00F4227D" w:rsidP="004F6AF4">
            <w:pPr>
              <w:bidi/>
              <w:spacing w:after="0" w:line="260" w:lineRule="auto"/>
              <w:jc w:val="center"/>
            </w:pPr>
            <w:r>
              <w:rPr>
                <w:rFonts w:ascii="Traditional Arabic" w:hAnsi="Traditional Arabic" w:cs="Traditional Arabic"/>
                <w:rtl/>
              </w:rPr>
              <w:t>Grossmann et al. (2025)</w:t>
            </w:r>
          </w:p>
        </w:tc>
        <w:tc>
          <w:tcPr>
            <w:tcW w:w="1700" w:type="dxa"/>
            <w:vAlign w:val="center"/>
          </w:tcPr>
          <w:p w14:paraId="1436DDAF" w14:textId="77777777" w:rsidR="005D691F" w:rsidRDefault="00F4227D" w:rsidP="004F6AF4">
            <w:pPr>
              <w:bidi/>
              <w:spacing w:after="0" w:line="260" w:lineRule="auto"/>
              <w:jc w:val="center"/>
            </w:pPr>
            <w:r>
              <w:rPr>
                <w:rFonts w:ascii="Traditional Arabic" w:hAnsi="Traditional Arabic" w:cs="Traditional Arabic"/>
                <w:rtl/>
              </w:rPr>
              <w:t>أوروبا</w:t>
            </w:r>
          </w:p>
        </w:tc>
        <w:tc>
          <w:tcPr>
            <w:tcW w:w="1900" w:type="dxa"/>
            <w:vAlign w:val="center"/>
          </w:tcPr>
          <w:p w14:paraId="17E33DD8" w14:textId="77777777" w:rsidR="005D691F" w:rsidRDefault="00F4227D" w:rsidP="004F6AF4">
            <w:pPr>
              <w:bidi/>
              <w:spacing w:after="0" w:line="260" w:lineRule="auto"/>
              <w:jc w:val="center"/>
            </w:pPr>
            <w:r>
              <w:rPr>
                <w:rFonts w:ascii="Traditional Arabic" w:hAnsi="Traditional Arabic" w:cs="Traditional Arabic"/>
                <w:rtl/>
              </w:rPr>
              <w:t>بناء مبادئ تصميم لأنظمة الترميز</w:t>
            </w:r>
          </w:p>
        </w:tc>
        <w:tc>
          <w:tcPr>
            <w:tcW w:w="1500" w:type="dxa"/>
            <w:vAlign w:val="center"/>
          </w:tcPr>
          <w:p w14:paraId="03C854F3" w14:textId="77777777" w:rsidR="005D691F" w:rsidRDefault="00F4227D" w:rsidP="004F6AF4">
            <w:pPr>
              <w:bidi/>
              <w:spacing w:after="0" w:line="260" w:lineRule="auto"/>
              <w:jc w:val="center"/>
            </w:pPr>
            <w:r>
              <w:rPr>
                <w:rFonts w:ascii="Traditional Arabic" w:hAnsi="Traditional Arabic" w:cs="Traditional Arabic"/>
                <w:rtl/>
              </w:rPr>
              <w:t>Design Science Research</w:t>
            </w:r>
          </w:p>
        </w:tc>
        <w:tc>
          <w:tcPr>
            <w:tcW w:w="2000" w:type="dxa"/>
            <w:vAlign w:val="center"/>
          </w:tcPr>
          <w:p w14:paraId="376F9AB6" w14:textId="77777777" w:rsidR="005D691F" w:rsidRDefault="00F4227D" w:rsidP="004F6AF4">
            <w:pPr>
              <w:bidi/>
              <w:spacing w:after="0" w:line="260" w:lineRule="auto"/>
              <w:jc w:val="center"/>
            </w:pPr>
            <w:r>
              <w:rPr>
                <w:rFonts w:ascii="Traditional Arabic" w:hAnsi="Traditional Arabic" w:cs="Traditional Arabic"/>
                <w:rtl/>
              </w:rPr>
              <w:t>المستقل: تصميم الترميز / التابع: التكلفة والأخطاء</w:t>
            </w:r>
          </w:p>
        </w:tc>
        <w:tc>
          <w:tcPr>
            <w:tcW w:w="2100" w:type="dxa"/>
            <w:vAlign w:val="center"/>
          </w:tcPr>
          <w:p w14:paraId="4F8F06F1" w14:textId="77777777" w:rsidR="005D691F" w:rsidRDefault="00F4227D" w:rsidP="004F6AF4">
            <w:pPr>
              <w:bidi/>
              <w:spacing w:after="0" w:line="260" w:lineRule="auto"/>
              <w:jc w:val="center"/>
            </w:pPr>
            <w:r>
              <w:rPr>
                <w:rFonts w:ascii="Traditional Arabic" w:hAnsi="Traditional Arabic" w:cs="Traditional Arabic"/>
                <w:rtl/>
              </w:rPr>
              <w:t>خفض التكاليف 40-60% وانخفاض الأخطاء 90%</w:t>
            </w:r>
          </w:p>
        </w:tc>
        <w:tc>
          <w:tcPr>
            <w:tcW w:w="1900" w:type="dxa"/>
            <w:vAlign w:val="center"/>
          </w:tcPr>
          <w:p w14:paraId="3D0A28B0" w14:textId="77777777" w:rsidR="005D691F" w:rsidRDefault="00F4227D" w:rsidP="004F6AF4">
            <w:pPr>
              <w:bidi/>
              <w:spacing w:after="0" w:line="260" w:lineRule="auto"/>
              <w:jc w:val="center"/>
            </w:pPr>
            <w:r>
              <w:rPr>
                <w:rFonts w:ascii="Traditional Arabic" w:hAnsi="Traditional Arabic" w:cs="Traditional Arabic"/>
                <w:rtl/>
              </w:rPr>
              <w:t>محدودية اختبار المبادئ بأسواق حقيقية</w:t>
            </w:r>
          </w:p>
        </w:tc>
        <w:tc>
          <w:tcPr>
            <w:tcW w:w="2000" w:type="dxa"/>
            <w:vAlign w:val="center"/>
          </w:tcPr>
          <w:p w14:paraId="49C7B94F" w14:textId="77777777" w:rsidR="005D691F" w:rsidRDefault="00F4227D" w:rsidP="004F6AF4">
            <w:pPr>
              <w:bidi/>
              <w:spacing w:after="0" w:line="260" w:lineRule="auto"/>
              <w:jc w:val="center"/>
            </w:pPr>
            <w:r>
              <w:rPr>
                <w:rFonts w:ascii="Traditional Arabic" w:hAnsi="Traditional Arabic" w:cs="Traditional Arabic"/>
                <w:rtl/>
              </w:rPr>
              <w:t>مرجع كمي لمؤشرات الكفاءة التشغيلية</w:t>
            </w:r>
          </w:p>
        </w:tc>
      </w:tr>
      <w:tr w:rsidR="005D691F" w14:paraId="3DFF60C4" w14:textId="77777777" w:rsidTr="004F6AF4">
        <w:tc>
          <w:tcPr>
            <w:tcW w:w="1600" w:type="dxa"/>
            <w:vAlign w:val="center"/>
          </w:tcPr>
          <w:p w14:paraId="071FDF7B" w14:textId="77777777" w:rsidR="005D691F" w:rsidRDefault="00F4227D" w:rsidP="004F6AF4">
            <w:pPr>
              <w:bidi/>
              <w:spacing w:after="0" w:line="260" w:lineRule="auto"/>
              <w:jc w:val="center"/>
            </w:pPr>
            <w:r>
              <w:rPr>
                <w:rFonts w:ascii="Traditional Arabic" w:hAnsi="Traditional Arabic" w:cs="Traditional Arabic"/>
                <w:rtl/>
              </w:rPr>
              <w:t>Carapella et al. (2023)</w:t>
            </w:r>
          </w:p>
        </w:tc>
        <w:tc>
          <w:tcPr>
            <w:tcW w:w="1700" w:type="dxa"/>
            <w:vAlign w:val="center"/>
          </w:tcPr>
          <w:p w14:paraId="6CCD1592" w14:textId="77777777" w:rsidR="005D691F" w:rsidRDefault="00F4227D" w:rsidP="004F6AF4">
            <w:pPr>
              <w:bidi/>
              <w:spacing w:after="0" w:line="260" w:lineRule="auto"/>
              <w:jc w:val="center"/>
            </w:pPr>
            <w:r>
              <w:rPr>
                <w:rFonts w:ascii="Traditional Arabic" w:hAnsi="Traditional Arabic" w:cs="Traditional Arabic"/>
                <w:rtl/>
              </w:rPr>
              <w:t>الولايات المتحدة</w:t>
            </w:r>
          </w:p>
        </w:tc>
        <w:tc>
          <w:tcPr>
            <w:tcW w:w="1900" w:type="dxa"/>
            <w:vAlign w:val="center"/>
          </w:tcPr>
          <w:p w14:paraId="12C18278" w14:textId="77777777" w:rsidR="005D691F" w:rsidRDefault="00F4227D" w:rsidP="004F6AF4">
            <w:pPr>
              <w:bidi/>
              <w:spacing w:after="0" w:line="260" w:lineRule="auto"/>
              <w:jc w:val="center"/>
            </w:pPr>
            <w:r>
              <w:rPr>
                <w:rFonts w:ascii="Traditional Arabic" w:hAnsi="Traditional Arabic" w:cs="Traditional Arabic"/>
                <w:rtl/>
              </w:rPr>
              <w:t>تقييم فوائد ومخاطر الترميز نظامياً</w:t>
            </w:r>
          </w:p>
        </w:tc>
        <w:tc>
          <w:tcPr>
            <w:tcW w:w="1500" w:type="dxa"/>
            <w:vAlign w:val="center"/>
          </w:tcPr>
          <w:p w14:paraId="24B6F5CF" w14:textId="77777777" w:rsidR="005D691F" w:rsidRDefault="00F4227D" w:rsidP="004F6AF4">
            <w:pPr>
              <w:bidi/>
              <w:spacing w:after="0" w:line="260" w:lineRule="auto"/>
              <w:jc w:val="center"/>
            </w:pPr>
            <w:r>
              <w:rPr>
                <w:rFonts w:ascii="Traditional Arabic" w:hAnsi="Traditional Arabic" w:cs="Traditional Arabic"/>
                <w:rtl/>
              </w:rPr>
              <w:t>تحليل نوعي شامل</w:t>
            </w:r>
          </w:p>
        </w:tc>
        <w:tc>
          <w:tcPr>
            <w:tcW w:w="2000" w:type="dxa"/>
            <w:vAlign w:val="center"/>
          </w:tcPr>
          <w:p w14:paraId="1A00D33A"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الكفاءة والمخاطر النظامية</w:t>
            </w:r>
          </w:p>
        </w:tc>
        <w:tc>
          <w:tcPr>
            <w:tcW w:w="2100" w:type="dxa"/>
            <w:vAlign w:val="center"/>
          </w:tcPr>
          <w:p w14:paraId="2CB4276C" w14:textId="77777777" w:rsidR="005D691F" w:rsidRDefault="00F4227D" w:rsidP="004F6AF4">
            <w:pPr>
              <w:bidi/>
              <w:spacing w:after="0" w:line="260" w:lineRule="auto"/>
              <w:jc w:val="center"/>
            </w:pPr>
            <w:r>
              <w:rPr>
                <w:rFonts w:ascii="Traditional Arabic" w:hAnsi="Traditional Arabic" w:cs="Traditional Arabic"/>
                <w:rtl/>
              </w:rPr>
              <w:t>فوائد بالكفاءة مقابل مخاطر نظامية</w:t>
            </w:r>
          </w:p>
        </w:tc>
        <w:tc>
          <w:tcPr>
            <w:tcW w:w="1900" w:type="dxa"/>
            <w:vAlign w:val="center"/>
          </w:tcPr>
          <w:p w14:paraId="16591B6D" w14:textId="77777777" w:rsidR="005D691F" w:rsidRDefault="00F4227D" w:rsidP="004F6AF4">
            <w:pPr>
              <w:bidi/>
              <w:spacing w:after="0" w:line="260" w:lineRule="auto"/>
              <w:jc w:val="center"/>
            </w:pPr>
            <w:r>
              <w:rPr>
                <w:rFonts w:ascii="Traditional Arabic" w:hAnsi="Traditional Arabic" w:cs="Traditional Arabic"/>
                <w:rtl/>
              </w:rPr>
              <w:t>نقص دراسات تجريبية تحت ضغط</w:t>
            </w:r>
          </w:p>
        </w:tc>
        <w:tc>
          <w:tcPr>
            <w:tcW w:w="2000" w:type="dxa"/>
            <w:vAlign w:val="center"/>
          </w:tcPr>
          <w:p w14:paraId="737DD91F" w14:textId="77777777" w:rsidR="005D691F" w:rsidRDefault="00F4227D" w:rsidP="004F6AF4">
            <w:pPr>
              <w:bidi/>
              <w:spacing w:after="0" w:line="260" w:lineRule="auto"/>
              <w:jc w:val="center"/>
            </w:pPr>
            <w:r>
              <w:rPr>
                <w:rFonts w:ascii="Traditional Arabic" w:hAnsi="Traditional Arabic" w:cs="Traditional Arabic"/>
                <w:rtl/>
              </w:rPr>
              <w:t>تنبيه إلى ضرورة قياس الامتثال إلى جانب الكفاءة</w:t>
            </w:r>
          </w:p>
        </w:tc>
      </w:tr>
      <w:tr w:rsidR="005D691F" w14:paraId="3471D1B7" w14:textId="77777777" w:rsidTr="004F6AF4">
        <w:tc>
          <w:tcPr>
            <w:tcW w:w="1600" w:type="dxa"/>
            <w:vAlign w:val="center"/>
          </w:tcPr>
          <w:p w14:paraId="09300544" w14:textId="77777777" w:rsidR="005D691F" w:rsidRDefault="00F4227D" w:rsidP="004F6AF4">
            <w:pPr>
              <w:bidi/>
              <w:spacing w:after="0" w:line="260" w:lineRule="auto"/>
              <w:jc w:val="center"/>
            </w:pPr>
            <w:r>
              <w:rPr>
                <w:rFonts w:ascii="Traditional Arabic" w:hAnsi="Traditional Arabic" w:cs="Traditional Arabic"/>
                <w:rtl/>
              </w:rPr>
              <w:t>Al-Qudah et al. (2025)</w:t>
            </w:r>
          </w:p>
        </w:tc>
        <w:tc>
          <w:tcPr>
            <w:tcW w:w="1700" w:type="dxa"/>
            <w:vAlign w:val="center"/>
          </w:tcPr>
          <w:p w14:paraId="1246AED0" w14:textId="77777777" w:rsidR="005D691F" w:rsidRDefault="00F4227D" w:rsidP="004F6AF4">
            <w:pPr>
              <w:bidi/>
              <w:spacing w:after="0" w:line="260" w:lineRule="auto"/>
              <w:jc w:val="center"/>
            </w:pPr>
            <w:r>
              <w:rPr>
                <w:rFonts w:ascii="Traditional Arabic" w:hAnsi="Traditional Arabic" w:cs="Traditional Arabic"/>
                <w:rtl/>
              </w:rPr>
              <w:t>الإمارات</w:t>
            </w:r>
          </w:p>
        </w:tc>
        <w:tc>
          <w:tcPr>
            <w:tcW w:w="1900" w:type="dxa"/>
            <w:vAlign w:val="center"/>
          </w:tcPr>
          <w:p w14:paraId="3CAD2260"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الحوادث والتكاليف</w:t>
            </w:r>
          </w:p>
        </w:tc>
        <w:tc>
          <w:tcPr>
            <w:tcW w:w="1500" w:type="dxa"/>
            <w:vAlign w:val="center"/>
          </w:tcPr>
          <w:p w14:paraId="590C9B49" w14:textId="77777777" w:rsidR="005D691F" w:rsidRDefault="00F4227D" w:rsidP="004F6AF4">
            <w:pPr>
              <w:bidi/>
              <w:spacing w:after="0" w:line="260" w:lineRule="auto"/>
              <w:jc w:val="center"/>
            </w:pPr>
            <w:r>
              <w:rPr>
                <w:rFonts w:ascii="Traditional Arabic" w:hAnsi="Traditional Arabic" w:cs="Traditional Arabic"/>
                <w:rtl/>
              </w:rPr>
              <w:t>Random Forest</w:t>
            </w:r>
          </w:p>
        </w:tc>
        <w:tc>
          <w:tcPr>
            <w:tcW w:w="2000" w:type="dxa"/>
            <w:vAlign w:val="center"/>
          </w:tcPr>
          <w:p w14:paraId="53AE1443"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الحوادث والتكاليف</w:t>
            </w:r>
          </w:p>
        </w:tc>
        <w:tc>
          <w:tcPr>
            <w:tcW w:w="2100" w:type="dxa"/>
            <w:vAlign w:val="center"/>
          </w:tcPr>
          <w:p w14:paraId="584C38E3" w14:textId="77777777" w:rsidR="005D691F" w:rsidRDefault="00F4227D" w:rsidP="004F6AF4">
            <w:pPr>
              <w:bidi/>
              <w:spacing w:after="0" w:line="260" w:lineRule="auto"/>
              <w:jc w:val="center"/>
            </w:pPr>
            <w:r>
              <w:rPr>
                <w:rFonts w:ascii="Traditional Arabic" w:hAnsi="Traditional Arabic" w:cs="Traditional Arabic"/>
                <w:rtl/>
              </w:rPr>
              <w:t>علاقة سلبية r = -0.73 وخفض التكاليف 41-52%</w:t>
            </w:r>
          </w:p>
        </w:tc>
        <w:tc>
          <w:tcPr>
            <w:tcW w:w="1900" w:type="dxa"/>
            <w:vAlign w:val="center"/>
          </w:tcPr>
          <w:p w14:paraId="7F2F418A" w14:textId="77777777" w:rsidR="005D691F" w:rsidRDefault="00F4227D" w:rsidP="004F6AF4">
            <w:pPr>
              <w:bidi/>
              <w:spacing w:after="0" w:line="260" w:lineRule="auto"/>
              <w:jc w:val="center"/>
            </w:pPr>
            <w:r>
              <w:rPr>
                <w:rFonts w:ascii="Traditional Arabic" w:hAnsi="Traditional Arabic" w:cs="Traditional Arabic"/>
                <w:rtl/>
              </w:rPr>
              <w:t>محدودية دراسات كمية بالسعودية</w:t>
            </w:r>
          </w:p>
        </w:tc>
        <w:tc>
          <w:tcPr>
            <w:tcW w:w="2000" w:type="dxa"/>
            <w:vAlign w:val="center"/>
          </w:tcPr>
          <w:p w14:paraId="52F24C9C" w14:textId="77777777" w:rsidR="005D691F" w:rsidRDefault="00F4227D" w:rsidP="004F6AF4">
            <w:pPr>
              <w:bidi/>
              <w:spacing w:after="0" w:line="260" w:lineRule="auto"/>
              <w:jc w:val="center"/>
            </w:pPr>
            <w:r>
              <w:rPr>
                <w:rFonts w:ascii="Traditional Arabic" w:hAnsi="Traditional Arabic" w:cs="Traditional Arabic"/>
                <w:rtl/>
              </w:rPr>
              <w:t>أقرب دراسة خليجية، وتؤكد الفجوة التي تسدّها الدراسة الحالية</w:t>
            </w:r>
          </w:p>
        </w:tc>
      </w:tr>
      <w:tr w:rsidR="005D691F" w14:paraId="27334DAE" w14:textId="77777777" w:rsidTr="004F6AF4">
        <w:tc>
          <w:tcPr>
            <w:tcW w:w="1600" w:type="dxa"/>
            <w:vAlign w:val="center"/>
          </w:tcPr>
          <w:p w14:paraId="0D87398B" w14:textId="77777777" w:rsidR="005D691F" w:rsidRDefault="00F4227D" w:rsidP="004F6AF4">
            <w:pPr>
              <w:bidi/>
              <w:spacing w:after="0" w:line="260" w:lineRule="auto"/>
              <w:jc w:val="center"/>
            </w:pPr>
            <w:r>
              <w:rPr>
                <w:rFonts w:ascii="Traditional Arabic" w:hAnsi="Traditional Arabic" w:cs="Traditional Arabic"/>
                <w:rtl/>
              </w:rPr>
              <w:t>Almadadha (2025)</w:t>
            </w:r>
          </w:p>
        </w:tc>
        <w:tc>
          <w:tcPr>
            <w:tcW w:w="1700" w:type="dxa"/>
            <w:vAlign w:val="center"/>
          </w:tcPr>
          <w:p w14:paraId="17B737BB" w14:textId="77777777" w:rsidR="005D691F" w:rsidRDefault="00F4227D" w:rsidP="004F6AF4">
            <w:pPr>
              <w:bidi/>
              <w:spacing w:after="0" w:line="260" w:lineRule="auto"/>
              <w:jc w:val="center"/>
            </w:pPr>
            <w:r>
              <w:rPr>
                <w:rFonts w:ascii="Traditional Arabic" w:hAnsi="Traditional Arabic" w:cs="Traditional Arabic"/>
                <w:rtl/>
              </w:rPr>
              <w:t>أستراليا</w:t>
            </w:r>
          </w:p>
        </w:tc>
        <w:tc>
          <w:tcPr>
            <w:tcW w:w="1900" w:type="dxa"/>
            <w:vAlign w:val="center"/>
          </w:tcPr>
          <w:p w14:paraId="6AE1B72E" w14:textId="77777777" w:rsidR="005D691F" w:rsidRDefault="00F4227D" w:rsidP="004F6AF4">
            <w:pPr>
              <w:bidi/>
              <w:spacing w:after="0" w:line="260" w:lineRule="auto"/>
              <w:jc w:val="center"/>
            </w:pPr>
            <w:r>
              <w:rPr>
                <w:rFonts w:ascii="Traditional Arabic" w:hAnsi="Traditional Arabic" w:cs="Traditional Arabic"/>
                <w:rtl/>
              </w:rPr>
              <w:t>تحليل أثر الترميز على الأداء المالي</w:t>
            </w:r>
          </w:p>
        </w:tc>
        <w:tc>
          <w:tcPr>
            <w:tcW w:w="1500" w:type="dxa"/>
            <w:vAlign w:val="center"/>
          </w:tcPr>
          <w:p w14:paraId="703D4D07" w14:textId="77777777" w:rsidR="005D691F" w:rsidRDefault="00F4227D" w:rsidP="004F6AF4">
            <w:pPr>
              <w:bidi/>
              <w:spacing w:after="0" w:line="260" w:lineRule="auto"/>
              <w:jc w:val="center"/>
            </w:pPr>
            <w:r>
              <w:rPr>
                <w:rFonts w:ascii="Traditional Arabic" w:hAnsi="Traditional Arabic" w:cs="Traditional Arabic"/>
                <w:rtl/>
              </w:rPr>
              <w:t>وصفية تحليلية</w:t>
            </w:r>
          </w:p>
        </w:tc>
        <w:tc>
          <w:tcPr>
            <w:tcW w:w="2000" w:type="dxa"/>
            <w:vAlign w:val="center"/>
          </w:tcPr>
          <w:p w14:paraId="7AC10657"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ROA وROE ووقت الضمانات</w:t>
            </w:r>
          </w:p>
        </w:tc>
        <w:tc>
          <w:tcPr>
            <w:tcW w:w="2100" w:type="dxa"/>
            <w:vAlign w:val="center"/>
          </w:tcPr>
          <w:p w14:paraId="5A1D4119" w14:textId="77777777" w:rsidR="005D691F" w:rsidRDefault="00F4227D" w:rsidP="004F6AF4">
            <w:pPr>
              <w:bidi/>
              <w:spacing w:after="0" w:line="260" w:lineRule="auto"/>
              <w:jc w:val="center"/>
            </w:pPr>
            <w:r>
              <w:rPr>
                <w:rFonts w:ascii="Traditional Arabic" w:hAnsi="Traditional Arabic" w:cs="Traditional Arabic"/>
                <w:rtl/>
              </w:rPr>
              <w:t>تحسن ROA وROE وخفض وقت الضمانات</w:t>
            </w:r>
          </w:p>
        </w:tc>
        <w:tc>
          <w:tcPr>
            <w:tcW w:w="1900" w:type="dxa"/>
            <w:vAlign w:val="center"/>
          </w:tcPr>
          <w:p w14:paraId="2F5741E9" w14:textId="77777777" w:rsidR="005D691F" w:rsidRDefault="00F4227D" w:rsidP="004F6AF4">
            <w:pPr>
              <w:bidi/>
              <w:spacing w:after="0" w:line="260" w:lineRule="auto"/>
              <w:jc w:val="center"/>
            </w:pPr>
            <w:r>
              <w:rPr>
                <w:rFonts w:ascii="Traditional Arabic" w:hAnsi="Traditional Arabic" w:cs="Traditional Arabic"/>
                <w:rtl/>
              </w:rPr>
              <w:t>نقص ربط التقنية بالأداء بالسعودية</w:t>
            </w:r>
          </w:p>
        </w:tc>
        <w:tc>
          <w:tcPr>
            <w:tcW w:w="2000" w:type="dxa"/>
            <w:vAlign w:val="center"/>
          </w:tcPr>
          <w:p w14:paraId="41885BB7" w14:textId="77777777" w:rsidR="005D691F" w:rsidRDefault="00F4227D" w:rsidP="004F6AF4">
            <w:pPr>
              <w:bidi/>
              <w:spacing w:after="0" w:line="260" w:lineRule="auto"/>
              <w:jc w:val="center"/>
            </w:pPr>
            <w:r>
              <w:rPr>
                <w:rFonts w:ascii="Traditional Arabic" w:hAnsi="Traditional Arabic" w:cs="Traditional Arabic"/>
                <w:rtl/>
              </w:rPr>
              <w:t>دعم اختيار مؤشرات الكفاءة التشغيلية في الأداة</w:t>
            </w:r>
          </w:p>
        </w:tc>
      </w:tr>
      <w:tr w:rsidR="005D691F" w14:paraId="685EF560" w14:textId="77777777" w:rsidTr="004F6AF4">
        <w:tc>
          <w:tcPr>
            <w:tcW w:w="1600" w:type="dxa"/>
            <w:vAlign w:val="center"/>
          </w:tcPr>
          <w:p w14:paraId="7637C9A6" w14:textId="77777777" w:rsidR="005D691F" w:rsidRDefault="00F4227D" w:rsidP="004F6AF4">
            <w:pPr>
              <w:bidi/>
              <w:spacing w:after="0" w:line="260" w:lineRule="auto"/>
              <w:jc w:val="center"/>
            </w:pPr>
            <w:r>
              <w:rPr>
                <w:rFonts w:ascii="Traditional Arabic" w:hAnsi="Traditional Arabic" w:cs="Traditional Arabic"/>
                <w:rtl/>
              </w:rPr>
              <w:t>Lavayssière &amp; Zhang (2025)</w:t>
            </w:r>
          </w:p>
        </w:tc>
        <w:tc>
          <w:tcPr>
            <w:tcW w:w="1700" w:type="dxa"/>
            <w:vAlign w:val="center"/>
          </w:tcPr>
          <w:p w14:paraId="553FE368" w14:textId="77777777" w:rsidR="005D691F" w:rsidRDefault="00F4227D" w:rsidP="004F6AF4">
            <w:pPr>
              <w:bidi/>
              <w:spacing w:after="0" w:line="260" w:lineRule="auto"/>
              <w:jc w:val="center"/>
            </w:pPr>
            <w:r>
              <w:rPr>
                <w:rFonts w:ascii="Traditional Arabic" w:hAnsi="Traditional Arabic" w:cs="Traditional Arabic"/>
                <w:rtl/>
              </w:rPr>
              <w:t>كندا</w:t>
            </w:r>
          </w:p>
        </w:tc>
        <w:tc>
          <w:tcPr>
            <w:tcW w:w="1900" w:type="dxa"/>
            <w:vAlign w:val="center"/>
          </w:tcPr>
          <w:p w14:paraId="0F040199" w14:textId="77777777" w:rsidR="005D691F" w:rsidRDefault="00F4227D" w:rsidP="004F6AF4">
            <w:pPr>
              <w:bidi/>
              <w:spacing w:after="0" w:line="260" w:lineRule="auto"/>
              <w:jc w:val="center"/>
            </w:pPr>
            <w:r>
              <w:rPr>
                <w:rFonts w:ascii="Traditional Arabic" w:hAnsi="Traditional Arabic" w:cs="Traditional Arabic"/>
                <w:rtl/>
              </w:rPr>
              <w:t>نمذجة أثر الترميز على تكاليف الإصدار</w:t>
            </w:r>
          </w:p>
        </w:tc>
        <w:tc>
          <w:tcPr>
            <w:tcW w:w="1500" w:type="dxa"/>
            <w:vAlign w:val="center"/>
          </w:tcPr>
          <w:p w14:paraId="27BE04E1" w14:textId="77777777" w:rsidR="005D691F" w:rsidRDefault="00F4227D" w:rsidP="004F6AF4">
            <w:pPr>
              <w:bidi/>
              <w:spacing w:after="0" w:line="260" w:lineRule="auto"/>
              <w:jc w:val="center"/>
            </w:pPr>
            <w:r>
              <w:rPr>
                <w:rFonts w:ascii="Traditional Arabic" w:hAnsi="Traditional Arabic" w:cs="Traditional Arabic"/>
                <w:rtl/>
              </w:rPr>
              <w:t>نمذجة نظرية</w:t>
            </w:r>
          </w:p>
        </w:tc>
        <w:tc>
          <w:tcPr>
            <w:tcW w:w="2000" w:type="dxa"/>
            <w:vAlign w:val="center"/>
          </w:tcPr>
          <w:p w14:paraId="3FCDEB5A" w14:textId="77777777" w:rsidR="005D691F" w:rsidRDefault="00F4227D" w:rsidP="004F6AF4">
            <w:pPr>
              <w:bidi/>
              <w:spacing w:after="0" w:line="260" w:lineRule="auto"/>
              <w:jc w:val="center"/>
            </w:pPr>
            <w:r>
              <w:rPr>
                <w:rFonts w:ascii="Traditional Arabic" w:hAnsi="Traditional Arabic" w:cs="Traditional Arabic"/>
                <w:rtl/>
              </w:rPr>
              <w:t>المستقل: ترميز الأصول / التابع: تكاليف الإصدار</w:t>
            </w:r>
          </w:p>
        </w:tc>
        <w:tc>
          <w:tcPr>
            <w:tcW w:w="2100" w:type="dxa"/>
            <w:vAlign w:val="center"/>
          </w:tcPr>
          <w:p w14:paraId="59CABDB3" w14:textId="77777777" w:rsidR="005D691F" w:rsidRDefault="00F4227D" w:rsidP="004F6AF4">
            <w:pPr>
              <w:bidi/>
              <w:spacing w:after="0" w:line="260" w:lineRule="auto"/>
              <w:jc w:val="center"/>
            </w:pPr>
            <w:r>
              <w:rPr>
                <w:rFonts w:ascii="Traditional Arabic" w:hAnsi="Traditional Arabic" w:cs="Traditional Arabic"/>
                <w:rtl/>
              </w:rPr>
              <w:t>خفض تكاليف الإصدار وتسهيل الرهن</w:t>
            </w:r>
          </w:p>
        </w:tc>
        <w:tc>
          <w:tcPr>
            <w:tcW w:w="1900" w:type="dxa"/>
            <w:vAlign w:val="center"/>
          </w:tcPr>
          <w:p w14:paraId="51DC6C58" w14:textId="77777777" w:rsidR="005D691F" w:rsidRDefault="00F4227D" w:rsidP="004F6AF4">
            <w:pPr>
              <w:bidi/>
              <w:spacing w:after="0" w:line="260" w:lineRule="auto"/>
              <w:jc w:val="center"/>
            </w:pPr>
            <w:r>
              <w:rPr>
                <w:rFonts w:ascii="Traditional Arabic" w:hAnsi="Traditional Arabic" w:cs="Traditional Arabic"/>
                <w:rtl/>
              </w:rPr>
              <w:t>محدودية فهم التأثيرات طويلة المدى</w:t>
            </w:r>
          </w:p>
        </w:tc>
        <w:tc>
          <w:tcPr>
            <w:tcW w:w="2000" w:type="dxa"/>
            <w:vAlign w:val="center"/>
          </w:tcPr>
          <w:p w14:paraId="10355087" w14:textId="77777777" w:rsidR="005D691F" w:rsidRDefault="00F4227D" w:rsidP="004F6AF4">
            <w:pPr>
              <w:bidi/>
              <w:spacing w:after="0" w:line="260" w:lineRule="auto"/>
              <w:jc w:val="center"/>
            </w:pPr>
            <w:r>
              <w:rPr>
                <w:rFonts w:ascii="Traditional Arabic" w:hAnsi="Traditional Arabic" w:cs="Traditional Arabic"/>
                <w:rtl/>
              </w:rPr>
              <w:t>تحديد حدود التعميم الزمني لنتائج الدراسة الحالية</w:t>
            </w:r>
          </w:p>
        </w:tc>
      </w:tr>
      <w:tr w:rsidR="005D691F" w14:paraId="68C999E9" w14:textId="77777777" w:rsidTr="004F6AF4">
        <w:tc>
          <w:tcPr>
            <w:tcW w:w="1600" w:type="dxa"/>
            <w:vAlign w:val="center"/>
          </w:tcPr>
          <w:p w14:paraId="1DF855C5" w14:textId="77777777" w:rsidR="005D691F" w:rsidRDefault="00F4227D" w:rsidP="004F6AF4">
            <w:pPr>
              <w:bidi/>
              <w:spacing w:after="0" w:line="260" w:lineRule="auto"/>
              <w:jc w:val="center"/>
            </w:pPr>
            <w:r>
              <w:rPr>
                <w:rFonts w:ascii="Traditional Arabic" w:hAnsi="Traditional Arabic" w:cs="Traditional Arabic"/>
                <w:rtl/>
              </w:rPr>
              <w:lastRenderedPageBreak/>
              <w:t>Udeh et al. (2025)</w:t>
            </w:r>
          </w:p>
        </w:tc>
        <w:tc>
          <w:tcPr>
            <w:tcW w:w="1700" w:type="dxa"/>
            <w:vAlign w:val="center"/>
          </w:tcPr>
          <w:p w14:paraId="5AFF1DA3" w14:textId="77777777" w:rsidR="005D691F" w:rsidRDefault="00F4227D" w:rsidP="004F6AF4">
            <w:pPr>
              <w:bidi/>
              <w:spacing w:after="0" w:line="260" w:lineRule="auto"/>
              <w:jc w:val="center"/>
            </w:pPr>
            <w:r>
              <w:rPr>
                <w:rFonts w:ascii="Traditional Arabic" w:hAnsi="Traditional Arabic" w:cs="Traditional Arabic"/>
                <w:rtl/>
              </w:rPr>
              <w:t>بيئات متعددة</w:t>
            </w:r>
          </w:p>
        </w:tc>
        <w:tc>
          <w:tcPr>
            <w:tcW w:w="1900" w:type="dxa"/>
            <w:vAlign w:val="center"/>
          </w:tcPr>
          <w:p w14:paraId="0820E377" w14:textId="77777777" w:rsidR="005D691F" w:rsidRDefault="00F4227D" w:rsidP="004F6AF4">
            <w:pPr>
              <w:bidi/>
              <w:spacing w:after="0" w:line="260" w:lineRule="auto"/>
              <w:jc w:val="center"/>
            </w:pPr>
            <w:r>
              <w:rPr>
                <w:rFonts w:ascii="Traditional Arabic" w:hAnsi="Traditional Arabic" w:cs="Traditional Arabic"/>
                <w:rtl/>
              </w:rPr>
              <w:t>دراسة أثر الترميز على الشفافية والثقة</w:t>
            </w:r>
          </w:p>
        </w:tc>
        <w:tc>
          <w:tcPr>
            <w:tcW w:w="1500" w:type="dxa"/>
            <w:vAlign w:val="center"/>
          </w:tcPr>
          <w:p w14:paraId="70C2F942" w14:textId="77777777" w:rsidR="005D691F" w:rsidRDefault="00F4227D" w:rsidP="004F6AF4">
            <w:pPr>
              <w:bidi/>
              <w:spacing w:after="0" w:line="260" w:lineRule="auto"/>
              <w:jc w:val="center"/>
            </w:pPr>
            <w:r>
              <w:rPr>
                <w:rFonts w:ascii="Traditional Arabic" w:hAnsi="Traditional Arabic" w:cs="Traditional Arabic"/>
                <w:rtl/>
              </w:rPr>
              <w:t>مختلطة ودراسات حالة</w:t>
            </w:r>
          </w:p>
        </w:tc>
        <w:tc>
          <w:tcPr>
            <w:tcW w:w="2000" w:type="dxa"/>
            <w:vAlign w:val="center"/>
          </w:tcPr>
          <w:p w14:paraId="02E15F8D"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والشفافية والأمن</w:t>
            </w:r>
          </w:p>
        </w:tc>
        <w:tc>
          <w:tcPr>
            <w:tcW w:w="2100" w:type="dxa"/>
            <w:vAlign w:val="center"/>
          </w:tcPr>
          <w:p w14:paraId="1B1B6065" w14:textId="77777777" w:rsidR="005D691F" w:rsidRDefault="00F4227D" w:rsidP="004F6AF4">
            <w:pPr>
              <w:bidi/>
              <w:spacing w:after="0" w:line="260" w:lineRule="auto"/>
              <w:jc w:val="center"/>
            </w:pPr>
            <w:r>
              <w:rPr>
                <w:rFonts w:ascii="Traditional Arabic" w:hAnsi="Traditional Arabic" w:cs="Traditional Arabic"/>
                <w:rtl/>
              </w:rPr>
              <w:t>تقليل التكاليف وتعزيز الشفافية والأمن</w:t>
            </w:r>
          </w:p>
        </w:tc>
        <w:tc>
          <w:tcPr>
            <w:tcW w:w="1900" w:type="dxa"/>
            <w:vAlign w:val="center"/>
          </w:tcPr>
          <w:p w14:paraId="044DB0B4" w14:textId="77777777" w:rsidR="005D691F" w:rsidRDefault="00F4227D" w:rsidP="004F6AF4">
            <w:pPr>
              <w:bidi/>
              <w:spacing w:after="0" w:line="260" w:lineRule="auto"/>
              <w:jc w:val="center"/>
            </w:pPr>
            <w:r>
              <w:rPr>
                <w:rFonts w:ascii="Traditional Arabic" w:hAnsi="Traditional Arabic" w:cs="Traditional Arabic"/>
                <w:rtl/>
              </w:rPr>
              <w:t>نقص أبحاث بناء الثقة بأطر ثقافية مختلفة</w:t>
            </w:r>
          </w:p>
        </w:tc>
        <w:tc>
          <w:tcPr>
            <w:tcW w:w="2000" w:type="dxa"/>
            <w:vAlign w:val="center"/>
          </w:tcPr>
          <w:p w14:paraId="3380A1BD" w14:textId="77777777" w:rsidR="005D691F" w:rsidRDefault="00F4227D" w:rsidP="004F6AF4">
            <w:pPr>
              <w:bidi/>
              <w:spacing w:after="0" w:line="260" w:lineRule="auto"/>
              <w:jc w:val="center"/>
            </w:pPr>
            <w:r>
              <w:rPr>
                <w:rFonts w:ascii="Traditional Arabic" w:hAnsi="Traditional Arabic" w:cs="Traditional Arabic"/>
                <w:rtl/>
              </w:rPr>
              <w:t>مبرر إضافي لدراسة السياق السعودي تحديداً</w:t>
            </w:r>
          </w:p>
        </w:tc>
      </w:tr>
      <w:tr w:rsidR="005D691F" w14:paraId="61C4CCA8" w14:textId="77777777" w:rsidTr="004F6AF4">
        <w:tc>
          <w:tcPr>
            <w:tcW w:w="1600" w:type="dxa"/>
            <w:vAlign w:val="center"/>
          </w:tcPr>
          <w:p w14:paraId="19228013" w14:textId="77777777" w:rsidR="005D691F" w:rsidRDefault="00F4227D" w:rsidP="004F6AF4">
            <w:pPr>
              <w:bidi/>
              <w:spacing w:after="0" w:line="260" w:lineRule="auto"/>
              <w:jc w:val="center"/>
            </w:pPr>
            <w:r>
              <w:rPr>
                <w:rFonts w:ascii="Traditional Arabic" w:hAnsi="Traditional Arabic" w:cs="Traditional Arabic"/>
                <w:rtl/>
              </w:rPr>
              <w:t>Sakarneh &amp; Kilani (2024)</w:t>
            </w:r>
          </w:p>
        </w:tc>
        <w:tc>
          <w:tcPr>
            <w:tcW w:w="1700" w:type="dxa"/>
            <w:vAlign w:val="center"/>
          </w:tcPr>
          <w:p w14:paraId="5B98191D" w14:textId="77777777" w:rsidR="005D691F" w:rsidRDefault="00F4227D" w:rsidP="004F6AF4">
            <w:pPr>
              <w:bidi/>
              <w:spacing w:after="0" w:line="260" w:lineRule="auto"/>
              <w:jc w:val="center"/>
            </w:pPr>
            <w:r>
              <w:rPr>
                <w:rFonts w:ascii="Traditional Arabic" w:hAnsi="Traditional Arabic" w:cs="Traditional Arabic"/>
                <w:rtl/>
              </w:rPr>
              <w:t>الأردن</w:t>
            </w:r>
          </w:p>
        </w:tc>
        <w:tc>
          <w:tcPr>
            <w:tcW w:w="1900" w:type="dxa"/>
            <w:vAlign w:val="center"/>
          </w:tcPr>
          <w:p w14:paraId="750860EC"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الكفاءة ودور الدعم التنظيمي</w:t>
            </w:r>
          </w:p>
        </w:tc>
        <w:tc>
          <w:tcPr>
            <w:tcW w:w="1500" w:type="dxa"/>
            <w:vAlign w:val="center"/>
          </w:tcPr>
          <w:p w14:paraId="5D7B3372" w14:textId="77777777" w:rsidR="005D691F" w:rsidRDefault="00F4227D" w:rsidP="004F6AF4">
            <w:pPr>
              <w:bidi/>
              <w:spacing w:after="0" w:line="260" w:lineRule="auto"/>
              <w:jc w:val="center"/>
            </w:pPr>
            <w:r>
              <w:rPr>
                <w:rFonts w:ascii="Traditional Arabic" w:hAnsi="Traditional Arabic" w:cs="Traditional Arabic"/>
                <w:rtl/>
              </w:rPr>
              <w:t>مسحية</w:t>
            </w:r>
          </w:p>
        </w:tc>
        <w:tc>
          <w:tcPr>
            <w:tcW w:w="2000" w:type="dxa"/>
            <w:vAlign w:val="center"/>
          </w:tcPr>
          <w:p w14:paraId="5A71840A" w14:textId="77777777" w:rsidR="005D691F" w:rsidRDefault="00F4227D" w:rsidP="004F6AF4">
            <w:pPr>
              <w:bidi/>
              <w:spacing w:after="0" w:line="260" w:lineRule="auto"/>
              <w:jc w:val="center"/>
            </w:pPr>
            <w:r>
              <w:rPr>
                <w:rFonts w:ascii="Traditional Arabic" w:hAnsi="Traditional Arabic" w:cs="Traditional Arabic"/>
                <w:rtl/>
              </w:rPr>
              <w:t>المستقل: الترميز / الضابط: الدعم التنظيمي / التابع: الكفاءة</w:t>
            </w:r>
          </w:p>
        </w:tc>
        <w:tc>
          <w:tcPr>
            <w:tcW w:w="2100" w:type="dxa"/>
            <w:vAlign w:val="center"/>
          </w:tcPr>
          <w:p w14:paraId="4FE3557D" w14:textId="77777777" w:rsidR="005D691F" w:rsidRDefault="00F4227D" w:rsidP="004F6AF4">
            <w:pPr>
              <w:bidi/>
              <w:spacing w:after="0" w:line="260" w:lineRule="auto"/>
              <w:jc w:val="center"/>
            </w:pPr>
            <w:r>
              <w:rPr>
                <w:rFonts w:ascii="Traditional Arabic" w:hAnsi="Traditional Arabic" w:cs="Traditional Arabic"/>
                <w:rtl/>
              </w:rPr>
              <w:t>تحسين الكفاءة وأهمية الدعم التنظيمي</w:t>
            </w:r>
          </w:p>
        </w:tc>
        <w:tc>
          <w:tcPr>
            <w:tcW w:w="1900" w:type="dxa"/>
            <w:vAlign w:val="center"/>
          </w:tcPr>
          <w:p w14:paraId="5F537ECA" w14:textId="77777777" w:rsidR="005D691F" w:rsidRDefault="00F4227D" w:rsidP="004F6AF4">
            <w:pPr>
              <w:bidi/>
              <w:spacing w:after="0" w:line="260" w:lineRule="auto"/>
              <w:jc w:val="center"/>
            </w:pPr>
            <w:r>
              <w:rPr>
                <w:rFonts w:ascii="Traditional Arabic" w:hAnsi="Traditional Arabic" w:cs="Traditional Arabic"/>
                <w:rtl/>
              </w:rPr>
              <w:t>نقص دراسات سعودية للعوامل الثقافية</w:t>
            </w:r>
          </w:p>
        </w:tc>
        <w:tc>
          <w:tcPr>
            <w:tcW w:w="2000" w:type="dxa"/>
            <w:vAlign w:val="center"/>
          </w:tcPr>
          <w:p w14:paraId="2133F82E" w14:textId="77777777" w:rsidR="005D691F" w:rsidRDefault="00F4227D" w:rsidP="004F6AF4">
            <w:pPr>
              <w:bidi/>
              <w:spacing w:after="0" w:line="260" w:lineRule="auto"/>
              <w:jc w:val="center"/>
            </w:pPr>
            <w:r>
              <w:rPr>
                <w:rFonts w:ascii="Traditional Arabic" w:hAnsi="Traditional Arabic" w:cs="Traditional Arabic"/>
                <w:rtl/>
              </w:rPr>
              <w:t>سند لاعتماد خصائص المؤسسة متغيرات ضابطة</w:t>
            </w:r>
          </w:p>
        </w:tc>
      </w:tr>
      <w:tr w:rsidR="005D691F" w14:paraId="541877C5" w14:textId="77777777" w:rsidTr="004F6AF4">
        <w:tc>
          <w:tcPr>
            <w:tcW w:w="1600" w:type="dxa"/>
            <w:vAlign w:val="center"/>
          </w:tcPr>
          <w:p w14:paraId="55EC41F7" w14:textId="77777777" w:rsidR="005D691F" w:rsidRDefault="00F4227D" w:rsidP="004F6AF4">
            <w:pPr>
              <w:bidi/>
              <w:spacing w:after="0" w:line="260" w:lineRule="auto"/>
              <w:jc w:val="center"/>
            </w:pPr>
            <w:r>
              <w:rPr>
                <w:rFonts w:ascii="Traditional Arabic" w:hAnsi="Traditional Arabic" w:cs="Traditional Arabic"/>
                <w:rtl/>
              </w:rPr>
              <w:t>Islam &amp; In (2024)</w:t>
            </w:r>
          </w:p>
        </w:tc>
        <w:tc>
          <w:tcPr>
            <w:tcW w:w="1700" w:type="dxa"/>
            <w:vAlign w:val="center"/>
          </w:tcPr>
          <w:p w14:paraId="63AB8103" w14:textId="77777777" w:rsidR="005D691F" w:rsidRDefault="00F4227D" w:rsidP="004F6AF4">
            <w:pPr>
              <w:bidi/>
              <w:spacing w:after="0" w:line="260" w:lineRule="auto"/>
              <w:jc w:val="center"/>
            </w:pPr>
            <w:r>
              <w:rPr>
                <w:rFonts w:ascii="Traditional Arabic" w:hAnsi="Traditional Arabic" w:cs="Traditional Arabic"/>
                <w:rtl/>
              </w:rPr>
              <w:t>مراجعة منهجية دولية</w:t>
            </w:r>
          </w:p>
        </w:tc>
        <w:tc>
          <w:tcPr>
            <w:tcW w:w="1900" w:type="dxa"/>
            <w:vAlign w:val="center"/>
          </w:tcPr>
          <w:p w14:paraId="45813997" w14:textId="77777777" w:rsidR="005D691F" w:rsidRDefault="00F4227D" w:rsidP="004F6AF4">
            <w:pPr>
              <w:bidi/>
              <w:spacing w:after="0" w:line="260" w:lineRule="auto"/>
              <w:jc w:val="center"/>
            </w:pPr>
            <w:r>
              <w:rPr>
                <w:rFonts w:ascii="Traditional Arabic" w:hAnsi="Traditional Arabic" w:cs="Traditional Arabic"/>
                <w:rtl/>
              </w:rPr>
              <w:t>رصد اتجاهات الترميز واللامركزية</w:t>
            </w:r>
          </w:p>
        </w:tc>
        <w:tc>
          <w:tcPr>
            <w:tcW w:w="1500" w:type="dxa"/>
            <w:vAlign w:val="center"/>
          </w:tcPr>
          <w:p w14:paraId="098B261B" w14:textId="77777777" w:rsidR="005D691F" w:rsidRDefault="00F4227D" w:rsidP="004F6AF4">
            <w:pPr>
              <w:bidi/>
              <w:spacing w:after="0" w:line="260" w:lineRule="auto"/>
              <w:jc w:val="center"/>
            </w:pPr>
            <w:r>
              <w:rPr>
                <w:rFonts w:ascii="Traditional Arabic" w:hAnsi="Traditional Arabic" w:cs="Traditional Arabic"/>
                <w:rtl/>
              </w:rPr>
              <w:t>IntelliSLR وPRISMA</w:t>
            </w:r>
          </w:p>
        </w:tc>
        <w:tc>
          <w:tcPr>
            <w:tcW w:w="2000" w:type="dxa"/>
            <w:vAlign w:val="center"/>
          </w:tcPr>
          <w:p w14:paraId="3A41A1E4"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اتجاهات CBDCs</w:t>
            </w:r>
          </w:p>
        </w:tc>
        <w:tc>
          <w:tcPr>
            <w:tcW w:w="2100" w:type="dxa"/>
            <w:vAlign w:val="center"/>
          </w:tcPr>
          <w:p w14:paraId="02EC77A1" w14:textId="77777777" w:rsidR="005D691F" w:rsidRDefault="00F4227D" w:rsidP="004F6AF4">
            <w:pPr>
              <w:bidi/>
              <w:spacing w:after="0" w:line="260" w:lineRule="auto"/>
              <w:jc w:val="center"/>
            </w:pPr>
            <w:r>
              <w:rPr>
                <w:rFonts w:ascii="Traditional Arabic" w:hAnsi="Traditional Arabic" w:cs="Traditional Arabic"/>
                <w:rtl/>
              </w:rPr>
              <w:t>تسهيل الانتقال للامركزية واتجاه نحو CBDCs</w:t>
            </w:r>
          </w:p>
        </w:tc>
        <w:tc>
          <w:tcPr>
            <w:tcW w:w="1900" w:type="dxa"/>
            <w:vAlign w:val="center"/>
          </w:tcPr>
          <w:p w14:paraId="44B6201F" w14:textId="77777777" w:rsidR="005D691F" w:rsidRDefault="00F4227D" w:rsidP="004F6AF4">
            <w:pPr>
              <w:bidi/>
              <w:spacing w:after="0" w:line="260" w:lineRule="auto"/>
              <w:jc w:val="center"/>
            </w:pPr>
            <w:r>
              <w:rPr>
                <w:rFonts w:ascii="Traditional Arabic" w:hAnsi="Traditional Arabic" w:cs="Traditional Arabic"/>
                <w:rtl/>
              </w:rPr>
              <w:t>محدودية ربط البنوك المركزية برؤية 2030</w:t>
            </w:r>
          </w:p>
        </w:tc>
        <w:tc>
          <w:tcPr>
            <w:tcW w:w="2000" w:type="dxa"/>
            <w:vAlign w:val="center"/>
          </w:tcPr>
          <w:p w14:paraId="19FB2DCB" w14:textId="77777777" w:rsidR="005D691F" w:rsidRDefault="00F4227D" w:rsidP="004F6AF4">
            <w:pPr>
              <w:bidi/>
              <w:spacing w:after="0" w:line="260" w:lineRule="auto"/>
              <w:jc w:val="center"/>
            </w:pPr>
            <w:r>
              <w:rPr>
                <w:rFonts w:ascii="Traditional Arabic" w:hAnsi="Traditional Arabic" w:cs="Traditional Arabic"/>
                <w:rtl/>
              </w:rPr>
              <w:t>مبرر مباشر لبُعد التوافق مع رؤية 2030 في الأداة</w:t>
            </w:r>
          </w:p>
        </w:tc>
      </w:tr>
      <w:tr w:rsidR="005D691F" w14:paraId="747F15A7" w14:textId="77777777" w:rsidTr="004F6AF4">
        <w:tc>
          <w:tcPr>
            <w:tcW w:w="1600" w:type="dxa"/>
            <w:vAlign w:val="center"/>
          </w:tcPr>
          <w:p w14:paraId="49B7B528" w14:textId="77777777" w:rsidR="005D691F" w:rsidRDefault="00F4227D" w:rsidP="004F6AF4">
            <w:pPr>
              <w:bidi/>
              <w:spacing w:after="0" w:line="260" w:lineRule="auto"/>
              <w:jc w:val="center"/>
            </w:pPr>
            <w:r>
              <w:rPr>
                <w:rFonts w:ascii="Traditional Arabic" w:hAnsi="Traditional Arabic" w:cs="Traditional Arabic"/>
                <w:rtl/>
              </w:rPr>
              <w:t>Park &amp; Hastings (2025)</w:t>
            </w:r>
          </w:p>
        </w:tc>
        <w:tc>
          <w:tcPr>
            <w:tcW w:w="1700" w:type="dxa"/>
            <w:vAlign w:val="center"/>
          </w:tcPr>
          <w:p w14:paraId="27AD8B49" w14:textId="77777777" w:rsidR="005D691F" w:rsidRDefault="00F4227D" w:rsidP="004F6AF4">
            <w:pPr>
              <w:bidi/>
              <w:spacing w:after="0" w:line="260" w:lineRule="auto"/>
              <w:jc w:val="center"/>
            </w:pPr>
            <w:r>
              <w:rPr>
                <w:rFonts w:ascii="Traditional Arabic" w:hAnsi="Traditional Arabic" w:cs="Traditional Arabic"/>
                <w:rtl/>
              </w:rPr>
              <w:t>دراسة مقارنة دولية</w:t>
            </w:r>
          </w:p>
        </w:tc>
        <w:tc>
          <w:tcPr>
            <w:tcW w:w="1900" w:type="dxa"/>
            <w:vAlign w:val="center"/>
          </w:tcPr>
          <w:p w14:paraId="47C53B7F" w14:textId="77777777" w:rsidR="005D691F" w:rsidRDefault="00F4227D" w:rsidP="004F6AF4">
            <w:pPr>
              <w:bidi/>
              <w:spacing w:after="0" w:line="260" w:lineRule="auto"/>
              <w:jc w:val="center"/>
            </w:pPr>
            <w:r>
              <w:rPr>
                <w:rFonts w:ascii="Traditional Arabic" w:hAnsi="Traditional Arabic" w:cs="Traditional Arabic"/>
                <w:rtl/>
              </w:rPr>
              <w:t>فحص العلاقة بين آليات الإنفاذ ومستوى الامتثال لمعيار PCI DSS</w:t>
            </w:r>
          </w:p>
        </w:tc>
        <w:tc>
          <w:tcPr>
            <w:tcW w:w="1500" w:type="dxa"/>
            <w:vAlign w:val="center"/>
          </w:tcPr>
          <w:p w14:paraId="74885804" w14:textId="77777777" w:rsidR="005D691F" w:rsidRDefault="00F4227D" w:rsidP="004F6AF4">
            <w:pPr>
              <w:bidi/>
              <w:spacing w:after="0" w:line="260" w:lineRule="auto"/>
              <w:jc w:val="center"/>
            </w:pPr>
            <w:r>
              <w:rPr>
                <w:rFonts w:ascii="Traditional Arabic" w:hAnsi="Traditional Arabic" w:cs="Traditional Arabic"/>
                <w:rtl/>
              </w:rPr>
              <w:t>تحليل مقارن نوعي ومؤشري</w:t>
            </w:r>
          </w:p>
        </w:tc>
        <w:tc>
          <w:tcPr>
            <w:tcW w:w="2000" w:type="dxa"/>
            <w:vAlign w:val="center"/>
          </w:tcPr>
          <w:p w14:paraId="2DA58C56" w14:textId="77777777" w:rsidR="005D691F" w:rsidRDefault="00F4227D" w:rsidP="004F6AF4">
            <w:pPr>
              <w:bidi/>
              <w:spacing w:after="0" w:line="260" w:lineRule="auto"/>
              <w:jc w:val="center"/>
            </w:pPr>
            <w:r>
              <w:rPr>
                <w:rFonts w:ascii="Traditional Arabic" w:hAnsi="Traditional Arabic" w:cs="Traditional Arabic"/>
                <w:rtl/>
              </w:rPr>
              <w:t>المستقل: آليات الإنفاذ / التابع: مستوى الامتثال</w:t>
            </w:r>
          </w:p>
        </w:tc>
        <w:tc>
          <w:tcPr>
            <w:tcW w:w="2100" w:type="dxa"/>
            <w:vAlign w:val="center"/>
          </w:tcPr>
          <w:p w14:paraId="430594E3" w14:textId="77777777" w:rsidR="005D691F" w:rsidRDefault="00F4227D" w:rsidP="004F6AF4">
            <w:pPr>
              <w:bidi/>
              <w:spacing w:after="0" w:line="260" w:lineRule="auto"/>
              <w:jc w:val="center"/>
            </w:pPr>
            <w:r>
              <w:rPr>
                <w:rFonts w:ascii="Traditional Arabic" w:hAnsi="Traditional Arabic" w:cs="Traditional Arabic"/>
                <w:rtl/>
              </w:rPr>
              <w:t>ضعف الإنفاذ يرتبط بانخفاض الامتثال، إذ لم تتجاوز نسبة الامتثال الكامل 32.4%</w:t>
            </w:r>
          </w:p>
        </w:tc>
        <w:tc>
          <w:tcPr>
            <w:tcW w:w="1900" w:type="dxa"/>
            <w:vAlign w:val="center"/>
          </w:tcPr>
          <w:p w14:paraId="482D938B" w14:textId="77777777" w:rsidR="005D691F" w:rsidRDefault="00F4227D" w:rsidP="004F6AF4">
            <w:pPr>
              <w:bidi/>
              <w:spacing w:after="0" w:line="260" w:lineRule="auto"/>
              <w:jc w:val="center"/>
            </w:pPr>
            <w:r>
              <w:rPr>
                <w:rFonts w:ascii="Traditional Arabic" w:hAnsi="Traditional Arabic" w:cs="Traditional Arabic"/>
                <w:rtl/>
              </w:rPr>
              <w:t>اقتصار الدراسة على التحليل المقارن دون اختبار ميداني، وعدم تناول البيئة الخليجية أو أثر الامتثال على الأداء التشغيلي.</w:t>
            </w:r>
          </w:p>
        </w:tc>
        <w:tc>
          <w:tcPr>
            <w:tcW w:w="2000" w:type="dxa"/>
            <w:vAlign w:val="center"/>
          </w:tcPr>
          <w:p w14:paraId="1782157D" w14:textId="77777777" w:rsidR="005D691F" w:rsidRDefault="00F4227D" w:rsidP="004F6AF4">
            <w:pPr>
              <w:bidi/>
              <w:spacing w:after="0" w:line="260" w:lineRule="auto"/>
              <w:jc w:val="center"/>
            </w:pPr>
            <w:r>
              <w:rPr>
                <w:rFonts w:ascii="Traditional Arabic" w:hAnsi="Traditional Arabic" w:cs="Traditional Arabic"/>
                <w:rtl/>
              </w:rPr>
              <w:t>تدعم اعتماد الامتثال للمعايير الدولية متغيراً مستقلاً ثانياً في الدراسة الحالية، وتبرّر قياس أثره منفصلاً عن أثر الترميز.</w:t>
            </w:r>
          </w:p>
        </w:tc>
      </w:tr>
      <w:tr w:rsidR="005D691F" w14:paraId="39C50C0C" w14:textId="77777777" w:rsidTr="004F6AF4">
        <w:tc>
          <w:tcPr>
            <w:tcW w:w="1600" w:type="dxa"/>
            <w:vAlign w:val="center"/>
          </w:tcPr>
          <w:p w14:paraId="4A6E9F2E" w14:textId="77777777" w:rsidR="005D691F" w:rsidRDefault="00F4227D" w:rsidP="004F6AF4">
            <w:pPr>
              <w:bidi/>
              <w:spacing w:after="0" w:line="260" w:lineRule="auto"/>
              <w:jc w:val="center"/>
            </w:pPr>
            <w:r>
              <w:rPr>
                <w:rFonts w:ascii="Traditional Arabic" w:hAnsi="Traditional Arabic" w:cs="Traditional Arabic"/>
                <w:rtl/>
              </w:rPr>
              <w:t>Adigwe et al. (2024)</w:t>
            </w:r>
          </w:p>
        </w:tc>
        <w:tc>
          <w:tcPr>
            <w:tcW w:w="1700" w:type="dxa"/>
            <w:vAlign w:val="center"/>
          </w:tcPr>
          <w:p w14:paraId="10DD76C3" w14:textId="77777777" w:rsidR="005D691F" w:rsidRDefault="00F4227D" w:rsidP="004F6AF4">
            <w:pPr>
              <w:bidi/>
              <w:spacing w:after="0" w:line="260" w:lineRule="auto"/>
              <w:jc w:val="center"/>
            </w:pPr>
            <w:r>
              <w:rPr>
                <w:rFonts w:ascii="Traditional Arabic" w:hAnsi="Traditional Arabic" w:cs="Traditional Arabic"/>
                <w:rtl/>
              </w:rPr>
              <w:t>بيانات البنك الدولي</w:t>
            </w:r>
          </w:p>
        </w:tc>
        <w:tc>
          <w:tcPr>
            <w:tcW w:w="1900" w:type="dxa"/>
            <w:vAlign w:val="center"/>
          </w:tcPr>
          <w:p w14:paraId="1B21E285"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زمن القروض وتكلفتها</w:t>
            </w:r>
          </w:p>
        </w:tc>
        <w:tc>
          <w:tcPr>
            <w:tcW w:w="1500" w:type="dxa"/>
            <w:vAlign w:val="center"/>
          </w:tcPr>
          <w:p w14:paraId="7DFBCD52" w14:textId="77777777" w:rsidR="005D691F" w:rsidRDefault="00F4227D" w:rsidP="004F6AF4">
            <w:pPr>
              <w:bidi/>
              <w:spacing w:after="0" w:line="260" w:lineRule="auto"/>
              <w:jc w:val="center"/>
            </w:pPr>
            <w:r>
              <w:rPr>
                <w:rFonts w:ascii="Traditional Arabic" w:hAnsi="Traditional Arabic" w:cs="Traditional Arabic"/>
                <w:rtl/>
              </w:rPr>
              <w:t>تجريبية</w:t>
            </w:r>
          </w:p>
        </w:tc>
        <w:tc>
          <w:tcPr>
            <w:tcW w:w="2000" w:type="dxa"/>
            <w:vAlign w:val="center"/>
          </w:tcPr>
          <w:p w14:paraId="4000CE28"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زمن القروض والتكاليف</w:t>
            </w:r>
          </w:p>
        </w:tc>
        <w:tc>
          <w:tcPr>
            <w:tcW w:w="2100" w:type="dxa"/>
            <w:vAlign w:val="center"/>
          </w:tcPr>
          <w:p w14:paraId="79F1A8AC" w14:textId="77777777" w:rsidR="005D691F" w:rsidRDefault="00F4227D" w:rsidP="004F6AF4">
            <w:pPr>
              <w:bidi/>
              <w:spacing w:after="0" w:line="260" w:lineRule="auto"/>
              <w:jc w:val="center"/>
            </w:pPr>
            <w:r>
              <w:rPr>
                <w:rFonts w:ascii="Traditional Arabic" w:hAnsi="Traditional Arabic" w:cs="Traditional Arabic"/>
                <w:rtl/>
              </w:rPr>
              <w:t>خفض وقت القروض 31% والتكاليف 37%</w:t>
            </w:r>
          </w:p>
        </w:tc>
        <w:tc>
          <w:tcPr>
            <w:tcW w:w="1900" w:type="dxa"/>
            <w:vAlign w:val="center"/>
          </w:tcPr>
          <w:p w14:paraId="46E0CE03" w14:textId="77777777" w:rsidR="005D691F" w:rsidRDefault="00F4227D" w:rsidP="004F6AF4">
            <w:pPr>
              <w:bidi/>
              <w:spacing w:after="0" w:line="260" w:lineRule="auto"/>
              <w:jc w:val="center"/>
            </w:pPr>
            <w:r>
              <w:rPr>
                <w:rFonts w:ascii="Traditional Arabic" w:hAnsi="Traditional Arabic" w:cs="Traditional Arabic"/>
                <w:rtl/>
              </w:rPr>
              <w:t>محدودية دراسات ترميز أصول متنوعة</w:t>
            </w:r>
          </w:p>
        </w:tc>
        <w:tc>
          <w:tcPr>
            <w:tcW w:w="2000" w:type="dxa"/>
            <w:vAlign w:val="center"/>
          </w:tcPr>
          <w:p w14:paraId="394C28C6" w14:textId="77777777" w:rsidR="005D691F" w:rsidRDefault="00F4227D" w:rsidP="004F6AF4">
            <w:pPr>
              <w:bidi/>
              <w:spacing w:after="0" w:line="260" w:lineRule="auto"/>
              <w:jc w:val="center"/>
            </w:pPr>
            <w:r>
              <w:rPr>
                <w:rFonts w:ascii="Traditional Arabic" w:hAnsi="Traditional Arabic" w:cs="Traditional Arabic"/>
                <w:rtl/>
              </w:rPr>
              <w:t>مرجع مقارنة لنتائج الفرض H2</w:t>
            </w:r>
          </w:p>
        </w:tc>
      </w:tr>
      <w:tr w:rsidR="005D691F" w14:paraId="72FD86CD" w14:textId="77777777" w:rsidTr="004F6AF4">
        <w:tc>
          <w:tcPr>
            <w:tcW w:w="1600" w:type="dxa"/>
            <w:vAlign w:val="center"/>
          </w:tcPr>
          <w:p w14:paraId="576BF336" w14:textId="77777777" w:rsidR="005D691F" w:rsidRDefault="00F4227D" w:rsidP="004F6AF4">
            <w:pPr>
              <w:bidi/>
              <w:spacing w:after="0" w:line="260" w:lineRule="auto"/>
              <w:jc w:val="center"/>
            </w:pPr>
            <w:r>
              <w:rPr>
                <w:rFonts w:ascii="Traditional Arabic" w:hAnsi="Traditional Arabic" w:cs="Traditional Arabic"/>
                <w:rtl/>
              </w:rPr>
              <w:t>Karanovic et al. (2024)</w:t>
            </w:r>
          </w:p>
        </w:tc>
        <w:tc>
          <w:tcPr>
            <w:tcW w:w="1700" w:type="dxa"/>
            <w:vAlign w:val="center"/>
          </w:tcPr>
          <w:p w14:paraId="635E4A10" w14:textId="77777777" w:rsidR="005D691F" w:rsidRDefault="00F4227D" w:rsidP="004F6AF4">
            <w:pPr>
              <w:bidi/>
              <w:spacing w:after="0" w:line="260" w:lineRule="auto"/>
              <w:jc w:val="center"/>
            </w:pPr>
            <w:r>
              <w:rPr>
                <w:rFonts w:ascii="Traditional Arabic" w:hAnsi="Traditional Arabic" w:cs="Traditional Arabic"/>
                <w:rtl/>
              </w:rPr>
              <w:t>500 مؤسسة — بيئات متعددة</w:t>
            </w:r>
          </w:p>
        </w:tc>
        <w:tc>
          <w:tcPr>
            <w:tcW w:w="1900" w:type="dxa"/>
            <w:vAlign w:val="center"/>
          </w:tcPr>
          <w:p w14:paraId="334C33C9"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التكاليف والأوقات</w:t>
            </w:r>
          </w:p>
        </w:tc>
        <w:tc>
          <w:tcPr>
            <w:tcW w:w="1500" w:type="dxa"/>
            <w:vAlign w:val="center"/>
          </w:tcPr>
          <w:p w14:paraId="0D6B760C" w14:textId="77777777" w:rsidR="005D691F" w:rsidRDefault="00F4227D" w:rsidP="004F6AF4">
            <w:pPr>
              <w:bidi/>
              <w:spacing w:after="0" w:line="260" w:lineRule="auto"/>
              <w:jc w:val="center"/>
            </w:pPr>
            <w:r>
              <w:rPr>
                <w:rFonts w:ascii="Traditional Arabic" w:hAnsi="Traditional Arabic" w:cs="Traditional Arabic"/>
                <w:rtl/>
              </w:rPr>
              <w:t>مختلطة</w:t>
            </w:r>
          </w:p>
        </w:tc>
        <w:tc>
          <w:tcPr>
            <w:tcW w:w="2000" w:type="dxa"/>
            <w:vAlign w:val="center"/>
          </w:tcPr>
          <w:p w14:paraId="6E9C5D88"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والأوقات</w:t>
            </w:r>
          </w:p>
        </w:tc>
        <w:tc>
          <w:tcPr>
            <w:tcW w:w="2100" w:type="dxa"/>
            <w:vAlign w:val="center"/>
          </w:tcPr>
          <w:p w14:paraId="7FBD2CEE" w14:textId="77777777" w:rsidR="005D691F" w:rsidRDefault="00F4227D" w:rsidP="004F6AF4">
            <w:pPr>
              <w:bidi/>
              <w:spacing w:after="0" w:line="260" w:lineRule="auto"/>
              <w:jc w:val="center"/>
            </w:pPr>
            <w:r>
              <w:rPr>
                <w:rFonts w:ascii="Traditional Arabic" w:hAnsi="Traditional Arabic" w:cs="Traditional Arabic"/>
                <w:rtl/>
              </w:rPr>
              <w:t>انخفاض التكاليف 43% والأوقات 78%</w:t>
            </w:r>
          </w:p>
        </w:tc>
        <w:tc>
          <w:tcPr>
            <w:tcW w:w="1900" w:type="dxa"/>
            <w:vAlign w:val="center"/>
          </w:tcPr>
          <w:p w14:paraId="17719056" w14:textId="77777777" w:rsidR="005D691F" w:rsidRDefault="00F4227D" w:rsidP="004F6AF4">
            <w:pPr>
              <w:bidi/>
              <w:spacing w:after="0" w:line="260" w:lineRule="auto"/>
              <w:jc w:val="center"/>
            </w:pPr>
            <w:r>
              <w:rPr>
                <w:rFonts w:ascii="Traditional Arabic" w:hAnsi="Traditional Arabic" w:cs="Traditional Arabic"/>
                <w:rtl/>
              </w:rPr>
              <w:t>نقص دراسات مقارنة واسعة بالسعودية</w:t>
            </w:r>
          </w:p>
        </w:tc>
        <w:tc>
          <w:tcPr>
            <w:tcW w:w="2000" w:type="dxa"/>
            <w:vAlign w:val="center"/>
          </w:tcPr>
          <w:p w14:paraId="7ABB000A" w14:textId="77777777" w:rsidR="005D691F" w:rsidRDefault="00F4227D" w:rsidP="004F6AF4">
            <w:pPr>
              <w:bidi/>
              <w:spacing w:after="0" w:line="260" w:lineRule="auto"/>
              <w:jc w:val="center"/>
            </w:pPr>
            <w:r>
              <w:rPr>
                <w:rFonts w:ascii="Traditional Arabic" w:hAnsi="Traditional Arabic" w:cs="Traditional Arabic"/>
                <w:rtl/>
              </w:rPr>
              <w:t>أساس مقارنة لحجم الأثر المرصود في الدراسة الحالية</w:t>
            </w:r>
          </w:p>
        </w:tc>
      </w:tr>
    </w:tbl>
    <w:p w14:paraId="03295A64" w14:textId="77777777" w:rsidR="005D691F" w:rsidRDefault="005D691F" w:rsidP="00E000FF">
      <w:pPr>
        <w:bidi/>
        <w:spacing w:after="0"/>
        <w:sectPr w:rsidR="005D691F" w:rsidSect="006E2853">
          <w:pgSz w:w="16838" w:h="11906" w:orient="landscape"/>
          <w:pgMar w:top="1080" w:right="1080" w:bottom="1080" w:left="1080" w:header="708" w:footer="144" w:gutter="0"/>
          <w:cols w:space="708"/>
          <w:titlePg/>
          <w:bidi/>
          <w:rtlGutter/>
          <w:docGrid w:linePitch="360"/>
        </w:sectPr>
      </w:pPr>
    </w:p>
    <w:p w14:paraId="647D61CD" w14:textId="77777777" w:rsidR="00F00638" w:rsidRPr="00FB5EDA"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28" w:name="_Toc224563961"/>
      <w:bookmarkStart w:id="29" w:name="_Toc234424153"/>
      <w:r>
        <w:rPr>
          <w:rFonts w:ascii="Traditional Arabic" w:hAnsi="Traditional Arabic" w:cs="Traditional Arabic"/>
          <w:b/>
          <w:bCs/>
          <w:sz w:val="32"/>
          <w:szCs w:val="32"/>
          <w:u w:val="single"/>
          <w:rtl/>
        </w:rPr>
        <w:lastRenderedPageBreak/>
        <w:t>2.4 التعليق على الدراسات السابقة</w:t>
      </w:r>
      <w:bookmarkEnd w:id="28"/>
      <w:bookmarkEnd w:id="29"/>
    </w:p>
    <w:p w14:paraId="391DED83"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 (Goghie, 2024; Ahammad et al., 2025; Al-Qudah et al., 2025; Carapella et al., 2023; Grossmann et al., 2025; Almadadha, 2025; Lavayssière &amp; Zhang, 2025; Udeh et al., 2025; Sakarneh &amp; Kilani, 2024; Islam &amp; In, 2024; Multiple Authors, 2025; Adigwe et al., 2024; Karanovic et al., 2024) 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p>
    <w:p w14:paraId="4C2D849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2.4.1 أوجه الشبه بين الدراسة الحالية والدراسات السابقة</w:t>
      </w:r>
    </w:p>
    <w:p w14:paraId="09458CED"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مع العديد من الدراسات السابقة في عدة جوانب رئيسية، حيث تتمثل أهم أوجه الشبه فيما يلي:</w:t>
      </w:r>
    </w:p>
    <w:p w14:paraId="4C3C065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الهدف العام والمتغيرات الرئيسية مع العديد من الدراسات السابقة مثل دراسة Goghie (2024) التي تناولت تأثير تقنية الترميز على النظام المصرفي، ودراسة Ahammad et al. (2025) التي تناولت تعزيز الأمن والكفاءة باستخدام البلوكشين في القطاع المصرفي، ودراسة Grossmann et al. (2025) 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p>
    <w:p w14:paraId="35CAF6F7"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المتغير المستقل وهو تقنية الترميز مع العديد من الدراسات السابقة مثل دراسة Carapella et al. (2023) التي فحصت تأثير الترميز على الاستقرار المالي، ودراسة Multiple Authors (2025) التي تناولت ترميز الأصول الواقعية، ودراسة Adigwe et al. (2024) التي تناولت ترميز الأصول الزراعية، بحيث تشترك هذه الدراسات في تناول تقنية الترميز كمتغير مستقل أو محوري في التحليل رغم اختلاف المجالات التطبيقية.</w:t>
      </w:r>
    </w:p>
    <w:p w14:paraId="46713BA5"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اتفقت الدراسة الحالية في أحد المتغيرات التابعة وهو الأمن السيبراني مع دراسة Goghie (2024) التي تناولت معايير الأمن والامتثال في أنظمة الترميز، ودراسة Ahammad et al. (2025) التي ركزت على تحسينات الأمن من خلال إلغاء الوسطاء وتقليل نقاط الضعف، ودراسة Karanovic et al. (2024) التي وثقت انخفاضاً بنسبة 56.2% في حوادث الأمن السيبراني بعد تبني البلوكشين، بحيث تشترك هذه الدراسات في الاهتمام بالبعد الأمني لتقنية الترميز.</w:t>
      </w:r>
    </w:p>
    <w:p w14:paraId="010A0196"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المتغير التابع الآخر وهو كفاءة العمليات المالية مع دراسة Al-Qudah et al. (2025) التي قاست تأثير البلوكشين على تكاليف المعاملات، ودراسة Almadadha (2025) التي ربطت تبني البلوكشين بتحسن الأداء المالي، ودراسة Lavayssière &amp; Zhang (2025) التي فحصت كيفية معالجة الترميز لأوجه القصور في الأسواق المالية، ودراسة Udeh et al. (2025) 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p>
    <w:p w14:paraId="77EB8665"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الاهتمام بالسياق الإقليمي مع دراسة Sakarneh &amp; Kilani (2024) 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p>
    <w:p w14:paraId="218FC5A8"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الاهتمام بالتحول الرقمي والأهداف الاستراتيجية الوطنية مع دراسة Islam &amp; In (2024) التي ربطت تطبيقات البلوكشين بالعملات الرقمية للبنوك المركزية كجزء من التحول الرقمي الوطني، ودراسة Sakarneh &amp; Kilani (2024) التي أكدت على أهمية الدعم التنظيمي والتوعية المؤسسية، بحيث تعكس هذه الدراسات أهمية ربط التبني التقني بالرؤى والاستراتيجيات الوطنية.</w:t>
      </w:r>
    </w:p>
    <w:p w14:paraId="239E91B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استخدام منهجيات بحثية متقدمة مع دراسة Al-Qudah et al. (2025) التي استخدمت تقنية Random Forest للتحليل الكمي، ودراسة Karanovic et al. (2024) التي استخدمت منهجية مختلطة واسعة النطاق، ودراسة Grossmann et al. (2025) التي استخدمت Design Science Research، بحيث تعكس هذه الدراسات التطور المنهجي في دراسة تأثير التقنيات الحديثة على القطاع المالي.</w:t>
      </w:r>
    </w:p>
    <w:p w14:paraId="1549624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2.4.2 أوجه الاختلاف بين الدراسة الحالية والدراسات السابقة</w:t>
      </w:r>
    </w:p>
    <w:p w14:paraId="3B4C82EE"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تختلف الدراسة الحالية عن الدراسات السابقة في عدة جوانب جوهرية، حيث تتمثل أهم أوجه الاختلاف فيما يلي:</w:t>
      </w:r>
    </w:p>
    <w:p w14:paraId="0147BA55"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السياق الجغرافي والمؤسسي بشكل جوهري عن جميع الدراسات السابقة المستعرضة (Goghie, 2024; Ahammad et al., 2025; Al-Qudah et al., 2025; Carapella et al., 2023; Grossmann et al., 2025; Almadadha, 2025; Lavayssière &amp; Zhang, 2025; Udeh et al., 2025; Sakarneh &amp; Kilani, 2024; Islam &amp; In, 2024; Multiple Authors, 2025; Adigwe et al., 2024; Karanovic et al., 2024)، حيث أن الدراسة الحالية هي الأولى من نوعها التي تطبق على المؤسسات المالية السعودية بأنواعها المختلفة، بينما ركزت الدراسات السابقة على سياقات أوروبية (Goghie, 2024; Grossmann et al., 2025; Multiple Authors, 2025)، أو آسيوية (Ahammad et al., 2025; Islam &amp; In, 2024)، أو أمريكية (Carapella et al., 2023; Lavayssière &amp; Zhang, 2025)، أو إقليمية عربية غير سعودية (Al-Qudah et al., 2025; Sakarneh &amp; Kilani, 2024)، أو أسترالية (Almadadha, 2025)، مما يجعل الدراسة الحالية فريدة في تناولها للسياق السعودي المحدد بخصائصه التنظيمية والثقافية والاقتصادية المميزة.</w:t>
      </w:r>
    </w:p>
    <w:p w14:paraId="37C4088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ربطها المباشر والصريح برؤية السعودية 2030 وأهداف التحول الرقمي الوطني (Saudi Central Bank, 2024; IMF, 2024; Thunes Research, 2025)،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p>
    <w:p w14:paraId="7686E42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الفنتك في نفس السياق (Saudi Central Bank, 2024; Thunes Research, 2025)، بينما ركزت معظم الدراسات السابقة على نوع واحد من المؤسسات فقط مثل البنوك التقليدية الكبرى (Goghie, 2024; Almadadha, 2025; Sakarneh &amp; Kilani, 2024) أو قدمت مقارنات عامة دون تركيز على أنواع </w:t>
      </w:r>
      <w:r w:rsidRPr="004F6AF4">
        <w:rPr>
          <w:rFonts w:ascii="Traditional Arabic" w:hAnsi="Traditional Arabic" w:cs="Traditional Arabic"/>
          <w:sz w:val="28"/>
          <w:szCs w:val="28"/>
          <w:rtl/>
        </w:rPr>
        <w:lastRenderedPageBreak/>
        <w:t>محددة (Karanovic et al., 2024)، وهذه المقارنة الثلاثية تمكن من فهم أعمق لكيفية اختلاف تأثير تقنية الترميز باختلاف حجم ونوع وطبيعة المؤسسة المالية.</w:t>
      </w:r>
    </w:p>
    <w:p w14:paraId="2FEA8BD3"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 (ENISA, 2024; IBM Security, 2024; Al-Qudah et al., 2025; Karanovic et al., 2024)، بينما ركزت معظم الدراسات السابقة على أحد هذين البعدين دون الآخر، حيث اهتمت بعض الدراسات بالبعد الأمني بشكل أساسي (Goghie, 2024; Ahammad et al., 2025) بينما ركزت دراسات أخرى على بعد الكفاءة والتكاليف (Grossmann et al., 2025; Lavayssière &amp; Zhang, 2025; Sakarneh &amp; Kilani, 2024)، وهذا النهج المتكامل يمكن من فهم التأثيرات المتشابكة والمتبادلة بين البعدين.</w:t>
      </w:r>
    </w:p>
    <w:p w14:paraId="5402DC37"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تطبيقها للأطر التنظيمية السعودية المحددة التي تحكم القطاع المالي (Saudi Central Bank, 2024; IMF, 2024)، بما في ذلك متطلبات مؤسسة النقد العربي السعودي (SAMA) ومتطلبات الهيئة الوطنية للأمن السيبراني (PCI Security Standards Council, 2024; ENISA, 2024)،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p>
    <w:p w14:paraId="0CC71D86"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 (Financial Stability Board, 2024; McKinsey &amp; Company, 2024; Thunes Research, 2025)، بينما ركزت بعض الدراسات السابقة على قطاعات أو تطبيقات محددة مثل أسواق السندات فقط (Grossmann et al., 2025; Lavayssière &amp; Zhang, 2025) أو الأصول الزراعية (Adigwe et al., 2024) أو الضمانات المصرفية (Almadadha, 2025)، مما يجعل الدراسة الحالية أكثر شمولية في تغطيتها لمختلف جوانب العمل المالي.</w:t>
      </w:r>
    </w:p>
    <w:p w14:paraId="4DC4549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w:t>
      </w:r>
      <w:r w:rsidRPr="004F6AF4">
        <w:rPr>
          <w:rFonts w:ascii="Traditional Arabic" w:hAnsi="Traditional Arabic" w:cs="Traditional Arabic"/>
          <w:sz w:val="28"/>
          <w:szCs w:val="28"/>
          <w:rtl/>
        </w:rPr>
        <w:lastRenderedPageBreak/>
        <w:t>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p>
    <w:p w14:paraId="7FEE774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توقيتها الحرج ضمن مسيرة التحول الرقمي في المملكة (Saudi Central Bank, 2024; Thunes Research, 2025; IMF, 2024)،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الفنتك بشكل ملحوظ، مما يجعل نتائج الدراسة ذات قيمة عملية عالية لصناع القرار في المؤسسات المالية والجهات التنظيمية في توقيت حاسم من مسيرة التحول.</w:t>
      </w:r>
    </w:p>
    <w:p w14:paraId="7A61D43F"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2.4.3 أوجه استفادة الدراسة الحالية من الدراسات السابقة</w:t>
      </w:r>
    </w:p>
    <w:p w14:paraId="16187AC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استفادت الدراسة الحالية من الدراسات السابقة في عدة جوانب مهمة، حيث تتمثل أهم أوجه الاستفادة فيما يلي:</w:t>
      </w:r>
    </w:p>
    <w:p w14:paraId="442B3B46"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بناء الإطار المفاهيمي والنظري للدراسة الحالية (Goghie, 2024; Ahammad et al., 2025; Carapella et al., 2023; Grossmann et al., 2025; Udeh et al., 2025)،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p>
    <w:p w14:paraId="498DC67E"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تحديد المتغيرات الرئيسية والعلاقات المفترضة بينها (Al-Qudah et al., 2025; Almadadha, 2025; Karanovic et al., 2024; Sakarneh &amp; Kilani, 2024)،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p>
    <w:p w14:paraId="5F04B65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ساعدت الدراسات السابقة في اختيار المنهجية المناسبة وتصميم أدوات جمع البيانات (Al-Qudah et al., 2025; Karanovic et al., 2024; Sakarneh &amp; Kilani, 2024; Islam &amp; In, 2024)، حيث استفادت الدراسة الحالية من المنهجيات المتنوعة التي استخدمتها تلك الدراسات من حيث الأساليب الكمية </w:t>
      </w:r>
      <w:r w:rsidRPr="004F6AF4">
        <w:rPr>
          <w:rFonts w:ascii="Traditional Arabic" w:hAnsi="Traditional Arabic" w:cs="Traditional Arabic"/>
          <w:sz w:val="28"/>
          <w:szCs w:val="28"/>
          <w:rtl/>
        </w:rPr>
        <w:lastRenderedPageBreak/>
        <w:t>والنوعية والمختلطة، ومن تصميم الاستبانات والمقابلات وطرق التحليل الإحصائي، مما ساعد في تطوير منهجية شاملة ومناسبة للسياق السعودي.</w:t>
      </w:r>
    </w:p>
    <w:p w14:paraId="52D467B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تقدير حجم التأثيرات المتوقعة والمؤشرات الكمية المرجعية (Al-Qudah et al., 2025; Grossmann et al., 2025; Karanovic et al., 2024; Adigwe et al., 2024)،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p>
    <w:p w14:paraId="399BF38F"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فهم التحديات والعوائق المحتملة لتبني تقنية الترميز (Carapella et al., 2023; Goghie, 2024; Sakarneh &amp; Kilani, 2024; Multiple Authors, 2025)،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p>
    <w:p w14:paraId="2EDB7623"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إثراء الإطار النظري من خلال النظريات والنماذج المستخدمة (Grossmann et al., 2025; Udeh et al., 2025; Sakarneh &amp; Kilani, 2024; Islam &amp; In, 2024)،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p>
    <w:p w14:paraId="344FF79B"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تحديد الفجوة البحثية بوضوح ودقة (Goghie, 2024; Al-Qudah et al., 2025; Sakarneh &amp; Kilani, 2024; Karanovic et al., 2024)،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p>
    <w:p w14:paraId="7ADAB572"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2.4.4 ما يميز الدراسة الحالية عن الدراسات السابقة</w:t>
      </w:r>
    </w:p>
    <w:p w14:paraId="336FC2D6"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الفنتك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p>
    <w:p w14:paraId="61925F49" w14:textId="77777777" w:rsidR="00F00638" w:rsidRPr="004F6AF4" w:rsidRDefault="00F00638" w:rsidP="00E000FF">
      <w:pPr>
        <w:bidi/>
        <w:spacing w:after="0" w:line="360" w:lineRule="auto"/>
        <w:jc w:val="both"/>
        <w:rPr>
          <w:rFonts w:ascii="Simplified Arabic" w:hAnsi="Simplified Arabic" w:cs="Simplified Arabic"/>
          <w:sz w:val="28"/>
          <w:szCs w:val="28"/>
        </w:rPr>
      </w:pPr>
    </w:p>
    <w:p w14:paraId="475E61A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2.4.5 الاتجاهات العامة للدراسات السابقة</w:t>
      </w:r>
    </w:p>
    <w:p w14:paraId="0AD5910D"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تكشف مراجعة الدراسات السابقة عن تركّز واضح في ثلاثة اتجاهات: الاتجاه الأول يتناول الأثر الأمني للترميز في حماية بيانات الدفع، وهو الأكثر تكراراً؛ والاتجاه الثاني يتناول الأثر التشغيلي على زمن المعاملة وكلفتها؛ والاتجاه الثالث يربط التقنية بالسياسات الوطنية للتحول الرقمي. ويلاحَظ ضعف حضور الاتجاه الذي يجمع بين الأثرين الأمني والتشغيلي في دراسة واحدة.</w:t>
      </w:r>
    </w:p>
    <w:p w14:paraId="3E2A4E7A"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2.4.6 نقاط الاتفاق ونقاط الاختلاف</w:t>
      </w:r>
    </w:p>
    <w:p w14:paraId="78118558"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lastRenderedPageBreak/>
        <w:t>تتفق غالبية الدراسات على وجود أثر إيجابي دال للترميز في خفض حوادث تسريب البيانات وفي تقليص نطاق الامتثال. وتختلف في تقدير حجم الأثر التشغيلي، إذ تُرجع بعض الدراسات التحسّن إلى الترميز ذاته بينما تُرجعه أخرى إلى إعادة هندسة العمليات المصاحبة لتطبيقه. ويعود جانب من هذا الاختلاف إلى تباين البيئات التنظيمية وإلى اختلاف مؤشرات القياس المستخدمة بين دراسة وأخرى.</w:t>
      </w:r>
    </w:p>
    <w:p w14:paraId="533577CE"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2.4.7 القيود المنهجية في الدراسات السابقة</w:t>
      </w:r>
    </w:p>
    <w:p w14:paraId="4541F6D2"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تتمثل أبرز القيود المنهجية في صغر أحجام العينات في عدد من الدراسات، وغلبة المنهج الوصفي غير الاختباري، والاعتماد على بيانات معلنة من المؤسسات دون تحقق مستقل، وتركّز الدراسات في بيئات أوروبية وأمريكية تختلف أطرها التنظيمية عن البيئة السعودية. كما يغلب على أدوات القياس المستخدمة الطابع السببي في صياغة العبارات، وهو ما قد يوجّه استجابات المبحوثين.</w:t>
      </w:r>
    </w:p>
    <w:p w14:paraId="0EA6C017"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2.4.8 الفجوة البحثية ومساهمة الدراسة الحالية</w:t>
      </w:r>
    </w:p>
    <w:p w14:paraId="2E23F81D"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تتحدد الفجوة البحثية في غياب دراسة ميدانية كمية تختبر أثر تقنية الترميز على الأمن السيبراني وكفاءة العمليات المالية معاً داخل المؤسسات المالية السعودية، وتربط هذا الأثر بإطار نظري مفسّر وبمستهدفات رؤية 2030. وتسدّ الدراسة الحالية هذه الفجوة عبر أداة مطبّقة على عينة من العاملين في المؤسسات المالية السعودية، وبأساليب إحصائية لامعلمية تختبر الأثر والفروق معاً، وبإطار نظري مستمد من نظرية التقنية والتنظيم والبيئة يفسّر تفاوت الأثر باختلاف سياق المؤسسة.</w:t>
      </w:r>
    </w:p>
    <w:p w14:paraId="34F24E7F"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30" w:name="_Toc224563962"/>
      <w:bookmarkStart w:id="31" w:name="_Toc234424154"/>
      <w:r w:rsidRPr="004F6AF4">
        <w:rPr>
          <w:rFonts w:ascii="Traditional Arabic" w:hAnsi="Traditional Arabic" w:cs="Traditional Arabic"/>
          <w:b/>
          <w:bCs/>
          <w:sz w:val="28"/>
          <w:szCs w:val="28"/>
          <w:u w:val="single"/>
          <w:rtl/>
        </w:rPr>
        <w:t>2.5 خلاصة الفصل</w:t>
      </w:r>
      <w:bookmarkEnd w:id="30"/>
      <w:bookmarkEnd w:id="31"/>
    </w:p>
    <w:p w14:paraId="4EBA2F6F"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w:t>
      </w:r>
      <w:r w:rsidRPr="004F6AF4">
        <w:rPr>
          <w:rFonts w:ascii="Traditional Arabic" w:hAnsi="Traditional Arabic" w:cs="Traditional Arabic"/>
          <w:sz w:val="28"/>
          <w:szCs w:val="28"/>
          <w:rtl/>
        </w:rPr>
        <w:lastRenderedPageBreak/>
        <w:t>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p>
    <w:p w14:paraId="57BA923C"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p>
    <w:p w14:paraId="2B88EAA1"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pPr>
    </w:p>
    <w:p w14:paraId="3E9DEC5E"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4B81AFBC" w14:textId="77777777" w:rsidR="001C4FBE" w:rsidRDefault="001C4FBE" w:rsidP="00E000FF">
      <w:pPr>
        <w:bidi/>
        <w:spacing w:after="0" w:line="360" w:lineRule="auto"/>
        <w:jc w:val="center"/>
        <w:rPr>
          <w:rFonts w:ascii="Simplified Arabic" w:hAnsi="Simplified Arabic" w:cs="Simplified Arabic"/>
          <w:b/>
          <w:bCs/>
          <w:sz w:val="48"/>
          <w:szCs w:val="48"/>
          <w:rtl/>
        </w:rPr>
      </w:pPr>
    </w:p>
    <w:p w14:paraId="493F941E" w14:textId="77777777" w:rsidR="001C4FBE" w:rsidRDefault="001C4FBE" w:rsidP="00E000FF">
      <w:pPr>
        <w:bidi/>
        <w:spacing w:after="0" w:line="360" w:lineRule="auto"/>
        <w:jc w:val="center"/>
        <w:rPr>
          <w:rFonts w:ascii="Simplified Arabic" w:hAnsi="Simplified Arabic" w:cs="Simplified Arabic"/>
          <w:b/>
          <w:bCs/>
          <w:sz w:val="48"/>
          <w:szCs w:val="48"/>
        </w:rPr>
      </w:pPr>
    </w:p>
    <w:p w14:paraId="27220E0E" w14:textId="77777777" w:rsidR="001C4FBE" w:rsidRPr="004F6AF4" w:rsidRDefault="001C4FBE"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32" w:name="_Toc234424155"/>
      <w:r w:rsidRPr="004F6AF4">
        <w:rPr>
          <w:rFonts w:ascii="Traditional Arabic" w:hAnsi="Traditional Arabic" w:cs="Traditional Arabic"/>
          <w:b/>
          <w:bCs/>
          <w:sz w:val="92"/>
          <w:szCs w:val="92"/>
          <w:rtl/>
        </w:rPr>
        <w:t xml:space="preserve">الفصل </w:t>
      </w:r>
      <w:r w:rsidRPr="004F6AF4">
        <w:rPr>
          <w:rFonts w:ascii="Traditional Arabic" w:hAnsi="Traditional Arabic" w:cs="Traditional Arabic" w:hint="cs"/>
          <w:b/>
          <w:bCs/>
          <w:sz w:val="92"/>
          <w:szCs w:val="92"/>
          <w:rtl/>
        </w:rPr>
        <w:t>الثالث</w:t>
      </w:r>
      <w:bookmarkEnd w:id="32"/>
    </w:p>
    <w:p w14:paraId="6081E9AE" w14:textId="77777777" w:rsidR="003A3893" w:rsidRPr="004F6AF4" w:rsidRDefault="003A3893" w:rsidP="004F6AF4">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hint="cs"/>
          <w:b/>
          <w:bCs/>
          <w:sz w:val="92"/>
          <w:szCs w:val="92"/>
          <w:rtl/>
        </w:rPr>
        <w:t>منهجية الدراسة</w:t>
      </w:r>
    </w:p>
    <w:p w14:paraId="72EE93B2" w14:textId="77777777" w:rsidR="001C4FBE" w:rsidRDefault="001C4FBE" w:rsidP="00E000FF">
      <w:pPr>
        <w:bidi/>
        <w:spacing w:after="0" w:line="360" w:lineRule="auto"/>
        <w:jc w:val="center"/>
        <w:rPr>
          <w:b/>
          <w:bCs/>
          <w:sz w:val="96"/>
          <w:szCs w:val="96"/>
          <w:rtl/>
          <w:lang w:bidi="ar-EG"/>
        </w:rPr>
      </w:pPr>
    </w:p>
    <w:p w14:paraId="45A50B8D" w14:textId="77777777" w:rsidR="001C4FBE" w:rsidRPr="00D370C1" w:rsidRDefault="001C4FBE" w:rsidP="00E000FF">
      <w:pPr>
        <w:bidi/>
        <w:spacing w:after="0" w:line="360" w:lineRule="auto"/>
        <w:jc w:val="center"/>
        <w:rPr>
          <w:b/>
          <w:bCs/>
          <w:sz w:val="96"/>
          <w:szCs w:val="96"/>
          <w:lang w:bidi="ar-EG"/>
        </w:rPr>
      </w:pPr>
    </w:p>
    <w:p w14:paraId="67B8EBAC" w14:textId="77777777" w:rsidR="00B21BA2" w:rsidRDefault="00B21BA2" w:rsidP="00E000FF">
      <w:pPr>
        <w:bidi/>
        <w:spacing w:after="0" w:line="360" w:lineRule="auto"/>
        <w:jc w:val="center"/>
        <w:rPr>
          <w:b/>
          <w:bCs/>
          <w:sz w:val="96"/>
          <w:szCs w:val="96"/>
          <w:rtl/>
          <w:lang w:bidi="ar-EG"/>
        </w:rPr>
      </w:pPr>
    </w:p>
    <w:p w14:paraId="3C362251" w14:textId="77777777" w:rsidR="001C4FBE" w:rsidRDefault="001C4FBE" w:rsidP="00E000FF">
      <w:pPr>
        <w:bidi/>
        <w:spacing w:after="0" w:line="360" w:lineRule="auto"/>
        <w:rPr>
          <w:b/>
          <w:bCs/>
          <w:sz w:val="96"/>
          <w:szCs w:val="96"/>
          <w:rtl/>
          <w:lang w:bidi="ar-EG"/>
        </w:rPr>
      </w:pPr>
      <w:r>
        <w:rPr>
          <w:rFonts w:ascii="Traditional Arabic" w:hAnsi="Traditional Arabic" w:cs="Traditional Arabic"/>
          <w:b/>
          <w:bCs/>
          <w:sz w:val="24"/>
          <w:szCs w:val="24"/>
          <w:rtl/>
          <w:lang w:bidi="ar-EG"/>
        </w:rPr>
        <w:br w:type="page"/>
      </w:r>
    </w:p>
    <w:p w14:paraId="03CF486F" w14:textId="77777777" w:rsidR="00B35152" w:rsidRPr="004F6AF4" w:rsidRDefault="00B35152" w:rsidP="00E000FF">
      <w:pPr>
        <w:pStyle w:val="HeadingTOCEntry"/>
        <w:bidi/>
        <w:spacing w:after="0" w:line="360" w:lineRule="auto"/>
        <w:ind w:left="432" w:hanging="432"/>
        <w:rPr>
          <w:rFonts w:ascii="Simplified Arabic" w:hAnsi="Simplified Arabic" w:cs="Simplified Arabic"/>
          <w:b/>
          <w:bCs/>
          <w:sz w:val="28"/>
          <w:szCs w:val="28"/>
          <w:u w:val="single"/>
        </w:rPr>
      </w:pPr>
      <w:bookmarkStart w:id="33" w:name="_Toc234424156"/>
      <w:r w:rsidRPr="004F6AF4">
        <w:rPr>
          <w:rFonts w:ascii="Traditional Arabic" w:hAnsi="Traditional Arabic" w:cs="Traditional Arabic"/>
          <w:b/>
          <w:bCs/>
          <w:sz w:val="28"/>
          <w:szCs w:val="28"/>
          <w:u w:val="single"/>
          <w:rtl/>
        </w:rPr>
        <w:lastRenderedPageBreak/>
        <w:t>مقدمة</w:t>
      </w:r>
      <w:bookmarkEnd w:id="33"/>
    </w:p>
    <w:p w14:paraId="421A76FB"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(Tokenization)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0C535EEB"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756D07C7"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4" w:name="_Toc234424157"/>
      <w:r w:rsidRPr="004F6AF4">
        <w:rPr>
          <w:rFonts w:ascii="Traditional Arabic" w:hAnsi="Traditional Arabic" w:cs="Traditional Arabic"/>
          <w:b/>
          <w:bCs/>
          <w:sz w:val="28"/>
          <w:szCs w:val="28"/>
          <w:u w:val="single"/>
          <w:rtl/>
        </w:rPr>
        <w:t>3.2 أهداف الدراسة وفرضياتها</w:t>
      </w:r>
      <w:bookmarkEnd w:id="34"/>
    </w:p>
    <w:p w14:paraId="72D0562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3.2.1 أهداف الدراسة</w:t>
      </w:r>
    </w:p>
    <w:p w14:paraId="3D85EF8F"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تسعى هذه الدراسة إلى تحقيق الأهداف الآتية:</w:t>
      </w:r>
    </w:p>
    <w:p w14:paraId="56440F40"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قياس أثر تطبيق تقنية الترميز على مستوى الأمن السيبراني في المؤسسات المالية السعودية.</w:t>
      </w:r>
    </w:p>
    <w:p w14:paraId="0C09DCF9"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تقييم أثر تطبيق تقنية الترميز على كفاءة العمليات المالية في المؤسسات المالية السعودية.</w:t>
      </w:r>
    </w:p>
    <w:p w14:paraId="716F0450"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p>
    <w:p w14:paraId="4B055252"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Pr>
      </w:pPr>
      <w:r w:rsidRPr="004F6AF4">
        <w:rPr>
          <w:rFonts w:ascii="Traditional Arabic" w:hAnsi="Traditional Arabic" w:cs="Traditional Arabic"/>
          <w:sz w:val="28"/>
          <w:szCs w:val="28"/>
          <w:rtl/>
        </w:rPr>
        <w:t>دراسة العلاقة بين مستوى تطبيق تقنية الترميز ومستوى الامتثال للمتطلبات التنظيمية السعودية.</w:t>
      </w:r>
    </w:p>
    <w:p w14:paraId="2633E4CA"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الكشف عن الفروق في مستوى التوافق مع رؤية 2030 تبعاً لنوع المؤسسة المالية.</w:t>
      </w:r>
    </w:p>
    <w:p w14:paraId="2FDCDA6C"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46B42E30"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3.2.2 فرضيات الدراسة</w:t>
      </w:r>
    </w:p>
    <w:p w14:paraId="095CAFD2" w14:textId="77777777" w:rsidR="00B35152" w:rsidRPr="004F6AF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8"/>
          <w:szCs w:val="28"/>
          <w:rtl/>
        </w:rPr>
        <w:t>اشتُقَّت فرضيات الدراسة من مشكلة الدراسة وأسئلتها والإطار النظري المستمد من نظرية التقنية والتنظيم والبيئة، ويقابل كل سؤال بحثي فرض رئيس يتفرع عنه فرعان بعدد متغيري الدراسة المستقلين، على النحو الآتي:</w:t>
      </w:r>
    </w:p>
    <w:p w14:paraId="43D1D099"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633C5818"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lastRenderedPageBreak/>
        <w:t>H1: يوجد أثر ذو دلالة إحصائية لتطبيق تقنية الترميز والامتثال للمعايير الدولية على الأمن السيبراني المؤسسي في المؤسسات المالية السعودية.</w:t>
      </w:r>
    </w:p>
    <w:p w14:paraId="1D0C7ABF"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H1a: يوجد أثر ذو دلالة إحصائية لتطبيق تقنية الترميز الأمني للبيانات على الأمن السيبراني المؤسسي في المؤسسات المالية السعودية.</w:t>
      </w:r>
    </w:p>
    <w:p w14:paraId="02CDA5B1"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H1b: يوجد أثر ذو دلالة إحصائية لمستوى الامتثال للمعايير الدولية على الأمن السيبراني المؤسسي في المؤسسات المالية السعودية.</w:t>
      </w:r>
    </w:p>
    <w:p w14:paraId="265A2289"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H2: يوجد أثر ذو دلالة إحصائية لتطبيق تقنية الترميز والامتثال للمعايير الدولية على كفاءة العمليات المالية في المؤسسات المالية السعودية.</w:t>
      </w:r>
    </w:p>
    <w:p w14:paraId="6AEBB431"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H2a: يوجد أثر ذو دلالة إحصائية لتطبيق تقنية الترميز الأمني للبيانات على كفاءة العمليات المالية في المؤسسات المالية السعودية.</w:t>
      </w:r>
    </w:p>
    <w:p w14:paraId="6F6CA526"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H2b: يوجد أثر ذو دلالة إحصائية لمستوى الامتثال للمعايير الدولية على كفاءة العمليات المالية في المؤسسات المالية السعودية.</w:t>
      </w:r>
    </w:p>
    <w:p w14:paraId="36088B7B" w14:textId="77777777" w:rsidR="00B35152" w:rsidRPr="004F6AF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8"/>
          <w:szCs w:val="28"/>
          <w:rtl/>
        </w:rPr>
        <w:t>H3: توجد فروق ذات دلالة إحصائية في مستوى الامتثال للمعايير الدولية والأمن السيبراني المؤسسي تُعزى إلى مستوى تبنّي المؤسسة المالية السعودية لتقنية الترميز.</w:t>
      </w:r>
    </w:p>
    <w:p w14:paraId="00DBBE16"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H3a: توجد فروق ذات دلالة إحصائية في مستوى الامتثال للمعايير الدولية تُعزى إلى مستوى تبنّي المؤسسة المالية السعودية لتقنية الترميز.</w:t>
      </w:r>
    </w:p>
    <w:p w14:paraId="091801A6"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H3b: توجد فروق ذات دلالة إحصائية في مستوى الأمن السيبراني المؤسسي تُعزى إلى مستوى تبنّي المؤسسة المالية السعودية لتقنية الترميز.</w:t>
      </w:r>
    </w:p>
    <w:p w14:paraId="790404DC"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A3B632C"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5" w:name="_Toc234424158"/>
      <w:r w:rsidRPr="004F6AF4">
        <w:rPr>
          <w:rFonts w:ascii="Traditional Arabic" w:hAnsi="Traditional Arabic" w:cs="Traditional Arabic"/>
          <w:b/>
          <w:bCs/>
          <w:sz w:val="28"/>
          <w:szCs w:val="28"/>
          <w:u w:val="single"/>
          <w:rtl/>
        </w:rPr>
        <w:t>3.3 منهج الدراسة</w:t>
      </w:r>
      <w:bookmarkEnd w:id="35"/>
    </w:p>
    <w:p w14:paraId="435858C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2F531400"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lastRenderedPageBreak/>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1331CF1"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40EA1454"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3.3.1 مصادر البيانات</w:t>
      </w:r>
    </w:p>
    <w:p w14:paraId="6F1ABEFE"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أولاً: المصادر الثانوية</w:t>
      </w:r>
    </w:p>
    <w:p w14:paraId="701E065D"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PCI DSS وNIST وISO.</w:t>
      </w:r>
    </w:p>
    <w:p w14:paraId="4AE713CC"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أسهمت هذه المصادر في بناء الأساس النظري للدراسة وصياغة فرضياتها.</w:t>
      </w:r>
    </w:p>
    <w:p w14:paraId="1DEF563F"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01CC8043"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ثانياً: المصادر الأولية</w:t>
      </w:r>
    </w:p>
    <w:p w14:paraId="1D6147DC"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380E7B45"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1E9BE753"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36" w:name="_Toc234424159"/>
      <w:r w:rsidRPr="004F6AF4">
        <w:rPr>
          <w:rFonts w:ascii="Traditional Arabic" w:hAnsi="Traditional Arabic" w:cs="Traditional Arabic"/>
          <w:b/>
          <w:bCs/>
          <w:sz w:val="28"/>
          <w:szCs w:val="28"/>
          <w:u w:val="single"/>
          <w:rtl/>
        </w:rPr>
        <w:t>3.4 مجتمع الدراسة وعينتها</w:t>
      </w:r>
      <w:bookmarkEnd w:id="36"/>
    </w:p>
    <w:p w14:paraId="5E062C2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3.4.1 مجتمع الدراسة</w:t>
      </w:r>
    </w:p>
    <w:p w14:paraId="2DD89535"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68E0DF34"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البنوك التجارية التقليدية: 14 بنكاً مرخصاً.</w:t>
      </w:r>
    </w:p>
    <w:p w14:paraId="15DFBCA3"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البنوك الرقمية: </w:t>
      </w:r>
      <w:r w:rsidRPr="004F6AF4">
        <w:rPr>
          <w:rFonts w:ascii="Traditional Arabic" w:hAnsi="Traditional Arabic" w:cs="Traditional Arabic" w:hint="cs"/>
          <w:sz w:val="28"/>
          <w:szCs w:val="28"/>
          <w:rtl/>
        </w:rPr>
        <w:t>2</w:t>
      </w:r>
      <w:r w:rsidRPr="004F6AF4">
        <w:rPr>
          <w:rFonts w:ascii="Traditional Arabic" w:hAnsi="Traditional Arabic" w:cs="Traditional Arabic"/>
          <w:sz w:val="28"/>
          <w:szCs w:val="28"/>
          <w:rtl/>
        </w:rPr>
        <w:t xml:space="preserve"> بنوك رقمية مرخصة وفق قائمة المرخصين الصادرة عن البنك المركزي السعودي (ساما، 2024)، وهي: بنك STC Pay، وبنك D360.</w:t>
      </w:r>
    </w:p>
    <w:p w14:paraId="43547E86"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شركات التقنية المالية (Fintech)</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224 شركة مرخصة أو حاصلة على موافقة تنظيمية.</w:t>
      </w:r>
    </w:p>
    <w:p w14:paraId="1B86B532"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وبذلك يبلغ إجمالي مجتمع الدراسة 23</w:t>
      </w:r>
      <w:r w:rsidRPr="004F6AF4">
        <w:rPr>
          <w:rFonts w:ascii="Traditional Arabic" w:hAnsi="Traditional Arabic" w:cs="Traditional Arabic" w:hint="cs"/>
          <w:sz w:val="28"/>
          <w:szCs w:val="28"/>
          <w:rtl/>
        </w:rPr>
        <w:t>7</w:t>
      </w:r>
      <w:r w:rsidRPr="004F6AF4">
        <w:rPr>
          <w:rFonts w:ascii="Traditional Arabic" w:hAnsi="Traditional Arabic" w:cs="Traditional Arabic"/>
          <w:sz w:val="28"/>
          <w:szCs w:val="28"/>
          <w:rtl/>
        </w:rPr>
        <w:t xml:space="preserve"> مؤسسة مالية تعمل في البيئة المالية الرقمية السعودية.</w:t>
      </w:r>
    </w:p>
    <w:p w14:paraId="19E202D4"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3.4.2 عينة الدراسة</w:t>
      </w:r>
    </w:p>
    <w:p w14:paraId="0E933352"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نظراً لطبيعة الدراسة التي تستهدف تقييم أثر تقنية متخصصة في سياق تنظيمي محدد، اعتمد الباحث على أسلوب العينة القصدية (Purposive Sampling). تُعدّ هذه الطريقة الأنسب لأن اختيار المؤسسات يستند إلى معايير محددة مسبقاً تضمن أن تكون العينة ممثِّلة للسياق الرقمي المالي المستهدف.</w:t>
      </w:r>
    </w:p>
    <w:p w14:paraId="40247C0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معايير اختيار العينة:</w:t>
      </w:r>
    </w:p>
    <w:p w14:paraId="52B6C49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أن تكون المؤسسة مُرخَّصة من قِبَل البنك المركزي السعودي (ساما).</w:t>
      </w:r>
    </w:p>
    <w:p w14:paraId="48A11A4B"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أن تكون تقنية الترميز مطبَّقة أو في مرحلة دراسة التطبيق.</w:t>
      </w:r>
    </w:p>
    <w:p w14:paraId="677A7A9F"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تنوع حجم المؤسسة (كبيرة، متوسطة، صغيرة).</w:t>
      </w:r>
    </w:p>
    <w:p w14:paraId="60BF1B9F"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تنوع نوع المؤسسة (بنوك تقليدية، بنوك رقمية، شركات Fintech).</w:t>
      </w:r>
    </w:p>
    <w:p w14:paraId="1E939840"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وبناءً على هذه المعايير، وُزِّعت الاستبانة الإلكترونية على العاملين في وظائف تقنية المعلومات والأمن السيبراني والعمليات المالية والامتثال داخل المؤسسات المالية المستوفية لمعايير الاختيار، وبلغ عدد الاستجابات الصالحة للتحليل (196) استجابة، وهي العينة الفعلية المعتمدة في الفصل الرابع.</w:t>
      </w:r>
    </w:p>
    <w:p w14:paraId="1F44A1E6"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703B572"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3.4.3 حجم العينة وتوزيعها</w:t>
      </w:r>
    </w:p>
    <w:p w14:paraId="5454956E"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lastRenderedPageBreak/>
        <w:t>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المستوفية لمعايير الاختيار. وقد بلغ عدد الاستجابات الصالحة للتحليل الإحصائي (196) استجابة، وهي العينة الفعلية التي أُجري عليها التحليل الوارد في الفصل الرابع.</w:t>
      </w:r>
    </w:p>
    <w:p w14:paraId="4BF56D95" w14:textId="77777777" w:rsidR="00E62032" w:rsidRDefault="00E62032" w:rsidP="00E000FF">
      <w:pPr>
        <w:pStyle w:val="Heading2"/>
        <w:bidi/>
        <w:spacing w:before="0" w:line="360" w:lineRule="auto"/>
        <w:jc w:val="both"/>
        <w:rPr>
          <w:rFonts w:ascii="Traditional Arabic" w:hAnsi="Traditional Arabic" w:cs="Traditional Arabic"/>
          <w:b/>
          <w:bCs/>
          <w:color w:val="auto"/>
          <w:sz w:val="28"/>
          <w:szCs w:val="28"/>
          <w:rtl/>
        </w:rPr>
      </w:pPr>
      <w:r w:rsidRPr="004F6AF4">
        <w:rPr>
          <w:rFonts w:ascii="Traditional Arabic" w:hAnsi="Traditional Arabic" w:cs="Traditional Arabic"/>
          <w:b/>
          <w:bCs/>
          <w:color w:val="auto"/>
          <w:sz w:val="28"/>
          <w:szCs w:val="28"/>
          <w:rtl/>
        </w:rPr>
        <w:t>ويُعدّ هذا الحجم كافياً من الناحية الإحصائية، إذ يتجاوز القاعدة المتعارف عليها التي تشترط ما لا يقل عن عشر استجابات لكل متغير متنبئ في نماذج الانحدار، كما يتجاوز الحد الأدنى اللازم لتطبيق الاختبارات اللامعلمية المستخدمة في الدراسة. ويوضح الجدول الآتي التوزيع الفعلي للعينة وفق نوع المؤسسة.</w:t>
      </w:r>
    </w:p>
    <w:p w14:paraId="2179D80E" w14:textId="77777777" w:rsidR="004F6AF4" w:rsidRDefault="004F6AF4" w:rsidP="004F6AF4">
      <w:pPr>
        <w:bidi/>
        <w:rPr>
          <w:rtl/>
        </w:rPr>
      </w:pPr>
    </w:p>
    <w:p w14:paraId="5A624C47" w14:textId="77777777" w:rsidR="004F6AF4" w:rsidRPr="004F6AF4" w:rsidRDefault="004F6AF4" w:rsidP="004F6AF4">
      <w:pPr>
        <w:bidi/>
      </w:pP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4316"/>
        <w:gridCol w:w="1992"/>
        <w:gridCol w:w="1992"/>
      </w:tblGrid>
      <w:tr w:rsidR="005D691F" w:rsidRPr="004F6AF4" w14:paraId="78DADF44" w14:textId="77777777" w:rsidTr="004F6AF4">
        <w:tc>
          <w:tcPr>
            <w:tcW w:w="4316" w:type="dxa"/>
            <w:shd w:val="clear" w:color="auto" w:fill="DCE9F5"/>
            <w:vAlign w:val="center"/>
          </w:tcPr>
          <w:p w14:paraId="08152CA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نوع المؤسسة</w:t>
            </w:r>
          </w:p>
        </w:tc>
        <w:tc>
          <w:tcPr>
            <w:tcW w:w="1992" w:type="dxa"/>
            <w:shd w:val="clear" w:color="auto" w:fill="DCE9F5"/>
            <w:vAlign w:val="center"/>
          </w:tcPr>
          <w:p w14:paraId="2F5F4CAD"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التكرار</w:t>
            </w:r>
          </w:p>
        </w:tc>
        <w:tc>
          <w:tcPr>
            <w:tcW w:w="1992" w:type="dxa"/>
            <w:shd w:val="clear" w:color="auto" w:fill="DCE9F5"/>
            <w:vAlign w:val="center"/>
          </w:tcPr>
          <w:p w14:paraId="760D574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النسبة المئوية</w:t>
            </w:r>
          </w:p>
        </w:tc>
      </w:tr>
      <w:tr w:rsidR="005D691F" w:rsidRPr="004F6AF4" w14:paraId="316B21ED" w14:textId="77777777" w:rsidTr="004F6AF4">
        <w:tc>
          <w:tcPr>
            <w:tcW w:w="4316" w:type="dxa"/>
            <w:vAlign w:val="center"/>
          </w:tcPr>
          <w:p w14:paraId="7FB419AD"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البنوك التجارية</w:t>
            </w:r>
          </w:p>
        </w:tc>
        <w:tc>
          <w:tcPr>
            <w:tcW w:w="1992" w:type="dxa"/>
            <w:vAlign w:val="center"/>
          </w:tcPr>
          <w:p w14:paraId="3B4A0A4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87</w:t>
            </w:r>
          </w:p>
        </w:tc>
        <w:tc>
          <w:tcPr>
            <w:tcW w:w="1992" w:type="dxa"/>
            <w:vAlign w:val="center"/>
          </w:tcPr>
          <w:p w14:paraId="2279B03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44.4%</w:t>
            </w:r>
          </w:p>
        </w:tc>
      </w:tr>
      <w:tr w:rsidR="005D691F" w:rsidRPr="004F6AF4" w14:paraId="2FC99F6A" w14:textId="77777777" w:rsidTr="004F6AF4">
        <w:tc>
          <w:tcPr>
            <w:tcW w:w="4316" w:type="dxa"/>
            <w:vAlign w:val="center"/>
          </w:tcPr>
          <w:p w14:paraId="76014E0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مؤسسات مالية أخرى</w:t>
            </w:r>
          </w:p>
        </w:tc>
        <w:tc>
          <w:tcPr>
            <w:tcW w:w="1992" w:type="dxa"/>
            <w:vAlign w:val="center"/>
          </w:tcPr>
          <w:p w14:paraId="2B1C111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36</w:t>
            </w:r>
          </w:p>
        </w:tc>
        <w:tc>
          <w:tcPr>
            <w:tcW w:w="1992" w:type="dxa"/>
            <w:vAlign w:val="center"/>
          </w:tcPr>
          <w:p w14:paraId="6EC8FE1D"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18.4%</w:t>
            </w:r>
          </w:p>
        </w:tc>
      </w:tr>
      <w:tr w:rsidR="005D691F" w:rsidRPr="004F6AF4" w14:paraId="6C948451" w14:textId="77777777" w:rsidTr="004F6AF4">
        <w:tc>
          <w:tcPr>
            <w:tcW w:w="4316" w:type="dxa"/>
            <w:vAlign w:val="center"/>
          </w:tcPr>
          <w:p w14:paraId="64F5692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الدفع الإلكتروني</w:t>
            </w:r>
          </w:p>
        </w:tc>
        <w:tc>
          <w:tcPr>
            <w:tcW w:w="1992" w:type="dxa"/>
            <w:vAlign w:val="center"/>
          </w:tcPr>
          <w:p w14:paraId="35D0714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29</w:t>
            </w:r>
          </w:p>
        </w:tc>
        <w:tc>
          <w:tcPr>
            <w:tcW w:w="1992" w:type="dxa"/>
            <w:vAlign w:val="center"/>
          </w:tcPr>
          <w:p w14:paraId="1896CF1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14.8%</w:t>
            </w:r>
          </w:p>
        </w:tc>
      </w:tr>
      <w:tr w:rsidR="005D691F" w:rsidRPr="004F6AF4" w14:paraId="76068F5B" w14:textId="77777777" w:rsidTr="004F6AF4">
        <w:tc>
          <w:tcPr>
            <w:tcW w:w="4316" w:type="dxa"/>
            <w:vAlign w:val="center"/>
          </w:tcPr>
          <w:p w14:paraId="18A5102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التأمين</w:t>
            </w:r>
          </w:p>
        </w:tc>
        <w:tc>
          <w:tcPr>
            <w:tcW w:w="1992" w:type="dxa"/>
            <w:vAlign w:val="center"/>
          </w:tcPr>
          <w:p w14:paraId="0F68DA2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26</w:t>
            </w:r>
          </w:p>
        </w:tc>
        <w:tc>
          <w:tcPr>
            <w:tcW w:w="1992" w:type="dxa"/>
            <w:vAlign w:val="center"/>
          </w:tcPr>
          <w:p w14:paraId="44867A1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13.3%</w:t>
            </w:r>
          </w:p>
        </w:tc>
      </w:tr>
      <w:tr w:rsidR="005D691F" w:rsidRPr="004F6AF4" w14:paraId="143DE055" w14:textId="77777777" w:rsidTr="004F6AF4">
        <w:tc>
          <w:tcPr>
            <w:tcW w:w="4316" w:type="dxa"/>
            <w:vAlign w:val="center"/>
          </w:tcPr>
          <w:p w14:paraId="74B68F7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التقنية المالية (Fintech)</w:t>
            </w:r>
          </w:p>
        </w:tc>
        <w:tc>
          <w:tcPr>
            <w:tcW w:w="1992" w:type="dxa"/>
            <w:vAlign w:val="center"/>
          </w:tcPr>
          <w:p w14:paraId="1AA9C5C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18</w:t>
            </w:r>
          </w:p>
        </w:tc>
        <w:tc>
          <w:tcPr>
            <w:tcW w:w="1992" w:type="dxa"/>
            <w:vAlign w:val="center"/>
          </w:tcPr>
          <w:p w14:paraId="7E155A80"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9.2%</w:t>
            </w:r>
          </w:p>
        </w:tc>
      </w:tr>
      <w:tr w:rsidR="005D691F" w:rsidRPr="004F6AF4" w14:paraId="3B9CF8E2" w14:textId="77777777" w:rsidTr="004F6AF4">
        <w:tc>
          <w:tcPr>
            <w:tcW w:w="4316" w:type="dxa"/>
            <w:vAlign w:val="center"/>
          </w:tcPr>
          <w:p w14:paraId="24D3CBB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الإجمالي</w:t>
            </w:r>
          </w:p>
        </w:tc>
        <w:tc>
          <w:tcPr>
            <w:tcW w:w="1992" w:type="dxa"/>
            <w:vAlign w:val="center"/>
          </w:tcPr>
          <w:p w14:paraId="6C3ACCB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196</w:t>
            </w:r>
          </w:p>
        </w:tc>
        <w:tc>
          <w:tcPr>
            <w:tcW w:w="1992" w:type="dxa"/>
            <w:vAlign w:val="center"/>
          </w:tcPr>
          <w:p w14:paraId="26CDAE1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100%</w:t>
            </w:r>
          </w:p>
        </w:tc>
      </w:tr>
    </w:tbl>
    <w:p w14:paraId="1004BCFD"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(3.1): التوزيع الفعلي لعينة الدراسة وفق نوع المؤسسة (ن = 196)</w:t>
      </w:r>
    </w:p>
    <w:p w14:paraId="20D2E2F2"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ويتضح من الجدول أن البنوك التجارية شكّلت النسبة الأكبر من العينة، وهو ما يتسق مع كونها الأوسع تطبيقاً لتقنية الترميز في القطاع المالي السعودي. ولأغراض اختبار الفرض الفرعي H3b، أُعيد تصنيف هذه الفئات إلى ثلاث مجموعات متجانسة نسبياً هي: البنوك (87)، ومؤسسات الفنتك والدفع الإلكتروني (47)، والمؤسسات المالية الأخرى (62).</w:t>
      </w:r>
    </w:p>
    <w:p w14:paraId="555917C2"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55F15002"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7" w:name="_Toc234424160"/>
      <w:r>
        <w:rPr>
          <w:rFonts w:ascii="Traditional Arabic" w:hAnsi="Traditional Arabic" w:cs="Traditional Arabic"/>
          <w:b/>
          <w:bCs/>
          <w:sz w:val="32"/>
          <w:szCs w:val="32"/>
          <w:u w:val="single"/>
          <w:rtl/>
        </w:rPr>
        <w:t>3.5 أدوات جمع البيانات</w:t>
      </w:r>
      <w:bookmarkEnd w:id="37"/>
    </w:p>
    <w:p w14:paraId="25973119" w14:textId="77777777" w:rsidR="00B35152" w:rsidRPr="007F40DD" w:rsidRDefault="00B35152" w:rsidP="00E000FF">
      <w:pPr>
        <w:bidi/>
        <w:spacing w:after="0" w:line="360" w:lineRule="auto"/>
        <w:jc w:val="both"/>
        <w:rPr>
          <w:rFonts w:ascii="Simplified Arabic" w:hAnsi="Simplified Arabic" w:cs="Simplified Arabic"/>
          <w:b/>
          <w:bCs/>
          <w:sz w:val="28"/>
          <w:szCs w:val="28"/>
        </w:rPr>
      </w:pPr>
      <w:r w:rsidRPr="007F40DD">
        <w:rPr>
          <w:rFonts w:ascii="Traditional Arabic" w:hAnsi="Traditional Arabic" w:cs="Traditional Arabic"/>
          <w:b/>
          <w:bCs/>
          <w:sz w:val="28"/>
          <w:szCs w:val="28"/>
          <w:rtl/>
        </w:rPr>
        <w:t>3.5.1 الاستبانة الإلكترونية</w:t>
      </w:r>
    </w:p>
    <w:p w14:paraId="344353CA" w14:textId="77777777" w:rsidR="00B35152" w:rsidRPr="007F40DD" w:rsidRDefault="00B35152" w:rsidP="00E000FF">
      <w:pPr>
        <w:bidi/>
        <w:spacing w:after="0" w:line="360" w:lineRule="auto"/>
        <w:jc w:val="both"/>
        <w:rPr>
          <w:rFonts w:ascii="Simplified Arabic" w:hAnsi="Simplified Arabic" w:cs="Simplified Arabic"/>
          <w:sz w:val="28"/>
          <w:szCs w:val="28"/>
          <w:rtl/>
        </w:rPr>
      </w:pPr>
      <w:r w:rsidRPr="007F40DD">
        <w:rPr>
          <w:rFonts w:ascii="Traditional Arabic" w:hAnsi="Traditional Arabic" w:cs="Traditional Arabic"/>
          <w:sz w:val="28"/>
          <w:szCs w:val="28"/>
          <w:rtl/>
        </w:rPr>
        <w:lastRenderedPageBreak/>
        <w:t>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ليكرت الخماسي (1 = لا أوافق بشدة، 5 = أوافق بشدة). والجدول التالي يوضح أوزان الاستجابات ومستويات الموافقة المعتمدة في تفسير النتائج:</w:t>
      </w:r>
    </w:p>
    <w:tbl>
      <w:tblPr>
        <w:tblStyle w:val="TableGrid"/>
        <w:bidiVisual/>
        <w:tblW w:w="8297"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655"/>
        <w:gridCol w:w="2298"/>
        <w:gridCol w:w="2172"/>
        <w:gridCol w:w="2172"/>
      </w:tblGrid>
      <w:tr w:rsidR="00B35152" w:rsidRPr="007F40DD" w14:paraId="00576136" w14:textId="77777777" w:rsidTr="007F40DD">
        <w:tc>
          <w:tcPr>
            <w:tcW w:w="1655" w:type="dxa"/>
            <w:shd w:val="clear" w:color="auto" w:fill="1F4E79"/>
            <w:vAlign w:val="center"/>
          </w:tcPr>
          <w:p w14:paraId="15F23FB5"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الوزن</w:t>
            </w:r>
          </w:p>
        </w:tc>
        <w:tc>
          <w:tcPr>
            <w:tcW w:w="2298" w:type="dxa"/>
            <w:shd w:val="clear" w:color="auto" w:fill="1F4E79"/>
            <w:vAlign w:val="center"/>
          </w:tcPr>
          <w:p w14:paraId="0982B5A2"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مستوى الموافقة</w:t>
            </w:r>
          </w:p>
        </w:tc>
        <w:tc>
          <w:tcPr>
            <w:tcW w:w="2172" w:type="dxa"/>
            <w:shd w:val="clear" w:color="auto" w:fill="1F4E79"/>
            <w:vAlign w:val="center"/>
          </w:tcPr>
          <w:p w14:paraId="767EC823"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المدى</w:t>
            </w:r>
          </w:p>
        </w:tc>
        <w:tc>
          <w:tcPr>
            <w:tcW w:w="2172" w:type="dxa"/>
            <w:shd w:val="clear" w:color="auto" w:fill="1F4E79"/>
            <w:vAlign w:val="center"/>
          </w:tcPr>
          <w:p w14:paraId="78D0E112"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درجة الموافقة</w:t>
            </w:r>
          </w:p>
        </w:tc>
      </w:tr>
      <w:tr w:rsidR="00B35152" w:rsidRPr="007F40DD" w14:paraId="73737E6D" w14:textId="77777777" w:rsidTr="007F40DD">
        <w:tc>
          <w:tcPr>
            <w:tcW w:w="1655" w:type="dxa"/>
            <w:vAlign w:val="center"/>
          </w:tcPr>
          <w:p w14:paraId="3338F6DC"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5</w:t>
            </w:r>
          </w:p>
        </w:tc>
        <w:tc>
          <w:tcPr>
            <w:tcW w:w="2298" w:type="dxa"/>
            <w:vAlign w:val="center"/>
          </w:tcPr>
          <w:p w14:paraId="2B633023"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مرتفع جداً</w:t>
            </w:r>
          </w:p>
        </w:tc>
        <w:tc>
          <w:tcPr>
            <w:tcW w:w="2172" w:type="dxa"/>
            <w:vAlign w:val="center"/>
          </w:tcPr>
          <w:p w14:paraId="173A8B41"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4.21 - 5.00</w:t>
            </w:r>
          </w:p>
        </w:tc>
        <w:tc>
          <w:tcPr>
            <w:tcW w:w="2172" w:type="dxa"/>
            <w:vAlign w:val="center"/>
          </w:tcPr>
          <w:p w14:paraId="3BFCFC9A"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أوافق بشدة</w:t>
            </w:r>
          </w:p>
        </w:tc>
      </w:tr>
      <w:tr w:rsidR="00B35152" w:rsidRPr="007F40DD" w14:paraId="65158449" w14:textId="77777777" w:rsidTr="007F40DD">
        <w:tc>
          <w:tcPr>
            <w:tcW w:w="1655" w:type="dxa"/>
            <w:shd w:val="clear" w:color="auto" w:fill="E8F0F7"/>
            <w:vAlign w:val="center"/>
          </w:tcPr>
          <w:p w14:paraId="30C61DAD"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4</w:t>
            </w:r>
          </w:p>
        </w:tc>
        <w:tc>
          <w:tcPr>
            <w:tcW w:w="2298" w:type="dxa"/>
            <w:shd w:val="clear" w:color="auto" w:fill="E8F0F7"/>
            <w:vAlign w:val="center"/>
          </w:tcPr>
          <w:p w14:paraId="3B6D35E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مرتفع</w:t>
            </w:r>
          </w:p>
        </w:tc>
        <w:tc>
          <w:tcPr>
            <w:tcW w:w="2172" w:type="dxa"/>
            <w:shd w:val="clear" w:color="auto" w:fill="E8F0F7"/>
            <w:vAlign w:val="center"/>
          </w:tcPr>
          <w:p w14:paraId="67BA1118"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3.41 - 4.20</w:t>
            </w:r>
          </w:p>
        </w:tc>
        <w:tc>
          <w:tcPr>
            <w:tcW w:w="2172" w:type="dxa"/>
            <w:shd w:val="clear" w:color="auto" w:fill="E8F0F7"/>
            <w:vAlign w:val="center"/>
          </w:tcPr>
          <w:p w14:paraId="682EC3A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أوافق</w:t>
            </w:r>
          </w:p>
        </w:tc>
      </w:tr>
      <w:tr w:rsidR="00B35152" w:rsidRPr="007F40DD" w14:paraId="506197A8" w14:textId="77777777" w:rsidTr="007F40DD">
        <w:tc>
          <w:tcPr>
            <w:tcW w:w="1655" w:type="dxa"/>
            <w:vAlign w:val="center"/>
          </w:tcPr>
          <w:p w14:paraId="0580C674"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3</w:t>
            </w:r>
          </w:p>
        </w:tc>
        <w:tc>
          <w:tcPr>
            <w:tcW w:w="2298" w:type="dxa"/>
            <w:vAlign w:val="center"/>
          </w:tcPr>
          <w:p w14:paraId="384A1321"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متوسط</w:t>
            </w:r>
          </w:p>
        </w:tc>
        <w:tc>
          <w:tcPr>
            <w:tcW w:w="2172" w:type="dxa"/>
            <w:vAlign w:val="center"/>
          </w:tcPr>
          <w:p w14:paraId="0CCC9B4E"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2.61 - 3.40</w:t>
            </w:r>
          </w:p>
        </w:tc>
        <w:tc>
          <w:tcPr>
            <w:tcW w:w="2172" w:type="dxa"/>
            <w:vAlign w:val="center"/>
          </w:tcPr>
          <w:p w14:paraId="206EA94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محايد</w:t>
            </w:r>
          </w:p>
        </w:tc>
      </w:tr>
      <w:tr w:rsidR="00B35152" w:rsidRPr="007F40DD" w14:paraId="5EB02AF1" w14:textId="77777777" w:rsidTr="007F40DD">
        <w:tc>
          <w:tcPr>
            <w:tcW w:w="1655" w:type="dxa"/>
            <w:shd w:val="clear" w:color="auto" w:fill="E8F0F7"/>
            <w:vAlign w:val="center"/>
          </w:tcPr>
          <w:p w14:paraId="4B03FA12"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2</w:t>
            </w:r>
          </w:p>
        </w:tc>
        <w:tc>
          <w:tcPr>
            <w:tcW w:w="2298" w:type="dxa"/>
            <w:shd w:val="clear" w:color="auto" w:fill="E8F0F7"/>
            <w:vAlign w:val="center"/>
          </w:tcPr>
          <w:p w14:paraId="729D6FE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منخفض</w:t>
            </w:r>
          </w:p>
        </w:tc>
        <w:tc>
          <w:tcPr>
            <w:tcW w:w="2172" w:type="dxa"/>
            <w:shd w:val="clear" w:color="auto" w:fill="E8F0F7"/>
            <w:vAlign w:val="center"/>
          </w:tcPr>
          <w:p w14:paraId="1CDB22A6"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1.81 - 2.60</w:t>
            </w:r>
          </w:p>
        </w:tc>
        <w:tc>
          <w:tcPr>
            <w:tcW w:w="2172" w:type="dxa"/>
            <w:shd w:val="clear" w:color="auto" w:fill="E8F0F7"/>
            <w:vAlign w:val="center"/>
          </w:tcPr>
          <w:p w14:paraId="1DCD0E74"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لا أوافق</w:t>
            </w:r>
          </w:p>
        </w:tc>
      </w:tr>
      <w:tr w:rsidR="00B35152" w:rsidRPr="007F40DD" w14:paraId="1E4AE3FE" w14:textId="77777777" w:rsidTr="007F40DD">
        <w:tc>
          <w:tcPr>
            <w:tcW w:w="1655" w:type="dxa"/>
            <w:vAlign w:val="center"/>
          </w:tcPr>
          <w:p w14:paraId="276C3F3C"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w:t>
            </w:r>
          </w:p>
        </w:tc>
        <w:tc>
          <w:tcPr>
            <w:tcW w:w="2298" w:type="dxa"/>
            <w:vAlign w:val="center"/>
          </w:tcPr>
          <w:p w14:paraId="7EC2B8E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منخفض جداً</w:t>
            </w:r>
          </w:p>
        </w:tc>
        <w:tc>
          <w:tcPr>
            <w:tcW w:w="2172" w:type="dxa"/>
            <w:vAlign w:val="center"/>
          </w:tcPr>
          <w:p w14:paraId="0F3CB3DD"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1.00 - 1.80</w:t>
            </w:r>
          </w:p>
        </w:tc>
        <w:tc>
          <w:tcPr>
            <w:tcW w:w="2172" w:type="dxa"/>
            <w:vAlign w:val="center"/>
          </w:tcPr>
          <w:p w14:paraId="26CCEA72"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لا أوافق بشدة</w:t>
            </w:r>
          </w:p>
        </w:tc>
      </w:tr>
    </w:tbl>
    <w:p w14:paraId="3A19532D" w14:textId="77777777" w:rsidR="00B35152" w:rsidRDefault="00B35152" w:rsidP="00E000FF">
      <w:pPr>
        <w:pStyle w:val="TableCaption"/>
        <w:bidi/>
        <w:spacing w:after="0" w:line="300" w:lineRule="auto"/>
        <w:jc w:val="center"/>
        <w:rPr>
          <w:rFonts w:ascii="Simplified Arabic" w:hAnsi="Simplified Arabic" w:cs="Simplified Arabic"/>
          <w:sz w:val="24"/>
          <w:szCs w:val="24"/>
          <w:rtl/>
        </w:rPr>
      </w:pPr>
      <w:r>
        <w:rPr>
          <w:rFonts w:ascii="Traditional Arabic" w:hAnsi="Traditional Arabic" w:cs="Traditional Arabic"/>
          <w:b/>
          <w:bCs/>
          <w:sz w:val="24"/>
          <w:szCs w:val="24"/>
          <w:rtl/>
        </w:rPr>
        <w:t>جدول (3.2-ب): أوزان مقياس ليكرت الخماسي ومستويات الموافقة</w:t>
      </w:r>
    </w:p>
    <w:p w14:paraId="7898BF42" w14:textId="77777777" w:rsidR="00B35152" w:rsidRPr="007F40DD" w:rsidRDefault="00B35152" w:rsidP="00E000FF">
      <w:pPr>
        <w:bidi/>
        <w:spacing w:after="0" w:line="360" w:lineRule="auto"/>
        <w:jc w:val="both"/>
        <w:rPr>
          <w:rFonts w:ascii="Simplified Arabic" w:hAnsi="Simplified Arabic" w:cs="Simplified Arabic"/>
          <w:sz w:val="32"/>
          <w:szCs w:val="32"/>
          <w:rtl/>
        </w:rPr>
      </w:pPr>
      <w:r w:rsidRPr="007F40DD">
        <w:rPr>
          <w:rFonts w:ascii="Traditional Arabic" w:hAnsi="Traditional Arabic" w:cs="Traditional Arabic"/>
          <w:sz w:val="28"/>
          <w:szCs w:val="28"/>
          <w:rtl/>
        </w:rPr>
        <w:t>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PCI Security Standards Council). كما خضعت الفقرات لتعديلات أثناء التطوير استجابةً لملاحظات المشرف، وستخضع لمراجعة إضافية بناءً على مرئيات المحكّمين من جامعة Midocean قبل التوزيع النهائي.</w:t>
      </w:r>
    </w:p>
    <w:p w14:paraId="16EE45FC"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TableGrid"/>
        <w:bidiVisual/>
        <w:tblW w:w="10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2600"/>
        <w:gridCol w:w="1700"/>
        <w:gridCol w:w="2600"/>
        <w:gridCol w:w="1300"/>
        <w:gridCol w:w="2100"/>
      </w:tblGrid>
      <w:tr w:rsidR="00827F40" w14:paraId="3CED9C2C" w14:textId="77777777">
        <w:trPr>
          <w:tblHeader/>
        </w:trPr>
        <w:tc>
          <w:tcPr>
            <w:tcW w:w="2600" w:type="dxa"/>
            <w:shd w:val="clear" w:color="auto" w:fill="DCE9F5"/>
            <w:vAlign w:val="center"/>
          </w:tcPr>
          <w:p w14:paraId="4DFF8387" w14:textId="77777777" w:rsidR="00827F40" w:rsidRDefault="00F03C2E">
            <w:pPr>
              <w:bidi/>
              <w:spacing w:after="0" w:line="280" w:lineRule="auto"/>
              <w:jc w:val="center"/>
            </w:pPr>
            <w:r>
              <w:rPr>
                <w:rFonts w:ascii="Traditional Arabic" w:hAnsi="Traditional Arabic" w:cs="Traditional Arabic"/>
                <w:b/>
                <w:bCs/>
                <w:rtl/>
              </w:rPr>
              <w:t>المتغير</w:t>
            </w:r>
          </w:p>
        </w:tc>
        <w:tc>
          <w:tcPr>
            <w:tcW w:w="1700" w:type="dxa"/>
            <w:shd w:val="clear" w:color="auto" w:fill="DCE9F5"/>
            <w:vAlign w:val="center"/>
          </w:tcPr>
          <w:p w14:paraId="5E65A79C" w14:textId="77777777" w:rsidR="00827F40" w:rsidRDefault="00F03C2E">
            <w:pPr>
              <w:bidi/>
              <w:spacing w:after="0" w:line="280" w:lineRule="auto"/>
              <w:jc w:val="center"/>
            </w:pPr>
            <w:r>
              <w:rPr>
                <w:rFonts w:ascii="Traditional Arabic" w:hAnsi="Traditional Arabic" w:cs="Traditional Arabic"/>
                <w:b/>
                <w:bCs/>
                <w:rtl/>
              </w:rPr>
              <w:t>نوع المتغير</w:t>
            </w:r>
          </w:p>
        </w:tc>
        <w:tc>
          <w:tcPr>
            <w:tcW w:w="2600" w:type="dxa"/>
            <w:shd w:val="clear" w:color="auto" w:fill="DCE9F5"/>
            <w:vAlign w:val="center"/>
          </w:tcPr>
          <w:p w14:paraId="7CDBF624" w14:textId="77777777" w:rsidR="00827F40" w:rsidRDefault="00F03C2E">
            <w:pPr>
              <w:bidi/>
              <w:spacing w:after="0" w:line="280" w:lineRule="auto"/>
              <w:jc w:val="center"/>
            </w:pPr>
            <w:r>
              <w:rPr>
                <w:rFonts w:ascii="Traditional Arabic" w:hAnsi="Traditional Arabic" w:cs="Traditional Arabic"/>
                <w:b/>
                <w:bCs/>
                <w:rtl/>
              </w:rPr>
              <w:t>الأبعاد / المؤشرات</w:t>
            </w:r>
          </w:p>
        </w:tc>
        <w:tc>
          <w:tcPr>
            <w:tcW w:w="1300" w:type="dxa"/>
            <w:shd w:val="clear" w:color="auto" w:fill="DCE9F5"/>
            <w:vAlign w:val="center"/>
          </w:tcPr>
          <w:p w14:paraId="1D7EC78E" w14:textId="77777777" w:rsidR="00827F40" w:rsidRDefault="00F03C2E">
            <w:pPr>
              <w:bidi/>
              <w:spacing w:after="0" w:line="280" w:lineRule="auto"/>
              <w:jc w:val="center"/>
            </w:pPr>
            <w:r>
              <w:rPr>
                <w:rFonts w:ascii="Traditional Arabic" w:hAnsi="Traditional Arabic" w:cs="Traditional Arabic"/>
                <w:b/>
                <w:bCs/>
                <w:rtl/>
              </w:rPr>
              <w:t>عدد العبارات</w:t>
            </w:r>
          </w:p>
        </w:tc>
        <w:tc>
          <w:tcPr>
            <w:tcW w:w="2100" w:type="dxa"/>
            <w:shd w:val="clear" w:color="auto" w:fill="DCE9F5"/>
            <w:vAlign w:val="center"/>
          </w:tcPr>
          <w:p w14:paraId="23BA4B75" w14:textId="77777777" w:rsidR="00827F40" w:rsidRDefault="00F03C2E">
            <w:pPr>
              <w:bidi/>
              <w:spacing w:after="0" w:line="280" w:lineRule="auto"/>
              <w:jc w:val="center"/>
            </w:pPr>
            <w:r>
              <w:rPr>
                <w:rFonts w:ascii="Traditional Arabic" w:hAnsi="Traditional Arabic" w:cs="Traditional Arabic"/>
                <w:b/>
                <w:bCs/>
                <w:rtl/>
              </w:rPr>
              <w:t>المرجع الرئيسي</w:t>
            </w:r>
          </w:p>
        </w:tc>
      </w:tr>
      <w:tr w:rsidR="00827F40" w14:paraId="36B07B9E" w14:textId="77777777">
        <w:tc>
          <w:tcPr>
            <w:tcW w:w="2600" w:type="dxa"/>
            <w:vAlign w:val="center"/>
          </w:tcPr>
          <w:p w14:paraId="028D2791" w14:textId="77777777" w:rsidR="00827F40" w:rsidRDefault="00F03C2E">
            <w:pPr>
              <w:bidi/>
              <w:spacing w:after="0" w:line="280" w:lineRule="auto"/>
              <w:jc w:val="right"/>
            </w:pPr>
            <w:r>
              <w:rPr>
                <w:rFonts w:ascii="Traditional Arabic" w:hAnsi="Traditional Arabic" w:cs="Traditional Arabic"/>
                <w:rtl/>
              </w:rPr>
              <w:t>تطبيق تقنية الترميز الأمني للبيانات</w:t>
            </w:r>
          </w:p>
        </w:tc>
        <w:tc>
          <w:tcPr>
            <w:tcW w:w="1700" w:type="dxa"/>
            <w:vAlign w:val="center"/>
          </w:tcPr>
          <w:p w14:paraId="7C33A882" w14:textId="77777777" w:rsidR="00827F40" w:rsidRDefault="00F03C2E">
            <w:pPr>
              <w:bidi/>
              <w:spacing w:after="0" w:line="280" w:lineRule="auto"/>
              <w:jc w:val="right"/>
            </w:pPr>
            <w:r>
              <w:rPr>
                <w:rFonts w:ascii="Traditional Arabic" w:hAnsi="Traditional Arabic" w:cs="Traditional Arabic"/>
                <w:rtl/>
              </w:rPr>
              <w:t>مستقل أول</w:t>
            </w:r>
          </w:p>
        </w:tc>
        <w:tc>
          <w:tcPr>
            <w:tcW w:w="2600" w:type="dxa"/>
            <w:vAlign w:val="center"/>
          </w:tcPr>
          <w:p w14:paraId="64D48454" w14:textId="77777777" w:rsidR="00827F40" w:rsidRDefault="00F03C2E">
            <w:pPr>
              <w:bidi/>
              <w:spacing w:after="0" w:line="280" w:lineRule="auto"/>
              <w:jc w:val="right"/>
            </w:pPr>
            <w:r>
              <w:rPr>
                <w:rFonts w:ascii="Traditional Arabic" w:hAnsi="Traditional Arabic" w:cs="Traditional Arabic"/>
                <w:rtl/>
              </w:rPr>
              <w:t>حماية بيانات الدفع، الحد من الاحتيال، الترميز الديناميكي</w:t>
            </w:r>
          </w:p>
        </w:tc>
        <w:tc>
          <w:tcPr>
            <w:tcW w:w="1300" w:type="dxa"/>
            <w:vAlign w:val="center"/>
          </w:tcPr>
          <w:p w14:paraId="47E57A15"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4989633A" w14:textId="77777777" w:rsidR="00827F40" w:rsidRDefault="00F03C2E">
            <w:pPr>
              <w:bidi/>
              <w:spacing w:after="0" w:line="280" w:lineRule="auto"/>
              <w:jc w:val="right"/>
            </w:pPr>
            <w:r>
              <w:rPr>
                <w:rFonts w:ascii="Traditional Arabic" w:hAnsi="Traditional Arabic" w:cs="Traditional Arabic"/>
                <w:rtl/>
              </w:rPr>
              <w:t>EMVCo (2023); PCI SSC (2024)</w:t>
            </w:r>
          </w:p>
        </w:tc>
      </w:tr>
      <w:tr w:rsidR="00827F40" w14:paraId="33DAFB07" w14:textId="77777777">
        <w:tc>
          <w:tcPr>
            <w:tcW w:w="2600" w:type="dxa"/>
            <w:vAlign w:val="center"/>
          </w:tcPr>
          <w:p w14:paraId="2B83242E" w14:textId="77777777" w:rsidR="00827F40" w:rsidRDefault="00F03C2E">
            <w:pPr>
              <w:bidi/>
              <w:spacing w:after="0" w:line="280" w:lineRule="auto"/>
              <w:jc w:val="right"/>
            </w:pPr>
            <w:r>
              <w:rPr>
                <w:rFonts w:ascii="Traditional Arabic" w:hAnsi="Traditional Arabic" w:cs="Traditional Arabic"/>
                <w:rtl/>
              </w:rPr>
              <w:t>الامتثال للمعايير الدولية</w:t>
            </w:r>
          </w:p>
        </w:tc>
        <w:tc>
          <w:tcPr>
            <w:tcW w:w="1700" w:type="dxa"/>
            <w:vAlign w:val="center"/>
          </w:tcPr>
          <w:p w14:paraId="610FD2FF" w14:textId="77777777" w:rsidR="00827F40" w:rsidRDefault="00F03C2E">
            <w:pPr>
              <w:bidi/>
              <w:spacing w:after="0" w:line="280" w:lineRule="auto"/>
              <w:jc w:val="right"/>
            </w:pPr>
            <w:r>
              <w:rPr>
                <w:rFonts w:ascii="Traditional Arabic" w:hAnsi="Traditional Arabic" w:cs="Traditional Arabic"/>
                <w:rtl/>
              </w:rPr>
              <w:t>مستقل ثانٍ</w:t>
            </w:r>
          </w:p>
        </w:tc>
        <w:tc>
          <w:tcPr>
            <w:tcW w:w="2600" w:type="dxa"/>
            <w:vAlign w:val="center"/>
          </w:tcPr>
          <w:p w14:paraId="371E7C1F" w14:textId="77777777" w:rsidR="00827F40" w:rsidRDefault="00F03C2E">
            <w:pPr>
              <w:bidi/>
              <w:spacing w:after="0" w:line="280" w:lineRule="auto"/>
              <w:jc w:val="right"/>
            </w:pPr>
            <w:r>
              <w:rPr>
                <w:rFonts w:ascii="Traditional Arabic" w:hAnsi="Traditional Arabic" w:cs="Traditional Arabic"/>
                <w:rtl/>
              </w:rPr>
              <w:t>PCI DSS، ISO 27001، الضوابط الرقابية الوطنية</w:t>
            </w:r>
          </w:p>
        </w:tc>
        <w:tc>
          <w:tcPr>
            <w:tcW w:w="1300" w:type="dxa"/>
            <w:vAlign w:val="center"/>
          </w:tcPr>
          <w:p w14:paraId="278C71ED"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51FB6192" w14:textId="77777777" w:rsidR="00827F40" w:rsidRDefault="00F03C2E">
            <w:pPr>
              <w:bidi/>
              <w:spacing w:after="0" w:line="280" w:lineRule="auto"/>
              <w:jc w:val="right"/>
            </w:pPr>
            <w:r>
              <w:rPr>
                <w:rFonts w:ascii="Traditional Arabic" w:hAnsi="Traditional Arabic" w:cs="Traditional Arabic"/>
                <w:rtl/>
              </w:rPr>
              <w:t>PCI SSC (2024); Park &amp; Hastings (2025)</w:t>
            </w:r>
          </w:p>
        </w:tc>
      </w:tr>
      <w:tr w:rsidR="00827F40" w14:paraId="6E34E3E8" w14:textId="77777777">
        <w:tc>
          <w:tcPr>
            <w:tcW w:w="2600" w:type="dxa"/>
            <w:vAlign w:val="center"/>
          </w:tcPr>
          <w:p w14:paraId="72DCFEFA" w14:textId="77777777" w:rsidR="00827F40" w:rsidRDefault="00F03C2E">
            <w:pPr>
              <w:bidi/>
              <w:spacing w:after="0" w:line="280" w:lineRule="auto"/>
              <w:jc w:val="right"/>
            </w:pPr>
            <w:r>
              <w:rPr>
                <w:rFonts w:ascii="Traditional Arabic" w:hAnsi="Traditional Arabic" w:cs="Traditional Arabic"/>
                <w:rtl/>
              </w:rPr>
              <w:t>الأمن السيبراني المؤسسي</w:t>
            </w:r>
          </w:p>
        </w:tc>
        <w:tc>
          <w:tcPr>
            <w:tcW w:w="1700" w:type="dxa"/>
            <w:vAlign w:val="center"/>
          </w:tcPr>
          <w:p w14:paraId="232EA8F2" w14:textId="77777777" w:rsidR="00827F40" w:rsidRDefault="00F03C2E">
            <w:pPr>
              <w:bidi/>
              <w:spacing w:after="0" w:line="280" w:lineRule="auto"/>
              <w:jc w:val="right"/>
            </w:pPr>
            <w:r>
              <w:rPr>
                <w:rFonts w:ascii="Traditional Arabic" w:hAnsi="Traditional Arabic" w:cs="Traditional Arabic"/>
                <w:rtl/>
              </w:rPr>
              <w:t>تابع أول</w:t>
            </w:r>
          </w:p>
        </w:tc>
        <w:tc>
          <w:tcPr>
            <w:tcW w:w="2600" w:type="dxa"/>
            <w:vAlign w:val="center"/>
          </w:tcPr>
          <w:p w14:paraId="50140396" w14:textId="77777777" w:rsidR="00827F40" w:rsidRDefault="00F03C2E">
            <w:pPr>
              <w:bidi/>
              <w:spacing w:after="0" w:line="280" w:lineRule="auto"/>
              <w:jc w:val="right"/>
            </w:pPr>
            <w:r>
              <w:rPr>
                <w:rFonts w:ascii="Traditional Arabic" w:hAnsi="Traditional Arabic" w:cs="Traditional Arabic"/>
                <w:rtl/>
              </w:rPr>
              <w:t>الوقاية، الاستجابة للحوادث، استمرارية الأعمال</w:t>
            </w:r>
          </w:p>
        </w:tc>
        <w:tc>
          <w:tcPr>
            <w:tcW w:w="1300" w:type="dxa"/>
            <w:vAlign w:val="center"/>
          </w:tcPr>
          <w:p w14:paraId="2ADA69C2"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18181045" w14:textId="77777777" w:rsidR="00827F40" w:rsidRDefault="00F03C2E">
            <w:pPr>
              <w:bidi/>
              <w:spacing w:after="0" w:line="280" w:lineRule="auto"/>
              <w:jc w:val="right"/>
            </w:pPr>
            <w:r>
              <w:rPr>
                <w:rFonts w:ascii="Traditional Arabic" w:hAnsi="Traditional Arabic" w:cs="Traditional Arabic"/>
                <w:rtl/>
              </w:rPr>
              <w:t>NIST (2023); ENISA (2024)</w:t>
            </w:r>
          </w:p>
        </w:tc>
      </w:tr>
      <w:tr w:rsidR="00827F40" w14:paraId="4019B497" w14:textId="77777777">
        <w:tc>
          <w:tcPr>
            <w:tcW w:w="2600" w:type="dxa"/>
            <w:vAlign w:val="center"/>
          </w:tcPr>
          <w:p w14:paraId="7E182800" w14:textId="77777777" w:rsidR="00827F40" w:rsidRDefault="00F03C2E">
            <w:pPr>
              <w:bidi/>
              <w:spacing w:after="0" w:line="280" w:lineRule="auto"/>
              <w:jc w:val="right"/>
            </w:pPr>
            <w:r>
              <w:rPr>
                <w:rFonts w:ascii="Traditional Arabic" w:hAnsi="Traditional Arabic" w:cs="Traditional Arabic"/>
                <w:rtl/>
              </w:rPr>
              <w:t>كفاءة العمليات المالية</w:t>
            </w:r>
          </w:p>
        </w:tc>
        <w:tc>
          <w:tcPr>
            <w:tcW w:w="1700" w:type="dxa"/>
            <w:vAlign w:val="center"/>
          </w:tcPr>
          <w:p w14:paraId="7FC3776A" w14:textId="77777777" w:rsidR="00827F40" w:rsidRDefault="00F03C2E">
            <w:pPr>
              <w:bidi/>
              <w:spacing w:after="0" w:line="280" w:lineRule="auto"/>
              <w:jc w:val="right"/>
            </w:pPr>
            <w:r>
              <w:rPr>
                <w:rFonts w:ascii="Traditional Arabic" w:hAnsi="Traditional Arabic" w:cs="Traditional Arabic"/>
                <w:rtl/>
              </w:rPr>
              <w:t>تابع ثانٍ</w:t>
            </w:r>
          </w:p>
        </w:tc>
        <w:tc>
          <w:tcPr>
            <w:tcW w:w="2600" w:type="dxa"/>
            <w:vAlign w:val="center"/>
          </w:tcPr>
          <w:p w14:paraId="08C9219C" w14:textId="77777777" w:rsidR="00827F40" w:rsidRDefault="00F03C2E">
            <w:pPr>
              <w:bidi/>
              <w:spacing w:after="0" w:line="280" w:lineRule="auto"/>
              <w:jc w:val="right"/>
            </w:pPr>
            <w:r>
              <w:rPr>
                <w:rFonts w:ascii="Traditional Arabic" w:hAnsi="Traditional Arabic" w:cs="Traditional Arabic"/>
                <w:rtl/>
              </w:rPr>
              <w:t>سرعة المعالجة، دقة التنفيذ، تكلفة التشغيل</w:t>
            </w:r>
          </w:p>
        </w:tc>
        <w:tc>
          <w:tcPr>
            <w:tcW w:w="1300" w:type="dxa"/>
            <w:vAlign w:val="center"/>
          </w:tcPr>
          <w:p w14:paraId="271B1A24" w14:textId="77777777" w:rsidR="00827F40" w:rsidRDefault="00F03C2E">
            <w:pPr>
              <w:bidi/>
              <w:spacing w:after="0" w:line="280" w:lineRule="auto"/>
              <w:jc w:val="right"/>
            </w:pPr>
            <w:r>
              <w:rPr>
                <w:rFonts w:ascii="Traditional Arabic" w:hAnsi="Traditional Arabic" w:cs="Traditional Arabic"/>
                <w:rtl/>
              </w:rPr>
              <w:t>6 عبارات</w:t>
            </w:r>
          </w:p>
        </w:tc>
        <w:tc>
          <w:tcPr>
            <w:tcW w:w="2100" w:type="dxa"/>
            <w:vAlign w:val="center"/>
          </w:tcPr>
          <w:p w14:paraId="55C6A0F5" w14:textId="77777777" w:rsidR="00827F40" w:rsidRDefault="00F03C2E">
            <w:pPr>
              <w:bidi/>
              <w:spacing w:after="0" w:line="280" w:lineRule="auto"/>
              <w:jc w:val="right"/>
            </w:pPr>
            <w:r>
              <w:rPr>
                <w:rFonts w:ascii="Traditional Arabic" w:hAnsi="Traditional Arabic" w:cs="Traditional Arabic"/>
                <w:rtl/>
              </w:rPr>
              <w:t>SAMA (2024); BIS (2024)</w:t>
            </w:r>
          </w:p>
        </w:tc>
      </w:tr>
      <w:tr w:rsidR="00827F40" w14:paraId="584A5510" w14:textId="77777777">
        <w:tc>
          <w:tcPr>
            <w:tcW w:w="2600" w:type="dxa"/>
            <w:vAlign w:val="center"/>
          </w:tcPr>
          <w:p w14:paraId="3531D9AD" w14:textId="77777777" w:rsidR="00827F40" w:rsidRDefault="00F03C2E">
            <w:pPr>
              <w:bidi/>
              <w:spacing w:after="0" w:line="280" w:lineRule="auto"/>
              <w:jc w:val="right"/>
            </w:pPr>
            <w:r>
              <w:rPr>
                <w:rFonts w:ascii="Traditional Arabic" w:hAnsi="Traditional Arabic" w:cs="Traditional Arabic"/>
                <w:rtl/>
              </w:rPr>
              <w:t>نوع المؤسسة، حجمها، عمرها، مستوى تبنّي التقنية</w:t>
            </w:r>
          </w:p>
        </w:tc>
        <w:tc>
          <w:tcPr>
            <w:tcW w:w="1700" w:type="dxa"/>
            <w:vAlign w:val="center"/>
          </w:tcPr>
          <w:p w14:paraId="54788D00" w14:textId="77777777" w:rsidR="00827F40" w:rsidRDefault="00F03C2E">
            <w:pPr>
              <w:bidi/>
              <w:spacing w:after="0" w:line="280" w:lineRule="auto"/>
              <w:jc w:val="right"/>
            </w:pPr>
            <w:r>
              <w:rPr>
                <w:rFonts w:ascii="Traditional Arabic" w:hAnsi="Traditional Arabic" w:cs="Traditional Arabic"/>
                <w:rtl/>
              </w:rPr>
              <w:t>ضابطة (تصنيفية)</w:t>
            </w:r>
          </w:p>
        </w:tc>
        <w:tc>
          <w:tcPr>
            <w:tcW w:w="2600" w:type="dxa"/>
            <w:vAlign w:val="center"/>
          </w:tcPr>
          <w:p w14:paraId="2FC619F5" w14:textId="77777777" w:rsidR="00827F40" w:rsidRDefault="00F03C2E">
            <w:pPr>
              <w:bidi/>
              <w:spacing w:after="0" w:line="280" w:lineRule="auto"/>
              <w:jc w:val="right"/>
            </w:pPr>
            <w:r>
              <w:rPr>
                <w:rFonts w:ascii="Traditional Arabic" w:hAnsi="Traditional Arabic" w:cs="Traditional Arabic"/>
                <w:rtl/>
              </w:rPr>
              <w:t>تُستخدَم في تقسيم العينة عند اختبار الفروق</w:t>
            </w:r>
          </w:p>
        </w:tc>
        <w:tc>
          <w:tcPr>
            <w:tcW w:w="1300" w:type="dxa"/>
            <w:vAlign w:val="center"/>
          </w:tcPr>
          <w:p w14:paraId="5DDEA77D" w14:textId="77777777" w:rsidR="00827F40" w:rsidRDefault="00F03C2E">
            <w:pPr>
              <w:bidi/>
              <w:spacing w:after="0" w:line="280" w:lineRule="auto"/>
              <w:jc w:val="right"/>
            </w:pPr>
            <w:r>
              <w:rPr>
                <w:rFonts w:ascii="Traditional Arabic" w:hAnsi="Traditional Arabic" w:cs="Traditional Arabic"/>
                <w:rtl/>
              </w:rPr>
              <w:t>6 عبارات (بيانات أولية)</w:t>
            </w:r>
          </w:p>
        </w:tc>
        <w:tc>
          <w:tcPr>
            <w:tcW w:w="2100" w:type="dxa"/>
            <w:vAlign w:val="center"/>
          </w:tcPr>
          <w:p w14:paraId="41CC5E4C" w14:textId="77777777" w:rsidR="00827F40" w:rsidRDefault="00F03C2E">
            <w:pPr>
              <w:bidi/>
              <w:spacing w:after="0" w:line="280" w:lineRule="auto"/>
              <w:jc w:val="right"/>
            </w:pPr>
            <w:r>
              <w:rPr>
                <w:rFonts w:ascii="Traditional Arabic" w:hAnsi="Traditional Arabic" w:cs="Traditional Arabic"/>
                <w:rtl/>
              </w:rPr>
              <w:t>إعداد الباحث</w:t>
            </w:r>
          </w:p>
        </w:tc>
      </w:tr>
      <w:tr w:rsidR="00827F40" w14:paraId="3B1310D2" w14:textId="77777777">
        <w:tc>
          <w:tcPr>
            <w:tcW w:w="2600" w:type="dxa"/>
            <w:vAlign w:val="center"/>
          </w:tcPr>
          <w:p w14:paraId="36AE1D48" w14:textId="77777777" w:rsidR="00827F40" w:rsidRDefault="00F03C2E">
            <w:pPr>
              <w:bidi/>
              <w:spacing w:after="0" w:line="280" w:lineRule="auto"/>
              <w:jc w:val="right"/>
            </w:pPr>
            <w:r>
              <w:rPr>
                <w:rFonts w:ascii="Traditional Arabic" w:hAnsi="Traditional Arabic" w:cs="Traditional Arabic"/>
                <w:rtl/>
              </w:rPr>
              <w:lastRenderedPageBreak/>
              <w:t>التوافق مع رؤية 2030 والتحول الرقمي المالي</w:t>
            </w:r>
          </w:p>
        </w:tc>
        <w:tc>
          <w:tcPr>
            <w:tcW w:w="1700" w:type="dxa"/>
            <w:vAlign w:val="center"/>
          </w:tcPr>
          <w:p w14:paraId="50A61E29" w14:textId="77777777" w:rsidR="00827F40" w:rsidRDefault="00F03C2E">
            <w:pPr>
              <w:bidi/>
              <w:spacing w:after="0" w:line="280" w:lineRule="auto"/>
              <w:jc w:val="right"/>
            </w:pPr>
            <w:r>
              <w:rPr>
                <w:rFonts w:ascii="Traditional Arabic" w:hAnsi="Traditional Arabic" w:cs="Traditional Arabic"/>
                <w:rtl/>
              </w:rPr>
              <w:t>إطار تفسيري (خارج الفروض)</w:t>
            </w:r>
          </w:p>
        </w:tc>
        <w:tc>
          <w:tcPr>
            <w:tcW w:w="2600" w:type="dxa"/>
            <w:vAlign w:val="center"/>
          </w:tcPr>
          <w:p w14:paraId="0FDFDDEB" w14:textId="77777777" w:rsidR="00827F40" w:rsidRDefault="00F03C2E">
            <w:pPr>
              <w:bidi/>
              <w:spacing w:after="0" w:line="280" w:lineRule="auto"/>
              <w:jc w:val="right"/>
            </w:pPr>
            <w:r>
              <w:rPr>
                <w:rFonts w:ascii="Traditional Arabic" w:hAnsi="Traditional Arabic" w:cs="Traditional Arabic"/>
                <w:rtl/>
              </w:rPr>
              <w:t>لا يدخل في نماذج الانحدار ولا في اختبارات الفروق</w:t>
            </w:r>
          </w:p>
        </w:tc>
        <w:tc>
          <w:tcPr>
            <w:tcW w:w="1300" w:type="dxa"/>
            <w:vAlign w:val="center"/>
          </w:tcPr>
          <w:p w14:paraId="1A513DBD" w14:textId="77777777" w:rsidR="00827F40" w:rsidRDefault="00F03C2E">
            <w:pPr>
              <w:bidi/>
              <w:spacing w:after="0" w:line="280" w:lineRule="auto"/>
              <w:jc w:val="right"/>
            </w:pPr>
            <w:r>
              <w:rPr>
                <w:rFonts w:ascii="Traditional Arabic" w:hAnsi="Traditional Arabic" w:cs="Traditional Arabic"/>
                <w:rtl/>
              </w:rPr>
              <w:t>7 عبارات</w:t>
            </w:r>
          </w:p>
        </w:tc>
        <w:tc>
          <w:tcPr>
            <w:tcW w:w="2100" w:type="dxa"/>
            <w:vAlign w:val="center"/>
          </w:tcPr>
          <w:p w14:paraId="39BA4C6F" w14:textId="77777777" w:rsidR="00827F40" w:rsidRDefault="00F03C2E">
            <w:pPr>
              <w:bidi/>
              <w:spacing w:after="0" w:line="280" w:lineRule="auto"/>
              <w:jc w:val="right"/>
            </w:pPr>
            <w:r>
              <w:rPr>
                <w:rFonts w:ascii="Traditional Arabic" w:hAnsi="Traditional Arabic" w:cs="Traditional Arabic"/>
                <w:rtl/>
              </w:rPr>
              <w:t>رؤية المملكة 2030 (2024)</w:t>
            </w:r>
          </w:p>
        </w:tc>
      </w:tr>
    </w:tbl>
    <w:p w14:paraId="6579219A" w14:textId="77777777" w:rsidR="00B35152" w:rsidRPr="00085CAB"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(3.2): متغيرات الدراسة وتصنيفها ومقاييسها</w:t>
      </w:r>
    </w:p>
    <w:p w14:paraId="730AFE90"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ملحوظة منهجية بشأن صياغة العبارات: صيغت عبارات الأداة بأسلوب إدراكي يقيس تصوّر المستجيب لمستوى تطبيق كل متغير داخل مؤسسته، لا بأسلوب سببي يفترض العلاقة مسبقاً. وقد رُوعي عند التحكيم أن تنتمي كل عبارة إلى بُعدها المقصود، وأكّدت نتائج صدق الاتساق الداخلي في الفصل الرابع انتماء جميع العبارات إلى أبعادها بمعاملات ارتباط دالة إحصائياً عند مستوى (0.01)، كما تجاوزت معاملات ألفا كرونباخ لجميع الأبعاد الحد المقبول. ومع ذلك، يوصي الباحث في مقترحات البحوث المستقبلية بإعادة صياغة عدد من العبارات التي تتضمن إشارة صريحة إلى الترميز داخل بُعدَي الأمن السيبراني وكفاءة العمليات، بما يزيد من الاستقلال المفاهيمي بين الأبعاد في الدراسات اللاحقة.</w:t>
      </w:r>
    </w:p>
    <w:p w14:paraId="07D4D08E" w14:textId="77777777" w:rsidR="00D46A37" w:rsidRPr="0005531B" w:rsidRDefault="00D46A37" w:rsidP="00E000FF">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ويتضح من الجدول أن الدراسة تقوم على متغيرين مستقلين ومتغيرين تابعين، دون أي متغير وسيط أو معدِّل، وهو ما يتطابق مع نموذج الدراسة في الفصل الأول ومع فروضها الثلاثة الرئيسة وفروعها الستة ومع الأساليب الإحصائية المطبَّقة في الفصل الرابع.</w:t>
      </w:r>
    </w:p>
    <w:p w14:paraId="0A517CD4" w14:textId="77777777" w:rsidR="00B35152" w:rsidRDefault="00B35152" w:rsidP="00E000FF">
      <w:pPr>
        <w:bidi/>
        <w:spacing w:after="0" w:line="360" w:lineRule="auto"/>
        <w:jc w:val="both"/>
        <w:rPr>
          <w:rFonts w:ascii="Simplified Arabic" w:hAnsi="Simplified Arabic" w:cs="Simplified Arabic"/>
          <w:sz w:val="28"/>
          <w:szCs w:val="28"/>
        </w:rPr>
      </w:pPr>
    </w:p>
    <w:p w14:paraId="732E8F0E" w14:textId="77777777" w:rsidR="00B35152" w:rsidRPr="0050606C"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hint="cs"/>
          <w:b/>
          <w:bCs/>
          <w:sz w:val="24"/>
          <w:szCs w:val="24"/>
          <w:rtl/>
        </w:rPr>
        <w:t>جدول</w:t>
      </w:r>
      <w:r>
        <w:rPr>
          <w:rFonts w:ascii="Traditional Arabic" w:hAnsi="Traditional Arabic" w:cs="Traditional Arabic"/>
          <w:b/>
          <w:bCs/>
          <w:sz w:val="24"/>
          <w:szCs w:val="24"/>
          <w:rtl/>
        </w:rPr>
        <w:t xml:space="preserve"> (3.2-</w:t>
      </w:r>
      <w:r>
        <w:rPr>
          <w:rFonts w:ascii="Traditional Arabic" w:hAnsi="Traditional Arabic" w:cs="Traditional Arabic" w:hint="cs"/>
          <w:b/>
          <w:bCs/>
          <w:sz w:val="24"/>
          <w:szCs w:val="24"/>
          <w:rtl/>
        </w:rPr>
        <w:t>أ</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المصادر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العلمية</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لبناء</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محاور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الاستبانة</w:t>
      </w:r>
    </w:p>
    <w:tbl>
      <w:tblPr>
        <w:tblStyle w:val="GridTable4-Accent1"/>
        <w:tblW w:w="8298" w:type="dxa"/>
        <w:tblLook w:val="04A0" w:firstRow="1" w:lastRow="0" w:firstColumn="1" w:lastColumn="0" w:noHBand="0" w:noVBand="1"/>
      </w:tblPr>
      <w:tblGrid>
        <w:gridCol w:w="3218"/>
        <w:gridCol w:w="3154"/>
        <w:gridCol w:w="1926"/>
      </w:tblGrid>
      <w:tr w:rsidR="00B35152" w:rsidRPr="00DB43FD" w14:paraId="143A347D"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5C32F535"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 المعتمد</w:t>
            </w:r>
          </w:p>
        </w:tc>
        <w:tc>
          <w:tcPr>
            <w:tcW w:w="3154" w:type="dxa"/>
            <w:vAlign w:val="center"/>
          </w:tcPr>
          <w:p w14:paraId="29F5EC77"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المصادر العلمية</w:t>
            </w:r>
          </w:p>
        </w:tc>
        <w:tc>
          <w:tcPr>
            <w:tcW w:w="1926" w:type="dxa"/>
            <w:vAlign w:val="center"/>
          </w:tcPr>
          <w:p w14:paraId="5A7D4E85"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المحور</w:t>
            </w:r>
          </w:p>
        </w:tc>
      </w:tr>
      <w:tr w:rsidR="00B35152" w:rsidRPr="00DB43FD" w14:paraId="5623B95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17FC4FAB"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EMVCo (2023); PCI DSS (2022); Al-Otaibi et al. (2023)</w:t>
            </w:r>
          </w:p>
        </w:tc>
        <w:tc>
          <w:tcPr>
            <w:tcW w:w="3154" w:type="dxa"/>
            <w:vAlign w:val="center"/>
          </w:tcPr>
          <w:p w14:paraId="458905B3"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معايير دولية + دراسات تطبيقية في الترميز المالي</w:t>
            </w:r>
          </w:p>
        </w:tc>
        <w:tc>
          <w:tcPr>
            <w:tcW w:w="1926" w:type="dxa"/>
            <w:vAlign w:val="center"/>
          </w:tcPr>
          <w:p w14:paraId="34AC6ECF"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B43FD" w14:paraId="6014FB55"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33892228"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(2022); NIST (2021); Al-Ghamdi &amp; Hassan (2022)</w:t>
            </w:r>
          </w:p>
        </w:tc>
        <w:tc>
          <w:tcPr>
            <w:tcW w:w="3154" w:type="dxa"/>
            <w:vAlign w:val="center"/>
          </w:tcPr>
          <w:p w14:paraId="2EF0282E"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إطار الأمن السيبراني الوطني + دراسات أمن المعلومات</w:t>
            </w:r>
          </w:p>
        </w:tc>
        <w:tc>
          <w:tcPr>
            <w:tcW w:w="1926" w:type="dxa"/>
            <w:vAlign w:val="center"/>
          </w:tcPr>
          <w:p w14:paraId="4E4249C5"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B43FD" w14:paraId="668A0E8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1FFAD3E2"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BIS (2022); Arner et al. (2023); Al-Zahrani (2023)</w:t>
            </w:r>
          </w:p>
        </w:tc>
        <w:tc>
          <w:tcPr>
            <w:tcW w:w="3154" w:type="dxa"/>
            <w:vAlign w:val="center"/>
          </w:tcPr>
          <w:p w14:paraId="749F3D12"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تقارير دولية + دراسات كفاءة العمليات المالية</w:t>
            </w:r>
          </w:p>
        </w:tc>
        <w:tc>
          <w:tcPr>
            <w:tcW w:w="1926" w:type="dxa"/>
            <w:vAlign w:val="center"/>
          </w:tcPr>
          <w:p w14:paraId="1BF6CFAE"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B43FD" w14:paraId="1B18D7F8"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595BC2A8" w14:textId="77777777" w:rsidR="00B35152" w:rsidRPr="00DB43FD" w:rsidRDefault="00B35152" w:rsidP="00E000FF">
            <w:pPr>
              <w:bidi/>
              <w:spacing w:after="0" w:line="260" w:lineRule="auto"/>
              <w:jc w:val="center"/>
              <w:rPr>
                <w:rFonts w:ascii="Simplified Arabic" w:hAnsi="Simplified Arabic" w:cs="Simplified Arabic"/>
                <w:sz w:val="24"/>
                <w:szCs w:val="24"/>
                <w:lang w:val="pt-BR"/>
              </w:rPr>
            </w:pPr>
            <w:r>
              <w:rPr>
                <w:rFonts w:ascii="Traditional Arabic" w:hAnsi="Traditional Arabic" w:cs="Traditional Arabic"/>
                <w:rtl/>
                <w:lang w:val="pt-BR"/>
              </w:rPr>
              <w:t>SAMA (2023); Basel III; Al-Malki (2022)</w:t>
            </w:r>
          </w:p>
        </w:tc>
        <w:tc>
          <w:tcPr>
            <w:tcW w:w="3154" w:type="dxa"/>
            <w:vAlign w:val="center"/>
          </w:tcPr>
          <w:p w14:paraId="304785AB"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لوائح ساما + إطار بازل + دراسات الامتثال</w:t>
            </w:r>
          </w:p>
        </w:tc>
        <w:tc>
          <w:tcPr>
            <w:tcW w:w="1926" w:type="dxa"/>
            <w:vAlign w:val="center"/>
          </w:tcPr>
          <w:p w14:paraId="42DFB468"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DB43FD" w14:paraId="688ED7E8"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232204EF"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Rogers (2003); Venkatesh et al. (2021); Al-Shehri (2022)</w:t>
            </w:r>
          </w:p>
        </w:tc>
        <w:tc>
          <w:tcPr>
            <w:tcW w:w="3154" w:type="dxa"/>
            <w:vAlign w:val="center"/>
          </w:tcPr>
          <w:p w14:paraId="6B24155F"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نظرية الابتكار + UTAUT + دراسات التبني التقني</w:t>
            </w:r>
          </w:p>
        </w:tc>
        <w:tc>
          <w:tcPr>
            <w:tcW w:w="1926" w:type="dxa"/>
            <w:vAlign w:val="center"/>
          </w:tcPr>
          <w:p w14:paraId="6254C177"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bl>
    <w:p w14:paraId="4AFDCBC7" w14:textId="77777777" w:rsidR="00B35152" w:rsidRDefault="00B35152" w:rsidP="00E000FF">
      <w:pPr>
        <w:bidi/>
        <w:spacing w:after="0" w:line="360" w:lineRule="auto"/>
        <w:jc w:val="both"/>
        <w:rPr>
          <w:rFonts w:ascii="Simplified Arabic" w:hAnsi="Simplified Arabic" w:cs="Simplified Arabic"/>
          <w:sz w:val="28"/>
          <w:szCs w:val="28"/>
          <w:rtl/>
        </w:rPr>
      </w:pPr>
    </w:p>
    <w:p w14:paraId="057F6BBC" w14:textId="77777777" w:rsidR="00FD6BAF" w:rsidRPr="00085CAB" w:rsidRDefault="00FD6BAF" w:rsidP="00FD6BAF">
      <w:pPr>
        <w:bidi/>
        <w:spacing w:after="0" w:line="360" w:lineRule="auto"/>
        <w:jc w:val="both"/>
        <w:rPr>
          <w:rFonts w:ascii="Simplified Arabic" w:hAnsi="Simplified Arabic" w:cs="Simplified Arabic"/>
          <w:sz w:val="28"/>
          <w:szCs w:val="28"/>
        </w:rPr>
      </w:pPr>
    </w:p>
    <w:p w14:paraId="0454C7FE"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8" w:name="_Toc234424161"/>
      <w:r>
        <w:rPr>
          <w:rFonts w:ascii="Traditional Arabic" w:hAnsi="Traditional Arabic" w:cs="Traditional Arabic"/>
          <w:b/>
          <w:bCs/>
          <w:sz w:val="32"/>
          <w:szCs w:val="32"/>
          <w:u w:val="single"/>
          <w:rtl/>
        </w:rPr>
        <w:lastRenderedPageBreak/>
        <w:t>3.6 صدق أداة القياس</w:t>
      </w:r>
      <w:bookmarkEnd w:id="38"/>
    </w:p>
    <w:p w14:paraId="438913B2"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3.6.1 صدق المحكّمين</w:t>
      </w:r>
    </w:p>
    <w:p w14:paraId="7CC564E2"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3BBC2E68"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3.6.2 صدق الاتساق الداخلي</w:t>
      </w:r>
    </w:p>
    <w:p w14:paraId="3D4D32CF"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حُسِبَ معامل ارتباط سبيرمان بين درجة كل عبارة والدرجة الكلية للبُعد الذي تنتمي إليه، للتحقق من اتساق العبارات داخلياً. وقد جاءت جميع معاملات الارتباط دالة إحصائياً عند مستوى (0.01)، وتفصيل النتائج معروض في الفصل الرابع.</w:t>
      </w:r>
    </w:p>
    <w:p w14:paraId="55A2FFAC"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B35152" w:rsidRPr="00FD6BAF" w14:paraId="112736FE"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69374678"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القيمة الاحتمالية</w:t>
            </w:r>
          </w:p>
        </w:tc>
        <w:tc>
          <w:tcPr>
            <w:tcW w:w="1000" w:type="pct"/>
            <w:vAlign w:val="center"/>
          </w:tcPr>
          <w:p w14:paraId="08975365"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الارتباط مع الدرجة الكلية</w:t>
            </w:r>
          </w:p>
        </w:tc>
        <w:tc>
          <w:tcPr>
            <w:tcW w:w="1000" w:type="pct"/>
            <w:vAlign w:val="center"/>
          </w:tcPr>
          <w:p w14:paraId="30670F73"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القيمة الاحتمالية</w:t>
            </w:r>
          </w:p>
        </w:tc>
        <w:tc>
          <w:tcPr>
            <w:tcW w:w="1000" w:type="pct"/>
            <w:vAlign w:val="center"/>
          </w:tcPr>
          <w:p w14:paraId="7CC88CBC"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الارتباط مع البُعد</w:t>
            </w:r>
          </w:p>
        </w:tc>
        <w:tc>
          <w:tcPr>
            <w:tcW w:w="1000" w:type="pct"/>
            <w:vAlign w:val="center"/>
          </w:tcPr>
          <w:p w14:paraId="34CBFFF5"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رقم العبارة</w:t>
            </w:r>
          </w:p>
        </w:tc>
      </w:tr>
      <w:tr w:rsidR="00B35152" w:rsidRPr="00FD6BAF" w14:paraId="73661ED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287571B6"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3C9818E0"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31FF2756"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2494DF8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7E508E0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1</w:t>
            </w:r>
          </w:p>
        </w:tc>
      </w:tr>
      <w:tr w:rsidR="00B35152" w:rsidRPr="00FD6BAF" w14:paraId="437836F4"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2FB974F9"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78C932B8"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59ABBADF"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2C2CEAC8"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5237D877"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2</w:t>
            </w:r>
          </w:p>
        </w:tc>
      </w:tr>
      <w:tr w:rsidR="00B35152" w:rsidRPr="00FD6BAF" w14:paraId="7722E9F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75E113CA"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56C134D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4D147A0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2599AC7E"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37B2AB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3</w:t>
            </w:r>
          </w:p>
        </w:tc>
      </w:tr>
    </w:tbl>
    <w:p w14:paraId="1175FAF4" w14:textId="77777777" w:rsidR="00B35152" w:rsidRDefault="00B35152" w:rsidP="00FD6BAF">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(3.3): نموذج عرض نتائج صدق الاتساق الداخلي</w:t>
      </w:r>
    </w:p>
    <w:p w14:paraId="762916DD" w14:textId="77777777" w:rsidR="00B35152" w:rsidRDefault="00B35152" w:rsidP="00E000FF">
      <w:pPr>
        <w:bidi/>
        <w:spacing w:after="0" w:line="360" w:lineRule="auto"/>
        <w:jc w:val="both"/>
        <w:rPr>
          <w:rFonts w:ascii="Simplified Arabic" w:hAnsi="Simplified Arabic" w:cs="Simplified Arabic"/>
          <w:sz w:val="28"/>
          <w:szCs w:val="28"/>
          <w:rtl/>
        </w:rPr>
      </w:pPr>
    </w:p>
    <w:p w14:paraId="215F0D47" w14:textId="77777777" w:rsidR="00B35152" w:rsidRDefault="00B35152" w:rsidP="00E000FF">
      <w:pPr>
        <w:bidi/>
        <w:spacing w:after="0" w:line="360" w:lineRule="auto"/>
        <w:jc w:val="both"/>
        <w:rPr>
          <w:rFonts w:ascii="Simplified Arabic" w:hAnsi="Simplified Arabic" w:cs="Simplified Arabic"/>
          <w:sz w:val="28"/>
          <w:szCs w:val="28"/>
          <w:rtl/>
        </w:rPr>
      </w:pPr>
    </w:p>
    <w:p w14:paraId="568D3356" w14:textId="77777777" w:rsidR="00FD6BAF" w:rsidRDefault="00FD6BAF" w:rsidP="00FD6BAF">
      <w:pPr>
        <w:bidi/>
        <w:spacing w:after="0" w:line="360" w:lineRule="auto"/>
        <w:jc w:val="both"/>
        <w:rPr>
          <w:rFonts w:ascii="Simplified Arabic" w:hAnsi="Simplified Arabic" w:cs="Simplified Arabic"/>
          <w:sz w:val="28"/>
          <w:szCs w:val="28"/>
          <w:rtl/>
        </w:rPr>
      </w:pPr>
    </w:p>
    <w:p w14:paraId="01F73C38" w14:textId="77777777" w:rsidR="00FD6BAF" w:rsidRDefault="00FD6BAF" w:rsidP="00FD6BAF">
      <w:pPr>
        <w:bidi/>
        <w:spacing w:after="0" w:line="360" w:lineRule="auto"/>
        <w:jc w:val="both"/>
        <w:rPr>
          <w:rFonts w:ascii="Simplified Arabic" w:hAnsi="Simplified Arabic" w:cs="Simplified Arabic"/>
          <w:sz w:val="28"/>
          <w:szCs w:val="28"/>
          <w:rtl/>
        </w:rPr>
      </w:pPr>
    </w:p>
    <w:p w14:paraId="04CDD8E2" w14:textId="77777777" w:rsidR="00B35152" w:rsidRPr="00682DDF"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3.6.3</w:t>
      </w:r>
      <w:r>
        <w:rPr>
          <w:rFonts w:ascii="Traditional Arabic" w:hAnsi="Traditional Arabic" w:cs="Traditional Arabic" w:hint="cs"/>
          <w:b/>
          <w:bCs/>
          <w:sz w:val="28"/>
          <w:szCs w:val="28"/>
          <w:rtl/>
        </w:rPr>
        <w:t xml:space="preserve"> صدق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المحتوى</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وإجراءات</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التحكيم</w:t>
      </w:r>
    </w:p>
    <w:p w14:paraId="680613D8"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يُعدّ صدق المحتوى (Content Validity) ركيزةً أساسية في التحقق من قدرة الاستبانة على قياس المفاهيم التي صُمِّمت لأجلها. ولإثبات هذا الصدق، عُرضت الاستبانة في صورتها الأولية على مجموعة من المحكّمين المتخصصين من جامعة Midocean قبل تطبيقها الفعلي.</w:t>
      </w:r>
    </w:p>
    <w:p w14:paraId="4C3429B8"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أولاً: المحكّمون وتخصصاتهم</w:t>
      </w:r>
    </w:p>
    <w:p w14:paraId="08314B64"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سيُستعان بمجموعة من الأساتذة المتخصصين من جامعة Midocean،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6626031C"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ثانياً: إجراءات التحكيم</w:t>
      </w:r>
    </w:p>
    <w:p w14:paraId="5B522376"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ستُرسَل الاستبانة في صورتها الأولية إلى المحكّمين من أعضاء هيئة التدريس في جامعة Midocean،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حذف / إبقاء / إضافة). ولن تُوزَّع الاستبانة على عينة الدراسة الأساسية إلا بعد الأخذ بمرئيات المحكّمين وإجراء التعديلات اللازمة.</w:t>
      </w:r>
    </w:p>
    <w:p w14:paraId="79273AFC"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ثالثاً: معيار قبول التحكيم</w:t>
      </w:r>
    </w:p>
    <w:p w14:paraId="710EBC92" w14:textId="77777777" w:rsidR="00B35152" w:rsidRPr="00FD6BAF" w:rsidRDefault="00B35152" w:rsidP="00E000FF">
      <w:pPr>
        <w:bidi/>
        <w:spacing w:after="0" w:line="360" w:lineRule="auto"/>
        <w:jc w:val="both"/>
        <w:rPr>
          <w:rFonts w:ascii="Simplified Arabic" w:hAnsi="Simplified Arabic" w:cs="Simplified Arabic"/>
          <w:sz w:val="28"/>
          <w:szCs w:val="28"/>
          <w:rtl/>
        </w:rPr>
      </w:pPr>
      <w:r w:rsidRPr="00FD6BAF">
        <w:rPr>
          <w:rFonts w:ascii="Traditional Arabic" w:hAnsi="Traditional Arabic" w:cs="Traditional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5D6523F3" w14:textId="77777777" w:rsidR="00B35152" w:rsidRPr="00FD6BAF" w:rsidRDefault="00B35152" w:rsidP="00E000FF">
      <w:pPr>
        <w:bidi/>
        <w:spacing w:after="0" w:line="360" w:lineRule="auto"/>
        <w:jc w:val="both"/>
        <w:rPr>
          <w:rFonts w:ascii="Simplified Arabic" w:hAnsi="Simplified Arabic" w:cs="Simplified Arabic"/>
          <w:b/>
          <w:bCs/>
          <w:sz w:val="28"/>
          <w:szCs w:val="28"/>
          <w:rtl/>
        </w:rPr>
      </w:pPr>
      <w:r w:rsidRPr="00FD6BAF">
        <w:rPr>
          <w:rFonts w:ascii="Traditional Arabic" w:hAnsi="Traditional Arabic" w:cs="Traditional Arabic"/>
          <w:b/>
          <w:bCs/>
          <w:sz w:val="28"/>
          <w:szCs w:val="28"/>
          <w:rtl/>
        </w:rPr>
        <w:t>رابعاً: نتائج التحكيم</w:t>
      </w:r>
    </w:p>
    <w:p w14:paraId="0C21054F" w14:textId="77777777" w:rsidR="00B35152" w:rsidRPr="00FD6BAF" w:rsidRDefault="00B35152" w:rsidP="00E000FF">
      <w:pPr>
        <w:bidi/>
        <w:spacing w:after="0" w:line="360" w:lineRule="auto"/>
        <w:jc w:val="both"/>
        <w:rPr>
          <w:rFonts w:ascii="Simplified Arabic" w:hAnsi="Simplified Arabic" w:cs="Simplified Arabic"/>
          <w:sz w:val="28"/>
          <w:szCs w:val="28"/>
          <w:rtl/>
        </w:rPr>
      </w:pPr>
      <w:r w:rsidRPr="00FD6BAF">
        <w:rPr>
          <w:rFonts w:ascii="Traditional Arabic" w:hAnsi="Traditional Arabic" w:cs="Traditional Arabic"/>
          <w:sz w:val="28"/>
          <w:szCs w:val="28"/>
          <w:rtl/>
        </w:rPr>
        <w:t>بناءً على ملاحظات المحكّمين، أُعيدت صياغة عدد من الفقرات التي كانت تفترض علاقة سببية مباشرة إلى صيغة إدراكية تقيس تصوّر المستجيب، وحُذفت فقرات مكررة، وعُدِّلت صياغة أخرى لغوياً. وقد أُجريت جميع التعديلات المطلوبة قبل التطبيق النهائي للأداة. وتُرفَق قائمة المحكّمين وصورة الاستبانة في صورتها النهائية ضمن ملاحق الدراسة.</w:t>
      </w:r>
    </w:p>
    <w:p w14:paraId="69D56DFB"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3BE91E8F"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39" w:name="_Toc234424162"/>
      <w:r>
        <w:rPr>
          <w:rFonts w:ascii="Traditional Arabic" w:hAnsi="Traditional Arabic" w:cs="Traditional Arabic"/>
          <w:b/>
          <w:bCs/>
          <w:sz w:val="32"/>
          <w:szCs w:val="32"/>
          <w:u w:val="single"/>
          <w:rtl/>
        </w:rPr>
        <w:lastRenderedPageBreak/>
        <w:t>3.7 ثبات أداة القياس</w:t>
      </w:r>
      <w:bookmarkEnd w:id="39"/>
    </w:p>
    <w:p w14:paraId="79462EC2"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استُخدم معامل ألفا كرونباخ (Cronbach's Alpha)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(0.980)، وتفصيل النتائج معروض في الفصل الرابع.</w:t>
      </w:r>
    </w:p>
    <w:p w14:paraId="147CCE60"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3481"/>
        <w:gridCol w:w="1923"/>
        <w:gridCol w:w="2892"/>
      </w:tblGrid>
      <w:tr w:rsidR="00B35152" w:rsidRPr="00CA7275" w14:paraId="46BE6700" w14:textId="77777777" w:rsidTr="00FD6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13060322"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معامل ألفا كرونباخ</w:t>
            </w:r>
          </w:p>
        </w:tc>
        <w:tc>
          <w:tcPr>
            <w:tcW w:w="1159" w:type="pct"/>
            <w:vAlign w:val="center"/>
          </w:tcPr>
          <w:p w14:paraId="68B2E30D"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743" w:type="pct"/>
            <w:vAlign w:val="center"/>
          </w:tcPr>
          <w:p w14:paraId="31BD504D"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CA7275" w14:paraId="76F9AF69"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11823A5A"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C054FE2"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02D66BFE"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CA7275" w14:paraId="093C973F"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63CB3B91"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06B91427"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7</w:t>
            </w:r>
          </w:p>
        </w:tc>
        <w:tc>
          <w:tcPr>
            <w:tcW w:w="1743" w:type="pct"/>
            <w:vAlign w:val="center"/>
          </w:tcPr>
          <w:p w14:paraId="0546D3EB"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CA7275" w14:paraId="6655224B"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7482FA31"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5FC50D61"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59F2B84"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CA7275" w14:paraId="76297A3E"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6B11920D"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1C1CF1C3"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w:t>
            </w:r>
          </w:p>
        </w:tc>
        <w:tc>
          <w:tcPr>
            <w:tcW w:w="1743" w:type="pct"/>
            <w:vAlign w:val="center"/>
          </w:tcPr>
          <w:p w14:paraId="1D73950B"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CA7275" w14:paraId="067BDE45"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3043A605"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2E44CD48"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084173A"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r w:rsidR="00B35152" w:rsidRPr="00CA7275" w14:paraId="2A85F149"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590ABA82"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0BA1E4F9"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30</w:t>
            </w:r>
          </w:p>
        </w:tc>
        <w:tc>
          <w:tcPr>
            <w:tcW w:w="1743" w:type="pct"/>
            <w:vAlign w:val="center"/>
          </w:tcPr>
          <w:p w14:paraId="5CD9CC78"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الاستبانة ككل</w:t>
            </w:r>
          </w:p>
        </w:tc>
      </w:tr>
    </w:tbl>
    <w:p w14:paraId="6F864141" w14:textId="77777777" w:rsidR="00B35152" w:rsidRPr="00CA7275"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(3.4): نموذج عرض قيم معامل ألفا كرونباخ</w:t>
      </w:r>
    </w:p>
    <w:p w14:paraId="0C823C40" w14:textId="77777777" w:rsidR="00B35152" w:rsidRDefault="00B35152" w:rsidP="00E000FF">
      <w:pPr>
        <w:bidi/>
        <w:spacing w:after="0" w:line="360" w:lineRule="auto"/>
        <w:jc w:val="both"/>
        <w:rPr>
          <w:rFonts w:ascii="Simplified Arabic" w:hAnsi="Simplified Arabic" w:cs="Simplified Arabic"/>
          <w:sz w:val="28"/>
          <w:szCs w:val="28"/>
          <w:rtl/>
        </w:rPr>
      </w:pPr>
    </w:p>
    <w:p w14:paraId="7B4E0A6F" w14:textId="77777777" w:rsidR="00B35152" w:rsidRPr="009A42B9" w:rsidRDefault="00B35152" w:rsidP="00E000FF">
      <w:pPr>
        <w:pStyle w:val="HeadingTOCEntry"/>
        <w:bidi/>
        <w:spacing w:after="0" w:line="360" w:lineRule="auto"/>
        <w:rPr>
          <w:rFonts w:ascii="Simplified Arabic" w:hAnsi="Simplified Arabic" w:cs="Simplified Arabic"/>
          <w:b/>
          <w:bCs/>
          <w:sz w:val="28"/>
          <w:szCs w:val="28"/>
          <w:u w:val="single"/>
        </w:rPr>
      </w:pPr>
      <w:bookmarkStart w:id="40" w:name="_Toc234424163"/>
      <w:r>
        <w:rPr>
          <w:rFonts w:ascii="Traditional Arabic" w:hAnsi="Traditional Arabic" w:cs="Traditional Arabic"/>
          <w:b/>
          <w:bCs/>
          <w:sz w:val="32"/>
          <w:szCs w:val="32"/>
          <w:u w:val="single"/>
          <w:rtl/>
        </w:rPr>
        <w:t>3.7.1</w:t>
      </w:r>
      <w:r>
        <w:rPr>
          <w:rFonts w:ascii="Traditional Arabic" w:hAnsi="Traditional Arabic" w:cs="Traditional Arabic" w:hint="cs"/>
          <w:b/>
          <w:bCs/>
          <w:sz w:val="32"/>
          <w:szCs w:val="32"/>
          <w:u w:val="single"/>
          <w:rtl/>
        </w:rPr>
        <w:t xml:space="preserve"> نتائج</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التطبيق</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الاستطلاعي</w:t>
      </w:r>
      <w:r>
        <w:rPr>
          <w:rFonts w:ascii="Traditional Arabic" w:hAnsi="Traditional Arabic" w:cs="Traditional Arabic"/>
          <w:b/>
          <w:bCs/>
          <w:sz w:val="32"/>
          <w:szCs w:val="32"/>
          <w:u w:val="single"/>
          <w:rtl/>
        </w:rPr>
        <w:t xml:space="preserve"> (Prototype)</w:t>
      </w:r>
      <w:bookmarkEnd w:id="40"/>
    </w:p>
    <w:p w14:paraId="7BF34473"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قبل الشروع في التطبيق الفعلي للاستبانة، سيُجرَى تطبيق استطلاعي (Prototype) يهدف إلى التحقق من جاهزية الأداة وصلاحيتها للتطبيق على عينة الدراسة الأساسية.</w:t>
      </w:r>
    </w:p>
    <w:p w14:paraId="3E95E0D8"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أولاً: حجم العينة الاستطلاعية وأسلوب اختيارها</w:t>
      </w:r>
    </w:p>
    <w:p w14:paraId="16DF9C0F"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1B7299E8"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ثانياً: أهداف التطبيق الاستطلاعي</w:t>
      </w:r>
    </w:p>
    <w:p w14:paraId="16872470"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يهدف التطبيق الاستطلاعي إلى تحقيق الأغراض الآتية:</w:t>
      </w:r>
    </w:p>
    <w:p w14:paraId="598D9748"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التحقق من وضوح العبارات وفهمها بالشكل المقصود دون لبس.</w:t>
      </w:r>
    </w:p>
    <w:p w14:paraId="27F180A5"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تقدير الزمن المناسب للإجابة على الاستبانة كاملةً.</w:t>
      </w:r>
    </w:p>
    <w:p w14:paraId="76E10B76"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تقييم تسلسل الفقرات ومنطقيتها من منظور المستجيب.</w:t>
      </w:r>
    </w:p>
    <w:p w14:paraId="32819FAF"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lastRenderedPageBreak/>
        <w:t>رصد أي عبارات إشكالية تحتاج إعادة صياغة.</w:t>
      </w:r>
    </w:p>
    <w:p w14:paraId="31D7D31E"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حساب مؤشرات الصدق والثبات الأولية قبل التطبيق النهائي.</w:t>
      </w:r>
    </w:p>
    <w:p w14:paraId="3FCAF7DF"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ثالثاً: التعديلات المتوقعة</w:t>
      </w:r>
    </w:p>
    <w:p w14:paraId="6893F4E9"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0F2772C1" w14:textId="77777777" w:rsidR="00B35152" w:rsidRPr="009A42B9" w:rsidRDefault="00B35152" w:rsidP="00E000FF">
      <w:pPr>
        <w:bidi/>
        <w:spacing w:after="0" w:line="360" w:lineRule="auto"/>
        <w:jc w:val="both"/>
        <w:rPr>
          <w:rFonts w:ascii="Simplified Arabic" w:hAnsi="Simplified Arabic" w:cs="Simplified Arabic"/>
          <w:sz w:val="28"/>
          <w:szCs w:val="28"/>
        </w:rPr>
      </w:pPr>
    </w:p>
    <w:p w14:paraId="7769FCFF"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1" w:name="_Toc234424164"/>
      <w:r>
        <w:rPr>
          <w:rFonts w:ascii="Traditional Arabic" w:hAnsi="Traditional Arabic" w:cs="Traditional Arabic"/>
          <w:b/>
          <w:bCs/>
          <w:sz w:val="32"/>
          <w:szCs w:val="32"/>
          <w:u w:val="single"/>
          <w:rtl/>
        </w:rPr>
        <w:t>3.8 الأساليب الإحصائية</w:t>
      </w:r>
      <w:bookmarkEnd w:id="41"/>
    </w:p>
    <w:p w14:paraId="381BCD41"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نظراً لاعتماد الدراسة على العينة القصدية (غير الاحتمالية)، فإن الأساليب الإحصائية اللابارامترية (Non-parametric) هي الأنسب لتحليل البيانات. وستُستخدَم الأساليب الآتية:</w:t>
      </w:r>
    </w:p>
    <w:p w14:paraId="1D9E11CE"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FD6BAF" w14:paraId="06CD8E0C"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541DC17C"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الفرضية المرتبطة</w:t>
            </w:r>
          </w:p>
        </w:tc>
        <w:tc>
          <w:tcPr>
            <w:tcW w:w="1903" w:type="pct"/>
          </w:tcPr>
          <w:p w14:paraId="14948DFD"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الهدف من الاستخدام</w:t>
            </w:r>
          </w:p>
        </w:tc>
        <w:tc>
          <w:tcPr>
            <w:tcW w:w="2113" w:type="pct"/>
          </w:tcPr>
          <w:p w14:paraId="2217D185"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الأسلوب الإحصائي</w:t>
            </w:r>
          </w:p>
        </w:tc>
      </w:tr>
      <w:tr w:rsidR="00B35152" w:rsidRPr="00FD6BAF" w14:paraId="673125BC"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CF14B7"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وصف العينة</w:t>
            </w:r>
          </w:p>
        </w:tc>
        <w:tc>
          <w:tcPr>
            <w:tcW w:w="1903" w:type="pct"/>
          </w:tcPr>
          <w:p w14:paraId="215A665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وصف خصائص عينة الدراسة والمتغيرات</w:t>
            </w:r>
          </w:p>
        </w:tc>
        <w:tc>
          <w:tcPr>
            <w:tcW w:w="2113" w:type="pct"/>
          </w:tcPr>
          <w:p w14:paraId="24157B8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الإحصاء الوصفي (Mean, SD)</w:t>
            </w:r>
          </w:p>
        </w:tc>
      </w:tr>
      <w:tr w:rsidR="00B35152" w:rsidRPr="00FD6BAF" w14:paraId="6BBEE01D"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3819DDF"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H1, H2</w:t>
            </w:r>
          </w:p>
        </w:tc>
        <w:tc>
          <w:tcPr>
            <w:tcW w:w="1903" w:type="pct"/>
          </w:tcPr>
          <w:p w14:paraId="7E926886"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قياس قوة العلاقة بين المتغيرات الكمية</w:t>
            </w:r>
          </w:p>
        </w:tc>
        <w:tc>
          <w:tcPr>
            <w:tcW w:w="2113" w:type="pct"/>
          </w:tcPr>
          <w:p w14:paraId="51C0C7D4"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ارتباط سبيرمان</w:t>
            </w:r>
          </w:p>
        </w:tc>
      </w:tr>
      <w:tr w:rsidR="00B35152" w:rsidRPr="00FD6BAF" w14:paraId="3A7AF98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4A8990C"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H3</w:t>
            </w:r>
          </w:p>
        </w:tc>
        <w:tc>
          <w:tcPr>
            <w:tcW w:w="1903" w:type="pct"/>
          </w:tcPr>
          <w:p w14:paraId="2304130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المقارنة بين نوعين من المؤسسات</w:t>
            </w:r>
          </w:p>
        </w:tc>
        <w:tc>
          <w:tcPr>
            <w:tcW w:w="2113" w:type="pct"/>
          </w:tcPr>
          <w:p w14:paraId="6E5B2A84"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اختبار مان-ويتني (Mann-Whitney U)</w:t>
            </w:r>
          </w:p>
        </w:tc>
      </w:tr>
      <w:tr w:rsidR="00B35152" w:rsidRPr="00FD6BAF" w14:paraId="3CAF3DA4"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1AC34EFE"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H3</w:t>
            </w:r>
          </w:p>
        </w:tc>
        <w:tc>
          <w:tcPr>
            <w:tcW w:w="1903" w:type="pct"/>
          </w:tcPr>
          <w:p w14:paraId="51BA1A6C"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المقارنة بين أكثر من مجموعتين</w:t>
            </w:r>
          </w:p>
        </w:tc>
        <w:tc>
          <w:tcPr>
            <w:tcW w:w="2113" w:type="pct"/>
          </w:tcPr>
          <w:p w14:paraId="6B948B41"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اختبار كروسكال-واليس (Kruskal-Wallis)</w:t>
            </w:r>
          </w:p>
        </w:tc>
      </w:tr>
      <w:tr w:rsidR="00B35152" w:rsidRPr="00FD6BAF" w14:paraId="10664D6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29DC8E2D"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الفرضية المرتبطة</w:t>
            </w:r>
          </w:p>
        </w:tc>
        <w:tc>
          <w:tcPr>
            <w:tcW w:w="1903" w:type="pct"/>
          </w:tcPr>
          <w:p w14:paraId="0D4726C6"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الهدف من الاستخدام</w:t>
            </w:r>
          </w:p>
        </w:tc>
        <w:tc>
          <w:tcPr>
            <w:tcW w:w="2113" w:type="pct"/>
          </w:tcPr>
          <w:p w14:paraId="7DA725E9"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الأسلوب الإحصائي</w:t>
            </w:r>
          </w:p>
        </w:tc>
      </w:tr>
    </w:tbl>
    <w:p w14:paraId="3FB39E77" w14:textId="77777777" w:rsidR="00B35152" w:rsidRPr="0087261A"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(3.5): الأساليب الإحصائية وارتباطها بفرضيات الدراسة</w:t>
      </w:r>
    </w:p>
    <w:p w14:paraId="68D30A5A" w14:textId="77777777" w:rsidR="00B35152" w:rsidRPr="00DF2AA7" w:rsidRDefault="00B35152" w:rsidP="00E000FF">
      <w:pPr>
        <w:bidi/>
        <w:spacing w:after="0" w:line="360" w:lineRule="auto"/>
        <w:jc w:val="both"/>
        <w:rPr>
          <w:rFonts w:ascii="Simplified Arabic" w:hAnsi="Simplified Arabic" w:cs="Simplified Arabic"/>
          <w:sz w:val="28"/>
          <w:szCs w:val="28"/>
          <w:rtl/>
        </w:rPr>
      </w:pPr>
    </w:p>
    <w:p w14:paraId="034117B5"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ستُحلَّل جميع البيانات الكمية باستخدام برنامج الحزم الإحصائية للعلوم الاجتماعية (SPSS).</w:t>
      </w:r>
    </w:p>
    <w:p w14:paraId="73373BA4" w14:textId="77777777" w:rsidR="00B35152" w:rsidRDefault="00B35152" w:rsidP="00E000FF">
      <w:pPr>
        <w:bidi/>
        <w:spacing w:after="0" w:line="360" w:lineRule="auto"/>
        <w:jc w:val="both"/>
        <w:rPr>
          <w:rFonts w:ascii="Simplified Arabic" w:hAnsi="Simplified Arabic" w:cs="Simplified Arabic"/>
          <w:sz w:val="28"/>
          <w:szCs w:val="28"/>
          <w:rtl/>
        </w:rPr>
      </w:pPr>
    </w:p>
    <w:p w14:paraId="28F7E7F6" w14:textId="77777777" w:rsidR="00FD6BAF" w:rsidRDefault="00FD6BAF" w:rsidP="00FD6BAF">
      <w:pPr>
        <w:bidi/>
        <w:spacing w:after="0" w:line="360" w:lineRule="auto"/>
        <w:jc w:val="both"/>
        <w:rPr>
          <w:rFonts w:ascii="Simplified Arabic" w:hAnsi="Simplified Arabic" w:cs="Simplified Arabic"/>
          <w:sz w:val="28"/>
          <w:szCs w:val="28"/>
          <w:rtl/>
        </w:rPr>
      </w:pPr>
    </w:p>
    <w:p w14:paraId="498A89A1" w14:textId="77777777" w:rsidR="00FD6BAF" w:rsidRPr="0087261A" w:rsidRDefault="00FD6BAF" w:rsidP="00FD6BAF">
      <w:pPr>
        <w:bidi/>
        <w:spacing w:after="0" w:line="360" w:lineRule="auto"/>
        <w:jc w:val="both"/>
        <w:rPr>
          <w:rFonts w:ascii="Simplified Arabic" w:hAnsi="Simplified Arabic" w:cs="Simplified Arabic"/>
          <w:sz w:val="28"/>
          <w:szCs w:val="28"/>
        </w:rPr>
      </w:pPr>
    </w:p>
    <w:p w14:paraId="62CEC758"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42" w:name="_Toc234424165"/>
      <w:r>
        <w:rPr>
          <w:rFonts w:ascii="Traditional Arabic" w:hAnsi="Traditional Arabic" w:cs="Traditional Arabic"/>
          <w:b/>
          <w:bCs/>
          <w:sz w:val="32"/>
          <w:szCs w:val="32"/>
          <w:u w:val="single"/>
          <w:rtl/>
        </w:rPr>
        <w:t>3.9 الاعتبارات الأخلاقية</w:t>
      </w:r>
      <w:bookmarkEnd w:id="42"/>
    </w:p>
    <w:p w14:paraId="31C25D5A"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lastRenderedPageBreak/>
        <w:t>ستُراعَى في هذه الدراسة جميع الاعتبارات الأخلاقية المتعلقة بالبحث العلمي، وتشمل:</w:t>
      </w:r>
    </w:p>
    <w:p w14:paraId="08840C22"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الحصول على الموافقة المُستنيرة (Informed Consent) من جميع المشاركين قبل جمع البيانات.</w:t>
      </w:r>
    </w:p>
    <w:p w14:paraId="4CD21DF0"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ضمان سرية هوية المشاركين وعدم الكشف عن المعلومات الخاصة بهم.</w:t>
      </w:r>
    </w:p>
    <w:p w14:paraId="33D352C2"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توضيح أن المشاركة طوعية وأن للمشارك الحق في الانسحاب في أي وقت.</w:t>
      </w:r>
    </w:p>
    <w:p w14:paraId="4D1ABCC2" w14:textId="77777777" w:rsidR="00B35152" w:rsidRPr="0087261A" w:rsidRDefault="00B35152" w:rsidP="00E000FF">
      <w:pPr>
        <w:pStyle w:val="ListParagraph"/>
        <w:numPr>
          <w:ilvl w:val="0"/>
          <w:numId w:val="59"/>
        </w:num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استخدام البيانات لأغراض البحث العلمي فقط.</w:t>
      </w:r>
    </w:p>
    <w:p w14:paraId="15C847FA"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br w:type="page"/>
      </w:r>
    </w:p>
    <w:p w14:paraId="3F7E1212" w14:textId="77777777" w:rsidR="00FD201E" w:rsidRDefault="00FD201E" w:rsidP="00E000FF">
      <w:pPr>
        <w:bidi/>
        <w:spacing w:after="0" w:line="360" w:lineRule="auto"/>
        <w:jc w:val="both"/>
        <w:rPr>
          <w:rFonts w:ascii="Simplified Arabic" w:hAnsi="Simplified Arabic" w:cs="Simplified Arabic"/>
          <w:sz w:val="28"/>
          <w:szCs w:val="28"/>
          <w:rtl/>
        </w:rPr>
      </w:pPr>
    </w:p>
    <w:p w14:paraId="6288049E" w14:textId="77777777" w:rsidR="00FD201E" w:rsidRDefault="00FD201E" w:rsidP="00E000FF">
      <w:pPr>
        <w:bidi/>
        <w:spacing w:after="0" w:line="360" w:lineRule="auto"/>
        <w:jc w:val="both"/>
        <w:rPr>
          <w:rFonts w:ascii="Simplified Arabic" w:hAnsi="Simplified Arabic" w:cs="Simplified Arabic"/>
          <w:sz w:val="28"/>
          <w:szCs w:val="28"/>
          <w:rtl/>
        </w:rPr>
      </w:pPr>
    </w:p>
    <w:p w14:paraId="17261790" w14:textId="77777777" w:rsidR="00FD201E" w:rsidRDefault="00FD201E" w:rsidP="00E000FF">
      <w:pPr>
        <w:bidi/>
        <w:spacing w:after="0" w:line="360" w:lineRule="auto"/>
        <w:jc w:val="both"/>
        <w:rPr>
          <w:rFonts w:ascii="Simplified Arabic" w:hAnsi="Simplified Arabic" w:cs="Simplified Arabic"/>
          <w:sz w:val="28"/>
          <w:szCs w:val="28"/>
          <w:rtl/>
        </w:rPr>
      </w:pPr>
    </w:p>
    <w:p w14:paraId="2B62B3F3" w14:textId="77777777" w:rsidR="00FD201E" w:rsidRDefault="00FD201E" w:rsidP="00E000FF">
      <w:pPr>
        <w:bidi/>
        <w:spacing w:after="0" w:line="360" w:lineRule="auto"/>
        <w:jc w:val="both"/>
        <w:rPr>
          <w:rFonts w:ascii="Simplified Arabic" w:hAnsi="Simplified Arabic" w:cs="Simplified Arabic"/>
          <w:sz w:val="28"/>
          <w:szCs w:val="28"/>
          <w:rtl/>
        </w:rPr>
      </w:pPr>
    </w:p>
    <w:p w14:paraId="049E3371" w14:textId="77777777" w:rsidR="00FD201E" w:rsidRDefault="00FD201E" w:rsidP="00E000FF">
      <w:pPr>
        <w:bidi/>
        <w:spacing w:after="0" w:line="360" w:lineRule="auto"/>
        <w:jc w:val="both"/>
        <w:rPr>
          <w:rFonts w:ascii="Simplified Arabic" w:hAnsi="Simplified Arabic" w:cs="Simplified Arabic"/>
          <w:sz w:val="28"/>
          <w:szCs w:val="28"/>
          <w:rtl/>
        </w:rPr>
      </w:pPr>
    </w:p>
    <w:p w14:paraId="44283870" w14:textId="77777777" w:rsidR="00FD201E" w:rsidRDefault="00FD201E" w:rsidP="00E000FF">
      <w:pPr>
        <w:bidi/>
        <w:spacing w:after="0" w:line="360" w:lineRule="auto"/>
        <w:jc w:val="both"/>
        <w:rPr>
          <w:rFonts w:ascii="Simplified Arabic" w:hAnsi="Simplified Arabic" w:cs="Simplified Arabic"/>
          <w:sz w:val="28"/>
          <w:szCs w:val="28"/>
          <w:rtl/>
        </w:rPr>
      </w:pPr>
    </w:p>
    <w:p w14:paraId="5609F7FA" w14:textId="77777777" w:rsidR="00FD201E" w:rsidRDefault="00FD201E" w:rsidP="00E000FF">
      <w:pPr>
        <w:bidi/>
        <w:spacing w:after="0" w:line="360" w:lineRule="auto"/>
        <w:jc w:val="both"/>
        <w:rPr>
          <w:rFonts w:ascii="Simplified Arabic" w:hAnsi="Simplified Arabic" w:cs="Simplified Arabic"/>
          <w:sz w:val="28"/>
          <w:szCs w:val="28"/>
          <w:rtl/>
        </w:rPr>
      </w:pPr>
    </w:p>
    <w:p w14:paraId="577B231C" w14:textId="77777777" w:rsidR="00FD201E" w:rsidRDefault="00FD201E" w:rsidP="00E000FF">
      <w:pPr>
        <w:bidi/>
        <w:spacing w:after="0" w:line="360" w:lineRule="auto"/>
        <w:jc w:val="both"/>
        <w:rPr>
          <w:rFonts w:ascii="Simplified Arabic" w:hAnsi="Simplified Arabic" w:cs="Simplified Arabic"/>
          <w:sz w:val="28"/>
          <w:szCs w:val="28"/>
          <w:rtl/>
        </w:rPr>
      </w:pPr>
    </w:p>
    <w:p w14:paraId="29FEDB97" w14:textId="77777777" w:rsidR="00FD201E" w:rsidRDefault="00FD201E" w:rsidP="00E000FF">
      <w:pPr>
        <w:bidi/>
        <w:spacing w:after="0" w:line="360" w:lineRule="auto"/>
        <w:jc w:val="both"/>
        <w:rPr>
          <w:rFonts w:ascii="Simplified Arabic" w:hAnsi="Simplified Arabic" w:cs="Simplified Arabic"/>
          <w:sz w:val="28"/>
          <w:szCs w:val="28"/>
          <w:rtl/>
        </w:rPr>
      </w:pPr>
    </w:p>
    <w:p w14:paraId="313AF158" w14:textId="77777777" w:rsidR="00FD201E" w:rsidRPr="00D329C2" w:rsidRDefault="00FD201E" w:rsidP="00E000FF">
      <w:pPr>
        <w:bidi/>
        <w:spacing w:after="0" w:line="360" w:lineRule="auto"/>
        <w:jc w:val="both"/>
        <w:rPr>
          <w:rFonts w:ascii="Simplified Arabic" w:hAnsi="Simplified Arabic" w:cs="Simplified Arabic"/>
          <w:sz w:val="28"/>
          <w:szCs w:val="28"/>
        </w:rPr>
      </w:pPr>
    </w:p>
    <w:p w14:paraId="3D498D5E" w14:textId="77777777" w:rsidR="00481285" w:rsidRPr="00FD6BAF" w:rsidRDefault="00481285"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43" w:name="_Toc234424166"/>
      <w:r w:rsidRPr="00FD6BAF">
        <w:rPr>
          <w:rFonts w:ascii="Traditional Arabic" w:hAnsi="Traditional Arabic" w:cs="Traditional Arabic"/>
          <w:b/>
          <w:bCs/>
          <w:sz w:val="92"/>
          <w:szCs w:val="92"/>
          <w:rtl/>
        </w:rPr>
        <w:t xml:space="preserve">الفصل </w:t>
      </w:r>
      <w:r w:rsidRPr="00FD6BAF">
        <w:rPr>
          <w:rFonts w:ascii="Traditional Arabic" w:hAnsi="Traditional Arabic" w:cs="Traditional Arabic" w:hint="cs"/>
          <w:b/>
          <w:bCs/>
          <w:sz w:val="92"/>
          <w:szCs w:val="92"/>
          <w:rtl/>
        </w:rPr>
        <w:t>الرابع</w:t>
      </w:r>
      <w:bookmarkEnd w:id="43"/>
    </w:p>
    <w:p w14:paraId="49C1252A" w14:textId="77777777" w:rsidR="007C5A80" w:rsidRPr="007C5A80" w:rsidRDefault="007C5A80" w:rsidP="00E000FF">
      <w:pPr>
        <w:pStyle w:val="HeadingTOCEntry"/>
        <w:bidi/>
        <w:spacing w:after="0" w:line="360" w:lineRule="auto"/>
        <w:ind w:left="432" w:hanging="432"/>
        <w:jc w:val="center"/>
        <w:rPr>
          <w:rFonts w:ascii="Simplified Arabic" w:hAnsi="Simplified Arabic" w:cs="Simplified Arabic"/>
          <w:b/>
          <w:bCs/>
          <w:sz w:val="96"/>
          <w:szCs w:val="96"/>
        </w:rPr>
      </w:pPr>
      <w:bookmarkStart w:id="44" w:name="_Toc234424167"/>
      <w:r w:rsidRPr="00FD6BAF">
        <w:rPr>
          <w:rFonts w:ascii="Traditional Arabic" w:hAnsi="Traditional Arabic" w:cs="Traditional Arabic"/>
          <w:b/>
          <w:bCs/>
          <w:sz w:val="92"/>
          <w:szCs w:val="92"/>
          <w:rtl/>
        </w:rPr>
        <w:t>عرض وتحليل نتائج الدراسة</w:t>
      </w:r>
      <w:bookmarkEnd w:id="44"/>
    </w:p>
    <w:p w14:paraId="11BBAA2E" w14:textId="77777777" w:rsidR="00E07760" w:rsidRDefault="00E07760" w:rsidP="00E000FF">
      <w:pPr>
        <w:bidi/>
        <w:spacing w:after="0" w:line="360" w:lineRule="auto"/>
        <w:rPr>
          <w:rtl/>
        </w:rPr>
      </w:pPr>
      <w:r>
        <w:rPr>
          <w:rFonts w:ascii="Traditional Arabic" w:hAnsi="Traditional Arabic" w:cs="Traditional Arabic"/>
          <w:sz w:val="24"/>
          <w:szCs w:val="24"/>
          <w:rtl/>
        </w:rPr>
        <w:br w:type="page"/>
      </w:r>
    </w:p>
    <w:p w14:paraId="677C6C18"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45" w:name="_Toc234424168"/>
      <w:r>
        <w:rPr>
          <w:rFonts w:ascii="Traditional Arabic" w:hAnsi="Traditional Arabic" w:cs="Traditional Arabic"/>
          <w:b/>
          <w:bCs/>
          <w:sz w:val="32"/>
          <w:szCs w:val="32"/>
          <w:u w:val="single"/>
          <w:rtl/>
        </w:rPr>
        <w:lastRenderedPageBreak/>
        <w:t>مقدمة</w:t>
      </w:r>
      <w:bookmarkEnd w:id="45"/>
    </w:p>
    <w:p w14:paraId="2B4BB634"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يُعَدّ هذا الفصل من الفصول الجوهرية في هذه الأطروحة، إذ يمثّل الجانب التطبيقي للإطارين النظري والمنهجي اللذين تم عرضهما في الفصلين الثاني والثالث، ويعكس قدرة الباحث على تحليل البيانات الميدانية وتفسيرها تفسيراً علمياً دقيقاً ومنهجياً. ويهدف هذا الفصل إلى عرض نتائج الدراسة الميدانية وتحليلها باستخدام مجموعة من الأساليب الإحصائية الوصفية والاستدلالية غير المعلمية، بما يتلاءم مع طبيعة البيانات ومستوى القياس وحجم العينة القصدية المعتمدة، وذلك بغرض اختبار فرضيات الدراسة الخمس والإجابة عن أسئلتها البحثية، تمهيداً لمناقشة هذه النتائج وتفسيرها في الفصل الخامس.</w:t>
      </w:r>
    </w:p>
    <w:p w14:paraId="1299A86F"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طُبِّقت الاستبانة الإلكترونية على عينة قصدية بلغ حجمها 196 استجابة صحيحة ومكتملة من العاملين في المؤسسات المالية السعودية موضع الدراسة، بعد استبعاد الاستجابات غير المكتملة أو التي لم تتضمن موافقة صريحة على المشاركة. ويرتبط هذا الفصل ارتباطاً مباشراً بالفصل الثالث، حيث يعتمد في تحليلاته على أداة الدراسة المكوّنة من خمسة أبعاد رئيسية (الترميز الأمني للبيانات، الامتثال للمعايير الدولية، الكفاءة التشغيلية المالية، الأمن السيبراني المؤسسي، التوافق مع رؤية 2030)، وعلى المنهج الإحصائي غير المعلمي الذي تحدد اعتماده بناءً على نتائج اختبار افتراضات التوزيع الطبيعي الواردة في هذا الفصل.</w:t>
      </w:r>
    </w:p>
    <w:p w14:paraId="2BDF5F00"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المنقّح، وينتهي الفصل بتلخيص أبرز النتائج التي تم التوصل إليها.</w:t>
      </w:r>
    </w:p>
    <w:p w14:paraId="334C5114"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46" w:name="_Toc234424169"/>
      <w:r>
        <w:rPr>
          <w:rFonts w:ascii="Traditional Arabic" w:hAnsi="Traditional Arabic" w:cs="Traditional Arabic"/>
          <w:b/>
          <w:bCs/>
          <w:sz w:val="32"/>
          <w:szCs w:val="32"/>
          <w:u w:val="single"/>
          <w:rtl/>
        </w:rPr>
        <w:t>أولاً: الخصائص الديموغرافية لأفراد العينة</w:t>
      </w:r>
      <w:bookmarkEnd w:id="46"/>
    </w:p>
    <w:p w14:paraId="11CF2A16" w14:textId="77777777" w:rsidR="007608E1" w:rsidRPr="00FD6BAF" w:rsidRDefault="007608E1" w:rsidP="00E000FF">
      <w:pPr>
        <w:bidi/>
        <w:spacing w:after="0" w:line="360" w:lineRule="auto"/>
        <w:jc w:val="both"/>
        <w:rPr>
          <w:sz w:val="28"/>
          <w:szCs w:val="28"/>
        </w:rPr>
      </w:pPr>
      <w:r w:rsidRPr="00FD6BAF">
        <w:rPr>
          <w:rFonts w:ascii="Traditional Arabic" w:eastAsia="Simplified Arabic" w:hAnsi="Traditional Arabic" w:cs="Traditional Arabic"/>
          <w:sz w:val="28"/>
          <w:szCs w:val="28"/>
          <w:rtl/>
        </w:rPr>
        <w:t>يتناول هذا الجزء عرضاً وصفياً لخصائص مفردات عينة الدراسة البالغ عددها (196) مستجيباً، من حيث نوع المؤسسة وحجمها وعمرها في السوق، والمنصب الوظيفي للمستجيب وسنوات خبرته، فضلاً عن مدى اعتماد المؤسسة لتقنية الترميز حالياً، وذلك باستخدام التكرارات والنسب المئوية.</w:t>
      </w:r>
    </w:p>
    <w:p w14:paraId="538E3BD9" w14:textId="77777777" w:rsidR="007608E1" w:rsidRDefault="007608E1" w:rsidP="00E000FF">
      <w:pPr>
        <w:bidi/>
        <w:spacing w:after="0" w:line="360" w:lineRule="auto"/>
        <w:jc w:val="both"/>
      </w:pPr>
      <w:r w:rsidRPr="00FD6BAF">
        <w:rPr>
          <w:rFonts w:ascii="Traditional Arabic" w:eastAsia="Simplified Arabic" w:hAnsi="Traditional Arabic" w:cs="Traditional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FD6BAF" w14:paraId="4DAFF0FE" w14:textId="77777777" w:rsidTr="00036983">
        <w:trPr>
          <w:tblHeader/>
          <w:jc w:val="center"/>
        </w:trPr>
        <w:tc>
          <w:tcPr>
            <w:tcW w:w="3022" w:type="pct"/>
            <w:shd w:val="clear" w:color="auto" w:fill="2E5395"/>
            <w:tcMar>
              <w:top w:w="60" w:type="dxa"/>
              <w:left w:w="100" w:type="dxa"/>
              <w:bottom w:w="60" w:type="dxa"/>
              <w:right w:w="100" w:type="dxa"/>
            </w:tcMar>
            <w:vAlign w:val="center"/>
          </w:tcPr>
          <w:p w14:paraId="129AD3F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lastRenderedPageBreak/>
              <w:t>نوع المؤسسة</w:t>
            </w:r>
          </w:p>
        </w:tc>
        <w:tc>
          <w:tcPr>
            <w:tcW w:w="989" w:type="pct"/>
            <w:shd w:val="clear" w:color="auto" w:fill="2E5395"/>
            <w:tcMar>
              <w:top w:w="60" w:type="dxa"/>
              <w:left w:w="100" w:type="dxa"/>
              <w:bottom w:w="60" w:type="dxa"/>
              <w:right w:w="100" w:type="dxa"/>
            </w:tcMar>
            <w:vAlign w:val="center"/>
          </w:tcPr>
          <w:p w14:paraId="58C2864B"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39A6C3BD"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النسبة المئوية</w:t>
            </w:r>
          </w:p>
        </w:tc>
      </w:tr>
      <w:tr w:rsidR="007608E1" w:rsidRPr="00FD6BAF" w14:paraId="293FDE22" w14:textId="77777777" w:rsidTr="00036983">
        <w:trPr>
          <w:jc w:val="center"/>
        </w:trPr>
        <w:tc>
          <w:tcPr>
            <w:tcW w:w="3022" w:type="pct"/>
            <w:tcMar>
              <w:top w:w="60" w:type="dxa"/>
              <w:left w:w="100" w:type="dxa"/>
              <w:bottom w:w="60" w:type="dxa"/>
              <w:right w:w="100" w:type="dxa"/>
            </w:tcMar>
            <w:vAlign w:val="center"/>
          </w:tcPr>
          <w:p w14:paraId="71BD171D"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بنك تجاري</w:t>
            </w:r>
          </w:p>
        </w:tc>
        <w:tc>
          <w:tcPr>
            <w:tcW w:w="989" w:type="pct"/>
            <w:tcMar>
              <w:top w:w="60" w:type="dxa"/>
              <w:left w:w="100" w:type="dxa"/>
              <w:bottom w:w="60" w:type="dxa"/>
              <w:right w:w="100" w:type="dxa"/>
            </w:tcMar>
            <w:vAlign w:val="center"/>
          </w:tcPr>
          <w:p w14:paraId="7E2CA160"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87</w:t>
            </w:r>
          </w:p>
        </w:tc>
        <w:tc>
          <w:tcPr>
            <w:tcW w:w="989" w:type="pct"/>
            <w:tcMar>
              <w:top w:w="60" w:type="dxa"/>
              <w:left w:w="100" w:type="dxa"/>
              <w:bottom w:w="60" w:type="dxa"/>
              <w:right w:w="100" w:type="dxa"/>
            </w:tcMar>
            <w:vAlign w:val="center"/>
          </w:tcPr>
          <w:p w14:paraId="1137EB05"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44.4%</w:t>
            </w:r>
          </w:p>
        </w:tc>
      </w:tr>
      <w:tr w:rsidR="007608E1" w:rsidRPr="00FD6BAF" w14:paraId="0930173C" w14:textId="77777777" w:rsidTr="00036983">
        <w:trPr>
          <w:jc w:val="center"/>
        </w:trPr>
        <w:tc>
          <w:tcPr>
            <w:tcW w:w="3022" w:type="pct"/>
            <w:shd w:val="clear" w:color="auto" w:fill="F2F2F2"/>
            <w:tcMar>
              <w:top w:w="60" w:type="dxa"/>
              <w:left w:w="100" w:type="dxa"/>
              <w:bottom w:w="60" w:type="dxa"/>
              <w:right w:w="100" w:type="dxa"/>
            </w:tcMar>
            <w:vAlign w:val="center"/>
          </w:tcPr>
          <w:p w14:paraId="1239847D"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مؤسسة مالية أخرى</w:t>
            </w:r>
          </w:p>
        </w:tc>
        <w:tc>
          <w:tcPr>
            <w:tcW w:w="989" w:type="pct"/>
            <w:shd w:val="clear" w:color="auto" w:fill="F2F2F2"/>
            <w:tcMar>
              <w:top w:w="60" w:type="dxa"/>
              <w:left w:w="100" w:type="dxa"/>
              <w:bottom w:w="60" w:type="dxa"/>
              <w:right w:w="100" w:type="dxa"/>
            </w:tcMar>
            <w:vAlign w:val="center"/>
          </w:tcPr>
          <w:p w14:paraId="439C637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36</w:t>
            </w:r>
          </w:p>
        </w:tc>
        <w:tc>
          <w:tcPr>
            <w:tcW w:w="989" w:type="pct"/>
            <w:shd w:val="clear" w:color="auto" w:fill="F2F2F2"/>
            <w:tcMar>
              <w:top w:w="60" w:type="dxa"/>
              <w:left w:w="100" w:type="dxa"/>
              <w:bottom w:w="60" w:type="dxa"/>
              <w:right w:w="100" w:type="dxa"/>
            </w:tcMar>
            <w:vAlign w:val="center"/>
          </w:tcPr>
          <w:p w14:paraId="61A16F1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18.4%</w:t>
            </w:r>
          </w:p>
        </w:tc>
      </w:tr>
      <w:tr w:rsidR="007608E1" w:rsidRPr="00FD6BAF" w14:paraId="730621A5" w14:textId="77777777" w:rsidTr="00036983">
        <w:trPr>
          <w:jc w:val="center"/>
        </w:trPr>
        <w:tc>
          <w:tcPr>
            <w:tcW w:w="3022" w:type="pct"/>
            <w:tcMar>
              <w:top w:w="60" w:type="dxa"/>
              <w:left w:w="100" w:type="dxa"/>
              <w:bottom w:w="60" w:type="dxa"/>
              <w:right w:w="100" w:type="dxa"/>
            </w:tcMar>
            <w:vAlign w:val="center"/>
          </w:tcPr>
          <w:p w14:paraId="14F803A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دفع إلكتروني</w:t>
            </w:r>
          </w:p>
        </w:tc>
        <w:tc>
          <w:tcPr>
            <w:tcW w:w="989" w:type="pct"/>
            <w:tcMar>
              <w:top w:w="60" w:type="dxa"/>
              <w:left w:w="100" w:type="dxa"/>
              <w:bottom w:w="60" w:type="dxa"/>
              <w:right w:w="100" w:type="dxa"/>
            </w:tcMar>
            <w:vAlign w:val="center"/>
          </w:tcPr>
          <w:p w14:paraId="09B119F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29</w:t>
            </w:r>
          </w:p>
        </w:tc>
        <w:tc>
          <w:tcPr>
            <w:tcW w:w="989" w:type="pct"/>
            <w:tcMar>
              <w:top w:w="60" w:type="dxa"/>
              <w:left w:w="100" w:type="dxa"/>
              <w:bottom w:w="60" w:type="dxa"/>
              <w:right w:w="100" w:type="dxa"/>
            </w:tcMar>
            <w:vAlign w:val="center"/>
          </w:tcPr>
          <w:p w14:paraId="6A3E4C6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14.8%</w:t>
            </w:r>
          </w:p>
        </w:tc>
      </w:tr>
      <w:tr w:rsidR="007608E1" w:rsidRPr="00FD6BAF" w14:paraId="3F081AFE" w14:textId="77777777" w:rsidTr="00036983">
        <w:trPr>
          <w:jc w:val="center"/>
        </w:trPr>
        <w:tc>
          <w:tcPr>
            <w:tcW w:w="3022" w:type="pct"/>
            <w:shd w:val="clear" w:color="auto" w:fill="F2F2F2"/>
            <w:tcMar>
              <w:top w:w="60" w:type="dxa"/>
              <w:left w:w="100" w:type="dxa"/>
              <w:bottom w:w="60" w:type="dxa"/>
              <w:right w:w="100" w:type="dxa"/>
            </w:tcMar>
            <w:vAlign w:val="center"/>
          </w:tcPr>
          <w:p w14:paraId="4D45BE6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تأمين</w:t>
            </w:r>
          </w:p>
        </w:tc>
        <w:tc>
          <w:tcPr>
            <w:tcW w:w="989" w:type="pct"/>
            <w:shd w:val="clear" w:color="auto" w:fill="F2F2F2"/>
            <w:tcMar>
              <w:top w:w="60" w:type="dxa"/>
              <w:left w:w="100" w:type="dxa"/>
              <w:bottom w:w="60" w:type="dxa"/>
              <w:right w:w="100" w:type="dxa"/>
            </w:tcMar>
            <w:vAlign w:val="center"/>
          </w:tcPr>
          <w:p w14:paraId="07A6AB9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26</w:t>
            </w:r>
          </w:p>
        </w:tc>
        <w:tc>
          <w:tcPr>
            <w:tcW w:w="989" w:type="pct"/>
            <w:shd w:val="clear" w:color="auto" w:fill="F2F2F2"/>
            <w:tcMar>
              <w:top w:w="60" w:type="dxa"/>
              <w:left w:w="100" w:type="dxa"/>
              <w:bottom w:w="60" w:type="dxa"/>
              <w:right w:w="100" w:type="dxa"/>
            </w:tcMar>
            <w:vAlign w:val="center"/>
          </w:tcPr>
          <w:p w14:paraId="2010C952"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13.3%</w:t>
            </w:r>
          </w:p>
        </w:tc>
      </w:tr>
      <w:tr w:rsidR="007608E1" w:rsidRPr="00FD6BAF" w14:paraId="249D23FC" w14:textId="77777777" w:rsidTr="00036983">
        <w:trPr>
          <w:jc w:val="center"/>
        </w:trPr>
        <w:tc>
          <w:tcPr>
            <w:tcW w:w="3022" w:type="pct"/>
            <w:tcMar>
              <w:top w:w="60" w:type="dxa"/>
              <w:left w:w="100" w:type="dxa"/>
              <w:bottom w:w="60" w:type="dxa"/>
              <w:right w:w="100" w:type="dxa"/>
            </w:tcMar>
            <w:vAlign w:val="center"/>
          </w:tcPr>
          <w:p w14:paraId="350051B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فنتك (FinTech)</w:t>
            </w:r>
          </w:p>
        </w:tc>
        <w:tc>
          <w:tcPr>
            <w:tcW w:w="989" w:type="pct"/>
            <w:tcMar>
              <w:top w:w="60" w:type="dxa"/>
              <w:left w:w="100" w:type="dxa"/>
              <w:bottom w:w="60" w:type="dxa"/>
              <w:right w:w="100" w:type="dxa"/>
            </w:tcMar>
            <w:vAlign w:val="center"/>
          </w:tcPr>
          <w:p w14:paraId="684B082E"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18</w:t>
            </w:r>
          </w:p>
        </w:tc>
        <w:tc>
          <w:tcPr>
            <w:tcW w:w="989" w:type="pct"/>
            <w:tcMar>
              <w:top w:w="60" w:type="dxa"/>
              <w:left w:w="100" w:type="dxa"/>
              <w:bottom w:w="60" w:type="dxa"/>
              <w:right w:w="100" w:type="dxa"/>
            </w:tcMar>
            <w:vAlign w:val="center"/>
          </w:tcPr>
          <w:p w14:paraId="2185C9D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9.2%</w:t>
            </w:r>
          </w:p>
        </w:tc>
      </w:tr>
    </w:tbl>
    <w:p w14:paraId="3B7A3D15"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(4.1): توزيع أفراد العينة وفق نوع المؤسسة</w:t>
      </w:r>
    </w:p>
    <w:p w14:paraId="5B8633DB"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يتبيّن من الجدول أعلاه أن البنوك التجارية استحوذت على النسبة الأكبر من أفراد العينة بنسبة 44.4%، تلتها المؤسسات المالية الأخرى بنسبة 18.4%، ثم شركات الدفع الإلكتروني بنسبة 14.8%، فشركات التأمين بنسبة 13.3%، وأخيراً شركات التقنية المالية (Fintech) بنسبة 9.2%. ولأغراض اختبار الفرضية الخامسة المتعلقة بالفروق حسب نوع المؤسسة، أُعيد تصنيف هذه الفئات إلى ثلاث مجموعات متجانسة نسبياً من حيث طبيعة النشاط ومستوى الرقمنة، على النحو التالي: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FD6BAF" w14:paraId="4DA380C1" w14:textId="77777777" w:rsidTr="00036983">
        <w:trPr>
          <w:tblHeader/>
          <w:jc w:val="center"/>
        </w:trPr>
        <w:tc>
          <w:tcPr>
            <w:tcW w:w="3022" w:type="pct"/>
            <w:shd w:val="clear" w:color="auto" w:fill="2E5395"/>
            <w:tcMar>
              <w:top w:w="60" w:type="dxa"/>
              <w:left w:w="100" w:type="dxa"/>
              <w:bottom w:w="60" w:type="dxa"/>
              <w:right w:w="100" w:type="dxa"/>
            </w:tcMar>
            <w:vAlign w:val="center"/>
          </w:tcPr>
          <w:p w14:paraId="4680419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المجموعة المدمجة</w:t>
            </w:r>
          </w:p>
        </w:tc>
        <w:tc>
          <w:tcPr>
            <w:tcW w:w="989" w:type="pct"/>
            <w:shd w:val="clear" w:color="auto" w:fill="2E5395"/>
            <w:tcMar>
              <w:top w:w="60" w:type="dxa"/>
              <w:left w:w="100" w:type="dxa"/>
              <w:bottom w:w="60" w:type="dxa"/>
              <w:right w:w="100" w:type="dxa"/>
            </w:tcMar>
            <w:vAlign w:val="center"/>
          </w:tcPr>
          <w:p w14:paraId="4161CA7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FA164C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النسبة المئوية</w:t>
            </w:r>
          </w:p>
        </w:tc>
      </w:tr>
      <w:tr w:rsidR="007608E1" w:rsidRPr="00FD6BAF" w14:paraId="406FE92A" w14:textId="77777777" w:rsidTr="00036983">
        <w:trPr>
          <w:jc w:val="center"/>
        </w:trPr>
        <w:tc>
          <w:tcPr>
            <w:tcW w:w="3022" w:type="pct"/>
            <w:tcMar>
              <w:top w:w="60" w:type="dxa"/>
              <w:left w:w="100" w:type="dxa"/>
              <w:bottom w:w="60" w:type="dxa"/>
              <w:right w:w="100" w:type="dxa"/>
            </w:tcMar>
            <w:vAlign w:val="center"/>
          </w:tcPr>
          <w:p w14:paraId="148F45E1"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بنوك</w:t>
            </w:r>
          </w:p>
        </w:tc>
        <w:tc>
          <w:tcPr>
            <w:tcW w:w="989" w:type="pct"/>
            <w:tcMar>
              <w:top w:w="60" w:type="dxa"/>
              <w:left w:w="100" w:type="dxa"/>
              <w:bottom w:w="60" w:type="dxa"/>
              <w:right w:w="100" w:type="dxa"/>
            </w:tcMar>
            <w:vAlign w:val="center"/>
          </w:tcPr>
          <w:p w14:paraId="57789371"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87</w:t>
            </w:r>
          </w:p>
        </w:tc>
        <w:tc>
          <w:tcPr>
            <w:tcW w:w="989" w:type="pct"/>
            <w:tcMar>
              <w:top w:w="60" w:type="dxa"/>
              <w:left w:w="100" w:type="dxa"/>
              <w:bottom w:w="60" w:type="dxa"/>
              <w:right w:w="100" w:type="dxa"/>
            </w:tcMar>
            <w:vAlign w:val="center"/>
          </w:tcPr>
          <w:p w14:paraId="47BD3390"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44.4%</w:t>
            </w:r>
          </w:p>
        </w:tc>
      </w:tr>
      <w:tr w:rsidR="007608E1" w:rsidRPr="00FD6BAF" w14:paraId="03378981" w14:textId="77777777" w:rsidTr="00036983">
        <w:trPr>
          <w:jc w:val="center"/>
        </w:trPr>
        <w:tc>
          <w:tcPr>
            <w:tcW w:w="3022" w:type="pct"/>
            <w:shd w:val="clear" w:color="auto" w:fill="F2F2F2"/>
            <w:tcMar>
              <w:top w:w="60" w:type="dxa"/>
              <w:left w:w="100" w:type="dxa"/>
              <w:bottom w:w="60" w:type="dxa"/>
              <w:right w:w="100" w:type="dxa"/>
            </w:tcMar>
            <w:vAlign w:val="center"/>
          </w:tcPr>
          <w:p w14:paraId="2050BF8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مؤسسات أخرى</w:t>
            </w:r>
          </w:p>
        </w:tc>
        <w:tc>
          <w:tcPr>
            <w:tcW w:w="989" w:type="pct"/>
            <w:shd w:val="clear" w:color="auto" w:fill="F2F2F2"/>
            <w:tcMar>
              <w:top w:w="60" w:type="dxa"/>
              <w:left w:w="100" w:type="dxa"/>
              <w:bottom w:w="60" w:type="dxa"/>
              <w:right w:w="100" w:type="dxa"/>
            </w:tcMar>
            <w:vAlign w:val="center"/>
          </w:tcPr>
          <w:p w14:paraId="54D0A4FD"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62</w:t>
            </w:r>
          </w:p>
        </w:tc>
        <w:tc>
          <w:tcPr>
            <w:tcW w:w="989" w:type="pct"/>
            <w:shd w:val="clear" w:color="auto" w:fill="F2F2F2"/>
            <w:tcMar>
              <w:top w:w="60" w:type="dxa"/>
              <w:left w:w="100" w:type="dxa"/>
              <w:bottom w:w="60" w:type="dxa"/>
              <w:right w:w="100" w:type="dxa"/>
            </w:tcMar>
            <w:vAlign w:val="center"/>
          </w:tcPr>
          <w:p w14:paraId="63565CEB"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31.6%</w:t>
            </w:r>
          </w:p>
        </w:tc>
      </w:tr>
      <w:tr w:rsidR="007608E1" w:rsidRPr="00FD6BAF" w14:paraId="283E84AB" w14:textId="77777777" w:rsidTr="00036983">
        <w:trPr>
          <w:jc w:val="center"/>
        </w:trPr>
        <w:tc>
          <w:tcPr>
            <w:tcW w:w="3022" w:type="pct"/>
            <w:tcMar>
              <w:top w:w="60" w:type="dxa"/>
              <w:left w:w="100" w:type="dxa"/>
              <w:bottom w:w="60" w:type="dxa"/>
              <w:right w:w="100" w:type="dxa"/>
            </w:tcMar>
            <w:vAlign w:val="center"/>
          </w:tcPr>
          <w:p w14:paraId="04A2BD15"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فنتك ودفع إلكتروني</w:t>
            </w:r>
          </w:p>
        </w:tc>
        <w:tc>
          <w:tcPr>
            <w:tcW w:w="989" w:type="pct"/>
            <w:tcMar>
              <w:top w:w="60" w:type="dxa"/>
              <w:left w:w="100" w:type="dxa"/>
              <w:bottom w:w="60" w:type="dxa"/>
              <w:right w:w="100" w:type="dxa"/>
            </w:tcMar>
            <w:vAlign w:val="center"/>
          </w:tcPr>
          <w:p w14:paraId="723C9057"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47</w:t>
            </w:r>
          </w:p>
        </w:tc>
        <w:tc>
          <w:tcPr>
            <w:tcW w:w="989" w:type="pct"/>
            <w:tcMar>
              <w:top w:w="60" w:type="dxa"/>
              <w:left w:w="100" w:type="dxa"/>
              <w:bottom w:w="60" w:type="dxa"/>
              <w:right w:w="100" w:type="dxa"/>
            </w:tcMar>
            <w:vAlign w:val="center"/>
          </w:tcPr>
          <w:p w14:paraId="187A55E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24%</w:t>
            </w:r>
          </w:p>
        </w:tc>
      </w:tr>
    </w:tbl>
    <w:p w14:paraId="0174505E"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(4.2): إعادة تصنيف نوع المؤسسة إلى ثلاث مجموعات لأغراض اختبار الفرض الفرعي (H3b)</w:t>
      </w:r>
    </w:p>
    <w:p w14:paraId="663BDB1F" w14:textId="77777777" w:rsidR="007608E1" w:rsidRDefault="007608E1" w:rsidP="00E000FF">
      <w:pPr>
        <w:bidi/>
        <w:spacing w:after="0" w:line="360" w:lineRule="auto"/>
        <w:jc w:val="both"/>
      </w:pPr>
      <w:r>
        <w:rPr>
          <w:rFonts w:ascii="Traditional Arabic" w:eastAsia="Simplified Arabic" w:hAnsi="Traditional Arabic" w:cs="Traditional Arabic"/>
          <w:i/>
          <w:iCs/>
          <w:sz w:val="24"/>
          <w:szCs w:val="24"/>
          <w:rtl/>
        </w:rPr>
        <w:t>ملاحظة: ضمّت مجموعة "بنوك" فئة البنوك التجارية، وضمّت مجموعة "فنتك ودفع إلكتروني" شركات التقنية المالية وشركات الدفع الإلكتروني معاً لتشابه طبيعة نشاطها الرقمي، بينما ضمّت مجموعة "مؤسسات أخرى" شركات التأمين والمؤسسات المالية الأخرى.</w:t>
      </w:r>
    </w:p>
    <w:p w14:paraId="21521E37"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2. حجم المؤسسة (عدد الموظفين)</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21EF1749" w14:textId="77777777" w:rsidTr="00036983">
        <w:trPr>
          <w:tblHeader/>
          <w:jc w:val="center"/>
        </w:trPr>
        <w:tc>
          <w:tcPr>
            <w:tcW w:w="3022" w:type="pct"/>
            <w:shd w:val="clear" w:color="auto" w:fill="2E5395"/>
            <w:tcMar>
              <w:top w:w="60" w:type="dxa"/>
              <w:left w:w="100" w:type="dxa"/>
              <w:bottom w:w="60" w:type="dxa"/>
              <w:right w:w="100" w:type="dxa"/>
            </w:tcMar>
            <w:vAlign w:val="center"/>
          </w:tcPr>
          <w:p w14:paraId="665DDCC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حجم المؤسسة</w:t>
            </w:r>
          </w:p>
        </w:tc>
        <w:tc>
          <w:tcPr>
            <w:tcW w:w="989" w:type="pct"/>
            <w:shd w:val="clear" w:color="auto" w:fill="2E5395"/>
            <w:tcMar>
              <w:top w:w="60" w:type="dxa"/>
              <w:left w:w="100" w:type="dxa"/>
              <w:bottom w:w="60" w:type="dxa"/>
              <w:right w:w="100" w:type="dxa"/>
            </w:tcMar>
            <w:vAlign w:val="center"/>
          </w:tcPr>
          <w:p w14:paraId="39EB8BF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1C6676F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7DFBCA69" w14:textId="77777777" w:rsidTr="00036983">
        <w:trPr>
          <w:jc w:val="center"/>
        </w:trPr>
        <w:tc>
          <w:tcPr>
            <w:tcW w:w="3022" w:type="pct"/>
            <w:tcMar>
              <w:top w:w="60" w:type="dxa"/>
              <w:left w:w="100" w:type="dxa"/>
              <w:bottom w:w="60" w:type="dxa"/>
              <w:right w:w="100" w:type="dxa"/>
            </w:tcMar>
            <w:vAlign w:val="center"/>
          </w:tcPr>
          <w:p w14:paraId="6C5D036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250 موظفاً</w:t>
            </w:r>
          </w:p>
        </w:tc>
        <w:tc>
          <w:tcPr>
            <w:tcW w:w="989" w:type="pct"/>
            <w:tcMar>
              <w:top w:w="60" w:type="dxa"/>
              <w:left w:w="100" w:type="dxa"/>
              <w:bottom w:w="60" w:type="dxa"/>
              <w:right w:w="100" w:type="dxa"/>
            </w:tcMar>
            <w:vAlign w:val="center"/>
          </w:tcPr>
          <w:p w14:paraId="4758E6A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130</w:t>
            </w:r>
          </w:p>
        </w:tc>
        <w:tc>
          <w:tcPr>
            <w:tcW w:w="989" w:type="pct"/>
            <w:tcMar>
              <w:top w:w="60" w:type="dxa"/>
              <w:left w:w="100" w:type="dxa"/>
              <w:bottom w:w="60" w:type="dxa"/>
              <w:right w:w="100" w:type="dxa"/>
            </w:tcMar>
            <w:vAlign w:val="center"/>
          </w:tcPr>
          <w:p w14:paraId="38966DB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66.3%</w:t>
            </w:r>
          </w:p>
        </w:tc>
      </w:tr>
      <w:tr w:rsidR="007608E1" w:rsidRPr="00DB70A4" w14:paraId="4A0B5095" w14:textId="77777777" w:rsidTr="00036983">
        <w:trPr>
          <w:jc w:val="center"/>
        </w:trPr>
        <w:tc>
          <w:tcPr>
            <w:tcW w:w="3022" w:type="pct"/>
            <w:shd w:val="clear" w:color="auto" w:fill="F2F2F2"/>
            <w:tcMar>
              <w:top w:w="60" w:type="dxa"/>
              <w:left w:w="100" w:type="dxa"/>
              <w:bottom w:w="60" w:type="dxa"/>
              <w:right w:w="100" w:type="dxa"/>
            </w:tcMar>
            <w:vAlign w:val="center"/>
          </w:tcPr>
          <w:p w14:paraId="3F91228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50 موظفاً</w:t>
            </w:r>
          </w:p>
        </w:tc>
        <w:tc>
          <w:tcPr>
            <w:tcW w:w="989" w:type="pct"/>
            <w:shd w:val="clear" w:color="auto" w:fill="F2F2F2"/>
            <w:tcMar>
              <w:top w:w="60" w:type="dxa"/>
              <w:left w:w="100" w:type="dxa"/>
              <w:bottom w:w="60" w:type="dxa"/>
              <w:right w:w="100" w:type="dxa"/>
            </w:tcMar>
            <w:vAlign w:val="center"/>
          </w:tcPr>
          <w:p w14:paraId="3DE706D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37</w:t>
            </w:r>
          </w:p>
        </w:tc>
        <w:tc>
          <w:tcPr>
            <w:tcW w:w="989" w:type="pct"/>
            <w:shd w:val="clear" w:color="auto" w:fill="F2F2F2"/>
            <w:tcMar>
              <w:top w:w="60" w:type="dxa"/>
              <w:left w:w="100" w:type="dxa"/>
              <w:bottom w:w="60" w:type="dxa"/>
              <w:right w:w="100" w:type="dxa"/>
            </w:tcMar>
            <w:vAlign w:val="center"/>
          </w:tcPr>
          <w:p w14:paraId="62FE1F8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18.9%</w:t>
            </w:r>
          </w:p>
        </w:tc>
      </w:tr>
      <w:tr w:rsidR="007608E1" w:rsidRPr="00DB70A4" w14:paraId="2D37B58E" w14:textId="77777777" w:rsidTr="00036983">
        <w:trPr>
          <w:jc w:val="center"/>
        </w:trPr>
        <w:tc>
          <w:tcPr>
            <w:tcW w:w="3022" w:type="pct"/>
            <w:tcMar>
              <w:top w:w="60" w:type="dxa"/>
              <w:left w:w="100" w:type="dxa"/>
              <w:bottom w:w="60" w:type="dxa"/>
              <w:right w:w="100" w:type="dxa"/>
            </w:tcMar>
            <w:vAlign w:val="center"/>
          </w:tcPr>
          <w:p w14:paraId="2F1F513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50 إلى 250 موظفاً</w:t>
            </w:r>
          </w:p>
        </w:tc>
        <w:tc>
          <w:tcPr>
            <w:tcW w:w="989" w:type="pct"/>
            <w:tcMar>
              <w:top w:w="60" w:type="dxa"/>
              <w:left w:w="100" w:type="dxa"/>
              <w:bottom w:w="60" w:type="dxa"/>
              <w:right w:w="100" w:type="dxa"/>
            </w:tcMar>
            <w:vAlign w:val="center"/>
          </w:tcPr>
          <w:p w14:paraId="5F7BE38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29</w:t>
            </w:r>
          </w:p>
        </w:tc>
        <w:tc>
          <w:tcPr>
            <w:tcW w:w="989" w:type="pct"/>
            <w:tcMar>
              <w:top w:w="60" w:type="dxa"/>
              <w:left w:w="100" w:type="dxa"/>
              <w:bottom w:w="60" w:type="dxa"/>
              <w:right w:w="100" w:type="dxa"/>
            </w:tcMar>
            <w:vAlign w:val="center"/>
          </w:tcPr>
          <w:p w14:paraId="2ED49A7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14.8%</w:t>
            </w:r>
          </w:p>
        </w:tc>
      </w:tr>
    </w:tbl>
    <w:p w14:paraId="4D3CE3FF"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(4.3): توزيع أفراد العينة وفق حجم المؤسسة</w:t>
      </w:r>
    </w:p>
    <w:p w14:paraId="34039E8E"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lastRenderedPageBreak/>
        <w:t>تشير النتائج إلى أن غالبية أفراد العينة (66.3%) ينتمون إلى مؤسسات كبيرة يزيد عدد موظفيها عن 250 موظفاً، في حين مثّلت المؤسسات الصغيرة (أقل من 50 موظفاً) نسبة 18.9%، والمؤسسات المتوسطة نسبة 14.8%، وهو ما يعكس تركّز عينة الدراسة في المؤسسات الكبيرة الأكثر قدرة على تبني التقنيات المالية المتقدمة كتقنية الترميز.</w:t>
      </w:r>
    </w:p>
    <w:p w14:paraId="09E67D2A"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عمر المؤسسة في السوق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46127835" w14:textId="77777777" w:rsidTr="00036983">
        <w:trPr>
          <w:tblHeader/>
          <w:jc w:val="center"/>
        </w:trPr>
        <w:tc>
          <w:tcPr>
            <w:tcW w:w="3022" w:type="pct"/>
            <w:shd w:val="clear" w:color="auto" w:fill="2E5395"/>
            <w:tcMar>
              <w:top w:w="60" w:type="dxa"/>
              <w:left w:w="100" w:type="dxa"/>
              <w:bottom w:w="60" w:type="dxa"/>
              <w:right w:w="100" w:type="dxa"/>
            </w:tcMar>
            <w:vAlign w:val="center"/>
          </w:tcPr>
          <w:p w14:paraId="6A5C63F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عمر المؤسسة</w:t>
            </w:r>
          </w:p>
        </w:tc>
        <w:tc>
          <w:tcPr>
            <w:tcW w:w="989" w:type="pct"/>
            <w:shd w:val="clear" w:color="auto" w:fill="2E5395"/>
            <w:tcMar>
              <w:top w:w="60" w:type="dxa"/>
              <w:left w:w="100" w:type="dxa"/>
              <w:bottom w:w="60" w:type="dxa"/>
              <w:right w:w="100" w:type="dxa"/>
            </w:tcMar>
            <w:vAlign w:val="center"/>
          </w:tcPr>
          <w:p w14:paraId="7574AF6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187B1CF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6F18C50A" w14:textId="77777777" w:rsidTr="00036983">
        <w:trPr>
          <w:jc w:val="center"/>
        </w:trPr>
        <w:tc>
          <w:tcPr>
            <w:tcW w:w="3022" w:type="pct"/>
            <w:tcMar>
              <w:top w:w="60" w:type="dxa"/>
              <w:left w:w="100" w:type="dxa"/>
              <w:bottom w:w="60" w:type="dxa"/>
              <w:right w:w="100" w:type="dxa"/>
            </w:tcMar>
            <w:vAlign w:val="center"/>
          </w:tcPr>
          <w:p w14:paraId="4D9A729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20 سنة</w:t>
            </w:r>
          </w:p>
        </w:tc>
        <w:tc>
          <w:tcPr>
            <w:tcW w:w="989" w:type="pct"/>
            <w:tcMar>
              <w:top w:w="60" w:type="dxa"/>
              <w:left w:w="100" w:type="dxa"/>
              <w:bottom w:w="60" w:type="dxa"/>
              <w:right w:w="100" w:type="dxa"/>
            </w:tcMar>
            <w:vAlign w:val="center"/>
          </w:tcPr>
          <w:p w14:paraId="392B669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124</w:t>
            </w:r>
          </w:p>
        </w:tc>
        <w:tc>
          <w:tcPr>
            <w:tcW w:w="989" w:type="pct"/>
            <w:tcMar>
              <w:top w:w="60" w:type="dxa"/>
              <w:left w:w="100" w:type="dxa"/>
              <w:bottom w:w="60" w:type="dxa"/>
              <w:right w:w="100" w:type="dxa"/>
            </w:tcMar>
            <w:vAlign w:val="center"/>
          </w:tcPr>
          <w:p w14:paraId="510CB21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63.3%</w:t>
            </w:r>
          </w:p>
        </w:tc>
      </w:tr>
      <w:tr w:rsidR="007608E1" w:rsidRPr="00DB70A4" w14:paraId="71DB8974" w14:textId="77777777" w:rsidTr="00036983">
        <w:trPr>
          <w:jc w:val="center"/>
        </w:trPr>
        <w:tc>
          <w:tcPr>
            <w:tcW w:w="3022" w:type="pct"/>
            <w:shd w:val="clear" w:color="auto" w:fill="F2F2F2"/>
            <w:tcMar>
              <w:top w:w="60" w:type="dxa"/>
              <w:left w:w="100" w:type="dxa"/>
              <w:bottom w:w="60" w:type="dxa"/>
              <w:right w:w="100" w:type="dxa"/>
            </w:tcMar>
            <w:vAlign w:val="center"/>
          </w:tcPr>
          <w:p w14:paraId="244C02A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5 سنوات</w:t>
            </w:r>
          </w:p>
        </w:tc>
        <w:tc>
          <w:tcPr>
            <w:tcW w:w="989" w:type="pct"/>
            <w:shd w:val="clear" w:color="auto" w:fill="F2F2F2"/>
            <w:tcMar>
              <w:top w:w="60" w:type="dxa"/>
              <w:left w:w="100" w:type="dxa"/>
              <w:bottom w:w="60" w:type="dxa"/>
              <w:right w:w="100" w:type="dxa"/>
            </w:tcMar>
            <w:vAlign w:val="center"/>
          </w:tcPr>
          <w:p w14:paraId="130F6BD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35</w:t>
            </w:r>
          </w:p>
        </w:tc>
        <w:tc>
          <w:tcPr>
            <w:tcW w:w="989" w:type="pct"/>
            <w:shd w:val="clear" w:color="auto" w:fill="F2F2F2"/>
            <w:tcMar>
              <w:top w:w="60" w:type="dxa"/>
              <w:left w:w="100" w:type="dxa"/>
              <w:bottom w:w="60" w:type="dxa"/>
              <w:right w:w="100" w:type="dxa"/>
            </w:tcMar>
            <w:vAlign w:val="center"/>
          </w:tcPr>
          <w:p w14:paraId="51A9959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17.9%</w:t>
            </w:r>
          </w:p>
        </w:tc>
      </w:tr>
      <w:tr w:rsidR="007608E1" w:rsidRPr="00DB70A4" w14:paraId="13CCEE7F" w14:textId="77777777" w:rsidTr="00036983">
        <w:trPr>
          <w:jc w:val="center"/>
        </w:trPr>
        <w:tc>
          <w:tcPr>
            <w:tcW w:w="3022" w:type="pct"/>
            <w:tcMar>
              <w:top w:w="60" w:type="dxa"/>
              <w:left w:w="100" w:type="dxa"/>
              <w:bottom w:w="60" w:type="dxa"/>
              <w:right w:w="100" w:type="dxa"/>
            </w:tcMar>
            <w:vAlign w:val="center"/>
          </w:tcPr>
          <w:p w14:paraId="0E3526A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5 إلى 10 سنوات</w:t>
            </w:r>
          </w:p>
        </w:tc>
        <w:tc>
          <w:tcPr>
            <w:tcW w:w="989" w:type="pct"/>
            <w:tcMar>
              <w:top w:w="60" w:type="dxa"/>
              <w:left w:w="100" w:type="dxa"/>
              <w:bottom w:w="60" w:type="dxa"/>
              <w:right w:w="100" w:type="dxa"/>
            </w:tcMar>
            <w:vAlign w:val="center"/>
          </w:tcPr>
          <w:p w14:paraId="28194DC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22</w:t>
            </w:r>
          </w:p>
        </w:tc>
        <w:tc>
          <w:tcPr>
            <w:tcW w:w="989" w:type="pct"/>
            <w:tcMar>
              <w:top w:w="60" w:type="dxa"/>
              <w:left w:w="100" w:type="dxa"/>
              <w:bottom w:w="60" w:type="dxa"/>
              <w:right w:w="100" w:type="dxa"/>
            </w:tcMar>
            <w:vAlign w:val="center"/>
          </w:tcPr>
          <w:p w14:paraId="6DCAAFF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11.2%</w:t>
            </w:r>
          </w:p>
        </w:tc>
      </w:tr>
      <w:tr w:rsidR="007608E1" w:rsidRPr="00DB70A4" w14:paraId="0F2FCB86" w14:textId="77777777" w:rsidTr="00036983">
        <w:trPr>
          <w:jc w:val="center"/>
        </w:trPr>
        <w:tc>
          <w:tcPr>
            <w:tcW w:w="3022" w:type="pct"/>
            <w:shd w:val="clear" w:color="auto" w:fill="F2F2F2"/>
            <w:tcMar>
              <w:top w:w="60" w:type="dxa"/>
              <w:left w:w="100" w:type="dxa"/>
              <w:bottom w:w="60" w:type="dxa"/>
              <w:right w:w="100" w:type="dxa"/>
            </w:tcMar>
            <w:vAlign w:val="center"/>
          </w:tcPr>
          <w:p w14:paraId="37E6434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10 إلى 20 سنة</w:t>
            </w:r>
          </w:p>
        </w:tc>
        <w:tc>
          <w:tcPr>
            <w:tcW w:w="989" w:type="pct"/>
            <w:shd w:val="clear" w:color="auto" w:fill="F2F2F2"/>
            <w:tcMar>
              <w:top w:w="60" w:type="dxa"/>
              <w:left w:w="100" w:type="dxa"/>
              <w:bottom w:w="60" w:type="dxa"/>
              <w:right w:w="100" w:type="dxa"/>
            </w:tcMar>
            <w:vAlign w:val="center"/>
          </w:tcPr>
          <w:p w14:paraId="17B0873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15</w:t>
            </w:r>
          </w:p>
        </w:tc>
        <w:tc>
          <w:tcPr>
            <w:tcW w:w="989" w:type="pct"/>
            <w:shd w:val="clear" w:color="auto" w:fill="F2F2F2"/>
            <w:tcMar>
              <w:top w:w="60" w:type="dxa"/>
              <w:left w:w="100" w:type="dxa"/>
              <w:bottom w:w="60" w:type="dxa"/>
              <w:right w:w="100" w:type="dxa"/>
            </w:tcMar>
            <w:vAlign w:val="center"/>
          </w:tcPr>
          <w:p w14:paraId="6A3F085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7.7%</w:t>
            </w:r>
          </w:p>
        </w:tc>
      </w:tr>
    </w:tbl>
    <w:p w14:paraId="379F85F5"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(4.4): توزيع أفراد العينة وفق عمر المؤسسة في السوق</w:t>
      </w:r>
    </w:p>
    <w:p w14:paraId="7DE2DD45"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يتضح أن نسبة 63.3% من أفراد العينة ينتمون إلى مؤسسات راسخة يزيد عمرها عن 20 عاماً في السوق، بينما مثّلت المؤسسات الناشئة (أقل من 5 سنوات) نسبة 17.9%، وهو ما يشير إلى أن معظم المؤسسات المشمولة بالدراسة تتمتع بخبرة تشغيلية طويلة قد تنعكس على نضج بنيتها التقنية والتنظيمية.</w:t>
      </w:r>
    </w:p>
    <w:p w14:paraId="034F9509"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4. المنصب الوظيفي للمستجيب</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2572812F" w14:textId="77777777" w:rsidTr="00036983">
        <w:trPr>
          <w:tblHeader/>
          <w:jc w:val="center"/>
        </w:trPr>
        <w:tc>
          <w:tcPr>
            <w:tcW w:w="3022" w:type="pct"/>
            <w:shd w:val="clear" w:color="auto" w:fill="2E5395"/>
            <w:tcMar>
              <w:top w:w="60" w:type="dxa"/>
              <w:left w:w="100" w:type="dxa"/>
              <w:bottom w:w="60" w:type="dxa"/>
              <w:right w:w="100" w:type="dxa"/>
            </w:tcMar>
            <w:vAlign w:val="center"/>
          </w:tcPr>
          <w:p w14:paraId="1F151C3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المنصب الوظيفي</w:t>
            </w:r>
          </w:p>
        </w:tc>
        <w:tc>
          <w:tcPr>
            <w:tcW w:w="989" w:type="pct"/>
            <w:shd w:val="clear" w:color="auto" w:fill="2E5395"/>
            <w:tcMar>
              <w:top w:w="60" w:type="dxa"/>
              <w:left w:w="100" w:type="dxa"/>
              <w:bottom w:w="60" w:type="dxa"/>
              <w:right w:w="100" w:type="dxa"/>
            </w:tcMar>
            <w:vAlign w:val="center"/>
          </w:tcPr>
          <w:p w14:paraId="07E8285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705FC76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1FE55B8D" w14:textId="77777777" w:rsidTr="00036983">
        <w:trPr>
          <w:jc w:val="center"/>
        </w:trPr>
        <w:tc>
          <w:tcPr>
            <w:tcW w:w="3022" w:type="pct"/>
            <w:tcMar>
              <w:top w:w="60" w:type="dxa"/>
              <w:left w:w="100" w:type="dxa"/>
              <w:bottom w:w="60" w:type="dxa"/>
              <w:right w:w="100" w:type="dxa"/>
            </w:tcMar>
            <w:vAlign w:val="center"/>
          </w:tcPr>
          <w:p w14:paraId="34D2A0C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تقنية المعلومات / الأمن السيبراني</w:t>
            </w:r>
          </w:p>
        </w:tc>
        <w:tc>
          <w:tcPr>
            <w:tcW w:w="989" w:type="pct"/>
            <w:tcMar>
              <w:top w:w="60" w:type="dxa"/>
              <w:left w:w="100" w:type="dxa"/>
              <w:bottom w:w="60" w:type="dxa"/>
              <w:right w:w="100" w:type="dxa"/>
            </w:tcMar>
            <w:vAlign w:val="center"/>
          </w:tcPr>
          <w:p w14:paraId="0F6F78D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70</w:t>
            </w:r>
          </w:p>
        </w:tc>
        <w:tc>
          <w:tcPr>
            <w:tcW w:w="989" w:type="pct"/>
            <w:tcMar>
              <w:top w:w="60" w:type="dxa"/>
              <w:left w:w="100" w:type="dxa"/>
              <w:bottom w:w="60" w:type="dxa"/>
              <w:right w:w="100" w:type="dxa"/>
            </w:tcMar>
            <w:vAlign w:val="center"/>
          </w:tcPr>
          <w:p w14:paraId="427BBBE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35.7%</w:t>
            </w:r>
          </w:p>
        </w:tc>
      </w:tr>
      <w:tr w:rsidR="007608E1" w:rsidRPr="00DB70A4" w14:paraId="0F00BB98" w14:textId="77777777" w:rsidTr="00036983">
        <w:trPr>
          <w:jc w:val="center"/>
        </w:trPr>
        <w:tc>
          <w:tcPr>
            <w:tcW w:w="3022" w:type="pct"/>
            <w:shd w:val="clear" w:color="auto" w:fill="F2F2F2"/>
            <w:tcMar>
              <w:top w:w="60" w:type="dxa"/>
              <w:left w:w="100" w:type="dxa"/>
              <w:bottom w:w="60" w:type="dxa"/>
              <w:right w:w="100" w:type="dxa"/>
            </w:tcMar>
            <w:vAlign w:val="center"/>
          </w:tcPr>
          <w:p w14:paraId="3CF5EBA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تنفيذي / قيادي</w:t>
            </w:r>
          </w:p>
        </w:tc>
        <w:tc>
          <w:tcPr>
            <w:tcW w:w="989" w:type="pct"/>
            <w:shd w:val="clear" w:color="auto" w:fill="F2F2F2"/>
            <w:tcMar>
              <w:top w:w="60" w:type="dxa"/>
              <w:left w:w="100" w:type="dxa"/>
              <w:bottom w:w="60" w:type="dxa"/>
              <w:right w:w="100" w:type="dxa"/>
            </w:tcMar>
            <w:vAlign w:val="center"/>
          </w:tcPr>
          <w:p w14:paraId="415DCDF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36</w:t>
            </w:r>
          </w:p>
        </w:tc>
        <w:tc>
          <w:tcPr>
            <w:tcW w:w="989" w:type="pct"/>
            <w:shd w:val="clear" w:color="auto" w:fill="F2F2F2"/>
            <w:tcMar>
              <w:top w:w="60" w:type="dxa"/>
              <w:left w:w="100" w:type="dxa"/>
              <w:bottom w:w="60" w:type="dxa"/>
              <w:right w:w="100" w:type="dxa"/>
            </w:tcMar>
            <w:vAlign w:val="center"/>
          </w:tcPr>
          <w:p w14:paraId="46B453D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18.4%</w:t>
            </w:r>
          </w:p>
        </w:tc>
      </w:tr>
      <w:tr w:rsidR="007608E1" w:rsidRPr="00DB70A4" w14:paraId="545DB1F0" w14:textId="77777777" w:rsidTr="00036983">
        <w:trPr>
          <w:jc w:val="center"/>
        </w:trPr>
        <w:tc>
          <w:tcPr>
            <w:tcW w:w="3022" w:type="pct"/>
            <w:tcMar>
              <w:top w:w="60" w:type="dxa"/>
              <w:left w:w="100" w:type="dxa"/>
              <w:bottom w:w="60" w:type="dxa"/>
              <w:right w:w="100" w:type="dxa"/>
            </w:tcMar>
            <w:vAlign w:val="center"/>
          </w:tcPr>
          <w:p w14:paraId="2A2965F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العمليات المالية</w:t>
            </w:r>
          </w:p>
        </w:tc>
        <w:tc>
          <w:tcPr>
            <w:tcW w:w="989" w:type="pct"/>
            <w:tcMar>
              <w:top w:w="60" w:type="dxa"/>
              <w:left w:w="100" w:type="dxa"/>
              <w:bottom w:w="60" w:type="dxa"/>
              <w:right w:w="100" w:type="dxa"/>
            </w:tcMar>
            <w:vAlign w:val="center"/>
          </w:tcPr>
          <w:p w14:paraId="1138E9C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32</w:t>
            </w:r>
          </w:p>
        </w:tc>
        <w:tc>
          <w:tcPr>
            <w:tcW w:w="989" w:type="pct"/>
            <w:tcMar>
              <w:top w:w="60" w:type="dxa"/>
              <w:left w:w="100" w:type="dxa"/>
              <w:bottom w:w="60" w:type="dxa"/>
              <w:right w:w="100" w:type="dxa"/>
            </w:tcMar>
            <w:vAlign w:val="center"/>
          </w:tcPr>
          <w:p w14:paraId="4F6E451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16.3%</w:t>
            </w:r>
          </w:p>
        </w:tc>
      </w:tr>
      <w:tr w:rsidR="007608E1" w:rsidRPr="00DB70A4" w14:paraId="48E400DA" w14:textId="77777777" w:rsidTr="00036983">
        <w:trPr>
          <w:jc w:val="center"/>
        </w:trPr>
        <w:tc>
          <w:tcPr>
            <w:tcW w:w="3022" w:type="pct"/>
            <w:shd w:val="clear" w:color="auto" w:fill="F2F2F2"/>
            <w:tcMar>
              <w:top w:w="60" w:type="dxa"/>
              <w:left w:w="100" w:type="dxa"/>
              <w:bottom w:w="60" w:type="dxa"/>
              <w:right w:w="100" w:type="dxa"/>
            </w:tcMar>
            <w:vAlign w:val="center"/>
          </w:tcPr>
          <w:p w14:paraId="2980269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مسؤول الامتثال والمخاطر</w:t>
            </w:r>
          </w:p>
        </w:tc>
        <w:tc>
          <w:tcPr>
            <w:tcW w:w="989" w:type="pct"/>
            <w:shd w:val="clear" w:color="auto" w:fill="F2F2F2"/>
            <w:tcMar>
              <w:top w:w="60" w:type="dxa"/>
              <w:left w:w="100" w:type="dxa"/>
              <w:bottom w:w="60" w:type="dxa"/>
              <w:right w:w="100" w:type="dxa"/>
            </w:tcMar>
            <w:vAlign w:val="center"/>
          </w:tcPr>
          <w:p w14:paraId="3454757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30</w:t>
            </w:r>
          </w:p>
        </w:tc>
        <w:tc>
          <w:tcPr>
            <w:tcW w:w="989" w:type="pct"/>
            <w:shd w:val="clear" w:color="auto" w:fill="F2F2F2"/>
            <w:tcMar>
              <w:top w:w="60" w:type="dxa"/>
              <w:left w:w="100" w:type="dxa"/>
              <w:bottom w:w="60" w:type="dxa"/>
              <w:right w:w="100" w:type="dxa"/>
            </w:tcMar>
            <w:vAlign w:val="center"/>
          </w:tcPr>
          <w:p w14:paraId="272B72E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15.3%</w:t>
            </w:r>
          </w:p>
        </w:tc>
      </w:tr>
      <w:tr w:rsidR="007608E1" w:rsidRPr="00DB70A4" w14:paraId="5A31CE36" w14:textId="77777777" w:rsidTr="00036983">
        <w:trPr>
          <w:jc w:val="center"/>
        </w:trPr>
        <w:tc>
          <w:tcPr>
            <w:tcW w:w="3022" w:type="pct"/>
            <w:tcMar>
              <w:top w:w="60" w:type="dxa"/>
              <w:left w:w="100" w:type="dxa"/>
              <w:bottom w:w="60" w:type="dxa"/>
              <w:right w:w="100" w:type="dxa"/>
            </w:tcMar>
            <w:vAlign w:val="center"/>
          </w:tcPr>
          <w:p w14:paraId="6E018B7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محلل مالي أو تقني</w:t>
            </w:r>
          </w:p>
        </w:tc>
        <w:tc>
          <w:tcPr>
            <w:tcW w:w="989" w:type="pct"/>
            <w:tcMar>
              <w:top w:w="60" w:type="dxa"/>
              <w:left w:w="100" w:type="dxa"/>
              <w:bottom w:w="60" w:type="dxa"/>
              <w:right w:w="100" w:type="dxa"/>
            </w:tcMar>
            <w:vAlign w:val="center"/>
          </w:tcPr>
          <w:p w14:paraId="4C50B0D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28</w:t>
            </w:r>
          </w:p>
        </w:tc>
        <w:tc>
          <w:tcPr>
            <w:tcW w:w="989" w:type="pct"/>
            <w:tcMar>
              <w:top w:w="60" w:type="dxa"/>
              <w:left w:w="100" w:type="dxa"/>
              <w:bottom w:w="60" w:type="dxa"/>
              <w:right w:w="100" w:type="dxa"/>
            </w:tcMar>
            <w:vAlign w:val="center"/>
          </w:tcPr>
          <w:p w14:paraId="4E9C388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14.3%</w:t>
            </w:r>
          </w:p>
        </w:tc>
      </w:tr>
    </w:tbl>
    <w:p w14:paraId="43C0E3C7"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(4.5): توزيع أفراد العينة وفق المنصب الوظيفي</w:t>
      </w:r>
    </w:p>
    <w:p w14:paraId="59EF344A"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 xml:space="preserve">شكّل مديرو تقنية المعلومات والأمن السيبراني أعلى نسبة من المستجيبين (35.7%)، وهو ما يتسق مع طبيعة موضوع الدراسة المرتبط بالترميز والأمن السيبراني، تلاهم المديرون التنفيذيون بنسبة 18.4%، فمديرو العمليات المالية بنسبة 16.3%، ومسؤولو الامتثال والمخاطر بنسبة 15.3%، وأخيراً المحللون الماليون والتقنيون بنسبة 14.3%. ويعكس </w:t>
      </w:r>
      <w:r w:rsidRPr="00DB70A4">
        <w:rPr>
          <w:rFonts w:ascii="Traditional Arabic" w:eastAsia="Simplified Arabic" w:hAnsi="Traditional Arabic" w:cs="Traditional Arabic"/>
          <w:sz w:val="28"/>
          <w:szCs w:val="28"/>
          <w:rtl/>
        </w:rPr>
        <w:lastRenderedPageBreak/>
        <w:t>هذا التوزيع تنوعاً وظيفياً يعزز من مصداقية الإجابات، إذ شمل المستجيبون فئات مسؤولة مباشرة عن قرارات تبني التقنية وتقييم أثرها.</w:t>
      </w:r>
    </w:p>
    <w:p w14:paraId="48B5E36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5. سنوات الخبرة في القطاع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04224D0F" w14:textId="77777777" w:rsidTr="00036983">
        <w:trPr>
          <w:tblHeader/>
          <w:jc w:val="center"/>
        </w:trPr>
        <w:tc>
          <w:tcPr>
            <w:tcW w:w="3022" w:type="pct"/>
            <w:shd w:val="clear" w:color="auto" w:fill="2E5395"/>
            <w:tcMar>
              <w:top w:w="60" w:type="dxa"/>
              <w:left w:w="100" w:type="dxa"/>
              <w:bottom w:w="60" w:type="dxa"/>
              <w:right w:w="100" w:type="dxa"/>
            </w:tcMar>
            <w:vAlign w:val="center"/>
          </w:tcPr>
          <w:p w14:paraId="04E1F58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سنوات الخبرة</w:t>
            </w:r>
          </w:p>
        </w:tc>
        <w:tc>
          <w:tcPr>
            <w:tcW w:w="989" w:type="pct"/>
            <w:shd w:val="clear" w:color="auto" w:fill="2E5395"/>
            <w:tcMar>
              <w:top w:w="60" w:type="dxa"/>
              <w:left w:w="100" w:type="dxa"/>
              <w:bottom w:w="60" w:type="dxa"/>
              <w:right w:w="100" w:type="dxa"/>
            </w:tcMar>
            <w:vAlign w:val="center"/>
          </w:tcPr>
          <w:p w14:paraId="6B9539B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6D352F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16529526" w14:textId="77777777" w:rsidTr="00036983">
        <w:trPr>
          <w:jc w:val="center"/>
        </w:trPr>
        <w:tc>
          <w:tcPr>
            <w:tcW w:w="3022" w:type="pct"/>
            <w:tcMar>
              <w:top w:w="60" w:type="dxa"/>
              <w:left w:w="100" w:type="dxa"/>
              <w:bottom w:w="60" w:type="dxa"/>
              <w:right w:w="100" w:type="dxa"/>
            </w:tcMar>
            <w:vAlign w:val="center"/>
          </w:tcPr>
          <w:p w14:paraId="32F2F9F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10 سنوات</w:t>
            </w:r>
          </w:p>
        </w:tc>
        <w:tc>
          <w:tcPr>
            <w:tcW w:w="989" w:type="pct"/>
            <w:tcMar>
              <w:top w:w="60" w:type="dxa"/>
              <w:left w:w="100" w:type="dxa"/>
              <w:bottom w:w="60" w:type="dxa"/>
              <w:right w:w="100" w:type="dxa"/>
            </w:tcMar>
            <w:vAlign w:val="center"/>
          </w:tcPr>
          <w:p w14:paraId="2E6B3C9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76</w:t>
            </w:r>
          </w:p>
        </w:tc>
        <w:tc>
          <w:tcPr>
            <w:tcW w:w="989" w:type="pct"/>
            <w:tcMar>
              <w:top w:w="60" w:type="dxa"/>
              <w:left w:w="100" w:type="dxa"/>
              <w:bottom w:w="60" w:type="dxa"/>
              <w:right w:w="100" w:type="dxa"/>
            </w:tcMar>
            <w:vAlign w:val="center"/>
          </w:tcPr>
          <w:p w14:paraId="63001C8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38.8%</w:t>
            </w:r>
          </w:p>
        </w:tc>
      </w:tr>
      <w:tr w:rsidR="007608E1" w:rsidRPr="00DB70A4" w14:paraId="3EA1DB57" w14:textId="77777777" w:rsidTr="00036983">
        <w:trPr>
          <w:jc w:val="center"/>
        </w:trPr>
        <w:tc>
          <w:tcPr>
            <w:tcW w:w="3022" w:type="pct"/>
            <w:shd w:val="clear" w:color="auto" w:fill="F2F2F2"/>
            <w:tcMar>
              <w:top w:w="60" w:type="dxa"/>
              <w:left w:w="100" w:type="dxa"/>
              <w:bottom w:w="60" w:type="dxa"/>
              <w:right w:w="100" w:type="dxa"/>
            </w:tcMar>
            <w:vAlign w:val="center"/>
          </w:tcPr>
          <w:p w14:paraId="7930982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7 إلى 10 سنوات</w:t>
            </w:r>
          </w:p>
        </w:tc>
        <w:tc>
          <w:tcPr>
            <w:tcW w:w="989" w:type="pct"/>
            <w:shd w:val="clear" w:color="auto" w:fill="F2F2F2"/>
            <w:tcMar>
              <w:top w:w="60" w:type="dxa"/>
              <w:left w:w="100" w:type="dxa"/>
              <w:bottom w:w="60" w:type="dxa"/>
              <w:right w:w="100" w:type="dxa"/>
            </w:tcMar>
            <w:vAlign w:val="center"/>
          </w:tcPr>
          <w:p w14:paraId="584B4AE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59</w:t>
            </w:r>
          </w:p>
        </w:tc>
        <w:tc>
          <w:tcPr>
            <w:tcW w:w="989" w:type="pct"/>
            <w:shd w:val="clear" w:color="auto" w:fill="F2F2F2"/>
            <w:tcMar>
              <w:top w:w="60" w:type="dxa"/>
              <w:left w:w="100" w:type="dxa"/>
              <w:bottom w:w="60" w:type="dxa"/>
              <w:right w:w="100" w:type="dxa"/>
            </w:tcMar>
            <w:vAlign w:val="center"/>
          </w:tcPr>
          <w:p w14:paraId="5B85FF5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30.1%</w:t>
            </w:r>
          </w:p>
        </w:tc>
      </w:tr>
      <w:tr w:rsidR="007608E1" w:rsidRPr="00DB70A4" w14:paraId="4C641CD7" w14:textId="77777777" w:rsidTr="00036983">
        <w:trPr>
          <w:jc w:val="center"/>
        </w:trPr>
        <w:tc>
          <w:tcPr>
            <w:tcW w:w="3022" w:type="pct"/>
            <w:tcMar>
              <w:top w:w="60" w:type="dxa"/>
              <w:left w:w="100" w:type="dxa"/>
              <w:bottom w:w="60" w:type="dxa"/>
              <w:right w:w="100" w:type="dxa"/>
            </w:tcMar>
            <w:vAlign w:val="center"/>
          </w:tcPr>
          <w:p w14:paraId="6268628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3 إلى 6 سنوات</w:t>
            </w:r>
          </w:p>
        </w:tc>
        <w:tc>
          <w:tcPr>
            <w:tcW w:w="989" w:type="pct"/>
            <w:tcMar>
              <w:top w:w="60" w:type="dxa"/>
              <w:left w:w="100" w:type="dxa"/>
              <w:bottom w:w="60" w:type="dxa"/>
              <w:right w:w="100" w:type="dxa"/>
            </w:tcMar>
            <w:vAlign w:val="center"/>
          </w:tcPr>
          <w:p w14:paraId="5999EC8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51</w:t>
            </w:r>
          </w:p>
        </w:tc>
        <w:tc>
          <w:tcPr>
            <w:tcW w:w="989" w:type="pct"/>
            <w:tcMar>
              <w:top w:w="60" w:type="dxa"/>
              <w:left w:w="100" w:type="dxa"/>
              <w:bottom w:w="60" w:type="dxa"/>
              <w:right w:w="100" w:type="dxa"/>
            </w:tcMar>
            <w:vAlign w:val="center"/>
          </w:tcPr>
          <w:p w14:paraId="0112E19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26%</w:t>
            </w:r>
          </w:p>
        </w:tc>
      </w:tr>
      <w:tr w:rsidR="007608E1" w:rsidRPr="00DB70A4" w14:paraId="61ECD454" w14:textId="77777777" w:rsidTr="00036983">
        <w:trPr>
          <w:jc w:val="center"/>
        </w:trPr>
        <w:tc>
          <w:tcPr>
            <w:tcW w:w="3022" w:type="pct"/>
            <w:shd w:val="clear" w:color="auto" w:fill="F2F2F2"/>
            <w:tcMar>
              <w:top w:w="60" w:type="dxa"/>
              <w:left w:w="100" w:type="dxa"/>
              <w:bottom w:w="60" w:type="dxa"/>
              <w:right w:w="100" w:type="dxa"/>
            </w:tcMar>
            <w:vAlign w:val="center"/>
          </w:tcPr>
          <w:p w14:paraId="37B3418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3 سنوات</w:t>
            </w:r>
          </w:p>
        </w:tc>
        <w:tc>
          <w:tcPr>
            <w:tcW w:w="989" w:type="pct"/>
            <w:shd w:val="clear" w:color="auto" w:fill="F2F2F2"/>
            <w:tcMar>
              <w:top w:w="60" w:type="dxa"/>
              <w:left w:w="100" w:type="dxa"/>
              <w:bottom w:w="60" w:type="dxa"/>
              <w:right w:w="100" w:type="dxa"/>
            </w:tcMar>
            <w:vAlign w:val="center"/>
          </w:tcPr>
          <w:p w14:paraId="72E643D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10</w:t>
            </w:r>
          </w:p>
        </w:tc>
        <w:tc>
          <w:tcPr>
            <w:tcW w:w="989" w:type="pct"/>
            <w:shd w:val="clear" w:color="auto" w:fill="F2F2F2"/>
            <w:tcMar>
              <w:top w:w="60" w:type="dxa"/>
              <w:left w:w="100" w:type="dxa"/>
              <w:bottom w:w="60" w:type="dxa"/>
              <w:right w:w="100" w:type="dxa"/>
            </w:tcMar>
            <w:vAlign w:val="center"/>
          </w:tcPr>
          <w:p w14:paraId="06C580D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5.1%</w:t>
            </w:r>
          </w:p>
        </w:tc>
      </w:tr>
    </w:tbl>
    <w:p w14:paraId="559A9001"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(4.6): توزيع أفراد العينة وفق سنوات الخبرة في القطاع المالي</w:t>
      </w:r>
    </w:p>
    <w:p w14:paraId="25934903"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يلاحظ أن نسبة 68.9% من أفراد العينة (مجموع فئتي أكثر من 10 سنوات ومن 7 إلى 10 سنوات) يمتلكون خبرة مهنية تزيد عن 7 سنوات في القطاع المالي، مما يعزز من موثوقية إجاباتهم بوصفهم أفراداً ذوي دراية كافية بطبيعة العمليات المالية والتحديات السيبرانية التي تواجه مؤسساتهم.</w:t>
      </w:r>
    </w:p>
    <w:p w14:paraId="1E64B8FB"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6. مدى اعتماد المؤسسة لتقنية الترميز حالياً</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66A24E33" w14:textId="77777777" w:rsidTr="00036983">
        <w:trPr>
          <w:tblHeader/>
          <w:jc w:val="center"/>
        </w:trPr>
        <w:tc>
          <w:tcPr>
            <w:tcW w:w="3022" w:type="pct"/>
            <w:shd w:val="clear" w:color="auto" w:fill="2E5395"/>
            <w:tcMar>
              <w:top w:w="60" w:type="dxa"/>
              <w:left w:w="100" w:type="dxa"/>
              <w:bottom w:w="60" w:type="dxa"/>
              <w:right w:w="100" w:type="dxa"/>
            </w:tcMar>
            <w:vAlign w:val="center"/>
          </w:tcPr>
          <w:p w14:paraId="1919343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مستوى اعتماد الترميز</w:t>
            </w:r>
          </w:p>
        </w:tc>
        <w:tc>
          <w:tcPr>
            <w:tcW w:w="989" w:type="pct"/>
            <w:shd w:val="clear" w:color="auto" w:fill="2E5395"/>
            <w:tcMar>
              <w:top w:w="60" w:type="dxa"/>
              <w:left w:w="100" w:type="dxa"/>
              <w:bottom w:w="60" w:type="dxa"/>
              <w:right w:w="100" w:type="dxa"/>
            </w:tcMar>
            <w:vAlign w:val="center"/>
          </w:tcPr>
          <w:p w14:paraId="76F4592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170CF1B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401E67AB" w14:textId="77777777" w:rsidTr="00036983">
        <w:trPr>
          <w:jc w:val="center"/>
        </w:trPr>
        <w:tc>
          <w:tcPr>
            <w:tcW w:w="3022" w:type="pct"/>
            <w:tcMar>
              <w:top w:w="60" w:type="dxa"/>
              <w:left w:w="100" w:type="dxa"/>
              <w:bottom w:w="60" w:type="dxa"/>
              <w:right w:w="100" w:type="dxa"/>
            </w:tcMar>
            <w:vAlign w:val="center"/>
          </w:tcPr>
          <w:p w14:paraId="7B9EEE5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نعم، بشكل كامل</w:t>
            </w:r>
          </w:p>
        </w:tc>
        <w:tc>
          <w:tcPr>
            <w:tcW w:w="989" w:type="pct"/>
            <w:tcMar>
              <w:top w:w="60" w:type="dxa"/>
              <w:left w:w="100" w:type="dxa"/>
              <w:bottom w:w="60" w:type="dxa"/>
              <w:right w:w="100" w:type="dxa"/>
            </w:tcMar>
            <w:vAlign w:val="center"/>
          </w:tcPr>
          <w:p w14:paraId="1B2B5EF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118</w:t>
            </w:r>
          </w:p>
        </w:tc>
        <w:tc>
          <w:tcPr>
            <w:tcW w:w="989" w:type="pct"/>
            <w:tcMar>
              <w:top w:w="60" w:type="dxa"/>
              <w:left w:w="100" w:type="dxa"/>
              <w:bottom w:w="60" w:type="dxa"/>
              <w:right w:w="100" w:type="dxa"/>
            </w:tcMar>
            <w:vAlign w:val="center"/>
          </w:tcPr>
          <w:p w14:paraId="69E638D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60.2%</w:t>
            </w:r>
          </w:p>
        </w:tc>
      </w:tr>
      <w:tr w:rsidR="007608E1" w:rsidRPr="00DB70A4" w14:paraId="45264257" w14:textId="77777777" w:rsidTr="00036983">
        <w:trPr>
          <w:jc w:val="center"/>
        </w:trPr>
        <w:tc>
          <w:tcPr>
            <w:tcW w:w="3022" w:type="pct"/>
            <w:shd w:val="clear" w:color="auto" w:fill="F2F2F2"/>
            <w:tcMar>
              <w:top w:w="60" w:type="dxa"/>
              <w:left w:w="100" w:type="dxa"/>
              <w:bottom w:w="60" w:type="dxa"/>
              <w:right w:w="100" w:type="dxa"/>
            </w:tcMar>
            <w:vAlign w:val="center"/>
          </w:tcPr>
          <w:p w14:paraId="697BD85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نعم، بشكل جزئي (في مرحلة التطبيق)</w:t>
            </w:r>
          </w:p>
        </w:tc>
        <w:tc>
          <w:tcPr>
            <w:tcW w:w="989" w:type="pct"/>
            <w:shd w:val="clear" w:color="auto" w:fill="F2F2F2"/>
            <w:tcMar>
              <w:top w:w="60" w:type="dxa"/>
              <w:left w:w="100" w:type="dxa"/>
              <w:bottom w:w="60" w:type="dxa"/>
              <w:right w:w="100" w:type="dxa"/>
            </w:tcMar>
            <w:vAlign w:val="center"/>
          </w:tcPr>
          <w:p w14:paraId="4F2898C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44</w:t>
            </w:r>
          </w:p>
        </w:tc>
        <w:tc>
          <w:tcPr>
            <w:tcW w:w="989" w:type="pct"/>
            <w:shd w:val="clear" w:color="auto" w:fill="F2F2F2"/>
            <w:tcMar>
              <w:top w:w="60" w:type="dxa"/>
              <w:left w:w="100" w:type="dxa"/>
              <w:bottom w:w="60" w:type="dxa"/>
              <w:right w:w="100" w:type="dxa"/>
            </w:tcMar>
            <w:vAlign w:val="center"/>
          </w:tcPr>
          <w:p w14:paraId="6379726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22.4%</w:t>
            </w:r>
          </w:p>
        </w:tc>
      </w:tr>
      <w:tr w:rsidR="007608E1" w:rsidRPr="00DB70A4" w14:paraId="5B786481" w14:textId="77777777" w:rsidTr="00036983">
        <w:trPr>
          <w:jc w:val="center"/>
        </w:trPr>
        <w:tc>
          <w:tcPr>
            <w:tcW w:w="3022" w:type="pct"/>
            <w:tcMar>
              <w:top w:w="60" w:type="dxa"/>
              <w:left w:w="100" w:type="dxa"/>
              <w:bottom w:w="60" w:type="dxa"/>
              <w:right w:w="100" w:type="dxa"/>
            </w:tcMar>
            <w:vAlign w:val="center"/>
          </w:tcPr>
          <w:p w14:paraId="67CBDF8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لا، لكن مخطط لذلك</w:t>
            </w:r>
          </w:p>
        </w:tc>
        <w:tc>
          <w:tcPr>
            <w:tcW w:w="989" w:type="pct"/>
            <w:tcMar>
              <w:top w:w="60" w:type="dxa"/>
              <w:left w:w="100" w:type="dxa"/>
              <w:bottom w:w="60" w:type="dxa"/>
              <w:right w:w="100" w:type="dxa"/>
            </w:tcMar>
            <w:vAlign w:val="center"/>
          </w:tcPr>
          <w:p w14:paraId="134BAC7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27</w:t>
            </w:r>
          </w:p>
        </w:tc>
        <w:tc>
          <w:tcPr>
            <w:tcW w:w="989" w:type="pct"/>
            <w:tcMar>
              <w:top w:w="60" w:type="dxa"/>
              <w:left w:w="100" w:type="dxa"/>
              <w:bottom w:w="60" w:type="dxa"/>
              <w:right w:w="100" w:type="dxa"/>
            </w:tcMar>
            <w:vAlign w:val="center"/>
          </w:tcPr>
          <w:p w14:paraId="59242A5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13.8%</w:t>
            </w:r>
          </w:p>
        </w:tc>
      </w:tr>
      <w:tr w:rsidR="007608E1" w:rsidRPr="00DB70A4" w14:paraId="77B66F9A" w14:textId="77777777" w:rsidTr="00036983">
        <w:trPr>
          <w:jc w:val="center"/>
        </w:trPr>
        <w:tc>
          <w:tcPr>
            <w:tcW w:w="3022" w:type="pct"/>
            <w:shd w:val="clear" w:color="auto" w:fill="F2F2F2"/>
            <w:tcMar>
              <w:top w:w="60" w:type="dxa"/>
              <w:left w:w="100" w:type="dxa"/>
              <w:bottom w:w="60" w:type="dxa"/>
              <w:right w:w="100" w:type="dxa"/>
            </w:tcMar>
            <w:vAlign w:val="center"/>
          </w:tcPr>
          <w:p w14:paraId="34B4851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لا، ولا توجد خطط</w:t>
            </w:r>
          </w:p>
        </w:tc>
        <w:tc>
          <w:tcPr>
            <w:tcW w:w="989" w:type="pct"/>
            <w:shd w:val="clear" w:color="auto" w:fill="F2F2F2"/>
            <w:tcMar>
              <w:top w:w="60" w:type="dxa"/>
              <w:left w:w="100" w:type="dxa"/>
              <w:bottom w:w="60" w:type="dxa"/>
              <w:right w:w="100" w:type="dxa"/>
            </w:tcMar>
            <w:vAlign w:val="center"/>
          </w:tcPr>
          <w:p w14:paraId="0C6300E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w:t>
            </w:r>
          </w:p>
        </w:tc>
        <w:tc>
          <w:tcPr>
            <w:tcW w:w="989" w:type="pct"/>
            <w:shd w:val="clear" w:color="auto" w:fill="F2F2F2"/>
            <w:tcMar>
              <w:top w:w="60" w:type="dxa"/>
              <w:left w:w="100" w:type="dxa"/>
              <w:bottom w:w="60" w:type="dxa"/>
              <w:right w:w="100" w:type="dxa"/>
            </w:tcMar>
            <w:vAlign w:val="center"/>
          </w:tcPr>
          <w:p w14:paraId="4D274CB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3.6%</w:t>
            </w:r>
          </w:p>
        </w:tc>
      </w:tr>
    </w:tbl>
    <w:p w14:paraId="2CE45B76"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(4.7): توزيع أفراد العينة وفق مستوى اعتماد المؤسسة لتقنية الترميز</w:t>
      </w:r>
    </w:p>
    <w:p w14:paraId="4F9582BA"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 xml:space="preserve">تكشف النتائج أن نسبة 82.7% من المؤسسات المشمولة بالدراسة تعتمد تقنية الترميز حالياً بشكل كامل أو جزئي (60.2% بشكل كامل، و22.4% بشكل جزئي في مرحلة التطبيق)، في حين لا تزال نسبة 17.3% من المؤسسات خارج نطاق التطبيق الفعلي (13.8% تخطط لذلك مستقبلاً، و3.6% لا توجد لديها خطط حالية). ويعكس هذا التوزيع مستوى نضج مرتفعاً نسبياً في تبني تقنية الترميز داخل القطاع المالي السعودي، بما يتسق مع توجهات رؤية 2030 </w:t>
      </w:r>
      <w:r w:rsidRPr="00DB70A4">
        <w:rPr>
          <w:rFonts w:ascii="Traditional Arabic" w:eastAsia="Simplified Arabic" w:hAnsi="Traditional Arabic" w:cs="Traditional Arabic"/>
          <w:sz w:val="28"/>
          <w:szCs w:val="28"/>
          <w:rtl/>
        </w:rPr>
        <w:lastRenderedPageBreak/>
        <w:t>نحو التحول الرقمي الآمن. وقد استُخدم هذا التصنيف (معتمِدة/غير معتمِدة) لاحقاً كأساس لتجميع فئتين متمايزتين عند اختبار الفرضية الثالثة.</w:t>
      </w:r>
    </w:p>
    <w:p w14:paraId="35C4F0A3"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47" w:name="_Toc234424170"/>
      <w:r>
        <w:rPr>
          <w:rFonts w:ascii="Traditional Arabic" w:hAnsi="Traditional Arabic" w:cs="Traditional Arabic"/>
          <w:b/>
          <w:bCs/>
          <w:sz w:val="32"/>
          <w:szCs w:val="32"/>
          <w:u w:val="single"/>
          <w:rtl/>
        </w:rPr>
        <w:t>ثانياً: التحليل الوصفي لمتغيرات الدراسة</w:t>
      </w:r>
      <w:bookmarkEnd w:id="47"/>
    </w:p>
    <w:p w14:paraId="5F50799A"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يهدف هذا الجزء إلى وصف استجابات أفراد العينة تجاه متغيرات الدراسة الأساسية الخمسة، وذلك من خلال استخدام المتوسطات الحسابية والانحرافات المعيارية لكل عبارة من عبارات الاستبانة ولكل بُعد من أبعادها الخمسة، وفقاً لمقياس ليكرت الخماسي ومستويات الموافقة المعتمدة في الفصل الثالث (جدول 3.2-ب)، بما يتيح تكوين صورة واضحة عن اتجاهات آراء المبحوثين.</w:t>
      </w:r>
    </w:p>
    <w:p w14:paraId="2D55E15D"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الأول: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3D5C3AF1" w14:textId="77777777" w:rsidTr="00036983">
        <w:trPr>
          <w:tblHeader/>
          <w:jc w:val="center"/>
        </w:trPr>
        <w:tc>
          <w:tcPr>
            <w:tcW w:w="238" w:type="pct"/>
            <w:shd w:val="clear" w:color="auto" w:fill="2E5395"/>
            <w:tcMar>
              <w:top w:w="60" w:type="dxa"/>
              <w:left w:w="100" w:type="dxa"/>
              <w:bottom w:w="60" w:type="dxa"/>
              <w:right w:w="100" w:type="dxa"/>
            </w:tcMar>
            <w:vAlign w:val="center"/>
          </w:tcPr>
          <w:p w14:paraId="52B36D2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486F25C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6B08BDA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496157C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36718DD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12FC289C" w14:textId="77777777" w:rsidTr="00036983">
        <w:trPr>
          <w:jc w:val="center"/>
        </w:trPr>
        <w:tc>
          <w:tcPr>
            <w:tcW w:w="238" w:type="pct"/>
            <w:tcMar>
              <w:top w:w="60" w:type="dxa"/>
              <w:left w:w="100" w:type="dxa"/>
              <w:bottom w:w="60" w:type="dxa"/>
              <w:right w:w="100" w:type="dxa"/>
            </w:tcMar>
            <w:vAlign w:val="center"/>
          </w:tcPr>
          <w:p w14:paraId="164DF9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7</w:t>
            </w:r>
          </w:p>
        </w:tc>
        <w:tc>
          <w:tcPr>
            <w:tcW w:w="2762" w:type="pct"/>
            <w:tcMar>
              <w:top w:w="60" w:type="dxa"/>
              <w:left w:w="100" w:type="dxa"/>
              <w:bottom w:w="60" w:type="dxa"/>
              <w:right w:w="100" w:type="dxa"/>
            </w:tcMar>
            <w:vAlign w:val="center"/>
          </w:tcPr>
          <w:p w14:paraId="4863EE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تعتمد المؤسسة تقنية الترميز لحماية بيانات الدفع الحساسة وفق معيار PCI DSS</w:t>
            </w:r>
          </w:p>
        </w:tc>
        <w:tc>
          <w:tcPr>
            <w:tcW w:w="619" w:type="pct"/>
            <w:tcMar>
              <w:top w:w="60" w:type="dxa"/>
              <w:left w:w="100" w:type="dxa"/>
              <w:bottom w:w="60" w:type="dxa"/>
              <w:right w:w="100" w:type="dxa"/>
            </w:tcMar>
            <w:vAlign w:val="center"/>
          </w:tcPr>
          <w:p w14:paraId="3CC83BC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4.276</w:t>
            </w:r>
          </w:p>
        </w:tc>
        <w:tc>
          <w:tcPr>
            <w:tcW w:w="714" w:type="pct"/>
            <w:tcMar>
              <w:top w:w="60" w:type="dxa"/>
              <w:left w:w="100" w:type="dxa"/>
              <w:bottom w:w="60" w:type="dxa"/>
              <w:right w:w="100" w:type="dxa"/>
            </w:tcMar>
            <w:vAlign w:val="center"/>
          </w:tcPr>
          <w:p w14:paraId="68AA7F2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1.166</w:t>
            </w:r>
          </w:p>
        </w:tc>
        <w:tc>
          <w:tcPr>
            <w:tcW w:w="667" w:type="pct"/>
            <w:tcMar>
              <w:top w:w="60" w:type="dxa"/>
              <w:left w:w="100" w:type="dxa"/>
              <w:bottom w:w="60" w:type="dxa"/>
              <w:right w:w="100" w:type="dxa"/>
            </w:tcMar>
            <w:vAlign w:val="center"/>
          </w:tcPr>
          <w:p w14:paraId="6FDD2C5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12EE0E8" w14:textId="77777777" w:rsidTr="00036983">
        <w:trPr>
          <w:jc w:val="center"/>
        </w:trPr>
        <w:tc>
          <w:tcPr>
            <w:tcW w:w="238" w:type="pct"/>
            <w:shd w:val="clear" w:color="auto" w:fill="F2F2F2"/>
            <w:tcMar>
              <w:top w:w="60" w:type="dxa"/>
              <w:left w:w="100" w:type="dxa"/>
              <w:bottom w:w="60" w:type="dxa"/>
              <w:right w:w="100" w:type="dxa"/>
            </w:tcMar>
            <w:vAlign w:val="center"/>
          </w:tcPr>
          <w:p w14:paraId="6EAE91F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8</w:t>
            </w:r>
          </w:p>
        </w:tc>
        <w:tc>
          <w:tcPr>
            <w:tcW w:w="2762" w:type="pct"/>
            <w:shd w:val="clear" w:color="auto" w:fill="F2F2F2"/>
            <w:tcMar>
              <w:top w:w="60" w:type="dxa"/>
              <w:left w:w="100" w:type="dxa"/>
              <w:bottom w:w="60" w:type="dxa"/>
              <w:right w:w="100" w:type="dxa"/>
            </w:tcMar>
            <w:vAlign w:val="center"/>
          </w:tcPr>
          <w:p w14:paraId="3A22411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نسبة اختراق البيانات المالية بشكل ملحوظ خلال السنتين الماضيتين</w:t>
            </w:r>
          </w:p>
        </w:tc>
        <w:tc>
          <w:tcPr>
            <w:tcW w:w="619" w:type="pct"/>
            <w:shd w:val="clear" w:color="auto" w:fill="F2F2F2"/>
            <w:tcMar>
              <w:top w:w="60" w:type="dxa"/>
              <w:left w:w="100" w:type="dxa"/>
              <w:bottom w:w="60" w:type="dxa"/>
              <w:right w:w="100" w:type="dxa"/>
            </w:tcMar>
            <w:vAlign w:val="center"/>
          </w:tcPr>
          <w:p w14:paraId="4F26F39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4.332</w:t>
            </w:r>
          </w:p>
        </w:tc>
        <w:tc>
          <w:tcPr>
            <w:tcW w:w="714" w:type="pct"/>
            <w:shd w:val="clear" w:color="auto" w:fill="F2F2F2"/>
            <w:tcMar>
              <w:top w:w="60" w:type="dxa"/>
              <w:left w:w="100" w:type="dxa"/>
              <w:bottom w:w="60" w:type="dxa"/>
              <w:right w:w="100" w:type="dxa"/>
            </w:tcMar>
            <w:vAlign w:val="center"/>
          </w:tcPr>
          <w:p w14:paraId="245B5CC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0.965</w:t>
            </w:r>
          </w:p>
        </w:tc>
        <w:tc>
          <w:tcPr>
            <w:tcW w:w="667" w:type="pct"/>
            <w:shd w:val="clear" w:color="auto" w:fill="F2F2F2"/>
            <w:tcMar>
              <w:top w:w="60" w:type="dxa"/>
              <w:left w:w="100" w:type="dxa"/>
              <w:bottom w:w="60" w:type="dxa"/>
              <w:right w:w="100" w:type="dxa"/>
            </w:tcMar>
            <w:vAlign w:val="center"/>
          </w:tcPr>
          <w:p w14:paraId="6002A98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B42A3B1" w14:textId="77777777" w:rsidTr="00036983">
        <w:trPr>
          <w:jc w:val="center"/>
        </w:trPr>
        <w:tc>
          <w:tcPr>
            <w:tcW w:w="238" w:type="pct"/>
            <w:tcMar>
              <w:top w:w="60" w:type="dxa"/>
              <w:left w:w="100" w:type="dxa"/>
              <w:bottom w:w="60" w:type="dxa"/>
              <w:right w:w="100" w:type="dxa"/>
            </w:tcMar>
            <w:vAlign w:val="center"/>
          </w:tcPr>
          <w:p w14:paraId="5E7712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9</w:t>
            </w:r>
          </w:p>
        </w:tc>
        <w:tc>
          <w:tcPr>
            <w:tcW w:w="2762" w:type="pct"/>
            <w:tcMar>
              <w:top w:w="60" w:type="dxa"/>
              <w:left w:w="100" w:type="dxa"/>
              <w:bottom w:w="60" w:type="dxa"/>
              <w:right w:w="100" w:type="dxa"/>
            </w:tcMar>
            <w:vAlign w:val="center"/>
          </w:tcPr>
          <w:p w14:paraId="191ED8F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يُعزّز الترميز مستوى حماية هوية العملاء وبياناتهم المصرفية من التهديدات السيبرانية</w:t>
            </w:r>
          </w:p>
        </w:tc>
        <w:tc>
          <w:tcPr>
            <w:tcW w:w="619" w:type="pct"/>
            <w:tcMar>
              <w:top w:w="60" w:type="dxa"/>
              <w:left w:w="100" w:type="dxa"/>
              <w:bottom w:w="60" w:type="dxa"/>
              <w:right w:w="100" w:type="dxa"/>
            </w:tcMar>
            <w:vAlign w:val="center"/>
          </w:tcPr>
          <w:p w14:paraId="4F76F3D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4.551</w:t>
            </w:r>
          </w:p>
        </w:tc>
        <w:tc>
          <w:tcPr>
            <w:tcW w:w="714" w:type="pct"/>
            <w:tcMar>
              <w:top w:w="60" w:type="dxa"/>
              <w:left w:w="100" w:type="dxa"/>
              <w:bottom w:w="60" w:type="dxa"/>
              <w:right w:w="100" w:type="dxa"/>
            </w:tcMar>
            <w:vAlign w:val="center"/>
          </w:tcPr>
          <w:p w14:paraId="2174829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0.773</w:t>
            </w:r>
          </w:p>
        </w:tc>
        <w:tc>
          <w:tcPr>
            <w:tcW w:w="667" w:type="pct"/>
            <w:tcMar>
              <w:top w:w="60" w:type="dxa"/>
              <w:left w:w="100" w:type="dxa"/>
              <w:bottom w:w="60" w:type="dxa"/>
              <w:right w:w="100" w:type="dxa"/>
            </w:tcMar>
            <w:vAlign w:val="center"/>
          </w:tcPr>
          <w:p w14:paraId="0DC21F9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9BEE09A" w14:textId="77777777" w:rsidTr="00036983">
        <w:trPr>
          <w:jc w:val="center"/>
        </w:trPr>
        <w:tc>
          <w:tcPr>
            <w:tcW w:w="238" w:type="pct"/>
            <w:shd w:val="clear" w:color="auto" w:fill="F2F2F2"/>
            <w:tcMar>
              <w:top w:w="60" w:type="dxa"/>
              <w:left w:w="100" w:type="dxa"/>
              <w:bottom w:w="60" w:type="dxa"/>
              <w:right w:w="100" w:type="dxa"/>
            </w:tcMar>
            <w:vAlign w:val="center"/>
          </w:tcPr>
          <w:p w14:paraId="768EB43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w:t>
            </w:r>
          </w:p>
        </w:tc>
        <w:tc>
          <w:tcPr>
            <w:tcW w:w="2762" w:type="pct"/>
            <w:shd w:val="clear" w:color="auto" w:fill="F2F2F2"/>
            <w:tcMar>
              <w:top w:w="60" w:type="dxa"/>
              <w:left w:w="100" w:type="dxa"/>
              <w:bottom w:w="60" w:type="dxa"/>
              <w:right w:w="100" w:type="dxa"/>
            </w:tcMar>
            <w:vAlign w:val="center"/>
          </w:tcPr>
          <w:p w14:paraId="5BA45FA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تُطبّق المؤسسة آليات ترميز ديناميكي (Dynamic Tokenization) لتعزيز الأمن في المعاملات الآنية</w:t>
            </w:r>
          </w:p>
        </w:tc>
        <w:tc>
          <w:tcPr>
            <w:tcW w:w="619" w:type="pct"/>
            <w:shd w:val="clear" w:color="auto" w:fill="F2F2F2"/>
            <w:tcMar>
              <w:top w:w="60" w:type="dxa"/>
              <w:left w:w="100" w:type="dxa"/>
              <w:bottom w:w="60" w:type="dxa"/>
              <w:right w:w="100" w:type="dxa"/>
            </w:tcMar>
            <w:vAlign w:val="center"/>
          </w:tcPr>
          <w:p w14:paraId="4BF629A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4.107</w:t>
            </w:r>
          </w:p>
        </w:tc>
        <w:tc>
          <w:tcPr>
            <w:tcW w:w="714" w:type="pct"/>
            <w:shd w:val="clear" w:color="auto" w:fill="F2F2F2"/>
            <w:tcMar>
              <w:top w:w="60" w:type="dxa"/>
              <w:left w:w="100" w:type="dxa"/>
              <w:bottom w:w="60" w:type="dxa"/>
              <w:right w:w="100" w:type="dxa"/>
            </w:tcMar>
            <w:vAlign w:val="center"/>
          </w:tcPr>
          <w:p w14:paraId="3DA927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1.225</w:t>
            </w:r>
          </w:p>
        </w:tc>
        <w:tc>
          <w:tcPr>
            <w:tcW w:w="667" w:type="pct"/>
            <w:shd w:val="clear" w:color="auto" w:fill="F2F2F2"/>
            <w:tcMar>
              <w:top w:w="60" w:type="dxa"/>
              <w:left w:w="100" w:type="dxa"/>
              <w:bottom w:w="60" w:type="dxa"/>
              <w:right w:w="100" w:type="dxa"/>
            </w:tcMar>
            <w:vAlign w:val="center"/>
          </w:tcPr>
          <w:p w14:paraId="1D66545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4E645381" w14:textId="77777777" w:rsidTr="00036983">
        <w:trPr>
          <w:jc w:val="center"/>
        </w:trPr>
        <w:tc>
          <w:tcPr>
            <w:tcW w:w="238" w:type="pct"/>
            <w:tcMar>
              <w:top w:w="60" w:type="dxa"/>
              <w:left w:w="100" w:type="dxa"/>
              <w:bottom w:w="60" w:type="dxa"/>
              <w:right w:w="100" w:type="dxa"/>
            </w:tcMar>
            <w:vAlign w:val="center"/>
          </w:tcPr>
          <w:p w14:paraId="2ABB60F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w:t>
            </w:r>
          </w:p>
        </w:tc>
        <w:tc>
          <w:tcPr>
            <w:tcW w:w="2762" w:type="pct"/>
            <w:tcMar>
              <w:top w:w="60" w:type="dxa"/>
              <w:left w:w="100" w:type="dxa"/>
              <w:bottom w:w="60" w:type="dxa"/>
              <w:right w:w="100" w:type="dxa"/>
            </w:tcMar>
            <w:vAlign w:val="center"/>
          </w:tcPr>
          <w:p w14:paraId="7183C8A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أدّى الترميز إلى خفض تكاليف الاستجابة للحوادث السيبرانية وعمليات الاستعادة</w:t>
            </w:r>
          </w:p>
        </w:tc>
        <w:tc>
          <w:tcPr>
            <w:tcW w:w="619" w:type="pct"/>
            <w:tcMar>
              <w:top w:w="60" w:type="dxa"/>
              <w:left w:w="100" w:type="dxa"/>
              <w:bottom w:w="60" w:type="dxa"/>
              <w:right w:w="100" w:type="dxa"/>
            </w:tcMar>
            <w:vAlign w:val="center"/>
          </w:tcPr>
          <w:p w14:paraId="67B5C89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4.163</w:t>
            </w:r>
          </w:p>
        </w:tc>
        <w:tc>
          <w:tcPr>
            <w:tcW w:w="714" w:type="pct"/>
            <w:tcMar>
              <w:top w:w="60" w:type="dxa"/>
              <w:left w:w="100" w:type="dxa"/>
              <w:bottom w:w="60" w:type="dxa"/>
              <w:right w:w="100" w:type="dxa"/>
            </w:tcMar>
            <w:vAlign w:val="center"/>
          </w:tcPr>
          <w:p w14:paraId="43DC665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0.994</w:t>
            </w:r>
          </w:p>
        </w:tc>
        <w:tc>
          <w:tcPr>
            <w:tcW w:w="667" w:type="pct"/>
            <w:tcMar>
              <w:top w:w="60" w:type="dxa"/>
              <w:left w:w="100" w:type="dxa"/>
              <w:bottom w:w="60" w:type="dxa"/>
              <w:right w:w="100" w:type="dxa"/>
            </w:tcMar>
            <w:vAlign w:val="center"/>
          </w:tcPr>
          <w:p w14:paraId="794E5D7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57635989" w14:textId="77777777" w:rsidTr="00036983">
        <w:trPr>
          <w:jc w:val="center"/>
        </w:trPr>
        <w:tc>
          <w:tcPr>
            <w:tcW w:w="238" w:type="pct"/>
            <w:shd w:val="clear" w:color="auto" w:fill="F2F2F2"/>
            <w:tcMar>
              <w:top w:w="60" w:type="dxa"/>
              <w:left w:w="100" w:type="dxa"/>
              <w:bottom w:w="60" w:type="dxa"/>
              <w:right w:w="100" w:type="dxa"/>
            </w:tcMar>
            <w:vAlign w:val="center"/>
          </w:tcPr>
          <w:p w14:paraId="79E45B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12</w:t>
            </w:r>
          </w:p>
        </w:tc>
        <w:tc>
          <w:tcPr>
            <w:tcW w:w="2762" w:type="pct"/>
            <w:shd w:val="clear" w:color="auto" w:fill="F2F2F2"/>
            <w:tcMar>
              <w:top w:w="60" w:type="dxa"/>
              <w:left w:w="100" w:type="dxa"/>
              <w:bottom w:w="60" w:type="dxa"/>
              <w:right w:w="100" w:type="dxa"/>
            </w:tcMar>
            <w:vAlign w:val="center"/>
          </w:tcPr>
          <w:p w14:paraId="4893223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يُتيح الترميز الامتثال الكامل لمتطلبات الهيئة الوطنية للأمن السيبراني (NCA)</w:t>
            </w:r>
          </w:p>
        </w:tc>
        <w:tc>
          <w:tcPr>
            <w:tcW w:w="619" w:type="pct"/>
            <w:shd w:val="clear" w:color="auto" w:fill="F2F2F2"/>
            <w:tcMar>
              <w:top w:w="60" w:type="dxa"/>
              <w:left w:w="100" w:type="dxa"/>
              <w:bottom w:w="60" w:type="dxa"/>
              <w:right w:w="100" w:type="dxa"/>
            </w:tcMar>
            <w:vAlign w:val="center"/>
          </w:tcPr>
          <w:p w14:paraId="4F952AE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4.546</w:t>
            </w:r>
          </w:p>
        </w:tc>
        <w:tc>
          <w:tcPr>
            <w:tcW w:w="714" w:type="pct"/>
            <w:shd w:val="clear" w:color="auto" w:fill="F2F2F2"/>
            <w:tcMar>
              <w:top w:w="60" w:type="dxa"/>
              <w:left w:w="100" w:type="dxa"/>
              <w:bottom w:w="60" w:type="dxa"/>
              <w:right w:w="100" w:type="dxa"/>
            </w:tcMar>
            <w:vAlign w:val="center"/>
          </w:tcPr>
          <w:p w14:paraId="289B57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0.718</w:t>
            </w:r>
          </w:p>
        </w:tc>
        <w:tc>
          <w:tcPr>
            <w:tcW w:w="667" w:type="pct"/>
            <w:shd w:val="clear" w:color="auto" w:fill="F2F2F2"/>
            <w:tcMar>
              <w:top w:w="60" w:type="dxa"/>
              <w:left w:w="100" w:type="dxa"/>
              <w:bottom w:w="60" w:type="dxa"/>
              <w:right w:w="100" w:type="dxa"/>
            </w:tcMar>
            <w:vAlign w:val="center"/>
          </w:tcPr>
          <w:p w14:paraId="6A79A2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B6B768E" w14:textId="77777777" w:rsidTr="00036983">
        <w:trPr>
          <w:jc w:val="center"/>
        </w:trPr>
        <w:tc>
          <w:tcPr>
            <w:tcW w:w="238" w:type="pct"/>
            <w:tcMar>
              <w:top w:w="60" w:type="dxa"/>
              <w:left w:w="100" w:type="dxa"/>
              <w:bottom w:w="60" w:type="dxa"/>
              <w:right w:w="100" w:type="dxa"/>
            </w:tcMar>
            <w:vAlign w:val="center"/>
          </w:tcPr>
          <w:p w14:paraId="196EB29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46C5175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121CC3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4.329</w:t>
            </w:r>
          </w:p>
        </w:tc>
        <w:tc>
          <w:tcPr>
            <w:tcW w:w="714" w:type="pct"/>
            <w:tcMar>
              <w:top w:w="60" w:type="dxa"/>
              <w:left w:w="100" w:type="dxa"/>
              <w:bottom w:w="60" w:type="dxa"/>
              <w:right w:w="100" w:type="dxa"/>
            </w:tcMar>
            <w:vAlign w:val="center"/>
          </w:tcPr>
          <w:p w14:paraId="747BC1B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0.847</w:t>
            </w:r>
          </w:p>
        </w:tc>
        <w:tc>
          <w:tcPr>
            <w:tcW w:w="667" w:type="pct"/>
            <w:tcMar>
              <w:top w:w="60" w:type="dxa"/>
              <w:left w:w="100" w:type="dxa"/>
              <w:bottom w:w="60" w:type="dxa"/>
              <w:right w:w="100" w:type="dxa"/>
            </w:tcMar>
            <w:vAlign w:val="center"/>
          </w:tcPr>
          <w:p w14:paraId="4AC2BA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54AFF50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(4.8): المتوسطات الحسابية والانحرافات المعيارية لعبارات الترميز الأمني للبيانات</w:t>
      </w:r>
    </w:p>
    <w:p w14:paraId="7D573C3E" w14:textId="77777777" w:rsidR="00B5019C" w:rsidRDefault="00B5019C" w:rsidP="00E000FF">
      <w:pPr>
        <w:bidi/>
        <w:spacing w:after="0" w:line="360" w:lineRule="auto"/>
        <w:jc w:val="both"/>
        <w:rPr>
          <w:rFonts w:ascii="Traditional Arabic" w:eastAsia="Simplified Arabic" w:hAnsi="Traditional Arabic" w:cs="Traditional Arabic"/>
          <w:b/>
          <w:bCs/>
          <w:sz w:val="28"/>
          <w:szCs w:val="28"/>
          <w:rtl/>
        </w:rPr>
      </w:pPr>
    </w:p>
    <w:p w14:paraId="16AF13A8" w14:textId="77777777" w:rsidR="00B5019C" w:rsidRDefault="00B5019C" w:rsidP="00B5019C">
      <w:pPr>
        <w:bidi/>
        <w:spacing w:after="0" w:line="360" w:lineRule="auto"/>
        <w:jc w:val="both"/>
        <w:rPr>
          <w:rFonts w:ascii="Traditional Arabic" w:eastAsia="Simplified Arabic" w:hAnsi="Traditional Arabic" w:cs="Traditional Arabic"/>
          <w:b/>
          <w:bCs/>
          <w:sz w:val="28"/>
          <w:szCs w:val="28"/>
          <w:rtl/>
        </w:rPr>
      </w:pPr>
    </w:p>
    <w:p w14:paraId="5591D48B" w14:textId="77777777" w:rsidR="007608E1" w:rsidRDefault="007608E1" w:rsidP="00B5019C">
      <w:pPr>
        <w:bidi/>
        <w:spacing w:after="0" w:line="360" w:lineRule="auto"/>
        <w:jc w:val="both"/>
      </w:pPr>
      <w:r>
        <w:rPr>
          <w:rFonts w:ascii="Traditional Arabic" w:eastAsia="Simplified Arabic" w:hAnsi="Traditional Arabic" w:cs="Traditional Arabic"/>
          <w:b/>
          <w:bCs/>
          <w:sz w:val="28"/>
          <w:szCs w:val="28"/>
          <w:rtl/>
        </w:rPr>
        <w:lastRenderedPageBreak/>
        <w:t>البُعد الثاني: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5FCDBED1" w14:textId="77777777" w:rsidTr="00036983">
        <w:trPr>
          <w:tblHeader/>
          <w:jc w:val="center"/>
        </w:trPr>
        <w:tc>
          <w:tcPr>
            <w:tcW w:w="238" w:type="pct"/>
            <w:shd w:val="clear" w:color="auto" w:fill="2E5395"/>
            <w:tcMar>
              <w:top w:w="60" w:type="dxa"/>
              <w:left w:w="100" w:type="dxa"/>
              <w:bottom w:w="60" w:type="dxa"/>
              <w:right w:w="100" w:type="dxa"/>
            </w:tcMar>
            <w:vAlign w:val="center"/>
          </w:tcPr>
          <w:p w14:paraId="5693C1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7D6F24E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2BE8346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062FE00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75B29A1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3413F775" w14:textId="77777777" w:rsidTr="00036983">
        <w:trPr>
          <w:jc w:val="center"/>
        </w:trPr>
        <w:tc>
          <w:tcPr>
            <w:tcW w:w="238" w:type="pct"/>
            <w:tcMar>
              <w:top w:w="60" w:type="dxa"/>
              <w:left w:w="100" w:type="dxa"/>
              <w:bottom w:w="60" w:type="dxa"/>
              <w:right w:w="100" w:type="dxa"/>
            </w:tcMar>
            <w:vAlign w:val="center"/>
          </w:tcPr>
          <w:p w14:paraId="731E31C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13</w:t>
            </w:r>
          </w:p>
        </w:tc>
        <w:tc>
          <w:tcPr>
            <w:tcW w:w="2762" w:type="pct"/>
            <w:tcMar>
              <w:top w:w="60" w:type="dxa"/>
              <w:left w:w="100" w:type="dxa"/>
              <w:bottom w:w="60" w:type="dxa"/>
              <w:right w:w="100" w:type="dxa"/>
            </w:tcMar>
            <w:vAlign w:val="center"/>
          </w:tcPr>
          <w:p w14:paraId="6867FDD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ساعد تطبيق الترميز المؤسسة على استيفاء متطلبات معيار ISO 27001 لأمن المعلومات</w:t>
            </w:r>
          </w:p>
        </w:tc>
        <w:tc>
          <w:tcPr>
            <w:tcW w:w="619" w:type="pct"/>
            <w:tcMar>
              <w:top w:w="60" w:type="dxa"/>
              <w:left w:w="100" w:type="dxa"/>
              <w:bottom w:w="60" w:type="dxa"/>
              <w:right w:w="100" w:type="dxa"/>
            </w:tcMar>
            <w:vAlign w:val="center"/>
          </w:tcPr>
          <w:p w14:paraId="788353C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4.255</w:t>
            </w:r>
          </w:p>
        </w:tc>
        <w:tc>
          <w:tcPr>
            <w:tcW w:w="714" w:type="pct"/>
            <w:tcMar>
              <w:top w:w="60" w:type="dxa"/>
              <w:left w:w="100" w:type="dxa"/>
              <w:bottom w:w="60" w:type="dxa"/>
              <w:right w:w="100" w:type="dxa"/>
            </w:tcMar>
            <w:vAlign w:val="center"/>
          </w:tcPr>
          <w:p w14:paraId="6131546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0.909</w:t>
            </w:r>
          </w:p>
        </w:tc>
        <w:tc>
          <w:tcPr>
            <w:tcW w:w="667" w:type="pct"/>
            <w:tcMar>
              <w:top w:w="60" w:type="dxa"/>
              <w:left w:w="100" w:type="dxa"/>
              <w:bottom w:w="60" w:type="dxa"/>
              <w:right w:w="100" w:type="dxa"/>
            </w:tcMar>
            <w:vAlign w:val="center"/>
          </w:tcPr>
          <w:p w14:paraId="3C80CBB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FB550C1" w14:textId="77777777" w:rsidTr="00036983">
        <w:trPr>
          <w:jc w:val="center"/>
        </w:trPr>
        <w:tc>
          <w:tcPr>
            <w:tcW w:w="238" w:type="pct"/>
            <w:shd w:val="clear" w:color="auto" w:fill="F2F2F2"/>
            <w:tcMar>
              <w:top w:w="60" w:type="dxa"/>
              <w:left w:w="100" w:type="dxa"/>
              <w:bottom w:w="60" w:type="dxa"/>
              <w:right w:w="100" w:type="dxa"/>
            </w:tcMar>
            <w:vAlign w:val="center"/>
          </w:tcPr>
          <w:p w14:paraId="7D09246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14</w:t>
            </w:r>
          </w:p>
        </w:tc>
        <w:tc>
          <w:tcPr>
            <w:tcW w:w="2762" w:type="pct"/>
            <w:shd w:val="clear" w:color="auto" w:fill="F2F2F2"/>
            <w:tcMar>
              <w:top w:w="60" w:type="dxa"/>
              <w:left w:w="100" w:type="dxa"/>
              <w:bottom w:w="60" w:type="dxa"/>
              <w:right w:w="100" w:type="dxa"/>
            </w:tcMar>
            <w:vAlign w:val="center"/>
          </w:tcPr>
          <w:p w14:paraId="62C5BE7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يدعم الترميز الامتثال لأطر حماية البيانات الصادرة عن البنك المركزي السعودي (SAMA)</w:t>
            </w:r>
          </w:p>
        </w:tc>
        <w:tc>
          <w:tcPr>
            <w:tcW w:w="619" w:type="pct"/>
            <w:shd w:val="clear" w:color="auto" w:fill="F2F2F2"/>
            <w:tcMar>
              <w:top w:w="60" w:type="dxa"/>
              <w:left w:w="100" w:type="dxa"/>
              <w:bottom w:w="60" w:type="dxa"/>
              <w:right w:w="100" w:type="dxa"/>
            </w:tcMar>
            <w:vAlign w:val="center"/>
          </w:tcPr>
          <w:p w14:paraId="572970B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4.622</w:t>
            </w:r>
          </w:p>
        </w:tc>
        <w:tc>
          <w:tcPr>
            <w:tcW w:w="714" w:type="pct"/>
            <w:shd w:val="clear" w:color="auto" w:fill="F2F2F2"/>
            <w:tcMar>
              <w:top w:w="60" w:type="dxa"/>
              <w:left w:w="100" w:type="dxa"/>
              <w:bottom w:w="60" w:type="dxa"/>
              <w:right w:w="100" w:type="dxa"/>
            </w:tcMar>
            <w:vAlign w:val="center"/>
          </w:tcPr>
          <w:p w14:paraId="6BD5016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0.680</w:t>
            </w:r>
          </w:p>
        </w:tc>
        <w:tc>
          <w:tcPr>
            <w:tcW w:w="667" w:type="pct"/>
            <w:shd w:val="clear" w:color="auto" w:fill="F2F2F2"/>
            <w:tcMar>
              <w:top w:w="60" w:type="dxa"/>
              <w:left w:w="100" w:type="dxa"/>
              <w:bottom w:w="60" w:type="dxa"/>
              <w:right w:w="100" w:type="dxa"/>
            </w:tcMar>
            <w:vAlign w:val="center"/>
          </w:tcPr>
          <w:p w14:paraId="65A2C03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38C4350C" w14:textId="77777777" w:rsidTr="00036983">
        <w:trPr>
          <w:jc w:val="center"/>
        </w:trPr>
        <w:tc>
          <w:tcPr>
            <w:tcW w:w="238" w:type="pct"/>
            <w:tcMar>
              <w:top w:w="60" w:type="dxa"/>
              <w:left w:w="100" w:type="dxa"/>
              <w:bottom w:w="60" w:type="dxa"/>
              <w:right w:w="100" w:type="dxa"/>
            </w:tcMar>
            <w:vAlign w:val="center"/>
          </w:tcPr>
          <w:p w14:paraId="59E7D43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15</w:t>
            </w:r>
          </w:p>
        </w:tc>
        <w:tc>
          <w:tcPr>
            <w:tcW w:w="2762" w:type="pct"/>
            <w:tcMar>
              <w:top w:w="60" w:type="dxa"/>
              <w:left w:w="100" w:type="dxa"/>
              <w:bottom w:w="60" w:type="dxa"/>
              <w:right w:w="100" w:type="dxa"/>
            </w:tcMar>
            <w:vAlign w:val="center"/>
          </w:tcPr>
          <w:p w14:paraId="2DC5A6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تيسير عمليات التدقيق الخارجي وتقليص وقتها وتكاليفها</w:t>
            </w:r>
          </w:p>
        </w:tc>
        <w:tc>
          <w:tcPr>
            <w:tcW w:w="619" w:type="pct"/>
            <w:tcMar>
              <w:top w:w="60" w:type="dxa"/>
              <w:left w:w="100" w:type="dxa"/>
              <w:bottom w:w="60" w:type="dxa"/>
              <w:right w:w="100" w:type="dxa"/>
            </w:tcMar>
            <w:vAlign w:val="center"/>
          </w:tcPr>
          <w:p w14:paraId="128929F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4.311</w:t>
            </w:r>
          </w:p>
        </w:tc>
        <w:tc>
          <w:tcPr>
            <w:tcW w:w="714" w:type="pct"/>
            <w:tcMar>
              <w:top w:w="60" w:type="dxa"/>
              <w:left w:w="100" w:type="dxa"/>
              <w:bottom w:w="60" w:type="dxa"/>
              <w:right w:w="100" w:type="dxa"/>
            </w:tcMar>
            <w:vAlign w:val="center"/>
          </w:tcPr>
          <w:p w14:paraId="331BD4B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0.758</w:t>
            </w:r>
          </w:p>
        </w:tc>
        <w:tc>
          <w:tcPr>
            <w:tcW w:w="667" w:type="pct"/>
            <w:tcMar>
              <w:top w:w="60" w:type="dxa"/>
              <w:left w:w="100" w:type="dxa"/>
              <w:bottom w:w="60" w:type="dxa"/>
              <w:right w:w="100" w:type="dxa"/>
            </w:tcMar>
            <w:vAlign w:val="center"/>
          </w:tcPr>
          <w:p w14:paraId="4DBBCD6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93E8D51" w14:textId="77777777" w:rsidTr="00036983">
        <w:trPr>
          <w:jc w:val="center"/>
        </w:trPr>
        <w:tc>
          <w:tcPr>
            <w:tcW w:w="238" w:type="pct"/>
            <w:shd w:val="clear" w:color="auto" w:fill="F2F2F2"/>
            <w:tcMar>
              <w:top w:w="60" w:type="dxa"/>
              <w:left w:w="100" w:type="dxa"/>
              <w:bottom w:w="60" w:type="dxa"/>
              <w:right w:w="100" w:type="dxa"/>
            </w:tcMar>
            <w:vAlign w:val="center"/>
          </w:tcPr>
          <w:p w14:paraId="5A33E98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16</w:t>
            </w:r>
          </w:p>
        </w:tc>
        <w:tc>
          <w:tcPr>
            <w:tcW w:w="2762" w:type="pct"/>
            <w:shd w:val="clear" w:color="auto" w:fill="F2F2F2"/>
            <w:tcMar>
              <w:top w:w="60" w:type="dxa"/>
              <w:left w:w="100" w:type="dxa"/>
              <w:bottom w:w="60" w:type="dxa"/>
              <w:right w:w="100" w:type="dxa"/>
            </w:tcMar>
            <w:vAlign w:val="center"/>
          </w:tcPr>
          <w:p w14:paraId="14927D3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تُوظّف المؤسسة الترميز كأداة للامتثال لأنظمة حماية البيانات المحلية والدولية</w:t>
            </w:r>
          </w:p>
        </w:tc>
        <w:tc>
          <w:tcPr>
            <w:tcW w:w="619" w:type="pct"/>
            <w:shd w:val="clear" w:color="auto" w:fill="F2F2F2"/>
            <w:tcMar>
              <w:top w:w="60" w:type="dxa"/>
              <w:left w:w="100" w:type="dxa"/>
              <w:bottom w:w="60" w:type="dxa"/>
              <w:right w:w="100" w:type="dxa"/>
            </w:tcMar>
            <w:vAlign w:val="center"/>
          </w:tcPr>
          <w:p w14:paraId="52D98D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4.311</w:t>
            </w:r>
          </w:p>
        </w:tc>
        <w:tc>
          <w:tcPr>
            <w:tcW w:w="714" w:type="pct"/>
            <w:shd w:val="clear" w:color="auto" w:fill="F2F2F2"/>
            <w:tcMar>
              <w:top w:w="60" w:type="dxa"/>
              <w:left w:w="100" w:type="dxa"/>
              <w:bottom w:w="60" w:type="dxa"/>
              <w:right w:w="100" w:type="dxa"/>
            </w:tcMar>
            <w:vAlign w:val="center"/>
          </w:tcPr>
          <w:p w14:paraId="7F174DE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0.997</w:t>
            </w:r>
          </w:p>
        </w:tc>
        <w:tc>
          <w:tcPr>
            <w:tcW w:w="667" w:type="pct"/>
            <w:shd w:val="clear" w:color="auto" w:fill="F2F2F2"/>
            <w:tcMar>
              <w:top w:w="60" w:type="dxa"/>
              <w:left w:w="100" w:type="dxa"/>
              <w:bottom w:w="60" w:type="dxa"/>
              <w:right w:w="100" w:type="dxa"/>
            </w:tcMar>
            <w:vAlign w:val="center"/>
          </w:tcPr>
          <w:p w14:paraId="3C13A8C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6FE4F6D" w14:textId="77777777" w:rsidTr="00036983">
        <w:trPr>
          <w:jc w:val="center"/>
        </w:trPr>
        <w:tc>
          <w:tcPr>
            <w:tcW w:w="238" w:type="pct"/>
            <w:tcMar>
              <w:top w:w="60" w:type="dxa"/>
              <w:left w:w="100" w:type="dxa"/>
              <w:bottom w:w="60" w:type="dxa"/>
              <w:right w:w="100" w:type="dxa"/>
            </w:tcMar>
            <w:vAlign w:val="center"/>
          </w:tcPr>
          <w:p w14:paraId="4FC0510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17</w:t>
            </w:r>
          </w:p>
        </w:tc>
        <w:tc>
          <w:tcPr>
            <w:tcW w:w="2762" w:type="pct"/>
            <w:tcMar>
              <w:top w:w="60" w:type="dxa"/>
              <w:left w:w="100" w:type="dxa"/>
              <w:bottom w:w="60" w:type="dxa"/>
              <w:right w:w="100" w:type="dxa"/>
            </w:tcMar>
            <w:vAlign w:val="center"/>
          </w:tcPr>
          <w:p w14:paraId="1FF0D23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يُيسّر الترميز تطبيق سياسات حوكمة البيانات المؤسسية بشكل فعّال</w:t>
            </w:r>
          </w:p>
        </w:tc>
        <w:tc>
          <w:tcPr>
            <w:tcW w:w="619" w:type="pct"/>
            <w:tcMar>
              <w:top w:w="60" w:type="dxa"/>
              <w:left w:w="100" w:type="dxa"/>
              <w:bottom w:w="60" w:type="dxa"/>
              <w:right w:w="100" w:type="dxa"/>
            </w:tcMar>
            <w:vAlign w:val="center"/>
          </w:tcPr>
          <w:p w14:paraId="74BD073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4.393</w:t>
            </w:r>
          </w:p>
        </w:tc>
        <w:tc>
          <w:tcPr>
            <w:tcW w:w="714" w:type="pct"/>
            <w:tcMar>
              <w:top w:w="60" w:type="dxa"/>
              <w:left w:w="100" w:type="dxa"/>
              <w:bottom w:w="60" w:type="dxa"/>
              <w:right w:w="100" w:type="dxa"/>
            </w:tcMar>
            <w:vAlign w:val="center"/>
          </w:tcPr>
          <w:p w14:paraId="12CB43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0.800</w:t>
            </w:r>
          </w:p>
        </w:tc>
        <w:tc>
          <w:tcPr>
            <w:tcW w:w="667" w:type="pct"/>
            <w:tcMar>
              <w:top w:w="60" w:type="dxa"/>
              <w:left w:w="100" w:type="dxa"/>
              <w:bottom w:w="60" w:type="dxa"/>
              <w:right w:w="100" w:type="dxa"/>
            </w:tcMar>
            <w:vAlign w:val="center"/>
          </w:tcPr>
          <w:p w14:paraId="1AE24F0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CD9A1BC" w14:textId="77777777" w:rsidTr="00036983">
        <w:trPr>
          <w:jc w:val="center"/>
        </w:trPr>
        <w:tc>
          <w:tcPr>
            <w:tcW w:w="238" w:type="pct"/>
            <w:shd w:val="clear" w:color="auto" w:fill="F2F2F2"/>
            <w:tcMar>
              <w:top w:w="60" w:type="dxa"/>
              <w:left w:w="100" w:type="dxa"/>
              <w:bottom w:w="60" w:type="dxa"/>
              <w:right w:w="100" w:type="dxa"/>
            </w:tcMar>
            <w:vAlign w:val="center"/>
          </w:tcPr>
          <w:p w14:paraId="1539F5E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18</w:t>
            </w:r>
          </w:p>
        </w:tc>
        <w:tc>
          <w:tcPr>
            <w:tcW w:w="2762" w:type="pct"/>
            <w:shd w:val="clear" w:color="auto" w:fill="F2F2F2"/>
            <w:tcMar>
              <w:top w:w="60" w:type="dxa"/>
              <w:left w:w="100" w:type="dxa"/>
              <w:bottom w:w="60" w:type="dxa"/>
              <w:right w:w="100" w:type="dxa"/>
            </w:tcMar>
            <w:vAlign w:val="center"/>
          </w:tcPr>
          <w:p w14:paraId="6B9C12C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تُقلّص تقنية الترميز المخاطر القانونية والتنظيمية المترتبة على تسريب البيانات</w:t>
            </w:r>
          </w:p>
        </w:tc>
        <w:tc>
          <w:tcPr>
            <w:tcW w:w="619" w:type="pct"/>
            <w:shd w:val="clear" w:color="auto" w:fill="F2F2F2"/>
            <w:tcMar>
              <w:top w:w="60" w:type="dxa"/>
              <w:left w:w="100" w:type="dxa"/>
              <w:bottom w:w="60" w:type="dxa"/>
              <w:right w:w="100" w:type="dxa"/>
            </w:tcMar>
            <w:vAlign w:val="center"/>
          </w:tcPr>
          <w:p w14:paraId="5D8A724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4.490</w:t>
            </w:r>
          </w:p>
        </w:tc>
        <w:tc>
          <w:tcPr>
            <w:tcW w:w="714" w:type="pct"/>
            <w:shd w:val="clear" w:color="auto" w:fill="F2F2F2"/>
            <w:tcMar>
              <w:top w:w="60" w:type="dxa"/>
              <w:left w:w="100" w:type="dxa"/>
              <w:bottom w:w="60" w:type="dxa"/>
              <w:right w:w="100" w:type="dxa"/>
            </w:tcMar>
            <w:vAlign w:val="center"/>
          </w:tcPr>
          <w:p w14:paraId="234E066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0.775</w:t>
            </w:r>
          </w:p>
        </w:tc>
        <w:tc>
          <w:tcPr>
            <w:tcW w:w="667" w:type="pct"/>
            <w:shd w:val="clear" w:color="auto" w:fill="F2F2F2"/>
            <w:tcMar>
              <w:top w:w="60" w:type="dxa"/>
              <w:left w:w="100" w:type="dxa"/>
              <w:bottom w:w="60" w:type="dxa"/>
              <w:right w:w="100" w:type="dxa"/>
            </w:tcMar>
            <w:vAlign w:val="center"/>
          </w:tcPr>
          <w:p w14:paraId="0358484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BE71D50" w14:textId="77777777" w:rsidTr="00036983">
        <w:trPr>
          <w:jc w:val="center"/>
        </w:trPr>
        <w:tc>
          <w:tcPr>
            <w:tcW w:w="238" w:type="pct"/>
            <w:tcMar>
              <w:top w:w="60" w:type="dxa"/>
              <w:left w:w="100" w:type="dxa"/>
              <w:bottom w:w="60" w:type="dxa"/>
              <w:right w:w="100" w:type="dxa"/>
            </w:tcMar>
            <w:vAlign w:val="center"/>
          </w:tcPr>
          <w:p w14:paraId="741E90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19</w:t>
            </w:r>
          </w:p>
        </w:tc>
        <w:tc>
          <w:tcPr>
            <w:tcW w:w="2762" w:type="pct"/>
            <w:tcMar>
              <w:top w:w="60" w:type="dxa"/>
              <w:left w:w="100" w:type="dxa"/>
              <w:bottom w:w="60" w:type="dxa"/>
              <w:right w:w="100" w:type="dxa"/>
            </w:tcMar>
            <w:vAlign w:val="center"/>
          </w:tcPr>
          <w:p w14:paraId="5390B0C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تمتلك المؤسسة سياسة واضحة وموثقة لتطبيق معايير الترميز المعتمدة دولياً</w:t>
            </w:r>
          </w:p>
        </w:tc>
        <w:tc>
          <w:tcPr>
            <w:tcW w:w="619" w:type="pct"/>
            <w:tcMar>
              <w:top w:w="60" w:type="dxa"/>
              <w:left w:w="100" w:type="dxa"/>
              <w:bottom w:w="60" w:type="dxa"/>
              <w:right w:w="100" w:type="dxa"/>
            </w:tcMar>
            <w:vAlign w:val="center"/>
          </w:tcPr>
          <w:p w14:paraId="70D9BD4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4.265</w:t>
            </w:r>
          </w:p>
        </w:tc>
        <w:tc>
          <w:tcPr>
            <w:tcW w:w="714" w:type="pct"/>
            <w:tcMar>
              <w:top w:w="60" w:type="dxa"/>
              <w:left w:w="100" w:type="dxa"/>
              <w:bottom w:w="60" w:type="dxa"/>
              <w:right w:w="100" w:type="dxa"/>
            </w:tcMar>
            <w:vAlign w:val="center"/>
          </w:tcPr>
          <w:p w14:paraId="6C3FD6A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1.164</w:t>
            </w:r>
          </w:p>
        </w:tc>
        <w:tc>
          <w:tcPr>
            <w:tcW w:w="667" w:type="pct"/>
            <w:tcMar>
              <w:top w:w="60" w:type="dxa"/>
              <w:left w:w="100" w:type="dxa"/>
              <w:bottom w:w="60" w:type="dxa"/>
              <w:right w:w="100" w:type="dxa"/>
            </w:tcMar>
            <w:vAlign w:val="center"/>
          </w:tcPr>
          <w:p w14:paraId="681A16B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FBCCDA7" w14:textId="77777777" w:rsidTr="00036983">
        <w:trPr>
          <w:jc w:val="center"/>
        </w:trPr>
        <w:tc>
          <w:tcPr>
            <w:tcW w:w="238" w:type="pct"/>
            <w:shd w:val="clear" w:color="auto" w:fill="F2F2F2"/>
            <w:tcMar>
              <w:top w:w="60" w:type="dxa"/>
              <w:left w:w="100" w:type="dxa"/>
              <w:bottom w:w="60" w:type="dxa"/>
              <w:right w:w="100" w:type="dxa"/>
            </w:tcMar>
            <w:vAlign w:val="center"/>
          </w:tcPr>
          <w:p w14:paraId="7C5C58E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shd w:val="clear" w:color="auto" w:fill="F2F2F2"/>
            <w:tcMar>
              <w:top w:w="60" w:type="dxa"/>
              <w:left w:w="100" w:type="dxa"/>
              <w:bottom w:w="60" w:type="dxa"/>
              <w:right w:w="100" w:type="dxa"/>
            </w:tcMar>
            <w:vAlign w:val="center"/>
          </w:tcPr>
          <w:p w14:paraId="7DCC9E9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shd w:val="clear" w:color="auto" w:fill="F2F2F2"/>
            <w:tcMar>
              <w:top w:w="60" w:type="dxa"/>
              <w:left w:w="100" w:type="dxa"/>
              <w:bottom w:w="60" w:type="dxa"/>
              <w:right w:w="100" w:type="dxa"/>
            </w:tcMar>
            <w:vAlign w:val="center"/>
          </w:tcPr>
          <w:p w14:paraId="2DEDEC7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4.378</w:t>
            </w:r>
          </w:p>
        </w:tc>
        <w:tc>
          <w:tcPr>
            <w:tcW w:w="714" w:type="pct"/>
            <w:shd w:val="clear" w:color="auto" w:fill="F2F2F2"/>
            <w:tcMar>
              <w:top w:w="60" w:type="dxa"/>
              <w:left w:w="100" w:type="dxa"/>
              <w:bottom w:w="60" w:type="dxa"/>
              <w:right w:w="100" w:type="dxa"/>
            </w:tcMar>
            <w:vAlign w:val="center"/>
          </w:tcPr>
          <w:p w14:paraId="1B96503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0.743</w:t>
            </w:r>
          </w:p>
        </w:tc>
        <w:tc>
          <w:tcPr>
            <w:tcW w:w="667" w:type="pct"/>
            <w:shd w:val="clear" w:color="auto" w:fill="F2F2F2"/>
            <w:tcMar>
              <w:top w:w="60" w:type="dxa"/>
              <w:left w:w="100" w:type="dxa"/>
              <w:bottom w:w="60" w:type="dxa"/>
              <w:right w:w="100" w:type="dxa"/>
            </w:tcMar>
            <w:vAlign w:val="center"/>
          </w:tcPr>
          <w:p w14:paraId="708F97B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192A6F17"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(4.9): المتوسطات الحسابية والانحرافات المعيارية لعبارات الامتثال للمعايير الدولية</w:t>
      </w:r>
    </w:p>
    <w:p w14:paraId="0BF47CA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الثالث: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6EF196D0" w14:textId="77777777" w:rsidTr="00036983">
        <w:trPr>
          <w:tblHeader/>
          <w:jc w:val="center"/>
        </w:trPr>
        <w:tc>
          <w:tcPr>
            <w:tcW w:w="238" w:type="pct"/>
            <w:shd w:val="clear" w:color="auto" w:fill="2E5395"/>
            <w:tcMar>
              <w:top w:w="60" w:type="dxa"/>
              <w:left w:w="100" w:type="dxa"/>
              <w:bottom w:w="60" w:type="dxa"/>
              <w:right w:w="100" w:type="dxa"/>
            </w:tcMar>
            <w:vAlign w:val="center"/>
          </w:tcPr>
          <w:p w14:paraId="3D5EEE7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7DEEC58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C1CFA1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0EB38F7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1994724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403A3030" w14:textId="77777777" w:rsidTr="00036983">
        <w:trPr>
          <w:jc w:val="center"/>
        </w:trPr>
        <w:tc>
          <w:tcPr>
            <w:tcW w:w="238" w:type="pct"/>
            <w:tcMar>
              <w:top w:w="60" w:type="dxa"/>
              <w:left w:w="100" w:type="dxa"/>
              <w:bottom w:w="60" w:type="dxa"/>
              <w:right w:w="100" w:type="dxa"/>
            </w:tcMar>
            <w:vAlign w:val="center"/>
          </w:tcPr>
          <w:p w14:paraId="4533952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20</w:t>
            </w:r>
          </w:p>
        </w:tc>
        <w:tc>
          <w:tcPr>
            <w:tcW w:w="2762" w:type="pct"/>
            <w:tcMar>
              <w:top w:w="60" w:type="dxa"/>
              <w:left w:w="100" w:type="dxa"/>
              <w:bottom w:w="60" w:type="dxa"/>
              <w:right w:w="100" w:type="dxa"/>
            </w:tcMar>
            <w:vAlign w:val="center"/>
          </w:tcPr>
          <w:p w14:paraId="66EE197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وقت معالجة المعاملات المالية بنسبة ملحوظة</w:t>
            </w:r>
          </w:p>
        </w:tc>
        <w:tc>
          <w:tcPr>
            <w:tcW w:w="619" w:type="pct"/>
            <w:tcMar>
              <w:top w:w="60" w:type="dxa"/>
              <w:left w:w="100" w:type="dxa"/>
              <w:bottom w:w="60" w:type="dxa"/>
              <w:right w:w="100" w:type="dxa"/>
            </w:tcMar>
            <w:vAlign w:val="center"/>
          </w:tcPr>
          <w:p w14:paraId="5752CBD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4.209</w:t>
            </w:r>
          </w:p>
        </w:tc>
        <w:tc>
          <w:tcPr>
            <w:tcW w:w="714" w:type="pct"/>
            <w:tcMar>
              <w:top w:w="60" w:type="dxa"/>
              <w:left w:w="100" w:type="dxa"/>
              <w:bottom w:w="60" w:type="dxa"/>
              <w:right w:w="100" w:type="dxa"/>
            </w:tcMar>
            <w:vAlign w:val="center"/>
          </w:tcPr>
          <w:p w14:paraId="1E6284A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0.940</w:t>
            </w:r>
          </w:p>
        </w:tc>
        <w:tc>
          <w:tcPr>
            <w:tcW w:w="667" w:type="pct"/>
            <w:tcMar>
              <w:top w:w="60" w:type="dxa"/>
              <w:left w:w="100" w:type="dxa"/>
              <w:bottom w:w="60" w:type="dxa"/>
              <w:right w:w="100" w:type="dxa"/>
            </w:tcMar>
            <w:vAlign w:val="center"/>
          </w:tcPr>
          <w:p w14:paraId="448869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7B348E6D" w14:textId="77777777" w:rsidTr="00036983">
        <w:trPr>
          <w:jc w:val="center"/>
        </w:trPr>
        <w:tc>
          <w:tcPr>
            <w:tcW w:w="238" w:type="pct"/>
            <w:shd w:val="clear" w:color="auto" w:fill="F2F2F2"/>
            <w:tcMar>
              <w:top w:w="60" w:type="dxa"/>
              <w:left w:w="100" w:type="dxa"/>
              <w:bottom w:w="60" w:type="dxa"/>
              <w:right w:w="100" w:type="dxa"/>
            </w:tcMar>
            <w:vAlign w:val="center"/>
          </w:tcPr>
          <w:p w14:paraId="135771E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21</w:t>
            </w:r>
          </w:p>
        </w:tc>
        <w:tc>
          <w:tcPr>
            <w:tcW w:w="2762" w:type="pct"/>
            <w:shd w:val="clear" w:color="auto" w:fill="F2F2F2"/>
            <w:tcMar>
              <w:top w:w="60" w:type="dxa"/>
              <w:left w:w="100" w:type="dxa"/>
              <w:bottom w:w="60" w:type="dxa"/>
              <w:right w:w="100" w:type="dxa"/>
            </w:tcMar>
            <w:vAlign w:val="center"/>
          </w:tcPr>
          <w:p w14:paraId="1CB9D4A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خفّض الترميز تكاليف التشغيل المرتبطة بأمن المدفوعات الإلكترونية</w:t>
            </w:r>
          </w:p>
        </w:tc>
        <w:tc>
          <w:tcPr>
            <w:tcW w:w="619" w:type="pct"/>
            <w:shd w:val="clear" w:color="auto" w:fill="F2F2F2"/>
            <w:tcMar>
              <w:top w:w="60" w:type="dxa"/>
              <w:left w:w="100" w:type="dxa"/>
              <w:bottom w:w="60" w:type="dxa"/>
              <w:right w:w="100" w:type="dxa"/>
            </w:tcMar>
            <w:vAlign w:val="center"/>
          </w:tcPr>
          <w:p w14:paraId="201F0E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4.056</w:t>
            </w:r>
          </w:p>
        </w:tc>
        <w:tc>
          <w:tcPr>
            <w:tcW w:w="714" w:type="pct"/>
            <w:shd w:val="clear" w:color="auto" w:fill="F2F2F2"/>
            <w:tcMar>
              <w:top w:w="60" w:type="dxa"/>
              <w:left w:w="100" w:type="dxa"/>
              <w:bottom w:w="60" w:type="dxa"/>
              <w:right w:w="100" w:type="dxa"/>
            </w:tcMar>
            <w:vAlign w:val="center"/>
          </w:tcPr>
          <w:p w14:paraId="6273F2A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1.063</w:t>
            </w:r>
          </w:p>
        </w:tc>
        <w:tc>
          <w:tcPr>
            <w:tcW w:w="667" w:type="pct"/>
            <w:shd w:val="clear" w:color="auto" w:fill="F2F2F2"/>
            <w:tcMar>
              <w:top w:w="60" w:type="dxa"/>
              <w:left w:w="100" w:type="dxa"/>
              <w:bottom w:w="60" w:type="dxa"/>
              <w:right w:w="100" w:type="dxa"/>
            </w:tcMar>
            <w:vAlign w:val="center"/>
          </w:tcPr>
          <w:p w14:paraId="15305B8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7AC264D2" w14:textId="77777777" w:rsidTr="00036983">
        <w:trPr>
          <w:jc w:val="center"/>
        </w:trPr>
        <w:tc>
          <w:tcPr>
            <w:tcW w:w="238" w:type="pct"/>
            <w:tcMar>
              <w:top w:w="60" w:type="dxa"/>
              <w:left w:w="100" w:type="dxa"/>
              <w:bottom w:w="60" w:type="dxa"/>
              <w:right w:w="100" w:type="dxa"/>
            </w:tcMar>
            <w:vAlign w:val="center"/>
          </w:tcPr>
          <w:p w14:paraId="2A48EEE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22</w:t>
            </w:r>
          </w:p>
        </w:tc>
        <w:tc>
          <w:tcPr>
            <w:tcW w:w="2762" w:type="pct"/>
            <w:tcMar>
              <w:top w:w="60" w:type="dxa"/>
              <w:left w:w="100" w:type="dxa"/>
              <w:bottom w:w="60" w:type="dxa"/>
              <w:right w:w="100" w:type="dxa"/>
            </w:tcMar>
            <w:vAlign w:val="center"/>
          </w:tcPr>
          <w:p w14:paraId="4B00C3D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عزّز تطبيق الترميز مستوى ثقة العملاء في المنصات المالية الرقمية للمؤسسة</w:t>
            </w:r>
          </w:p>
        </w:tc>
        <w:tc>
          <w:tcPr>
            <w:tcW w:w="619" w:type="pct"/>
            <w:tcMar>
              <w:top w:w="60" w:type="dxa"/>
              <w:left w:w="100" w:type="dxa"/>
              <w:bottom w:w="60" w:type="dxa"/>
              <w:right w:w="100" w:type="dxa"/>
            </w:tcMar>
            <w:vAlign w:val="center"/>
          </w:tcPr>
          <w:p w14:paraId="7765FF5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4.520</w:t>
            </w:r>
          </w:p>
        </w:tc>
        <w:tc>
          <w:tcPr>
            <w:tcW w:w="714" w:type="pct"/>
            <w:tcMar>
              <w:top w:w="60" w:type="dxa"/>
              <w:left w:w="100" w:type="dxa"/>
              <w:bottom w:w="60" w:type="dxa"/>
              <w:right w:w="100" w:type="dxa"/>
            </w:tcMar>
            <w:vAlign w:val="center"/>
          </w:tcPr>
          <w:p w14:paraId="1F01D6E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0.761</w:t>
            </w:r>
          </w:p>
        </w:tc>
        <w:tc>
          <w:tcPr>
            <w:tcW w:w="667" w:type="pct"/>
            <w:tcMar>
              <w:top w:w="60" w:type="dxa"/>
              <w:left w:w="100" w:type="dxa"/>
              <w:bottom w:w="60" w:type="dxa"/>
              <w:right w:w="100" w:type="dxa"/>
            </w:tcMar>
            <w:vAlign w:val="center"/>
          </w:tcPr>
          <w:p w14:paraId="249ECA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A7F1948" w14:textId="77777777" w:rsidTr="00036983">
        <w:trPr>
          <w:jc w:val="center"/>
        </w:trPr>
        <w:tc>
          <w:tcPr>
            <w:tcW w:w="238" w:type="pct"/>
            <w:shd w:val="clear" w:color="auto" w:fill="F2F2F2"/>
            <w:tcMar>
              <w:top w:w="60" w:type="dxa"/>
              <w:left w:w="100" w:type="dxa"/>
              <w:bottom w:w="60" w:type="dxa"/>
              <w:right w:w="100" w:type="dxa"/>
            </w:tcMar>
            <w:vAlign w:val="center"/>
          </w:tcPr>
          <w:p w14:paraId="0EA2CF7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23</w:t>
            </w:r>
          </w:p>
        </w:tc>
        <w:tc>
          <w:tcPr>
            <w:tcW w:w="2762" w:type="pct"/>
            <w:shd w:val="clear" w:color="auto" w:fill="F2F2F2"/>
            <w:tcMar>
              <w:top w:w="60" w:type="dxa"/>
              <w:left w:w="100" w:type="dxa"/>
              <w:bottom w:w="60" w:type="dxa"/>
              <w:right w:w="100" w:type="dxa"/>
            </w:tcMar>
            <w:vAlign w:val="center"/>
          </w:tcPr>
          <w:p w14:paraId="16FECA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تُعالَج المعاملات المالية المُرمَّزة بسرعة ودقة أعلى مقارنةً بالأنظمة التقليدية</w:t>
            </w:r>
          </w:p>
        </w:tc>
        <w:tc>
          <w:tcPr>
            <w:tcW w:w="619" w:type="pct"/>
            <w:shd w:val="clear" w:color="auto" w:fill="F2F2F2"/>
            <w:tcMar>
              <w:top w:w="60" w:type="dxa"/>
              <w:left w:w="100" w:type="dxa"/>
              <w:bottom w:w="60" w:type="dxa"/>
              <w:right w:w="100" w:type="dxa"/>
            </w:tcMar>
            <w:vAlign w:val="center"/>
          </w:tcPr>
          <w:p w14:paraId="47A58D4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4.418</w:t>
            </w:r>
          </w:p>
        </w:tc>
        <w:tc>
          <w:tcPr>
            <w:tcW w:w="714" w:type="pct"/>
            <w:shd w:val="clear" w:color="auto" w:fill="F2F2F2"/>
            <w:tcMar>
              <w:top w:w="60" w:type="dxa"/>
              <w:left w:w="100" w:type="dxa"/>
              <w:bottom w:w="60" w:type="dxa"/>
              <w:right w:w="100" w:type="dxa"/>
            </w:tcMar>
            <w:vAlign w:val="center"/>
          </w:tcPr>
          <w:p w14:paraId="352A9C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0.858</w:t>
            </w:r>
          </w:p>
        </w:tc>
        <w:tc>
          <w:tcPr>
            <w:tcW w:w="667" w:type="pct"/>
            <w:shd w:val="clear" w:color="auto" w:fill="F2F2F2"/>
            <w:tcMar>
              <w:top w:w="60" w:type="dxa"/>
              <w:left w:w="100" w:type="dxa"/>
              <w:bottom w:w="60" w:type="dxa"/>
              <w:right w:w="100" w:type="dxa"/>
            </w:tcMar>
            <w:vAlign w:val="center"/>
          </w:tcPr>
          <w:p w14:paraId="3EB1EA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2D8C922" w14:textId="77777777" w:rsidTr="00036983">
        <w:trPr>
          <w:jc w:val="center"/>
        </w:trPr>
        <w:tc>
          <w:tcPr>
            <w:tcW w:w="238" w:type="pct"/>
            <w:tcMar>
              <w:top w:w="60" w:type="dxa"/>
              <w:left w:w="100" w:type="dxa"/>
              <w:bottom w:w="60" w:type="dxa"/>
              <w:right w:w="100" w:type="dxa"/>
            </w:tcMar>
            <w:vAlign w:val="center"/>
          </w:tcPr>
          <w:p w14:paraId="08F9A9A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24</w:t>
            </w:r>
          </w:p>
        </w:tc>
        <w:tc>
          <w:tcPr>
            <w:tcW w:w="2762" w:type="pct"/>
            <w:tcMar>
              <w:top w:w="60" w:type="dxa"/>
              <w:left w:w="100" w:type="dxa"/>
              <w:bottom w:w="60" w:type="dxa"/>
              <w:right w:w="100" w:type="dxa"/>
            </w:tcMar>
            <w:vAlign w:val="center"/>
          </w:tcPr>
          <w:p w14:paraId="6CED9AD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معدلات الاحتيال المالي (Fraud) والمعاملات المزيفة</w:t>
            </w:r>
          </w:p>
        </w:tc>
        <w:tc>
          <w:tcPr>
            <w:tcW w:w="619" w:type="pct"/>
            <w:tcMar>
              <w:top w:w="60" w:type="dxa"/>
              <w:left w:w="100" w:type="dxa"/>
              <w:bottom w:w="60" w:type="dxa"/>
              <w:right w:w="100" w:type="dxa"/>
            </w:tcMar>
            <w:vAlign w:val="center"/>
          </w:tcPr>
          <w:p w14:paraId="7259448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4.515</w:t>
            </w:r>
          </w:p>
        </w:tc>
        <w:tc>
          <w:tcPr>
            <w:tcW w:w="714" w:type="pct"/>
            <w:tcMar>
              <w:top w:w="60" w:type="dxa"/>
              <w:left w:w="100" w:type="dxa"/>
              <w:bottom w:w="60" w:type="dxa"/>
              <w:right w:w="100" w:type="dxa"/>
            </w:tcMar>
            <w:vAlign w:val="center"/>
          </w:tcPr>
          <w:p w14:paraId="65A5D70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0.788</w:t>
            </w:r>
          </w:p>
        </w:tc>
        <w:tc>
          <w:tcPr>
            <w:tcW w:w="667" w:type="pct"/>
            <w:tcMar>
              <w:top w:w="60" w:type="dxa"/>
              <w:left w:w="100" w:type="dxa"/>
              <w:bottom w:w="60" w:type="dxa"/>
              <w:right w:w="100" w:type="dxa"/>
            </w:tcMar>
            <w:vAlign w:val="center"/>
          </w:tcPr>
          <w:p w14:paraId="2636795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1ADDC16" w14:textId="77777777" w:rsidTr="00036983">
        <w:trPr>
          <w:jc w:val="center"/>
        </w:trPr>
        <w:tc>
          <w:tcPr>
            <w:tcW w:w="238" w:type="pct"/>
            <w:shd w:val="clear" w:color="auto" w:fill="F2F2F2"/>
            <w:tcMar>
              <w:top w:w="60" w:type="dxa"/>
              <w:left w:w="100" w:type="dxa"/>
              <w:bottom w:w="60" w:type="dxa"/>
              <w:right w:w="100" w:type="dxa"/>
            </w:tcMar>
            <w:vAlign w:val="center"/>
          </w:tcPr>
          <w:p w14:paraId="21A8D36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25</w:t>
            </w:r>
          </w:p>
        </w:tc>
        <w:tc>
          <w:tcPr>
            <w:tcW w:w="2762" w:type="pct"/>
            <w:shd w:val="clear" w:color="auto" w:fill="F2F2F2"/>
            <w:tcMar>
              <w:top w:w="60" w:type="dxa"/>
              <w:left w:w="100" w:type="dxa"/>
              <w:bottom w:w="60" w:type="dxa"/>
              <w:right w:w="100" w:type="dxa"/>
            </w:tcMar>
            <w:vAlign w:val="center"/>
          </w:tcPr>
          <w:p w14:paraId="64C1E2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أتاح الترميز توسيع نطاق الخدمات المالية الرقمية دون المساس بمستوى الأمان</w:t>
            </w:r>
          </w:p>
        </w:tc>
        <w:tc>
          <w:tcPr>
            <w:tcW w:w="619" w:type="pct"/>
            <w:shd w:val="clear" w:color="auto" w:fill="F2F2F2"/>
            <w:tcMar>
              <w:top w:w="60" w:type="dxa"/>
              <w:left w:w="100" w:type="dxa"/>
              <w:bottom w:w="60" w:type="dxa"/>
              <w:right w:w="100" w:type="dxa"/>
            </w:tcMar>
            <w:vAlign w:val="center"/>
          </w:tcPr>
          <w:p w14:paraId="7D13179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4.495</w:t>
            </w:r>
          </w:p>
        </w:tc>
        <w:tc>
          <w:tcPr>
            <w:tcW w:w="714" w:type="pct"/>
            <w:shd w:val="clear" w:color="auto" w:fill="F2F2F2"/>
            <w:tcMar>
              <w:top w:w="60" w:type="dxa"/>
              <w:left w:w="100" w:type="dxa"/>
              <w:bottom w:w="60" w:type="dxa"/>
              <w:right w:w="100" w:type="dxa"/>
            </w:tcMar>
            <w:vAlign w:val="center"/>
          </w:tcPr>
          <w:p w14:paraId="607D96A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0.748</w:t>
            </w:r>
          </w:p>
        </w:tc>
        <w:tc>
          <w:tcPr>
            <w:tcW w:w="667" w:type="pct"/>
            <w:shd w:val="clear" w:color="auto" w:fill="F2F2F2"/>
            <w:tcMar>
              <w:top w:w="60" w:type="dxa"/>
              <w:left w:w="100" w:type="dxa"/>
              <w:bottom w:w="60" w:type="dxa"/>
              <w:right w:w="100" w:type="dxa"/>
            </w:tcMar>
            <w:vAlign w:val="center"/>
          </w:tcPr>
          <w:p w14:paraId="4D08B2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828CAC7" w14:textId="77777777" w:rsidTr="00036983">
        <w:trPr>
          <w:jc w:val="center"/>
        </w:trPr>
        <w:tc>
          <w:tcPr>
            <w:tcW w:w="238" w:type="pct"/>
            <w:tcMar>
              <w:top w:w="60" w:type="dxa"/>
              <w:left w:w="100" w:type="dxa"/>
              <w:bottom w:w="60" w:type="dxa"/>
              <w:right w:w="100" w:type="dxa"/>
            </w:tcMar>
            <w:vAlign w:val="center"/>
          </w:tcPr>
          <w:p w14:paraId="65E132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0B4FB22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0B737EE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4.369</w:t>
            </w:r>
          </w:p>
        </w:tc>
        <w:tc>
          <w:tcPr>
            <w:tcW w:w="714" w:type="pct"/>
            <w:tcMar>
              <w:top w:w="60" w:type="dxa"/>
              <w:left w:w="100" w:type="dxa"/>
              <w:bottom w:w="60" w:type="dxa"/>
              <w:right w:w="100" w:type="dxa"/>
            </w:tcMar>
            <w:vAlign w:val="center"/>
          </w:tcPr>
          <w:p w14:paraId="68D754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0.730</w:t>
            </w:r>
          </w:p>
        </w:tc>
        <w:tc>
          <w:tcPr>
            <w:tcW w:w="667" w:type="pct"/>
            <w:tcMar>
              <w:top w:w="60" w:type="dxa"/>
              <w:left w:w="100" w:type="dxa"/>
              <w:bottom w:w="60" w:type="dxa"/>
              <w:right w:w="100" w:type="dxa"/>
            </w:tcMar>
            <w:vAlign w:val="center"/>
          </w:tcPr>
          <w:p w14:paraId="27CC000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2FF818C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(4.10): المتوسطات الحسابية والانحرافات المعيارية لعبارات الكفاءة التشغيلية المالية</w:t>
      </w:r>
    </w:p>
    <w:p w14:paraId="5BDB2DA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الرابع: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39C8BBB6" w14:textId="77777777" w:rsidTr="00036983">
        <w:trPr>
          <w:tblHeader/>
          <w:jc w:val="center"/>
        </w:trPr>
        <w:tc>
          <w:tcPr>
            <w:tcW w:w="238" w:type="pct"/>
            <w:shd w:val="clear" w:color="auto" w:fill="2E5395"/>
            <w:tcMar>
              <w:top w:w="60" w:type="dxa"/>
              <w:left w:w="100" w:type="dxa"/>
              <w:bottom w:w="60" w:type="dxa"/>
              <w:right w:w="100" w:type="dxa"/>
            </w:tcMar>
            <w:vAlign w:val="center"/>
          </w:tcPr>
          <w:p w14:paraId="02737C0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236A8F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9FEFCD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563736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1F2717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565235FA" w14:textId="77777777" w:rsidTr="00036983">
        <w:trPr>
          <w:jc w:val="center"/>
        </w:trPr>
        <w:tc>
          <w:tcPr>
            <w:tcW w:w="238" w:type="pct"/>
            <w:tcMar>
              <w:top w:w="60" w:type="dxa"/>
              <w:left w:w="100" w:type="dxa"/>
              <w:bottom w:w="60" w:type="dxa"/>
              <w:right w:w="100" w:type="dxa"/>
            </w:tcMar>
            <w:vAlign w:val="center"/>
          </w:tcPr>
          <w:p w14:paraId="64D5FD5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26</w:t>
            </w:r>
          </w:p>
        </w:tc>
        <w:tc>
          <w:tcPr>
            <w:tcW w:w="2762" w:type="pct"/>
            <w:tcMar>
              <w:top w:w="60" w:type="dxa"/>
              <w:left w:w="100" w:type="dxa"/>
              <w:bottom w:w="60" w:type="dxa"/>
              <w:right w:w="100" w:type="dxa"/>
            </w:tcMar>
            <w:vAlign w:val="center"/>
          </w:tcPr>
          <w:p w14:paraId="00651D1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يُقلّص الترميز مساحة الهجوم السيبراني (Attack Surface) على البنية التحتية المالية للمؤسسة</w:t>
            </w:r>
          </w:p>
        </w:tc>
        <w:tc>
          <w:tcPr>
            <w:tcW w:w="619" w:type="pct"/>
            <w:tcMar>
              <w:top w:w="60" w:type="dxa"/>
              <w:left w:w="100" w:type="dxa"/>
              <w:bottom w:w="60" w:type="dxa"/>
              <w:right w:w="100" w:type="dxa"/>
            </w:tcMar>
            <w:vAlign w:val="center"/>
          </w:tcPr>
          <w:p w14:paraId="4218F7E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4.418</w:t>
            </w:r>
          </w:p>
        </w:tc>
        <w:tc>
          <w:tcPr>
            <w:tcW w:w="714" w:type="pct"/>
            <w:tcMar>
              <w:top w:w="60" w:type="dxa"/>
              <w:left w:w="100" w:type="dxa"/>
              <w:bottom w:w="60" w:type="dxa"/>
              <w:right w:w="100" w:type="dxa"/>
            </w:tcMar>
            <w:vAlign w:val="center"/>
          </w:tcPr>
          <w:p w14:paraId="52EC4EB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0.757</w:t>
            </w:r>
          </w:p>
        </w:tc>
        <w:tc>
          <w:tcPr>
            <w:tcW w:w="667" w:type="pct"/>
            <w:tcMar>
              <w:top w:w="60" w:type="dxa"/>
              <w:left w:w="100" w:type="dxa"/>
              <w:bottom w:w="60" w:type="dxa"/>
              <w:right w:w="100" w:type="dxa"/>
            </w:tcMar>
            <w:vAlign w:val="center"/>
          </w:tcPr>
          <w:p w14:paraId="4E95726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5520750" w14:textId="77777777" w:rsidTr="00036983">
        <w:trPr>
          <w:jc w:val="center"/>
        </w:trPr>
        <w:tc>
          <w:tcPr>
            <w:tcW w:w="238" w:type="pct"/>
            <w:shd w:val="clear" w:color="auto" w:fill="F2F2F2"/>
            <w:tcMar>
              <w:top w:w="60" w:type="dxa"/>
              <w:left w:w="100" w:type="dxa"/>
              <w:bottom w:w="60" w:type="dxa"/>
              <w:right w:w="100" w:type="dxa"/>
            </w:tcMar>
            <w:vAlign w:val="center"/>
          </w:tcPr>
          <w:p w14:paraId="2AED94E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27</w:t>
            </w:r>
          </w:p>
        </w:tc>
        <w:tc>
          <w:tcPr>
            <w:tcW w:w="2762" w:type="pct"/>
            <w:shd w:val="clear" w:color="auto" w:fill="F2F2F2"/>
            <w:tcMar>
              <w:top w:w="60" w:type="dxa"/>
              <w:left w:w="100" w:type="dxa"/>
              <w:bottom w:w="60" w:type="dxa"/>
              <w:right w:w="100" w:type="dxa"/>
            </w:tcMar>
            <w:vAlign w:val="center"/>
          </w:tcPr>
          <w:p w14:paraId="77756C8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خفّض اعتماد الترميز من تداعيات اختراق البيانات حتى في حالات نجاح الهجمات</w:t>
            </w:r>
          </w:p>
        </w:tc>
        <w:tc>
          <w:tcPr>
            <w:tcW w:w="619" w:type="pct"/>
            <w:shd w:val="clear" w:color="auto" w:fill="F2F2F2"/>
            <w:tcMar>
              <w:top w:w="60" w:type="dxa"/>
              <w:left w:w="100" w:type="dxa"/>
              <w:bottom w:w="60" w:type="dxa"/>
              <w:right w:w="100" w:type="dxa"/>
            </w:tcMar>
            <w:vAlign w:val="center"/>
          </w:tcPr>
          <w:p w14:paraId="6ED078D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4.423</w:t>
            </w:r>
          </w:p>
        </w:tc>
        <w:tc>
          <w:tcPr>
            <w:tcW w:w="714" w:type="pct"/>
            <w:shd w:val="clear" w:color="auto" w:fill="F2F2F2"/>
            <w:tcMar>
              <w:top w:w="60" w:type="dxa"/>
              <w:left w:w="100" w:type="dxa"/>
              <w:bottom w:w="60" w:type="dxa"/>
              <w:right w:w="100" w:type="dxa"/>
            </w:tcMar>
            <w:vAlign w:val="center"/>
          </w:tcPr>
          <w:p w14:paraId="4EB9949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0.723</w:t>
            </w:r>
          </w:p>
        </w:tc>
        <w:tc>
          <w:tcPr>
            <w:tcW w:w="667" w:type="pct"/>
            <w:shd w:val="clear" w:color="auto" w:fill="F2F2F2"/>
            <w:tcMar>
              <w:top w:w="60" w:type="dxa"/>
              <w:left w:w="100" w:type="dxa"/>
              <w:bottom w:w="60" w:type="dxa"/>
              <w:right w:w="100" w:type="dxa"/>
            </w:tcMar>
            <w:vAlign w:val="center"/>
          </w:tcPr>
          <w:p w14:paraId="4087659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E4EF157" w14:textId="77777777" w:rsidTr="00036983">
        <w:trPr>
          <w:jc w:val="center"/>
        </w:trPr>
        <w:tc>
          <w:tcPr>
            <w:tcW w:w="238" w:type="pct"/>
            <w:tcMar>
              <w:top w:w="60" w:type="dxa"/>
              <w:left w:w="100" w:type="dxa"/>
              <w:bottom w:w="60" w:type="dxa"/>
              <w:right w:w="100" w:type="dxa"/>
            </w:tcMar>
            <w:vAlign w:val="center"/>
          </w:tcPr>
          <w:p w14:paraId="56EF424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28</w:t>
            </w:r>
          </w:p>
        </w:tc>
        <w:tc>
          <w:tcPr>
            <w:tcW w:w="2762" w:type="pct"/>
            <w:tcMar>
              <w:top w:w="60" w:type="dxa"/>
              <w:left w:w="100" w:type="dxa"/>
              <w:bottom w:w="60" w:type="dxa"/>
              <w:right w:w="100" w:type="dxa"/>
            </w:tcMar>
            <w:vAlign w:val="center"/>
          </w:tcPr>
          <w:p w14:paraId="33CEA32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عزّزت تقنية الترميز قدرة المؤسسة على الكشف المبكر عن التهديدات السيبرانية والاستجابة لها</w:t>
            </w:r>
          </w:p>
        </w:tc>
        <w:tc>
          <w:tcPr>
            <w:tcW w:w="619" w:type="pct"/>
            <w:tcMar>
              <w:top w:w="60" w:type="dxa"/>
              <w:left w:w="100" w:type="dxa"/>
              <w:bottom w:w="60" w:type="dxa"/>
              <w:right w:w="100" w:type="dxa"/>
            </w:tcMar>
            <w:vAlign w:val="center"/>
          </w:tcPr>
          <w:p w14:paraId="1956686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4.245</w:t>
            </w:r>
          </w:p>
        </w:tc>
        <w:tc>
          <w:tcPr>
            <w:tcW w:w="714" w:type="pct"/>
            <w:tcMar>
              <w:top w:w="60" w:type="dxa"/>
              <w:left w:w="100" w:type="dxa"/>
              <w:bottom w:w="60" w:type="dxa"/>
              <w:right w:w="100" w:type="dxa"/>
            </w:tcMar>
            <w:vAlign w:val="center"/>
          </w:tcPr>
          <w:p w14:paraId="22EF678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0.956</w:t>
            </w:r>
          </w:p>
        </w:tc>
        <w:tc>
          <w:tcPr>
            <w:tcW w:w="667" w:type="pct"/>
            <w:tcMar>
              <w:top w:w="60" w:type="dxa"/>
              <w:left w:w="100" w:type="dxa"/>
              <w:bottom w:w="60" w:type="dxa"/>
              <w:right w:w="100" w:type="dxa"/>
            </w:tcMar>
            <w:vAlign w:val="center"/>
          </w:tcPr>
          <w:p w14:paraId="5564279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C3DDA16" w14:textId="77777777" w:rsidTr="00036983">
        <w:trPr>
          <w:jc w:val="center"/>
        </w:trPr>
        <w:tc>
          <w:tcPr>
            <w:tcW w:w="238" w:type="pct"/>
            <w:shd w:val="clear" w:color="auto" w:fill="F2F2F2"/>
            <w:tcMar>
              <w:top w:w="60" w:type="dxa"/>
              <w:left w:w="100" w:type="dxa"/>
              <w:bottom w:w="60" w:type="dxa"/>
              <w:right w:w="100" w:type="dxa"/>
            </w:tcMar>
            <w:vAlign w:val="center"/>
          </w:tcPr>
          <w:p w14:paraId="358D86A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29</w:t>
            </w:r>
          </w:p>
        </w:tc>
        <w:tc>
          <w:tcPr>
            <w:tcW w:w="2762" w:type="pct"/>
            <w:shd w:val="clear" w:color="auto" w:fill="F2F2F2"/>
            <w:tcMar>
              <w:top w:w="60" w:type="dxa"/>
              <w:left w:w="100" w:type="dxa"/>
              <w:bottom w:w="60" w:type="dxa"/>
              <w:right w:w="100" w:type="dxa"/>
            </w:tcMar>
            <w:vAlign w:val="center"/>
          </w:tcPr>
          <w:p w14:paraId="117270E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يُساهم الترميز في الحفاظ على استمرارية الأعمال وتقليص وقت التوقف الناجم عن الحوادث</w:t>
            </w:r>
          </w:p>
        </w:tc>
        <w:tc>
          <w:tcPr>
            <w:tcW w:w="619" w:type="pct"/>
            <w:shd w:val="clear" w:color="auto" w:fill="F2F2F2"/>
            <w:tcMar>
              <w:top w:w="60" w:type="dxa"/>
              <w:left w:w="100" w:type="dxa"/>
              <w:bottom w:w="60" w:type="dxa"/>
              <w:right w:w="100" w:type="dxa"/>
            </w:tcMar>
            <w:vAlign w:val="center"/>
          </w:tcPr>
          <w:p w14:paraId="6E614FE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4.388</w:t>
            </w:r>
          </w:p>
        </w:tc>
        <w:tc>
          <w:tcPr>
            <w:tcW w:w="714" w:type="pct"/>
            <w:shd w:val="clear" w:color="auto" w:fill="F2F2F2"/>
            <w:tcMar>
              <w:top w:w="60" w:type="dxa"/>
              <w:left w:w="100" w:type="dxa"/>
              <w:bottom w:w="60" w:type="dxa"/>
              <w:right w:w="100" w:type="dxa"/>
            </w:tcMar>
            <w:vAlign w:val="center"/>
          </w:tcPr>
          <w:p w14:paraId="2642A3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0.824</w:t>
            </w:r>
          </w:p>
        </w:tc>
        <w:tc>
          <w:tcPr>
            <w:tcW w:w="667" w:type="pct"/>
            <w:shd w:val="clear" w:color="auto" w:fill="F2F2F2"/>
            <w:tcMar>
              <w:top w:w="60" w:type="dxa"/>
              <w:left w:w="100" w:type="dxa"/>
              <w:bottom w:w="60" w:type="dxa"/>
              <w:right w:w="100" w:type="dxa"/>
            </w:tcMar>
            <w:vAlign w:val="center"/>
          </w:tcPr>
          <w:p w14:paraId="65904F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9954D09" w14:textId="77777777" w:rsidTr="00036983">
        <w:trPr>
          <w:jc w:val="center"/>
        </w:trPr>
        <w:tc>
          <w:tcPr>
            <w:tcW w:w="238" w:type="pct"/>
            <w:tcMar>
              <w:top w:w="60" w:type="dxa"/>
              <w:left w:w="100" w:type="dxa"/>
              <w:bottom w:w="60" w:type="dxa"/>
              <w:right w:w="100" w:type="dxa"/>
            </w:tcMar>
            <w:vAlign w:val="center"/>
          </w:tcPr>
          <w:p w14:paraId="1BE47DE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30</w:t>
            </w:r>
          </w:p>
        </w:tc>
        <w:tc>
          <w:tcPr>
            <w:tcW w:w="2762" w:type="pct"/>
            <w:tcMar>
              <w:top w:w="60" w:type="dxa"/>
              <w:left w:w="100" w:type="dxa"/>
              <w:bottom w:w="60" w:type="dxa"/>
              <w:right w:w="100" w:type="dxa"/>
            </w:tcMar>
            <w:vAlign w:val="center"/>
          </w:tcPr>
          <w:p w14:paraId="27BE966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ارتفع مستوى الوعي الأمني لدى الموظفين بفضل اعتماد ثقافة الترميز المؤسسي</w:t>
            </w:r>
          </w:p>
        </w:tc>
        <w:tc>
          <w:tcPr>
            <w:tcW w:w="619" w:type="pct"/>
            <w:tcMar>
              <w:top w:w="60" w:type="dxa"/>
              <w:left w:w="100" w:type="dxa"/>
              <w:bottom w:w="60" w:type="dxa"/>
              <w:right w:w="100" w:type="dxa"/>
            </w:tcMar>
            <w:vAlign w:val="center"/>
          </w:tcPr>
          <w:p w14:paraId="559DC47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4.148</w:t>
            </w:r>
          </w:p>
        </w:tc>
        <w:tc>
          <w:tcPr>
            <w:tcW w:w="714" w:type="pct"/>
            <w:tcMar>
              <w:top w:w="60" w:type="dxa"/>
              <w:left w:w="100" w:type="dxa"/>
              <w:bottom w:w="60" w:type="dxa"/>
              <w:right w:w="100" w:type="dxa"/>
            </w:tcMar>
            <w:vAlign w:val="center"/>
          </w:tcPr>
          <w:p w14:paraId="2085EBA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0.984</w:t>
            </w:r>
          </w:p>
        </w:tc>
        <w:tc>
          <w:tcPr>
            <w:tcW w:w="667" w:type="pct"/>
            <w:tcMar>
              <w:top w:w="60" w:type="dxa"/>
              <w:left w:w="100" w:type="dxa"/>
              <w:bottom w:w="60" w:type="dxa"/>
              <w:right w:w="100" w:type="dxa"/>
            </w:tcMar>
            <w:vAlign w:val="center"/>
          </w:tcPr>
          <w:p w14:paraId="4CAE66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137CBA51" w14:textId="77777777" w:rsidTr="00036983">
        <w:trPr>
          <w:jc w:val="center"/>
        </w:trPr>
        <w:tc>
          <w:tcPr>
            <w:tcW w:w="238" w:type="pct"/>
            <w:shd w:val="clear" w:color="auto" w:fill="F2F2F2"/>
            <w:tcMar>
              <w:top w:w="60" w:type="dxa"/>
              <w:left w:w="100" w:type="dxa"/>
              <w:bottom w:w="60" w:type="dxa"/>
              <w:right w:w="100" w:type="dxa"/>
            </w:tcMar>
            <w:vAlign w:val="center"/>
          </w:tcPr>
          <w:p w14:paraId="4FB93D6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31</w:t>
            </w:r>
          </w:p>
        </w:tc>
        <w:tc>
          <w:tcPr>
            <w:tcW w:w="2762" w:type="pct"/>
            <w:shd w:val="clear" w:color="auto" w:fill="F2F2F2"/>
            <w:tcMar>
              <w:top w:w="60" w:type="dxa"/>
              <w:left w:w="100" w:type="dxa"/>
              <w:bottom w:w="60" w:type="dxa"/>
              <w:right w:w="100" w:type="dxa"/>
            </w:tcMar>
            <w:vAlign w:val="center"/>
          </w:tcPr>
          <w:p w14:paraId="107601F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تُقيّم المؤسسة بصورة دورية فاعلية حلول الترميز وتُحدّثها وفق أحدث التهديدات</w:t>
            </w:r>
          </w:p>
        </w:tc>
        <w:tc>
          <w:tcPr>
            <w:tcW w:w="619" w:type="pct"/>
            <w:shd w:val="clear" w:color="auto" w:fill="F2F2F2"/>
            <w:tcMar>
              <w:top w:w="60" w:type="dxa"/>
              <w:left w:w="100" w:type="dxa"/>
              <w:bottom w:w="60" w:type="dxa"/>
              <w:right w:w="100" w:type="dxa"/>
            </w:tcMar>
            <w:vAlign w:val="center"/>
          </w:tcPr>
          <w:p w14:paraId="1A36679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4.260</w:t>
            </w:r>
          </w:p>
        </w:tc>
        <w:tc>
          <w:tcPr>
            <w:tcW w:w="714" w:type="pct"/>
            <w:shd w:val="clear" w:color="auto" w:fill="F2F2F2"/>
            <w:tcMar>
              <w:top w:w="60" w:type="dxa"/>
              <w:left w:w="100" w:type="dxa"/>
              <w:bottom w:w="60" w:type="dxa"/>
              <w:right w:w="100" w:type="dxa"/>
            </w:tcMar>
            <w:vAlign w:val="center"/>
          </w:tcPr>
          <w:p w14:paraId="343156F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1.198</w:t>
            </w:r>
          </w:p>
        </w:tc>
        <w:tc>
          <w:tcPr>
            <w:tcW w:w="667" w:type="pct"/>
            <w:shd w:val="clear" w:color="auto" w:fill="F2F2F2"/>
            <w:tcMar>
              <w:top w:w="60" w:type="dxa"/>
              <w:left w:w="100" w:type="dxa"/>
              <w:bottom w:w="60" w:type="dxa"/>
              <w:right w:w="100" w:type="dxa"/>
            </w:tcMar>
            <w:vAlign w:val="center"/>
          </w:tcPr>
          <w:p w14:paraId="63E2EB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028A7B0" w14:textId="77777777" w:rsidTr="00036983">
        <w:trPr>
          <w:jc w:val="center"/>
        </w:trPr>
        <w:tc>
          <w:tcPr>
            <w:tcW w:w="238" w:type="pct"/>
            <w:tcMar>
              <w:top w:w="60" w:type="dxa"/>
              <w:left w:w="100" w:type="dxa"/>
              <w:bottom w:w="60" w:type="dxa"/>
              <w:right w:w="100" w:type="dxa"/>
            </w:tcMar>
            <w:vAlign w:val="center"/>
          </w:tcPr>
          <w:p w14:paraId="33047AA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4DE278F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04467D5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4.314</w:t>
            </w:r>
          </w:p>
        </w:tc>
        <w:tc>
          <w:tcPr>
            <w:tcW w:w="714" w:type="pct"/>
            <w:tcMar>
              <w:top w:w="60" w:type="dxa"/>
              <w:left w:w="100" w:type="dxa"/>
              <w:bottom w:w="60" w:type="dxa"/>
              <w:right w:w="100" w:type="dxa"/>
            </w:tcMar>
            <w:vAlign w:val="center"/>
          </w:tcPr>
          <w:p w14:paraId="1F43002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0.755</w:t>
            </w:r>
          </w:p>
        </w:tc>
        <w:tc>
          <w:tcPr>
            <w:tcW w:w="667" w:type="pct"/>
            <w:tcMar>
              <w:top w:w="60" w:type="dxa"/>
              <w:left w:w="100" w:type="dxa"/>
              <w:bottom w:w="60" w:type="dxa"/>
              <w:right w:w="100" w:type="dxa"/>
            </w:tcMar>
            <w:vAlign w:val="center"/>
          </w:tcPr>
          <w:p w14:paraId="686A46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42B5DB69"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(4.11): المتوسطات الحسابية والانحرافات المعيارية لعبارات الأمن السيبراني المؤسسي</w:t>
      </w:r>
    </w:p>
    <w:p w14:paraId="55AF282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الخامس: التوافق مع رؤية 2030 والتحول الرقمي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104DEB58" w14:textId="77777777" w:rsidTr="00036983">
        <w:trPr>
          <w:tblHeader/>
          <w:jc w:val="center"/>
        </w:trPr>
        <w:tc>
          <w:tcPr>
            <w:tcW w:w="238" w:type="pct"/>
            <w:shd w:val="clear" w:color="auto" w:fill="2E5395"/>
            <w:tcMar>
              <w:top w:w="60" w:type="dxa"/>
              <w:left w:w="100" w:type="dxa"/>
              <w:bottom w:w="60" w:type="dxa"/>
              <w:right w:w="100" w:type="dxa"/>
            </w:tcMar>
            <w:vAlign w:val="center"/>
          </w:tcPr>
          <w:p w14:paraId="3BA363C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0638022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2DB6FD0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601639E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4FB93C5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0DD35593" w14:textId="77777777" w:rsidTr="00036983">
        <w:trPr>
          <w:jc w:val="center"/>
        </w:trPr>
        <w:tc>
          <w:tcPr>
            <w:tcW w:w="238" w:type="pct"/>
            <w:tcMar>
              <w:top w:w="60" w:type="dxa"/>
              <w:left w:w="100" w:type="dxa"/>
              <w:bottom w:w="60" w:type="dxa"/>
              <w:right w:w="100" w:type="dxa"/>
            </w:tcMar>
            <w:vAlign w:val="center"/>
          </w:tcPr>
          <w:p w14:paraId="184A58D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32</w:t>
            </w:r>
          </w:p>
        </w:tc>
        <w:tc>
          <w:tcPr>
            <w:tcW w:w="2762" w:type="pct"/>
            <w:tcMar>
              <w:top w:w="60" w:type="dxa"/>
              <w:left w:w="100" w:type="dxa"/>
              <w:bottom w:w="60" w:type="dxa"/>
              <w:right w:w="100" w:type="dxa"/>
            </w:tcMar>
            <w:vAlign w:val="center"/>
          </w:tcPr>
          <w:p w14:paraId="773F5A6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يُسهم الترميز في تحقيق أهداف التحول الرقمي المالي ضمن إطار رؤية المملكة 2030</w:t>
            </w:r>
          </w:p>
        </w:tc>
        <w:tc>
          <w:tcPr>
            <w:tcW w:w="619" w:type="pct"/>
            <w:tcMar>
              <w:top w:w="60" w:type="dxa"/>
              <w:left w:w="100" w:type="dxa"/>
              <w:bottom w:w="60" w:type="dxa"/>
              <w:right w:w="100" w:type="dxa"/>
            </w:tcMar>
            <w:vAlign w:val="center"/>
          </w:tcPr>
          <w:p w14:paraId="547C8FB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4.612</w:t>
            </w:r>
          </w:p>
        </w:tc>
        <w:tc>
          <w:tcPr>
            <w:tcW w:w="714" w:type="pct"/>
            <w:tcMar>
              <w:top w:w="60" w:type="dxa"/>
              <w:left w:w="100" w:type="dxa"/>
              <w:bottom w:w="60" w:type="dxa"/>
              <w:right w:w="100" w:type="dxa"/>
            </w:tcMar>
            <w:vAlign w:val="center"/>
          </w:tcPr>
          <w:p w14:paraId="49A1447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0.704</w:t>
            </w:r>
          </w:p>
        </w:tc>
        <w:tc>
          <w:tcPr>
            <w:tcW w:w="667" w:type="pct"/>
            <w:tcMar>
              <w:top w:w="60" w:type="dxa"/>
              <w:left w:w="100" w:type="dxa"/>
              <w:bottom w:w="60" w:type="dxa"/>
              <w:right w:w="100" w:type="dxa"/>
            </w:tcMar>
            <w:vAlign w:val="center"/>
          </w:tcPr>
          <w:p w14:paraId="4ACBF71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A56CDE4" w14:textId="77777777" w:rsidTr="00036983">
        <w:trPr>
          <w:jc w:val="center"/>
        </w:trPr>
        <w:tc>
          <w:tcPr>
            <w:tcW w:w="238" w:type="pct"/>
            <w:shd w:val="clear" w:color="auto" w:fill="F2F2F2"/>
            <w:tcMar>
              <w:top w:w="60" w:type="dxa"/>
              <w:left w:w="100" w:type="dxa"/>
              <w:bottom w:w="60" w:type="dxa"/>
              <w:right w:w="100" w:type="dxa"/>
            </w:tcMar>
            <w:vAlign w:val="center"/>
          </w:tcPr>
          <w:p w14:paraId="7F86938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33</w:t>
            </w:r>
          </w:p>
        </w:tc>
        <w:tc>
          <w:tcPr>
            <w:tcW w:w="2762" w:type="pct"/>
            <w:shd w:val="clear" w:color="auto" w:fill="F2F2F2"/>
            <w:tcMar>
              <w:top w:w="60" w:type="dxa"/>
              <w:left w:w="100" w:type="dxa"/>
              <w:bottom w:w="60" w:type="dxa"/>
              <w:right w:w="100" w:type="dxa"/>
            </w:tcMar>
            <w:vAlign w:val="center"/>
          </w:tcPr>
          <w:p w14:paraId="68D7C6C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يدعم الترميز توجه المملكة نحو بناء منظومة مالية رقمية متكاملة وآمنة</w:t>
            </w:r>
          </w:p>
        </w:tc>
        <w:tc>
          <w:tcPr>
            <w:tcW w:w="619" w:type="pct"/>
            <w:shd w:val="clear" w:color="auto" w:fill="F2F2F2"/>
            <w:tcMar>
              <w:top w:w="60" w:type="dxa"/>
              <w:left w:w="100" w:type="dxa"/>
              <w:bottom w:w="60" w:type="dxa"/>
              <w:right w:w="100" w:type="dxa"/>
            </w:tcMar>
            <w:vAlign w:val="center"/>
          </w:tcPr>
          <w:p w14:paraId="38F123B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4.643</w:t>
            </w:r>
          </w:p>
        </w:tc>
        <w:tc>
          <w:tcPr>
            <w:tcW w:w="714" w:type="pct"/>
            <w:shd w:val="clear" w:color="auto" w:fill="F2F2F2"/>
            <w:tcMar>
              <w:top w:w="60" w:type="dxa"/>
              <w:left w:w="100" w:type="dxa"/>
              <w:bottom w:w="60" w:type="dxa"/>
              <w:right w:w="100" w:type="dxa"/>
            </w:tcMar>
            <w:vAlign w:val="center"/>
          </w:tcPr>
          <w:p w14:paraId="15F528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0.636</w:t>
            </w:r>
          </w:p>
        </w:tc>
        <w:tc>
          <w:tcPr>
            <w:tcW w:w="667" w:type="pct"/>
            <w:shd w:val="clear" w:color="auto" w:fill="F2F2F2"/>
            <w:tcMar>
              <w:top w:w="60" w:type="dxa"/>
              <w:left w:w="100" w:type="dxa"/>
              <w:bottom w:w="60" w:type="dxa"/>
              <w:right w:w="100" w:type="dxa"/>
            </w:tcMar>
            <w:vAlign w:val="center"/>
          </w:tcPr>
          <w:p w14:paraId="791A205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3EBEFB3" w14:textId="77777777" w:rsidTr="00036983">
        <w:trPr>
          <w:jc w:val="center"/>
        </w:trPr>
        <w:tc>
          <w:tcPr>
            <w:tcW w:w="238" w:type="pct"/>
            <w:tcMar>
              <w:top w:w="60" w:type="dxa"/>
              <w:left w:w="100" w:type="dxa"/>
              <w:bottom w:w="60" w:type="dxa"/>
              <w:right w:w="100" w:type="dxa"/>
            </w:tcMar>
            <w:vAlign w:val="center"/>
          </w:tcPr>
          <w:p w14:paraId="6F25977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34</w:t>
            </w:r>
          </w:p>
        </w:tc>
        <w:tc>
          <w:tcPr>
            <w:tcW w:w="2762" w:type="pct"/>
            <w:tcMar>
              <w:top w:w="60" w:type="dxa"/>
              <w:left w:w="100" w:type="dxa"/>
              <w:bottom w:w="60" w:type="dxa"/>
              <w:right w:w="100" w:type="dxa"/>
            </w:tcMar>
            <w:vAlign w:val="center"/>
          </w:tcPr>
          <w:p w14:paraId="102FAE6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أسهمت تقنية الترميز في تعزيز تنافسية المؤسسة المالية إقليمياً ودولياً</w:t>
            </w:r>
          </w:p>
        </w:tc>
        <w:tc>
          <w:tcPr>
            <w:tcW w:w="619" w:type="pct"/>
            <w:tcMar>
              <w:top w:w="60" w:type="dxa"/>
              <w:left w:w="100" w:type="dxa"/>
              <w:bottom w:w="60" w:type="dxa"/>
              <w:right w:w="100" w:type="dxa"/>
            </w:tcMar>
            <w:vAlign w:val="center"/>
          </w:tcPr>
          <w:p w14:paraId="1041A17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4.372</w:t>
            </w:r>
          </w:p>
        </w:tc>
        <w:tc>
          <w:tcPr>
            <w:tcW w:w="714" w:type="pct"/>
            <w:tcMar>
              <w:top w:w="60" w:type="dxa"/>
              <w:left w:w="100" w:type="dxa"/>
              <w:bottom w:w="60" w:type="dxa"/>
              <w:right w:w="100" w:type="dxa"/>
            </w:tcMar>
            <w:vAlign w:val="center"/>
          </w:tcPr>
          <w:p w14:paraId="40DC577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0.790</w:t>
            </w:r>
          </w:p>
        </w:tc>
        <w:tc>
          <w:tcPr>
            <w:tcW w:w="667" w:type="pct"/>
            <w:tcMar>
              <w:top w:w="60" w:type="dxa"/>
              <w:left w:w="100" w:type="dxa"/>
              <w:bottom w:w="60" w:type="dxa"/>
              <w:right w:w="100" w:type="dxa"/>
            </w:tcMar>
            <w:vAlign w:val="center"/>
          </w:tcPr>
          <w:p w14:paraId="6013D55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EB0400F" w14:textId="77777777" w:rsidTr="00036983">
        <w:trPr>
          <w:jc w:val="center"/>
        </w:trPr>
        <w:tc>
          <w:tcPr>
            <w:tcW w:w="238" w:type="pct"/>
            <w:shd w:val="clear" w:color="auto" w:fill="F2F2F2"/>
            <w:tcMar>
              <w:top w:w="60" w:type="dxa"/>
              <w:left w:w="100" w:type="dxa"/>
              <w:bottom w:w="60" w:type="dxa"/>
              <w:right w:w="100" w:type="dxa"/>
            </w:tcMar>
            <w:vAlign w:val="center"/>
          </w:tcPr>
          <w:p w14:paraId="3D578D5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35</w:t>
            </w:r>
          </w:p>
        </w:tc>
        <w:tc>
          <w:tcPr>
            <w:tcW w:w="2762" w:type="pct"/>
            <w:shd w:val="clear" w:color="auto" w:fill="F2F2F2"/>
            <w:tcMar>
              <w:top w:w="60" w:type="dxa"/>
              <w:left w:w="100" w:type="dxa"/>
              <w:bottom w:w="60" w:type="dxa"/>
              <w:right w:w="100" w:type="dxa"/>
            </w:tcMar>
            <w:vAlign w:val="center"/>
          </w:tcPr>
          <w:p w14:paraId="62D6A21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تتوافق استراتيجية الترميز في مؤسستك مع التوجيهات التنظيمية لمبادرة الفنتك السعودية</w:t>
            </w:r>
          </w:p>
        </w:tc>
        <w:tc>
          <w:tcPr>
            <w:tcW w:w="619" w:type="pct"/>
            <w:shd w:val="clear" w:color="auto" w:fill="F2F2F2"/>
            <w:tcMar>
              <w:top w:w="60" w:type="dxa"/>
              <w:left w:w="100" w:type="dxa"/>
              <w:bottom w:w="60" w:type="dxa"/>
              <w:right w:w="100" w:type="dxa"/>
            </w:tcMar>
            <w:vAlign w:val="center"/>
          </w:tcPr>
          <w:p w14:paraId="5F162C5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4.398</w:t>
            </w:r>
          </w:p>
        </w:tc>
        <w:tc>
          <w:tcPr>
            <w:tcW w:w="714" w:type="pct"/>
            <w:shd w:val="clear" w:color="auto" w:fill="F2F2F2"/>
            <w:tcMar>
              <w:top w:w="60" w:type="dxa"/>
              <w:left w:w="100" w:type="dxa"/>
              <w:bottom w:w="60" w:type="dxa"/>
              <w:right w:w="100" w:type="dxa"/>
            </w:tcMar>
            <w:vAlign w:val="center"/>
          </w:tcPr>
          <w:p w14:paraId="70B0F9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0.788</w:t>
            </w:r>
          </w:p>
        </w:tc>
        <w:tc>
          <w:tcPr>
            <w:tcW w:w="667" w:type="pct"/>
            <w:shd w:val="clear" w:color="auto" w:fill="F2F2F2"/>
            <w:tcMar>
              <w:top w:w="60" w:type="dxa"/>
              <w:left w:w="100" w:type="dxa"/>
              <w:bottom w:w="60" w:type="dxa"/>
              <w:right w:w="100" w:type="dxa"/>
            </w:tcMar>
            <w:vAlign w:val="center"/>
          </w:tcPr>
          <w:p w14:paraId="5059C39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32F96E8D" w14:textId="77777777" w:rsidTr="00036983">
        <w:trPr>
          <w:jc w:val="center"/>
        </w:trPr>
        <w:tc>
          <w:tcPr>
            <w:tcW w:w="238" w:type="pct"/>
            <w:tcMar>
              <w:top w:w="60" w:type="dxa"/>
              <w:left w:w="100" w:type="dxa"/>
              <w:bottom w:w="60" w:type="dxa"/>
              <w:right w:w="100" w:type="dxa"/>
            </w:tcMar>
            <w:vAlign w:val="center"/>
          </w:tcPr>
          <w:p w14:paraId="6A9643A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36</w:t>
            </w:r>
          </w:p>
        </w:tc>
        <w:tc>
          <w:tcPr>
            <w:tcW w:w="2762" w:type="pct"/>
            <w:tcMar>
              <w:top w:w="60" w:type="dxa"/>
              <w:left w:w="100" w:type="dxa"/>
              <w:bottom w:w="60" w:type="dxa"/>
              <w:right w:w="100" w:type="dxa"/>
            </w:tcMar>
            <w:vAlign w:val="center"/>
          </w:tcPr>
          <w:p w14:paraId="21AD82E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يُعزّز تطبيق الترميز ثقة المستثمرين والشركاء في البنية التحتية الرقمية للمؤسسة</w:t>
            </w:r>
          </w:p>
        </w:tc>
        <w:tc>
          <w:tcPr>
            <w:tcW w:w="619" w:type="pct"/>
            <w:tcMar>
              <w:top w:w="60" w:type="dxa"/>
              <w:left w:w="100" w:type="dxa"/>
              <w:bottom w:w="60" w:type="dxa"/>
              <w:right w:w="100" w:type="dxa"/>
            </w:tcMar>
            <w:vAlign w:val="center"/>
          </w:tcPr>
          <w:p w14:paraId="1884BF9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4.459</w:t>
            </w:r>
          </w:p>
        </w:tc>
        <w:tc>
          <w:tcPr>
            <w:tcW w:w="714" w:type="pct"/>
            <w:tcMar>
              <w:top w:w="60" w:type="dxa"/>
              <w:left w:w="100" w:type="dxa"/>
              <w:bottom w:w="60" w:type="dxa"/>
              <w:right w:w="100" w:type="dxa"/>
            </w:tcMar>
            <w:vAlign w:val="center"/>
          </w:tcPr>
          <w:p w14:paraId="37B63F7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0.733</w:t>
            </w:r>
          </w:p>
        </w:tc>
        <w:tc>
          <w:tcPr>
            <w:tcW w:w="667" w:type="pct"/>
            <w:tcMar>
              <w:top w:w="60" w:type="dxa"/>
              <w:left w:w="100" w:type="dxa"/>
              <w:bottom w:w="60" w:type="dxa"/>
              <w:right w:w="100" w:type="dxa"/>
            </w:tcMar>
            <w:vAlign w:val="center"/>
          </w:tcPr>
          <w:p w14:paraId="65ACD87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5948C5A" w14:textId="77777777" w:rsidTr="00036983">
        <w:trPr>
          <w:jc w:val="center"/>
        </w:trPr>
        <w:tc>
          <w:tcPr>
            <w:tcW w:w="238" w:type="pct"/>
            <w:shd w:val="clear" w:color="auto" w:fill="F2F2F2"/>
            <w:tcMar>
              <w:top w:w="60" w:type="dxa"/>
              <w:left w:w="100" w:type="dxa"/>
              <w:bottom w:w="60" w:type="dxa"/>
              <w:right w:w="100" w:type="dxa"/>
            </w:tcMar>
            <w:vAlign w:val="center"/>
          </w:tcPr>
          <w:p w14:paraId="2612F3D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37</w:t>
            </w:r>
          </w:p>
        </w:tc>
        <w:tc>
          <w:tcPr>
            <w:tcW w:w="2762" w:type="pct"/>
            <w:shd w:val="clear" w:color="auto" w:fill="F2F2F2"/>
            <w:tcMar>
              <w:top w:w="60" w:type="dxa"/>
              <w:left w:w="100" w:type="dxa"/>
              <w:bottom w:w="60" w:type="dxa"/>
              <w:right w:w="100" w:type="dxa"/>
            </w:tcMar>
            <w:vAlign w:val="center"/>
          </w:tcPr>
          <w:p w14:paraId="40211FB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تُشكّل تقنية الترميز ركيزة أساسية في خارطة طريق التحول الرقمي لمؤسستك</w:t>
            </w:r>
          </w:p>
        </w:tc>
        <w:tc>
          <w:tcPr>
            <w:tcW w:w="619" w:type="pct"/>
            <w:shd w:val="clear" w:color="auto" w:fill="F2F2F2"/>
            <w:tcMar>
              <w:top w:w="60" w:type="dxa"/>
              <w:left w:w="100" w:type="dxa"/>
              <w:bottom w:w="60" w:type="dxa"/>
              <w:right w:w="100" w:type="dxa"/>
            </w:tcMar>
            <w:vAlign w:val="center"/>
          </w:tcPr>
          <w:p w14:paraId="51C9F06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4.398</w:t>
            </w:r>
          </w:p>
        </w:tc>
        <w:tc>
          <w:tcPr>
            <w:tcW w:w="714" w:type="pct"/>
            <w:shd w:val="clear" w:color="auto" w:fill="F2F2F2"/>
            <w:tcMar>
              <w:top w:w="60" w:type="dxa"/>
              <w:left w:w="100" w:type="dxa"/>
              <w:bottom w:w="60" w:type="dxa"/>
              <w:right w:w="100" w:type="dxa"/>
            </w:tcMar>
            <w:vAlign w:val="center"/>
          </w:tcPr>
          <w:p w14:paraId="4B18086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0.963</w:t>
            </w:r>
          </w:p>
        </w:tc>
        <w:tc>
          <w:tcPr>
            <w:tcW w:w="667" w:type="pct"/>
            <w:shd w:val="clear" w:color="auto" w:fill="F2F2F2"/>
            <w:tcMar>
              <w:top w:w="60" w:type="dxa"/>
              <w:left w:w="100" w:type="dxa"/>
              <w:bottom w:w="60" w:type="dxa"/>
              <w:right w:w="100" w:type="dxa"/>
            </w:tcMar>
            <w:vAlign w:val="center"/>
          </w:tcPr>
          <w:p w14:paraId="7407AD6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A971E62" w14:textId="77777777" w:rsidTr="00036983">
        <w:trPr>
          <w:jc w:val="center"/>
        </w:trPr>
        <w:tc>
          <w:tcPr>
            <w:tcW w:w="238" w:type="pct"/>
            <w:tcMar>
              <w:top w:w="60" w:type="dxa"/>
              <w:left w:w="100" w:type="dxa"/>
              <w:bottom w:w="60" w:type="dxa"/>
              <w:right w:w="100" w:type="dxa"/>
            </w:tcMar>
            <w:vAlign w:val="center"/>
          </w:tcPr>
          <w:p w14:paraId="0ED9589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4328C1B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0D9D7FE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4.480</w:t>
            </w:r>
          </w:p>
        </w:tc>
        <w:tc>
          <w:tcPr>
            <w:tcW w:w="714" w:type="pct"/>
            <w:tcMar>
              <w:top w:w="60" w:type="dxa"/>
              <w:left w:w="100" w:type="dxa"/>
              <w:bottom w:w="60" w:type="dxa"/>
              <w:right w:w="100" w:type="dxa"/>
            </w:tcMar>
            <w:vAlign w:val="center"/>
          </w:tcPr>
          <w:p w14:paraId="6E40674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0.668</w:t>
            </w:r>
          </w:p>
        </w:tc>
        <w:tc>
          <w:tcPr>
            <w:tcW w:w="667" w:type="pct"/>
            <w:tcMar>
              <w:top w:w="60" w:type="dxa"/>
              <w:left w:w="100" w:type="dxa"/>
              <w:bottom w:w="60" w:type="dxa"/>
              <w:right w:w="100" w:type="dxa"/>
            </w:tcMar>
            <w:vAlign w:val="center"/>
          </w:tcPr>
          <w:p w14:paraId="37C70E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427575F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(4.12): المتوسطات الحسابية والانحرافات المعيارية لعبارات التوافق مع رؤية 2030 والتحول الرقمي المالي</w:t>
      </w:r>
    </w:p>
    <w:p w14:paraId="2F3B2879"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يتضح من الجداول السابقة أن جميع أبعاد الدراسة الخمسة حصلت على درجة موافقة "مرتفعة جداً" وفقاً لمقياس التصنيف المعتمد، إذ تراوحت المتوسطات الحسابية العامة للأبعاد بين (4.314) لبُعد الأمن السيبراني المؤسسي و(4.480) لبُعد التوافق مع رؤية 2030، مما يعكس اتجاهاً إيجابياً واضحاً لدى أفراد العينة نحو إدراك الأثر الإيجابي لتقنية الترميز على الأمن السيبراني وكفاءة العمليات المالية والامتثال التنظيمي وتحقيق مستهدفات رؤية المملكة 2030. وبلغ المتوسط الحسابي العام لمحور تطبيق تقنية الترميز مجتمعاً (الجمع بين بُعدي الترميز الأمني والامتثال للمعايير الدولية) (4.356) بانحراف معياري (0.775)، وهو ما يؤكد اتساق استجابات أفراد العينة حول محاور الدراسة الرئيسية.</w:t>
      </w:r>
    </w:p>
    <w:p w14:paraId="0B8C7616"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48" w:name="_Toc234424171"/>
      <w:r>
        <w:rPr>
          <w:rFonts w:ascii="Traditional Arabic" w:hAnsi="Traditional Arabic" w:cs="Traditional Arabic"/>
          <w:b/>
          <w:bCs/>
          <w:sz w:val="32"/>
          <w:szCs w:val="32"/>
          <w:u w:val="single"/>
          <w:rtl/>
        </w:rPr>
        <w:t>السؤال الختامي: التقييم العام لأثر تقنية الترميز</w:t>
      </w:r>
      <w:bookmarkEnd w:id="48"/>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B5019C" w14:paraId="599907B8" w14:textId="77777777" w:rsidTr="00036983">
        <w:trPr>
          <w:tblHeader/>
          <w:jc w:val="center"/>
        </w:trPr>
        <w:tc>
          <w:tcPr>
            <w:tcW w:w="3022" w:type="pct"/>
            <w:shd w:val="clear" w:color="auto" w:fill="2E5395"/>
            <w:tcMar>
              <w:top w:w="60" w:type="dxa"/>
              <w:left w:w="100" w:type="dxa"/>
              <w:bottom w:w="60" w:type="dxa"/>
              <w:right w:w="100" w:type="dxa"/>
            </w:tcMar>
            <w:vAlign w:val="center"/>
          </w:tcPr>
          <w:p w14:paraId="269AF27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مستوى التأثير العام المُدرَك</w:t>
            </w:r>
          </w:p>
        </w:tc>
        <w:tc>
          <w:tcPr>
            <w:tcW w:w="989" w:type="pct"/>
            <w:shd w:val="clear" w:color="auto" w:fill="2E5395"/>
            <w:tcMar>
              <w:top w:w="60" w:type="dxa"/>
              <w:left w:w="100" w:type="dxa"/>
              <w:bottom w:w="60" w:type="dxa"/>
              <w:right w:w="100" w:type="dxa"/>
            </w:tcMar>
            <w:vAlign w:val="center"/>
          </w:tcPr>
          <w:p w14:paraId="2153F20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2C79D97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النسبة المئوية</w:t>
            </w:r>
          </w:p>
        </w:tc>
      </w:tr>
      <w:tr w:rsidR="007608E1" w:rsidRPr="00B5019C" w14:paraId="5C2182B8" w14:textId="77777777" w:rsidTr="00036983">
        <w:trPr>
          <w:jc w:val="center"/>
        </w:trPr>
        <w:tc>
          <w:tcPr>
            <w:tcW w:w="3022" w:type="pct"/>
            <w:tcMar>
              <w:top w:w="60" w:type="dxa"/>
              <w:left w:w="100" w:type="dxa"/>
              <w:bottom w:w="60" w:type="dxa"/>
              <w:right w:w="100" w:type="dxa"/>
            </w:tcMar>
            <w:vAlign w:val="center"/>
          </w:tcPr>
          <w:p w14:paraId="5EC9F4F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استراتيجي بالغ الأهمية</w:t>
            </w:r>
          </w:p>
        </w:tc>
        <w:tc>
          <w:tcPr>
            <w:tcW w:w="989" w:type="pct"/>
            <w:tcMar>
              <w:top w:w="60" w:type="dxa"/>
              <w:left w:w="100" w:type="dxa"/>
              <w:bottom w:w="60" w:type="dxa"/>
              <w:right w:w="100" w:type="dxa"/>
            </w:tcMar>
            <w:vAlign w:val="center"/>
          </w:tcPr>
          <w:p w14:paraId="04C84AE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106</w:t>
            </w:r>
          </w:p>
        </w:tc>
        <w:tc>
          <w:tcPr>
            <w:tcW w:w="989" w:type="pct"/>
            <w:tcMar>
              <w:top w:w="60" w:type="dxa"/>
              <w:left w:w="100" w:type="dxa"/>
              <w:bottom w:w="60" w:type="dxa"/>
              <w:right w:w="100" w:type="dxa"/>
            </w:tcMar>
            <w:vAlign w:val="center"/>
          </w:tcPr>
          <w:p w14:paraId="12EE543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54.1%</w:t>
            </w:r>
          </w:p>
        </w:tc>
      </w:tr>
      <w:tr w:rsidR="007608E1" w:rsidRPr="00B5019C" w14:paraId="443C2E88" w14:textId="77777777" w:rsidTr="00036983">
        <w:trPr>
          <w:jc w:val="center"/>
        </w:trPr>
        <w:tc>
          <w:tcPr>
            <w:tcW w:w="3022" w:type="pct"/>
            <w:shd w:val="clear" w:color="auto" w:fill="F2F2F2"/>
            <w:tcMar>
              <w:top w:w="60" w:type="dxa"/>
              <w:left w:w="100" w:type="dxa"/>
              <w:bottom w:w="60" w:type="dxa"/>
              <w:right w:w="100" w:type="dxa"/>
            </w:tcMar>
            <w:vAlign w:val="center"/>
          </w:tcPr>
          <w:p w14:paraId="0CA0A4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واضح</w:t>
            </w:r>
          </w:p>
        </w:tc>
        <w:tc>
          <w:tcPr>
            <w:tcW w:w="989" w:type="pct"/>
            <w:shd w:val="clear" w:color="auto" w:fill="F2F2F2"/>
            <w:tcMar>
              <w:top w:w="60" w:type="dxa"/>
              <w:left w:w="100" w:type="dxa"/>
              <w:bottom w:w="60" w:type="dxa"/>
              <w:right w:w="100" w:type="dxa"/>
            </w:tcMar>
            <w:vAlign w:val="center"/>
          </w:tcPr>
          <w:p w14:paraId="09CB5D6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54</w:t>
            </w:r>
          </w:p>
        </w:tc>
        <w:tc>
          <w:tcPr>
            <w:tcW w:w="989" w:type="pct"/>
            <w:shd w:val="clear" w:color="auto" w:fill="F2F2F2"/>
            <w:tcMar>
              <w:top w:w="60" w:type="dxa"/>
              <w:left w:w="100" w:type="dxa"/>
              <w:bottom w:w="60" w:type="dxa"/>
              <w:right w:w="100" w:type="dxa"/>
            </w:tcMar>
            <w:vAlign w:val="center"/>
          </w:tcPr>
          <w:p w14:paraId="59CA62C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27.6%</w:t>
            </w:r>
          </w:p>
        </w:tc>
      </w:tr>
      <w:tr w:rsidR="007608E1" w:rsidRPr="00B5019C" w14:paraId="73183D38" w14:textId="77777777" w:rsidTr="00036983">
        <w:trPr>
          <w:jc w:val="center"/>
        </w:trPr>
        <w:tc>
          <w:tcPr>
            <w:tcW w:w="3022" w:type="pct"/>
            <w:tcMar>
              <w:top w:w="60" w:type="dxa"/>
              <w:left w:w="100" w:type="dxa"/>
              <w:bottom w:w="60" w:type="dxa"/>
              <w:right w:w="100" w:type="dxa"/>
            </w:tcMar>
            <w:vAlign w:val="center"/>
          </w:tcPr>
          <w:p w14:paraId="53D1E0C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لا يوجد تأثير ملحوظ</w:t>
            </w:r>
          </w:p>
        </w:tc>
        <w:tc>
          <w:tcPr>
            <w:tcW w:w="989" w:type="pct"/>
            <w:tcMar>
              <w:top w:w="60" w:type="dxa"/>
              <w:left w:w="100" w:type="dxa"/>
              <w:bottom w:w="60" w:type="dxa"/>
              <w:right w:w="100" w:type="dxa"/>
            </w:tcMar>
            <w:vAlign w:val="center"/>
          </w:tcPr>
          <w:p w14:paraId="35A86C0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19</w:t>
            </w:r>
          </w:p>
        </w:tc>
        <w:tc>
          <w:tcPr>
            <w:tcW w:w="989" w:type="pct"/>
            <w:tcMar>
              <w:top w:w="60" w:type="dxa"/>
              <w:left w:w="100" w:type="dxa"/>
              <w:bottom w:w="60" w:type="dxa"/>
              <w:right w:w="100" w:type="dxa"/>
            </w:tcMar>
            <w:vAlign w:val="center"/>
          </w:tcPr>
          <w:p w14:paraId="19447A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9.7%</w:t>
            </w:r>
          </w:p>
        </w:tc>
      </w:tr>
      <w:tr w:rsidR="007608E1" w:rsidRPr="00B5019C" w14:paraId="26E93762" w14:textId="77777777" w:rsidTr="00036983">
        <w:trPr>
          <w:jc w:val="center"/>
        </w:trPr>
        <w:tc>
          <w:tcPr>
            <w:tcW w:w="3022" w:type="pct"/>
            <w:shd w:val="clear" w:color="auto" w:fill="F2F2F2"/>
            <w:tcMar>
              <w:top w:w="60" w:type="dxa"/>
              <w:left w:w="100" w:type="dxa"/>
              <w:bottom w:w="60" w:type="dxa"/>
              <w:right w:w="100" w:type="dxa"/>
            </w:tcMar>
            <w:vAlign w:val="center"/>
          </w:tcPr>
          <w:p w14:paraId="03F186F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محدود</w:t>
            </w:r>
          </w:p>
        </w:tc>
        <w:tc>
          <w:tcPr>
            <w:tcW w:w="989" w:type="pct"/>
            <w:shd w:val="clear" w:color="auto" w:fill="F2F2F2"/>
            <w:tcMar>
              <w:top w:w="60" w:type="dxa"/>
              <w:left w:w="100" w:type="dxa"/>
              <w:bottom w:w="60" w:type="dxa"/>
              <w:right w:w="100" w:type="dxa"/>
            </w:tcMar>
            <w:vAlign w:val="center"/>
          </w:tcPr>
          <w:p w14:paraId="63D310F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17</w:t>
            </w:r>
          </w:p>
        </w:tc>
        <w:tc>
          <w:tcPr>
            <w:tcW w:w="989" w:type="pct"/>
            <w:shd w:val="clear" w:color="auto" w:fill="F2F2F2"/>
            <w:tcMar>
              <w:top w:w="60" w:type="dxa"/>
              <w:left w:w="100" w:type="dxa"/>
              <w:bottom w:w="60" w:type="dxa"/>
              <w:right w:w="100" w:type="dxa"/>
            </w:tcMar>
            <w:vAlign w:val="center"/>
          </w:tcPr>
          <w:p w14:paraId="333F85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8.7%</w:t>
            </w:r>
          </w:p>
        </w:tc>
      </w:tr>
    </w:tbl>
    <w:p w14:paraId="5BFE79B9"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(4.13): توزيع تقييم أفراد العينة لمستوى تأثير تقنية الترميز على الأداء المؤسسي الشامل</w:t>
      </w:r>
    </w:p>
    <w:p w14:paraId="4C90A737"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يؤكد هذا التقييم العام النتائج التفصيلية السابقة، إذ أفاد ما نسبته 81.7% من أفراد العينة (54.1% تأثير إيجابي استراتيجي بالغ الأهمية، و27.6% تأثير إيجابي واضح) بوجود أثر إيجابي ملموس لتقنية الترميز على الأداء المؤسسي </w:t>
      </w:r>
      <w:r w:rsidRPr="00B5019C">
        <w:rPr>
          <w:rFonts w:ascii="Traditional Arabic" w:eastAsia="Simplified Arabic" w:hAnsi="Traditional Arabic" w:cs="Traditional Arabic"/>
          <w:sz w:val="28"/>
          <w:szCs w:val="28"/>
          <w:rtl/>
        </w:rPr>
        <w:lastRenderedPageBreak/>
        <w:t>الشامل، في مقابل 8.7% أشاروا إلى تأثير إيجابي محدود، و9.7% لم يلحظوا تأثيراً واضحاً، ولم يُسجَّل أي تقييم بوجود تأثير سلبي. ويُعدّ هذا الاتساق بين التقييم العام والمتوسطات التفصيلية للأبعاد الخمسة مؤشراً على الصدق الظاهري لأداة الدراسة.</w:t>
      </w:r>
    </w:p>
    <w:p w14:paraId="646BD03B"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أما فيما يتعلق بحقل الملاحظات والمقترحات المفتوح (السؤال 39)، فقد بلغت نسبة الاستجابة الاختيارية له 26.0% (51 من أصل 196 مستجيباً)، ونظراً لاعتماد الدراسة الحالية على المنهج الكمي بشكل كامل دون توظيف أدوات التحليل النوعي، فقد اقتُصر التعامل مع هذا الحقل على بيان نسبة الاستجابة له دون إخضاع مضمونه لتحليل موضوعاتي.</w:t>
      </w:r>
    </w:p>
    <w:p w14:paraId="17204CD0" w14:textId="77777777" w:rsidR="008B1684" w:rsidRDefault="008B1684" w:rsidP="00E000FF">
      <w:pPr>
        <w:bidi/>
        <w:spacing w:after="0" w:line="360" w:lineRule="auto"/>
        <w:rPr>
          <w:rFonts w:ascii="Simplified Arabic" w:eastAsiaTheme="majorEastAsia" w:hAnsi="Simplified Arabic" w:cs="Simplified Arabic"/>
          <w:b/>
          <w:bCs/>
          <w:sz w:val="28"/>
          <w:szCs w:val="28"/>
          <w:u w:val="single"/>
          <w:rtl/>
        </w:rPr>
      </w:pPr>
      <w:r>
        <w:rPr>
          <w:rFonts w:ascii="Traditional Arabic" w:hAnsi="Traditional Arabic" w:cs="Traditional Arabic"/>
          <w:b/>
          <w:bCs/>
          <w:sz w:val="24"/>
          <w:szCs w:val="24"/>
          <w:u w:val="single"/>
          <w:rtl/>
        </w:rPr>
        <w:br w:type="page"/>
      </w:r>
    </w:p>
    <w:p w14:paraId="4D2F982F"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49" w:name="_Toc234424172"/>
      <w:r>
        <w:rPr>
          <w:rFonts w:ascii="Traditional Arabic" w:hAnsi="Traditional Arabic" w:cs="Traditional Arabic"/>
          <w:b/>
          <w:bCs/>
          <w:sz w:val="32"/>
          <w:szCs w:val="32"/>
          <w:u w:val="single"/>
          <w:rtl/>
        </w:rPr>
        <w:lastRenderedPageBreak/>
        <w:t>ثالثاً: اختبار صدق وثبات أداة الدراسة</w:t>
      </w:r>
      <w:bookmarkEnd w:id="49"/>
    </w:p>
    <w:p w14:paraId="35EE2DFF" w14:textId="77777777" w:rsidR="007608E1" w:rsidRPr="00B5019C" w:rsidRDefault="007608E1" w:rsidP="00E000FF">
      <w:pPr>
        <w:bidi/>
        <w:spacing w:after="0" w:line="360" w:lineRule="auto"/>
        <w:jc w:val="both"/>
        <w:rPr>
          <w:rFonts w:ascii="Simplified Arabic" w:eastAsia="Simplified Arabic" w:hAnsi="Simplified Arabic" w:cs="Simplified Arabic"/>
          <w:sz w:val="28"/>
          <w:szCs w:val="28"/>
          <w:rtl/>
        </w:rPr>
      </w:pPr>
      <w:r w:rsidRPr="00B5019C">
        <w:rPr>
          <w:rFonts w:ascii="Traditional Arabic" w:eastAsia="Simplified Arabic" w:hAnsi="Traditional Arabic" w:cs="Traditional Arabic"/>
          <w:sz w:val="28"/>
          <w:szCs w:val="28"/>
          <w:rtl/>
        </w:rPr>
        <w:t>يتناول هذا الجزء التحقق من صدق وثبات أداة الدراسة (الاستبانة)، من خلال عرض نتائج الصدق الظاهري وصدق الاتساق الداخلي بين الفقرات والأبعاد، بالإضافة إلى حساب معامل ألفا كرونباخ لقياس الثبات، مع تفسير القيم الإحصائية وبيان مدى قبولها علمياً.</w:t>
      </w:r>
    </w:p>
    <w:p w14:paraId="0D677132" w14:textId="77777777" w:rsidR="00036983" w:rsidRPr="00B5019C" w:rsidRDefault="00036983" w:rsidP="00E000FF">
      <w:pPr>
        <w:bidi/>
        <w:spacing w:after="0" w:line="360" w:lineRule="auto"/>
        <w:jc w:val="both"/>
        <w:rPr>
          <w:sz w:val="28"/>
          <w:szCs w:val="28"/>
        </w:rPr>
      </w:pPr>
    </w:p>
    <w:p w14:paraId="546E51AC"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b/>
          <w:bCs/>
          <w:sz w:val="28"/>
          <w:szCs w:val="28"/>
          <w:rtl/>
        </w:rPr>
        <w:t>1. الصدق الظاهري</w:t>
      </w:r>
    </w:p>
    <w:p w14:paraId="27400A67"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sz w:val="28"/>
          <w:szCs w:val="28"/>
          <w:rtl/>
        </w:rPr>
        <w:t>عُرضت الاستبانة في صورتها الأولية على مجموعة من الأساتذة المحكّمين المتخصصين في مجالات الأمن السيبراني والتقنية المالية والمناهج البحثية بجامعة Midocean، حيث أبدوا آراءهم وملاحظاتهم حول مدى ملاءمة العبارات للأبعاد التي صُممت لقياسها، ووضوح صياغتها اللغوية، وشمولية الأبعاد الخمسة لأهداف الدراسة. وفي ضوء تلك الآراء، عُدِّلت صياغة بعض العبارات دون المساس بجوهر المتغيرات المقاسة، بما يؤكد توافر الصدق الظاهري للأداة.</w:t>
      </w:r>
    </w:p>
    <w:p w14:paraId="5EDBDFDE"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b/>
          <w:bCs/>
          <w:sz w:val="28"/>
          <w:szCs w:val="28"/>
          <w:rtl/>
        </w:rPr>
        <w:t>2. صدق الاتساق الداخلي</w:t>
      </w:r>
    </w:p>
    <w:p w14:paraId="3428284F" w14:textId="77777777" w:rsidR="007608E1" w:rsidRDefault="007608E1" w:rsidP="00E000FF">
      <w:pPr>
        <w:bidi/>
        <w:spacing w:after="0" w:line="360" w:lineRule="auto"/>
        <w:jc w:val="both"/>
      </w:pPr>
      <w:r w:rsidRPr="00B5019C">
        <w:rPr>
          <w:rFonts w:ascii="Traditional Arabic" w:eastAsia="Simplified Arabic" w:hAnsi="Traditional Arabic" w:cs="Traditional Arabic"/>
          <w:sz w:val="28"/>
          <w:szCs w:val="28"/>
          <w:rtl/>
        </w:rPr>
        <w:t>تحقق الباحث من صدق الاتساق الداخلي لفقرات الاستبانة من خلال حساب معامل ارتباط سبيرمان (Spearman) — تماشياً مع الطبيعة غير المعلمية للبيانات كما سيرد بيانه في اختبار افتراضات التحليل الإحصائي — بين درجة كل عبارة والدرجة الكلية للبُعد الذي تنتمي إليه. وتُعدّ العبارة صادقة داخلياً إذا كان معامل ارتباطها موجباً ودالاً إحصائياً عند مستوى (0.01 أو 0.05)، وتراوحت معاملات الارتباط لجميع عبارات الأبعاد الخمسة بين (0.635) و(0.848)، وجاءت جميعها دالة إحصائياً عند مستوى دلالة (0.01&gt;)، مما يؤكد اتساقها الداخلي وصلاحيتها لقياس ما وُضعت لأجله.</w:t>
      </w:r>
    </w:p>
    <w:p w14:paraId="039F1E51"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0A5AC513"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57470D7E"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5BDD7F53"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5B6A8A36"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21452B83"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lastRenderedPageBreak/>
        <w:t>صدق الاتساق الداخلي لبُعد: الترميز الأمني للبيانات</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1"/>
        <w:gridCol w:w="4082"/>
        <w:gridCol w:w="1488"/>
        <w:gridCol w:w="1243"/>
        <w:gridCol w:w="934"/>
      </w:tblGrid>
      <w:tr w:rsidR="007608E1" w14:paraId="382EF041" w14:textId="77777777" w:rsidTr="00B5019C">
        <w:trPr>
          <w:tblHeader/>
          <w:jc w:val="center"/>
        </w:trPr>
        <w:tc>
          <w:tcPr>
            <w:tcW w:w="499" w:type="dxa"/>
            <w:shd w:val="clear" w:color="auto" w:fill="2E5395"/>
            <w:tcMar>
              <w:top w:w="60" w:type="dxa"/>
              <w:left w:w="100" w:type="dxa"/>
              <w:bottom w:w="60" w:type="dxa"/>
              <w:right w:w="100" w:type="dxa"/>
            </w:tcMar>
            <w:vAlign w:val="center"/>
          </w:tcPr>
          <w:p w14:paraId="75A2F7A9"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0803FBA5"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1BD995FA"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055B51AB"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1B58C94B"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4C418C1C" w14:textId="77777777" w:rsidTr="00B5019C">
        <w:trPr>
          <w:jc w:val="center"/>
        </w:trPr>
        <w:tc>
          <w:tcPr>
            <w:tcW w:w="499" w:type="dxa"/>
            <w:tcMar>
              <w:top w:w="60" w:type="dxa"/>
              <w:left w:w="100" w:type="dxa"/>
              <w:bottom w:w="60" w:type="dxa"/>
              <w:right w:w="100" w:type="dxa"/>
            </w:tcMar>
            <w:vAlign w:val="center"/>
          </w:tcPr>
          <w:p w14:paraId="7BC3B55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7</w:t>
            </w:r>
          </w:p>
        </w:tc>
        <w:tc>
          <w:tcPr>
            <w:tcW w:w="4118" w:type="dxa"/>
            <w:vAlign w:val="center"/>
          </w:tcPr>
          <w:p w14:paraId="1E0FDE1D" w14:textId="77777777" w:rsidR="005D691F" w:rsidRDefault="00F4227D" w:rsidP="00B5019C">
            <w:pPr>
              <w:bidi/>
              <w:spacing w:after="0" w:line="260" w:lineRule="auto"/>
              <w:jc w:val="center"/>
            </w:pPr>
            <w:r>
              <w:rPr>
                <w:rFonts w:ascii="Traditional Arabic" w:hAnsi="Traditional Arabic" w:cs="Traditional Arabic"/>
                <w:rtl/>
              </w:rPr>
              <w:t>تعتمد المؤسسة تقنية الترميز لحماية بيانات الدفع الحساسة وفق معيار PCI DSS</w:t>
            </w:r>
          </w:p>
        </w:tc>
        <w:tc>
          <w:tcPr>
            <w:tcW w:w="1497" w:type="dxa"/>
            <w:tcMar>
              <w:top w:w="60" w:type="dxa"/>
              <w:left w:w="100" w:type="dxa"/>
              <w:bottom w:w="60" w:type="dxa"/>
              <w:right w:w="100" w:type="dxa"/>
            </w:tcMar>
            <w:vAlign w:val="center"/>
          </w:tcPr>
          <w:p w14:paraId="61C8B16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0.720</w:t>
            </w:r>
          </w:p>
        </w:tc>
        <w:tc>
          <w:tcPr>
            <w:tcW w:w="1248" w:type="dxa"/>
            <w:tcMar>
              <w:top w:w="60" w:type="dxa"/>
              <w:left w:w="100" w:type="dxa"/>
              <w:bottom w:w="60" w:type="dxa"/>
              <w:right w:w="100" w:type="dxa"/>
            </w:tcMar>
            <w:vAlign w:val="center"/>
          </w:tcPr>
          <w:p w14:paraId="6B4AEFC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34DE391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666647E" w14:textId="77777777" w:rsidTr="00B5019C">
        <w:trPr>
          <w:jc w:val="center"/>
        </w:trPr>
        <w:tc>
          <w:tcPr>
            <w:tcW w:w="499" w:type="dxa"/>
            <w:shd w:val="clear" w:color="auto" w:fill="F2F2F2"/>
            <w:tcMar>
              <w:top w:w="60" w:type="dxa"/>
              <w:left w:w="100" w:type="dxa"/>
              <w:bottom w:w="60" w:type="dxa"/>
              <w:right w:w="100" w:type="dxa"/>
            </w:tcMar>
            <w:vAlign w:val="center"/>
          </w:tcPr>
          <w:p w14:paraId="09A8FD1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8</w:t>
            </w:r>
          </w:p>
        </w:tc>
        <w:tc>
          <w:tcPr>
            <w:tcW w:w="4118" w:type="dxa"/>
            <w:vAlign w:val="center"/>
          </w:tcPr>
          <w:p w14:paraId="3301486C"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نسبة اختراق البيانات المالية بشكل ملحوظ خلال السنتين الماضيتين</w:t>
            </w:r>
          </w:p>
        </w:tc>
        <w:tc>
          <w:tcPr>
            <w:tcW w:w="1497" w:type="dxa"/>
            <w:shd w:val="clear" w:color="auto" w:fill="F2F2F2"/>
            <w:tcMar>
              <w:top w:w="60" w:type="dxa"/>
              <w:left w:w="100" w:type="dxa"/>
              <w:bottom w:w="60" w:type="dxa"/>
              <w:right w:w="100" w:type="dxa"/>
            </w:tcMar>
            <w:vAlign w:val="center"/>
          </w:tcPr>
          <w:p w14:paraId="5344298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0.705</w:t>
            </w:r>
          </w:p>
        </w:tc>
        <w:tc>
          <w:tcPr>
            <w:tcW w:w="1248" w:type="dxa"/>
            <w:shd w:val="clear" w:color="auto" w:fill="F2F2F2"/>
            <w:tcMar>
              <w:top w:w="60" w:type="dxa"/>
              <w:left w:w="100" w:type="dxa"/>
              <w:bottom w:w="60" w:type="dxa"/>
              <w:right w:w="100" w:type="dxa"/>
            </w:tcMar>
            <w:vAlign w:val="center"/>
          </w:tcPr>
          <w:p w14:paraId="78F924A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08FF54D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2E6E6F0" w14:textId="77777777" w:rsidTr="00B5019C">
        <w:trPr>
          <w:jc w:val="center"/>
        </w:trPr>
        <w:tc>
          <w:tcPr>
            <w:tcW w:w="499" w:type="dxa"/>
            <w:tcMar>
              <w:top w:w="60" w:type="dxa"/>
              <w:left w:w="100" w:type="dxa"/>
              <w:bottom w:w="60" w:type="dxa"/>
              <w:right w:w="100" w:type="dxa"/>
            </w:tcMar>
            <w:vAlign w:val="center"/>
          </w:tcPr>
          <w:p w14:paraId="612A0BF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9</w:t>
            </w:r>
          </w:p>
        </w:tc>
        <w:tc>
          <w:tcPr>
            <w:tcW w:w="4118" w:type="dxa"/>
            <w:vAlign w:val="center"/>
          </w:tcPr>
          <w:p w14:paraId="2518F20C" w14:textId="77777777" w:rsidR="005D691F" w:rsidRDefault="00F4227D" w:rsidP="00B5019C">
            <w:pPr>
              <w:bidi/>
              <w:spacing w:after="0" w:line="260" w:lineRule="auto"/>
              <w:jc w:val="center"/>
            </w:pPr>
            <w:r>
              <w:rPr>
                <w:rFonts w:ascii="Traditional Arabic" w:hAnsi="Traditional Arabic" w:cs="Traditional Arabic"/>
                <w:rtl/>
              </w:rPr>
              <w:t>يُعزّز الترميز مستوى حماية هوية العملاء وبياناتهم المصرفية من التهديدات السيبرانية</w:t>
            </w:r>
          </w:p>
        </w:tc>
        <w:tc>
          <w:tcPr>
            <w:tcW w:w="1497" w:type="dxa"/>
            <w:tcMar>
              <w:top w:w="60" w:type="dxa"/>
              <w:left w:w="100" w:type="dxa"/>
              <w:bottom w:w="60" w:type="dxa"/>
              <w:right w:w="100" w:type="dxa"/>
            </w:tcMar>
            <w:vAlign w:val="center"/>
          </w:tcPr>
          <w:p w14:paraId="490A738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0.700</w:t>
            </w:r>
          </w:p>
        </w:tc>
        <w:tc>
          <w:tcPr>
            <w:tcW w:w="1248" w:type="dxa"/>
            <w:tcMar>
              <w:top w:w="60" w:type="dxa"/>
              <w:left w:w="100" w:type="dxa"/>
              <w:bottom w:w="60" w:type="dxa"/>
              <w:right w:w="100" w:type="dxa"/>
            </w:tcMar>
            <w:vAlign w:val="center"/>
          </w:tcPr>
          <w:p w14:paraId="30FDD7B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549FFC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ECB6BB3" w14:textId="77777777" w:rsidTr="00B5019C">
        <w:trPr>
          <w:jc w:val="center"/>
        </w:trPr>
        <w:tc>
          <w:tcPr>
            <w:tcW w:w="499" w:type="dxa"/>
            <w:shd w:val="clear" w:color="auto" w:fill="F2F2F2"/>
            <w:tcMar>
              <w:top w:w="60" w:type="dxa"/>
              <w:left w:w="100" w:type="dxa"/>
              <w:bottom w:w="60" w:type="dxa"/>
              <w:right w:w="100" w:type="dxa"/>
            </w:tcMar>
            <w:vAlign w:val="center"/>
          </w:tcPr>
          <w:p w14:paraId="7F36570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10</w:t>
            </w:r>
          </w:p>
        </w:tc>
        <w:tc>
          <w:tcPr>
            <w:tcW w:w="4118" w:type="dxa"/>
            <w:vAlign w:val="center"/>
          </w:tcPr>
          <w:p w14:paraId="62B4CF0D" w14:textId="77777777" w:rsidR="005D691F" w:rsidRDefault="00F4227D" w:rsidP="00B5019C">
            <w:pPr>
              <w:bidi/>
              <w:spacing w:after="0" w:line="260" w:lineRule="auto"/>
              <w:jc w:val="center"/>
            </w:pPr>
            <w:r>
              <w:rPr>
                <w:rFonts w:ascii="Traditional Arabic" w:hAnsi="Traditional Arabic" w:cs="Traditional Arabic"/>
                <w:rtl/>
              </w:rPr>
              <w:t>تُطبّق المؤسسة آليات ترميز ديناميكي (Dynamic Tokenization) لتعزيز الأمن في المعاملات الآنية</w:t>
            </w:r>
          </w:p>
        </w:tc>
        <w:tc>
          <w:tcPr>
            <w:tcW w:w="1497" w:type="dxa"/>
            <w:shd w:val="clear" w:color="auto" w:fill="F2F2F2"/>
            <w:tcMar>
              <w:top w:w="60" w:type="dxa"/>
              <w:left w:w="100" w:type="dxa"/>
              <w:bottom w:w="60" w:type="dxa"/>
              <w:right w:w="100" w:type="dxa"/>
            </w:tcMar>
            <w:vAlign w:val="center"/>
          </w:tcPr>
          <w:p w14:paraId="4D78122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0.785</w:t>
            </w:r>
          </w:p>
        </w:tc>
        <w:tc>
          <w:tcPr>
            <w:tcW w:w="1248" w:type="dxa"/>
            <w:shd w:val="clear" w:color="auto" w:fill="F2F2F2"/>
            <w:tcMar>
              <w:top w:w="60" w:type="dxa"/>
              <w:left w:w="100" w:type="dxa"/>
              <w:bottom w:w="60" w:type="dxa"/>
              <w:right w:w="100" w:type="dxa"/>
            </w:tcMar>
            <w:vAlign w:val="center"/>
          </w:tcPr>
          <w:p w14:paraId="125CE8E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116019D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591B3E4" w14:textId="77777777" w:rsidTr="00B5019C">
        <w:trPr>
          <w:jc w:val="center"/>
        </w:trPr>
        <w:tc>
          <w:tcPr>
            <w:tcW w:w="499" w:type="dxa"/>
            <w:tcMar>
              <w:top w:w="60" w:type="dxa"/>
              <w:left w:w="100" w:type="dxa"/>
              <w:bottom w:w="60" w:type="dxa"/>
              <w:right w:w="100" w:type="dxa"/>
            </w:tcMar>
            <w:vAlign w:val="center"/>
          </w:tcPr>
          <w:p w14:paraId="4CEF86C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11</w:t>
            </w:r>
          </w:p>
        </w:tc>
        <w:tc>
          <w:tcPr>
            <w:tcW w:w="4118" w:type="dxa"/>
            <w:vAlign w:val="center"/>
          </w:tcPr>
          <w:p w14:paraId="1C121E1E" w14:textId="77777777" w:rsidR="005D691F" w:rsidRDefault="00F4227D" w:rsidP="00B5019C">
            <w:pPr>
              <w:bidi/>
              <w:spacing w:after="0" w:line="260" w:lineRule="auto"/>
              <w:jc w:val="center"/>
            </w:pPr>
            <w:r>
              <w:rPr>
                <w:rFonts w:ascii="Traditional Arabic" w:hAnsi="Traditional Arabic" w:cs="Traditional Arabic"/>
                <w:rtl/>
              </w:rPr>
              <w:t>أدّى الترميز إلى خفض تكاليف الاستجابة للحوادث السيبرانية وعمليات الاستعادة</w:t>
            </w:r>
          </w:p>
        </w:tc>
        <w:tc>
          <w:tcPr>
            <w:tcW w:w="1497" w:type="dxa"/>
            <w:tcMar>
              <w:top w:w="60" w:type="dxa"/>
              <w:left w:w="100" w:type="dxa"/>
              <w:bottom w:w="60" w:type="dxa"/>
              <w:right w:w="100" w:type="dxa"/>
            </w:tcMar>
            <w:vAlign w:val="center"/>
          </w:tcPr>
          <w:p w14:paraId="7E1A239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0.807</w:t>
            </w:r>
          </w:p>
        </w:tc>
        <w:tc>
          <w:tcPr>
            <w:tcW w:w="1248" w:type="dxa"/>
            <w:tcMar>
              <w:top w:w="60" w:type="dxa"/>
              <w:left w:w="100" w:type="dxa"/>
              <w:bottom w:w="60" w:type="dxa"/>
              <w:right w:w="100" w:type="dxa"/>
            </w:tcMar>
            <w:vAlign w:val="center"/>
          </w:tcPr>
          <w:p w14:paraId="4BD5192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49329BD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63F0ADC" w14:textId="77777777" w:rsidTr="00B5019C">
        <w:trPr>
          <w:jc w:val="center"/>
        </w:trPr>
        <w:tc>
          <w:tcPr>
            <w:tcW w:w="499" w:type="dxa"/>
            <w:shd w:val="clear" w:color="auto" w:fill="F2F2F2"/>
            <w:tcMar>
              <w:top w:w="60" w:type="dxa"/>
              <w:left w:w="100" w:type="dxa"/>
              <w:bottom w:w="60" w:type="dxa"/>
              <w:right w:w="100" w:type="dxa"/>
            </w:tcMar>
            <w:vAlign w:val="center"/>
          </w:tcPr>
          <w:p w14:paraId="31AF066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12</w:t>
            </w:r>
          </w:p>
        </w:tc>
        <w:tc>
          <w:tcPr>
            <w:tcW w:w="4118" w:type="dxa"/>
            <w:vAlign w:val="center"/>
          </w:tcPr>
          <w:p w14:paraId="229639D9" w14:textId="77777777" w:rsidR="005D691F" w:rsidRDefault="00F4227D" w:rsidP="00B5019C">
            <w:pPr>
              <w:bidi/>
              <w:spacing w:after="0" w:line="260" w:lineRule="auto"/>
              <w:jc w:val="center"/>
            </w:pPr>
            <w:r>
              <w:rPr>
                <w:rFonts w:ascii="Traditional Arabic" w:hAnsi="Traditional Arabic" w:cs="Traditional Arabic"/>
                <w:rtl/>
              </w:rPr>
              <w:t>يُتيح الترميز الامتثال الكامل لمتطلبات الهيئة الوطنية للأمن السيبراني (NCA)</w:t>
            </w:r>
          </w:p>
        </w:tc>
        <w:tc>
          <w:tcPr>
            <w:tcW w:w="1497" w:type="dxa"/>
            <w:shd w:val="clear" w:color="auto" w:fill="F2F2F2"/>
            <w:tcMar>
              <w:top w:w="60" w:type="dxa"/>
              <w:left w:w="100" w:type="dxa"/>
              <w:bottom w:w="60" w:type="dxa"/>
              <w:right w:w="100" w:type="dxa"/>
            </w:tcMar>
            <w:vAlign w:val="center"/>
          </w:tcPr>
          <w:p w14:paraId="783600C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0.692</w:t>
            </w:r>
          </w:p>
        </w:tc>
        <w:tc>
          <w:tcPr>
            <w:tcW w:w="1248" w:type="dxa"/>
            <w:shd w:val="clear" w:color="auto" w:fill="F2F2F2"/>
            <w:tcMar>
              <w:top w:w="60" w:type="dxa"/>
              <w:left w:w="100" w:type="dxa"/>
              <w:bottom w:w="60" w:type="dxa"/>
              <w:right w:w="100" w:type="dxa"/>
            </w:tcMar>
            <w:vAlign w:val="center"/>
          </w:tcPr>
          <w:p w14:paraId="4AC91FB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0D3BE7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6B909121"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241C9EE5"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79086D10"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الامتثال للمعايير الدولية</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2"/>
        <w:gridCol w:w="4080"/>
        <w:gridCol w:w="1489"/>
        <w:gridCol w:w="1243"/>
        <w:gridCol w:w="934"/>
      </w:tblGrid>
      <w:tr w:rsidR="007608E1" w14:paraId="65BF67E3" w14:textId="77777777" w:rsidTr="00B5019C">
        <w:trPr>
          <w:tblHeader/>
          <w:jc w:val="center"/>
        </w:trPr>
        <w:tc>
          <w:tcPr>
            <w:tcW w:w="499" w:type="dxa"/>
            <w:shd w:val="clear" w:color="auto" w:fill="2E5395"/>
            <w:tcMar>
              <w:top w:w="60" w:type="dxa"/>
              <w:left w:w="100" w:type="dxa"/>
              <w:bottom w:w="60" w:type="dxa"/>
              <w:right w:w="100" w:type="dxa"/>
            </w:tcMar>
            <w:vAlign w:val="center"/>
          </w:tcPr>
          <w:p w14:paraId="534CEFA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4992C8A3"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1F27EF6E"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5A191D1C"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107EA653"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6D8616FB" w14:textId="77777777" w:rsidTr="00B5019C">
        <w:trPr>
          <w:jc w:val="center"/>
        </w:trPr>
        <w:tc>
          <w:tcPr>
            <w:tcW w:w="499" w:type="dxa"/>
            <w:tcMar>
              <w:top w:w="60" w:type="dxa"/>
              <w:left w:w="100" w:type="dxa"/>
              <w:bottom w:w="60" w:type="dxa"/>
              <w:right w:w="100" w:type="dxa"/>
            </w:tcMar>
            <w:vAlign w:val="center"/>
          </w:tcPr>
          <w:p w14:paraId="7B014FF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13</w:t>
            </w:r>
          </w:p>
        </w:tc>
        <w:tc>
          <w:tcPr>
            <w:tcW w:w="4118" w:type="dxa"/>
            <w:vAlign w:val="center"/>
          </w:tcPr>
          <w:p w14:paraId="7C65DB7F" w14:textId="77777777" w:rsidR="005D691F" w:rsidRDefault="00F4227D" w:rsidP="00B5019C">
            <w:pPr>
              <w:bidi/>
              <w:spacing w:after="0" w:line="260" w:lineRule="auto"/>
              <w:jc w:val="center"/>
            </w:pPr>
            <w:r>
              <w:rPr>
                <w:rFonts w:ascii="Traditional Arabic" w:hAnsi="Traditional Arabic" w:cs="Traditional Arabic"/>
                <w:rtl/>
              </w:rPr>
              <w:t>ساعد تطبيق الترميز المؤسسة على استيفاء متطلبات معيار ISO 27001 لأمن المعلومات</w:t>
            </w:r>
          </w:p>
        </w:tc>
        <w:tc>
          <w:tcPr>
            <w:tcW w:w="1497" w:type="dxa"/>
            <w:tcMar>
              <w:top w:w="60" w:type="dxa"/>
              <w:left w:w="100" w:type="dxa"/>
              <w:bottom w:w="60" w:type="dxa"/>
              <w:right w:w="100" w:type="dxa"/>
            </w:tcMar>
            <w:vAlign w:val="center"/>
          </w:tcPr>
          <w:p w14:paraId="6AA2817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0.694</w:t>
            </w:r>
          </w:p>
        </w:tc>
        <w:tc>
          <w:tcPr>
            <w:tcW w:w="1248" w:type="dxa"/>
            <w:tcMar>
              <w:top w:w="60" w:type="dxa"/>
              <w:left w:w="100" w:type="dxa"/>
              <w:bottom w:w="60" w:type="dxa"/>
              <w:right w:w="100" w:type="dxa"/>
            </w:tcMar>
            <w:vAlign w:val="center"/>
          </w:tcPr>
          <w:p w14:paraId="774D5C1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6DD3B2F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B0C8748" w14:textId="77777777" w:rsidTr="00B5019C">
        <w:trPr>
          <w:jc w:val="center"/>
        </w:trPr>
        <w:tc>
          <w:tcPr>
            <w:tcW w:w="499" w:type="dxa"/>
            <w:shd w:val="clear" w:color="auto" w:fill="F2F2F2"/>
            <w:tcMar>
              <w:top w:w="60" w:type="dxa"/>
              <w:left w:w="100" w:type="dxa"/>
              <w:bottom w:w="60" w:type="dxa"/>
              <w:right w:w="100" w:type="dxa"/>
            </w:tcMar>
            <w:vAlign w:val="center"/>
          </w:tcPr>
          <w:p w14:paraId="4C2C864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14</w:t>
            </w:r>
          </w:p>
        </w:tc>
        <w:tc>
          <w:tcPr>
            <w:tcW w:w="4118" w:type="dxa"/>
            <w:vAlign w:val="center"/>
          </w:tcPr>
          <w:p w14:paraId="63275B2E" w14:textId="77777777" w:rsidR="005D691F" w:rsidRDefault="00F4227D" w:rsidP="00B5019C">
            <w:pPr>
              <w:bidi/>
              <w:spacing w:after="0" w:line="260" w:lineRule="auto"/>
              <w:jc w:val="center"/>
            </w:pPr>
            <w:r>
              <w:rPr>
                <w:rFonts w:ascii="Traditional Arabic" w:hAnsi="Traditional Arabic" w:cs="Traditional Arabic"/>
                <w:rtl/>
              </w:rPr>
              <w:t>يدعم الترميز الامتثال لأطر حماية البيانات الصادرة عن البنك المركزي السعودي (SAMA)</w:t>
            </w:r>
          </w:p>
        </w:tc>
        <w:tc>
          <w:tcPr>
            <w:tcW w:w="1497" w:type="dxa"/>
            <w:shd w:val="clear" w:color="auto" w:fill="F2F2F2"/>
            <w:tcMar>
              <w:top w:w="60" w:type="dxa"/>
              <w:left w:w="100" w:type="dxa"/>
              <w:bottom w:w="60" w:type="dxa"/>
              <w:right w:w="100" w:type="dxa"/>
            </w:tcMar>
            <w:vAlign w:val="center"/>
          </w:tcPr>
          <w:p w14:paraId="77E1DF4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0.635</w:t>
            </w:r>
          </w:p>
        </w:tc>
        <w:tc>
          <w:tcPr>
            <w:tcW w:w="1248" w:type="dxa"/>
            <w:shd w:val="clear" w:color="auto" w:fill="F2F2F2"/>
            <w:tcMar>
              <w:top w:w="60" w:type="dxa"/>
              <w:left w:w="100" w:type="dxa"/>
              <w:bottom w:w="60" w:type="dxa"/>
              <w:right w:w="100" w:type="dxa"/>
            </w:tcMar>
            <w:vAlign w:val="center"/>
          </w:tcPr>
          <w:p w14:paraId="2F40AD3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5F4311B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AC66432" w14:textId="77777777" w:rsidTr="00B5019C">
        <w:trPr>
          <w:jc w:val="center"/>
        </w:trPr>
        <w:tc>
          <w:tcPr>
            <w:tcW w:w="499" w:type="dxa"/>
            <w:tcMar>
              <w:top w:w="60" w:type="dxa"/>
              <w:left w:w="100" w:type="dxa"/>
              <w:bottom w:w="60" w:type="dxa"/>
              <w:right w:w="100" w:type="dxa"/>
            </w:tcMar>
            <w:vAlign w:val="center"/>
          </w:tcPr>
          <w:p w14:paraId="1AAEA62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15</w:t>
            </w:r>
          </w:p>
        </w:tc>
        <w:tc>
          <w:tcPr>
            <w:tcW w:w="4118" w:type="dxa"/>
            <w:vAlign w:val="center"/>
          </w:tcPr>
          <w:p w14:paraId="39290D92" w14:textId="77777777" w:rsidR="005D691F" w:rsidRDefault="00F4227D" w:rsidP="00B5019C">
            <w:pPr>
              <w:bidi/>
              <w:spacing w:after="0" w:line="260" w:lineRule="auto"/>
              <w:jc w:val="center"/>
            </w:pPr>
            <w:r>
              <w:rPr>
                <w:rFonts w:ascii="Traditional Arabic" w:hAnsi="Traditional Arabic" w:cs="Traditional Arabic"/>
                <w:rtl/>
              </w:rPr>
              <w:t>أسهم الترميز في تيسير عمليات التدقيق الخارجي وتقليص وقتها وتكاليفها</w:t>
            </w:r>
          </w:p>
        </w:tc>
        <w:tc>
          <w:tcPr>
            <w:tcW w:w="1497" w:type="dxa"/>
            <w:tcMar>
              <w:top w:w="60" w:type="dxa"/>
              <w:left w:w="100" w:type="dxa"/>
              <w:bottom w:w="60" w:type="dxa"/>
              <w:right w:w="100" w:type="dxa"/>
            </w:tcMar>
            <w:vAlign w:val="center"/>
          </w:tcPr>
          <w:p w14:paraId="76FA66F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0.764</w:t>
            </w:r>
          </w:p>
        </w:tc>
        <w:tc>
          <w:tcPr>
            <w:tcW w:w="1248" w:type="dxa"/>
            <w:tcMar>
              <w:top w:w="60" w:type="dxa"/>
              <w:left w:w="100" w:type="dxa"/>
              <w:bottom w:w="60" w:type="dxa"/>
              <w:right w:w="100" w:type="dxa"/>
            </w:tcMar>
            <w:vAlign w:val="center"/>
          </w:tcPr>
          <w:p w14:paraId="7F4DE6A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6A96805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B08DFEC" w14:textId="77777777" w:rsidTr="00B5019C">
        <w:trPr>
          <w:jc w:val="center"/>
        </w:trPr>
        <w:tc>
          <w:tcPr>
            <w:tcW w:w="499" w:type="dxa"/>
            <w:shd w:val="clear" w:color="auto" w:fill="F2F2F2"/>
            <w:tcMar>
              <w:top w:w="60" w:type="dxa"/>
              <w:left w:w="100" w:type="dxa"/>
              <w:bottom w:w="60" w:type="dxa"/>
              <w:right w:w="100" w:type="dxa"/>
            </w:tcMar>
            <w:vAlign w:val="center"/>
          </w:tcPr>
          <w:p w14:paraId="17FE9CC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lastRenderedPageBreak/>
              <w:t>16</w:t>
            </w:r>
          </w:p>
        </w:tc>
        <w:tc>
          <w:tcPr>
            <w:tcW w:w="4118" w:type="dxa"/>
            <w:vAlign w:val="center"/>
          </w:tcPr>
          <w:p w14:paraId="1DD1EE4A" w14:textId="77777777" w:rsidR="005D691F" w:rsidRDefault="00F4227D" w:rsidP="00B5019C">
            <w:pPr>
              <w:bidi/>
              <w:spacing w:after="0" w:line="260" w:lineRule="auto"/>
              <w:jc w:val="center"/>
            </w:pPr>
            <w:r>
              <w:rPr>
                <w:rFonts w:ascii="Traditional Arabic" w:hAnsi="Traditional Arabic" w:cs="Traditional Arabic"/>
                <w:rtl/>
              </w:rPr>
              <w:t>تُوظّف المؤسسة الترميز كأداة للامتثال لأنظمة حماية البيانات المحلية والدولية</w:t>
            </w:r>
          </w:p>
        </w:tc>
        <w:tc>
          <w:tcPr>
            <w:tcW w:w="1497" w:type="dxa"/>
            <w:shd w:val="clear" w:color="auto" w:fill="F2F2F2"/>
            <w:tcMar>
              <w:top w:w="60" w:type="dxa"/>
              <w:left w:w="100" w:type="dxa"/>
              <w:bottom w:w="60" w:type="dxa"/>
              <w:right w:w="100" w:type="dxa"/>
            </w:tcMar>
            <w:vAlign w:val="center"/>
          </w:tcPr>
          <w:p w14:paraId="19AF5ED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0.756</w:t>
            </w:r>
          </w:p>
        </w:tc>
        <w:tc>
          <w:tcPr>
            <w:tcW w:w="1248" w:type="dxa"/>
            <w:shd w:val="clear" w:color="auto" w:fill="F2F2F2"/>
            <w:tcMar>
              <w:top w:w="60" w:type="dxa"/>
              <w:left w:w="100" w:type="dxa"/>
              <w:bottom w:w="60" w:type="dxa"/>
              <w:right w:w="100" w:type="dxa"/>
            </w:tcMar>
            <w:vAlign w:val="center"/>
          </w:tcPr>
          <w:p w14:paraId="77D6C67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05885A9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199D527" w14:textId="77777777" w:rsidTr="00B5019C">
        <w:trPr>
          <w:jc w:val="center"/>
        </w:trPr>
        <w:tc>
          <w:tcPr>
            <w:tcW w:w="499" w:type="dxa"/>
            <w:tcMar>
              <w:top w:w="60" w:type="dxa"/>
              <w:left w:w="100" w:type="dxa"/>
              <w:bottom w:w="60" w:type="dxa"/>
              <w:right w:w="100" w:type="dxa"/>
            </w:tcMar>
            <w:vAlign w:val="center"/>
          </w:tcPr>
          <w:p w14:paraId="7E8344F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17</w:t>
            </w:r>
          </w:p>
        </w:tc>
        <w:tc>
          <w:tcPr>
            <w:tcW w:w="4118" w:type="dxa"/>
            <w:vAlign w:val="center"/>
          </w:tcPr>
          <w:p w14:paraId="0CFA791A" w14:textId="77777777" w:rsidR="005D691F" w:rsidRDefault="00F4227D" w:rsidP="00B5019C">
            <w:pPr>
              <w:bidi/>
              <w:spacing w:after="0" w:line="260" w:lineRule="auto"/>
              <w:jc w:val="center"/>
            </w:pPr>
            <w:r>
              <w:rPr>
                <w:rFonts w:ascii="Traditional Arabic" w:hAnsi="Traditional Arabic" w:cs="Traditional Arabic"/>
                <w:rtl/>
              </w:rPr>
              <w:t>يُيسّر الترميز تطبيق سياسات حوكمة البيانات المؤسسية بشكل فعّال</w:t>
            </w:r>
          </w:p>
        </w:tc>
        <w:tc>
          <w:tcPr>
            <w:tcW w:w="1497" w:type="dxa"/>
            <w:tcMar>
              <w:top w:w="60" w:type="dxa"/>
              <w:left w:w="100" w:type="dxa"/>
              <w:bottom w:w="60" w:type="dxa"/>
              <w:right w:w="100" w:type="dxa"/>
            </w:tcMar>
            <w:vAlign w:val="center"/>
          </w:tcPr>
          <w:p w14:paraId="0004902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0.769</w:t>
            </w:r>
          </w:p>
        </w:tc>
        <w:tc>
          <w:tcPr>
            <w:tcW w:w="1248" w:type="dxa"/>
            <w:tcMar>
              <w:top w:w="60" w:type="dxa"/>
              <w:left w:w="100" w:type="dxa"/>
              <w:bottom w:w="60" w:type="dxa"/>
              <w:right w:w="100" w:type="dxa"/>
            </w:tcMar>
            <w:vAlign w:val="center"/>
          </w:tcPr>
          <w:p w14:paraId="4A1BA48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1839FE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083739F" w14:textId="77777777" w:rsidTr="00B5019C">
        <w:trPr>
          <w:jc w:val="center"/>
        </w:trPr>
        <w:tc>
          <w:tcPr>
            <w:tcW w:w="499" w:type="dxa"/>
            <w:shd w:val="clear" w:color="auto" w:fill="F2F2F2"/>
            <w:tcMar>
              <w:top w:w="60" w:type="dxa"/>
              <w:left w:w="100" w:type="dxa"/>
              <w:bottom w:w="60" w:type="dxa"/>
              <w:right w:w="100" w:type="dxa"/>
            </w:tcMar>
            <w:vAlign w:val="center"/>
          </w:tcPr>
          <w:p w14:paraId="1593258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18</w:t>
            </w:r>
          </w:p>
        </w:tc>
        <w:tc>
          <w:tcPr>
            <w:tcW w:w="4118" w:type="dxa"/>
            <w:vAlign w:val="center"/>
          </w:tcPr>
          <w:p w14:paraId="49130574" w14:textId="77777777" w:rsidR="005D691F" w:rsidRDefault="00F4227D" w:rsidP="00B5019C">
            <w:pPr>
              <w:bidi/>
              <w:spacing w:after="0" w:line="260" w:lineRule="auto"/>
              <w:jc w:val="center"/>
            </w:pPr>
            <w:r>
              <w:rPr>
                <w:rFonts w:ascii="Traditional Arabic" w:hAnsi="Traditional Arabic" w:cs="Traditional Arabic"/>
                <w:rtl/>
              </w:rPr>
              <w:t>تُقلّص تقنية الترميز المخاطر القانونية والتنظيمية المترتبة على تسريب البيانات</w:t>
            </w:r>
          </w:p>
        </w:tc>
        <w:tc>
          <w:tcPr>
            <w:tcW w:w="1497" w:type="dxa"/>
            <w:shd w:val="clear" w:color="auto" w:fill="F2F2F2"/>
            <w:tcMar>
              <w:top w:w="60" w:type="dxa"/>
              <w:left w:w="100" w:type="dxa"/>
              <w:bottom w:w="60" w:type="dxa"/>
              <w:right w:w="100" w:type="dxa"/>
            </w:tcMar>
            <w:vAlign w:val="center"/>
          </w:tcPr>
          <w:p w14:paraId="79C51E6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0.741</w:t>
            </w:r>
          </w:p>
        </w:tc>
        <w:tc>
          <w:tcPr>
            <w:tcW w:w="1248" w:type="dxa"/>
            <w:shd w:val="clear" w:color="auto" w:fill="F2F2F2"/>
            <w:tcMar>
              <w:top w:w="60" w:type="dxa"/>
              <w:left w:w="100" w:type="dxa"/>
              <w:bottom w:w="60" w:type="dxa"/>
              <w:right w:w="100" w:type="dxa"/>
            </w:tcMar>
            <w:vAlign w:val="center"/>
          </w:tcPr>
          <w:p w14:paraId="1A2D8CB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07C6D8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F307B01" w14:textId="77777777" w:rsidTr="00B5019C">
        <w:trPr>
          <w:jc w:val="center"/>
        </w:trPr>
        <w:tc>
          <w:tcPr>
            <w:tcW w:w="499" w:type="dxa"/>
            <w:tcMar>
              <w:top w:w="60" w:type="dxa"/>
              <w:left w:w="100" w:type="dxa"/>
              <w:bottom w:w="60" w:type="dxa"/>
              <w:right w:w="100" w:type="dxa"/>
            </w:tcMar>
            <w:vAlign w:val="center"/>
          </w:tcPr>
          <w:p w14:paraId="6DF7537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19</w:t>
            </w:r>
          </w:p>
        </w:tc>
        <w:tc>
          <w:tcPr>
            <w:tcW w:w="4118" w:type="dxa"/>
            <w:vAlign w:val="center"/>
          </w:tcPr>
          <w:p w14:paraId="444A82C7" w14:textId="77777777" w:rsidR="005D691F" w:rsidRDefault="00F4227D" w:rsidP="00B5019C">
            <w:pPr>
              <w:bidi/>
              <w:spacing w:after="0" w:line="260" w:lineRule="auto"/>
              <w:jc w:val="center"/>
            </w:pPr>
            <w:r>
              <w:rPr>
                <w:rFonts w:ascii="Traditional Arabic" w:hAnsi="Traditional Arabic" w:cs="Traditional Arabic"/>
                <w:rtl/>
              </w:rPr>
              <w:t>تمتلك المؤسسة سياسة واضحة وموثقة لتطبيق معايير الترميز المعتمدة دولياً</w:t>
            </w:r>
          </w:p>
        </w:tc>
        <w:tc>
          <w:tcPr>
            <w:tcW w:w="1497" w:type="dxa"/>
            <w:tcMar>
              <w:top w:w="60" w:type="dxa"/>
              <w:left w:w="100" w:type="dxa"/>
              <w:bottom w:w="60" w:type="dxa"/>
              <w:right w:w="100" w:type="dxa"/>
            </w:tcMar>
            <w:vAlign w:val="center"/>
          </w:tcPr>
          <w:p w14:paraId="7987F81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0.773</w:t>
            </w:r>
          </w:p>
        </w:tc>
        <w:tc>
          <w:tcPr>
            <w:tcW w:w="1248" w:type="dxa"/>
            <w:tcMar>
              <w:top w:w="60" w:type="dxa"/>
              <w:left w:w="100" w:type="dxa"/>
              <w:bottom w:w="60" w:type="dxa"/>
              <w:right w:w="100" w:type="dxa"/>
            </w:tcMar>
            <w:vAlign w:val="center"/>
          </w:tcPr>
          <w:p w14:paraId="704658F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55D09D5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41EBA6E3"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086E1DEC"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الكفاءة التشغيلية المالية</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1"/>
        <w:gridCol w:w="4080"/>
        <w:gridCol w:w="1489"/>
        <w:gridCol w:w="1244"/>
        <w:gridCol w:w="934"/>
      </w:tblGrid>
      <w:tr w:rsidR="007608E1" w14:paraId="5F8A9E35" w14:textId="77777777" w:rsidTr="00B5019C">
        <w:trPr>
          <w:tblHeader/>
          <w:jc w:val="center"/>
        </w:trPr>
        <w:tc>
          <w:tcPr>
            <w:tcW w:w="499" w:type="dxa"/>
            <w:shd w:val="clear" w:color="auto" w:fill="2E5395"/>
            <w:tcMar>
              <w:top w:w="60" w:type="dxa"/>
              <w:left w:w="100" w:type="dxa"/>
              <w:bottom w:w="60" w:type="dxa"/>
              <w:right w:w="100" w:type="dxa"/>
            </w:tcMar>
            <w:vAlign w:val="center"/>
          </w:tcPr>
          <w:p w14:paraId="037E96D8"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2A6D811C"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45FEE231"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5E38558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3236132E"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672F33E0" w14:textId="77777777" w:rsidTr="00B5019C">
        <w:trPr>
          <w:jc w:val="center"/>
        </w:trPr>
        <w:tc>
          <w:tcPr>
            <w:tcW w:w="499" w:type="dxa"/>
            <w:tcMar>
              <w:top w:w="60" w:type="dxa"/>
              <w:left w:w="100" w:type="dxa"/>
              <w:bottom w:w="60" w:type="dxa"/>
              <w:right w:w="100" w:type="dxa"/>
            </w:tcMar>
            <w:vAlign w:val="center"/>
          </w:tcPr>
          <w:p w14:paraId="63E4309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20</w:t>
            </w:r>
          </w:p>
        </w:tc>
        <w:tc>
          <w:tcPr>
            <w:tcW w:w="4118" w:type="dxa"/>
            <w:vAlign w:val="center"/>
          </w:tcPr>
          <w:p w14:paraId="4428184C"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وقت معالجة المعاملات المالية بنسبة ملحوظة</w:t>
            </w:r>
          </w:p>
        </w:tc>
        <w:tc>
          <w:tcPr>
            <w:tcW w:w="1497" w:type="dxa"/>
            <w:tcMar>
              <w:top w:w="60" w:type="dxa"/>
              <w:left w:w="100" w:type="dxa"/>
              <w:bottom w:w="60" w:type="dxa"/>
              <w:right w:w="100" w:type="dxa"/>
            </w:tcMar>
            <w:vAlign w:val="center"/>
          </w:tcPr>
          <w:p w14:paraId="5138EB7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0.848</w:t>
            </w:r>
          </w:p>
        </w:tc>
        <w:tc>
          <w:tcPr>
            <w:tcW w:w="1248" w:type="dxa"/>
            <w:tcMar>
              <w:top w:w="60" w:type="dxa"/>
              <w:left w:w="100" w:type="dxa"/>
              <w:bottom w:w="60" w:type="dxa"/>
              <w:right w:w="100" w:type="dxa"/>
            </w:tcMar>
            <w:vAlign w:val="center"/>
          </w:tcPr>
          <w:p w14:paraId="0FAEBFA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3DFB27B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4AA3A99" w14:textId="77777777" w:rsidTr="00B5019C">
        <w:trPr>
          <w:jc w:val="center"/>
        </w:trPr>
        <w:tc>
          <w:tcPr>
            <w:tcW w:w="499" w:type="dxa"/>
            <w:shd w:val="clear" w:color="auto" w:fill="F2F2F2"/>
            <w:tcMar>
              <w:top w:w="60" w:type="dxa"/>
              <w:left w:w="100" w:type="dxa"/>
              <w:bottom w:w="60" w:type="dxa"/>
              <w:right w:w="100" w:type="dxa"/>
            </w:tcMar>
            <w:vAlign w:val="center"/>
          </w:tcPr>
          <w:p w14:paraId="18E6128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21</w:t>
            </w:r>
          </w:p>
        </w:tc>
        <w:tc>
          <w:tcPr>
            <w:tcW w:w="4118" w:type="dxa"/>
            <w:vAlign w:val="center"/>
          </w:tcPr>
          <w:p w14:paraId="4D60E1EA" w14:textId="77777777" w:rsidR="005D691F" w:rsidRDefault="00F4227D" w:rsidP="00B5019C">
            <w:pPr>
              <w:bidi/>
              <w:spacing w:after="0" w:line="260" w:lineRule="auto"/>
              <w:jc w:val="center"/>
            </w:pPr>
            <w:r>
              <w:rPr>
                <w:rFonts w:ascii="Traditional Arabic" w:hAnsi="Traditional Arabic" w:cs="Traditional Arabic"/>
                <w:rtl/>
              </w:rPr>
              <w:t>خفّض الترميز تكاليف التشغيل المرتبطة بأمن المدفوعات الإلكترونية</w:t>
            </w:r>
          </w:p>
        </w:tc>
        <w:tc>
          <w:tcPr>
            <w:tcW w:w="1497" w:type="dxa"/>
            <w:shd w:val="clear" w:color="auto" w:fill="F2F2F2"/>
            <w:tcMar>
              <w:top w:w="60" w:type="dxa"/>
              <w:left w:w="100" w:type="dxa"/>
              <w:bottom w:w="60" w:type="dxa"/>
              <w:right w:w="100" w:type="dxa"/>
            </w:tcMar>
            <w:vAlign w:val="center"/>
          </w:tcPr>
          <w:p w14:paraId="18C79BF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0.833</w:t>
            </w:r>
          </w:p>
        </w:tc>
        <w:tc>
          <w:tcPr>
            <w:tcW w:w="1248" w:type="dxa"/>
            <w:shd w:val="clear" w:color="auto" w:fill="F2F2F2"/>
            <w:tcMar>
              <w:top w:w="60" w:type="dxa"/>
              <w:left w:w="100" w:type="dxa"/>
              <w:bottom w:w="60" w:type="dxa"/>
              <w:right w:w="100" w:type="dxa"/>
            </w:tcMar>
            <w:vAlign w:val="center"/>
          </w:tcPr>
          <w:p w14:paraId="3CB5F61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BADC6A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7D601E9" w14:textId="77777777" w:rsidTr="00B5019C">
        <w:trPr>
          <w:jc w:val="center"/>
        </w:trPr>
        <w:tc>
          <w:tcPr>
            <w:tcW w:w="499" w:type="dxa"/>
            <w:tcMar>
              <w:top w:w="60" w:type="dxa"/>
              <w:left w:w="100" w:type="dxa"/>
              <w:bottom w:w="60" w:type="dxa"/>
              <w:right w:w="100" w:type="dxa"/>
            </w:tcMar>
            <w:vAlign w:val="center"/>
          </w:tcPr>
          <w:p w14:paraId="5196E23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22</w:t>
            </w:r>
          </w:p>
        </w:tc>
        <w:tc>
          <w:tcPr>
            <w:tcW w:w="4118" w:type="dxa"/>
            <w:vAlign w:val="center"/>
          </w:tcPr>
          <w:p w14:paraId="247026C7" w14:textId="77777777" w:rsidR="005D691F" w:rsidRDefault="00F4227D" w:rsidP="00B5019C">
            <w:pPr>
              <w:bidi/>
              <w:spacing w:after="0" w:line="260" w:lineRule="auto"/>
              <w:jc w:val="center"/>
            </w:pPr>
            <w:r>
              <w:rPr>
                <w:rFonts w:ascii="Traditional Arabic" w:hAnsi="Traditional Arabic" w:cs="Traditional Arabic"/>
                <w:rtl/>
              </w:rPr>
              <w:t>عزّز تطبيق الترميز مستوى ثقة العملاء في المنصات المالية الرقمية للمؤسسة</w:t>
            </w:r>
          </w:p>
        </w:tc>
        <w:tc>
          <w:tcPr>
            <w:tcW w:w="1497" w:type="dxa"/>
            <w:tcMar>
              <w:top w:w="60" w:type="dxa"/>
              <w:left w:w="100" w:type="dxa"/>
              <w:bottom w:w="60" w:type="dxa"/>
              <w:right w:w="100" w:type="dxa"/>
            </w:tcMar>
            <w:vAlign w:val="center"/>
          </w:tcPr>
          <w:p w14:paraId="7D8C63E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0.707</w:t>
            </w:r>
          </w:p>
        </w:tc>
        <w:tc>
          <w:tcPr>
            <w:tcW w:w="1248" w:type="dxa"/>
            <w:tcMar>
              <w:top w:w="60" w:type="dxa"/>
              <w:left w:w="100" w:type="dxa"/>
              <w:bottom w:w="60" w:type="dxa"/>
              <w:right w:w="100" w:type="dxa"/>
            </w:tcMar>
            <w:vAlign w:val="center"/>
          </w:tcPr>
          <w:p w14:paraId="0DE0827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78F8B21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6E07260" w14:textId="77777777" w:rsidTr="00B5019C">
        <w:trPr>
          <w:jc w:val="center"/>
        </w:trPr>
        <w:tc>
          <w:tcPr>
            <w:tcW w:w="499" w:type="dxa"/>
            <w:shd w:val="clear" w:color="auto" w:fill="F2F2F2"/>
            <w:tcMar>
              <w:top w:w="60" w:type="dxa"/>
              <w:left w:w="100" w:type="dxa"/>
              <w:bottom w:w="60" w:type="dxa"/>
              <w:right w:w="100" w:type="dxa"/>
            </w:tcMar>
            <w:vAlign w:val="center"/>
          </w:tcPr>
          <w:p w14:paraId="68143FC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23</w:t>
            </w:r>
          </w:p>
        </w:tc>
        <w:tc>
          <w:tcPr>
            <w:tcW w:w="4118" w:type="dxa"/>
            <w:vAlign w:val="center"/>
          </w:tcPr>
          <w:p w14:paraId="6BDEAF8B" w14:textId="77777777" w:rsidR="005D691F" w:rsidRDefault="00F4227D" w:rsidP="00B5019C">
            <w:pPr>
              <w:bidi/>
              <w:spacing w:after="0" w:line="260" w:lineRule="auto"/>
              <w:jc w:val="center"/>
            </w:pPr>
            <w:r>
              <w:rPr>
                <w:rFonts w:ascii="Traditional Arabic" w:hAnsi="Traditional Arabic" w:cs="Traditional Arabic"/>
                <w:rtl/>
              </w:rPr>
              <w:t>تُعالَج المعاملات المالية المُرمَّزة بسرعة ودقة أعلى مقارنةً بالأنظمة التقليدية</w:t>
            </w:r>
          </w:p>
        </w:tc>
        <w:tc>
          <w:tcPr>
            <w:tcW w:w="1497" w:type="dxa"/>
            <w:shd w:val="clear" w:color="auto" w:fill="F2F2F2"/>
            <w:tcMar>
              <w:top w:w="60" w:type="dxa"/>
              <w:left w:w="100" w:type="dxa"/>
              <w:bottom w:w="60" w:type="dxa"/>
              <w:right w:w="100" w:type="dxa"/>
            </w:tcMar>
            <w:vAlign w:val="center"/>
          </w:tcPr>
          <w:p w14:paraId="59015EE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0.803</w:t>
            </w:r>
          </w:p>
        </w:tc>
        <w:tc>
          <w:tcPr>
            <w:tcW w:w="1248" w:type="dxa"/>
            <w:shd w:val="clear" w:color="auto" w:fill="F2F2F2"/>
            <w:tcMar>
              <w:top w:w="60" w:type="dxa"/>
              <w:left w:w="100" w:type="dxa"/>
              <w:bottom w:w="60" w:type="dxa"/>
              <w:right w:w="100" w:type="dxa"/>
            </w:tcMar>
            <w:vAlign w:val="center"/>
          </w:tcPr>
          <w:p w14:paraId="24A3BED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38DCBA3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F291BA9" w14:textId="77777777" w:rsidTr="00B5019C">
        <w:trPr>
          <w:jc w:val="center"/>
        </w:trPr>
        <w:tc>
          <w:tcPr>
            <w:tcW w:w="499" w:type="dxa"/>
            <w:tcMar>
              <w:top w:w="60" w:type="dxa"/>
              <w:left w:w="100" w:type="dxa"/>
              <w:bottom w:w="60" w:type="dxa"/>
              <w:right w:w="100" w:type="dxa"/>
            </w:tcMar>
            <w:vAlign w:val="center"/>
          </w:tcPr>
          <w:p w14:paraId="6B908EA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24</w:t>
            </w:r>
          </w:p>
        </w:tc>
        <w:tc>
          <w:tcPr>
            <w:tcW w:w="4118" w:type="dxa"/>
            <w:vAlign w:val="center"/>
          </w:tcPr>
          <w:p w14:paraId="23BDD5AB"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معدلات الاحتيال المالي (Fraud) والمعاملات المزيفة</w:t>
            </w:r>
          </w:p>
        </w:tc>
        <w:tc>
          <w:tcPr>
            <w:tcW w:w="1497" w:type="dxa"/>
            <w:tcMar>
              <w:top w:w="60" w:type="dxa"/>
              <w:left w:w="100" w:type="dxa"/>
              <w:bottom w:w="60" w:type="dxa"/>
              <w:right w:w="100" w:type="dxa"/>
            </w:tcMar>
            <w:vAlign w:val="center"/>
          </w:tcPr>
          <w:p w14:paraId="44BAC6B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0.717</w:t>
            </w:r>
          </w:p>
        </w:tc>
        <w:tc>
          <w:tcPr>
            <w:tcW w:w="1248" w:type="dxa"/>
            <w:tcMar>
              <w:top w:w="60" w:type="dxa"/>
              <w:left w:w="100" w:type="dxa"/>
              <w:bottom w:w="60" w:type="dxa"/>
              <w:right w:w="100" w:type="dxa"/>
            </w:tcMar>
            <w:vAlign w:val="center"/>
          </w:tcPr>
          <w:p w14:paraId="4C66C3F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D78678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49DA66F" w14:textId="77777777" w:rsidTr="00B5019C">
        <w:trPr>
          <w:jc w:val="center"/>
        </w:trPr>
        <w:tc>
          <w:tcPr>
            <w:tcW w:w="499" w:type="dxa"/>
            <w:shd w:val="clear" w:color="auto" w:fill="F2F2F2"/>
            <w:tcMar>
              <w:top w:w="60" w:type="dxa"/>
              <w:left w:w="100" w:type="dxa"/>
              <w:bottom w:w="60" w:type="dxa"/>
              <w:right w:w="100" w:type="dxa"/>
            </w:tcMar>
            <w:vAlign w:val="center"/>
          </w:tcPr>
          <w:p w14:paraId="5716E5E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25</w:t>
            </w:r>
          </w:p>
        </w:tc>
        <w:tc>
          <w:tcPr>
            <w:tcW w:w="4118" w:type="dxa"/>
            <w:vAlign w:val="center"/>
          </w:tcPr>
          <w:p w14:paraId="247EC203" w14:textId="77777777" w:rsidR="005D691F" w:rsidRDefault="00F4227D" w:rsidP="00B5019C">
            <w:pPr>
              <w:bidi/>
              <w:spacing w:after="0" w:line="260" w:lineRule="auto"/>
              <w:jc w:val="center"/>
            </w:pPr>
            <w:r>
              <w:rPr>
                <w:rFonts w:ascii="Traditional Arabic" w:hAnsi="Traditional Arabic" w:cs="Traditional Arabic"/>
                <w:rtl/>
              </w:rPr>
              <w:t>أتاح الترميز توسيع نطاق الخدمات المالية الرقمية دون المساس بمستوى الأمان</w:t>
            </w:r>
          </w:p>
        </w:tc>
        <w:tc>
          <w:tcPr>
            <w:tcW w:w="1497" w:type="dxa"/>
            <w:shd w:val="clear" w:color="auto" w:fill="F2F2F2"/>
            <w:tcMar>
              <w:top w:w="60" w:type="dxa"/>
              <w:left w:w="100" w:type="dxa"/>
              <w:bottom w:w="60" w:type="dxa"/>
              <w:right w:w="100" w:type="dxa"/>
            </w:tcMar>
            <w:vAlign w:val="center"/>
          </w:tcPr>
          <w:p w14:paraId="2DE5A09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0.684</w:t>
            </w:r>
          </w:p>
        </w:tc>
        <w:tc>
          <w:tcPr>
            <w:tcW w:w="1248" w:type="dxa"/>
            <w:shd w:val="clear" w:color="auto" w:fill="F2F2F2"/>
            <w:tcMar>
              <w:top w:w="60" w:type="dxa"/>
              <w:left w:w="100" w:type="dxa"/>
              <w:bottom w:w="60" w:type="dxa"/>
              <w:right w:w="100" w:type="dxa"/>
            </w:tcMar>
            <w:vAlign w:val="center"/>
          </w:tcPr>
          <w:p w14:paraId="5D4DAC5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07D9ABB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6F06BC13"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706A173E"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310A866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lastRenderedPageBreak/>
        <w:t>صدق الاتساق الداخلي لبُعد: الأمن السيبراني المؤسسي</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2"/>
        <w:gridCol w:w="4080"/>
        <w:gridCol w:w="1489"/>
        <w:gridCol w:w="1243"/>
        <w:gridCol w:w="934"/>
      </w:tblGrid>
      <w:tr w:rsidR="007608E1" w14:paraId="2CF42384" w14:textId="77777777" w:rsidTr="00B5019C">
        <w:trPr>
          <w:tblHeader/>
          <w:jc w:val="center"/>
        </w:trPr>
        <w:tc>
          <w:tcPr>
            <w:tcW w:w="499" w:type="dxa"/>
            <w:shd w:val="clear" w:color="auto" w:fill="2E5395"/>
            <w:tcMar>
              <w:top w:w="60" w:type="dxa"/>
              <w:left w:w="100" w:type="dxa"/>
              <w:bottom w:w="60" w:type="dxa"/>
              <w:right w:w="100" w:type="dxa"/>
            </w:tcMar>
            <w:vAlign w:val="center"/>
          </w:tcPr>
          <w:p w14:paraId="7BD3185F"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6C5AF77C"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78D53D5D"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27A0199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4402729F"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E0238BC" w14:textId="77777777" w:rsidTr="00B5019C">
        <w:trPr>
          <w:jc w:val="center"/>
        </w:trPr>
        <w:tc>
          <w:tcPr>
            <w:tcW w:w="499" w:type="dxa"/>
            <w:tcMar>
              <w:top w:w="60" w:type="dxa"/>
              <w:left w:w="100" w:type="dxa"/>
              <w:bottom w:w="60" w:type="dxa"/>
              <w:right w:w="100" w:type="dxa"/>
            </w:tcMar>
            <w:vAlign w:val="center"/>
          </w:tcPr>
          <w:p w14:paraId="2D034C0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26</w:t>
            </w:r>
          </w:p>
        </w:tc>
        <w:tc>
          <w:tcPr>
            <w:tcW w:w="4118" w:type="dxa"/>
            <w:vAlign w:val="center"/>
          </w:tcPr>
          <w:p w14:paraId="72898B67" w14:textId="77777777" w:rsidR="005D691F" w:rsidRDefault="00F4227D" w:rsidP="00B5019C">
            <w:pPr>
              <w:bidi/>
              <w:spacing w:after="0" w:line="260" w:lineRule="auto"/>
              <w:jc w:val="center"/>
            </w:pPr>
            <w:r>
              <w:rPr>
                <w:rFonts w:ascii="Traditional Arabic" w:hAnsi="Traditional Arabic" w:cs="Traditional Arabic"/>
                <w:rtl/>
              </w:rPr>
              <w:t>يُقلّص الترميز مساحة الهجوم السيبراني (Attack Surface) على البنية التحتية المالية للمؤسسة</w:t>
            </w:r>
          </w:p>
        </w:tc>
        <w:tc>
          <w:tcPr>
            <w:tcW w:w="1497" w:type="dxa"/>
            <w:tcMar>
              <w:top w:w="60" w:type="dxa"/>
              <w:left w:w="100" w:type="dxa"/>
              <w:bottom w:w="60" w:type="dxa"/>
              <w:right w:w="100" w:type="dxa"/>
            </w:tcMar>
            <w:vAlign w:val="center"/>
          </w:tcPr>
          <w:p w14:paraId="21B5D1D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0.730</w:t>
            </w:r>
          </w:p>
        </w:tc>
        <w:tc>
          <w:tcPr>
            <w:tcW w:w="1248" w:type="dxa"/>
            <w:tcMar>
              <w:top w:w="60" w:type="dxa"/>
              <w:left w:w="100" w:type="dxa"/>
              <w:bottom w:w="60" w:type="dxa"/>
              <w:right w:w="100" w:type="dxa"/>
            </w:tcMar>
            <w:vAlign w:val="center"/>
          </w:tcPr>
          <w:p w14:paraId="57404D2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58DD549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AADBFD5" w14:textId="77777777" w:rsidTr="00B5019C">
        <w:trPr>
          <w:jc w:val="center"/>
        </w:trPr>
        <w:tc>
          <w:tcPr>
            <w:tcW w:w="499" w:type="dxa"/>
            <w:shd w:val="clear" w:color="auto" w:fill="F2F2F2"/>
            <w:tcMar>
              <w:top w:w="60" w:type="dxa"/>
              <w:left w:w="100" w:type="dxa"/>
              <w:bottom w:w="60" w:type="dxa"/>
              <w:right w:w="100" w:type="dxa"/>
            </w:tcMar>
            <w:vAlign w:val="center"/>
          </w:tcPr>
          <w:p w14:paraId="76475A0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27</w:t>
            </w:r>
          </w:p>
        </w:tc>
        <w:tc>
          <w:tcPr>
            <w:tcW w:w="4118" w:type="dxa"/>
            <w:vAlign w:val="center"/>
          </w:tcPr>
          <w:p w14:paraId="2A551D80" w14:textId="77777777" w:rsidR="005D691F" w:rsidRDefault="00F4227D" w:rsidP="00B5019C">
            <w:pPr>
              <w:bidi/>
              <w:spacing w:after="0" w:line="260" w:lineRule="auto"/>
              <w:jc w:val="center"/>
            </w:pPr>
            <w:r>
              <w:rPr>
                <w:rFonts w:ascii="Traditional Arabic" w:hAnsi="Traditional Arabic" w:cs="Traditional Arabic"/>
                <w:rtl/>
              </w:rPr>
              <w:t>خفّض اعتماد الترميز من تداعيات اختراق البيانات حتى في حالات نجاح الهجمات</w:t>
            </w:r>
          </w:p>
        </w:tc>
        <w:tc>
          <w:tcPr>
            <w:tcW w:w="1497" w:type="dxa"/>
            <w:shd w:val="clear" w:color="auto" w:fill="F2F2F2"/>
            <w:tcMar>
              <w:top w:w="60" w:type="dxa"/>
              <w:left w:w="100" w:type="dxa"/>
              <w:bottom w:w="60" w:type="dxa"/>
              <w:right w:w="100" w:type="dxa"/>
            </w:tcMar>
            <w:vAlign w:val="center"/>
          </w:tcPr>
          <w:p w14:paraId="1E598D7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0.680</w:t>
            </w:r>
          </w:p>
        </w:tc>
        <w:tc>
          <w:tcPr>
            <w:tcW w:w="1248" w:type="dxa"/>
            <w:shd w:val="clear" w:color="auto" w:fill="F2F2F2"/>
            <w:tcMar>
              <w:top w:w="60" w:type="dxa"/>
              <w:left w:w="100" w:type="dxa"/>
              <w:bottom w:w="60" w:type="dxa"/>
              <w:right w:w="100" w:type="dxa"/>
            </w:tcMar>
            <w:vAlign w:val="center"/>
          </w:tcPr>
          <w:p w14:paraId="6C940F0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071062D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F922B96" w14:textId="77777777" w:rsidTr="00B5019C">
        <w:trPr>
          <w:jc w:val="center"/>
        </w:trPr>
        <w:tc>
          <w:tcPr>
            <w:tcW w:w="499" w:type="dxa"/>
            <w:tcMar>
              <w:top w:w="60" w:type="dxa"/>
              <w:left w:w="100" w:type="dxa"/>
              <w:bottom w:w="60" w:type="dxa"/>
              <w:right w:w="100" w:type="dxa"/>
            </w:tcMar>
            <w:vAlign w:val="center"/>
          </w:tcPr>
          <w:p w14:paraId="16A5186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28</w:t>
            </w:r>
          </w:p>
        </w:tc>
        <w:tc>
          <w:tcPr>
            <w:tcW w:w="4118" w:type="dxa"/>
            <w:vAlign w:val="center"/>
          </w:tcPr>
          <w:p w14:paraId="56A6394D" w14:textId="77777777" w:rsidR="005D691F" w:rsidRDefault="00F4227D" w:rsidP="00B5019C">
            <w:pPr>
              <w:bidi/>
              <w:spacing w:after="0" w:line="260" w:lineRule="auto"/>
              <w:jc w:val="center"/>
            </w:pPr>
            <w:r>
              <w:rPr>
                <w:rFonts w:ascii="Traditional Arabic" w:hAnsi="Traditional Arabic" w:cs="Traditional Arabic"/>
                <w:rtl/>
              </w:rPr>
              <w:t>عزّزت تقنية الترميز قدرة المؤسسة على الكشف المبكر عن التهديدات السيبرانية والاستجابة لها</w:t>
            </w:r>
          </w:p>
        </w:tc>
        <w:tc>
          <w:tcPr>
            <w:tcW w:w="1497" w:type="dxa"/>
            <w:tcMar>
              <w:top w:w="60" w:type="dxa"/>
              <w:left w:w="100" w:type="dxa"/>
              <w:bottom w:w="60" w:type="dxa"/>
              <w:right w:w="100" w:type="dxa"/>
            </w:tcMar>
            <w:vAlign w:val="center"/>
          </w:tcPr>
          <w:p w14:paraId="41F131E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0.769</w:t>
            </w:r>
          </w:p>
        </w:tc>
        <w:tc>
          <w:tcPr>
            <w:tcW w:w="1248" w:type="dxa"/>
            <w:tcMar>
              <w:top w:w="60" w:type="dxa"/>
              <w:left w:w="100" w:type="dxa"/>
              <w:bottom w:w="60" w:type="dxa"/>
              <w:right w:w="100" w:type="dxa"/>
            </w:tcMar>
            <w:vAlign w:val="center"/>
          </w:tcPr>
          <w:p w14:paraId="5D14A9E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7CC7298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02A9FC7" w14:textId="77777777" w:rsidTr="00B5019C">
        <w:trPr>
          <w:jc w:val="center"/>
        </w:trPr>
        <w:tc>
          <w:tcPr>
            <w:tcW w:w="499" w:type="dxa"/>
            <w:shd w:val="clear" w:color="auto" w:fill="F2F2F2"/>
            <w:tcMar>
              <w:top w:w="60" w:type="dxa"/>
              <w:left w:w="100" w:type="dxa"/>
              <w:bottom w:w="60" w:type="dxa"/>
              <w:right w:w="100" w:type="dxa"/>
            </w:tcMar>
            <w:vAlign w:val="center"/>
          </w:tcPr>
          <w:p w14:paraId="259F153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29</w:t>
            </w:r>
          </w:p>
        </w:tc>
        <w:tc>
          <w:tcPr>
            <w:tcW w:w="4118" w:type="dxa"/>
            <w:vAlign w:val="center"/>
          </w:tcPr>
          <w:p w14:paraId="62FD1B2B" w14:textId="77777777" w:rsidR="005D691F" w:rsidRDefault="00F4227D" w:rsidP="00B5019C">
            <w:pPr>
              <w:bidi/>
              <w:spacing w:after="0" w:line="260" w:lineRule="auto"/>
              <w:jc w:val="center"/>
            </w:pPr>
            <w:r>
              <w:rPr>
                <w:rFonts w:ascii="Traditional Arabic" w:hAnsi="Traditional Arabic" w:cs="Traditional Arabic"/>
                <w:rtl/>
              </w:rPr>
              <w:t>يُساهم الترميز في الحفاظ على استمرارية الأعمال وتقليص وقت التوقف الناجم عن الحوادث</w:t>
            </w:r>
          </w:p>
        </w:tc>
        <w:tc>
          <w:tcPr>
            <w:tcW w:w="1497" w:type="dxa"/>
            <w:shd w:val="clear" w:color="auto" w:fill="F2F2F2"/>
            <w:tcMar>
              <w:top w:w="60" w:type="dxa"/>
              <w:left w:w="100" w:type="dxa"/>
              <w:bottom w:w="60" w:type="dxa"/>
              <w:right w:w="100" w:type="dxa"/>
            </w:tcMar>
            <w:vAlign w:val="center"/>
          </w:tcPr>
          <w:p w14:paraId="2308321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0.746</w:t>
            </w:r>
          </w:p>
        </w:tc>
        <w:tc>
          <w:tcPr>
            <w:tcW w:w="1248" w:type="dxa"/>
            <w:shd w:val="clear" w:color="auto" w:fill="F2F2F2"/>
            <w:tcMar>
              <w:top w:w="60" w:type="dxa"/>
              <w:left w:w="100" w:type="dxa"/>
              <w:bottom w:w="60" w:type="dxa"/>
              <w:right w:w="100" w:type="dxa"/>
            </w:tcMar>
            <w:vAlign w:val="center"/>
          </w:tcPr>
          <w:p w14:paraId="0C7569C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0F68BD1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9CFEA0B" w14:textId="77777777" w:rsidTr="00B5019C">
        <w:trPr>
          <w:jc w:val="center"/>
        </w:trPr>
        <w:tc>
          <w:tcPr>
            <w:tcW w:w="499" w:type="dxa"/>
            <w:tcMar>
              <w:top w:w="60" w:type="dxa"/>
              <w:left w:w="100" w:type="dxa"/>
              <w:bottom w:w="60" w:type="dxa"/>
              <w:right w:w="100" w:type="dxa"/>
            </w:tcMar>
            <w:vAlign w:val="center"/>
          </w:tcPr>
          <w:p w14:paraId="3E40644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30</w:t>
            </w:r>
          </w:p>
        </w:tc>
        <w:tc>
          <w:tcPr>
            <w:tcW w:w="4118" w:type="dxa"/>
            <w:vAlign w:val="center"/>
          </w:tcPr>
          <w:p w14:paraId="47536FC7" w14:textId="77777777" w:rsidR="005D691F" w:rsidRDefault="00F4227D" w:rsidP="00B5019C">
            <w:pPr>
              <w:bidi/>
              <w:spacing w:after="0" w:line="260" w:lineRule="auto"/>
              <w:jc w:val="center"/>
            </w:pPr>
            <w:r>
              <w:rPr>
                <w:rFonts w:ascii="Traditional Arabic" w:hAnsi="Traditional Arabic" w:cs="Traditional Arabic"/>
                <w:rtl/>
              </w:rPr>
              <w:t>ارتفع مستوى الوعي الأمني لدى الموظفين بفضل اعتماد ثقافة الترميز المؤسسي</w:t>
            </w:r>
          </w:p>
        </w:tc>
        <w:tc>
          <w:tcPr>
            <w:tcW w:w="1497" w:type="dxa"/>
            <w:tcMar>
              <w:top w:w="60" w:type="dxa"/>
              <w:left w:w="100" w:type="dxa"/>
              <w:bottom w:w="60" w:type="dxa"/>
              <w:right w:w="100" w:type="dxa"/>
            </w:tcMar>
            <w:vAlign w:val="center"/>
          </w:tcPr>
          <w:p w14:paraId="66F3EE6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0.816</w:t>
            </w:r>
          </w:p>
        </w:tc>
        <w:tc>
          <w:tcPr>
            <w:tcW w:w="1248" w:type="dxa"/>
            <w:tcMar>
              <w:top w:w="60" w:type="dxa"/>
              <w:left w:w="100" w:type="dxa"/>
              <w:bottom w:w="60" w:type="dxa"/>
              <w:right w:w="100" w:type="dxa"/>
            </w:tcMar>
            <w:vAlign w:val="center"/>
          </w:tcPr>
          <w:p w14:paraId="370E89D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43CBBAF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83CFA42" w14:textId="77777777" w:rsidTr="00B5019C">
        <w:trPr>
          <w:jc w:val="center"/>
        </w:trPr>
        <w:tc>
          <w:tcPr>
            <w:tcW w:w="499" w:type="dxa"/>
            <w:shd w:val="clear" w:color="auto" w:fill="F2F2F2"/>
            <w:tcMar>
              <w:top w:w="60" w:type="dxa"/>
              <w:left w:w="100" w:type="dxa"/>
              <w:bottom w:w="60" w:type="dxa"/>
              <w:right w:w="100" w:type="dxa"/>
            </w:tcMar>
            <w:vAlign w:val="center"/>
          </w:tcPr>
          <w:p w14:paraId="3852AC2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31</w:t>
            </w:r>
          </w:p>
        </w:tc>
        <w:tc>
          <w:tcPr>
            <w:tcW w:w="4118" w:type="dxa"/>
            <w:vAlign w:val="center"/>
          </w:tcPr>
          <w:p w14:paraId="56A3D758" w14:textId="77777777" w:rsidR="005D691F" w:rsidRDefault="00F4227D" w:rsidP="00B5019C">
            <w:pPr>
              <w:bidi/>
              <w:spacing w:after="0" w:line="260" w:lineRule="auto"/>
              <w:jc w:val="center"/>
            </w:pPr>
            <w:r>
              <w:rPr>
                <w:rFonts w:ascii="Traditional Arabic" w:hAnsi="Traditional Arabic" w:cs="Traditional Arabic"/>
                <w:rtl/>
              </w:rPr>
              <w:t>تُقيّم المؤسسة بصورة دورية فاعلية حلول الترميز وتُحدّثها وفق أحدث التهديدات</w:t>
            </w:r>
          </w:p>
        </w:tc>
        <w:tc>
          <w:tcPr>
            <w:tcW w:w="1497" w:type="dxa"/>
            <w:shd w:val="clear" w:color="auto" w:fill="F2F2F2"/>
            <w:tcMar>
              <w:top w:w="60" w:type="dxa"/>
              <w:left w:w="100" w:type="dxa"/>
              <w:bottom w:w="60" w:type="dxa"/>
              <w:right w:w="100" w:type="dxa"/>
            </w:tcMar>
            <w:vAlign w:val="center"/>
          </w:tcPr>
          <w:p w14:paraId="6689301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0.751</w:t>
            </w:r>
          </w:p>
        </w:tc>
        <w:tc>
          <w:tcPr>
            <w:tcW w:w="1248" w:type="dxa"/>
            <w:shd w:val="clear" w:color="auto" w:fill="F2F2F2"/>
            <w:tcMar>
              <w:top w:w="60" w:type="dxa"/>
              <w:left w:w="100" w:type="dxa"/>
              <w:bottom w:w="60" w:type="dxa"/>
              <w:right w:w="100" w:type="dxa"/>
            </w:tcMar>
            <w:vAlign w:val="center"/>
          </w:tcPr>
          <w:p w14:paraId="3807F75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4A8BBE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5659AD69"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495E8383"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49E827C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التوافق مع رؤية 2030</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83"/>
        <w:gridCol w:w="4054"/>
        <w:gridCol w:w="1485"/>
        <w:gridCol w:w="1242"/>
        <w:gridCol w:w="934"/>
      </w:tblGrid>
      <w:tr w:rsidR="007608E1" w:rsidRPr="00B5019C" w14:paraId="33B62102" w14:textId="77777777" w:rsidTr="00B5019C">
        <w:trPr>
          <w:tblHeader/>
          <w:jc w:val="center"/>
        </w:trPr>
        <w:tc>
          <w:tcPr>
            <w:tcW w:w="499" w:type="dxa"/>
            <w:shd w:val="clear" w:color="auto" w:fill="2E5395"/>
            <w:tcMar>
              <w:top w:w="60" w:type="dxa"/>
              <w:left w:w="100" w:type="dxa"/>
              <w:bottom w:w="60" w:type="dxa"/>
              <w:right w:w="100" w:type="dxa"/>
            </w:tcMar>
            <w:vAlign w:val="center"/>
          </w:tcPr>
          <w:p w14:paraId="6A4B12C6"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رقم العبارة</w:t>
            </w:r>
          </w:p>
        </w:tc>
        <w:tc>
          <w:tcPr>
            <w:tcW w:w="4118" w:type="dxa"/>
            <w:shd w:val="clear" w:color="auto" w:fill="DCE9F5"/>
            <w:vAlign w:val="center"/>
          </w:tcPr>
          <w:p w14:paraId="5D1C1E14"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b/>
                <w:bCs/>
                <w:sz w:val="24"/>
                <w:szCs w:val="24"/>
                <w:rtl/>
              </w:rPr>
              <w:t>نص العبارة</w:t>
            </w:r>
          </w:p>
        </w:tc>
        <w:tc>
          <w:tcPr>
            <w:tcW w:w="1497" w:type="dxa"/>
            <w:shd w:val="clear" w:color="auto" w:fill="2E5395"/>
            <w:tcMar>
              <w:top w:w="60" w:type="dxa"/>
              <w:left w:w="100" w:type="dxa"/>
              <w:bottom w:w="60" w:type="dxa"/>
              <w:right w:w="100" w:type="dxa"/>
            </w:tcMar>
            <w:vAlign w:val="center"/>
          </w:tcPr>
          <w:p w14:paraId="1ABAD18A"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معامل الارتباط بالدرجة الكلية للبُعد (سبيرمان)</w:t>
            </w:r>
          </w:p>
        </w:tc>
        <w:tc>
          <w:tcPr>
            <w:tcW w:w="1248" w:type="dxa"/>
            <w:shd w:val="clear" w:color="auto" w:fill="2E5395"/>
            <w:tcMar>
              <w:top w:w="60" w:type="dxa"/>
              <w:left w:w="100" w:type="dxa"/>
              <w:bottom w:w="60" w:type="dxa"/>
              <w:right w:w="100" w:type="dxa"/>
            </w:tcMar>
            <w:vAlign w:val="center"/>
          </w:tcPr>
          <w:p w14:paraId="0C0560A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القيمة الاحتمالية (p)</w:t>
            </w:r>
          </w:p>
        </w:tc>
        <w:tc>
          <w:tcPr>
            <w:tcW w:w="936" w:type="dxa"/>
            <w:shd w:val="clear" w:color="auto" w:fill="2E5395"/>
            <w:tcMar>
              <w:top w:w="60" w:type="dxa"/>
              <w:left w:w="100" w:type="dxa"/>
              <w:bottom w:w="60" w:type="dxa"/>
              <w:right w:w="100" w:type="dxa"/>
            </w:tcMar>
            <w:vAlign w:val="center"/>
          </w:tcPr>
          <w:p w14:paraId="455A492D"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الدلالة الإحصائية</w:t>
            </w:r>
          </w:p>
        </w:tc>
      </w:tr>
      <w:tr w:rsidR="007608E1" w:rsidRPr="00B5019C" w14:paraId="1F6529D0" w14:textId="77777777" w:rsidTr="00B5019C">
        <w:trPr>
          <w:jc w:val="center"/>
        </w:trPr>
        <w:tc>
          <w:tcPr>
            <w:tcW w:w="499" w:type="dxa"/>
            <w:tcMar>
              <w:top w:w="60" w:type="dxa"/>
              <w:left w:w="100" w:type="dxa"/>
              <w:bottom w:w="60" w:type="dxa"/>
              <w:right w:w="100" w:type="dxa"/>
            </w:tcMar>
            <w:vAlign w:val="center"/>
          </w:tcPr>
          <w:p w14:paraId="6D1D258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32</w:t>
            </w:r>
          </w:p>
        </w:tc>
        <w:tc>
          <w:tcPr>
            <w:tcW w:w="4118" w:type="dxa"/>
            <w:vAlign w:val="center"/>
          </w:tcPr>
          <w:p w14:paraId="1234FFFD"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يُسهم الترميز في تحقيق أهداف التحول الرقمي المالي ضمن إطار رؤية المملكة 2030</w:t>
            </w:r>
          </w:p>
        </w:tc>
        <w:tc>
          <w:tcPr>
            <w:tcW w:w="1497" w:type="dxa"/>
            <w:tcMar>
              <w:top w:w="60" w:type="dxa"/>
              <w:left w:w="100" w:type="dxa"/>
              <w:bottom w:w="60" w:type="dxa"/>
              <w:right w:w="100" w:type="dxa"/>
            </w:tcMar>
            <w:vAlign w:val="center"/>
          </w:tcPr>
          <w:p w14:paraId="164D47E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0.761</w:t>
            </w:r>
          </w:p>
        </w:tc>
        <w:tc>
          <w:tcPr>
            <w:tcW w:w="1248" w:type="dxa"/>
            <w:tcMar>
              <w:top w:w="60" w:type="dxa"/>
              <w:left w:w="100" w:type="dxa"/>
              <w:bottom w:w="60" w:type="dxa"/>
              <w:right w:w="100" w:type="dxa"/>
            </w:tcMar>
            <w:vAlign w:val="center"/>
          </w:tcPr>
          <w:p w14:paraId="2DCB5AB5"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6D638EA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79B4D672" w14:textId="77777777" w:rsidTr="00B5019C">
        <w:trPr>
          <w:jc w:val="center"/>
        </w:trPr>
        <w:tc>
          <w:tcPr>
            <w:tcW w:w="499" w:type="dxa"/>
            <w:shd w:val="clear" w:color="auto" w:fill="F2F2F2"/>
            <w:tcMar>
              <w:top w:w="60" w:type="dxa"/>
              <w:left w:w="100" w:type="dxa"/>
              <w:bottom w:w="60" w:type="dxa"/>
              <w:right w:w="100" w:type="dxa"/>
            </w:tcMar>
            <w:vAlign w:val="center"/>
          </w:tcPr>
          <w:p w14:paraId="0701D56D"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33</w:t>
            </w:r>
          </w:p>
        </w:tc>
        <w:tc>
          <w:tcPr>
            <w:tcW w:w="4118" w:type="dxa"/>
            <w:vAlign w:val="center"/>
          </w:tcPr>
          <w:p w14:paraId="6C65674C"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يدعم الترميز توجه المملكة نحو بناء منظومة مالية رقمية متكاملة وآمنة</w:t>
            </w:r>
          </w:p>
        </w:tc>
        <w:tc>
          <w:tcPr>
            <w:tcW w:w="1497" w:type="dxa"/>
            <w:shd w:val="clear" w:color="auto" w:fill="F2F2F2"/>
            <w:tcMar>
              <w:top w:w="60" w:type="dxa"/>
              <w:left w:w="100" w:type="dxa"/>
              <w:bottom w:w="60" w:type="dxa"/>
              <w:right w:w="100" w:type="dxa"/>
            </w:tcMar>
            <w:vAlign w:val="center"/>
          </w:tcPr>
          <w:p w14:paraId="0938D15D"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0.726</w:t>
            </w:r>
          </w:p>
        </w:tc>
        <w:tc>
          <w:tcPr>
            <w:tcW w:w="1248" w:type="dxa"/>
            <w:shd w:val="clear" w:color="auto" w:fill="F2F2F2"/>
            <w:tcMar>
              <w:top w:w="60" w:type="dxa"/>
              <w:left w:w="100" w:type="dxa"/>
              <w:bottom w:w="60" w:type="dxa"/>
              <w:right w:w="100" w:type="dxa"/>
            </w:tcMar>
            <w:vAlign w:val="center"/>
          </w:tcPr>
          <w:p w14:paraId="63C48EE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06AB6E58"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1424DE34" w14:textId="77777777" w:rsidTr="00B5019C">
        <w:trPr>
          <w:jc w:val="center"/>
        </w:trPr>
        <w:tc>
          <w:tcPr>
            <w:tcW w:w="499" w:type="dxa"/>
            <w:tcMar>
              <w:top w:w="60" w:type="dxa"/>
              <w:left w:w="100" w:type="dxa"/>
              <w:bottom w:w="60" w:type="dxa"/>
              <w:right w:w="100" w:type="dxa"/>
            </w:tcMar>
            <w:vAlign w:val="center"/>
          </w:tcPr>
          <w:p w14:paraId="2993C14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34</w:t>
            </w:r>
          </w:p>
        </w:tc>
        <w:tc>
          <w:tcPr>
            <w:tcW w:w="4118" w:type="dxa"/>
            <w:vAlign w:val="center"/>
          </w:tcPr>
          <w:p w14:paraId="2469E5C2"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أسهمت تقنية الترميز في تعزيز تنافسية المؤسسة المالية إقليمياً ودولياً</w:t>
            </w:r>
          </w:p>
        </w:tc>
        <w:tc>
          <w:tcPr>
            <w:tcW w:w="1497" w:type="dxa"/>
            <w:tcMar>
              <w:top w:w="60" w:type="dxa"/>
              <w:left w:w="100" w:type="dxa"/>
              <w:bottom w:w="60" w:type="dxa"/>
              <w:right w:w="100" w:type="dxa"/>
            </w:tcMar>
            <w:vAlign w:val="center"/>
          </w:tcPr>
          <w:p w14:paraId="0DA002B8"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0.819</w:t>
            </w:r>
          </w:p>
        </w:tc>
        <w:tc>
          <w:tcPr>
            <w:tcW w:w="1248" w:type="dxa"/>
            <w:tcMar>
              <w:top w:w="60" w:type="dxa"/>
              <w:left w:w="100" w:type="dxa"/>
              <w:bottom w:w="60" w:type="dxa"/>
              <w:right w:w="100" w:type="dxa"/>
            </w:tcMar>
            <w:vAlign w:val="center"/>
          </w:tcPr>
          <w:p w14:paraId="4E950C0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46FA874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75233074" w14:textId="77777777" w:rsidTr="00B5019C">
        <w:trPr>
          <w:jc w:val="center"/>
        </w:trPr>
        <w:tc>
          <w:tcPr>
            <w:tcW w:w="499" w:type="dxa"/>
            <w:shd w:val="clear" w:color="auto" w:fill="F2F2F2"/>
            <w:tcMar>
              <w:top w:w="60" w:type="dxa"/>
              <w:left w:w="100" w:type="dxa"/>
              <w:bottom w:w="60" w:type="dxa"/>
              <w:right w:w="100" w:type="dxa"/>
            </w:tcMar>
            <w:vAlign w:val="center"/>
          </w:tcPr>
          <w:p w14:paraId="656D2CD5"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35</w:t>
            </w:r>
          </w:p>
        </w:tc>
        <w:tc>
          <w:tcPr>
            <w:tcW w:w="4118" w:type="dxa"/>
            <w:vAlign w:val="center"/>
          </w:tcPr>
          <w:p w14:paraId="285DCD35"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تتوافق استراتيجية الترميز في مؤسستك مع التوجيهات التنظيمية لمبادرة الفنتك السعودية</w:t>
            </w:r>
          </w:p>
        </w:tc>
        <w:tc>
          <w:tcPr>
            <w:tcW w:w="1497" w:type="dxa"/>
            <w:shd w:val="clear" w:color="auto" w:fill="F2F2F2"/>
            <w:tcMar>
              <w:top w:w="60" w:type="dxa"/>
              <w:left w:w="100" w:type="dxa"/>
              <w:bottom w:w="60" w:type="dxa"/>
              <w:right w:w="100" w:type="dxa"/>
            </w:tcMar>
            <w:vAlign w:val="center"/>
          </w:tcPr>
          <w:p w14:paraId="31963E5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0.796</w:t>
            </w:r>
          </w:p>
        </w:tc>
        <w:tc>
          <w:tcPr>
            <w:tcW w:w="1248" w:type="dxa"/>
            <w:shd w:val="clear" w:color="auto" w:fill="F2F2F2"/>
            <w:tcMar>
              <w:top w:w="60" w:type="dxa"/>
              <w:left w:w="100" w:type="dxa"/>
              <w:bottom w:w="60" w:type="dxa"/>
              <w:right w:w="100" w:type="dxa"/>
            </w:tcMar>
            <w:vAlign w:val="center"/>
          </w:tcPr>
          <w:p w14:paraId="6BE1C85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4FCFE22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AD753CA" w14:textId="77777777" w:rsidTr="00B5019C">
        <w:trPr>
          <w:jc w:val="center"/>
        </w:trPr>
        <w:tc>
          <w:tcPr>
            <w:tcW w:w="499" w:type="dxa"/>
            <w:tcMar>
              <w:top w:w="60" w:type="dxa"/>
              <w:left w:w="100" w:type="dxa"/>
              <w:bottom w:w="60" w:type="dxa"/>
              <w:right w:w="100" w:type="dxa"/>
            </w:tcMar>
            <w:vAlign w:val="center"/>
          </w:tcPr>
          <w:p w14:paraId="6206C6E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36</w:t>
            </w:r>
          </w:p>
        </w:tc>
        <w:tc>
          <w:tcPr>
            <w:tcW w:w="4118" w:type="dxa"/>
            <w:vAlign w:val="center"/>
          </w:tcPr>
          <w:p w14:paraId="39087F6E"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يُعزّز تطبيق الترميز ثقة المستثمرين والشركاء في البنية التحتية الرقمية للمؤسسة</w:t>
            </w:r>
          </w:p>
        </w:tc>
        <w:tc>
          <w:tcPr>
            <w:tcW w:w="1497" w:type="dxa"/>
            <w:tcMar>
              <w:top w:w="60" w:type="dxa"/>
              <w:left w:w="100" w:type="dxa"/>
              <w:bottom w:w="60" w:type="dxa"/>
              <w:right w:w="100" w:type="dxa"/>
            </w:tcMar>
            <w:vAlign w:val="center"/>
          </w:tcPr>
          <w:p w14:paraId="160D62B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0.789</w:t>
            </w:r>
          </w:p>
        </w:tc>
        <w:tc>
          <w:tcPr>
            <w:tcW w:w="1248" w:type="dxa"/>
            <w:tcMar>
              <w:top w:w="60" w:type="dxa"/>
              <w:left w:w="100" w:type="dxa"/>
              <w:bottom w:w="60" w:type="dxa"/>
              <w:right w:w="100" w:type="dxa"/>
            </w:tcMar>
            <w:vAlign w:val="center"/>
          </w:tcPr>
          <w:p w14:paraId="1A90284C"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2766B916"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0FB26888" w14:textId="77777777" w:rsidTr="00B5019C">
        <w:trPr>
          <w:jc w:val="center"/>
        </w:trPr>
        <w:tc>
          <w:tcPr>
            <w:tcW w:w="499" w:type="dxa"/>
            <w:shd w:val="clear" w:color="auto" w:fill="F2F2F2"/>
            <w:tcMar>
              <w:top w:w="60" w:type="dxa"/>
              <w:left w:w="100" w:type="dxa"/>
              <w:bottom w:w="60" w:type="dxa"/>
              <w:right w:w="100" w:type="dxa"/>
            </w:tcMar>
            <w:vAlign w:val="center"/>
          </w:tcPr>
          <w:p w14:paraId="21B63B36"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37</w:t>
            </w:r>
          </w:p>
        </w:tc>
        <w:tc>
          <w:tcPr>
            <w:tcW w:w="4118" w:type="dxa"/>
            <w:vAlign w:val="center"/>
          </w:tcPr>
          <w:p w14:paraId="670A3D63"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تُشكّل تقنية الترميز ركيزة أساسية في خارطة طريق التحول الرقمي لمؤسستك</w:t>
            </w:r>
          </w:p>
        </w:tc>
        <w:tc>
          <w:tcPr>
            <w:tcW w:w="1497" w:type="dxa"/>
            <w:shd w:val="clear" w:color="auto" w:fill="F2F2F2"/>
            <w:tcMar>
              <w:top w:w="60" w:type="dxa"/>
              <w:left w:w="100" w:type="dxa"/>
              <w:bottom w:w="60" w:type="dxa"/>
              <w:right w:w="100" w:type="dxa"/>
            </w:tcMar>
            <w:vAlign w:val="center"/>
          </w:tcPr>
          <w:p w14:paraId="0EE1F6B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0.755</w:t>
            </w:r>
          </w:p>
        </w:tc>
        <w:tc>
          <w:tcPr>
            <w:tcW w:w="1248" w:type="dxa"/>
            <w:shd w:val="clear" w:color="auto" w:fill="F2F2F2"/>
            <w:tcMar>
              <w:top w:w="60" w:type="dxa"/>
              <w:left w:w="100" w:type="dxa"/>
              <w:bottom w:w="60" w:type="dxa"/>
              <w:right w:w="100" w:type="dxa"/>
            </w:tcMar>
            <w:vAlign w:val="center"/>
          </w:tcPr>
          <w:p w14:paraId="0DC214E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69A8E6FD"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bl>
    <w:p w14:paraId="4A60DD1B"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010F3B64"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جداول (4.14 - 4.18): معاملات ارتباط سبيرمان بين عبارات كل بُعد والدرجة الكلية للبُعد</w:t>
      </w:r>
    </w:p>
    <w:p w14:paraId="406611FE" w14:textId="77777777" w:rsidR="00DC02DC" w:rsidRDefault="00DC02DC" w:rsidP="00E000FF">
      <w:pPr>
        <w:bidi/>
        <w:spacing w:after="0" w:line="360" w:lineRule="auto"/>
        <w:jc w:val="both"/>
        <w:rPr>
          <w:rFonts w:ascii="Simplified Arabic" w:eastAsia="Simplified Arabic" w:hAnsi="Simplified Arabic" w:cs="Simplified Arabic"/>
          <w:b/>
          <w:bCs/>
          <w:sz w:val="28"/>
          <w:szCs w:val="28"/>
        </w:rPr>
      </w:pPr>
    </w:p>
    <w:p w14:paraId="26CD0CA0"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ثبات الأداة (معامل ألفا كرونباخ)</w:t>
      </w:r>
    </w:p>
    <w:p w14:paraId="236A22C7"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استُخدمت طريقة ألفا كرونباخ (Cronbach's Alpha) للتحقق من ثبات أداة الدراسة، إذ تُعدّ القيم التي تتجاوز (0.70) مقبولة إحصائياً، بينما تعكس القيم التي تفوق (0.90) ثباتاً مرتفعاً جداً. ويوضح الجدول التالي قيم معامل ألفا كرونباخ لكل بُعد من أبعاد الدراسة وللأداة ككل.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1382"/>
        <w:gridCol w:w="1643"/>
        <w:gridCol w:w="1641"/>
      </w:tblGrid>
      <w:tr w:rsidR="007608E1" w:rsidRPr="00B5019C" w14:paraId="2C77C124" w14:textId="77777777" w:rsidTr="00036983">
        <w:trPr>
          <w:tblHeader/>
          <w:jc w:val="center"/>
        </w:trPr>
        <w:tc>
          <w:tcPr>
            <w:tcW w:w="2188" w:type="pct"/>
            <w:shd w:val="clear" w:color="auto" w:fill="2E5395"/>
            <w:tcMar>
              <w:top w:w="60" w:type="dxa"/>
              <w:left w:w="100" w:type="dxa"/>
              <w:bottom w:w="60" w:type="dxa"/>
              <w:right w:w="100" w:type="dxa"/>
            </w:tcMar>
            <w:vAlign w:val="center"/>
          </w:tcPr>
          <w:p w14:paraId="39C4FF2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البُعد / المحور</w:t>
            </w:r>
          </w:p>
        </w:tc>
        <w:tc>
          <w:tcPr>
            <w:tcW w:w="833" w:type="pct"/>
            <w:shd w:val="clear" w:color="auto" w:fill="2E5395"/>
            <w:tcMar>
              <w:top w:w="60" w:type="dxa"/>
              <w:left w:w="100" w:type="dxa"/>
              <w:bottom w:w="60" w:type="dxa"/>
              <w:right w:w="100" w:type="dxa"/>
            </w:tcMar>
            <w:vAlign w:val="center"/>
          </w:tcPr>
          <w:p w14:paraId="557DC40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عدد العبارات</w:t>
            </w:r>
          </w:p>
        </w:tc>
        <w:tc>
          <w:tcPr>
            <w:tcW w:w="990" w:type="pct"/>
            <w:shd w:val="clear" w:color="auto" w:fill="2E5395"/>
            <w:tcMar>
              <w:top w:w="60" w:type="dxa"/>
              <w:left w:w="100" w:type="dxa"/>
              <w:bottom w:w="60" w:type="dxa"/>
              <w:right w:w="100" w:type="dxa"/>
            </w:tcMar>
            <w:vAlign w:val="center"/>
          </w:tcPr>
          <w:p w14:paraId="54D6FF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معامل ألفا كرونباخ</w:t>
            </w:r>
          </w:p>
        </w:tc>
        <w:tc>
          <w:tcPr>
            <w:tcW w:w="990" w:type="pct"/>
            <w:shd w:val="clear" w:color="auto" w:fill="2E5395"/>
            <w:tcMar>
              <w:top w:w="60" w:type="dxa"/>
              <w:left w:w="100" w:type="dxa"/>
              <w:bottom w:w="60" w:type="dxa"/>
              <w:right w:w="100" w:type="dxa"/>
            </w:tcMar>
            <w:vAlign w:val="center"/>
          </w:tcPr>
          <w:p w14:paraId="571DC76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مستوى الثبات</w:t>
            </w:r>
          </w:p>
        </w:tc>
      </w:tr>
      <w:tr w:rsidR="007608E1" w:rsidRPr="00B5019C" w14:paraId="47161AEF" w14:textId="77777777" w:rsidTr="00036983">
        <w:trPr>
          <w:jc w:val="center"/>
        </w:trPr>
        <w:tc>
          <w:tcPr>
            <w:tcW w:w="2188" w:type="pct"/>
            <w:tcMar>
              <w:top w:w="60" w:type="dxa"/>
              <w:left w:w="100" w:type="dxa"/>
              <w:bottom w:w="60" w:type="dxa"/>
              <w:right w:w="100" w:type="dxa"/>
            </w:tcMar>
            <w:vAlign w:val="center"/>
          </w:tcPr>
          <w:p w14:paraId="09394C3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الترميز الأمني للبيانات</w:t>
            </w:r>
          </w:p>
        </w:tc>
        <w:tc>
          <w:tcPr>
            <w:tcW w:w="833" w:type="pct"/>
            <w:tcMar>
              <w:top w:w="60" w:type="dxa"/>
              <w:left w:w="100" w:type="dxa"/>
              <w:bottom w:w="60" w:type="dxa"/>
              <w:right w:w="100" w:type="dxa"/>
            </w:tcMar>
            <w:vAlign w:val="center"/>
          </w:tcPr>
          <w:p w14:paraId="762C73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224C5A5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0.926</w:t>
            </w:r>
          </w:p>
        </w:tc>
        <w:tc>
          <w:tcPr>
            <w:tcW w:w="990" w:type="pct"/>
            <w:tcMar>
              <w:top w:w="60" w:type="dxa"/>
              <w:left w:w="100" w:type="dxa"/>
              <w:bottom w:w="60" w:type="dxa"/>
              <w:right w:w="100" w:type="dxa"/>
            </w:tcMar>
            <w:vAlign w:val="center"/>
          </w:tcPr>
          <w:p w14:paraId="6632D4A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04D3C2BE" w14:textId="77777777" w:rsidTr="00036983">
        <w:trPr>
          <w:jc w:val="center"/>
        </w:trPr>
        <w:tc>
          <w:tcPr>
            <w:tcW w:w="2188" w:type="pct"/>
            <w:shd w:val="clear" w:color="auto" w:fill="F2F2F2"/>
            <w:tcMar>
              <w:top w:w="60" w:type="dxa"/>
              <w:left w:w="100" w:type="dxa"/>
              <w:bottom w:w="60" w:type="dxa"/>
              <w:right w:w="100" w:type="dxa"/>
            </w:tcMar>
            <w:vAlign w:val="center"/>
          </w:tcPr>
          <w:p w14:paraId="3614291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الامتثال للمعايير الدولية</w:t>
            </w:r>
          </w:p>
        </w:tc>
        <w:tc>
          <w:tcPr>
            <w:tcW w:w="833" w:type="pct"/>
            <w:shd w:val="clear" w:color="auto" w:fill="F2F2F2"/>
            <w:tcMar>
              <w:top w:w="60" w:type="dxa"/>
              <w:left w:w="100" w:type="dxa"/>
              <w:bottom w:w="60" w:type="dxa"/>
              <w:right w:w="100" w:type="dxa"/>
            </w:tcMar>
            <w:vAlign w:val="center"/>
          </w:tcPr>
          <w:p w14:paraId="3E79A1F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7</w:t>
            </w:r>
          </w:p>
        </w:tc>
        <w:tc>
          <w:tcPr>
            <w:tcW w:w="990" w:type="pct"/>
            <w:shd w:val="clear" w:color="auto" w:fill="F2F2F2"/>
            <w:tcMar>
              <w:top w:w="60" w:type="dxa"/>
              <w:left w:w="100" w:type="dxa"/>
              <w:bottom w:w="60" w:type="dxa"/>
              <w:right w:w="100" w:type="dxa"/>
            </w:tcMar>
            <w:vAlign w:val="center"/>
          </w:tcPr>
          <w:p w14:paraId="5B473A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0.931</w:t>
            </w:r>
          </w:p>
        </w:tc>
        <w:tc>
          <w:tcPr>
            <w:tcW w:w="990" w:type="pct"/>
            <w:shd w:val="clear" w:color="auto" w:fill="F2F2F2"/>
            <w:tcMar>
              <w:top w:w="60" w:type="dxa"/>
              <w:left w:w="100" w:type="dxa"/>
              <w:bottom w:w="60" w:type="dxa"/>
              <w:right w:w="100" w:type="dxa"/>
            </w:tcMar>
            <w:vAlign w:val="center"/>
          </w:tcPr>
          <w:p w14:paraId="56909C9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C49DA9A" w14:textId="77777777" w:rsidTr="00036983">
        <w:trPr>
          <w:jc w:val="center"/>
        </w:trPr>
        <w:tc>
          <w:tcPr>
            <w:tcW w:w="2188" w:type="pct"/>
            <w:tcMar>
              <w:top w:w="60" w:type="dxa"/>
              <w:left w:w="100" w:type="dxa"/>
              <w:bottom w:w="60" w:type="dxa"/>
              <w:right w:w="100" w:type="dxa"/>
            </w:tcMar>
            <w:vAlign w:val="center"/>
          </w:tcPr>
          <w:p w14:paraId="4AE2B8D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الكفاءة التشغيلية المالية</w:t>
            </w:r>
          </w:p>
        </w:tc>
        <w:tc>
          <w:tcPr>
            <w:tcW w:w="833" w:type="pct"/>
            <w:tcMar>
              <w:top w:w="60" w:type="dxa"/>
              <w:left w:w="100" w:type="dxa"/>
              <w:bottom w:w="60" w:type="dxa"/>
              <w:right w:w="100" w:type="dxa"/>
            </w:tcMar>
            <w:vAlign w:val="center"/>
          </w:tcPr>
          <w:p w14:paraId="76DA8E7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39991E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0.918</w:t>
            </w:r>
          </w:p>
        </w:tc>
        <w:tc>
          <w:tcPr>
            <w:tcW w:w="990" w:type="pct"/>
            <w:tcMar>
              <w:top w:w="60" w:type="dxa"/>
              <w:left w:w="100" w:type="dxa"/>
              <w:bottom w:w="60" w:type="dxa"/>
              <w:right w:w="100" w:type="dxa"/>
            </w:tcMar>
            <w:vAlign w:val="center"/>
          </w:tcPr>
          <w:p w14:paraId="42373DC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A833186" w14:textId="77777777" w:rsidTr="00036983">
        <w:trPr>
          <w:jc w:val="center"/>
        </w:trPr>
        <w:tc>
          <w:tcPr>
            <w:tcW w:w="2188" w:type="pct"/>
            <w:shd w:val="clear" w:color="auto" w:fill="F2F2F2"/>
            <w:tcMar>
              <w:top w:w="60" w:type="dxa"/>
              <w:left w:w="100" w:type="dxa"/>
              <w:bottom w:w="60" w:type="dxa"/>
              <w:right w:w="100" w:type="dxa"/>
            </w:tcMar>
            <w:vAlign w:val="center"/>
          </w:tcPr>
          <w:p w14:paraId="185421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الأمن السيبراني المؤسسي</w:t>
            </w:r>
          </w:p>
        </w:tc>
        <w:tc>
          <w:tcPr>
            <w:tcW w:w="833" w:type="pct"/>
            <w:shd w:val="clear" w:color="auto" w:fill="F2F2F2"/>
            <w:tcMar>
              <w:top w:w="60" w:type="dxa"/>
              <w:left w:w="100" w:type="dxa"/>
              <w:bottom w:w="60" w:type="dxa"/>
              <w:right w:w="100" w:type="dxa"/>
            </w:tcMar>
            <w:vAlign w:val="center"/>
          </w:tcPr>
          <w:p w14:paraId="6E9930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shd w:val="clear" w:color="auto" w:fill="F2F2F2"/>
            <w:tcMar>
              <w:top w:w="60" w:type="dxa"/>
              <w:left w:w="100" w:type="dxa"/>
              <w:bottom w:w="60" w:type="dxa"/>
              <w:right w:w="100" w:type="dxa"/>
            </w:tcMar>
            <w:vAlign w:val="center"/>
          </w:tcPr>
          <w:p w14:paraId="05E9D41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0.902</w:t>
            </w:r>
          </w:p>
        </w:tc>
        <w:tc>
          <w:tcPr>
            <w:tcW w:w="990" w:type="pct"/>
            <w:shd w:val="clear" w:color="auto" w:fill="F2F2F2"/>
            <w:tcMar>
              <w:top w:w="60" w:type="dxa"/>
              <w:left w:w="100" w:type="dxa"/>
              <w:bottom w:w="60" w:type="dxa"/>
              <w:right w:w="100" w:type="dxa"/>
            </w:tcMar>
            <w:vAlign w:val="center"/>
          </w:tcPr>
          <w:p w14:paraId="7679677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F241D62" w14:textId="77777777" w:rsidTr="00036983">
        <w:trPr>
          <w:jc w:val="center"/>
        </w:trPr>
        <w:tc>
          <w:tcPr>
            <w:tcW w:w="2188" w:type="pct"/>
            <w:tcMar>
              <w:top w:w="60" w:type="dxa"/>
              <w:left w:w="100" w:type="dxa"/>
              <w:bottom w:w="60" w:type="dxa"/>
              <w:right w:w="100" w:type="dxa"/>
            </w:tcMar>
            <w:vAlign w:val="center"/>
          </w:tcPr>
          <w:p w14:paraId="060FADB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التوافق مع رؤية 2030</w:t>
            </w:r>
          </w:p>
        </w:tc>
        <w:tc>
          <w:tcPr>
            <w:tcW w:w="833" w:type="pct"/>
            <w:tcMar>
              <w:top w:w="60" w:type="dxa"/>
              <w:left w:w="100" w:type="dxa"/>
              <w:bottom w:w="60" w:type="dxa"/>
              <w:right w:w="100" w:type="dxa"/>
            </w:tcMar>
            <w:vAlign w:val="center"/>
          </w:tcPr>
          <w:p w14:paraId="2288C6C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743EDD6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0.930</w:t>
            </w:r>
          </w:p>
        </w:tc>
        <w:tc>
          <w:tcPr>
            <w:tcW w:w="990" w:type="pct"/>
            <w:tcMar>
              <w:top w:w="60" w:type="dxa"/>
              <w:left w:w="100" w:type="dxa"/>
              <w:bottom w:w="60" w:type="dxa"/>
              <w:right w:w="100" w:type="dxa"/>
            </w:tcMar>
            <w:vAlign w:val="center"/>
          </w:tcPr>
          <w:p w14:paraId="2AC127E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049FE525" w14:textId="77777777" w:rsidTr="00036983">
        <w:trPr>
          <w:jc w:val="center"/>
        </w:trPr>
        <w:tc>
          <w:tcPr>
            <w:tcW w:w="2188" w:type="pct"/>
            <w:shd w:val="clear" w:color="auto" w:fill="F2F2F2"/>
            <w:tcMar>
              <w:top w:w="60" w:type="dxa"/>
              <w:left w:w="100" w:type="dxa"/>
              <w:bottom w:w="60" w:type="dxa"/>
              <w:right w:w="100" w:type="dxa"/>
            </w:tcMar>
            <w:vAlign w:val="center"/>
          </w:tcPr>
          <w:p w14:paraId="3788245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تطبيق تقنية الترميز (إجمالي البُعدين الأول والثاني)</w:t>
            </w:r>
          </w:p>
        </w:tc>
        <w:tc>
          <w:tcPr>
            <w:tcW w:w="833" w:type="pct"/>
            <w:shd w:val="clear" w:color="auto" w:fill="F2F2F2"/>
            <w:tcMar>
              <w:top w:w="60" w:type="dxa"/>
              <w:left w:w="100" w:type="dxa"/>
              <w:bottom w:w="60" w:type="dxa"/>
              <w:right w:w="100" w:type="dxa"/>
            </w:tcMar>
            <w:vAlign w:val="center"/>
          </w:tcPr>
          <w:p w14:paraId="7CE74BC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13</w:t>
            </w:r>
          </w:p>
        </w:tc>
        <w:tc>
          <w:tcPr>
            <w:tcW w:w="990" w:type="pct"/>
            <w:shd w:val="clear" w:color="auto" w:fill="F2F2F2"/>
            <w:tcMar>
              <w:top w:w="60" w:type="dxa"/>
              <w:left w:w="100" w:type="dxa"/>
              <w:bottom w:w="60" w:type="dxa"/>
              <w:right w:w="100" w:type="dxa"/>
            </w:tcMar>
            <w:vAlign w:val="center"/>
          </w:tcPr>
          <w:p w14:paraId="5054507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0.962</w:t>
            </w:r>
          </w:p>
        </w:tc>
        <w:tc>
          <w:tcPr>
            <w:tcW w:w="990" w:type="pct"/>
            <w:shd w:val="clear" w:color="auto" w:fill="F2F2F2"/>
            <w:tcMar>
              <w:top w:w="60" w:type="dxa"/>
              <w:left w:w="100" w:type="dxa"/>
              <w:bottom w:w="60" w:type="dxa"/>
              <w:right w:w="100" w:type="dxa"/>
            </w:tcMar>
            <w:vAlign w:val="center"/>
          </w:tcPr>
          <w:p w14:paraId="4D9FC04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9515379" w14:textId="77777777" w:rsidTr="00036983">
        <w:trPr>
          <w:jc w:val="center"/>
        </w:trPr>
        <w:tc>
          <w:tcPr>
            <w:tcW w:w="2188" w:type="pct"/>
            <w:tcMar>
              <w:top w:w="60" w:type="dxa"/>
              <w:left w:w="100" w:type="dxa"/>
              <w:bottom w:w="60" w:type="dxa"/>
              <w:right w:w="100" w:type="dxa"/>
            </w:tcMar>
            <w:vAlign w:val="center"/>
          </w:tcPr>
          <w:p w14:paraId="05267A4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الأداة ككل (31 عبارة)</w:t>
            </w:r>
          </w:p>
        </w:tc>
        <w:tc>
          <w:tcPr>
            <w:tcW w:w="833" w:type="pct"/>
            <w:tcMar>
              <w:top w:w="60" w:type="dxa"/>
              <w:left w:w="100" w:type="dxa"/>
              <w:bottom w:w="60" w:type="dxa"/>
              <w:right w:w="100" w:type="dxa"/>
            </w:tcMar>
            <w:vAlign w:val="center"/>
          </w:tcPr>
          <w:p w14:paraId="302D0A3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31</w:t>
            </w:r>
          </w:p>
        </w:tc>
        <w:tc>
          <w:tcPr>
            <w:tcW w:w="990" w:type="pct"/>
            <w:tcMar>
              <w:top w:w="60" w:type="dxa"/>
              <w:left w:w="100" w:type="dxa"/>
              <w:bottom w:w="60" w:type="dxa"/>
              <w:right w:w="100" w:type="dxa"/>
            </w:tcMar>
            <w:vAlign w:val="center"/>
          </w:tcPr>
          <w:p w14:paraId="4AED004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0.980</w:t>
            </w:r>
          </w:p>
        </w:tc>
        <w:tc>
          <w:tcPr>
            <w:tcW w:w="990" w:type="pct"/>
            <w:tcMar>
              <w:top w:w="60" w:type="dxa"/>
              <w:left w:w="100" w:type="dxa"/>
              <w:bottom w:w="60" w:type="dxa"/>
              <w:right w:w="100" w:type="dxa"/>
            </w:tcMar>
            <w:vAlign w:val="center"/>
          </w:tcPr>
          <w:p w14:paraId="01313F2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1FFC36A8"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(4.19): قيم معامل ألفا كرونباخ لثبات أبعاد أداة الدراسة</w:t>
      </w:r>
    </w:p>
    <w:p w14:paraId="29C986FA"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يتبيّن من الجدول أعلاه أن جميع معاملات ألفا كرونباخ للأبعاد الخمسة تجاوزت القيمة (0.90)، وبلغ معامل الثبات الكلي للأداة (0.980)، وهي قيم مرتفعة جداً تفوق الحد الأدنى المقبول علمياً (0.70) بفارق كبير، مما يؤكد تمتع أداة الدراسة بدرجة عالية جداً من الثبات الداخلي، وصلاحيتها للاعتماد عليها في قياس متغيرات الدراسة واختبار فرضياتها.</w:t>
      </w:r>
    </w:p>
    <w:p w14:paraId="334BE449"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u w:val="single"/>
          <w:rtl/>
        </w:rPr>
        <w:t>رابعاً: اختبار افتراضات التحليل الإحصائي</w:t>
      </w:r>
    </w:p>
    <w:p w14:paraId="01819898"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يهدف هذا الجزء إلى التحقق من مدى تحقق افتراضات التحليل الإحصائي اللازمة لاستخدام الاختبارات الإحصائية المعتمدة في الدراسة، مثل: التوزيع الطبيعي للبيانات، وتجانس التباين، والاستقلالية، والارتباط الخطي (الرتبي)، وبيان مدى ملاءمة البيانات لهذه الاختبارات، بما يبرر اعتماد الأساليب الإحصائية اللامعلمية (Non-parametric) المحددة في الفصل الثالث.</w:t>
      </w:r>
    </w:p>
    <w:p w14:paraId="63C7AB0D"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1. اختبار التوزيع الطبيعي (Shapiro-Wilk)</w:t>
      </w:r>
    </w:p>
    <w:p w14:paraId="7DF9F586"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طُبِّق اختبار شابيرو-ويلك (Shapiro-Wilk) للتحقق من مدى اتباع بيانات أبعاد الدراسة الخمسة للتوزيع الطبيعي، حيث تشير القيمة الاحتمالية الأقل من (0.05) إلى انحراف البيانات عن التوزيع الطبيعي.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53"/>
        <w:gridCol w:w="1576"/>
        <w:gridCol w:w="1576"/>
        <w:gridCol w:w="1991"/>
      </w:tblGrid>
      <w:tr w:rsidR="007608E1" w:rsidRPr="00B5019C" w14:paraId="3420AD39" w14:textId="77777777" w:rsidTr="00036983">
        <w:trPr>
          <w:tblHeader/>
          <w:jc w:val="center"/>
        </w:trPr>
        <w:tc>
          <w:tcPr>
            <w:tcW w:w="1900" w:type="pct"/>
            <w:shd w:val="clear" w:color="auto" w:fill="2E5395"/>
            <w:tcMar>
              <w:top w:w="60" w:type="dxa"/>
              <w:left w:w="100" w:type="dxa"/>
              <w:bottom w:w="60" w:type="dxa"/>
              <w:right w:w="100" w:type="dxa"/>
            </w:tcMar>
            <w:vAlign w:val="center"/>
          </w:tcPr>
          <w:p w14:paraId="794D1F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البُعد</w:t>
            </w:r>
          </w:p>
        </w:tc>
        <w:tc>
          <w:tcPr>
            <w:tcW w:w="950" w:type="pct"/>
            <w:shd w:val="clear" w:color="auto" w:fill="2E5395"/>
            <w:tcMar>
              <w:top w:w="60" w:type="dxa"/>
              <w:left w:w="100" w:type="dxa"/>
              <w:bottom w:w="60" w:type="dxa"/>
              <w:right w:w="100" w:type="dxa"/>
            </w:tcMar>
            <w:vAlign w:val="center"/>
          </w:tcPr>
          <w:p w14:paraId="1EB4A0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قيمة الإحصائي (W)</w:t>
            </w:r>
          </w:p>
        </w:tc>
        <w:tc>
          <w:tcPr>
            <w:tcW w:w="950" w:type="pct"/>
            <w:shd w:val="clear" w:color="auto" w:fill="2E5395"/>
            <w:tcMar>
              <w:top w:w="60" w:type="dxa"/>
              <w:left w:w="100" w:type="dxa"/>
              <w:bottom w:w="60" w:type="dxa"/>
              <w:right w:w="100" w:type="dxa"/>
            </w:tcMar>
            <w:vAlign w:val="center"/>
          </w:tcPr>
          <w:p w14:paraId="128249B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القيمة الاحتمالية (p)</w:t>
            </w:r>
          </w:p>
        </w:tc>
        <w:tc>
          <w:tcPr>
            <w:tcW w:w="1200" w:type="pct"/>
            <w:shd w:val="clear" w:color="auto" w:fill="2E5395"/>
            <w:tcMar>
              <w:top w:w="60" w:type="dxa"/>
              <w:left w:w="100" w:type="dxa"/>
              <w:bottom w:w="60" w:type="dxa"/>
              <w:right w:w="100" w:type="dxa"/>
            </w:tcMar>
            <w:vAlign w:val="center"/>
          </w:tcPr>
          <w:p w14:paraId="2B5342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القرار</w:t>
            </w:r>
          </w:p>
        </w:tc>
      </w:tr>
      <w:tr w:rsidR="007608E1" w:rsidRPr="00B5019C" w14:paraId="2758B861" w14:textId="77777777" w:rsidTr="00036983">
        <w:trPr>
          <w:jc w:val="center"/>
        </w:trPr>
        <w:tc>
          <w:tcPr>
            <w:tcW w:w="1900" w:type="pct"/>
            <w:tcMar>
              <w:top w:w="60" w:type="dxa"/>
              <w:left w:w="100" w:type="dxa"/>
              <w:bottom w:w="60" w:type="dxa"/>
              <w:right w:w="100" w:type="dxa"/>
            </w:tcMar>
            <w:vAlign w:val="center"/>
          </w:tcPr>
          <w:p w14:paraId="64A22A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الترميز الأمني للبيانات</w:t>
            </w:r>
          </w:p>
        </w:tc>
        <w:tc>
          <w:tcPr>
            <w:tcW w:w="950" w:type="pct"/>
            <w:tcMar>
              <w:top w:w="60" w:type="dxa"/>
              <w:left w:w="100" w:type="dxa"/>
              <w:bottom w:w="60" w:type="dxa"/>
              <w:right w:w="100" w:type="dxa"/>
            </w:tcMar>
            <w:vAlign w:val="center"/>
          </w:tcPr>
          <w:p w14:paraId="3C4E75F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0.723</w:t>
            </w:r>
          </w:p>
        </w:tc>
        <w:tc>
          <w:tcPr>
            <w:tcW w:w="950" w:type="pct"/>
            <w:tcMar>
              <w:top w:w="60" w:type="dxa"/>
              <w:left w:w="100" w:type="dxa"/>
              <w:bottom w:w="60" w:type="dxa"/>
              <w:right w:w="100" w:type="dxa"/>
            </w:tcMar>
            <w:vAlign w:val="center"/>
          </w:tcPr>
          <w:p w14:paraId="2911693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1BFF2C7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776406B4" w14:textId="77777777" w:rsidTr="00036983">
        <w:trPr>
          <w:jc w:val="center"/>
        </w:trPr>
        <w:tc>
          <w:tcPr>
            <w:tcW w:w="1900" w:type="pct"/>
            <w:shd w:val="clear" w:color="auto" w:fill="F2F2F2"/>
            <w:tcMar>
              <w:top w:w="60" w:type="dxa"/>
              <w:left w:w="100" w:type="dxa"/>
              <w:bottom w:w="60" w:type="dxa"/>
              <w:right w:w="100" w:type="dxa"/>
            </w:tcMar>
            <w:vAlign w:val="center"/>
          </w:tcPr>
          <w:p w14:paraId="11A6261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الامتثال للمعايير الدولية</w:t>
            </w:r>
          </w:p>
        </w:tc>
        <w:tc>
          <w:tcPr>
            <w:tcW w:w="950" w:type="pct"/>
            <w:shd w:val="clear" w:color="auto" w:fill="F2F2F2"/>
            <w:tcMar>
              <w:top w:w="60" w:type="dxa"/>
              <w:left w:w="100" w:type="dxa"/>
              <w:bottom w:w="60" w:type="dxa"/>
              <w:right w:w="100" w:type="dxa"/>
            </w:tcMar>
            <w:vAlign w:val="center"/>
          </w:tcPr>
          <w:p w14:paraId="2E10642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0.744</w:t>
            </w:r>
          </w:p>
        </w:tc>
        <w:tc>
          <w:tcPr>
            <w:tcW w:w="950" w:type="pct"/>
            <w:shd w:val="clear" w:color="auto" w:fill="F2F2F2"/>
            <w:tcMar>
              <w:top w:w="60" w:type="dxa"/>
              <w:left w:w="100" w:type="dxa"/>
              <w:bottom w:w="60" w:type="dxa"/>
              <w:right w:w="100" w:type="dxa"/>
            </w:tcMar>
            <w:vAlign w:val="center"/>
          </w:tcPr>
          <w:p w14:paraId="45DEE23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12984A3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3D16854" w14:textId="77777777" w:rsidTr="00036983">
        <w:trPr>
          <w:jc w:val="center"/>
        </w:trPr>
        <w:tc>
          <w:tcPr>
            <w:tcW w:w="1900" w:type="pct"/>
            <w:tcMar>
              <w:top w:w="60" w:type="dxa"/>
              <w:left w:w="100" w:type="dxa"/>
              <w:bottom w:w="60" w:type="dxa"/>
              <w:right w:w="100" w:type="dxa"/>
            </w:tcMar>
            <w:vAlign w:val="center"/>
          </w:tcPr>
          <w:p w14:paraId="536228B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الكفاءة التشغيلية المالية</w:t>
            </w:r>
          </w:p>
        </w:tc>
        <w:tc>
          <w:tcPr>
            <w:tcW w:w="950" w:type="pct"/>
            <w:tcMar>
              <w:top w:w="60" w:type="dxa"/>
              <w:left w:w="100" w:type="dxa"/>
              <w:bottom w:w="60" w:type="dxa"/>
              <w:right w:w="100" w:type="dxa"/>
            </w:tcMar>
            <w:vAlign w:val="center"/>
          </w:tcPr>
          <w:p w14:paraId="77C0E1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0.787</w:t>
            </w:r>
          </w:p>
        </w:tc>
        <w:tc>
          <w:tcPr>
            <w:tcW w:w="950" w:type="pct"/>
            <w:tcMar>
              <w:top w:w="60" w:type="dxa"/>
              <w:left w:w="100" w:type="dxa"/>
              <w:bottom w:w="60" w:type="dxa"/>
              <w:right w:w="100" w:type="dxa"/>
            </w:tcMar>
            <w:vAlign w:val="center"/>
          </w:tcPr>
          <w:p w14:paraId="3DA90F9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19C7749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03F9C4E6" w14:textId="77777777" w:rsidTr="00036983">
        <w:trPr>
          <w:jc w:val="center"/>
        </w:trPr>
        <w:tc>
          <w:tcPr>
            <w:tcW w:w="1900" w:type="pct"/>
            <w:shd w:val="clear" w:color="auto" w:fill="F2F2F2"/>
            <w:tcMar>
              <w:top w:w="60" w:type="dxa"/>
              <w:left w:w="100" w:type="dxa"/>
              <w:bottom w:w="60" w:type="dxa"/>
              <w:right w:w="100" w:type="dxa"/>
            </w:tcMar>
            <w:vAlign w:val="center"/>
          </w:tcPr>
          <w:p w14:paraId="639C285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الأمن السيبراني المؤسسي</w:t>
            </w:r>
          </w:p>
        </w:tc>
        <w:tc>
          <w:tcPr>
            <w:tcW w:w="950" w:type="pct"/>
            <w:shd w:val="clear" w:color="auto" w:fill="F2F2F2"/>
            <w:tcMar>
              <w:top w:w="60" w:type="dxa"/>
              <w:left w:w="100" w:type="dxa"/>
              <w:bottom w:w="60" w:type="dxa"/>
              <w:right w:w="100" w:type="dxa"/>
            </w:tcMar>
            <w:vAlign w:val="center"/>
          </w:tcPr>
          <w:p w14:paraId="78C3A86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0.786</w:t>
            </w:r>
          </w:p>
        </w:tc>
        <w:tc>
          <w:tcPr>
            <w:tcW w:w="950" w:type="pct"/>
            <w:shd w:val="clear" w:color="auto" w:fill="F2F2F2"/>
            <w:tcMar>
              <w:top w:w="60" w:type="dxa"/>
              <w:left w:w="100" w:type="dxa"/>
              <w:bottom w:w="60" w:type="dxa"/>
              <w:right w:w="100" w:type="dxa"/>
            </w:tcMar>
            <w:vAlign w:val="center"/>
          </w:tcPr>
          <w:p w14:paraId="052076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497762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075CB388" w14:textId="77777777" w:rsidTr="00036983">
        <w:trPr>
          <w:jc w:val="center"/>
        </w:trPr>
        <w:tc>
          <w:tcPr>
            <w:tcW w:w="1900" w:type="pct"/>
            <w:tcMar>
              <w:top w:w="60" w:type="dxa"/>
              <w:left w:w="100" w:type="dxa"/>
              <w:bottom w:w="60" w:type="dxa"/>
              <w:right w:w="100" w:type="dxa"/>
            </w:tcMar>
            <w:vAlign w:val="center"/>
          </w:tcPr>
          <w:p w14:paraId="2003712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التوافق مع رؤية 2030</w:t>
            </w:r>
          </w:p>
        </w:tc>
        <w:tc>
          <w:tcPr>
            <w:tcW w:w="950" w:type="pct"/>
            <w:tcMar>
              <w:top w:w="60" w:type="dxa"/>
              <w:left w:w="100" w:type="dxa"/>
              <w:bottom w:w="60" w:type="dxa"/>
              <w:right w:w="100" w:type="dxa"/>
            </w:tcMar>
            <w:vAlign w:val="center"/>
          </w:tcPr>
          <w:p w14:paraId="3F19284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0.750</w:t>
            </w:r>
          </w:p>
        </w:tc>
        <w:tc>
          <w:tcPr>
            <w:tcW w:w="950" w:type="pct"/>
            <w:tcMar>
              <w:top w:w="60" w:type="dxa"/>
              <w:left w:w="100" w:type="dxa"/>
              <w:bottom w:w="60" w:type="dxa"/>
              <w:right w:w="100" w:type="dxa"/>
            </w:tcMar>
            <w:vAlign w:val="center"/>
          </w:tcPr>
          <w:p w14:paraId="432B2BB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6A3827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594FC6A1" w14:textId="77777777" w:rsidTr="00036983">
        <w:trPr>
          <w:jc w:val="center"/>
        </w:trPr>
        <w:tc>
          <w:tcPr>
            <w:tcW w:w="1900" w:type="pct"/>
            <w:shd w:val="clear" w:color="auto" w:fill="F2F2F2"/>
            <w:tcMar>
              <w:top w:w="60" w:type="dxa"/>
              <w:left w:w="100" w:type="dxa"/>
              <w:bottom w:w="60" w:type="dxa"/>
              <w:right w:w="100" w:type="dxa"/>
            </w:tcMar>
            <w:vAlign w:val="center"/>
          </w:tcPr>
          <w:p w14:paraId="0A600EC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تطبيق تقنية الترميز (إجمالي)</w:t>
            </w:r>
          </w:p>
        </w:tc>
        <w:tc>
          <w:tcPr>
            <w:tcW w:w="950" w:type="pct"/>
            <w:shd w:val="clear" w:color="auto" w:fill="F2F2F2"/>
            <w:tcMar>
              <w:top w:w="60" w:type="dxa"/>
              <w:left w:w="100" w:type="dxa"/>
              <w:bottom w:w="60" w:type="dxa"/>
              <w:right w:w="100" w:type="dxa"/>
            </w:tcMar>
            <w:vAlign w:val="center"/>
          </w:tcPr>
          <w:p w14:paraId="2223756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0.691</w:t>
            </w:r>
          </w:p>
        </w:tc>
        <w:tc>
          <w:tcPr>
            <w:tcW w:w="950" w:type="pct"/>
            <w:shd w:val="clear" w:color="auto" w:fill="F2F2F2"/>
            <w:tcMar>
              <w:top w:w="60" w:type="dxa"/>
              <w:left w:w="100" w:type="dxa"/>
              <w:bottom w:w="60" w:type="dxa"/>
              <w:right w:w="100" w:type="dxa"/>
            </w:tcMar>
            <w:vAlign w:val="center"/>
          </w:tcPr>
          <w:p w14:paraId="455BE87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71F183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bl>
    <w:p w14:paraId="6484009A"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(4.20): نتائج اختبار شابيرو-ويلك للتوزيع الطبيعي لأبعاد الدراسة</w:t>
      </w:r>
    </w:p>
    <w:p w14:paraId="37180649" w14:textId="77777777" w:rsidR="007608E1" w:rsidRPr="00B5019C" w:rsidRDefault="007608E1" w:rsidP="00E000FF">
      <w:pPr>
        <w:bidi/>
        <w:spacing w:after="0" w:line="360" w:lineRule="auto"/>
        <w:jc w:val="both"/>
        <w:rPr>
          <w:rFonts w:ascii="Simplified Arabic" w:eastAsia="Simplified Arabic" w:hAnsi="Simplified Arabic" w:cs="Simplified Arabic"/>
          <w:sz w:val="32"/>
          <w:szCs w:val="32"/>
          <w:rtl/>
        </w:rPr>
      </w:pPr>
      <w:r w:rsidRPr="00B5019C">
        <w:rPr>
          <w:rFonts w:ascii="Traditional Arabic" w:eastAsia="Simplified Arabic" w:hAnsi="Traditional Arabic" w:cs="Traditional Arabic"/>
          <w:sz w:val="28"/>
          <w:szCs w:val="28"/>
          <w:rtl/>
        </w:rPr>
        <w:t>يتضح من نتائج الجدول أن القيمة الاحتمالية لجميع أبعاد الدراسة جاءت أقل من (0.001)، وهو ما يشير إلى وجود انحراف دال إحصائياً عن التوزيع الطبيعي في بيانات جميع الأبعاد، ويعزى ذلك في جانب منه إلى طبيعة مقياس ليكرت الترتيبي (Ordinal) المستخدم وإلى الالتواء السلبي الملحوظ في الاستجابات نحو فئتي "أوافق" و"أوافق بشدة". وعليه، فإن هذه النتيجة تُبرِّر إحصائياً الاعتماد على الأساليب اللامعلمية (اختبار سبيرمان للارتباط، ومان-ويتني U، وكروسكال-واليس، والانحدار المنقّح) بدلاً من الأساليب المعلمية المناظرة، بما يتسق مع ما ورد في منهجية الفصل الثالث.</w:t>
      </w:r>
    </w:p>
    <w:p w14:paraId="2FB5FF67" w14:textId="77777777" w:rsidR="008B1684" w:rsidRDefault="008B1684" w:rsidP="00E000FF">
      <w:pPr>
        <w:bidi/>
        <w:spacing w:after="0" w:line="360" w:lineRule="auto"/>
        <w:jc w:val="both"/>
        <w:rPr>
          <w:rFonts w:ascii="Simplified Arabic" w:eastAsia="Simplified Arabic" w:hAnsi="Simplified Arabic" w:cs="Simplified Arabic"/>
          <w:sz w:val="28"/>
          <w:szCs w:val="28"/>
          <w:rtl/>
        </w:rPr>
      </w:pPr>
    </w:p>
    <w:p w14:paraId="7413E6EF" w14:textId="77777777" w:rsidR="008B1684" w:rsidRDefault="008B1684" w:rsidP="00E000FF">
      <w:pPr>
        <w:bidi/>
        <w:spacing w:after="0" w:line="360" w:lineRule="auto"/>
        <w:jc w:val="both"/>
      </w:pPr>
    </w:p>
    <w:p w14:paraId="3A8F5AD5"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2. اختبار تجانس التباين (Levene)</w:t>
      </w:r>
    </w:p>
    <w:p w14:paraId="289C6889"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طُبِّق اختبار ليفين (Levene's Test) للتحقق من تجانس التباين في درجات محور تطبيق تقنية الترميز بين المجموعات الثلاث لنوع المؤسسة (بنوك، فنتك ودفع إلكتروني، مؤسسات أخرى). وقد بلغت قيمة إحصائي ليفين (80.921) بقيمة احتمالية (0.001&gt;)، وهي أقل من (0.05)، مما يشير إلى عدم تجانس التباين بين المجموعات الثلاث. وتُعدّ هذه النتيجة مبرراً إحصائياً إضافياً لاستبعاد تحليل التباين الأحادي (ANOVA) المعلمي واعتماد اختبار كروسكال-واليس اللامعلمي بديلاً عنه عند اختبار الفرضية الخامسة.</w:t>
      </w:r>
    </w:p>
    <w:tbl>
      <w:tblPr>
        <w:bidiVisual/>
        <w:tblW w:w="8298"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719"/>
        <w:gridCol w:w="2371"/>
        <w:gridCol w:w="1304"/>
        <w:gridCol w:w="1304"/>
        <w:gridCol w:w="1600"/>
      </w:tblGrid>
      <w:tr w:rsidR="005D691F" w:rsidRPr="0047534A" w14:paraId="182D0E72" w14:textId="77777777" w:rsidTr="0047534A">
        <w:tc>
          <w:tcPr>
            <w:tcW w:w="1719" w:type="dxa"/>
            <w:shd w:val="clear" w:color="auto" w:fill="DCE9F5"/>
            <w:vAlign w:val="center"/>
          </w:tcPr>
          <w:p w14:paraId="13630A5E"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المتغير المقارَن</w:t>
            </w:r>
          </w:p>
        </w:tc>
        <w:tc>
          <w:tcPr>
            <w:tcW w:w="2371" w:type="dxa"/>
            <w:shd w:val="clear" w:color="auto" w:fill="DCE9F5"/>
            <w:vAlign w:val="center"/>
          </w:tcPr>
          <w:p w14:paraId="59916D45"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مجموعات المقارنة</w:t>
            </w:r>
          </w:p>
        </w:tc>
        <w:tc>
          <w:tcPr>
            <w:tcW w:w="1304" w:type="dxa"/>
            <w:shd w:val="clear" w:color="auto" w:fill="DCE9F5"/>
            <w:vAlign w:val="center"/>
          </w:tcPr>
          <w:p w14:paraId="3B19E7F4"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قيمة إحصائي ليفين</w:t>
            </w:r>
          </w:p>
        </w:tc>
        <w:tc>
          <w:tcPr>
            <w:tcW w:w="1304" w:type="dxa"/>
            <w:shd w:val="clear" w:color="auto" w:fill="DCE9F5"/>
            <w:vAlign w:val="center"/>
          </w:tcPr>
          <w:p w14:paraId="6BE44717"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القيمة الاحتمالية (p)</w:t>
            </w:r>
          </w:p>
        </w:tc>
        <w:tc>
          <w:tcPr>
            <w:tcW w:w="1600" w:type="dxa"/>
            <w:shd w:val="clear" w:color="auto" w:fill="DCE9F5"/>
            <w:vAlign w:val="center"/>
          </w:tcPr>
          <w:p w14:paraId="2F883A30"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القرار</w:t>
            </w:r>
          </w:p>
        </w:tc>
      </w:tr>
      <w:tr w:rsidR="005D691F" w:rsidRPr="0047534A" w14:paraId="47DDD578" w14:textId="77777777" w:rsidTr="0047534A">
        <w:tc>
          <w:tcPr>
            <w:tcW w:w="1719" w:type="dxa"/>
            <w:vAlign w:val="center"/>
          </w:tcPr>
          <w:p w14:paraId="138FD813"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تطبيق تقنية الترميز</w:t>
            </w:r>
          </w:p>
        </w:tc>
        <w:tc>
          <w:tcPr>
            <w:tcW w:w="2371" w:type="dxa"/>
            <w:vAlign w:val="center"/>
          </w:tcPr>
          <w:p w14:paraId="10610E46"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بنوك / فنتك ودفع إلكتروني / مؤسسات أخرى</w:t>
            </w:r>
          </w:p>
        </w:tc>
        <w:tc>
          <w:tcPr>
            <w:tcW w:w="1304" w:type="dxa"/>
            <w:vAlign w:val="center"/>
          </w:tcPr>
          <w:p w14:paraId="766D3DD6"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80.921</w:t>
            </w:r>
          </w:p>
        </w:tc>
        <w:tc>
          <w:tcPr>
            <w:tcW w:w="1304" w:type="dxa"/>
            <w:vAlign w:val="center"/>
          </w:tcPr>
          <w:p w14:paraId="57EA339A"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&lt; 0.001</w:t>
            </w:r>
          </w:p>
        </w:tc>
        <w:tc>
          <w:tcPr>
            <w:tcW w:w="1600" w:type="dxa"/>
            <w:vAlign w:val="center"/>
          </w:tcPr>
          <w:p w14:paraId="4ECA7456"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عدم تجانس التباين</w:t>
            </w:r>
          </w:p>
        </w:tc>
      </w:tr>
    </w:tbl>
    <w:p w14:paraId="24532859" w14:textId="77777777" w:rsidR="00B35152" w:rsidRDefault="00B35152" w:rsidP="00E000FF">
      <w:pPr>
        <w:pStyle w:val="TableCaption"/>
        <w:bidi/>
        <w:spacing w:after="0" w:line="300" w:lineRule="auto"/>
        <w:jc w:val="both"/>
        <w:rPr>
          <w:rFonts w:ascii="Simplified Arabic" w:hAnsi="Simplified Arabic" w:cs="Simplified Arabic"/>
          <w:sz w:val="28"/>
          <w:szCs w:val="28"/>
          <w:rtl/>
        </w:rPr>
      </w:pPr>
      <w:r>
        <w:rPr>
          <w:rFonts w:ascii="Traditional Arabic" w:hAnsi="Traditional Arabic" w:cs="Traditional Arabic"/>
          <w:b/>
          <w:bCs/>
          <w:sz w:val="24"/>
          <w:szCs w:val="24"/>
          <w:rtl/>
        </w:rPr>
        <w:t>جدول (4.20-أ): نتائج اختبار ليفين لتجانس التباين بين مجموعات نوع المؤسسة</w:t>
      </w:r>
    </w:p>
    <w:p w14:paraId="253FAA50"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يتضح من الجدول أن القيمة الاحتمالية لاختبار ليفين جاءت أقل من (0.05)، وهو ما يدل على عدم تجانس التباين بين المجموعات الثلاث. وتُعدّ هذه النتيجة مبرراً إحصائياً لاستبعاد تحليل التباين الأحادي المعلمي واعتماد اختبار كروسكال-واليس اللامعلمي بديلاً عنه.</w:t>
      </w:r>
    </w:p>
    <w:p w14:paraId="16757996"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اختبار الارتباط الخطي (الرتبي)</w:t>
      </w:r>
    </w:p>
    <w:p w14:paraId="33C61DA6"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نظراً لاعتماد الدراسة أسلوب الانحدار المنقّح (Robust Regression) لاختبار الفرضية الرابعة، جرى التحقق من وجود علاقة ارتباطية رتبية دالة بين محور تطبيق تقنية الترميز والمتغيرين التابعين (كفاءة العمليات المالية والأمن السيبراني المؤسسي) كشرط أساسي لملاءمة نموذج الانحدار.</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485"/>
        <w:gridCol w:w="1659"/>
        <w:gridCol w:w="1576"/>
        <w:gridCol w:w="1576"/>
      </w:tblGrid>
      <w:tr w:rsidR="007608E1" w14:paraId="75ABE63D" w14:textId="77777777" w:rsidTr="0047534A">
        <w:trPr>
          <w:tblHeader/>
        </w:trPr>
        <w:tc>
          <w:tcPr>
            <w:tcW w:w="2100" w:type="pct"/>
            <w:shd w:val="clear" w:color="auto" w:fill="2E5395"/>
            <w:tcMar>
              <w:top w:w="60" w:type="dxa"/>
              <w:left w:w="100" w:type="dxa"/>
              <w:bottom w:w="60" w:type="dxa"/>
              <w:right w:w="100" w:type="dxa"/>
            </w:tcMar>
            <w:vAlign w:val="center"/>
          </w:tcPr>
          <w:p w14:paraId="526C3EF2"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العلاقة</w:t>
            </w:r>
          </w:p>
        </w:tc>
        <w:tc>
          <w:tcPr>
            <w:tcW w:w="1000" w:type="pct"/>
            <w:shd w:val="clear" w:color="auto" w:fill="2E5395"/>
            <w:tcMar>
              <w:top w:w="60" w:type="dxa"/>
              <w:left w:w="100" w:type="dxa"/>
              <w:bottom w:w="60" w:type="dxa"/>
              <w:right w:w="100" w:type="dxa"/>
            </w:tcMar>
            <w:vAlign w:val="center"/>
          </w:tcPr>
          <w:p w14:paraId="1DB7BB5C"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معامل ارتباط سبيرمان (r)</w:t>
            </w:r>
          </w:p>
        </w:tc>
        <w:tc>
          <w:tcPr>
            <w:tcW w:w="950" w:type="pct"/>
            <w:shd w:val="clear" w:color="auto" w:fill="2E5395"/>
            <w:tcMar>
              <w:top w:w="60" w:type="dxa"/>
              <w:left w:w="100" w:type="dxa"/>
              <w:bottom w:w="60" w:type="dxa"/>
              <w:right w:w="100" w:type="dxa"/>
            </w:tcMar>
            <w:vAlign w:val="center"/>
          </w:tcPr>
          <w:p w14:paraId="2C9B6C0D"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50" w:type="pct"/>
            <w:shd w:val="clear" w:color="auto" w:fill="2E5395"/>
            <w:tcMar>
              <w:top w:w="60" w:type="dxa"/>
              <w:left w:w="100" w:type="dxa"/>
              <w:bottom w:w="60" w:type="dxa"/>
              <w:right w:w="100" w:type="dxa"/>
            </w:tcMar>
            <w:vAlign w:val="center"/>
          </w:tcPr>
          <w:p w14:paraId="618CE7F7"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القرار</w:t>
            </w:r>
          </w:p>
        </w:tc>
      </w:tr>
      <w:tr w:rsidR="007608E1" w14:paraId="581B5B1E" w14:textId="77777777" w:rsidTr="0047534A">
        <w:tc>
          <w:tcPr>
            <w:tcW w:w="2100" w:type="pct"/>
            <w:tcMar>
              <w:top w:w="60" w:type="dxa"/>
              <w:left w:w="100" w:type="dxa"/>
              <w:bottom w:w="60" w:type="dxa"/>
              <w:right w:w="100" w:type="dxa"/>
            </w:tcMar>
            <w:vAlign w:val="center"/>
          </w:tcPr>
          <w:p w14:paraId="5EACA77F"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تطبيق تقنية الترميز × الكفاءة التشغيلية المالية</w:t>
            </w:r>
          </w:p>
        </w:tc>
        <w:tc>
          <w:tcPr>
            <w:tcW w:w="1000" w:type="pct"/>
            <w:tcMar>
              <w:top w:w="60" w:type="dxa"/>
              <w:left w:w="100" w:type="dxa"/>
              <w:bottom w:w="60" w:type="dxa"/>
              <w:right w:w="100" w:type="dxa"/>
            </w:tcMar>
            <w:vAlign w:val="center"/>
          </w:tcPr>
          <w:p w14:paraId="20A29E36"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0.625</w:t>
            </w:r>
          </w:p>
        </w:tc>
        <w:tc>
          <w:tcPr>
            <w:tcW w:w="950" w:type="pct"/>
            <w:tcMar>
              <w:top w:w="60" w:type="dxa"/>
              <w:left w:w="100" w:type="dxa"/>
              <w:bottom w:w="60" w:type="dxa"/>
              <w:right w:w="100" w:type="dxa"/>
            </w:tcMar>
            <w:vAlign w:val="center"/>
          </w:tcPr>
          <w:p w14:paraId="199C46C0"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0.001&gt;</w:t>
            </w:r>
          </w:p>
        </w:tc>
        <w:tc>
          <w:tcPr>
            <w:tcW w:w="950" w:type="pct"/>
            <w:tcMar>
              <w:top w:w="60" w:type="dxa"/>
              <w:left w:w="100" w:type="dxa"/>
              <w:bottom w:w="60" w:type="dxa"/>
              <w:right w:w="100" w:type="dxa"/>
            </w:tcMar>
            <w:vAlign w:val="center"/>
          </w:tcPr>
          <w:p w14:paraId="1B52F205"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علاقة طردية دالة</w:t>
            </w:r>
          </w:p>
        </w:tc>
      </w:tr>
      <w:tr w:rsidR="007608E1" w14:paraId="4798D327" w14:textId="77777777" w:rsidTr="0047534A">
        <w:tc>
          <w:tcPr>
            <w:tcW w:w="2100" w:type="pct"/>
            <w:shd w:val="clear" w:color="auto" w:fill="F2F2F2"/>
            <w:tcMar>
              <w:top w:w="60" w:type="dxa"/>
              <w:left w:w="100" w:type="dxa"/>
              <w:bottom w:w="60" w:type="dxa"/>
              <w:right w:w="100" w:type="dxa"/>
            </w:tcMar>
            <w:vAlign w:val="center"/>
          </w:tcPr>
          <w:p w14:paraId="2C837BAB"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تطبيق تقنية الترميز × الأمن السيبراني المؤسسي</w:t>
            </w:r>
          </w:p>
        </w:tc>
        <w:tc>
          <w:tcPr>
            <w:tcW w:w="1000" w:type="pct"/>
            <w:shd w:val="clear" w:color="auto" w:fill="F2F2F2"/>
            <w:tcMar>
              <w:top w:w="60" w:type="dxa"/>
              <w:left w:w="100" w:type="dxa"/>
              <w:bottom w:w="60" w:type="dxa"/>
              <w:right w:w="100" w:type="dxa"/>
            </w:tcMar>
            <w:vAlign w:val="center"/>
          </w:tcPr>
          <w:p w14:paraId="4B2C2CEE"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0.641</w:t>
            </w:r>
          </w:p>
        </w:tc>
        <w:tc>
          <w:tcPr>
            <w:tcW w:w="950" w:type="pct"/>
            <w:shd w:val="clear" w:color="auto" w:fill="F2F2F2"/>
            <w:tcMar>
              <w:top w:w="60" w:type="dxa"/>
              <w:left w:w="100" w:type="dxa"/>
              <w:bottom w:w="60" w:type="dxa"/>
              <w:right w:w="100" w:type="dxa"/>
            </w:tcMar>
            <w:vAlign w:val="center"/>
          </w:tcPr>
          <w:p w14:paraId="78C4902E"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0.001&gt;</w:t>
            </w:r>
          </w:p>
        </w:tc>
        <w:tc>
          <w:tcPr>
            <w:tcW w:w="950" w:type="pct"/>
            <w:shd w:val="clear" w:color="auto" w:fill="F2F2F2"/>
            <w:tcMar>
              <w:top w:w="60" w:type="dxa"/>
              <w:left w:w="100" w:type="dxa"/>
              <w:bottom w:w="60" w:type="dxa"/>
              <w:right w:w="100" w:type="dxa"/>
            </w:tcMar>
            <w:vAlign w:val="center"/>
          </w:tcPr>
          <w:p w14:paraId="27DC403B"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علاقة طردية دالة</w:t>
            </w:r>
          </w:p>
        </w:tc>
      </w:tr>
    </w:tbl>
    <w:p w14:paraId="4CE95017"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(4.21): نتائج اختبار الارتباط الرتبي كشرط لملاءمة نموذج الانحدار المنقّح</w:t>
      </w:r>
    </w:p>
    <w:p w14:paraId="2DB262CA"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تشير النتائج إلى وجود علاقة ارتباطية طردية دالة إحصائياً بين محور تطبيق تقنية الترميز وكل من الكفاءة التشغيلية المالية والأمن السيبراني المؤسسي، مما يؤكد تحقق شرط العلاقة الاتجاهية اللازم لبناء نموذجي الانحدار المنقّح الواردين في الجزء السادس من هذا الفصل.</w:t>
      </w:r>
    </w:p>
    <w:p w14:paraId="2F84B075" w14:textId="77777777" w:rsidR="007608E1" w:rsidRDefault="007608E1" w:rsidP="00E000FF">
      <w:pPr>
        <w:bidi/>
        <w:spacing w:after="0" w:line="360" w:lineRule="auto"/>
        <w:jc w:val="both"/>
      </w:pPr>
      <w:r w:rsidRPr="0047534A">
        <w:rPr>
          <w:rFonts w:ascii="Traditional Arabic" w:eastAsia="Simplified Arabic" w:hAnsi="Traditional Arabic" w:cs="Traditional Arabic"/>
          <w:sz w:val="28"/>
          <w:szCs w:val="28"/>
          <w:rtl/>
        </w:rPr>
        <w:t>وبناءً على ما تقدم من نتائج اختبارات التوزيع الطبيعي وتجانس التباين، تقرر اعتماد الأساليب الإحصائية اللامعلمية التالية في اختبار فرضيات الدراسة: معامل ارتباط سبيرمان للرتب، واختبار مان-ويتني U، واختبار كروسكال-واليس، والانحدار المنقّح (Robust Regression) كبديل مقاوم للانحراف عن التوزيع الطبيعي وتبايناته غير المتجانسة.</w:t>
      </w:r>
    </w:p>
    <w:p w14:paraId="10724083"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u w:val="single"/>
          <w:rtl/>
        </w:rPr>
        <w:t>خامساً: اختبار فرضيات الدراسة</w:t>
      </w:r>
    </w:p>
    <w:p w14:paraId="0A21AA6C"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يتضمن هذا الجزء عرض نتائج اختبار فروض الدراسة الرئيسة الثلاثة وفروعها الستة وفق ترتيبها الوارد في الفصل الثالث، مع تحديد الاختبار الإحصائي المستخدم لكل فرض، ومستوى الدلالة المعتمد (0.05)، والقرار الإحصائي المتخذ، إلى جانب تفسير النتائج تفسيراً إحصائياً دون التوسع في المناقشة النظرية التي يُفرد لها الفصل الخامس.</w:t>
      </w:r>
    </w:p>
    <w:p w14:paraId="4893B9FD" w14:textId="77777777" w:rsidR="007608E1" w:rsidRDefault="007608E1" w:rsidP="00E000FF">
      <w:pPr>
        <w:bidi/>
        <w:spacing w:after="0" w:line="360" w:lineRule="auto"/>
        <w:jc w:val="both"/>
      </w:pPr>
      <w:r>
        <w:rPr>
          <w:rFonts w:ascii="Traditional Arabic" w:eastAsia="Simplified Arabic" w:hAnsi="Traditional Arabic" w:cs="Traditional Arabic"/>
          <w:b/>
          <w:bCs/>
          <w:sz w:val="24"/>
          <w:szCs w:val="24"/>
          <w:rtl/>
        </w:rPr>
        <w:lastRenderedPageBreak/>
        <w:t>الفرض الأول (H1): يوجد أثر ذو دلالة إحصائية لتطبيق تقنية الترميز والامتثال للمعايير الدولية على الأمن السيبراني المؤسسي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rsidRPr="00F153B7" w14:paraId="2444B093" w14:textId="77777777" w:rsidTr="007D4210">
        <w:trPr>
          <w:tblHeader/>
          <w:jc w:val="center"/>
        </w:trPr>
        <w:tc>
          <w:tcPr>
            <w:tcW w:w="979" w:type="pct"/>
            <w:shd w:val="clear" w:color="auto" w:fill="2E5395"/>
            <w:tcMar>
              <w:top w:w="60" w:type="dxa"/>
              <w:left w:w="100" w:type="dxa"/>
              <w:bottom w:w="60" w:type="dxa"/>
              <w:right w:w="100" w:type="dxa"/>
            </w:tcMar>
            <w:vAlign w:val="center"/>
          </w:tcPr>
          <w:p w14:paraId="6653070F"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المستقل</w:t>
            </w:r>
          </w:p>
        </w:tc>
        <w:tc>
          <w:tcPr>
            <w:tcW w:w="979" w:type="pct"/>
            <w:shd w:val="clear" w:color="auto" w:fill="2E5395"/>
            <w:tcMar>
              <w:top w:w="60" w:type="dxa"/>
              <w:left w:w="100" w:type="dxa"/>
              <w:bottom w:w="60" w:type="dxa"/>
              <w:right w:w="100" w:type="dxa"/>
            </w:tcMar>
            <w:vAlign w:val="center"/>
          </w:tcPr>
          <w:p w14:paraId="1A42B6B9"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التابع</w:t>
            </w:r>
          </w:p>
        </w:tc>
        <w:tc>
          <w:tcPr>
            <w:tcW w:w="876" w:type="pct"/>
            <w:shd w:val="clear" w:color="auto" w:fill="2E5395"/>
            <w:tcMar>
              <w:top w:w="60" w:type="dxa"/>
              <w:left w:w="100" w:type="dxa"/>
              <w:bottom w:w="60" w:type="dxa"/>
              <w:right w:w="100" w:type="dxa"/>
            </w:tcMar>
            <w:vAlign w:val="center"/>
          </w:tcPr>
          <w:p w14:paraId="0C689CBE"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معامل ارتباط سبيرمان (r)</w:t>
            </w:r>
          </w:p>
        </w:tc>
        <w:tc>
          <w:tcPr>
            <w:tcW w:w="773" w:type="pct"/>
            <w:shd w:val="clear" w:color="auto" w:fill="2E5395"/>
            <w:tcMar>
              <w:top w:w="60" w:type="dxa"/>
              <w:left w:w="100" w:type="dxa"/>
              <w:bottom w:w="60" w:type="dxa"/>
              <w:right w:w="100" w:type="dxa"/>
            </w:tcMar>
            <w:vAlign w:val="center"/>
          </w:tcPr>
          <w:p w14:paraId="2451EE15"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515" w:type="pct"/>
            <w:shd w:val="clear" w:color="auto" w:fill="2E5395"/>
            <w:tcMar>
              <w:top w:w="60" w:type="dxa"/>
              <w:left w:w="100" w:type="dxa"/>
              <w:bottom w:w="60" w:type="dxa"/>
              <w:right w:w="100" w:type="dxa"/>
            </w:tcMar>
            <w:vAlign w:val="center"/>
          </w:tcPr>
          <w:p w14:paraId="762752EC"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حجم العينة (n)</w:t>
            </w:r>
          </w:p>
        </w:tc>
        <w:tc>
          <w:tcPr>
            <w:tcW w:w="876" w:type="pct"/>
            <w:shd w:val="clear" w:color="auto" w:fill="2E5395"/>
            <w:tcMar>
              <w:top w:w="60" w:type="dxa"/>
              <w:left w:w="100" w:type="dxa"/>
              <w:bottom w:w="60" w:type="dxa"/>
              <w:right w:w="100" w:type="dxa"/>
            </w:tcMar>
            <w:vAlign w:val="center"/>
          </w:tcPr>
          <w:p w14:paraId="5DA529E2"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 الإحصائية</w:t>
            </w:r>
          </w:p>
        </w:tc>
      </w:tr>
      <w:tr w:rsidR="007608E1" w:rsidRPr="00F153B7" w14:paraId="6A2B3D65" w14:textId="77777777" w:rsidTr="007D4210">
        <w:trPr>
          <w:jc w:val="center"/>
        </w:trPr>
        <w:tc>
          <w:tcPr>
            <w:tcW w:w="979" w:type="pct"/>
            <w:tcMar>
              <w:top w:w="60" w:type="dxa"/>
              <w:left w:w="100" w:type="dxa"/>
              <w:bottom w:w="60" w:type="dxa"/>
              <w:right w:w="100" w:type="dxa"/>
            </w:tcMar>
            <w:vAlign w:val="center"/>
          </w:tcPr>
          <w:p w14:paraId="7A36B956"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تطبيق تقنية الترميز</w:t>
            </w:r>
          </w:p>
        </w:tc>
        <w:tc>
          <w:tcPr>
            <w:tcW w:w="979" w:type="pct"/>
            <w:tcMar>
              <w:top w:w="60" w:type="dxa"/>
              <w:left w:w="100" w:type="dxa"/>
              <w:bottom w:w="60" w:type="dxa"/>
              <w:right w:w="100" w:type="dxa"/>
            </w:tcMar>
            <w:vAlign w:val="center"/>
          </w:tcPr>
          <w:p w14:paraId="20711274"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الأمن السيبراني المؤسسي</w:t>
            </w:r>
          </w:p>
        </w:tc>
        <w:tc>
          <w:tcPr>
            <w:tcW w:w="876" w:type="pct"/>
            <w:tcMar>
              <w:top w:w="60" w:type="dxa"/>
              <w:left w:w="100" w:type="dxa"/>
              <w:bottom w:w="60" w:type="dxa"/>
              <w:right w:w="100" w:type="dxa"/>
            </w:tcMar>
            <w:vAlign w:val="center"/>
          </w:tcPr>
          <w:p w14:paraId="2CDDA982"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0.641</w:t>
            </w:r>
          </w:p>
        </w:tc>
        <w:tc>
          <w:tcPr>
            <w:tcW w:w="773" w:type="pct"/>
            <w:tcMar>
              <w:top w:w="60" w:type="dxa"/>
              <w:left w:w="100" w:type="dxa"/>
              <w:bottom w:w="60" w:type="dxa"/>
              <w:right w:w="100" w:type="dxa"/>
            </w:tcMar>
            <w:vAlign w:val="center"/>
          </w:tcPr>
          <w:p w14:paraId="4EBCB100"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515" w:type="pct"/>
            <w:tcMar>
              <w:top w:w="60" w:type="dxa"/>
              <w:left w:w="100" w:type="dxa"/>
              <w:bottom w:w="60" w:type="dxa"/>
              <w:right w:w="100" w:type="dxa"/>
            </w:tcMar>
            <w:vAlign w:val="center"/>
          </w:tcPr>
          <w:p w14:paraId="37DF1F7F"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196</w:t>
            </w:r>
          </w:p>
        </w:tc>
        <w:tc>
          <w:tcPr>
            <w:tcW w:w="876" w:type="pct"/>
            <w:tcMar>
              <w:top w:w="60" w:type="dxa"/>
              <w:left w:w="100" w:type="dxa"/>
              <w:bottom w:w="60" w:type="dxa"/>
              <w:right w:w="100" w:type="dxa"/>
            </w:tcMar>
            <w:vAlign w:val="center"/>
          </w:tcPr>
          <w:p w14:paraId="05C82475"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17DF41EE"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(4.22): نتائج اختبار معامل ارتباط سبيرمان للفرضية الأولى</w:t>
      </w:r>
    </w:p>
    <w:p w14:paraId="6AF11310"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t>أظهرت نتائج معامل ارتباط سبيرمان وجود علاقة ارتباطية طردية قوية ودالة إحصائياً بين تطبيق تقنية الترميز ومستوى الأمن السيبراني المؤسسي (r = 0.641، p &lt; 0.001)، وبذلك تُقبَل الفرضية الأولى، أي يوجد أثر ذو دلالة إحصائية لتطبيق تقنية الترميز على مستوى الأمن السيبراني في المؤسسات المالية السعودية.</w:t>
      </w:r>
    </w:p>
    <w:p w14:paraId="3D753138"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وفيما يخص الفرعين، أظهرت نتائج نموذج الانحدار المنقّح الثاني (جدول 4.28) أن بُعد الترميز الأمني للبيانات يؤثر تأثيراً موجباً ودالاً إحصائياً في الأمن السيبراني المؤسسي (B = 0.329، t = 5.889، p &lt; 0.001)، وبذلك يُقبَل الفرض الفرعي H1a. كما أظهرت النتائج أن بُعد الامتثال للمعايير الدولية يؤثر تأثيراً موجباً ودالاً إحصائياً في المتغير ذاته (B = 0.557، t = 8.747، p &lt; 0.001)، وبذلك يُقبَل الفرض الفرعي H1b، مع تفوّق نسبي لأثر بُعد الامتثال.</w:t>
      </w:r>
    </w:p>
    <w:p w14:paraId="53EDF41B" w14:textId="77777777" w:rsidR="007608E1" w:rsidRPr="00F153B7" w:rsidRDefault="007608E1" w:rsidP="00E000FF">
      <w:pPr>
        <w:bidi/>
        <w:spacing w:after="0" w:line="360" w:lineRule="auto"/>
        <w:jc w:val="both"/>
        <w:rPr>
          <w:sz w:val="26"/>
          <w:szCs w:val="26"/>
        </w:rPr>
      </w:pPr>
      <w:r>
        <w:rPr>
          <w:rFonts w:ascii="Traditional Arabic" w:eastAsia="Simplified Arabic" w:hAnsi="Traditional Arabic" w:cs="Traditional Arabic"/>
          <w:b/>
          <w:bCs/>
          <w:sz w:val="28"/>
          <w:szCs w:val="28"/>
          <w:rtl/>
        </w:rPr>
        <w:t>الفرض الثاني (H2): يوجد أثر ذو دلالة إحصائية لتطبيق تقنية الترميز والامتثال للمعايير الدولية على كفاءة العمليات المالية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rsidRPr="00F153B7" w14:paraId="018E8CF3" w14:textId="77777777" w:rsidTr="00F153B7">
        <w:trPr>
          <w:tblHeader/>
          <w:jc w:val="center"/>
        </w:trPr>
        <w:tc>
          <w:tcPr>
            <w:tcW w:w="979" w:type="pct"/>
            <w:shd w:val="clear" w:color="auto" w:fill="2E5395"/>
            <w:tcMar>
              <w:top w:w="60" w:type="dxa"/>
              <w:left w:w="100" w:type="dxa"/>
              <w:bottom w:w="60" w:type="dxa"/>
              <w:right w:w="100" w:type="dxa"/>
            </w:tcMar>
            <w:vAlign w:val="center"/>
          </w:tcPr>
          <w:p w14:paraId="6ABA839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المستقل</w:t>
            </w:r>
          </w:p>
        </w:tc>
        <w:tc>
          <w:tcPr>
            <w:tcW w:w="979" w:type="pct"/>
            <w:shd w:val="clear" w:color="auto" w:fill="2E5395"/>
            <w:tcMar>
              <w:top w:w="60" w:type="dxa"/>
              <w:left w:w="100" w:type="dxa"/>
              <w:bottom w:w="60" w:type="dxa"/>
              <w:right w:w="100" w:type="dxa"/>
            </w:tcMar>
            <w:vAlign w:val="center"/>
          </w:tcPr>
          <w:p w14:paraId="1056A17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التابع</w:t>
            </w:r>
          </w:p>
        </w:tc>
        <w:tc>
          <w:tcPr>
            <w:tcW w:w="876" w:type="pct"/>
            <w:shd w:val="clear" w:color="auto" w:fill="2E5395"/>
            <w:tcMar>
              <w:top w:w="60" w:type="dxa"/>
              <w:left w:w="100" w:type="dxa"/>
              <w:bottom w:w="60" w:type="dxa"/>
              <w:right w:w="100" w:type="dxa"/>
            </w:tcMar>
            <w:vAlign w:val="center"/>
          </w:tcPr>
          <w:p w14:paraId="667CAD10"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معامل ارتباط سبيرمان (r)</w:t>
            </w:r>
          </w:p>
        </w:tc>
        <w:tc>
          <w:tcPr>
            <w:tcW w:w="773" w:type="pct"/>
            <w:shd w:val="clear" w:color="auto" w:fill="2E5395"/>
            <w:tcMar>
              <w:top w:w="60" w:type="dxa"/>
              <w:left w:w="100" w:type="dxa"/>
              <w:bottom w:w="60" w:type="dxa"/>
              <w:right w:w="100" w:type="dxa"/>
            </w:tcMar>
            <w:vAlign w:val="center"/>
          </w:tcPr>
          <w:p w14:paraId="58083B6B"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515" w:type="pct"/>
            <w:shd w:val="clear" w:color="auto" w:fill="2E5395"/>
            <w:tcMar>
              <w:top w:w="60" w:type="dxa"/>
              <w:left w:w="100" w:type="dxa"/>
              <w:bottom w:w="60" w:type="dxa"/>
              <w:right w:w="100" w:type="dxa"/>
            </w:tcMar>
            <w:vAlign w:val="center"/>
          </w:tcPr>
          <w:p w14:paraId="4EDC545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حجم العينة (n)</w:t>
            </w:r>
          </w:p>
        </w:tc>
        <w:tc>
          <w:tcPr>
            <w:tcW w:w="876" w:type="pct"/>
            <w:shd w:val="clear" w:color="auto" w:fill="2E5395"/>
            <w:tcMar>
              <w:top w:w="60" w:type="dxa"/>
              <w:left w:w="100" w:type="dxa"/>
              <w:bottom w:w="60" w:type="dxa"/>
              <w:right w:w="100" w:type="dxa"/>
            </w:tcMar>
            <w:vAlign w:val="center"/>
          </w:tcPr>
          <w:p w14:paraId="759C204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 الإحصائية</w:t>
            </w:r>
          </w:p>
        </w:tc>
      </w:tr>
      <w:tr w:rsidR="007608E1" w:rsidRPr="00F153B7" w14:paraId="2EB5F6B7" w14:textId="77777777" w:rsidTr="00F153B7">
        <w:trPr>
          <w:jc w:val="center"/>
        </w:trPr>
        <w:tc>
          <w:tcPr>
            <w:tcW w:w="979" w:type="pct"/>
            <w:tcMar>
              <w:top w:w="60" w:type="dxa"/>
              <w:left w:w="100" w:type="dxa"/>
              <w:bottom w:w="60" w:type="dxa"/>
              <w:right w:w="100" w:type="dxa"/>
            </w:tcMar>
            <w:vAlign w:val="center"/>
          </w:tcPr>
          <w:p w14:paraId="54C1FB40"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تطبيق تقنية الترميز</w:t>
            </w:r>
          </w:p>
        </w:tc>
        <w:tc>
          <w:tcPr>
            <w:tcW w:w="979" w:type="pct"/>
            <w:tcMar>
              <w:top w:w="60" w:type="dxa"/>
              <w:left w:w="100" w:type="dxa"/>
              <w:bottom w:w="60" w:type="dxa"/>
              <w:right w:w="100" w:type="dxa"/>
            </w:tcMar>
            <w:vAlign w:val="center"/>
          </w:tcPr>
          <w:p w14:paraId="30D0B03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الكفاءة التشغيلية المالية</w:t>
            </w:r>
          </w:p>
        </w:tc>
        <w:tc>
          <w:tcPr>
            <w:tcW w:w="876" w:type="pct"/>
            <w:tcMar>
              <w:top w:w="60" w:type="dxa"/>
              <w:left w:w="100" w:type="dxa"/>
              <w:bottom w:w="60" w:type="dxa"/>
              <w:right w:w="100" w:type="dxa"/>
            </w:tcMar>
            <w:vAlign w:val="center"/>
          </w:tcPr>
          <w:p w14:paraId="510473B0"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0.625</w:t>
            </w:r>
          </w:p>
        </w:tc>
        <w:tc>
          <w:tcPr>
            <w:tcW w:w="773" w:type="pct"/>
            <w:tcMar>
              <w:top w:w="60" w:type="dxa"/>
              <w:left w:w="100" w:type="dxa"/>
              <w:bottom w:w="60" w:type="dxa"/>
              <w:right w:w="100" w:type="dxa"/>
            </w:tcMar>
            <w:vAlign w:val="center"/>
          </w:tcPr>
          <w:p w14:paraId="32D6F4A4"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515" w:type="pct"/>
            <w:tcMar>
              <w:top w:w="60" w:type="dxa"/>
              <w:left w:w="100" w:type="dxa"/>
              <w:bottom w:w="60" w:type="dxa"/>
              <w:right w:w="100" w:type="dxa"/>
            </w:tcMar>
            <w:vAlign w:val="center"/>
          </w:tcPr>
          <w:p w14:paraId="7B73F8EA"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196</w:t>
            </w:r>
          </w:p>
        </w:tc>
        <w:tc>
          <w:tcPr>
            <w:tcW w:w="876" w:type="pct"/>
            <w:tcMar>
              <w:top w:w="60" w:type="dxa"/>
              <w:left w:w="100" w:type="dxa"/>
              <w:bottom w:w="60" w:type="dxa"/>
              <w:right w:w="100" w:type="dxa"/>
            </w:tcMar>
            <w:vAlign w:val="center"/>
          </w:tcPr>
          <w:p w14:paraId="2B2111D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15C6984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(4.23): نتائج اختبار معامل ارتباط سبيرمان للفرضية الثانية</w:t>
      </w:r>
    </w:p>
    <w:p w14:paraId="7ECBE447"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lastRenderedPageBreak/>
        <w:t>أظهرت النتائج وجود علاقة ارتباطية طردية قوية ودالة إحصائياً بين تطبيق تقنية الترميز وكفاءة العمليات المالية (r = 0.625، p &lt; 0.001)، وبذلك تُقبَل الفرضية الثانية، أي يوجد أثر ذو دلالة إحصائية لتطبيق تقنية الترميز على كفاءة العمليات المالية في المؤسسات المالية السعودية.</w:t>
      </w:r>
    </w:p>
    <w:p w14:paraId="6F0182DB"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وفيما يخص الفرعين، أظهرت نتائج نموذج الانحدار المنقّح الأول (جدول 4.27) أن بُعد الترميز الأمني للبيانات يؤثر تأثيراً موجباً ودالاً إحصائياً في الكفاءة التشغيلية المالية (B = 0.173، t = 3.103، p = 0.002)، وبذلك يُقبَل الفرض الفرعي H2a. كما أظهرت النتائج أن بُعد الامتثال للمعايير الدولية يؤثر تأثيراً موجباً ودالاً إحصائياً في المتغير ذاته (B = 0.677، t = 10.672، p &lt; 0.001)، وبذلك يُقبَل الفرض الفرعي H2b.</w:t>
      </w:r>
    </w:p>
    <w:p w14:paraId="2806108F"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الفرض الثالث (H3): توجد فروق ذات دلالة إحصائية في مستوى الامتثال للمعايير الدولية والأمن السيبراني المؤسسي تُعزى إلى مستوى تبنّي المؤسسة المالية السعودية لتقنية الترميز</w:t>
      </w:r>
    </w:p>
    <w:p w14:paraId="0BB60150"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ويُختبَر هذا الفرض من خلال فرعيه: H3a الخاص ببُعد الامتثال للمعايير الدولية، وH3b الخاص ببُعد الأمن السيبراني المؤسسي.</w:t>
      </w:r>
    </w:p>
    <w:p w14:paraId="605D18DA"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t>اختُبرت هذه الفرضية باستخدام اختبار مان-ويتني U للمقارنة بين مجموعتين: المؤسسات المعتمِدة لتقنية الترميز حالياً (بشكل كامل أو جزئي) والمؤسسات غير المعتمِدة لها (المخطِّطة أو التي لا توجد لديها خطط)، وذلك على بُعدي الامتثال للمعايير الدولية والأمن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21"/>
        <w:gridCol w:w="1117"/>
        <w:gridCol w:w="553"/>
        <w:gridCol w:w="1290"/>
        <w:gridCol w:w="436"/>
        <w:gridCol w:w="859"/>
        <w:gridCol w:w="1204"/>
        <w:gridCol w:w="1116"/>
      </w:tblGrid>
      <w:tr w:rsidR="007608E1" w:rsidRPr="00F153B7" w14:paraId="18AB7CD9" w14:textId="77777777" w:rsidTr="00F153B7">
        <w:trPr>
          <w:tblHeader/>
          <w:jc w:val="center"/>
        </w:trPr>
        <w:tc>
          <w:tcPr>
            <w:tcW w:w="1045" w:type="pct"/>
            <w:shd w:val="clear" w:color="auto" w:fill="2E5395"/>
            <w:tcMar>
              <w:top w:w="60" w:type="dxa"/>
              <w:left w:w="100" w:type="dxa"/>
              <w:bottom w:w="60" w:type="dxa"/>
              <w:right w:w="100" w:type="dxa"/>
            </w:tcMar>
            <w:vAlign w:val="center"/>
          </w:tcPr>
          <w:p w14:paraId="6E8F454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البُعد</w:t>
            </w:r>
          </w:p>
        </w:tc>
        <w:tc>
          <w:tcPr>
            <w:tcW w:w="681" w:type="pct"/>
            <w:shd w:val="clear" w:color="auto" w:fill="2E5395"/>
            <w:tcMar>
              <w:top w:w="60" w:type="dxa"/>
              <w:left w:w="100" w:type="dxa"/>
              <w:bottom w:w="60" w:type="dxa"/>
              <w:right w:w="100" w:type="dxa"/>
            </w:tcMar>
            <w:vAlign w:val="center"/>
          </w:tcPr>
          <w:p w14:paraId="096185B8"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متوسط المعتمِدة</w:t>
            </w:r>
          </w:p>
        </w:tc>
        <w:tc>
          <w:tcPr>
            <w:tcW w:w="288" w:type="pct"/>
            <w:shd w:val="clear" w:color="auto" w:fill="2E5395"/>
            <w:tcMar>
              <w:top w:w="60" w:type="dxa"/>
              <w:left w:w="100" w:type="dxa"/>
              <w:bottom w:w="60" w:type="dxa"/>
              <w:right w:w="100" w:type="dxa"/>
            </w:tcMar>
            <w:vAlign w:val="center"/>
          </w:tcPr>
          <w:p w14:paraId="7D539DE9"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ن</w:t>
            </w:r>
          </w:p>
        </w:tc>
        <w:tc>
          <w:tcPr>
            <w:tcW w:w="785" w:type="pct"/>
            <w:shd w:val="clear" w:color="auto" w:fill="2E5395"/>
            <w:tcMar>
              <w:top w:w="60" w:type="dxa"/>
              <w:left w:w="100" w:type="dxa"/>
              <w:bottom w:w="60" w:type="dxa"/>
              <w:right w:w="100" w:type="dxa"/>
            </w:tcMar>
            <w:vAlign w:val="center"/>
          </w:tcPr>
          <w:p w14:paraId="0BDDEB1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متوسط غير المعتمِدة</w:t>
            </w:r>
          </w:p>
        </w:tc>
        <w:tc>
          <w:tcPr>
            <w:tcW w:w="263" w:type="pct"/>
            <w:shd w:val="clear" w:color="auto" w:fill="2E5395"/>
            <w:tcMar>
              <w:top w:w="60" w:type="dxa"/>
              <w:left w:w="100" w:type="dxa"/>
              <w:bottom w:w="60" w:type="dxa"/>
              <w:right w:w="100" w:type="dxa"/>
            </w:tcMar>
            <w:vAlign w:val="center"/>
          </w:tcPr>
          <w:p w14:paraId="5B904CA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ن</w:t>
            </w:r>
          </w:p>
        </w:tc>
        <w:tc>
          <w:tcPr>
            <w:tcW w:w="525" w:type="pct"/>
            <w:shd w:val="clear" w:color="auto" w:fill="2E5395"/>
            <w:tcMar>
              <w:top w:w="60" w:type="dxa"/>
              <w:left w:w="100" w:type="dxa"/>
              <w:bottom w:w="60" w:type="dxa"/>
              <w:right w:w="100" w:type="dxa"/>
            </w:tcMar>
            <w:vAlign w:val="center"/>
          </w:tcPr>
          <w:p w14:paraId="49D8D20B"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قيمة U</w:t>
            </w:r>
          </w:p>
        </w:tc>
        <w:tc>
          <w:tcPr>
            <w:tcW w:w="733" w:type="pct"/>
            <w:shd w:val="clear" w:color="auto" w:fill="2E5395"/>
            <w:tcMar>
              <w:top w:w="60" w:type="dxa"/>
              <w:left w:w="100" w:type="dxa"/>
              <w:bottom w:w="60" w:type="dxa"/>
              <w:right w:w="100" w:type="dxa"/>
            </w:tcMar>
            <w:vAlign w:val="center"/>
          </w:tcPr>
          <w:p w14:paraId="1DFEDF1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681" w:type="pct"/>
            <w:shd w:val="clear" w:color="auto" w:fill="2E5395"/>
            <w:tcMar>
              <w:top w:w="60" w:type="dxa"/>
              <w:left w:w="100" w:type="dxa"/>
              <w:bottom w:w="60" w:type="dxa"/>
              <w:right w:w="100" w:type="dxa"/>
            </w:tcMar>
            <w:vAlign w:val="center"/>
          </w:tcPr>
          <w:p w14:paraId="55C243A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w:t>
            </w:r>
          </w:p>
        </w:tc>
      </w:tr>
      <w:tr w:rsidR="007608E1" w:rsidRPr="00F153B7" w14:paraId="7244B762" w14:textId="77777777" w:rsidTr="00F153B7">
        <w:trPr>
          <w:jc w:val="center"/>
        </w:trPr>
        <w:tc>
          <w:tcPr>
            <w:tcW w:w="1045" w:type="pct"/>
            <w:tcMar>
              <w:top w:w="60" w:type="dxa"/>
              <w:left w:w="100" w:type="dxa"/>
              <w:bottom w:w="60" w:type="dxa"/>
              <w:right w:w="100" w:type="dxa"/>
            </w:tcMar>
            <w:vAlign w:val="center"/>
          </w:tcPr>
          <w:p w14:paraId="05E1565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الامتثال للمعايير الدولية</w:t>
            </w:r>
          </w:p>
        </w:tc>
        <w:tc>
          <w:tcPr>
            <w:tcW w:w="681" w:type="pct"/>
            <w:tcMar>
              <w:top w:w="60" w:type="dxa"/>
              <w:left w:w="100" w:type="dxa"/>
              <w:bottom w:w="60" w:type="dxa"/>
              <w:right w:w="100" w:type="dxa"/>
            </w:tcMar>
            <w:vAlign w:val="center"/>
          </w:tcPr>
          <w:p w14:paraId="30BB1D34"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4.663</w:t>
            </w:r>
          </w:p>
        </w:tc>
        <w:tc>
          <w:tcPr>
            <w:tcW w:w="288" w:type="pct"/>
            <w:tcMar>
              <w:top w:w="60" w:type="dxa"/>
              <w:left w:w="100" w:type="dxa"/>
              <w:bottom w:w="60" w:type="dxa"/>
              <w:right w:w="100" w:type="dxa"/>
            </w:tcMar>
            <w:vAlign w:val="center"/>
          </w:tcPr>
          <w:p w14:paraId="155C318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162</w:t>
            </w:r>
          </w:p>
        </w:tc>
        <w:tc>
          <w:tcPr>
            <w:tcW w:w="785" w:type="pct"/>
            <w:tcMar>
              <w:top w:w="60" w:type="dxa"/>
              <w:left w:w="100" w:type="dxa"/>
              <w:bottom w:w="60" w:type="dxa"/>
              <w:right w:w="100" w:type="dxa"/>
            </w:tcMar>
            <w:vAlign w:val="center"/>
          </w:tcPr>
          <w:p w14:paraId="0CE5CA0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3.021</w:t>
            </w:r>
          </w:p>
        </w:tc>
        <w:tc>
          <w:tcPr>
            <w:tcW w:w="263" w:type="pct"/>
            <w:tcMar>
              <w:top w:w="60" w:type="dxa"/>
              <w:left w:w="100" w:type="dxa"/>
              <w:bottom w:w="60" w:type="dxa"/>
              <w:right w:w="100" w:type="dxa"/>
            </w:tcMar>
            <w:vAlign w:val="center"/>
          </w:tcPr>
          <w:p w14:paraId="66839C1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34</w:t>
            </w:r>
          </w:p>
        </w:tc>
        <w:tc>
          <w:tcPr>
            <w:tcW w:w="525" w:type="pct"/>
            <w:tcMar>
              <w:top w:w="60" w:type="dxa"/>
              <w:left w:w="100" w:type="dxa"/>
              <w:bottom w:w="60" w:type="dxa"/>
              <w:right w:w="100" w:type="dxa"/>
            </w:tcMar>
            <w:vAlign w:val="center"/>
          </w:tcPr>
          <w:p w14:paraId="62093298"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5258.5</w:t>
            </w:r>
          </w:p>
        </w:tc>
        <w:tc>
          <w:tcPr>
            <w:tcW w:w="733" w:type="pct"/>
            <w:tcMar>
              <w:top w:w="60" w:type="dxa"/>
              <w:left w:w="100" w:type="dxa"/>
              <w:bottom w:w="60" w:type="dxa"/>
              <w:right w:w="100" w:type="dxa"/>
            </w:tcMar>
            <w:vAlign w:val="center"/>
          </w:tcPr>
          <w:p w14:paraId="15E6C930"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681" w:type="pct"/>
            <w:tcMar>
              <w:top w:w="60" w:type="dxa"/>
              <w:left w:w="100" w:type="dxa"/>
              <w:bottom w:w="60" w:type="dxa"/>
              <w:right w:w="100" w:type="dxa"/>
            </w:tcMar>
            <w:vAlign w:val="center"/>
          </w:tcPr>
          <w:p w14:paraId="51C0F35A"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r w:rsidR="007608E1" w:rsidRPr="00F153B7" w14:paraId="305B1F46" w14:textId="77777777" w:rsidTr="00F153B7">
        <w:trPr>
          <w:jc w:val="center"/>
        </w:trPr>
        <w:tc>
          <w:tcPr>
            <w:tcW w:w="1045" w:type="pct"/>
            <w:shd w:val="clear" w:color="auto" w:fill="F2F2F2"/>
            <w:tcMar>
              <w:top w:w="60" w:type="dxa"/>
              <w:left w:w="100" w:type="dxa"/>
              <w:bottom w:w="60" w:type="dxa"/>
              <w:right w:w="100" w:type="dxa"/>
            </w:tcMar>
            <w:vAlign w:val="center"/>
          </w:tcPr>
          <w:p w14:paraId="513C15D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الأمن السيبراني المؤسسي</w:t>
            </w:r>
          </w:p>
        </w:tc>
        <w:tc>
          <w:tcPr>
            <w:tcW w:w="681" w:type="pct"/>
            <w:shd w:val="clear" w:color="auto" w:fill="F2F2F2"/>
            <w:tcMar>
              <w:top w:w="60" w:type="dxa"/>
              <w:left w:w="100" w:type="dxa"/>
              <w:bottom w:w="60" w:type="dxa"/>
              <w:right w:w="100" w:type="dxa"/>
            </w:tcMar>
            <w:vAlign w:val="center"/>
          </w:tcPr>
          <w:p w14:paraId="091E16CC"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4.578</w:t>
            </w:r>
          </w:p>
        </w:tc>
        <w:tc>
          <w:tcPr>
            <w:tcW w:w="288" w:type="pct"/>
            <w:shd w:val="clear" w:color="auto" w:fill="F2F2F2"/>
            <w:tcMar>
              <w:top w:w="60" w:type="dxa"/>
              <w:left w:w="100" w:type="dxa"/>
              <w:bottom w:w="60" w:type="dxa"/>
              <w:right w:w="100" w:type="dxa"/>
            </w:tcMar>
            <w:vAlign w:val="center"/>
          </w:tcPr>
          <w:p w14:paraId="625D4D19"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162</w:t>
            </w:r>
          </w:p>
        </w:tc>
        <w:tc>
          <w:tcPr>
            <w:tcW w:w="785" w:type="pct"/>
            <w:shd w:val="clear" w:color="auto" w:fill="F2F2F2"/>
            <w:tcMar>
              <w:top w:w="60" w:type="dxa"/>
              <w:left w:w="100" w:type="dxa"/>
              <w:bottom w:w="60" w:type="dxa"/>
              <w:right w:w="100" w:type="dxa"/>
            </w:tcMar>
            <w:vAlign w:val="center"/>
          </w:tcPr>
          <w:p w14:paraId="3063B2B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3.054</w:t>
            </w:r>
          </w:p>
        </w:tc>
        <w:tc>
          <w:tcPr>
            <w:tcW w:w="263" w:type="pct"/>
            <w:shd w:val="clear" w:color="auto" w:fill="F2F2F2"/>
            <w:tcMar>
              <w:top w:w="60" w:type="dxa"/>
              <w:left w:w="100" w:type="dxa"/>
              <w:bottom w:w="60" w:type="dxa"/>
              <w:right w:w="100" w:type="dxa"/>
            </w:tcMar>
            <w:vAlign w:val="center"/>
          </w:tcPr>
          <w:p w14:paraId="7BCCE3C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34</w:t>
            </w:r>
          </w:p>
        </w:tc>
        <w:tc>
          <w:tcPr>
            <w:tcW w:w="525" w:type="pct"/>
            <w:shd w:val="clear" w:color="auto" w:fill="F2F2F2"/>
            <w:tcMar>
              <w:top w:w="60" w:type="dxa"/>
              <w:left w:w="100" w:type="dxa"/>
              <w:bottom w:w="60" w:type="dxa"/>
              <w:right w:w="100" w:type="dxa"/>
            </w:tcMar>
            <w:vAlign w:val="center"/>
          </w:tcPr>
          <w:p w14:paraId="7E4A8747"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5201.5</w:t>
            </w:r>
          </w:p>
        </w:tc>
        <w:tc>
          <w:tcPr>
            <w:tcW w:w="733" w:type="pct"/>
            <w:shd w:val="clear" w:color="auto" w:fill="F2F2F2"/>
            <w:tcMar>
              <w:top w:w="60" w:type="dxa"/>
              <w:left w:w="100" w:type="dxa"/>
              <w:bottom w:w="60" w:type="dxa"/>
              <w:right w:w="100" w:type="dxa"/>
            </w:tcMar>
            <w:vAlign w:val="center"/>
          </w:tcPr>
          <w:p w14:paraId="0C34AE1A"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681" w:type="pct"/>
            <w:shd w:val="clear" w:color="auto" w:fill="F2F2F2"/>
            <w:tcMar>
              <w:top w:w="60" w:type="dxa"/>
              <w:left w:w="100" w:type="dxa"/>
              <w:bottom w:w="60" w:type="dxa"/>
              <w:right w:w="100" w:type="dxa"/>
            </w:tcMar>
            <w:vAlign w:val="center"/>
          </w:tcPr>
          <w:p w14:paraId="5C07BFE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32CB860A" w14:textId="77777777" w:rsidR="00F36ECD" w:rsidRDefault="007608E1" w:rsidP="00E000FF">
      <w:pPr>
        <w:pStyle w:val="TableCaption"/>
        <w:bidi/>
        <w:spacing w:after="0" w:line="300" w:lineRule="auto"/>
        <w:jc w:val="center"/>
        <w:rPr>
          <w:rFonts w:ascii="Simplified Arabic" w:eastAsia="Simplified Arabic" w:hAnsi="Simplified Arabic" w:cs="Simplified Arabic"/>
          <w:b/>
          <w:bCs/>
          <w:sz w:val="24"/>
          <w:szCs w:val="24"/>
          <w:rtl/>
        </w:rPr>
      </w:pPr>
      <w:r>
        <w:rPr>
          <w:rFonts w:ascii="Traditional Arabic" w:eastAsia="Simplified Arabic" w:hAnsi="Traditional Arabic" w:cs="Traditional Arabic"/>
          <w:b/>
          <w:bCs/>
          <w:sz w:val="24"/>
          <w:szCs w:val="24"/>
          <w:rtl/>
        </w:rPr>
        <w:t>جدول (4.24): نتائج اختبار مان-ويتني U للفروق بين المؤسسات المعتمِدة وغير المعتمِدة لتقنية الترميز</w:t>
      </w:r>
    </w:p>
    <w:p w14:paraId="44E1FDA8" w14:textId="77777777" w:rsidR="00F36ECD" w:rsidRDefault="00F36ECD" w:rsidP="00E000FF">
      <w:pPr>
        <w:bidi/>
        <w:spacing w:after="0" w:line="360" w:lineRule="auto"/>
        <w:jc w:val="both"/>
        <w:rPr>
          <w:rFonts w:ascii="Simplified Arabic" w:eastAsia="Simplified Arabic" w:hAnsi="Simplified Arabic" w:cs="Simplified Arabic"/>
          <w:b/>
          <w:bCs/>
          <w:sz w:val="24"/>
          <w:szCs w:val="24"/>
          <w:rtl/>
        </w:rPr>
      </w:pPr>
    </w:p>
    <w:p w14:paraId="2CCCEF92" w14:textId="77777777"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sz w:val="28"/>
          <w:szCs w:val="28"/>
          <w:rtl/>
        </w:rPr>
        <w:t xml:space="preserve">أظهرت نتائج اختبار مان-ويتني U وجود فروق دالة إحصائياً بين المؤسسات المعتمِدة لتقنية الترميز وغير المعتمِدة لها على كلا البُعدين؛ إذ سجّلت المؤسسات المعتمِدة (ن = 162) متوسط استجابة أعلى على بُعد الامتثال للمعايير الدولية (4.663) مقارنة بالمؤسسات غير المعتمِدة (ن = 34، متوسط = 3.021) بقيمة (U = 5258.5، p </w:t>
      </w:r>
      <w:r w:rsidRPr="00F7361A">
        <w:rPr>
          <w:rFonts w:ascii="Traditional Arabic" w:eastAsia="Simplified Arabic" w:hAnsi="Traditional Arabic" w:cs="Traditional Arabic"/>
          <w:sz w:val="28"/>
          <w:szCs w:val="28"/>
          <w:rtl/>
        </w:rPr>
        <w:lastRenderedPageBreak/>
        <w:t>&lt; 0.001)، وكذلك على بُعد الأمن السيبراني المؤسسي (4.578 مقابل 3.054 على التوالي) بقيمة (U = 5201.5، p &lt; 0.001). وبذلك تُقبَل الفرضية الثالثة، أي توجد فروق ذات دلالة إحصائية في مستوى الامتثال التنظيمي والأمن السيبراني المُدرَك تُعزى إلى مستوى تبنّي المؤسسة لتقنية الترميز، لصالح المؤسسات المعتمِدة لها.</w:t>
      </w:r>
    </w:p>
    <w:p w14:paraId="4D0F9033" w14:textId="77777777"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b/>
          <w:bCs/>
          <w:sz w:val="28"/>
          <w:szCs w:val="28"/>
          <w:rtl/>
        </w:rPr>
        <w:t>الفرضية الرابعة (H4): يوجد أثر ذو دلالة إحصائية لتطبيق تقنية الترميز على كل من كفاءة العمليات المالية والأمن السيبراني المؤسسي (نموذج الانحدار المنقّح)</w:t>
      </w:r>
    </w:p>
    <w:p w14:paraId="691BDE66" w14:textId="77777777" w:rsidR="007608E1" w:rsidRPr="00F7361A" w:rsidRDefault="007608E1" w:rsidP="00E000FF">
      <w:pPr>
        <w:bidi/>
        <w:spacing w:after="0" w:line="360" w:lineRule="auto"/>
        <w:jc w:val="both"/>
        <w:rPr>
          <w:sz w:val="28"/>
          <w:szCs w:val="28"/>
        </w:rPr>
      </w:pPr>
      <w:r>
        <w:rPr>
          <w:rFonts w:ascii="Traditional Arabic" w:eastAsia="Simplified Arabic" w:hAnsi="Traditional Arabic" w:cs="Traditional Arabic"/>
          <w:b/>
          <w:bCs/>
          <w:sz w:val="28"/>
          <w:szCs w:val="28"/>
          <w:rtl/>
        </w:rPr>
        <w:t>نتيجة تكميلية (خارج نطاق الفروض): الفروق في مستوى التوافق مع رؤية 2030 تبعاً لنوع المؤسسة المالية</w:t>
      </w:r>
    </w:p>
    <w:p w14:paraId="6D2FE224" w14:textId="77777777" w:rsidR="007608E1" w:rsidRDefault="007608E1" w:rsidP="00E000FF">
      <w:pPr>
        <w:bidi/>
        <w:spacing w:after="0" w:line="360" w:lineRule="auto"/>
        <w:jc w:val="both"/>
      </w:pPr>
      <w:r>
        <w:rPr>
          <w:rFonts w:ascii="Traditional Arabic" w:eastAsia="Simplified Arabic" w:hAnsi="Traditional Arabic" w:cs="Traditional Arabic"/>
          <w:sz w:val="28"/>
          <w:szCs w:val="28"/>
          <w:rtl/>
        </w:rPr>
        <w:t>أُجري اختبار كروسكال-واليس (Kruskal-Wallis) للمقارنة بين المجموعات الثلاث لنوع المؤسسة (بنوك، فنتك ودفع إلكتروني، مؤسسات أخرى) على بُعد التوافق مع رؤية 2030. وتُعرَض هذه النتيجة بوصفها نتيجة وصفية تكميلية تخدم الإطار التفسيري للدراسة وربطها بالسياق الوطني، ولا تُعدّ اختباراً لأي من فروض الدراسة الثلاثة، إذ لم يُدرَج هذا البُعد ضمن متغيرات النموذج المستقلة أو التابعة.</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2074"/>
        <w:gridCol w:w="2592"/>
      </w:tblGrid>
      <w:tr w:rsidR="007608E1" w:rsidRPr="00F7361A" w14:paraId="2D4D61E6" w14:textId="77777777" w:rsidTr="00036983">
        <w:trPr>
          <w:tblHeader/>
        </w:trPr>
        <w:tc>
          <w:tcPr>
            <w:tcW w:w="2188" w:type="pct"/>
            <w:shd w:val="clear" w:color="auto" w:fill="2E5395"/>
            <w:tcMar>
              <w:top w:w="60" w:type="dxa"/>
              <w:left w:w="100" w:type="dxa"/>
              <w:bottom w:w="60" w:type="dxa"/>
              <w:right w:w="100" w:type="dxa"/>
            </w:tcMar>
            <w:vAlign w:val="center"/>
          </w:tcPr>
          <w:p w14:paraId="61037F47"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مجموعة نوع المؤسسة</w:t>
            </w:r>
          </w:p>
        </w:tc>
        <w:tc>
          <w:tcPr>
            <w:tcW w:w="1250" w:type="pct"/>
            <w:shd w:val="clear" w:color="auto" w:fill="2E5395"/>
            <w:tcMar>
              <w:top w:w="60" w:type="dxa"/>
              <w:left w:w="100" w:type="dxa"/>
              <w:bottom w:w="60" w:type="dxa"/>
              <w:right w:w="100" w:type="dxa"/>
            </w:tcMar>
            <w:vAlign w:val="center"/>
          </w:tcPr>
          <w:p w14:paraId="5E36BEE7"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حجم المجموعة (ن)</w:t>
            </w:r>
          </w:p>
        </w:tc>
        <w:tc>
          <w:tcPr>
            <w:tcW w:w="1563" w:type="pct"/>
            <w:shd w:val="clear" w:color="auto" w:fill="2E5395"/>
            <w:tcMar>
              <w:top w:w="60" w:type="dxa"/>
              <w:left w:w="100" w:type="dxa"/>
              <w:bottom w:w="60" w:type="dxa"/>
              <w:right w:w="100" w:type="dxa"/>
            </w:tcMar>
            <w:vAlign w:val="center"/>
          </w:tcPr>
          <w:p w14:paraId="75468446"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متوسط الرتب / الدرجة</w:t>
            </w:r>
          </w:p>
        </w:tc>
      </w:tr>
      <w:tr w:rsidR="007608E1" w:rsidRPr="00F7361A" w14:paraId="0DE1E6AC" w14:textId="77777777" w:rsidTr="00036983">
        <w:tc>
          <w:tcPr>
            <w:tcW w:w="2188" w:type="pct"/>
            <w:tcMar>
              <w:top w:w="60" w:type="dxa"/>
              <w:left w:w="100" w:type="dxa"/>
              <w:bottom w:w="60" w:type="dxa"/>
              <w:right w:w="100" w:type="dxa"/>
            </w:tcMar>
            <w:vAlign w:val="center"/>
          </w:tcPr>
          <w:p w14:paraId="0CB180C3"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مؤسسات أخرى</w:t>
            </w:r>
          </w:p>
        </w:tc>
        <w:tc>
          <w:tcPr>
            <w:tcW w:w="1250" w:type="pct"/>
            <w:tcMar>
              <w:top w:w="60" w:type="dxa"/>
              <w:left w:w="100" w:type="dxa"/>
              <w:bottom w:w="60" w:type="dxa"/>
              <w:right w:w="100" w:type="dxa"/>
            </w:tcMar>
            <w:vAlign w:val="center"/>
          </w:tcPr>
          <w:p w14:paraId="10A561E7"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62</w:t>
            </w:r>
          </w:p>
        </w:tc>
        <w:tc>
          <w:tcPr>
            <w:tcW w:w="1563" w:type="pct"/>
            <w:tcMar>
              <w:top w:w="60" w:type="dxa"/>
              <w:left w:w="100" w:type="dxa"/>
              <w:bottom w:w="60" w:type="dxa"/>
              <w:right w:w="100" w:type="dxa"/>
            </w:tcMar>
            <w:vAlign w:val="center"/>
          </w:tcPr>
          <w:p w14:paraId="33A9A313"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3.906</w:t>
            </w:r>
          </w:p>
        </w:tc>
      </w:tr>
      <w:tr w:rsidR="007608E1" w:rsidRPr="00F7361A" w14:paraId="31CD16C3" w14:textId="77777777" w:rsidTr="00036983">
        <w:tc>
          <w:tcPr>
            <w:tcW w:w="2188" w:type="pct"/>
            <w:shd w:val="clear" w:color="auto" w:fill="F2F2F2"/>
            <w:tcMar>
              <w:top w:w="60" w:type="dxa"/>
              <w:left w:w="100" w:type="dxa"/>
              <w:bottom w:w="60" w:type="dxa"/>
              <w:right w:w="100" w:type="dxa"/>
            </w:tcMar>
            <w:vAlign w:val="center"/>
          </w:tcPr>
          <w:p w14:paraId="2E5B150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بنوك</w:t>
            </w:r>
          </w:p>
        </w:tc>
        <w:tc>
          <w:tcPr>
            <w:tcW w:w="1250" w:type="pct"/>
            <w:shd w:val="clear" w:color="auto" w:fill="F2F2F2"/>
            <w:tcMar>
              <w:top w:w="60" w:type="dxa"/>
              <w:left w:w="100" w:type="dxa"/>
              <w:bottom w:w="60" w:type="dxa"/>
              <w:right w:w="100" w:type="dxa"/>
            </w:tcMar>
            <w:vAlign w:val="center"/>
          </w:tcPr>
          <w:p w14:paraId="77416389"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87</w:t>
            </w:r>
          </w:p>
        </w:tc>
        <w:tc>
          <w:tcPr>
            <w:tcW w:w="1563" w:type="pct"/>
            <w:shd w:val="clear" w:color="auto" w:fill="F2F2F2"/>
            <w:tcMar>
              <w:top w:w="60" w:type="dxa"/>
              <w:left w:w="100" w:type="dxa"/>
              <w:bottom w:w="60" w:type="dxa"/>
              <w:right w:w="100" w:type="dxa"/>
            </w:tcMar>
            <w:vAlign w:val="center"/>
          </w:tcPr>
          <w:p w14:paraId="2294640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4.695</w:t>
            </w:r>
          </w:p>
        </w:tc>
      </w:tr>
      <w:tr w:rsidR="007608E1" w:rsidRPr="00F7361A" w14:paraId="2B251E93" w14:textId="77777777" w:rsidTr="00036983">
        <w:tc>
          <w:tcPr>
            <w:tcW w:w="2188" w:type="pct"/>
            <w:tcMar>
              <w:top w:w="60" w:type="dxa"/>
              <w:left w:w="100" w:type="dxa"/>
              <w:bottom w:w="60" w:type="dxa"/>
              <w:right w:w="100" w:type="dxa"/>
            </w:tcMar>
            <w:vAlign w:val="center"/>
          </w:tcPr>
          <w:p w14:paraId="23EF0A9D"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فنتك ودفع إلكتروني</w:t>
            </w:r>
          </w:p>
        </w:tc>
        <w:tc>
          <w:tcPr>
            <w:tcW w:w="1250" w:type="pct"/>
            <w:tcMar>
              <w:top w:w="60" w:type="dxa"/>
              <w:left w:w="100" w:type="dxa"/>
              <w:bottom w:w="60" w:type="dxa"/>
              <w:right w:w="100" w:type="dxa"/>
            </w:tcMar>
            <w:vAlign w:val="center"/>
          </w:tcPr>
          <w:p w14:paraId="2476DF5C"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47</w:t>
            </w:r>
          </w:p>
        </w:tc>
        <w:tc>
          <w:tcPr>
            <w:tcW w:w="1563" w:type="pct"/>
            <w:tcMar>
              <w:top w:w="60" w:type="dxa"/>
              <w:left w:w="100" w:type="dxa"/>
              <w:bottom w:w="60" w:type="dxa"/>
              <w:right w:w="100" w:type="dxa"/>
            </w:tcMar>
            <w:vAlign w:val="center"/>
          </w:tcPr>
          <w:p w14:paraId="7F639A58"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4.840</w:t>
            </w:r>
          </w:p>
        </w:tc>
      </w:tr>
    </w:tbl>
    <w:p w14:paraId="4A12C9F0"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(4.25): المتوسطات الحسابية لبُعد التوافق مع رؤية 2030 حسب مجموعات نوع المؤسسة (H = 61.326, p 0.001&gt;)</w:t>
      </w:r>
    </w:p>
    <w:p w14:paraId="4DD9E28A" w14:textId="77777777" w:rsidR="007608E1" w:rsidRPr="003620CC" w:rsidRDefault="007608E1" w:rsidP="00E000FF">
      <w:pPr>
        <w:bidi/>
        <w:spacing w:after="0" w:line="360" w:lineRule="auto"/>
        <w:jc w:val="both"/>
        <w:rPr>
          <w:sz w:val="26"/>
          <w:szCs w:val="26"/>
        </w:rPr>
      </w:pPr>
      <w:r>
        <w:rPr>
          <w:rFonts w:ascii="Traditional Arabic" w:eastAsia="Simplified Arabic" w:hAnsi="Traditional Arabic" w:cs="Traditional Arabic"/>
          <w:sz w:val="28"/>
          <w:szCs w:val="28"/>
          <w:rtl/>
        </w:rPr>
        <w:t>أظهرت نتائج الاختبار وجود فروق دالة إحصائياً في مستوى التوافق مع رؤية 2030 تُعزى إلى نوع المؤسسة (H = 61.326، p &lt; 0.001)، إذ سجّلت مؤسسات الفنتك والدفع الإلكتروني أعلى المتوسطات (4.840)، تلتها البنوك (4.695)، ثم المؤسسات المالية الأخرى (3.906). وتُقرَأ هذه النتيجة في ضوء الإطار التفسيري للدراسة بوصفها مؤشراً على تفاوت جاهزية أنواع المؤسسات المالية للتحول الرقمي، ويُفرَد لمناقشتها موضع في الفصل الخامس.</w:t>
      </w:r>
    </w:p>
    <w:p w14:paraId="3AD4A69E"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ملخص نتائج اختبار الفرضيات</w:t>
      </w:r>
    </w:p>
    <w:tbl>
      <w:tblPr>
        <w:tblStyle w:val="TableGrid"/>
        <w:bidiVisual/>
        <w:tblW w:w="10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900"/>
        <w:gridCol w:w="3500"/>
        <w:gridCol w:w="2200"/>
        <w:gridCol w:w="2600"/>
        <w:gridCol w:w="1100"/>
      </w:tblGrid>
      <w:tr w:rsidR="00827F40" w14:paraId="0F94B324" w14:textId="77777777">
        <w:trPr>
          <w:tblHeader/>
        </w:trPr>
        <w:tc>
          <w:tcPr>
            <w:tcW w:w="900" w:type="dxa"/>
            <w:shd w:val="clear" w:color="auto" w:fill="DCE9F5"/>
            <w:vAlign w:val="center"/>
          </w:tcPr>
          <w:p w14:paraId="0B08D71D" w14:textId="77777777" w:rsidR="00827F40" w:rsidRDefault="00F03C2E">
            <w:pPr>
              <w:bidi/>
              <w:spacing w:after="0" w:line="280" w:lineRule="auto"/>
              <w:jc w:val="center"/>
            </w:pPr>
            <w:r>
              <w:rPr>
                <w:rFonts w:ascii="Traditional Arabic" w:hAnsi="Traditional Arabic" w:cs="Traditional Arabic"/>
                <w:b/>
                <w:bCs/>
                <w:rtl/>
              </w:rPr>
              <w:t>الفرض</w:t>
            </w:r>
          </w:p>
        </w:tc>
        <w:tc>
          <w:tcPr>
            <w:tcW w:w="3500" w:type="dxa"/>
            <w:shd w:val="clear" w:color="auto" w:fill="DCE9F5"/>
            <w:vAlign w:val="center"/>
          </w:tcPr>
          <w:p w14:paraId="6D313399" w14:textId="77777777" w:rsidR="00827F40" w:rsidRDefault="00F03C2E">
            <w:pPr>
              <w:bidi/>
              <w:spacing w:after="0" w:line="280" w:lineRule="auto"/>
              <w:jc w:val="center"/>
            </w:pPr>
            <w:r>
              <w:rPr>
                <w:rFonts w:ascii="Traditional Arabic" w:hAnsi="Traditional Arabic" w:cs="Traditional Arabic"/>
                <w:b/>
                <w:bCs/>
                <w:rtl/>
              </w:rPr>
              <w:t>مضمون الفرض</w:t>
            </w:r>
          </w:p>
        </w:tc>
        <w:tc>
          <w:tcPr>
            <w:tcW w:w="2200" w:type="dxa"/>
            <w:shd w:val="clear" w:color="auto" w:fill="DCE9F5"/>
            <w:vAlign w:val="center"/>
          </w:tcPr>
          <w:p w14:paraId="13955A0A" w14:textId="77777777" w:rsidR="00827F40" w:rsidRDefault="00F03C2E">
            <w:pPr>
              <w:bidi/>
              <w:spacing w:after="0" w:line="280" w:lineRule="auto"/>
              <w:jc w:val="center"/>
            </w:pPr>
            <w:r>
              <w:rPr>
                <w:rFonts w:ascii="Traditional Arabic" w:hAnsi="Traditional Arabic" w:cs="Traditional Arabic"/>
                <w:b/>
                <w:bCs/>
                <w:rtl/>
              </w:rPr>
              <w:t>الاختبار الإحصائي</w:t>
            </w:r>
          </w:p>
        </w:tc>
        <w:tc>
          <w:tcPr>
            <w:tcW w:w="2600" w:type="dxa"/>
            <w:shd w:val="clear" w:color="auto" w:fill="DCE9F5"/>
            <w:vAlign w:val="center"/>
          </w:tcPr>
          <w:p w14:paraId="63ABE2DC" w14:textId="77777777" w:rsidR="00827F40" w:rsidRDefault="00F03C2E">
            <w:pPr>
              <w:bidi/>
              <w:spacing w:after="0" w:line="280" w:lineRule="auto"/>
              <w:jc w:val="center"/>
            </w:pPr>
            <w:r>
              <w:rPr>
                <w:rFonts w:ascii="Traditional Arabic" w:hAnsi="Traditional Arabic" w:cs="Traditional Arabic"/>
                <w:b/>
                <w:bCs/>
                <w:rtl/>
              </w:rPr>
              <w:t>النتيجة</w:t>
            </w:r>
          </w:p>
        </w:tc>
        <w:tc>
          <w:tcPr>
            <w:tcW w:w="1100" w:type="dxa"/>
            <w:shd w:val="clear" w:color="auto" w:fill="DCE9F5"/>
            <w:vAlign w:val="center"/>
          </w:tcPr>
          <w:p w14:paraId="542AF8B9" w14:textId="77777777" w:rsidR="00827F40" w:rsidRDefault="00F03C2E">
            <w:pPr>
              <w:bidi/>
              <w:spacing w:after="0" w:line="280" w:lineRule="auto"/>
              <w:jc w:val="center"/>
            </w:pPr>
            <w:r>
              <w:rPr>
                <w:rFonts w:ascii="Traditional Arabic" w:hAnsi="Traditional Arabic" w:cs="Traditional Arabic"/>
                <w:b/>
                <w:bCs/>
                <w:rtl/>
              </w:rPr>
              <w:t>القرار</w:t>
            </w:r>
          </w:p>
        </w:tc>
      </w:tr>
      <w:tr w:rsidR="00827F40" w14:paraId="564E8D19" w14:textId="77777777">
        <w:tc>
          <w:tcPr>
            <w:tcW w:w="900" w:type="dxa"/>
            <w:vAlign w:val="center"/>
          </w:tcPr>
          <w:p w14:paraId="56A92F10" w14:textId="77777777" w:rsidR="00827F40" w:rsidRDefault="00F03C2E">
            <w:pPr>
              <w:bidi/>
              <w:spacing w:after="0" w:line="280" w:lineRule="auto"/>
              <w:jc w:val="right"/>
            </w:pPr>
            <w:r>
              <w:rPr>
                <w:rFonts w:ascii="Traditional Arabic" w:hAnsi="Traditional Arabic" w:cs="Traditional Arabic"/>
                <w:rtl/>
              </w:rPr>
              <w:t>H1</w:t>
            </w:r>
          </w:p>
        </w:tc>
        <w:tc>
          <w:tcPr>
            <w:tcW w:w="3500" w:type="dxa"/>
            <w:vAlign w:val="center"/>
          </w:tcPr>
          <w:p w14:paraId="337F617D" w14:textId="77777777" w:rsidR="00827F40" w:rsidRDefault="00F03C2E">
            <w:pPr>
              <w:bidi/>
              <w:spacing w:after="0" w:line="280" w:lineRule="auto"/>
              <w:jc w:val="right"/>
            </w:pPr>
            <w:r>
              <w:rPr>
                <w:rFonts w:ascii="Traditional Arabic" w:hAnsi="Traditional Arabic" w:cs="Traditional Arabic"/>
                <w:rtl/>
              </w:rPr>
              <w:t>أثر المتغيرين المستقلين على الأمن السيبراني المؤسسي</w:t>
            </w:r>
          </w:p>
        </w:tc>
        <w:tc>
          <w:tcPr>
            <w:tcW w:w="2200" w:type="dxa"/>
            <w:vAlign w:val="center"/>
          </w:tcPr>
          <w:p w14:paraId="38CBC8BC" w14:textId="77777777" w:rsidR="00827F40" w:rsidRDefault="00F03C2E">
            <w:pPr>
              <w:bidi/>
              <w:spacing w:after="0" w:line="280" w:lineRule="auto"/>
              <w:jc w:val="right"/>
            </w:pPr>
            <w:r>
              <w:rPr>
                <w:rFonts w:ascii="Traditional Arabic" w:hAnsi="Traditional Arabic" w:cs="Traditional Arabic"/>
                <w:rtl/>
              </w:rPr>
              <w:t>انحدار منقّح (النموذج ككل)</w:t>
            </w:r>
          </w:p>
        </w:tc>
        <w:tc>
          <w:tcPr>
            <w:tcW w:w="2600" w:type="dxa"/>
            <w:vAlign w:val="center"/>
          </w:tcPr>
          <w:p w14:paraId="7CE0A358" w14:textId="77777777" w:rsidR="00827F40" w:rsidRDefault="00F03C2E">
            <w:pPr>
              <w:bidi/>
              <w:spacing w:after="0" w:line="280" w:lineRule="auto"/>
              <w:jc w:val="right"/>
            </w:pPr>
            <w:r>
              <w:rPr>
                <w:rFonts w:ascii="Traditional Arabic" w:hAnsi="Traditional Arabic" w:cs="Traditional Arabic"/>
                <w:rtl/>
              </w:rPr>
              <w:t>R² = 0.783</w:t>
            </w:r>
          </w:p>
        </w:tc>
        <w:tc>
          <w:tcPr>
            <w:tcW w:w="1100" w:type="dxa"/>
            <w:vAlign w:val="center"/>
          </w:tcPr>
          <w:p w14:paraId="50E75902"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1D326D6C" w14:textId="77777777">
        <w:tc>
          <w:tcPr>
            <w:tcW w:w="900" w:type="dxa"/>
            <w:vAlign w:val="center"/>
          </w:tcPr>
          <w:p w14:paraId="1E87DD16" w14:textId="77777777" w:rsidR="00827F40" w:rsidRDefault="00F03C2E">
            <w:pPr>
              <w:bidi/>
              <w:spacing w:after="0" w:line="280" w:lineRule="auto"/>
              <w:jc w:val="right"/>
            </w:pPr>
            <w:r>
              <w:rPr>
                <w:rFonts w:ascii="Traditional Arabic" w:hAnsi="Traditional Arabic" w:cs="Traditional Arabic"/>
                <w:rtl/>
              </w:rPr>
              <w:lastRenderedPageBreak/>
              <w:t>H1a</w:t>
            </w:r>
          </w:p>
        </w:tc>
        <w:tc>
          <w:tcPr>
            <w:tcW w:w="3500" w:type="dxa"/>
            <w:vAlign w:val="center"/>
          </w:tcPr>
          <w:p w14:paraId="5D396923" w14:textId="77777777" w:rsidR="00827F40" w:rsidRDefault="00F03C2E">
            <w:pPr>
              <w:bidi/>
              <w:spacing w:after="0" w:line="280" w:lineRule="auto"/>
              <w:jc w:val="right"/>
            </w:pPr>
            <w:r>
              <w:rPr>
                <w:rFonts w:ascii="Traditional Arabic" w:hAnsi="Traditional Arabic" w:cs="Traditional Arabic"/>
                <w:rtl/>
              </w:rPr>
              <w:t>أثر تطبيق الترميز الأمني للبيانات على الأمن السيبراني المؤسسي</w:t>
            </w:r>
          </w:p>
        </w:tc>
        <w:tc>
          <w:tcPr>
            <w:tcW w:w="2200" w:type="dxa"/>
            <w:vAlign w:val="center"/>
          </w:tcPr>
          <w:p w14:paraId="7E833CE0" w14:textId="77777777" w:rsidR="00827F40" w:rsidRDefault="00F03C2E">
            <w:pPr>
              <w:bidi/>
              <w:spacing w:after="0" w:line="280" w:lineRule="auto"/>
              <w:jc w:val="right"/>
            </w:pPr>
            <w:r>
              <w:rPr>
                <w:rFonts w:ascii="Traditional Arabic" w:hAnsi="Traditional Arabic" w:cs="Traditional Arabic"/>
                <w:rtl/>
              </w:rPr>
              <w:t>انحدار منقّح</w:t>
            </w:r>
          </w:p>
        </w:tc>
        <w:tc>
          <w:tcPr>
            <w:tcW w:w="2600" w:type="dxa"/>
            <w:vAlign w:val="center"/>
          </w:tcPr>
          <w:p w14:paraId="0BC3636D" w14:textId="77777777" w:rsidR="00827F40" w:rsidRDefault="00F03C2E">
            <w:pPr>
              <w:bidi/>
              <w:spacing w:after="0" w:line="280" w:lineRule="auto"/>
              <w:jc w:val="right"/>
            </w:pPr>
            <w:r>
              <w:rPr>
                <w:rFonts w:ascii="Traditional Arabic" w:hAnsi="Traditional Arabic" w:cs="Traditional Arabic"/>
                <w:rtl/>
              </w:rPr>
              <w:t>B = 0.329، t = 5.889، p &lt; 0.001</w:t>
            </w:r>
          </w:p>
        </w:tc>
        <w:tc>
          <w:tcPr>
            <w:tcW w:w="1100" w:type="dxa"/>
            <w:vAlign w:val="center"/>
          </w:tcPr>
          <w:p w14:paraId="61C9FE6C"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56AF2FA8" w14:textId="77777777">
        <w:tc>
          <w:tcPr>
            <w:tcW w:w="900" w:type="dxa"/>
            <w:vAlign w:val="center"/>
          </w:tcPr>
          <w:p w14:paraId="329C8933" w14:textId="77777777" w:rsidR="00827F40" w:rsidRDefault="00F03C2E">
            <w:pPr>
              <w:bidi/>
              <w:spacing w:after="0" w:line="280" w:lineRule="auto"/>
              <w:jc w:val="right"/>
            </w:pPr>
            <w:r>
              <w:rPr>
                <w:rFonts w:ascii="Traditional Arabic" w:hAnsi="Traditional Arabic" w:cs="Traditional Arabic"/>
                <w:rtl/>
              </w:rPr>
              <w:t>H1b</w:t>
            </w:r>
          </w:p>
        </w:tc>
        <w:tc>
          <w:tcPr>
            <w:tcW w:w="3500" w:type="dxa"/>
            <w:vAlign w:val="center"/>
          </w:tcPr>
          <w:p w14:paraId="3A482F83" w14:textId="77777777" w:rsidR="00827F40" w:rsidRDefault="00F03C2E">
            <w:pPr>
              <w:bidi/>
              <w:spacing w:after="0" w:line="280" w:lineRule="auto"/>
              <w:jc w:val="right"/>
            </w:pPr>
            <w:r>
              <w:rPr>
                <w:rFonts w:ascii="Traditional Arabic" w:hAnsi="Traditional Arabic" w:cs="Traditional Arabic"/>
                <w:rtl/>
              </w:rPr>
              <w:t>أثر الامتثال للمعايير الدولية على الأمن السيبراني المؤسسي</w:t>
            </w:r>
          </w:p>
        </w:tc>
        <w:tc>
          <w:tcPr>
            <w:tcW w:w="2200" w:type="dxa"/>
            <w:vAlign w:val="center"/>
          </w:tcPr>
          <w:p w14:paraId="7E538117" w14:textId="77777777" w:rsidR="00827F40" w:rsidRDefault="00F03C2E">
            <w:pPr>
              <w:bidi/>
              <w:spacing w:after="0" w:line="280" w:lineRule="auto"/>
              <w:jc w:val="right"/>
            </w:pPr>
            <w:r>
              <w:rPr>
                <w:rFonts w:ascii="Traditional Arabic" w:hAnsi="Traditional Arabic" w:cs="Traditional Arabic"/>
                <w:rtl/>
              </w:rPr>
              <w:t>انحدار منقّح</w:t>
            </w:r>
          </w:p>
        </w:tc>
        <w:tc>
          <w:tcPr>
            <w:tcW w:w="2600" w:type="dxa"/>
            <w:vAlign w:val="center"/>
          </w:tcPr>
          <w:p w14:paraId="648C3AA7" w14:textId="77777777" w:rsidR="00827F40" w:rsidRDefault="00F03C2E">
            <w:pPr>
              <w:bidi/>
              <w:spacing w:after="0" w:line="280" w:lineRule="auto"/>
              <w:jc w:val="right"/>
            </w:pPr>
            <w:r>
              <w:rPr>
                <w:rFonts w:ascii="Traditional Arabic" w:hAnsi="Traditional Arabic" w:cs="Traditional Arabic"/>
                <w:rtl/>
              </w:rPr>
              <w:t>B = 0.557، t = 8.747، p &lt; 0.001</w:t>
            </w:r>
          </w:p>
        </w:tc>
        <w:tc>
          <w:tcPr>
            <w:tcW w:w="1100" w:type="dxa"/>
            <w:vAlign w:val="center"/>
          </w:tcPr>
          <w:p w14:paraId="72B2F6B3"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79E203C3" w14:textId="77777777">
        <w:tc>
          <w:tcPr>
            <w:tcW w:w="900" w:type="dxa"/>
            <w:vAlign w:val="center"/>
          </w:tcPr>
          <w:p w14:paraId="19C418D3" w14:textId="77777777" w:rsidR="00827F40" w:rsidRDefault="00F03C2E">
            <w:pPr>
              <w:bidi/>
              <w:spacing w:after="0" w:line="280" w:lineRule="auto"/>
              <w:jc w:val="right"/>
            </w:pPr>
            <w:r>
              <w:rPr>
                <w:rFonts w:ascii="Traditional Arabic" w:hAnsi="Traditional Arabic" w:cs="Traditional Arabic"/>
                <w:rtl/>
              </w:rPr>
              <w:t>H2</w:t>
            </w:r>
          </w:p>
        </w:tc>
        <w:tc>
          <w:tcPr>
            <w:tcW w:w="3500" w:type="dxa"/>
            <w:vAlign w:val="center"/>
          </w:tcPr>
          <w:p w14:paraId="12F9137F" w14:textId="77777777" w:rsidR="00827F40" w:rsidRDefault="00F03C2E">
            <w:pPr>
              <w:bidi/>
              <w:spacing w:after="0" w:line="280" w:lineRule="auto"/>
              <w:jc w:val="right"/>
            </w:pPr>
            <w:r>
              <w:rPr>
                <w:rFonts w:ascii="Traditional Arabic" w:hAnsi="Traditional Arabic" w:cs="Traditional Arabic"/>
                <w:rtl/>
              </w:rPr>
              <w:t>أثر المتغيرين المستقلين على كفاءة العمليات المالية</w:t>
            </w:r>
          </w:p>
        </w:tc>
        <w:tc>
          <w:tcPr>
            <w:tcW w:w="2200" w:type="dxa"/>
            <w:vAlign w:val="center"/>
          </w:tcPr>
          <w:p w14:paraId="786DB57E" w14:textId="77777777" w:rsidR="00827F40" w:rsidRDefault="00F03C2E">
            <w:pPr>
              <w:bidi/>
              <w:spacing w:after="0" w:line="280" w:lineRule="auto"/>
              <w:jc w:val="right"/>
            </w:pPr>
            <w:r>
              <w:rPr>
                <w:rFonts w:ascii="Traditional Arabic" w:hAnsi="Traditional Arabic" w:cs="Traditional Arabic"/>
                <w:rtl/>
              </w:rPr>
              <w:t>انحدار منقّح (النموذج ككل)</w:t>
            </w:r>
          </w:p>
        </w:tc>
        <w:tc>
          <w:tcPr>
            <w:tcW w:w="2600" w:type="dxa"/>
            <w:vAlign w:val="center"/>
          </w:tcPr>
          <w:p w14:paraId="23D8921E" w14:textId="77777777" w:rsidR="00827F40" w:rsidRDefault="00F03C2E">
            <w:pPr>
              <w:bidi/>
              <w:spacing w:after="0" w:line="280" w:lineRule="auto"/>
              <w:jc w:val="right"/>
            </w:pPr>
            <w:r>
              <w:rPr>
                <w:rFonts w:ascii="Traditional Arabic" w:hAnsi="Traditional Arabic" w:cs="Traditional Arabic"/>
                <w:rtl/>
              </w:rPr>
              <w:t>R² = 0.747</w:t>
            </w:r>
          </w:p>
        </w:tc>
        <w:tc>
          <w:tcPr>
            <w:tcW w:w="1100" w:type="dxa"/>
            <w:vAlign w:val="center"/>
          </w:tcPr>
          <w:p w14:paraId="466A5F97"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51FD62B6" w14:textId="77777777">
        <w:tc>
          <w:tcPr>
            <w:tcW w:w="900" w:type="dxa"/>
            <w:vAlign w:val="center"/>
          </w:tcPr>
          <w:p w14:paraId="6EB73CDC" w14:textId="77777777" w:rsidR="00827F40" w:rsidRDefault="00F03C2E">
            <w:pPr>
              <w:bidi/>
              <w:spacing w:after="0" w:line="280" w:lineRule="auto"/>
              <w:jc w:val="right"/>
            </w:pPr>
            <w:r>
              <w:rPr>
                <w:rFonts w:ascii="Traditional Arabic" w:hAnsi="Traditional Arabic" w:cs="Traditional Arabic"/>
                <w:rtl/>
              </w:rPr>
              <w:t>H2a</w:t>
            </w:r>
          </w:p>
        </w:tc>
        <w:tc>
          <w:tcPr>
            <w:tcW w:w="3500" w:type="dxa"/>
            <w:vAlign w:val="center"/>
          </w:tcPr>
          <w:p w14:paraId="06A6A8DB" w14:textId="77777777" w:rsidR="00827F40" w:rsidRDefault="00F03C2E">
            <w:pPr>
              <w:bidi/>
              <w:spacing w:after="0" w:line="280" w:lineRule="auto"/>
              <w:jc w:val="right"/>
            </w:pPr>
            <w:r>
              <w:rPr>
                <w:rFonts w:ascii="Traditional Arabic" w:hAnsi="Traditional Arabic" w:cs="Traditional Arabic"/>
                <w:rtl/>
              </w:rPr>
              <w:t>أثر تطبيق الترميز الأمني للبيانات على كفاءة العمليات المالية</w:t>
            </w:r>
          </w:p>
        </w:tc>
        <w:tc>
          <w:tcPr>
            <w:tcW w:w="2200" w:type="dxa"/>
            <w:vAlign w:val="center"/>
          </w:tcPr>
          <w:p w14:paraId="42A88072" w14:textId="77777777" w:rsidR="00827F40" w:rsidRDefault="00F03C2E">
            <w:pPr>
              <w:bidi/>
              <w:spacing w:after="0" w:line="280" w:lineRule="auto"/>
              <w:jc w:val="right"/>
            </w:pPr>
            <w:r>
              <w:rPr>
                <w:rFonts w:ascii="Traditional Arabic" w:hAnsi="Traditional Arabic" w:cs="Traditional Arabic"/>
                <w:rtl/>
              </w:rPr>
              <w:t>انحدار منقّح</w:t>
            </w:r>
          </w:p>
        </w:tc>
        <w:tc>
          <w:tcPr>
            <w:tcW w:w="2600" w:type="dxa"/>
            <w:vAlign w:val="center"/>
          </w:tcPr>
          <w:p w14:paraId="555479AB" w14:textId="77777777" w:rsidR="00827F40" w:rsidRDefault="00F03C2E">
            <w:pPr>
              <w:bidi/>
              <w:spacing w:after="0" w:line="280" w:lineRule="auto"/>
              <w:jc w:val="right"/>
            </w:pPr>
            <w:r>
              <w:rPr>
                <w:rFonts w:ascii="Traditional Arabic" w:hAnsi="Traditional Arabic" w:cs="Traditional Arabic"/>
                <w:rtl/>
              </w:rPr>
              <w:t>B = 0.173، t = 3.103، p = 0.002</w:t>
            </w:r>
          </w:p>
        </w:tc>
        <w:tc>
          <w:tcPr>
            <w:tcW w:w="1100" w:type="dxa"/>
            <w:vAlign w:val="center"/>
          </w:tcPr>
          <w:p w14:paraId="24CC7050"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0522A37A" w14:textId="77777777">
        <w:tc>
          <w:tcPr>
            <w:tcW w:w="900" w:type="dxa"/>
            <w:vAlign w:val="center"/>
          </w:tcPr>
          <w:p w14:paraId="00C0BC0F" w14:textId="77777777" w:rsidR="00827F40" w:rsidRDefault="00F03C2E">
            <w:pPr>
              <w:bidi/>
              <w:spacing w:after="0" w:line="280" w:lineRule="auto"/>
              <w:jc w:val="right"/>
            </w:pPr>
            <w:r>
              <w:rPr>
                <w:rFonts w:ascii="Traditional Arabic" w:hAnsi="Traditional Arabic" w:cs="Traditional Arabic"/>
                <w:rtl/>
              </w:rPr>
              <w:t>H2b</w:t>
            </w:r>
          </w:p>
        </w:tc>
        <w:tc>
          <w:tcPr>
            <w:tcW w:w="3500" w:type="dxa"/>
            <w:vAlign w:val="center"/>
          </w:tcPr>
          <w:p w14:paraId="7CFB3A0D" w14:textId="77777777" w:rsidR="00827F40" w:rsidRDefault="00F03C2E">
            <w:pPr>
              <w:bidi/>
              <w:spacing w:after="0" w:line="280" w:lineRule="auto"/>
              <w:jc w:val="right"/>
            </w:pPr>
            <w:r>
              <w:rPr>
                <w:rFonts w:ascii="Traditional Arabic" w:hAnsi="Traditional Arabic" w:cs="Traditional Arabic"/>
                <w:rtl/>
              </w:rPr>
              <w:t>أثر الامتثال للمعايير الدولية على كفاءة العمليات المالية</w:t>
            </w:r>
          </w:p>
        </w:tc>
        <w:tc>
          <w:tcPr>
            <w:tcW w:w="2200" w:type="dxa"/>
            <w:vAlign w:val="center"/>
          </w:tcPr>
          <w:p w14:paraId="4CEF042D" w14:textId="77777777" w:rsidR="00827F40" w:rsidRDefault="00F03C2E">
            <w:pPr>
              <w:bidi/>
              <w:spacing w:after="0" w:line="280" w:lineRule="auto"/>
              <w:jc w:val="right"/>
            </w:pPr>
            <w:r>
              <w:rPr>
                <w:rFonts w:ascii="Traditional Arabic" w:hAnsi="Traditional Arabic" w:cs="Traditional Arabic"/>
                <w:rtl/>
              </w:rPr>
              <w:t>انحدار منقّح</w:t>
            </w:r>
          </w:p>
        </w:tc>
        <w:tc>
          <w:tcPr>
            <w:tcW w:w="2600" w:type="dxa"/>
            <w:vAlign w:val="center"/>
          </w:tcPr>
          <w:p w14:paraId="08801688" w14:textId="77777777" w:rsidR="00827F40" w:rsidRDefault="00F03C2E">
            <w:pPr>
              <w:bidi/>
              <w:spacing w:after="0" w:line="280" w:lineRule="auto"/>
              <w:jc w:val="right"/>
            </w:pPr>
            <w:r>
              <w:rPr>
                <w:rFonts w:ascii="Traditional Arabic" w:hAnsi="Traditional Arabic" w:cs="Traditional Arabic"/>
                <w:rtl/>
              </w:rPr>
              <w:t>B = 0.677، t = 10.672، p &lt; 0.001</w:t>
            </w:r>
          </w:p>
        </w:tc>
        <w:tc>
          <w:tcPr>
            <w:tcW w:w="1100" w:type="dxa"/>
            <w:vAlign w:val="center"/>
          </w:tcPr>
          <w:p w14:paraId="34ED0D43"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7F9ECEB5" w14:textId="77777777">
        <w:tc>
          <w:tcPr>
            <w:tcW w:w="900" w:type="dxa"/>
            <w:vAlign w:val="center"/>
          </w:tcPr>
          <w:p w14:paraId="1CE63486" w14:textId="77777777" w:rsidR="00827F40" w:rsidRDefault="00F03C2E">
            <w:pPr>
              <w:bidi/>
              <w:spacing w:after="0" w:line="280" w:lineRule="auto"/>
              <w:jc w:val="right"/>
            </w:pPr>
            <w:r>
              <w:rPr>
                <w:rFonts w:ascii="Traditional Arabic" w:hAnsi="Traditional Arabic" w:cs="Traditional Arabic"/>
                <w:rtl/>
              </w:rPr>
              <w:t>H3a</w:t>
            </w:r>
          </w:p>
        </w:tc>
        <w:tc>
          <w:tcPr>
            <w:tcW w:w="3500" w:type="dxa"/>
            <w:vAlign w:val="center"/>
          </w:tcPr>
          <w:p w14:paraId="4679AACF" w14:textId="77777777" w:rsidR="00827F40" w:rsidRDefault="00F03C2E">
            <w:pPr>
              <w:bidi/>
              <w:spacing w:after="0" w:line="280" w:lineRule="auto"/>
              <w:jc w:val="right"/>
            </w:pPr>
            <w:r>
              <w:rPr>
                <w:rFonts w:ascii="Traditional Arabic" w:hAnsi="Traditional Arabic" w:cs="Traditional Arabic"/>
                <w:rtl/>
              </w:rPr>
              <w:t>فروق في الامتثال للمعايير الدولية تبعاً لمستوى التبنّي</w:t>
            </w:r>
          </w:p>
        </w:tc>
        <w:tc>
          <w:tcPr>
            <w:tcW w:w="2200" w:type="dxa"/>
            <w:vAlign w:val="center"/>
          </w:tcPr>
          <w:p w14:paraId="449A8E88" w14:textId="77777777" w:rsidR="00827F40" w:rsidRDefault="00F03C2E">
            <w:pPr>
              <w:bidi/>
              <w:spacing w:after="0" w:line="280" w:lineRule="auto"/>
              <w:jc w:val="right"/>
            </w:pPr>
            <w:r>
              <w:rPr>
                <w:rFonts w:ascii="Traditional Arabic" w:hAnsi="Traditional Arabic" w:cs="Traditional Arabic"/>
                <w:rtl/>
              </w:rPr>
              <w:t>مان-ويتني U</w:t>
            </w:r>
          </w:p>
        </w:tc>
        <w:tc>
          <w:tcPr>
            <w:tcW w:w="2600" w:type="dxa"/>
            <w:vAlign w:val="center"/>
          </w:tcPr>
          <w:p w14:paraId="785ACE3F" w14:textId="77777777" w:rsidR="00827F40" w:rsidRDefault="00F03C2E">
            <w:pPr>
              <w:bidi/>
              <w:spacing w:after="0" w:line="280" w:lineRule="auto"/>
              <w:jc w:val="right"/>
            </w:pPr>
            <w:r>
              <w:rPr>
                <w:rFonts w:ascii="Traditional Arabic" w:hAnsi="Traditional Arabic" w:cs="Traditional Arabic"/>
                <w:rtl/>
              </w:rPr>
              <w:t>U = 5258.5، p &lt; 0.001</w:t>
            </w:r>
          </w:p>
        </w:tc>
        <w:tc>
          <w:tcPr>
            <w:tcW w:w="1100" w:type="dxa"/>
            <w:vAlign w:val="center"/>
          </w:tcPr>
          <w:p w14:paraId="4EA734BB" w14:textId="77777777" w:rsidR="00827F40" w:rsidRDefault="00F03C2E">
            <w:pPr>
              <w:bidi/>
              <w:spacing w:after="0" w:line="280" w:lineRule="auto"/>
              <w:jc w:val="right"/>
            </w:pPr>
            <w:r>
              <w:rPr>
                <w:rFonts w:ascii="Traditional Arabic" w:hAnsi="Traditional Arabic" w:cs="Traditional Arabic"/>
                <w:rtl/>
              </w:rPr>
              <w:t>مقبول</w:t>
            </w:r>
          </w:p>
        </w:tc>
      </w:tr>
      <w:tr w:rsidR="00827F40" w14:paraId="51189D22" w14:textId="77777777">
        <w:tc>
          <w:tcPr>
            <w:tcW w:w="900" w:type="dxa"/>
            <w:vAlign w:val="center"/>
          </w:tcPr>
          <w:p w14:paraId="0A6D01B9" w14:textId="77777777" w:rsidR="00827F40" w:rsidRDefault="00F03C2E">
            <w:pPr>
              <w:bidi/>
              <w:spacing w:after="0" w:line="280" w:lineRule="auto"/>
              <w:jc w:val="right"/>
            </w:pPr>
            <w:r>
              <w:rPr>
                <w:rFonts w:ascii="Traditional Arabic" w:hAnsi="Traditional Arabic" w:cs="Traditional Arabic"/>
                <w:rtl/>
              </w:rPr>
              <w:t>H3b</w:t>
            </w:r>
          </w:p>
        </w:tc>
        <w:tc>
          <w:tcPr>
            <w:tcW w:w="3500" w:type="dxa"/>
            <w:vAlign w:val="center"/>
          </w:tcPr>
          <w:p w14:paraId="12E7D560" w14:textId="77777777" w:rsidR="00827F40" w:rsidRDefault="00F03C2E">
            <w:pPr>
              <w:bidi/>
              <w:spacing w:after="0" w:line="280" w:lineRule="auto"/>
              <w:jc w:val="right"/>
            </w:pPr>
            <w:r>
              <w:rPr>
                <w:rFonts w:ascii="Traditional Arabic" w:hAnsi="Traditional Arabic" w:cs="Traditional Arabic"/>
                <w:rtl/>
              </w:rPr>
              <w:t>فروق في الأمن السيبراني المؤسسي تبعاً لمستوى التبنّي</w:t>
            </w:r>
          </w:p>
        </w:tc>
        <w:tc>
          <w:tcPr>
            <w:tcW w:w="2200" w:type="dxa"/>
            <w:vAlign w:val="center"/>
          </w:tcPr>
          <w:p w14:paraId="62F17C12" w14:textId="77777777" w:rsidR="00827F40" w:rsidRDefault="00F03C2E">
            <w:pPr>
              <w:bidi/>
              <w:spacing w:after="0" w:line="280" w:lineRule="auto"/>
              <w:jc w:val="right"/>
            </w:pPr>
            <w:r>
              <w:rPr>
                <w:rFonts w:ascii="Traditional Arabic" w:hAnsi="Traditional Arabic" w:cs="Traditional Arabic"/>
                <w:rtl/>
              </w:rPr>
              <w:t>مان-ويتني U</w:t>
            </w:r>
          </w:p>
        </w:tc>
        <w:tc>
          <w:tcPr>
            <w:tcW w:w="2600" w:type="dxa"/>
            <w:vAlign w:val="center"/>
          </w:tcPr>
          <w:p w14:paraId="6531A138" w14:textId="77777777" w:rsidR="00827F40" w:rsidRDefault="00F03C2E">
            <w:pPr>
              <w:bidi/>
              <w:spacing w:after="0" w:line="280" w:lineRule="auto"/>
              <w:jc w:val="right"/>
            </w:pPr>
            <w:r>
              <w:rPr>
                <w:rFonts w:ascii="Traditional Arabic" w:hAnsi="Traditional Arabic" w:cs="Traditional Arabic"/>
                <w:rtl/>
              </w:rPr>
              <w:t>U = 5201.5، p &lt; 0.001</w:t>
            </w:r>
          </w:p>
        </w:tc>
        <w:tc>
          <w:tcPr>
            <w:tcW w:w="1100" w:type="dxa"/>
            <w:vAlign w:val="center"/>
          </w:tcPr>
          <w:p w14:paraId="3C02C3A6" w14:textId="77777777" w:rsidR="00827F40" w:rsidRDefault="00F03C2E">
            <w:pPr>
              <w:bidi/>
              <w:spacing w:after="0" w:line="280" w:lineRule="auto"/>
              <w:jc w:val="right"/>
            </w:pPr>
            <w:r>
              <w:rPr>
                <w:rFonts w:ascii="Traditional Arabic" w:hAnsi="Traditional Arabic" w:cs="Traditional Arabic"/>
                <w:rtl/>
              </w:rPr>
              <w:t>مقبول</w:t>
            </w:r>
          </w:p>
        </w:tc>
      </w:tr>
    </w:tbl>
    <w:p w14:paraId="3850F56C"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(4.26): ملخص نتائج اختبار فروض الدراسة</w:t>
      </w:r>
    </w:p>
    <w:p w14:paraId="14E4026F" w14:textId="77777777" w:rsidR="007608E1" w:rsidRPr="003620CC" w:rsidRDefault="007608E1" w:rsidP="00E000FF">
      <w:pPr>
        <w:bidi/>
        <w:spacing w:after="0" w:line="360" w:lineRule="auto"/>
        <w:jc w:val="both"/>
        <w:rPr>
          <w:sz w:val="28"/>
          <w:szCs w:val="28"/>
        </w:rPr>
      </w:pPr>
      <w:r>
        <w:rPr>
          <w:rFonts w:ascii="Traditional Arabic" w:eastAsia="Simplified Arabic" w:hAnsi="Traditional Arabic" w:cs="Traditional Arabic"/>
          <w:sz w:val="28"/>
          <w:szCs w:val="28"/>
          <w:rtl/>
        </w:rPr>
        <w:t>يتضح من الجدول أعلاه قبول فروض الدراسة الثلاثة الرئيسة وفروعها الستة عند مستوى دلالة (0.01). ويُلاحَظ أن معاملات الانحدار الخاصة بالامتثال للمعايير الدولية جاءت أعلى من نظيرتها الخاصة بتطبيق الترميز الأمني للبيانات في كلا النموذجين، وهو ما يشير إلى أن الالتزام بالمعايير الدولية يمثّل المحدِّد الأقوى للأمن السيبراني المؤسسي ولكفاءة العمليات المالية في المؤسسات المالية السعودية.</w:t>
      </w:r>
    </w:p>
    <w:p w14:paraId="0A3E19C5"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u w:val="single"/>
          <w:rtl/>
        </w:rPr>
        <w:t>سادساً: نماذج الانحدار المنقّح</w:t>
      </w:r>
    </w:p>
    <w:p w14:paraId="0B6F4BF3"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يتناول هذا الجزء عرض نتائج نموذجي الانحدار المنقّح (Robust Regression) المستخدَمين لاختبار الفرضية الرابعة، من حيث معاملات التأثير والقوة التفسيرية للنماذج ودلالة العلاقات بين المتغيرات، وذلك باستخدام أسلوب الانحدار المنقّح المعتمد على دالة وزن Huber (Huber's T)، بوصفه أسلوباً مقاوماً لعدم التوزيع الطبيعي والقيم المتطرفة التي أظهرها اختبار شابيرو-ويلك في الجزء الرابع من هذا الفصل.</w:t>
      </w:r>
    </w:p>
    <w:p w14:paraId="47C1514A"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النموذج الأول: أثر تطبيق تقنية الترميز على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rsidRPr="003620CC" w14:paraId="128F72DE" w14:textId="77777777" w:rsidTr="003620CC">
        <w:trPr>
          <w:tblHeader/>
          <w:jc w:val="center"/>
        </w:trPr>
        <w:tc>
          <w:tcPr>
            <w:tcW w:w="1778" w:type="pct"/>
            <w:shd w:val="clear" w:color="auto" w:fill="2E5395"/>
            <w:tcMar>
              <w:top w:w="60" w:type="dxa"/>
              <w:left w:w="100" w:type="dxa"/>
              <w:bottom w:w="60" w:type="dxa"/>
              <w:right w:w="100" w:type="dxa"/>
            </w:tcMar>
            <w:vAlign w:val="center"/>
          </w:tcPr>
          <w:p w14:paraId="5E585D92"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المتغير</w:t>
            </w:r>
          </w:p>
        </w:tc>
        <w:tc>
          <w:tcPr>
            <w:tcW w:w="1111" w:type="pct"/>
            <w:shd w:val="clear" w:color="auto" w:fill="2E5395"/>
            <w:tcMar>
              <w:top w:w="60" w:type="dxa"/>
              <w:left w:w="100" w:type="dxa"/>
              <w:bottom w:w="60" w:type="dxa"/>
              <w:right w:w="100" w:type="dxa"/>
            </w:tcMar>
            <w:vAlign w:val="center"/>
          </w:tcPr>
          <w:p w14:paraId="7F0A9422"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53E1E45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قيمة (t)</w:t>
            </w:r>
          </w:p>
        </w:tc>
        <w:tc>
          <w:tcPr>
            <w:tcW w:w="1111" w:type="pct"/>
            <w:shd w:val="clear" w:color="auto" w:fill="2E5395"/>
            <w:tcMar>
              <w:top w:w="60" w:type="dxa"/>
              <w:left w:w="100" w:type="dxa"/>
              <w:bottom w:w="60" w:type="dxa"/>
              <w:right w:w="100" w:type="dxa"/>
            </w:tcMar>
            <w:vAlign w:val="center"/>
          </w:tcPr>
          <w:p w14:paraId="1C01F7E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القيمة الاحتمالية (p)</w:t>
            </w:r>
          </w:p>
        </w:tc>
      </w:tr>
      <w:tr w:rsidR="007608E1" w:rsidRPr="003620CC" w14:paraId="6CFA1736" w14:textId="77777777" w:rsidTr="003620CC">
        <w:trPr>
          <w:jc w:val="center"/>
        </w:trPr>
        <w:tc>
          <w:tcPr>
            <w:tcW w:w="1778" w:type="pct"/>
            <w:tcMar>
              <w:top w:w="60" w:type="dxa"/>
              <w:left w:w="100" w:type="dxa"/>
              <w:bottom w:w="60" w:type="dxa"/>
              <w:right w:w="100" w:type="dxa"/>
            </w:tcMar>
            <w:vAlign w:val="center"/>
          </w:tcPr>
          <w:p w14:paraId="2436795B"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الثابت</w:t>
            </w:r>
          </w:p>
        </w:tc>
        <w:tc>
          <w:tcPr>
            <w:tcW w:w="1111" w:type="pct"/>
            <w:tcMar>
              <w:top w:w="60" w:type="dxa"/>
              <w:left w:w="100" w:type="dxa"/>
              <w:bottom w:w="60" w:type="dxa"/>
              <w:right w:w="100" w:type="dxa"/>
            </w:tcMar>
            <w:vAlign w:val="center"/>
          </w:tcPr>
          <w:p w14:paraId="58DA4F3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0.7027</w:t>
            </w:r>
          </w:p>
        </w:tc>
        <w:tc>
          <w:tcPr>
            <w:tcW w:w="1000" w:type="pct"/>
            <w:tcMar>
              <w:top w:w="60" w:type="dxa"/>
              <w:left w:w="100" w:type="dxa"/>
              <w:bottom w:w="60" w:type="dxa"/>
              <w:right w:w="100" w:type="dxa"/>
            </w:tcMar>
            <w:vAlign w:val="center"/>
          </w:tcPr>
          <w:p w14:paraId="4A1D721B"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w:t>
            </w:r>
          </w:p>
        </w:tc>
        <w:tc>
          <w:tcPr>
            <w:tcW w:w="1111" w:type="pct"/>
            <w:tcMar>
              <w:top w:w="60" w:type="dxa"/>
              <w:left w:w="100" w:type="dxa"/>
              <w:bottom w:w="60" w:type="dxa"/>
              <w:right w:w="100" w:type="dxa"/>
            </w:tcMar>
            <w:vAlign w:val="center"/>
          </w:tcPr>
          <w:p w14:paraId="66AF451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0278D9AF" w14:textId="77777777" w:rsidTr="003620CC">
        <w:trPr>
          <w:jc w:val="center"/>
        </w:trPr>
        <w:tc>
          <w:tcPr>
            <w:tcW w:w="1778" w:type="pct"/>
            <w:shd w:val="clear" w:color="auto" w:fill="F2F2F2"/>
            <w:tcMar>
              <w:top w:w="60" w:type="dxa"/>
              <w:left w:w="100" w:type="dxa"/>
              <w:bottom w:w="60" w:type="dxa"/>
              <w:right w:w="100" w:type="dxa"/>
            </w:tcMar>
            <w:vAlign w:val="center"/>
          </w:tcPr>
          <w:p w14:paraId="515951A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الترميز الأمني للبيانات</w:t>
            </w:r>
          </w:p>
        </w:tc>
        <w:tc>
          <w:tcPr>
            <w:tcW w:w="1111" w:type="pct"/>
            <w:shd w:val="clear" w:color="auto" w:fill="F2F2F2"/>
            <w:tcMar>
              <w:top w:w="60" w:type="dxa"/>
              <w:left w:w="100" w:type="dxa"/>
              <w:bottom w:w="60" w:type="dxa"/>
              <w:right w:w="100" w:type="dxa"/>
            </w:tcMar>
            <w:vAlign w:val="center"/>
          </w:tcPr>
          <w:p w14:paraId="6A9D4D4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0.1726</w:t>
            </w:r>
          </w:p>
        </w:tc>
        <w:tc>
          <w:tcPr>
            <w:tcW w:w="1000" w:type="pct"/>
            <w:shd w:val="clear" w:color="auto" w:fill="F2F2F2"/>
            <w:tcMar>
              <w:top w:w="60" w:type="dxa"/>
              <w:left w:w="100" w:type="dxa"/>
              <w:bottom w:w="60" w:type="dxa"/>
              <w:right w:w="100" w:type="dxa"/>
            </w:tcMar>
            <w:vAlign w:val="center"/>
          </w:tcPr>
          <w:p w14:paraId="2FA98032"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3.103</w:t>
            </w:r>
          </w:p>
        </w:tc>
        <w:tc>
          <w:tcPr>
            <w:tcW w:w="1111" w:type="pct"/>
            <w:shd w:val="clear" w:color="auto" w:fill="F2F2F2"/>
            <w:tcMar>
              <w:top w:w="60" w:type="dxa"/>
              <w:left w:w="100" w:type="dxa"/>
              <w:bottom w:w="60" w:type="dxa"/>
              <w:right w:w="100" w:type="dxa"/>
            </w:tcMar>
            <w:vAlign w:val="center"/>
          </w:tcPr>
          <w:p w14:paraId="14A7BFE1"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0.002</w:t>
            </w:r>
          </w:p>
        </w:tc>
      </w:tr>
      <w:tr w:rsidR="007608E1" w:rsidRPr="003620CC" w14:paraId="144DD127" w14:textId="77777777" w:rsidTr="003620CC">
        <w:trPr>
          <w:jc w:val="center"/>
        </w:trPr>
        <w:tc>
          <w:tcPr>
            <w:tcW w:w="1778" w:type="pct"/>
            <w:tcMar>
              <w:top w:w="60" w:type="dxa"/>
              <w:left w:w="100" w:type="dxa"/>
              <w:bottom w:w="60" w:type="dxa"/>
              <w:right w:w="100" w:type="dxa"/>
            </w:tcMar>
            <w:vAlign w:val="center"/>
          </w:tcPr>
          <w:p w14:paraId="7143B1D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الامتثال للمعايير الدولية</w:t>
            </w:r>
          </w:p>
        </w:tc>
        <w:tc>
          <w:tcPr>
            <w:tcW w:w="1111" w:type="pct"/>
            <w:tcMar>
              <w:top w:w="60" w:type="dxa"/>
              <w:left w:w="100" w:type="dxa"/>
              <w:bottom w:w="60" w:type="dxa"/>
              <w:right w:w="100" w:type="dxa"/>
            </w:tcMar>
            <w:vAlign w:val="center"/>
          </w:tcPr>
          <w:p w14:paraId="4D0B5A5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0.6770</w:t>
            </w:r>
          </w:p>
        </w:tc>
        <w:tc>
          <w:tcPr>
            <w:tcW w:w="1000" w:type="pct"/>
            <w:tcMar>
              <w:top w:w="60" w:type="dxa"/>
              <w:left w:w="100" w:type="dxa"/>
              <w:bottom w:w="60" w:type="dxa"/>
              <w:right w:w="100" w:type="dxa"/>
            </w:tcMar>
            <w:vAlign w:val="center"/>
          </w:tcPr>
          <w:p w14:paraId="479540A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10.672</w:t>
            </w:r>
          </w:p>
        </w:tc>
        <w:tc>
          <w:tcPr>
            <w:tcW w:w="1111" w:type="pct"/>
            <w:tcMar>
              <w:top w:w="60" w:type="dxa"/>
              <w:left w:w="100" w:type="dxa"/>
              <w:bottom w:w="60" w:type="dxa"/>
              <w:right w:w="100" w:type="dxa"/>
            </w:tcMar>
            <w:vAlign w:val="center"/>
          </w:tcPr>
          <w:p w14:paraId="43DD1A7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bl>
    <w:p w14:paraId="085D914D"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lastRenderedPageBreak/>
        <w:t>جدول (4.27): نتائج نموذج الانحدار المنقّح للمتغير التابع "الكفاءة التشغيلية المالية" (R² = 0.747)</w:t>
      </w:r>
    </w:p>
    <w:p w14:paraId="089BD912" w14:textId="77777777" w:rsidR="007608E1" w:rsidRPr="003620CC" w:rsidRDefault="007608E1" w:rsidP="00E000FF">
      <w:pPr>
        <w:bidi/>
        <w:spacing w:after="0" w:line="360" w:lineRule="auto"/>
        <w:jc w:val="both"/>
        <w:rPr>
          <w:sz w:val="26"/>
          <w:szCs w:val="26"/>
        </w:rPr>
      </w:pPr>
      <w:r w:rsidRPr="003620CC">
        <w:rPr>
          <w:rFonts w:ascii="Traditional Arabic" w:eastAsia="Simplified Arabic" w:hAnsi="Traditional Arabic" w:cs="Traditional Arabic"/>
          <w:sz w:val="28"/>
          <w:szCs w:val="28"/>
          <w:rtl/>
        </w:rPr>
        <w:t>تشير نتائج النموذج الأول إلى أن كلاً من بُعدي الترميز الأمني للبيانات (B = 0.173، t = 3.103، p &lt; 0.01) والامتثال للمعايير الدولية (B = 0.677، t = 10.672، p &lt; 0.001) يؤثران تأثيراً موجباً ودالاً إحصائياً في الكفاءة التشغيلية المالية، مع تفوّق واضح لتأثير بُعد الامتثال للمعايير الدولية على بُعد الترميز الأمني. وفسّر النموذج مجتمعاً نحو (74.7%) من التباين في الكفاءة التشغيلية المالية، وهي نسبة تفسيرية مرتفعة تعكس قوة تأثير محور تطبيق تقنية الترميز على تحسين كفاءة العمليات المالية.</w:t>
      </w:r>
    </w:p>
    <w:p w14:paraId="5DE32D74"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النموذج الثاني: أثر تطبيق تقنية الترميز على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rsidRPr="003620CC" w14:paraId="187E1984" w14:textId="77777777" w:rsidTr="003620CC">
        <w:trPr>
          <w:tblHeader/>
          <w:jc w:val="center"/>
        </w:trPr>
        <w:tc>
          <w:tcPr>
            <w:tcW w:w="1778" w:type="pct"/>
            <w:shd w:val="clear" w:color="auto" w:fill="2E5395"/>
            <w:tcMar>
              <w:top w:w="60" w:type="dxa"/>
              <w:left w:w="100" w:type="dxa"/>
              <w:bottom w:w="60" w:type="dxa"/>
              <w:right w:w="100" w:type="dxa"/>
            </w:tcMar>
            <w:vAlign w:val="center"/>
          </w:tcPr>
          <w:p w14:paraId="6F53918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المتغير</w:t>
            </w:r>
          </w:p>
        </w:tc>
        <w:tc>
          <w:tcPr>
            <w:tcW w:w="1111" w:type="pct"/>
            <w:shd w:val="clear" w:color="auto" w:fill="2E5395"/>
            <w:tcMar>
              <w:top w:w="60" w:type="dxa"/>
              <w:left w:w="100" w:type="dxa"/>
              <w:bottom w:w="60" w:type="dxa"/>
              <w:right w:w="100" w:type="dxa"/>
            </w:tcMar>
            <w:vAlign w:val="center"/>
          </w:tcPr>
          <w:p w14:paraId="7402F8C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310FCDFB"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قيمة (t)</w:t>
            </w:r>
          </w:p>
        </w:tc>
        <w:tc>
          <w:tcPr>
            <w:tcW w:w="1111" w:type="pct"/>
            <w:shd w:val="clear" w:color="auto" w:fill="2E5395"/>
            <w:tcMar>
              <w:top w:w="60" w:type="dxa"/>
              <w:left w:w="100" w:type="dxa"/>
              <w:bottom w:w="60" w:type="dxa"/>
              <w:right w:w="100" w:type="dxa"/>
            </w:tcMar>
            <w:vAlign w:val="center"/>
          </w:tcPr>
          <w:p w14:paraId="465DD34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القيمة الاحتمالية (p)</w:t>
            </w:r>
          </w:p>
        </w:tc>
      </w:tr>
      <w:tr w:rsidR="007608E1" w:rsidRPr="003620CC" w14:paraId="3A021D86" w14:textId="77777777" w:rsidTr="003620CC">
        <w:trPr>
          <w:jc w:val="center"/>
        </w:trPr>
        <w:tc>
          <w:tcPr>
            <w:tcW w:w="1778" w:type="pct"/>
            <w:tcMar>
              <w:top w:w="60" w:type="dxa"/>
              <w:left w:w="100" w:type="dxa"/>
              <w:bottom w:w="60" w:type="dxa"/>
              <w:right w:w="100" w:type="dxa"/>
            </w:tcMar>
            <w:vAlign w:val="center"/>
          </w:tcPr>
          <w:p w14:paraId="38A59992"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الثابت</w:t>
            </w:r>
          </w:p>
        </w:tc>
        <w:tc>
          <w:tcPr>
            <w:tcW w:w="1111" w:type="pct"/>
            <w:tcMar>
              <w:top w:w="60" w:type="dxa"/>
              <w:left w:w="100" w:type="dxa"/>
              <w:bottom w:w="60" w:type="dxa"/>
              <w:right w:w="100" w:type="dxa"/>
            </w:tcMar>
            <w:vAlign w:val="center"/>
          </w:tcPr>
          <w:p w14:paraId="44014DDB"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0.4885</w:t>
            </w:r>
          </w:p>
        </w:tc>
        <w:tc>
          <w:tcPr>
            <w:tcW w:w="1000" w:type="pct"/>
            <w:tcMar>
              <w:top w:w="60" w:type="dxa"/>
              <w:left w:w="100" w:type="dxa"/>
              <w:bottom w:w="60" w:type="dxa"/>
              <w:right w:w="100" w:type="dxa"/>
            </w:tcMar>
            <w:vAlign w:val="center"/>
          </w:tcPr>
          <w:p w14:paraId="01149FE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w:t>
            </w:r>
          </w:p>
        </w:tc>
        <w:tc>
          <w:tcPr>
            <w:tcW w:w="1111" w:type="pct"/>
            <w:tcMar>
              <w:top w:w="60" w:type="dxa"/>
              <w:left w:w="100" w:type="dxa"/>
              <w:bottom w:w="60" w:type="dxa"/>
              <w:right w:w="100" w:type="dxa"/>
            </w:tcMar>
            <w:vAlign w:val="center"/>
          </w:tcPr>
          <w:p w14:paraId="0F47367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6A0E5184" w14:textId="77777777" w:rsidTr="003620CC">
        <w:trPr>
          <w:jc w:val="center"/>
        </w:trPr>
        <w:tc>
          <w:tcPr>
            <w:tcW w:w="1778" w:type="pct"/>
            <w:shd w:val="clear" w:color="auto" w:fill="F2F2F2"/>
            <w:tcMar>
              <w:top w:w="60" w:type="dxa"/>
              <w:left w:w="100" w:type="dxa"/>
              <w:bottom w:w="60" w:type="dxa"/>
              <w:right w:w="100" w:type="dxa"/>
            </w:tcMar>
            <w:vAlign w:val="center"/>
          </w:tcPr>
          <w:p w14:paraId="7E3360E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الترميز الأمني للبيانات</w:t>
            </w:r>
          </w:p>
        </w:tc>
        <w:tc>
          <w:tcPr>
            <w:tcW w:w="1111" w:type="pct"/>
            <w:shd w:val="clear" w:color="auto" w:fill="F2F2F2"/>
            <w:tcMar>
              <w:top w:w="60" w:type="dxa"/>
              <w:left w:w="100" w:type="dxa"/>
              <w:bottom w:w="60" w:type="dxa"/>
              <w:right w:w="100" w:type="dxa"/>
            </w:tcMar>
            <w:vAlign w:val="center"/>
          </w:tcPr>
          <w:p w14:paraId="141A520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0.3288</w:t>
            </w:r>
          </w:p>
        </w:tc>
        <w:tc>
          <w:tcPr>
            <w:tcW w:w="1000" w:type="pct"/>
            <w:shd w:val="clear" w:color="auto" w:fill="F2F2F2"/>
            <w:tcMar>
              <w:top w:w="60" w:type="dxa"/>
              <w:left w:w="100" w:type="dxa"/>
              <w:bottom w:w="60" w:type="dxa"/>
              <w:right w:w="100" w:type="dxa"/>
            </w:tcMar>
            <w:vAlign w:val="center"/>
          </w:tcPr>
          <w:p w14:paraId="50C94F4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5.889</w:t>
            </w:r>
          </w:p>
        </w:tc>
        <w:tc>
          <w:tcPr>
            <w:tcW w:w="1111" w:type="pct"/>
            <w:shd w:val="clear" w:color="auto" w:fill="F2F2F2"/>
            <w:tcMar>
              <w:top w:w="60" w:type="dxa"/>
              <w:left w:w="100" w:type="dxa"/>
              <w:bottom w:w="60" w:type="dxa"/>
              <w:right w:w="100" w:type="dxa"/>
            </w:tcMar>
            <w:vAlign w:val="center"/>
          </w:tcPr>
          <w:p w14:paraId="55F318E1"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1B8E771B" w14:textId="77777777" w:rsidTr="003620CC">
        <w:trPr>
          <w:jc w:val="center"/>
        </w:trPr>
        <w:tc>
          <w:tcPr>
            <w:tcW w:w="1778" w:type="pct"/>
            <w:tcMar>
              <w:top w:w="60" w:type="dxa"/>
              <w:left w:w="100" w:type="dxa"/>
              <w:bottom w:w="60" w:type="dxa"/>
              <w:right w:w="100" w:type="dxa"/>
            </w:tcMar>
            <w:vAlign w:val="center"/>
          </w:tcPr>
          <w:p w14:paraId="425A36BB"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الامتثال للمعايير الدولية</w:t>
            </w:r>
          </w:p>
        </w:tc>
        <w:tc>
          <w:tcPr>
            <w:tcW w:w="1111" w:type="pct"/>
            <w:tcMar>
              <w:top w:w="60" w:type="dxa"/>
              <w:left w:w="100" w:type="dxa"/>
              <w:bottom w:w="60" w:type="dxa"/>
              <w:right w:w="100" w:type="dxa"/>
            </w:tcMar>
            <w:vAlign w:val="center"/>
          </w:tcPr>
          <w:p w14:paraId="19F26E7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0.5571</w:t>
            </w:r>
          </w:p>
        </w:tc>
        <w:tc>
          <w:tcPr>
            <w:tcW w:w="1000" w:type="pct"/>
            <w:tcMar>
              <w:top w:w="60" w:type="dxa"/>
              <w:left w:w="100" w:type="dxa"/>
              <w:bottom w:w="60" w:type="dxa"/>
              <w:right w:w="100" w:type="dxa"/>
            </w:tcMar>
            <w:vAlign w:val="center"/>
          </w:tcPr>
          <w:p w14:paraId="048580F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8.747</w:t>
            </w:r>
          </w:p>
        </w:tc>
        <w:tc>
          <w:tcPr>
            <w:tcW w:w="1111" w:type="pct"/>
            <w:tcMar>
              <w:top w:w="60" w:type="dxa"/>
              <w:left w:w="100" w:type="dxa"/>
              <w:bottom w:w="60" w:type="dxa"/>
              <w:right w:w="100" w:type="dxa"/>
            </w:tcMar>
            <w:vAlign w:val="center"/>
          </w:tcPr>
          <w:p w14:paraId="10B219A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bl>
    <w:p w14:paraId="437C081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(4.28): نتائج نموذج الانحدار المنقّح للمتغير التابع "الأمن السيبراني المؤسسي" (R² = 0.783)</w:t>
      </w:r>
    </w:p>
    <w:p w14:paraId="084E7C66"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تشير نتائج النموذج الثاني إلى أن كلاً من بُعدي الترميز الأمني للبيانات (B = 0.329، t = 5.889، p &lt; 0.001) والامتثال للمعايير الدولية (B = 0.557، t = 8.747، p &lt; 0.001) يؤثران تأثيراً موجباً ودالاً إحصائياً في الأمن السيبراني المؤسسي، مع تفوّق نسبي لتأثير بُعد الامتثال للمعايير الدولية. وفسّر النموذج مجتمعاً نحو (78.3%) من التباين في الأمن السيبراني المؤسسي، وهي نسبة تفسيرية مرتفعة جداً تؤكد الدور المحوري لتطبيق تقنية الترميز بأبعاده المختلفة في تعزيز المستوى الأمني السيبراني للمؤسسات المالية السعودية.</w:t>
      </w:r>
    </w:p>
    <w:p w14:paraId="46071112"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وتتفق نتائج النموذجين مع نتائج اختبار الفرضيتين الأولى والثانية القائمة على معامل ارتباط سبيرمان، إذ تؤكد النماذج الانحدارية أن العلاقة الارتباطية الموجودة بين تطبيق تقنية الترميز والمتغيرين التابعين ليست علاقة ارتباطية فحسب، بل علاقة تأثيرية دالة إحصائياً يمكن التنبؤ من خلالها بمستوى الكفاءة التشغيلية والأمن السيبراني بناءً على مستوى تطبيق أبعاد تقنية الترميز.</w:t>
      </w:r>
    </w:p>
    <w:p w14:paraId="1826CC56"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u w:val="single"/>
          <w:rtl/>
        </w:rPr>
        <w:t>سابعاً: تلخيص نتائج الفصل</w:t>
      </w:r>
    </w:p>
    <w:p w14:paraId="2379CF31"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lastRenderedPageBreak/>
        <w:t>يختتم هذا الفصل بتلخيص أبرز النتائج التي تم التوصل إليها من خلال التحليل الإحصائي لبيانات عينة الدراسة البالغة (196) مستجيباً من العاملين في المؤسسات المالية السعودية، وذلك على النحو التالي:</w:t>
      </w:r>
    </w:p>
    <w:p w14:paraId="130E5D60"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أظهرت الخصائص الديموغرافية أن عينة الدراسة تمثّلت بشكل رئيسي في البنوك التجارية والمؤسسات الكبيرة الحجم الراسخة في السوق، وأن غالبية المستجيبين يشغلون مناصب فنية وإدارية ذات صلة مباشرة بالأمن السيبراني والتقنية المالية، وأن نسبة 82.7% من المؤسسات المشمولة بالدراسة تعتمد تقنية الترميز حالياً بشكل كامل أو جزئي.</w:t>
      </w:r>
    </w:p>
    <w:p w14:paraId="2920E5CC"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أظهر التحليل الوصفي أن جميع أبعاد الدراسة الخمسة (الترميز الأمني للبيانات، الامتثال للمعايير الدولية، الكفاءة التشغيلية المالية، الأمن السيبراني المؤسسي، التوافق مع رؤية 2030) حصلت على درجة موافقة "مرتفعة جداً"، بمتوسطات حسابية تراوحت بين (4.314) و(4.480)، وهو ما اتسق مع تقييم أفراد العينة العام لأثر تقنية الترميز على أدائهم المؤسسي (81.7% أفادوا بوجود تأثير إيجابي واضح أو استراتيجي بالغ الأهمية).</w:t>
      </w:r>
    </w:p>
    <w:p w14:paraId="6E1C863E"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أكدت نتائج اختبار الصدق والثبات تمتع أداة الدراسة بخصائص سيكومترية مرتفعة جداً، إذ تراوحت معاملات الاتساق الداخلي بين (0.635) و(0.848) لجميع العبارات، وتجاوزت معاملات ألفا كرونباخ لجميع الأبعاد القيمة (0.90)، وبلغ معامل الثبات الكلي للأداة (0.980).</w:t>
      </w:r>
    </w:p>
    <w:p w14:paraId="5756EF22"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أظهرت نتائج اختبار شابيرو-ويلك انحراف بيانات جميع أبعاد الدراسة عن التوزيع الطبيعي (p&lt;0.001)، كما أظهر اختبار ليفين عدم تجانس التباين بين مجموعات نوع المؤسسة، مما بَرَّر إحصائياً اعتماد الأساليب اللامعلمية في اختبار الفرضيات.</w:t>
      </w:r>
    </w:p>
    <w:p w14:paraId="3D20D9DF" w14:textId="77777777" w:rsidR="007608E1" w:rsidRPr="003620CC" w:rsidRDefault="007608E1" w:rsidP="00E000FF">
      <w:pPr>
        <w:bidi/>
        <w:spacing w:after="0" w:line="360" w:lineRule="auto"/>
        <w:jc w:val="both"/>
        <w:rPr>
          <w:sz w:val="28"/>
          <w:szCs w:val="28"/>
        </w:rPr>
      </w:pPr>
      <w:r>
        <w:rPr>
          <w:rFonts w:ascii="Traditional Arabic" w:eastAsia="Simplified Arabic" w:hAnsi="Traditional Arabic" w:cs="Traditional Arabic"/>
          <w:sz w:val="28"/>
          <w:szCs w:val="28"/>
          <w:rtl/>
        </w:rPr>
        <w:t>قُبِلت فروض الدراسة الثلاثة الرئيسة وفروعها الستة عند مستوى دلالة (0.01)؛ إذ أظهرت نماذج الانحدار المنقّح أثراً موجباً دالاً لكل من تطبيق تقنية الترميز الأمني للبيانات والامتثال للمعايير الدولية على الأمن السيبراني المؤسسي (R² = 0.783) وعلى كفاءة العمليات المالية (R² = 0.747)، مع تفوّق واضح لأثر الامتثال في النموذجين. كما أظهر اختبار مان-ويتني U فروقاً دالة في مستوى الامتثال والأمن السيبراني تُعزى إلى مستوى تبنّي المؤسسة لتقنية الترميز.</w:t>
      </w:r>
    </w:p>
    <w:p w14:paraId="305316C8"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تتسق هذه النتائج مجتمعةً مع اتجاهات آراء أفراد العينة التي أُبرزت من خلال التحليل الوصفي، وتُشكّل أساساً كمياً متيناً للانتقال إلى مناقشة هذه النتائج وتفسيرها في ضوء الإطار النظري والدراسات السابقة، وربطها بمستهدفات رؤية المملكة العربية السعودية 2030، في الفصل الخامس.</w:t>
      </w:r>
    </w:p>
    <w:p w14:paraId="7E9DB72B"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rtl/>
        </w:rPr>
        <w:lastRenderedPageBreak/>
        <w:t>الضوابط العلمية والمنهجية للفصل</w:t>
      </w:r>
    </w:p>
    <w:p w14:paraId="0388D586"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الدقة في عرض ونقل النتائج الإحصائية كما أسفر عنها التحليل دون تدخل أو تأويل.</w:t>
      </w:r>
    </w:p>
    <w:p w14:paraId="3374348C"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توحيد أسلوب عرض الجداول والأشكال عبر أجزاء الفصل كافة.</w:t>
      </w:r>
    </w:p>
    <w:p w14:paraId="0C10A18D"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الفصل الواضح بين عرض النتائج ومناقشتها، مع إرجاء المناقشة النظرية للفصل الخامس.</w:t>
      </w:r>
    </w:p>
    <w:p w14:paraId="751244A8"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استخدام لغة علمية واضحة ودقيقة تتفق مع الأسلوب الأكاديمي المعتمد في كتابة الرسائل العلمية.</w:t>
      </w:r>
    </w:p>
    <w:p w14:paraId="58E0E833"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الربط المستمر بين النتائج وأهداف الدراسة وفرضياتها كما وردت في الفصلين الأول والثالث.</w:t>
      </w:r>
    </w:p>
    <w:p w14:paraId="4738E071" w14:textId="77777777" w:rsidR="007C5A80" w:rsidRPr="003620CC" w:rsidRDefault="007C5A80" w:rsidP="00E000FF">
      <w:pPr>
        <w:bidi/>
        <w:spacing w:after="0" w:line="360" w:lineRule="auto"/>
        <w:rPr>
          <w:sz w:val="28"/>
          <w:szCs w:val="28"/>
          <w:rtl/>
        </w:rPr>
      </w:pPr>
    </w:p>
    <w:p w14:paraId="6C0728D0" w14:textId="77777777" w:rsidR="00C30195" w:rsidRPr="003620CC" w:rsidRDefault="007E0546" w:rsidP="003620CC">
      <w:pPr>
        <w:bidi/>
        <w:spacing w:after="0" w:line="360" w:lineRule="auto"/>
        <w:rPr>
          <w:rFonts w:ascii="Simplified Arabic" w:hAnsi="Simplified Arabic" w:cs="Simplified Arabic"/>
          <w:b/>
          <w:bCs/>
          <w:sz w:val="28"/>
          <w:szCs w:val="28"/>
          <w:u w:val="single"/>
          <w:rtl/>
        </w:rPr>
      </w:pPr>
      <w:r w:rsidRPr="003620CC">
        <w:rPr>
          <w:rFonts w:ascii="Traditional Arabic" w:eastAsia="Simplified Arabic" w:hAnsi="Traditional Arabic" w:cs="Traditional Arabic"/>
          <w:b/>
          <w:bCs/>
          <w:sz w:val="28"/>
          <w:szCs w:val="28"/>
          <w:rtl/>
        </w:rPr>
        <w:t>محددات الفصل وحدود التحليل الإحصائي:</w:t>
      </w:r>
    </w:p>
    <w:p w14:paraId="69B5A4A1" w14:textId="77777777" w:rsidR="003620CC" w:rsidRDefault="007E0546" w:rsidP="00E000FF">
      <w:pPr>
        <w:bidi/>
        <w:spacing w:after="0" w:line="360" w:lineRule="auto"/>
        <w:jc w:val="both"/>
        <w:rPr>
          <w:rFonts w:ascii="Traditional Arabic" w:eastAsia="Simplified Arabic" w:hAnsi="Traditional Arabic" w:cs="Traditional Arabic"/>
          <w:sz w:val="28"/>
          <w:szCs w:val="28"/>
          <w:rtl/>
        </w:rPr>
      </w:pPr>
      <w:r w:rsidRPr="003620CC">
        <w:rPr>
          <w:rFonts w:ascii="Traditional Arabic" w:eastAsia="Simplified Arabic" w:hAnsi="Traditional Arabic" w:cs="Traditional Arabic"/>
          <w:sz w:val="28"/>
          <w:szCs w:val="28"/>
          <w:rtl/>
        </w:rPr>
        <w:t>اقتصر التحليل الإحصائي في هذا الفصل على اختبار العلاقة بين تطبيق تقنية الترميز وكل من الأمن السيبراني المؤسسي وكفاءة العمليات المالية كمتغيرين تابعين مستقلين عن بعضهما (عبر الارتباط والانحدار المنقّح)، ولم يتضمن اختبار أي علاقة تفاعلية أو وساطة بين الأمن السيبراني وكفاءة العمليات المالية نفسيهما. وبناءً على ذلك، فإن ملاحظة لجنة المراجعة الخاصة بصياغة فرض يختبر تأثير تقنية الترميز في العلاقة بين الأمن السيبراني وكفاءة العمليات المالية (أي علاقة وساطة أو تفاعل بين المتغيرين التابعين) لم تُختبر إحصائياً على بيانات الدراسة الحالية، ويوصى بمعالجتها في دراسات لاحقة عبر تحليل وساطة (Mediation Analysis) أو تحليل تفاعل (Interaction Analysis) مخصص، بعد جمع بيانات إضافية تسمح بذلك.</w:t>
      </w:r>
    </w:p>
    <w:p w14:paraId="78799212" w14:textId="77777777" w:rsidR="00C30195" w:rsidRPr="003620CC" w:rsidRDefault="003620CC" w:rsidP="003620CC">
      <w:pPr>
        <w:spacing w:after="200" w:line="276" w:lineRule="auto"/>
        <w:rPr>
          <w:rFonts w:ascii="Traditional Arabic" w:eastAsia="Simplified Arabic" w:hAnsi="Traditional Arabic" w:cs="Traditional Arabic"/>
          <w:sz w:val="28"/>
          <w:szCs w:val="28"/>
          <w:rtl/>
        </w:rPr>
      </w:pPr>
      <w:r>
        <w:rPr>
          <w:rFonts w:ascii="Traditional Arabic" w:eastAsia="Simplified Arabic" w:hAnsi="Traditional Arabic" w:cs="Traditional Arabic"/>
          <w:sz w:val="28"/>
          <w:szCs w:val="28"/>
          <w:rtl/>
        </w:rPr>
        <w:br w:type="page"/>
      </w:r>
    </w:p>
    <w:p w14:paraId="6AE5B7B8" w14:textId="77777777" w:rsidR="00B35152" w:rsidRPr="00310DA8" w:rsidRDefault="00B35152" w:rsidP="00E000FF">
      <w:pPr>
        <w:pStyle w:val="HeadingTOCEntry"/>
        <w:bidi/>
        <w:spacing w:after="0" w:line="360" w:lineRule="auto"/>
        <w:jc w:val="center"/>
        <w:rPr>
          <w:rFonts w:ascii="Simplified Arabic" w:hAnsi="Simplified Arabic" w:cs="Simplified Arabic"/>
          <w:b/>
          <w:bCs/>
          <w:sz w:val="28"/>
          <w:szCs w:val="28"/>
          <w:u w:val="single"/>
        </w:rPr>
      </w:pPr>
      <w:bookmarkStart w:id="50" w:name="_Toc234424173"/>
      <w:r>
        <w:rPr>
          <w:rFonts w:ascii="Traditional Arabic" w:hAnsi="Traditional Arabic" w:cs="Traditional Arabic"/>
          <w:b/>
          <w:bCs/>
          <w:sz w:val="32"/>
          <w:szCs w:val="32"/>
          <w:u w:val="single"/>
          <w:rtl/>
        </w:rPr>
        <w:lastRenderedPageBreak/>
        <w:t>ملحق (1)</w:t>
      </w:r>
      <w:bookmarkEnd w:id="50"/>
    </w:p>
    <w:p w14:paraId="09C5FF5D"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استبانة الدراسة</w:t>
      </w:r>
    </w:p>
    <w:p w14:paraId="0BE24D75" w14:textId="77777777" w:rsidR="00B35152" w:rsidRPr="0087261A" w:rsidRDefault="00B35152" w:rsidP="00E000FF">
      <w:pPr>
        <w:bidi/>
        <w:spacing w:after="0" w:line="360" w:lineRule="auto"/>
        <w:jc w:val="both"/>
        <w:rPr>
          <w:rFonts w:ascii="Simplified Arabic" w:hAnsi="Simplified Arabic" w:cs="Simplified Arabic"/>
          <w:sz w:val="28"/>
          <w:szCs w:val="28"/>
        </w:rPr>
      </w:pPr>
    </w:p>
    <w:p w14:paraId="03C23D9A"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الأخ/الأخت الكريم/ة،</w:t>
      </w:r>
    </w:p>
    <w:p w14:paraId="4DC1E3FC"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السلام عليكم ورحمة الله وبركاته،</w:t>
      </w:r>
    </w:p>
    <w:p w14:paraId="22540660"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يسعدني أن أضع بين يديكم هذه الاستبانة التي صُمِّمت لأغراض البحث العلمي في إطار أطروحة دكتوراه بعنوان:</w:t>
      </w:r>
    </w:p>
    <w:p w14:paraId="0C8563D3"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"أثر تقنية الترميز على الأمن السيبراني وكفاءة العمليات المالية في المؤسسات السعودية - دراسة تحليلية"</w:t>
      </w:r>
    </w:p>
    <w:p w14:paraId="74534C0C"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3A99639E"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وتقبّلوا خالص الشكر والتقدير،</w:t>
      </w:r>
    </w:p>
    <w:p w14:paraId="298F7699"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الباحث</w:t>
      </w:r>
    </w:p>
    <w:p w14:paraId="7FC58905" w14:textId="77777777" w:rsidR="00B35152" w:rsidRPr="0087261A" w:rsidRDefault="00B35152" w:rsidP="00E000FF">
      <w:pPr>
        <w:bidi/>
        <w:spacing w:after="0" w:line="360" w:lineRule="auto"/>
        <w:jc w:val="both"/>
        <w:rPr>
          <w:rFonts w:ascii="Simplified Arabic" w:hAnsi="Simplified Arabic" w:cs="Simplified Arabic"/>
          <w:sz w:val="28"/>
          <w:szCs w:val="28"/>
        </w:rPr>
      </w:pPr>
    </w:p>
    <w:p w14:paraId="582682EB"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القسم الأول: البيانات الديموغرافية والوظيفية</w:t>
      </w:r>
    </w:p>
    <w:p w14:paraId="5879662F"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يرجى وضع علامة (</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في</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المكان</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المناسب</w:t>
      </w:r>
      <w:r>
        <w:rPr>
          <w:rFonts w:ascii="Traditional Arabic" w:hAnsi="Traditional Arabic" w:cs="Traditional Arabic"/>
          <w:sz w:val="24"/>
          <w:szCs w:val="24"/>
          <w:rtl/>
        </w:rPr>
        <w:t>:</w:t>
      </w:r>
    </w:p>
    <w:tbl>
      <w:tblPr>
        <w:tblStyle w:val="GridTable4-Accent1"/>
        <w:tblW w:w="8299" w:type="dxa"/>
        <w:tblLook w:val="04A0" w:firstRow="1" w:lastRow="0" w:firstColumn="1" w:lastColumn="0" w:noHBand="0" w:noVBand="1"/>
      </w:tblPr>
      <w:tblGrid>
        <w:gridCol w:w="5279"/>
        <w:gridCol w:w="616"/>
        <w:gridCol w:w="2404"/>
      </w:tblGrid>
      <w:tr w:rsidR="00B35152" w:rsidRPr="00A74EA0" w14:paraId="7C20ACA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vAlign w:val="center"/>
          </w:tcPr>
          <w:p w14:paraId="4451F9BB"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الخيارات</w:t>
            </w:r>
          </w:p>
        </w:tc>
        <w:tc>
          <w:tcPr>
            <w:tcW w:w="636" w:type="dxa"/>
            <w:gridSpan w:val="2"/>
            <w:vAlign w:val="center"/>
          </w:tcPr>
          <w:p w14:paraId="17E660EA" w14:textId="77777777" w:rsidR="00B35152" w:rsidRPr="003050DB"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السؤال</w:t>
            </w:r>
          </w:p>
        </w:tc>
      </w:tr>
      <w:tr w:rsidR="00B35152" w:rsidRPr="00A74EA0" w14:paraId="0D0657F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0C8C4CA0"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بنك تجاري تقليدي  </w:t>
            </w:r>
            <w:r>
              <w:rPr>
                <w:rFonts w:ascii="Traditional Arabic" w:hAnsi="Traditional Arabic" w:cs="Traditional Arabic" w:hint="cs"/>
                <w:rtl/>
              </w:rPr>
              <w:t>☐</w:t>
            </w:r>
            <w:r>
              <w:rPr>
                <w:rFonts w:ascii="Traditional Arabic" w:hAnsi="Traditional Arabic" w:cs="Traditional Arabic"/>
                <w:rtl/>
              </w:rPr>
              <w:t xml:space="preserve"> بنك رقمي  </w:t>
            </w:r>
            <w:r>
              <w:rPr>
                <w:rFonts w:ascii="Traditional Arabic" w:hAnsi="Traditional Arabic" w:cs="Traditional Arabic" w:hint="cs"/>
                <w:rtl/>
              </w:rPr>
              <w:t>☐</w:t>
            </w:r>
            <w:r>
              <w:rPr>
                <w:rFonts w:ascii="Traditional Arabic" w:hAnsi="Traditional Arabic" w:cs="Traditional Arabic"/>
                <w:rtl/>
              </w:rPr>
              <w:t xml:space="preserve"> شركة تقنية مالية (Fintech)</w:t>
            </w:r>
          </w:p>
        </w:tc>
        <w:tc>
          <w:tcPr>
            <w:tcW w:w="636" w:type="dxa"/>
            <w:vAlign w:val="center"/>
          </w:tcPr>
          <w:p w14:paraId="7D645463"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 نوع المؤسسة التي تعمل بها</w:t>
            </w:r>
          </w:p>
        </w:tc>
      </w:tr>
      <w:tr w:rsidR="00B35152" w:rsidRPr="00A74EA0" w14:paraId="038A8090" w14:textId="77777777" w:rsidTr="00B943E6">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476A990B"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أقل من 3 سنوات  </w:t>
            </w:r>
            <w:r>
              <w:rPr>
                <w:rFonts w:ascii="Traditional Arabic" w:hAnsi="Traditional Arabic" w:cs="Traditional Arabic" w:hint="cs"/>
                <w:rtl/>
              </w:rPr>
              <w:t>☐</w:t>
            </w:r>
            <w:r>
              <w:rPr>
                <w:rFonts w:ascii="Traditional Arabic" w:hAnsi="Traditional Arabic" w:cs="Traditional Arabic"/>
                <w:rtl/>
              </w:rPr>
              <w:t xml:space="preserve"> 3-6 سنوات  </w:t>
            </w:r>
            <w:r>
              <w:rPr>
                <w:rFonts w:ascii="Traditional Arabic" w:hAnsi="Traditional Arabic" w:cs="Traditional Arabic" w:hint="cs"/>
                <w:rtl/>
              </w:rPr>
              <w:t>☐</w:t>
            </w:r>
            <w:r>
              <w:rPr>
                <w:rFonts w:ascii="Traditional Arabic" w:hAnsi="Traditional Arabic" w:cs="Traditional Arabic"/>
                <w:rtl/>
              </w:rPr>
              <w:t xml:space="preserve"> 7-10 سنوات  </w:t>
            </w:r>
            <w:r>
              <w:rPr>
                <w:rFonts w:ascii="Traditional Arabic" w:hAnsi="Traditional Arabic" w:cs="Traditional Arabic" w:hint="cs"/>
                <w:rtl/>
              </w:rPr>
              <w:t>☐</w:t>
            </w:r>
            <w:r>
              <w:rPr>
                <w:rFonts w:ascii="Traditional Arabic" w:hAnsi="Traditional Arabic" w:cs="Traditional Arabic"/>
                <w:rtl/>
              </w:rPr>
              <w:t xml:space="preserve"> أكثر من 10 سنوات</w:t>
            </w:r>
          </w:p>
        </w:tc>
        <w:tc>
          <w:tcPr>
            <w:tcW w:w="636" w:type="dxa"/>
            <w:vAlign w:val="center"/>
          </w:tcPr>
          <w:p w14:paraId="5F7E18CE" w14:textId="77777777" w:rsidR="00B35152" w:rsidRPr="003050DB" w:rsidRDefault="00B35152" w:rsidP="00E000FF">
            <w:pPr>
              <w:tabs>
                <w:tab w:val="num" w:pos="907"/>
              </w:tabs>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 سنوات خبرتك في المجال</w:t>
            </w:r>
          </w:p>
        </w:tc>
      </w:tr>
      <w:tr w:rsidR="00B35152" w:rsidRPr="00A74EA0" w14:paraId="45B2020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7372D319"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مدير تنفيذي/قيادي  </w:t>
            </w:r>
            <w:r>
              <w:rPr>
                <w:rFonts w:ascii="Traditional Arabic" w:hAnsi="Traditional Arabic" w:cs="Traditional Arabic" w:hint="cs"/>
                <w:rtl/>
              </w:rPr>
              <w:t>☐</w:t>
            </w:r>
            <w:r>
              <w:rPr>
                <w:rFonts w:ascii="Traditional Arabic" w:hAnsi="Traditional Arabic" w:cs="Traditional Arabic"/>
                <w:rtl/>
              </w:rPr>
              <w:t xml:space="preserve"> مدير وسطى  </w:t>
            </w:r>
            <w:r>
              <w:rPr>
                <w:rFonts w:ascii="Traditional Arabic" w:hAnsi="Traditional Arabic" w:cs="Traditional Arabic" w:hint="cs"/>
                <w:rtl/>
              </w:rPr>
              <w:t>☐</w:t>
            </w:r>
            <w:r>
              <w:rPr>
                <w:rFonts w:ascii="Traditional Arabic" w:hAnsi="Traditional Arabic" w:cs="Traditional Arabic"/>
                <w:rtl/>
              </w:rPr>
              <w:t xml:space="preserve"> متخصص تقني  </w:t>
            </w:r>
            <w:r>
              <w:rPr>
                <w:rFonts w:ascii="Traditional Arabic" w:hAnsi="Traditional Arabic" w:cs="Traditional Arabic" w:hint="cs"/>
                <w:rtl/>
              </w:rPr>
              <w:t>☐</w:t>
            </w:r>
            <w:r>
              <w:rPr>
                <w:rFonts w:ascii="Traditional Arabic" w:hAnsi="Traditional Arabic" w:cs="Traditional Arabic"/>
                <w:rtl/>
              </w:rPr>
              <w:t xml:space="preserve"> أخرى</w:t>
            </w:r>
          </w:p>
        </w:tc>
        <w:tc>
          <w:tcPr>
            <w:tcW w:w="636" w:type="dxa"/>
            <w:vAlign w:val="center"/>
          </w:tcPr>
          <w:p w14:paraId="17196E87"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 المستوى الوظيفي</w:t>
            </w:r>
          </w:p>
        </w:tc>
      </w:tr>
      <w:tr w:rsidR="00B35152" w:rsidRPr="00A74EA0" w14:paraId="56410A16" w14:textId="77777777" w:rsidTr="00B943E6">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59052108"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بكالوريوس  </w:t>
            </w:r>
            <w:r>
              <w:rPr>
                <w:rFonts w:ascii="Traditional Arabic" w:hAnsi="Traditional Arabic" w:cs="Traditional Arabic" w:hint="cs"/>
                <w:rtl/>
              </w:rPr>
              <w:t>☐</w:t>
            </w:r>
            <w:r>
              <w:rPr>
                <w:rFonts w:ascii="Traditional Arabic" w:hAnsi="Traditional Arabic" w:cs="Traditional Arabic"/>
                <w:rtl/>
              </w:rPr>
              <w:t xml:space="preserve"> ماجستير  </w:t>
            </w:r>
            <w:r>
              <w:rPr>
                <w:rFonts w:ascii="Traditional Arabic" w:hAnsi="Traditional Arabic" w:cs="Traditional Arabic" w:hint="cs"/>
                <w:rtl/>
              </w:rPr>
              <w:t>☐</w:t>
            </w:r>
            <w:r>
              <w:rPr>
                <w:rFonts w:ascii="Traditional Arabic" w:hAnsi="Traditional Arabic" w:cs="Traditional Arabic"/>
                <w:rtl/>
              </w:rPr>
              <w:t xml:space="preserve"> دكتوراه</w:t>
            </w:r>
          </w:p>
        </w:tc>
        <w:tc>
          <w:tcPr>
            <w:tcW w:w="636" w:type="dxa"/>
            <w:vAlign w:val="center"/>
          </w:tcPr>
          <w:p w14:paraId="34D12339" w14:textId="77777777" w:rsidR="00B35152" w:rsidRPr="003050DB" w:rsidRDefault="00B35152" w:rsidP="00E000FF">
            <w:pPr>
              <w:tabs>
                <w:tab w:val="num" w:pos="907"/>
              </w:tabs>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 المؤهل العلمي</w:t>
            </w:r>
          </w:p>
        </w:tc>
      </w:tr>
      <w:tr w:rsidR="00B35152" w:rsidRPr="00A74EA0" w14:paraId="26E72617"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182CD9AB"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أمن سيبراني  </w:t>
            </w:r>
            <w:r>
              <w:rPr>
                <w:rFonts w:ascii="Traditional Arabic" w:hAnsi="Traditional Arabic" w:cs="Traditional Arabic" w:hint="cs"/>
                <w:rtl/>
              </w:rPr>
              <w:t>☐</w:t>
            </w:r>
            <w:r>
              <w:rPr>
                <w:rFonts w:ascii="Traditional Arabic" w:hAnsi="Traditional Arabic" w:cs="Traditional Arabic"/>
                <w:rtl/>
              </w:rPr>
              <w:t xml:space="preserve"> تقنية المعلومات  </w:t>
            </w:r>
            <w:r>
              <w:rPr>
                <w:rFonts w:ascii="Traditional Arabic" w:hAnsi="Traditional Arabic" w:cs="Traditional Arabic" w:hint="cs"/>
                <w:rtl/>
              </w:rPr>
              <w:t>☐</w:t>
            </w:r>
            <w:r>
              <w:rPr>
                <w:rFonts w:ascii="Traditional Arabic" w:hAnsi="Traditional Arabic" w:cs="Traditional Arabic"/>
                <w:rtl/>
              </w:rPr>
              <w:t xml:space="preserve"> عمليات مالية  </w:t>
            </w:r>
            <w:r>
              <w:rPr>
                <w:rFonts w:ascii="Traditional Arabic" w:hAnsi="Traditional Arabic" w:cs="Traditional Arabic" w:hint="cs"/>
                <w:rtl/>
              </w:rPr>
              <w:t>☐</w:t>
            </w:r>
            <w:r>
              <w:rPr>
                <w:rFonts w:ascii="Traditional Arabic" w:hAnsi="Traditional Arabic" w:cs="Traditional Arabic"/>
                <w:rtl/>
              </w:rPr>
              <w:t xml:space="preserve"> إدارة مخاطر  </w:t>
            </w:r>
            <w:r>
              <w:rPr>
                <w:rFonts w:ascii="Traditional Arabic" w:hAnsi="Traditional Arabic" w:cs="Traditional Arabic" w:hint="cs"/>
                <w:rtl/>
              </w:rPr>
              <w:t>☐</w:t>
            </w:r>
            <w:r>
              <w:rPr>
                <w:rFonts w:ascii="Traditional Arabic" w:hAnsi="Traditional Arabic" w:cs="Traditional Arabic"/>
                <w:rtl/>
              </w:rPr>
              <w:t xml:space="preserve"> أخرى</w:t>
            </w:r>
          </w:p>
        </w:tc>
        <w:tc>
          <w:tcPr>
            <w:tcW w:w="636" w:type="dxa"/>
            <w:vAlign w:val="center"/>
          </w:tcPr>
          <w:p w14:paraId="0BA72946"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 مجال التخصص</w:t>
            </w:r>
          </w:p>
        </w:tc>
      </w:tr>
      <w:tr w:rsidR="00B35152" w14:paraId="586994EE"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6715" w:type="dxa"/>
            <w:vAlign w:val="center"/>
          </w:tcPr>
          <w:p w14:paraId="0CAD1B06" w14:textId="77777777" w:rsidR="00B35152" w:rsidRDefault="00B35152" w:rsidP="00E000FF">
            <w:pPr>
              <w:bidi/>
              <w:spacing w:after="0" w:line="260" w:lineRule="auto"/>
              <w:rPr>
                <w:rFonts w:ascii="Simplified Arabic" w:hAnsi="Simplified Arabic" w:cs="Simplified Arabic"/>
                <w:sz w:val="24"/>
                <w:szCs w:val="24"/>
                <w:rtl/>
              </w:rPr>
            </w:pPr>
            <w:r>
              <w:rPr>
                <w:rFonts w:ascii="Traditional Arabic" w:hAnsi="Traditional Arabic" w:cs="Traditional Arabic" w:hint="cs"/>
                <w:rtl/>
              </w:rPr>
              <w:t>☐</w:t>
            </w:r>
            <w:r>
              <w:rPr>
                <w:rFonts w:ascii="Traditional Arabic" w:hAnsi="Traditional Arabic" w:cs="Traditional Arabic"/>
                <w:rtl/>
              </w:rPr>
              <w:t xml:space="preserve"> الأمن السيبراني  </w:t>
            </w:r>
            <w:r>
              <w:rPr>
                <w:rFonts w:ascii="Traditional Arabic" w:hAnsi="Traditional Arabic" w:cs="Traditional Arabic" w:hint="cs"/>
                <w:rtl/>
              </w:rPr>
              <w:t>☐</w:t>
            </w:r>
            <w:r>
              <w:rPr>
                <w:rFonts w:ascii="Traditional Arabic" w:hAnsi="Traditional Arabic" w:cs="Traditional Arabic"/>
                <w:rtl/>
              </w:rPr>
              <w:t xml:space="preserve"> تقنية المعلومات  </w:t>
            </w:r>
            <w:r>
              <w:rPr>
                <w:rFonts w:ascii="Traditional Arabic" w:hAnsi="Traditional Arabic" w:cs="Traditional Arabic" w:hint="cs"/>
                <w:rtl/>
              </w:rPr>
              <w:t>☐</w:t>
            </w:r>
            <w:r>
              <w:rPr>
                <w:rFonts w:ascii="Traditional Arabic" w:hAnsi="Traditional Arabic" w:cs="Traditional Arabic"/>
                <w:rtl/>
              </w:rPr>
              <w:t xml:space="preserve"> العمليات المالية  </w:t>
            </w:r>
            <w:r>
              <w:rPr>
                <w:rFonts w:ascii="Traditional Arabic" w:hAnsi="Traditional Arabic" w:cs="Traditional Arabic" w:hint="cs"/>
                <w:rtl/>
              </w:rPr>
              <w:t>☐</w:t>
            </w:r>
            <w:r>
              <w:rPr>
                <w:rFonts w:ascii="Traditional Arabic" w:hAnsi="Traditional Arabic" w:cs="Traditional Arabic"/>
                <w:rtl/>
              </w:rPr>
              <w:t xml:space="preserve"> إدارة المخاطر والامتثال  </w:t>
            </w:r>
            <w:r>
              <w:rPr>
                <w:rFonts w:ascii="Traditional Arabic" w:hAnsi="Traditional Arabic" w:cs="Traditional Arabic" w:hint="cs"/>
                <w:rtl/>
              </w:rPr>
              <w:t>☐</w:t>
            </w:r>
            <w:r>
              <w:rPr>
                <w:rFonts w:ascii="Traditional Arabic" w:hAnsi="Traditional Arabic" w:cs="Traditional Arabic"/>
                <w:rtl/>
              </w:rPr>
              <w:t xml:space="preserve"> أخرى</w:t>
            </w:r>
          </w:p>
        </w:tc>
        <w:tc>
          <w:tcPr>
            <w:tcW w:w="636" w:type="dxa"/>
            <w:vAlign w:val="center"/>
          </w:tcPr>
          <w:p w14:paraId="67F26069" w14:textId="77777777" w:rsidR="00B35152"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Traditional Arabic" w:hAnsi="Traditional Arabic" w:cs="Traditional Arabic"/>
                <w:rtl/>
              </w:rPr>
              <w:t>6. الإدارة أو القسم</w:t>
            </w:r>
          </w:p>
        </w:tc>
      </w:tr>
    </w:tbl>
    <w:p w14:paraId="658340CE"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البيانات الديموغرافية والوظيفية</w:t>
      </w:r>
    </w:p>
    <w:p w14:paraId="775A1093" w14:textId="77777777" w:rsidR="00B35152" w:rsidRDefault="00B35152" w:rsidP="00E000FF">
      <w:pPr>
        <w:bidi/>
        <w:spacing w:after="0" w:line="360" w:lineRule="auto"/>
        <w:jc w:val="both"/>
        <w:rPr>
          <w:rFonts w:ascii="Simplified Arabic" w:hAnsi="Simplified Arabic" w:cs="Simplified Arabic"/>
          <w:sz w:val="28"/>
          <w:szCs w:val="28"/>
          <w:rtl/>
        </w:rPr>
      </w:pPr>
    </w:p>
    <w:p w14:paraId="553ACD43" w14:textId="77777777" w:rsidR="00B35152" w:rsidRDefault="00B35152" w:rsidP="00E000FF">
      <w:pPr>
        <w:bidi/>
        <w:spacing w:after="0" w:line="360" w:lineRule="auto"/>
        <w:jc w:val="both"/>
        <w:rPr>
          <w:rFonts w:ascii="Simplified Arabic" w:hAnsi="Simplified Arabic" w:cs="Simplified Arabic"/>
          <w:sz w:val="28"/>
          <w:szCs w:val="28"/>
          <w:rtl/>
        </w:rPr>
      </w:pPr>
    </w:p>
    <w:p w14:paraId="4BE178E7"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تعريفات إجرائية للمصطلحات التقنية</w:t>
      </w:r>
    </w:p>
    <w:tbl>
      <w:tblPr>
        <w:tblStyle w:val="MediumGrid1-Accent1"/>
        <w:bidiVisual/>
        <w:tblW w:w="0" w:type="auto"/>
        <w:tblLook w:val="04A0" w:firstRow="1" w:lastRow="0" w:firstColumn="1" w:lastColumn="0" w:noHBand="0" w:noVBand="1"/>
      </w:tblPr>
      <w:tblGrid>
        <w:gridCol w:w="4192"/>
        <w:gridCol w:w="4094"/>
      </w:tblGrid>
      <w:tr w:rsidR="00B35152" w:rsidRPr="00C8462C" w14:paraId="1B95E88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3E80F89"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تقنية الترميز (Tokenization)</w:t>
            </w:r>
          </w:p>
        </w:tc>
        <w:tc>
          <w:tcPr>
            <w:tcW w:w="4675" w:type="dxa"/>
            <w:vAlign w:val="center"/>
          </w:tcPr>
          <w:p w14:paraId="18A8B78A" w14:textId="77777777" w:rsidR="00B35152" w:rsidRPr="00C8462C"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 xml:space="preserve"> استبدال البيانات الحساسة برمز بديل (Token) فريد وغير قابل للاستغلال خارج النظام الذي أُنشئ فيه.</w:t>
            </w:r>
          </w:p>
        </w:tc>
      </w:tr>
      <w:tr w:rsidR="00B35152" w:rsidRPr="00C8462C" w14:paraId="256E3A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610629C7"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الترميز في حالة التخزين (Tokenization at Rest)</w:t>
            </w:r>
          </w:p>
        </w:tc>
        <w:tc>
          <w:tcPr>
            <w:tcW w:w="4675" w:type="dxa"/>
            <w:vAlign w:val="center"/>
          </w:tcPr>
          <w:p w14:paraId="447DB3F9" w14:textId="77777777" w:rsidR="00B35152" w:rsidRPr="00C8462C"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حماية البيانات الحساسة المخزّنة في قواعد البيانات والأنظمة الداخلية باستبدالها بترموز.</w:t>
            </w:r>
          </w:p>
        </w:tc>
      </w:tr>
      <w:tr w:rsidR="00B35152" w:rsidRPr="00C8462C" w14:paraId="7FA3AC09"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10D5F1BB"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الترميز أثناء النقل (Tokenization in Transit)</w:t>
            </w:r>
          </w:p>
        </w:tc>
        <w:tc>
          <w:tcPr>
            <w:tcW w:w="4675" w:type="dxa"/>
            <w:vAlign w:val="center"/>
          </w:tcPr>
          <w:p w14:paraId="7AA74F8C" w14:textId="77777777" w:rsidR="00B35152" w:rsidRPr="00C8462C"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حماية البيانات الحساسة أثناء انتقالها عبر الشبكات والأنظمة المختلفة.</w:t>
            </w:r>
          </w:p>
        </w:tc>
      </w:tr>
      <w:tr w:rsidR="00B35152" w:rsidRPr="00C8462C" w14:paraId="12828C5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450BD0FA"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معيار PCI DSS</w:t>
            </w:r>
          </w:p>
        </w:tc>
        <w:tc>
          <w:tcPr>
            <w:tcW w:w="4675" w:type="dxa"/>
            <w:vAlign w:val="center"/>
          </w:tcPr>
          <w:p w14:paraId="715CDC76" w14:textId="77777777" w:rsidR="00B35152" w:rsidRPr="00C8462C"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معيار أمان بيانات بطاقات الدفع الدولي الصادر عن PCI Security Standards Council، ويُحدد متطلبات حماية بيانات حاملي البطاقات.</w:t>
            </w:r>
          </w:p>
        </w:tc>
      </w:tr>
      <w:tr w:rsidR="00B35152" w:rsidRPr="00C8462C" w14:paraId="59FC9B0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354D8CB0"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الضوابط الأساسية للأمن السيبراني (ECC)</w:t>
            </w:r>
          </w:p>
        </w:tc>
        <w:tc>
          <w:tcPr>
            <w:tcW w:w="4675" w:type="dxa"/>
            <w:vAlign w:val="center"/>
          </w:tcPr>
          <w:p w14:paraId="7B1B1B8B" w14:textId="77777777" w:rsidR="00B35152" w:rsidRPr="00C8462C"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إطار وطني سعودي صادر عن الهيئة الوطنية للأمن السيبراني يُحدد الحد الأدنى من متطلبات الأمن السيبراني للمؤسسات.</w:t>
            </w:r>
          </w:p>
        </w:tc>
      </w:tr>
    </w:tbl>
    <w:p w14:paraId="4AD36AC7" w14:textId="77777777" w:rsidR="00B35152" w:rsidRPr="00C8462C" w:rsidRDefault="00B35152" w:rsidP="00E000FF">
      <w:pPr>
        <w:bidi/>
        <w:spacing w:after="0" w:line="360" w:lineRule="auto"/>
        <w:jc w:val="both"/>
        <w:rPr>
          <w:rFonts w:ascii="Simplified Arabic" w:hAnsi="Simplified Arabic" w:cs="Simplified Arabic"/>
          <w:sz w:val="28"/>
          <w:szCs w:val="28"/>
        </w:rPr>
      </w:pPr>
    </w:p>
    <w:p w14:paraId="2BB41FF9" w14:textId="77777777" w:rsidR="00C51308" w:rsidRDefault="00C51308" w:rsidP="00E000FF">
      <w:pPr>
        <w:bidi/>
        <w:spacing w:after="0" w:line="360" w:lineRule="auto"/>
        <w:jc w:val="both"/>
        <w:rPr>
          <w:rFonts w:ascii="Simplified Arabic" w:hAnsi="Simplified Arabic" w:cs="Simplified Arabic"/>
          <w:sz w:val="28"/>
          <w:szCs w:val="28"/>
          <w:rtl/>
        </w:rPr>
      </w:pPr>
    </w:p>
    <w:p w14:paraId="383B5877" w14:textId="77777777" w:rsidR="00B35152" w:rsidRPr="009A358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t>القسم الثاني: متغيرات الدراسة الرئيسية</w:t>
      </w:r>
    </w:p>
    <w:p w14:paraId="57BDB23C" w14:textId="77777777" w:rsidR="00B35152" w:rsidRPr="009A358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يرجى تحديد درجة موافقتك على كل عبارة وفق مقياس ليكرت الخماسي:</w:t>
      </w:r>
    </w:p>
    <w:tbl>
      <w:tblPr>
        <w:tblStyle w:val="TableGrid"/>
        <w:tblW w:w="5000" w:type="pct"/>
        <w:tblLook w:val="04A0" w:firstRow="1" w:lastRow="0" w:firstColumn="1" w:lastColumn="0" w:noHBand="0" w:noVBand="1"/>
      </w:tblPr>
      <w:tblGrid>
        <w:gridCol w:w="1660"/>
        <w:gridCol w:w="1659"/>
        <w:gridCol w:w="1659"/>
        <w:gridCol w:w="1659"/>
        <w:gridCol w:w="1659"/>
      </w:tblGrid>
      <w:tr w:rsidR="00B35152" w:rsidRPr="009A3584" w14:paraId="0ACB39E9" w14:textId="77777777" w:rsidTr="00B943E6">
        <w:tc>
          <w:tcPr>
            <w:tcW w:w="1000" w:type="pct"/>
            <w:vAlign w:val="center"/>
          </w:tcPr>
          <w:p w14:paraId="236B7BF2"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أوافق بشدة (5)</w:t>
            </w:r>
          </w:p>
        </w:tc>
        <w:tc>
          <w:tcPr>
            <w:tcW w:w="1000" w:type="pct"/>
            <w:vAlign w:val="center"/>
          </w:tcPr>
          <w:p w14:paraId="6D7EA5B7"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أوافق (4)</w:t>
            </w:r>
          </w:p>
        </w:tc>
        <w:tc>
          <w:tcPr>
            <w:tcW w:w="1000" w:type="pct"/>
            <w:vAlign w:val="center"/>
          </w:tcPr>
          <w:p w14:paraId="2EA83D2A"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محايد (3)</w:t>
            </w:r>
          </w:p>
        </w:tc>
        <w:tc>
          <w:tcPr>
            <w:tcW w:w="1000" w:type="pct"/>
            <w:vAlign w:val="center"/>
          </w:tcPr>
          <w:p w14:paraId="073F4C74"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لا أوافق (2)</w:t>
            </w:r>
          </w:p>
        </w:tc>
        <w:tc>
          <w:tcPr>
            <w:tcW w:w="1000" w:type="pct"/>
            <w:vAlign w:val="center"/>
          </w:tcPr>
          <w:p w14:paraId="2264A99A"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لا أوافق بشدة (1)</w:t>
            </w:r>
          </w:p>
        </w:tc>
      </w:tr>
    </w:tbl>
    <w:p w14:paraId="317965A1"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مقياس ليكرت الخماسي المستخدم</w:t>
      </w:r>
    </w:p>
    <w:p w14:paraId="193C9DFE" w14:textId="77777777" w:rsidR="00B35152" w:rsidRPr="004D506A" w:rsidRDefault="00B35152" w:rsidP="00E000FF">
      <w:pPr>
        <w:bidi/>
        <w:spacing w:after="0" w:line="360" w:lineRule="auto"/>
        <w:jc w:val="both"/>
        <w:rPr>
          <w:rFonts w:ascii="Simplified Arabic" w:hAnsi="Simplified Arabic" w:cs="Simplified Arabic"/>
          <w:sz w:val="28"/>
          <w:szCs w:val="28"/>
        </w:rPr>
      </w:pPr>
    </w:p>
    <w:p w14:paraId="4585DE35" w14:textId="77777777" w:rsidR="00B35152" w:rsidRPr="002764B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أولاً: تطبيق تقنية الترميز الأمني للبيانات (المتغير المستقل الأول)</w:t>
      </w:r>
    </w:p>
    <w:tbl>
      <w:tblPr>
        <w:tblStyle w:val="GridTable4-Accent1"/>
        <w:tblW w:w="8296" w:type="dxa"/>
        <w:jc w:val="center"/>
        <w:tblLook w:val="04A0" w:firstRow="1" w:lastRow="0" w:firstColumn="1" w:lastColumn="0" w:noHBand="0" w:noVBand="1"/>
      </w:tblPr>
      <w:tblGrid>
        <w:gridCol w:w="575"/>
        <w:gridCol w:w="587"/>
        <w:gridCol w:w="587"/>
        <w:gridCol w:w="587"/>
        <w:gridCol w:w="587"/>
        <w:gridCol w:w="5373"/>
      </w:tblGrid>
      <w:tr w:rsidR="00B35152" w:rsidRPr="00D06E2E" w14:paraId="495D9C3D"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BAA754A"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15627027"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7C753A97"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3855BC6D"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4C2A67F4"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11E2EAFD"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D06E2E" w14:paraId="7EBB7D24"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73FB012"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1526932"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19A8804"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060EE07"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1983D97"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687F826D"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تستخدم مؤسستنا تقنية الترميز لحماية بيانات الدفع والمعاملات المالية الحساسة.</w:t>
            </w:r>
          </w:p>
        </w:tc>
      </w:tr>
      <w:tr w:rsidR="00B35152" w:rsidRPr="00D06E2E" w14:paraId="28FB24A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9BCBD58"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8B8CF21"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4EF1010"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247FEF2"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F0C482E"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539E460"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تطبق مؤسستنا ترميز البيانات في مرحلة التخزين (Tokenization at Rest).</w:t>
            </w:r>
          </w:p>
        </w:tc>
      </w:tr>
      <w:tr w:rsidR="00B35152" w:rsidRPr="00D06E2E" w14:paraId="597AB2F6"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5B9ABC0"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FECE78"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043DD1D"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6865D42"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BB45789"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108F033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تطبق مؤسستنا ترميز البيانات في مرحلة النقل (Tokenization in Transit).</w:t>
            </w:r>
          </w:p>
        </w:tc>
      </w:tr>
      <w:tr w:rsidR="00B35152" w:rsidRPr="00D06E2E" w14:paraId="134640BF"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533075BC"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5219C7F"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57D5687"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46D6131"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3368112"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D027B6F"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تغطي تقنية الترميز أنواعاً متعددة من البيانات الحساسة (بطاقات الدفع، الهوية، الحسابات).</w:t>
            </w:r>
          </w:p>
        </w:tc>
      </w:tr>
      <w:tr w:rsidR="00B35152" w:rsidRPr="00D06E2E" w14:paraId="51BDD7BB"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092E96C3"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B5A733B"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80387B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A7A0C7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73CDF50"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54FCED0"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يتسق تطبيق تقنية الترميز في مؤسستنا مع متطلبات معيار PCI DSS.</w:t>
            </w:r>
          </w:p>
        </w:tc>
      </w:tr>
      <w:tr w:rsidR="00B35152" w:rsidRPr="00D06E2E" w14:paraId="79B7DC9F"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B09F66C"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3F971A"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A94A2A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331A5B5"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2AEE8F1"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B2B5DBC"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تُحدَّث منظومة الترميز بصفة منتظمة لمواكبة التطورات التقنية والتهديدات المستحدثة.</w:t>
            </w:r>
          </w:p>
        </w:tc>
      </w:tr>
    </w:tbl>
    <w:p w14:paraId="1D97AC2F"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تطبيق تقنية الترميز</w:t>
      </w:r>
    </w:p>
    <w:p w14:paraId="5EB55A9E" w14:textId="77777777" w:rsidR="00B35152" w:rsidRDefault="00B35152" w:rsidP="00E000FF">
      <w:pPr>
        <w:bidi/>
        <w:spacing w:after="0" w:line="360" w:lineRule="auto"/>
        <w:jc w:val="both"/>
        <w:rPr>
          <w:rFonts w:ascii="Simplified Arabic" w:hAnsi="Simplified Arabic" w:cs="Simplified Arabic"/>
          <w:sz w:val="28"/>
          <w:szCs w:val="28"/>
          <w:rtl/>
        </w:rPr>
      </w:pPr>
    </w:p>
    <w:p w14:paraId="6E624D8A" w14:textId="77777777" w:rsidR="003620CC" w:rsidRPr="004D506A" w:rsidRDefault="003620CC" w:rsidP="003620CC">
      <w:pPr>
        <w:bidi/>
        <w:spacing w:after="0" w:line="360" w:lineRule="auto"/>
        <w:jc w:val="both"/>
        <w:rPr>
          <w:rFonts w:ascii="Simplified Arabic" w:hAnsi="Simplified Arabic" w:cs="Simplified Arabic"/>
          <w:sz w:val="28"/>
          <w:szCs w:val="28"/>
        </w:rPr>
      </w:pPr>
    </w:p>
    <w:p w14:paraId="4C45A7C9"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ثالثاً: الأمن السيبراني المؤسسي (المتغير التابع الأول)</w:t>
      </w:r>
    </w:p>
    <w:tbl>
      <w:tblPr>
        <w:tblStyle w:val="GridTable4-Accent1"/>
        <w:tblW w:w="8296" w:type="dxa"/>
        <w:jc w:val="center"/>
        <w:tblLook w:val="04A0" w:firstRow="1" w:lastRow="0" w:firstColumn="1" w:lastColumn="0" w:noHBand="0" w:noVBand="1"/>
      </w:tblPr>
      <w:tblGrid>
        <w:gridCol w:w="575"/>
        <w:gridCol w:w="587"/>
        <w:gridCol w:w="587"/>
        <w:gridCol w:w="587"/>
        <w:gridCol w:w="587"/>
        <w:gridCol w:w="5373"/>
      </w:tblGrid>
      <w:tr w:rsidR="00B35152" w:rsidRPr="006B261A" w14:paraId="48BD3F27"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7429F37"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41E2C89D"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3436FB63"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3C56E253"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6C35706D"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5927037A"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6B261A" w14:paraId="507F8E9E"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1F2CA139"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E31CA5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72B71A0"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B2C5B1"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D56E47B"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5987F99B"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حماية البيانات من الاختراقات وتقليص مخاطرها.</w:t>
            </w:r>
          </w:p>
        </w:tc>
      </w:tr>
      <w:tr w:rsidR="00B35152" w:rsidRPr="006B261A" w14:paraId="603176E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88F1F09"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A67BBB"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EE57825"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43EFAA8"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F22E95C"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495F183B"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الحماية من الاحتيال المالي الإلكتروني.</w:t>
            </w:r>
          </w:p>
        </w:tc>
      </w:tr>
      <w:tr w:rsidR="00B35152" w:rsidRPr="006B261A" w14:paraId="339F5A28"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64AB9C90"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6A22AF0"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655FEDF"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C1F880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0B163C9"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04DCC32"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الترميز في تحقيق متطلبات الضوابط الأساسية للأمن السيبراني (ECC).</w:t>
            </w:r>
          </w:p>
        </w:tc>
      </w:tr>
      <w:tr w:rsidR="00B35152" w:rsidRPr="006B261A" w14:paraId="4B059F30"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03527428"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D3EE688"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11EAFE2"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14E5A54"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5EC2AAC"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102DE061"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تعزيز الحماية من المخاطر المرتبطة بالتهديدات الداخلية (Insider Threats).</w:t>
            </w:r>
          </w:p>
        </w:tc>
      </w:tr>
      <w:tr w:rsidR="00B35152" w:rsidRPr="006B261A" w14:paraId="1447CBE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1B8C5E3"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88C59F4"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B6399DD"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712A448"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1350E56"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B73CB37"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تسريع الاستجابة للحوادث السيبرانية وتحسين الأثر المُحتوَى.</w:t>
            </w:r>
          </w:p>
        </w:tc>
      </w:tr>
      <w:tr w:rsidR="00B35152" w:rsidRPr="006B261A" w14:paraId="6B2EFBEF"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1655AD8"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5ADDB8"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0F8C019"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1EE5A45"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009E513"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46A60C34"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حماية البيانات من الاختراقات وتقليص مخاطرها.</w:t>
            </w:r>
          </w:p>
        </w:tc>
      </w:tr>
      <w:tr w:rsidR="00B35152" w:rsidRPr="006B261A" w14:paraId="3299B6BE"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0483DFE3"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230B5B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1B74A47"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FA94CC0"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CF23C1C"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73F9009F"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الحماية من الاحتيال المالي الإلكتروني.</w:t>
            </w:r>
          </w:p>
        </w:tc>
      </w:tr>
    </w:tbl>
    <w:p w14:paraId="4E046EEA"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الأمن السيبراني</w:t>
      </w:r>
    </w:p>
    <w:p w14:paraId="1B1FE352"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3160923D"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رابعاً: كفاءة العمليات المالية (المتغير التابع الثاني)</w:t>
      </w:r>
    </w:p>
    <w:tbl>
      <w:tblPr>
        <w:tblStyle w:val="GridTable4-Accent1"/>
        <w:tblW w:w="8299" w:type="dxa"/>
        <w:tblLook w:val="04A0" w:firstRow="1" w:lastRow="0" w:firstColumn="1" w:lastColumn="0" w:noHBand="0" w:noVBand="1"/>
      </w:tblPr>
      <w:tblGrid>
        <w:gridCol w:w="523"/>
        <w:gridCol w:w="536"/>
        <w:gridCol w:w="536"/>
        <w:gridCol w:w="536"/>
        <w:gridCol w:w="536"/>
        <w:gridCol w:w="5632"/>
      </w:tblGrid>
      <w:tr w:rsidR="00B35152" w:rsidRPr="00F83044" w14:paraId="7938E4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60D6F2A5"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5</w:t>
            </w:r>
          </w:p>
        </w:tc>
        <w:tc>
          <w:tcPr>
            <w:tcW w:w="536" w:type="dxa"/>
            <w:vAlign w:val="center"/>
          </w:tcPr>
          <w:p w14:paraId="31277E88"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4</w:t>
            </w:r>
          </w:p>
        </w:tc>
        <w:tc>
          <w:tcPr>
            <w:tcW w:w="536" w:type="dxa"/>
            <w:vAlign w:val="center"/>
          </w:tcPr>
          <w:p w14:paraId="532DF209"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3</w:t>
            </w:r>
          </w:p>
        </w:tc>
        <w:tc>
          <w:tcPr>
            <w:tcW w:w="536" w:type="dxa"/>
            <w:vAlign w:val="center"/>
          </w:tcPr>
          <w:p w14:paraId="24AB19D0"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2</w:t>
            </w:r>
          </w:p>
        </w:tc>
        <w:tc>
          <w:tcPr>
            <w:tcW w:w="536" w:type="dxa"/>
            <w:vAlign w:val="center"/>
          </w:tcPr>
          <w:p w14:paraId="530A1289"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1</w:t>
            </w:r>
          </w:p>
        </w:tc>
        <w:tc>
          <w:tcPr>
            <w:tcW w:w="5632" w:type="dxa"/>
            <w:vAlign w:val="center"/>
          </w:tcPr>
          <w:p w14:paraId="4475E0AB"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F83044" w14:paraId="2BA6C5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16985253"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6C9AF81E"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02D790F"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3B89E5FA"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34488422"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5D01DDCC"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تسريع معالجة المعاملات المالية وتحسين إنتاجية العمليات.</w:t>
            </w:r>
          </w:p>
        </w:tc>
      </w:tr>
      <w:tr w:rsidR="00B35152" w:rsidRPr="00F83044" w14:paraId="53DA57E2"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38052298"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380CEBD9"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62C0BA5F"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6BAC6D9"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66B41BC"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2BC5870A"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خفض التكاليف التشغيلية المرتبطة بإدارة أمن البيانات.</w:t>
            </w:r>
          </w:p>
        </w:tc>
      </w:tr>
      <w:tr w:rsidR="00B35152" w:rsidRPr="00F83044" w14:paraId="01B31EA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7A6A5D5A"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5D8C473F"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699617F9"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3E228E5D"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EBC56A2"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2A545E51"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تقليل معدلات الأخطاء وتحسين الدقة في معالجة المعاملات المالية الرقمية.</w:t>
            </w:r>
          </w:p>
        </w:tc>
      </w:tr>
      <w:tr w:rsidR="00B35152" w:rsidRPr="00F83044" w14:paraId="109A7309"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4FAA8164"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5B32CC0B"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6CAB65C"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69C2C4A1"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6FFE5330"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0ACA5E90"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رفع كفاءة تنفيذ المعاملات من حيث السرعة والدقة والإنتاجية التشغيلية.</w:t>
            </w:r>
          </w:p>
        </w:tc>
      </w:tr>
      <w:tr w:rsidR="00B35152" w:rsidRPr="00F83044" w14:paraId="23C5CD98"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103BE701"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6519D6D2"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2B531EBE"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2ECF1A71"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A363C76"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6DBA6BC8"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تحقيق تكامل أكثر سلاسة مع الأنظمة المالية الخارجية والشركاء التجاريين.</w:t>
            </w:r>
          </w:p>
        </w:tc>
      </w:tr>
      <w:tr w:rsidR="00B35152" w:rsidRPr="00F83044" w14:paraId="55671BDB"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766D164F"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51FDC996"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02B671F"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6C1FCBC1"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AD88D7F"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00B907A6"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تقليص الوقت اللازم للامتثال التنظيمي والتدقيق الداخلي.</w:t>
            </w:r>
          </w:p>
        </w:tc>
      </w:tr>
    </w:tbl>
    <w:p w14:paraId="6FA4955F"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كفاءة العمليات المالية</w:t>
      </w:r>
    </w:p>
    <w:p w14:paraId="180349A3" w14:textId="77777777" w:rsidR="00C51308" w:rsidRPr="00927861" w:rsidRDefault="00C51308" w:rsidP="00E000FF">
      <w:pPr>
        <w:bidi/>
        <w:spacing w:after="0" w:line="360" w:lineRule="auto"/>
        <w:jc w:val="both"/>
        <w:rPr>
          <w:rFonts w:ascii="Simplified Arabic" w:hAnsi="Simplified Arabic" w:cs="Simplified Arabic"/>
          <w:sz w:val="28"/>
          <w:szCs w:val="28"/>
        </w:rPr>
      </w:pPr>
    </w:p>
    <w:p w14:paraId="512CA9E3"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ثانياً: الامتثال للمعايير الدولية (المتغير المستقل الثاني)</w:t>
      </w:r>
    </w:p>
    <w:tbl>
      <w:tblPr>
        <w:tblStyle w:val="GridTable4-Accent1"/>
        <w:tblW w:w="8296" w:type="dxa"/>
        <w:tblLook w:val="04A0" w:firstRow="1" w:lastRow="0" w:firstColumn="1" w:lastColumn="0" w:noHBand="0" w:noVBand="1"/>
      </w:tblPr>
      <w:tblGrid>
        <w:gridCol w:w="575"/>
        <w:gridCol w:w="587"/>
        <w:gridCol w:w="587"/>
        <w:gridCol w:w="587"/>
        <w:gridCol w:w="587"/>
        <w:gridCol w:w="5373"/>
      </w:tblGrid>
      <w:tr w:rsidR="00B35152" w:rsidRPr="0045178D" w14:paraId="66A9379E"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97E41BB"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3BAC7BB9"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63134B69"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7640E7DD"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330BF8A1"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tcPr>
          <w:p w14:paraId="6D4E0F2E" w14:textId="77777777" w:rsidR="00B35152" w:rsidRPr="0045178D" w:rsidRDefault="00B35152" w:rsidP="00E000FF">
            <w:pPr>
              <w:bidi/>
              <w:spacing w:after="0" w:line="2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45178D" w14:paraId="1ADDC7F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04C7956C"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7BC0EB9"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48DBBC8"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C69A2C6"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B966BD6"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4B3A56B"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استيفاء متطلبات الأطر التنظيمية لحماية البيانات الصادرة عن ساما.</w:t>
            </w:r>
          </w:p>
        </w:tc>
      </w:tr>
      <w:tr w:rsidR="00B35152" w:rsidRPr="0045178D" w14:paraId="7ADAA868"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494C7318"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4E833F1"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B1D5E52"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0B84B5B"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92F942F"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1154BCC6" w14:textId="77777777" w:rsidR="00B35152" w:rsidRPr="0045178D"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يُيسِّر الترميز الحصول على الموافقات التنظيمية لإطلاق خدمات مالية جديدة.</w:t>
            </w:r>
          </w:p>
        </w:tc>
      </w:tr>
      <w:tr w:rsidR="00B35152" w:rsidRPr="0045178D" w14:paraId="0A525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17B8BA1"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BA85DE7"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274C86"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FAF6FD8"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629007"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083C3F3A"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يُخفِّف الترميز من المسؤوليات القانونية المترتبة على إدارة البيانات الحساسة.</w:t>
            </w:r>
          </w:p>
        </w:tc>
      </w:tr>
      <w:tr w:rsidR="00B35152" w:rsidRPr="0045178D" w14:paraId="6DFBE47A"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12D468EC"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9C9D370"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EC1683F"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CC91CC4"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A6169E9"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06290044" w14:textId="77777777" w:rsidR="00B35152" w:rsidRPr="0045178D"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تحقيق متطلبات المعايير الدولية ذات الصلة (PCI DSS, ISO 27001).</w:t>
            </w:r>
          </w:p>
        </w:tc>
      </w:tr>
      <w:tr w:rsidR="00B35152" w:rsidRPr="0045178D" w14:paraId="42E3A2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37909DD"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57C528F"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D77E163"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B0E5799"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043711C"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657018F"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يُقلِّل الترميز من مستوى مخاطر التدقيق والغرامات التنظيمية المحتملة.</w:t>
            </w:r>
          </w:p>
        </w:tc>
      </w:tr>
    </w:tbl>
    <w:p w14:paraId="31D3FDD7"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الامتثال للمعايير الدولية</w:t>
      </w:r>
    </w:p>
    <w:p w14:paraId="2CBDE85D" w14:textId="77777777" w:rsidR="00B35152" w:rsidRPr="00927861" w:rsidRDefault="00B35152" w:rsidP="00E000FF">
      <w:pPr>
        <w:bidi/>
        <w:spacing w:after="0" w:line="360" w:lineRule="auto"/>
        <w:jc w:val="both"/>
        <w:rPr>
          <w:rFonts w:ascii="Simplified Arabic" w:hAnsi="Simplified Arabic" w:cs="Simplified Arabic"/>
          <w:sz w:val="28"/>
          <w:szCs w:val="28"/>
        </w:rPr>
      </w:pPr>
    </w:p>
    <w:p w14:paraId="0C8807AA"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خامساً: تحديات تطبيق تقنية الترميز (بيانات وصفية تكميلية خارج نطاق الفروض)</w:t>
      </w:r>
    </w:p>
    <w:tbl>
      <w:tblPr>
        <w:tblStyle w:val="GridTable4-Accent1"/>
        <w:tblW w:w="8296" w:type="dxa"/>
        <w:tblLook w:val="04A0" w:firstRow="1" w:lastRow="0" w:firstColumn="1" w:lastColumn="0" w:noHBand="0" w:noVBand="1"/>
      </w:tblPr>
      <w:tblGrid>
        <w:gridCol w:w="575"/>
        <w:gridCol w:w="587"/>
        <w:gridCol w:w="587"/>
        <w:gridCol w:w="587"/>
        <w:gridCol w:w="587"/>
        <w:gridCol w:w="5373"/>
      </w:tblGrid>
      <w:tr w:rsidR="00B35152" w:rsidRPr="001C2101" w14:paraId="4F6528C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599AA9FF"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1D78800B"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32D4E8C2"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2CF22E3F"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61E50392"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29C6EC54"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1C2101" w14:paraId="4A1D50E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6D976EF"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FB4B493"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28027B9"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980A027"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68CB7A2"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1F6D95EC"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تُمثِّل التكلفة العالية للبنية التحتية التقنية تحدياً رئيسياً أمام تطبيق الترميز في مؤسستنا.</w:t>
            </w:r>
          </w:p>
        </w:tc>
      </w:tr>
      <w:tr w:rsidR="00B35152" w:rsidRPr="001C2101" w14:paraId="68EEE84E"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61B69E4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E26E72"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AB3D9CA"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0B6F412"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BE40A3"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EC28ED8"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يُشكِّل غياب الكوادر البشرية المتخصصة في تقنية الترميز عائقاً أمام التطبيق الفعّال.</w:t>
            </w:r>
          </w:p>
        </w:tc>
      </w:tr>
      <w:tr w:rsidR="00B35152" w:rsidRPr="001C2101" w14:paraId="373D2F68"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052F17F"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90763F5"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B92B181"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B07350"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D44888C"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9373D72"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تُعيق صعوبات التكامل مع الأنظمة القائمة عملية تطبيق تقنية الترميز.</w:t>
            </w:r>
          </w:p>
        </w:tc>
      </w:tr>
      <w:tr w:rsidR="00B35152" w:rsidRPr="001C2101" w14:paraId="5FDAF2FA"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41507F53"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316520"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A014B87"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EBB37CA"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F57E745"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A502652"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تُقيِّد بعض متطلبات الجهات التنظيمية مرونة تطبيق تقنية الترميز في بعض الأحيان.</w:t>
            </w:r>
          </w:p>
        </w:tc>
      </w:tr>
      <w:tr w:rsidR="00B35152" w:rsidRPr="001C2101" w14:paraId="2EB1AE9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6DA83CD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A329350"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14A5F78"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D3D5EA8"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6650144"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BEE43F3"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يُشكِّل نقص الوعي الداخلي بأهمية الترميز عائقاً أمام توسيع نطاق التطبيق.</w:t>
            </w:r>
          </w:p>
        </w:tc>
      </w:tr>
      <w:tr w:rsidR="00B35152" w:rsidRPr="001C2101" w14:paraId="14ACD93C"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7183FE05"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FB4E8DE"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5691CD"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624106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09642B2"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F896322"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تُعوق صعوبة قياس العائد على الاستثمار (ROI) لتقنية الترميز قرارات التبني المؤسسي.</w:t>
            </w:r>
          </w:p>
        </w:tc>
      </w:tr>
    </w:tbl>
    <w:p w14:paraId="46168A05"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تحديات تطبيق تقنية الترميز</w:t>
      </w:r>
    </w:p>
    <w:p w14:paraId="69B9B6A2" w14:textId="77777777" w:rsidR="00B35152" w:rsidRPr="00927861" w:rsidRDefault="00B35152" w:rsidP="00E000FF">
      <w:pPr>
        <w:bidi/>
        <w:spacing w:after="0" w:line="360" w:lineRule="auto"/>
        <w:jc w:val="both"/>
        <w:rPr>
          <w:rFonts w:ascii="Simplified Arabic" w:hAnsi="Simplified Arabic" w:cs="Simplified Arabic"/>
          <w:sz w:val="28"/>
          <w:szCs w:val="28"/>
        </w:rPr>
      </w:pPr>
    </w:p>
    <w:p w14:paraId="14A0565F"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القسم الثالث: أسئلة مفتوحة</w:t>
      </w:r>
    </w:p>
    <w:p w14:paraId="661E351B" w14:textId="77777777" w:rsidR="00B35152" w:rsidRPr="006F4893" w:rsidRDefault="00B35152" w:rsidP="00E000FF">
      <w:pPr>
        <w:pStyle w:val="ListParagraph"/>
        <w:numPr>
          <w:ilvl w:val="0"/>
          <w:numId w:val="60"/>
        </w:numPr>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4"/>
          <w:szCs w:val="24"/>
          <w:rtl/>
        </w:rPr>
        <w:t>ما أبرز الفوائد العملية التي حقّقتها مؤسستكم من تطبيق تقنية الترميز؟</w:t>
      </w:r>
    </w:p>
    <w:p w14:paraId="2FE8284C" w14:textId="77777777" w:rsidR="00B35152" w:rsidRDefault="00B35152" w:rsidP="00E000FF">
      <w:pPr>
        <w:bidi/>
        <w:spacing w:after="0" w:line="360" w:lineRule="auto"/>
        <w:jc w:val="both"/>
        <w:rPr>
          <w:rFonts w:ascii="Simplified Arabic" w:hAnsi="Simplified Arabic" w:cs="Simplified Arabic"/>
          <w:sz w:val="28"/>
          <w:szCs w:val="28"/>
          <w:rtl/>
        </w:rPr>
      </w:pPr>
    </w:p>
    <w:p w14:paraId="785EBD21"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658A8CCD"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0F489162" w14:textId="77777777" w:rsidR="00B35152" w:rsidRDefault="00B35152" w:rsidP="00E000FF">
      <w:pPr>
        <w:bidi/>
        <w:spacing w:after="0" w:line="360" w:lineRule="auto"/>
        <w:jc w:val="both"/>
        <w:rPr>
          <w:rFonts w:ascii="Simplified Arabic" w:hAnsi="Simplified Arabic" w:cs="Simplified Arabic"/>
          <w:sz w:val="28"/>
          <w:szCs w:val="28"/>
          <w:rtl/>
          <w:lang w:bidi="ar-EG"/>
        </w:rPr>
      </w:pPr>
    </w:p>
    <w:p w14:paraId="6DFE0835" w14:textId="77777777" w:rsidR="00B35152" w:rsidRPr="00927861" w:rsidRDefault="00B35152" w:rsidP="00E000FF">
      <w:pPr>
        <w:pStyle w:val="ListParagraph"/>
        <w:numPr>
          <w:ilvl w:val="0"/>
          <w:numId w:val="60"/>
        </w:numPr>
        <w:bidi/>
        <w:spacing w:after="0" w:line="360" w:lineRule="auto"/>
        <w:ind w:left="386"/>
        <w:jc w:val="both"/>
        <w:rPr>
          <w:rFonts w:ascii="Simplified Arabic" w:hAnsi="Simplified Arabic" w:cs="Simplified Arabic"/>
          <w:sz w:val="28"/>
          <w:szCs w:val="28"/>
        </w:rPr>
      </w:pPr>
      <w:r>
        <w:rPr>
          <w:rFonts w:ascii="Traditional Arabic" w:hAnsi="Traditional Arabic" w:cs="Traditional Arabic"/>
          <w:sz w:val="24"/>
          <w:szCs w:val="24"/>
          <w:rtl/>
        </w:rPr>
        <w:t>ما التوصيات التي تقترحها لتعزيز تطبيق تقنية الترميز في القطاع المالي السعودي؟</w:t>
      </w:r>
    </w:p>
    <w:p w14:paraId="458DCE84" w14:textId="77777777" w:rsidR="00B35152" w:rsidRDefault="00B35152" w:rsidP="00E000FF">
      <w:pPr>
        <w:bidi/>
        <w:spacing w:after="0" w:line="360" w:lineRule="auto"/>
        <w:jc w:val="both"/>
        <w:rPr>
          <w:rFonts w:ascii="Simplified Arabic" w:hAnsi="Simplified Arabic" w:cs="Simplified Arabic"/>
          <w:sz w:val="28"/>
          <w:szCs w:val="28"/>
          <w:rtl/>
        </w:rPr>
      </w:pPr>
    </w:p>
    <w:p w14:paraId="6C388221"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EE52692"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8058F2C" w14:textId="77777777" w:rsidR="00D329C2" w:rsidRPr="00D329C2" w:rsidRDefault="00D329C2"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1852668D" w14:textId="77777777" w:rsidR="005D691F" w:rsidRDefault="00F4227D" w:rsidP="003620CC">
      <w:pPr>
        <w:pStyle w:val="HeadingTOCEntry"/>
        <w:bidi/>
        <w:spacing w:after="0" w:line="360" w:lineRule="auto"/>
      </w:pPr>
      <w:r>
        <w:rPr>
          <w:rFonts w:ascii="Traditional Arabic" w:hAnsi="Traditional Arabic" w:cs="Traditional Arabic"/>
          <w:b/>
          <w:bCs/>
          <w:sz w:val="32"/>
          <w:szCs w:val="32"/>
          <w:rtl/>
        </w:rPr>
        <w:lastRenderedPageBreak/>
        <w:t>ملحق (2): قائمة المحكّمين</w:t>
      </w:r>
    </w:p>
    <w:p w14:paraId="2C34E15A" w14:textId="77777777" w:rsidR="005D691F" w:rsidRDefault="00F4227D" w:rsidP="003620CC">
      <w:pPr>
        <w:bidi/>
        <w:spacing w:after="0" w:line="360" w:lineRule="auto"/>
      </w:pPr>
      <w:r>
        <w:rPr>
          <w:rFonts w:ascii="Traditional Arabic" w:hAnsi="Traditional Arabic" w:cs="Traditional Arabic"/>
          <w:sz w:val="24"/>
          <w:szCs w:val="24"/>
          <w:rtl/>
        </w:rPr>
        <w:t>يتضمن هذا الملحق أسماء السادة المحكّمين الذين شاركوا في تحكيم أداة الدراسة، ودرجاتهم العلمية، وتخصصاتهم، وجهات عملهم.</w:t>
      </w: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600"/>
        <w:gridCol w:w="2400"/>
        <w:gridCol w:w="1600"/>
        <w:gridCol w:w="1900"/>
        <w:gridCol w:w="1800"/>
      </w:tblGrid>
      <w:tr w:rsidR="005D691F" w14:paraId="38B818F2" w14:textId="77777777" w:rsidTr="003620CC">
        <w:tc>
          <w:tcPr>
            <w:tcW w:w="600" w:type="dxa"/>
            <w:shd w:val="clear" w:color="auto" w:fill="DCE9F5"/>
            <w:vAlign w:val="center"/>
          </w:tcPr>
          <w:p w14:paraId="03B60108" w14:textId="77777777" w:rsidR="005D691F" w:rsidRDefault="00F4227D" w:rsidP="003620CC">
            <w:pPr>
              <w:bidi/>
              <w:spacing w:after="0" w:line="300" w:lineRule="auto"/>
              <w:jc w:val="center"/>
            </w:pPr>
            <w:r>
              <w:rPr>
                <w:rFonts w:ascii="Traditional Arabic" w:hAnsi="Traditional Arabic" w:cs="Traditional Arabic"/>
                <w:b/>
                <w:bCs/>
                <w:rtl/>
              </w:rPr>
              <w:t>م</w:t>
            </w:r>
          </w:p>
        </w:tc>
        <w:tc>
          <w:tcPr>
            <w:tcW w:w="2400" w:type="dxa"/>
            <w:shd w:val="clear" w:color="auto" w:fill="DCE9F5"/>
            <w:vAlign w:val="center"/>
          </w:tcPr>
          <w:p w14:paraId="78524062" w14:textId="77777777" w:rsidR="005D691F" w:rsidRDefault="00F4227D" w:rsidP="003620CC">
            <w:pPr>
              <w:bidi/>
              <w:spacing w:after="0" w:line="300" w:lineRule="auto"/>
              <w:jc w:val="center"/>
            </w:pPr>
            <w:r>
              <w:rPr>
                <w:rFonts w:ascii="Traditional Arabic" w:hAnsi="Traditional Arabic" w:cs="Traditional Arabic"/>
                <w:b/>
                <w:bCs/>
                <w:rtl/>
              </w:rPr>
              <w:t>اسم المحكّم</w:t>
            </w:r>
          </w:p>
        </w:tc>
        <w:tc>
          <w:tcPr>
            <w:tcW w:w="1600" w:type="dxa"/>
            <w:shd w:val="clear" w:color="auto" w:fill="DCE9F5"/>
            <w:vAlign w:val="center"/>
          </w:tcPr>
          <w:p w14:paraId="067CDD73" w14:textId="77777777" w:rsidR="005D691F" w:rsidRDefault="00F4227D" w:rsidP="003620CC">
            <w:pPr>
              <w:bidi/>
              <w:spacing w:after="0" w:line="300" w:lineRule="auto"/>
              <w:jc w:val="center"/>
            </w:pPr>
            <w:r>
              <w:rPr>
                <w:rFonts w:ascii="Traditional Arabic" w:hAnsi="Traditional Arabic" w:cs="Traditional Arabic"/>
                <w:b/>
                <w:bCs/>
                <w:rtl/>
              </w:rPr>
              <w:t>الدرجة العلمية</w:t>
            </w:r>
          </w:p>
        </w:tc>
        <w:tc>
          <w:tcPr>
            <w:tcW w:w="1900" w:type="dxa"/>
            <w:shd w:val="clear" w:color="auto" w:fill="DCE9F5"/>
            <w:vAlign w:val="center"/>
          </w:tcPr>
          <w:p w14:paraId="7F484330" w14:textId="77777777" w:rsidR="005D691F" w:rsidRDefault="00F4227D" w:rsidP="003620CC">
            <w:pPr>
              <w:bidi/>
              <w:spacing w:after="0" w:line="300" w:lineRule="auto"/>
              <w:jc w:val="center"/>
            </w:pPr>
            <w:r>
              <w:rPr>
                <w:rFonts w:ascii="Traditional Arabic" w:hAnsi="Traditional Arabic" w:cs="Traditional Arabic"/>
                <w:b/>
                <w:bCs/>
                <w:rtl/>
              </w:rPr>
              <w:t>التخصص</w:t>
            </w:r>
          </w:p>
        </w:tc>
        <w:tc>
          <w:tcPr>
            <w:tcW w:w="1800" w:type="dxa"/>
            <w:shd w:val="clear" w:color="auto" w:fill="DCE9F5"/>
            <w:vAlign w:val="center"/>
          </w:tcPr>
          <w:p w14:paraId="12469468" w14:textId="77777777" w:rsidR="005D691F" w:rsidRDefault="00F4227D" w:rsidP="003620CC">
            <w:pPr>
              <w:bidi/>
              <w:spacing w:after="0" w:line="300" w:lineRule="auto"/>
              <w:jc w:val="center"/>
            </w:pPr>
            <w:r>
              <w:rPr>
                <w:rFonts w:ascii="Traditional Arabic" w:hAnsi="Traditional Arabic" w:cs="Traditional Arabic"/>
                <w:b/>
                <w:bCs/>
                <w:rtl/>
              </w:rPr>
              <w:t>جهة العمل</w:t>
            </w:r>
          </w:p>
        </w:tc>
      </w:tr>
      <w:tr w:rsidR="005D691F" w14:paraId="3C810BC9" w14:textId="77777777" w:rsidTr="003620CC">
        <w:tc>
          <w:tcPr>
            <w:tcW w:w="600" w:type="dxa"/>
            <w:vAlign w:val="center"/>
          </w:tcPr>
          <w:p w14:paraId="09A1DA7A" w14:textId="77777777" w:rsidR="005D691F" w:rsidRDefault="00F4227D" w:rsidP="003620CC">
            <w:pPr>
              <w:bidi/>
              <w:spacing w:after="0" w:line="300" w:lineRule="auto"/>
              <w:jc w:val="center"/>
            </w:pPr>
            <w:r>
              <w:rPr>
                <w:rFonts w:ascii="Traditional Arabic" w:hAnsi="Traditional Arabic" w:cs="Traditional Arabic"/>
                <w:rtl/>
              </w:rPr>
              <w:t>1</w:t>
            </w:r>
          </w:p>
        </w:tc>
        <w:tc>
          <w:tcPr>
            <w:tcW w:w="2400" w:type="dxa"/>
            <w:vAlign w:val="center"/>
          </w:tcPr>
          <w:p w14:paraId="214736A4" w14:textId="77777777" w:rsidR="005D691F" w:rsidRDefault="005D691F" w:rsidP="003620CC">
            <w:pPr>
              <w:bidi/>
              <w:spacing w:after="0" w:line="300" w:lineRule="auto"/>
              <w:jc w:val="center"/>
            </w:pPr>
          </w:p>
        </w:tc>
        <w:tc>
          <w:tcPr>
            <w:tcW w:w="1600" w:type="dxa"/>
            <w:vAlign w:val="center"/>
          </w:tcPr>
          <w:p w14:paraId="4407ED85" w14:textId="77777777" w:rsidR="005D691F" w:rsidRDefault="005D691F" w:rsidP="003620CC">
            <w:pPr>
              <w:bidi/>
              <w:spacing w:after="0" w:line="300" w:lineRule="auto"/>
              <w:jc w:val="center"/>
            </w:pPr>
          </w:p>
        </w:tc>
        <w:tc>
          <w:tcPr>
            <w:tcW w:w="1900" w:type="dxa"/>
            <w:vAlign w:val="center"/>
          </w:tcPr>
          <w:p w14:paraId="7F2FED24" w14:textId="77777777" w:rsidR="005D691F" w:rsidRDefault="005D691F" w:rsidP="003620CC">
            <w:pPr>
              <w:bidi/>
              <w:spacing w:after="0" w:line="300" w:lineRule="auto"/>
              <w:jc w:val="center"/>
            </w:pPr>
          </w:p>
        </w:tc>
        <w:tc>
          <w:tcPr>
            <w:tcW w:w="1800" w:type="dxa"/>
            <w:vAlign w:val="center"/>
          </w:tcPr>
          <w:p w14:paraId="6CA97882" w14:textId="77777777" w:rsidR="005D691F" w:rsidRDefault="005D691F" w:rsidP="003620CC">
            <w:pPr>
              <w:bidi/>
              <w:spacing w:after="0" w:line="300" w:lineRule="auto"/>
              <w:jc w:val="center"/>
            </w:pPr>
          </w:p>
        </w:tc>
      </w:tr>
      <w:tr w:rsidR="005D691F" w14:paraId="727F0123" w14:textId="77777777" w:rsidTr="003620CC">
        <w:tc>
          <w:tcPr>
            <w:tcW w:w="600" w:type="dxa"/>
            <w:vAlign w:val="center"/>
          </w:tcPr>
          <w:p w14:paraId="3DAE01E6" w14:textId="77777777" w:rsidR="005D691F" w:rsidRDefault="00F4227D" w:rsidP="003620CC">
            <w:pPr>
              <w:bidi/>
              <w:spacing w:after="0" w:line="300" w:lineRule="auto"/>
              <w:jc w:val="center"/>
            </w:pPr>
            <w:r>
              <w:rPr>
                <w:rFonts w:ascii="Traditional Arabic" w:hAnsi="Traditional Arabic" w:cs="Traditional Arabic"/>
                <w:rtl/>
              </w:rPr>
              <w:t>2</w:t>
            </w:r>
          </w:p>
        </w:tc>
        <w:tc>
          <w:tcPr>
            <w:tcW w:w="2400" w:type="dxa"/>
            <w:vAlign w:val="center"/>
          </w:tcPr>
          <w:p w14:paraId="578BB343" w14:textId="77777777" w:rsidR="005D691F" w:rsidRDefault="005D691F" w:rsidP="003620CC">
            <w:pPr>
              <w:bidi/>
              <w:spacing w:after="0" w:line="300" w:lineRule="auto"/>
              <w:jc w:val="center"/>
            </w:pPr>
          </w:p>
        </w:tc>
        <w:tc>
          <w:tcPr>
            <w:tcW w:w="1600" w:type="dxa"/>
            <w:vAlign w:val="center"/>
          </w:tcPr>
          <w:p w14:paraId="256901F6" w14:textId="77777777" w:rsidR="005D691F" w:rsidRDefault="005D691F" w:rsidP="003620CC">
            <w:pPr>
              <w:bidi/>
              <w:spacing w:after="0" w:line="300" w:lineRule="auto"/>
              <w:jc w:val="center"/>
            </w:pPr>
          </w:p>
        </w:tc>
        <w:tc>
          <w:tcPr>
            <w:tcW w:w="1900" w:type="dxa"/>
            <w:vAlign w:val="center"/>
          </w:tcPr>
          <w:p w14:paraId="487CEE11" w14:textId="77777777" w:rsidR="005D691F" w:rsidRDefault="005D691F" w:rsidP="003620CC">
            <w:pPr>
              <w:bidi/>
              <w:spacing w:after="0" w:line="300" w:lineRule="auto"/>
              <w:jc w:val="center"/>
            </w:pPr>
          </w:p>
        </w:tc>
        <w:tc>
          <w:tcPr>
            <w:tcW w:w="1800" w:type="dxa"/>
            <w:vAlign w:val="center"/>
          </w:tcPr>
          <w:p w14:paraId="7BC5E8C0" w14:textId="77777777" w:rsidR="005D691F" w:rsidRDefault="005D691F" w:rsidP="003620CC">
            <w:pPr>
              <w:bidi/>
              <w:spacing w:after="0" w:line="300" w:lineRule="auto"/>
              <w:jc w:val="center"/>
            </w:pPr>
          </w:p>
        </w:tc>
      </w:tr>
      <w:tr w:rsidR="005D691F" w14:paraId="151A2209" w14:textId="77777777" w:rsidTr="003620CC">
        <w:tc>
          <w:tcPr>
            <w:tcW w:w="600" w:type="dxa"/>
            <w:vAlign w:val="center"/>
          </w:tcPr>
          <w:p w14:paraId="0D5B916E" w14:textId="77777777" w:rsidR="005D691F" w:rsidRDefault="00F4227D" w:rsidP="003620CC">
            <w:pPr>
              <w:bidi/>
              <w:spacing w:after="0" w:line="300" w:lineRule="auto"/>
              <w:jc w:val="center"/>
            </w:pPr>
            <w:r>
              <w:rPr>
                <w:rFonts w:ascii="Traditional Arabic" w:hAnsi="Traditional Arabic" w:cs="Traditional Arabic"/>
                <w:rtl/>
              </w:rPr>
              <w:t>3</w:t>
            </w:r>
          </w:p>
        </w:tc>
        <w:tc>
          <w:tcPr>
            <w:tcW w:w="2400" w:type="dxa"/>
            <w:vAlign w:val="center"/>
          </w:tcPr>
          <w:p w14:paraId="0CE6EA3A" w14:textId="77777777" w:rsidR="005D691F" w:rsidRDefault="005D691F" w:rsidP="003620CC">
            <w:pPr>
              <w:bidi/>
              <w:spacing w:after="0" w:line="300" w:lineRule="auto"/>
              <w:jc w:val="center"/>
            </w:pPr>
          </w:p>
        </w:tc>
        <w:tc>
          <w:tcPr>
            <w:tcW w:w="1600" w:type="dxa"/>
            <w:vAlign w:val="center"/>
          </w:tcPr>
          <w:p w14:paraId="11B46E91" w14:textId="77777777" w:rsidR="005D691F" w:rsidRDefault="005D691F" w:rsidP="003620CC">
            <w:pPr>
              <w:bidi/>
              <w:spacing w:after="0" w:line="300" w:lineRule="auto"/>
              <w:jc w:val="center"/>
            </w:pPr>
          </w:p>
        </w:tc>
        <w:tc>
          <w:tcPr>
            <w:tcW w:w="1900" w:type="dxa"/>
            <w:vAlign w:val="center"/>
          </w:tcPr>
          <w:p w14:paraId="52026CB1" w14:textId="77777777" w:rsidR="005D691F" w:rsidRDefault="005D691F" w:rsidP="003620CC">
            <w:pPr>
              <w:bidi/>
              <w:spacing w:after="0" w:line="300" w:lineRule="auto"/>
              <w:jc w:val="center"/>
            </w:pPr>
          </w:p>
        </w:tc>
        <w:tc>
          <w:tcPr>
            <w:tcW w:w="1800" w:type="dxa"/>
            <w:vAlign w:val="center"/>
          </w:tcPr>
          <w:p w14:paraId="4210AF19" w14:textId="77777777" w:rsidR="005D691F" w:rsidRDefault="005D691F" w:rsidP="003620CC">
            <w:pPr>
              <w:bidi/>
              <w:spacing w:after="0" w:line="300" w:lineRule="auto"/>
              <w:jc w:val="center"/>
            </w:pPr>
          </w:p>
        </w:tc>
      </w:tr>
      <w:tr w:rsidR="005D691F" w14:paraId="69F9FDE7" w14:textId="77777777" w:rsidTr="003620CC">
        <w:tc>
          <w:tcPr>
            <w:tcW w:w="600" w:type="dxa"/>
            <w:vAlign w:val="center"/>
          </w:tcPr>
          <w:p w14:paraId="26985F7B" w14:textId="77777777" w:rsidR="005D691F" w:rsidRDefault="00F4227D" w:rsidP="003620CC">
            <w:pPr>
              <w:bidi/>
              <w:spacing w:after="0" w:line="300" w:lineRule="auto"/>
              <w:jc w:val="center"/>
            </w:pPr>
            <w:r>
              <w:rPr>
                <w:rFonts w:ascii="Traditional Arabic" w:hAnsi="Traditional Arabic" w:cs="Traditional Arabic"/>
                <w:rtl/>
              </w:rPr>
              <w:t>4</w:t>
            </w:r>
          </w:p>
        </w:tc>
        <w:tc>
          <w:tcPr>
            <w:tcW w:w="2400" w:type="dxa"/>
            <w:vAlign w:val="center"/>
          </w:tcPr>
          <w:p w14:paraId="3E93AB9B" w14:textId="77777777" w:rsidR="005D691F" w:rsidRDefault="005D691F" w:rsidP="003620CC">
            <w:pPr>
              <w:bidi/>
              <w:spacing w:after="0" w:line="300" w:lineRule="auto"/>
              <w:jc w:val="center"/>
            </w:pPr>
          </w:p>
        </w:tc>
        <w:tc>
          <w:tcPr>
            <w:tcW w:w="1600" w:type="dxa"/>
            <w:vAlign w:val="center"/>
          </w:tcPr>
          <w:p w14:paraId="422B1C72" w14:textId="77777777" w:rsidR="005D691F" w:rsidRDefault="005D691F" w:rsidP="003620CC">
            <w:pPr>
              <w:bidi/>
              <w:spacing w:after="0" w:line="300" w:lineRule="auto"/>
              <w:jc w:val="center"/>
            </w:pPr>
          </w:p>
        </w:tc>
        <w:tc>
          <w:tcPr>
            <w:tcW w:w="1900" w:type="dxa"/>
            <w:vAlign w:val="center"/>
          </w:tcPr>
          <w:p w14:paraId="0AEF11AA" w14:textId="77777777" w:rsidR="005D691F" w:rsidRDefault="005D691F" w:rsidP="003620CC">
            <w:pPr>
              <w:bidi/>
              <w:spacing w:after="0" w:line="300" w:lineRule="auto"/>
              <w:jc w:val="center"/>
            </w:pPr>
          </w:p>
        </w:tc>
        <w:tc>
          <w:tcPr>
            <w:tcW w:w="1800" w:type="dxa"/>
            <w:vAlign w:val="center"/>
          </w:tcPr>
          <w:p w14:paraId="10856ED8" w14:textId="77777777" w:rsidR="005D691F" w:rsidRDefault="005D691F" w:rsidP="003620CC">
            <w:pPr>
              <w:bidi/>
              <w:spacing w:after="0" w:line="300" w:lineRule="auto"/>
              <w:jc w:val="center"/>
            </w:pPr>
          </w:p>
        </w:tc>
      </w:tr>
      <w:tr w:rsidR="005D691F" w14:paraId="378FDA2F" w14:textId="77777777" w:rsidTr="003620CC">
        <w:tc>
          <w:tcPr>
            <w:tcW w:w="600" w:type="dxa"/>
            <w:vAlign w:val="center"/>
          </w:tcPr>
          <w:p w14:paraId="368E71EB" w14:textId="77777777" w:rsidR="005D691F" w:rsidRDefault="00F4227D" w:rsidP="003620CC">
            <w:pPr>
              <w:bidi/>
              <w:spacing w:after="0" w:line="300" w:lineRule="auto"/>
              <w:jc w:val="center"/>
            </w:pPr>
            <w:r>
              <w:rPr>
                <w:rFonts w:ascii="Traditional Arabic" w:hAnsi="Traditional Arabic" w:cs="Traditional Arabic"/>
                <w:rtl/>
              </w:rPr>
              <w:t>5</w:t>
            </w:r>
          </w:p>
        </w:tc>
        <w:tc>
          <w:tcPr>
            <w:tcW w:w="2400" w:type="dxa"/>
            <w:vAlign w:val="center"/>
          </w:tcPr>
          <w:p w14:paraId="11B50689" w14:textId="77777777" w:rsidR="005D691F" w:rsidRDefault="005D691F" w:rsidP="003620CC">
            <w:pPr>
              <w:bidi/>
              <w:spacing w:after="0" w:line="300" w:lineRule="auto"/>
              <w:jc w:val="center"/>
            </w:pPr>
          </w:p>
        </w:tc>
        <w:tc>
          <w:tcPr>
            <w:tcW w:w="1600" w:type="dxa"/>
            <w:vAlign w:val="center"/>
          </w:tcPr>
          <w:p w14:paraId="68C87827" w14:textId="77777777" w:rsidR="005D691F" w:rsidRDefault="005D691F" w:rsidP="003620CC">
            <w:pPr>
              <w:bidi/>
              <w:spacing w:after="0" w:line="300" w:lineRule="auto"/>
              <w:jc w:val="center"/>
            </w:pPr>
          </w:p>
        </w:tc>
        <w:tc>
          <w:tcPr>
            <w:tcW w:w="1900" w:type="dxa"/>
            <w:vAlign w:val="center"/>
          </w:tcPr>
          <w:p w14:paraId="6DB66DD2" w14:textId="77777777" w:rsidR="005D691F" w:rsidRDefault="005D691F" w:rsidP="003620CC">
            <w:pPr>
              <w:bidi/>
              <w:spacing w:after="0" w:line="300" w:lineRule="auto"/>
              <w:jc w:val="center"/>
            </w:pPr>
          </w:p>
        </w:tc>
        <w:tc>
          <w:tcPr>
            <w:tcW w:w="1800" w:type="dxa"/>
            <w:vAlign w:val="center"/>
          </w:tcPr>
          <w:p w14:paraId="0AA00296" w14:textId="77777777" w:rsidR="005D691F" w:rsidRDefault="005D691F" w:rsidP="003620CC">
            <w:pPr>
              <w:bidi/>
              <w:spacing w:after="0" w:line="300" w:lineRule="auto"/>
              <w:jc w:val="center"/>
            </w:pPr>
          </w:p>
        </w:tc>
      </w:tr>
      <w:tr w:rsidR="005D691F" w14:paraId="3248130C" w14:textId="77777777" w:rsidTr="003620CC">
        <w:tc>
          <w:tcPr>
            <w:tcW w:w="600" w:type="dxa"/>
            <w:vAlign w:val="center"/>
          </w:tcPr>
          <w:p w14:paraId="24B1FE90" w14:textId="77777777" w:rsidR="005D691F" w:rsidRDefault="00F4227D" w:rsidP="003620CC">
            <w:pPr>
              <w:bidi/>
              <w:spacing w:after="0" w:line="300" w:lineRule="auto"/>
              <w:jc w:val="center"/>
            </w:pPr>
            <w:r>
              <w:rPr>
                <w:rFonts w:ascii="Traditional Arabic" w:hAnsi="Traditional Arabic" w:cs="Traditional Arabic"/>
                <w:rtl/>
              </w:rPr>
              <w:t>6</w:t>
            </w:r>
          </w:p>
        </w:tc>
        <w:tc>
          <w:tcPr>
            <w:tcW w:w="2400" w:type="dxa"/>
            <w:vAlign w:val="center"/>
          </w:tcPr>
          <w:p w14:paraId="5B7FAAB6" w14:textId="77777777" w:rsidR="005D691F" w:rsidRDefault="005D691F" w:rsidP="003620CC">
            <w:pPr>
              <w:bidi/>
              <w:spacing w:after="0" w:line="300" w:lineRule="auto"/>
              <w:jc w:val="center"/>
            </w:pPr>
          </w:p>
        </w:tc>
        <w:tc>
          <w:tcPr>
            <w:tcW w:w="1600" w:type="dxa"/>
            <w:vAlign w:val="center"/>
          </w:tcPr>
          <w:p w14:paraId="4BC4DE22" w14:textId="77777777" w:rsidR="005D691F" w:rsidRDefault="005D691F" w:rsidP="003620CC">
            <w:pPr>
              <w:bidi/>
              <w:spacing w:after="0" w:line="300" w:lineRule="auto"/>
              <w:jc w:val="center"/>
            </w:pPr>
          </w:p>
        </w:tc>
        <w:tc>
          <w:tcPr>
            <w:tcW w:w="1900" w:type="dxa"/>
            <w:vAlign w:val="center"/>
          </w:tcPr>
          <w:p w14:paraId="5A8AAC45" w14:textId="77777777" w:rsidR="005D691F" w:rsidRDefault="005D691F" w:rsidP="003620CC">
            <w:pPr>
              <w:bidi/>
              <w:spacing w:after="0" w:line="300" w:lineRule="auto"/>
              <w:jc w:val="center"/>
            </w:pPr>
          </w:p>
        </w:tc>
        <w:tc>
          <w:tcPr>
            <w:tcW w:w="1800" w:type="dxa"/>
            <w:vAlign w:val="center"/>
          </w:tcPr>
          <w:p w14:paraId="14FFBED1" w14:textId="77777777" w:rsidR="005D691F" w:rsidRDefault="005D691F" w:rsidP="003620CC">
            <w:pPr>
              <w:bidi/>
              <w:spacing w:after="0" w:line="300" w:lineRule="auto"/>
              <w:jc w:val="center"/>
            </w:pPr>
          </w:p>
        </w:tc>
      </w:tr>
    </w:tbl>
    <w:p w14:paraId="120F72E7" w14:textId="77777777" w:rsidR="005D691F" w:rsidRDefault="00F4227D" w:rsidP="003620CC">
      <w:pPr>
        <w:pStyle w:val="TableCaption"/>
        <w:bidi/>
        <w:spacing w:after="0" w:line="360" w:lineRule="auto"/>
      </w:pPr>
      <w:r>
        <w:rPr>
          <w:rFonts w:ascii="Traditional Arabic" w:hAnsi="Traditional Arabic" w:cs="Traditional Arabic"/>
          <w:b/>
          <w:bCs/>
          <w:sz w:val="24"/>
          <w:szCs w:val="24"/>
          <w:rtl/>
        </w:rPr>
        <w:t>جدول (م-2): بيانات محكّمي أداة الدراسة</w:t>
      </w:r>
    </w:p>
    <w:p w14:paraId="75B7BC97" w14:textId="77777777" w:rsidR="005D691F" w:rsidRDefault="005D691F" w:rsidP="00E000FF">
      <w:pPr>
        <w:bidi/>
        <w:spacing w:after="0" w:line="360" w:lineRule="auto"/>
        <w:jc w:val="right"/>
      </w:pPr>
    </w:p>
    <w:p w14:paraId="24CAE14C" w14:textId="77777777" w:rsidR="003620CC" w:rsidRPr="003620CC" w:rsidRDefault="003620CC">
      <w:pPr>
        <w:spacing w:after="200" w:line="276" w:lineRule="auto"/>
        <w:rPr>
          <w:rFonts w:ascii="Traditional Arabic" w:hAnsi="Traditional Arabic" w:cs="Traditional Arabic"/>
          <w:b/>
          <w:bCs/>
          <w:sz w:val="32"/>
          <w:szCs w:val="32"/>
          <w:rtl/>
        </w:rPr>
      </w:pPr>
      <w:bookmarkStart w:id="51" w:name="_Toc224563965"/>
      <w:bookmarkStart w:id="52" w:name="_Toc234424174"/>
      <w:r w:rsidRPr="003620CC">
        <w:rPr>
          <w:rFonts w:ascii="Traditional Arabic" w:hAnsi="Traditional Arabic" w:cs="Traditional Arabic"/>
          <w:b/>
          <w:bCs/>
          <w:sz w:val="32"/>
          <w:szCs w:val="32"/>
          <w:rtl/>
        </w:rPr>
        <w:br w:type="page"/>
      </w:r>
    </w:p>
    <w:p w14:paraId="1631DE6E" w14:textId="77777777" w:rsidR="007F4183" w:rsidRPr="0072768E" w:rsidRDefault="007F4183"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b/>
          <w:bCs/>
          <w:sz w:val="32"/>
          <w:szCs w:val="32"/>
          <w:u w:val="single"/>
          <w:rtl/>
        </w:rPr>
        <w:lastRenderedPageBreak/>
        <w:t>المراجع:</w:t>
      </w:r>
      <w:bookmarkEnd w:id="51"/>
      <w:bookmarkEnd w:id="52"/>
    </w:p>
    <w:p w14:paraId="122ECFD2" w14:textId="77777777" w:rsidR="00381524" w:rsidRPr="0072768E" w:rsidRDefault="00381524"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53" w:name="_Toc224563966"/>
      <w:bookmarkStart w:id="54" w:name="_Toc234424175"/>
      <w:r>
        <w:rPr>
          <w:rFonts w:ascii="Traditional Arabic" w:hAnsi="Traditional Arabic" w:cs="Traditional Arabic" w:hint="cs"/>
          <w:b/>
          <w:bCs/>
          <w:color w:val="auto"/>
          <w:u w:val="single"/>
          <w:rtl/>
        </w:rPr>
        <w:t>المراجع العربية:</w:t>
      </w:r>
      <w:bookmarkEnd w:id="53"/>
      <w:bookmarkEnd w:id="54"/>
    </w:p>
    <w:p w14:paraId="28E7650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البراهيم، خالد، والعويد، سعد. (2024). تطبيقات تقنية الترميز في البنوك السعودية: دراسة ميدانية. *مجلة الاقتصاد والإدارة*، *38*(2)، 145-178.</w:t>
      </w:r>
    </w:p>
    <w:p w14:paraId="501CCC0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التويجري، عبدالله، والحربي، فهد. (2024). أثر تقنية الترميز على كفاءة المدفوعات الإلكترونية في المملكة العربية السعودية. *المجلة العربية للعلوم الإدارية*، *31*(1)، 89-118.</w:t>
      </w:r>
    </w:p>
    <w:p w14:paraId="7BCB679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4551867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63A033B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فيصل. (2024). *إدارة الأمن السيبراني في العصر الرقمي*. الرياض: دار جامعة الملك سعود للنشر.</w:t>
      </w:r>
    </w:p>
    <w:p w14:paraId="13EC949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نايف، والسلمي، عبدالرحمن. (2024). العلاقة بين الأمن السيبراني والكفاءة التشغيلية في البنوك السعودية. *مجلة الإدارة العامة*، *64*(2)، 345-378.</w:t>
      </w:r>
    </w:p>
    <w:p w14:paraId="760D965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الخليفي، أحمد، والمالكي، سعد. (2023). التقنية المالية والتحول الرقمي في المملكة العربية السعودية. *مجلة الاقتصاد الخليجي*، *18*(4)، 112-143.</w:t>
      </w:r>
    </w:p>
    <w:p w14:paraId="024E2D0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الدخيل، عبدالعزيز. (2023). *الابتكار المالي ورؤية المملكة 2030*. الرياض: مركز الملك فيصل للبحوث والدراسات الإسلامية.</w:t>
      </w:r>
    </w:p>
    <w:p w14:paraId="0C2224B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الدوسري، فهد. (2024). أثر التحول الرقمي على كفاءة البنوك التجارية السعودية. *المجلة العربية للإدارة*، *44*(1)، 78-106.</w:t>
      </w:r>
    </w:p>
    <w:p w14:paraId="14E71252"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سليمان. (2024). استراتيجيات الأمن السيبراني في المؤسسات المالية الإسلامية. *مجلة الاقتصاد الإسلامي*، *29*(3)، 134-165.</w:t>
      </w:r>
    </w:p>
    <w:p w14:paraId="7FB680B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وليد. (2023). تطبيقات الترميز في حماية البيانات المصرفية. *مجلة الأمن المعلوماتي*، *7*(2)، 45-72.</w:t>
      </w:r>
    </w:p>
    <w:p w14:paraId="17759CA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الزامل، سعود. (2023). دور التقنية المالية في تحقيق رؤية المملكة 2030. *مجلة دراسات الخليج والجزيرة العربية*، *49*(187)، 89-124.</w:t>
      </w:r>
    </w:p>
    <w:p w14:paraId="1607879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الزهراني، عبدالله. (2024). الامتثال للمعايير الدولية للأمن السيبراني في القطاع المصرفي السعودي. *المجلة السعودية للعلوم الإدارية*، *16*(2)، 201-234.</w:t>
      </w:r>
    </w:p>
    <w:p w14:paraId="39E8716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الشمراني، محمد. (2023). *الحوسبة السحابية والأمن السيبراني في البنوك*. جدة: دار حافظ للنشر والتوزيع.</w:t>
      </w:r>
    </w:p>
    <w:p w14:paraId="25548C2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الشمري، عبدالله، القحطاني، ناصر، والعنزي، فهد. (2024). تقييم نضج الأمن السيبراني في المؤسسات المالية السعودية. *مجلة الإدارة والاقتصاد*، *42*(3)، 156-189.</w:t>
      </w:r>
    </w:p>
    <w:p w14:paraId="3791DCC2"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الشهراني، علي، والغامدي، أحمد. (2024). أثر الترميز على تحسين تجربة العملاء في البنوك الرقمية السعودية. *المجلة العربية للدراسات المصرفية*، *15*(1)، 67-98.</w:t>
      </w:r>
    </w:p>
    <w:p w14:paraId="71CECC79"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الشهري، سعد، والنعيمي، خالد. (2023). التحديات التنظيمية لتطبيق تقنية الترميز في السعودية. *مجلة القانون والاقتصاد*، *38*(2)، 234-267.</w:t>
      </w:r>
    </w:p>
    <w:p w14:paraId="2587418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الصالح، محمد، والقحطاني، عبدالرحمن. (2024). كفاءة العمليات المالية في ظل التحول الرقمي. *مجلة العلوم الاقتصادية والإدارية*، *30*(4)، 123-156.</w:t>
      </w:r>
    </w:p>
    <w:p w14:paraId="50E9D6B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العبدالله، فهد. (2023). *التقنية المالية في المملكة العربية السعودية: الواقع والمستقبل*. الرياض: معهد الإدارة العامة.</w:t>
      </w:r>
    </w:p>
    <w:p w14:paraId="35E03D2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سعود. (2024). أنظمة المدفوعات الرقمية في المملكة العربية السعودية. *مجلة النقود والمصارف*، *22*(1)، 45-78.</w:t>
      </w:r>
    </w:p>
    <w:p w14:paraId="7696938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خالد، السلمي، محمد، والقحطاني، فيصل. (2023). الاختراقات الداخلية في المؤسسات المالية: دراسة حالة السعودية. *مجلة الأمن السيبراني*، *5*(3)، 112-145.</w:t>
      </w:r>
    </w:p>
    <w:p w14:paraId="09A668C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عبدالله، والقحطاني، ناصر. (2023). إدارة المخاطر السيبرانية في البنوك السعودية. *المجلة العلمية للاقتصاد والتجارة*، *53*(2)، 456-489.</w:t>
      </w:r>
    </w:p>
    <w:p w14:paraId="500E5FC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العجمي، فيصل، الدوسري، سعد، والمطيري، عبدالله. (2024). تقييم فاعلية أنظمة الأمن السيبراني في القطاع المالي السعودي. *مجلة جامعة الإمام محمد بن سعود الإسلامية للعلوم الاقتصادية والإدارية*، *18*(2)، 234-267.</w:t>
      </w:r>
    </w:p>
    <w:p w14:paraId="527C313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0178535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الفهد، عبدالعزيز، والسديري، تركي. (2023). نماذج الأعمال المبتكرة في التقنية المالية السعودية. *مجلة ريادة الأعمال والابتكار*، *9*(4)، 178-211.</w:t>
      </w:r>
    </w:p>
    <w:p w14:paraId="0020D91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القحطاني، علي. (2024). *أمن المعلومات في المؤسسات المالية الحديثة*. الدمام: مكتبة المتنبي.</w:t>
      </w:r>
    </w:p>
    <w:p w14:paraId="0735F81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القرشي، محمد، العتيبي، فهد، والشهري، سعود. (2023). تطبيقات الذكاء الاصطناعي في الأمن المصرفي السعودي. *مجلة التقنية والعلوم التطبيقية*، *14*(2)، 123-156.</w:t>
      </w:r>
    </w:p>
    <w:p w14:paraId="3C7B656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القرني، سلطان، والشمري، عبدالله. (2024). استراتيجيات حماية البيانات في البنوك الرقمية. *المجلة السعودية لتقنية المعلومات*، *8*(1)، 67-94.</w:t>
      </w:r>
    </w:p>
    <w:p w14:paraId="64EEFD9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المالكي، عبدالرحمن، الزهراني، أحمد، والغامدي، فيصل. (2024). تقييم نضج التحول الرقمي في المؤسسات المالية السعودية. *مجلة الملك عبدالعزيز للاقتصاد والإدارة*، *38*(1)، 201-235.</w:t>
      </w:r>
    </w:p>
    <w:p w14:paraId="3F83280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المحيميد، سعد، العنزي، محمد، والدوسري، خالد. (2023). البنوك الرقمية في المملكة: الفرص والتحديات. *المجلة العربية للمعلومات*، *44*(2)، 156-189.</w:t>
      </w:r>
    </w:p>
    <w:p w14:paraId="25A45C4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فهد. (2024). الامتثال التنظيمي للأمن السيبراني في القطاع المالي السعودي. *مجلة الحقوق*، *48*(3)، 234-267.</w:t>
      </w:r>
    </w:p>
    <w:p w14:paraId="2D74FCA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ناصر، والعنزي، سعود. (2023). تحليل التهديدات السيبرانية في القطاع المصرفي السعودي. *مجلة الأمن والدفاع السيبراني*، *6*(4)، 89-123.</w:t>
      </w:r>
    </w:p>
    <w:p w14:paraId="7C0DDCA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محمد، عبدالله، والزهراني، فيصل. (2023). أثر تقنية البلوكشين على كفاءة التسويات المالية. *مجلة العلوم المالية والمحاسبية*، *19*(3)، 145-178.</w:t>
      </w:r>
    </w:p>
    <w:p w14:paraId="3AD7A74C" w14:textId="77777777" w:rsidR="00832328" w:rsidRDefault="00832328" w:rsidP="00E000FF">
      <w:pPr>
        <w:bidi/>
        <w:spacing w:after="0" w:line="360" w:lineRule="auto"/>
        <w:rPr>
          <w:rFonts w:ascii="Simplified Arabic" w:eastAsiaTheme="majorEastAsia" w:hAnsi="Simplified Arabic" w:cs="Simplified Arabic"/>
          <w:rtl/>
        </w:rPr>
      </w:pPr>
      <w:r>
        <w:rPr>
          <w:rFonts w:ascii="Traditional Arabic" w:eastAsiaTheme="majorEastAsia" w:hAnsi="Traditional Arabic" w:cs="Traditional Arabic"/>
          <w:sz w:val="24"/>
          <w:szCs w:val="24"/>
          <w:rtl/>
        </w:rPr>
        <w:br w:type="page"/>
      </w:r>
    </w:p>
    <w:p w14:paraId="7E39EF57" w14:textId="77777777" w:rsidR="00381524" w:rsidRDefault="00381524"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55" w:name="_Toc224563967"/>
      <w:bookmarkStart w:id="56" w:name="_Toc234424176"/>
      <w:r>
        <w:rPr>
          <w:rFonts w:ascii="Traditional Arabic" w:hAnsi="Traditional Arabic" w:cs="Traditional Arabic" w:hint="cs"/>
          <w:b/>
          <w:bCs/>
          <w:color w:val="auto"/>
          <w:u w:val="single"/>
          <w:rtl/>
        </w:rPr>
        <w:lastRenderedPageBreak/>
        <w:t>المراجع الأجنبية:</w:t>
      </w:r>
      <w:bookmarkEnd w:id="55"/>
      <w:bookmarkEnd w:id="56"/>
    </w:p>
    <w:p w14:paraId="0F9FC98E"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(أ) التقارير المهنية والمؤسسية:</w:t>
      </w:r>
    </w:p>
    <w:p w14:paraId="0004041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Sector Development Program. (2023). Fintech Saudi annual report 2022/2023. Saudi Vision 2030.</w:t>
      </w:r>
    </w:p>
    <w:p w14:paraId="351E708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Payments. (2023). Annual payments statistics and consumer confidence report. Saudi Central Bank.</w:t>
      </w:r>
    </w:p>
    <w:p w14:paraId="6BCEBF8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Vision 2030. (2024). Financial Sector Development Program annual report 2024. Kingdom of Saudi Arabia.</w:t>
      </w:r>
    </w:p>
    <w:p w14:paraId="7596B4AF"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ENISA. (2024). ENISA Threat Landscape: Finance Sector January 2023 to June 2024. European Union Agency for Cybersecurity.</w:t>
      </w:r>
    </w:p>
    <w:p w14:paraId="319E91CA"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Financial Stability Board. (2024). The financial stability implications of tokenisation. FSB.</w:t>
      </w:r>
    </w:p>
    <w:p w14:paraId="2B4BC1BC"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IBM Security. (2024). Cost of a Data Breach 2024: Financial Industry. IBM Corporation.</w:t>
      </w:r>
    </w:p>
    <w:p w14:paraId="14540A7D"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International Monetary Fund. (2024). Financial Sector Assessment Program: Saudi Arabia. IMF.</w:t>
      </w:r>
    </w:p>
    <w:p w14:paraId="772311EF"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McKinsey &amp; Company. (2024). From ripples to waves: The transformational power of tokenizing assets. McKinsey Global Institute.</w:t>
      </w:r>
    </w:p>
    <w:p w14:paraId="1773E454"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PCI Security Standards Council. (2024). PCI DSS v4.0 and tokenization guidelines. PCI SSC.</w:t>
      </w:r>
    </w:p>
    <w:p w14:paraId="540B3093"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Saudi Central Bank (SAMA). (2024). National Payments Strategy and Digital Transformation Report. SAMA.</w:t>
      </w:r>
    </w:p>
    <w:p w14:paraId="4C534ADF"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Thunes Research. (2025). Saudi Arabia: Unlocking fintech potential across the Middle East. Thunes.</w:t>
      </w:r>
    </w:p>
    <w:p w14:paraId="326C3430"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World Economic Forum. (2024). How tokenization is transforming finance and investment. WEF.</w:t>
      </w:r>
    </w:p>
    <w:p w14:paraId="7C1AF3D8"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(ب) الدراسات الأكاديمية المحكمة:</w:t>
      </w:r>
    </w:p>
    <w:p w14:paraId="3109A09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Abdurrahman, A., Gustomo, A., &amp; Prasetio, E. A. (2024). Enhancing banking performance through dynamic digital transformation capabilities and governance, risk management, and compliance: Insights from the Indonesian </w:t>
      </w:r>
      <w:r>
        <w:rPr>
          <w:rFonts w:ascii="Traditional Arabic" w:hAnsi="Traditional Arabic" w:cstheme="minorHAnsi"/>
          <w:sz w:val="24"/>
          <w:szCs w:val="24"/>
          <w:rtl/>
        </w:rPr>
        <w:lastRenderedPageBreak/>
        <w:t>context. The Electronic Journal of Information Systems in Developing Countries, 90(1), e12299. https://doi.org/10.1002/isd2.12299</w:t>
      </w:r>
    </w:p>
    <w:p w14:paraId="59621206"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Abdurrahman, A., Gustomo, A., &amp; Prasetio, E. A. (2024). Impact of dynamic capabilities on digital transformation and innovation to improve banking performance: A TOE framework study. Journal of Open Innovation: Technology, Market, and Complexity, 10(1), 100215. https://doi.org/10.1016/j.joitmc.2024.100215</w:t>
      </w:r>
    </w:p>
    <w:p w14:paraId="225A5C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Abdurrahman, A., Gustomo, A., Wibisono, D., &amp; Prasetio, E. A. (2024). Exploring barriers, drivers, and routines of dynamic capabilities in Indonesian digital banking transformation: A qualitative study based on the TOE framework. The Electronic Journal of Information Systems in Developing Countries, 90(3), e12329. https://doi.org/10.1002/isd2.12329</w:t>
      </w:r>
    </w:p>
    <w:p w14:paraId="7F90F40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Abed, S. S. (2020). Social commerce adoption using TOE framework: An empirical investigation of Saudi Arabian SMEs. International Journal of Information Management, 53, 102118. https://doi.org/10.1016/j.ijinfomgt.2020.102118</w:t>
      </w:r>
    </w:p>
    <w:p w14:paraId="76EFDF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Adigwe, C., et al. (2024). Tokenization of agricultural assets: Strengthening blockchain security in agri-finance and investment models against fraud and cyber risks. Agricultural Finance Review. </w:t>
      </w:r>
    </w:p>
    <w:p w14:paraId="6B53B6F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Ahammad, M. S., Maliha, M., &amp; Nila, N. E. (2025). An innovative blockchain framework for strengthening security and efficiency in banking. Scientific Reports, 15, 39029. </w:t>
      </w:r>
      <w:hyperlink r:id="rId17" w:history="1">
        <w:r>
          <w:rPr>
            <w:rStyle w:val="Hyperlink"/>
            <w:rFonts w:cstheme="minorHAnsi"/>
          </w:rPr>
          <w:t>https://doi.org/10.1038/s41598-025-25457-8</w:t>
        </w:r>
      </w:hyperlink>
      <w:r>
        <w:rPr>
          <w:rFonts w:ascii="Traditional Arabic" w:hAnsi="Traditional Arabic" w:cstheme="minorHAnsi"/>
          <w:sz w:val="24"/>
          <w:szCs w:val="24"/>
          <w:rtl/>
        </w:rPr>
        <w:t xml:space="preserve"> </w:t>
      </w:r>
    </w:p>
    <w:p w14:paraId="059F2E86"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Al-Matari, E. M., Mgammal, M. H., Senan, N. A. M., Kamardin, H., &amp; Alruwaili, T. F. (2023). Fintech and financial sector performance in Saudi Arabia: An empirical study. Journal of Governance and Regulation, 12(2), 43-65. https://doi.org/10.22495/jgrv12i2art5</w:t>
      </w:r>
    </w:p>
    <w:p w14:paraId="46C889D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Al-Qudah, A. A., Al-Okaily, M., &amp; Yadav, M. P. P. (2025). Analyzing the impact of blockchain technology on banking transaction costs using random forest method. Frontiers in Blockchain, 8, 1551970. </w:t>
      </w:r>
      <w:hyperlink r:id="rId18" w:history="1">
        <w:r>
          <w:rPr>
            <w:rStyle w:val="Hyperlink"/>
            <w:rFonts w:cstheme="minorHAnsi"/>
          </w:rPr>
          <w:t>https://doi.org/10.3389/fbloc.2025.1551970</w:t>
        </w:r>
      </w:hyperlink>
      <w:r>
        <w:rPr>
          <w:rFonts w:ascii="Traditional Arabic" w:hAnsi="Traditional Arabic" w:cstheme="minorHAnsi"/>
          <w:sz w:val="24"/>
          <w:szCs w:val="24"/>
          <w:rtl/>
        </w:rPr>
        <w:t xml:space="preserve"> </w:t>
      </w:r>
    </w:p>
    <w:p w14:paraId="165D0208"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Almadadha, R. (2025). Blockchain and financial performance: Empirical evidence from major Australian banks. Frontiers in Blockchain, 8, 1463633. </w:t>
      </w:r>
      <w:hyperlink r:id="rId19" w:history="1">
        <w:r>
          <w:rPr>
            <w:rStyle w:val="Hyperlink"/>
            <w:rFonts w:cstheme="minorHAnsi"/>
          </w:rPr>
          <w:t>https://doi.org/10.3389/fbloc.2025.1463633</w:t>
        </w:r>
      </w:hyperlink>
      <w:r>
        <w:rPr>
          <w:rFonts w:ascii="Traditional Arabic" w:hAnsi="Traditional Arabic" w:cstheme="minorHAnsi"/>
          <w:sz w:val="24"/>
          <w:szCs w:val="24"/>
          <w:rtl/>
        </w:rPr>
        <w:t xml:space="preserve"> </w:t>
      </w:r>
    </w:p>
    <w:p w14:paraId="0923A93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Alnemer, H. A. (2022). Determinants of digital banking adoption in the Kingdom of Saudi Arabia: A technology acceptance model approach. Digital Business, 2(2), 100037. https://doi.org/10.1016/j.digbus.2022.100037</w:t>
      </w:r>
    </w:p>
    <w:p w14:paraId="381FD20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Carapella, F., et al. (2023). Tokenization: Overview and financial stability implications. Finance and Economics Discussion Series, Federal Reserve Board. </w:t>
      </w:r>
    </w:p>
    <w:p w14:paraId="37C8A2E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Cele, N. N., &amp; Kwenda, S. (2025). Do cybersecurity threats and risks have an impact on the adoption of digital banking? A systematic literature review. Journal of Financial Crime, 32(1), 31-48. https://doi.org/10.1108/JFC-10-2023-0263</w:t>
      </w:r>
    </w:p>
    <w:p w14:paraId="271EE571"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Chang, V., Baudier, P., Zhang, H., Xu, Q., Zhang, J., &amp; Arami, M. (2020). How blockchain can impact financial services: The overview, challenges and recommendations from expert interviewees. Technological Forecasting and Social Change, 158, 120166. https://doi.org/10.1016/j.techfore.2020.120166</w:t>
      </w:r>
    </w:p>
    <w:p w14:paraId="6754F23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Chatterjee, S., Rana, N. P., Dwivedi, Y. K., &amp; Baabdullah, A. M. (2021). Understanding AI adoption in manufacturing and production firms using an integrated TAM-TOE model. Technological Forecasting and Social Change, 170, 120880. https://doi.org/10.1016/j.techfore.2021.120880</w:t>
      </w:r>
    </w:p>
    <w:p w14:paraId="40DE3EB1"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Chaudhry, U. B., &amp; Hydros, A. K. M. (2023). Zero-trust-based security model against data breaches in the banking sector: A blockchain consensus algorithm. IET Blockchain, 3(2), 98-115. https://doi.org/10.1049/blc2.12028</w:t>
      </w:r>
    </w:p>
    <w:p w14:paraId="2917E40B"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Fares, O. H., Butt, I., &amp; Lee, S. H. M. (2023). Utilization of artificial intelligence in the banking sector: A systematic literature review. Journal of Financial Services Marketing, 28(4), 835-852. https://doi.org/10.1057/s41264-022-00176-7</w:t>
      </w:r>
    </w:p>
    <w:p w14:paraId="1494486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Goghie, A. S. (2024). Tokenization and the banking system: Redefining authority in the blockchain era. Journal of Banking Regulation. </w:t>
      </w:r>
      <w:hyperlink r:id="rId20" w:history="1">
        <w:r>
          <w:rPr>
            <w:rStyle w:val="Hyperlink"/>
            <w:rFonts w:cstheme="minorHAnsi"/>
          </w:rPr>
          <w:t>https://doi.org/10.1177/10245294241258255</w:t>
        </w:r>
      </w:hyperlink>
      <w:r>
        <w:rPr>
          <w:rFonts w:ascii="Traditional Arabic" w:hAnsi="Traditional Arabic" w:cstheme="minorHAnsi"/>
          <w:sz w:val="24"/>
          <w:szCs w:val="24"/>
          <w:rtl/>
        </w:rPr>
        <w:t xml:space="preserve"> </w:t>
      </w:r>
    </w:p>
    <w:p w14:paraId="17A93E3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 xml:space="preserve">Grossmann, A., et al. (2025). Designing the future of bond markets: Reducing transaction costs through tokenization. Journal of Financial Markets. </w:t>
      </w:r>
    </w:p>
    <w:p w14:paraId="52C414A0"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Islam, M. S., &amp; In, H. P. (2024). Blockchain technology in the banking sector: A content analysis. Frontiers in Blockchain, 8, 1667848. </w:t>
      </w:r>
      <w:hyperlink r:id="rId21" w:history="1">
        <w:r>
          <w:rPr>
            <w:rStyle w:val="Hyperlink"/>
            <w:rFonts w:cstheme="minorHAnsi"/>
          </w:rPr>
          <w:t>https://doi.org/10.3389/fbloc.2025.1667848</w:t>
        </w:r>
      </w:hyperlink>
      <w:r>
        <w:rPr>
          <w:rFonts w:ascii="Traditional Arabic" w:hAnsi="Traditional Arabic" w:cstheme="minorHAnsi"/>
          <w:sz w:val="24"/>
          <w:szCs w:val="24"/>
          <w:rtl/>
        </w:rPr>
        <w:t xml:space="preserve"> </w:t>
      </w:r>
    </w:p>
    <w:p w14:paraId="47581FC2"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Karanovic, V., et al. (2024). The impact of blockchain technology on financial services and digital transactions. In Proceedings of the 8th International Conference on Future Networks &amp; Distributed Systems. ACM. </w:t>
      </w:r>
      <w:hyperlink r:id="rId22" w:history="1">
        <w:r>
          <w:rPr>
            <w:rStyle w:val="Hyperlink"/>
            <w:rFonts w:cstheme="minorHAnsi"/>
          </w:rPr>
          <w:t>https://doi.org/10.1145/3726122.3726195</w:t>
        </w:r>
      </w:hyperlink>
    </w:p>
    <w:p w14:paraId="1AC722F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Lavayssière, X., &amp; Zhang, J. (2025). Tokenization and financial market inefficiencies (FinTech Note No. 2025/001). International Monetary Fund.</w:t>
      </w:r>
    </w:p>
    <w:p w14:paraId="6494BD6F"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Park, S., &amp; Hastings, J. D. (2025). Weak enforcement and low compliance in PCI DSS: A comparative security study. arXiv preprint arXiv:2512.13430.</w:t>
      </w:r>
    </w:p>
    <w:p w14:paraId="39344083"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Rahman, M., Ming, T. H., Baigh, T. A., &amp; Sarker, M. (2023). Adoption of artificial intelligence in banking services: An empirical analysis. International Journal of Emerging Markets, 18(10), 4270-4300. https://doi.org/10.1108/IJOEM-06-2020-0724</w:t>
      </w:r>
    </w:p>
    <w:p w14:paraId="249BBEBA"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Rebekah, E., &amp; Afjal, M. (2025). Exploring the mediating role of FinTech adoption and digital transformation in enhancing bank performance: A TOE framework study using a hybrid SEM-ANN approach. SAGE Open, 15(3). https://doi.org/10.1177/21582440251367149</w:t>
      </w:r>
    </w:p>
    <w:p w14:paraId="05F0B6F2"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Sakarneh, B., &amp; Kilani, Y. M. (2024). The role of blockchain technology in managing efficiency and cost reduction in the banking sector in Jordan. Journal of Systems Management Sciences, 14(5), 251-267. </w:t>
      </w:r>
      <w:hyperlink r:id="rId23" w:history="1">
        <w:r>
          <w:rPr>
            <w:rStyle w:val="Hyperlink"/>
            <w:rFonts w:cstheme="minorHAnsi"/>
          </w:rPr>
          <w:t>https://doi.org/10.33168/JSMS.2024.0516</w:t>
        </w:r>
      </w:hyperlink>
      <w:r>
        <w:rPr>
          <w:rFonts w:ascii="Traditional Arabic" w:hAnsi="Traditional Arabic" w:cstheme="minorHAnsi"/>
          <w:sz w:val="24"/>
          <w:szCs w:val="24"/>
          <w:rtl/>
        </w:rPr>
        <w:t xml:space="preserve"> </w:t>
      </w:r>
    </w:p>
    <w:p w14:paraId="7EA71F6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Tripathi, P. (2024). Tokenization strategy implementation with PCI compliance for digital payment in the banking sector. American Journal of Computer Architecture, 11(3), 30-33.</w:t>
      </w:r>
    </w:p>
    <w:p w14:paraId="6C6D9DAB" w14:textId="77777777" w:rsidR="00A845B0" w:rsidRPr="00A845B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Udeh, C. A., et al. (2025). Exploring trust dynamics in finance: The impact of blockchain technology and smart contracts. Humanities and Social Sciences Communications, 12, 105473. </w:t>
      </w:r>
      <w:hyperlink r:id="rId24" w:history="1">
        <w:r>
          <w:rPr>
            <w:rStyle w:val="Hyperlink"/>
            <w:rFonts w:cstheme="minorHAnsi"/>
          </w:rPr>
          <w:t>https://doi.org/10.1038/s41599-025-05473-9</w:t>
        </w:r>
      </w:hyperlink>
    </w:p>
    <w:p w14:paraId="444699BD"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Zhao, J., Li, X., Yu, C.-H., Chen, S., &amp; Lee, C.-C. (2022). Riding the FinTech innovation wave: FinTech, patents and bank performance. Journal of International Money and Finance, 122, 102552. https://doi.org/10.1016/j.jimonfin.2021.102552</w:t>
      </w:r>
    </w:p>
    <w:p w14:paraId="6384C1CC"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Zhu, K., Kraemer, K. L., &amp; Xu, S. (2020). The process of innovation assimilation by firms in different countries: A technology diffusion perspective on e-business. Management Science, 52(10), 1557-1576.</w:t>
      </w:r>
    </w:p>
    <w:p w14:paraId="770B9CA7" w14:textId="77777777" w:rsidR="00A96A8E" w:rsidRPr="00832328" w:rsidRDefault="00A96A8E" w:rsidP="00E000FF">
      <w:pPr>
        <w:bidi/>
        <w:spacing w:after="0" w:line="360" w:lineRule="auto"/>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A17F7" w14:textId="77777777" w:rsidR="002B3331" w:rsidRDefault="002B3331" w:rsidP="00F628F0">
      <w:pPr>
        <w:spacing w:after="0" w:line="240" w:lineRule="auto"/>
      </w:pPr>
      <w:r>
        <w:separator/>
      </w:r>
    </w:p>
  </w:endnote>
  <w:endnote w:type="continuationSeparator" w:id="0">
    <w:p w14:paraId="13D8C23C" w14:textId="77777777" w:rsidR="002B3331" w:rsidRDefault="002B333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25188F39" w14:textId="77777777"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12F3B" w14:textId="77777777"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243FD" w14:textId="77777777" w:rsidR="002B3331" w:rsidRDefault="002B3331" w:rsidP="00F628F0">
      <w:pPr>
        <w:spacing w:after="0" w:line="240" w:lineRule="auto"/>
      </w:pPr>
      <w:r>
        <w:separator/>
      </w:r>
    </w:p>
  </w:footnote>
  <w:footnote w:type="continuationSeparator" w:id="0">
    <w:p w14:paraId="123C8E06" w14:textId="77777777" w:rsidR="002B3331" w:rsidRDefault="002B333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555CB" w14:textId="77777777" w:rsidR="003235C8" w:rsidRDefault="00F03C2E">
    <w:pPr>
      <w:pStyle w:val="Header"/>
    </w:pPr>
    <w:r>
      <w:rPr>
        <w:noProof/>
      </w:rPr>
    </w:r>
    <w:r w:rsidR="00F03C2E">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AA16" w14:textId="77777777" w:rsidR="003235C8" w:rsidRDefault="00F03C2E">
    <w:pPr>
      <w:pStyle w:val="Header"/>
    </w:pPr>
    <w:r>
      <w:rPr>
        <w:noProof/>
      </w:rPr>
    </w:r>
    <w:r w:rsidR="00F03C2E">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0DF151B2" w14:textId="77777777" w:rsidR="003235C8" w:rsidRDefault="00F03C2E">
        <w:pPr>
          <w:pStyle w:val="Header"/>
        </w:pPr>
        <w:r>
          <w:rPr>
            <w:noProof/>
          </w:rPr>
        </w:r>
        <w:r w:rsidR="00F03C2E">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6"/>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7"/>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8"/>
  </w:num>
  <w:num w:numId="63" w16cid:durableId="963078233">
    <w:abstractNumId w:val="5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6"/>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49AC"/>
    <w:rsid w:val="001276DC"/>
    <w:rsid w:val="00130605"/>
    <w:rsid w:val="00133347"/>
    <w:rsid w:val="00134572"/>
    <w:rsid w:val="00134AB7"/>
    <w:rsid w:val="001360ED"/>
    <w:rsid w:val="001436B8"/>
    <w:rsid w:val="001459BE"/>
    <w:rsid w:val="00146BC6"/>
    <w:rsid w:val="001501E7"/>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E4D"/>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151A4"/>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7C2"/>
    <w:rsid w:val="002529BB"/>
    <w:rsid w:val="00257F01"/>
    <w:rsid w:val="002616CF"/>
    <w:rsid w:val="00263733"/>
    <w:rsid w:val="00264677"/>
    <w:rsid w:val="002655C8"/>
    <w:rsid w:val="00265C31"/>
    <w:rsid w:val="00274C5B"/>
    <w:rsid w:val="00275033"/>
    <w:rsid w:val="002764B2"/>
    <w:rsid w:val="00276F64"/>
    <w:rsid w:val="002858CD"/>
    <w:rsid w:val="00285EDC"/>
    <w:rsid w:val="00290F88"/>
    <w:rsid w:val="002A113E"/>
    <w:rsid w:val="002A1374"/>
    <w:rsid w:val="002B3331"/>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6B7"/>
    <w:rsid w:val="00330F56"/>
    <w:rsid w:val="00333FF1"/>
    <w:rsid w:val="00334002"/>
    <w:rsid w:val="00336E1B"/>
    <w:rsid w:val="00343773"/>
    <w:rsid w:val="003557D8"/>
    <w:rsid w:val="00356156"/>
    <w:rsid w:val="003601E0"/>
    <w:rsid w:val="00360A3F"/>
    <w:rsid w:val="003620CC"/>
    <w:rsid w:val="00364C07"/>
    <w:rsid w:val="00372C68"/>
    <w:rsid w:val="00374A8C"/>
    <w:rsid w:val="00377CB0"/>
    <w:rsid w:val="00380C94"/>
    <w:rsid w:val="00381524"/>
    <w:rsid w:val="00381E67"/>
    <w:rsid w:val="00383DD8"/>
    <w:rsid w:val="00395E1F"/>
    <w:rsid w:val="00397058"/>
    <w:rsid w:val="003A195A"/>
    <w:rsid w:val="003A3893"/>
    <w:rsid w:val="003A3BCE"/>
    <w:rsid w:val="003A4334"/>
    <w:rsid w:val="003A688C"/>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1AAC"/>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39E6"/>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27F40"/>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3BF7"/>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019C"/>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3F87"/>
    <w:rsid w:val="00D46A37"/>
    <w:rsid w:val="00D4735D"/>
    <w:rsid w:val="00D47F4C"/>
    <w:rsid w:val="00D51A70"/>
    <w:rsid w:val="00D53FE2"/>
    <w:rsid w:val="00D5405D"/>
    <w:rsid w:val="00D5434C"/>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C9D"/>
    <w:rsid w:val="00DF6DD4"/>
    <w:rsid w:val="00E000FF"/>
    <w:rsid w:val="00E01563"/>
    <w:rsid w:val="00E021E5"/>
    <w:rsid w:val="00E031FB"/>
    <w:rsid w:val="00E04048"/>
    <w:rsid w:val="00E07760"/>
    <w:rsid w:val="00E105F1"/>
    <w:rsid w:val="00E1134E"/>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3C2E"/>
    <w:rsid w:val="00F05002"/>
    <w:rsid w:val="00F109AE"/>
    <w:rsid w:val="00F1254A"/>
    <w:rsid w:val="00F12891"/>
    <w:rsid w:val="00F153B7"/>
    <w:rsid w:val="00F1554E"/>
    <w:rsid w:val="00F16CC0"/>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CFEA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BE"/>
    <w:pPr>
      <w:spacing w:after="160" w:line="259" w:lineRule="auto"/>
    </w:pPr>
  </w:style>
  <w:style w:type="paragraph" w:styleId="Heading1">
    <w:name w:val="heading 1"/>
    <w:basedOn w:val="Normal"/>
    <w:next w:val="Normal"/>
    <w:link w:val="Heading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FootnoteReference">
    <w:name w:val="footnote reference"/>
    <w:uiPriority w:val="99"/>
    <w:semiHidden/>
    <w:unhideWhenUsed/>
    <w:rsid w:val="007608E1"/>
    <w:rPr>
      <w:vertAlign w:val="superscript"/>
    </w:rPr>
  </w:style>
  <w:style w:type="paragraph" w:styleId="FootnoteText">
    <w:name w:val="footnote text"/>
    <w:link w:val="Foot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FootnoteTextChar">
    <w:name w:val="Footnote Text Char"/>
    <w:basedOn w:val="DefaultParagraphFont"/>
    <w:link w:val="FootnoteText"/>
    <w:uiPriority w:val="99"/>
    <w:semiHidden/>
    <w:rsid w:val="007608E1"/>
    <w:rPr>
      <w:rFonts w:ascii="Simplified Arabic" w:eastAsia="Simplified Arabic" w:hAnsi="Simplified Arabic" w:cs="Simplified Arabic"/>
      <w:sz w:val="20"/>
      <w:szCs w:val="20"/>
    </w:rPr>
  </w:style>
  <w:style w:type="character" w:styleId="EndnoteReference">
    <w:name w:val="endnote reference"/>
    <w:uiPriority w:val="99"/>
    <w:semiHidden/>
    <w:unhideWhenUsed/>
    <w:rsid w:val="007608E1"/>
    <w:rPr>
      <w:vertAlign w:val="superscript"/>
    </w:rPr>
  </w:style>
  <w:style w:type="paragraph" w:styleId="EndnoteText">
    <w:name w:val="endnote text"/>
    <w:link w:val="End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EndnoteTextChar">
    <w:name w:val="Endnote Text Char"/>
    <w:basedOn w:val="DefaultParagraphFont"/>
    <w:link w:val="EndnoteText"/>
    <w:uiPriority w:val="99"/>
    <w:semiHidden/>
    <w:rsid w:val="007608E1"/>
    <w:rPr>
      <w:rFonts w:ascii="Simplified Arabic" w:eastAsia="Simplified Arabic" w:hAnsi="Simplified Arabic" w:cs="Simplified Arabic"/>
      <w:sz w:val="20"/>
      <w:szCs w:val="20"/>
    </w:rPr>
  </w:style>
  <w:style w:type="character" w:styleId="CommentReference">
    <w:name w:val="annotation reference"/>
    <w:basedOn w:val="DefaultParagraphFont"/>
    <w:uiPriority w:val="99"/>
    <w:semiHidden/>
    <w:unhideWhenUsed/>
    <w:rsid w:val="00BF5EEF"/>
    <w:rPr>
      <w:sz w:val="16"/>
      <w:szCs w:val="16"/>
    </w:rPr>
  </w:style>
  <w:style w:type="paragraph" w:styleId="CommentText">
    <w:name w:val="annotation text"/>
    <w:basedOn w:val="Normal"/>
    <w:link w:val="CommentTextChar"/>
    <w:uiPriority w:val="99"/>
    <w:semiHidden/>
    <w:unhideWhenUsed/>
    <w:rsid w:val="00BF5EEF"/>
    <w:pPr>
      <w:spacing w:line="240" w:lineRule="auto"/>
    </w:pPr>
    <w:rPr>
      <w:sz w:val="20"/>
      <w:szCs w:val="20"/>
    </w:rPr>
  </w:style>
  <w:style w:type="character" w:customStyle="1" w:styleId="CommentTextChar">
    <w:name w:val="Comment Text Char"/>
    <w:basedOn w:val="DefaultParagraphFont"/>
    <w:link w:val="CommentText"/>
    <w:uiPriority w:val="99"/>
    <w:semiHidden/>
    <w:rsid w:val="00BF5EEF"/>
    <w:rPr>
      <w:sz w:val="20"/>
      <w:szCs w:val="20"/>
    </w:rPr>
  </w:style>
  <w:style w:type="paragraph" w:styleId="CommentSubject">
    <w:name w:val="annotation subject"/>
    <w:basedOn w:val="CommentText"/>
    <w:next w:val="CommentText"/>
    <w:link w:val="CommentSubjectChar"/>
    <w:uiPriority w:val="99"/>
    <w:semiHidden/>
    <w:unhideWhenUsed/>
    <w:rsid w:val="00BF5EEF"/>
    <w:rPr>
      <w:b/>
      <w:bCs/>
    </w:rPr>
  </w:style>
  <w:style w:type="character" w:customStyle="1" w:styleId="CommentSubjectChar">
    <w:name w:val="Comment Subject Char"/>
    <w:basedOn w:val="CommentTextChar"/>
    <w:link w:val="CommentSubject"/>
    <w:uiPriority w:val="99"/>
    <w:semiHidden/>
    <w:rsid w:val="00BF5EEF"/>
    <w:rPr>
      <w:b/>
      <w:bCs/>
      <w:sz w:val="20"/>
      <w:szCs w:val="20"/>
    </w:rPr>
  </w:style>
  <w:style w:type="paragraph" w:styleId="Revision">
    <w:name w:val="Revision"/>
    <w:hidden/>
    <w:uiPriority w:val="99"/>
    <w:semiHidden/>
    <w:rsid w:val="00883CF3"/>
    <w:pPr>
      <w:spacing w:after="0" w:line="240" w:lineRule="auto"/>
    </w:pPr>
  </w:style>
  <w:style w:type="paragraph" w:customStyle="1" w:styleId="HeadingTOCEntry">
    <w:name w:val="Heading TOC Entry"/>
    <w:basedOn w:val="Normal"/>
    <w:qFormat/>
  </w:style>
  <w:style w:type="paragraph" w:customStyle="1" w:styleId="TableCaption">
    <w:name w:val="Table Caption"/>
    <w:basedOn w:val="Normal"/>
    <w:qFormat/>
  </w:style>
  <w:style w:type="paragraph" w:customStyle="1" w:styleId="FigureCaption">
    <w:name w:val="Figure Caption"/>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eader" Target="header2.xml" /><Relationship Id="rId18" Type="http://schemas.openxmlformats.org/officeDocument/2006/relationships/hyperlink" Target="https://doi.org/10.3389/fbloc.2025.1551970" TargetMode="External" /><Relationship Id="rId26" Type="http://schemas.openxmlformats.org/officeDocument/2006/relationships/theme" Target="theme/theme1.xml" /><Relationship Id="rId3" Type="http://schemas.openxmlformats.org/officeDocument/2006/relationships/customXml" Target="../customXml/item3.xml" /><Relationship Id="rId21" Type="http://schemas.openxmlformats.org/officeDocument/2006/relationships/hyperlink" Target="https://doi.org/10.3389/fbloc.2025.1667848" TargetMode="External" /><Relationship Id="rId7" Type="http://schemas.openxmlformats.org/officeDocument/2006/relationships/settings" Target="settings.xml" /><Relationship Id="rId12" Type="http://schemas.openxmlformats.org/officeDocument/2006/relationships/header" Target="header1.xml" /><Relationship Id="rId17" Type="http://schemas.openxmlformats.org/officeDocument/2006/relationships/hyperlink" Target="https://doi.org/10.1038/s41598-025-25457-8" TargetMode="External" /><Relationship Id="rId25"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2.xml" /><Relationship Id="rId20" Type="http://schemas.openxmlformats.org/officeDocument/2006/relationships/hyperlink" Target="https://doi.org/10.1177/10245294241258255"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hyperlink" Target="https://doi.org/10.1038/s41599-025-05473-9" TargetMode="External" /><Relationship Id="rId5" Type="http://schemas.openxmlformats.org/officeDocument/2006/relationships/numbering" Target="numbering.xml" /><Relationship Id="rId15" Type="http://schemas.openxmlformats.org/officeDocument/2006/relationships/header" Target="header3.xml" /><Relationship Id="rId23" Type="http://schemas.openxmlformats.org/officeDocument/2006/relationships/hyperlink" Target="https://doi.org/10.33168/JSMS.2024.0516" TargetMode="External" /><Relationship Id="rId10" Type="http://schemas.openxmlformats.org/officeDocument/2006/relationships/endnotes" Target="endnotes.xml" /><Relationship Id="rId19" Type="http://schemas.openxmlformats.org/officeDocument/2006/relationships/hyperlink" Target="https://doi.org/10.3389/fbloc.2025.1463633"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1.xml" /><Relationship Id="rId22" Type="http://schemas.openxmlformats.org/officeDocument/2006/relationships/hyperlink" Target="https://doi.org/10.1145/3726122.3726195"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85F627E1-AFEA-4745-9947-3947D5035809}">
  <ds:schemaRefs>
    <ds:schemaRef ds:uri="http://schemas.microsoft.com/office/2006/metadata/contentType"/>
    <ds:schemaRef ds:uri="http://www.w3.org/2000/xmlns/"/>
    <ds:schemaRef ds:uri="http://schemas.microsoft.com/office/2006/metadata/properties/metaAttributes"/>
    <ds:schemaRef ds:uri="http://www.w3.org/2001/XMLSchema"/>
    <ds:schemaRef ds:uri="c4b106c9-87e3-4fcd-b583-f769cefd0445"/>
    <ds:schemaRef ds:uri="6644ccbd-e963-4d07-926d-d8394ecf9693"/>
  </ds:schemaRefs>
</ds:datastoreItem>
</file>

<file path=customXml/itemProps3.xml><?xml version="1.0" encoding="utf-8"?>
<ds:datastoreItem xmlns:ds="http://schemas.openxmlformats.org/officeDocument/2006/customXml" ds:itemID="{DB37E97E-A9C8-4D68-BDC5-99D5114F1612}">
  <ds:schemaRefs>
    <ds:schemaRef ds:uri="http://schemas.microsoft.com/office/2006/metadata/properties"/>
    <ds:schemaRef ds:uri="http://www.w3.org/2000/xmlns/"/>
    <ds:schemaRef ds:uri="c4b106c9-87e3-4fcd-b583-f769cefd0445"/>
    <ds:schemaRef ds:uri="http://www.w3.org/2001/XMLSchema-instance"/>
  </ds:schemaRefs>
</ds:datastoreItem>
</file>

<file path=customXml/itemProps4.xml><?xml version="1.0" encoding="utf-8"?>
<ds:datastoreItem xmlns:ds="http://schemas.openxmlformats.org/officeDocument/2006/customXml" ds:itemID="{6818BBA5-3CEA-4F86-8185-20072C1CA093}">
  <ds:schemaRefs>
    <ds:schemaRef ds:uri="http://schemas.microsoft.com/sharepoint/v3/contenttype/forms"/>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8</TotalTime>
  <Pages>127</Pages>
  <Words>27873</Words>
  <Characters>158877</Characters>
  <Application>Microsoft Office Word</Application>
  <DocSecurity>0</DocSecurity>
  <Lines>1323</Lines>
  <Paragraphs>372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Khalid</cp:lastModifiedBy>
  <cp:revision>2</cp:revision>
  <cp:lastPrinted>2025-12-29T16:09:00Z</cp:lastPrinted>
  <dcterms:created xsi:type="dcterms:W3CDTF">2026-08-20T06:52:00Z</dcterms:created>
  <dcterms:modified xsi:type="dcterms:W3CDTF">2026-08-20T06:52:00Z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