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100"/>
        <w:jc w:val="center"/>
      </w:pPr>
      <w:r>
        <w:rPr>
          <w:rFonts w:ascii="Traditional Arabic" w:cs="Traditional Arabic" w:eastAsia="Traditional Arabic" w:hAnsi="Traditional Arabic"/>
          <w:b/>
          <w:bCs/>
          <w:color w:val="7A1F2B"/>
          <w:sz w:val="44"/>
          <w:szCs w:val="44"/>
          <w:rtl/>
        </w:rPr>
        <w:t xml:space="preserve">جامعة ميدأوشن</w:t>
      </w:r>
    </w:p>
    <w:p>
      <w:pPr>
        <w:bidi/>
        <w:spacing w:after="100"/>
        <w:jc w:val="center"/>
      </w:pPr>
      <w:r>
        <w:rPr>
          <w:rFonts w:ascii="Traditional Arabic" w:cs="Traditional Arabic" w:eastAsia="Traditional Arabic" w:hAnsi="Traditional Arabic"/>
          <w:b/>
          <w:bCs/>
          <w:sz w:val="34"/>
          <w:szCs w:val="34"/>
          <w:rtl/>
        </w:rPr>
        <w:t xml:space="preserve">كلية الإدارة</w:t>
      </w:r>
    </w:p>
    <w:p>
      <w:pPr>
        <w:bidi/>
        <w:spacing w:after="600"/>
        <w:jc w:val="center"/>
      </w:pPr>
      <w:r>
        <w:rPr>
          <w:rFonts w:ascii="Traditional Arabic" w:cs="Traditional Arabic" w:eastAsia="Traditional Arabic" w:hAnsi="Traditional Arabic"/>
          <w:sz w:val="30"/>
          <w:szCs w:val="30"/>
          <w:rtl/>
        </w:rPr>
        <w:t xml:space="preserve">قسم إدارة الموارد البشرية</w:t>
      </w:r>
    </w:p>
    <w:p>
      <w:pPr>
        <w:pBdr>
          <w:top w:val="single" w:color="9C7A2E" w:sz="8" w:space="10"/>
          <w:bottom w:val="single" w:color="9C7A2E" w:sz="8" w:space="10"/>
        </w:pBdr>
        <w:bidi/>
        <w:spacing w:after="400" w:before="400"/>
        <w:jc w:val="center"/>
      </w:pPr>
      <w:r>
        <w:rPr>
          <w:rFonts w:ascii="Traditional Arabic" w:cs="Traditional Arabic" w:eastAsia="Traditional Arabic" w:hAnsi="Traditional Arabic"/>
          <w:b/>
          <w:bCs/>
          <w:color w:val="7A1F2B"/>
          <w:sz w:val="40"/>
          <w:szCs w:val="40"/>
          <w:rtl/>
        </w:rPr>
        <w:t xml:space="preserve">تأثير العلامة التجارية للمؤسسة</w:t>
      </w:r>
    </w:p>
    <w:p>
      <w:pPr>
        <w:bidi/>
        <w:spacing w:after="100"/>
        <w:jc w:val="center"/>
      </w:pPr>
      <w:r>
        <w:rPr>
          <w:rFonts w:ascii="Traditional Arabic" w:cs="Traditional Arabic" w:eastAsia="Traditional Arabic" w:hAnsi="Traditional Arabic"/>
          <w:b/>
          <w:bCs/>
          <w:color w:val="7A1F2B"/>
          <w:sz w:val="36"/>
          <w:szCs w:val="36"/>
          <w:rtl/>
        </w:rPr>
        <w:t xml:space="preserve">على جذب المواهب البشرية: دراسة تحليلية على قطاع الاتصالات</w:t>
      </w:r>
    </w:p>
    <w:p>
      <w:pPr>
        <w:bidi/>
        <w:spacing w:after="300"/>
        <w:jc w:val="center"/>
      </w:pPr>
      <w:r>
        <w:rPr>
          <w:rFonts w:ascii="Traditional Arabic" w:cs="Traditional Arabic" w:eastAsia="Traditional Arabic" w:hAnsi="Traditional Arabic"/>
          <w:b/>
          <w:bCs/>
          <w:color w:val="7A1F2B"/>
          <w:sz w:val="36"/>
          <w:szCs w:val="36"/>
          <w:rtl/>
        </w:rPr>
        <w:t xml:space="preserve">في المملكة العربية السعودية</w:t>
      </w:r>
    </w:p>
    <w:p>
      <w:pPr>
        <w:bidi/>
        <w:spacing w:after="500"/>
        <w:jc w:val="center"/>
      </w:pPr>
      <w:r>
        <w:rPr>
          <w:rFonts w:ascii="Traditional Arabic" w:cs="Traditional Arabic" w:eastAsia="Traditional Arabic" w:hAnsi="Traditional Arabic"/>
          <w:b/>
          <w:bCs/>
          <w:color w:val="1A1A1A"/>
          <w:sz w:val="30"/>
          <w:szCs w:val="30"/>
          <w:rtl/>
        </w:rPr>
        <w:t xml:space="preserve">(الفصل الأول والثاني – الإطار النظري للدراسة)</w:t>
      </w:r>
    </w:p>
    <w:p>
      <w:pPr>
        <w:bidi/>
        <w:spacing w:after="100"/>
        <w:jc w:val="center"/>
      </w:pPr>
      <w:r>
        <w:rPr>
          <w:rFonts w:ascii="Traditional Arabic" w:cs="Traditional Arabic" w:eastAsia="Traditional Arabic" w:hAnsi="Traditional Arabic"/>
          <w:sz w:val="28"/>
          <w:szCs w:val="28"/>
          <w:rtl/>
        </w:rPr>
        <w:t xml:space="preserve">إعداد الطالب</w:t>
      </w:r>
    </w:p>
    <w:p>
      <w:pPr>
        <w:bidi/>
        <w:spacing w:after="500"/>
        <w:jc w:val="center"/>
      </w:pPr>
      <w:r>
        <w:rPr>
          <w:rFonts w:ascii="Traditional Arabic" w:cs="Traditional Arabic" w:eastAsia="Traditional Arabic" w:hAnsi="Traditional Arabic"/>
          <w:b/>
          <w:bCs/>
          <w:sz w:val="34"/>
          <w:szCs w:val="34"/>
          <w:rtl/>
        </w:rPr>
        <w:t xml:space="preserve">حسن عمران العمران</w:t>
      </w:r>
    </w:p>
    <w:p>
      <w:pPr>
        <w:bidi/>
        <w:spacing w:after="100"/>
        <w:jc w:val="center"/>
      </w:pPr>
      <w:r>
        <w:rPr>
          <w:rFonts w:ascii="Traditional Arabic" w:cs="Traditional Arabic" w:eastAsia="Traditional Arabic" w:hAnsi="Traditional Arabic"/>
          <w:sz w:val="28"/>
          <w:szCs w:val="28"/>
          <w:rtl/>
        </w:rPr>
        <w:t xml:space="preserve">إشراف</w:t>
      </w:r>
    </w:p>
    <w:p>
      <w:pPr>
        <w:bidi/>
        <w:spacing w:after="100"/>
        <w:jc w:val="center"/>
      </w:pPr>
      <w:r>
        <w:rPr>
          <w:rFonts w:ascii="Traditional Arabic" w:cs="Traditional Arabic" w:eastAsia="Traditional Arabic" w:hAnsi="Traditional Arabic"/>
          <w:b/>
          <w:bCs/>
          <w:sz w:val="30"/>
          <w:szCs w:val="30"/>
          <w:rtl/>
        </w:rPr>
        <w:t xml:space="preserve">د. الفيصل عبد الحميد</w:t>
      </w:r>
    </w:p>
    <w:p>
      <w:pPr>
        <w:bidi/>
        <w:spacing w:after="700"/>
        <w:jc w:val="center"/>
      </w:pPr>
      <w:r>
        <w:rPr>
          <w:rFonts w:ascii="Traditional Arabic" w:cs="Traditional Arabic" w:eastAsia="Traditional Arabic" w:hAnsi="Traditional Arabic"/>
          <w:b/>
          <w:bCs/>
          <w:sz w:val="30"/>
          <w:szCs w:val="30"/>
          <w:rtl/>
        </w:rPr>
        <w:t xml:space="preserve">د. فايز جراد</w:t>
      </w:r>
    </w:p>
    <w:p>
      <w:pPr>
        <w:bidi/>
        <w:spacing w:after="0"/>
        <w:jc w:val="center"/>
      </w:pPr>
      <w:r>
        <w:rPr>
          <w:rFonts w:ascii="Traditional Arabic" w:cs="Traditional Arabic" w:eastAsia="Traditional Arabic" w:hAnsi="Traditional Arabic"/>
          <w:b/>
          <w:bCs/>
          <w:sz w:val="28"/>
          <w:szCs w:val="28"/>
          <w:rtl/>
        </w:rPr>
        <w:t xml:space="preserve">العام الدراسي: 2025 / 2026</w:t>
      </w:r>
    </w:p>
    <w:p>
      <w:r>
        <w:br w:type="page"/>
      </w:r>
    </w:p>
    <w:p>
      <w:pPr>
        <w:pStyle w:val="Heading1"/>
        <w:pageBreakBefore/>
        <w:pBdr>
          <w:bottom w:val="single" w:color="7A1F2B" w:sz="12" w:space="8"/>
        </w:pBdr>
        <w:bidi/>
        <w:spacing w:after="200" w:before="0"/>
        <w:jc w:val="right"/>
      </w:pPr>
      <w:r>
        <w:rPr>
          <w:rFonts w:ascii="Traditional Arabic" w:cs="Traditional Arabic" w:eastAsia="Traditional Arabic" w:hAnsi="Traditional Arabic"/>
          <w:b/>
          <w:bCs/>
          <w:color w:val="7A1F2B"/>
          <w:sz w:val="36"/>
          <w:szCs w:val="36"/>
          <w:rtl/>
        </w:rPr>
        <w:t xml:space="preserve">فهرس المحتويات</w:t>
      </w:r>
    </w:p>
    <w:p>
      <w:pPr>
        <w:tabs>
          <w:tab w:val="left" w:pos="9350" w:leader="dot"/>
        </w:tabs>
        <w:bidi/>
        <w:spacing w:after="120" w:before="160"/>
        <w:jc w:val="right"/>
      </w:pPr>
      <w:r>
        <w:rPr>
          <w:rFonts w:ascii="Traditional Arabic" w:cs="Traditional Arabic" w:eastAsia="Traditional Arabic" w:hAnsi="Traditional Arabic"/>
          <w:b/>
          <w:bCs/>
          <w:color w:val="7A1F2B"/>
          <w:sz w:val="26"/>
          <w:szCs w:val="26"/>
          <w:rtl/>
        </w:rPr>
        <w:t xml:space="preserve">الفصل الأول: الإطار العام للدراسة</w:t>
      </w:r>
      <w:r>
        <w:rPr>
          <w:rFonts w:ascii="Traditional Arabic" w:cs="Traditional Arabic" w:eastAsia="Traditional Arabic" w:hAnsi="Traditional Arabic"/>
          <w:b/>
          <w:bCs/>
          <w:sz w:val="26"/>
          <w:szCs w:val="26"/>
          <w:rtl/>
        </w:rPr>
        <w:t xml:space="preserve">	4</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1.1 مقدمة الدراسة</w:t>
      </w:r>
      <w:r>
        <w:rPr>
          <w:rFonts w:ascii="Traditional Arabic" w:cs="Traditional Arabic" w:eastAsia="Traditional Arabic" w:hAnsi="Traditional Arabic"/>
          <w:b w:val="false"/>
          <w:bCs w:val="false"/>
          <w:sz w:val="22"/>
          <w:szCs w:val="22"/>
          <w:rtl/>
        </w:rPr>
        <w:t xml:space="preserve">	4</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1.2 مشكلة الدراسة</w:t>
      </w:r>
      <w:r>
        <w:rPr>
          <w:rFonts w:ascii="Traditional Arabic" w:cs="Traditional Arabic" w:eastAsia="Traditional Arabic" w:hAnsi="Traditional Arabic"/>
          <w:b w:val="false"/>
          <w:bCs w:val="false"/>
          <w:sz w:val="22"/>
          <w:szCs w:val="22"/>
          <w:rtl/>
        </w:rPr>
        <w:t xml:space="preserve">	6</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1.3 التساؤل الرئيسي وأسئلة الدراسة الفرعية</w:t>
      </w:r>
      <w:r>
        <w:rPr>
          <w:rFonts w:ascii="Traditional Arabic" w:cs="Traditional Arabic" w:eastAsia="Traditional Arabic" w:hAnsi="Traditional Arabic"/>
          <w:b w:val="false"/>
          <w:bCs w:val="false"/>
          <w:sz w:val="22"/>
          <w:szCs w:val="22"/>
          <w:rtl/>
        </w:rPr>
        <w:t xml:space="preserve">	7</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1.4 أهمية الدراسة</w:t>
      </w:r>
      <w:r>
        <w:rPr>
          <w:rFonts w:ascii="Traditional Arabic" w:cs="Traditional Arabic" w:eastAsia="Traditional Arabic" w:hAnsi="Traditional Arabic"/>
          <w:b w:val="false"/>
          <w:bCs w:val="false"/>
          <w:sz w:val="22"/>
          <w:szCs w:val="22"/>
          <w:rtl/>
        </w:rPr>
        <w:t xml:space="preserve">	8</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1.5 أهداف الدراسة</w:t>
      </w:r>
      <w:r>
        <w:rPr>
          <w:rFonts w:ascii="Traditional Arabic" w:cs="Traditional Arabic" w:eastAsia="Traditional Arabic" w:hAnsi="Traditional Arabic"/>
          <w:b w:val="false"/>
          <w:bCs w:val="false"/>
          <w:sz w:val="22"/>
          <w:szCs w:val="22"/>
          <w:rtl/>
        </w:rPr>
        <w:t xml:space="preserve">	9</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1.6 فروض الدراسة</w:t>
      </w:r>
      <w:r>
        <w:rPr>
          <w:rFonts w:ascii="Traditional Arabic" w:cs="Traditional Arabic" w:eastAsia="Traditional Arabic" w:hAnsi="Traditional Arabic"/>
          <w:b w:val="false"/>
          <w:bCs w:val="false"/>
          <w:sz w:val="22"/>
          <w:szCs w:val="22"/>
          <w:rtl/>
        </w:rPr>
        <w:t xml:space="preserve">	9</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1.7 حدود الدراسة</w:t>
      </w:r>
      <w:r>
        <w:rPr>
          <w:rFonts w:ascii="Traditional Arabic" w:cs="Traditional Arabic" w:eastAsia="Traditional Arabic" w:hAnsi="Traditional Arabic"/>
          <w:b w:val="false"/>
          <w:bCs w:val="false"/>
          <w:sz w:val="22"/>
          <w:szCs w:val="22"/>
          <w:rtl/>
        </w:rPr>
        <w:t xml:space="preserve">	10</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1.8 مصطلحات الدراسة الإجرائية</w:t>
      </w:r>
      <w:r>
        <w:rPr>
          <w:rFonts w:ascii="Traditional Arabic" w:cs="Traditional Arabic" w:eastAsia="Traditional Arabic" w:hAnsi="Traditional Arabic"/>
          <w:b w:val="false"/>
          <w:bCs w:val="false"/>
          <w:sz w:val="22"/>
          <w:szCs w:val="22"/>
          <w:rtl/>
        </w:rPr>
        <w:t xml:space="preserve">	11</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1.9 هيكل الدراسة</w:t>
      </w:r>
      <w:r>
        <w:rPr>
          <w:rFonts w:ascii="Traditional Arabic" w:cs="Traditional Arabic" w:eastAsia="Traditional Arabic" w:hAnsi="Traditional Arabic"/>
          <w:b w:val="false"/>
          <w:bCs w:val="false"/>
          <w:sz w:val="22"/>
          <w:szCs w:val="22"/>
          <w:rtl/>
        </w:rPr>
        <w:t xml:space="preserve">	12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1.10 ملاحظة منهجية شخصية حول اختيار الموضوع</w:t>
      </w:r>
      <w:r>
        <w:rPr>
          <w:rFonts w:ascii="Traditional Arabic" w:cs="Traditional Arabic" w:eastAsia="Traditional Arabic" w:hAnsi="Traditional Arabic"/>
          <w:b w:val="false"/>
          <w:bCs w:val="false"/>
          <w:sz w:val="22"/>
          <w:szCs w:val="22"/>
          <w:rtl/>
        </w:rPr>
        <w:t xml:space="preserve">	12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1.11 لمحة عن السياق الزمني لكتابة هذه الدراسة</w:t>
      </w:r>
      <w:r>
        <w:rPr>
          <w:rFonts w:ascii="Traditional Arabic" w:cs="Traditional Arabic" w:eastAsia="Traditional Arabic" w:hAnsi="Traditional Arabic"/>
          <w:b w:val="false"/>
          <w:bCs w:val="false"/>
          <w:sz w:val="22"/>
          <w:szCs w:val="22"/>
          <w:rtl/>
        </w:rPr>
        <w:t xml:space="preserve">	12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1.12 ملاحظة أخيرة تمهيدًا للفصل الثاني</w:t>
      </w:r>
      <w:r>
        <w:rPr>
          <w:rFonts w:ascii="Traditional Arabic" w:cs="Traditional Arabic" w:eastAsia="Traditional Arabic" w:hAnsi="Traditional Arabic"/>
          <w:b w:val="false"/>
          <w:bCs w:val="false"/>
          <w:sz w:val="22"/>
          <w:szCs w:val="22"/>
          <w:rtl/>
        </w:rPr>
        <w:t xml:space="preserve">	13</w:t>
      </w:r>
    </w:p>
    <w:p>
      <w:pPr>
        <w:tabs>
          <w:tab w:val="left" w:pos="9350" w:leader="dot"/>
        </w:tabs>
        <w:bidi/>
        <w:spacing w:after="120" w:before="160"/>
        <w:jc w:val="right"/>
      </w:pPr>
      <w:r>
        <w:rPr>
          <w:rFonts w:ascii="Traditional Arabic" w:cs="Traditional Arabic" w:eastAsia="Traditional Arabic" w:hAnsi="Traditional Arabic"/>
          <w:b/>
          <w:bCs/>
          <w:color w:val="7A1F2B"/>
          <w:sz w:val="26"/>
          <w:szCs w:val="26"/>
          <w:rtl/>
        </w:rPr>
        <w:t xml:space="preserve">الفصل الثاني: الإطار النظري للدراسة</w:t>
      </w:r>
      <w:r>
        <w:rPr>
          <w:rFonts w:ascii="Traditional Arabic" w:cs="Traditional Arabic" w:eastAsia="Traditional Arabic" w:hAnsi="Traditional Arabic"/>
          <w:b/>
          <w:bCs/>
          <w:sz w:val="26"/>
          <w:szCs w:val="26"/>
          <w:rtl/>
        </w:rPr>
        <w:t xml:space="preserve">	14</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 مفهوم العلامة التجارية للمؤسسة ونشأته التاريخية</w:t>
      </w:r>
      <w:r>
        <w:rPr>
          <w:rFonts w:ascii="Traditional Arabic" w:cs="Traditional Arabic" w:eastAsia="Traditional Arabic" w:hAnsi="Traditional Arabic"/>
          <w:b w:val="false"/>
          <w:bCs w:val="false"/>
          <w:sz w:val="22"/>
          <w:szCs w:val="22"/>
          <w:rtl/>
        </w:rPr>
        <w:t xml:space="preserve">	14</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2.2 أبعاد ومكونات العلامة التجارية للمؤسسة</w:t>
      </w:r>
      <w:r>
        <w:rPr>
          <w:rFonts w:ascii="Traditional Arabic" w:cs="Traditional Arabic" w:eastAsia="Traditional Arabic" w:hAnsi="Traditional Arabic"/>
          <w:b w:val="false"/>
          <w:bCs w:val="false"/>
          <w:sz w:val="22"/>
          <w:szCs w:val="22"/>
          <w:rtl/>
        </w:rPr>
        <w:t xml:space="preserve">	15</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2.3 العلامة التجارية الداخلية مقابل العلامة التجارية الخارجية</w:t>
      </w:r>
      <w:r>
        <w:rPr>
          <w:rFonts w:ascii="Traditional Arabic" w:cs="Traditional Arabic" w:eastAsia="Traditional Arabic" w:hAnsi="Traditional Arabic"/>
          <w:b w:val="false"/>
          <w:bCs w:val="false"/>
          <w:sz w:val="22"/>
          <w:szCs w:val="22"/>
          <w:rtl/>
        </w:rPr>
        <w:t xml:space="preserve">	15</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2.4 مراحل بناء العلامة التجارية للمؤسسة</w:t>
      </w:r>
      <w:r>
        <w:rPr>
          <w:rFonts w:ascii="Traditional Arabic" w:cs="Traditional Arabic" w:eastAsia="Traditional Arabic" w:hAnsi="Traditional Arabic"/>
          <w:b w:val="false"/>
          <w:bCs w:val="false"/>
          <w:sz w:val="22"/>
          <w:szCs w:val="22"/>
          <w:rtl/>
        </w:rPr>
        <w:t xml:space="preserve">	15</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2.5 مفهوم جذب المواهب وأبعاده</w:t>
      </w:r>
      <w:r>
        <w:rPr>
          <w:rFonts w:ascii="Traditional Arabic" w:cs="Traditional Arabic" w:eastAsia="Traditional Arabic" w:hAnsi="Traditional Arabic"/>
          <w:b w:val="false"/>
          <w:bCs w:val="false"/>
          <w:sz w:val="22"/>
          <w:szCs w:val="22"/>
          <w:rtl/>
        </w:rPr>
        <w:t xml:space="preserve">	16</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2.6 العلاقة بين إدارة الموارد البشرية والتسويق المؤسسي</w:t>
      </w:r>
      <w:r>
        <w:rPr>
          <w:rFonts w:ascii="Traditional Arabic" w:cs="Traditional Arabic" w:eastAsia="Traditional Arabic" w:hAnsi="Traditional Arabic"/>
          <w:b w:val="false"/>
          <w:bCs w:val="false"/>
          <w:sz w:val="22"/>
          <w:szCs w:val="22"/>
          <w:rtl/>
        </w:rPr>
        <w:t xml:space="preserve">	17</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2.7 قطاع الاتصالات في المملكة العربية السعودية: نظرة عامة</w:t>
      </w:r>
      <w:r>
        <w:rPr>
          <w:rFonts w:ascii="Traditional Arabic" w:cs="Traditional Arabic" w:eastAsia="Traditional Arabic" w:hAnsi="Traditional Arabic"/>
          <w:b w:val="false"/>
          <w:bCs w:val="false"/>
          <w:sz w:val="22"/>
          <w:szCs w:val="22"/>
          <w:rtl/>
        </w:rPr>
        <w:t xml:space="preserve">	17</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2.8 واقع سوق العمل السعودي وتحديات جذب الكفاءات</w:t>
      </w:r>
      <w:r>
        <w:rPr>
          <w:rFonts w:ascii="Traditional Arabic" w:cs="Traditional Arabic" w:eastAsia="Traditional Arabic" w:hAnsi="Traditional Arabic"/>
          <w:b w:val="false"/>
          <w:bCs w:val="false"/>
          <w:sz w:val="22"/>
          <w:szCs w:val="22"/>
          <w:rtl/>
        </w:rPr>
        <w:t xml:space="preserve">	18</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2.9 نماذج عالمية رائدة في تطبيق العلامة التجارية للمؤسسة</w:t>
      </w:r>
      <w:r>
        <w:rPr>
          <w:rFonts w:ascii="Traditional Arabic" w:cs="Traditional Arabic" w:eastAsia="Traditional Arabic" w:hAnsi="Traditional Arabic"/>
          <w:b w:val="false"/>
          <w:bCs w:val="false"/>
          <w:sz w:val="22"/>
          <w:szCs w:val="22"/>
          <w:rtl/>
        </w:rPr>
        <w:t xml:space="preserve">	19</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2.10 دورة حياة العلامة التجارية للمؤسسة</w:t>
      </w:r>
      <w:r>
        <w:rPr>
          <w:rFonts w:ascii="Traditional Arabic" w:cs="Traditional Arabic" w:eastAsia="Traditional Arabic" w:hAnsi="Traditional Arabic"/>
          <w:b w:val="false"/>
          <w:bCs w:val="false"/>
          <w:sz w:val="22"/>
          <w:szCs w:val="22"/>
          <w:rtl/>
        </w:rPr>
        <w:t xml:space="preserve">	20</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2.11 الفروق الجيلية في تفضيلات العلامة التجارية للمؤسسة</w:t>
      </w:r>
      <w:r>
        <w:rPr>
          <w:rFonts w:ascii="Traditional Arabic" w:cs="Traditional Arabic" w:eastAsia="Traditional Arabic" w:hAnsi="Traditional Arabic"/>
          <w:b w:val="false"/>
          <w:bCs w:val="false"/>
          <w:sz w:val="22"/>
          <w:szCs w:val="22"/>
          <w:rtl/>
        </w:rPr>
        <w:t xml:space="preserve">	21</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2.12 الكلفة الخفية لضعف العلامة التجارية للمؤسسة</w:t>
      </w:r>
      <w:r>
        <w:rPr>
          <w:rFonts w:ascii="Traditional Arabic" w:cs="Traditional Arabic" w:eastAsia="Traditional Arabic" w:hAnsi="Traditional Arabic"/>
          <w:b w:val="false"/>
          <w:bCs w:val="false"/>
          <w:sz w:val="22"/>
          <w:szCs w:val="22"/>
          <w:rtl/>
        </w:rPr>
        <w:t xml:space="preserve">	22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2.13 أدوات إدارية مساندة: أين يلتقي نموذج McKinsey 7S بالعلامة التجارية للمؤسسة؟</w:t>
      </w:r>
      <w:r>
        <w:rPr>
          <w:rFonts w:ascii="Traditional Arabic" w:cs="Traditional Arabic" w:eastAsia="Traditional Arabic" w:hAnsi="Traditional Arabic"/>
          <w:b w:val="false"/>
          <w:bCs w:val="false"/>
          <w:sz w:val="22"/>
          <w:szCs w:val="22"/>
          <w:rtl/>
        </w:rPr>
        <w:t xml:space="preserve">	22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2.14 حين يتحول الموظف الناقم إلى أكبر خطر على العلامة التجارية</w:t>
      </w:r>
      <w:r>
        <w:rPr>
          <w:rFonts w:ascii="Traditional Arabic" w:cs="Traditional Arabic" w:eastAsia="Traditional Arabic" w:hAnsi="Traditional Arabic"/>
          <w:b w:val="false"/>
          <w:bCs w:val="false"/>
          <w:sz w:val="22"/>
          <w:szCs w:val="22"/>
          <w:rtl/>
        </w:rPr>
        <w:t xml:space="preserve">	22</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2.15 ملاحظة ختامية على الإطار النظري</w:t>
      </w:r>
      <w:r>
        <w:rPr>
          <w:rFonts w:ascii="Traditional Arabic" w:cs="Traditional Arabic" w:eastAsia="Traditional Arabic" w:hAnsi="Traditional Arabic"/>
          <w:b w:val="false"/>
          <w:bCs w:val="false"/>
          <w:sz w:val="22"/>
          <w:szCs w:val="22"/>
          <w:rtl/>
        </w:rPr>
        <w:t xml:space="preserve">	24</w:t>
      </w:r>
    </w:p>
    <w:p>
      <w:pPr>
        <w:tabs>
          <w:tab w:val="left" w:pos="9350" w:leader="dot"/>
        </w:tabs>
        <w:bidi/>
        <w:spacing w:after="60" w:before="0"/>
        <w:ind w:right="360"/>
        <w:jc w:val="right"/>
      </w:pPr>
      <w:r>
        <w:rPr>
          <w:rFonts w:ascii="Traditional Arabic" w:cs="Traditional Arabic" w:eastAsia="Traditional Arabic" w:hAnsi="Traditional Arabic"/>
          <w:b w:val="false"/>
          <w:bCs w:val="false"/>
          <w:color w:val="1A1A1A"/>
          <w:sz w:val="22"/>
          <w:szCs w:val="22"/>
          <w:rtl/>
        </w:rPr>
        <w:t xml:space="preserve">2.16 إضافة أخيرة: العلامة التجارية والاستدامة البيئية والاجتماعية</w:t>
      </w:r>
      <w:r>
        <w:rPr>
          <w:rFonts w:ascii="Traditional Arabic" w:cs="Traditional Arabic" w:eastAsia="Traditional Arabic" w:hAnsi="Traditional Arabic"/>
          <w:b w:val="false"/>
          <w:bCs w:val="false"/>
          <w:sz w:val="22"/>
          <w:szCs w:val="22"/>
          <w:rtl/>
        </w:rPr>
        <w:t xml:space="preserve">	24</w:t>
      </w:r>
    </w:p>
    <w:p>
      <w:r>
        <w:br w:type="page"/>
      </w:r>
    </w:p>
    <w:p>
      <w:pPr>
        <w:pStyle w:val="Heading1"/>
        <w:pageBreakBefore/>
        <w:pBdr>
          <w:bottom w:val="single" w:color="7A1F2B" w:sz="12" w:space="8"/>
        </w:pBdr>
        <w:bidi/>
        <w:spacing w:after="200" w:before="0"/>
        <w:jc w:val="right"/>
      </w:pPr>
      <w:r>
        <w:rPr>
          <w:rFonts w:ascii="Traditional Arabic" w:cs="Traditional Arabic" w:eastAsia="Traditional Arabic" w:hAnsi="Traditional Arabic"/>
          <w:b/>
          <w:bCs/>
          <w:color w:val="7A1F2B"/>
          <w:sz w:val="36"/>
          <w:szCs w:val="36"/>
          <w:rtl/>
        </w:rPr>
        <w:t xml:space="preserve">الفصل الأول: الإطار العام للدراسة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1.1 مقدمة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في السنوات الأخيرة، أصبحت المنافسة بين المؤسسات على استقطاب الكفاءات البشرية عالية التأهيل أكثر شراسة من أي وقت مضى، في ظل تسارع التحول الرقمي، وتغيّر توقعات الأجيال الجديدة من سوق العمل، وتزايد حركة تنقّل الكفاءات بين القطاعات والدول. ولم تعد الرواتب والمزايا المادية وحدها كافية لجذب الموظفين المتميزين والاحتفاظ بهم، بل أصبحت سمعة المؤسسة وصورتها الذهنية في سوق العمل من أهم العوامل التي تحدد نجاحها في استقطاب هذه المواهب والمنافسة عليها.</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ومن هنا برز مفهوم العلامة التجارية للمؤسسة (Employer Branding)، الذي يشير إلى الصورة والانطباع الذي تتركه المؤسسة لدى موظفيها الحاليين والمحتملين، وكيف تُقدّم نفسها كجهة عمل مفضّلة تسعى الكفاءات للانضمام إليها والبقاء فيها. وقد صاغ الباحثان Ambler و Barrow هذا المفهوم لأول مرة عام 1996، حين عرّفا العلامة التجارية للمؤسسة بأنها "حزمة من المزايا الوظيفية والاقتصادية والنفسية التي يوفرها العمل لدى مؤسسة معينة، وترتبط بهوية المؤسسة كجهة عمل". ومنذ ذلك الحين تطور هذا المفهوم ليصبح ركيزة أساسية من ركائز إدارة الموارد البشرية الاستراتيجية الحديثة.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تؤكد العديد من الدراسات الحديثة أن بناء علامة تجارية قوية للمؤسسة أصبح جزءًا لا يتجزأ من استراتيجية الموارد البشرية، إذ لم يعد التوظيف مجرد عملية إدارية، بل تحوّل إلى نشاط تسويقي متكامل يسعى لترويج هوية المؤسسة وثقافتها التنظيمية لدى شريحتين رئيسيتين: الموظفين الحاليين (العلامة التجارية الداخلية)، والمرشحين المحتملين في سوق العمل (العلامة التجارية الخارجية). فالمؤسسات التي تركز على تطوير بيئة عمل إيجابية، وتعتني بتجربة موظفيها، وتُظهر التزامها بالقيم المهنية والاجتماعية، هي الأكثر قدرة على جذب الكفاءات النوعية والمحافظة عليها.</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ولأن المورد البشري هو العنصر الأهم في تحقيق الميزة التنافسية المستدامة، وفق ما تؤكده نظرية الموارد والقدرات (Resource-Based View)، فإن المؤسسات التي تبني علامة تجارية قوية لن تواجه صعوبة في استقطاب الكفاءات حتى في ظل المنافسة الشديدة على المواهب، وهو ما بات يُعرف في الأدبيات الإدارية بمصطلح "حرب المواهب" (War for Talent)، الذي صاغته شركة McKinsey في نهاية التسعينيات، ولا يزال يصف بدقة واقع أسواق العمل المعاصرة.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وفي سياق المملكة العربية السعودية، يكتسب موضوع العلامة التجارية للمؤسسة أهمية خاصة، في ظل التحولات الكبرى التي يشهدها سوق العمل السعودي ضمن مستهدفات رؤية المملكة 2030، والتي تسعى إلى رفع نسبة مشاركة القوى العاملة الوطنية، وتوطين الوظائف النوعية، وتحفيز القطاع الخاص على تبنّي ممارسات جذب واستبقاء أكثر تطورًا. ويُعد قطاع الاتصالات وتقنية المعلومات من أكثر القطاعات تنافسية على الكفاءات السعودية المؤهلة، نظرًا لسرعة تحوله الرقمي، وارتفاع الطلب على الكفاءات التقنية والتسويقية والإدارية المتخصصة، وحاجته الملحّة لبناء صورة جاذبة أمام الكوادر الوطنية الشابة التي باتت تُقيّم فرص العمل وفق معايير تتجاوز الراتب، لتشمل بيئة العمل، وفرص التطور المهني، والتوازن بين الحياة والعمل، والسمعة الرقمية للمؤسسة على منصات مثل LinkedIn وGlassdoor وبيهانس.</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لذلك جاءت هذه الدراسة لتسليط الضوء على تأثير العلامة التجارية للمؤسسة على جذب المواهب، مع التركيز بشكل خاص على قطاع الاتصالات في المملكة العربية السعودية بوصفه نموذجًا تطبيقيًا يعكس هذه الظاهرة بوضوح، وذلك من خلال استعراض المفاهيم النظرية، وتحليل الاتجاهات الحديثة في هذا المجال، ومراجعة تجارب الشركات الرائدة في هذا القطاع.</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ويكتسب هذا الموضوع راهنية إضافية في ظل ما يشهده قطاع الاتصالات السعودي من استثمارات ضخمة في شبكات الجيل الخامس والبنية التحتية الرقمية والذكاء الاصطناعي التطبيقي، وهي استثمارات تتطلب بالضرورة كوادر بشرية متخصصة يصعب إحلالها أو استقطابها بالسرعة ذاتها التي تتطور بها هذه التقنيات، مما يجعل من إدارة العلامة التجارية للمؤسسة أداة استراتيجية لا غنى عنها لضمان استمرارية تدفق الكفاءات المؤهلة اللازمة لدعم هذا التحول الرقمي المتسارع، بما ينسجم مع مستهدفات الاستراتيجية الوطنية لصناعة الاتصالات وتقنية المعلومات في المملكة.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1.2 مشكلة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على الرغم من إدراك الكثير من المؤسسات السعودية لأهمية الموارد البشرية بوصفها ركيزة التنافسية، إلا أن عددًا كبيرًا منها ما زال يعاني من ضعف في القدرة على جذب الكفاءات المناسبة والاحتفاظ بها، ويعود ذلك غالبًا إلى غياب استراتيجية واضحة لبناء صورة إيجابية عن المؤسسة كجهة عمل، أو إلى الاكتفاء بأنشطة تسويقية سطحية لا تعكس واقع بيئة العمل الفعلية.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وتشير بيانات صادرة عن منصة LinkedIn Talent Solutions إلى أن المؤسسات ذات العلامة التجارية القوية كجهة عمل تحقق انخفاضًا في تكلفة التوظيف يصل إلى نحو 50٪، وزيادة في معدل قبول عروض العمل تصل إلى 50٪ مقارنة بالمؤسسات الأضعف في هذا الجانب، فيما تشير تقارير أخرى صادرة عن Gallup وDeloitte إلى أن نحو 75٪ من الباحثين عن عمل يبحثون بنشاط عن معلومات حول سمعة المؤسسة قبل التقديم لوظيفة فيها، وأن أكثر من 55٪ منهم يتراجعون عن التقديم لمؤسسة تحمل مراجعات سلبية على منصات التوظيف الرقمية. وهذه المؤشرات، وإن كانت عالمية، إلا أنها تعكس اتجاهًا متزايدًا لدى الباحثين عن عمل في السوق السعودي أيضًا، خصوصًا مع ارتفاع نسبة الشباب من الجيل Z والألفية ضمن القوى العاملة الوطنية، وهي فئة تُعرف باهتمامها الكبير بسمعة جهة العمل الرقمية قبل اتخاذ قرار التقديم.</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وفي قطاع الاتصالات السعودي تحديدًا، يبرز هذا الإشكال بشكل واضح؛ إذ يشهد القطاع منافسة محتدمة بين الشركات الكبرى (شركة الاتصالات السعودية STC، وشركة موبايلي، وشركة زين السعودية) على استقطاب الكفاءات الوطنية المؤهلة في مجالات الشبكات، والأمن السيبراني، وتحليل البيانات، والتسويق الرقمي، في وقت يشهد فيه القطاع أيضًا تحولًا جذريًا نحو الخدمات الرقمية والذكاء الاصطناعي والجيل الخامس، مما يرفع سقف توقعات الكفاءات الشابة تجاه بيئة العمل والفرص التطويرية المعروضة. وتشير تقارير هيئة الاتصالات وتقنية المعلومات إلى ارتفاع نسبة التوطين في قطاع الاتصالات لتتجاوز 80٪ في بعض الوظائف، وهو ما يضاعف الضغط التنافسي بين الشركات لاستقطاب العدد المحدود نسبيًا من الكفاءات الوطنية المتخصصة، ويجعل من قوة العلامة التجارية للمؤسسة كجهة عمل عاملًا حاسمًا في حسم هذه المنافسة.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فبعض المؤسسات في هذا القطاع قد تكون ناجحة ماليًا وتقدم رواتب ومزايا تنافسية، لكنها تعاني من سمعة وظيفية ضعيفة أو صورة ذهنية غير واضحة تجعلها أقل جاذبية للموظفين الموهوبين مقارنة بمنافسيها، في حين تنجح مؤسسات أخرى في استقطاب أفضل الكفاءات بفضل ما تبنيه من ثقة وصورة ذهنية إيجابية مستندة إلى تجربة موظف متميزة وحضور رقمي احترافي. ويزيد من تعقيد هذه المشكلة غياب دراسات عربية وسعودية كافية تربط بشكل منهجي بين أبعاد العلامة التجارية للمؤسسة وقدرتها الفعلية على جذب المواهب في سياق قطاع محدد كقطاع الاتصالات، مما يترك فجوة معرفية تحتاج إلى معالجة علمية دقيقة.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1.3 التساؤل الرئيسي وأسئلة الدراسة الفرعية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من هذا المنطلق، تتمحور مشكلة الدراسة حول التساؤل الرئيسي التالي:</w:t>
      </w:r>
    </w:p>
    <w:p>
      <w:pPr>
        <w:pBdr>
          <w:top w:val="single" w:color="9C7A2E" w:sz="4" w:space="6"/>
          <w:bottom w:val="single" w:color="9C7A2E" w:sz="4" w:space="6"/>
        </w:pBdr>
        <w:shd w:fill="F4EFE6" w:val="clear"/>
        <w:bidi/>
        <w:spacing w:after="250" w:before="150"/>
        <w:ind w:left="600" w:right="600"/>
        <w:jc w:val="center"/>
      </w:pPr>
      <w:r>
        <w:rPr>
          <w:rFonts w:ascii="Traditional Arabic" w:cs="Traditional Arabic" w:eastAsia="Traditional Arabic" w:hAnsi="Traditional Arabic"/>
          <w:b/>
          <w:bCs/>
          <w:i/>
          <w:iCs/>
          <w:sz w:val="32"/>
          <w:szCs w:val="32"/>
          <w:rtl/>
        </w:rPr>
        <w:t xml:space="preserve">ما مدى تأثير أبعاد العلامة التجارية للمؤسسة (Employer Branding) على قدرة شركات قطاع الاتصالات في المملكة العربية السعودية على جذب المواهب البشرية؟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ويتفرع من هذا التساؤل الرئيسي عدد من التساؤلات الفرعية التي تحدد أبعاد المشكلة بدقة، وهي: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ما مفهوم العلامة التجارية للمؤسسة، وما العوامل والأبعاد التي تشكّلها في السياق السعودي؟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ما مستوى إدراك العاملين والباحثين عن عمل في قطاع الاتصالات السعودي للعلامة التجارية لشركات هذا القطاع؟</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كيف تؤثر سمعة المؤسسة وصورتها الذهنية في قرار الانضمام إليها من قبل المتقدمين للوظائف في قطاع الاتصالات؟</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ما العلاقة بين رضا الموظفين الحاليين في شركات الاتصالات وصورة المؤسسة في سوق العمل السعودي؟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إلى أي مدى تؤثر وسائل التواصل الاجتماعي والإعلام الرقمي في تشكيل العلامة التجارية لشركات الاتصالات السعودية؟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هل يمكن للعلامة التجارية الضعيفة أن تُعيق شركات الاتصالات عن تحقيق أهدافها في التوطين والتوظيف حتى مع توفر المزايا المادية الجيدة؟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ما الفروق، إن وجدت، بين شركات الاتصالات السعودية الثلاث الكبرى (STC وموبايلي وزين) من حيث قوة العلامة التجارية وأثرها على جذب المواهب؟</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تسعى هذه الدراسة للإجابة عن هذه التساؤلات، ومحاولة تفسير العلاقة بين قوة العلامة التجارية للمؤسسة وبين قدرتها على استقطاب الكفاءات المتميزة في سوق العمل، مع تخصيص قطاع الاتصالات السعودي كنموذج تطبيقي يوضح هذه العلاقة بشكل ملموس ومحدد النطاق.</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1.4 أهمية الدراسة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أولًا: الأهمية العلمية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تسهم الدراسة في إثراء الأدبيات الحديثة المتعلقة بمجال إدارة الموارد البشرية، من خلال تناول مفهوم العلامة التجارية للمؤسسة كأداة استراتيجية حديثة، وربطها بسياق قطاعي محدد هو قطاع الاتصالات السعودي، وهو ربط لا تزال الأدبيات العربية تفتقر إليه بشكل كافٍ.</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تساهم في توضيح العلاقة بين التسويق المؤسسي وإدارة الموارد البشرية، مما يعزز فهم الدور المتكامل بين الإدارتين في بناء صورة المؤسسة كجهة 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تقدم إطارًا نظريًا متكاملًا يجمع بين ست نظريات مفسّرة (الجاذبية التنظيمية، العلامة التجارية، الهوية التنظيمية، التبادل الاجتماعي، الملاءمة بين الفرد والمؤسسة، والإشارة)، مما يمنح الباحثين والطلاب أداة تحليلية شاملة لفهم سلوك الباحثين عن العمل.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تسد فجوة بحثية محددة تتعلق بندرة الدراسات العربية التي تربط بين العلامة التجارية للمؤسسة وقطاع الاتصالات تحديدًا، وهو قطاع استراتيجي ضمن رؤية المملكة 2030.</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ثانيًا: الأهمية العملية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تساعد القائمين على إدارة الموارد البشرية في شركات الاتصالات السعودية، وغيرها من القطاعات، في تطوير استراتيجيات واقعية لجذب الكفاءات الوطنية والاحتفاظ بها في ظل تنافسية سوق العمل.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تقدم توصيات عملية يمكن أن تطبقها المؤسسات لتحسين سمعتها الرقمية وتعزيز ثقة المتقدمين بالعمل لديها، بما يخدم مستهدفات التوطين.</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تمكّن المؤسسات من قياس مدى فعالية أنشطتها التسويقية والاتصالية وتأثيرها على سوق العمل، من خلال المؤشرات والأبعاد التي تستعرضها الدراسة.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تدعم صانعي القرار في القطاعين العام والخاص في إدراك أهمية الاستثمار في الهوية المؤسسية والثقافة الداخلية بوصفها استثمارًا استراتيجيًا طويل الأمد لا نفقة تشغيلية.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وتنبع أهمية هذه الدراسة من واقع أن سمعة المؤسسة لم تعد ترفًا تنظيميًا، بل أصبحت ضرورة استراتيجية تميز المؤسسات الجاذبة للكفاءات عن غيرها في سوق مليء بالمنافسة، خصوصًا في القطاعات ذات الطابع التقني والمعرفي المرتفع كقطاع الاتصالات.</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1.5 أهداف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تهدف هذه الدراسة إلى تحقيق مجموعة من الأهداف المرتبطة بمفهوم العلامة التجارية للمؤسسة وتأثيرها على جذب الكفاءات، ومن أهمها:</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التعرف على مفهوم العلامة التجارية للمؤسسة وأبعادها النظرية وتطورها التاريخي.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تحليل العلاقة بين قوة العلامة التجارية وقدرة المؤسسة على استقطاب الكفاءات البشرية المتميزة، مع التطبيق على قطاع الاتصالات السعودي.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تحديد العوامل التي تؤثر في بناء العلامة التجارية للمؤسسة، سواء الداخلية منها أو الخارجية.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إبراز دور رضا الموظفين الحاليين وتجربتهم داخل المؤسسة في تشكيل سمعتها وجاذبيتها في سوق العمل.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توضيح أهمية وسائل الإعلام الرقمية ومنصات التواصل الاجتماعي في تشكيل الانطباع العام عن المؤسسة كجهة 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تقديم تحليل مقارن لواقع العلامة التجارية في الشركات الثلاث الكبرى بقطاع الاتصالات السعودي (STC، موبايلي، زين).</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اقتراح إطار نظري وتوصيات عملية يمكن أن تستند إليها المؤسسات السعودية في بناء علامة تجارية قوية تسهم في جذب المواهب ودعم مستهدفات التوطين.</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1.6 فروض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بناءً على مشكلة الدراسة وتساؤلاتها، ووفقًا للصياغة العلمية لفروض العدم (Null Hypotheses) المعتمدة في الدراسات الوصفية التحليلية، يمكن صياغة الفروض الرئيسية التالية التي توضح العلاقة بين متغيرات الدراسة الرئيسة، وهي العلامة التجارية للمؤسسة (المتغير المستقل) وقدرتها على جذب المواهب (المتغير التابع):</w:t>
      </w:r>
    </w:p>
    <w:p>
      <w:pPr>
        <w:pBdr>
          <w:top w:val="single" w:color="9C7A2E" w:sz="4" w:space="6"/>
          <w:bottom w:val="single" w:color="9C7A2E" w:sz="4" w:space="6"/>
        </w:pBdr>
        <w:shd w:fill="F4EFE6" w:val="clear"/>
        <w:bidi/>
        <w:spacing w:after="250" w:before="150"/>
        <w:ind w:left="600" w:right="600"/>
        <w:jc w:val="center"/>
      </w:pPr>
      <w:r>
        <w:rPr>
          <w:rFonts w:ascii="Traditional Arabic" w:cs="Traditional Arabic" w:eastAsia="Traditional Arabic" w:hAnsi="Traditional Arabic"/>
          <w:b/>
          <w:bCs/>
          <w:i/>
          <w:iCs/>
          <w:sz w:val="32"/>
          <w:szCs w:val="32"/>
          <w:rtl/>
        </w:rPr>
        <w:t xml:space="preserve">الفرض الرئيسي: لا توجد علاقة ذات دلالة إحصائية بين قوة العلامة التجارية للمؤسسة وقدرتها على جذب الكفاءات البشرية في قطاع الاتصالات السعودي.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ويتفرع من هذا الفرض الرئيسي عدد من الفروض الفرعية التالية: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H1: لا توجد علاقة ذات دلالة إحصائية بين رضا الموظفين الحاليين داخل المؤسسة والصورة الذهنية للمؤسسة في سوق العمل.</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H2: لا توجد علاقة ذات دلالة إحصائية بين جودة الاتصال الداخلي والخارجي للمؤسسة وقوة علامتها التجارية.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H3: لا توجد علاقة ذات دلالة إحصائية بين استخدام وسائل التواصل الاجتماعي وبناء العلامة التجارية للمؤسسة.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H4: لا توجد علاقة ذات دلالة إحصائية بين تجربة الموظف الداخلية وتقييم الباحثين عن العمل لجاذبية المؤسسة.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H5: لا توجد فروق ذات دلالة إحصائية بين شركات الاتصالات السعودية الثلاث الكبرى من حيث تأثير العلامة التجارية على جذب المواهب تُعزى لاختلاف حجم الشركة أو نوع ملكيتها.</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وتجدر الإشارة إلى أن صياغة هذه الفروض بصيغة العدم (H0) تأتي اتساقًا مع المنهج العلمي المتبع في الدراسات التي تعتمد التحليل النظري والمكتبي، على أن يتم اختبارها لاحقًا من خلال دراسات تطبيقية ميدانية تعتمد أدوات القياس الكمي كالاستبانة، بينما تكتفي الدراسة الحالية بمناقشتها نظريًا في ضوء الأدبيات والدراسات السابقة التي تم استعراضها.</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1.7 حدود الدراسة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1. الحدود الموضوعية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تركز هذه الدراسة على تأثير العلامة التجارية للمؤسسة على جذب المواهب فقط، دون التطرق بعمق إلى مراحل لاحقة مثل تطوير الكفاءات أو الاحتفاظ بها على المدى الطويل. كما أنها لا تناقش تأثير العلامة التجارية على الإنتاجية أو الرضا الوظيفي بشكل مباشر، وإنما تركز على مرحلة الاستقطاب والتوظيف، مع تخصيص قطاع الاتصالات كمجال تطبيقي رئيسي.</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2. الحدود المكانية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تركز الدراسة بشكل أساسي على شركات قطاع الاتصالات العاملة في المملكة العربية السعودية، وفي مقدمتها الشركات الثلاث الكبرى (STC، موبايلي، زين السعودية)، مع الاستفادة من أدبيات ونماذج عالمية ذات صلة يمكن تعميم نتائجها بحذر على قطاعات ومؤسسات أخرى.</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3. الحدود الزمانية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تغطي الدراسة الفترة الزمنية من عام 2020 حتى عام 2025، وذلك لكون هذه المرحلة شهدت تطورات كبيرة في مجال التحول الرقمي في التوظيف، وتسارع استخدام وسائل التواصل الاجتماعي في بناء العلامة التجارية للمؤسسة، وتزايد وتيرة برامج التوطين في القطاع الخاص السعودي.</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4. الحدود المنهجية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تعتمد الدراسة على المنهج الوصفي التحليلي القائم على تحليل الأدبيات والمراجع والبيانات الثانوية المتاحة، مما يعني أنها لا تتضمن بيانات ميدانية أو استبيانات مباشرة موزعة على عينة من الأفراد. ورغم ذلك، فإنها تقدم تصورًا شاملًا ومؤطرًا نظريًا يمكن استخدامه كأساس منهجي متين لأي دراسة تطبيقية ميدانية مستقبلية.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1.8 مصطلحات الدراسة الإجرائية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العلامة التجارية للمؤسسة (Employer Branding): مجموعة الجهود الاستراتيجية التي تبذلها المؤسسة لبناء وترويج صورة ذهنية إيجابية عن نفسها كجهة عمل مفضّلة، لدى موظفيها الحاليين والمرشحين المحتملين على حد سواء.</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جذب المواهب (Talent Attraction): قدرة المؤسسة على استقطاب الأفراد ذوي الكفاءة والمهارات العالية للانضمام إليها، من خلال تقديم عرض قيمة وظيفي متكامل يفوق ما يقدمه المنافسون.</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عرض القيمة الوظيفي (Employee Value Proposition - EVP): مجموعة المزايا والفوائد الملموسة وغير الملموسة التي تقدمها المؤسسة لموظفيها مقابل مساهمتهم، وتشمل الأجر، والتطور المهني، وبيئة العمل، والثقافة التنظيمية.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تجربة الموظف (Employee Experience): مجموع الانطباعات والتفاعلات التي يمر بها الموظف طوال دورة حياته الوظيفية داخل المؤسسة، بدءًا من مرحلة التقديم وحتى مرحلة مغادرة المؤسسة.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التوطين (Saudization/Nitaqat): برنامج وطني سعودي يهدف إلى زيادة نسبة مشاركة القوى العاملة الوطنية في القطاع الخاص، ضمن مستهدفات رؤية المملكة 2030.</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السمعة التنظيمية (Organizational Reputation): التقييم الجمعي الذي يكوّنه أصحاب المصلحة الداخليون والخارجيون تجاه أداء المؤسسة وسلوكها بمرور الوقت.</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1.9 هيكل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تنقسم هذه الدراسة إلى سبعة فصول رئيسية، يستعرض الفصل الأول الإطار العام للدراسة متضمنًا المقدمة والمشكلة والأهداف والفروض والحدود، بينما يتناول الفصل الثاني الإطار النظري لمفهوم العلامة التجارية للمؤسسة وأبعادها وسياق قطاع الاتصالات السعودي. ويستعرض الفصل الثالث النظريات المفسرة للظاهرة محل الدراسة، فيما يخصص الفصل الرابع لمراجعة الدراسات السابقة العربية والدولية وتحليلها مقارنةً. ويوضح الفصل الخامس منهجية الدراسة وأدواتها، بينما يقدم الفصل السادس تحليلًا تطبيقيًا لواقع العلامة التجارية في شركات الاتصالات السعودية الثلاث الكبرى. وأخيرًا، يعرض الفصل السابع أهم النتائج والتوصيات ومقترحات الدراسات المستقبلية، تليه قائمة المراجع.</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1.10 ملاحظة منهجية شخصية حول اختيار الموضوع</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يجدر التنويه إلى أن اختيار موضوع هذه الدراسة لم يأتِ من فراغ أكاديمي بحت، بل تأثر أيضًا بملاحظات ميدانية غير رسمية تراكمت خلال متابعة سوق التوظيف في المنطقة الشرقية من المملكة على مدى السنوات الأخيرة، حيث لوحظ تكرار شكوى معينة من قبل باحثين عن عمل في التخصصات التقنية: أنهم يجدون صعوبة في تكوين صورة واضحة عن "كيف يبدو العمل فعليًا" في شركات بعينها قبل التقديم لها، رغم توفر معلومات كثيرة عن هذه الشركات من الناحية المالية والتسويقية. هذه الملاحظة البسيطة كانت نقطة الانطلاق الفعلية التي دفعت لتناول الموضوع من زاوية أكاديمية أكثر تنظيمًا.</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1.11 لمحة عن السياق الزمني لكتابة هذه الدراسة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أُعدت هذه الدراسة في مرحلة تشهد فيها المملكة العربية السعودية تسارعًا لافتًا في مشاريع الذكاء الاصطناعي والبنية التحتية الرقمية، بالتزامن مع استعداد قطاع الاتصالات لمرحلة جديدة من الاستثمار في شبكات الجيل الخامس المتقدمة وتطبيقات إنترنت الأشياء الصناعية. وهذا التوقيت الزمني ليس تفصيلًا هامشيًا؛ فأي قارئ لهذه الدراسة بعد سنوات من كتابتها قد يجد أن بعض التفاصيل التطبيقية المشار إليها، كوضع شركة بعينها أو حملة تسويقية محددة، قد تغيرت أو تجاوزها الزمن، بينما من المتوقع أن يبقى الإطار النظري العام والمنهج التحليلي المستخدم صالحًا لإعادة التطبيق على أي سياق زمني لاحق، وهذا بالضبط الفارق الذي حاولنا الحفاظ عليه بوعي بين "ما هو دائم نسبيًا" في هذه الدراسة و"ما هو مرتبط بلحظة زمنية محددة" قابلة للتغير السريع.</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1.12 ملاحظة أخيرة تمهيدًا للفصل الثاني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بهذا نكون قد أرسينا في هذا الفصل الأول الإطار العام الكامل للدراسة: مشكلتها، وأسئلتها، وأهميتها، وأهدافها، وفروضها، وحدودها، ومصطلحاتها. وننتقل في الفصل التالي إلى بناء الأرضية النظرية التي ستستند إليها بقية فصول هذه الدراسة، بدءًا من تعريف مفهوم العلامة التجارية للمؤسسة بشكل أعمق مما ورد في هذه المقدمة، وصولًا إلى أبعاده ومكوناته المختلفة.</w:t>
      </w:r>
    </w:p>
    <w:p>
      <w:pPr>
        <w:pStyle w:val="Heading1"/>
        <w:pageBreakBefore/>
        <w:pBdr>
          <w:bottom w:val="single" w:color="7A1F2B" w:sz="12" w:space="8"/>
        </w:pBdr>
        <w:bidi/>
        <w:spacing w:after="200" w:before="0"/>
        <w:jc w:val="right"/>
      </w:pPr>
      <w:r>
        <w:rPr>
          <w:rFonts w:ascii="Traditional Arabic" w:cs="Traditional Arabic" w:eastAsia="Traditional Arabic" w:hAnsi="Traditional Arabic"/>
          <w:b/>
          <w:bCs/>
          <w:color w:val="7A1F2B"/>
          <w:sz w:val="36"/>
          <w:szCs w:val="36"/>
          <w:rtl/>
        </w:rPr>
        <w:t xml:space="preserve">الفصل الثاني: الإطار النظري للدراسة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 مفهوم العلامة التجارية للمؤسسة ونشأته التاريخية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يعود أول استخدام أكاديمي موثّق لمصطلح "العلامة التجارية للمؤسسة" (Employer Branding) إلى الباحثين Tim Ambler وSimon Barrow عام 1996، في ورقتهما البحثية المنشورة في مجلة Journal of Brand Management، حيث عرّفا المفهوم بأنه "حزمة من المزايا الوظيفية والاقتصادية والنفسية التي يوفرها العمل لدى مؤسسة معينة، وترتبط بهوية المؤسسة كجهة عمل". وقد جاء هذا الطرح في وقت كانت فيه أدوات التسويق التقليدية (المنتج، السعر، الترويج، التوزيع) تُستخدم حصريًا لجذب العملاء، ليقترح الباحثان تطبيق المنطق التسويقي ذاته على عملية جذب الموظفين والاحتفاظ بهم.</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ومنذ ذلك الحين، تطور المفهوم بشكل متسارع، حيث عرّفه Backhaus وTikoo (2004) بأنه "العملية التي تبني من خلالها المؤسسة هوية فريدة كجهة عمل، وتُميّز نفسها عن المنافسين". بينما أضاف Sullivan (2004) بعدًا تسويقيًا أوضح حين عرّفه بأنه "استراتيجية طويلة المدى تستهدف إدارة إدراك الموظفين الحاليين والمحتملين وأصحاب المصلحة ذوي الصلة تجاه شركة معينة". أما Minchington (2020) فقد قدّم تعريفًا أكثر شمولًا يجمع بين الصورة الداخلية والخارجية، معتبرًا العلامة التجارية للمؤسسة "صورة المؤسسة بوصفها 'مكانًا رائعًا للعمل' في أذهان الموظفين الحاليين والمرشحين وأصحاب المصلحة".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وبالنظر إلى هذه التعريفات مجتمعة، يمكن استخلاص أن العلامة التجارية للمؤسسة تقوم على ثلاثة أبعاد جوهرية متكاملة: البعد الإدراكي (الصورة الذهنية المتكوّنة لدى الجمهور)، والبعد التجريبي (تجربة الموظف الفعلية داخل المؤسسة)، والبعد الاتصالي (الرسائل والقنوات التي تنقل هذه الصورة إلى الجمهور المستهدف). وتفشل كثير من المؤسسات في بناء علامة تجارية قوية حين تركز على البعد الاتصالي فقط دون الانتباه إلى ضرورة اتساقه مع البعدين الإدراكي والتجريبي، وهو ما يُعرف في الأدبيات بـ"فجوة العلامة التجارية" (Employer Brand Gap).</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2.2 أبعاد ومكونات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يُعد نموذج Berthon وEwing وHah (2005) من أكثر النماذج تداولًا في تفسير أبعاد جاذبية المؤسسة كجهة عمل (Employer Attractiveness)، وقد طوّر الباحثون مقياسًا يُعرف باسم EmpAt يتضمن خمسة أبعاد رئيسية: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القيمة الاقتصادية (Interest Value): مدى تقديم المؤسسة لبيئة عمل مثيرة تستخدم ممارسات مبتكرة، وتُنتج منتجات وخدمات عالية الجودة، وتُقدّر إبداع الموظف.</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قيمة التطوير الاجتماعي (Social Value): مدى توفر بيئة عمل ممتعة، وعلاقات جيدة بين الزملاء، وأجواء عمل جماعي داعمة.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قيمة التطوير الوظيفي (Development Value): مدى توفر فرص التقدير والثقة بالنفس، وبناء الخبرة، وإطلاق العنان للمستقبل الوظيفي، بما يشمل التدريب المستمر وفرص الترقي.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القيمة التطبيقية (Application Value): مدى إتاحة الفرصة للموظف لتطبيق ما تعلمه ومشاركته مع الآخرين في بيئة تُقدّر توجهه الإنساني نحو المجتمع والعملاء.</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القيمة الاقتصادية المباشرة (Economic Value): مدى تنافسية الرواتب، والحوافز، والأمان الوظيفي، وفرص الترقية المرتبطة بالأجر.</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وقد أثبتت دراسات لاحقة عديدة، من بينها دراسة Sivertzen وآخرين (2013)، أن هذه الأبعاد الخمسة ترتبط بشكل إيجابي ودال إحصائيًا بكل من نية التقديم للوظيفة (Intention to Apply) ونية توصية المؤسسة للآخرين (Word-of-Mouth Recommendation)، مما يجعل هذا النموذج أداة قياس عملية يمكن الاستفادة منها في تحليل واقع شركات الاتصالات السعودية لاحقًا في هذه الدراسة.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2.3 العلامة التجارية الداخلية مقابل العلامة التجارية الخارجية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تُميّز الأدبيات الحديثة بين نوعين مترابطين من العلامة التجارية للمؤسسة: العلامة التجارية الداخلية (Internal Employer Branding)، والتي تستهدف الموظفين الحاليين وتُعنى ببناء الالتزام التنظيمي والولاء والانتماء من خلال القيم المعاشة فعليًا داخل بيئة العمل؛ والعلامة التجارية الخارجية (External Employer Branding)، والتي تستهدف المرشحين المحتملين وسوق العمل بشكل عام، وتُعنى بالترويج للمؤسسة عبر القنوات الإعلانية والرقمية ومنصات التوظيف.</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وتؤكد دراسة Theurer وTumasjan وWelpe وLievens (2018)، والتي تُعد من أشمل المراجعات الأدبية في هذا المجال، أن نجاح العلامة التجارية الخارجية مشروط بشكل أساسي بوجود علامة تجارية داخلية متينة، إذ إن أي تناقض بين الرسائل الترويجية الخارجية وتجربة الموظف الفعلية الداخلية يؤدي إلى ما يُعرف بـ"أزمة المصداقية المؤسسية"، والتي تنعكس سلبًا وبشكل مضاعف على السمعة العامة، خاصة في ظل انتشار منصات تقييم أرباب العمل مثل Glassdoor التي تمنح الموظفين الحاليين والسابقين صوتًا مباشرًا وشفافًا لمشاركة تجاربهم مع الجمهور.</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2.4 مراحل بناء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تمر عملية بناء العلامة التجارية للمؤسسة، وفقًا لما تقترحه أدبيات الإدارة الاستراتيجية للموارد البشرية، بأربع مراحل متكاملة: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مرحلة التشخيص والتحليل: وتشمل دراسة الوضع الحالي للمؤسسة من خلال استطلاعات رضا الموظفين، وتحليل تصورات السوق الخارجي، وتحديد نقاط القوة والضعف في العلامة التجارية الحالية.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مرحلة بناء عرض القيمة الوظيفي (EVP): وهي المرحلة الجوهرية التي تتحدد فيها الوعود والقيم التي ستقدمها المؤسسة لموظفيها الحاليين والمحتملين، بحيث تكون واقعية وقابلة للتحقق ومتمايزة عن المنافسين.</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مرحلة التفعيل والاتصال: وتشمل ترجمة عرض القيمة الوظيفي إلى رسائل وحملات اتصالية داخلية وخارجية، عبر القنوات المناسبة، بما فيها مواقع التوظيف، ومنصات التواصل الاجتماعي، والفعاليات المهنية.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مرحلة القياس والتطوير المستمر: وتشمل رصد مؤشرات الأداء المرتبطة بالعلامة التجارية، كمعدل قبول عروض العمل، ومعدل الدوران الوظيفي، ودرجة رضا الموظفين، ومراجعتها دوريًا لتطوير الاستراتيجية.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2.5 مفهوم جذب المواهب وأبعاده</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يُعرَّف جذب المواهب (Talent Attraction) بأنه مجمل الأنشطة والاستراتيجيات التي تنتهجها المؤسسة لاستقطاب الأفراد ذوي الكفاءة والمهارات النادرة أو العالية القيمة، بما يضمن تلبية احتياجاتها من الكوادر البشرية المؤهلة في الوقت المناسب. وترتبط هذه العملية ارتباطًا وثيقًا بمفهوم "إدارة المواهب" (Talent Management) بوصفه إطارًا أشمل يضم الاستقطاب والتطوير والاستبقاء.</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وتشير الأدبيات إلى أن قرار المرشح بالتقديم لوظيفة معينة يمر بثلاث مراحل إدراكية متتابعة: مرحلة الوعي (Awareness)، حيث يتكوّن لدى المرشح انطباع أولي عن المؤسسة من خلال مصادر متعددة؛ ومرحلة التقييم (Consideration)، حيث يقارن المرشح بين المؤسسة والبدائل المتاحة استنادًا إلى معايير مادية ومعنوية؛ ومرحلة القرار (Decision)، حيث يُترجم هذا التقييم إلى قرار فعلي بالتقديم أو الانضمام. وتلعب العلامة التجارية للمؤسسة دورًا محوريًا في المراحل الثلاث جميعًا، إذ تُشكّل المصدر الرئيسي للمعلومات التي يبني عليها المرشح تصوراته وقراره النهائي.</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2.6 العلاقة بين إدارة الموارد البشرية والتسويق المؤسسي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يمثل التقاطع بين إدارة الموارد البشرية والتسويق أحد أبرز ملامح التطور الحديث في الفكر الإداري، إذ لم يعد التوظيف نشاطًا إداريًا بحتًا، بل أصبح يُدار بمنطق تسويقي يعامل المرشح المحتمل بوصفه "عميلًا داخليًا" يجب فهم احتياجاته وتوقعاته واستهدافه برسائل مصممة خصيصًا له، تمامًا كما تُستهدف شرائح العملاء الخارجيين. وقد أدى هذا التقاطع إلى نشوء تخصص وظيفي جديد يُعرف بـ"التسويق التوظيفي" (Recruitment Marketing)، والذي يستخدم أدوات تحليل البيانات، وتقسيم الجمهور المستهدف (Segmentation)، وتصميم تجربة المستخدم (UX) في صفحات التوظيف، بهدف تحسين جودة وكمية المتقدمين للوظائف.</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ويتطلب هذا التكامل تعاونًا وثيقًا بين إدارة الموارد البشرية وإدارة التسويق أو الاتصال المؤسسي، بحيث تتسق الرسائل الموجهة للعملاء الخارجيين مع تلك الموجهة للمرشحين المحتملين، بما يعزز اتساق هوية المؤسسة الشاملة (Corporate Identity) في جميع نقاط التماس مع الجمهور.</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2.7 قطاع الاتصالات في المملكة العربية السعودية: نظرة عامة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يُعد قطاع الاتصالات وتقنية المعلومات من أكثر القطاعات حيوية وتنافسية في الاقتصاد السعودي، إذ يسهم بشكل مباشر في تحقيق مستهدفات رؤية المملكة 2030 المتعلقة ببناء اقتصاد رقمي متنوع. ويضم القطاع ثلاث شركات اتصالات رئيسية مرخصة لتقديم خدمات الاتصالات المتنقلة والثابتة، وهي:</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شركة الاتصالات السعودية (STC): المشغل الأكبر والأقدم في السوق السعودي، وتحولت في السنوات الأخيرة إلى مجموعة استثمارية متنوعة تضم أذرعًا في التقنية المالية والحلول الرقمية والأبراج، وتُعد من أكبر الشركات المدرجة في السوق المالية السعودية (تداول) من حيث القيمة السوقية.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شركة موبايلي (Mobily): ثاني أكبر مشغل اتصالات في المملكة، وقد شهدت في السنوات الأخيرة عملية إعادة هيكلة مالية وتشغيلية واسعة ركزت على تحسين الكفاءة التشغيلية وتطوير الخدمات الرقمية.</w:t>
      </w:r>
    </w:p>
    <w:p>
      <w:pPr>
        <w:pStyle w:val="ListParagraph"/>
        <w:numPr>
          <w:ilvl w:val="0"/>
          <w:numId w:val="2"/>
        </w:numPr>
        <w:bidi/>
        <w:spacing w:after="160" w:line="400"/>
        <w:jc w:val="both"/>
      </w:pPr>
      <w:r>
        <w:rPr>
          <w:rFonts w:ascii="Traditional Arabic" w:cs="Traditional Arabic" w:eastAsia="Traditional Arabic" w:hAnsi="Traditional Arabic"/>
          <w:sz w:val="32"/>
          <w:szCs w:val="32"/>
          <w:rtl/>
        </w:rPr>
        <w:t xml:space="preserve">شركة زين السعودية (Zain KSA): الذراع السعودية لمجموعة زين الكويتية، وتتميز بحضور تسويقي قوي موجّه للشريحة الشبابية، واستثمار ملحوظ في بناء صورة العلامة التجارية عبر منصات التواصل الاجتماعي.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وتشترك الشركات الثلاث في مواجهة تحديات متشابهة تتعلق بجذب الكفاءات الوطنية المتخصصة في مجالات الشبكات، والأمن السيبراني، وعلوم البيانات، والتسويق الرقمي، في ظل ندرة نسبية لهذه التخصصات في سوق العمل المحلي مقارنة بالطلب المتزايد عليها، مما يجعل من قوة العلامة التجارية عاملًا حاسمًا في حسم المنافسة على هذه الكفاءات.</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2.8 واقع سوق العمل السعودي وتحديات جذب الكفاءات</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شهد سوق العمل السعودي خلال السنوات الأخيرة تحولات جوهرية مدفوعة ببرنامج التحول الوطني ورؤية المملكة 2030، أبرزها ارتفاع معدلات مشاركة المرأة السعودية في القوى العاملة، وتزايد أعداد الخريجين في التخصصات التقنية، وتطبيق برنامج "نطاقات" لتحفيز التوطين في القطاع الخاص. وقد أدت هذه التحولات إلى ارتفاع سقف توقعات الباحثين عن عمل السعوديين، لا سيما من فئة الشباب، تجاه بيئة العمل وفرص التطور المهني، بما يتجاوز مجرد الحصول على وظيفة إلى البحث عن "تجربة عمل ذات معنى" تتسق مع قيمهم الشخصية وطموحاتهم المهنية.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وفي ظل هذه التحولات، باتت المؤسسات السعودية، وفي مقدمتها شركات قطاع الاتصالات، مطالبة بإعادة النظر في استراتيجياتها لجذب الكفاءات، بحيث تتجاوز الاعتماد التقليدي على الإعلانات الوظيفية والمعارض التوظيفية، إلى تبني نهج استراتيجي شامل لبناء العلامة التجارية كجهة عمل، يوازن بين المزايا المادية والمعنوية، ويستثمر في الحضور الرقمي، ويُشرك الموظفين الحاليين بوصفهم سفراء للعلامة التجارية (Employee Advocacy).</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2.9 نماذج عالمية رائدة في تطبيق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من المفيد عند دراسة أي ظاهرة إدارية استعراض تجارب المؤسسات الرائدة عالميًا التي نجحت في تطبيقها بشكل استثنائي، إذ تقدّم هذه التجارب دروسًا عملية يمكن الاستفادة منها في السياق السعودي، رغم اختلاف حجم المؤسسات وطبيعة قطاعاتها.</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أولًا: تجربة Google</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تُعد شركة Google من أبرز الأمثلة العالمية على بناء علامة تجارية قوية كجهة عمل، إذ اعتمدت استراتيجية متكاملة تقوم على ثلاثة محاور: بيئة عمل مادية محفزة على الإبداع، وحرية فكرية واسعة تتيح للموظفين تخصيص جزء من وقتهم لمشاريعهم الخاصة، وشفافية داخلية عالية في تبادل المعلومات بين الإدارة والموظفين. وقد أسهمت هذه الممارسات في جعل الشركة من أكثر الجهات طلبًا للعمل عالميًا لسنوات متتالية وفق تصنيفات مجلة Fortune وLinkedIn، وهو ما يعكس أثر البعد الرمزي (Symbolic Attributes) الذي أشار إليه Lievens وSlaughter (2016) في جاذبية المؤسسة.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ثانيًا: تجربة Zappos</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اعتمدت شركة Zappos، المتخصصة في التجارة الإلكترونية للأحذية والملابس، استراتيجية فريدة تقوم على وضع الثقافة التنظيمية في صميم عملية التوظيف ذاتها، حيث تمنح الموظفين الجدد خلال فترة التدريب مبلغًا ماليًا مقابل ترك الوظيفة إن شعروا أن الثقافة التنظيمية لا تناسبهم، بهدف ضمان "الملاءمة الثقافية" (Cultural Fit) منذ البداية بدلًا من اكتشافها لاحقًا بعد الانضمام الفعلي، وهو تطبيق عملي مباشر لنظرية الملاءمة بين الفرد والمؤسسة التي استعرضتها هذه الدراسة في الفصل الثالث.</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ثالثًا: تجربة Unilever</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تبنّت شركة Unilever متعددة الجنسيات نهجًا مختلفًا يركز على الهدف المؤسسي (Corporate Purpose) والاستدامة كعنصر جذب رئيسي للكفاءات الشابة، من خلال حملات توظيف تُبرز مساهمة الشركة في قضايا بيئية ومجتمعية عالمية، وهو ما ينسجم مع ما توصلت إليه دراسة Deloitte Insights (2022) من أن الأجيال الجديدة تُقيّم أرباب العمل بناءً على أثرهم المجتمعي وليس فقط أدائهم المالي.</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رابعًا: تجربة Salesforce</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ركزت شركة Salesforce، إحدى الشركات التقنية الرائدة عالميًا، على بناء علامة تجارية داخلية قوية عبر مبدأ "العائلة" (Ohana)، وهو مفهوم مستمد من الثقافة الهاوايية يعكس التزامًا متبادلًا طويل الأمد بين الموظف والمؤسسة، وقد ترجمت الشركة هذا المبدأ إلى سياسات ملموسة كبرامج دعم الصحة النفسية، وأيام تطوعية مدفوعة الأجر، وهو ما يعزز نظرية التبادل الاجتماعي في تفسير العلاقة بين الموظف والمؤسسة.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خامسًا: الدروس المستفادة وقابلية التطبيق في السياق السعودي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يمكن استخلاص ثلاثة دروس رئيسية من هذه التجارب العالمية قابلة للتطبيق في سياق شركات الاتصالات السعودية: أولها ضرورة اتساق الممارسات الداخلية الفعلية مع الرسائل الترويجية الخارجية، وثانيها أهمية تخصيص استراتيجية العلامة التجارية بما يتناسب مع خصائص الجمهور المستهدف من الكفاءات الوطنية الشابة، وثالثها أن بناء علامة تجارية قوية عملية تراكمية طويلة الأمد لا يمكن تحقيقها عبر حملات إعلانية موسمية منفصلة عن استراتيجية الموارد البشرية الشاملة للمؤسسة.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2.10 دورة حياة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تمر العلامة التجارية للمؤسسة، شأنها شأن أي علامة تجارية تجارية أخرى، بدورة حياة تمر بأربع مراحل متتابعة تستدعي من إدارة الموارد البشرية تبني استراتيجيات مختلفة في كل مرحلة منها.</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المرحلة الأولى: مرحلة النشأة والتأسيس</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وتتسم هذه المرحلة بغياب أو ضعف الوعي العام بالمؤسسة كجهة عمل، وتحتاج المؤسسة فيها إلى التركيز على بناء الوعي الأساسي (Awareness Building) من خلال المشاركة في الفعاليات المهنية والجامعية، وبناء حضور رقمي أولي، وتحديد عرض القيمة الوظيفي بوضوح.</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المرحلة الثانية: مرحلة النمو</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تشهد هذه المرحلة تزايدًا في عدد المتقدمين وتحسنًا في جودتهم، وتحتاج المؤسسة فيها إلى الانتقال من بناء الوعي إلى تعميق الثقة، من خلال إشراك الموظفين الحاليين كسفراء للعلامة التجارية، وتوثيق قصص نجاح داخلية حقيقية.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المرحلة الثالثة: مرحلة النضج</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تصل المؤسسة في هذه المرحلة إلى مكانة راسخة كجهة عمل مفضلة، ويصبح التحدي الأكبر هو الحفاظ على هذه المكانة في ظل دخول منافسين جدد، من خلال الابتكار المستمر في عرض القيمة الوظيفي وتجنب الركود أو الاكتفاء بالسمعة التاريخية.</w:t>
      </w:r>
    </w:p>
    <w:p>
      <w:pPr>
        <w:pStyle w:val="Heading3"/>
        <w:bidi/>
        <w:spacing w:after="200" w:before="300"/>
        <w:jc w:val="right"/>
      </w:pPr>
      <w:r>
        <w:rPr>
          <w:rFonts w:ascii="Traditional Arabic" w:cs="Traditional Arabic" w:eastAsia="Traditional Arabic" w:hAnsi="Traditional Arabic"/>
          <w:b/>
          <w:bCs/>
          <w:color w:val="1A1A1A"/>
          <w:sz w:val="26"/>
          <w:szCs w:val="26"/>
          <w:rtl/>
        </w:rPr>
        <w:t xml:space="preserve">المرحلة الرابعة: مرحلة التجديد أو التراجع</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قد تواجه المؤسسات التي تتوقف عن تطوير عرضها الوظيفي تراجعًا تدريجيًا في جاذبيتها، خاصة أمام منافسين أكثر مرونة أو ابتكارًا، وتحتاج في هذه الحالة إلى إعادة تقييم شاملة لاستراتيجيتها (Employer Brand Refresh)، وهو ما مرّت به بعض شركات الاتصالات عالميًا حين واجهت منافسة من شركات التقنية الناشئة التي قدّمت عروض قيمة وظيفية أكثر مرونة وجاذبية للكفاءات الشابة.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2.11 الفروق الجيلية في تفضيلات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تُظهر الأدبيات الحديثة، وفي مقدمتها استطلاعات Deloitte Global السنوية، تفاوتًا واضحًا بين الأجيال المختلفة في المعايير التي يعتمدونها لتقييم جاذبية المؤسسة كجهة عمل. فجيل الطفرة (Baby Boomers) يميل تاريخيًا إلى تقدير الاستقرار الوظيفي والأمان المالي بشكل أكبر، بينما يميل جيل الألفية (Millennials) إلى تقدير التوازن بين الحياة والعمل وفرص التطور المهني السريع، في حين يُظهر جيل Z، وهو الجيل الأكثر حضورًا حاليًا بين الخريجين الجدد في السوق السعودي، اهتمامًا أكبر بالمرونة الوظيفية، والشفافية المؤسسية، والتوافق مع القيم الشخصية، والصحة النفسية في بيئة العمل.</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ويحمل هذا التفاوت الجيلي دلالة مباشرة لشركات الاتصالات السعودية التي تستقطب سنويًا أعدادًا كبيرة من الخريجين الجدد ضمن برامج التدريب والتوظيف المبكر، إذ يستدعي ذلك تصميم رسائل وعروض قيمة وظيفية متمايزة تخاطب تحديدًا اهتمامات هذه الفئة العمرية، بدلًا من الاعتماد على رسائل تسويقية موحدة تخاطب جميع الفئات العمرية بالطريقة ذاتها.</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2.12 الكلفة الخفية لضعف 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يميل النقاش حول العلامة التجارية للمؤسسة إلى التركيز على الجانب الإيجابي: ماذا نكسب حين نبنيها بشكل جيد؟ لكن من المفيد أحيانًا قلب السؤال: ماذا نخسر فعليًا حين نهملها؟ الإجابة، وإن كان من الصعب وضع رقم دقيق لها في السياق السعودي تحديدًا لغياب دراسات كمية محلية كافية، تتضح ملامحها من مصادر غير مباشرة.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فتقارير LinkedIn Talent Solutions التي أشرنا إليها سابقًا تقدّر أن المؤسسات ذات السمعة الضعيفة كجهة عمل تدفع علاوة أجر إضافية تتراوح بين 10٪ و20٪ فوق متوسط السوق لإقناع المرشحين بالانضمام إليها، وهي كلفة خفية لا تظهر في أي بند مالي باسم "تكلفة ضعف العلامة التجارية"، بل تظهر مبعثرة داخل بنود الرواتب والمكافآت التي يُنظر إليها عادة كأنها مجرد سياسة تعويضات عادية. وهناك كلفة أخرى أقل وضوحًا وهي طول مدة شغل الوظيفة الشاغرة نفسها، إذ إن كل أسبوع إضافي تبقى فيه وظيفة تقنية حساسة شاغرة يعني عبئًا إضافيًا على الفريق القائم وتأخيرًا في مشاريع قد تكون مرتبطة بالتزامات تعاقدية مع عملاء.</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وهناك بُعد ثالث نادرًا ما يُذكر: أثر رفض المرشحين المتكرر على سمعة المؤسسة لدى الجامعات والمعاهد التقنية نفسها. فمكاتب التوظيف في الجامعات السعودية، وهي جهات صغيرة نسبيًا ومترابطة، تتناقل فيما بينها انطباعات عامة عن جدية الشركات في التعامل مع طلابها المتقدمين، وشركة تُعرف بتأخرها الكبير في الرد على المتقدمين أو بضعف احترافية مقابلاتها قد تجد نفسها بعد سنوات قليلة في ذيل قائمة تفضيلات الخريجين، دون أن يكون هناك "حادث" واحد واضح يمكن تحديده كسبب لهذا التراجع، بل تراكم بطيء وصامت يصعب ملاحظته إلا بعد فوات الأوان.</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2.13 أدوات إدارية مساندة: أين يلتقي نموذج McKinsey 7S بالعلامة التجارية للمؤسسة؟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من الأدوات التي لم تُذكر بعد في هذه الدراسة، رغم صلتها الوثيقة بالموضوع، نموذج McKinsey 7S الذي طُوّر أصلًا لتحليل الاتساق التنظيمي الداخلي عبر سبعة عناصر: الاستراتيجية، والهيكل التنظيمي، والأنظمة، والقيم المشتركة، والمهارات، والأسلوب الإداري، والموظفين. وما يجعل هذا النموذج مفيدًا هنا تحديدًا هو أنه يقدّم عدسة تشخيصية لسؤال أساسي: هل العناصر السبعة متسقة فيما بينها؟ لأن أي تناقض بين عنصرين، كأن تعلن مؤسسة قيمًا معلنة عن "المرونة والابتكار" بينما هيكلها التنظيمي هرمي جامد وأسلوبها الإداري تقليدي صارم، سينعكس حتمًا على العلامة التجارية كجهة عمل عاجلًا أو آجلًا، مهما كانت جودة الرسائل التسويقية الخارجية.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وبتطبيق هذا النموذج تحليليًا على قطاع الاتصالات السعودي، يمكن ملاحظة أن التحدي الأكبر الذي يواجه الشركات الكبرى تحديدًا هو التوتر بين عنصري "الهيكل التنظيمي" و"القيم المشتركة"؛ فالشركات الكبيرة تحتاج هياكل واضحة ومستويات إدارية متعددة لضمان الحوكمة والانضباط التشغيلي في عمليات معقدة كتشغيل الشبكات، لكن هذا الهيكل نفسه قد يتعارض مع القيم المعلنة حول "سرعة اتخاذ القرار" و"ثقافة الشركات الناشئة" التي تحاول هذه الشركات إسقاطها على أذرعها التقنية الجديدة. وحل هذا التوتر لا يكون عبر التخلي عن أحد العنصرين، بل عبر فصل واعٍ بين وحدات تنظيمية مختلفة يُسمح لكل منها بأسلوب إداري يناسب طبيعة عملها، بدل فرض نمط إداري موحد على كامل المؤسسة بغض النظر عن اختلاف طبيعة الوحدات.</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2.14 حين يتحول الموظف الناقم إلى أكبر خطر على العلامة التجارية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نقطة أخيرة تستحق التوقف عندها في هذا الفصل، رغم أنها قد تبدو أقرب لعلم النفس التنظيمي منها للتسويق: أثر الموظف الذي يغادر المؤسسة بشعور سلبي. فبينما تركز أغلب استراتيجيات العلامة التجارية على الموظف الحالي الراضي بوصفه سفيرًا إيجابيًا، يُهمل كثير من المؤسسات التفكير بنفس الجدية في الموظف الذي يغادر، رغم أن تجربته الأخيرة مع المؤسسة، أي كيفية إدارة عملية إنهاء الخدمة أو الاستقالة نفسها، قد تكون هي الذكرى الأكثر حضورًا في ذهنه حين يتحدث عن المؤسسة لاحقًا، أكثر من سنوات عمله الجيدة السابقة فيها. وهذا ما يُعرف أحيانًا في أدبيات تجربة الموظف بـ"مبدأ الذروة والنهاية" (Peak-End Rule)، المستعار أصلًا من علم النفس المعرفي، والذي يفترض أن الناس يتذكرون التجارب بناءً على ذروتها ولحظتها الأخيرة، لا بناءً على متوسط التجربة كاملة.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وتطبيقًا عمليًا لهذا المبدأ، فإن الاستثمار في ما يُعرف بـ"مقابلة الخروج" (Exit Interview) وإدارتها باحترافية وتعاطف حقيقيين، لا كإجراء إداري روتيني يُملأ فيه نموذج سريع، يمثل استثمارًا رخيصًا نسبيًا في العلامة التجارية للمؤسسة مقارنة بأثره المحتمل، لأن الموظف المغادر الذي يشعر بأن مغادرته أُديرت باحترام سيبقى غالبًا مصدر إشارات إيجابية عن المؤسسة في شبكته المهنية لاحقًا، حتى لو لم تكن كل سنوات عمله فيها خالية من الشكاوى.</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2.15 ملاحظة ختامية على الإطار النظري</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غطى هذا الفصل مساحة واسعة نسبيًا، من التعريف الأساسي لمفهوم العلامة التجارية للمؤسسة، مرورًا بأبعادها ومراحل بنائها، وصولًا إلى دورة حياتها والفروق الجيلية في تقييمها، وانتهاءً بأدوات تحليلية مساندة كنموذج McKinsey ومبدأ الذروة والنهاية. وقد يبدو هذا الكم من المفاهيم متفرقًا للوهلة الأولى، لكنه في الحقيقة يخدم غرضًا واحدًا محددًا: تزويد القارئ بعدة مداخل مختلفة لفهم الظاهرة ذاتها، بحيث لا يعتمد فهمه على زاوية نظر واحدة فقط. وننتقل في الفصل التالي إلى تضييق هذا الإطار العريض إلى مجموعة محددة من النظريات التفسيرية الأساسية التي ستشكل العمود الفقري لبقية التحليل في هذه الدراسة.</w:t>
      </w:r>
    </w:p>
    <w:p>
      <w:pPr>
        <w:pStyle w:val="Heading2"/>
        <w:bidi/>
        <w:spacing w:after="200" w:before="300"/>
        <w:jc w:val="right"/>
      </w:pPr>
      <w:r>
        <w:rPr>
          <w:rFonts w:ascii="Traditional Arabic" w:cs="Traditional Arabic" w:eastAsia="Traditional Arabic" w:hAnsi="Traditional Arabic"/>
          <w:b/>
          <w:bCs/>
          <w:color w:val="1A1A1A"/>
          <w:sz w:val="30"/>
          <w:szCs w:val="30"/>
          <w:rtl/>
        </w:rPr>
        <w:t xml:space="preserve">2.16 إضافة أخيرة: العلامة التجارية والاستدامة البيئية والاجتماعية</w:t>
      </w:r>
    </w:p>
    <w:p>
      <w:pPr>
        <w:bidi/>
        <w:spacing w:after="240" w:line="480"/>
        <w:jc w:val="both"/>
      </w:pPr>
      <w:r>
        <w:rPr>
          <w:rFonts w:ascii="Traditional Arabic" w:cs="Traditional Arabic" w:eastAsia="Traditional Arabic" w:hAnsi="Traditional Arabic"/>
          <w:b w:val="false"/>
          <w:bCs w:val="false"/>
          <w:i w:val="false"/>
          <w:iCs w:val="false"/>
          <w:sz w:val="32"/>
          <w:szCs w:val="32"/>
          <w:rtl/>
        </w:rPr>
        <w:t xml:space="preserve">من الأبعاد التي تكتسب أهمية متصاعدة عالميًا، وبدأت تظهر ملامحها الأولى في السوق السعودي أيضًا، ربط العلامة التجارية للمؤسسة بمعايير الاستدامة البيئية والاجتماعية والحوكمة (ESG). فالمرشحون الشباب، كما أشرنا عند الحديث عن جيل Z، يولون اهتمامًا متزايدًا لسؤال: هل تساهم هذه المؤسسة بشكل إيجابي في المجتمع والبيئة، أم أن نشاطها محايد أو حتى ضار من هذه الزاوية؟ وشركات الاتصالات، بحكم استهلاكها الكبير للطاقة في تشغيل الشبكات ومراكز البيانات، تجد نفسها اليوم مطالبة بإظهار التزام حقيقي في هذا الجانب، ليس فقط كمسؤولية اجتماعية تقليدية منفصلة، بل كجزء من عرض القيمة الوظيفي ذاته الذي يخاطب مباشرة قيم الكفاءات الشابة التي تسعى لاستقطابها.</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bidi/>
      <w:jc w:val="center"/>
    </w:pPr>
    <w:r>
      <w:rPr>
        <w:rFonts w:ascii="Arial" w:cs="Arial" w:eastAsia="Arial" w:hAnsi="Arial"/>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CCCCC" w:sz="4" w:space="4"/>
      </w:pBdr>
      <w:bidi/>
      <w:jc w:val="center"/>
    </w:pPr>
    <w:r>
      <w:rPr>
        <w:rFonts w:ascii="Traditional Arabic" w:cs="Traditional Arabic" w:eastAsia="Traditional Arabic" w:hAnsi="Traditional Arabic"/>
        <w:color w:val="888888"/>
        <w:sz w:val="18"/>
        <w:szCs w:val="18"/>
        <w:rtl/>
      </w:rPr>
      <w:t xml:space="preserve">الإطار النظري للدراسة — الفصل الأول والثاني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ind w:right="720" w:hanging="360"/>
      </w:pPr>
      <w:rPr>
        <w:rFonts w:ascii="Traditional Arabic" w:cs="Traditional Arabic" w:eastAsia="Traditional Arabic" w:hAnsi="Traditional Arabic"/>
        <w:rtl/>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aditional Arabic" w:cs="Traditional Arabic" w:eastAsia="Traditional Arabic" w:hAnsi="Traditional Arabic"/>
        <w:sz w:val="32"/>
        <w:szCs w:val="32"/>
        <w:rtl/>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200" w:before="0"/>
    </w:pPr>
    <w:rPr>
      <w:rFonts w:ascii="Traditional Arabic" w:cs="Traditional Arabic" w:eastAsia="Traditional Arabic" w:hAnsi="Traditional Arabic"/>
      <w:b/>
      <w:bCs/>
      <w:color w:val="7A1F2B"/>
      <w:sz w:val="36"/>
      <w:szCs w:val="36"/>
    </w:rPr>
  </w:style>
  <w:style w:type="paragraph" w:styleId="Heading2">
    <w:name w:val="Heading 2"/>
    <w:basedOn w:val="Normal"/>
    <w:next w:val="Normal"/>
    <w:qFormat/>
    <w:pPr>
      <w:spacing w:after="160" w:before="300"/>
    </w:pPr>
    <w:rPr>
      <w:rFonts w:ascii="Traditional Arabic" w:cs="Traditional Arabic" w:eastAsia="Traditional Arabic" w:hAnsi="Traditional Arabic"/>
      <w:b/>
      <w:bCs/>
      <w:sz w:val="30"/>
      <w:szCs w:val="30"/>
    </w:rPr>
  </w:style>
  <w:style w:type="paragraph" w:styleId="Heading3">
    <w:name w:val="Heading 3"/>
    <w:basedOn w:val="Normal"/>
    <w:next w:val="Normal"/>
    <w:qFormat/>
    <w:pPr>
      <w:spacing w:after="140" w:before="200"/>
    </w:pPr>
    <w:rPr>
      <w:rFonts w:ascii="Traditional Arabic" w:cs="Traditional Arabic" w:eastAsia="Traditional Arabic" w:hAnsi="Traditional Arabic"/>
      <w:b/>
      <w:bCs/>
      <w:sz w:val="26"/>
      <w:szCs w:val="26"/>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2026-07-14T23:09:35.201Z</dcterms:created>
  <dcterms:modified xsi:type="dcterms:W3CDTF">2026-07-14T23:09:35.201Z</dcterms:modified>
</cp:coreProperties>
</file>

<file path=docProps/custom.xml><?xml version="1.0" encoding="utf-8"?>
<Properties xmlns="http://schemas.openxmlformats.org/officeDocument/2006/custom-properties" xmlns:vt="http://schemas.openxmlformats.org/officeDocument/2006/docPropsVTypes"/>
</file>