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E2F89" w14:textId="4754665D" w:rsidR="00A16574" w:rsidRDefault="005964CD" w:rsidP="000C4CBD">
      <w:pPr>
        <w:spacing w:line="360" w:lineRule="auto"/>
        <w:jc w:val="both"/>
        <w:rPr>
          <w:rFonts w:ascii="Times New Roman" w:hAnsi="Times New Roman" w:cs="Times New Roman"/>
          <w:sz w:val="24"/>
          <w:szCs w:val="24"/>
        </w:rPr>
      </w:pPr>
      <w:r w:rsidRPr="00A16574">
        <w:rPr>
          <w:rFonts w:ascii="Calibri" w:eastAsia="Calibri" w:hAnsi="Calibri" w:cs="Arial"/>
          <w:noProof/>
        </w:rPr>
        <w:drawing>
          <wp:anchor distT="0" distB="0" distL="114300" distR="114300" simplePos="0" relativeHeight="251680768" behindDoc="0" locked="0" layoutInCell="1" allowOverlap="1" wp14:anchorId="4B33A0D1" wp14:editId="05F14F61">
            <wp:simplePos x="0" y="0"/>
            <wp:positionH relativeFrom="margin">
              <wp:posOffset>-389219</wp:posOffset>
            </wp:positionH>
            <wp:positionV relativeFrom="margin">
              <wp:posOffset>-680768</wp:posOffset>
            </wp:positionV>
            <wp:extent cx="2226945" cy="1343660"/>
            <wp:effectExtent l="0" t="0" r="1905" b="8890"/>
            <wp:wrapSquare wrapText="bothSides"/>
            <wp:docPr id="125886931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26945" cy="1343660"/>
                    </a:xfrm>
                    <a:prstGeom prst="rect">
                      <a:avLst/>
                    </a:prstGeom>
                    <a:noFill/>
                  </pic:spPr>
                </pic:pic>
              </a:graphicData>
            </a:graphic>
            <wp14:sizeRelH relativeFrom="page">
              <wp14:pctWidth>0</wp14:pctWidth>
            </wp14:sizeRelH>
            <wp14:sizeRelV relativeFrom="page">
              <wp14:pctHeight>0</wp14:pctHeight>
            </wp14:sizeRelV>
          </wp:anchor>
        </w:drawing>
      </w:r>
    </w:p>
    <w:p w14:paraId="3BCABE57" w14:textId="77777777" w:rsidR="00A16574" w:rsidRDefault="00A16574" w:rsidP="00F71E4C">
      <w:pPr>
        <w:spacing w:line="360" w:lineRule="auto"/>
        <w:jc w:val="both"/>
        <w:rPr>
          <w:rFonts w:ascii="Times New Roman" w:hAnsi="Times New Roman" w:cs="Times New Roman"/>
          <w:sz w:val="24"/>
          <w:szCs w:val="24"/>
        </w:rPr>
      </w:pPr>
    </w:p>
    <w:p w14:paraId="21EDFCAE" w14:textId="6B61F10E" w:rsidR="00F71E4C" w:rsidRPr="00F71E4C" w:rsidRDefault="00F71E4C" w:rsidP="00F71E4C">
      <w:pPr>
        <w:bidi/>
        <w:spacing w:line="256" w:lineRule="auto"/>
        <w:jc w:val="right"/>
        <w:rPr>
          <w:rFonts w:ascii="Sakkal Majalla" w:eastAsia="Calibri" w:hAnsi="Sakkal Majalla" w:cs="Sakkal Majalla"/>
          <w:b/>
          <w:bCs/>
          <w:sz w:val="28"/>
          <w:szCs w:val="28"/>
          <w:lang w:bidi="ar-EG"/>
        </w:rPr>
      </w:pPr>
      <w:r>
        <w:rPr>
          <w:rFonts w:ascii="Sakkal Majalla" w:eastAsia="Calibri" w:hAnsi="Sakkal Majalla" w:cs="Sakkal Majalla"/>
          <w:b/>
          <w:bCs/>
          <w:sz w:val="28"/>
          <w:szCs w:val="28"/>
          <w:lang w:bidi="ar-EG"/>
        </w:rPr>
        <w:t xml:space="preserve">Midocean University </w:t>
      </w:r>
    </w:p>
    <w:p w14:paraId="154892F3" w14:textId="2268B39E" w:rsidR="00F71E4C" w:rsidRPr="00F71E4C" w:rsidRDefault="00F71E4C" w:rsidP="00F71E4C">
      <w:pPr>
        <w:bidi/>
        <w:spacing w:line="256" w:lineRule="auto"/>
        <w:jc w:val="right"/>
        <w:rPr>
          <w:rFonts w:ascii="Sakkal Majalla" w:eastAsia="Calibri" w:hAnsi="Sakkal Majalla" w:cs="Sakkal Majalla"/>
          <w:b/>
          <w:bCs/>
          <w:sz w:val="28"/>
          <w:szCs w:val="28"/>
          <w:lang w:bidi="ar-EG"/>
        </w:rPr>
      </w:pPr>
      <w:r w:rsidRPr="00F71E4C">
        <w:rPr>
          <w:rFonts w:ascii="Sakkal Majalla" w:eastAsia="Calibri" w:hAnsi="Sakkal Majalla" w:cs="Sakkal Majalla"/>
          <w:b/>
          <w:bCs/>
          <w:sz w:val="28"/>
          <w:szCs w:val="28"/>
          <w:lang w:bidi="ar-EG"/>
        </w:rPr>
        <w:t>College of Management</w:t>
      </w:r>
    </w:p>
    <w:p w14:paraId="1C3A1FBD" w14:textId="0C2A964A" w:rsidR="00F71E4C" w:rsidRPr="00F71E4C" w:rsidRDefault="00F71E4C" w:rsidP="00F71E4C">
      <w:pPr>
        <w:bidi/>
        <w:spacing w:line="256" w:lineRule="auto"/>
        <w:jc w:val="right"/>
        <w:rPr>
          <w:rFonts w:ascii="Sakkal Majalla" w:eastAsia="Calibri" w:hAnsi="Sakkal Majalla" w:cs="Sakkal Majalla"/>
          <w:b/>
          <w:bCs/>
          <w:sz w:val="28"/>
          <w:szCs w:val="28"/>
          <w:lang w:bidi="ar-EG"/>
        </w:rPr>
      </w:pPr>
      <w:r w:rsidRPr="00F71E4C">
        <w:rPr>
          <w:rFonts w:ascii="Sakkal Majalla" w:eastAsia="Calibri" w:hAnsi="Sakkal Majalla" w:cs="Sakkal Majalla"/>
          <w:b/>
          <w:bCs/>
          <w:sz w:val="28"/>
          <w:szCs w:val="28"/>
          <w:lang w:bidi="ar-EG"/>
        </w:rPr>
        <w:t>Departmen</w:t>
      </w:r>
      <w:r>
        <w:rPr>
          <w:rFonts w:ascii="Sakkal Majalla" w:eastAsia="Calibri" w:hAnsi="Sakkal Majalla" w:cs="Sakkal Majalla"/>
          <w:b/>
          <w:bCs/>
          <w:sz w:val="28"/>
          <w:szCs w:val="28"/>
          <w:lang w:bidi="ar-EG"/>
        </w:rPr>
        <w:t xml:space="preserve">t: Risk Management </w:t>
      </w:r>
    </w:p>
    <w:p w14:paraId="7CE0569F" w14:textId="77777777" w:rsidR="00F71E4C" w:rsidRPr="00F71E4C" w:rsidRDefault="00F71E4C" w:rsidP="00F71E4C">
      <w:pPr>
        <w:bidi/>
        <w:spacing w:line="256" w:lineRule="auto"/>
        <w:jc w:val="right"/>
        <w:rPr>
          <w:rFonts w:ascii="Sakkal Majalla" w:eastAsia="Calibri" w:hAnsi="Sakkal Majalla" w:cs="Sakkal Majalla"/>
          <w:b/>
          <w:bCs/>
          <w:sz w:val="28"/>
          <w:szCs w:val="28"/>
          <w:lang w:bidi="ar-EG"/>
        </w:rPr>
      </w:pPr>
    </w:p>
    <w:p w14:paraId="4567FE1C" w14:textId="77777777" w:rsidR="00F71E4C" w:rsidRPr="00F71E4C" w:rsidRDefault="00F71E4C" w:rsidP="00F71E4C">
      <w:pPr>
        <w:bidi/>
        <w:spacing w:line="256" w:lineRule="auto"/>
        <w:jc w:val="center"/>
        <w:rPr>
          <w:rFonts w:ascii="Sakkal Majalla" w:eastAsia="Calibri" w:hAnsi="Sakkal Majalla" w:cs="Sakkal Majalla"/>
          <w:b/>
          <w:bCs/>
          <w:sz w:val="28"/>
          <w:szCs w:val="28"/>
          <w:lang w:bidi="ar-EG"/>
        </w:rPr>
      </w:pPr>
      <w:r w:rsidRPr="00F71E4C">
        <w:rPr>
          <w:rFonts w:ascii="Sakkal Majalla" w:eastAsia="Calibri" w:hAnsi="Sakkal Majalla" w:cs="Sakkal Majalla"/>
          <w:b/>
          <w:bCs/>
          <w:sz w:val="28"/>
          <w:szCs w:val="28"/>
          <w:lang w:bidi="ar-EG"/>
        </w:rPr>
        <w:t>Integrating ESG Principles into Risk Management: Enhancing Corporate Sustainability and Governance</w:t>
      </w:r>
    </w:p>
    <w:p w14:paraId="418C44D3" w14:textId="77777777" w:rsidR="00F71E4C" w:rsidRPr="00F71E4C" w:rsidRDefault="00F71E4C" w:rsidP="00F71E4C">
      <w:pPr>
        <w:bidi/>
        <w:spacing w:line="256" w:lineRule="auto"/>
        <w:jc w:val="right"/>
        <w:rPr>
          <w:rFonts w:ascii="Sakkal Majalla" w:eastAsia="Calibri" w:hAnsi="Sakkal Majalla" w:cs="Sakkal Majalla"/>
          <w:b/>
          <w:bCs/>
          <w:sz w:val="28"/>
          <w:szCs w:val="28"/>
          <w:lang w:bidi="ar-EG"/>
        </w:rPr>
      </w:pPr>
    </w:p>
    <w:p w14:paraId="3D392586" w14:textId="5B2B0D5C" w:rsidR="00F71E4C" w:rsidRPr="00F71E4C" w:rsidRDefault="00F71E4C" w:rsidP="00F71E4C">
      <w:pPr>
        <w:bidi/>
        <w:spacing w:line="256" w:lineRule="auto"/>
        <w:jc w:val="center"/>
        <w:rPr>
          <w:rFonts w:ascii="Sakkal Majalla" w:eastAsia="Calibri" w:hAnsi="Sakkal Majalla" w:cs="Sakkal Majalla"/>
          <w:b/>
          <w:bCs/>
          <w:sz w:val="28"/>
          <w:szCs w:val="28"/>
          <w:lang w:bidi="ar-EG"/>
        </w:rPr>
      </w:pPr>
      <w:r>
        <w:rPr>
          <w:rFonts w:ascii="Sakkal Majalla" w:eastAsia="Calibri" w:hAnsi="Sakkal Majalla" w:cs="Sakkal Majalla"/>
          <w:b/>
          <w:bCs/>
          <w:sz w:val="28"/>
          <w:szCs w:val="28"/>
          <w:lang w:bidi="ar-EG"/>
        </w:rPr>
        <w:t xml:space="preserve">Thamer </w:t>
      </w:r>
      <w:proofErr w:type="spellStart"/>
      <w:r>
        <w:rPr>
          <w:rFonts w:ascii="Sakkal Majalla" w:eastAsia="Calibri" w:hAnsi="Sakkal Majalla" w:cs="Sakkal Majalla"/>
          <w:b/>
          <w:bCs/>
          <w:sz w:val="28"/>
          <w:szCs w:val="28"/>
          <w:lang w:bidi="ar-EG"/>
        </w:rPr>
        <w:t>Abularazaq</w:t>
      </w:r>
      <w:proofErr w:type="spellEnd"/>
      <w:r>
        <w:rPr>
          <w:rFonts w:ascii="Sakkal Majalla" w:eastAsia="Calibri" w:hAnsi="Sakkal Majalla" w:cs="Sakkal Majalla"/>
          <w:b/>
          <w:bCs/>
          <w:sz w:val="28"/>
          <w:szCs w:val="28"/>
          <w:lang w:bidi="ar-EG"/>
        </w:rPr>
        <w:t xml:space="preserve"> Al </w:t>
      </w:r>
      <w:proofErr w:type="spellStart"/>
      <w:r>
        <w:rPr>
          <w:rFonts w:ascii="Sakkal Majalla" w:eastAsia="Calibri" w:hAnsi="Sakkal Majalla" w:cs="Sakkal Majalla"/>
          <w:b/>
          <w:bCs/>
          <w:sz w:val="28"/>
          <w:szCs w:val="28"/>
          <w:lang w:bidi="ar-EG"/>
        </w:rPr>
        <w:t>Ababassi</w:t>
      </w:r>
      <w:proofErr w:type="spellEnd"/>
    </w:p>
    <w:p w14:paraId="54615B79" w14:textId="77777777" w:rsidR="00F71E4C" w:rsidRPr="00F71E4C" w:rsidRDefault="00F71E4C" w:rsidP="00F71E4C">
      <w:pPr>
        <w:bidi/>
        <w:spacing w:line="256" w:lineRule="auto"/>
        <w:jc w:val="right"/>
        <w:rPr>
          <w:rFonts w:ascii="Sakkal Majalla" w:eastAsia="Calibri" w:hAnsi="Sakkal Majalla" w:cs="Sakkal Majalla"/>
          <w:b/>
          <w:bCs/>
          <w:sz w:val="28"/>
          <w:szCs w:val="28"/>
          <w:lang w:bidi="ar-EG"/>
        </w:rPr>
      </w:pPr>
    </w:p>
    <w:p w14:paraId="35FF09F9" w14:textId="1DAC67E1" w:rsidR="00F71E4C" w:rsidRDefault="00F71E4C" w:rsidP="00F71E4C">
      <w:pPr>
        <w:bidi/>
        <w:spacing w:line="256" w:lineRule="auto"/>
        <w:jc w:val="center"/>
        <w:rPr>
          <w:rFonts w:ascii="Sakkal Majalla" w:eastAsia="Calibri" w:hAnsi="Sakkal Majalla" w:cs="Sakkal Majalla"/>
          <w:b/>
          <w:bCs/>
          <w:sz w:val="28"/>
          <w:szCs w:val="28"/>
          <w:lang w:bidi="ar-EG"/>
        </w:rPr>
      </w:pPr>
      <w:r w:rsidRPr="00F71E4C">
        <w:rPr>
          <w:rFonts w:ascii="Sakkal Majalla" w:eastAsia="Calibri" w:hAnsi="Sakkal Majalla" w:cs="Sakkal Majalla"/>
          <w:b/>
          <w:bCs/>
          <w:sz w:val="28"/>
          <w:szCs w:val="28"/>
          <w:lang w:bidi="ar-EG"/>
        </w:rPr>
        <w:t>Supervised by</w:t>
      </w:r>
    </w:p>
    <w:p w14:paraId="4BE59188" w14:textId="77777777" w:rsidR="00F71E4C" w:rsidRPr="00F71E4C" w:rsidRDefault="00F71E4C" w:rsidP="00F71E4C">
      <w:pPr>
        <w:bidi/>
        <w:spacing w:line="256" w:lineRule="auto"/>
        <w:jc w:val="center"/>
        <w:rPr>
          <w:rFonts w:ascii="Sakkal Majalla" w:eastAsia="Calibri" w:hAnsi="Sakkal Majalla" w:cs="Sakkal Majalla"/>
          <w:b/>
          <w:bCs/>
          <w:sz w:val="28"/>
          <w:szCs w:val="28"/>
          <w:lang w:bidi="ar-EG"/>
        </w:rPr>
      </w:pPr>
    </w:p>
    <w:p w14:paraId="142E6735" w14:textId="7DFCB8C7" w:rsidR="00F71E4C" w:rsidRPr="00F71E4C" w:rsidRDefault="00F71E4C" w:rsidP="00F71E4C">
      <w:pPr>
        <w:bidi/>
        <w:spacing w:line="256" w:lineRule="auto"/>
        <w:jc w:val="right"/>
        <w:rPr>
          <w:rFonts w:ascii="Sakkal Majalla" w:eastAsia="Calibri" w:hAnsi="Sakkal Majalla" w:cs="Sakkal Majalla"/>
          <w:b/>
          <w:bCs/>
          <w:sz w:val="28"/>
          <w:szCs w:val="28"/>
          <w:lang w:bidi="ar-EG"/>
        </w:rPr>
      </w:pPr>
      <w:r w:rsidRPr="00F71E4C">
        <w:rPr>
          <w:rFonts w:ascii="Sakkal Majalla" w:eastAsia="Calibri" w:hAnsi="Sakkal Majalla" w:cs="Sakkal Majalla"/>
          <w:b/>
          <w:bCs/>
          <w:sz w:val="28"/>
          <w:szCs w:val="28"/>
          <w:lang w:bidi="ar-EG"/>
        </w:rPr>
        <w:t>Dr. Al-Faisal Abdul Hamid</w:t>
      </w:r>
      <w:r>
        <w:rPr>
          <w:rFonts w:ascii="Sakkal Majalla" w:eastAsia="Calibri" w:hAnsi="Sakkal Majalla" w:cs="Sakkal Majalla"/>
          <w:b/>
          <w:bCs/>
          <w:sz w:val="28"/>
          <w:szCs w:val="28"/>
          <w:lang w:bidi="ar-EG"/>
        </w:rPr>
        <w:t xml:space="preserve">                                                                                                                  </w:t>
      </w:r>
      <w:r w:rsidRPr="00F71E4C">
        <w:rPr>
          <w:rFonts w:ascii="Sakkal Majalla" w:eastAsia="Calibri" w:hAnsi="Sakkal Majalla" w:cs="Sakkal Majalla"/>
          <w:b/>
          <w:bCs/>
          <w:sz w:val="28"/>
          <w:szCs w:val="28"/>
          <w:lang w:bidi="ar-EG"/>
        </w:rPr>
        <w:t>Dr. Fayez Jarad</w:t>
      </w:r>
    </w:p>
    <w:p w14:paraId="533A163F" w14:textId="78231587" w:rsidR="00F71E4C" w:rsidRDefault="00F71E4C" w:rsidP="00F71E4C">
      <w:pPr>
        <w:bidi/>
        <w:spacing w:line="256" w:lineRule="auto"/>
        <w:jc w:val="right"/>
        <w:rPr>
          <w:rFonts w:ascii="Sakkal Majalla" w:eastAsia="Calibri" w:hAnsi="Sakkal Majalla" w:cs="Sakkal Majalla"/>
          <w:b/>
          <w:bCs/>
          <w:sz w:val="28"/>
          <w:szCs w:val="28"/>
          <w:rtl/>
          <w:lang w:bidi="ar-EG"/>
        </w:rPr>
      </w:pPr>
    </w:p>
    <w:p w14:paraId="77AE361F" w14:textId="77777777" w:rsidR="00F71E4C" w:rsidRDefault="00F71E4C" w:rsidP="00F71E4C">
      <w:pPr>
        <w:bidi/>
        <w:spacing w:line="256" w:lineRule="auto"/>
        <w:jc w:val="right"/>
        <w:rPr>
          <w:rFonts w:ascii="Sakkal Majalla" w:eastAsia="Calibri" w:hAnsi="Sakkal Majalla" w:cs="Sakkal Majalla"/>
          <w:b/>
          <w:bCs/>
          <w:sz w:val="28"/>
          <w:szCs w:val="28"/>
          <w:lang w:val="en-SG" w:bidi="ar-EG"/>
        </w:rPr>
      </w:pPr>
    </w:p>
    <w:p w14:paraId="32E6478F" w14:textId="77777777" w:rsidR="005964CD" w:rsidRDefault="005964CD" w:rsidP="005964CD">
      <w:pPr>
        <w:bidi/>
        <w:spacing w:line="256" w:lineRule="auto"/>
        <w:jc w:val="right"/>
        <w:rPr>
          <w:rFonts w:ascii="Sakkal Majalla" w:eastAsia="Calibri" w:hAnsi="Sakkal Majalla" w:cs="Sakkal Majalla"/>
          <w:b/>
          <w:bCs/>
          <w:sz w:val="28"/>
          <w:szCs w:val="28"/>
          <w:lang w:val="en-SG" w:bidi="ar-EG"/>
        </w:rPr>
      </w:pPr>
    </w:p>
    <w:p w14:paraId="002DB7E0" w14:textId="77777777" w:rsidR="005964CD" w:rsidRDefault="005964CD" w:rsidP="005964CD">
      <w:pPr>
        <w:bidi/>
        <w:spacing w:line="256" w:lineRule="auto"/>
        <w:jc w:val="right"/>
        <w:rPr>
          <w:rFonts w:ascii="Sakkal Majalla" w:eastAsia="Calibri" w:hAnsi="Sakkal Majalla" w:cs="Sakkal Majalla"/>
          <w:b/>
          <w:bCs/>
          <w:sz w:val="28"/>
          <w:szCs w:val="28"/>
          <w:lang w:val="en-SG" w:bidi="ar-EG"/>
        </w:rPr>
      </w:pPr>
    </w:p>
    <w:p w14:paraId="6EDD6A90" w14:textId="77777777" w:rsidR="005964CD" w:rsidRPr="00F71E4C" w:rsidRDefault="005964CD" w:rsidP="005964CD">
      <w:pPr>
        <w:bidi/>
        <w:spacing w:line="256" w:lineRule="auto"/>
        <w:jc w:val="right"/>
        <w:rPr>
          <w:rFonts w:ascii="Sakkal Majalla" w:eastAsia="Calibri" w:hAnsi="Sakkal Majalla" w:cs="Sakkal Majalla"/>
          <w:b/>
          <w:bCs/>
          <w:sz w:val="28"/>
          <w:szCs w:val="28"/>
          <w:lang w:val="en-SG" w:bidi="ar-EG"/>
        </w:rPr>
      </w:pPr>
    </w:p>
    <w:p w14:paraId="76745F5A" w14:textId="77777777" w:rsidR="00F71E4C" w:rsidRPr="00F71E4C" w:rsidRDefault="00F71E4C" w:rsidP="00F71E4C">
      <w:pPr>
        <w:bidi/>
        <w:spacing w:line="256" w:lineRule="auto"/>
        <w:jc w:val="right"/>
        <w:rPr>
          <w:rFonts w:ascii="Sakkal Majalla" w:eastAsia="Calibri" w:hAnsi="Sakkal Majalla" w:cs="Sakkal Majalla"/>
          <w:b/>
          <w:bCs/>
          <w:sz w:val="28"/>
          <w:szCs w:val="28"/>
          <w:lang w:bidi="ar-EG"/>
        </w:rPr>
      </w:pPr>
    </w:p>
    <w:p w14:paraId="697AF22F" w14:textId="79051F52" w:rsidR="00F71E4C" w:rsidRPr="00F71E4C" w:rsidRDefault="00F71E4C" w:rsidP="00F71E4C">
      <w:pPr>
        <w:bidi/>
        <w:spacing w:line="256" w:lineRule="auto"/>
        <w:jc w:val="center"/>
        <w:rPr>
          <w:rFonts w:ascii="Sakkal Majalla" w:eastAsia="Calibri" w:hAnsi="Sakkal Majalla" w:cs="Sakkal Majalla"/>
          <w:b/>
          <w:bCs/>
          <w:sz w:val="28"/>
          <w:szCs w:val="28"/>
          <w:lang w:bidi="ar-EG"/>
        </w:rPr>
      </w:pPr>
      <w:r w:rsidRPr="00F71E4C">
        <w:rPr>
          <w:rFonts w:ascii="Sakkal Majalla" w:eastAsia="Calibri" w:hAnsi="Sakkal Majalla" w:cs="Sakkal Majalla"/>
          <w:b/>
          <w:bCs/>
          <w:sz w:val="28"/>
          <w:szCs w:val="28"/>
          <w:lang w:bidi="ar-EG"/>
        </w:rPr>
        <w:t>Academic year</w:t>
      </w:r>
      <w:r w:rsidR="005964CD">
        <w:rPr>
          <w:rFonts w:ascii="Sakkal Majalla" w:eastAsia="Calibri" w:hAnsi="Sakkal Majalla" w:cs="Sakkal Majalla"/>
          <w:b/>
          <w:bCs/>
          <w:sz w:val="28"/>
          <w:szCs w:val="28"/>
          <w:lang w:bidi="ar-EG"/>
        </w:rPr>
        <w:t>:</w:t>
      </w:r>
    </w:p>
    <w:p w14:paraId="79C8FED0" w14:textId="2CA9E3E5" w:rsidR="00F71E4C" w:rsidRDefault="00F71E4C" w:rsidP="00F71E4C">
      <w:pPr>
        <w:bidi/>
        <w:spacing w:line="256" w:lineRule="auto"/>
        <w:jc w:val="center"/>
        <w:rPr>
          <w:rFonts w:ascii="Sakkal Majalla" w:eastAsia="Calibri" w:hAnsi="Sakkal Majalla" w:cs="Sakkal Majalla"/>
          <w:b/>
          <w:bCs/>
          <w:sz w:val="28"/>
          <w:szCs w:val="28"/>
          <w:lang w:bidi="ar-EG"/>
        </w:rPr>
      </w:pPr>
      <w:r w:rsidRPr="00F71E4C">
        <w:rPr>
          <w:rFonts w:ascii="Sakkal Majalla" w:eastAsia="Calibri" w:hAnsi="Sakkal Majalla" w:cs="Sakkal Majalla"/>
          <w:b/>
          <w:bCs/>
          <w:sz w:val="28"/>
          <w:szCs w:val="28"/>
          <w:rtl/>
          <w:lang w:bidi="ar-EG"/>
        </w:rPr>
        <w:t>2024</w:t>
      </w:r>
    </w:p>
    <w:p w14:paraId="2DD1BACF" w14:textId="033E560D" w:rsidR="00F71E4C" w:rsidRPr="00F71E4C" w:rsidRDefault="00F71E4C" w:rsidP="00F71E4C">
      <w:pPr>
        <w:spacing w:line="360" w:lineRule="auto"/>
        <w:jc w:val="center"/>
        <w:rPr>
          <w:rFonts w:ascii="Times New Roman" w:hAnsi="Times New Roman" w:cs="Times New Roman"/>
          <w:b/>
          <w:bCs/>
          <w:sz w:val="24"/>
          <w:szCs w:val="24"/>
        </w:rPr>
      </w:pPr>
    </w:p>
    <w:p w14:paraId="743093AA" w14:textId="0BE7E20B" w:rsidR="00F71E4C" w:rsidRDefault="000D6677" w:rsidP="005964CD">
      <w:pPr>
        <w:bidi/>
        <w:spacing w:line="256" w:lineRule="auto"/>
        <w:rPr>
          <w:rFonts w:ascii="Sakkal Majalla" w:eastAsia="Calibri" w:hAnsi="Sakkal Majalla" w:cs="Sakkal Majalla"/>
          <w:b/>
          <w:bCs/>
          <w:sz w:val="28"/>
          <w:szCs w:val="28"/>
          <w:lang w:bidi="ar-EG"/>
        </w:rPr>
      </w:pPr>
      <w:r w:rsidRPr="00A16574">
        <w:rPr>
          <w:rFonts w:ascii="Sakkal Majalla" w:eastAsia="Calibri" w:hAnsi="Sakkal Majalla" w:cs="Sakkal Majalla"/>
          <w:b/>
          <w:bCs/>
          <w:sz w:val="28"/>
          <w:szCs w:val="28"/>
          <w:lang w:bidi="ar-EG"/>
        </w:rPr>
        <w:lastRenderedPageBreak/>
        <w:t xml:space="preserve">  </w:t>
      </w:r>
      <w:r w:rsidR="00F71E4C" w:rsidRPr="00A16574">
        <w:rPr>
          <w:rFonts w:ascii="Calibri" w:eastAsia="Calibri" w:hAnsi="Calibri" w:cs="Arial"/>
          <w:noProof/>
        </w:rPr>
        <w:drawing>
          <wp:anchor distT="0" distB="0" distL="114300" distR="114300" simplePos="0" relativeHeight="251682816" behindDoc="0" locked="0" layoutInCell="1" allowOverlap="1" wp14:anchorId="1136BE66" wp14:editId="61A59CC0">
            <wp:simplePos x="0" y="0"/>
            <wp:positionH relativeFrom="margin">
              <wp:posOffset>-384127</wp:posOffset>
            </wp:positionH>
            <wp:positionV relativeFrom="margin">
              <wp:posOffset>-698464</wp:posOffset>
            </wp:positionV>
            <wp:extent cx="2226945" cy="1343660"/>
            <wp:effectExtent l="0" t="0" r="1905" b="8890"/>
            <wp:wrapSquare wrapText="bothSides"/>
            <wp:docPr id="108676313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26945" cy="1343660"/>
                    </a:xfrm>
                    <a:prstGeom prst="rect">
                      <a:avLst/>
                    </a:prstGeom>
                    <a:noFill/>
                  </pic:spPr>
                </pic:pic>
              </a:graphicData>
            </a:graphic>
            <wp14:sizeRelH relativeFrom="page">
              <wp14:pctWidth>0</wp14:pctWidth>
            </wp14:sizeRelH>
            <wp14:sizeRelV relativeFrom="page">
              <wp14:pctHeight>0</wp14:pctHeight>
            </wp14:sizeRelV>
          </wp:anchor>
        </w:drawing>
      </w:r>
    </w:p>
    <w:p w14:paraId="7195717E" w14:textId="031ADCB5" w:rsidR="00F71E4C" w:rsidRDefault="00F71E4C" w:rsidP="00F71E4C">
      <w:pPr>
        <w:bidi/>
        <w:spacing w:line="256" w:lineRule="auto"/>
        <w:rPr>
          <w:rFonts w:ascii="Sakkal Majalla" w:eastAsia="Calibri" w:hAnsi="Sakkal Majalla" w:cs="Sakkal Majalla"/>
          <w:b/>
          <w:bCs/>
          <w:sz w:val="28"/>
          <w:szCs w:val="28"/>
          <w:lang w:bidi="ar-EG"/>
        </w:rPr>
      </w:pPr>
      <w:r w:rsidRPr="00A16574">
        <w:rPr>
          <w:rFonts w:ascii="Sakkal Majalla" w:eastAsia="Calibri" w:hAnsi="Sakkal Majalla" w:cs="Sakkal Majalla"/>
          <w:b/>
          <w:bCs/>
          <w:sz w:val="28"/>
          <w:szCs w:val="28"/>
          <w:rtl/>
          <w:lang w:bidi="ar-EG"/>
        </w:rPr>
        <w:t xml:space="preserve">جامعة ميدأوشن </w:t>
      </w:r>
    </w:p>
    <w:p w14:paraId="7DEA3E1D" w14:textId="069DDF8A" w:rsidR="000D6677" w:rsidRPr="00A16574" w:rsidRDefault="000D6677" w:rsidP="00F71E4C">
      <w:pPr>
        <w:bidi/>
        <w:spacing w:line="256" w:lineRule="auto"/>
        <w:rPr>
          <w:rFonts w:ascii="Sakkal Majalla" w:eastAsia="Calibri" w:hAnsi="Sakkal Majalla" w:cs="Sakkal Majalla"/>
          <w:b/>
          <w:bCs/>
          <w:sz w:val="28"/>
          <w:szCs w:val="28"/>
          <w:lang w:bidi="ar-EG"/>
        </w:rPr>
      </w:pPr>
      <w:r w:rsidRPr="00A16574">
        <w:rPr>
          <w:rFonts w:ascii="Sakkal Majalla" w:eastAsia="Calibri" w:hAnsi="Sakkal Majalla" w:cs="Sakkal Majalla"/>
          <w:b/>
          <w:bCs/>
          <w:sz w:val="28"/>
          <w:szCs w:val="28"/>
          <w:rtl/>
          <w:lang w:bidi="ar-EG"/>
        </w:rPr>
        <w:t xml:space="preserve">كلية الإدارة </w:t>
      </w:r>
    </w:p>
    <w:p w14:paraId="1E5DECAD" w14:textId="77777777" w:rsidR="000D6677" w:rsidRPr="00A16574" w:rsidRDefault="000D6677" w:rsidP="000D6677">
      <w:pPr>
        <w:bidi/>
        <w:spacing w:line="256" w:lineRule="auto"/>
        <w:rPr>
          <w:rFonts w:ascii="Sakkal Majalla" w:eastAsia="Calibri" w:hAnsi="Sakkal Majalla" w:cs="Sakkal Majalla"/>
          <w:sz w:val="28"/>
          <w:szCs w:val="28"/>
          <w:lang w:val="en-SG" w:bidi="ar-EG"/>
        </w:rPr>
      </w:pPr>
      <w:r w:rsidRPr="00A16574">
        <w:rPr>
          <w:rFonts w:ascii="Sakkal Majalla" w:eastAsia="Calibri" w:hAnsi="Sakkal Majalla" w:cs="Sakkal Majalla"/>
          <w:b/>
          <w:bCs/>
          <w:sz w:val="28"/>
          <w:szCs w:val="28"/>
          <w:rtl/>
          <w:lang w:bidi="ar-EG"/>
        </w:rPr>
        <w:t>قسم / تخصص................</w:t>
      </w:r>
    </w:p>
    <w:p w14:paraId="144D725B" w14:textId="77777777" w:rsidR="000D6677" w:rsidRPr="00A16574" w:rsidRDefault="000D6677" w:rsidP="000D6677">
      <w:pPr>
        <w:bidi/>
        <w:spacing w:line="256" w:lineRule="auto"/>
        <w:rPr>
          <w:rFonts w:ascii="Sakkal Majalla" w:eastAsia="Calibri" w:hAnsi="Sakkal Majalla" w:cs="Sakkal Majalla"/>
          <w:sz w:val="28"/>
          <w:szCs w:val="28"/>
          <w:rtl/>
          <w:lang w:bidi="ar-EG"/>
        </w:rPr>
      </w:pPr>
    </w:p>
    <w:p w14:paraId="71DDFCE8" w14:textId="7DB1A89C" w:rsidR="000D6677" w:rsidRDefault="005964CD" w:rsidP="005964CD">
      <w:pPr>
        <w:bidi/>
        <w:spacing w:line="256" w:lineRule="auto"/>
        <w:jc w:val="center"/>
        <w:rPr>
          <w:rFonts w:ascii="Times New Roman" w:hAnsi="Times New Roman" w:cs="Times New Roman"/>
          <w:b/>
          <w:bCs/>
          <w:sz w:val="24"/>
          <w:szCs w:val="24"/>
        </w:rPr>
      </w:pPr>
      <w:r w:rsidRPr="005964CD">
        <w:rPr>
          <w:rFonts w:ascii="Times New Roman" w:hAnsi="Times New Roman" w:cs="Times New Roman"/>
          <w:b/>
          <w:bCs/>
          <w:sz w:val="24"/>
          <w:szCs w:val="24"/>
          <w:rtl/>
        </w:rPr>
        <w:t>دمج مبادئ الحوكمة البيئية والاجتماعية والمؤسسية في إدارة المخاطر: تعزيز الاستدامة والحوكمة المؤسسية</w:t>
      </w:r>
    </w:p>
    <w:p w14:paraId="0F0D6C6B" w14:textId="77777777" w:rsidR="005964CD" w:rsidRDefault="005964CD" w:rsidP="005964CD">
      <w:pPr>
        <w:bidi/>
        <w:spacing w:line="256" w:lineRule="auto"/>
        <w:jc w:val="center"/>
        <w:rPr>
          <w:rFonts w:ascii="Times New Roman" w:hAnsi="Times New Roman" w:cs="Times New Roman"/>
          <w:b/>
          <w:bCs/>
          <w:sz w:val="24"/>
          <w:szCs w:val="24"/>
        </w:rPr>
      </w:pPr>
    </w:p>
    <w:p w14:paraId="06E9C6B0" w14:textId="77777777" w:rsidR="005964CD" w:rsidRPr="00A16574" w:rsidRDefault="005964CD" w:rsidP="005964CD">
      <w:pPr>
        <w:bidi/>
        <w:spacing w:line="256" w:lineRule="auto"/>
        <w:jc w:val="center"/>
        <w:rPr>
          <w:rFonts w:ascii="Sakkal Majalla" w:eastAsia="Calibri" w:hAnsi="Sakkal Majalla" w:cs="Sakkal Majalla"/>
          <w:sz w:val="28"/>
          <w:szCs w:val="28"/>
          <w:rtl/>
          <w:lang w:bidi="ar-EG"/>
        </w:rPr>
      </w:pPr>
    </w:p>
    <w:p w14:paraId="6F777FA0" w14:textId="1D8DAE80" w:rsidR="000D6677" w:rsidRDefault="00F71E4C" w:rsidP="00F71E4C">
      <w:pPr>
        <w:bidi/>
        <w:spacing w:line="256"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ثامر عبدالرزاق العباسي</w:t>
      </w:r>
    </w:p>
    <w:p w14:paraId="50A72614" w14:textId="77777777" w:rsidR="00F71E4C" w:rsidRPr="00A16574" w:rsidRDefault="00F71E4C" w:rsidP="00F71E4C">
      <w:pPr>
        <w:bidi/>
        <w:spacing w:line="256" w:lineRule="auto"/>
        <w:jc w:val="center"/>
        <w:rPr>
          <w:rFonts w:ascii="Sakkal Majalla" w:eastAsia="Calibri" w:hAnsi="Sakkal Majalla" w:cs="Sakkal Majalla"/>
          <w:b/>
          <w:bCs/>
          <w:sz w:val="28"/>
          <w:szCs w:val="28"/>
          <w:rtl/>
        </w:rPr>
      </w:pPr>
    </w:p>
    <w:p w14:paraId="56681289" w14:textId="77777777" w:rsidR="000D6677" w:rsidRDefault="000D6677" w:rsidP="000D6677">
      <w:pPr>
        <w:bidi/>
        <w:spacing w:line="256" w:lineRule="auto"/>
        <w:jc w:val="center"/>
        <w:rPr>
          <w:rFonts w:ascii="Sakkal Majalla" w:eastAsia="Calibri" w:hAnsi="Sakkal Majalla" w:cs="Sakkal Majalla"/>
          <w:b/>
          <w:bCs/>
          <w:sz w:val="28"/>
          <w:szCs w:val="28"/>
          <w:rtl/>
          <w:lang w:bidi="ar-EG"/>
        </w:rPr>
      </w:pPr>
      <w:r w:rsidRPr="00A16574">
        <w:rPr>
          <w:rFonts w:ascii="Sakkal Majalla" w:eastAsia="Calibri" w:hAnsi="Sakkal Majalla" w:cs="Sakkal Majalla"/>
          <w:b/>
          <w:bCs/>
          <w:sz w:val="28"/>
          <w:szCs w:val="28"/>
          <w:rtl/>
          <w:lang w:bidi="ar-EG"/>
        </w:rPr>
        <w:t>إشراف/</w:t>
      </w:r>
    </w:p>
    <w:p w14:paraId="500A8027" w14:textId="77777777" w:rsidR="00F71E4C" w:rsidRPr="00A16574" w:rsidRDefault="00F71E4C" w:rsidP="00F71E4C">
      <w:pPr>
        <w:bidi/>
        <w:spacing w:line="256" w:lineRule="auto"/>
        <w:jc w:val="center"/>
        <w:rPr>
          <w:rFonts w:ascii="Sakkal Majalla" w:eastAsia="Calibri" w:hAnsi="Sakkal Majalla" w:cs="Sakkal Majalla"/>
          <w:b/>
          <w:bCs/>
          <w:sz w:val="28"/>
          <w:szCs w:val="28"/>
          <w:rtl/>
          <w:lang w:bidi="ar-EG"/>
        </w:rPr>
      </w:pPr>
    </w:p>
    <w:p w14:paraId="4E5705CE" w14:textId="2112DEBB" w:rsidR="00F71E4C" w:rsidRPr="00A16574" w:rsidRDefault="000D6677" w:rsidP="00F71E4C">
      <w:pPr>
        <w:bidi/>
        <w:spacing w:line="256" w:lineRule="auto"/>
        <w:jc w:val="center"/>
        <w:rPr>
          <w:rFonts w:ascii="Sakkal Majalla" w:eastAsia="Calibri" w:hAnsi="Sakkal Majalla" w:cs="Sakkal Majalla"/>
          <w:b/>
          <w:bCs/>
          <w:sz w:val="28"/>
          <w:szCs w:val="28"/>
          <w:rtl/>
          <w:lang w:bidi="ar-EG"/>
        </w:rPr>
      </w:pPr>
      <w:r w:rsidRPr="00A16574">
        <w:rPr>
          <w:rFonts w:ascii="Sakkal Majalla" w:eastAsia="Calibri" w:hAnsi="Sakkal Majalla" w:cs="Sakkal Majalla"/>
          <w:b/>
          <w:bCs/>
          <w:sz w:val="28"/>
          <w:szCs w:val="28"/>
          <w:rtl/>
          <w:lang w:bidi="ar-EG"/>
        </w:rPr>
        <w:t>د.الفيصل عبد الحميد</w:t>
      </w:r>
      <w:r w:rsidR="00F71E4C">
        <w:rPr>
          <w:rFonts w:ascii="Sakkal Majalla" w:eastAsia="Calibri" w:hAnsi="Sakkal Majalla" w:cs="Sakkal Majalla" w:hint="cs"/>
          <w:b/>
          <w:bCs/>
          <w:sz w:val="28"/>
          <w:szCs w:val="28"/>
          <w:rtl/>
          <w:lang w:bidi="ar-EG"/>
        </w:rPr>
        <w:t xml:space="preserve">                                                                                          </w:t>
      </w:r>
      <w:r w:rsidR="00F71E4C" w:rsidRPr="00A16574">
        <w:rPr>
          <w:rFonts w:ascii="Sakkal Majalla" w:eastAsia="Calibri" w:hAnsi="Sakkal Majalla" w:cs="Sakkal Majalla"/>
          <w:b/>
          <w:bCs/>
          <w:sz w:val="28"/>
          <w:szCs w:val="28"/>
          <w:rtl/>
          <w:lang w:bidi="ar-EG"/>
        </w:rPr>
        <w:t>د.فايز جراد</w:t>
      </w:r>
    </w:p>
    <w:p w14:paraId="0CB4BB16" w14:textId="6BF75F8F" w:rsidR="000D6677" w:rsidRDefault="000D6677" w:rsidP="00F71E4C">
      <w:pPr>
        <w:bidi/>
        <w:spacing w:line="256" w:lineRule="auto"/>
        <w:jc w:val="center"/>
        <w:rPr>
          <w:rFonts w:ascii="Sakkal Majalla" w:eastAsia="Calibri" w:hAnsi="Sakkal Majalla" w:cs="Sakkal Majalla"/>
          <w:b/>
          <w:bCs/>
          <w:sz w:val="28"/>
          <w:szCs w:val="28"/>
          <w:lang w:bidi="ar-EG"/>
        </w:rPr>
      </w:pPr>
      <w:r w:rsidRPr="00A16574">
        <w:rPr>
          <w:rFonts w:ascii="Sakkal Majalla" w:eastAsia="Calibri" w:hAnsi="Sakkal Majalla" w:cs="Sakkal Majalla"/>
          <w:b/>
          <w:bCs/>
          <w:sz w:val="28"/>
          <w:szCs w:val="28"/>
          <w:rtl/>
          <w:lang w:bidi="ar-EG"/>
        </w:rPr>
        <w:br/>
      </w:r>
    </w:p>
    <w:p w14:paraId="04C3E6B5" w14:textId="77777777" w:rsidR="005964CD" w:rsidRDefault="005964CD" w:rsidP="005964CD">
      <w:pPr>
        <w:bidi/>
        <w:spacing w:line="256" w:lineRule="auto"/>
        <w:jc w:val="center"/>
        <w:rPr>
          <w:rFonts w:ascii="Sakkal Majalla" w:eastAsia="Calibri" w:hAnsi="Sakkal Majalla" w:cs="Sakkal Majalla"/>
          <w:b/>
          <w:bCs/>
          <w:sz w:val="28"/>
          <w:szCs w:val="28"/>
          <w:lang w:bidi="ar-EG"/>
        </w:rPr>
      </w:pPr>
    </w:p>
    <w:p w14:paraId="5C237318" w14:textId="77777777" w:rsidR="005964CD" w:rsidRDefault="005964CD" w:rsidP="005964CD">
      <w:pPr>
        <w:bidi/>
        <w:spacing w:line="256" w:lineRule="auto"/>
        <w:jc w:val="center"/>
        <w:rPr>
          <w:rFonts w:ascii="Sakkal Majalla" w:eastAsia="Calibri" w:hAnsi="Sakkal Majalla" w:cs="Sakkal Majalla"/>
          <w:b/>
          <w:bCs/>
          <w:sz w:val="28"/>
          <w:szCs w:val="28"/>
          <w:lang w:bidi="ar-EG"/>
        </w:rPr>
      </w:pPr>
    </w:p>
    <w:p w14:paraId="32837AA7" w14:textId="77777777" w:rsidR="005964CD" w:rsidRDefault="005964CD" w:rsidP="005964CD">
      <w:pPr>
        <w:bidi/>
        <w:spacing w:line="256" w:lineRule="auto"/>
        <w:jc w:val="center"/>
        <w:rPr>
          <w:rFonts w:ascii="Sakkal Majalla" w:eastAsia="Calibri" w:hAnsi="Sakkal Majalla" w:cs="Sakkal Majalla"/>
          <w:b/>
          <w:bCs/>
          <w:sz w:val="28"/>
          <w:szCs w:val="28"/>
          <w:rtl/>
          <w:lang w:bidi="ar-EG"/>
        </w:rPr>
      </w:pPr>
    </w:p>
    <w:p w14:paraId="2059290F" w14:textId="77777777" w:rsidR="00F71E4C" w:rsidRDefault="00F71E4C" w:rsidP="00F71E4C">
      <w:pPr>
        <w:bidi/>
        <w:spacing w:line="256" w:lineRule="auto"/>
        <w:jc w:val="center"/>
        <w:rPr>
          <w:rFonts w:ascii="Sakkal Majalla" w:eastAsia="Calibri" w:hAnsi="Sakkal Majalla" w:cs="Sakkal Majalla"/>
          <w:b/>
          <w:bCs/>
          <w:sz w:val="28"/>
          <w:szCs w:val="28"/>
          <w:rtl/>
          <w:lang w:bidi="ar-EG"/>
        </w:rPr>
      </w:pPr>
    </w:p>
    <w:p w14:paraId="7868C9E9" w14:textId="77777777" w:rsidR="00F71E4C" w:rsidRPr="00A16574" w:rsidRDefault="00F71E4C" w:rsidP="00F71E4C">
      <w:pPr>
        <w:bidi/>
        <w:spacing w:line="256" w:lineRule="auto"/>
        <w:jc w:val="center"/>
        <w:rPr>
          <w:rFonts w:ascii="Sakkal Majalla" w:eastAsia="Calibri" w:hAnsi="Sakkal Majalla" w:cs="Sakkal Majalla"/>
          <w:b/>
          <w:bCs/>
          <w:sz w:val="28"/>
          <w:szCs w:val="28"/>
          <w:rtl/>
          <w:lang w:bidi="ar-EG"/>
        </w:rPr>
      </w:pPr>
    </w:p>
    <w:p w14:paraId="0C79F717" w14:textId="77777777" w:rsidR="000D6677" w:rsidRPr="00A16574" w:rsidRDefault="000D6677" w:rsidP="000D6677">
      <w:pPr>
        <w:bidi/>
        <w:spacing w:line="256" w:lineRule="auto"/>
        <w:jc w:val="center"/>
        <w:rPr>
          <w:rFonts w:ascii="Sakkal Majalla" w:eastAsia="Calibri" w:hAnsi="Sakkal Majalla" w:cs="Sakkal Majalla"/>
          <w:b/>
          <w:bCs/>
          <w:sz w:val="28"/>
          <w:szCs w:val="28"/>
          <w:rtl/>
          <w:lang w:bidi="ar-EG"/>
        </w:rPr>
      </w:pPr>
      <w:r w:rsidRPr="00A16574">
        <w:rPr>
          <w:rFonts w:ascii="Sakkal Majalla" w:eastAsia="Calibri" w:hAnsi="Sakkal Majalla" w:cs="Sakkal Majalla"/>
          <w:b/>
          <w:bCs/>
          <w:sz w:val="28"/>
          <w:szCs w:val="28"/>
          <w:rtl/>
          <w:lang w:bidi="ar-EG"/>
        </w:rPr>
        <w:t>العام الدراسي:</w:t>
      </w:r>
    </w:p>
    <w:p w14:paraId="3E08D465" w14:textId="77777777" w:rsidR="000D6677" w:rsidRDefault="000D6677" w:rsidP="000D6677">
      <w:pPr>
        <w:bidi/>
        <w:spacing w:line="256" w:lineRule="auto"/>
        <w:jc w:val="center"/>
        <w:rPr>
          <w:rFonts w:ascii="Sakkal Majalla" w:eastAsia="Calibri" w:hAnsi="Sakkal Majalla" w:cs="Sakkal Majalla"/>
          <w:b/>
          <w:bCs/>
          <w:sz w:val="28"/>
          <w:szCs w:val="28"/>
          <w:rtl/>
          <w:lang w:bidi="ar-EG"/>
        </w:rPr>
      </w:pPr>
      <w:r w:rsidRPr="00A16574">
        <w:rPr>
          <w:rFonts w:ascii="Sakkal Majalla" w:eastAsia="Calibri" w:hAnsi="Sakkal Majalla" w:cs="Sakkal Majalla"/>
          <w:b/>
          <w:bCs/>
          <w:sz w:val="28"/>
          <w:szCs w:val="28"/>
          <w:rtl/>
          <w:lang w:bidi="ar-EG"/>
        </w:rPr>
        <w:t>2024</w:t>
      </w:r>
    </w:p>
    <w:p w14:paraId="683729CE" w14:textId="77777777" w:rsidR="00F71E4C" w:rsidRPr="00A16574" w:rsidRDefault="00F71E4C" w:rsidP="005964CD">
      <w:pPr>
        <w:bidi/>
        <w:spacing w:line="256" w:lineRule="auto"/>
        <w:rPr>
          <w:rFonts w:ascii="Sakkal Majalla" w:eastAsia="Calibri" w:hAnsi="Sakkal Majalla" w:cs="Sakkal Majalla"/>
          <w:b/>
          <w:bCs/>
          <w:sz w:val="28"/>
          <w:szCs w:val="28"/>
          <w:rtl/>
          <w:lang w:bidi="ar-EG"/>
        </w:rPr>
      </w:pPr>
    </w:p>
    <w:p w14:paraId="20658104" w14:textId="142B5E06" w:rsidR="00447A04" w:rsidRPr="00FF3475" w:rsidRDefault="00447A04" w:rsidP="000C4CBD">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kern w:val="2"/>
          <w:sz w:val="22"/>
          <w:szCs w:val="22"/>
          <w14:ligatures w14:val="standardContextual"/>
        </w:rPr>
        <w:id w:val="-253056487"/>
        <w:docPartObj>
          <w:docPartGallery w:val="Table of Contents"/>
          <w:docPartUnique/>
        </w:docPartObj>
      </w:sdtPr>
      <w:sdtEndPr>
        <w:rPr>
          <w:b/>
          <w:bCs/>
          <w:noProof/>
        </w:rPr>
      </w:sdtEndPr>
      <w:sdtContent>
        <w:p w14:paraId="5BAC9031" w14:textId="6E90F66A" w:rsidR="00CE696F" w:rsidRPr="00FF3475" w:rsidRDefault="00CE696F">
          <w:pPr>
            <w:pStyle w:val="TOCHeading"/>
            <w:rPr>
              <w:rFonts w:ascii="Times New Roman" w:hAnsi="Times New Roman" w:cs="Times New Roman"/>
              <w:color w:val="auto"/>
            </w:rPr>
          </w:pPr>
          <w:r w:rsidRPr="00FF3475">
            <w:rPr>
              <w:rFonts w:ascii="Times New Roman" w:hAnsi="Times New Roman" w:cs="Times New Roman"/>
              <w:color w:val="auto"/>
            </w:rPr>
            <w:t>Contents</w:t>
          </w:r>
        </w:p>
        <w:p w14:paraId="45BB76C7" w14:textId="486BC6FE" w:rsidR="00DE0EE2" w:rsidRDefault="00CE696F">
          <w:pPr>
            <w:pStyle w:val="TOC1"/>
            <w:tabs>
              <w:tab w:val="right" w:leader="dot" w:pos="9350"/>
            </w:tabs>
            <w:rPr>
              <w:rFonts w:eastAsiaTheme="minorEastAsia"/>
              <w:noProof/>
              <w:sz w:val="24"/>
              <w:szCs w:val="24"/>
              <w:lang w:val="en-SG" w:eastAsia="en-SG"/>
            </w:rPr>
          </w:pPr>
          <w:r w:rsidRPr="00FF3475">
            <w:rPr>
              <w:rFonts w:ascii="Times New Roman" w:hAnsi="Times New Roman" w:cs="Times New Roman"/>
            </w:rPr>
            <w:fldChar w:fldCharType="begin"/>
          </w:r>
          <w:r w:rsidRPr="00FF3475">
            <w:rPr>
              <w:rFonts w:ascii="Times New Roman" w:hAnsi="Times New Roman" w:cs="Times New Roman"/>
            </w:rPr>
            <w:instrText xml:space="preserve"> TOC \o "1-3" \h \z \u </w:instrText>
          </w:r>
          <w:r w:rsidRPr="00FF3475">
            <w:rPr>
              <w:rFonts w:ascii="Times New Roman" w:hAnsi="Times New Roman" w:cs="Times New Roman"/>
            </w:rPr>
            <w:fldChar w:fldCharType="separate"/>
          </w:r>
          <w:hyperlink w:anchor="_Toc180406320" w:history="1">
            <w:r w:rsidR="00DE0EE2" w:rsidRPr="001F37C0">
              <w:rPr>
                <w:rStyle w:val="Hyperlink"/>
                <w:rFonts w:ascii="Times New Roman" w:hAnsi="Times New Roman" w:cs="Times New Roman"/>
                <w:noProof/>
              </w:rPr>
              <w:t>Chapter 1: Introduction</w:t>
            </w:r>
            <w:r w:rsidR="00DE0EE2">
              <w:rPr>
                <w:noProof/>
                <w:webHidden/>
              </w:rPr>
              <w:tab/>
            </w:r>
            <w:r w:rsidR="00DE0EE2">
              <w:rPr>
                <w:noProof/>
                <w:webHidden/>
              </w:rPr>
              <w:fldChar w:fldCharType="begin"/>
            </w:r>
            <w:r w:rsidR="00DE0EE2">
              <w:rPr>
                <w:noProof/>
                <w:webHidden/>
              </w:rPr>
              <w:instrText xml:space="preserve"> PAGEREF _Toc180406320 \h </w:instrText>
            </w:r>
            <w:r w:rsidR="00DE0EE2">
              <w:rPr>
                <w:noProof/>
                <w:webHidden/>
              </w:rPr>
            </w:r>
            <w:r w:rsidR="00DE0EE2">
              <w:rPr>
                <w:noProof/>
                <w:webHidden/>
              </w:rPr>
              <w:fldChar w:fldCharType="separate"/>
            </w:r>
            <w:r w:rsidR="00DE0EE2">
              <w:rPr>
                <w:noProof/>
                <w:webHidden/>
              </w:rPr>
              <w:t>4</w:t>
            </w:r>
            <w:r w:rsidR="00DE0EE2">
              <w:rPr>
                <w:noProof/>
                <w:webHidden/>
              </w:rPr>
              <w:fldChar w:fldCharType="end"/>
            </w:r>
          </w:hyperlink>
        </w:p>
        <w:p w14:paraId="43C89AB1" w14:textId="6CE53F6F" w:rsidR="00DE0EE2" w:rsidRDefault="00DE0EE2">
          <w:pPr>
            <w:pStyle w:val="TOC2"/>
            <w:tabs>
              <w:tab w:val="right" w:leader="dot" w:pos="9350"/>
            </w:tabs>
            <w:rPr>
              <w:rFonts w:eastAsiaTheme="minorEastAsia"/>
              <w:noProof/>
              <w:sz w:val="24"/>
              <w:szCs w:val="24"/>
              <w:lang w:val="en-SG" w:eastAsia="en-SG"/>
            </w:rPr>
          </w:pPr>
          <w:hyperlink w:anchor="_Toc180406321" w:history="1">
            <w:r w:rsidRPr="001F37C0">
              <w:rPr>
                <w:rStyle w:val="Hyperlink"/>
                <w:rFonts w:ascii="Times New Roman" w:hAnsi="Times New Roman" w:cs="Times New Roman"/>
                <w:noProof/>
              </w:rPr>
              <w:t>1.1 Background of the Study</w:t>
            </w:r>
            <w:r>
              <w:rPr>
                <w:noProof/>
                <w:webHidden/>
              </w:rPr>
              <w:tab/>
            </w:r>
            <w:r>
              <w:rPr>
                <w:noProof/>
                <w:webHidden/>
              </w:rPr>
              <w:fldChar w:fldCharType="begin"/>
            </w:r>
            <w:r>
              <w:rPr>
                <w:noProof/>
                <w:webHidden/>
              </w:rPr>
              <w:instrText xml:space="preserve"> PAGEREF _Toc180406321 \h </w:instrText>
            </w:r>
            <w:r>
              <w:rPr>
                <w:noProof/>
                <w:webHidden/>
              </w:rPr>
            </w:r>
            <w:r>
              <w:rPr>
                <w:noProof/>
                <w:webHidden/>
              </w:rPr>
              <w:fldChar w:fldCharType="separate"/>
            </w:r>
            <w:r>
              <w:rPr>
                <w:noProof/>
                <w:webHidden/>
              </w:rPr>
              <w:t>4</w:t>
            </w:r>
            <w:r>
              <w:rPr>
                <w:noProof/>
                <w:webHidden/>
              </w:rPr>
              <w:fldChar w:fldCharType="end"/>
            </w:r>
          </w:hyperlink>
        </w:p>
        <w:p w14:paraId="01E34F72" w14:textId="56CE9FAB" w:rsidR="00DE0EE2" w:rsidRDefault="00DE0EE2">
          <w:pPr>
            <w:pStyle w:val="TOC2"/>
            <w:tabs>
              <w:tab w:val="right" w:leader="dot" w:pos="9350"/>
            </w:tabs>
            <w:rPr>
              <w:rFonts w:eastAsiaTheme="minorEastAsia"/>
              <w:noProof/>
              <w:sz w:val="24"/>
              <w:szCs w:val="24"/>
              <w:lang w:val="en-SG" w:eastAsia="en-SG"/>
            </w:rPr>
          </w:pPr>
          <w:hyperlink w:anchor="_Toc180406322" w:history="1">
            <w:r w:rsidRPr="001F37C0">
              <w:rPr>
                <w:rStyle w:val="Hyperlink"/>
                <w:rFonts w:ascii="Times New Roman" w:hAnsi="Times New Roman" w:cs="Times New Roman"/>
                <w:noProof/>
              </w:rPr>
              <w:t>1.2 Problem Statement</w:t>
            </w:r>
            <w:r>
              <w:rPr>
                <w:noProof/>
                <w:webHidden/>
              </w:rPr>
              <w:tab/>
            </w:r>
            <w:r>
              <w:rPr>
                <w:noProof/>
                <w:webHidden/>
              </w:rPr>
              <w:fldChar w:fldCharType="begin"/>
            </w:r>
            <w:r>
              <w:rPr>
                <w:noProof/>
                <w:webHidden/>
              </w:rPr>
              <w:instrText xml:space="preserve"> PAGEREF _Toc180406322 \h </w:instrText>
            </w:r>
            <w:r>
              <w:rPr>
                <w:noProof/>
                <w:webHidden/>
              </w:rPr>
            </w:r>
            <w:r>
              <w:rPr>
                <w:noProof/>
                <w:webHidden/>
              </w:rPr>
              <w:fldChar w:fldCharType="separate"/>
            </w:r>
            <w:r>
              <w:rPr>
                <w:noProof/>
                <w:webHidden/>
              </w:rPr>
              <w:t>6</w:t>
            </w:r>
            <w:r>
              <w:rPr>
                <w:noProof/>
                <w:webHidden/>
              </w:rPr>
              <w:fldChar w:fldCharType="end"/>
            </w:r>
          </w:hyperlink>
        </w:p>
        <w:p w14:paraId="086B8569" w14:textId="2608F7B0" w:rsidR="00DE0EE2" w:rsidRDefault="00DE0EE2">
          <w:pPr>
            <w:pStyle w:val="TOC2"/>
            <w:tabs>
              <w:tab w:val="right" w:leader="dot" w:pos="9350"/>
            </w:tabs>
            <w:rPr>
              <w:rFonts w:eastAsiaTheme="minorEastAsia"/>
              <w:noProof/>
              <w:sz w:val="24"/>
              <w:szCs w:val="24"/>
              <w:lang w:val="en-SG" w:eastAsia="en-SG"/>
            </w:rPr>
          </w:pPr>
          <w:hyperlink w:anchor="_Toc180406323" w:history="1">
            <w:r w:rsidRPr="001F37C0">
              <w:rPr>
                <w:rStyle w:val="Hyperlink"/>
                <w:rFonts w:ascii="Times New Roman" w:hAnsi="Times New Roman" w:cs="Times New Roman"/>
                <w:noProof/>
              </w:rPr>
              <w:t>1.3 Research Objectives</w:t>
            </w:r>
            <w:r>
              <w:rPr>
                <w:noProof/>
                <w:webHidden/>
              </w:rPr>
              <w:tab/>
            </w:r>
            <w:r>
              <w:rPr>
                <w:noProof/>
                <w:webHidden/>
              </w:rPr>
              <w:fldChar w:fldCharType="begin"/>
            </w:r>
            <w:r>
              <w:rPr>
                <w:noProof/>
                <w:webHidden/>
              </w:rPr>
              <w:instrText xml:space="preserve"> PAGEREF _Toc180406323 \h </w:instrText>
            </w:r>
            <w:r>
              <w:rPr>
                <w:noProof/>
                <w:webHidden/>
              </w:rPr>
            </w:r>
            <w:r>
              <w:rPr>
                <w:noProof/>
                <w:webHidden/>
              </w:rPr>
              <w:fldChar w:fldCharType="separate"/>
            </w:r>
            <w:r>
              <w:rPr>
                <w:noProof/>
                <w:webHidden/>
              </w:rPr>
              <w:t>6</w:t>
            </w:r>
            <w:r>
              <w:rPr>
                <w:noProof/>
                <w:webHidden/>
              </w:rPr>
              <w:fldChar w:fldCharType="end"/>
            </w:r>
          </w:hyperlink>
        </w:p>
        <w:p w14:paraId="1FE9BB15" w14:textId="2D69A959" w:rsidR="00DE0EE2" w:rsidRDefault="00DE0EE2">
          <w:pPr>
            <w:pStyle w:val="TOC2"/>
            <w:tabs>
              <w:tab w:val="right" w:leader="dot" w:pos="9350"/>
            </w:tabs>
            <w:rPr>
              <w:rFonts w:eastAsiaTheme="minorEastAsia"/>
              <w:noProof/>
              <w:sz w:val="24"/>
              <w:szCs w:val="24"/>
              <w:lang w:val="en-SG" w:eastAsia="en-SG"/>
            </w:rPr>
          </w:pPr>
          <w:hyperlink w:anchor="_Toc180406324" w:history="1">
            <w:r w:rsidRPr="001F37C0">
              <w:rPr>
                <w:rStyle w:val="Hyperlink"/>
                <w:rFonts w:ascii="Times New Roman" w:hAnsi="Times New Roman" w:cs="Times New Roman"/>
                <w:noProof/>
              </w:rPr>
              <w:t>1.4 Research Questions</w:t>
            </w:r>
            <w:r>
              <w:rPr>
                <w:noProof/>
                <w:webHidden/>
              </w:rPr>
              <w:tab/>
            </w:r>
            <w:r>
              <w:rPr>
                <w:noProof/>
                <w:webHidden/>
              </w:rPr>
              <w:fldChar w:fldCharType="begin"/>
            </w:r>
            <w:r>
              <w:rPr>
                <w:noProof/>
                <w:webHidden/>
              </w:rPr>
              <w:instrText xml:space="preserve"> PAGEREF _Toc180406324 \h </w:instrText>
            </w:r>
            <w:r>
              <w:rPr>
                <w:noProof/>
                <w:webHidden/>
              </w:rPr>
            </w:r>
            <w:r>
              <w:rPr>
                <w:noProof/>
                <w:webHidden/>
              </w:rPr>
              <w:fldChar w:fldCharType="separate"/>
            </w:r>
            <w:r>
              <w:rPr>
                <w:noProof/>
                <w:webHidden/>
              </w:rPr>
              <w:t>7</w:t>
            </w:r>
            <w:r>
              <w:rPr>
                <w:noProof/>
                <w:webHidden/>
              </w:rPr>
              <w:fldChar w:fldCharType="end"/>
            </w:r>
          </w:hyperlink>
        </w:p>
        <w:p w14:paraId="64BAC5FF" w14:textId="0275A189" w:rsidR="00DE0EE2" w:rsidRDefault="00DE0EE2">
          <w:pPr>
            <w:pStyle w:val="TOC2"/>
            <w:tabs>
              <w:tab w:val="right" w:leader="dot" w:pos="9350"/>
            </w:tabs>
            <w:rPr>
              <w:rFonts w:eastAsiaTheme="minorEastAsia"/>
              <w:noProof/>
              <w:sz w:val="24"/>
              <w:szCs w:val="24"/>
              <w:lang w:val="en-SG" w:eastAsia="en-SG"/>
            </w:rPr>
          </w:pPr>
          <w:hyperlink w:anchor="_Toc180406325" w:history="1">
            <w:r w:rsidRPr="001F37C0">
              <w:rPr>
                <w:rStyle w:val="Hyperlink"/>
                <w:rFonts w:ascii="Times New Roman" w:hAnsi="Times New Roman" w:cs="Times New Roman"/>
                <w:noProof/>
              </w:rPr>
              <w:t>1.5 Significance of the Study</w:t>
            </w:r>
            <w:r>
              <w:rPr>
                <w:noProof/>
                <w:webHidden/>
              </w:rPr>
              <w:tab/>
            </w:r>
            <w:r>
              <w:rPr>
                <w:noProof/>
                <w:webHidden/>
              </w:rPr>
              <w:fldChar w:fldCharType="begin"/>
            </w:r>
            <w:r>
              <w:rPr>
                <w:noProof/>
                <w:webHidden/>
              </w:rPr>
              <w:instrText xml:space="preserve"> PAGEREF _Toc180406325 \h </w:instrText>
            </w:r>
            <w:r>
              <w:rPr>
                <w:noProof/>
                <w:webHidden/>
              </w:rPr>
            </w:r>
            <w:r>
              <w:rPr>
                <w:noProof/>
                <w:webHidden/>
              </w:rPr>
              <w:fldChar w:fldCharType="separate"/>
            </w:r>
            <w:r>
              <w:rPr>
                <w:noProof/>
                <w:webHidden/>
              </w:rPr>
              <w:t>7</w:t>
            </w:r>
            <w:r>
              <w:rPr>
                <w:noProof/>
                <w:webHidden/>
              </w:rPr>
              <w:fldChar w:fldCharType="end"/>
            </w:r>
          </w:hyperlink>
        </w:p>
        <w:p w14:paraId="6C4AAD20" w14:textId="595230EB" w:rsidR="00DE0EE2" w:rsidRDefault="00DE0EE2">
          <w:pPr>
            <w:pStyle w:val="TOC2"/>
            <w:tabs>
              <w:tab w:val="right" w:leader="dot" w:pos="9350"/>
            </w:tabs>
            <w:rPr>
              <w:rFonts w:eastAsiaTheme="minorEastAsia"/>
              <w:noProof/>
              <w:sz w:val="24"/>
              <w:szCs w:val="24"/>
              <w:lang w:val="en-SG" w:eastAsia="en-SG"/>
            </w:rPr>
          </w:pPr>
          <w:hyperlink w:anchor="_Toc180406326" w:history="1">
            <w:r w:rsidRPr="001F37C0">
              <w:rPr>
                <w:rStyle w:val="Hyperlink"/>
                <w:rFonts w:ascii="Times New Roman" w:hAnsi="Times New Roman" w:cs="Times New Roman"/>
                <w:noProof/>
              </w:rPr>
              <w:t>1.6 Scope of the Study</w:t>
            </w:r>
            <w:r>
              <w:rPr>
                <w:noProof/>
                <w:webHidden/>
              </w:rPr>
              <w:tab/>
            </w:r>
            <w:r>
              <w:rPr>
                <w:noProof/>
                <w:webHidden/>
              </w:rPr>
              <w:fldChar w:fldCharType="begin"/>
            </w:r>
            <w:r>
              <w:rPr>
                <w:noProof/>
                <w:webHidden/>
              </w:rPr>
              <w:instrText xml:space="preserve"> PAGEREF _Toc180406326 \h </w:instrText>
            </w:r>
            <w:r>
              <w:rPr>
                <w:noProof/>
                <w:webHidden/>
              </w:rPr>
            </w:r>
            <w:r>
              <w:rPr>
                <w:noProof/>
                <w:webHidden/>
              </w:rPr>
              <w:fldChar w:fldCharType="separate"/>
            </w:r>
            <w:r>
              <w:rPr>
                <w:noProof/>
                <w:webHidden/>
              </w:rPr>
              <w:t>8</w:t>
            </w:r>
            <w:r>
              <w:rPr>
                <w:noProof/>
                <w:webHidden/>
              </w:rPr>
              <w:fldChar w:fldCharType="end"/>
            </w:r>
          </w:hyperlink>
        </w:p>
        <w:p w14:paraId="07E092EC" w14:textId="3D765F5D" w:rsidR="00DE0EE2" w:rsidRDefault="00DE0EE2">
          <w:pPr>
            <w:pStyle w:val="TOC2"/>
            <w:tabs>
              <w:tab w:val="right" w:leader="dot" w:pos="9350"/>
            </w:tabs>
            <w:rPr>
              <w:rFonts w:eastAsiaTheme="minorEastAsia"/>
              <w:noProof/>
              <w:sz w:val="24"/>
              <w:szCs w:val="24"/>
              <w:lang w:val="en-SG" w:eastAsia="en-SG"/>
            </w:rPr>
          </w:pPr>
          <w:hyperlink w:anchor="_Toc180406327" w:history="1">
            <w:r w:rsidRPr="001F37C0">
              <w:rPr>
                <w:rStyle w:val="Hyperlink"/>
                <w:rFonts w:ascii="Times New Roman" w:hAnsi="Times New Roman" w:cs="Times New Roman"/>
                <w:noProof/>
              </w:rPr>
              <w:t>1.7 Research Model</w:t>
            </w:r>
            <w:r>
              <w:rPr>
                <w:noProof/>
                <w:webHidden/>
              </w:rPr>
              <w:tab/>
            </w:r>
            <w:r>
              <w:rPr>
                <w:noProof/>
                <w:webHidden/>
              </w:rPr>
              <w:fldChar w:fldCharType="begin"/>
            </w:r>
            <w:r>
              <w:rPr>
                <w:noProof/>
                <w:webHidden/>
              </w:rPr>
              <w:instrText xml:space="preserve"> PAGEREF _Toc180406327 \h </w:instrText>
            </w:r>
            <w:r>
              <w:rPr>
                <w:noProof/>
                <w:webHidden/>
              </w:rPr>
            </w:r>
            <w:r>
              <w:rPr>
                <w:noProof/>
                <w:webHidden/>
              </w:rPr>
              <w:fldChar w:fldCharType="separate"/>
            </w:r>
            <w:r>
              <w:rPr>
                <w:noProof/>
                <w:webHidden/>
              </w:rPr>
              <w:t>8</w:t>
            </w:r>
            <w:r>
              <w:rPr>
                <w:noProof/>
                <w:webHidden/>
              </w:rPr>
              <w:fldChar w:fldCharType="end"/>
            </w:r>
          </w:hyperlink>
        </w:p>
        <w:p w14:paraId="4D712999" w14:textId="4E76E6D6" w:rsidR="00DE0EE2" w:rsidRDefault="00DE0EE2">
          <w:pPr>
            <w:pStyle w:val="TOC2"/>
            <w:tabs>
              <w:tab w:val="right" w:leader="dot" w:pos="9350"/>
            </w:tabs>
            <w:rPr>
              <w:rFonts w:eastAsiaTheme="minorEastAsia"/>
              <w:noProof/>
              <w:sz w:val="24"/>
              <w:szCs w:val="24"/>
              <w:lang w:val="en-SG" w:eastAsia="en-SG"/>
            </w:rPr>
          </w:pPr>
          <w:hyperlink w:anchor="_Toc180406328" w:history="1">
            <w:r w:rsidRPr="001F37C0">
              <w:rPr>
                <w:rStyle w:val="Hyperlink"/>
                <w:rFonts w:ascii="Times New Roman" w:hAnsi="Times New Roman" w:cs="Times New Roman"/>
                <w:noProof/>
              </w:rPr>
              <w:t>1.8 Structure of the Thesis</w:t>
            </w:r>
            <w:r>
              <w:rPr>
                <w:noProof/>
                <w:webHidden/>
              </w:rPr>
              <w:tab/>
            </w:r>
            <w:r>
              <w:rPr>
                <w:noProof/>
                <w:webHidden/>
              </w:rPr>
              <w:fldChar w:fldCharType="begin"/>
            </w:r>
            <w:r>
              <w:rPr>
                <w:noProof/>
                <w:webHidden/>
              </w:rPr>
              <w:instrText xml:space="preserve"> PAGEREF _Toc180406328 \h </w:instrText>
            </w:r>
            <w:r>
              <w:rPr>
                <w:noProof/>
                <w:webHidden/>
              </w:rPr>
            </w:r>
            <w:r>
              <w:rPr>
                <w:noProof/>
                <w:webHidden/>
              </w:rPr>
              <w:fldChar w:fldCharType="separate"/>
            </w:r>
            <w:r>
              <w:rPr>
                <w:noProof/>
                <w:webHidden/>
              </w:rPr>
              <w:t>9</w:t>
            </w:r>
            <w:r>
              <w:rPr>
                <w:noProof/>
                <w:webHidden/>
              </w:rPr>
              <w:fldChar w:fldCharType="end"/>
            </w:r>
          </w:hyperlink>
        </w:p>
        <w:p w14:paraId="09559F76" w14:textId="7F0EE595" w:rsidR="00DE0EE2" w:rsidRDefault="00DE0EE2">
          <w:pPr>
            <w:pStyle w:val="TOC1"/>
            <w:tabs>
              <w:tab w:val="right" w:leader="dot" w:pos="9350"/>
            </w:tabs>
            <w:rPr>
              <w:rFonts w:eastAsiaTheme="minorEastAsia"/>
              <w:noProof/>
              <w:sz w:val="24"/>
              <w:szCs w:val="24"/>
              <w:lang w:val="en-SG" w:eastAsia="en-SG"/>
            </w:rPr>
          </w:pPr>
          <w:hyperlink w:anchor="_Toc180406329" w:history="1">
            <w:r w:rsidRPr="001F37C0">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_Toc180406329 \h </w:instrText>
            </w:r>
            <w:r>
              <w:rPr>
                <w:noProof/>
                <w:webHidden/>
              </w:rPr>
            </w:r>
            <w:r>
              <w:rPr>
                <w:noProof/>
                <w:webHidden/>
              </w:rPr>
              <w:fldChar w:fldCharType="separate"/>
            </w:r>
            <w:r>
              <w:rPr>
                <w:noProof/>
                <w:webHidden/>
              </w:rPr>
              <w:t>10</w:t>
            </w:r>
            <w:r>
              <w:rPr>
                <w:noProof/>
                <w:webHidden/>
              </w:rPr>
              <w:fldChar w:fldCharType="end"/>
            </w:r>
          </w:hyperlink>
        </w:p>
        <w:p w14:paraId="34D33348" w14:textId="4F4840F8" w:rsidR="00DE0EE2" w:rsidRDefault="00DE0EE2">
          <w:pPr>
            <w:pStyle w:val="TOC2"/>
            <w:tabs>
              <w:tab w:val="right" w:leader="dot" w:pos="9350"/>
            </w:tabs>
            <w:rPr>
              <w:rFonts w:eastAsiaTheme="minorEastAsia"/>
              <w:noProof/>
              <w:sz w:val="24"/>
              <w:szCs w:val="24"/>
              <w:lang w:val="en-SG" w:eastAsia="en-SG"/>
            </w:rPr>
          </w:pPr>
          <w:hyperlink w:anchor="_Toc180406330" w:history="1">
            <w:r w:rsidRPr="001F37C0">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_Toc180406330 \h </w:instrText>
            </w:r>
            <w:r>
              <w:rPr>
                <w:noProof/>
                <w:webHidden/>
              </w:rPr>
            </w:r>
            <w:r>
              <w:rPr>
                <w:noProof/>
                <w:webHidden/>
              </w:rPr>
              <w:fldChar w:fldCharType="separate"/>
            </w:r>
            <w:r>
              <w:rPr>
                <w:noProof/>
                <w:webHidden/>
              </w:rPr>
              <w:t>10</w:t>
            </w:r>
            <w:r>
              <w:rPr>
                <w:noProof/>
                <w:webHidden/>
              </w:rPr>
              <w:fldChar w:fldCharType="end"/>
            </w:r>
          </w:hyperlink>
        </w:p>
        <w:p w14:paraId="25631A97" w14:textId="2B265312" w:rsidR="00DE0EE2" w:rsidRDefault="00DE0EE2">
          <w:pPr>
            <w:pStyle w:val="TOC2"/>
            <w:tabs>
              <w:tab w:val="right" w:leader="dot" w:pos="9350"/>
            </w:tabs>
            <w:rPr>
              <w:rFonts w:eastAsiaTheme="minorEastAsia"/>
              <w:noProof/>
              <w:sz w:val="24"/>
              <w:szCs w:val="24"/>
              <w:lang w:val="en-SG" w:eastAsia="en-SG"/>
            </w:rPr>
          </w:pPr>
          <w:hyperlink w:anchor="_Toc180406331" w:history="1">
            <w:r w:rsidRPr="001F37C0">
              <w:rPr>
                <w:rStyle w:val="Hyperlink"/>
                <w:rFonts w:ascii="Times New Roman" w:hAnsi="Times New Roman" w:cs="Times New Roman"/>
                <w:noProof/>
              </w:rPr>
              <w:t>2.2 Environmental, Social, and Governance (ESG) Principles</w:t>
            </w:r>
            <w:r>
              <w:rPr>
                <w:noProof/>
                <w:webHidden/>
              </w:rPr>
              <w:tab/>
            </w:r>
            <w:r>
              <w:rPr>
                <w:noProof/>
                <w:webHidden/>
              </w:rPr>
              <w:fldChar w:fldCharType="begin"/>
            </w:r>
            <w:r>
              <w:rPr>
                <w:noProof/>
                <w:webHidden/>
              </w:rPr>
              <w:instrText xml:space="preserve"> PAGEREF _Toc180406331 \h </w:instrText>
            </w:r>
            <w:r>
              <w:rPr>
                <w:noProof/>
                <w:webHidden/>
              </w:rPr>
            </w:r>
            <w:r>
              <w:rPr>
                <w:noProof/>
                <w:webHidden/>
              </w:rPr>
              <w:fldChar w:fldCharType="separate"/>
            </w:r>
            <w:r>
              <w:rPr>
                <w:noProof/>
                <w:webHidden/>
              </w:rPr>
              <w:t>10</w:t>
            </w:r>
            <w:r>
              <w:rPr>
                <w:noProof/>
                <w:webHidden/>
              </w:rPr>
              <w:fldChar w:fldCharType="end"/>
            </w:r>
          </w:hyperlink>
        </w:p>
        <w:p w14:paraId="65FFC6A1" w14:textId="35EC9ADC" w:rsidR="00DE0EE2" w:rsidRDefault="00DE0EE2">
          <w:pPr>
            <w:pStyle w:val="TOC3"/>
            <w:tabs>
              <w:tab w:val="right" w:leader="dot" w:pos="9350"/>
            </w:tabs>
            <w:rPr>
              <w:rFonts w:eastAsiaTheme="minorEastAsia"/>
              <w:noProof/>
              <w:sz w:val="24"/>
              <w:szCs w:val="24"/>
              <w:lang w:val="en-SG" w:eastAsia="en-SG"/>
            </w:rPr>
          </w:pPr>
          <w:hyperlink w:anchor="_Toc180406332" w:history="1">
            <w:r w:rsidRPr="001F37C0">
              <w:rPr>
                <w:rStyle w:val="Hyperlink"/>
                <w:rFonts w:ascii="Times New Roman" w:hAnsi="Times New Roman" w:cs="Times New Roman"/>
                <w:noProof/>
              </w:rPr>
              <w:t>2.2.1 Definition and Importance of ESG Principles</w:t>
            </w:r>
            <w:r>
              <w:rPr>
                <w:noProof/>
                <w:webHidden/>
              </w:rPr>
              <w:tab/>
            </w:r>
            <w:r>
              <w:rPr>
                <w:noProof/>
                <w:webHidden/>
              </w:rPr>
              <w:fldChar w:fldCharType="begin"/>
            </w:r>
            <w:r>
              <w:rPr>
                <w:noProof/>
                <w:webHidden/>
              </w:rPr>
              <w:instrText xml:space="preserve"> PAGEREF _Toc180406332 \h </w:instrText>
            </w:r>
            <w:r>
              <w:rPr>
                <w:noProof/>
                <w:webHidden/>
              </w:rPr>
            </w:r>
            <w:r>
              <w:rPr>
                <w:noProof/>
                <w:webHidden/>
              </w:rPr>
              <w:fldChar w:fldCharType="separate"/>
            </w:r>
            <w:r>
              <w:rPr>
                <w:noProof/>
                <w:webHidden/>
              </w:rPr>
              <w:t>10</w:t>
            </w:r>
            <w:r>
              <w:rPr>
                <w:noProof/>
                <w:webHidden/>
              </w:rPr>
              <w:fldChar w:fldCharType="end"/>
            </w:r>
          </w:hyperlink>
        </w:p>
        <w:p w14:paraId="2073FC09" w14:textId="45846307" w:rsidR="00DE0EE2" w:rsidRDefault="00DE0EE2">
          <w:pPr>
            <w:pStyle w:val="TOC3"/>
            <w:tabs>
              <w:tab w:val="right" w:leader="dot" w:pos="9350"/>
            </w:tabs>
            <w:rPr>
              <w:rFonts w:eastAsiaTheme="minorEastAsia"/>
              <w:noProof/>
              <w:sz w:val="24"/>
              <w:szCs w:val="24"/>
              <w:lang w:val="en-SG" w:eastAsia="en-SG"/>
            </w:rPr>
          </w:pPr>
          <w:hyperlink w:anchor="_Toc180406333" w:history="1">
            <w:r w:rsidRPr="001F37C0">
              <w:rPr>
                <w:rStyle w:val="Hyperlink"/>
                <w:rFonts w:ascii="Times New Roman" w:hAnsi="Times New Roman" w:cs="Times New Roman"/>
                <w:noProof/>
              </w:rPr>
              <w:t>2.2.2 Evolution of ESG in Business Practices</w:t>
            </w:r>
            <w:r>
              <w:rPr>
                <w:noProof/>
                <w:webHidden/>
              </w:rPr>
              <w:tab/>
            </w:r>
            <w:r>
              <w:rPr>
                <w:noProof/>
                <w:webHidden/>
              </w:rPr>
              <w:fldChar w:fldCharType="begin"/>
            </w:r>
            <w:r>
              <w:rPr>
                <w:noProof/>
                <w:webHidden/>
              </w:rPr>
              <w:instrText xml:space="preserve"> PAGEREF _Toc180406333 \h </w:instrText>
            </w:r>
            <w:r>
              <w:rPr>
                <w:noProof/>
                <w:webHidden/>
              </w:rPr>
            </w:r>
            <w:r>
              <w:rPr>
                <w:noProof/>
                <w:webHidden/>
              </w:rPr>
              <w:fldChar w:fldCharType="separate"/>
            </w:r>
            <w:r>
              <w:rPr>
                <w:noProof/>
                <w:webHidden/>
              </w:rPr>
              <w:t>11</w:t>
            </w:r>
            <w:r>
              <w:rPr>
                <w:noProof/>
                <w:webHidden/>
              </w:rPr>
              <w:fldChar w:fldCharType="end"/>
            </w:r>
          </w:hyperlink>
        </w:p>
        <w:p w14:paraId="1C98AE2D" w14:textId="68607302" w:rsidR="00DE0EE2" w:rsidRDefault="00DE0EE2">
          <w:pPr>
            <w:pStyle w:val="TOC3"/>
            <w:tabs>
              <w:tab w:val="right" w:leader="dot" w:pos="9350"/>
            </w:tabs>
            <w:rPr>
              <w:rFonts w:eastAsiaTheme="minorEastAsia"/>
              <w:noProof/>
              <w:sz w:val="24"/>
              <w:szCs w:val="24"/>
              <w:lang w:val="en-SG" w:eastAsia="en-SG"/>
            </w:rPr>
          </w:pPr>
          <w:hyperlink w:anchor="_Toc180406334" w:history="1">
            <w:r w:rsidRPr="001F37C0">
              <w:rPr>
                <w:rStyle w:val="Hyperlink"/>
                <w:rFonts w:ascii="Times New Roman" w:hAnsi="Times New Roman" w:cs="Times New Roman"/>
                <w:noProof/>
              </w:rPr>
              <w:t>2.2.3 ESG in the Context of Saudi Arabia</w:t>
            </w:r>
            <w:r>
              <w:rPr>
                <w:noProof/>
                <w:webHidden/>
              </w:rPr>
              <w:tab/>
            </w:r>
            <w:r>
              <w:rPr>
                <w:noProof/>
                <w:webHidden/>
              </w:rPr>
              <w:fldChar w:fldCharType="begin"/>
            </w:r>
            <w:r>
              <w:rPr>
                <w:noProof/>
                <w:webHidden/>
              </w:rPr>
              <w:instrText xml:space="preserve"> PAGEREF _Toc180406334 \h </w:instrText>
            </w:r>
            <w:r>
              <w:rPr>
                <w:noProof/>
                <w:webHidden/>
              </w:rPr>
            </w:r>
            <w:r>
              <w:rPr>
                <w:noProof/>
                <w:webHidden/>
              </w:rPr>
              <w:fldChar w:fldCharType="separate"/>
            </w:r>
            <w:r>
              <w:rPr>
                <w:noProof/>
                <w:webHidden/>
              </w:rPr>
              <w:t>13</w:t>
            </w:r>
            <w:r>
              <w:rPr>
                <w:noProof/>
                <w:webHidden/>
              </w:rPr>
              <w:fldChar w:fldCharType="end"/>
            </w:r>
          </w:hyperlink>
        </w:p>
        <w:p w14:paraId="285EC413" w14:textId="76D7A308" w:rsidR="00DE0EE2" w:rsidRDefault="00DE0EE2">
          <w:pPr>
            <w:pStyle w:val="TOC2"/>
            <w:tabs>
              <w:tab w:val="right" w:leader="dot" w:pos="9350"/>
            </w:tabs>
            <w:rPr>
              <w:rFonts w:eastAsiaTheme="minorEastAsia"/>
              <w:noProof/>
              <w:sz w:val="24"/>
              <w:szCs w:val="24"/>
              <w:lang w:val="en-SG" w:eastAsia="en-SG"/>
            </w:rPr>
          </w:pPr>
          <w:hyperlink w:anchor="_Toc180406335" w:history="1">
            <w:r w:rsidRPr="001F37C0">
              <w:rPr>
                <w:rStyle w:val="Hyperlink"/>
                <w:rFonts w:ascii="Times New Roman" w:hAnsi="Times New Roman" w:cs="Times New Roman"/>
                <w:noProof/>
              </w:rPr>
              <w:t>2.3 Risk Management and ESG Integration</w:t>
            </w:r>
            <w:r>
              <w:rPr>
                <w:noProof/>
                <w:webHidden/>
              </w:rPr>
              <w:tab/>
            </w:r>
            <w:r>
              <w:rPr>
                <w:noProof/>
                <w:webHidden/>
              </w:rPr>
              <w:fldChar w:fldCharType="begin"/>
            </w:r>
            <w:r>
              <w:rPr>
                <w:noProof/>
                <w:webHidden/>
              </w:rPr>
              <w:instrText xml:space="preserve"> PAGEREF _Toc180406335 \h </w:instrText>
            </w:r>
            <w:r>
              <w:rPr>
                <w:noProof/>
                <w:webHidden/>
              </w:rPr>
            </w:r>
            <w:r>
              <w:rPr>
                <w:noProof/>
                <w:webHidden/>
              </w:rPr>
              <w:fldChar w:fldCharType="separate"/>
            </w:r>
            <w:r>
              <w:rPr>
                <w:noProof/>
                <w:webHidden/>
              </w:rPr>
              <w:t>15</w:t>
            </w:r>
            <w:r>
              <w:rPr>
                <w:noProof/>
                <w:webHidden/>
              </w:rPr>
              <w:fldChar w:fldCharType="end"/>
            </w:r>
          </w:hyperlink>
        </w:p>
        <w:p w14:paraId="5694CA91" w14:textId="1B09F761" w:rsidR="00DE0EE2" w:rsidRDefault="00DE0EE2">
          <w:pPr>
            <w:pStyle w:val="TOC3"/>
            <w:tabs>
              <w:tab w:val="right" w:leader="dot" w:pos="9350"/>
            </w:tabs>
            <w:rPr>
              <w:rFonts w:eastAsiaTheme="minorEastAsia"/>
              <w:noProof/>
              <w:sz w:val="24"/>
              <w:szCs w:val="24"/>
              <w:lang w:val="en-SG" w:eastAsia="en-SG"/>
            </w:rPr>
          </w:pPr>
          <w:hyperlink w:anchor="_Toc180406336" w:history="1">
            <w:r w:rsidRPr="001F37C0">
              <w:rPr>
                <w:rStyle w:val="Hyperlink"/>
                <w:rFonts w:ascii="Times New Roman" w:hAnsi="Times New Roman" w:cs="Times New Roman"/>
                <w:noProof/>
              </w:rPr>
              <w:t>2.3.1 Traditional Risk Management vs. ESG-Focused Risk Management</w:t>
            </w:r>
            <w:r>
              <w:rPr>
                <w:noProof/>
                <w:webHidden/>
              </w:rPr>
              <w:tab/>
            </w:r>
            <w:r>
              <w:rPr>
                <w:noProof/>
                <w:webHidden/>
              </w:rPr>
              <w:fldChar w:fldCharType="begin"/>
            </w:r>
            <w:r>
              <w:rPr>
                <w:noProof/>
                <w:webHidden/>
              </w:rPr>
              <w:instrText xml:space="preserve"> PAGEREF _Toc180406336 \h </w:instrText>
            </w:r>
            <w:r>
              <w:rPr>
                <w:noProof/>
                <w:webHidden/>
              </w:rPr>
            </w:r>
            <w:r>
              <w:rPr>
                <w:noProof/>
                <w:webHidden/>
              </w:rPr>
              <w:fldChar w:fldCharType="separate"/>
            </w:r>
            <w:r>
              <w:rPr>
                <w:noProof/>
                <w:webHidden/>
              </w:rPr>
              <w:t>15</w:t>
            </w:r>
            <w:r>
              <w:rPr>
                <w:noProof/>
                <w:webHidden/>
              </w:rPr>
              <w:fldChar w:fldCharType="end"/>
            </w:r>
          </w:hyperlink>
        </w:p>
        <w:p w14:paraId="252C0953" w14:textId="6082321A" w:rsidR="00DE0EE2" w:rsidRDefault="00DE0EE2">
          <w:pPr>
            <w:pStyle w:val="TOC3"/>
            <w:tabs>
              <w:tab w:val="right" w:leader="dot" w:pos="9350"/>
            </w:tabs>
            <w:rPr>
              <w:rFonts w:eastAsiaTheme="minorEastAsia"/>
              <w:noProof/>
              <w:sz w:val="24"/>
              <w:szCs w:val="24"/>
              <w:lang w:val="en-SG" w:eastAsia="en-SG"/>
            </w:rPr>
          </w:pPr>
          <w:hyperlink w:anchor="_Toc180406337" w:history="1">
            <w:r w:rsidRPr="001F37C0">
              <w:rPr>
                <w:rStyle w:val="Hyperlink"/>
                <w:rFonts w:ascii="Times New Roman" w:hAnsi="Times New Roman" w:cs="Times New Roman"/>
                <w:noProof/>
              </w:rPr>
              <w:t>2.3.2 The Role of ESG in Risk Identification and Mitigation</w:t>
            </w:r>
            <w:r>
              <w:rPr>
                <w:noProof/>
                <w:webHidden/>
              </w:rPr>
              <w:tab/>
            </w:r>
            <w:r>
              <w:rPr>
                <w:noProof/>
                <w:webHidden/>
              </w:rPr>
              <w:fldChar w:fldCharType="begin"/>
            </w:r>
            <w:r>
              <w:rPr>
                <w:noProof/>
                <w:webHidden/>
              </w:rPr>
              <w:instrText xml:space="preserve"> PAGEREF _Toc180406337 \h </w:instrText>
            </w:r>
            <w:r>
              <w:rPr>
                <w:noProof/>
                <w:webHidden/>
              </w:rPr>
            </w:r>
            <w:r>
              <w:rPr>
                <w:noProof/>
                <w:webHidden/>
              </w:rPr>
              <w:fldChar w:fldCharType="separate"/>
            </w:r>
            <w:r>
              <w:rPr>
                <w:noProof/>
                <w:webHidden/>
              </w:rPr>
              <w:t>17</w:t>
            </w:r>
            <w:r>
              <w:rPr>
                <w:noProof/>
                <w:webHidden/>
              </w:rPr>
              <w:fldChar w:fldCharType="end"/>
            </w:r>
          </w:hyperlink>
        </w:p>
        <w:p w14:paraId="256E772B" w14:textId="650160E1" w:rsidR="00DE0EE2" w:rsidRDefault="00DE0EE2">
          <w:pPr>
            <w:pStyle w:val="TOC3"/>
            <w:tabs>
              <w:tab w:val="right" w:leader="dot" w:pos="9350"/>
            </w:tabs>
            <w:rPr>
              <w:rFonts w:eastAsiaTheme="minorEastAsia"/>
              <w:noProof/>
              <w:sz w:val="24"/>
              <w:szCs w:val="24"/>
              <w:lang w:val="en-SG" w:eastAsia="en-SG"/>
            </w:rPr>
          </w:pPr>
          <w:hyperlink w:anchor="_Toc180406338" w:history="1">
            <w:r w:rsidRPr="001F37C0">
              <w:rPr>
                <w:rStyle w:val="Hyperlink"/>
                <w:rFonts w:ascii="Times New Roman" w:hAnsi="Times New Roman" w:cs="Times New Roman"/>
                <w:noProof/>
              </w:rPr>
              <w:t>2.3.3 ESG as a Tool for Enhancing Corporate Resilience</w:t>
            </w:r>
            <w:r>
              <w:rPr>
                <w:noProof/>
                <w:webHidden/>
              </w:rPr>
              <w:tab/>
            </w:r>
            <w:r>
              <w:rPr>
                <w:noProof/>
                <w:webHidden/>
              </w:rPr>
              <w:fldChar w:fldCharType="begin"/>
            </w:r>
            <w:r>
              <w:rPr>
                <w:noProof/>
                <w:webHidden/>
              </w:rPr>
              <w:instrText xml:space="preserve"> PAGEREF _Toc180406338 \h </w:instrText>
            </w:r>
            <w:r>
              <w:rPr>
                <w:noProof/>
                <w:webHidden/>
              </w:rPr>
            </w:r>
            <w:r>
              <w:rPr>
                <w:noProof/>
                <w:webHidden/>
              </w:rPr>
              <w:fldChar w:fldCharType="separate"/>
            </w:r>
            <w:r>
              <w:rPr>
                <w:noProof/>
                <w:webHidden/>
              </w:rPr>
              <w:t>20</w:t>
            </w:r>
            <w:r>
              <w:rPr>
                <w:noProof/>
                <w:webHidden/>
              </w:rPr>
              <w:fldChar w:fldCharType="end"/>
            </w:r>
          </w:hyperlink>
        </w:p>
        <w:p w14:paraId="19DE6113" w14:textId="6F1B67EA" w:rsidR="00DE0EE2" w:rsidRDefault="00DE0EE2">
          <w:pPr>
            <w:pStyle w:val="TOC3"/>
            <w:tabs>
              <w:tab w:val="right" w:leader="dot" w:pos="9350"/>
            </w:tabs>
            <w:rPr>
              <w:rFonts w:eastAsiaTheme="minorEastAsia"/>
              <w:noProof/>
              <w:sz w:val="24"/>
              <w:szCs w:val="24"/>
              <w:lang w:val="en-SG" w:eastAsia="en-SG"/>
            </w:rPr>
          </w:pPr>
          <w:hyperlink w:anchor="_Toc180406339" w:history="1">
            <w:r w:rsidRPr="001F37C0">
              <w:rPr>
                <w:rStyle w:val="Hyperlink"/>
                <w:rFonts w:ascii="Times New Roman" w:hAnsi="Times New Roman" w:cs="Times New Roman"/>
                <w:noProof/>
              </w:rPr>
              <w:t>2.3.4 Challenges and Barriers to ESG Integration in Risk Management</w:t>
            </w:r>
            <w:r>
              <w:rPr>
                <w:noProof/>
                <w:webHidden/>
              </w:rPr>
              <w:tab/>
            </w:r>
            <w:r>
              <w:rPr>
                <w:noProof/>
                <w:webHidden/>
              </w:rPr>
              <w:fldChar w:fldCharType="begin"/>
            </w:r>
            <w:r>
              <w:rPr>
                <w:noProof/>
                <w:webHidden/>
              </w:rPr>
              <w:instrText xml:space="preserve"> PAGEREF _Toc180406339 \h </w:instrText>
            </w:r>
            <w:r>
              <w:rPr>
                <w:noProof/>
                <w:webHidden/>
              </w:rPr>
            </w:r>
            <w:r>
              <w:rPr>
                <w:noProof/>
                <w:webHidden/>
              </w:rPr>
              <w:fldChar w:fldCharType="separate"/>
            </w:r>
            <w:r>
              <w:rPr>
                <w:noProof/>
                <w:webHidden/>
              </w:rPr>
              <w:t>22</w:t>
            </w:r>
            <w:r>
              <w:rPr>
                <w:noProof/>
                <w:webHidden/>
              </w:rPr>
              <w:fldChar w:fldCharType="end"/>
            </w:r>
          </w:hyperlink>
        </w:p>
        <w:p w14:paraId="033ECF14" w14:textId="047E965C" w:rsidR="00DE0EE2" w:rsidRDefault="00DE0EE2">
          <w:pPr>
            <w:pStyle w:val="TOC2"/>
            <w:tabs>
              <w:tab w:val="right" w:leader="dot" w:pos="9350"/>
            </w:tabs>
            <w:rPr>
              <w:rFonts w:eastAsiaTheme="minorEastAsia"/>
              <w:noProof/>
              <w:sz w:val="24"/>
              <w:szCs w:val="24"/>
              <w:lang w:val="en-SG" w:eastAsia="en-SG"/>
            </w:rPr>
          </w:pPr>
          <w:hyperlink w:anchor="_Toc180406340" w:history="1">
            <w:r w:rsidRPr="001F37C0">
              <w:rPr>
                <w:rStyle w:val="Hyperlink"/>
                <w:rFonts w:ascii="Times New Roman" w:hAnsi="Times New Roman" w:cs="Times New Roman"/>
                <w:noProof/>
              </w:rPr>
              <w:t>2.4 Corporate Sustainability and ESG Integration</w:t>
            </w:r>
            <w:r>
              <w:rPr>
                <w:noProof/>
                <w:webHidden/>
              </w:rPr>
              <w:tab/>
            </w:r>
            <w:r>
              <w:rPr>
                <w:noProof/>
                <w:webHidden/>
              </w:rPr>
              <w:fldChar w:fldCharType="begin"/>
            </w:r>
            <w:r>
              <w:rPr>
                <w:noProof/>
                <w:webHidden/>
              </w:rPr>
              <w:instrText xml:space="preserve"> PAGEREF _Toc180406340 \h </w:instrText>
            </w:r>
            <w:r>
              <w:rPr>
                <w:noProof/>
                <w:webHidden/>
              </w:rPr>
            </w:r>
            <w:r>
              <w:rPr>
                <w:noProof/>
                <w:webHidden/>
              </w:rPr>
              <w:fldChar w:fldCharType="separate"/>
            </w:r>
            <w:r>
              <w:rPr>
                <w:noProof/>
                <w:webHidden/>
              </w:rPr>
              <w:t>23</w:t>
            </w:r>
            <w:r>
              <w:rPr>
                <w:noProof/>
                <w:webHidden/>
              </w:rPr>
              <w:fldChar w:fldCharType="end"/>
            </w:r>
          </w:hyperlink>
        </w:p>
        <w:p w14:paraId="1B9AD615" w14:textId="76DB1F3E" w:rsidR="00DE0EE2" w:rsidRDefault="00DE0EE2">
          <w:pPr>
            <w:pStyle w:val="TOC3"/>
            <w:tabs>
              <w:tab w:val="right" w:leader="dot" w:pos="9350"/>
            </w:tabs>
            <w:rPr>
              <w:rFonts w:eastAsiaTheme="minorEastAsia"/>
              <w:noProof/>
              <w:sz w:val="24"/>
              <w:szCs w:val="24"/>
              <w:lang w:val="en-SG" w:eastAsia="en-SG"/>
            </w:rPr>
          </w:pPr>
          <w:hyperlink w:anchor="_Toc180406341" w:history="1">
            <w:r w:rsidRPr="001F37C0">
              <w:rPr>
                <w:rStyle w:val="Hyperlink"/>
                <w:rFonts w:ascii="Times New Roman" w:hAnsi="Times New Roman" w:cs="Times New Roman"/>
                <w:noProof/>
              </w:rPr>
              <w:t>2.4.1 Defining Corporate Sustainability</w:t>
            </w:r>
            <w:r>
              <w:rPr>
                <w:noProof/>
                <w:webHidden/>
              </w:rPr>
              <w:tab/>
            </w:r>
            <w:r>
              <w:rPr>
                <w:noProof/>
                <w:webHidden/>
              </w:rPr>
              <w:fldChar w:fldCharType="begin"/>
            </w:r>
            <w:r>
              <w:rPr>
                <w:noProof/>
                <w:webHidden/>
              </w:rPr>
              <w:instrText xml:space="preserve"> PAGEREF _Toc180406341 \h </w:instrText>
            </w:r>
            <w:r>
              <w:rPr>
                <w:noProof/>
                <w:webHidden/>
              </w:rPr>
            </w:r>
            <w:r>
              <w:rPr>
                <w:noProof/>
                <w:webHidden/>
              </w:rPr>
              <w:fldChar w:fldCharType="separate"/>
            </w:r>
            <w:r>
              <w:rPr>
                <w:noProof/>
                <w:webHidden/>
              </w:rPr>
              <w:t>23</w:t>
            </w:r>
            <w:r>
              <w:rPr>
                <w:noProof/>
                <w:webHidden/>
              </w:rPr>
              <w:fldChar w:fldCharType="end"/>
            </w:r>
          </w:hyperlink>
        </w:p>
        <w:p w14:paraId="1E13B6BB" w14:textId="2F1EDD84" w:rsidR="00DE0EE2" w:rsidRDefault="00DE0EE2">
          <w:pPr>
            <w:pStyle w:val="TOC3"/>
            <w:tabs>
              <w:tab w:val="right" w:leader="dot" w:pos="9350"/>
            </w:tabs>
            <w:rPr>
              <w:rFonts w:eastAsiaTheme="minorEastAsia"/>
              <w:noProof/>
              <w:sz w:val="24"/>
              <w:szCs w:val="24"/>
              <w:lang w:val="en-SG" w:eastAsia="en-SG"/>
            </w:rPr>
          </w:pPr>
          <w:hyperlink w:anchor="_Toc180406342" w:history="1">
            <w:r w:rsidRPr="001F37C0">
              <w:rPr>
                <w:rStyle w:val="Hyperlink"/>
                <w:rFonts w:ascii="Times New Roman" w:hAnsi="Times New Roman" w:cs="Times New Roman"/>
                <w:noProof/>
              </w:rPr>
              <w:t>2.4.2 ESG and Corporate Sustainability:</w:t>
            </w:r>
            <w:r>
              <w:rPr>
                <w:noProof/>
                <w:webHidden/>
              </w:rPr>
              <w:tab/>
            </w:r>
            <w:r>
              <w:rPr>
                <w:noProof/>
                <w:webHidden/>
              </w:rPr>
              <w:fldChar w:fldCharType="begin"/>
            </w:r>
            <w:r>
              <w:rPr>
                <w:noProof/>
                <w:webHidden/>
              </w:rPr>
              <w:instrText xml:space="preserve"> PAGEREF _Toc180406342 \h </w:instrText>
            </w:r>
            <w:r>
              <w:rPr>
                <w:noProof/>
                <w:webHidden/>
              </w:rPr>
            </w:r>
            <w:r>
              <w:rPr>
                <w:noProof/>
                <w:webHidden/>
              </w:rPr>
              <w:fldChar w:fldCharType="separate"/>
            </w:r>
            <w:r>
              <w:rPr>
                <w:noProof/>
                <w:webHidden/>
              </w:rPr>
              <w:t>23</w:t>
            </w:r>
            <w:r>
              <w:rPr>
                <w:noProof/>
                <w:webHidden/>
              </w:rPr>
              <w:fldChar w:fldCharType="end"/>
            </w:r>
          </w:hyperlink>
        </w:p>
        <w:p w14:paraId="7555D8E8" w14:textId="2EE5D350" w:rsidR="00DE0EE2" w:rsidRDefault="00DE0EE2">
          <w:pPr>
            <w:pStyle w:val="TOC3"/>
            <w:tabs>
              <w:tab w:val="right" w:leader="dot" w:pos="9350"/>
            </w:tabs>
            <w:rPr>
              <w:rFonts w:eastAsiaTheme="minorEastAsia"/>
              <w:noProof/>
              <w:sz w:val="24"/>
              <w:szCs w:val="24"/>
              <w:lang w:val="en-SG" w:eastAsia="en-SG"/>
            </w:rPr>
          </w:pPr>
          <w:hyperlink w:anchor="_Toc180406343" w:history="1">
            <w:r w:rsidRPr="001F37C0">
              <w:rPr>
                <w:rStyle w:val="Hyperlink"/>
                <w:rFonts w:ascii="Times New Roman" w:hAnsi="Times New Roman" w:cs="Times New Roman"/>
                <w:noProof/>
              </w:rPr>
              <w:t>2.4.3 Measuring the Impact of ESG on Corporate Sustainability</w:t>
            </w:r>
            <w:r>
              <w:rPr>
                <w:noProof/>
                <w:webHidden/>
              </w:rPr>
              <w:tab/>
            </w:r>
            <w:r>
              <w:rPr>
                <w:noProof/>
                <w:webHidden/>
              </w:rPr>
              <w:fldChar w:fldCharType="begin"/>
            </w:r>
            <w:r>
              <w:rPr>
                <w:noProof/>
                <w:webHidden/>
              </w:rPr>
              <w:instrText xml:space="preserve"> PAGEREF _Toc180406343 \h </w:instrText>
            </w:r>
            <w:r>
              <w:rPr>
                <w:noProof/>
                <w:webHidden/>
              </w:rPr>
            </w:r>
            <w:r>
              <w:rPr>
                <w:noProof/>
                <w:webHidden/>
              </w:rPr>
              <w:fldChar w:fldCharType="separate"/>
            </w:r>
            <w:r>
              <w:rPr>
                <w:noProof/>
                <w:webHidden/>
              </w:rPr>
              <w:t>25</w:t>
            </w:r>
            <w:r>
              <w:rPr>
                <w:noProof/>
                <w:webHidden/>
              </w:rPr>
              <w:fldChar w:fldCharType="end"/>
            </w:r>
          </w:hyperlink>
        </w:p>
        <w:p w14:paraId="796F263A" w14:textId="7633DD62" w:rsidR="00DE0EE2" w:rsidRDefault="00DE0EE2">
          <w:pPr>
            <w:pStyle w:val="TOC3"/>
            <w:tabs>
              <w:tab w:val="right" w:leader="dot" w:pos="9350"/>
            </w:tabs>
            <w:rPr>
              <w:rFonts w:eastAsiaTheme="minorEastAsia"/>
              <w:noProof/>
              <w:sz w:val="24"/>
              <w:szCs w:val="24"/>
              <w:lang w:val="en-SG" w:eastAsia="en-SG"/>
            </w:rPr>
          </w:pPr>
          <w:hyperlink w:anchor="_Toc180406344" w:history="1">
            <w:r w:rsidRPr="001F37C0">
              <w:rPr>
                <w:rStyle w:val="Hyperlink"/>
                <w:rFonts w:ascii="Times New Roman" w:hAnsi="Times New Roman" w:cs="Times New Roman"/>
                <w:noProof/>
              </w:rPr>
              <w:t>2.4.4 Stakeholder Theory and Corporate Sustainability</w:t>
            </w:r>
            <w:r>
              <w:rPr>
                <w:noProof/>
                <w:webHidden/>
              </w:rPr>
              <w:tab/>
            </w:r>
            <w:r>
              <w:rPr>
                <w:noProof/>
                <w:webHidden/>
              </w:rPr>
              <w:fldChar w:fldCharType="begin"/>
            </w:r>
            <w:r>
              <w:rPr>
                <w:noProof/>
                <w:webHidden/>
              </w:rPr>
              <w:instrText xml:space="preserve"> PAGEREF _Toc180406344 \h </w:instrText>
            </w:r>
            <w:r>
              <w:rPr>
                <w:noProof/>
                <w:webHidden/>
              </w:rPr>
            </w:r>
            <w:r>
              <w:rPr>
                <w:noProof/>
                <w:webHidden/>
              </w:rPr>
              <w:fldChar w:fldCharType="separate"/>
            </w:r>
            <w:r>
              <w:rPr>
                <w:noProof/>
                <w:webHidden/>
              </w:rPr>
              <w:t>27</w:t>
            </w:r>
            <w:r>
              <w:rPr>
                <w:noProof/>
                <w:webHidden/>
              </w:rPr>
              <w:fldChar w:fldCharType="end"/>
            </w:r>
          </w:hyperlink>
        </w:p>
        <w:p w14:paraId="189675F4" w14:textId="381A7947" w:rsidR="00F00210" w:rsidRPr="00FF3475" w:rsidRDefault="00CE696F" w:rsidP="00F00210">
          <w:pPr>
            <w:rPr>
              <w:rFonts w:ascii="Times New Roman" w:hAnsi="Times New Roman" w:cs="Times New Roman"/>
              <w:b/>
              <w:bCs/>
              <w:noProof/>
            </w:rPr>
          </w:pPr>
          <w:r w:rsidRPr="00FF3475">
            <w:rPr>
              <w:rFonts w:ascii="Times New Roman" w:hAnsi="Times New Roman" w:cs="Times New Roman"/>
              <w:b/>
              <w:bCs/>
              <w:noProof/>
            </w:rPr>
            <w:fldChar w:fldCharType="end"/>
          </w:r>
        </w:p>
      </w:sdtContent>
    </w:sdt>
    <w:p w14:paraId="74DB17C2" w14:textId="42A6EB1C" w:rsidR="00713303" w:rsidRPr="00FF3475" w:rsidRDefault="00447A04" w:rsidP="00F00210">
      <w:pPr>
        <w:rPr>
          <w:rFonts w:ascii="Times New Roman" w:hAnsi="Times New Roman" w:cs="Times New Roman"/>
        </w:rPr>
      </w:pPr>
      <w:r w:rsidRPr="00FF3475">
        <w:rPr>
          <w:rFonts w:ascii="Times New Roman" w:hAnsi="Times New Roman" w:cs="Times New Roman"/>
          <w:sz w:val="24"/>
          <w:szCs w:val="24"/>
        </w:rPr>
        <w:br w:type="page"/>
      </w:r>
    </w:p>
    <w:p w14:paraId="155F6473" w14:textId="77777777" w:rsidR="000C4CBD" w:rsidRPr="00FF3475" w:rsidRDefault="000C4CBD" w:rsidP="0083582F">
      <w:pPr>
        <w:pStyle w:val="Heading1"/>
        <w:rPr>
          <w:rFonts w:ascii="Times New Roman" w:hAnsi="Times New Roman" w:cs="Times New Roman"/>
          <w:color w:val="auto"/>
        </w:rPr>
      </w:pPr>
      <w:bookmarkStart w:id="0" w:name="_Toc180406320"/>
      <w:r w:rsidRPr="00FF3475">
        <w:rPr>
          <w:rFonts w:ascii="Times New Roman" w:hAnsi="Times New Roman" w:cs="Times New Roman"/>
          <w:color w:val="auto"/>
        </w:rPr>
        <w:lastRenderedPageBreak/>
        <w:t>Chapter 1: Introduction</w:t>
      </w:r>
      <w:bookmarkEnd w:id="0"/>
    </w:p>
    <w:p w14:paraId="079D4D39" w14:textId="77777777" w:rsidR="000C4CBD" w:rsidRPr="00FF3475" w:rsidRDefault="000C4CBD" w:rsidP="0083582F">
      <w:pPr>
        <w:pStyle w:val="Heading2"/>
        <w:rPr>
          <w:rFonts w:ascii="Times New Roman" w:hAnsi="Times New Roman" w:cs="Times New Roman"/>
          <w:color w:val="auto"/>
        </w:rPr>
      </w:pPr>
      <w:bookmarkStart w:id="1" w:name="_Toc180406321"/>
      <w:r w:rsidRPr="00FF3475">
        <w:rPr>
          <w:rFonts w:ascii="Times New Roman" w:hAnsi="Times New Roman" w:cs="Times New Roman"/>
          <w:color w:val="auto"/>
        </w:rPr>
        <w:t>1.1 Background of the Study</w:t>
      </w:r>
      <w:bookmarkEnd w:id="1"/>
    </w:p>
    <w:p w14:paraId="78C5FCFA" w14:textId="7E4D52C4" w:rsidR="00531860" w:rsidRPr="00FF3475" w:rsidRDefault="00531860" w:rsidP="00531860">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Over the past few years, the realm of global business has increasingly </w:t>
      </w:r>
      <w:r w:rsidR="0044210B" w:rsidRPr="00FF3475">
        <w:rPr>
          <w:rFonts w:ascii="Times New Roman" w:hAnsi="Times New Roman" w:cs="Times New Roman"/>
          <w:sz w:val="24"/>
          <w:szCs w:val="24"/>
        </w:rPr>
        <w:t>recognized</w:t>
      </w:r>
      <w:r w:rsidRPr="00FF3475">
        <w:rPr>
          <w:rFonts w:ascii="Times New Roman" w:hAnsi="Times New Roman" w:cs="Times New Roman"/>
          <w:sz w:val="24"/>
          <w:szCs w:val="24"/>
        </w:rPr>
        <w:t xml:space="preserve"> the paramount role which Environmental, Social, and Governance (ESG) principles can play in driving corporate sustainability and governance. Among the complex challenges the world faces </w:t>
      </w:r>
      <w:proofErr w:type="gramStart"/>
      <w:r w:rsidRPr="00FF3475">
        <w:rPr>
          <w:rFonts w:ascii="Times New Roman" w:hAnsi="Times New Roman" w:cs="Times New Roman"/>
          <w:sz w:val="24"/>
          <w:szCs w:val="24"/>
        </w:rPr>
        <w:t>at the moment</w:t>
      </w:r>
      <w:proofErr w:type="gramEnd"/>
      <w:r w:rsidRPr="00FF3475">
        <w:rPr>
          <w:rFonts w:ascii="Times New Roman" w:hAnsi="Times New Roman" w:cs="Times New Roman"/>
          <w:sz w:val="24"/>
          <w:szCs w:val="24"/>
        </w:rPr>
        <w:t xml:space="preserve">, such as climate change, resource depletion and social inequality as well as corruption are thus ESG subjects which businesses think need to consider as they intend to properly run their businesses with their eyes open. Today these principles are no longer peripheral to corporate strategy, but are becoming integral elements needed in order to attain resilience and </w:t>
      </w:r>
      <w:r w:rsidR="007E4E16"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success</w:t>
      </w:r>
      <w:r w:rsidR="00737A1C" w:rsidRPr="00FF3475">
        <w:rPr>
          <w:rFonts w:ascii="Times New Roman" w:hAnsi="Times New Roman" w:cs="Times New Roman"/>
          <w:sz w:val="24"/>
          <w:szCs w:val="24"/>
        </w:rPr>
        <w:fldChar w:fldCharType="begin"/>
      </w:r>
      <w:r w:rsidR="00737A1C" w:rsidRPr="00FF3475">
        <w:rPr>
          <w:rFonts w:ascii="Times New Roman" w:hAnsi="Times New Roman" w:cs="Times New Roman"/>
          <w:sz w:val="24"/>
          <w:szCs w:val="24"/>
        </w:rPr>
        <w:instrText xml:space="preserve"> ADDIN EN.CITE &lt;EndNote&gt;&lt;Cite&gt;&lt;Author&gt;Landi&lt;/Author&gt;&lt;Year&gt;2022&lt;/Year&gt;&lt;RecNum&gt;2409&lt;/RecNum&gt;&lt;DisplayText&gt;(Landi et al., 2022)&lt;/DisplayText&gt;&lt;record&gt;&lt;rec-number&gt;2409&lt;/rec-number&gt;&lt;foreign-keys&gt;&lt;key app="EN" db-id="vp0t0fz5q9wvv2etf21x9vp5rv92ew2dstft" timestamp="1728727179"&gt;2409&lt;/key&gt;&lt;/foreign-keys&gt;&lt;ref-type name="Journal Article"&gt;17&lt;/ref-type&gt;&lt;contributors&gt;&lt;authors&gt;&lt;author&gt;Landi, Giovanni Catello&lt;/author&gt;&lt;author&gt;Iandolo, Francesca&lt;/author&gt;&lt;author&gt;Renzi, Antonio&lt;/author&gt;&lt;author&gt;Rey, Andrea&lt;/author&gt;&lt;/authors&gt;&lt;/contributors&gt;&lt;titles&gt;&lt;title&gt;Embedding sustainability in risk management: The impact of environmental, social, and governance ratings on corporate financial risk&lt;/title&gt;&lt;secondary-title&gt;Corporate Social Responsibility and Environmental Management&lt;/secondary-title&gt;&lt;/titles&gt;&lt;periodical&gt;&lt;full-title&gt;Corporate Social Responsibility and Environmental Management&lt;/full-title&gt;&lt;/periodical&gt;&lt;pages&gt;1096-1107&lt;/pages&gt;&lt;volume&gt;29&lt;/volume&gt;&lt;number&gt;4&lt;/number&gt;&lt;dates&gt;&lt;year&gt;2022&lt;/year&gt;&lt;/dates&gt;&lt;isbn&gt;1535-3958&lt;/isbn&gt;&lt;urls&gt;&lt;/urls&gt;&lt;/record&gt;&lt;/Cite&gt;&lt;/EndNote&gt;</w:instrText>
      </w:r>
      <w:r w:rsidR="00737A1C" w:rsidRPr="00FF3475">
        <w:rPr>
          <w:rFonts w:ascii="Times New Roman" w:hAnsi="Times New Roman" w:cs="Times New Roman"/>
          <w:sz w:val="24"/>
          <w:szCs w:val="24"/>
        </w:rPr>
        <w:fldChar w:fldCharType="separate"/>
      </w:r>
      <w:r w:rsidR="00737A1C" w:rsidRPr="00FF3475">
        <w:rPr>
          <w:rFonts w:ascii="Times New Roman" w:hAnsi="Times New Roman" w:cs="Times New Roman"/>
          <w:noProof/>
          <w:sz w:val="24"/>
          <w:szCs w:val="24"/>
        </w:rPr>
        <w:t>(Landi et al., 2022)</w:t>
      </w:r>
      <w:r w:rsidR="00737A1C"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5E86FCA7" w14:textId="44D3A5EE" w:rsidR="00531860" w:rsidRPr="00FF3475" w:rsidRDefault="00531860" w:rsidP="00531860">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Increasing pressure from stakeholders including investors, regulators, customers, and public, has forced organizations around the world to rise above financial performance and prove their pledge to sustainable and ethical ways of doing business. Companies that do not deal with ESG issues are increasingly more exposed to being damaged in terms of reputation, regulatory fines and even a loss of market share</w:t>
      </w:r>
      <w:r w:rsidR="003C4CA9" w:rsidRPr="00FF3475">
        <w:rPr>
          <w:rFonts w:ascii="Times New Roman" w:hAnsi="Times New Roman" w:cs="Times New Roman"/>
          <w:sz w:val="24"/>
          <w:szCs w:val="24"/>
        </w:rPr>
        <w:fldChar w:fldCharType="begin"/>
      </w:r>
      <w:r w:rsidR="003C4CA9" w:rsidRPr="00FF3475">
        <w:rPr>
          <w:rFonts w:ascii="Times New Roman" w:hAnsi="Times New Roman" w:cs="Times New Roman"/>
          <w:sz w:val="24"/>
          <w:szCs w:val="24"/>
        </w:rPr>
        <w:instrText xml:space="preserve"> ADDIN EN.CITE &lt;EndNote&gt;&lt;Cite&gt;&lt;Author&gt;Hoang&lt;/Author&gt;&lt;Year&gt;2018&lt;/Year&gt;&lt;RecNum&gt;2410&lt;/RecNum&gt;&lt;DisplayText&gt;(Hoang, 2018)&lt;/DisplayText&gt;&lt;record&gt;&lt;rec-number&gt;2410&lt;/rec-number&gt;&lt;foreign-keys&gt;&lt;key app="EN" db-id="vp0t0fz5q9wvv2etf21x9vp5rv92ew2dstft" timestamp="1728727378"&gt;2410&lt;/key&gt;&lt;/foreign-keys&gt;&lt;ref-type name="Book Section"&gt;5&lt;/ref-type&gt;&lt;contributors&gt;&lt;authors&gt;&lt;author&gt;Hoang, Thinh&lt;/author&gt;&lt;/authors&gt;&lt;/contributors&gt;&lt;titles&gt;&lt;title&gt;The role of the integrated reporting in raising awareness of environmental, social and corporate governance (ESG) performance&lt;/title&gt;&lt;secondary-title&gt;Stakeholders, governance and responsibility&lt;/secondary-title&gt;&lt;/titles&gt;&lt;pages&gt;47-69&lt;/pages&gt;&lt;dates&gt;&lt;year&gt;2018&lt;/year&gt;&lt;/dates&gt;&lt;publisher&gt;Emerald Publishing Limited&lt;/publisher&gt;&lt;isbn&gt;2043-0523&lt;/isbn&gt;&lt;urls&gt;&lt;/urls&gt;&lt;/record&gt;&lt;/Cite&gt;&lt;/EndNote&gt;</w:instrText>
      </w:r>
      <w:r w:rsidR="003C4CA9" w:rsidRPr="00FF3475">
        <w:rPr>
          <w:rFonts w:ascii="Times New Roman" w:hAnsi="Times New Roman" w:cs="Times New Roman"/>
          <w:sz w:val="24"/>
          <w:szCs w:val="24"/>
        </w:rPr>
        <w:fldChar w:fldCharType="separate"/>
      </w:r>
      <w:r w:rsidR="003C4CA9" w:rsidRPr="00FF3475">
        <w:rPr>
          <w:rFonts w:ascii="Times New Roman" w:hAnsi="Times New Roman" w:cs="Times New Roman"/>
          <w:noProof/>
          <w:sz w:val="24"/>
          <w:szCs w:val="24"/>
        </w:rPr>
        <w:t>(Hoang, 2018)</w:t>
      </w:r>
      <w:r w:rsidR="003C4CA9" w:rsidRPr="00FF3475">
        <w:rPr>
          <w:rFonts w:ascii="Times New Roman" w:hAnsi="Times New Roman" w:cs="Times New Roman"/>
          <w:sz w:val="24"/>
          <w:szCs w:val="24"/>
        </w:rPr>
        <w:fldChar w:fldCharType="end"/>
      </w:r>
      <w:r w:rsidRPr="00FF3475">
        <w:rPr>
          <w:rFonts w:ascii="Times New Roman" w:hAnsi="Times New Roman" w:cs="Times New Roman"/>
          <w:sz w:val="24"/>
          <w:szCs w:val="24"/>
        </w:rPr>
        <w:t>. But those companies that consciously embed ESG factors into their practices tend to reap benefits: sharper brand reputation, better risk management and improved investor confidence, among other such gains. Especially in the Middle East regions, traditional industries are under fire, while sustainability is becoming a defining agenda in new business priorities</w:t>
      </w:r>
      <w:r w:rsidR="003C4CA9" w:rsidRPr="00FF3475">
        <w:rPr>
          <w:rFonts w:ascii="Times New Roman" w:hAnsi="Times New Roman" w:cs="Times New Roman"/>
          <w:sz w:val="24"/>
          <w:szCs w:val="24"/>
        </w:rPr>
        <w:fldChar w:fldCharType="begin"/>
      </w:r>
      <w:r w:rsidR="003C4CA9" w:rsidRPr="00FF3475">
        <w:rPr>
          <w:rFonts w:ascii="Times New Roman" w:hAnsi="Times New Roman" w:cs="Times New Roman"/>
          <w:sz w:val="24"/>
          <w:szCs w:val="24"/>
        </w:rPr>
        <w:instrText xml:space="preserve"> ADDIN EN.CITE &lt;EndNote&gt;&lt;Cite&gt;&lt;Author&gt;Cinciulescu&lt;/Author&gt;&lt;Year&gt;2024&lt;/Year&gt;&lt;RecNum&gt;2411&lt;/RecNum&gt;&lt;DisplayText&gt;(Cinciulescu, 2024)&lt;/DisplayText&gt;&lt;record&gt;&lt;rec-number&gt;2411&lt;/rec-number&gt;&lt;foreign-keys&gt;&lt;key app="EN" db-id="vp0t0fz5q9wvv2etf21x9vp5rv92ew2dstft" timestamp="1728727393"&gt;2411&lt;/key&gt;&lt;/foreign-keys&gt;&lt;ref-type name="Journal Article"&gt;17&lt;/ref-type&gt;&lt;contributors&gt;&lt;authors&gt;&lt;author&gt;Cinciulescu, Dumitru&lt;/author&gt;&lt;/authors&gt;&lt;/contributors&gt;&lt;titles&gt;&lt;title&gt;Developments and perspectives on corporate environmental risk management. A comprehensive analysis of ESG integrations&lt;/title&gt;&lt;secondary-title&gt;Revista de Stiinte Politice&lt;/secondary-title&gt;&lt;/titles&gt;&lt;periodical&gt;&lt;full-title&gt;Revista de Stiinte Politice&lt;/full-title&gt;&lt;/periodical&gt;&lt;pages&gt;83-91&lt;/pages&gt;&lt;number&gt;81&lt;/number&gt;&lt;dates&gt;&lt;year&gt;2024&lt;/year&gt;&lt;/dates&gt;&lt;isbn&gt;1584-224X&lt;/isbn&gt;&lt;urls&gt;&lt;/urls&gt;&lt;/record&gt;&lt;/Cite&gt;&lt;/EndNote&gt;</w:instrText>
      </w:r>
      <w:r w:rsidR="003C4CA9" w:rsidRPr="00FF3475">
        <w:rPr>
          <w:rFonts w:ascii="Times New Roman" w:hAnsi="Times New Roman" w:cs="Times New Roman"/>
          <w:sz w:val="24"/>
          <w:szCs w:val="24"/>
        </w:rPr>
        <w:fldChar w:fldCharType="separate"/>
      </w:r>
      <w:r w:rsidR="003C4CA9" w:rsidRPr="00FF3475">
        <w:rPr>
          <w:rFonts w:ascii="Times New Roman" w:hAnsi="Times New Roman" w:cs="Times New Roman"/>
          <w:noProof/>
          <w:sz w:val="24"/>
          <w:szCs w:val="24"/>
        </w:rPr>
        <w:t>(Cinciulescu, 2024)</w:t>
      </w:r>
      <w:r w:rsidR="003C4CA9"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7B9779FE" w14:textId="56592404" w:rsidR="00531860" w:rsidRPr="00FF3475" w:rsidRDefault="00531860" w:rsidP="00531860">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In Saudi Arabia, a country poised at the forefront of the country’s ambitious Vision 2030 initiative, the integration of principles of ESG in corporate strategies is at the top of everyone’s mind. Saudi Vision 2030 targets diversification of the Saudi economy, decoupling it from the oil reliance and raise the Kingdom’s position as a responsible corporate citizen globally. Saudi Arabia is spending big on renewable energy, sustainability of urban development and social reforms to position itself as a regional leader in sustainability. Achieving these goals however, demands more than that; there has to be active involvement from the private sector</w:t>
      </w:r>
      <w:r w:rsidR="003C4CA9" w:rsidRPr="00FF3475">
        <w:rPr>
          <w:rFonts w:ascii="Times New Roman" w:hAnsi="Times New Roman" w:cs="Times New Roman"/>
          <w:sz w:val="24"/>
          <w:szCs w:val="24"/>
        </w:rPr>
        <w:fldChar w:fldCharType="begin"/>
      </w:r>
      <w:r w:rsidR="003C4CA9" w:rsidRPr="00FF3475">
        <w:rPr>
          <w:rFonts w:ascii="Times New Roman" w:hAnsi="Times New Roman" w:cs="Times New Roman"/>
          <w:sz w:val="24"/>
          <w:szCs w:val="24"/>
        </w:rPr>
        <w:instrText xml:space="preserve"> ADDIN EN.CITE &lt;EndNote&gt;&lt;Cite&gt;&lt;Author&gt;AlNemer&lt;/Author&gt;&lt;Year&gt;2024&lt;/Year&gt;&lt;RecNum&gt;2412&lt;/RecNum&gt;&lt;DisplayText&gt;(AlNemer, 2024)&lt;/DisplayText&gt;&lt;record&gt;&lt;rec-number&gt;2412&lt;/rec-number&gt;&lt;foreign-keys&gt;&lt;key app="EN" db-id="vp0t0fz5q9wvv2etf21x9vp5rv92ew2dstft" timestamp="1728727438"&gt;2412&lt;/key&gt;&lt;/foreign-keys&gt;&lt;ref-type name="Thesis"&gt;32&lt;/ref-type&gt;&lt;contributors&gt;&lt;authors&gt;&lt;author&gt;AlNemer, Abdulmehsen Mohammad&lt;/author&gt;&lt;/authors&gt;&lt;/contributors&gt;&lt;titles&gt;&lt;title&gt;Examining the Kingdom of Saudi Arabia&amp;apos;s Tourism Sector and Assessing Its Potential Contributions in Achieving the Kingdom’s Vision 2030&lt;/title&gt;&lt;/titles&gt;&lt;dates&gt;&lt;year&gt;2024&lt;/year&gt;&lt;/dates&gt;&lt;publisher&gt;Pepperdine University&lt;/publisher&gt;&lt;urls&gt;&lt;/urls&gt;&lt;/record&gt;&lt;/Cite&gt;&lt;/EndNote&gt;</w:instrText>
      </w:r>
      <w:r w:rsidR="003C4CA9" w:rsidRPr="00FF3475">
        <w:rPr>
          <w:rFonts w:ascii="Times New Roman" w:hAnsi="Times New Roman" w:cs="Times New Roman"/>
          <w:sz w:val="24"/>
          <w:szCs w:val="24"/>
        </w:rPr>
        <w:fldChar w:fldCharType="separate"/>
      </w:r>
      <w:r w:rsidR="003C4CA9" w:rsidRPr="00FF3475">
        <w:rPr>
          <w:rFonts w:ascii="Times New Roman" w:hAnsi="Times New Roman" w:cs="Times New Roman"/>
          <w:noProof/>
          <w:sz w:val="24"/>
          <w:szCs w:val="24"/>
        </w:rPr>
        <w:t>(AlNemer, 2024)</w:t>
      </w:r>
      <w:r w:rsidR="003C4CA9"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7D2FF19E" w14:textId="4CE0A68F" w:rsidR="00531860" w:rsidRPr="00FF3475" w:rsidRDefault="00531860" w:rsidP="00531860">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That means Saudi businesses find themselves under increasing pressure to play by ESG rules </w:t>
      </w:r>
      <w:proofErr w:type="gramStart"/>
      <w:r w:rsidRPr="00FF3475">
        <w:rPr>
          <w:rFonts w:ascii="Times New Roman" w:hAnsi="Times New Roman" w:cs="Times New Roman"/>
          <w:sz w:val="24"/>
          <w:szCs w:val="24"/>
        </w:rPr>
        <w:t>in order to</w:t>
      </w:r>
      <w:proofErr w:type="gramEnd"/>
      <w:r w:rsidRPr="00FF3475">
        <w:rPr>
          <w:rFonts w:ascii="Times New Roman" w:hAnsi="Times New Roman" w:cs="Times New Roman"/>
          <w:sz w:val="24"/>
          <w:szCs w:val="24"/>
        </w:rPr>
        <w:t xml:space="preserve"> achieve Vision 2030 goals. This evolving focus is seen also in organizations in Saudi Arabia, looking at how ESG principles can be injected into their risk management practices</w:t>
      </w:r>
      <w:r w:rsidR="003C4CA9" w:rsidRPr="00FF3475">
        <w:rPr>
          <w:rFonts w:ascii="Times New Roman" w:hAnsi="Times New Roman" w:cs="Times New Roman"/>
          <w:sz w:val="24"/>
          <w:szCs w:val="24"/>
        </w:rPr>
        <w:fldChar w:fldCharType="begin"/>
      </w:r>
      <w:r w:rsidR="003C4CA9" w:rsidRPr="00FF3475">
        <w:rPr>
          <w:rFonts w:ascii="Times New Roman" w:hAnsi="Times New Roman" w:cs="Times New Roman"/>
          <w:sz w:val="24"/>
          <w:szCs w:val="24"/>
        </w:rPr>
        <w:instrText xml:space="preserve"> ADDIN EN.CITE &lt;EndNote&gt;&lt;Cite&gt;&lt;Author&gt;Alghafes&lt;/Author&gt;&lt;Year&gt;2024&lt;/Year&gt;&lt;RecNum&gt;2413&lt;/RecNum&gt;&lt;DisplayText&gt;(Alghafes et al., 2024)&lt;/DisplayText&gt;&lt;record&gt;&lt;rec-number&gt;2413&lt;/rec-number&gt;&lt;foreign-keys&gt;&lt;key app="EN" db-id="vp0t0fz5q9wvv2etf21x9vp5rv92ew2dstft" timestamp="1728727502"&gt;2413&lt;/key&gt;&lt;/foreign-keys&gt;&lt;ref-type name="Journal Article"&gt;17&lt;/ref-type&gt;&lt;contributors&gt;&lt;authors&gt;&lt;author&gt;Alghafes, Rsha&lt;/author&gt;&lt;author&gt;Karim, Sitara&lt;/author&gt;&lt;author&gt;Aliani, Khaoula&lt;/author&gt;&lt;author&gt;Qureishi, Naila&lt;/author&gt;&lt;author&gt;Alkayed, Lama&lt;/author&gt;&lt;/authors&gt;&lt;/contributors&gt;&lt;titles&gt;&lt;title&gt;Influence of key ESG factors on Islamic banks’ financial performance: Evidence from GCC countries&lt;/title&gt;&lt;secondary-title&gt;International Review of Economics &amp;amp; Finance&lt;/secondary-title&gt;&lt;/titles&gt;&lt;periodical&gt;&lt;full-title&gt;International Review of Economics &amp;amp; Finance&lt;/full-title&gt;&lt;/periodical&gt;&lt;pages&gt;103629&lt;/pages&gt;&lt;volume&gt;96&lt;/volume&gt;&lt;dates&gt;&lt;year&gt;2024&lt;/year&gt;&lt;/dates&gt;&lt;isbn&gt;1059-0560&lt;/isbn&gt;&lt;urls&gt;&lt;/urls&gt;&lt;/record&gt;&lt;/Cite&gt;&lt;/EndNote&gt;</w:instrText>
      </w:r>
      <w:r w:rsidR="003C4CA9" w:rsidRPr="00FF3475">
        <w:rPr>
          <w:rFonts w:ascii="Times New Roman" w:hAnsi="Times New Roman" w:cs="Times New Roman"/>
          <w:sz w:val="24"/>
          <w:szCs w:val="24"/>
        </w:rPr>
        <w:fldChar w:fldCharType="separate"/>
      </w:r>
      <w:r w:rsidR="003C4CA9" w:rsidRPr="00FF3475">
        <w:rPr>
          <w:rFonts w:ascii="Times New Roman" w:hAnsi="Times New Roman" w:cs="Times New Roman"/>
          <w:noProof/>
          <w:sz w:val="24"/>
          <w:szCs w:val="24"/>
        </w:rPr>
        <w:t>(Alghafes et al., 2024)</w:t>
      </w:r>
      <w:r w:rsidR="003C4CA9"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ESG factors integration into risk management helps companies to </w:t>
      </w:r>
      <w:r w:rsidRPr="00FF3475">
        <w:rPr>
          <w:rFonts w:ascii="Times New Roman" w:hAnsi="Times New Roman" w:cs="Times New Roman"/>
          <w:sz w:val="24"/>
          <w:szCs w:val="24"/>
        </w:rPr>
        <w:lastRenderedPageBreak/>
        <w:t>detect and manage a broader range of risks not captured by traditional risk management schemes. As an example, industries such as natural resources heavily dependent on environment risk such as climate change and resource scarcity will perform poor in the longer terms. Brand reputation and operational continuity are also subject to social risk, such as labor practices, relationships with communities and supply chain management. They are equally critical governance risks related to transparency, ethics and regulatory compliance which determine stakeholders trust and corporate integrity.</w:t>
      </w:r>
    </w:p>
    <w:p w14:paraId="33552D6A" w14:textId="5DA59E1F" w:rsidR="00531860" w:rsidRPr="00FF3475" w:rsidRDefault="00531860" w:rsidP="00531860">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Addressing these more complex risks using ESG risk management not only helps keep organizations on good footing in the face of disruptions, but doing so also builds resilience. This proactive approach helps companies predict and address the changing problems that are developing on the horizon, staying in competition in this increasingly dynamic business situation</w:t>
      </w:r>
      <w:r w:rsidR="003C4CA9" w:rsidRPr="00FF3475">
        <w:rPr>
          <w:rFonts w:ascii="Times New Roman" w:hAnsi="Times New Roman" w:cs="Times New Roman"/>
          <w:sz w:val="24"/>
          <w:szCs w:val="24"/>
        </w:rPr>
        <w:fldChar w:fldCharType="begin"/>
      </w:r>
      <w:r w:rsidR="003C4CA9" w:rsidRPr="00FF3475">
        <w:rPr>
          <w:rFonts w:ascii="Times New Roman" w:hAnsi="Times New Roman" w:cs="Times New Roman"/>
          <w:sz w:val="24"/>
          <w:szCs w:val="24"/>
        </w:rPr>
        <w:instrText xml:space="preserve"> ADDIN EN.CITE &lt;EndNote&gt;&lt;Cite&gt;&lt;Author&gt;Karwowski&lt;/Author&gt;&lt;Year&gt;2021&lt;/Year&gt;&lt;RecNum&gt;2414&lt;/RecNum&gt;&lt;DisplayText&gt;(Karwowski &amp;amp; Raulinajtys‐Grzybek, 2021)&lt;/DisplayText&gt;&lt;record&gt;&lt;rec-number&gt;2414&lt;/rec-number&gt;&lt;foreign-keys&gt;&lt;key app="EN" db-id="vp0t0fz5q9wvv2etf21x9vp5rv92ew2dstft" timestamp="1728727539"&gt;2414&lt;/key&gt;&lt;/foreign-keys&gt;&lt;ref-type name="Journal Article"&gt;17&lt;/ref-type&gt;&lt;contributors&gt;&lt;authors&gt;&lt;author&gt;Karwowski, Mariusz&lt;/author&gt;&lt;author&gt;Raulinajtys‐Grzybek, Monika&lt;/author&gt;&lt;/authors&gt;&lt;/contributors&gt;&lt;titles&gt;&lt;title&gt;The application of corporate social responsibility (CSR) actions for mitigation of environmental, social, corporate governance (ESG) and reputational risk in integrated reports&lt;/title&gt;&lt;secondary-title&gt;Corporate Social Responsibility and Environmental Management&lt;/secondary-title&gt;&lt;/titles&gt;&lt;periodical&gt;&lt;full-title&gt;Corporate Social Responsibility and Environmental Management&lt;/full-title&gt;&lt;/periodical&gt;&lt;pages&gt;1270-1284&lt;/pages&gt;&lt;volume&gt;28&lt;/volume&gt;&lt;number&gt;4&lt;/number&gt;&lt;dates&gt;&lt;year&gt;2021&lt;/year&gt;&lt;/dates&gt;&lt;isbn&gt;1535-3958&lt;/isbn&gt;&lt;urls&gt;&lt;/urls&gt;&lt;/record&gt;&lt;/Cite&gt;&lt;/EndNote&gt;</w:instrText>
      </w:r>
      <w:r w:rsidR="003C4CA9" w:rsidRPr="00FF3475">
        <w:rPr>
          <w:rFonts w:ascii="Times New Roman" w:hAnsi="Times New Roman" w:cs="Times New Roman"/>
          <w:sz w:val="24"/>
          <w:szCs w:val="24"/>
        </w:rPr>
        <w:fldChar w:fldCharType="separate"/>
      </w:r>
      <w:r w:rsidR="003C4CA9" w:rsidRPr="00FF3475">
        <w:rPr>
          <w:rFonts w:ascii="Times New Roman" w:hAnsi="Times New Roman" w:cs="Times New Roman"/>
          <w:noProof/>
          <w:sz w:val="24"/>
          <w:szCs w:val="24"/>
        </w:rPr>
        <w:t>(Karwowski &amp; Raulinajtys‐Grzybek, 2021)</w:t>
      </w:r>
      <w:r w:rsidR="003C4CA9"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w:t>
      </w:r>
      <w:r w:rsidR="007E4E16" w:rsidRPr="00FF3475">
        <w:rPr>
          <w:rFonts w:ascii="Times New Roman" w:hAnsi="Times New Roman" w:cs="Times New Roman"/>
          <w:sz w:val="24"/>
          <w:szCs w:val="24"/>
        </w:rPr>
        <w:t>T</w:t>
      </w:r>
      <w:r w:rsidRPr="00FF3475">
        <w:rPr>
          <w:rFonts w:ascii="Times New Roman" w:hAnsi="Times New Roman" w:cs="Times New Roman"/>
          <w:sz w:val="24"/>
          <w:szCs w:val="24"/>
        </w:rPr>
        <w:t xml:space="preserve">he integration of ESG into risk management positions itself in support of </w:t>
      </w:r>
      <w:r w:rsidR="007E4E16"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sustainability as it enables companies to use practices that suit these societal values and environmental stewardship. Furthermore, this also supports ethical governance through promoting transparency, accountability and adherence to international standards</w:t>
      </w:r>
      <w:r w:rsidR="003C4CA9" w:rsidRPr="00FF3475">
        <w:rPr>
          <w:rFonts w:ascii="Times New Roman" w:hAnsi="Times New Roman" w:cs="Times New Roman"/>
          <w:sz w:val="24"/>
          <w:szCs w:val="24"/>
        </w:rPr>
        <w:fldChar w:fldCharType="begin"/>
      </w:r>
      <w:r w:rsidR="003C4CA9" w:rsidRPr="00FF3475">
        <w:rPr>
          <w:rFonts w:ascii="Times New Roman" w:hAnsi="Times New Roman" w:cs="Times New Roman"/>
          <w:sz w:val="24"/>
          <w:szCs w:val="24"/>
        </w:rPr>
        <w:instrText xml:space="preserve"> ADDIN EN.CITE &lt;EndNote&gt;&lt;Cite&gt;&lt;Author&gt;Dicuonzo&lt;/Author&gt;&lt;Year&gt;2022&lt;/Year&gt;&lt;RecNum&gt;2415&lt;/RecNum&gt;&lt;DisplayText&gt;(Dicuonzo et al., 2022)&lt;/DisplayText&gt;&lt;record&gt;&lt;rec-number&gt;2415&lt;/rec-number&gt;&lt;foreign-keys&gt;&lt;key app="EN" db-id="vp0t0fz5q9wvv2etf21x9vp5rv92ew2dstft" timestamp="1728727556"&gt;2415&lt;/key&gt;&lt;/foreign-keys&gt;&lt;ref-type name="Journal Article"&gt;17&lt;/ref-type&gt;&lt;contributors&gt;&lt;authors&gt;&lt;author&gt;Dicuonzo, Grazia&lt;/author&gt;&lt;author&gt;Donofrio, Francesca&lt;/author&gt;&lt;author&gt;Iannuzzi, Antonia Patrizia&lt;/author&gt;&lt;author&gt;Dell’Atti, Vittorio&lt;/author&gt;&lt;/authors&gt;&lt;/contributors&gt;&lt;titles&gt;&lt;title&gt;The integration of sustainability in corporate governance systems: an innovative framework applied to the European systematically important banks&lt;/title&gt;&lt;secondary-title&gt;International Journal of Disclosure and Governance&lt;/secondary-title&gt;&lt;/titles&gt;&lt;periodical&gt;&lt;full-title&gt;International Journal of Disclosure and Governance&lt;/full-title&gt;&lt;/periodical&gt;&lt;pages&gt;249-263&lt;/pages&gt;&lt;volume&gt;19&lt;/volume&gt;&lt;number&gt;3&lt;/number&gt;&lt;dates&gt;&lt;year&gt;2022&lt;/year&gt;&lt;/dates&gt;&lt;isbn&gt;1741-3591&lt;/isbn&gt;&lt;urls&gt;&lt;/urls&gt;&lt;/record&gt;&lt;/Cite&gt;&lt;/EndNote&gt;</w:instrText>
      </w:r>
      <w:r w:rsidR="003C4CA9" w:rsidRPr="00FF3475">
        <w:rPr>
          <w:rFonts w:ascii="Times New Roman" w:hAnsi="Times New Roman" w:cs="Times New Roman"/>
          <w:sz w:val="24"/>
          <w:szCs w:val="24"/>
        </w:rPr>
        <w:fldChar w:fldCharType="separate"/>
      </w:r>
      <w:r w:rsidR="003C4CA9" w:rsidRPr="00FF3475">
        <w:rPr>
          <w:rFonts w:ascii="Times New Roman" w:hAnsi="Times New Roman" w:cs="Times New Roman"/>
          <w:noProof/>
          <w:sz w:val="24"/>
          <w:szCs w:val="24"/>
        </w:rPr>
        <w:t>(Dicuonzo et al., 2022)</w:t>
      </w:r>
      <w:r w:rsidR="003C4CA9"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65BC0E74" w14:textId="15116122" w:rsidR="00531860" w:rsidRPr="00FF3475" w:rsidRDefault="00531860" w:rsidP="00531860">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For Saudi companies, the embedding of ESG into risk management is a strategic opportunity for them to bring their business objectives in alignment with the wider national Vision 2030 goals. Including ESG considerations into their risk management frameworks can enable organizations to fulfil their </w:t>
      </w:r>
      <w:r w:rsidR="00FF73B7" w:rsidRPr="00FF3475">
        <w:rPr>
          <w:rFonts w:ascii="Times New Roman" w:hAnsi="Times New Roman" w:cs="Times New Roman"/>
          <w:sz w:val="24"/>
          <w:szCs w:val="24"/>
        </w:rPr>
        <w:t>self-interests</w:t>
      </w:r>
      <w:r w:rsidRPr="00FF3475">
        <w:rPr>
          <w:rFonts w:ascii="Times New Roman" w:hAnsi="Times New Roman" w:cs="Times New Roman"/>
          <w:sz w:val="24"/>
          <w:szCs w:val="24"/>
        </w:rPr>
        <w:t xml:space="preserve"> as well as support on the Kingdom’s overall sustainability agenda. Particularly applicable to sectors such as oil and gas, manufacturing and construction where environmental and social impact can be high. It also is that as more and more global investors are placing ESG factors in their investment criteria, Saudi businesses which take ESG aligned approach to risk will be preferred by more foreign investment, thereby enhancing their global competitiveness and improving their reputation as being a responsible corporate citizen</w:t>
      </w:r>
      <w:r w:rsidR="003C4CA9" w:rsidRPr="00FF3475">
        <w:rPr>
          <w:rFonts w:ascii="Times New Roman" w:hAnsi="Times New Roman" w:cs="Times New Roman"/>
          <w:sz w:val="24"/>
          <w:szCs w:val="24"/>
        </w:rPr>
        <w:fldChar w:fldCharType="begin"/>
      </w:r>
      <w:r w:rsidR="003C4CA9" w:rsidRPr="00FF3475">
        <w:rPr>
          <w:rFonts w:ascii="Times New Roman" w:hAnsi="Times New Roman" w:cs="Times New Roman"/>
          <w:sz w:val="24"/>
          <w:szCs w:val="24"/>
        </w:rPr>
        <w:instrText xml:space="preserve"> ADDIN EN.CITE &lt;EndNote&gt;&lt;Cite&gt;&lt;Author&gt;Umar&lt;/Author&gt;&lt;Year&gt;2024&lt;/Year&gt;&lt;RecNum&gt;2416&lt;/RecNum&gt;&lt;DisplayText&gt;(Umar et al., 2024)&lt;/DisplayText&gt;&lt;record&gt;&lt;rec-number&gt;2416&lt;/rec-number&gt;&lt;foreign-keys&gt;&lt;key app="EN" db-id="vp0t0fz5q9wvv2etf21x9vp5rv92ew2dstft" timestamp="1728727590"&gt;2416&lt;/key&gt;&lt;/foreign-keys&gt;&lt;ref-type name="Journal Article"&gt;17&lt;/ref-type&gt;&lt;contributors&gt;&lt;authors&gt;&lt;author&gt;Umar, Umar Habibu&lt;/author&gt;&lt;author&gt;Firmansyah, Egi Arvian&lt;/author&gt;&lt;author&gt;Danlami, Muhammad Rabiu&lt;/author&gt;&lt;author&gt;Al-Faryan, Mamdouh Abdulaziz Saleh&lt;/author&gt;&lt;/authors&gt;&lt;/contributors&gt;&lt;titles&gt;&lt;title&gt;Revisiting the relationship between corporate governance mechanisms and ESG disclosures in Saudi Arabia&lt;/title&gt;&lt;secondary-title&gt;Journal of Accounting &amp;amp; Organizational Change&lt;/secondary-title&gt;&lt;/titles&gt;&lt;periodical&gt;&lt;full-title&gt;Journal of Accounting &amp;amp; Organizational Change&lt;/full-title&gt;&lt;/periodical&gt;&lt;pages&gt;724-747&lt;/pages&gt;&lt;volume&gt;20&lt;/volume&gt;&lt;number&gt;4&lt;/number&gt;&lt;dates&gt;&lt;year&gt;2024&lt;/year&gt;&lt;/dates&gt;&lt;isbn&gt;1832-5912&lt;/isbn&gt;&lt;urls&gt;&lt;/urls&gt;&lt;/record&gt;&lt;/Cite&gt;&lt;/EndNote&gt;</w:instrText>
      </w:r>
      <w:r w:rsidR="003C4CA9" w:rsidRPr="00FF3475">
        <w:rPr>
          <w:rFonts w:ascii="Times New Roman" w:hAnsi="Times New Roman" w:cs="Times New Roman"/>
          <w:sz w:val="24"/>
          <w:szCs w:val="24"/>
        </w:rPr>
        <w:fldChar w:fldCharType="separate"/>
      </w:r>
      <w:r w:rsidR="003C4CA9" w:rsidRPr="00FF3475">
        <w:rPr>
          <w:rFonts w:ascii="Times New Roman" w:hAnsi="Times New Roman" w:cs="Times New Roman"/>
          <w:noProof/>
          <w:sz w:val="24"/>
          <w:szCs w:val="24"/>
        </w:rPr>
        <w:t>(Umar et al., 2024)</w:t>
      </w:r>
      <w:r w:rsidR="003C4CA9"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28095B5E" w14:textId="26987BBF" w:rsidR="000C4CBD" w:rsidRPr="00FF3475" w:rsidRDefault="00531860" w:rsidP="00531860">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For organizations in Saudi Arabia, to become more sustainable and good governed, ESG principles </w:t>
      </w:r>
      <w:proofErr w:type="gramStart"/>
      <w:r w:rsidRPr="00FF3475">
        <w:rPr>
          <w:rFonts w:ascii="Times New Roman" w:hAnsi="Times New Roman" w:cs="Times New Roman"/>
          <w:sz w:val="24"/>
          <w:szCs w:val="24"/>
        </w:rPr>
        <w:t>have to</w:t>
      </w:r>
      <w:proofErr w:type="gramEnd"/>
      <w:r w:rsidRPr="00FF3475">
        <w:rPr>
          <w:rFonts w:ascii="Times New Roman" w:hAnsi="Times New Roman" w:cs="Times New Roman"/>
          <w:sz w:val="24"/>
          <w:szCs w:val="24"/>
        </w:rPr>
        <w:t xml:space="preserve"> be integrated into risk management. The aim of this study is to analyze how the adoption of ESG based risk management practices would enable corporate resilience, fuel sustainable growth and help achieve Vision 2030 targets</w:t>
      </w:r>
      <w:r w:rsidR="003C4CA9" w:rsidRPr="00FF3475">
        <w:rPr>
          <w:rFonts w:ascii="Times New Roman" w:hAnsi="Times New Roman" w:cs="Times New Roman"/>
          <w:sz w:val="24"/>
          <w:szCs w:val="24"/>
        </w:rPr>
        <w:fldChar w:fldCharType="begin"/>
      </w:r>
      <w:r w:rsidR="003C4CA9" w:rsidRPr="00FF3475">
        <w:rPr>
          <w:rFonts w:ascii="Times New Roman" w:hAnsi="Times New Roman" w:cs="Times New Roman"/>
          <w:sz w:val="24"/>
          <w:szCs w:val="24"/>
        </w:rPr>
        <w:instrText xml:space="preserve"> ADDIN EN.CITE &lt;EndNote&gt;&lt;Cite&gt;&lt;Author&gt;Chebbi&lt;/Author&gt;&lt;Year&gt;2022&lt;/Year&gt;&lt;RecNum&gt;2417&lt;/RecNum&gt;&lt;DisplayText&gt;(Chebbi &amp;amp; Ammer, 2022)&lt;/DisplayText&gt;&lt;record&gt;&lt;rec-number&gt;2417&lt;/rec-number&gt;&lt;foreign-keys&gt;&lt;key app="EN" db-id="vp0t0fz5q9wvv2etf21x9vp5rv92ew2dstft" timestamp="1728727617"&gt;2417&lt;/key&gt;&lt;/foreign-keys&gt;&lt;ref-type name="Journal Article"&gt;17&lt;/ref-type&gt;&lt;contributors&gt;&lt;authors&gt;&lt;author&gt;Chebbi, Kaouther&lt;/author&gt;&lt;author&gt;Ammer, Mohammed Abdullah&lt;/author&gt;&lt;/authors&gt;&lt;/contributors&gt;&lt;titles&gt;&lt;title&gt;Board composition and ESG disclosure in Saudi Arabia: The moderating role of corporate governance reforms&lt;/title&gt;&lt;secondary-title&gt;Sustainability&lt;/secondary-title&gt;&lt;/titles&gt;&lt;periodical&gt;&lt;full-title&gt;Sustainability&lt;/full-title&gt;&lt;/periodical&gt;&lt;pages&gt;12173&lt;/pages&gt;&lt;volume&gt;14&lt;/volume&gt;&lt;number&gt;19&lt;/number&gt;&lt;dates&gt;&lt;year&gt;2022&lt;/year&gt;&lt;/dates&gt;&lt;isbn&gt;2071-1050&lt;/isbn&gt;&lt;urls&gt;&lt;/urls&gt;&lt;/record&gt;&lt;/Cite&gt;&lt;/EndNote&gt;</w:instrText>
      </w:r>
      <w:r w:rsidR="003C4CA9" w:rsidRPr="00FF3475">
        <w:rPr>
          <w:rFonts w:ascii="Times New Roman" w:hAnsi="Times New Roman" w:cs="Times New Roman"/>
          <w:sz w:val="24"/>
          <w:szCs w:val="24"/>
        </w:rPr>
        <w:fldChar w:fldCharType="separate"/>
      </w:r>
      <w:r w:rsidR="003C4CA9" w:rsidRPr="00FF3475">
        <w:rPr>
          <w:rFonts w:ascii="Times New Roman" w:hAnsi="Times New Roman" w:cs="Times New Roman"/>
          <w:noProof/>
          <w:sz w:val="24"/>
          <w:szCs w:val="24"/>
        </w:rPr>
        <w:t>(Chebbi &amp; Ammer, 2022)</w:t>
      </w:r>
      <w:r w:rsidR="003C4CA9"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This research will benefit </w:t>
      </w:r>
      <w:r w:rsidRPr="00FF3475">
        <w:rPr>
          <w:rFonts w:ascii="Times New Roman" w:hAnsi="Times New Roman" w:cs="Times New Roman"/>
          <w:sz w:val="24"/>
          <w:szCs w:val="24"/>
        </w:rPr>
        <w:lastRenderedPageBreak/>
        <w:t>Saudi businesses that seek to understand the link between ESG factors and risk management as a means of navigating the messy corporate sustainability and governance</w:t>
      </w:r>
      <w:r w:rsidR="000C4CBD" w:rsidRPr="00FF3475">
        <w:rPr>
          <w:rFonts w:ascii="Times New Roman" w:hAnsi="Times New Roman" w:cs="Times New Roman"/>
          <w:sz w:val="24"/>
          <w:szCs w:val="24"/>
        </w:rPr>
        <w:t>.</w:t>
      </w:r>
    </w:p>
    <w:p w14:paraId="0A02FED7" w14:textId="77777777" w:rsidR="000C4CBD" w:rsidRPr="00FF3475" w:rsidRDefault="000C4CBD" w:rsidP="0083582F">
      <w:pPr>
        <w:pStyle w:val="Heading2"/>
        <w:rPr>
          <w:rFonts w:ascii="Times New Roman" w:hAnsi="Times New Roman" w:cs="Times New Roman"/>
          <w:color w:val="auto"/>
        </w:rPr>
      </w:pPr>
      <w:bookmarkStart w:id="2" w:name="_Toc180406322"/>
      <w:r w:rsidRPr="00FF3475">
        <w:rPr>
          <w:rFonts w:ascii="Times New Roman" w:hAnsi="Times New Roman" w:cs="Times New Roman"/>
          <w:color w:val="auto"/>
        </w:rPr>
        <w:t>1.2 Problem Statement</w:t>
      </w:r>
      <w:bookmarkEnd w:id="2"/>
    </w:p>
    <w:p w14:paraId="67ECF6F7" w14:textId="52483ED4" w:rsidR="00460431" w:rsidRPr="00FF3475" w:rsidRDefault="00460431" w:rsidP="00460431">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Even as a growing slice of the global focus on Environmental, Social and Governance (ESG) principles begins to gain traction, many Saudi Arabia-based organizations are far from making these considerations a part of their risk management frameworks</w:t>
      </w:r>
      <w:r w:rsidR="00430800" w:rsidRPr="00FF3475">
        <w:rPr>
          <w:rFonts w:ascii="Times New Roman" w:hAnsi="Times New Roman" w:cs="Times New Roman"/>
          <w:sz w:val="24"/>
          <w:szCs w:val="24"/>
        </w:rPr>
        <w:fldChar w:fldCharType="begin"/>
      </w:r>
      <w:r w:rsidR="00430800" w:rsidRPr="00FF3475">
        <w:rPr>
          <w:rFonts w:ascii="Times New Roman" w:hAnsi="Times New Roman" w:cs="Times New Roman"/>
          <w:sz w:val="24"/>
          <w:szCs w:val="24"/>
        </w:rPr>
        <w:instrText xml:space="preserve"> ADDIN EN.CITE &lt;EndNote&gt;&lt;Cite&gt;&lt;Author&gt;Abo Shareb&lt;/Author&gt;&lt;Year&gt;2023&lt;/Year&gt;&lt;RecNum&gt;2418&lt;/RecNum&gt;&lt;DisplayText&gt;(Abo Shareb, 2023)&lt;/DisplayText&gt;&lt;record&gt;&lt;rec-number&gt;2418&lt;/rec-number&gt;&lt;foreign-keys&gt;&lt;key app="EN" db-id="vp0t0fz5q9wvv2etf21x9vp5rv92ew2dstft" timestamp="1728727669"&gt;2418&lt;/key&gt;&lt;/foreign-keys&gt;&lt;ref-type name="Thesis"&gt;32&lt;/ref-type&gt;&lt;contributors&gt;&lt;authors&gt;&lt;author&gt;Abo Shareb, Nora&lt;/author&gt;&lt;/authors&gt;&lt;/contributors&gt;&lt;titles&gt;&lt;title&gt;CSR in law and practice in Saudi Arabia compared with the UK model&lt;/title&gt;&lt;/titles&gt;&lt;dates&gt;&lt;year&gt;2023&lt;/year&gt;&lt;/dates&gt;&lt;publisher&gt;University of Sheffield&lt;/publisher&gt;&lt;urls&gt;&lt;/urls&gt;&lt;/record&gt;&lt;/Cite&gt;&lt;/EndNote&gt;</w:instrText>
      </w:r>
      <w:r w:rsidR="00430800" w:rsidRPr="00FF3475">
        <w:rPr>
          <w:rFonts w:ascii="Times New Roman" w:hAnsi="Times New Roman" w:cs="Times New Roman"/>
          <w:sz w:val="24"/>
          <w:szCs w:val="24"/>
        </w:rPr>
        <w:fldChar w:fldCharType="separate"/>
      </w:r>
      <w:r w:rsidR="00430800" w:rsidRPr="00FF3475">
        <w:rPr>
          <w:rFonts w:ascii="Times New Roman" w:hAnsi="Times New Roman" w:cs="Times New Roman"/>
          <w:noProof/>
          <w:sz w:val="24"/>
          <w:szCs w:val="24"/>
        </w:rPr>
        <w:t>(Abo Shareb, 2023)</w:t>
      </w:r>
      <w:r w:rsidR="00430800" w:rsidRPr="00FF3475">
        <w:rPr>
          <w:rFonts w:ascii="Times New Roman" w:hAnsi="Times New Roman" w:cs="Times New Roman"/>
          <w:sz w:val="24"/>
          <w:szCs w:val="24"/>
        </w:rPr>
        <w:fldChar w:fldCharType="end"/>
      </w:r>
      <w:r w:rsidRPr="00FF3475">
        <w:rPr>
          <w:rFonts w:ascii="Times New Roman" w:hAnsi="Times New Roman" w:cs="Times New Roman"/>
          <w:sz w:val="24"/>
          <w:szCs w:val="24"/>
        </w:rPr>
        <w:t>. While some companies have started to understand the relevance of ESG factors in shaping sustainable and ethical business behaviors, many other companies do not have robust ESG integration strategies in their existing risk management framework</w:t>
      </w:r>
      <w:r w:rsidR="00430800" w:rsidRPr="00FF3475">
        <w:rPr>
          <w:rFonts w:ascii="Times New Roman" w:hAnsi="Times New Roman" w:cs="Times New Roman"/>
          <w:sz w:val="24"/>
          <w:szCs w:val="24"/>
        </w:rPr>
        <w:fldChar w:fldCharType="begin"/>
      </w:r>
      <w:r w:rsidR="00D30B3D" w:rsidRPr="00FF3475">
        <w:rPr>
          <w:rFonts w:ascii="Times New Roman" w:hAnsi="Times New Roman" w:cs="Times New Roman"/>
          <w:sz w:val="24"/>
          <w:szCs w:val="24"/>
        </w:rPr>
        <w:instrText xml:space="preserve"> ADDIN EN.CITE &lt;EndNote&gt;&lt;Cite&gt;&lt;Author&gt;Oprean-Stan&lt;/Author&gt;&lt;Year&gt;2020&lt;/Year&gt;&lt;RecNum&gt;2332&lt;/RecNum&gt;&lt;DisplayText&gt;(Oprean-Stan et al., 2020)&lt;/DisplayText&gt;&lt;record&gt;&lt;rec-number&gt;2332&lt;/rec-number&gt;&lt;foreign-keys&gt;&lt;key app="EN" db-id="vp0t0fz5q9wvv2etf21x9vp5rv92ew2dstft" timestamp="1728749533"&gt;2332&lt;/key&gt;&lt;/foreign-keys&gt;&lt;ref-type name="Journal Article"&gt;17&lt;/ref-type&gt;&lt;contributors&gt;&lt;authors&gt;&lt;author&gt;Oprean-Stan, Camelia&lt;/author&gt;&lt;author&gt;Oncioiu, Ionica&lt;/author&gt;&lt;author&gt;Iuga, Iulia Cristina&lt;/author&gt;&lt;author&gt;Stan, Sebastian&lt;/author&gt;&lt;/authors&gt;&lt;/contributors&gt;&lt;titles&gt;&lt;title&gt;Impact of sustainability reporting and inadequate management of ESG factors on corporate performance and sustainable growth&lt;/title&gt;&lt;secondary-title&gt;Sustainability&lt;/secondary-title&gt;&lt;/titles&gt;&lt;periodical&gt;&lt;full-title&gt;Sustainability&lt;/full-title&gt;&lt;/periodical&gt;&lt;pages&gt;8536&lt;/pages&gt;&lt;volume&gt;12&lt;/volume&gt;&lt;number&gt;20&lt;/number&gt;&lt;dates&gt;&lt;year&gt;2020&lt;/year&gt;&lt;/dates&gt;&lt;isbn&gt;2071-1050&lt;/isbn&gt;&lt;urls&gt;&lt;/urls&gt;&lt;/record&gt;&lt;/Cite&gt;&lt;/EndNote&gt;</w:instrText>
      </w:r>
      <w:r w:rsidR="00430800" w:rsidRPr="00FF3475">
        <w:rPr>
          <w:rFonts w:ascii="Times New Roman" w:hAnsi="Times New Roman" w:cs="Times New Roman"/>
          <w:sz w:val="24"/>
          <w:szCs w:val="24"/>
        </w:rPr>
        <w:fldChar w:fldCharType="separate"/>
      </w:r>
      <w:r w:rsidR="00430800" w:rsidRPr="00FF3475">
        <w:rPr>
          <w:rFonts w:ascii="Times New Roman" w:hAnsi="Times New Roman" w:cs="Times New Roman"/>
          <w:noProof/>
          <w:sz w:val="24"/>
          <w:szCs w:val="24"/>
        </w:rPr>
        <w:t>(Oprean-Stan et al., 2020)</w:t>
      </w:r>
      <w:r w:rsidR="00430800" w:rsidRPr="00FF3475">
        <w:rPr>
          <w:rFonts w:ascii="Times New Roman" w:hAnsi="Times New Roman" w:cs="Times New Roman"/>
          <w:sz w:val="24"/>
          <w:szCs w:val="24"/>
        </w:rPr>
        <w:fldChar w:fldCharType="end"/>
      </w:r>
      <w:r w:rsidRPr="00FF3475">
        <w:rPr>
          <w:rFonts w:ascii="Times New Roman" w:hAnsi="Times New Roman" w:cs="Times New Roman"/>
          <w:sz w:val="24"/>
          <w:szCs w:val="24"/>
        </w:rPr>
        <w:t>. Any gap in their ability to sufficiently perceive, evaluate and mitigate risks associated with ESG related issues, including climate change, social inequity and corporate governance risks will constrain their ability to effectively manage these types of risks.</w:t>
      </w:r>
    </w:p>
    <w:p w14:paraId="08CB531A" w14:textId="108ED973" w:rsidR="00460431" w:rsidRPr="00FF3475" w:rsidRDefault="00460431" w:rsidP="00460431">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Businesses in Saudi Arabia may find it challenging to adapt to emerging regulatory pressures, develop necessary abilities to respond to the needs of their stakeholders and adapt to the market shifts that arise from sustainability considerations, if there are no strong supports for ESG oriented risk management</w:t>
      </w:r>
      <w:r w:rsidR="00430800" w:rsidRPr="00FF3475">
        <w:rPr>
          <w:rFonts w:ascii="Times New Roman" w:hAnsi="Times New Roman" w:cs="Times New Roman"/>
          <w:sz w:val="24"/>
          <w:szCs w:val="24"/>
        </w:rPr>
        <w:fldChar w:fldCharType="begin"/>
      </w:r>
      <w:r w:rsidR="00430800" w:rsidRPr="00FF3475">
        <w:rPr>
          <w:rFonts w:ascii="Times New Roman" w:hAnsi="Times New Roman" w:cs="Times New Roman"/>
          <w:sz w:val="24"/>
          <w:szCs w:val="24"/>
        </w:rPr>
        <w:instrText xml:space="preserve"> ADDIN EN.CITE &lt;EndNote&gt;&lt;Cite&gt;&lt;Author&gt;Khamisu&lt;/Author&gt;&lt;Year&gt;2024&lt;/Year&gt;&lt;RecNum&gt;2420&lt;/RecNum&gt;&lt;DisplayText&gt;(Khamisu et al., 2024)&lt;/DisplayText&gt;&lt;record&gt;&lt;rec-number&gt;2420&lt;/rec-number&gt;&lt;foreign-keys&gt;&lt;key app="EN" db-id="vp0t0fz5q9wvv2etf21x9vp5rv92ew2dstft" timestamp="1728727751"&gt;2420&lt;/key&gt;&lt;/foreign-keys&gt;&lt;ref-type name="Journal Article"&gt;17&lt;/ref-type&gt;&lt;contributors&gt;&lt;authors&gt;&lt;author&gt;Khamisu, Muhammad Sani&lt;/author&gt;&lt;author&gt;Paluri, Ratna Achuta&lt;/author&gt;&lt;author&gt;Sonwaney, Vandana&lt;/author&gt;&lt;/authors&gt;&lt;/contributors&gt;&lt;titles&gt;&lt;title&gt;Stakeholders’ perspectives on critical success factors for environmental social and governance (ESG) implementation&lt;/title&gt;&lt;secondary-title&gt;Journal of Environmental Management&lt;/secondary-title&gt;&lt;/titles&gt;&lt;periodical&gt;&lt;full-title&gt;Journal of Environmental Management&lt;/full-title&gt;&lt;/periodical&gt;&lt;pages&gt;121583&lt;/pages&gt;&lt;volume&gt;365&lt;/volume&gt;&lt;dates&gt;&lt;year&gt;2024&lt;/year&gt;&lt;/dates&gt;&lt;isbn&gt;0301-4797&lt;/isbn&gt;&lt;urls&gt;&lt;/urls&gt;&lt;/record&gt;&lt;/Cite&gt;&lt;/EndNote&gt;</w:instrText>
      </w:r>
      <w:r w:rsidR="00430800" w:rsidRPr="00FF3475">
        <w:rPr>
          <w:rFonts w:ascii="Times New Roman" w:hAnsi="Times New Roman" w:cs="Times New Roman"/>
          <w:sz w:val="24"/>
          <w:szCs w:val="24"/>
        </w:rPr>
        <w:fldChar w:fldCharType="separate"/>
      </w:r>
      <w:r w:rsidR="00430800" w:rsidRPr="00FF3475">
        <w:rPr>
          <w:rFonts w:ascii="Times New Roman" w:hAnsi="Times New Roman" w:cs="Times New Roman"/>
          <w:noProof/>
          <w:sz w:val="24"/>
          <w:szCs w:val="24"/>
        </w:rPr>
        <w:t>(Khamisu et al., 2024)</w:t>
      </w:r>
      <w:r w:rsidR="00430800"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This might directly result in financial losses, or more likely, damage to reputation, possible loss of competitiveness and, indeed, the widening of the gulf between the rich and the poor. Lack of Integration – This lack of integration is a real barrier for corporate resilience and </w:t>
      </w:r>
      <w:r w:rsidR="003A3332"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growth for organizations seeking to align to Saudi Arabia’s Vision 2030, which prioritizes economic diversification and sustainability</w:t>
      </w:r>
      <w:r w:rsidR="00430800" w:rsidRPr="00FF3475">
        <w:rPr>
          <w:rFonts w:ascii="Times New Roman" w:hAnsi="Times New Roman" w:cs="Times New Roman"/>
          <w:sz w:val="24"/>
          <w:szCs w:val="24"/>
        </w:rPr>
        <w:fldChar w:fldCharType="begin"/>
      </w:r>
      <w:r w:rsidR="00430800" w:rsidRPr="00FF3475">
        <w:rPr>
          <w:rFonts w:ascii="Times New Roman" w:hAnsi="Times New Roman" w:cs="Times New Roman"/>
          <w:sz w:val="24"/>
          <w:szCs w:val="24"/>
        </w:rPr>
        <w:instrText xml:space="preserve"> ADDIN EN.CITE &lt;EndNote&gt;&lt;Cite&gt;&lt;Author&gt;Alharbi&lt;/Author&gt;&lt;Year&gt;2021&lt;/Year&gt;&lt;RecNum&gt;2421&lt;/RecNum&gt;&lt;DisplayText&gt;(Alharbi, 2021)&lt;/DisplayText&gt;&lt;record&gt;&lt;rec-number&gt;2421&lt;/rec-number&gt;&lt;foreign-keys&gt;&lt;key app="EN" db-id="vp0t0fz5q9wvv2etf21x9vp5rv92ew2dstft" timestamp="1728727798"&gt;2421&lt;/key&gt;&lt;/foreign-keys&gt;&lt;ref-type name="Thesis"&gt;32&lt;/ref-type&gt;&lt;contributors&gt;&lt;authors&gt;&lt;author&gt;Alharbi, Khalid Mujahid S&lt;/author&gt;&lt;/authors&gt;&lt;/contributors&gt;&lt;titles&gt;&lt;title&gt;The impact of the 2030 vision and firm characteristics on corporate social responsibility disclosure in Saudi Arabia&lt;/title&gt;&lt;/titles&gt;&lt;dates&gt;&lt;year&gt;2021&lt;/year&gt;&lt;/dates&gt;&lt;publisher&gt;Victoria University&lt;/publisher&gt;&lt;urls&gt;&lt;/urls&gt;&lt;/record&gt;&lt;/Cite&gt;&lt;/EndNote&gt;</w:instrText>
      </w:r>
      <w:r w:rsidR="00430800" w:rsidRPr="00FF3475">
        <w:rPr>
          <w:rFonts w:ascii="Times New Roman" w:hAnsi="Times New Roman" w:cs="Times New Roman"/>
          <w:sz w:val="24"/>
          <w:szCs w:val="24"/>
        </w:rPr>
        <w:fldChar w:fldCharType="separate"/>
      </w:r>
      <w:r w:rsidR="00430800" w:rsidRPr="00FF3475">
        <w:rPr>
          <w:rFonts w:ascii="Times New Roman" w:hAnsi="Times New Roman" w:cs="Times New Roman"/>
          <w:noProof/>
          <w:sz w:val="24"/>
          <w:szCs w:val="24"/>
        </w:rPr>
        <w:t>(Alharbi, 2021)</w:t>
      </w:r>
      <w:r w:rsidR="00430800"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2FF741D8" w14:textId="56ACFE2C" w:rsidR="000C4CBD" w:rsidRPr="00FF3475" w:rsidRDefault="00460431" w:rsidP="00460431">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This paper is an effort to fill this gap by focusing on the effects of integration of ESG characteristics on risk management processes in Saudi Arabia. In doing so, it will investigate ways in which ESG focused risk management can help improve corporate sustainability and governance, thereby providing organizations leveraged to thrive in today's complexities of business</w:t>
      </w:r>
      <w:r w:rsidR="000C4CBD" w:rsidRPr="00FF3475">
        <w:rPr>
          <w:rFonts w:ascii="Times New Roman" w:hAnsi="Times New Roman" w:cs="Times New Roman"/>
          <w:sz w:val="24"/>
          <w:szCs w:val="24"/>
        </w:rPr>
        <w:t>.</w:t>
      </w:r>
    </w:p>
    <w:p w14:paraId="3BA5B6BD" w14:textId="77777777" w:rsidR="000C4CBD" w:rsidRPr="00FF3475" w:rsidRDefault="000C4CBD" w:rsidP="0083582F">
      <w:pPr>
        <w:pStyle w:val="Heading2"/>
        <w:rPr>
          <w:rFonts w:ascii="Times New Roman" w:hAnsi="Times New Roman" w:cs="Times New Roman"/>
          <w:color w:val="auto"/>
        </w:rPr>
      </w:pPr>
      <w:bookmarkStart w:id="3" w:name="_Toc180406323"/>
      <w:r w:rsidRPr="00FF3475">
        <w:rPr>
          <w:rFonts w:ascii="Times New Roman" w:hAnsi="Times New Roman" w:cs="Times New Roman"/>
          <w:color w:val="auto"/>
        </w:rPr>
        <w:t>1.3 Research Objectives</w:t>
      </w:r>
      <w:bookmarkEnd w:id="3"/>
    </w:p>
    <w:p w14:paraId="5F603E22" w14:textId="77777777" w:rsidR="000C4CBD" w:rsidRPr="00FF3475" w:rsidRDefault="000C4CBD" w:rsidP="000C4CBD">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The main objectives of this study are:</w:t>
      </w:r>
    </w:p>
    <w:p w14:paraId="0A3C9784" w14:textId="77777777" w:rsidR="000C4CBD" w:rsidRPr="00FF3475" w:rsidRDefault="000C4CBD" w:rsidP="000C4CBD">
      <w:pPr>
        <w:numPr>
          <w:ilvl w:val="0"/>
          <w:numId w:val="1"/>
        </w:num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To analyze the influence of Environmental Factors on risk management practices within organizations in Saudi Arabia.</w:t>
      </w:r>
    </w:p>
    <w:p w14:paraId="518D4B6A" w14:textId="77777777" w:rsidR="000C4CBD" w:rsidRPr="00FF3475" w:rsidRDefault="000C4CBD" w:rsidP="000C4CBD">
      <w:pPr>
        <w:numPr>
          <w:ilvl w:val="0"/>
          <w:numId w:val="1"/>
        </w:num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To examine how Social Factors affect risk management practices in Saudi companies.</w:t>
      </w:r>
    </w:p>
    <w:p w14:paraId="3492FEA5" w14:textId="77777777" w:rsidR="000C4CBD" w:rsidRPr="00FF3475" w:rsidRDefault="000C4CBD" w:rsidP="000C4CBD">
      <w:pPr>
        <w:numPr>
          <w:ilvl w:val="0"/>
          <w:numId w:val="1"/>
        </w:num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lastRenderedPageBreak/>
        <w:t>To assess the role of Governance Factors in shaping risk management practices.</w:t>
      </w:r>
    </w:p>
    <w:p w14:paraId="063FD151" w14:textId="77777777" w:rsidR="000C4CBD" w:rsidRPr="00FF3475" w:rsidRDefault="000C4CBD" w:rsidP="000C4CBD">
      <w:pPr>
        <w:numPr>
          <w:ilvl w:val="0"/>
          <w:numId w:val="1"/>
        </w:num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To evaluate the overall impact of ESG-integrated risk management on Corporate Sustainability in Saudi Arabian organizations.</w:t>
      </w:r>
    </w:p>
    <w:p w14:paraId="594DCDF1" w14:textId="77777777" w:rsidR="000C4CBD" w:rsidRPr="00FF3475" w:rsidRDefault="000C4CBD" w:rsidP="0083582F">
      <w:pPr>
        <w:pStyle w:val="Heading2"/>
        <w:rPr>
          <w:rFonts w:ascii="Times New Roman" w:hAnsi="Times New Roman" w:cs="Times New Roman"/>
          <w:color w:val="auto"/>
        </w:rPr>
      </w:pPr>
      <w:bookmarkStart w:id="4" w:name="_Toc180406324"/>
      <w:r w:rsidRPr="00FF3475">
        <w:rPr>
          <w:rFonts w:ascii="Times New Roman" w:hAnsi="Times New Roman" w:cs="Times New Roman"/>
          <w:color w:val="auto"/>
        </w:rPr>
        <w:t>1.4 Research Questions</w:t>
      </w:r>
      <w:bookmarkEnd w:id="4"/>
    </w:p>
    <w:p w14:paraId="18E27543" w14:textId="77777777" w:rsidR="000C4CBD" w:rsidRPr="00FF3475" w:rsidRDefault="000C4CBD" w:rsidP="000C4CBD">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Based on the objectives, the study will address the following research questions:</w:t>
      </w:r>
    </w:p>
    <w:p w14:paraId="42B95598" w14:textId="77777777" w:rsidR="000C4CBD" w:rsidRPr="00FF3475" w:rsidRDefault="000C4CBD" w:rsidP="000C4CBD">
      <w:pPr>
        <w:numPr>
          <w:ilvl w:val="0"/>
          <w:numId w:val="2"/>
        </w:num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What is the relationship between Environmental Factors and risk management practices in Saudi organizations?</w:t>
      </w:r>
    </w:p>
    <w:p w14:paraId="5B158248" w14:textId="77777777" w:rsidR="000C4CBD" w:rsidRPr="00FF3475" w:rsidRDefault="000C4CBD" w:rsidP="000C4CBD">
      <w:pPr>
        <w:numPr>
          <w:ilvl w:val="0"/>
          <w:numId w:val="2"/>
        </w:num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How do Social Factors influence risk management practices in Saudi Arabia?</w:t>
      </w:r>
    </w:p>
    <w:p w14:paraId="6333EABB" w14:textId="77777777" w:rsidR="000C4CBD" w:rsidRPr="00FF3475" w:rsidRDefault="000C4CBD" w:rsidP="000C4CBD">
      <w:pPr>
        <w:numPr>
          <w:ilvl w:val="0"/>
          <w:numId w:val="2"/>
        </w:num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To what extent do Governance Factors impact risk management?</w:t>
      </w:r>
    </w:p>
    <w:p w14:paraId="59C0FB52" w14:textId="77777777" w:rsidR="000C4CBD" w:rsidRPr="00FF3475" w:rsidRDefault="000C4CBD" w:rsidP="000C4CBD">
      <w:pPr>
        <w:numPr>
          <w:ilvl w:val="0"/>
          <w:numId w:val="2"/>
        </w:num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How does ESG-integrated risk management contribute to enhancing Corporate Sustainability in Saudi Arabian organizations?</w:t>
      </w:r>
    </w:p>
    <w:p w14:paraId="5B766E80" w14:textId="77777777" w:rsidR="000C4CBD" w:rsidRPr="00FF3475" w:rsidRDefault="000C4CBD" w:rsidP="0083582F">
      <w:pPr>
        <w:pStyle w:val="Heading2"/>
        <w:rPr>
          <w:rFonts w:ascii="Times New Roman" w:hAnsi="Times New Roman" w:cs="Times New Roman"/>
          <w:color w:val="auto"/>
        </w:rPr>
      </w:pPr>
      <w:bookmarkStart w:id="5" w:name="_Toc180406325"/>
      <w:r w:rsidRPr="00FF3475">
        <w:rPr>
          <w:rFonts w:ascii="Times New Roman" w:hAnsi="Times New Roman" w:cs="Times New Roman"/>
          <w:color w:val="auto"/>
        </w:rPr>
        <w:t>1.5 Significance of the Study</w:t>
      </w:r>
      <w:bookmarkEnd w:id="5"/>
    </w:p>
    <w:p w14:paraId="7FB5D6BE" w14:textId="490A03FE" w:rsidR="00B817DD" w:rsidRPr="00FF3475" w:rsidRDefault="00C75883" w:rsidP="00B817DD">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w:t>
      </w:r>
      <w:r w:rsidR="00B817DD" w:rsidRPr="00FF3475">
        <w:rPr>
          <w:rFonts w:ascii="Times New Roman" w:hAnsi="Times New Roman" w:cs="Times New Roman"/>
          <w:sz w:val="24"/>
          <w:szCs w:val="24"/>
        </w:rPr>
        <w:t xml:space="preserve">he significance of this study is significant as it tackles an important research area in the dynamic arena of Environmental, Social and Corporate Governance (ESG) integration in the case of Saudi Arabia. Second, it adds to the growing literature on ESG by looking at how these principles can be leveraged for risk management in a highly transforming economic and social region. A deeper understanding of ESG integration’s alignment to corporate ESG practices in Saudi Arabia as national sustainability aspirations are implemented in Vision 2030 are necessary to align </w:t>
      </w:r>
      <w:r w:rsidR="00430800" w:rsidRPr="00FF3475">
        <w:rPr>
          <w:rFonts w:ascii="Times New Roman" w:hAnsi="Times New Roman" w:cs="Times New Roman"/>
          <w:sz w:val="24"/>
          <w:szCs w:val="24"/>
        </w:rPr>
        <w:t>organizational</w:t>
      </w:r>
      <w:r w:rsidR="00B817DD" w:rsidRPr="00FF3475">
        <w:rPr>
          <w:rFonts w:ascii="Times New Roman" w:hAnsi="Times New Roman" w:cs="Times New Roman"/>
          <w:sz w:val="24"/>
          <w:szCs w:val="24"/>
        </w:rPr>
        <w:t xml:space="preserve"> objectives with national sustainability aspirations. Through this concentrated lens, the study offers local insights grounded in the </w:t>
      </w:r>
      <w:proofErr w:type="gramStart"/>
      <w:r w:rsidR="00B817DD" w:rsidRPr="00FF3475">
        <w:rPr>
          <w:rFonts w:ascii="Times New Roman" w:hAnsi="Times New Roman" w:cs="Times New Roman"/>
          <w:sz w:val="24"/>
          <w:szCs w:val="24"/>
        </w:rPr>
        <w:t>particular challenges</w:t>
      </w:r>
      <w:proofErr w:type="gramEnd"/>
      <w:r w:rsidR="00B817DD" w:rsidRPr="00FF3475">
        <w:rPr>
          <w:rFonts w:ascii="Times New Roman" w:hAnsi="Times New Roman" w:cs="Times New Roman"/>
          <w:sz w:val="24"/>
          <w:szCs w:val="24"/>
        </w:rPr>
        <w:t xml:space="preserve"> and potential in Saudi businesses as they adjust to these major transformations.</w:t>
      </w:r>
    </w:p>
    <w:p w14:paraId="7DFC22FE" w14:textId="6E09E267" w:rsidR="00B817DD" w:rsidRPr="00FF3475" w:rsidRDefault="00B817DD" w:rsidP="00B817DD">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Secondly, this study’s findings provide important guidelines for corporate leaders, policymakers and stakeholders in Saudi Arabia on ways they can use ESG principles to improve both corporate governance and sustainability. With growing investor interest in such sustainable and ethically governed companies, the ability to incorporate ESG into risk management is not only good at addressing the emerging risks, but also in providing credibility and attracting investment. </w:t>
      </w:r>
      <w:r w:rsidR="00430800" w:rsidRPr="00FF3475">
        <w:rPr>
          <w:rFonts w:ascii="Times New Roman" w:hAnsi="Times New Roman" w:cs="Times New Roman"/>
          <w:sz w:val="24"/>
          <w:szCs w:val="24"/>
        </w:rPr>
        <w:t>T</w:t>
      </w:r>
      <w:r w:rsidRPr="00FF3475">
        <w:rPr>
          <w:rFonts w:ascii="Times New Roman" w:hAnsi="Times New Roman" w:cs="Times New Roman"/>
          <w:sz w:val="24"/>
          <w:szCs w:val="24"/>
        </w:rPr>
        <w:t xml:space="preserve">his research provides guiding practical lessons and identify key factors that influence successful ESG </w:t>
      </w:r>
      <w:r w:rsidRPr="00FF3475">
        <w:rPr>
          <w:rFonts w:ascii="Times New Roman" w:hAnsi="Times New Roman" w:cs="Times New Roman"/>
          <w:sz w:val="24"/>
          <w:szCs w:val="24"/>
        </w:rPr>
        <w:lastRenderedPageBreak/>
        <w:t xml:space="preserve">integration and allow organizations to increase their resilience, competitiveness and </w:t>
      </w:r>
      <w:r w:rsidR="00EB3138"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viability in a rapidly, changing market landscape.</w:t>
      </w:r>
    </w:p>
    <w:p w14:paraId="697A0C0C" w14:textId="7DA6ECE0" w:rsidR="000C4CBD" w:rsidRPr="00FF3475" w:rsidRDefault="00B817DD" w:rsidP="00B817DD">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The study outlines a roadmap for other emerging economies interested in similar practices. The study highlights the significance of the role of corporate governance while ensuring the ESG integration aids sustainable development by means of demonstrating how effective strategies in managing ESG related risk converge into robust benefits for responsible business practice</w:t>
      </w:r>
      <w:r w:rsidR="000C4CBD" w:rsidRPr="00FF3475">
        <w:rPr>
          <w:rFonts w:ascii="Times New Roman" w:hAnsi="Times New Roman" w:cs="Times New Roman"/>
          <w:sz w:val="24"/>
          <w:szCs w:val="24"/>
        </w:rPr>
        <w:t>.</w:t>
      </w:r>
    </w:p>
    <w:p w14:paraId="0A2D299D" w14:textId="77777777" w:rsidR="000C4CBD" w:rsidRPr="00FF3475" w:rsidRDefault="000C4CBD" w:rsidP="0083582F">
      <w:pPr>
        <w:pStyle w:val="Heading2"/>
        <w:rPr>
          <w:rFonts w:ascii="Times New Roman" w:hAnsi="Times New Roman" w:cs="Times New Roman"/>
          <w:color w:val="auto"/>
        </w:rPr>
      </w:pPr>
      <w:bookmarkStart w:id="6" w:name="_Toc180406326"/>
      <w:r w:rsidRPr="00FF3475">
        <w:rPr>
          <w:rFonts w:ascii="Times New Roman" w:hAnsi="Times New Roman" w:cs="Times New Roman"/>
          <w:color w:val="auto"/>
        </w:rPr>
        <w:t>1.6 Scope of the Study</w:t>
      </w:r>
      <w:bookmarkEnd w:id="6"/>
    </w:p>
    <w:p w14:paraId="2452A3F9" w14:textId="33151837" w:rsidR="004C0333" w:rsidRPr="00FF3475" w:rsidRDefault="006A4E45" w:rsidP="000C4CBD">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In this study, we focus on organizations located within Saudi Arabia across the oil and gas, manufacturing, financial services, healthcare, and construction industries. This research will use a quantitative research approach where a survey questionnaire will be used to get data from in professionals engaged in risk management, ESG or sustainability roles. First, this study will examine how Environment, Social and Governance factors affect risk management; and then it will explain how the adoption of ESG integration influences corporate </w:t>
      </w:r>
      <w:proofErr w:type="gramStart"/>
      <w:r w:rsidRPr="00FF3475">
        <w:rPr>
          <w:rFonts w:ascii="Times New Roman" w:hAnsi="Times New Roman" w:cs="Times New Roman"/>
          <w:sz w:val="24"/>
          <w:szCs w:val="24"/>
        </w:rPr>
        <w:t>sustainability as a whole</w:t>
      </w:r>
      <w:proofErr w:type="gramEnd"/>
      <w:r w:rsidRPr="00FF3475">
        <w:rPr>
          <w:rFonts w:ascii="Times New Roman" w:hAnsi="Times New Roman" w:cs="Times New Roman"/>
          <w:sz w:val="24"/>
          <w:szCs w:val="24"/>
        </w:rPr>
        <w:t>. The focus of this research is to take a stance on the perspective from corporate professionals in Saudi Arabia, excluding organizations outside the country</w:t>
      </w:r>
      <w:r w:rsidR="000C4CBD" w:rsidRPr="00FF3475">
        <w:rPr>
          <w:rFonts w:ascii="Times New Roman" w:hAnsi="Times New Roman" w:cs="Times New Roman"/>
          <w:sz w:val="24"/>
          <w:szCs w:val="24"/>
        </w:rPr>
        <w:t>.</w:t>
      </w:r>
    </w:p>
    <w:p w14:paraId="45858068" w14:textId="77777777" w:rsidR="000C4CBD" w:rsidRPr="00FF3475" w:rsidRDefault="000C4CBD" w:rsidP="0083582F">
      <w:pPr>
        <w:pStyle w:val="Heading2"/>
        <w:rPr>
          <w:rFonts w:ascii="Times New Roman" w:hAnsi="Times New Roman" w:cs="Times New Roman"/>
          <w:color w:val="auto"/>
        </w:rPr>
      </w:pPr>
      <w:bookmarkStart w:id="7" w:name="_Toc180406327"/>
      <w:r w:rsidRPr="00FF3475">
        <w:rPr>
          <w:rFonts w:ascii="Times New Roman" w:hAnsi="Times New Roman" w:cs="Times New Roman"/>
          <w:color w:val="auto"/>
        </w:rPr>
        <w:t>1.7 Research Model</w:t>
      </w:r>
      <w:bookmarkEnd w:id="7"/>
    </w:p>
    <w:p w14:paraId="0FBE94F8" w14:textId="4D8E1013" w:rsidR="0006155A" w:rsidRPr="00FF3475" w:rsidRDefault="000C4CBD" w:rsidP="000C4CBD">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The research model for this study is designed to examine the relationship between three independent variables—Environmental Factors (EF), Social Factors (SF), and Governance Factors (GF)—and one dependent variable,</w:t>
      </w:r>
      <w:r w:rsidR="00001BE5" w:rsidRPr="00FF3475">
        <w:rPr>
          <w:rFonts w:ascii="Times New Roman" w:hAnsi="Times New Roman" w:cs="Times New Roman"/>
          <w:sz w:val="24"/>
          <w:szCs w:val="24"/>
        </w:rPr>
        <w:t xml:space="preserve"> Corporate Sustainability </w:t>
      </w:r>
      <w:r w:rsidR="00987C1D" w:rsidRPr="00FF3475">
        <w:rPr>
          <w:rFonts w:ascii="Times New Roman" w:hAnsi="Times New Roman" w:cs="Times New Roman"/>
          <w:sz w:val="24"/>
          <w:szCs w:val="24"/>
        </w:rPr>
        <w:t>and Risk</w:t>
      </w:r>
      <w:r w:rsidRPr="00FF3475">
        <w:rPr>
          <w:rFonts w:ascii="Times New Roman" w:hAnsi="Times New Roman" w:cs="Times New Roman"/>
          <w:sz w:val="24"/>
          <w:szCs w:val="24"/>
        </w:rPr>
        <w:t xml:space="preserve"> Management (RM)</w:t>
      </w:r>
      <w:r w:rsidR="00001BE5" w:rsidRPr="00FF3475">
        <w:rPr>
          <w:rFonts w:ascii="Times New Roman" w:hAnsi="Times New Roman" w:cs="Times New Roman"/>
          <w:sz w:val="24"/>
          <w:szCs w:val="24"/>
        </w:rPr>
        <w:t xml:space="preserve"> is mediating variable</w:t>
      </w:r>
      <w:r w:rsidRPr="00FF3475">
        <w:rPr>
          <w:rFonts w:ascii="Times New Roman" w:hAnsi="Times New Roman" w:cs="Times New Roman"/>
          <w:sz w:val="24"/>
          <w:szCs w:val="24"/>
        </w:rPr>
        <w:t xml:space="preserve">. </w:t>
      </w:r>
    </w:p>
    <w:p w14:paraId="5D114570" w14:textId="187FF1CF" w:rsidR="0006155A" w:rsidRPr="00FF3475" w:rsidRDefault="0006155A" w:rsidP="000C4CBD">
      <w:pPr>
        <w:spacing w:line="360" w:lineRule="auto"/>
        <w:jc w:val="both"/>
        <w:rPr>
          <w:rFonts w:ascii="Times New Roman" w:hAnsi="Times New Roman" w:cs="Times New Roman"/>
          <w:sz w:val="24"/>
          <w:szCs w:val="24"/>
        </w:rPr>
      </w:pPr>
      <w:r w:rsidRPr="00FF3475">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7F6C3F61" wp14:editId="6BF780EF">
                <wp:simplePos x="0" y="0"/>
                <wp:positionH relativeFrom="column">
                  <wp:posOffset>1790701</wp:posOffset>
                </wp:positionH>
                <wp:positionV relativeFrom="paragraph">
                  <wp:posOffset>290830</wp:posOffset>
                </wp:positionV>
                <wp:extent cx="1200150" cy="438150"/>
                <wp:effectExtent l="0" t="0" r="57150" b="76200"/>
                <wp:wrapNone/>
                <wp:docPr id="210782174" name="Straight Arrow Connector 2"/>
                <wp:cNvGraphicFramePr/>
                <a:graphic xmlns:a="http://schemas.openxmlformats.org/drawingml/2006/main">
                  <a:graphicData uri="http://schemas.microsoft.com/office/word/2010/wordprocessingShape">
                    <wps:wsp>
                      <wps:cNvCnPr/>
                      <wps:spPr>
                        <a:xfrm>
                          <a:off x="0" y="0"/>
                          <a:ext cx="1200150"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59C674C" id="_x0000_t32" coordsize="21600,21600" o:spt="32" o:oned="t" path="m,l21600,21600e" filled="f">
                <v:path arrowok="t" fillok="f" o:connecttype="none"/>
                <o:lock v:ext="edit" shapetype="t"/>
              </v:shapetype>
              <v:shape id="Straight Arrow Connector 2" o:spid="_x0000_s1026" type="#_x0000_t32" style="position:absolute;margin-left:141pt;margin-top:22.9pt;width:94.5pt;height: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" strokecolor="#4472c4 [3204]" strokeweight=".5pt">
                <v:stroke endarrow="block" joinstyle="miter"/>
              </v:shape>
            </w:pict>
          </mc:Fallback>
        </mc:AlternateContent>
      </w:r>
      <w:r w:rsidRPr="00FF347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5ED2AB2" wp14:editId="104A33E5">
                <wp:simplePos x="0" y="0"/>
                <wp:positionH relativeFrom="column">
                  <wp:posOffset>9525</wp:posOffset>
                </wp:positionH>
                <wp:positionV relativeFrom="paragraph">
                  <wp:posOffset>43180</wp:posOffset>
                </wp:positionV>
                <wp:extent cx="1771650" cy="561975"/>
                <wp:effectExtent l="0" t="0" r="19050" b="28575"/>
                <wp:wrapNone/>
                <wp:docPr id="1469210389" name="Rectangle 1"/>
                <wp:cNvGraphicFramePr/>
                <a:graphic xmlns:a="http://schemas.openxmlformats.org/drawingml/2006/main">
                  <a:graphicData uri="http://schemas.microsoft.com/office/word/2010/wordprocessingShape">
                    <wps:wsp>
                      <wps:cNvSpPr/>
                      <wps:spPr>
                        <a:xfrm>
                          <a:off x="0" y="0"/>
                          <a:ext cx="1771650" cy="5619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C64C0EE" w14:textId="602C711C" w:rsidR="0006155A" w:rsidRPr="0006155A" w:rsidRDefault="0006155A" w:rsidP="0006155A">
                            <w:pPr>
                              <w:jc w:val="center"/>
                              <w:rPr>
                                <w:rFonts w:ascii="Times New Roman" w:hAnsi="Times New Roman" w:cs="Times New Roman"/>
                              </w:rPr>
                            </w:pPr>
                            <w:r w:rsidRPr="0006155A">
                              <w:rPr>
                                <w:rFonts w:ascii="Times New Roman" w:hAnsi="Times New Roman" w:cs="Times New Roman"/>
                              </w:rPr>
                              <w:t>Environment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ED2AB2" id="Rectangle 1" o:spid="_x0000_s1026" style="position:absolute;left:0;text-align:left;margin-left:.75pt;margin-top:3.4pt;width:139.5pt;height:44.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" fillcolor="white [3201]" strokecolor="#70ad47 [3209]" strokeweight="1pt">
                <v:textbox>
                  <w:txbxContent>
                    <w:p w14:paraId="0C64C0EE" w14:textId="602C711C" w:rsidR="0006155A" w:rsidRPr="0006155A" w:rsidRDefault="0006155A" w:rsidP="0006155A">
                      <w:pPr>
                        <w:jc w:val="center"/>
                        <w:rPr>
                          <w:rFonts w:ascii="Times New Roman" w:hAnsi="Times New Roman" w:cs="Times New Roman"/>
                        </w:rPr>
                      </w:pPr>
                      <w:r w:rsidRPr="0006155A">
                        <w:rPr>
                          <w:rFonts w:ascii="Times New Roman" w:hAnsi="Times New Roman" w:cs="Times New Roman"/>
                        </w:rPr>
                        <w:t>Environment Factors</w:t>
                      </w:r>
                    </w:p>
                  </w:txbxContent>
                </v:textbox>
              </v:rect>
            </w:pict>
          </mc:Fallback>
        </mc:AlternateContent>
      </w:r>
    </w:p>
    <w:p w14:paraId="28A4D164" w14:textId="72222D42" w:rsidR="0006155A" w:rsidRPr="00FF3475" w:rsidRDefault="00CC47B5" w:rsidP="00CC47B5">
      <w:pPr>
        <w:tabs>
          <w:tab w:val="left" w:pos="3885"/>
        </w:tabs>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ab/>
      </w:r>
    </w:p>
    <w:p w14:paraId="1739D8E4" w14:textId="30D53E5B" w:rsidR="0006155A" w:rsidRPr="00FF3475" w:rsidRDefault="00FD2248" w:rsidP="00FD2248">
      <w:pPr>
        <w:tabs>
          <w:tab w:val="left" w:pos="3885"/>
          <w:tab w:val="left" w:pos="7305"/>
        </w:tabs>
        <w:spacing w:line="360" w:lineRule="auto"/>
        <w:jc w:val="both"/>
        <w:rPr>
          <w:rFonts w:ascii="Times New Roman" w:hAnsi="Times New Roman" w:cs="Times New Roman"/>
          <w:sz w:val="24"/>
          <w:szCs w:val="24"/>
        </w:rPr>
      </w:pPr>
      <w:r w:rsidRPr="00FF3475">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6D260B80" wp14:editId="659B7DB2">
                <wp:simplePos x="0" y="0"/>
                <wp:positionH relativeFrom="column">
                  <wp:posOffset>4533900</wp:posOffset>
                </wp:positionH>
                <wp:positionV relativeFrom="paragraph">
                  <wp:posOffset>257175</wp:posOffset>
                </wp:positionV>
                <wp:extent cx="619125" cy="0"/>
                <wp:effectExtent l="0" t="76200" r="9525" b="95250"/>
                <wp:wrapNone/>
                <wp:docPr id="1736000525" name="Straight Arrow Connector 8"/>
                <wp:cNvGraphicFramePr/>
                <a:graphic xmlns:a="http://schemas.openxmlformats.org/drawingml/2006/main">
                  <a:graphicData uri="http://schemas.microsoft.com/office/word/2010/wordprocessingShape">
                    <wps:wsp>
                      <wps:cNvCnPr/>
                      <wps:spPr>
                        <a:xfrm>
                          <a:off x="0" y="0"/>
                          <a:ext cx="6191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215193" id="Straight Arrow Connector 8" o:spid="_x0000_s1026" type="#_x0000_t32" style="position:absolute;margin-left:357pt;margin-top:20.25pt;width:48.7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" strokecolor="#4472c4 [3204]" strokeweight=".5pt">
                <v:stroke endarrow="block" joinstyle="miter"/>
              </v:shape>
            </w:pict>
          </mc:Fallback>
        </mc:AlternateContent>
      </w:r>
      <w:r w:rsidRPr="00FF3475">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0C9A473" wp14:editId="6E366EFF">
                <wp:simplePos x="0" y="0"/>
                <wp:positionH relativeFrom="column">
                  <wp:posOffset>1790700</wp:posOffset>
                </wp:positionH>
                <wp:positionV relativeFrom="paragraph">
                  <wp:posOffset>247650</wp:posOffset>
                </wp:positionV>
                <wp:extent cx="1181100" cy="9525"/>
                <wp:effectExtent l="0" t="57150" r="38100" b="85725"/>
                <wp:wrapNone/>
                <wp:docPr id="1420082529" name="Straight Arrow Connector 7"/>
                <wp:cNvGraphicFramePr/>
                <a:graphic xmlns:a="http://schemas.openxmlformats.org/drawingml/2006/main">
                  <a:graphicData uri="http://schemas.microsoft.com/office/word/2010/wordprocessingShape">
                    <wps:wsp>
                      <wps:cNvCnPr/>
                      <wps:spPr>
                        <a:xfrm>
                          <a:off x="0" y="0"/>
                          <a:ext cx="11811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E1ADB5" id="Straight Arrow Connector 7" o:spid="_x0000_s1026" type="#_x0000_t32" style="position:absolute;margin-left:141pt;margin-top:19.5pt;width:93pt;height:.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" strokecolor="#4472c4 [3204]" strokeweight=".5pt">
                <v:stroke endarrow="block" joinstyle="miter"/>
              </v:shape>
            </w:pict>
          </mc:Fallback>
        </mc:AlternateContent>
      </w:r>
      <w:r w:rsidRPr="00FF3475">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43CCD1DD" wp14:editId="545A5CB1">
                <wp:simplePos x="0" y="0"/>
                <wp:positionH relativeFrom="column">
                  <wp:posOffset>3009900</wp:posOffset>
                </wp:positionH>
                <wp:positionV relativeFrom="paragraph">
                  <wp:posOffset>9525</wp:posOffset>
                </wp:positionV>
                <wp:extent cx="1504950" cy="561975"/>
                <wp:effectExtent l="0" t="0" r="19050" b="28575"/>
                <wp:wrapNone/>
                <wp:docPr id="690559922" name="Rectangle 1"/>
                <wp:cNvGraphicFramePr/>
                <a:graphic xmlns:a="http://schemas.openxmlformats.org/drawingml/2006/main">
                  <a:graphicData uri="http://schemas.microsoft.com/office/word/2010/wordprocessingShape">
                    <wps:wsp>
                      <wps:cNvSpPr/>
                      <wps:spPr>
                        <a:xfrm>
                          <a:off x="0" y="0"/>
                          <a:ext cx="1504950" cy="5619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4963D4DC" w14:textId="62CB5CEF" w:rsidR="0006155A" w:rsidRPr="0006155A" w:rsidRDefault="00FD2248" w:rsidP="0006155A">
                            <w:pPr>
                              <w:jc w:val="center"/>
                              <w:rPr>
                                <w:rFonts w:ascii="Times New Roman" w:hAnsi="Times New Roman" w:cs="Times New Roman"/>
                              </w:rPr>
                            </w:pPr>
                            <w:r w:rsidRPr="000C4CBD">
                              <w:rPr>
                                <w:rFonts w:ascii="Times New Roman" w:hAnsi="Times New Roman" w:cs="Times New Roman"/>
                                <w:sz w:val="24"/>
                                <w:szCs w:val="24"/>
                              </w:rPr>
                              <w:t>Risk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CCD1DD" id="_x0000_s1027" style="position:absolute;left:0;text-align:left;margin-left:237pt;margin-top:.75pt;width:118.5pt;height:44.2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" fillcolor="white [3201]" strokecolor="#70ad47 [3209]" strokeweight="1pt">
                <v:textbox>
                  <w:txbxContent>
                    <w:p w14:paraId="4963D4DC" w14:textId="62CB5CEF" w:rsidR="0006155A" w:rsidRPr="0006155A" w:rsidRDefault="00FD2248" w:rsidP="0006155A">
                      <w:pPr>
                        <w:jc w:val="center"/>
                        <w:rPr>
                          <w:rFonts w:ascii="Times New Roman" w:hAnsi="Times New Roman" w:cs="Times New Roman"/>
                        </w:rPr>
                      </w:pPr>
                      <w:r w:rsidRPr="000C4CBD">
                        <w:rPr>
                          <w:rFonts w:ascii="Times New Roman" w:hAnsi="Times New Roman" w:cs="Times New Roman"/>
                          <w:sz w:val="24"/>
                          <w:szCs w:val="24"/>
                        </w:rPr>
                        <w:t>Risk Management</w:t>
                      </w:r>
                    </w:p>
                  </w:txbxContent>
                </v:textbox>
              </v:rect>
            </w:pict>
          </mc:Fallback>
        </mc:AlternateContent>
      </w:r>
      <w:r w:rsidRPr="00FF3475">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194A87C" wp14:editId="087813A4">
                <wp:simplePos x="0" y="0"/>
                <wp:positionH relativeFrom="column">
                  <wp:posOffset>5153025</wp:posOffset>
                </wp:positionH>
                <wp:positionV relativeFrom="paragraph">
                  <wp:posOffset>9525</wp:posOffset>
                </wp:positionV>
                <wp:extent cx="1504950" cy="561975"/>
                <wp:effectExtent l="0" t="0" r="19050" b="28575"/>
                <wp:wrapNone/>
                <wp:docPr id="82634616" name="Rectangle 1"/>
                <wp:cNvGraphicFramePr/>
                <a:graphic xmlns:a="http://schemas.openxmlformats.org/drawingml/2006/main">
                  <a:graphicData uri="http://schemas.microsoft.com/office/word/2010/wordprocessingShape">
                    <wps:wsp>
                      <wps:cNvSpPr/>
                      <wps:spPr>
                        <a:xfrm>
                          <a:off x="0" y="0"/>
                          <a:ext cx="1504950" cy="5619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F308E61" w14:textId="7E506266" w:rsidR="00FD2248" w:rsidRPr="0006155A" w:rsidRDefault="00FD2248" w:rsidP="00FD2248">
                            <w:pPr>
                              <w:jc w:val="center"/>
                              <w:rPr>
                                <w:rFonts w:ascii="Times New Roman" w:hAnsi="Times New Roman" w:cs="Times New Roman"/>
                              </w:rPr>
                            </w:pPr>
                            <w:r w:rsidRPr="000C4CBD">
                              <w:rPr>
                                <w:rFonts w:ascii="Times New Roman" w:hAnsi="Times New Roman" w:cs="Times New Roman"/>
                                <w:sz w:val="24"/>
                                <w:szCs w:val="24"/>
                              </w:rPr>
                              <w:t>Corporate 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94A87C" id="_x0000_s1028" style="position:absolute;left:0;text-align:left;margin-left:405.75pt;margin-top:.75pt;width:118.5pt;height:44.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" fillcolor="white [3201]" strokecolor="#70ad47 [3209]" strokeweight="1pt">
                <v:textbox>
                  <w:txbxContent>
                    <w:p w14:paraId="6F308E61" w14:textId="7E506266" w:rsidR="00FD2248" w:rsidRPr="0006155A" w:rsidRDefault="00FD2248" w:rsidP="00FD2248">
                      <w:pPr>
                        <w:jc w:val="center"/>
                        <w:rPr>
                          <w:rFonts w:ascii="Times New Roman" w:hAnsi="Times New Roman" w:cs="Times New Roman"/>
                        </w:rPr>
                      </w:pPr>
                      <w:r w:rsidRPr="000C4CBD">
                        <w:rPr>
                          <w:rFonts w:ascii="Times New Roman" w:hAnsi="Times New Roman" w:cs="Times New Roman"/>
                          <w:sz w:val="24"/>
                          <w:szCs w:val="24"/>
                        </w:rPr>
                        <w:t>Corporate Sustainability</w:t>
                      </w:r>
                    </w:p>
                  </w:txbxContent>
                </v:textbox>
              </v:rect>
            </w:pict>
          </mc:Fallback>
        </mc:AlternateContent>
      </w:r>
      <w:r w:rsidR="0006155A" w:rsidRPr="00FF3475">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1BE1BB1" wp14:editId="45390EEC">
                <wp:simplePos x="0" y="0"/>
                <wp:positionH relativeFrom="column">
                  <wp:posOffset>0</wp:posOffset>
                </wp:positionH>
                <wp:positionV relativeFrom="paragraph">
                  <wp:posOffset>0</wp:posOffset>
                </wp:positionV>
                <wp:extent cx="1771650" cy="561975"/>
                <wp:effectExtent l="0" t="0" r="19050" b="28575"/>
                <wp:wrapNone/>
                <wp:docPr id="907598596" name="Rectangle 1"/>
                <wp:cNvGraphicFramePr/>
                <a:graphic xmlns:a="http://schemas.openxmlformats.org/drawingml/2006/main">
                  <a:graphicData uri="http://schemas.microsoft.com/office/word/2010/wordprocessingShape">
                    <wps:wsp>
                      <wps:cNvSpPr/>
                      <wps:spPr>
                        <a:xfrm>
                          <a:off x="0" y="0"/>
                          <a:ext cx="1771650" cy="5619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50F866" w14:textId="1D01F3E2" w:rsidR="0006155A" w:rsidRPr="0006155A" w:rsidRDefault="0006155A" w:rsidP="0006155A">
                            <w:pPr>
                              <w:jc w:val="center"/>
                              <w:rPr>
                                <w:rFonts w:ascii="Times New Roman" w:hAnsi="Times New Roman" w:cs="Times New Roman"/>
                              </w:rPr>
                            </w:pPr>
                            <w:r w:rsidRPr="000C4CBD">
                              <w:rPr>
                                <w:rFonts w:ascii="Times New Roman" w:hAnsi="Times New Roman" w:cs="Times New Roman"/>
                                <w:sz w:val="24"/>
                                <w:szCs w:val="24"/>
                              </w:rPr>
                              <w:t>Social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BE1BB1" id="_x0000_s1029" style="position:absolute;left:0;text-align:left;margin-left:0;margin-top:0;width:139.5pt;height:4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" fillcolor="white [3201]" strokecolor="#70ad47 [3209]" strokeweight="1pt">
                <v:textbox>
                  <w:txbxContent>
                    <w:p w14:paraId="3D50F866" w14:textId="1D01F3E2" w:rsidR="0006155A" w:rsidRPr="0006155A" w:rsidRDefault="0006155A" w:rsidP="0006155A">
                      <w:pPr>
                        <w:jc w:val="center"/>
                        <w:rPr>
                          <w:rFonts w:ascii="Times New Roman" w:hAnsi="Times New Roman" w:cs="Times New Roman"/>
                        </w:rPr>
                      </w:pPr>
                      <w:r w:rsidRPr="000C4CBD">
                        <w:rPr>
                          <w:rFonts w:ascii="Times New Roman" w:hAnsi="Times New Roman" w:cs="Times New Roman"/>
                          <w:sz w:val="24"/>
                          <w:szCs w:val="24"/>
                        </w:rPr>
                        <w:t>Social Factors</w:t>
                      </w:r>
                    </w:p>
                  </w:txbxContent>
                </v:textbox>
              </v:rect>
            </w:pict>
          </mc:Fallback>
        </mc:AlternateContent>
      </w:r>
      <w:r w:rsidR="00CC47B5" w:rsidRPr="00FF3475">
        <w:rPr>
          <w:rFonts w:ascii="Times New Roman" w:hAnsi="Times New Roman" w:cs="Times New Roman"/>
          <w:sz w:val="24"/>
          <w:szCs w:val="24"/>
        </w:rPr>
        <w:tab/>
      </w:r>
      <w:r w:rsidRPr="00FF3475">
        <w:rPr>
          <w:rFonts w:ascii="Times New Roman" w:hAnsi="Times New Roman" w:cs="Times New Roman"/>
          <w:sz w:val="24"/>
          <w:szCs w:val="24"/>
        </w:rPr>
        <w:tab/>
        <w:t xml:space="preserve">   </w:t>
      </w:r>
    </w:p>
    <w:p w14:paraId="08D9014E" w14:textId="27197B30" w:rsidR="0006155A" w:rsidRPr="00FF3475" w:rsidRDefault="00371619" w:rsidP="00CC47B5">
      <w:pPr>
        <w:tabs>
          <w:tab w:val="left" w:pos="3885"/>
        </w:tabs>
        <w:spacing w:line="360" w:lineRule="auto"/>
        <w:jc w:val="both"/>
        <w:rPr>
          <w:rFonts w:ascii="Times New Roman" w:hAnsi="Times New Roman" w:cs="Times New Roman"/>
          <w:sz w:val="24"/>
          <w:szCs w:val="24"/>
        </w:rPr>
      </w:pPr>
      <w:r w:rsidRPr="00FF3475">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138AC1BA" wp14:editId="70F811A6">
                <wp:simplePos x="0" y="0"/>
                <wp:positionH relativeFrom="column">
                  <wp:posOffset>1790700</wp:posOffset>
                </wp:positionH>
                <wp:positionV relativeFrom="paragraph">
                  <wp:posOffset>111760</wp:posOffset>
                </wp:positionV>
                <wp:extent cx="1181100" cy="381000"/>
                <wp:effectExtent l="0" t="38100" r="57150" b="19050"/>
                <wp:wrapNone/>
                <wp:docPr id="1936607160" name="Straight Arrow Connector 5"/>
                <wp:cNvGraphicFramePr/>
                <a:graphic xmlns:a="http://schemas.openxmlformats.org/drawingml/2006/main">
                  <a:graphicData uri="http://schemas.microsoft.com/office/word/2010/wordprocessingShape">
                    <wps:wsp>
                      <wps:cNvCnPr/>
                      <wps:spPr>
                        <a:xfrm flipV="1">
                          <a:off x="0" y="0"/>
                          <a:ext cx="118110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82FB95" id="Straight Arrow Connector 5" o:spid="_x0000_s1026" type="#_x0000_t32" style="position:absolute;margin-left:141pt;margin-top:8.8pt;width:93pt;height:30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" strokecolor="#4472c4 [3204]" strokeweight=".5pt">
                <v:stroke endarrow="block" joinstyle="miter"/>
              </v:shape>
            </w:pict>
          </mc:Fallback>
        </mc:AlternateContent>
      </w:r>
      <w:r w:rsidR="00CC47B5" w:rsidRPr="00FF3475">
        <w:rPr>
          <w:rFonts w:ascii="Times New Roman" w:hAnsi="Times New Roman" w:cs="Times New Roman"/>
          <w:sz w:val="24"/>
          <w:szCs w:val="24"/>
        </w:rPr>
        <w:tab/>
      </w:r>
    </w:p>
    <w:p w14:paraId="7934B918" w14:textId="502A0A02" w:rsidR="0006155A" w:rsidRPr="00FF3475" w:rsidRDefault="0006155A" w:rsidP="000C4CBD">
      <w:pPr>
        <w:spacing w:line="360" w:lineRule="auto"/>
        <w:jc w:val="both"/>
        <w:rPr>
          <w:rFonts w:ascii="Times New Roman" w:hAnsi="Times New Roman" w:cs="Times New Roman"/>
          <w:sz w:val="24"/>
          <w:szCs w:val="24"/>
        </w:rPr>
      </w:pPr>
      <w:r w:rsidRPr="00FF3475">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7CED560" wp14:editId="54DCBE3B">
                <wp:simplePos x="0" y="0"/>
                <wp:positionH relativeFrom="column">
                  <wp:posOffset>0</wp:posOffset>
                </wp:positionH>
                <wp:positionV relativeFrom="paragraph">
                  <wp:posOffset>0</wp:posOffset>
                </wp:positionV>
                <wp:extent cx="1771650" cy="561975"/>
                <wp:effectExtent l="0" t="0" r="19050" b="28575"/>
                <wp:wrapNone/>
                <wp:docPr id="1042109511" name="Rectangle 1"/>
                <wp:cNvGraphicFramePr/>
                <a:graphic xmlns:a="http://schemas.openxmlformats.org/drawingml/2006/main">
                  <a:graphicData uri="http://schemas.microsoft.com/office/word/2010/wordprocessingShape">
                    <wps:wsp>
                      <wps:cNvSpPr/>
                      <wps:spPr>
                        <a:xfrm>
                          <a:off x="0" y="0"/>
                          <a:ext cx="1771650" cy="5619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3FDA1A3" w14:textId="6DB9DCB8" w:rsidR="0006155A" w:rsidRPr="0006155A" w:rsidRDefault="0006155A" w:rsidP="0006155A">
                            <w:pPr>
                              <w:jc w:val="center"/>
                              <w:rPr>
                                <w:rFonts w:ascii="Times New Roman" w:hAnsi="Times New Roman" w:cs="Times New Roman"/>
                              </w:rPr>
                            </w:pPr>
                            <w:r w:rsidRPr="000C4CBD">
                              <w:rPr>
                                <w:rFonts w:ascii="Times New Roman" w:hAnsi="Times New Roman" w:cs="Times New Roman"/>
                                <w:sz w:val="24"/>
                                <w:szCs w:val="24"/>
                              </w:rPr>
                              <w:t>Governance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ED560" id="_x0000_s1030" style="position:absolute;left:0;text-align:left;margin-left:0;margin-top:0;width:139.5pt;height:44.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" fillcolor="white [3201]" strokecolor="#70ad47 [3209]" strokeweight="1pt">
                <v:textbox>
                  <w:txbxContent>
                    <w:p w14:paraId="53FDA1A3" w14:textId="6DB9DCB8" w:rsidR="0006155A" w:rsidRPr="0006155A" w:rsidRDefault="0006155A" w:rsidP="0006155A">
                      <w:pPr>
                        <w:jc w:val="center"/>
                        <w:rPr>
                          <w:rFonts w:ascii="Times New Roman" w:hAnsi="Times New Roman" w:cs="Times New Roman"/>
                        </w:rPr>
                      </w:pPr>
                      <w:r w:rsidRPr="000C4CBD">
                        <w:rPr>
                          <w:rFonts w:ascii="Times New Roman" w:hAnsi="Times New Roman" w:cs="Times New Roman"/>
                          <w:sz w:val="24"/>
                          <w:szCs w:val="24"/>
                        </w:rPr>
                        <w:t>Governance Factors</w:t>
                      </w:r>
                    </w:p>
                  </w:txbxContent>
                </v:textbox>
              </v:rect>
            </w:pict>
          </mc:Fallback>
        </mc:AlternateContent>
      </w:r>
    </w:p>
    <w:p w14:paraId="022C863B" w14:textId="31CF290A" w:rsidR="0006155A" w:rsidRPr="00FF3475" w:rsidRDefault="0006155A" w:rsidP="000C4CBD">
      <w:pPr>
        <w:spacing w:line="360" w:lineRule="auto"/>
        <w:jc w:val="both"/>
        <w:rPr>
          <w:rFonts w:ascii="Times New Roman" w:hAnsi="Times New Roman" w:cs="Times New Roman"/>
          <w:sz w:val="24"/>
          <w:szCs w:val="24"/>
        </w:rPr>
      </w:pPr>
    </w:p>
    <w:p w14:paraId="31AFDC57" w14:textId="36BD13E8" w:rsidR="0006155A" w:rsidRPr="00FF3475" w:rsidRDefault="0006155A" w:rsidP="000C4CBD">
      <w:pPr>
        <w:spacing w:line="360" w:lineRule="auto"/>
        <w:jc w:val="both"/>
        <w:rPr>
          <w:rFonts w:ascii="Times New Roman" w:hAnsi="Times New Roman" w:cs="Times New Roman"/>
          <w:sz w:val="24"/>
          <w:szCs w:val="24"/>
        </w:rPr>
      </w:pPr>
    </w:p>
    <w:p w14:paraId="2D9BE941" w14:textId="1D6594FC" w:rsidR="000C4CBD" w:rsidRPr="00FF3475" w:rsidRDefault="000C4CBD" w:rsidP="000C4CBD">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lastRenderedPageBreak/>
        <w:t>The model hypotheses are as follows:</w:t>
      </w:r>
    </w:p>
    <w:p w14:paraId="05510A51" w14:textId="77777777" w:rsidR="00FA5511" w:rsidRPr="00FF3475" w:rsidRDefault="00FA5511" w:rsidP="00FA5511">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H1</w:t>
      </w:r>
      <w:r w:rsidRPr="00FF3475">
        <w:rPr>
          <w:rFonts w:ascii="Times New Roman" w:hAnsi="Times New Roman" w:cs="Times New Roman"/>
          <w:sz w:val="24"/>
          <w:szCs w:val="24"/>
        </w:rPr>
        <w:t>: Environmental Factors (EF) positively influence Corporate Sustainability (CS).</w:t>
      </w:r>
    </w:p>
    <w:p w14:paraId="110589C3" w14:textId="77777777" w:rsidR="00FA5511" w:rsidRPr="00FF3475" w:rsidRDefault="00FA5511" w:rsidP="00FA5511">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H2</w:t>
      </w:r>
      <w:r w:rsidRPr="00FF3475">
        <w:rPr>
          <w:rFonts w:ascii="Times New Roman" w:hAnsi="Times New Roman" w:cs="Times New Roman"/>
          <w:sz w:val="24"/>
          <w:szCs w:val="24"/>
        </w:rPr>
        <w:t>: Social Factors (SF) positively influence Corporate Sustainability (CS).</w:t>
      </w:r>
    </w:p>
    <w:p w14:paraId="1C82CA7E" w14:textId="77777777" w:rsidR="00FA5511" w:rsidRPr="00FF3475" w:rsidRDefault="00FA5511" w:rsidP="00FA5511">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H3</w:t>
      </w:r>
      <w:r w:rsidRPr="00FF3475">
        <w:rPr>
          <w:rFonts w:ascii="Times New Roman" w:hAnsi="Times New Roman" w:cs="Times New Roman"/>
          <w:sz w:val="24"/>
          <w:szCs w:val="24"/>
        </w:rPr>
        <w:t>: Governance Factors (GF) positively influence Corporate Sustainability (CS).</w:t>
      </w:r>
    </w:p>
    <w:p w14:paraId="609F16A4" w14:textId="77777777" w:rsidR="00FA5511" w:rsidRPr="00FF3475" w:rsidRDefault="00FA5511" w:rsidP="00FA5511">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H4</w:t>
      </w:r>
      <w:r w:rsidRPr="00FF3475">
        <w:rPr>
          <w:rFonts w:ascii="Times New Roman" w:hAnsi="Times New Roman" w:cs="Times New Roman"/>
          <w:sz w:val="24"/>
          <w:szCs w:val="24"/>
        </w:rPr>
        <w:t>: Risk Management (RM) mediates the relationship between Environmental Factors (EF) and Corporate Sustainability (CS).</w:t>
      </w:r>
    </w:p>
    <w:p w14:paraId="52348DBC" w14:textId="77777777" w:rsidR="00FA5511" w:rsidRPr="00FF3475" w:rsidRDefault="00FA5511" w:rsidP="00FA5511">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H5</w:t>
      </w:r>
      <w:r w:rsidRPr="00FF3475">
        <w:rPr>
          <w:rFonts w:ascii="Times New Roman" w:hAnsi="Times New Roman" w:cs="Times New Roman"/>
          <w:sz w:val="24"/>
          <w:szCs w:val="24"/>
        </w:rPr>
        <w:t>: Risk Management (RM) mediates the relationship between Social Factors (SF) and Corporate Sustainability (CS).</w:t>
      </w:r>
    </w:p>
    <w:p w14:paraId="0E48A604" w14:textId="4B4EB572" w:rsidR="004C0333" w:rsidRPr="00FF3475" w:rsidRDefault="00FA5511" w:rsidP="000C4CBD">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H6</w:t>
      </w:r>
      <w:r w:rsidRPr="00FF3475">
        <w:rPr>
          <w:rFonts w:ascii="Times New Roman" w:hAnsi="Times New Roman" w:cs="Times New Roman"/>
          <w:sz w:val="24"/>
          <w:szCs w:val="24"/>
        </w:rPr>
        <w:t>: Risk Management (RM) mediates the relationship between Governance Factors (GF) and Corporate Sustainability (CS).</w:t>
      </w:r>
    </w:p>
    <w:p w14:paraId="6B93CE54" w14:textId="455B0D25" w:rsidR="000C4CBD" w:rsidRPr="00FF3475" w:rsidRDefault="000C4CBD" w:rsidP="0083582F">
      <w:pPr>
        <w:pStyle w:val="Heading2"/>
        <w:rPr>
          <w:rFonts w:ascii="Times New Roman" w:hAnsi="Times New Roman" w:cs="Times New Roman"/>
          <w:color w:val="auto"/>
        </w:rPr>
      </w:pPr>
      <w:bookmarkStart w:id="8" w:name="_Toc180406328"/>
      <w:r w:rsidRPr="00FF3475">
        <w:rPr>
          <w:rFonts w:ascii="Times New Roman" w:hAnsi="Times New Roman" w:cs="Times New Roman"/>
          <w:color w:val="auto"/>
        </w:rPr>
        <w:t>1.8 Structure of the Thesis</w:t>
      </w:r>
      <w:bookmarkEnd w:id="8"/>
    </w:p>
    <w:p w14:paraId="205F539F" w14:textId="77777777" w:rsidR="000C4CBD" w:rsidRPr="00FF3475" w:rsidRDefault="000C4CBD" w:rsidP="000C4CBD">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The thesis is organized as follows:</w:t>
      </w:r>
    </w:p>
    <w:p w14:paraId="0417ABD8" w14:textId="77777777" w:rsidR="000C4CBD" w:rsidRPr="00FF3475" w:rsidRDefault="000C4CBD" w:rsidP="000C4CBD">
      <w:pPr>
        <w:numPr>
          <w:ilvl w:val="0"/>
          <w:numId w:val="4"/>
        </w:num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Chapter 2: Literature Review</w:t>
      </w:r>
      <w:r w:rsidRPr="00FF3475">
        <w:rPr>
          <w:rFonts w:ascii="Times New Roman" w:hAnsi="Times New Roman" w:cs="Times New Roman"/>
          <w:sz w:val="24"/>
          <w:szCs w:val="24"/>
        </w:rPr>
        <w:t xml:space="preserve"> - This chapter provides an overview of existing literature on ESG principles, risk management, and corporate sustainability, with a particular focus on the Saudi Arabian context.</w:t>
      </w:r>
    </w:p>
    <w:p w14:paraId="1B282FF9" w14:textId="77777777" w:rsidR="000C4CBD" w:rsidRPr="00FF3475" w:rsidRDefault="000C4CBD" w:rsidP="000C4CBD">
      <w:pPr>
        <w:numPr>
          <w:ilvl w:val="0"/>
          <w:numId w:val="4"/>
        </w:num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Chapter 3: Research Methodology</w:t>
      </w:r>
      <w:r w:rsidRPr="00FF3475">
        <w:rPr>
          <w:rFonts w:ascii="Times New Roman" w:hAnsi="Times New Roman" w:cs="Times New Roman"/>
          <w:sz w:val="24"/>
          <w:szCs w:val="24"/>
        </w:rPr>
        <w:t xml:space="preserve"> - This chapter outlines the research design, data collection methods, and analytical techniques used in the study.</w:t>
      </w:r>
    </w:p>
    <w:p w14:paraId="6FC52744" w14:textId="77777777" w:rsidR="000C4CBD" w:rsidRPr="00FF3475" w:rsidRDefault="000C4CBD" w:rsidP="000C4CBD">
      <w:pPr>
        <w:numPr>
          <w:ilvl w:val="0"/>
          <w:numId w:val="4"/>
        </w:num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Chapter 4: Data Analysis and Results</w:t>
      </w:r>
      <w:r w:rsidRPr="00FF3475">
        <w:rPr>
          <w:rFonts w:ascii="Times New Roman" w:hAnsi="Times New Roman" w:cs="Times New Roman"/>
          <w:sz w:val="24"/>
          <w:szCs w:val="24"/>
        </w:rPr>
        <w:t xml:space="preserve"> - This chapter presents the analysis of the data collected and discusses the results concerning the research hypotheses.</w:t>
      </w:r>
    </w:p>
    <w:p w14:paraId="7980444D" w14:textId="77777777" w:rsidR="000C4CBD" w:rsidRPr="00FF3475" w:rsidRDefault="000C4CBD" w:rsidP="000C4CBD">
      <w:pPr>
        <w:numPr>
          <w:ilvl w:val="0"/>
          <w:numId w:val="4"/>
        </w:num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Chapter 5: Discussion and Conclusion</w:t>
      </w:r>
      <w:r w:rsidRPr="00FF3475">
        <w:rPr>
          <w:rFonts w:ascii="Times New Roman" w:hAnsi="Times New Roman" w:cs="Times New Roman"/>
          <w:sz w:val="24"/>
          <w:szCs w:val="24"/>
        </w:rPr>
        <w:t xml:space="preserve"> - The final chapter discusses the implications of the findings, provides recommendations for corporate leaders and policymakers, and outlines areas for future research.</w:t>
      </w:r>
    </w:p>
    <w:p w14:paraId="400A0197" w14:textId="77777777" w:rsidR="000C4CBD" w:rsidRPr="00FF3475" w:rsidRDefault="000C4CBD" w:rsidP="000C4CBD">
      <w:pPr>
        <w:spacing w:line="360" w:lineRule="auto"/>
        <w:jc w:val="both"/>
        <w:rPr>
          <w:rFonts w:ascii="Times New Roman" w:hAnsi="Times New Roman" w:cs="Times New Roman"/>
          <w:sz w:val="24"/>
          <w:szCs w:val="24"/>
        </w:rPr>
      </w:pPr>
    </w:p>
    <w:p w14:paraId="401BCF34" w14:textId="77777777" w:rsidR="00DF6385" w:rsidRPr="00FF3475" w:rsidRDefault="00DF6385" w:rsidP="000C4CBD">
      <w:pPr>
        <w:spacing w:line="360" w:lineRule="auto"/>
        <w:jc w:val="both"/>
        <w:rPr>
          <w:rFonts w:ascii="Times New Roman" w:hAnsi="Times New Roman" w:cs="Times New Roman"/>
          <w:sz w:val="24"/>
          <w:szCs w:val="24"/>
        </w:rPr>
      </w:pPr>
    </w:p>
    <w:p w14:paraId="2D65EED5" w14:textId="77777777" w:rsidR="0004559E" w:rsidRPr="00FF3475" w:rsidRDefault="0004559E" w:rsidP="000C4CBD">
      <w:pPr>
        <w:spacing w:line="360" w:lineRule="auto"/>
        <w:jc w:val="both"/>
        <w:rPr>
          <w:rFonts w:ascii="Times New Roman" w:hAnsi="Times New Roman" w:cs="Times New Roman"/>
          <w:sz w:val="24"/>
          <w:szCs w:val="24"/>
        </w:rPr>
      </w:pPr>
    </w:p>
    <w:p w14:paraId="5D4FFE4E" w14:textId="77777777" w:rsidR="0083582F" w:rsidRPr="00FF3475" w:rsidRDefault="0083582F" w:rsidP="000C4CBD">
      <w:pPr>
        <w:spacing w:line="360" w:lineRule="auto"/>
        <w:jc w:val="both"/>
        <w:rPr>
          <w:rFonts w:ascii="Times New Roman" w:hAnsi="Times New Roman" w:cs="Times New Roman"/>
          <w:sz w:val="24"/>
          <w:szCs w:val="24"/>
        </w:rPr>
      </w:pPr>
    </w:p>
    <w:p w14:paraId="77CF40A6" w14:textId="77777777" w:rsidR="00DF6385" w:rsidRPr="00FF3475" w:rsidRDefault="00DF6385" w:rsidP="0083582F">
      <w:pPr>
        <w:pStyle w:val="Heading1"/>
        <w:rPr>
          <w:rFonts w:ascii="Times New Roman" w:hAnsi="Times New Roman" w:cs="Times New Roman"/>
          <w:color w:val="auto"/>
        </w:rPr>
      </w:pPr>
      <w:bookmarkStart w:id="9" w:name="_Toc180406329"/>
      <w:r w:rsidRPr="00FF3475">
        <w:rPr>
          <w:rFonts w:ascii="Times New Roman" w:hAnsi="Times New Roman" w:cs="Times New Roman"/>
          <w:color w:val="auto"/>
        </w:rPr>
        <w:lastRenderedPageBreak/>
        <w:t>Chapter 2: Literature Review</w:t>
      </w:r>
      <w:bookmarkEnd w:id="9"/>
    </w:p>
    <w:p w14:paraId="64F01A83" w14:textId="77777777" w:rsidR="00DF6385" w:rsidRPr="00FF3475" w:rsidRDefault="00DF6385" w:rsidP="0083582F">
      <w:pPr>
        <w:pStyle w:val="Heading2"/>
        <w:rPr>
          <w:rFonts w:ascii="Times New Roman" w:hAnsi="Times New Roman" w:cs="Times New Roman"/>
          <w:color w:val="auto"/>
        </w:rPr>
      </w:pPr>
      <w:bookmarkStart w:id="10" w:name="_Toc180406330"/>
      <w:r w:rsidRPr="00FF3475">
        <w:rPr>
          <w:rFonts w:ascii="Times New Roman" w:hAnsi="Times New Roman" w:cs="Times New Roman"/>
          <w:color w:val="auto"/>
        </w:rPr>
        <w:t>2.1 Introduction</w:t>
      </w:r>
      <w:bookmarkEnd w:id="10"/>
    </w:p>
    <w:p w14:paraId="4399DF8B" w14:textId="3998C6AA" w:rsidR="00F36014" w:rsidRPr="00FF3475" w:rsidRDefault="00F36014" w:rsidP="00F36014">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Over the last few years, Environmental, Social, and Governance (ESG) has been a main force in corporate governance and sustainability. The growth of ESG from a voluntary commitment to a central risk management tool reflects the increasing pressure requiring businesses to account for increased stakeholder, regulatory, and social demands. Integrating ESG in risk management is effective as it enables the </w:t>
      </w:r>
      <w:r w:rsidR="009C130A" w:rsidRPr="00FF3475">
        <w:rPr>
          <w:rFonts w:ascii="Times New Roman" w:hAnsi="Times New Roman" w:cs="Times New Roman"/>
          <w:sz w:val="24"/>
          <w:szCs w:val="24"/>
        </w:rPr>
        <w:t>organizations</w:t>
      </w:r>
      <w:r w:rsidRPr="00FF3475">
        <w:rPr>
          <w:rFonts w:ascii="Times New Roman" w:hAnsi="Times New Roman" w:cs="Times New Roman"/>
          <w:sz w:val="24"/>
          <w:szCs w:val="24"/>
        </w:rPr>
        <w:t xml:space="preserve"> to navigate those new risks brought about by climate change, mismatches in social inequality and governance failures and enables the </w:t>
      </w:r>
      <w:r w:rsidR="0080329A"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success of the </w:t>
      </w:r>
      <w:r w:rsidR="009C130A" w:rsidRPr="00FF3475">
        <w:rPr>
          <w:rFonts w:ascii="Times New Roman" w:hAnsi="Times New Roman" w:cs="Times New Roman"/>
          <w:sz w:val="24"/>
          <w:szCs w:val="24"/>
        </w:rPr>
        <w:t>organization</w:t>
      </w:r>
      <w:r w:rsidRPr="00FF3475">
        <w:rPr>
          <w:rFonts w:ascii="Times New Roman" w:hAnsi="Times New Roman" w:cs="Times New Roman"/>
          <w:sz w:val="24"/>
          <w:szCs w:val="24"/>
        </w:rPr>
        <w:t xml:space="preserve"> as well as corporate resiliency</w:t>
      </w:r>
      <w:r w:rsidR="009C130A" w:rsidRPr="00FF3475">
        <w:rPr>
          <w:rFonts w:ascii="Times New Roman" w:hAnsi="Times New Roman" w:cs="Times New Roman"/>
          <w:sz w:val="24"/>
          <w:szCs w:val="24"/>
        </w:rPr>
        <w:fldChar w:fldCharType="begin"/>
      </w:r>
      <w:r w:rsidR="009C130A" w:rsidRPr="00FF3475">
        <w:rPr>
          <w:rFonts w:ascii="Times New Roman" w:hAnsi="Times New Roman" w:cs="Times New Roman"/>
          <w:sz w:val="24"/>
          <w:szCs w:val="24"/>
        </w:rPr>
        <w:instrText xml:space="preserve"> ADDIN EN.CITE &lt;EndNote&gt;&lt;Cite&gt;&lt;Author&gt;Neri&lt;/Author&gt;&lt;Year&gt;2021&lt;/Year&gt;&lt;RecNum&gt;2422&lt;/RecNum&gt;&lt;DisplayText&gt;(Neri, 2021)&lt;/DisplayText&gt;&lt;record&gt;&lt;rec-number&gt;2422&lt;/rec-number&gt;&lt;foreign-keys&gt;&lt;key app="EN" db-id="vp0t0fz5q9wvv2etf21x9vp5rv92ew2dstft" timestamp="1728728256"&gt;2422&lt;/key&gt;&lt;/foreign-keys&gt;&lt;ref-type name="Journal Article"&gt;17&lt;/ref-type&gt;&lt;contributors&gt;&lt;authors&gt;&lt;author&gt;Neri, Selina&lt;/author&gt;&lt;/authors&gt;&lt;/contributors&gt;&lt;titles&gt;&lt;title&gt;Environmental, social and governance (ESG) and integrated reporting&lt;/title&gt;&lt;secondary-title&gt;Global Challenges to CSR and Sustainable Development: Root Causes and Evidence from Case Studies&lt;/secondary-title&gt;&lt;/titles&gt;&lt;periodical&gt;&lt;full-title&gt;Global Challenges to CSR and Sustainable Development: Root Causes and Evidence from Case Studies&lt;/full-title&gt;&lt;/periodical&gt;&lt;pages&gt;293-302&lt;/pages&gt;&lt;dates&gt;&lt;year&gt;2021&lt;/year&gt;&lt;/dates&gt;&lt;isbn&gt;3030625001&lt;/isbn&gt;&lt;urls&gt;&lt;/urls&gt;&lt;/record&gt;&lt;/Cite&gt;&lt;/EndNote&gt;</w:instrText>
      </w:r>
      <w:r w:rsidR="009C130A" w:rsidRPr="00FF3475">
        <w:rPr>
          <w:rFonts w:ascii="Times New Roman" w:hAnsi="Times New Roman" w:cs="Times New Roman"/>
          <w:sz w:val="24"/>
          <w:szCs w:val="24"/>
        </w:rPr>
        <w:fldChar w:fldCharType="separate"/>
      </w:r>
      <w:r w:rsidR="009C130A" w:rsidRPr="00FF3475">
        <w:rPr>
          <w:rFonts w:ascii="Times New Roman" w:hAnsi="Times New Roman" w:cs="Times New Roman"/>
          <w:noProof/>
          <w:sz w:val="24"/>
          <w:szCs w:val="24"/>
        </w:rPr>
        <w:t>(Neri, 2021)</w:t>
      </w:r>
      <w:r w:rsidR="009C130A" w:rsidRPr="00FF3475">
        <w:rPr>
          <w:rFonts w:ascii="Times New Roman" w:hAnsi="Times New Roman" w:cs="Times New Roman"/>
          <w:sz w:val="24"/>
          <w:szCs w:val="24"/>
        </w:rPr>
        <w:fldChar w:fldCharType="end"/>
      </w:r>
      <w:r w:rsidRPr="00FF3475">
        <w:rPr>
          <w:rFonts w:ascii="Times New Roman" w:hAnsi="Times New Roman" w:cs="Times New Roman"/>
          <w:sz w:val="24"/>
          <w:szCs w:val="24"/>
        </w:rPr>
        <w:t>. The purpose of this chapter is to provide a comprehensive review of the literature on ESG principles, the role of ESG principles in risk management, and the way ESG principles play a role in improving corporate sustainability, with a special emphasis on the peculiar situation of Saudi Arabia.</w:t>
      </w:r>
    </w:p>
    <w:p w14:paraId="31D6C7CF" w14:textId="500DC6BD" w:rsidR="00DF6385" w:rsidRPr="00FF3475" w:rsidRDefault="00F36014" w:rsidP="00DF6385">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Because Saudi Arabia’s Vision 2030 has only heightened the urgency for corporations to embrace sustainable practices that meet national goals, the Saudi Arabian General Investment Authority (SAGIA) offers its CEO Mohamed Al Madaikh the opportunity to collaborate with further international corporations in the region</w:t>
      </w:r>
      <w:r w:rsidR="00D01AD2" w:rsidRPr="00FF3475">
        <w:rPr>
          <w:rFonts w:ascii="Times New Roman" w:hAnsi="Times New Roman" w:cs="Times New Roman"/>
          <w:sz w:val="24"/>
          <w:szCs w:val="24"/>
        </w:rPr>
        <w:fldChar w:fldCharType="begin"/>
      </w:r>
      <w:r w:rsidR="00D01AD2" w:rsidRPr="00FF3475">
        <w:rPr>
          <w:rFonts w:ascii="Times New Roman" w:hAnsi="Times New Roman" w:cs="Times New Roman"/>
          <w:sz w:val="24"/>
          <w:szCs w:val="24"/>
        </w:rPr>
        <w:instrText xml:space="preserve"> ADDIN EN.CITE &lt;EndNote&gt;&lt;Cite&gt;&lt;Author&gt;Rahman&lt;/Author&gt;&lt;Year&gt;2021&lt;/Year&gt;&lt;RecNum&gt;2423&lt;/RecNum&gt;&lt;DisplayText&gt;(Rahman, 2021)&lt;/DisplayText&gt;&lt;record&gt;&lt;rec-number&gt;2423&lt;/rec-number&gt;&lt;foreign-keys&gt;&lt;key app="EN" db-id="vp0t0fz5q9wvv2etf21x9vp5rv92ew2dstft" timestamp="1728728341"&gt;2423&lt;/key&gt;&lt;/foreign-keys&gt;&lt;ref-type name="Journal Article"&gt;17&lt;/ref-type&gt;&lt;contributors&gt;&lt;authors&gt;&lt;author&gt;Rahman, Mohammad Naquibur&lt;/author&gt;&lt;/authors&gt;&lt;/contributors&gt;&lt;titles&gt;&lt;title&gt;Dynamics of Foreign Direct Investment In Saudi Arabian Economy&lt;/title&gt;&lt;secondary-title&gt;Academy of Entrepreneurship Journal&lt;/secondary-title&gt;&lt;/titles&gt;&lt;periodical&gt;&lt;full-title&gt;Academy of Entrepreneurship Journal&lt;/full-title&gt;&lt;/periodical&gt;&lt;pages&gt;1-16&lt;/pages&gt;&lt;volume&gt;27&lt;/volume&gt;&lt;dates&gt;&lt;year&gt;2021&lt;/year&gt;&lt;/dates&gt;&lt;isbn&gt;1087-9595&lt;/isbn&gt;&lt;urls&gt;&lt;/urls&gt;&lt;/record&gt;&lt;/Cite&gt;&lt;/EndNote&gt;</w:instrText>
      </w:r>
      <w:r w:rsidR="00D01AD2" w:rsidRPr="00FF3475">
        <w:rPr>
          <w:rFonts w:ascii="Times New Roman" w:hAnsi="Times New Roman" w:cs="Times New Roman"/>
          <w:sz w:val="24"/>
          <w:szCs w:val="24"/>
        </w:rPr>
        <w:fldChar w:fldCharType="separate"/>
      </w:r>
      <w:r w:rsidR="00D01AD2" w:rsidRPr="00FF3475">
        <w:rPr>
          <w:rFonts w:ascii="Times New Roman" w:hAnsi="Times New Roman" w:cs="Times New Roman"/>
          <w:noProof/>
          <w:sz w:val="24"/>
          <w:szCs w:val="24"/>
        </w:rPr>
        <w:t>(Rahman, 2021)</w:t>
      </w:r>
      <w:r w:rsidR="00D01AD2" w:rsidRPr="00FF3475">
        <w:rPr>
          <w:rFonts w:ascii="Times New Roman" w:hAnsi="Times New Roman" w:cs="Times New Roman"/>
          <w:sz w:val="24"/>
          <w:szCs w:val="24"/>
        </w:rPr>
        <w:fldChar w:fldCharType="end"/>
      </w:r>
      <w:r w:rsidRPr="00FF3475">
        <w:rPr>
          <w:rFonts w:ascii="Times New Roman" w:hAnsi="Times New Roman" w:cs="Times New Roman"/>
          <w:sz w:val="24"/>
          <w:szCs w:val="24"/>
        </w:rPr>
        <w:t>. In the realm of business, as companies around the Kingdom embark on diversifying the economy and decreasing their reliance on oil, understanding the incorporation of ESG principles into risk management practices is crucial in helping businesses practice responsible business and ultimately generating long term economic growth. In this literature review, we provide a broad overview of the state of global ESG trends, key theoretical frameworks of global agenda for ESG, the role played by risk management, and finally how ESG integration can promote corporate sustainability</w:t>
      </w:r>
      <w:r w:rsidR="00D01AD2" w:rsidRPr="00FF3475">
        <w:rPr>
          <w:rFonts w:ascii="Times New Roman" w:hAnsi="Times New Roman" w:cs="Times New Roman"/>
          <w:sz w:val="24"/>
          <w:szCs w:val="24"/>
        </w:rPr>
        <w:fldChar w:fldCharType="begin"/>
      </w:r>
      <w:r w:rsidR="00D01AD2" w:rsidRPr="00FF3475">
        <w:rPr>
          <w:rFonts w:ascii="Times New Roman" w:hAnsi="Times New Roman" w:cs="Times New Roman"/>
          <w:sz w:val="24"/>
          <w:szCs w:val="24"/>
        </w:rPr>
        <w:instrText xml:space="preserve"> ADDIN EN.CITE &lt;EndNote&gt;&lt;Cite&gt;&lt;Author&gt;Yu&lt;/Author&gt;&lt;Year&gt;2023&lt;/Year&gt;&lt;RecNum&gt;2424&lt;/RecNum&gt;&lt;DisplayText&gt;(Yu, 2023)&lt;/DisplayText&gt;&lt;record&gt;&lt;rec-number&gt;2424&lt;/rec-number&gt;&lt;foreign-keys&gt;&lt;key app="EN" db-id="vp0t0fz5q9wvv2etf21x9vp5rv92ew2dstft" timestamp="1728728372"&gt;2424&lt;/key&gt;&lt;/foreign-keys&gt;&lt;ref-type name="Journal Article"&gt;17&lt;/ref-type&gt;&lt;contributors&gt;&lt;authors&gt;&lt;author&gt;Yu, Xiaoyuan&lt;/author&gt;&lt;/authors&gt;&lt;/contributors&gt;&lt;titles&gt;&lt;title&gt;Integration of ESG in Financial Institutions: A Study on the Impact of Sustainability Reporting&lt;/title&gt;&lt;secondary-title&gt;International Journal of Multidisciplinary Research and Growth Evaluation&lt;/secondary-title&gt;&lt;/titles&gt;&lt;periodical&gt;&lt;full-title&gt;International Journal of Multidisciplinary Research and Growth Evaluation&lt;/full-title&gt;&lt;/periodical&gt;&lt;pages&gt;468-472&lt;/pages&gt;&lt;volume&gt;4&lt;/volume&gt;&lt;number&gt;5&lt;/number&gt;&lt;dates&gt;&lt;year&gt;2023&lt;/year&gt;&lt;/dates&gt;&lt;urls&gt;&lt;/urls&gt;&lt;/record&gt;&lt;/Cite&gt;&lt;/EndNote&gt;</w:instrText>
      </w:r>
      <w:r w:rsidR="00D01AD2" w:rsidRPr="00FF3475">
        <w:rPr>
          <w:rFonts w:ascii="Times New Roman" w:hAnsi="Times New Roman" w:cs="Times New Roman"/>
          <w:sz w:val="24"/>
          <w:szCs w:val="24"/>
        </w:rPr>
        <w:fldChar w:fldCharType="separate"/>
      </w:r>
      <w:r w:rsidR="00D01AD2" w:rsidRPr="00FF3475">
        <w:rPr>
          <w:rFonts w:ascii="Times New Roman" w:hAnsi="Times New Roman" w:cs="Times New Roman"/>
          <w:noProof/>
          <w:sz w:val="24"/>
          <w:szCs w:val="24"/>
        </w:rPr>
        <w:t>(Yu, 2023)</w:t>
      </w:r>
      <w:r w:rsidR="00D01AD2" w:rsidRPr="00FF3475">
        <w:rPr>
          <w:rFonts w:ascii="Times New Roman" w:hAnsi="Times New Roman" w:cs="Times New Roman"/>
          <w:sz w:val="24"/>
          <w:szCs w:val="24"/>
        </w:rPr>
        <w:fldChar w:fldCharType="end"/>
      </w:r>
      <w:r w:rsidR="00DF6385" w:rsidRPr="00FF3475">
        <w:rPr>
          <w:rFonts w:ascii="Times New Roman" w:hAnsi="Times New Roman" w:cs="Times New Roman"/>
          <w:sz w:val="24"/>
          <w:szCs w:val="24"/>
        </w:rPr>
        <w:t>.</w:t>
      </w:r>
    </w:p>
    <w:p w14:paraId="17BC2984" w14:textId="77777777" w:rsidR="00DF6385" w:rsidRPr="00FF3475" w:rsidRDefault="00DF6385" w:rsidP="0083582F">
      <w:pPr>
        <w:pStyle w:val="Heading2"/>
        <w:rPr>
          <w:rFonts w:ascii="Times New Roman" w:hAnsi="Times New Roman" w:cs="Times New Roman"/>
          <w:color w:val="auto"/>
        </w:rPr>
      </w:pPr>
      <w:bookmarkStart w:id="11" w:name="_Toc180406331"/>
      <w:r w:rsidRPr="00FF3475">
        <w:rPr>
          <w:rFonts w:ascii="Times New Roman" w:hAnsi="Times New Roman" w:cs="Times New Roman"/>
          <w:color w:val="auto"/>
        </w:rPr>
        <w:t>2.2 Environmental, Social, and Governance (ESG) Principles</w:t>
      </w:r>
      <w:bookmarkEnd w:id="11"/>
    </w:p>
    <w:p w14:paraId="28917436" w14:textId="77777777" w:rsidR="00DF6385" w:rsidRPr="00FF3475" w:rsidRDefault="00DF6385" w:rsidP="0083582F">
      <w:pPr>
        <w:pStyle w:val="Heading3"/>
        <w:rPr>
          <w:rFonts w:ascii="Times New Roman" w:hAnsi="Times New Roman" w:cs="Times New Roman"/>
          <w:color w:val="auto"/>
        </w:rPr>
      </w:pPr>
      <w:bookmarkStart w:id="12" w:name="_Toc180406332"/>
      <w:r w:rsidRPr="00FF3475">
        <w:rPr>
          <w:rFonts w:ascii="Times New Roman" w:hAnsi="Times New Roman" w:cs="Times New Roman"/>
          <w:color w:val="auto"/>
        </w:rPr>
        <w:t>2.2.1 Definition and Importance of ESG Principles</w:t>
      </w:r>
      <w:bookmarkEnd w:id="12"/>
    </w:p>
    <w:p w14:paraId="3006A6F3" w14:textId="4FCB1D7D" w:rsidR="008F1FF8" w:rsidRPr="00FF3475" w:rsidRDefault="008F1FF8" w:rsidP="008F1FF8">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ESG, or, Environmental, Social, and Governance, are three critical ways to measure the ethical impact and sustainability of a business. The Environmental aspect refers to the impact a company makes on a natural environment, which includes its carbon emissions, waste management and energy efficiency. Social aspect considers how a company manages relationships with employees, suppliers, customers, and communities </w:t>
      </w:r>
      <w:proofErr w:type="gramStart"/>
      <w:r w:rsidRPr="00FF3475">
        <w:rPr>
          <w:rFonts w:ascii="Times New Roman" w:hAnsi="Times New Roman" w:cs="Times New Roman"/>
          <w:sz w:val="24"/>
          <w:szCs w:val="24"/>
        </w:rPr>
        <w:t>with regard to</w:t>
      </w:r>
      <w:proofErr w:type="gramEnd"/>
      <w:r w:rsidRPr="00FF3475">
        <w:rPr>
          <w:rFonts w:ascii="Times New Roman" w:hAnsi="Times New Roman" w:cs="Times New Roman"/>
          <w:sz w:val="24"/>
          <w:szCs w:val="24"/>
        </w:rPr>
        <w:t xml:space="preserve"> issues such as diversity, labor standards and social justice. Corporate governance structures, such as transparency, ethics and shareholder rights are included within the Governance component</w:t>
      </w:r>
      <w:r w:rsidR="00D01AD2" w:rsidRPr="00FF3475">
        <w:rPr>
          <w:rFonts w:ascii="Times New Roman" w:hAnsi="Times New Roman" w:cs="Times New Roman"/>
          <w:sz w:val="24"/>
          <w:szCs w:val="24"/>
        </w:rPr>
        <w:fldChar w:fldCharType="begin"/>
      </w:r>
      <w:r w:rsidR="00D01AD2" w:rsidRPr="00FF3475">
        <w:rPr>
          <w:rFonts w:ascii="Times New Roman" w:hAnsi="Times New Roman" w:cs="Times New Roman"/>
          <w:sz w:val="24"/>
          <w:szCs w:val="24"/>
        </w:rPr>
        <w:instrText xml:space="preserve"> ADDIN EN.CITE &lt;EndNote&gt;&lt;Cite&gt;&lt;Author&gt;Becchetti&lt;/Author&gt;&lt;Year&gt;2022&lt;/Year&gt;&lt;RecNum&gt;2425&lt;/RecNum&gt;&lt;DisplayText&gt;(Becchetti et al., 2022)&lt;/DisplayText&gt;&lt;record&gt;&lt;rec-number&gt;2425&lt;/rec-number&gt;&lt;foreign-keys&gt;&lt;key app="EN" db-id="vp0t0fz5q9wvv2etf21x9vp5rv92ew2dstft" timestamp="1728728413"&gt;2425&lt;/key&gt;&lt;/foreign-keys&gt;&lt;ref-type name="Journal Article"&gt;17&lt;/ref-type&gt;&lt;contributors&gt;&lt;authors&gt;&lt;author&gt;Becchetti, Leonardo&lt;/author&gt;&lt;author&gt;Bobbio, Emanuele&lt;/author&gt;&lt;author&gt;Prizia, Federico&lt;/author&gt;&lt;author&gt;Semplici, Lorenzo&lt;/author&gt;&lt;/authors&gt;&lt;/contributors&gt;&lt;titles&gt;&lt;title&gt;Going deeper into the S of ESG: a relational approach to the definition of social responsibility&lt;/title&gt;&lt;secondary-title&gt;Sustainability&lt;/secondary-title&gt;&lt;/titles&gt;&lt;periodical&gt;&lt;full-title&gt;Sustainability&lt;/full-title&gt;&lt;/periodical&gt;&lt;pages&gt;9668&lt;/pages&gt;&lt;volume&gt;14&lt;/volume&gt;&lt;number&gt;15&lt;/number&gt;&lt;dates&gt;&lt;year&gt;2022&lt;/year&gt;&lt;/dates&gt;&lt;isbn&gt;2071-1050&lt;/isbn&gt;&lt;urls&gt;&lt;/urls&gt;&lt;/record&gt;&lt;/Cite&gt;&lt;/EndNote&gt;</w:instrText>
      </w:r>
      <w:r w:rsidR="00D01AD2" w:rsidRPr="00FF3475">
        <w:rPr>
          <w:rFonts w:ascii="Times New Roman" w:hAnsi="Times New Roman" w:cs="Times New Roman"/>
          <w:sz w:val="24"/>
          <w:szCs w:val="24"/>
        </w:rPr>
        <w:fldChar w:fldCharType="separate"/>
      </w:r>
      <w:r w:rsidR="00D01AD2" w:rsidRPr="00FF3475">
        <w:rPr>
          <w:rFonts w:ascii="Times New Roman" w:hAnsi="Times New Roman" w:cs="Times New Roman"/>
          <w:noProof/>
          <w:sz w:val="24"/>
          <w:szCs w:val="24"/>
        </w:rPr>
        <w:t>(Becchetti et al., 2022)</w:t>
      </w:r>
      <w:r w:rsidR="00D01AD2"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54D9AC60" w14:textId="711E7626" w:rsidR="00DF6385" w:rsidRPr="00FF3475" w:rsidRDefault="008F1FF8" w:rsidP="008F1FF8">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lastRenderedPageBreak/>
        <w:t xml:space="preserve">More and more, the wider integration of ESG principles is recognized as essential to long term corporate success. In other words, </w:t>
      </w:r>
      <w:r w:rsidR="00D01AD2" w:rsidRPr="00FF3475">
        <w:rPr>
          <w:rFonts w:ascii="Times New Roman" w:hAnsi="Times New Roman" w:cs="Times New Roman"/>
          <w:sz w:val="24"/>
          <w:szCs w:val="24"/>
        </w:rPr>
        <w:fldChar w:fldCharType="begin"/>
      </w:r>
      <w:r w:rsidR="00D01AD2" w:rsidRPr="00FF3475">
        <w:rPr>
          <w:rFonts w:ascii="Times New Roman" w:hAnsi="Times New Roman" w:cs="Times New Roman"/>
          <w:sz w:val="24"/>
          <w:szCs w:val="24"/>
        </w:rPr>
        <w:instrText xml:space="preserve"> ADDIN EN.CITE &lt;EndNote&gt;&lt;Cite AuthorYear="1"&gt;&lt;Author&gt;Zumente&lt;/Author&gt;&lt;Year&gt;2021&lt;/Year&gt;&lt;RecNum&gt;2426&lt;/RecNum&gt;&lt;DisplayText&gt;Zumente and Bistrova (2021)&lt;/DisplayText&gt;&lt;record&gt;&lt;rec-number&gt;2426&lt;/rec-number&gt;&lt;foreign-keys&gt;&lt;key app="EN" db-id="vp0t0fz5q9wvv2etf21x9vp5rv92ew2dstft" timestamp="1728728448"&gt;2426&lt;/key&gt;&lt;/foreign-keys&gt;&lt;ref-type name="Journal Article"&gt;17&lt;/ref-type&gt;&lt;contributors&gt;&lt;authors&gt;&lt;author&gt;Zumente, Ilze&lt;/author&gt;&lt;author&gt;Bistrova, Jūlija&lt;/author&gt;&lt;/authors&gt;&lt;/contributors&gt;&lt;titles&gt;&lt;title&gt;ESG importance for long-term shareholder value creation: Literature vs. practice&lt;/title&gt;&lt;secondary-title&gt;Journal of Open Innovation: Technology, Market, and Complexity&lt;/secondary-title&gt;&lt;/titles&gt;&lt;periodical&gt;&lt;full-title&gt;Journal of Open Innovation: Technology, Market, and Complexity&lt;/full-title&gt;&lt;/periodical&gt;&lt;pages&gt;127&lt;/pages&gt;&lt;volume&gt;7&lt;/volume&gt;&lt;number&gt;2&lt;/number&gt;&lt;dates&gt;&lt;year&gt;2021&lt;/year&gt;&lt;/dates&gt;&lt;isbn&gt;2199-8531&lt;/isbn&gt;&lt;urls&gt;&lt;/urls&gt;&lt;/record&gt;&lt;/Cite&gt;&lt;/EndNote&gt;</w:instrText>
      </w:r>
      <w:r w:rsidR="00D01AD2" w:rsidRPr="00FF3475">
        <w:rPr>
          <w:rFonts w:ascii="Times New Roman" w:hAnsi="Times New Roman" w:cs="Times New Roman"/>
          <w:sz w:val="24"/>
          <w:szCs w:val="24"/>
        </w:rPr>
        <w:fldChar w:fldCharType="separate"/>
      </w:r>
      <w:r w:rsidR="00D01AD2" w:rsidRPr="00FF3475">
        <w:rPr>
          <w:rFonts w:ascii="Times New Roman" w:hAnsi="Times New Roman" w:cs="Times New Roman"/>
          <w:noProof/>
          <w:sz w:val="24"/>
          <w:szCs w:val="24"/>
        </w:rPr>
        <w:t>Zumente and Bistrova (2021)</w:t>
      </w:r>
      <w:r w:rsidR="00D01AD2"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prove that companies with strong ESG practices perform better than those that do not give any </w:t>
      </w:r>
      <w:r w:rsidR="00B51096" w:rsidRPr="00FF3475">
        <w:rPr>
          <w:rFonts w:ascii="Times New Roman" w:hAnsi="Times New Roman" w:cs="Times New Roman"/>
          <w:sz w:val="24"/>
          <w:szCs w:val="24"/>
        </w:rPr>
        <w:t>consideration</w:t>
      </w:r>
      <w:r w:rsidRPr="00FF3475">
        <w:rPr>
          <w:rFonts w:ascii="Times New Roman" w:hAnsi="Times New Roman" w:cs="Times New Roman"/>
          <w:sz w:val="24"/>
          <w:szCs w:val="24"/>
        </w:rPr>
        <w:t xml:space="preserve"> to such factors both in terms of financial performance and risk mitigation, as well as corporate brand reputation. With the urging of more and more stakeholders for greater transparency and accountability; businesses are being called out to integrate ESG principles as a part of their core strategy</w:t>
      </w:r>
      <w:r w:rsidR="00DF6385" w:rsidRPr="00FF3475">
        <w:rPr>
          <w:rFonts w:ascii="Times New Roman" w:hAnsi="Times New Roman" w:cs="Times New Roman"/>
          <w:sz w:val="24"/>
          <w:szCs w:val="24"/>
        </w:rPr>
        <w:t>.</w:t>
      </w:r>
    </w:p>
    <w:p w14:paraId="2552BA06" w14:textId="77777777" w:rsidR="00395F2D" w:rsidRPr="00FF3475" w:rsidRDefault="00395F2D" w:rsidP="0083582F">
      <w:pPr>
        <w:pStyle w:val="Heading3"/>
        <w:rPr>
          <w:rFonts w:ascii="Times New Roman" w:hAnsi="Times New Roman" w:cs="Times New Roman"/>
          <w:color w:val="auto"/>
        </w:rPr>
      </w:pPr>
      <w:bookmarkStart w:id="13" w:name="_Toc180406333"/>
      <w:r w:rsidRPr="00FF3475">
        <w:rPr>
          <w:rFonts w:ascii="Times New Roman" w:hAnsi="Times New Roman" w:cs="Times New Roman"/>
          <w:color w:val="auto"/>
        </w:rPr>
        <w:t>2.2.2 Evolution of ESG in Business Practices</w:t>
      </w:r>
      <w:bookmarkEnd w:id="13"/>
    </w:p>
    <w:p w14:paraId="70069EBF" w14:textId="411A3D3B" w:rsidR="008535E3" w:rsidRPr="00FF3475" w:rsidRDefault="008535E3" w:rsidP="008535E3">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Environmental, Social, and Governance (ESG) principles over the past two decades to </w:t>
      </w:r>
      <w:proofErr w:type="gramStart"/>
      <w:r w:rsidRPr="00FF3475">
        <w:rPr>
          <w:rFonts w:ascii="Times New Roman" w:hAnsi="Times New Roman" w:cs="Times New Roman"/>
          <w:sz w:val="24"/>
          <w:szCs w:val="24"/>
        </w:rPr>
        <w:t>rise up</w:t>
      </w:r>
      <w:proofErr w:type="gramEnd"/>
      <w:r w:rsidRPr="00FF3475">
        <w:rPr>
          <w:rFonts w:ascii="Times New Roman" w:hAnsi="Times New Roman" w:cs="Times New Roman"/>
          <w:sz w:val="24"/>
          <w:szCs w:val="24"/>
        </w:rPr>
        <w:t xml:space="preserve"> from being simply a fashionable management fad to a cornerstone of modern business strategy and corporate governance. ESG is the more structured, more measured way to assess the sustainability or ethical impact of a corporation's activities, originally derived from a broader notion of Corporate Social Responsibility (CSR). Whereas CSR was concentrated on philanthropic work and socially responsible behavior, ESG offered this to the next level by expanding it to measurable, tangible and standardize actions intrinsically related to corporate </w:t>
      </w:r>
      <w:r w:rsidR="00F71D58"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sustainability and risk management</w:t>
      </w:r>
      <w:r w:rsidR="00A02E1A" w:rsidRPr="00FF3475">
        <w:rPr>
          <w:rFonts w:ascii="Times New Roman" w:hAnsi="Times New Roman" w:cs="Times New Roman"/>
          <w:sz w:val="24"/>
          <w:szCs w:val="24"/>
        </w:rPr>
        <w:fldChar w:fldCharType="begin"/>
      </w:r>
      <w:r w:rsidR="00A02E1A" w:rsidRPr="00FF3475">
        <w:rPr>
          <w:rFonts w:ascii="Times New Roman" w:hAnsi="Times New Roman" w:cs="Times New Roman"/>
          <w:sz w:val="24"/>
          <w:szCs w:val="24"/>
        </w:rPr>
        <w:instrText xml:space="preserve"> ADDIN EN.CITE &lt;EndNote&gt;&lt;Cite&gt;&lt;Author&gt;Kotsantonis&lt;/Author&gt;&lt;Year&gt;2016&lt;/Year&gt;&lt;RecNum&gt;2427&lt;/RecNum&gt;&lt;DisplayText&gt;(Kotsantonis et al., 2016)&lt;/DisplayText&gt;&lt;record&gt;&lt;rec-number&gt;2427&lt;/rec-number&gt;&lt;foreign-keys&gt;&lt;key app="EN" db-id="vp0t0fz5q9wvv2etf21x9vp5rv92ew2dstft" timestamp="1728728496"&gt;2427&lt;/key&gt;&lt;/foreign-keys&gt;&lt;ref-type name="Journal Article"&gt;17&lt;/ref-type&gt;&lt;contributors&gt;&lt;authors&gt;&lt;author&gt;Kotsantonis, Sakis&lt;/author&gt;&lt;author&gt;Pinney, Chris&lt;/author&gt;&lt;author&gt;Serafeim, George&lt;/author&gt;&lt;/authors&gt;&lt;/contributors&gt;&lt;titles&gt;&lt;title&gt;ESG integration in investment management: Myths and realities&lt;/title&gt;&lt;secondary-title&gt;Journal of Applied Corporate Finance&lt;/secondary-title&gt;&lt;/titles&gt;&lt;periodical&gt;&lt;full-title&gt;Journal of Applied Corporate Finance&lt;/full-title&gt;&lt;/periodical&gt;&lt;pages&gt;10-16&lt;/pages&gt;&lt;volume&gt;28&lt;/volume&gt;&lt;number&gt;2&lt;/number&gt;&lt;dates&gt;&lt;year&gt;2016&lt;/year&gt;&lt;/dates&gt;&lt;isbn&gt;1078-1196&lt;/isbn&gt;&lt;urls&gt;&lt;/urls&gt;&lt;/record&gt;&lt;/Cite&gt;&lt;/EndNote&gt;</w:instrText>
      </w:r>
      <w:r w:rsidR="00A02E1A" w:rsidRPr="00FF3475">
        <w:rPr>
          <w:rFonts w:ascii="Times New Roman" w:hAnsi="Times New Roman" w:cs="Times New Roman"/>
          <w:sz w:val="24"/>
          <w:szCs w:val="24"/>
        </w:rPr>
        <w:fldChar w:fldCharType="separate"/>
      </w:r>
      <w:r w:rsidR="00A02E1A" w:rsidRPr="00FF3475">
        <w:rPr>
          <w:rFonts w:ascii="Times New Roman" w:hAnsi="Times New Roman" w:cs="Times New Roman"/>
          <w:noProof/>
          <w:sz w:val="24"/>
          <w:szCs w:val="24"/>
        </w:rPr>
        <w:t>(Kotsantonis et al., 2016)</w:t>
      </w:r>
      <w:r w:rsidR="00A02E1A"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4904F362" w14:textId="10532C38" w:rsidR="008535E3" w:rsidRPr="00FF3475" w:rsidRDefault="008535E3" w:rsidP="008535E3">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Global environmental social challenges have been one of the key catalysts for the development of ESG. Stakeholders now expect simple things out of corporate accountability: they wonder what happened to climate change, resource depletion, human right's violation and governance scandals</w:t>
      </w:r>
      <w:r w:rsidR="00A02E1A" w:rsidRPr="00FF3475">
        <w:rPr>
          <w:rFonts w:ascii="Times New Roman" w:hAnsi="Times New Roman" w:cs="Times New Roman"/>
          <w:sz w:val="24"/>
          <w:szCs w:val="24"/>
        </w:rPr>
        <w:fldChar w:fldCharType="begin"/>
      </w:r>
      <w:r w:rsidR="00A02E1A" w:rsidRPr="00FF3475">
        <w:rPr>
          <w:rFonts w:ascii="Times New Roman" w:hAnsi="Times New Roman" w:cs="Times New Roman"/>
          <w:sz w:val="24"/>
          <w:szCs w:val="24"/>
        </w:rPr>
        <w:instrText xml:space="preserve"> ADDIN EN.CITE &lt;EndNote&gt;&lt;Cite&gt;&lt;Author&gt;Maroun&lt;/Author&gt;&lt;Year&gt;2022&lt;/Year&gt;&lt;RecNum&gt;2428&lt;/RecNum&gt;&lt;DisplayText&gt;(Maroun, 2022)&lt;/DisplayText&gt;&lt;record&gt;&lt;rec-number&gt;2428&lt;/rec-number&gt;&lt;foreign-keys&gt;&lt;key app="EN" db-id="vp0t0fz5q9wvv2etf21x9vp5rv92ew2dstft" timestamp="1728728513"&gt;2428&lt;/key&gt;&lt;/foreign-keys&gt;&lt;ref-type name="Journal Article"&gt;17&lt;/ref-type&gt;&lt;contributors&gt;&lt;authors&gt;&lt;author&gt;Maroun, Warren&lt;/author&gt;&lt;/authors&gt;&lt;/contributors&gt;&lt;titles&gt;&lt;title&gt;Corporate governance and the use of external assurance for integrated reports&lt;/title&gt;&lt;secondary-title&gt;Corporate Governance: An International Review&lt;/secondary-title&gt;&lt;/titles&gt;&lt;periodical&gt;&lt;full-title&gt;Corporate Governance: An International Review&lt;/full-title&gt;&lt;/periodical&gt;&lt;pages&gt;584-607&lt;/pages&gt;&lt;volume&gt;30&lt;/volume&gt;&lt;number&gt;5&lt;/number&gt;&lt;dates&gt;&lt;year&gt;2022&lt;/year&gt;&lt;/dates&gt;&lt;isbn&gt;0964-8410&lt;/isbn&gt;&lt;urls&gt;&lt;/urls&gt;&lt;/record&gt;&lt;/Cite&gt;&lt;/EndNote&gt;</w:instrText>
      </w:r>
      <w:r w:rsidR="00A02E1A" w:rsidRPr="00FF3475">
        <w:rPr>
          <w:rFonts w:ascii="Times New Roman" w:hAnsi="Times New Roman" w:cs="Times New Roman"/>
          <w:sz w:val="24"/>
          <w:szCs w:val="24"/>
        </w:rPr>
        <w:fldChar w:fldCharType="separate"/>
      </w:r>
      <w:r w:rsidR="00A02E1A" w:rsidRPr="00FF3475">
        <w:rPr>
          <w:rFonts w:ascii="Times New Roman" w:hAnsi="Times New Roman" w:cs="Times New Roman"/>
          <w:noProof/>
          <w:sz w:val="24"/>
          <w:szCs w:val="24"/>
        </w:rPr>
        <w:t>(Maroun, 2022)</w:t>
      </w:r>
      <w:r w:rsidR="00A02E1A"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The growing need from investors, consumers and regulatory authorities for companies to realize the ESG principles has led companies to not just </w:t>
      </w:r>
      <w:r w:rsidR="003349A0" w:rsidRPr="00FF3475">
        <w:rPr>
          <w:rFonts w:ascii="Times New Roman" w:hAnsi="Times New Roman" w:cs="Times New Roman"/>
          <w:sz w:val="24"/>
          <w:szCs w:val="24"/>
        </w:rPr>
        <w:t>recognize</w:t>
      </w:r>
      <w:r w:rsidRPr="00FF3475">
        <w:rPr>
          <w:rFonts w:ascii="Times New Roman" w:hAnsi="Times New Roman" w:cs="Times New Roman"/>
          <w:sz w:val="24"/>
          <w:szCs w:val="24"/>
        </w:rPr>
        <w:t>, but also incorporate ESG principles within its operational and strategic decision making.</w:t>
      </w:r>
    </w:p>
    <w:p w14:paraId="5DF9C2F4" w14:textId="6A094199" w:rsidR="008535E3" w:rsidRPr="00FF3475" w:rsidRDefault="008535E3" w:rsidP="008535E3">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Advances in this evolution have been driven by global initiatives such as the United Nations' Sustainable Development Goals (SDGs) and the Paris Agreement. In 2015, the SDGs were launched into </w:t>
      </w:r>
      <w:proofErr w:type="gramStart"/>
      <w:r w:rsidRPr="00FF3475">
        <w:rPr>
          <w:rFonts w:ascii="Times New Roman" w:hAnsi="Times New Roman" w:cs="Times New Roman"/>
          <w:sz w:val="24"/>
          <w:szCs w:val="24"/>
        </w:rPr>
        <w:t>existence, and</w:t>
      </w:r>
      <w:proofErr w:type="gramEnd"/>
      <w:r w:rsidRPr="00FF3475">
        <w:rPr>
          <w:rFonts w:ascii="Times New Roman" w:hAnsi="Times New Roman" w:cs="Times New Roman"/>
          <w:sz w:val="24"/>
          <w:szCs w:val="24"/>
        </w:rPr>
        <w:t xml:space="preserve"> defined a global agenda aiming at addressing such other issues as poverty, inequality, climate change and the environmental degradation within 2030. In response to these goals, companies have increasingly come to think of their operations in terms of ESG metrics, with which environmental, social, and governance metrics allocate meaning and direction. Also, many businesses are putting into practice what the Paris Agreement seeks, linking action to mitigate environmental risks, and promote sustainability</w:t>
      </w:r>
      <w:r w:rsidR="00A02E1A" w:rsidRPr="00FF3475">
        <w:rPr>
          <w:rFonts w:ascii="Times New Roman" w:hAnsi="Times New Roman" w:cs="Times New Roman"/>
          <w:sz w:val="24"/>
          <w:szCs w:val="24"/>
        </w:rPr>
        <w:fldChar w:fldCharType="begin"/>
      </w:r>
      <w:r w:rsidR="00A02E1A" w:rsidRPr="00FF3475">
        <w:rPr>
          <w:rFonts w:ascii="Times New Roman" w:hAnsi="Times New Roman" w:cs="Times New Roman"/>
          <w:sz w:val="24"/>
          <w:szCs w:val="24"/>
        </w:rPr>
        <w:instrText xml:space="preserve"> ADDIN EN.CITE &lt;EndNote&gt;&lt;Cite&gt;&lt;Author&gt;Dathe&lt;/Author&gt;&lt;Year&gt;2024&lt;/Year&gt;&lt;RecNum&gt;2429&lt;/RecNum&gt;&lt;DisplayText&gt;(Dathe et al., 2024)&lt;/DisplayText&gt;&lt;record&gt;&lt;rec-number&gt;2429&lt;/rec-number&gt;&lt;foreign-keys&gt;&lt;key app="EN" db-id="vp0t0fz5q9wvv2etf21x9vp5rv92ew2dstft" timestamp="1728728533"&gt;2429&lt;/key&gt;&lt;/foreign-keys&gt;&lt;ref-type name="Book"&gt;6&lt;/ref-type&gt;&lt;contributors&gt;&lt;authors&gt;&lt;author&gt;Dathe, Tracy&lt;/author&gt;&lt;author&gt;Helmold, Marc&lt;/author&gt;&lt;author&gt;Dathe, René&lt;/author&gt;&lt;author&gt;Dathe, Isabel&lt;/author&gt;&lt;/authors&gt;&lt;/contributors&gt;&lt;titles&gt;&lt;title&gt;Implementing Environmental, Social and Governance (ESG) Principles for Sustainable Businesses: A Practical Guide in Sustainability Management&lt;/title&gt;&lt;/titles&gt;&lt;dates&gt;&lt;year&gt;2024&lt;/year&gt;&lt;/dates&gt;&lt;publisher&gt;Springer Nature&lt;/publisher&gt;&lt;isbn&gt;3031527348&lt;/isbn&gt;&lt;urls&gt;&lt;/urls&gt;&lt;/record&gt;&lt;/Cite&gt;&lt;/EndNote&gt;</w:instrText>
      </w:r>
      <w:r w:rsidR="00A02E1A" w:rsidRPr="00FF3475">
        <w:rPr>
          <w:rFonts w:ascii="Times New Roman" w:hAnsi="Times New Roman" w:cs="Times New Roman"/>
          <w:sz w:val="24"/>
          <w:szCs w:val="24"/>
        </w:rPr>
        <w:fldChar w:fldCharType="separate"/>
      </w:r>
      <w:r w:rsidR="00A02E1A" w:rsidRPr="00FF3475">
        <w:rPr>
          <w:rFonts w:ascii="Times New Roman" w:hAnsi="Times New Roman" w:cs="Times New Roman"/>
          <w:noProof/>
          <w:sz w:val="24"/>
          <w:szCs w:val="24"/>
        </w:rPr>
        <w:t>(Dathe et al., 2024)</w:t>
      </w:r>
      <w:r w:rsidR="00A02E1A"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51B8E800" w14:textId="403E038B" w:rsidR="008535E3" w:rsidRPr="00FF3475" w:rsidRDefault="008535E3" w:rsidP="008535E3">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lastRenderedPageBreak/>
        <w:t xml:space="preserve">The Global Reporting Initiative (GRI), launched in 1997, is a significant milestone of institutionalization of practices related to ESG. It was just one of the first organizations to standardize sustainability reporting and offer companies a framework to report on their environmental, social and governance performance. Through this initiative, the corporate landscape became more </w:t>
      </w:r>
      <w:proofErr w:type="gramStart"/>
      <w:r w:rsidRPr="00FF3475">
        <w:rPr>
          <w:rFonts w:ascii="Times New Roman" w:hAnsi="Times New Roman" w:cs="Times New Roman"/>
          <w:sz w:val="24"/>
          <w:szCs w:val="24"/>
        </w:rPr>
        <w:t>transparent</w:t>
      </w:r>
      <w:proofErr w:type="gramEnd"/>
      <w:r w:rsidRPr="00FF3475">
        <w:rPr>
          <w:rFonts w:ascii="Times New Roman" w:hAnsi="Times New Roman" w:cs="Times New Roman"/>
          <w:sz w:val="24"/>
          <w:szCs w:val="24"/>
        </w:rPr>
        <w:t xml:space="preserve"> and stakeholders now can better learn how to assess the sustainability of the businesses better. Since then, these GRI standards have spread rapidly among </w:t>
      </w:r>
      <w:r w:rsidR="00A02E1A" w:rsidRPr="00FF3475">
        <w:rPr>
          <w:rFonts w:ascii="Times New Roman" w:hAnsi="Times New Roman" w:cs="Times New Roman"/>
          <w:sz w:val="24"/>
          <w:szCs w:val="24"/>
        </w:rPr>
        <w:t>organizations</w:t>
      </w:r>
      <w:r w:rsidRPr="00FF3475">
        <w:rPr>
          <w:rFonts w:ascii="Times New Roman" w:hAnsi="Times New Roman" w:cs="Times New Roman"/>
          <w:sz w:val="24"/>
          <w:szCs w:val="24"/>
        </w:rPr>
        <w:t xml:space="preserve"> across industries for ESG reporting, with a clear and consistent method</w:t>
      </w:r>
      <w:r w:rsidR="001B5B03" w:rsidRPr="00FF3475">
        <w:rPr>
          <w:rFonts w:ascii="Times New Roman" w:hAnsi="Times New Roman" w:cs="Times New Roman"/>
          <w:sz w:val="24"/>
          <w:szCs w:val="24"/>
        </w:rPr>
        <w:fldChar w:fldCharType="begin"/>
      </w:r>
      <w:r w:rsidR="001B5B03" w:rsidRPr="00FF3475">
        <w:rPr>
          <w:rFonts w:ascii="Times New Roman" w:hAnsi="Times New Roman" w:cs="Times New Roman"/>
          <w:sz w:val="24"/>
          <w:szCs w:val="24"/>
        </w:rPr>
        <w:instrText xml:space="preserve"> ADDIN EN.CITE &lt;EndNote&gt;&lt;Cite&gt;&lt;Author&gt;Alvi&lt;/Author&gt;&lt;Year&gt;2022&lt;/Year&gt;&lt;RecNum&gt;2430&lt;/RecNum&gt;&lt;DisplayText&gt;(Alvi, 2022)&lt;/DisplayText&gt;&lt;record&gt;&lt;rec-number&gt;2430&lt;/rec-number&gt;&lt;foreign-keys&gt;&lt;key app="EN" db-id="vp0t0fz5q9wvv2etf21x9vp5rv92ew2dstft" timestamp="1728728576"&gt;2430&lt;/key&gt;&lt;/foreign-keys&gt;&lt;ref-type name="Generic"&gt;13&lt;/ref-type&gt;&lt;contributors&gt;&lt;authors&gt;&lt;author&gt;Alvi, Wajiha&lt;/author&gt;&lt;/authors&gt;&lt;/contributors&gt;&lt;titles&gt;&lt;title&gt;Sustainability reporting standardization: an incentive or a ceiling effect?: A qualitative case study of an oil and gas EPC based on GRI Sector Standards and their prospective implication for Sustainability reporting and Sustainability Performance&lt;/title&gt;&lt;/titles&gt;&lt;dates&gt;&lt;year&gt;2022&lt;/year&gt;&lt;/dates&gt;&lt;urls&gt;&lt;/urls&gt;&lt;/record&gt;&lt;/Cite&gt;&lt;/EndNote&gt;</w:instrText>
      </w:r>
      <w:r w:rsidR="001B5B03" w:rsidRPr="00FF3475">
        <w:rPr>
          <w:rFonts w:ascii="Times New Roman" w:hAnsi="Times New Roman" w:cs="Times New Roman"/>
          <w:sz w:val="24"/>
          <w:szCs w:val="24"/>
        </w:rPr>
        <w:fldChar w:fldCharType="separate"/>
      </w:r>
      <w:r w:rsidR="001B5B03" w:rsidRPr="00FF3475">
        <w:rPr>
          <w:rFonts w:ascii="Times New Roman" w:hAnsi="Times New Roman" w:cs="Times New Roman"/>
          <w:noProof/>
          <w:sz w:val="24"/>
          <w:szCs w:val="24"/>
        </w:rPr>
        <w:t>(Alvi, 2022)</w:t>
      </w:r>
      <w:r w:rsidR="001B5B0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3DA92E47" w14:textId="2DEF5226" w:rsidR="008535E3" w:rsidRPr="00FF3475" w:rsidRDefault="008535E3" w:rsidP="008535E3">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After the GRI, </w:t>
      </w:r>
      <w:proofErr w:type="gramStart"/>
      <w:r w:rsidRPr="00FF3475">
        <w:rPr>
          <w:rFonts w:ascii="Times New Roman" w:hAnsi="Times New Roman" w:cs="Times New Roman"/>
          <w:sz w:val="24"/>
          <w:szCs w:val="24"/>
        </w:rPr>
        <w:t>a number of</w:t>
      </w:r>
      <w:proofErr w:type="gramEnd"/>
      <w:r w:rsidRPr="00FF3475">
        <w:rPr>
          <w:rFonts w:ascii="Times New Roman" w:hAnsi="Times New Roman" w:cs="Times New Roman"/>
          <w:sz w:val="24"/>
          <w:szCs w:val="24"/>
        </w:rPr>
        <w:t xml:space="preserve"> other frameworks have arisen to raise the bar for ESG disclosure and integration. For example, The Financial Stability Board Task Force on Climate-related Financial Disclosures (TCFD) established itself in 2015 to set guidelines for companies to report on climate related financial risks</w:t>
      </w:r>
      <w:r w:rsidR="001B5B03" w:rsidRPr="00FF3475">
        <w:rPr>
          <w:rFonts w:ascii="Times New Roman" w:hAnsi="Times New Roman" w:cs="Times New Roman"/>
          <w:sz w:val="24"/>
          <w:szCs w:val="24"/>
        </w:rPr>
        <w:fldChar w:fldCharType="begin"/>
      </w:r>
      <w:r w:rsidR="001B5B03" w:rsidRPr="00FF3475">
        <w:rPr>
          <w:rFonts w:ascii="Times New Roman" w:hAnsi="Times New Roman" w:cs="Times New Roman"/>
          <w:sz w:val="24"/>
          <w:szCs w:val="24"/>
        </w:rPr>
        <w:instrText xml:space="preserve"> ADDIN EN.CITE &lt;EndNote&gt;&lt;Cite&gt;&lt;Author&gt;De Bernardi&lt;/Author&gt;&lt;Year&gt;2019&lt;/Year&gt;&lt;RecNum&gt;2431&lt;/RecNum&gt;&lt;DisplayText&gt;(De Bernardi et al., 2019)&lt;/DisplayText&gt;&lt;record&gt;&lt;rec-number&gt;2431&lt;/rec-number&gt;&lt;foreign-keys&gt;&lt;key app="EN" db-id="vp0t0fz5q9wvv2etf21x9vp5rv92ew2dstft" timestamp="1728728608"&gt;2431&lt;/key&gt;&lt;/foreign-keys&gt;&lt;ref-type name="Journal Article"&gt;17&lt;/ref-type&gt;&lt;contributors&gt;&lt;authors&gt;&lt;author&gt;De Bernardi, Paola&lt;/author&gt;&lt;author&gt;Venuti, Francesco&lt;/author&gt;&lt;author&gt;Bertello, Alberto&lt;/author&gt;&lt;/authors&gt;&lt;/contributors&gt;&lt;titles&gt;&lt;title&gt;The relevance of climate change related risks on corporate financial and non-financial disclosure in Italian listed companies&lt;/title&gt;&lt;secondary-title&gt;The Future of Risk Management, Volume I: Perspectives on Law, Healthcare, and the Environment&lt;/secondary-title&gt;&lt;/titles&gt;&lt;periodical&gt;&lt;full-title&gt;The Future of Risk Management, Volume I: Perspectives on Law, Healthcare, and the Environment&lt;/full-title&gt;&lt;/periodical&gt;&lt;pages&gt;77-107&lt;/pages&gt;&lt;dates&gt;&lt;year&gt;2019&lt;/year&gt;&lt;/dates&gt;&lt;isbn&gt;3030145476&lt;/isbn&gt;&lt;urls&gt;&lt;/urls&gt;&lt;/record&gt;&lt;/Cite&gt;&lt;/EndNote&gt;</w:instrText>
      </w:r>
      <w:r w:rsidR="001B5B03" w:rsidRPr="00FF3475">
        <w:rPr>
          <w:rFonts w:ascii="Times New Roman" w:hAnsi="Times New Roman" w:cs="Times New Roman"/>
          <w:sz w:val="24"/>
          <w:szCs w:val="24"/>
        </w:rPr>
        <w:fldChar w:fldCharType="separate"/>
      </w:r>
      <w:r w:rsidR="001B5B03" w:rsidRPr="00FF3475">
        <w:rPr>
          <w:rFonts w:ascii="Times New Roman" w:hAnsi="Times New Roman" w:cs="Times New Roman"/>
          <w:noProof/>
          <w:sz w:val="24"/>
          <w:szCs w:val="24"/>
        </w:rPr>
        <w:t>(De Bernardi et al., 2019)</w:t>
      </w:r>
      <w:r w:rsidR="001B5B0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So, while the TCFD framework is growing in popularity globally, many organizations are now reporting via their ESG reporting to become more transparent about how climate change affects their financial stability and long-term viability. The United Nations Principles for Responsible Investment (UNPRI) have also contributed significantly to promote ESG practice by encouraging institutional investors to integrate ESG into the investment decision making</w:t>
      </w:r>
      <w:r w:rsidR="001B5B03" w:rsidRPr="00FF3475">
        <w:rPr>
          <w:rFonts w:ascii="Times New Roman" w:hAnsi="Times New Roman" w:cs="Times New Roman"/>
          <w:sz w:val="24"/>
          <w:szCs w:val="24"/>
        </w:rPr>
        <w:fldChar w:fldCharType="begin"/>
      </w:r>
      <w:r w:rsidR="001B5B03" w:rsidRPr="00FF3475">
        <w:rPr>
          <w:rFonts w:ascii="Times New Roman" w:hAnsi="Times New Roman" w:cs="Times New Roman"/>
          <w:sz w:val="24"/>
          <w:szCs w:val="24"/>
        </w:rPr>
        <w:instrText xml:space="preserve"> ADDIN EN.CITE &lt;EndNote&gt;&lt;Cite&gt;&lt;Author&gt;Kim&lt;/Author&gt;&lt;Year&gt;2023&lt;/Year&gt;&lt;RecNum&gt;2432&lt;/RecNum&gt;&lt;DisplayText&gt;(Kim &amp;amp; Yoon, 2023)&lt;/DisplayText&gt;&lt;record&gt;&lt;rec-number&gt;2432&lt;/rec-number&gt;&lt;foreign-keys&gt;&lt;key app="EN" db-id="vp0t0fz5q9wvv2etf21x9vp5rv92ew2dstft" timestamp="1728728703"&gt;2432&lt;/key&gt;&lt;/foreign-keys&gt;&lt;ref-type name="Journal Article"&gt;17&lt;/ref-type&gt;&lt;contributors&gt;&lt;authors&gt;&lt;author&gt;Kim, Soohun&lt;/author&gt;&lt;author&gt;Yoon, Aaron&lt;/author&gt;&lt;/authors&gt;&lt;/contributors&gt;&lt;titles&gt;&lt;title&gt;Analyzing active fund managers’ commitment to ESG: Evidence from the United Nations Principles for Responsible Investment&lt;/title&gt;&lt;secondary-title&gt;Management science&lt;/secondary-title&gt;&lt;/titles&gt;&lt;periodical&gt;&lt;full-title&gt;Management science&lt;/full-title&gt;&lt;/periodical&gt;&lt;pages&gt;741-758&lt;/pages&gt;&lt;volume&gt;69&lt;/volume&gt;&lt;number&gt;2&lt;/number&gt;&lt;dates&gt;&lt;year&gt;2023&lt;/year&gt;&lt;/dates&gt;&lt;isbn&gt;0025-1909&lt;/isbn&gt;&lt;urls&gt;&lt;/urls&gt;&lt;/record&gt;&lt;/Cite&gt;&lt;/EndNote&gt;</w:instrText>
      </w:r>
      <w:r w:rsidR="001B5B03" w:rsidRPr="00FF3475">
        <w:rPr>
          <w:rFonts w:ascii="Times New Roman" w:hAnsi="Times New Roman" w:cs="Times New Roman"/>
          <w:sz w:val="24"/>
          <w:szCs w:val="24"/>
        </w:rPr>
        <w:fldChar w:fldCharType="separate"/>
      </w:r>
      <w:r w:rsidR="001B5B03" w:rsidRPr="00FF3475">
        <w:rPr>
          <w:rFonts w:ascii="Times New Roman" w:hAnsi="Times New Roman" w:cs="Times New Roman"/>
          <w:noProof/>
          <w:sz w:val="24"/>
          <w:szCs w:val="24"/>
        </w:rPr>
        <w:t>(Kim &amp; Yoon, 2023)</w:t>
      </w:r>
      <w:r w:rsidR="001B5B0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1E613150" w14:textId="78D56DCF" w:rsidR="008535E3" w:rsidRPr="00FF3475" w:rsidRDefault="008535E3" w:rsidP="008535E3">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Another progression in ESG evolution is the shift from a </w:t>
      </w:r>
      <w:r w:rsidR="005D6893" w:rsidRPr="00FF3475">
        <w:rPr>
          <w:rFonts w:ascii="Times New Roman" w:hAnsi="Times New Roman" w:cs="Times New Roman"/>
          <w:sz w:val="24"/>
          <w:szCs w:val="24"/>
        </w:rPr>
        <w:t>compliance-based</w:t>
      </w:r>
      <w:r w:rsidRPr="00FF3475">
        <w:rPr>
          <w:rFonts w:ascii="Times New Roman" w:hAnsi="Times New Roman" w:cs="Times New Roman"/>
          <w:sz w:val="24"/>
          <w:szCs w:val="24"/>
        </w:rPr>
        <w:t xml:space="preserve"> approach to an ESG a strategic lever for business success. In the first few years, ESG was usually considered an expense or a compliance requirement. ESG activities will be conducted by companies primarily for the sake of regularity or to enhance their public image</w:t>
      </w:r>
      <w:r w:rsidR="001B5B03" w:rsidRPr="00FF3475">
        <w:rPr>
          <w:rFonts w:ascii="Times New Roman" w:hAnsi="Times New Roman" w:cs="Times New Roman"/>
          <w:sz w:val="24"/>
          <w:szCs w:val="24"/>
        </w:rPr>
        <w:fldChar w:fldCharType="begin"/>
      </w:r>
      <w:r w:rsidR="001B5B03" w:rsidRPr="00FF3475">
        <w:rPr>
          <w:rFonts w:ascii="Times New Roman" w:hAnsi="Times New Roman" w:cs="Times New Roman"/>
          <w:sz w:val="24"/>
          <w:szCs w:val="24"/>
        </w:rPr>
        <w:instrText xml:space="preserve"> ADDIN EN.CITE &lt;EndNote&gt;&lt;Cite&gt;&lt;Author&gt;Kim&lt;/Author&gt;&lt;Year&gt;2021&lt;/Year&gt;&lt;RecNum&gt;2433&lt;/RecNum&gt;&lt;DisplayText&gt;(Kim &amp;amp; Yoon, 2021)&lt;/DisplayText&gt;&lt;record&gt;&lt;rec-number&gt;2433&lt;/rec-number&gt;&lt;foreign-keys&gt;&lt;key app="EN" db-id="vp0t0fz5q9wvv2etf21x9vp5rv92ew2dstft" timestamp="1728728725"&gt;2433&lt;/key&gt;&lt;/foreign-keys&gt;&lt;ref-type name="Journal Article"&gt;17&lt;/ref-type&gt;&lt;contributors&gt;&lt;authors&gt;&lt;author&gt;Kim, Soohun&lt;/author&gt;&lt;author&gt;Yoon, Aaron&lt;/author&gt;&lt;/authors&gt;&lt;/contributors&gt;&lt;titles&gt;&lt;title&gt;Analyzing active managers’ commitment to ESG: Evidence from United Nations principles for responsible investment&lt;/title&gt;&lt;secondary-title&gt;Management science&lt;/secondary-title&gt;&lt;/titles&gt;&lt;periodical&gt;&lt;full-title&gt;Management science&lt;/full-title&gt;&lt;/periodical&gt;&lt;dates&gt;&lt;year&gt;2021&lt;/year&gt;&lt;/dates&gt;&lt;urls&gt;&lt;/urls&gt;&lt;/record&gt;&lt;/Cite&gt;&lt;/EndNote&gt;</w:instrText>
      </w:r>
      <w:r w:rsidR="001B5B03" w:rsidRPr="00FF3475">
        <w:rPr>
          <w:rFonts w:ascii="Times New Roman" w:hAnsi="Times New Roman" w:cs="Times New Roman"/>
          <w:sz w:val="24"/>
          <w:szCs w:val="24"/>
        </w:rPr>
        <w:fldChar w:fldCharType="separate"/>
      </w:r>
      <w:r w:rsidR="001B5B03" w:rsidRPr="00FF3475">
        <w:rPr>
          <w:rFonts w:ascii="Times New Roman" w:hAnsi="Times New Roman" w:cs="Times New Roman"/>
          <w:noProof/>
          <w:sz w:val="24"/>
          <w:szCs w:val="24"/>
        </w:rPr>
        <w:t>(Kim &amp; Yoon, 2021)</w:t>
      </w:r>
      <w:r w:rsidR="001B5B0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With the understanding of ESG’s value maturing, businesses know that now ESG is now a driver of innovation, efficiency and competitiveness. And ESG principles have seeped into corporate strategies, affecting product development, supply chain management, customer relations, as well as the bottom line.</w:t>
      </w:r>
    </w:p>
    <w:p w14:paraId="5B7865A5" w14:textId="10778AD0" w:rsidR="00395F2D" w:rsidRPr="00FF3475" w:rsidRDefault="008535E3" w:rsidP="008535E3">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Companies are showing by their investment in renewable energy, sustainable supply chains, and socially responsible products that this is an ongoing strategic integration of ESG. As we can see, rising demand for eco-friendly products, like those in fashion, technology and consumer goods industries have increased for this type of product. From attracting environmentally conscious consumers to the ability to mitigate long term risks like regulatory changes and resource scarcity that impacts profitability, businesses who align their operations with ESG values score</w:t>
      </w:r>
      <w:r w:rsidR="001B5B03" w:rsidRPr="00FF3475">
        <w:rPr>
          <w:rFonts w:ascii="Times New Roman" w:hAnsi="Times New Roman" w:cs="Times New Roman"/>
          <w:sz w:val="24"/>
          <w:szCs w:val="24"/>
        </w:rPr>
        <w:fldChar w:fldCharType="begin"/>
      </w:r>
      <w:r w:rsidR="001B5B03" w:rsidRPr="00FF3475">
        <w:rPr>
          <w:rFonts w:ascii="Times New Roman" w:hAnsi="Times New Roman" w:cs="Times New Roman"/>
          <w:sz w:val="24"/>
          <w:szCs w:val="24"/>
        </w:rPr>
        <w:instrText xml:space="preserve"> ADDIN EN.CITE &lt;EndNote&gt;&lt;Cite&gt;&lt;Author&gt;Eccles&lt;/Author&gt;&lt;Year&gt;2017&lt;/Year&gt;&lt;RecNum&gt;2434&lt;/RecNum&gt;&lt;DisplayText&gt;(Eccles et al., 2017)&lt;/DisplayText&gt;&lt;record&gt;&lt;rec-number&gt;2434&lt;/rec-number&gt;&lt;foreign-keys&gt;&lt;key app="EN" db-id="vp0t0fz5q9wvv2etf21x9vp5rv92ew2dstft" timestamp="1728728748"&gt;2434&lt;/key&gt;&lt;/foreign-keys&gt;&lt;ref-type name="Journal Article"&gt;17&lt;/ref-type&gt;&lt;contributors&gt;&lt;authors&gt;&lt;author&gt;Eccles, Robert G&lt;/author&gt;&lt;author&gt;Kastrapeli, Mirtha D&lt;/author&gt;&lt;author&gt;Potter, Stephanie J&lt;/author&gt;&lt;/authors&gt;&lt;/contributors&gt;&lt;titles&gt;&lt;title&gt;How to integrate ESG into investment decision‐making: Results of a global survey of institutional investors&lt;/title&gt;&lt;secondary-title&gt;Journal of Applied Corporate Finance&lt;/secondary-title&gt;&lt;/titles&gt;&lt;periodical&gt;&lt;full-title&gt;Journal of Applied Corporate Finance&lt;/full-title&gt;&lt;/periodical&gt;&lt;pages&gt;125-133&lt;/pages&gt;&lt;volume&gt;29&lt;/volume&gt;&lt;number&gt;4&lt;/number&gt;&lt;dates&gt;&lt;year&gt;2017&lt;/year&gt;&lt;/dates&gt;&lt;isbn&gt;1078-1196&lt;/isbn&gt;&lt;urls&gt;&lt;/urls&gt;&lt;/record&gt;&lt;/Cite&gt;&lt;/EndNote&gt;</w:instrText>
      </w:r>
      <w:r w:rsidR="001B5B03" w:rsidRPr="00FF3475">
        <w:rPr>
          <w:rFonts w:ascii="Times New Roman" w:hAnsi="Times New Roman" w:cs="Times New Roman"/>
          <w:sz w:val="24"/>
          <w:szCs w:val="24"/>
        </w:rPr>
        <w:fldChar w:fldCharType="separate"/>
      </w:r>
      <w:r w:rsidR="001B5B03" w:rsidRPr="00FF3475">
        <w:rPr>
          <w:rFonts w:ascii="Times New Roman" w:hAnsi="Times New Roman" w:cs="Times New Roman"/>
          <w:noProof/>
          <w:sz w:val="24"/>
          <w:szCs w:val="24"/>
        </w:rPr>
        <w:t>(Eccles et al., 2017)</w:t>
      </w:r>
      <w:r w:rsidR="001B5B03" w:rsidRPr="00FF3475">
        <w:rPr>
          <w:rFonts w:ascii="Times New Roman" w:hAnsi="Times New Roman" w:cs="Times New Roman"/>
          <w:sz w:val="24"/>
          <w:szCs w:val="24"/>
        </w:rPr>
        <w:fldChar w:fldCharType="end"/>
      </w:r>
      <w:r w:rsidR="00395F2D" w:rsidRPr="00FF3475">
        <w:rPr>
          <w:rFonts w:ascii="Times New Roman" w:hAnsi="Times New Roman" w:cs="Times New Roman"/>
          <w:sz w:val="24"/>
          <w:szCs w:val="24"/>
        </w:rPr>
        <w:t>.</w:t>
      </w:r>
    </w:p>
    <w:p w14:paraId="1DBAFBCD" w14:textId="0F5B3BA9" w:rsidR="00395F2D" w:rsidRPr="00FF3475" w:rsidRDefault="00B458AF" w:rsidP="00395F2D">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lastRenderedPageBreak/>
        <w:t xml:space="preserve">ESG is being increasingly acknowledged by the financial sector as a critical factor for investment decisions. Over the past few years, the growth of ESG focused investment funds, which are often also referred to as sustainable or </w:t>
      </w:r>
      <w:r w:rsidR="00180150" w:rsidRPr="00FF3475">
        <w:rPr>
          <w:rFonts w:ascii="Times New Roman" w:hAnsi="Times New Roman" w:cs="Times New Roman"/>
          <w:sz w:val="24"/>
          <w:szCs w:val="24"/>
        </w:rPr>
        <w:t>socially</w:t>
      </w:r>
      <w:r w:rsidRPr="00FF3475">
        <w:rPr>
          <w:rFonts w:ascii="Times New Roman" w:hAnsi="Times New Roman" w:cs="Times New Roman"/>
          <w:sz w:val="24"/>
          <w:szCs w:val="24"/>
        </w:rPr>
        <w:t xml:space="preserve"> responsible investments (SRI), has been noticeable</w:t>
      </w:r>
      <w:r w:rsidR="001B5B03" w:rsidRPr="00FF3475">
        <w:rPr>
          <w:rFonts w:ascii="Times New Roman" w:hAnsi="Times New Roman" w:cs="Times New Roman"/>
          <w:sz w:val="24"/>
          <w:szCs w:val="24"/>
        </w:rPr>
        <w:fldChar w:fldCharType="begin"/>
      </w:r>
      <w:r w:rsidR="001B5B03" w:rsidRPr="00FF3475">
        <w:rPr>
          <w:rFonts w:ascii="Times New Roman" w:hAnsi="Times New Roman" w:cs="Times New Roman"/>
          <w:sz w:val="24"/>
          <w:szCs w:val="24"/>
        </w:rPr>
        <w:instrText xml:space="preserve"> ADDIN EN.CITE &lt;EndNote&gt;&lt;Cite&gt;&lt;Author&gt;Matos&lt;/Author&gt;&lt;Year&gt;2020&lt;/Year&gt;&lt;RecNum&gt;2435&lt;/RecNum&gt;&lt;DisplayText&gt;(Matos, 2020)&lt;/DisplayText&gt;&lt;record&gt;&lt;rec-number&gt;2435&lt;/rec-number&gt;&lt;foreign-keys&gt;&lt;key app="EN" db-id="vp0t0fz5q9wvv2etf21x9vp5rv92ew2dstft" timestamp="1728728771"&gt;2435&lt;/key&gt;&lt;/foreign-keys&gt;&lt;ref-type name="Journal Article"&gt;17&lt;/ref-type&gt;&lt;contributors&gt;&lt;authors&gt;&lt;author&gt;Matos, Pedro&lt;/author&gt;&lt;/authors&gt;&lt;/contributors&gt;&lt;titles&gt;&lt;title&gt;ESG and responsible institutional investing around the world: A critical review&lt;/title&gt;&lt;/titles&gt;&lt;dates&gt;&lt;year&gt;2020&lt;/year&gt;&lt;/dates&gt;&lt;isbn&gt;1944960988&lt;/isbn&gt;&lt;urls&gt;&lt;/urls&gt;&lt;/record&gt;&lt;/Cite&gt;&lt;/EndNote&gt;</w:instrText>
      </w:r>
      <w:r w:rsidR="001B5B03" w:rsidRPr="00FF3475">
        <w:rPr>
          <w:rFonts w:ascii="Times New Roman" w:hAnsi="Times New Roman" w:cs="Times New Roman"/>
          <w:sz w:val="24"/>
          <w:szCs w:val="24"/>
        </w:rPr>
        <w:fldChar w:fldCharType="separate"/>
      </w:r>
      <w:r w:rsidR="001B5B03" w:rsidRPr="00FF3475">
        <w:rPr>
          <w:rFonts w:ascii="Times New Roman" w:hAnsi="Times New Roman" w:cs="Times New Roman"/>
          <w:noProof/>
          <w:sz w:val="24"/>
          <w:szCs w:val="24"/>
        </w:rPr>
        <w:t>(Matos, 2020)</w:t>
      </w:r>
      <w:r w:rsidR="001B5B0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More and more investors are incorporating ESG measures into portfolio management, because companies with strong ESG ratings have an advantage at both minimizing risks to their stock valuation and nurturing long term returns. Then along came impact investing, and investors are fishing in two ponds simultaneously: They’re looking to make money and have a positive social, or environmental, impact. So, evolution of ESG has not only changed corporate governance, it has also restructured financial markets</w:t>
      </w:r>
      <w:r w:rsidR="001B5B03" w:rsidRPr="00FF3475">
        <w:rPr>
          <w:rFonts w:ascii="Times New Roman" w:hAnsi="Times New Roman" w:cs="Times New Roman"/>
          <w:sz w:val="24"/>
          <w:szCs w:val="24"/>
        </w:rPr>
        <w:fldChar w:fldCharType="begin"/>
      </w:r>
      <w:r w:rsidR="001B5B03" w:rsidRPr="00FF3475">
        <w:rPr>
          <w:rFonts w:ascii="Times New Roman" w:hAnsi="Times New Roman" w:cs="Times New Roman"/>
          <w:sz w:val="24"/>
          <w:szCs w:val="24"/>
        </w:rPr>
        <w:instrText xml:space="preserve"> ADDIN EN.CITE &lt;EndNote&gt;&lt;Cite&gt;&lt;Author&gt;Cadman&lt;/Author&gt;&lt;Year&gt;2011&lt;/Year&gt;&lt;RecNum&gt;2436&lt;/RecNum&gt;&lt;DisplayText&gt;(Cadman, 2011)&lt;/DisplayText&gt;&lt;record&gt;&lt;rec-number&gt;2436&lt;/rec-number&gt;&lt;foreign-keys&gt;&lt;key app="EN" db-id="vp0t0fz5q9wvv2etf21x9vp5rv92ew2dstft" timestamp="1728728800"&gt;2436&lt;/key&gt;&lt;/foreign-keys&gt;&lt;ref-type name="Journal Article"&gt;17&lt;/ref-type&gt;&lt;contributors&gt;&lt;authors&gt;&lt;author&gt;Cadman, Tim&lt;/author&gt;&lt;/authors&gt;&lt;/contributors&gt;&lt;titles&gt;&lt;title&gt;The legitimacy of ESG standards as an analytical framework for responsible investment&lt;/title&gt;&lt;secondary-title&gt;Responsible investment in times of turmoil&lt;/secondary-title&gt;&lt;/titles&gt;&lt;periodical&gt;&lt;full-title&gt;Responsible investment in times of turmoil&lt;/full-title&gt;&lt;/periodical&gt;&lt;pages&gt;35-53&lt;/pages&gt;&lt;dates&gt;&lt;year&gt;2011&lt;/year&gt;&lt;/dates&gt;&lt;isbn&gt;9400740700&lt;/isbn&gt;&lt;urls&gt;&lt;/urls&gt;&lt;/record&gt;&lt;/Cite&gt;&lt;/EndNote&gt;</w:instrText>
      </w:r>
      <w:r w:rsidR="001B5B03" w:rsidRPr="00FF3475">
        <w:rPr>
          <w:rFonts w:ascii="Times New Roman" w:hAnsi="Times New Roman" w:cs="Times New Roman"/>
          <w:sz w:val="24"/>
          <w:szCs w:val="24"/>
        </w:rPr>
        <w:fldChar w:fldCharType="separate"/>
      </w:r>
      <w:r w:rsidR="001B5B03" w:rsidRPr="00FF3475">
        <w:rPr>
          <w:rFonts w:ascii="Times New Roman" w:hAnsi="Times New Roman" w:cs="Times New Roman"/>
          <w:noProof/>
          <w:sz w:val="24"/>
          <w:szCs w:val="24"/>
        </w:rPr>
        <w:t>(Cadman, 2011)</w:t>
      </w:r>
      <w:r w:rsidR="001B5B03" w:rsidRPr="00FF3475">
        <w:rPr>
          <w:rFonts w:ascii="Times New Roman" w:hAnsi="Times New Roman" w:cs="Times New Roman"/>
          <w:sz w:val="24"/>
          <w:szCs w:val="24"/>
        </w:rPr>
        <w:fldChar w:fldCharType="end"/>
      </w:r>
      <w:r w:rsidR="00395F2D" w:rsidRPr="00FF3475">
        <w:rPr>
          <w:rFonts w:ascii="Times New Roman" w:hAnsi="Times New Roman" w:cs="Times New Roman"/>
          <w:sz w:val="24"/>
          <w:szCs w:val="24"/>
        </w:rPr>
        <w:t>.</w:t>
      </w:r>
    </w:p>
    <w:p w14:paraId="295AA6B7" w14:textId="77777777" w:rsidR="00395F2D" w:rsidRPr="00FF3475" w:rsidRDefault="00395F2D" w:rsidP="0083582F">
      <w:pPr>
        <w:pStyle w:val="Heading3"/>
        <w:rPr>
          <w:rFonts w:ascii="Times New Roman" w:hAnsi="Times New Roman" w:cs="Times New Roman"/>
          <w:color w:val="auto"/>
        </w:rPr>
      </w:pPr>
      <w:bookmarkStart w:id="14" w:name="_Toc180406334"/>
      <w:r w:rsidRPr="00FF3475">
        <w:rPr>
          <w:rFonts w:ascii="Times New Roman" w:hAnsi="Times New Roman" w:cs="Times New Roman"/>
          <w:color w:val="auto"/>
        </w:rPr>
        <w:t>2.2.3 ESG in the Context of Saudi Arabia</w:t>
      </w:r>
      <w:bookmarkEnd w:id="14"/>
    </w:p>
    <w:p w14:paraId="68A4F360" w14:textId="3CE3F1B8" w:rsidR="00214BA6" w:rsidRPr="00FF3475" w:rsidRDefault="00214BA6" w:rsidP="00214BA6">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The concept of ESG principles has come in vogue in the last few years in Saudi Arabia, particularly due to the government’s Vision 2030. This national development plan strives to bring down dependence on oil for economic development; encourage environment sustainability; and improve social welfare. The responsibility has been imposed by Vision 2030 on public and private sector organizations alike to adopt responsible business practices that complement the country’s bigger sustainability goals</w:t>
      </w:r>
      <w:r w:rsidR="001B5B03" w:rsidRPr="00FF3475">
        <w:rPr>
          <w:rFonts w:ascii="Times New Roman" w:hAnsi="Times New Roman" w:cs="Times New Roman"/>
          <w:sz w:val="24"/>
          <w:szCs w:val="24"/>
        </w:rPr>
        <w:fldChar w:fldCharType="begin"/>
      </w:r>
      <w:r w:rsidR="001B5B03" w:rsidRPr="00FF3475">
        <w:rPr>
          <w:rFonts w:ascii="Times New Roman" w:hAnsi="Times New Roman" w:cs="Times New Roman"/>
          <w:sz w:val="24"/>
          <w:szCs w:val="24"/>
        </w:rPr>
        <w:instrText xml:space="preserve"> ADDIN EN.CITE &lt;EndNote&gt;&lt;Cite&gt;&lt;Author&gt;Chebbi&lt;/Author&gt;&lt;Year&gt;2022&lt;/Year&gt;&lt;RecNum&gt;2437&lt;/RecNum&gt;&lt;DisplayText&gt;(Chebbi &amp;amp; Ammer, 2022)&lt;/DisplayText&gt;&lt;record&gt;&lt;rec-number&gt;2437&lt;/rec-number&gt;&lt;foreign-keys&gt;&lt;key app="EN" db-id="vp0t0fz5q9wvv2etf21x9vp5rv92ew2dstft" timestamp="1728728832"&gt;2437&lt;/key&gt;&lt;/foreign-keys&gt;&lt;ref-type name="Journal Article"&gt;17&lt;/ref-type&gt;&lt;contributors&gt;&lt;authors&gt;&lt;author&gt;Chebbi, Kaouther&lt;/author&gt;&lt;author&gt;Ammer, Mohammed Abdullah&lt;/author&gt;&lt;/authors&gt;&lt;/contributors&gt;&lt;titles&gt;&lt;title&gt;Board composition and ESG disclosure in Saudi Arabia: The moderating role of corporate governance reforms&lt;/title&gt;&lt;secondary-title&gt;Sustainability&lt;/secondary-title&gt;&lt;/titles&gt;&lt;periodical&gt;&lt;full-title&gt;Sustainability&lt;/full-title&gt;&lt;/periodical&gt;&lt;pages&gt;12173&lt;/pages&gt;&lt;volume&gt;14&lt;/volume&gt;&lt;number&gt;19&lt;/number&gt;&lt;dates&gt;&lt;year&gt;2022&lt;/year&gt;&lt;/dates&gt;&lt;isbn&gt;2071-1050&lt;/isbn&gt;&lt;urls&gt;&lt;/urls&gt;&lt;/record&gt;&lt;/Cite&gt;&lt;/EndNote&gt;</w:instrText>
      </w:r>
      <w:r w:rsidR="001B5B03" w:rsidRPr="00FF3475">
        <w:rPr>
          <w:rFonts w:ascii="Times New Roman" w:hAnsi="Times New Roman" w:cs="Times New Roman"/>
          <w:sz w:val="24"/>
          <w:szCs w:val="24"/>
        </w:rPr>
        <w:fldChar w:fldCharType="separate"/>
      </w:r>
      <w:r w:rsidR="001B5B03" w:rsidRPr="00FF3475">
        <w:rPr>
          <w:rFonts w:ascii="Times New Roman" w:hAnsi="Times New Roman" w:cs="Times New Roman"/>
          <w:noProof/>
          <w:sz w:val="24"/>
          <w:szCs w:val="24"/>
        </w:rPr>
        <w:t>(Chebbi &amp; Ammer, 2022)</w:t>
      </w:r>
      <w:r w:rsidR="001B5B0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1B199D3B" w14:textId="266CDECD" w:rsidR="00214BA6" w:rsidRPr="00FF3475" w:rsidRDefault="00214BA6" w:rsidP="00214BA6">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As a part of the Vision 2030 economic diversification agenda, businesses as across sectors are being encouraged to make ESG a part of its operation. For example, environmental sustainability is a leading priority where efforts have been made to lower the country's carbon footprint and encourage the use of renewable energy sources like solar and wind power. </w:t>
      </w:r>
      <w:r w:rsidR="001B5B03" w:rsidRPr="00FF3475">
        <w:rPr>
          <w:rFonts w:ascii="Times New Roman" w:hAnsi="Times New Roman" w:cs="Times New Roman"/>
          <w:sz w:val="24"/>
          <w:szCs w:val="24"/>
        </w:rPr>
        <w:fldChar w:fldCharType="begin"/>
      </w:r>
      <w:r w:rsidR="001B5B03" w:rsidRPr="00FF3475">
        <w:rPr>
          <w:rFonts w:ascii="Times New Roman" w:hAnsi="Times New Roman" w:cs="Times New Roman"/>
          <w:sz w:val="24"/>
          <w:szCs w:val="24"/>
        </w:rPr>
        <w:instrText xml:space="preserve"> ADDIN EN.CITE &lt;EndNote&gt;&lt;Cite AuthorYear="1"&gt;&lt;Author&gt;Kouaib&lt;/Author&gt;&lt;Year&gt;2022&lt;/Year&gt;&lt;RecNum&gt;2438&lt;/RecNum&gt;&lt;DisplayText&gt;Kouaib (2022)&lt;/DisplayText&gt;&lt;record&gt;&lt;rec-number&gt;2438&lt;/rec-number&gt;&lt;foreign-keys&gt;&lt;key app="EN" db-id="vp0t0fz5q9wvv2etf21x9vp5rv92ew2dstft" timestamp="1728728864"&gt;2438&lt;/key&gt;&lt;/foreign-keys&gt;&lt;ref-type name="Journal Article"&gt;17&lt;/ref-type&gt;&lt;contributors&gt;&lt;authors&gt;&lt;author&gt;Kouaib, Amel&lt;/author&gt;&lt;/authors&gt;&lt;/contributors&gt;&lt;titles&gt;&lt;title&gt;Corporate sustainability disclosure and investment efficiency: The Saudi Arabian context&lt;/title&gt;&lt;secondary-title&gt;Sustainability&lt;/secondary-title&gt;&lt;/titles&gt;&lt;periodical&gt;&lt;full-title&gt;Sustainability&lt;/full-title&gt;&lt;/periodical&gt;&lt;pages&gt;13984&lt;/pages&gt;&lt;volume&gt;14&lt;/volume&gt;&lt;number&gt;21&lt;/number&gt;&lt;dates&gt;&lt;year&gt;2022&lt;/year&gt;&lt;/dates&gt;&lt;isbn&gt;2071-1050&lt;/isbn&gt;&lt;urls&gt;&lt;/urls&gt;&lt;/record&gt;&lt;/Cite&gt;&lt;/EndNote&gt;</w:instrText>
      </w:r>
      <w:r w:rsidR="001B5B03" w:rsidRPr="00FF3475">
        <w:rPr>
          <w:rFonts w:ascii="Times New Roman" w:hAnsi="Times New Roman" w:cs="Times New Roman"/>
          <w:sz w:val="24"/>
          <w:szCs w:val="24"/>
        </w:rPr>
        <w:fldChar w:fldCharType="separate"/>
      </w:r>
      <w:r w:rsidR="001B5B03" w:rsidRPr="00FF3475">
        <w:rPr>
          <w:rFonts w:ascii="Times New Roman" w:hAnsi="Times New Roman" w:cs="Times New Roman"/>
          <w:noProof/>
          <w:sz w:val="24"/>
          <w:szCs w:val="24"/>
        </w:rPr>
        <w:t>Kouaib (2022)</w:t>
      </w:r>
      <w:r w:rsidR="001B5B03" w:rsidRPr="00FF3475">
        <w:rPr>
          <w:rFonts w:ascii="Times New Roman" w:hAnsi="Times New Roman" w:cs="Times New Roman"/>
          <w:sz w:val="24"/>
          <w:szCs w:val="24"/>
        </w:rPr>
        <w:fldChar w:fldCharType="end"/>
      </w:r>
      <w:r w:rsidR="001B5B03" w:rsidRPr="00FF3475">
        <w:rPr>
          <w:rFonts w:ascii="Times New Roman" w:hAnsi="Times New Roman" w:cs="Times New Roman"/>
          <w:sz w:val="24"/>
          <w:szCs w:val="24"/>
        </w:rPr>
        <w:t xml:space="preserve"> </w:t>
      </w:r>
      <w:r w:rsidR="002A6393" w:rsidRPr="00FF3475">
        <w:rPr>
          <w:rFonts w:ascii="Times New Roman" w:hAnsi="Times New Roman" w:cs="Times New Roman"/>
          <w:sz w:val="24"/>
          <w:szCs w:val="24"/>
        </w:rPr>
        <w:t xml:space="preserve">state as </w:t>
      </w:r>
      <w:r w:rsidRPr="00FF3475">
        <w:rPr>
          <w:rFonts w:ascii="Times New Roman" w:hAnsi="Times New Roman" w:cs="Times New Roman"/>
          <w:sz w:val="24"/>
          <w:szCs w:val="24"/>
        </w:rPr>
        <w:t xml:space="preserve">several Saudi companies especially in the energy sector have begun to invest in clean energy projects </w:t>
      </w:r>
      <w:proofErr w:type="gramStart"/>
      <w:r w:rsidRPr="00FF3475">
        <w:rPr>
          <w:rFonts w:ascii="Times New Roman" w:hAnsi="Times New Roman" w:cs="Times New Roman"/>
          <w:sz w:val="24"/>
          <w:szCs w:val="24"/>
        </w:rPr>
        <w:t>as a result of</w:t>
      </w:r>
      <w:proofErr w:type="gramEnd"/>
      <w:r w:rsidRPr="00FF3475">
        <w:rPr>
          <w:rFonts w:ascii="Times New Roman" w:hAnsi="Times New Roman" w:cs="Times New Roman"/>
          <w:sz w:val="24"/>
          <w:szCs w:val="24"/>
        </w:rPr>
        <w:t xml:space="preserve"> their predisposition to the environmental impact of their operations.</w:t>
      </w:r>
    </w:p>
    <w:p w14:paraId="40B19914" w14:textId="449DB708" w:rsidR="00214BA6" w:rsidRPr="00FF3475" w:rsidRDefault="00214BA6" w:rsidP="00214BA6">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However, in Saudi Arabia, the ESG principles have yet to be adopted in an early stage compared to more mature markets in Europe and North America. The problem has been that in historically, the business model of such companies </w:t>
      </w:r>
      <w:r w:rsidR="00E235EC" w:rsidRPr="00FF3475">
        <w:rPr>
          <w:rFonts w:ascii="Times New Roman" w:hAnsi="Times New Roman" w:cs="Times New Roman"/>
          <w:sz w:val="24"/>
          <w:szCs w:val="24"/>
        </w:rPr>
        <w:t>has</w:t>
      </w:r>
      <w:r w:rsidRPr="00FF3475">
        <w:rPr>
          <w:rFonts w:ascii="Times New Roman" w:hAnsi="Times New Roman" w:cs="Times New Roman"/>
          <w:sz w:val="24"/>
          <w:szCs w:val="24"/>
        </w:rPr>
        <w:t xml:space="preserve"> been oil &amp; gas businesses which are highly based on fossil fuels, and to integrate ESG practices has been very hard in Saudi companies</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&lt;EndNote&gt;&lt;Cite&gt;&lt;Author&gt;Umar&lt;/Author&gt;&lt;Year&gt;2024&lt;/Year&gt;&lt;RecNum&gt;2439&lt;/RecNum&gt;&lt;DisplayText&gt;(Umar et al., 2024)&lt;/DisplayText&gt;&lt;record&gt;&lt;rec-number&gt;2439&lt;/rec-number&gt;&lt;foreign-keys&gt;&lt;key app="EN" db-id="vp0t0fz5q9wvv2etf21x9vp5rv92ew2dstft" timestamp="1728728929"&gt;2439&lt;/key&gt;&lt;/foreign-keys&gt;&lt;ref-type name="Journal Article"&gt;17&lt;/ref-type&gt;&lt;contributors&gt;&lt;authors&gt;&lt;author&gt;Umar, Umar Habibu&lt;/author&gt;&lt;author&gt;Firmansyah, Egi Arvian&lt;/author&gt;&lt;author&gt;Danlami, Muhammad Rabiu&lt;/author&gt;&lt;author&gt;Al-Faryan, Mamdouh Abdulaziz Saleh&lt;/author&gt;&lt;/authors&gt;&lt;/contributors&gt;&lt;titles&gt;&lt;title&gt;Revisiting the relationship between corporate governance mechanisms and ESG disclosures in Saudi Arabia&lt;/title&gt;&lt;secondary-title&gt;Journal of Accounting &amp;amp; Organizational Change&lt;/secondary-title&gt;&lt;/titles&gt;&lt;periodical&gt;&lt;full-title&gt;Journal of Accounting &amp;amp; Organizational Change&lt;/full-title&gt;&lt;/periodical&gt;&lt;pages&gt;724-747&lt;/pages&gt;&lt;volume&gt;20&lt;/volume&gt;&lt;number&gt;4&lt;/number&gt;&lt;dates&gt;&lt;year&gt;2024&lt;/year&gt;&lt;/dates&gt;&lt;isbn&gt;1832-5912&lt;/isbn&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(Umar et al., 2024)</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 Yet the advent of a global push towards sustainability in tandem with Saudi Arabia’s drive to reform its economy makes the case for ESG more reasonable.</w:t>
      </w:r>
    </w:p>
    <w:p w14:paraId="784A7A64" w14:textId="71F32B4A" w:rsidR="00214BA6" w:rsidRPr="00FF3475" w:rsidRDefault="00E235EC" w:rsidP="00214BA6">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According to </w:t>
      </w:r>
      <w:r w:rsidRPr="00FF3475">
        <w:rPr>
          <w:rFonts w:ascii="Times New Roman" w:hAnsi="Times New Roman" w:cs="Times New Roman"/>
          <w:sz w:val="24"/>
          <w:szCs w:val="24"/>
        </w:rPr>
        <w:fldChar w:fldCharType="begin"/>
      </w:r>
      <w:r w:rsidRPr="00FF3475">
        <w:rPr>
          <w:rFonts w:ascii="Times New Roman" w:hAnsi="Times New Roman" w:cs="Times New Roman"/>
          <w:sz w:val="24"/>
          <w:szCs w:val="24"/>
        </w:rPr>
        <w:instrText xml:space="preserve"> ADDIN EN.CITE &lt;EndNote&gt;&lt;Cite AuthorYear="1"&gt;&lt;Author&gt;Bamahros&lt;/Author&gt;&lt;Year&gt;2022&lt;/Year&gt;&lt;RecNum&gt;2440&lt;/RecNum&gt;&lt;DisplayText&gt;Bamahros et al. (2022)&lt;/DisplayText&gt;&lt;record&gt;&lt;rec-number&gt;2440&lt;/rec-number&gt;&lt;foreign-keys&gt;&lt;key app="EN" db-id="vp0t0fz5q9wvv2etf21x9vp5rv92ew2dstft" timestamp="1728728970"&gt;2440&lt;/key&gt;&lt;/foreign-keys&gt;&lt;ref-type name="Journal Article"&gt;17&lt;/ref-type&gt;&lt;contributors&gt;&lt;authors&gt;&lt;author&gt;Bamahros, Hasan Mohamad&lt;/author&gt;&lt;author&gt;Alquhaif, Abdulsalam&lt;/author&gt;&lt;author&gt;Qasem, Ameen&lt;/author&gt;&lt;author&gt;Wan-Hussin, Wan Nordin&lt;/author&gt;&lt;author&gt;Thomran, Murad&lt;/author&gt;&lt;author&gt;Al-Duais, Shaker Dahan&lt;/author&gt;&lt;author&gt;Shukeri, Siti Norwahida&lt;/author&gt;&lt;author&gt;Khojally, Hytham MA&lt;/author&gt;&lt;/authors&gt;&lt;/contributors&gt;&lt;titles&gt;&lt;title&gt;Corporate governance mechanisms and ESG reporting: Evidence from the Saudi Stock Market&lt;/title&gt;&lt;secondary-title&gt;Sustainability&lt;/secondary-title&gt;&lt;/titles&gt;&lt;periodical&gt;&lt;full-title&gt;Sustainability&lt;/full-title&gt;&lt;/periodical&gt;&lt;pages&gt;6202&lt;/pages&gt;&lt;volume&gt;14&lt;/volume&gt;&lt;number&gt;10&lt;/number&gt;&lt;dates&gt;&lt;year&gt;2022&lt;/year&gt;&lt;/dates&gt;&lt;isbn&gt;2071-1050&lt;/isbn&gt;&lt;urls&gt;&lt;/urls&gt;&lt;/record&gt;&lt;/Cite&gt;&lt;/EndNote&gt;</w:instrText>
      </w:r>
      <w:r w:rsidRPr="00FF3475">
        <w:rPr>
          <w:rFonts w:ascii="Times New Roman" w:hAnsi="Times New Roman" w:cs="Times New Roman"/>
          <w:sz w:val="24"/>
          <w:szCs w:val="24"/>
        </w:rPr>
        <w:fldChar w:fldCharType="separate"/>
      </w:r>
      <w:r w:rsidRPr="00FF3475">
        <w:rPr>
          <w:rFonts w:ascii="Times New Roman" w:hAnsi="Times New Roman" w:cs="Times New Roman"/>
          <w:noProof/>
          <w:sz w:val="24"/>
          <w:szCs w:val="24"/>
        </w:rPr>
        <w:t>Bamahros et al. (2022)</w:t>
      </w:r>
      <w:r w:rsidRPr="00FF3475">
        <w:rPr>
          <w:rFonts w:ascii="Times New Roman" w:hAnsi="Times New Roman" w:cs="Times New Roman"/>
          <w:sz w:val="24"/>
          <w:szCs w:val="24"/>
        </w:rPr>
        <w:fldChar w:fldCharType="end"/>
      </w:r>
      <w:r w:rsidR="00214BA6" w:rsidRPr="00FF3475">
        <w:rPr>
          <w:rFonts w:ascii="Times New Roman" w:hAnsi="Times New Roman" w:cs="Times New Roman"/>
          <w:sz w:val="24"/>
          <w:szCs w:val="24"/>
        </w:rPr>
        <w:t xml:space="preserve"> Capital Market Authority (CMA) has played a major part in pushing ESG adoptions within Saudi Arabia. The CMA has highlighted that ESG disclosures in </w:t>
      </w:r>
      <w:r w:rsidR="00214BA6" w:rsidRPr="00FF3475">
        <w:rPr>
          <w:rFonts w:ascii="Times New Roman" w:hAnsi="Times New Roman" w:cs="Times New Roman"/>
          <w:sz w:val="24"/>
          <w:szCs w:val="24"/>
        </w:rPr>
        <w:lastRenderedPageBreak/>
        <w:t xml:space="preserve">helping to attract the foreign investment and support the competitiveness of Saudi companies on the global stage. The CMA reported in 2022 that ESG related disclosures by Saudi companies have increased significantly, specifically in relation to environmental sustainability and corporate governance. </w:t>
      </w:r>
      <w:r w:rsidRPr="00FF3475">
        <w:rPr>
          <w:rFonts w:ascii="Times New Roman" w:hAnsi="Times New Roman" w:cs="Times New Roman"/>
          <w:sz w:val="24"/>
          <w:szCs w:val="24"/>
        </w:rPr>
        <w:fldChar w:fldCharType="begin"/>
      </w:r>
      <w:r w:rsidRPr="00FF3475">
        <w:rPr>
          <w:rFonts w:ascii="Times New Roman" w:hAnsi="Times New Roman" w:cs="Times New Roman"/>
          <w:sz w:val="24"/>
          <w:szCs w:val="24"/>
        </w:rPr>
        <w:instrText xml:space="preserve"> ADDIN EN.CITE &lt;EndNote&gt;&lt;Cite AuthorYear="1"&gt;&lt;Author&gt;Ali&lt;/Author&gt;&lt;Year&gt;2017&lt;/Year&gt;&lt;RecNum&gt;2441&lt;/RecNum&gt;&lt;DisplayText&gt;Ali (2017)&lt;/DisplayText&gt;&lt;record&gt;&lt;rec-number&gt;2441&lt;/rec-number&gt;&lt;foreign-keys&gt;&lt;key app="EN" db-id="vp0t0fz5q9wvv2etf21x9vp5rv92ew2dstft" timestamp="1728729022"&gt;2441&lt;/key&gt;&lt;/foreign-keys&gt;&lt;ref-type name="Journal Article"&gt;17&lt;/ref-type&gt;&lt;contributors&gt;&lt;authors&gt;&lt;author&gt;Ali, Mohamed Ali Shabeeb&lt;/author&gt;&lt;/authors&gt;&lt;/contributors&gt;&lt;titles&gt;&lt;title&gt;Towards Integrated Reporting: An Exploratory Analysis of Reporting Practices in Saudi Arabia&lt;/title&gt;&lt;secondary-title&gt;الفکر المحاسبى&lt;/secondary-title&gt;&lt;/titles&gt;&lt;periodical&gt;&lt;full-title&gt;الفکر المحاسبى&lt;/full-title&gt;&lt;/periodical&gt;&lt;pages&gt;53-121&lt;/pages&gt;&lt;volume&gt;21&lt;/volume&gt;&lt;number&gt;2&lt;/number&gt;&lt;dates&gt;&lt;year&gt;2017&lt;/year&gt;&lt;/dates&gt;&lt;isbn&gt;2356-8402&lt;/isbn&gt;&lt;urls&gt;&lt;/urls&gt;&lt;/record&gt;&lt;/Cite&gt;&lt;/EndNote&gt;</w:instrText>
      </w:r>
      <w:r w:rsidRPr="00FF3475">
        <w:rPr>
          <w:rFonts w:ascii="Times New Roman" w:hAnsi="Times New Roman" w:cs="Times New Roman"/>
          <w:sz w:val="24"/>
          <w:szCs w:val="24"/>
        </w:rPr>
        <w:fldChar w:fldCharType="separate"/>
      </w:r>
      <w:r w:rsidRPr="00FF3475">
        <w:rPr>
          <w:rFonts w:ascii="Times New Roman" w:hAnsi="Times New Roman" w:cs="Times New Roman"/>
          <w:noProof/>
          <w:sz w:val="24"/>
          <w:szCs w:val="24"/>
        </w:rPr>
        <w:t>Ali (2017)</w:t>
      </w:r>
      <w:r w:rsidRPr="00FF3475">
        <w:rPr>
          <w:rFonts w:ascii="Times New Roman" w:hAnsi="Times New Roman" w:cs="Times New Roman"/>
          <w:sz w:val="24"/>
          <w:szCs w:val="24"/>
        </w:rPr>
        <w:fldChar w:fldCharType="end"/>
      </w:r>
      <w:r w:rsidR="00214BA6" w:rsidRPr="00FF3475">
        <w:rPr>
          <w:rFonts w:ascii="Times New Roman" w:hAnsi="Times New Roman" w:cs="Times New Roman"/>
          <w:sz w:val="24"/>
          <w:szCs w:val="24"/>
        </w:rPr>
        <w:t xml:space="preserve"> noted that companies listed on the Saudi Stock Exchange (Tadawul) now must report on their ESG practices as part of their annual reporting, a sign of progress toward a more transparent and accountable outcome.</w:t>
      </w:r>
    </w:p>
    <w:p w14:paraId="5C463E45" w14:textId="0B2BFFB1" w:rsidR="00214BA6" w:rsidRPr="00FF3475" w:rsidRDefault="00214BA6" w:rsidP="00214BA6">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On the other hand, some challenges need to be addressed before ESG principles are put into practice within Saudi businesses. The biggest problem, however, is there is no overarching regulation strictly specifying ESG transformation throughout the entire industry. While Saudi Arabia has demonstrated its commitment to the ESG disclosures inclusions, no countrywide standard is yet enforced by the CMA regarding ESG practice and implementation, making the specification and adoption of ESG practices and disclosures inconsistent. However, many companies, mostly small and medium-sized enterprises (SMEs), simply lack the resources or expertise to fully integrate ESG into their company’s risk management and operational strategy</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&lt;EndNote&gt;&lt;Cite&gt;&lt;Author&gt;Alofi&lt;/Author&gt;&lt;Year&gt;2020&lt;/Year&gt;&lt;RecNum&gt;2442&lt;/RecNum&gt;&lt;DisplayText&gt;(Alofi, 2020)&lt;/DisplayText&gt;&lt;record&gt;&lt;rec-number&gt;2442&lt;/rec-number&gt;&lt;foreign-keys&gt;&lt;key app="EN" db-id="vp0t0fz5q9wvv2etf21x9vp5rv92ew2dstft" timestamp="1728729051"&gt;2442&lt;/key&gt;&lt;/foreign-keys&gt;&lt;ref-type name="Journal Article"&gt;17&lt;/ref-type&gt;&lt;contributors&gt;&lt;authors&gt;&lt;author&gt;Alofi, Nuha&lt;/author&gt;&lt;/authors&gt;&lt;/contributors&gt;&lt;titles&gt;&lt;title&gt;Corporate social responsibility in Saudi Arabia: perception, disclosure and impact on firm performance&lt;/title&gt;&lt;/titles&gt;&lt;dates&gt;&lt;year&gt;2020&lt;/year&gt;&lt;/dates&gt;&lt;urls&gt;&lt;/urls&gt;&lt;/record&gt;&lt;/Cite&gt;&lt;/EndNote&gt;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(Alofi, 2020)</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0DCFC54C" w14:textId="2FAD9DCB" w:rsidR="00214BA6" w:rsidRPr="00FF3475" w:rsidRDefault="00214BA6" w:rsidP="00214BA6">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It is a challenge also in readying oneself for the cultural shift that is needed </w:t>
      </w:r>
      <w:proofErr w:type="gramStart"/>
      <w:r w:rsidRPr="00FF3475">
        <w:rPr>
          <w:rFonts w:ascii="Times New Roman" w:hAnsi="Times New Roman" w:cs="Times New Roman"/>
          <w:sz w:val="24"/>
          <w:szCs w:val="24"/>
        </w:rPr>
        <w:t>in order to</w:t>
      </w:r>
      <w:proofErr w:type="gramEnd"/>
      <w:r w:rsidRPr="00FF3475">
        <w:rPr>
          <w:rFonts w:ascii="Times New Roman" w:hAnsi="Times New Roman" w:cs="Times New Roman"/>
          <w:sz w:val="24"/>
          <w:szCs w:val="24"/>
        </w:rPr>
        <w:t xml:space="preserve"> adopt ESG principles. Traditional business practice in Saudi Arabia has too often seen short term financial convenience over sustained success. Mindset is an enemy of ESG, especially in industries that have always been distaste for change</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&lt;EndNote&gt;&lt;Cite&gt;&lt;Author&gt;Chebbi&lt;/Author&gt;&lt;Year&gt;2022&lt;/Year&gt;&lt;RecNum&gt;2443&lt;/RecNum&gt;&lt;DisplayText&gt;(Chebbi &amp;amp; Ammer, 2022)&lt;/DisplayText&gt;&lt;record&gt;&lt;rec-number&gt;2443&lt;/rec-number&gt;&lt;foreign-keys&gt;&lt;key app="EN" db-id="vp0t0fz5q9wvv2etf21x9vp5rv92ew2dstft" timestamp="1728729094"&gt;2443&lt;/key&gt;&lt;/foreign-keys&gt;&lt;ref-type name="Journal Article"&gt;17&lt;/ref-type&gt;&lt;contributors&gt;&lt;authors&gt;&lt;author&gt;Chebbi, Kaouther&lt;/author&gt;&lt;author&gt;Ammer, Mohammed Abdullah&lt;/author&gt;&lt;/authors&gt;&lt;/contributors&gt;&lt;titles&gt;&lt;title&gt;Board composition and ESG disclosure in Saudi Arabia: The moderating role of corporate governance reforms&lt;/title&gt;&lt;secondary-title&gt;Sustainability&lt;/secondary-title&gt;&lt;/titles&gt;&lt;periodical&gt;&lt;full-title&gt;Sustainability&lt;/full-title&gt;&lt;/periodical&gt;&lt;pages&gt;12173&lt;/pages&gt;&lt;volume&gt;14&lt;/volume&gt;&lt;number&gt;19&lt;/number&gt;&lt;dates&gt;&lt;year&gt;2022&lt;/year&gt;&lt;/dates&gt;&lt;isbn&gt;2071-1050&lt;/isbn&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(Chebbi &amp; Ammer, 2022)</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 As well, Saudi businesses must raise awareness of the financial and reputational advantages associated with ESG integration. Yet, many companies still see ESG as a compliance requirement rather than a strategic opportunity to improve competitiveness and to attract foreign investments, and to mitigate risks.</w:t>
      </w:r>
    </w:p>
    <w:p w14:paraId="76D09B1F" w14:textId="46E55364" w:rsidR="00214BA6" w:rsidRPr="00FF3475" w:rsidRDefault="00214BA6" w:rsidP="00214BA6">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But against that, there are some good leading signs that Saudi companies are starting to realize the worth of ESG. A handful of leading companies in sectors including banking, real estate and consumer goods have begun to implement ESG strategies in the wake of growing investor demand, new regulations and consumer awareness. As part of promoting ESG standards in the Kingdom, the Tadawul also launched the MSCI Tadawul 30 ESG Index (MT30), which lists the ESG performance of the top 30 listed companies</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&lt;EndNote&gt;&lt;Cite&gt;&lt;Author&gt;Alrowais&lt;/Author&gt;&lt;Year&gt;2022&lt;/Year&gt;&lt;RecNum&gt;2444&lt;/RecNum&gt;&lt;DisplayText&gt;(Alrowais, 2022)&lt;/DisplayText&gt;&lt;record&gt;&lt;rec-number&gt;2444&lt;/rec-number&gt;&lt;foreign-keys&gt;&lt;key app="EN" db-id="vp0t0fz5q9wvv2etf21x9vp5rv92ew2dstft" timestamp="1728729119"&gt;2444&lt;/key&gt;&lt;/foreign-keys&gt;&lt;ref-type name="Book"&gt;6&lt;/ref-type&gt;&lt;contributors&gt;&lt;authors&gt;&lt;author&gt;Alrowais, Sattam Saud&lt;/author&gt;&lt;/authors&gt;&lt;/contributors&gt;&lt;titles&gt;&lt;title&gt;Corporate social responsibility reporting amongst petrochemical firms in the Kingdom of Saudi Arabia (KSA): practice and perception&lt;/title&gt;&lt;/titles&gt;&lt;dates&gt;&lt;year&gt;2022&lt;/year&gt;&lt;/dates&gt;&lt;publisher&gt;Nottingham Trent University (United Kingdom)&lt;/publisher&gt;&lt;isbn&gt;9798352980439&lt;/isbn&gt;&lt;urls&gt;&lt;/urls&gt;&lt;/record&gt;&lt;/Cite&gt;&lt;/EndNote&gt;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(Alrowais, 2022)</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3BDBDC0A" w14:textId="11CE0E2C" w:rsidR="00214BA6" w:rsidRPr="00FF3475" w:rsidRDefault="00214BA6" w:rsidP="00214BA6">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Stoning your way to growth is no longer the modern way and the future belongs to sustainable businesses, Saudi companies who avoid unhealthy hobbies like ESG </w:t>
      </w:r>
      <w:r w:rsidR="0052337D" w:rsidRPr="00FF3475">
        <w:rPr>
          <w:rFonts w:ascii="Times New Roman" w:hAnsi="Times New Roman" w:cs="Times New Roman"/>
          <w:sz w:val="24"/>
          <w:szCs w:val="24"/>
        </w:rPr>
        <w:t>write-offs</w:t>
      </w:r>
      <w:r w:rsidRPr="00FF3475">
        <w:rPr>
          <w:rFonts w:ascii="Times New Roman" w:hAnsi="Times New Roman" w:cs="Times New Roman"/>
          <w:sz w:val="24"/>
          <w:szCs w:val="24"/>
        </w:rPr>
        <w:t xml:space="preserve"> will be favored in </w:t>
      </w:r>
      <w:r w:rsidRPr="00FF3475">
        <w:rPr>
          <w:rFonts w:ascii="Times New Roman" w:hAnsi="Times New Roman" w:cs="Times New Roman"/>
          <w:sz w:val="24"/>
          <w:szCs w:val="24"/>
        </w:rPr>
        <w:lastRenderedPageBreak/>
        <w:t xml:space="preserve">attracting Foreign Direct Investment (FDI) and competing with international peers. Further, the integration of ESG to corporate strategies is not only a reaction to global trends, </w:t>
      </w:r>
      <w:proofErr w:type="gramStart"/>
      <w:r w:rsidRPr="00FF3475">
        <w:rPr>
          <w:rFonts w:ascii="Times New Roman" w:hAnsi="Times New Roman" w:cs="Times New Roman"/>
          <w:sz w:val="24"/>
          <w:szCs w:val="24"/>
        </w:rPr>
        <w:t>it is</w:t>
      </w:r>
      <w:proofErr w:type="gramEnd"/>
      <w:r w:rsidRPr="00FF3475">
        <w:rPr>
          <w:rFonts w:ascii="Times New Roman" w:hAnsi="Times New Roman" w:cs="Times New Roman"/>
          <w:sz w:val="24"/>
          <w:szCs w:val="24"/>
        </w:rPr>
        <w:t xml:space="preserve"> a must in support of Saudi Arabia’s Vision 2030. Taking the stance of alignment with the sustainability goals of the nation, businesses can strengthen their </w:t>
      </w:r>
      <w:r w:rsidR="00063F16"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resilience, reputation, and profitability</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&lt;EndNote&gt;&lt;Cite&gt;&lt;Author&gt;Oyewole&lt;/Author&gt;&lt;Year&gt;2021&lt;/Year&gt;&lt;RecNum&gt;2445&lt;/RecNum&gt;&lt;DisplayText&gt;(Oyewole, 2021)&lt;/DisplayText&gt;&lt;record&gt;&lt;rec-number&gt;2445&lt;/rec-number&gt;&lt;foreign-keys&gt;&lt;key app="EN" db-id="vp0t0fz5q9wvv2etf21x9vp5rv92ew2dstft" timestamp="1728729139"&gt;2445&lt;/key&gt;&lt;/foreign-keys&gt;&lt;ref-type name="Thesis"&gt;32&lt;/ref-type&gt;&lt;contributors&gt;&lt;authors&gt;&lt;author&gt;Oyewole, Tobi&lt;/author&gt;&lt;/authors&gt;&lt;/contributors&gt;&lt;titles&gt;&lt;title&gt;Assessing the Role of Securities Exchanges on Environmental, Social and Governance (ESG) Practice&lt;/title&gt;&lt;/titles&gt;&lt;dates&gt;&lt;year&gt;2021&lt;/year&gt;&lt;/dates&gt;&lt;publisher&gt;University of Waterloo&lt;/publisher&gt;&lt;urls&gt;&lt;/urls&gt;&lt;/record&gt;&lt;/Cite&gt;&lt;/EndNote&gt;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(Oyewole, 2021)</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395837EC" w14:textId="3AE2EA26" w:rsidR="00DF6385" w:rsidRPr="00FF3475" w:rsidRDefault="00214BA6" w:rsidP="00DF6385">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While ESG adoption in Saudi Arabia is still in its infancy, which is matched by the increasing awareness, driven by government effort, investor pressure and strong signals will increasingly make the Kingdom an ESG leader of the region</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&lt;EndNote&gt;&lt;Cite&gt;&lt;Author&gt;Umar&lt;/Author&gt;&lt;Year&gt;2021&lt;/Year&gt;&lt;RecNum&gt;2446&lt;/RecNum&gt;&lt;DisplayText&gt;(Umar, 2021)&lt;/DisplayText&gt;&lt;record&gt;&lt;rec-number&gt;2446&lt;/rec-number&gt;&lt;foreign-keys&gt;&lt;key app="EN" db-id="vp0t0fz5q9wvv2etf21x9vp5rv92ew2dstft" timestamp="1728729162"&gt;2446&lt;/key&gt;&lt;/foreign-keys&gt;&lt;ref-type name="Thesis"&gt;32&lt;/ref-type&gt;&lt;contributors&gt;&lt;authors&gt;&lt;author&gt;Umar, Mohammed&lt;/author&gt;&lt;/authors&gt;&lt;/contributors&gt;&lt;titles&gt;&lt;title&gt;Are Islamic Banks More ESG Compliant than Their Conventional Counterparts?&lt;/title&gt;&lt;/titles&gt;&lt;dates&gt;&lt;year&gt;2021&lt;/year&gt;&lt;/dates&gt;&lt;publisher&gt;Hamad Bin Khalifa University (Qatar)&lt;/publisher&gt;&lt;urls&gt;&lt;/urls&gt;&lt;/record&gt;&lt;/Cite&gt;&lt;/EndNote&gt;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(Umar, 2021)</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 Regulatory and corporate governance frameworks, as well as awareness programs, will remain a must for Saudi businesses to fully adopt the ESG and contribute to Saudi’s sustainable development agenda</w:t>
      </w:r>
      <w:r w:rsidR="00395F2D" w:rsidRPr="00FF3475">
        <w:rPr>
          <w:rFonts w:ascii="Times New Roman" w:hAnsi="Times New Roman" w:cs="Times New Roman"/>
          <w:sz w:val="24"/>
          <w:szCs w:val="24"/>
        </w:rPr>
        <w:t>.</w:t>
      </w:r>
    </w:p>
    <w:p w14:paraId="08662265" w14:textId="77777777" w:rsidR="00DF6385" w:rsidRPr="00FF3475" w:rsidRDefault="00DF6385" w:rsidP="0083582F">
      <w:pPr>
        <w:pStyle w:val="Heading2"/>
        <w:rPr>
          <w:rFonts w:ascii="Times New Roman" w:hAnsi="Times New Roman" w:cs="Times New Roman"/>
          <w:color w:val="auto"/>
        </w:rPr>
      </w:pPr>
      <w:bookmarkStart w:id="15" w:name="_Toc180406335"/>
      <w:r w:rsidRPr="00FF3475">
        <w:rPr>
          <w:rFonts w:ascii="Times New Roman" w:hAnsi="Times New Roman" w:cs="Times New Roman"/>
          <w:color w:val="auto"/>
        </w:rPr>
        <w:t>2.3 Risk Management and ESG Integration</w:t>
      </w:r>
      <w:bookmarkEnd w:id="15"/>
    </w:p>
    <w:p w14:paraId="51421F02" w14:textId="77777777" w:rsidR="00DF6385" w:rsidRPr="00FF3475" w:rsidRDefault="00DF6385" w:rsidP="0083582F">
      <w:pPr>
        <w:pStyle w:val="Heading3"/>
        <w:rPr>
          <w:rFonts w:ascii="Times New Roman" w:hAnsi="Times New Roman" w:cs="Times New Roman"/>
          <w:color w:val="auto"/>
        </w:rPr>
      </w:pPr>
      <w:bookmarkStart w:id="16" w:name="_Toc180406336"/>
      <w:r w:rsidRPr="00FF3475">
        <w:rPr>
          <w:rFonts w:ascii="Times New Roman" w:hAnsi="Times New Roman" w:cs="Times New Roman"/>
          <w:color w:val="auto"/>
        </w:rPr>
        <w:t>2.3.1 Traditional Risk Management vs. ESG-Focused Risk Management</w:t>
      </w:r>
      <w:bookmarkEnd w:id="16"/>
    </w:p>
    <w:p w14:paraId="50BBD7CB" w14:textId="00E76CDE" w:rsidR="00EF23C9" w:rsidRPr="00FF3475" w:rsidRDefault="00EF23C9" w:rsidP="00EF23C9">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Traditionally, risk management has played a vital role in both a company’s operations and has been focused on identifying and addressing risks that may negatively impact a business’s financial performance, operational effectiveness, and regulatory compliance. This method groups risks as either financial, operational or compliance based and deals with them using known techniques such as risk assessment, insurance and contingency planning</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&lt;EndNote&gt;&lt;Cite&gt;&lt;Author&gt;Neuvonen&lt;/Author&gt;&lt;Year&gt;2024&lt;/Year&gt;&lt;RecNum&gt;2447&lt;/RecNum&gt;&lt;DisplayText&gt;(Neuvonen, 2024)&lt;/DisplayText&gt;&lt;record&gt;&lt;rec-number&gt;2447&lt;/rec-number&gt;&lt;foreign-keys&gt;&lt;key app="EN" db-id="vp0t0fz5q9wvv2etf21x9vp5rv92ew2dstft" timestamp="1728729222"&gt;2447&lt;/key&gt;&lt;/foreign-keys&gt;&lt;ref-type name="Journal Article"&gt;17&lt;/ref-type&gt;&lt;contributors&gt;&lt;authors&gt;&lt;author&gt;Neuvonen, Aleksi&lt;/author&gt;&lt;/authors&gt;&lt;/contributors&gt;&lt;titles&gt;&lt;title&gt;Integrating ESG and Corporate Social Performance&lt;/title&gt;&lt;/titles&gt;&lt;dates&gt;&lt;year&gt;2024&lt;/year&gt;&lt;/dates&gt;&lt;urls&gt;&lt;/urls&gt;&lt;/record&gt;&lt;/Cite&gt;&lt;/EndNote&gt;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(Neuvonen, 2024)</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Traditional risk management intends to examine and mitigate the potential threats to company continuity short to medium </w:t>
      </w:r>
      <w:proofErr w:type="gramStart"/>
      <w:r w:rsidRPr="00FF3475">
        <w:rPr>
          <w:rFonts w:ascii="Times New Roman" w:hAnsi="Times New Roman" w:cs="Times New Roman"/>
          <w:sz w:val="24"/>
          <w:szCs w:val="24"/>
        </w:rPr>
        <w:t>term, and</w:t>
      </w:r>
      <w:proofErr w:type="gramEnd"/>
      <w:r w:rsidRPr="00FF3475">
        <w:rPr>
          <w:rFonts w:ascii="Times New Roman" w:hAnsi="Times New Roman" w:cs="Times New Roman"/>
          <w:sz w:val="24"/>
          <w:szCs w:val="24"/>
        </w:rPr>
        <w:t xml:space="preserve"> defend the continuity of the business and the profit margins.</w:t>
      </w:r>
    </w:p>
    <w:p w14:paraId="515261F8" w14:textId="51C2FFDD" w:rsidR="00EF23C9" w:rsidRPr="00FF3475" w:rsidRDefault="00EF23C9" w:rsidP="00EF23C9">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While this approach is useful in dealing with immediate quantitative risk, it neglects other environmental and societal risks that may not come home to roost in this way immediately, but have significant </w:t>
      </w:r>
      <w:r w:rsidR="007112FD"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implications</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&lt;EndNote&gt;&lt;Cite&gt;&lt;Author&gt;Abramova&lt;/Author&gt;&lt;Year&gt;2024&lt;/Year&gt;&lt;RecNum&gt;2448&lt;/RecNum&gt;&lt;DisplayText&gt;(Abramova, 2024)&lt;/DisplayText&gt;&lt;record&gt;&lt;rec-number&gt;2448&lt;/rec-number&gt;&lt;foreign-keys&gt;&lt;key app="EN" db-id="vp0t0fz5q9wvv2etf21x9vp5rv92ew2dstft" timestamp="1728729249"&gt;2448&lt;/key&gt;&lt;/foreign-keys&gt;&lt;ref-type name="Journal Article"&gt;17&lt;/ref-type&gt;&lt;contributors&gt;&lt;authors&gt;&lt;author&gt;Abramova, Anna&lt;/author&gt;&lt;/authors&gt;&lt;/contributors&gt;&lt;titles&gt;&lt;title&gt;Environmental, Social, and Governance (ESG) Principles in the Banking Sector. Development, Integration, and Risk Management Strategies: a case study of a Finnish banks&amp;apos; approach to ESG Framework&lt;/title&gt;&lt;/titles&gt;&lt;dates&gt;&lt;year&gt;2024&lt;/year&gt;&lt;/dates&gt;&lt;urls&gt;&lt;/urls&gt;&lt;/record&gt;&lt;/Cite&gt;&lt;/EndNote&gt;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(Abramova, 2024)</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This does not mean that risks from environmental degradation, social inequities or governance failures do not directly impact on quarterly earnings or immediate business continuity, because they often do not, but they do constitute systemic risks that may threaten a company’s sustainability, reputation and capital </w:t>
      </w:r>
      <w:r w:rsidR="008D557B" w:rsidRPr="00FF3475">
        <w:rPr>
          <w:rFonts w:ascii="Times New Roman" w:hAnsi="Times New Roman" w:cs="Times New Roman"/>
          <w:sz w:val="24"/>
          <w:szCs w:val="24"/>
        </w:rPr>
        <w:t>gain ability</w:t>
      </w:r>
      <w:r w:rsidRPr="00FF3475">
        <w:rPr>
          <w:rFonts w:ascii="Times New Roman" w:hAnsi="Times New Roman" w:cs="Times New Roman"/>
          <w:sz w:val="24"/>
          <w:szCs w:val="24"/>
        </w:rPr>
        <w:t>. Since businesses have become increasingly aware of non-traditional risks, such as climate change, human rights, and corporate governance, they are disclosable and hence businesses are under increasing pressure to disclose these risks</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&lt;EndNote&gt;&lt;Cite&gt;&lt;Author&gt;Zhong&lt;/Author&gt;&lt;Year&gt;2023&lt;/Year&gt;&lt;RecNum&gt;2449&lt;/RecNum&gt;&lt;DisplayText&gt;(Zhong, 2023)&lt;/DisplayText&gt;&lt;record&gt;&lt;rec-number&gt;2449&lt;/rec-number&gt;&lt;foreign-keys&gt;&lt;key app="EN" db-id="vp0t0fz5q9wvv2etf21x9vp5rv92ew2dstft" timestamp="1728729265"&gt;2449&lt;/key&gt;&lt;/foreign-keys&gt;&lt;ref-type name="Journal Article"&gt;17&lt;/ref-type&gt;&lt;contributors&gt;&lt;authors&gt;&lt;author&gt;Zhong, Wenkai&lt;/author&gt;&lt;/authors&gt;&lt;/contributors&gt;&lt;titles&gt;&lt;title&gt;An analysis of focusing on ESG investment&lt;/title&gt;&lt;secondary-title&gt;Highlights in Business, Economics and Management&lt;/secondary-title&gt;&lt;/titles&gt;&lt;periodical&gt;&lt;full-title&gt;Highlights in Business, Economics and Management&lt;/full-title&gt;&lt;/periodical&gt;&lt;pages&gt;8-13&lt;/pages&gt;&lt;volume&gt;17&lt;/volume&gt;&lt;dates&gt;&lt;year&gt;2023&lt;/year&gt;&lt;/dates&gt;&lt;isbn&gt;2957-952X&lt;/isbn&gt;&lt;urls&gt;&lt;/urls&gt;&lt;/record&gt;&lt;/Cite&gt;&lt;/EndNote&gt;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(Zhong, 2023)</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608559BB" w14:textId="7AD478C2" w:rsidR="00EF23C9" w:rsidRPr="00FF3475" w:rsidRDefault="00EF23C9" w:rsidP="00EF23C9">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Another paradigm: integrating ESG principles in risk management practices goes far beyond an isolated action, instead it reflects a broader, more holistic approach in thinking about organizational </w:t>
      </w:r>
      <w:r w:rsidRPr="00FF3475">
        <w:rPr>
          <w:rFonts w:ascii="Times New Roman" w:hAnsi="Times New Roman" w:cs="Times New Roman"/>
          <w:sz w:val="24"/>
          <w:szCs w:val="24"/>
        </w:rPr>
        <w:lastRenderedPageBreak/>
        <w:t xml:space="preserve">risk and making risk management more comprehensive. Risks that are ESG focused recognize that ESR factors can have direct or indirect effect on the organization's viability and therefore, ESG factors influence the risk assessment process. The view of risk is expanded to include the potential impacts of disruption to market performance (finances) as well as to stakeholders, the environment and </w:t>
      </w:r>
      <w:r w:rsidR="007112FD"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business sustainability</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&lt;EndNote&gt;&lt;Cite&gt;&lt;Author&gt;Williams&lt;/Author&gt;&lt;Year&gt;2024&lt;/Year&gt;&lt;RecNum&gt;2450&lt;/RecNum&gt;&lt;DisplayText&gt;(Williams, 2024)&lt;/DisplayText&gt;&lt;record&gt;&lt;rec-number&gt;2450&lt;/rec-number&gt;&lt;foreign-keys&gt;&lt;key app="EN" db-id="vp0t0fz5q9wvv2etf21x9vp5rv92ew2dstft" timestamp="1728729285"&gt;2450&lt;/key&gt;&lt;/foreign-keys&gt;&lt;ref-type name="Journal Article"&gt;17&lt;/ref-type&gt;&lt;contributors&gt;&lt;authors&gt;&lt;author&gt;Williams, Emma&lt;/author&gt;&lt;/authors&gt;&lt;/contributors&gt;&lt;titles&gt;&lt;title&gt;The Role of ESG Principles in Enhancing Financial Performance in the Insurance Sector: A Comparative Study of the UK and Germany&lt;/title&gt;&lt;secondary-title&gt;JBMI Insight&lt;/secondary-title&gt;&lt;/titles&gt;&lt;periodical&gt;&lt;full-title&gt;JBMI Insight&lt;/full-title&gt;&lt;/periodical&gt;&lt;pages&gt;13-24&lt;/pages&gt;&lt;volume&gt;1&lt;/volume&gt;&lt;number&gt;3&lt;/number&gt;&lt;dates&gt;&lt;year&gt;2024&lt;/year&gt;&lt;/dates&gt;&lt;urls&gt;&lt;/urls&gt;&lt;/record&gt;&lt;/Cite&gt;&lt;/EndNote&gt;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(Williams, 2024)</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76D057B0" w14:textId="338CD571" w:rsidR="00EF23C9" w:rsidRPr="00FF3475" w:rsidRDefault="007112FD" w:rsidP="00EF23C9">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O</w:t>
      </w:r>
      <w:r w:rsidR="00EF23C9" w:rsidRPr="00FF3475">
        <w:rPr>
          <w:rFonts w:ascii="Times New Roman" w:hAnsi="Times New Roman" w:cs="Times New Roman"/>
          <w:sz w:val="24"/>
          <w:szCs w:val="24"/>
        </w:rPr>
        <w:t>ne of the most pressing ESG related risks that companies are facing today is climate change. Much of the risk management that focuses on extreme events like weather might be based on consideration of how supply chains might break or infrastructure get damaged but ESG risk management looks more deeply into the causes and effects of climate change on an organization's strategic positioning</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&lt;EndNote&gt;&lt;Cite&gt;&lt;Author&gt;Ragazzo&lt;/Author&gt;&lt;Year&gt;2023&lt;/Year&gt;&lt;RecNum&gt;2451&lt;/RecNum&gt;&lt;DisplayText&gt;(Ragazzo &amp;amp; Costa, 2023)&lt;/DisplayText&gt;&lt;record&gt;&lt;rec-number&gt;2451&lt;/rec-number&gt;&lt;foreign-keys&gt;&lt;key app="EN" db-id="vp0t0fz5q9wvv2etf21x9vp5rv92ew2dstft" timestamp="1728729305"&gt;2451&lt;/key&gt;&lt;/foreign-keys&gt;&lt;ref-type name="Journal Article"&gt;17&lt;/ref-type&gt;&lt;contributors&gt;&lt;authors&gt;&lt;author&gt;Ragazzo, Carlos Emmanuel Joppert&lt;/author&gt;&lt;author&gt;Costa, Rafael Viana de Figueiredo&lt;/author&gt;&lt;/authors&gt;&lt;/contributors&gt;&lt;titles&gt;&lt;title&gt;Responding to Increasing ESG Risks: An Empirical Examination of the Changing in Corporate Structure from the Top S&amp;amp;P100 Companies&lt;/title&gt;&lt;secondary-title&gt;UC Davis Bus. LJ&lt;/secondary-title&gt;&lt;/titles&gt;&lt;periodical&gt;&lt;full-title&gt;UC Davis Bus. LJ&lt;/full-title&gt;&lt;/periodical&gt;&lt;pages&gt;77&lt;/pages&gt;&lt;volume&gt;24&lt;/volume&gt;&lt;dates&gt;&lt;year&gt;2023&lt;/year&gt;&lt;/dates&gt;&lt;urls&gt;&lt;/urls&gt;&lt;/record&gt;&lt;/Cite&gt;&lt;/EndNote&gt;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(Ragazzo &amp; Costa, 2023)</w:t>
      </w:r>
      <w:r w:rsidR="00E235EC" w:rsidRPr="00FF3475">
        <w:rPr>
          <w:rFonts w:ascii="Times New Roman" w:hAnsi="Times New Roman" w:cs="Times New Roman"/>
          <w:sz w:val="24"/>
          <w:szCs w:val="24"/>
        </w:rPr>
        <w:fldChar w:fldCharType="end"/>
      </w:r>
      <w:r w:rsidR="00EF23C9" w:rsidRPr="00FF3475">
        <w:rPr>
          <w:rFonts w:ascii="Times New Roman" w:hAnsi="Times New Roman" w:cs="Times New Roman"/>
          <w:sz w:val="24"/>
          <w:szCs w:val="24"/>
        </w:rPr>
        <w:t xml:space="preserve">. Take for example, companies trying to see how their carbon footprint, or resource consumption, leads to climate change and working to mitigate that by utilizing sustainable ways. This </w:t>
      </w:r>
      <w:proofErr w:type="gramStart"/>
      <w:r w:rsidR="00EF23C9" w:rsidRPr="00FF3475">
        <w:rPr>
          <w:rFonts w:ascii="Times New Roman" w:hAnsi="Times New Roman" w:cs="Times New Roman"/>
          <w:sz w:val="24"/>
          <w:szCs w:val="24"/>
        </w:rPr>
        <w:t>is a reflection of</w:t>
      </w:r>
      <w:proofErr w:type="gramEnd"/>
      <w:r w:rsidR="00EF23C9" w:rsidRPr="00FF3475">
        <w:rPr>
          <w:rFonts w:ascii="Times New Roman" w:hAnsi="Times New Roman" w:cs="Times New Roman"/>
          <w:sz w:val="24"/>
          <w:szCs w:val="24"/>
        </w:rPr>
        <w:t xml:space="preserve"> fact that failure to address environmental risks potentially results in regulatory penalties, investor divestment, and reputation damage with their own very defined financial implications.</w:t>
      </w:r>
    </w:p>
    <w:p w14:paraId="31C0E556" w14:textId="4A7C2D2C" w:rsidR="00EF23C9" w:rsidRPr="00FF3475" w:rsidRDefault="00EF23C9" w:rsidP="00EF23C9">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An aspect of ESG risk management which is no less important than environmental considerations is social factors. But traditional risk management consists of checks regarding employee safety or regulatory compliance; they often overlook the broader social risks caused by labor practice, exposure to the community, and product safety, for instance. Consider for instance a company purchasing materials from its suppliers who mistreat their workers and the company then has its reputation on the line if consumers and investment dollars start clamoring for ethical sourcing and fair labor treatment</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&lt;EndNote&gt;&lt;Cite&gt;&lt;Author&gt;Filipiak&lt;/Author&gt;&lt;Year&gt;2021&lt;/Year&gt;&lt;RecNum&gt;2452&lt;/RecNum&gt;&lt;DisplayText&gt;(Filipiak &amp;amp; Kiestrzyn, 2021)&lt;/DisplayText&gt;&lt;record&gt;&lt;rec-number&gt;2452&lt;/rec-number&gt;&lt;foreign-keys&gt;&lt;key app="EN" db-id="vp0t0fz5q9wvv2etf21x9vp5rv92ew2dstft" timestamp="1728729334"&gt;2452&lt;/key&gt;&lt;/foreign-keys&gt;&lt;ref-type name="Book Section"&gt;5&lt;/ref-type&gt;&lt;contributors&gt;&lt;authors&gt;&lt;author&gt;Filipiak, Beata Zofia&lt;/author&gt;&lt;author&gt;Kiestrzyn, Marcin&lt;/author&gt;&lt;/authors&gt;&lt;/contributors&gt;&lt;titles&gt;&lt;title&gt;Potential ESG Risks in Entities of the Healthcare System&lt;/title&gt;&lt;secondary-title&gt;Adapting and Mitigating Environmental, Social, and Governance Risk in Business&lt;/secondary-title&gt;&lt;/titles&gt;&lt;pages&gt;74-102&lt;/pages&gt;&lt;dates&gt;&lt;year&gt;2021&lt;/year&gt;&lt;/dates&gt;&lt;publisher&gt;IGI Global&lt;/publisher&gt;&lt;urls&gt;&lt;/urls&gt;&lt;/record&gt;&lt;/Cite&gt;&lt;/EndNote&gt;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(Filipiak &amp; Kiestrzyn, 2021)</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 In terms of community relations, social risks can lead companies operating in communities exposed to negative environmental and social impacts caused by their operations to face protests, legal actions and operational permit challenges in the future. Incorporating these social factors into their risk management can help businesses make better predictions and take greater actions to mitigate any risks which could result in damage to their reputation, customer loyalty and social license to operate.</w:t>
      </w:r>
    </w:p>
    <w:p w14:paraId="502AEB62" w14:textId="23ABC4F2" w:rsidR="00EF23C9" w:rsidRPr="00FF3475" w:rsidRDefault="00EF23C9" w:rsidP="00EF23C9">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Another key part of ESG based risk management is the 'G' factor - governance factors. Traditional governance risk assessments tend to be focused </w:t>
      </w:r>
      <w:proofErr w:type="gramStart"/>
      <w:r w:rsidRPr="00FF3475">
        <w:rPr>
          <w:rFonts w:ascii="Times New Roman" w:hAnsi="Times New Roman" w:cs="Times New Roman"/>
          <w:sz w:val="24"/>
          <w:szCs w:val="24"/>
        </w:rPr>
        <w:t>around</w:t>
      </w:r>
      <w:proofErr w:type="gramEnd"/>
      <w:r w:rsidRPr="00FF3475">
        <w:rPr>
          <w:rFonts w:ascii="Times New Roman" w:hAnsi="Times New Roman" w:cs="Times New Roman"/>
          <w:sz w:val="24"/>
          <w:szCs w:val="24"/>
        </w:rPr>
        <w:t xml:space="preserve"> compliance with the laws, regulations and corporate policies. While governance risk management based on ESG tends to look at the bigger picture subjects such as executive remuneration, board diversity, transparency and </w:t>
      </w:r>
      <w:r w:rsidRPr="00FF3475">
        <w:rPr>
          <w:rFonts w:ascii="Times New Roman" w:hAnsi="Times New Roman" w:cs="Times New Roman"/>
          <w:sz w:val="24"/>
          <w:szCs w:val="24"/>
        </w:rPr>
        <w:lastRenderedPageBreak/>
        <w:t>accountability</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&lt;EndNote&gt;&lt;Cite&gt;&lt;Author&gt;Ingebretsen&lt;/Author&gt;&lt;Year&gt;2023&lt;/Year&gt;&lt;RecNum&gt;2453&lt;/RecNum&gt;&lt;DisplayText&gt;(Ingebretsen, 2023)&lt;/DisplayText&gt;&lt;record&gt;&lt;rec-number&gt;2453&lt;/rec-number&gt;&lt;foreign-keys&gt;&lt;key app="EN" db-id="vp0t0fz5q9wvv2etf21x9vp5rv92ew2dstft" timestamp="1728729363"&gt;2453&lt;/key&gt;&lt;/foreign-keys&gt;&lt;ref-type name="Journal Article"&gt;17&lt;/ref-type&gt;&lt;contributors&gt;&lt;authors&gt;&lt;author&gt;Ingebretsen, Eigil&lt;/author&gt;&lt;/authors&gt;&lt;/contributors&gt;&lt;titles&gt;&lt;title&gt;ESG as a key pillar of investment strategy&lt;/title&gt;&lt;secondary-title&gt;Journal of Securities Operations &amp;amp; Custody&lt;/secondary-title&gt;&lt;/titles&gt;&lt;periodical&gt;&lt;full-title&gt;Journal of Securities Operations &amp;amp; Custody&lt;/full-title&gt;&lt;/periodical&gt;&lt;pages&gt;57-69&lt;/pages&gt;&lt;volume&gt;16&lt;/volume&gt;&lt;number&gt;1&lt;/number&gt;&lt;dates&gt;&lt;year&gt;2023&lt;/year&gt;&lt;/dates&gt;&lt;isbn&gt;1753-1802&lt;/isbn&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(Ingebretsen, 2023)</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 For instance, corruption, lack of diverse governance, or weak board oversight can reduce confidence in the governance company, thereby generating financial losses, as well as a shabby image. Groups whose governance structures place their most significance on ethical conduct and transparency are presumably able to withstand regulators, investors and other interested parties better. Further, governance issues are becoming inextricably associated with environmental and social concerns: stakeholders are looking for proof that companies are not merely assuaging concerns around compliance but are pushing the envelope to reduce their total impact on the world</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&lt;EndNote&gt;&lt;Cite&gt;&lt;Author&gt;Banham&lt;/Author&gt;&lt;Year&gt;2019&lt;/Year&gt;&lt;RecNum&gt;2454&lt;/RecNum&gt;&lt;DisplayText&gt;(Banham, 2019)&lt;/DisplayText&gt;&lt;record&gt;&lt;rec-number&gt;2454&lt;/rec-number&gt;&lt;foreign-keys&gt;&lt;key app="EN" db-id="vp0t0fz5q9wvv2etf21x9vp5rv92ew2dstft" timestamp="1728729379"&gt;2454&lt;/key&gt;&lt;/foreign-keys&gt;&lt;ref-type name="Journal Article"&gt;17&lt;/ref-type&gt;&lt;contributors&gt;&lt;authors&gt;&lt;author&gt;Banham, Russ&lt;/author&gt;&lt;/authors&gt;&lt;/contributors&gt;&lt;titles&gt;&lt;title&gt;Getting serious about ESG risks&lt;/title&gt;&lt;secondary-title&gt;Risk Management&lt;/secondary-title&gt;&lt;/titles&gt;&lt;periodical&gt;&lt;full-title&gt;Risk Management&lt;/full-title&gt;&lt;/periodical&gt;&lt;pages&gt;28-31&lt;/pages&gt;&lt;volume&gt;66&lt;/volume&gt;&lt;number&gt;5&lt;/number&gt;&lt;dates&gt;&lt;year&gt;2019&lt;/year&gt;&lt;/dates&gt;&lt;isbn&gt;0035-5593&lt;/isbn&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(Banham, 2019)</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227464AD" w14:textId="3D2B05AE" w:rsidR="00DF6385" w:rsidRPr="00FF3475" w:rsidRDefault="00EF23C9" w:rsidP="00EF23C9">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However, one of the biggest benefits of ESG focused risk management is that it </w:t>
      </w:r>
      <w:r w:rsidR="00D8138C" w:rsidRPr="00FF3475">
        <w:rPr>
          <w:rFonts w:ascii="Times New Roman" w:hAnsi="Times New Roman" w:cs="Times New Roman"/>
          <w:sz w:val="24"/>
          <w:szCs w:val="24"/>
        </w:rPr>
        <w:t>favors</w:t>
      </w:r>
      <w:r w:rsidRPr="00FF3475">
        <w:rPr>
          <w:rFonts w:ascii="Times New Roman" w:hAnsi="Times New Roman" w:cs="Times New Roman"/>
          <w:sz w:val="24"/>
          <w:szCs w:val="24"/>
        </w:rPr>
        <w:t xml:space="preserve"> a proactive not reactive approach to risk. Traditional risk management focuses on reacting to risk as the risk arrives, often using short term measures to combat damage. In contrast, ESG focused risk management attempts to anticipate and mitigate risks prior to their </w:t>
      </w:r>
      <w:r w:rsidR="00833D93" w:rsidRPr="00FF3475">
        <w:rPr>
          <w:rFonts w:ascii="Times New Roman" w:hAnsi="Times New Roman" w:cs="Times New Roman"/>
          <w:sz w:val="24"/>
          <w:szCs w:val="24"/>
        </w:rPr>
        <w:t>materialization</w:t>
      </w:r>
      <w:r w:rsidRPr="00FF3475">
        <w:rPr>
          <w:rFonts w:ascii="Times New Roman" w:hAnsi="Times New Roman" w:cs="Times New Roman"/>
          <w:sz w:val="24"/>
          <w:szCs w:val="24"/>
        </w:rPr>
        <w:t xml:space="preserve"> by integrating sustainability into corporate strategy and decision making</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&lt;EndNote&gt;&lt;Cite&gt;&lt;Author&gt;Dantini&lt;/Author&gt;&lt;Year&gt;2021&lt;/Year&gt;&lt;RecNum&gt;2455&lt;/RecNum&gt;&lt;DisplayText&gt;(Dantini, 2021)&lt;/DisplayText&gt;&lt;record&gt;&lt;rec-number&gt;2455&lt;/rec-number&gt;&lt;foreign-keys&gt;&lt;key app="EN" db-id="vp0t0fz5q9wvv2etf21x9vp5rv92ew2dstft" timestamp="1728729407"&gt;2455&lt;/key&gt;&lt;/foreign-keys&gt;&lt;ref-type name="Journal Article"&gt;17&lt;/ref-type&gt;&lt;contributors&gt;&lt;authors&gt;&lt;author&gt;Dantini, Giacomo&lt;/author&gt;&lt;/authors&gt;&lt;/contributors&gt;&lt;titles&gt;&lt;title&gt;ESG as an assessment of risk&lt;/title&gt;&lt;/titles&gt;&lt;dates&gt;&lt;year&gt;2021&lt;/year&gt;&lt;/dates&gt;&lt;urls&gt;&lt;/urls&gt;&lt;/record&gt;&lt;/Cite&gt;&lt;/EndNote&gt;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(Dantini, 2021)</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 For instance, companies invest in renewable energy to consider its environmental footprint or are investing in policies that promote workplace diversity and inclusion or make their governance more accountable. A focus on these factors allows organizations to create resilience, adapt to changing regulatory and market dynamics and deliver long term value to stakeholders</w:t>
      </w:r>
      <w:r w:rsidR="00DF6385" w:rsidRPr="00FF3475">
        <w:rPr>
          <w:rFonts w:ascii="Times New Roman" w:hAnsi="Times New Roman" w:cs="Times New Roman"/>
          <w:sz w:val="24"/>
          <w:szCs w:val="24"/>
        </w:rPr>
        <w:t>.</w:t>
      </w:r>
    </w:p>
    <w:p w14:paraId="66470601" w14:textId="77777777" w:rsidR="00DF6385" w:rsidRPr="00FF3475" w:rsidRDefault="00DF6385" w:rsidP="0083582F">
      <w:pPr>
        <w:pStyle w:val="Heading3"/>
        <w:rPr>
          <w:rFonts w:ascii="Times New Roman" w:hAnsi="Times New Roman" w:cs="Times New Roman"/>
          <w:color w:val="auto"/>
        </w:rPr>
      </w:pPr>
      <w:bookmarkStart w:id="17" w:name="_Toc180406337"/>
      <w:r w:rsidRPr="00FF3475">
        <w:rPr>
          <w:rFonts w:ascii="Times New Roman" w:hAnsi="Times New Roman" w:cs="Times New Roman"/>
          <w:color w:val="auto"/>
        </w:rPr>
        <w:t>2.3.2 The Role of ESG in Risk Identification and Mitigation</w:t>
      </w:r>
      <w:bookmarkEnd w:id="17"/>
    </w:p>
    <w:p w14:paraId="1DEF9B95" w14:textId="2F18B552" w:rsidR="00327C73" w:rsidRPr="00FF3475" w:rsidRDefault="00A40284" w:rsidP="00327C73">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Incorporating Environmental, Social, and Governance (ESG) factors into risk management helps the organization recognize and mitigate a wider variety of risks that may be otherwise missed in traditional risk management methods. Typically, risk management has traditionally been around financial, operational and compliance risks, but ESG integration gives companies the foresight to prepare for risks surrounding environmental deterioration, issues in the social fabric of the organization and governance processes</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&lt;EndNote&gt;&lt;Cite&gt;&lt;Author&gt;Karwowski&lt;/Author&gt;&lt;Year&gt;2021&lt;/Year&gt;&lt;RecNum&gt;2456&lt;/RecNum&gt;&lt;DisplayText&gt;(Karwowski &amp;amp; Raulinajtys‐Grzybek, 2021)&lt;/DisplayText&gt;&lt;record&gt;&lt;rec-number&gt;2456&lt;/rec-number&gt;&lt;foreign-keys&gt;&lt;key app="EN" db-id="vp0t0fz5q9wvv2etf21x9vp5rv92ew2dstft" timestamp="1728729440"&gt;2456&lt;/key&gt;&lt;/foreign-keys&gt;&lt;ref-type name="Journal Article"&gt;17&lt;/ref-type&gt;&lt;contributors&gt;&lt;authors&gt;&lt;author&gt;Karwowski, Mariusz&lt;/author&gt;&lt;author&gt;Raulinajtys‐Grzybek, Monika&lt;/author&gt;&lt;/authors&gt;&lt;/contributors&gt;&lt;titles&gt;&lt;title&gt;The application of corporate social responsibility (CSR) actions for mitigation of environmental, social, corporate governance (ESG) and reputational risk in integrated reports&lt;/title&gt;&lt;secondary-title&gt;Corporate Social Responsibility and Environmental Management&lt;/secondary-title&gt;&lt;/titles&gt;&lt;periodical&gt;&lt;full-title&gt;Corporate Social Responsibility and Environmental Management&lt;/full-title&gt;&lt;/periodical&gt;&lt;pages&gt;1270-1284&lt;/pages&gt;&lt;volume&gt;28&lt;/volume&gt;&lt;number&gt;4&lt;/number&gt;&lt;dates&gt;&lt;year&gt;2021&lt;/year&gt;&lt;/dates&gt;&lt;isbn&gt;1535-3958&lt;/isbn&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(Karwowski &amp; Raulinajtys‐Grzybek, 2021)</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 This expanded scope of risk management is becoming more and more important, as organizations are facing complex, linked challenges that could severely affect the sustainability and resilience of the organization in the long term</w:t>
      </w:r>
      <w:r w:rsidR="00327C73" w:rsidRPr="00FF3475">
        <w:rPr>
          <w:rFonts w:ascii="Times New Roman" w:hAnsi="Times New Roman" w:cs="Times New Roman"/>
          <w:sz w:val="24"/>
          <w:szCs w:val="24"/>
        </w:rPr>
        <w:t>.</w:t>
      </w:r>
    </w:p>
    <w:p w14:paraId="0C306EBC" w14:textId="77777777" w:rsidR="00327C73" w:rsidRPr="00FF3475" w:rsidRDefault="00327C73" w:rsidP="00327C73">
      <w:pPr>
        <w:spacing w:line="360" w:lineRule="auto"/>
        <w:jc w:val="both"/>
        <w:rPr>
          <w:rFonts w:ascii="Times New Roman" w:hAnsi="Times New Roman" w:cs="Times New Roman"/>
          <w:b/>
          <w:bCs/>
          <w:sz w:val="24"/>
          <w:szCs w:val="24"/>
        </w:rPr>
      </w:pPr>
      <w:r w:rsidRPr="00FF3475">
        <w:rPr>
          <w:rFonts w:ascii="Times New Roman" w:hAnsi="Times New Roman" w:cs="Times New Roman"/>
          <w:b/>
          <w:bCs/>
          <w:sz w:val="24"/>
          <w:szCs w:val="24"/>
        </w:rPr>
        <w:t>Environmental Risks</w:t>
      </w:r>
    </w:p>
    <w:p w14:paraId="3914E057" w14:textId="639BEC5C" w:rsidR="00327C73" w:rsidRPr="00FF3475" w:rsidRDefault="003D70E9" w:rsidP="00327C73">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In today’s business environment, one of the main environmental issues faced by businesses is environmental risks that result from factors like climate change, loss of biodiversity and depletion </w:t>
      </w:r>
      <w:r w:rsidRPr="00FF3475">
        <w:rPr>
          <w:rFonts w:ascii="Times New Roman" w:hAnsi="Times New Roman" w:cs="Times New Roman"/>
          <w:sz w:val="24"/>
          <w:szCs w:val="24"/>
        </w:rPr>
        <w:lastRenderedPageBreak/>
        <w:t>of resources</w:t>
      </w:r>
      <w:r w:rsidR="00E235EC" w:rsidRPr="00FF3475">
        <w:rPr>
          <w:rFonts w:ascii="Times New Roman" w:hAnsi="Times New Roman" w:cs="Times New Roman"/>
          <w:sz w:val="24"/>
          <w:szCs w:val="24"/>
        </w:rPr>
        <w:fldChar w:fldCharType="begin"/>
      </w:r>
      <w:r w:rsidR="00E235EC" w:rsidRPr="00FF3475">
        <w:rPr>
          <w:rFonts w:ascii="Times New Roman" w:hAnsi="Times New Roman" w:cs="Times New Roman"/>
          <w:sz w:val="24"/>
          <w:szCs w:val="24"/>
        </w:rPr>
        <w:instrText xml:space="preserve"> ADDIN EN.CITE &lt;EndNote&gt;&lt;Cite&gt;&lt;Author&gt;Allan&lt;/Author&gt;&lt;Year&gt;2000&lt;/Year&gt;&lt;RecNum&gt;2457&lt;/RecNum&gt;&lt;DisplayText&gt;(Allan et al., 2000)&lt;/DisplayText&gt;&lt;record&gt;&lt;rec-number&gt;2457&lt;/rec-number&gt;&lt;foreign-keys&gt;&lt;key app="EN" db-id="vp0t0fz5q9wvv2etf21x9vp5rv92ew2dstft" timestamp="1728729462"&gt;2457&lt;/key&gt;&lt;/foreign-keys&gt;&lt;ref-type name="Book"&gt;6&lt;/ref-type&gt;&lt;contributors&gt;&lt;authors&gt;&lt;author&gt;Allan, Stuart&lt;/author&gt;&lt;author&gt;Adam, Barbara&lt;/author&gt;&lt;author&gt;Carter, Cynthia&lt;/author&gt;&lt;/authors&gt;&lt;/contributors&gt;&lt;titles&gt;&lt;title&gt;Environmental risks and the media&lt;/title&gt;&lt;/titles&gt;&lt;dates&gt;&lt;year&gt;2000&lt;/year&gt;&lt;/dates&gt;&lt;publisher&gt;Routledge London&lt;/publisher&gt;&lt;isbn&gt;0415214475&lt;/isbn&gt;&lt;urls&gt;&lt;/urls&gt;&lt;/record&gt;&lt;/Cite&gt;&lt;/EndNote&gt;</w:instrText>
      </w:r>
      <w:r w:rsidR="00E235EC" w:rsidRPr="00FF3475">
        <w:rPr>
          <w:rFonts w:ascii="Times New Roman" w:hAnsi="Times New Roman" w:cs="Times New Roman"/>
          <w:sz w:val="24"/>
          <w:szCs w:val="24"/>
        </w:rPr>
        <w:fldChar w:fldCharType="separate"/>
      </w:r>
      <w:r w:rsidR="00E235EC" w:rsidRPr="00FF3475">
        <w:rPr>
          <w:rFonts w:ascii="Times New Roman" w:hAnsi="Times New Roman" w:cs="Times New Roman"/>
          <w:noProof/>
          <w:sz w:val="24"/>
          <w:szCs w:val="24"/>
        </w:rPr>
        <w:t>(Allan et al., 2000)</w:t>
      </w:r>
      <w:r w:rsidR="00E235EC" w:rsidRPr="00FF3475">
        <w:rPr>
          <w:rFonts w:ascii="Times New Roman" w:hAnsi="Times New Roman" w:cs="Times New Roman"/>
          <w:sz w:val="24"/>
          <w:szCs w:val="24"/>
        </w:rPr>
        <w:fldChar w:fldCharType="end"/>
      </w:r>
      <w:r w:rsidRPr="00FF3475">
        <w:rPr>
          <w:rFonts w:ascii="Times New Roman" w:hAnsi="Times New Roman" w:cs="Times New Roman"/>
          <w:sz w:val="24"/>
          <w:szCs w:val="24"/>
        </w:rPr>
        <w:t>. Widespread acknowledgement comes from the World Economic Forum’s 2020 Global Risks report, which lumps climate change with other major global economic risks to the order of the decade to come. Environmental risks can blow up in a company’s face quite literally, causing disruptions to its supply chains due to extreme weather events, or on a highly symbolic level, as regulators pressure companies to reduce carbon emissions</w:t>
      </w:r>
      <w:r w:rsidR="0028029D" w:rsidRPr="00FF3475">
        <w:rPr>
          <w:rFonts w:ascii="Times New Roman" w:hAnsi="Times New Roman" w:cs="Times New Roman"/>
          <w:sz w:val="24"/>
          <w:szCs w:val="24"/>
        </w:rPr>
        <w:fldChar w:fldCharType="begin"/>
      </w:r>
      <w:r w:rsidR="0028029D" w:rsidRPr="00FF3475">
        <w:rPr>
          <w:rFonts w:ascii="Times New Roman" w:hAnsi="Times New Roman" w:cs="Times New Roman"/>
          <w:sz w:val="24"/>
          <w:szCs w:val="24"/>
        </w:rPr>
        <w:instrText xml:space="preserve"> ADDIN EN.CITE &lt;EndNote&gt;&lt;Cite&gt;&lt;Author&gt;Olsson&lt;/Author&gt;&lt;Year&gt;2017&lt;/Year&gt;&lt;RecNum&gt;2458&lt;/RecNum&gt;&lt;DisplayText&gt;(Olsson et al., 2017)&lt;/DisplayText&gt;&lt;record&gt;&lt;rec-number&gt;2458&lt;/rec-number&gt;&lt;foreign-keys&gt;&lt;key app="EN" db-id="vp0t0fz5q9wvv2etf21x9vp5rv92ew2dstft" timestamp="1728729488"&gt;2458&lt;/key&gt;&lt;/foreign-keys&gt;&lt;ref-type name="Journal Article"&gt;17&lt;/ref-type&gt;&lt;contributors&gt;&lt;authors&gt;&lt;author&gt;Olsson, Tomas&lt;/author&gt;&lt;author&gt;Barcellos, Lisa F&lt;/author&gt;&lt;author&gt;Alfredsson, Lars&lt;/author&gt;&lt;/authors&gt;&lt;/contributors&gt;&lt;titles&gt;&lt;title&gt;Interactions between genetic, lifestyle and environmental risk factors for multiple sclerosis&lt;/title&gt;&lt;secondary-title&gt;Nature Reviews Neurology&lt;/secondary-title&gt;&lt;/titles&gt;&lt;periodical&gt;&lt;full-title&gt;Nature Reviews Neurology&lt;/full-title&gt;&lt;/periodical&gt;&lt;pages&gt;25-36&lt;/pages&gt;&lt;volume&gt;13&lt;/volume&gt;&lt;number&gt;1&lt;/number&gt;&lt;dates&gt;&lt;year&gt;2017&lt;/year&gt;&lt;/dates&gt;&lt;isbn&gt;1759-4758&lt;/isbn&gt;&lt;urls&gt;&lt;/urls&gt;&lt;/record&gt;&lt;/Cite&gt;&lt;/EndNote&gt;</w:instrText>
      </w:r>
      <w:r w:rsidR="0028029D" w:rsidRPr="00FF3475">
        <w:rPr>
          <w:rFonts w:ascii="Times New Roman" w:hAnsi="Times New Roman" w:cs="Times New Roman"/>
          <w:sz w:val="24"/>
          <w:szCs w:val="24"/>
        </w:rPr>
        <w:fldChar w:fldCharType="separate"/>
      </w:r>
      <w:r w:rsidR="0028029D" w:rsidRPr="00FF3475">
        <w:rPr>
          <w:rFonts w:ascii="Times New Roman" w:hAnsi="Times New Roman" w:cs="Times New Roman"/>
          <w:noProof/>
          <w:sz w:val="24"/>
          <w:szCs w:val="24"/>
        </w:rPr>
        <w:t>(Olsson et al., 2017)</w:t>
      </w:r>
      <w:r w:rsidR="0028029D" w:rsidRPr="00FF3475">
        <w:rPr>
          <w:rFonts w:ascii="Times New Roman" w:hAnsi="Times New Roman" w:cs="Times New Roman"/>
          <w:sz w:val="24"/>
          <w:szCs w:val="24"/>
        </w:rPr>
        <w:fldChar w:fldCharType="end"/>
      </w:r>
      <w:r w:rsidRPr="00FF3475">
        <w:rPr>
          <w:rFonts w:ascii="Times New Roman" w:hAnsi="Times New Roman" w:cs="Times New Roman"/>
          <w:sz w:val="24"/>
          <w:szCs w:val="24"/>
        </w:rPr>
        <w:t>. But as governments globally become more stringent on environmental regulations, companies that don't respond proactively to these risks may see penalties, higher operating costs and a bad reputation</w:t>
      </w:r>
      <w:r w:rsidR="00327C73" w:rsidRPr="00FF3475">
        <w:rPr>
          <w:rFonts w:ascii="Times New Roman" w:hAnsi="Times New Roman" w:cs="Times New Roman"/>
          <w:sz w:val="24"/>
          <w:szCs w:val="24"/>
        </w:rPr>
        <w:t>.</w:t>
      </w:r>
    </w:p>
    <w:p w14:paraId="70EF2C5D" w14:textId="58EB970B" w:rsidR="00327C73" w:rsidRPr="00FF3475" w:rsidRDefault="0054700D" w:rsidP="00327C73">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ESG strategic risk management helps companies predict environmental risks through the strategies of sustainability. For instance, companies can conduct an environmental impact assessment to gauge a possible danger due to the activity of their company concerning resource depletion or pollution. In addition, companies can take their own measures to minimize these risks, for example through expenditure on renewable energy, waste reduction and resource efficiency optimization</w:t>
      </w:r>
      <w:r w:rsidR="0028029D" w:rsidRPr="00FF3475">
        <w:rPr>
          <w:rFonts w:ascii="Times New Roman" w:hAnsi="Times New Roman" w:cs="Times New Roman"/>
          <w:sz w:val="24"/>
          <w:szCs w:val="24"/>
        </w:rPr>
        <w:fldChar w:fldCharType="begin"/>
      </w:r>
      <w:r w:rsidR="0028029D" w:rsidRPr="00FF3475">
        <w:rPr>
          <w:rFonts w:ascii="Times New Roman" w:hAnsi="Times New Roman" w:cs="Times New Roman"/>
          <w:sz w:val="24"/>
          <w:szCs w:val="24"/>
        </w:rPr>
        <w:instrText xml:space="preserve"> ADDIN EN.CITE &lt;EndNote&gt;&lt;Cite&gt;&lt;Author&gt;Chen&lt;/Author&gt;&lt;Year&gt;2023&lt;/Year&gt;&lt;RecNum&gt;2459&lt;/RecNum&gt;&lt;DisplayText&gt;(Chen et al., 2023)&lt;/DisplayText&gt;&lt;record&gt;&lt;rec-number&gt;2459&lt;/rec-number&gt;&lt;foreign-keys&gt;&lt;key app="EN" db-id="vp0t0fz5q9wvv2etf21x9vp5rv92ew2dstft" timestamp="1728729528"&gt;2459&lt;/key&gt;&lt;/foreign-keys&gt;&lt;ref-type name="Journal Article"&gt;17&lt;/ref-type&gt;&lt;contributors&gt;&lt;authors&gt;&lt;author&gt;Chen, Simin&lt;/author&gt;&lt;author&gt;Song, Yu&lt;/author&gt;&lt;author&gt;Gao, Peng&lt;/author&gt;&lt;/authors&gt;&lt;/contributors&gt;&lt;titles&gt;&lt;title&gt;Environmental, social, and governance (ESG) performance and financial outcomes: Analyzing the impact of ESG on financial performance&lt;/title&gt;&lt;secondary-title&gt;Journal of Environmental Management&lt;/secondary-title&gt;&lt;/titles&gt;&lt;periodical&gt;&lt;full-title&gt;Journal of Environmental Management&lt;/full-title&gt;&lt;/periodical&gt;&lt;pages&gt;118829&lt;/pages&gt;&lt;volume&gt;345&lt;/volume&gt;&lt;dates&gt;&lt;year&gt;2023&lt;/year&gt;&lt;/dates&gt;&lt;isbn&gt;0301-4797&lt;/isbn&gt;&lt;urls&gt;&lt;/urls&gt;&lt;/record&gt;&lt;/Cite&gt;&lt;/EndNote&gt;</w:instrText>
      </w:r>
      <w:r w:rsidR="0028029D" w:rsidRPr="00FF3475">
        <w:rPr>
          <w:rFonts w:ascii="Times New Roman" w:hAnsi="Times New Roman" w:cs="Times New Roman"/>
          <w:sz w:val="24"/>
          <w:szCs w:val="24"/>
        </w:rPr>
        <w:fldChar w:fldCharType="separate"/>
      </w:r>
      <w:r w:rsidR="0028029D" w:rsidRPr="00FF3475">
        <w:rPr>
          <w:rFonts w:ascii="Times New Roman" w:hAnsi="Times New Roman" w:cs="Times New Roman"/>
          <w:noProof/>
          <w:sz w:val="24"/>
          <w:szCs w:val="24"/>
        </w:rPr>
        <w:t>(Chen et al., 2023)</w:t>
      </w:r>
      <w:r w:rsidR="0028029D"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Early environmental risk addressing by businesses will protect them from possible future disruptions, increase their resilience and help them increase their </w:t>
      </w:r>
      <w:r w:rsidR="00EC3EEA"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profitability</w:t>
      </w:r>
      <w:r w:rsidR="00327C73" w:rsidRPr="00FF3475">
        <w:rPr>
          <w:rFonts w:ascii="Times New Roman" w:hAnsi="Times New Roman" w:cs="Times New Roman"/>
          <w:sz w:val="24"/>
          <w:szCs w:val="24"/>
        </w:rPr>
        <w:t>.</w:t>
      </w:r>
    </w:p>
    <w:p w14:paraId="2285E5EC" w14:textId="77777777" w:rsidR="00327C73" w:rsidRPr="00FF3475" w:rsidRDefault="00327C73" w:rsidP="00327C73">
      <w:pPr>
        <w:spacing w:line="360" w:lineRule="auto"/>
        <w:jc w:val="both"/>
        <w:rPr>
          <w:rFonts w:ascii="Times New Roman" w:hAnsi="Times New Roman" w:cs="Times New Roman"/>
          <w:b/>
          <w:bCs/>
          <w:sz w:val="24"/>
          <w:szCs w:val="24"/>
        </w:rPr>
      </w:pPr>
      <w:r w:rsidRPr="00FF3475">
        <w:rPr>
          <w:rFonts w:ascii="Times New Roman" w:hAnsi="Times New Roman" w:cs="Times New Roman"/>
          <w:b/>
          <w:bCs/>
          <w:sz w:val="24"/>
          <w:szCs w:val="24"/>
        </w:rPr>
        <w:t>Social Risks</w:t>
      </w:r>
    </w:p>
    <w:p w14:paraId="6276CCBC" w14:textId="2AB58426" w:rsidR="007B15C4" w:rsidRPr="00FF3475" w:rsidRDefault="007B15C4" w:rsidP="007B15C4">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Social risks if taken as an entire question, include such issues as labor practices, diversity, community relations and human rights. The prominence of the social dimension of ESG derives from the fact that as investors and consumers become more aware of their corporations’ social responsibility. If companies don't live up to very high standards in these areas, they risk harm to their reputation, regulatory action and lost stakeholder trust. For instance, a firm with poor </w:t>
      </w:r>
      <w:r w:rsidR="00D8209B" w:rsidRPr="00FF3475">
        <w:rPr>
          <w:rFonts w:ascii="Times New Roman" w:hAnsi="Times New Roman" w:cs="Times New Roman"/>
          <w:sz w:val="24"/>
          <w:szCs w:val="24"/>
        </w:rPr>
        <w:t>labor</w:t>
      </w:r>
      <w:r w:rsidRPr="00FF3475">
        <w:rPr>
          <w:rFonts w:ascii="Times New Roman" w:hAnsi="Times New Roman" w:cs="Times New Roman"/>
          <w:sz w:val="24"/>
          <w:szCs w:val="24"/>
        </w:rPr>
        <w:t xml:space="preserve"> practices may suffer boycotts, protests or other forms of legal action that have serious financial and operational costs</w:t>
      </w:r>
      <w:r w:rsidR="0028029D" w:rsidRPr="00FF3475">
        <w:rPr>
          <w:rFonts w:ascii="Times New Roman" w:hAnsi="Times New Roman" w:cs="Times New Roman"/>
          <w:sz w:val="24"/>
          <w:szCs w:val="24"/>
        </w:rPr>
        <w:fldChar w:fldCharType="begin"/>
      </w:r>
      <w:r w:rsidR="0028029D" w:rsidRPr="00FF3475">
        <w:rPr>
          <w:rFonts w:ascii="Times New Roman" w:hAnsi="Times New Roman" w:cs="Times New Roman"/>
          <w:sz w:val="24"/>
          <w:szCs w:val="24"/>
        </w:rPr>
        <w:instrText xml:space="preserve"> ADDIN EN.CITE &lt;EndNote&gt;&lt;Cite&gt;&lt;Author&gt;Al-Meedani&lt;/Author&gt;&lt;Year&gt;2016&lt;/Year&gt;&lt;RecNum&gt;2460&lt;/RecNum&gt;&lt;DisplayText&gt;(Al-Meedani &amp;amp; Al-Dlaigan, 2016)&lt;/DisplayText&gt;&lt;record&gt;&lt;rec-number&gt;2460&lt;/rec-number&gt;&lt;foreign-keys&gt;&lt;key app="EN" db-id="vp0t0fz5q9wvv2etf21x9vp5rv92ew2dstft" timestamp="1728729571"&gt;2460&lt;/key&gt;&lt;/foreign-keys&gt;&lt;ref-type name="Journal Article"&gt;17&lt;/ref-type&gt;&lt;contributors&gt;&lt;authors&gt;&lt;author&gt;Al-Meedani, Laila A&lt;/author&gt;&lt;author&gt;Al-Dlaigan, Yousef H&lt;/author&gt;&lt;/authors&gt;&lt;/contributors&gt;&lt;titles&gt;&lt;title&gt;Prevalence of dental caries and associated social risk factors among preschool children in Riyadh, Saudi Arabia&lt;/title&gt;&lt;secondary-title&gt;Pakistan journal of medical sciences&lt;/secondary-title&gt;&lt;/titles&gt;&lt;periodical&gt;&lt;full-title&gt;Pakistan journal of medical sciences&lt;/full-title&gt;&lt;/periodical&gt;&lt;pages&gt;452&lt;/pages&gt;&lt;volume&gt;32&lt;/volume&gt;&lt;number&gt;2&lt;/number&gt;&lt;dates&gt;&lt;year&gt;2016&lt;/year&gt;&lt;/dates&gt;&lt;urls&gt;&lt;/urls&gt;&lt;/record&gt;&lt;/Cite&gt;&lt;/EndNote&gt;</w:instrText>
      </w:r>
      <w:r w:rsidR="0028029D" w:rsidRPr="00FF3475">
        <w:rPr>
          <w:rFonts w:ascii="Times New Roman" w:hAnsi="Times New Roman" w:cs="Times New Roman"/>
          <w:sz w:val="24"/>
          <w:szCs w:val="24"/>
        </w:rPr>
        <w:fldChar w:fldCharType="separate"/>
      </w:r>
      <w:r w:rsidR="0028029D" w:rsidRPr="00FF3475">
        <w:rPr>
          <w:rFonts w:ascii="Times New Roman" w:hAnsi="Times New Roman" w:cs="Times New Roman"/>
          <w:noProof/>
          <w:sz w:val="24"/>
          <w:szCs w:val="24"/>
        </w:rPr>
        <w:t>(Al-Meedani &amp; Al-Dlaigan, 2016)</w:t>
      </w:r>
      <w:r w:rsidR="0028029D"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6EB5DE1D" w14:textId="15E08B9F" w:rsidR="00327C73" w:rsidRPr="00FF3475" w:rsidRDefault="007B15C4" w:rsidP="007B15C4">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Risk management in including social factors assists organizations to identify the risk concerning workforce management, community impact and the stakeholder relationship. Something like, companies can do assessments of their labor practices to make sure they are meeting fair labor standards, things like adequate wages, safe working conditions, </w:t>
      </w:r>
      <w:r w:rsidR="000C481B" w:rsidRPr="00FF3475">
        <w:rPr>
          <w:rFonts w:ascii="Times New Roman" w:hAnsi="Times New Roman" w:cs="Times New Roman"/>
          <w:sz w:val="24"/>
          <w:szCs w:val="24"/>
        </w:rPr>
        <w:t>non-discriminatory</w:t>
      </w:r>
      <w:r w:rsidRPr="00FF3475">
        <w:rPr>
          <w:rFonts w:ascii="Times New Roman" w:hAnsi="Times New Roman" w:cs="Times New Roman"/>
          <w:sz w:val="24"/>
          <w:szCs w:val="24"/>
        </w:rPr>
        <w:t xml:space="preserve"> practices</w:t>
      </w:r>
      <w:r w:rsidR="0028029D" w:rsidRPr="00FF3475">
        <w:rPr>
          <w:rFonts w:ascii="Times New Roman" w:hAnsi="Times New Roman" w:cs="Times New Roman"/>
          <w:sz w:val="24"/>
          <w:szCs w:val="24"/>
        </w:rPr>
        <w:fldChar w:fldCharType="begin"/>
      </w:r>
      <w:r w:rsidR="0028029D" w:rsidRPr="00FF3475">
        <w:rPr>
          <w:rFonts w:ascii="Times New Roman" w:hAnsi="Times New Roman" w:cs="Times New Roman"/>
          <w:sz w:val="24"/>
          <w:szCs w:val="24"/>
        </w:rPr>
        <w:instrText xml:space="preserve"> ADDIN EN.CITE &lt;EndNote&gt;&lt;Cite&gt;&lt;Author&gt;Sassen&lt;/Author&gt;&lt;Year&gt;2016&lt;/Year&gt;&lt;RecNum&gt;2461&lt;/RecNum&gt;&lt;DisplayText&gt;(Sassen et al., 2016)&lt;/DisplayText&gt;&lt;record&gt;&lt;rec-number&gt;2461&lt;/rec-number&gt;&lt;foreign-keys&gt;&lt;key app="EN" db-id="vp0t0fz5q9wvv2etf21x9vp5rv92ew2dstft" timestamp="1728729600"&gt;2461&lt;/key&gt;&lt;/foreign-keys&gt;&lt;ref-type name="Journal Article"&gt;17&lt;/ref-type&gt;&lt;contributors&gt;&lt;authors&gt;&lt;author&gt;Sassen, Remmer&lt;/author&gt;&lt;author&gt;Hinze, Anne-Kathrin&lt;/author&gt;&lt;author&gt;Hardeck, Inga&lt;/author&gt;&lt;/authors&gt;&lt;/contributors&gt;&lt;titles&gt;&lt;title&gt;Impact of ESG factors on firm risk in Europe&lt;/title&gt;&lt;secondary-title&gt;Journal of business economics&lt;/secondary-title&gt;&lt;/titles&gt;&lt;periodical&gt;&lt;full-title&gt;Journal of business economics&lt;/full-title&gt;&lt;/periodical&gt;&lt;pages&gt;867-904&lt;/pages&gt;&lt;volume&gt;86&lt;/volume&gt;&lt;dates&gt;&lt;year&gt;2016&lt;/year&gt;&lt;/dates&gt;&lt;isbn&gt;0044-2372&lt;/isbn&gt;&lt;urls&gt;&lt;/urls&gt;&lt;/record&gt;&lt;/Cite&gt;&lt;/EndNote&gt;</w:instrText>
      </w:r>
      <w:r w:rsidR="0028029D" w:rsidRPr="00FF3475">
        <w:rPr>
          <w:rFonts w:ascii="Times New Roman" w:hAnsi="Times New Roman" w:cs="Times New Roman"/>
          <w:sz w:val="24"/>
          <w:szCs w:val="24"/>
        </w:rPr>
        <w:fldChar w:fldCharType="separate"/>
      </w:r>
      <w:r w:rsidR="0028029D" w:rsidRPr="00FF3475">
        <w:rPr>
          <w:rFonts w:ascii="Times New Roman" w:hAnsi="Times New Roman" w:cs="Times New Roman"/>
          <w:noProof/>
          <w:sz w:val="24"/>
          <w:szCs w:val="24"/>
        </w:rPr>
        <w:t>(Sassen et al., 2016)</w:t>
      </w:r>
      <w:r w:rsidR="0028029D"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Furthermore, organizations can work with local communities on potential concerns to resolve them and build up good relations with them, which is indispensable </w:t>
      </w:r>
      <w:r w:rsidRPr="00FF3475">
        <w:rPr>
          <w:rFonts w:ascii="Times New Roman" w:hAnsi="Times New Roman" w:cs="Times New Roman"/>
          <w:sz w:val="24"/>
          <w:szCs w:val="24"/>
        </w:rPr>
        <w:lastRenderedPageBreak/>
        <w:t>to obtain the operating permit as well as obtaining a social license to operate. Proactive social risk management enables companies to help build trust with their stakeholders, reducing risks of conflicts and promoting positive corporate reputations</w:t>
      </w:r>
      <w:r w:rsidR="00327C73" w:rsidRPr="00FF3475">
        <w:rPr>
          <w:rFonts w:ascii="Times New Roman" w:hAnsi="Times New Roman" w:cs="Times New Roman"/>
          <w:sz w:val="24"/>
          <w:szCs w:val="24"/>
        </w:rPr>
        <w:t>.</w:t>
      </w:r>
    </w:p>
    <w:p w14:paraId="5216F2E6" w14:textId="77777777" w:rsidR="00327C73" w:rsidRPr="00FF3475" w:rsidRDefault="00327C73" w:rsidP="00327C73">
      <w:pPr>
        <w:spacing w:line="360" w:lineRule="auto"/>
        <w:jc w:val="both"/>
        <w:rPr>
          <w:rFonts w:ascii="Times New Roman" w:hAnsi="Times New Roman" w:cs="Times New Roman"/>
          <w:b/>
          <w:bCs/>
          <w:sz w:val="24"/>
          <w:szCs w:val="24"/>
        </w:rPr>
      </w:pPr>
      <w:r w:rsidRPr="00FF3475">
        <w:rPr>
          <w:rFonts w:ascii="Times New Roman" w:hAnsi="Times New Roman" w:cs="Times New Roman"/>
          <w:b/>
          <w:bCs/>
          <w:sz w:val="24"/>
          <w:szCs w:val="24"/>
        </w:rPr>
        <w:t>Governance Risks</w:t>
      </w:r>
    </w:p>
    <w:p w14:paraId="44A3E431" w14:textId="0FA2063A" w:rsidR="00641E87" w:rsidRPr="00FF3475" w:rsidRDefault="00641E87" w:rsidP="00641E87">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Governance risks are issues pertaining to corruption, lack of transparency, executive misconduct and absence of good leadership. Poor governance practices can wipe out an organization’s ability to operate sustainably, leading to a loss of confidence among investors and other stakeholders. For instance, companies with </w:t>
      </w:r>
      <w:r w:rsidR="000C3AA6" w:rsidRPr="00FF3475">
        <w:rPr>
          <w:rFonts w:ascii="Times New Roman" w:hAnsi="Times New Roman" w:cs="Times New Roman"/>
          <w:sz w:val="24"/>
          <w:szCs w:val="24"/>
        </w:rPr>
        <w:t>non-transparent</w:t>
      </w:r>
      <w:r w:rsidRPr="00FF3475">
        <w:rPr>
          <w:rFonts w:ascii="Times New Roman" w:hAnsi="Times New Roman" w:cs="Times New Roman"/>
          <w:sz w:val="24"/>
          <w:szCs w:val="24"/>
        </w:rPr>
        <w:t xml:space="preserve"> reporting process or weak oversight mechanism will be accused of fraud, mismanagement or unethical behavior. Such incidents can cost in terms of big money, fines and lasting damage to reputation</w:t>
      </w:r>
      <w:r w:rsidR="0028029D" w:rsidRPr="00FF3475">
        <w:rPr>
          <w:rFonts w:ascii="Times New Roman" w:hAnsi="Times New Roman" w:cs="Times New Roman"/>
          <w:sz w:val="24"/>
          <w:szCs w:val="24"/>
        </w:rPr>
        <w:fldChar w:fldCharType="begin"/>
      </w:r>
      <w:r w:rsidR="0028029D" w:rsidRPr="00FF3475">
        <w:rPr>
          <w:rFonts w:ascii="Times New Roman" w:hAnsi="Times New Roman" w:cs="Times New Roman"/>
          <w:sz w:val="24"/>
          <w:szCs w:val="24"/>
        </w:rPr>
        <w:instrText xml:space="preserve"> ADDIN EN.CITE &lt;EndNote&gt;&lt;Cite&gt;&lt;Author&gt;Cohen&lt;/Author&gt;&lt;Year&gt;2023&lt;/Year&gt;&lt;RecNum&gt;2462&lt;/RecNum&gt;&lt;DisplayText&gt;(Cohen, 2023)&lt;/DisplayText&gt;&lt;record&gt;&lt;rec-number&gt;2462&lt;/rec-number&gt;&lt;foreign-keys&gt;&lt;key app="EN" db-id="vp0t0fz5q9wvv2etf21x9vp5rv92ew2dstft" timestamp="1728729618"&gt;2462&lt;/key&gt;&lt;/foreign-keys&gt;&lt;ref-type name="Journal Article"&gt;17&lt;/ref-type&gt;&lt;contributors&gt;&lt;authors&gt;&lt;author&gt;Cohen, Gil&lt;/author&gt;&lt;/authors&gt;&lt;/contributors&gt;&lt;titles&gt;&lt;title&gt;ESG risks and corporate survival&lt;/title&gt;&lt;secondary-title&gt;Environment Systems and Decisions&lt;/secondary-title&gt;&lt;/titles&gt;&lt;periodical&gt;&lt;full-title&gt;Environment Systems and Decisions&lt;/full-title&gt;&lt;/periodical&gt;&lt;pages&gt;16-21&lt;/pages&gt;&lt;volume&gt;43&lt;/volume&gt;&lt;number&gt;1&lt;/number&gt;&lt;dates&gt;&lt;year&gt;2023&lt;/year&gt;&lt;/dates&gt;&lt;isbn&gt;2194-5403&lt;/isbn&gt;&lt;urls&gt;&lt;/urls&gt;&lt;/record&gt;&lt;/Cite&gt;&lt;/EndNote&gt;</w:instrText>
      </w:r>
      <w:r w:rsidR="0028029D" w:rsidRPr="00FF3475">
        <w:rPr>
          <w:rFonts w:ascii="Times New Roman" w:hAnsi="Times New Roman" w:cs="Times New Roman"/>
          <w:sz w:val="24"/>
          <w:szCs w:val="24"/>
        </w:rPr>
        <w:fldChar w:fldCharType="separate"/>
      </w:r>
      <w:r w:rsidR="0028029D" w:rsidRPr="00FF3475">
        <w:rPr>
          <w:rFonts w:ascii="Times New Roman" w:hAnsi="Times New Roman" w:cs="Times New Roman"/>
          <w:noProof/>
          <w:sz w:val="24"/>
          <w:szCs w:val="24"/>
        </w:rPr>
        <w:t>(Cohen, 2023)</w:t>
      </w:r>
      <w:r w:rsidR="0028029D"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74849D69" w14:textId="7755FA0D" w:rsidR="00327C73" w:rsidRPr="00FF3475" w:rsidRDefault="00641E87" w:rsidP="00641E87">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The ESG focused risk management focuses also on the importance of good governance structure with transparency, accountability and ethical behavior improving governance. A company can reduce the risk of corporate misconduct and enhance its </w:t>
      </w:r>
      <w:r w:rsidR="000C3AA6" w:rsidRPr="00FF3475">
        <w:rPr>
          <w:rFonts w:ascii="Times New Roman" w:hAnsi="Times New Roman" w:cs="Times New Roman"/>
          <w:sz w:val="24"/>
          <w:szCs w:val="24"/>
        </w:rPr>
        <w:t>decision-making</w:t>
      </w:r>
      <w:r w:rsidRPr="00FF3475">
        <w:rPr>
          <w:rFonts w:ascii="Times New Roman" w:hAnsi="Times New Roman" w:cs="Times New Roman"/>
          <w:sz w:val="24"/>
          <w:szCs w:val="24"/>
        </w:rPr>
        <w:t xml:space="preserve"> process with good governance practices defined in formal procedure</w:t>
      </w:r>
      <w:r w:rsidR="0028029D" w:rsidRPr="00FF3475">
        <w:rPr>
          <w:rFonts w:ascii="Times New Roman" w:hAnsi="Times New Roman" w:cs="Times New Roman"/>
          <w:sz w:val="24"/>
          <w:szCs w:val="24"/>
        </w:rPr>
        <w:fldChar w:fldCharType="begin"/>
      </w:r>
      <w:r w:rsidR="0028029D" w:rsidRPr="00FF3475">
        <w:rPr>
          <w:rFonts w:ascii="Times New Roman" w:hAnsi="Times New Roman" w:cs="Times New Roman"/>
          <w:sz w:val="24"/>
          <w:szCs w:val="24"/>
        </w:rPr>
        <w:instrText xml:space="preserve"> ADDIN EN.CITE &lt;EndNote&gt;&lt;Cite&gt;&lt;Author&gt;Renn&lt;/Author&gt;&lt;Year&gt;2017&lt;/Year&gt;&lt;RecNum&gt;2463&lt;/RecNum&gt;&lt;DisplayText&gt;(Renn, 2017)&lt;/DisplayText&gt;&lt;record&gt;&lt;rec-number&gt;2463&lt;/rec-number&gt;&lt;foreign-keys&gt;&lt;key app="EN" db-id="vp0t0fz5q9wvv2etf21x9vp5rv92ew2dstft" timestamp="1728729646"&gt;2463&lt;/key&gt;&lt;/foreign-keys&gt;&lt;ref-type name="Book"&gt;6&lt;/ref-type&gt;&lt;contributors&gt;&lt;authors&gt;&lt;author&gt;Renn, Ortwin&lt;/author&gt;&lt;/authors&gt;&lt;/contributors&gt;&lt;titles&gt;&lt;title&gt;Risk governance: coping with uncertainty in a complex world&lt;/title&gt;&lt;/titles&gt;&lt;dates&gt;&lt;year&gt;2017&lt;/year&gt;&lt;/dates&gt;&lt;publisher&gt;Routledge&lt;/publisher&gt;&lt;isbn&gt;1849772444&lt;/isbn&gt;&lt;urls&gt;&lt;/urls&gt;&lt;/record&gt;&lt;/Cite&gt;&lt;/EndNote&gt;</w:instrText>
      </w:r>
      <w:r w:rsidR="0028029D" w:rsidRPr="00FF3475">
        <w:rPr>
          <w:rFonts w:ascii="Times New Roman" w:hAnsi="Times New Roman" w:cs="Times New Roman"/>
          <w:sz w:val="24"/>
          <w:szCs w:val="24"/>
        </w:rPr>
        <w:fldChar w:fldCharType="separate"/>
      </w:r>
      <w:r w:rsidR="0028029D" w:rsidRPr="00FF3475">
        <w:rPr>
          <w:rFonts w:ascii="Times New Roman" w:hAnsi="Times New Roman" w:cs="Times New Roman"/>
          <w:noProof/>
          <w:sz w:val="24"/>
          <w:szCs w:val="24"/>
        </w:rPr>
        <w:t>(Renn, 2017)</w:t>
      </w:r>
      <w:r w:rsidR="0028029D"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The risk management can be geared towards governance focus like setting of anti-corruption policies, ensuring board diversity, and having independence on financial reporting and compliance through audit committees. Improving the corporate governance as such will, besides </w:t>
      </w:r>
      <w:proofErr w:type="gramStart"/>
      <w:r w:rsidRPr="00FF3475">
        <w:rPr>
          <w:rFonts w:ascii="Times New Roman" w:hAnsi="Times New Roman" w:cs="Times New Roman"/>
          <w:sz w:val="24"/>
          <w:szCs w:val="24"/>
        </w:rPr>
        <w:t>having an effect on</w:t>
      </w:r>
      <w:proofErr w:type="gramEnd"/>
      <w:r w:rsidRPr="00FF3475">
        <w:rPr>
          <w:rFonts w:ascii="Times New Roman" w:hAnsi="Times New Roman" w:cs="Times New Roman"/>
          <w:sz w:val="24"/>
          <w:szCs w:val="24"/>
        </w:rPr>
        <w:t xml:space="preserve"> reducing the risk, will work towards enhancing financial performance and attractiveness to investors</w:t>
      </w:r>
      <w:r w:rsidR="00327C73" w:rsidRPr="00FF3475">
        <w:rPr>
          <w:rFonts w:ascii="Times New Roman" w:hAnsi="Times New Roman" w:cs="Times New Roman"/>
          <w:sz w:val="24"/>
          <w:szCs w:val="24"/>
        </w:rPr>
        <w:t>.</w:t>
      </w:r>
    </w:p>
    <w:p w14:paraId="1E97C726" w14:textId="77777777" w:rsidR="00327C73" w:rsidRPr="00FF3475" w:rsidRDefault="00327C73" w:rsidP="00327C73">
      <w:pPr>
        <w:spacing w:line="360" w:lineRule="auto"/>
        <w:jc w:val="both"/>
        <w:rPr>
          <w:rFonts w:ascii="Times New Roman" w:hAnsi="Times New Roman" w:cs="Times New Roman"/>
          <w:b/>
          <w:bCs/>
          <w:sz w:val="24"/>
          <w:szCs w:val="24"/>
        </w:rPr>
      </w:pPr>
      <w:r w:rsidRPr="00FF3475">
        <w:rPr>
          <w:rFonts w:ascii="Times New Roman" w:hAnsi="Times New Roman" w:cs="Times New Roman"/>
          <w:b/>
          <w:bCs/>
          <w:sz w:val="24"/>
          <w:szCs w:val="24"/>
        </w:rPr>
        <w:t>Case Examples of ESG in Risk Identification and Mitigation</w:t>
      </w:r>
    </w:p>
    <w:p w14:paraId="449C9B1C" w14:textId="0F6C356D" w:rsidR="00E40C6C" w:rsidRPr="00FF3475" w:rsidRDefault="00E40C6C" w:rsidP="00E40C6C">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Unilever’s sustainability initiatives are one notable example of ESG integration to identifying and mitigating risk. To source 100% of its agricultural raw materials sustainably and reduce carbon footprint, Unilever has committed. Unilever has ensured that supply risk related to resource scarcity, climate change and supply chain disruptions has been managed through the environmental and social consideration being incorporated in its risk management practices. At the same time, the company has increased its ability to cope with regulatory changes as many of the countries across the globe are setting more stringent environmental regulations</w:t>
      </w:r>
      <w:r w:rsidR="0028029D" w:rsidRPr="00FF3475">
        <w:rPr>
          <w:rFonts w:ascii="Times New Roman" w:hAnsi="Times New Roman" w:cs="Times New Roman"/>
          <w:sz w:val="24"/>
          <w:szCs w:val="24"/>
        </w:rPr>
        <w:fldChar w:fldCharType="begin"/>
      </w:r>
      <w:r w:rsidR="0028029D" w:rsidRPr="00FF3475">
        <w:rPr>
          <w:rFonts w:ascii="Times New Roman" w:hAnsi="Times New Roman" w:cs="Times New Roman"/>
          <w:sz w:val="24"/>
          <w:szCs w:val="24"/>
        </w:rPr>
        <w:instrText xml:space="preserve"> ADDIN EN.CITE &lt;EndNote&gt;&lt;Cite&gt;&lt;Author&gt;Nkwo&lt;/Author&gt;&lt;Year&gt;2024&lt;/Year&gt;&lt;RecNum&gt;2464&lt;/RecNum&gt;&lt;DisplayText&gt;(Nkwo et al., 2024)&lt;/DisplayText&gt;&lt;record&gt;&lt;rec-number&gt;2464&lt;/rec-number&gt;&lt;foreign-keys&gt;&lt;key app="EN" db-id="vp0t0fz5q9wvv2etf21x9vp5rv92ew2dstft" timestamp="1728729726"&gt;2464&lt;/key&gt;&lt;/foreign-keys&gt;&lt;ref-type name="Journal Article"&gt;17&lt;/ref-type&gt;&lt;contributors&gt;&lt;authors&gt;&lt;author&gt;Nkwo, Festus Ndubuisi&lt;/author&gt;&lt;author&gt;Eze, Joseph Chukwudi&lt;/author&gt;&lt;author&gt;Oloto, Ngozi U&lt;/author&gt;&lt;/authors&gt;&lt;/contributors&gt;&lt;titles&gt;&lt;title&gt;EFFECT OF ENVIRONMENTAL, SOCIAL AND GOVERNANCE (ESG) REPORTING ON FINANCIAL PERFORMANCE: A CASE STUDY OF UNILEVER&lt;/title&gt;&lt;secondary-title&gt;Interdisciplinary Research Journal of Management and Social Sciences (IRJMSS)&lt;/secondary-title&gt;&lt;/titles&gt;&lt;periodical&gt;&lt;full-title&gt;Interdisciplinary Research Journal of Management and Social Sciences (IRJMSS)&lt;/full-title&gt;&lt;/periodical&gt;&lt;pages&gt;73-86&lt;/pages&gt;&lt;volume&gt;11&lt;/volume&gt;&lt;number&gt;2&lt;/number&gt;&lt;dates&gt;&lt;year&gt;2024&lt;/year&gt;&lt;/dates&gt;&lt;isbn&gt;2837-9985&lt;/isbn&gt;&lt;urls&gt;&lt;/urls&gt;&lt;/record&gt;&lt;/Cite&gt;&lt;/EndNote&gt;</w:instrText>
      </w:r>
      <w:r w:rsidR="0028029D" w:rsidRPr="00FF3475">
        <w:rPr>
          <w:rFonts w:ascii="Times New Roman" w:hAnsi="Times New Roman" w:cs="Times New Roman"/>
          <w:sz w:val="24"/>
          <w:szCs w:val="24"/>
        </w:rPr>
        <w:fldChar w:fldCharType="separate"/>
      </w:r>
      <w:r w:rsidR="0028029D" w:rsidRPr="00FF3475">
        <w:rPr>
          <w:rFonts w:ascii="Times New Roman" w:hAnsi="Times New Roman" w:cs="Times New Roman"/>
          <w:noProof/>
          <w:sz w:val="24"/>
          <w:szCs w:val="24"/>
        </w:rPr>
        <w:t>(Nkwo et al., 2024)</w:t>
      </w:r>
      <w:r w:rsidR="0028029D"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46F76919" w14:textId="399206EE" w:rsidR="00E40C6C" w:rsidRPr="00FF3475" w:rsidRDefault="00E40C6C" w:rsidP="00E40C6C">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As a result, companies such as Patagonia have increasingly included social and environmental issues into their risk management strategy, as well. Environmental activism, sustainable sourcing and ethical labor practices might not seem unusual, but those are the values that Patagonia has </w:t>
      </w:r>
      <w:r w:rsidRPr="00FF3475">
        <w:rPr>
          <w:rFonts w:ascii="Times New Roman" w:hAnsi="Times New Roman" w:cs="Times New Roman"/>
          <w:sz w:val="24"/>
          <w:szCs w:val="24"/>
        </w:rPr>
        <w:lastRenderedPageBreak/>
        <w:t>made its brand around</w:t>
      </w:r>
      <w:r w:rsidR="0028029D" w:rsidRPr="00FF3475">
        <w:rPr>
          <w:rFonts w:ascii="Times New Roman" w:hAnsi="Times New Roman" w:cs="Times New Roman"/>
          <w:sz w:val="24"/>
          <w:szCs w:val="24"/>
        </w:rPr>
        <w:fldChar w:fldCharType="begin"/>
      </w:r>
      <w:r w:rsidR="0028029D" w:rsidRPr="00FF3475">
        <w:rPr>
          <w:rFonts w:ascii="Times New Roman" w:hAnsi="Times New Roman" w:cs="Times New Roman"/>
          <w:sz w:val="24"/>
          <w:szCs w:val="24"/>
        </w:rPr>
        <w:instrText xml:space="preserve"> ADDIN EN.CITE &lt;EndNote&gt;&lt;Cite&gt;&lt;Author&gt;P Shravan&lt;/Author&gt;&lt;Year&gt;2024&lt;/Year&gt;&lt;RecNum&gt;2465&lt;/RecNum&gt;&lt;DisplayText&gt;(P Shravan &amp;amp; Vaishali, 2024)&lt;/DisplayText&gt;&lt;record&gt;&lt;rec-number&gt;2465&lt;/rec-number&gt;&lt;foreign-keys&gt;&lt;key app="EN" db-id="vp0t0fz5q9wvv2etf21x9vp5rv92ew2dstft" timestamp="1728729743"&gt;2465&lt;/key&gt;&lt;/foreign-keys&gt;&lt;ref-type name="Journal Article"&gt;17&lt;/ref-type&gt;&lt;contributors&gt;&lt;authors&gt;&lt;author&gt;P Shravan, Kumar&lt;/author&gt;&lt;author&gt;Vaishali, Shree&lt;/author&gt;&lt;/authors&gt;&lt;/contributors&gt;&lt;titles&gt;&lt;title&gt;Identifying and Disseminating ESG Best Practices: Route Map to Strengthening Sustainability Ecosystem&lt;/title&gt;&lt;secondary-title&gt;International Journal of Trend in Scientific Research and Development&lt;/secondary-title&gt;&lt;/titles&gt;&lt;periodical&gt;&lt;full-title&gt;International Journal of Trend in Scientific Research and Development&lt;/full-title&gt;&lt;/periodical&gt;&lt;pages&gt;72-76&lt;/pages&gt;&lt;volume&gt;8&lt;/volume&gt;&lt;number&gt;3&lt;/number&gt;&lt;dates&gt;&lt;year&gt;2024&lt;/year&gt;&lt;/dates&gt;&lt;isbn&gt;2456-6470&lt;/isbn&gt;&lt;urls&gt;&lt;/urls&gt;&lt;/record&gt;&lt;/Cite&gt;&lt;/EndNote&gt;</w:instrText>
      </w:r>
      <w:r w:rsidR="0028029D" w:rsidRPr="00FF3475">
        <w:rPr>
          <w:rFonts w:ascii="Times New Roman" w:hAnsi="Times New Roman" w:cs="Times New Roman"/>
          <w:sz w:val="24"/>
          <w:szCs w:val="24"/>
        </w:rPr>
        <w:fldChar w:fldCharType="separate"/>
      </w:r>
      <w:r w:rsidR="0028029D" w:rsidRPr="00FF3475">
        <w:rPr>
          <w:rFonts w:ascii="Times New Roman" w:hAnsi="Times New Roman" w:cs="Times New Roman"/>
          <w:noProof/>
          <w:sz w:val="24"/>
          <w:szCs w:val="24"/>
        </w:rPr>
        <w:t>(P Shravan &amp; Vaishali, 2024)</w:t>
      </w:r>
      <w:r w:rsidR="0028029D" w:rsidRPr="00FF3475">
        <w:rPr>
          <w:rFonts w:ascii="Times New Roman" w:hAnsi="Times New Roman" w:cs="Times New Roman"/>
          <w:sz w:val="24"/>
          <w:szCs w:val="24"/>
        </w:rPr>
        <w:fldChar w:fldCharType="end"/>
      </w:r>
      <w:r w:rsidRPr="00FF3475">
        <w:rPr>
          <w:rFonts w:ascii="Times New Roman" w:hAnsi="Times New Roman" w:cs="Times New Roman"/>
          <w:sz w:val="24"/>
          <w:szCs w:val="24"/>
        </w:rPr>
        <w:t>. Patagonia has also made environmental and social risks proactive by tackling them and has gained a loyal customer who subscribes to sustainability values. ESG approach of the company minimized supply chain disruptions, labor disputes and regulatory compliance related risks and increased the company’s brand equity.</w:t>
      </w:r>
    </w:p>
    <w:p w14:paraId="1C87BB73" w14:textId="63BFA6B9" w:rsidR="00E40C6C" w:rsidRPr="00FF3475" w:rsidRDefault="00E40C6C" w:rsidP="00E40C6C">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HSBC, in the financial sector, includes governance and environmental risks into its risk assessment processes. HSBC knows that climate change presents risks, and has therefore committed to being a net zero bank by 2050, directing its lending and investing in portfolios to support the objectives of the Paris Agreement</w:t>
      </w:r>
      <w:r w:rsidR="0028029D" w:rsidRPr="00FF3475">
        <w:rPr>
          <w:rFonts w:ascii="Times New Roman" w:hAnsi="Times New Roman" w:cs="Times New Roman"/>
          <w:sz w:val="24"/>
          <w:szCs w:val="24"/>
        </w:rPr>
        <w:fldChar w:fldCharType="begin"/>
      </w:r>
      <w:r w:rsidR="0028029D" w:rsidRPr="00FF3475">
        <w:rPr>
          <w:rFonts w:ascii="Times New Roman" w:hAnsi="Times New Roman" w:cs="Times New Roman"/>
          <w:sz w:val="24"/>
          <w:szCs w:val="24"/>
        </w:rPr>
        <w:instrText xml:space="preserve"> ADDIN EN.CITE &lt;EndNote&gt;&lt;Cite&gt;&lt;Author&gt;Light&lt;/Author&gt;&lt;Year&gt;2021&lt;/Year&gt;&lt;RecNum&gt;2466&lt;/RecNum&gt;&lt;DisplayText&gt;(Light &amp;amp; Skinner, 2021)&lt;/DisplayText&gt;&lt;record&gt;&lt;rec-number&gt;2466&lt;/rec-number&gt;&lt;foreign-keys&gt;&lt;key app="EN" db-id="vp0t0fz5q9wvv2etf21x9vp5rv92ew2dstft" timestamp="1728729786"&gt;2466&lt;/key&gt;&lt;/foreign-keys&gt;&lt;ref-type name="Journal Article"&gt;17&lt;/ref-type&gt;&lt;contributors&gt;&lt;authors&gt;&lt;author&gt;Light, Sarah E&lt;/author&gt;&lt;author&gt;Skinner, Christina P&lt;/author&gt;&lt;/authors&gt;&lt;/contributors&gt;&lt;titles&gt;&lt;title&gt;Banks and climate governance&lt;/title&gt;&lt;secondary-title&gt;Colum. L. Rev.&lt;/secondary-title&gt;&lt;/titles&gt;&lt;periodical&gt;&lt;full-title&gt;Colum. L. Rev.&lt;/full-title&gt;&lt;/periodical&gt;&lt;pages&gt;1895&lt;/pages&gt;&lt;volume&gt;121&lt;/volume&gt;&lt;dates&gt;&lt;year&gt;2021&lt;/year&gt;&lt;/dates&gt;&lt;urls&gt;&lt;/urls&gt;&lt;/record&gt;&lt;/Cite&gt;&lt;/EndNote&gt;</w:instrText>
      </w:r>
      <w:r w:rsidR="0028029D" w:rsidRPr="00FF3475">
        <w:rPr>
          <w:rFonts w:ascii="Times New Roman" w:hAnsi="Times New Roman" w:cs="Times New Roman"/>
          <w:sz w:val="24"/>
          <w:szCs w:val="24"/>
        </w:rPr>
        <w:fldChar w:fldCharType="separate"/>
      </w:r>
      <w:r w:rsidR="0028029D" w:rsidRPr="00FF3475">
        <w:rPr>
          <w:rFonts w:ascii="Times New Roman" w:hAnsi="Times New Roman" w:cs="Times New Roman"/>
          <w:noProof/>
          <w:sz w:val="24"/>
          <w:szCs w:val="24"/>
        </w:rPr>
        <w:t>(Light &amp; Skinner, 2021)</w:t>
      </w:r>
      <w:r w:rsidR="0028029D" w:rsidRPr="00FF3475">
        <w:rPr>
          <w:rFonts w:ascii="Times New Roman" w:hAnsi="Times New Roman" w:cs="Times New Roman"/>
          <w:sz w:val="24"/>
          <w:szCs w:val="24"/>
        </w:rPr>
        <w:fldChar w:fldCharType="end"/>
      </w:r>
      <w:r w:rsidRPr="00FF3475">
        <w:rPr>
          <w:rFonts w:ascii="Times New Roman" w:hAnsi="Times New Roman" w:cs="Times New Roman"/>
          <w:sz w:val="24"/>
          <w:szCs w:val="24"/>
        </w:rPr>
        <w:t>. For HSBC, either way, by incorporating ESG factors into its risk management framework, HSBC is well placed not only to ‘do the right thing’ but also to take advantage of opportunities created by sustainable finance.</w:t>
      </w:r>
    </w:p>
    <w:p w14:paraId="1E2EFCAD" w14:textId="73F668AF" w:rsidR="00E40C6C" w:rsidRPr="00FF3475" w:rsidRDefault="00E40C6C" w:rsidP="00E40C6C">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Including ESG into the risk management process not only enables companies to face current risks but also empowers them to cope with changing market conditions and regulatory environments. Environmental, social and governance (ESG) risks can have implications for an organization’s financial performance, reputation and operational resilience, over time</w:t>
      </w:r>
      <w:r w:rsidR="00DE127E" w:rsidRPr="00FF3475">
        <w:rPr>
          <w:rFonts w:ascii="Times New Roman" w:hAnsi="Times New Roman" w:cs="Times New Roman"/>
          <w:sz w:val="24"/>
          <w:szCs w:val="24"/>
        </w:rPr>
        <w:fldChar w:fldCharType="begin"/>
      </w:r>
      <w:r w:rsidR="00DE127E" w:rsidRPr="00FF3475">
        <w:rPr>
          <w:rFonts w:ascii="Times New Roman" w:hAnsi="Times New Roman" w:cs="Times New Roman"/>
          <w:sz w:val="24"/>
          <w:szCs w:val="24"/>
        </w:rPr>
        <w:instrText xml:space="preserve"> ADDIN EN.CITE &lt;EndNote&gt;&lt;Cite&gt;&lt;Author&gt;Niţescu&lt;/Author&gt;&lt;Year&gt;2020&lt;/Year&gt;&lt;RecNum&gt;2467&lt;/RecNum&gt;&lt;DisplayText&gt;(Niţescu &amp;amp; Cristea, 2020)&lt;/DisplayText&gt;&lt;record&gt;&lt;rec-number&gt;2467&lt;/rec-number&gt;&lt;foreign-keys&gt;&lt;key app="EN" db-id="vp0t0fz5q9wvv2etf21x9vp5rv92ew2dstft" timestamp="1728733068"&gt;2467&lt;/key&gt;&lt;/foreign-keys&gt;&lt;ref-type name="Journal Article"&gt;17&lt;/ref-type&gt;&lt;contributors&gt;&lt;authors&gt;&lt;author&gt;Niţescu, Dan-Costin&lt;/author&gt;&lt;author&gt;Cristea, Maria-Alexandra&lt;/author&gt;&lt;/authors&gt;&lt;/contributors&gt;&lt;titles&gt;&lt;title&gt;Environmental, social and governance risks–new challenges for the banking business sustainability&lt;/title&gt;&lt;secondary-title&gt;Amfiteatru Economic&lt;/secondary-title&gt;&lt;/titles&gt;&lt;periodical&gt;&lt;full-title&gt;Amfiteatru Economic&lt;/full-title&gt;&lt;/periodical&gt;&lt;pages&gt;692-706&lt;/pages&gt;&lt;volume&gt;22&lt;/volume&gt;&lt;number&gt;55&lt;/number&gt;&lt;dates&gt;&lt;year&gt;2020&lt;/year&gt;&lt;/dates&gt;&lt;isbn&gt;1582-9146&lt;/isbn&gt;&lt;urls&gt;&lt;/urls&gt;&lt;/record&gt;&lt;/Cite&gt;&lt;/EndNote&gt;</w:instrText>
      </w:r>
      <w:r w:rsidR="00DE127E" w:rsidRPr="00FF3475">
        <w:rPr>
          <w:rFonts w:ascii="Times New Roman" w:hAnsi="Times New Roman" w:cs="Times New Roman"/>
          <w:sz w:val="24"/>
          <w:szCs w:val="24"/>
        </w:rPr>
        <w:fldChar w:fldCharType="separate"/>
      </w:r>
      <w:r w:rsidR="00DE127E" w:rsidRPr="00FF3475">
        <w:rPr>
          <w:rFonts w:ascii="Times New Roman" w:hAnsi="Times New Roman" w:cs="Times New Roman"/>
          <w:noProof/>
          <w:sz w:val="24"/>
          <w:szCs w:val="24"/>
        </w:rPr>
        <w:t>(Niţescu &amp; Cristea, 2020)</w:t>
      </w:r>
      <w:r w:rsidR="00DE127E" w:rsidRPr="00FF3475">
        <w:rPr>
          <w:rFonts w:ascii="Times New Roman" w:hAnsi="Times New Roman" w:cs="Times New Roman"/>
          <w:sz w:val="24"/>
          <w:szCs w:val="24"/>
        </w:rPr>
        <w:fldChar w:fldCharType="end"/>
      </w:r>
      <w:r w:rsidRPr="00FF3475">
        <w:rPr>
          <w:rFonts w:ascii="Times New Roman" w:hAnsi="Times New Roman" w:cs="Times New Roman"/>
          <w:sz w:val="24"/>
          <w:szCs w:val="24"/>
        </w:rPr>
        <w:t>. The more holistic approach towards risk management that incorporates ESG factors allows companies to be more in tuned with the kind of risks that may not otherwise be spotted by the more traditional frameworks.</w:t>
      </w:r>
    </w:p>
    <w:p w14:paraId="340D05D3" w14:textId="4338510C" w:rsidR="00327C73" w:rsidRPr="00FF3475" w:rsidRDefault="00E40C6C" w:rsidP="00E40C6C">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As stakeholders will be more and more demanding about sustainable and responsible business practices, ESG will provide its value of risk identification and mitigation. Organizations that understand the value of ESG focused risk management will be able to better navigate the complex challenges across their business today, seize new opportunities in tomorrow’s world, and create value for shareholders and stakeholders alike. Proactive management of environmental, social, and governance risks is a means for companies to build resilience, increase their competitiveness and contribute to a more sustainable and fairer global economy</w:t>
      </w:r>
      <w:r w:rsidR="00DE127E" w:rsidRPr="00FF3475">
        <w:rPr>
          <w:rFonts w:ascii="Times New Roman" w:hAnsi="Times New Roman" w:cs="Times New Roman"/>
          <w:sz w:val="24"/>
          <w:szCs w:val="24"/>
        </w:rPr>
        <w:fldChar w:fldCharType="begin"/>
      </w:r>
      <w:r w:rsidR="00DE127E" w:rsidRPr="00FF3475">
        <w:rPr>
          <w:rFonts w:ascii="Times New Roman" w:hAnsi="Times New Roman" w:cs="Times New Roman"/>
          <w:sz w:val="24"/>
          <w:szCs w:val="24"/>
        </w:rPr>
        <w:instrText xml:space="preserve"> ADDIN EN.CITE &lt;EndNote&gt;&lt;Cite&gt;&lt;Author&gt;Antoncic&lt;/Author&gt;&lt;Year&gt;2019&lt;/Year&gt;&lt;RecNum&gt;2468&lt;/RecNum&gt;&lt;DisplayText&gt;(Antoncic, 2019)&lt;/DisplayText&gt;&lt;record&gt;&lt;rec-number&gt;2468&lt;/rec-number&gt;&lt;foreign-keys&gt;&lt;key app="EN" db-id="vp0t0fz5q9wvv2etf21x9vp5rv92ew2dstft" timestamp="1728733091"&gt;2468&lt;/key&gt;&lt;/foreign-keys&gt;&lt;ref-type name="Journal Article"&gt;17&lt;/ref-type&gt;&lt;contributors&gt;&lt;authors&gt;&lt;author&gt;Antoncic, Madelyn&lt;/author&gt;&lt;/authors&gt;&lt;/contributors&gt;&lt;titles&gt;&lt;title&gt;Why sustainability? Because risk evolves and risk management should too&lt;/title&gt;&lt;secondary-title&gt;Journal of Risk Management in Financial Institutions&lt;/secondary-title&gt;&lt;/titles&gt;&lt;periodical&gt;&lt;full-title&gt;Journal of Risk Management in Financial Institutions&lt;/full-title&gt;&lt;/periodical&gt;&lt;pages&gt;206-216&lt;/pages&gt;&lt;volume&gt;12&lt;/volume&gt;&lt;number&gt;3&lt;/number&gt;&lt;dates&gt;&lt;year&gt;2019&lt;/year&gt;&lt;/dates&gt;&lt;isbn&gt;1752-8887&lt;/isbn&gt;&lt;urls&gt;&lt;/urls&gt;&lt;/record&gt;&lt;/Cite&gt;&lt;/EndNote&gt;</w:instrText>
      </w:r>
      <w:r w:rsidR="00DE127E" w:rsidRPr="00FF3475">
        <w:rPr>
          <w:rFonts w:ascii="Times New Roman" w:hAnsi="Times New Roman" w:cs="Times New Roman"/>
          <w:sz w:val="24"/>
          <w:szCs w:val="24"/>
        </w:rPr>
        <w:fldChar w:fldCharType="separate"/>
      </w:r>
      <w:r w:rsidR="00DE127E" w:rsidRPr="00FF3475">
        <w:rPr>
          <w:rFonts w:ascii="Times New Roman" w:hAnsi="Times New Roman" w:cs="Times New Roman"/>
          <w:noProof/>
          <w:sz w:val="24"/>
          <w:szCs w:val="24"/>
        </w:rPr>
        <w:t>(Antoncic, 2019)</w:t>
      </w:r>
      <w:r w:rsidR="00DE127E" w:rsidRPr="00FF3475">
        <w:rPr>
          <w:rFonts w:ascii="Times New Roman" w:hAnsi="Times New Roman" w:cs="Times New Roman"/>
          <w:sz w:val="24"/>
          <w:szCs w:val="24"/>
        </w:rPr>
        <w:fldChar w:fldCharType="end"/>
      </w:r>
      <w:r w:rsidR="00327C73" w:rsidRPr="00FF3475">
        <w:rPr>
          <w:rFonts w:ascii="Times New Roman" w:hAnsi="Times New Roman" w:cs="Times New Roman"/>
          <w:sz w:val="24"/>
          <w:szCs w:val="24"/>
        </w:rPr>
        <w:t>.</w:t>
      </w:r>
    </w:p>
    <w:p w14:paraId="1A8F45B0" w14:textId="77777777" w:rsidR="00912FA2" w:rsidRPr="00FF3475" w:rsidRDefault="00912FA2" w:rsidP="0083582F">
      <w:pPr>
        <w:pStyle w:val="Heading3"/>
        <w:rPr>
          <w:rFonts w:ascii="Times New Roman" w:hAnsi="Times New Roman" w:cs="Times New Roman"/>
          <w:color w:val="auto"/>
        </w:rPr>
      </w:pPr>
      <w:bookmarkStart w:id="18" w:name="_Toc180406338"/>
      <w:r w:rsidRPr="00FF3475">
        <w:rPr>
          <w:rFonts w:ascii="Times New Roman" w:hAnsi="Times New Roman" w:cs="Times New Roman"/>
          <w:color w:val="auto"/>
        </w:rPr>
        <w:t>2.3.3 ESG as a Tool for Enhancing Corporate Resilience</w:t>
      </w:r>
      <w:bookmarkEnd w:id="18"/>
    </w:p>
    <w:p w14:paraId="382972ED" w14:textId="75DDB310" w:rsidR="0004680A" w:rsidRPr="00FF3475" w:rsidRDefault="0004680A" w:rsidP="0004680A">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Increasingly, companies are integrating Environmental, Social, and Governance (ESG) principles into risk management to highlight and, where possible, manage risks and increase corporate resilience. Corporate resilience is the capacity of an organization to tolerate, absorb, restore, and adapt to disruption and risk </w:t>
      </w:r>
      <w:proofErr w:type="gramStart"/>
      <w:r w:rsidRPr="00FF3475">
        <w:rPr>
          <w:rFonts w:ascii="Times New Roman" w:hAnsi="Times New Roman" w:cs="Times New Roman"/>
          <w:sz w:val="24"/>
          <w:szCs w:val="24"/>
        </w:rPr>
        <w:t>in order to</w:t>
      </w:r>
      <w:proofErr w:type="gramEnd"/>
      <w:r w:rsidRPr="00FF3475">
        <w:rPr>
          <w:rFonts w:ascii="Times New Roman" w:hAnsi="Times New Roman" w:cs="Times New Roman"/>
          <w:sz w:val="24"/>
          <w:szCs w:val="24"/>
        </w:rPr>
        <w:t xml:space="preserve"> maintain continuity and </w:t>
      </w:r>
      <w:r w:rsidR="000C481B"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sustainability. Failing to </w:t>
      </w:r>
      <w:r w:rsidRPr="00FF3475">
        <w:rPr>
          <w:rFonts w:ascii="Times New Roman" w:hAnsi="Times New Roman" w:cs="Times New Roman"/>
          <w:sz w:val="24"/>
          <w:szCs w:val="24"/>
        </w:rPr>
        <w:lastRenderedPageBreak/>
        <w:t xml:space="preserve">address ESG related risks proactively puts companies at risk to remain static and inflexible to the changing market conditions, regulatory demands, and </w:t>
      </w:r>
      <w:r w:rsidR="000C481B" w:rsidRPr="00FF3475">
        <w:rPr>
          <w:rFonts w:ascii="Times New Roman" w:hAnsi="Times New Roman" w:cs="Times New Roman"/>
          <w:sz w:val="24"/>
          <w:szCs w:val="24"/>
        </w:rPr>
        <w:t>stakeholders’</w:t>
      </w:r>
      <w:r w:rsidRPr="00FF3475">
        <w:rPr>
          <w:rFonts w:ascii="Times New Roman" w:hAnsi="Times New Roman" w:cs="Times New Roman"/>
          <w:sz w:val="24"/>
          <w:szCs w:val="24"/>
        </w:rPr>
        <w:t xml:space="preserve"> expectations</w:t>
      </w:r>
      <w:r w:rsidR="00DE127E" w:rsidRPr="00FF3475">
        <w:rPr>
          <w:rFonts w:ascii="Times New Roman" w:hAnsi="Times New Roman" w:cs="Times New Roman"/>
          <w:sz w:val="24"/>
          <w:szCs w:val="24"/>
        </w:rPr>
        <w:fldChar w:fldCharType="begin"/>
      </w:r>
      <w:r w:rsidR="00DE127E" w:rsidRPr="00FF3475">
        <w:rPr>
          <w:rFonts w:ascii="Times New Roman" w:hAnsi="Times New Roman" w:cs="Times New Roman"/>
          <w:sz w:val="24"/>
          <w:szCs w:val="24"/>
        </w:rPr>
        <w:instrText xml:space="preserve"> ADDIN EN.CITE &lt;EndNote&gt;&lt;Cite&gt;&lt;Author&gt;Câmara&lt;/Author&gt;&lt;Year&gt;2022&lt;/Year&gt;&lt;RecNum&gt;2469&lt;/RecNum&gt;&lt;DisplayText&gt;(Câmara, 2022)&lt;/DisplayText&gt;&lt;record&gt;&lt;rec-number&gt;2469&lt;/rec-number&gt;&lt;foreign-keys&gt;&lt;key app="EN" db-id="vp0t0fz5q9wvv2etf21x9vp5rv92ew2dstft" timestamp="1728733111"&gt;2469&lt;/key&gt;&lt;/foreign-keys&gt;&lt;ref-type name="Book Section"&gt;5&lt;/ref-type&gt;&lt;contributors&gt;&lt;authors&gt;&lt;author&gt;Câmara, Paulo&lt;/author&gt;&lt;/authors&gt;&lt;/contributors&gt;&lt;titles&gt;&lt;title&gt;The systemic interaction between corporate governance and ESG&lt;/title&gt;&lt;secondary-title&gt;The Palgrave handbook of ESG and corporate governance&lt;/secondary-title&gt;&lt;/titles&gt;&lt;pages&gt;3-40&lt;/pages&gt;&lt;dates&gt;&lt;year&gt;2022&lt;/year&gt;&lt;/dates&gt;&lt;publisher&gt;Springer&lt;/publisher&gt;&lt;urls&gt;&lt;/urls&gt;&lt;/record&gt;&lt;/Cite&gt;&lt;/EndNote&gt;</w:instrText>
      </w:r>
      <w:r w:rsidR="00DE127E" w:rsidRPr="00FF3475">
        <w:rPr>
          <w:rFonts w:ascii="Times New Roman" w:hAnsi="Times New Roman" w:cs="Times New Roman"/>
          <w:sz w:val="24"/>
          <w:szCs w:val="24"/>
        </w:rPr>
        <w:fldChar w:fldCharType="separate"/>
      </w:r>
      <w:r w:rsidR="00DE127E" w:rsidRPr="00FF3475">
        <w:rPr>
          <w:rFonts w:ascii="Times New Roman" w:hAnsi="Times New Roman" w:cs="Times New Roman"/>
          <w:noProof/>
          <w:sz w:val="24"/>
          <w:szCs w:val="24"/>
        </w:rPr>
        <w:t>(Câmara, 2022)</w:t>
      </w:r>
      <w:r w:rsidR="00DE127E"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292ABB80" w14:textId="7F746BC2" w:rsidR="0004680A" w:rsidRPr="00FF3475" w:rsidRDefault="00DE127E" w:rsidP="0004680A">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fldChar w:fldCharType="begin"/>
      </w:r>
      <w:r w:rsidRPr="00FF3475">
        <w:rPr>
          <w:rFonts w:ascii="Times New Roman" w:hAnsi="Times New Roman" w:cs="Times New Roman"/>
          <w:sz w:val="24"/>
          <w:szCs w:val="24"/>
        </w:rPr>
        <w:instrText xml:space="preserve"> ADDIN EN.CITE &lt;EndNote&gt;&lt;Cite AuthorYear="1"&gt;&lt;Author&gt;Escrig-Olmedo&lt;/Author&gt;&lt;Year&gt;2019&lt;/Year&gt;&lt;RecNum&gt;2470&lt;/RecNum&gt;&lt;DisplayText&gt;Escrig-Olmedo et al. (2019)&lt;/DisplayText&gt;&lt;record&gt;&lt;rec-number&gt;2470&lt;/rec-number&gt;&lt;foreign-keys&gt;&lt;key app="EN" db-id="vp0t0fz5q9wvv2etf21x9vp5rv92ew2dstft" timestamp="1728733136"&gt;2470&lt;/key&gt;&lt;/foreign-keys&gt;&lt;ref-type name="Journal Article"&gt;17&lt;/ref-type&gt;&lt;contributors&gt;&lt;authors&gt;&lt;author&gt;Escrig-Olmedo, Elena&lt;/author&gt;&lt;author&gt;Fernández-Izquierdo, María Ángeles&lt;/author&gt;&lt;author&gt;Ferrero-Ferrero, Idoya&lt;/author&gt;&lt;author&gt;Rivera-Lirio, Juana María&lt;/author&gt;&lt;author&gt;Muñoz-Torres, María Jesús&lt;/author&gt;&lt;/authors&gt;&lt;/contributors&gt;&lt;titles&gt;&lt;title&gt;Rating the raters: Evaluating how ESG rating agencies integrate sustainability principles&lt;/title&gt;&lt;secondary-title&gt;Sustainability&lt;/secondary-title&gt;&lt;/titles&gt;&lt;periodical&gt;&lt;full-title&gt;Sustainability&lt;/full-title&gt;&lt;/periodical&gt;&lt;pages&gt;915&lt;/pages&gt;&lt;volume&gt;11&lt;/volume&gt;&lt;number&gt;3&lt;/number&gt;&lt;dates&gt;&lt;year&gt;2019&lt;/year&gt;&lt;/dates&gt;&lt;isbn&gt;2071-1050&lt;/isbn&gt;&lt;urls&gt;&lt;/urls&gt;&lt;/record&gt;&lt;/Cite&gt;&lt;/EndNote&gt;</w:instrText>
      </w:r>
      <w:r w:rsidRPr="00FF3475">
        <w:rPr>
          <w:rFonts w:ascii="Times New Roman" w:hAnsi="Times New Roman" w:cs="Times New Roman"/>
          <w:sz w:val="24"/>
          <w:szCs w:val="24"/>
        </w:rPr>
        <w:fldChar w:fldCharType="separate"/>
      </w:r>
      <w:r w:rsidRPr="00FF3475">
        <w:rPr>
          <w:rFonts w:ascii="Times New Roman" w:hAnsi="Times New Roman" w:cs="Times New Roman"/>
          <w:noProof/>
          <w:sz w:val="24"/>
          <w:szCs w:val="24"/>
        </w:rPr>
        <w:t>Escrig-Olmedo et al. (2019)</w:t>
      </w:r>
      <w:r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w:t>
      </w:r>
      <w:r w:rsidR="0004680A" w:rsidRPr="00FF3475">
        <w:rPr>
          <w:rFonts w:ascii="Times New Roman" w:hAnsi="Times New Roman" w:cs="Times New Roman"/>
          <w:sz w:val="24"/>
          <w:szCs w:val="24"/>
        </w:rPr>
        <w:t>found that companies with high ESG performance cross cheaper in crisis. Owing to this those these companies are better geared for regulatory changes, changing consumer preferences and roles of the environmental. For example, such businesses are less exposed to volatility of fossil fuel prices and can more easily react to tougher environmental regulations. Such a proactive approach to environmental risk not only increases operational stability, but also helps to meet the regulatory requirement, and helps to boost firm’s reputation.</w:t>
      </w:r>
    </w:p>
    <w:p w14:paraId="6767E953" w14:textId="3D7068D1" w:rsidR="0004680A" w:rsidRPr="00FF3475" w:rsidRDefault="0004680A" w:rsidP="0004680A">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To add to corporate resilience, however, social factors play a role supporting stronger ties to employees, to current and future customers, and to our communities. For an example, companies that put a priority on fair labor practices and diversity during hiring will indeed attract and retain top talent, keep employees highly engaged and build customer loyalty. Additionally, because so many socially responsible companies exist, there’s a high rate of brand loyalty and community support, which is helpful during tough times</w:t>
      </w:r>
      <w:r w:rsidR="00DA4DDE" w:rsidRPr="00FF3475">
        <w:rPr>
          <w:rFonts w:ascii="Times New Roman" w:hAnsi="Times New Roman" w:cs="Times New Roman"/>
          <w:sz w:val="24"/>
          <w:szCs w:val="24"/>
        </w:rPr>
        <w:fldChar w:fldCharType="begin"/>
      </w:r>
      <w:r w:rsidR="00DA4DDE" w:rsidRPr="00FF3475">
        <w:rPr>
          <w:rFonts w:ascii="Times New Roman" w:hAnsi="Times New Roman" w:cs="Times New Roman"/>
          <w:sz w:val="24"/>
          <w:szCs w:val="24"/>
        </w:rPr>
        <w:instrText xml:space="preserve"> ADDIN EN.CITE &lt;EndNote&gt;&lt;Cite&gt;&lt;Author&gt;Chairani&lt;/Author&gt;&lt;Year&gt;2021&lt;/Year&gt;&lt;RecNum&gt;2471&lt;/RecNum&gt;&lt;DisplayText&gt;(Chairani &amp;amp; Siregar, 2021)&lt;/DisplayText&gt;&lt;record&gt;&lt;rec-number&gt;2471&lt;/rec-number&gt;&lt;foreign-keys&gt;&lt;key app="EN" db-id="vp0t0fz5q9wvv2etf21x9vp5rv92ew2dstft" timestamp="1728733169"&gt;2471&lt;/key&gt;&lt;/foreign-keys&gt;&lt;ref-type name="Journal Article"&gt;17&lt;/ref-type&gt;&lt;contributors&gt;&lt;authors&gt;&lt;author&gt;Chairani, Chairani&lt;/author&gt;&lt;author&gt;Siregar, Sylvia Veronica&lt;/author&gt;&lt;/authors&gt;&lt;/contributors&gt;&lt;titles&gt;&lt;title&gt;The effect of enterprise risk management on financial performance and firm value: the role of environmental, social and governance performance&lt;/title&gt;&lt;secondary-title&gt;Meditari Accountancy Research&lt;/secondary-title&gt;&lt;/titles&gt;&lt;periodical&gt;&lt;full-title&gt;Meditari Accountancy Research&lt;/full-title&gt;&lt;/periodical&gt;&lt;pages&gt;647-670&lt;/pages&gt;&lt;volume&gt;29&lt;/volume&gt;&lt;number&gt;3&lt;/number&gt;&lt;dates&gt;&lt;year&gt;2021&lt;/year&gt;&lt;/dates&gt;&lt;isbn&gt;2049-372X&lt;/isbn&gt;&lt;urls&gt;&lt;/urls&gt;&lt;/record&gt;&lt;/Cite&gt;&lt;/EndNote&gt;</w:instrText>
      </w:r>
      <w:r w:rsidR="00DA4DDE" w:rsidRPr="00FF3475">
        <w:rPr>
          <w:rFonts w:ascii="Times New Roman" w:hAnsi="Times New Roman" w:cs="Times New Roman"/>
          <w:sz w:val="24"/>
          <w:szCs w:val="24"/>
        </w:rPr>
        <w:fldChar w:fldCharType="separate"/>
      </w:r>
      <w:r w:rsidR="00DA4DDE" w:rsidRPr="00FF3475">
        <w:rPr>
          <w:rFonts w:ascii="Times New Roman" w:hAnsi="Times New Roman" w:cs="Times New Roman"/>
          <w:noProof/>
          <w:sz w:val="24"/>
          <w:szCs w:val="24"/>
        </w:rPr>
        <w:t>(Chairani &amp; Siregar, 2021)</w:t>
      </w:r>
      <w:r w:rsidR="00DA4DDE"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186F0E77" w14:textId="5F5E0A4B" w:rsidR="0004680A" w:rsidRPr="00FF3475" w:rsidRDefault="0004680A" w:rsidP="0004680A">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Corporate resilience is crucially dependent on the functioning of governance factors as means of transparency, accountability, and an ethical impulse for decision making. Companies that have robust governance – independent boards and sound audit committees, for example – are more likely to weather crises while maintaining stakeholder confidence and managing the type of risks that come with executive misconduct or operational failure</w:t>
      </w:r>
      <w:r w:rsidR="00DA4DDE" w:rsidRPr="00FF3475">
        <w:rPr>
          <w:rFonts w:ascii="Times New Roman" w:hAnsi="Times New Roman" w:cs="Times New Roman"/>
          <w:sz w:val="24"/>
          <w:szCs w:val="24"/>
        </w:rPr>
        <w:fldChar w:fldCharType="begin"/>
      </w:r>
      <w:r w:rsidR="00DA4DDE" w:rsidRPr="00FF3475">
        <w:rPr>
          <w:rFonts w:ascii="Times New Roman" w:hAnsi="Times New Roman" w:cs="Times New Roman"/>
          <w:sz w:val="24"/>
          <w:szCs w:val="24"/>
        </w:rPr>
        <w:instrText xml:space="preserve"> ADDIN EN.CITE &lt;EndNote&gt;&lt;Cite&gt;&lt;Author&gt;de Souza Barbosa&lt;/Author&gt;&lt;Year&gt;2023&lt;/Year&gt;&lt;RecNum&gt;2472&lt;/RecNum&gt;&lt;DisplayText&gt;(de Souza Barbosa et al., 2023)&lt;/DisplayText&gt;&lt;record&gt;&lt;rec-number&gt;2472&lt;/rec-number&gt;&lt;foreign-keys&gt;&lt;key app="EN" db-id="vp0t0fz5q9wvv2etf21x9vp5rv92ew2dstft" timestamp="1728733191"&gt;2472&lt;/key&gt;&lt;/foreign-keys&gt;&lt;ref-type name="Journal Article"&gt;17&lt;/ref-type&gt;&lt;contributors&gt;&lt;authors&gt;&lt;author&gt;de Souza Barbosa, Anrafel&lt;/author&gt;&lt;author&gt;da Silva, Maria Cristina Basilio Crispim&lt;/author&gt;&lt;author&gt;da Silva, Luiz Bueno&lt;/author&gt;&lt;author&gt;Morioka, Sandra Naomi&lt;/author&gt;&lt;author&gt;de Souza, Vinícius Fernandes&lt;/author&gt;&lt;/authors&gt;&lt;/contributors&gt;&lt;titles&gt;&lt;title&gt;Integration of Environmental, Social, and Governance (ESG) criteria: their impacts on corporate sustainability performance&lt;/title&gt;&lt;secondary-title&gt;Humanities and Social Sciences Communications&lt;/secondary-title&gt;&lt;/titles&gt;&lt;periodical&gt;&lt;full-title&gt;Humanities and Social Sciences Communications&lt;/full-title&gt;&lt;/periodical&gt;&lt;pages&gt;1-18&lt;/pages&gt;&lt;volume&gt;10&lt;/volume&gt;&lt;number&gt;1&lt;/number&gt;&lt;dates&gt;&lt;year&gt;2023&lt;/year&gt;&lt;/dates&gt;&lt;isbn&gt;2662-9992&lt;/isbn&gt;&lt;urls&gt;&lt;/urls&gt;&lt;/record&gt;&lt;/Cite&gt;&lt;/EndNote&gt;</w:instrText>
      </w:r>
      <w:r w:rsidR="00DA4DDE" w:rsidRPr="00FF3475">
        <w:rPr>
          <w:rFonts w:ascii="Times New Roman" w:hAnsi="Times New Roman" w:cs="Times New Roman"/>
          <w:sz w:val="24"/>
          <w:szCs w:val="24"/>
        </w:rPr>
        <w:fldChar w:fldCharType="separate"/>
      </w:r>
      <w:r w:rsidR="00DA4DDE" w:rsidRPr="00FF3475">
        <w:rPr>
          <w:rFonts w:ascii="Times New Roman" w:hAnsi="Times New Roman" w:cs="Times New Roman"/>
          <w:noProof/>
          <w:sz w:val="24"/>
          <w:szCs w:val="24"/>
        </w:rPr>
        <w:t>(de Souza Barbosa et al., 2023)</w:t>
      </w:r>
      <w:r w:rsidR="00DA4DDE" w:rsidRPr="00FF3475">
        <w:rPr>
          <w:rFonts w:ascii="Times New Roman" w:hAnsi="Times New Roman" w:cs="Times New Roman"/>
          <w:sz w:val="24"/>
          <w:szCs w:val="24"/>
        </w:rPr>
        <w:fldChar w:fldCharType="end"/>
      </w:r>
      <w:r w:rsidRPr="00FF3475">
        <w:rPr>
          <w:rFonts w:ascii="Times New Roman" w:hAnsi="Times New Roman" w:cs="Times New Roman"/>
          <w:sz w:val="24"/>
          <w:szCs w:val="24"/>
        </w:rPr>
        <w:t>. Poor governance practices can have the same negative impact on access to capital as can strong governance practices, since investors increasingly want to support companies with high standards of corporate governance.</w:t>
      </w:r>
    </w:p>
    <w:p w14:paraId="7C1F9ACB" w14:textId="35D2F3A4" w:rsidR="00912FA2" w:rsidRPr="00FF3475" w:rsidRDefault="00DA4DDE" w:rsidP="0004680A">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According to </w:t>
      </w:r>
      <w:r w:rsidRPr="00FF3475">
        <w:rPr>
          <w:rFonts w:ascii="Times New Roman" w:hAnsi="Times New Roman" w:cs="Times New Roman"/>
          <w:sz w:val="24"/>
          <w:szCs w:val="24"/>
        </w:rPr>
        <w:fldChar w:fldCharType="begin"/>
      </w:r>
      <w:r w:rsidRPr="00FF3475">
        <w:rPr>
          <w:rFonts w:ascii="Times New Roman" w:hAnsi="Times New Roman" w:cs="Times New Roman"/>
          <w:sz w:val="24"/>
          <w:szCs w:val="24"/>
        </w:rPr>
        <w:instrText xml:space="preserve"> ADDIN EN.CITE &lt;EndNote&gt;&lt;Cite AuthorYear="1"&gt;&lt;Author&gt;Gericke&lt;/Author&gt;&lt;Year&gt;2018&lt;/Year&gt;&lt;RecNum&gt;2473&lt;/RecNum&gt;&lt;DisplayText&gt;Gericke et al. (2018)&lt;/DisplayText&gt;&lt;record&gt;&lt;rec-number&gt;2473&lt;/rec-number&gt;&lt;foreign-keys&gt;&lt;key app="EN" db-id="vp0t0fz5q9wvv2etf21x9vp5rv92ew2dstft" timestamp="1728733231"&gt;2473&lt;/key&gt;&lt;/foreign-keys&gt;&lt;ref-type name="Book"&gt;6&lt;/ref-type&gt;&lt;contributors&gt;&lt;authors&gt;&lt;author&gt;Gericke, Robert C&lt;/author&gt;&lt;author&gt;Gericke&lt;/author&gt;&lt;author&gt;Torregrosa&lt;/author&gt;&lt;/authors&gt;&lt;/contributors&gt;&lt;titles&gt;&lt;title&gt;Corporate governance and risk management in financial institutions&lt;/title&gt;&lt;/titles&gt;&lt;dates&gt;&lt;year&gt;2018&lt;/year&gt;&lt;/dates&gt;&lt;publisher&gt;Springer&lt;/publisher&gt;&lt;isbn&gt;3319673106&lt;/isbn&gt;&lt;urls&gt;&lt;/urls&gt;&lt;/record&gt;&lt;/Cite&gt;&lt;/EndNote&gt;</w:instrText>
      </w:r>
      <w:r w:rsidRPr="00FF3475">
        <w:rPr>
          <w:rFonts w:ascii="Times New Roman" w:hAnsi="Times New Roman" w:cs="Times New Roman"/>
          <w:sz w:val="24"/>
          <w:szCs w:val="24"/>
        </w:rPr>
        <w:fldChar w:fldCharType="separate"/>
      </w:r>
      <w:r w:rsidRPr="00FF3475">
        <w:rPr>
          <w:rFonts w:ascii="Times New Roman" w:hAnsi="Times New Roman" w:cs="Times New Roman"/>
          <w:noProof/>
          <w:sz w:val="24"/>
          <w:szCs w:val="24"/>
        </w:rPr>
        <w:t>Gericke et al. (2018)</w:t>
      </w:r>
      <w:r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w:t>
      </w:r>
      <w:r w:rsidR="0004680A" w:rsidRPr="00FF3475">
        <w:rPr>
          <w:rFonts w:ascii="Times New Roman" w:hAnsi="Times New Roman" w:cs="Times New Roman"/>
          <w:sz w:val="24"/>
          <w:szCs w:val="24"/>
        </w:rPr>
        <w:t>ESG integration strengthens corporate resilience by driving the formation of a more sustainable, adaptable and stakeholder centered organization. When it comes to risk mitigation, companies that factor ESG issues into their decision making are better able to do so; they are more agile when responding to disruptions in their market and obtain a competitive edge. As ESG stays fit as a topic for investor expectations and regulatory landscapes, the role that ESG plays in building corporate resilience will be pivotal for companies who wish for long term success</w:t>
      </w:r>
      <w:r w:rsidR="00912FA2" w:rsidRPr="00FF3475">
        <w:rPr>
          <w:rFonts w:ascii="Times New Roman" w:hAnsi="Times New Roman" w:cs="Times New Roman"/>
          <w:sz w:val="24"/>
          <w:szCs w:val="24"/>
        </w:rPr>
        <w:t>.</w:t>
      </w:r>
    </w:p>
    <w:p w14:paraId="63826909" w14:textId="77777777" w:rsidR="00912FA2" w:rsidRPr="00FF3475" w:rsidRDefault="00912FA2" w:rsidP="0083582F">
      <w:pPr>
        <w:pStyle w:val="Heading3"/>
        <w:rPr>
          <w:rFonts w:ascii="Times New Roman" w:hAnsi="Times New Roman" w:cs="Times New Roman"/>
          <w:color w:val="auto"/>
        </w:rPr>
      </w:pPr>
      <w:bookmarkStart w:id="19" w:name="_Toc180406339"/>
      <w:r w:rsidRPr="00FF3475">
        <w:rPr>
          <w:rFonts w:ascii="Times New Roman" w:hAnsi="Times New Roman" w:cs="Times New Roman"/>
          <w:color w:val="auto"/>
        </w:rPr>
        <w:lastRenderedPageBreak/>
        <w:t>2.3.4 Challenges and Barriers to ESG Integration in Risk Management</w:t>
      </w:r>
      <w:bookmarkEnd w:id="19"/>
    </w:p>
    <w:p w14:paraId="1004A470" w14:textId="0FD392F2" w:rsidR="00B90391" w:rsidRPr="00FF3475" w:rsidRDefault="00B90391" w:rsidP="00B90391">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While ESG integration into risk management has clear benefits, businesses struggle to get started. The main barrier is a lack of </w:t>
      </w:r>
      <w:proofErr w:type="spellStart"/>
      <w:r w:rsidRPr="00FF3475">
        <w:rPr>
          <w:rFonts w:ascii="Times New Roman" w:hAnsi="Times New Roman" w:cs="Times New Roman"/>
          <w:sz w:val="24"/>
          <w:szCs w:val="24"/>
        </w:rPr>
        <w:t>standardised</w:t>
      </w:r>
      <w:proofErr w:type="spellEnd"/>
      <w:r w:rsidRPr="00FF3475">
        <w:rPr>
          <w:rFonts w:ascii="Times New Roman" w:hAnsi="Times New Roman" w:cs="Times New Roman"/>
          <w:sz w:val="24"/>
          <w:szCs w:val="24"/>
        </w:rPr>
        <w:t xml:space="preserve"> framework for the ESG implementation. Throughout the world, there are many Global initiatives such as Global Reporting Initiative (GRI) and Task Force on Climate related Financial Disclosures (TCFD) that provide guidelines for ESG reporting, however, there is no universal standard of ESG risk management. As a result of this intrinsically inconsistent approach, companies can vary in their approach to and measurement of ESG risks, which hurts stakeholders’ ability to compare ESG performance across the organizations and sectors</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&lt;EndNote&gt;&lt;Cite&gt;&lt;Author&gt;Rezaee&lt;/Author&gt;&lt;Year&gt;2017&lt;/Year&gt;&lt;RecNum&gt;2474&lt;/RecNum&gt;&lt;DisplayText&gt;(Rezaee, 2017)&lt;/DisplayText&gt;&lt;record&gt;&lt;rec-number&gt;2474&lt;/rec-number&gt;&lt;foreign-keys&gt;&lt;key app="EN" db-id="vp0t0fz5q9wvv2etf21x9vp5rv92ew2dstft" timestamp="1728733276"&gt;2474&lt;/key&gt;&lt;/foreign-keys&gt;&lt;ref-type name="Journal Article"&gt;17&lt;/ref-type&gt;&lt;contributors&gt;&lt;authors&gt;&lt;author&gt;Rezaee, Zabihollah&lt;/author&gt;&lt;/authors&gt;&lt;/contributors&gt;&lt;titles&gt;&lt;title&gt;Corporate sustainability: Theoretical and integrated strategic imperative and pragmatic approach&lt;/title&gt;&lt;secondary-title&gt;The Journal of Business Inquiry&lt;/secondary-title&gt;&lt;/titles&gt;&lt;periodical&gt;&lt;full-title&gt;The Journal of Business Inquiry&lt;/full-title&gt;&lt;/periodical&gt;&lt;volume&gt;16&lt;/volume&gt;&lt;dates&gt;&lt;year&gt;2017&lt;/year&gt;&lt;/dates&gt;&lt;urls&gt;&lt;/urls&gt;&lt;/record&gt;&lt;/Cite&gt;&lt;/EndNote&gt;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(Rezaee, 2017)</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1D25182F" w14:textId="5EC8DF86" w:rsidR="00B90391" w:rsidRPr="00FF3475" w:rsidRDefault="00B90391" w:rsidP="00B90391">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Furthermore, many </w:t>
      </w:r>
      <w:proofErr w:type="spellStart"/>
      <w:r w:rsidRPr="00FF3475">
        <w:rPr>
          <w:rFonts w:ascii="Times New Roman" w:hAnsi="Times New Roman" w:cs="Times New Roman"/>
          <w:sz w:val="24"/>
          <w:szCs w:val="24"/>
        </w:rPr>
        <w:t>organisations</w:t>
      </w:r>
      <w:proofErr w:type="spellEnd"/>
      <w:r w:rsidRPr="00FF3475">
        <w:rPr>
          <w:rFonts w:ascii="Times New Roman" w:hAnsi="Times New Roman" w:cs="Times New Roman"/>
          <w:sz w:val="24"/>
          <w:szCs w:val="24"/>
        </w:rPr>
        <w:t xml:space="preserve"> see ESG integration as costly and resource intensive. A comprehensive ESG strategies implementation usually involves the injection of money, specific expertise, as well as the use of personnel. In particular, small and medium sized enterprises (SME) may not have the resources to build strong ESG frameworks</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&lt;EndNote&gt;&lt;Cite&gt;&lt;Author&gt;de Silva Lokuwaduge&lt;/Author&gt;&lt;Year&gt;2020&lt;/Year&gt;&lt;RecNum&gt;2475&lt;/RecNum&gt;&lt;DisplayText&gt;(de Silva Lokuwaduge &amp;amp; de Silva, 2020)&lt;/DisplayText&gt;&lt;record&gt;&lt;rec-number&gt;2475&lt;/rec-number&gt;&lt;foreign-keys&gt;&lt;key app="EN" db-id="vp0t0fz5q9wvv2etf21x9vp5rv92ew2dstft" timestamp="1728733299"&gt;2475&lt;/key&gt;&lt;/foreign-keys&gt;&lt;ref-type name="Journal Article"&gt;17&lt;/ref-type&gt;&lt;contributors&gt;&lt;authors&gt;&lt;author&gt;de Silva Lokuwaduge, Chitra S&lt;/author&gt;&lt;author&gt;de Silva, Keshara&lt;/author&gt;&lt;/authors&gt;&lt;/contributors&gt;&lt;titles&gt;&lt;title&gt;Emerging corporate disclosure of environmental social and governance (ESG) risks: An Australian study&lt;/title&gt;&lt;secondary-title&gt;Australasian Accounting, Business and Finance Journal&lt;/secondary-title&gt;&lt;/titles&gt;&lt;periodical&gt;&lt;full-title&gt;Australasian Accounting, Business and Finance Journal&lt;/full-title&gt;&lt;/periodical&gt;&lt;pages&gt;35-50&lt;/pages&gt;&lt;volume&gt;14&lt;/volume&gt;&lt;number&gt;2&lt;/number&gt;&lt;dates&gt;&lt;year&gt;2020&lt;/year&gt;&lt;/dates&gt;&lt;isbn&gt;1834-2019&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(de Silva Lokuwaduge &amp; de Silva, 2020)</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From an ESG perspective, integrating these initiatives into the operations of these companies is a big operational lift, especially if a circular return for an investment for a company is not immediate. This can cause a business to perceive that ESG practices come at high costs and, therefore, actively dissuades businesses from the adoption of ESG practices, if short term profitability is prioritized instead of </w:t>
      </w:r>
      <w:r w:rsidR="00080473"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sustainability</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&lt;EndNote&gt;&lt;Cite&gt;&lt;Author&gt;Hübel&lt;/Author&gt;&lt;Year&gt;2020&lt;/Year&gt;&lt;RecNum&gt;2476&lt;/RecNum&gt;&lt;DisplayText&gt;(Hübel &amp;amp; Scholz, 2020)&lt;/DisplayText&gt;&lt;record&gt;&lt;rec-number&gt;2476&lt;/rec-number&gt;&lt;foreign-keys&gt;&lt;key app="EN" db-id="vp0t0fz5q9wvv2etf21x9vp5rv92ew2dstft" timestamp="1728733319"&gt;2476&lt;/key&gt;&lt;/foreign-keys&gt;&lt;ref-type name="Journal Article"&gt;17&lt;/ref-type&gt;&lt;contributors&gt;&lt;authors&gt;&lt;author&gt;Hübel, Benjamin&lt;/author&gt;&lt;author&gt;Scholz, Hendrik&lt;/author&gt;&lt;/authors&gt;&lt;/contributors&gt;&lt;titles&gt;&lt;title&gt;Integrating sustainability risks in asset management: the role of ESG exposures and ESG ratings&lt;/title&gt;&lt;secondary-title&gt;Journal of Asset Management&lt;/secondary-title&gt;&lt;/titles&gt;&lt;periodical&gt;&lt;full-title&gt;Journal of Asset Management&lt;/full-title&gt;&lt;/periodical&gt;&lt;pages&gt;52-69&lt;/pages&gt;&lt;volume&gt;21&lt;/volume&gt;&lt;number&gt;1&lt;/number&gt;&lt;dates&gt;&lt;year&gt;2020&lt;/year&gt;&lt;/dates&gt;&lt;isbn&gt;1470-8272&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(Hübel &amp; Scholz, 2020)</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331D7F18" w14:textId="60D28415" w:rsidR="00B90391" w:rsidRPr="00FF3475" w:rsidRDefault="00B90391" w:rsidP="00B90391">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ESG initiatives are also constrained by narrow focus within businesses and the investment community alike. Quarterly or annual performance pressures, however, constrain many organizations and investors from adopting long term ESG strategies. However, financial benefits of ESG integration, including increased resilience and reduced risk, typically take time to </w:t>
      </w:r>
      <w:proofErr w:type="spellStart"/>
      <w:r w:rsidRPr="00FF3475">
        <w:rPr>
          <w:rFonts w:ascii="Times New Roman" w:hAnsi="Times New Roman" w:cs="Times New Roman"/>
          <w:sz w:val="24"/>
          <w:szCs w:val="24"/>
        </w:rPr>
        <w:t>materialise</w:t>
      </w:r>
      <w:proofErr w:type="spellEnd"/>
      <w:r w:rsidRPr="00FF3475">
        <w:rPr>
          <w:rFonts w:ascii="Times New Roman" w:hAnsi="Times New Roman" w:cs="Times New Roman"/>
          <w:sz w:val="24"/>
          <w:szCs w:val="24"/>
        </w:rPr>
        <w:t xml:space="preserve"> and companies that are focused on short term gains may not be able to justify the upfront costs and efforts required of ESG implementation</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&lt;EndNote&gt;&lt;Cite&gt;&lt;Author&gt;Shapsugova&lt;/Author&gt;&lt;Year&gt;2023&lt;/Year&gt;&lt;RecNum&gt;2477&lt;/RecNum&gt;&lt;DisplayText&gt;(Shapsugova, 2023)&lt;/DisplayText&gt;&lt;record&gt;&lt;rec-number&gt;2477&lt;/rec-number&gt;&lt;foreign-keys&gt;&lt;key app="EN" db-id="vp0t0fz5q9wvv2etf21x9vp5rv92ew2dstft" timestamp="1728733342"&gt;2477&lt;/key&gt;&lt;/foreign-keys&gt;&lt;ref-type name="Conference Proceedings"&gt;10&lt;/ref-type&gt;&lt;contributors&gt;&lt;authors&gt;&lt;author&gt;Shapsugova, Marietta&lt;/author&gt;&lt;/authors&gt;&lt;/contributors&gt;&lt;titles&gt;&lt;title&gt;ESG principles and social responsibility&lt;/title&gt;&lt;secondary-title&gt;E3S Web of Conferences&lt;/secondary-title&gt;&lt;/titles&gt;&lt;pages&gt;06040&lt;/pages&gt;&lt;volume&gt;420&lt;/volume&gt;&lt;dates&gt;&lt;year&gt;2023&lt;/year&gt;&lt;/dates&gt;&lt;publisher&gt;EDP Sciences&lt;/publisher&gt;&lt;isbn&gt;2267-1242&lt;/isbn&gt;&lt;urls&gt;&lt;/urls&gt;&lt;/record&gt;&lt;/Cite&gt;&lt;/EndNote&gt;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(Shapsugova, 2023)</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0DA18228" w14:textId="0BB8EEE3" w:rsidR="00B90391" w:rsidRPr="00FF3475" w:rsidRDefault="00B90391" w:rsidP="00B90391">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ESG integration faces significant data availability and quality challenges too. Armed with comprehensive and reliable data of environmental and social performance, it is difficult, however, to obtain such data in emerging markets where reporting standards are still immature. </w:t>
      </w:r>
      <w:r w:rsidR="00080473" w:rsidRPr="00FF3475">
        <w:rPr>
          <w:rFonts w:ascii="Times New Roman" w:hAnsi="Times New Roman" w:cs="Times New Roman"/>
          <w:sz w:val="24"/>
          <w:szCs w:val="24"/>
        </w:rPr>
        <w:fldChar w:fldCharType="begin"/>
      </w:r>
      <w:r w:rsidR="00D30B3D" w:rsidRPr="00FF3475">
        <w:rPr>
          <w:rFonts w:ascii="Times New Roman" w:hAnsi="Times New Roman" w:cs="Times New Roman"/>
          <w:sz w:val="24"/>
          <w:szCs w:val="24"/>
        </w:rPr>
        <w:instrText xml:space="preserve"> ADDIN EN.CITE &lt;EndNote&gt;&lt;Cite AuthorYear="1"&gt;&lt;Author&gt;Oprean-Stan&lt;/Author&gt;&lt;Year&gt;2020&lt;/Year&gt;&lt;RecNum&gt;2332&lt;/RecNum&gt;&lt;DisplayText&gt;Oprean-Stan et al. (2020)&lt;/DisplayText&gt;&lt;record&gt;&lt;rec-number&gt;2332&lt;/rec-number&gt;&lt;foreign-keys&gt;&lt;key app="EN" db-id="vp0t0fz5q9wvv2etf21x9vp5rv92ew2dstft" timestamp="1728749533"&gt;2332&lt;/key&gt;&lt;/foreign-keys&gt;&lt;ref-type name="Journal Article"&gt;17&lt;/ref-type&gt;&lt;contributors&gt;&lt;authors&gt;&lt;author&gt;Oprean-Stan, Camelia&lt;/author&gt;&lt;author&gt;Oncioiu, Ionica&lt;/author&gt;&lt;author&gt;Iuga, Iulia Cristina&lt;/author&gt;&lt;author&gt;Stan, Sebastian&lt;/author&gt;&lt;/authors&gt;&lt;/contributors&gt;&lt;titles&gt;&lt;title&gt;Impact of sustainability reporting and inadequate management of ESG factors on corporate performance and sustainable growth&lt;/title&gt;&lt;secondary-title&gt;Sustainability&lt;/secondary-title&gt;&lt;/titles&gt;&lt;periodical&gt;&lt;full-title&gt;Sustainability&lt;/full-title&gt;&lt;/periodical&gt;&lt;pages&gt;8536&lt;/pages&gt;&lt;volume&gt;12&lt;/volume&gt;&lt;number&gt;20&lt;/number&gt;&lt;dates&gt;&lt;year&gt;2020&lt;/year&gt;&lt;/dates&gt;&lt;isbn&gt;2071-1050&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Oprean-Stan et al. (2020)</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reliable data, our companies may be unable to make educated judgments about the risks they face in addressing ESG issues and the credibility of their ESG efforts. In addition, globally active companies are challenged in complying with numerous regulatory requirements in </w:t>
      </w:r>
      <w:r w:rsidRPr="00FF3475">
        <w:rPr>
          <w:rFonts w:ascii="Times New Roman" w:hAnsi="Times New Roman" w:cs="Times New Roman"/>
          <w:sz w:val="24"/>
          <w:szCs w:val="24"/>
        </w:rPr>
        <w:lastRenderedPageBreak/>
        <w:t>different jurisdictions, complicating the effort to establish globally consistent ESG strategies throughout their operations.</w:t>
      </w:r>
    </w:p>
    <w:p w14:paraId="080AE21F" w14:textId="19737CB1" w:rsidR="00B90391" w:rsidRPr="00FF3475" w:rsidRDefault="00B90391" w:rsidP="00B90391">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Lack of stakeholder engagement as well as unavailability of resources to guide ESG integration can stall ESG integration. ESG initiatives for many organizations are dictated mainly by investor or regulatory requirements, and for other stakeholders such as employees and customers they might not fully understand the meaning of those initiatives. If employees lack awareness about ESG initiatives, they might resist to it, due to perceiving ESG as peripheral to the core responsibilities. The ability of ESG strategies to be effectively implemented and sustained are less likely without broad based support</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&lt;EndNote&gt;&lt;Cite&gt;&lt;Author&gt;Aldowaish&lt;/Author&gt;&lt;Year&gt;2022&lt;/Year&gt;&lt;RecNum&gt;2479&lt;/RecNum&gt;&lt;DisplayText&gt;(Aldowaish et al., 2022)&lt;/DisplayText&gt;&lt;record&gt;&lt;rec-number&gt;2479&lt;/rec-number&gt;&lt;foreign-keys&gt;&lt;key app="EN" db-id="vp0t0fz5q9wvv2etf21x9vp5rv92ew2dstft" timestamp="1728733411"&gt;2479&lt;/key&gt;&lt;/foreign-keys&gt;&lt;ref-type name="Journal Article"&gt;17&lt;/ref-type&gt;&lt;contributors&gt;&lt;authors&gt;&lt;author&gt;Aldowaish, Alaa&lt;/author&gt;&lt;author&gt;Kokuryo, Jiro&lt;/author&gt;&lt;author&gt;Almazyad, Othman&lt;/author&gt;&lt;author&gt;Goi, Hoe Chin&lt;/author&gt;&lt;/authors&gt;&lt;/contributors&gt;&lt;titles&gt;&lt;title&gt;Environmental, social, and governance integration into the business model: Literature review and research agenda&lt;/title&gt;&lt;secondary-title&gt;Sustainability&lt;/secondary-title&gt;&lt;/titles&gt;&lt;periodical&gt;&lt;full-title&gt;Sustainability&lt;/full-title&gt;&lt;/periodical&gt;&lt;pages&gt;2959&lt;/pages&gt;&lt;volume&gt;14&lt;/volume&gt;&lt;number&gt;5&lt;/number&gt;&lt;dates&gt;&lt;year&gt;2022&lt;/year&gt;&lt;/dates&gt;&lt;isbn&gt;2071-1050&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(Aldowaish et al., 2022)</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07466967" w14:textId="19DE7FC2" w:rsidR="00DF6385" w:rsidRPr="00FF3475" w:rsidRDefault="00B90391" w:rsidP="00B90391">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A multi facet approach is needed to address these challenges. This will include developing standardized ESG frameworks, better access to ESG data, long-term mindset of investors and executives and engagement of stakeholders at all levels, to overcome the other barriers in integrating ESG. As the benefits of using ESG focused risk management become more widely understood, it seems likely that more companies will work to address these challenges and begin to really take full advantage of using ESG as a vehicle for building sustainability and resilience</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&lt;EndNote&gt;&lt;Cite&gt;&lt;Author&gt;Samans&lt;/Author&gt;&lt;Year&gt;2022&lt;/Year&gt;&lt;RecNum&gt;2480&lt;/RecNum&gt;&lt;DisplayText&gt;(Samans &amp;amp; Nelson, 2022)&lt;/DisplayText&gt;&lt;record&gt;&lt;rec-number&gt;2480&lt;/rec-number&gt;&lt;foreign-keys&gt;&lt;key app="EN" db-id="vp0t0fz5q9wvv2etf21x9vp5rv92ew2dstft" timestamp="1728733435"&gt;2480&lt;/key&gt;&lt;/foreign-keys&gt;&lt;ref-type name="Book Section"&gt;5&lt;/ref-type&gt;&lt;contributors&gt;&lt;authors&gt;&lt;author&gt;Samans, Richard&lt;/author&gt;&lt;author&gt;Nelson, Jane&lt;/author&gt;&lt;/authors&gt;&lt;/contributors&gt;&lt;titles&gt;&lt;title&gt;Corporate governance and oversight&lt;/title&gt;&lt;secondary-title&gt;Sustainable Enterprise Value Creation: Implementing Stakeholder Capitalism through Full ESG Integration&lt;/secondary-title&gt;&lt;/titles&gt;&lt;pages&gt;103-140&lt;/pages&gt;&lt;dates&gt;&lt;year&gt;2022&lt;/year&gt;&lt;/dates&gt;&lt;publisher&gt;Springer&lt;/publisher&gt;&lt;urls&gt;&lt;/urls&gt;&lt;/record&gt;&lt;/Cite&gt;&lt;/EndNote&gt;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(Samans &amp; Nelson, 2022)</w:t>
      </w:r>
      <w:r w:rsidR="00080473" w:rsidRPr="00FF3475">
        <w:rPr>
          <w:rFonts w:ascii="Times New Roman" w:hAnsi="Times New Roman" w:cs="Times New Roman"/>
          <w:sz w:val="24"/>
          <w:szCs w:val="24"/>
        </w:rPr>
        <w:fldChar w:fldCharType="end"/>
      </w:r>
      <w:r w:rsidR="00912FA2" w:rsidRPr="00FF3475">
        <w:rPr>
          <w:rFonts w:ascii="Times New Roman" w:hAnsi="Times New Roman" w:cs="Times New Roman"/>
          <w:sz w:val="24"/>
          <w:szCs w:val="24"/>
        </w:rPr>
        <w:t>.</w:t>
      </w:r>
    </w:p>
    <w:p w14:paraId="33465754" w14:textId="77777777" w:rsidR="00DF6385" w:rsidRPr="00FF3475" w:rsidRDefault="00DF6385" w:rsidP="0083582F">
      <w:pPr>
        <w:pStyle w:val="Heading2"/>
        <w:rPr>
          <w:rFonts w:ascii="Times New Roman" w:hAnsi="Times New Roman" w:cs="Times New Roman"/>
          <w:color w:val="auto"/>
        </w:rPr>
      </w:pPr>
      <w:bookmarkStart w:id="20" w:name="_Toc180406340"/>
      <w:r w:rsidRPr="00FF3475">
        <w:rPr>
          <w:rFonts w:ascii="Times New Roman" w:hAnsi="Times New Roman" w:cs="Times New Roman"/>
          <w:color w:val="auto"/>
        </w:rPr>
        <w:t>2.4 Corporate Sustainability and ESG Integration</w:t>
      </w:r>
      <w:bookmarkEnd w:id="20"/>
    </w:p>
    <w:p w14:paraId="2C911339" w14:textId="77777777" w:rsidR="00DF6385" w:rsidRPr="00FF3475" w:rsidRDefault="00DF6385" w:rsidP="0083582F">
      <w:pPr>
        <w:pStyle w:val="Heading3"/>
        <w:rPr>
          <w:rFonts w:ascii="Times New Roman" w:hAnsi="Times New Roman" w:cs="Times New Roman"/>
          <w:color w:val="auto"/>
        </w:rPr>
      </w:pPr>
      <w:bookmarkStart w:id="21" w:name="_Toc180406341"/>
      <w:r w:rsidRPr="00FF3475">
        <w:rPr>
          <w:rFonts w:ascii="Times New Roman" w:hAnsi="Times New Roman" w:cs="Times New Roman"/>
          <w:color w:val="auto"/>
        </w:rPr>
        <w:t>2.4.1 Defining Corporate Sustainability</w:t>
      </w:r>
      <w:bookmarkEnd w:id="21"/>
    </w:p>
    <w:p w14:paraId="549B4626" w14:textId="4CC64A44" w:rsidR="00DF6385" w:rsidRPr="00FF3475" w:rsidRDefault="004521EC" w:rsidP="00DF6385">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Corporate sustainability is the ability of a company to run on a </w:t>
      </w:r>
      <w:r w:rsidR="00C94894"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profitable basis, taking account of the social, environmental and economic effects of their actions. Corporate sustainability means realizing the needs of current stakeholders without compromising on the capacity of future stake holders to meet their needs </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&lt;EndNote&gt;&lt;Cite&gt;&lt;Author&gt;Meuer&lt;/Author&gt;&lt;Year&gt;2020&lt;/Year&gt;&lt;RecNum&gt;2481&lt;/RecNum&gt;&lt;DisplayText&gt;(Meuer et al., 2020)&lt;/DisplayText&gt;&lt;record&gt;&lt;rec-number&gt;2481&lt;/rec-number&gt;&lt;foreign-keys&gt;&lt;key app="EN" db-id="vp0t0fz5q9wvv2etf21x9vp5rv92ew2dstft" timestamp="1728733473"&gt;2481&lt;/key&gt;&lt;/foreign-keys&gt;&lt;ref-type name="Journal Article"&gt;17&lt;/ref-type&gt;&lt;contributors&gt;&lt;authors&gt;&lt;author&gt;Meuer, Johannes&lt;/author&gt;&lt;author&gt;Koelbel, Julian&lt;/author&gt;&lt;author&gt;Hoffmann, Volker H&lt;/author&gt;&lt;/authors&gt;&lt;/contributors&gt;&lt;titles&gt;&lt;title&gt;On the nature of corporate sustainability&lt;/title&gt;&lt;secondary-title&gt;Organization &amp;amp; Environment&lt;/secondary-title&gt;&lt;/titles&gt;&lt;periodical&gt;&lt;full-title&gt;Organization &amp;amp; Environment&lt;/full-title&gt;&lt;/periodical&gt;&lt;pages&gt;319-341&lt;/pages&gt;&lt;volume&gt;33&lt;/volume&gt;&lt;number&gt;3&lt;/number&gt;&lt;dates&gt;&lt;year&gt;2020&lt;/year&gt;&lt;/dates&gt;&lt;isbn&gt;1086-0266&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(Meuer et al., 2020)</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It encompasses three core dimensions: They include economic, environmental, social sustainability</w:t>
      </w:r>
      <w:r w:rsidR="00DF6385" w:rsidRPr="00FF3475">
        <w:rPr>
          <w:rFonts w:ascii="Times New Roman" w:hAnsi="Times New Roman" w:cs="Times New Roman"/>
          <w:sz w:val="24"/>
          <w:szCs w:val="24"/>
        </w:rPr>
        <w:t>.</w:t>
      </w:r>
    </w:p>
    <w:p w14:paraId="3CF28C35" w14:textId="325F0B4F" w:rsidR="003C05FF" w:rsidRPr="00FF3475" w:rsidRDefault="003C05FF" w:rsidP="0083582F">
      <w:pPr>
        <w:pStyle w:val="Heading3"/>
        <w:rPr>
          <w:rFonts w:ascii="Times New Roman" w:hAnsi="Times New Roman" w:cs="Times New Roman"/>
          <w:color w:val="auto"/>
        </w:rPr>
      </w:pPr>
      <w:bookmarkStart w:id="22" w:name="_Toc180406342"/>
      <w:r w:rsidRPr="00FF3475">
        <w:rPr>
          <w:rFonts w:ascii="Times New Roman" w:hAnsi="Times New Roman" w:cs="Times New Roman"/>
          <w:color w:val="auto"/>
        </w:rPr>
        <w:t>2.4.2 ESG and Corporate Sustainability:</w:t>
      </w:r>
      <w:bookmarkEnd w:id="22"/>
      <w:r w:rsidRPr="00FF3475">
        <w:rPr>
          <w:rFonts w:ascii="Times New Roman" w:hAnsi="Times New Roman" w:cs="Times New Roman"/>
          <w:color w:val="auto"/>
        </w:rPr>
        <w:t xml:space="preserve"> </w:t>
      </w:r>
    </w:p>
    <w:p w14:paraId="6532FEAE" w14:textId="456ED537" w:rsidR="004521EC" w:rsidRPr="00FF3475" w:rsidRDefault="004521EC" w:rsidP="004521EC">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Environmental, Social, and Governance (ESG) principles are key components of corporate sustainability as they are used by businesses to operate in the long term within these frameworks and guidelines. ESG Measures are not just about compliance or management of risks, but ESG Practices are the drivers of growth and innovation. An overwhelming amount of research confirms the link between strong ESG practices and corporate sustainability. A study by </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 AuthorYear="1"&gt;&lt;Author&gt;Drempetic&lt;/Author&gt;&lt;Year&gt;2020&lt;/Year&gt;&lt;RecNum&gt;2482&lt;/RecNum&gt;&lt;DisplayText&gt;Drempetic et al. (2020)&lt;/DisplayText&gt;&lt;record&gt;&lt;rec-number&gt;2482&lt;/rec-number&gt;&lt;foreign-keys&gt;&lt;key app="EN" db-id="vp0t0fz5q9wvv2etf21x9vp5rv92ew2dstft" timestamp="1728733526"&gt;2482&lt;/key&gt;&lt;/foreign-keys&gt;&lt;ref-type name="Journal Article"&gt;17&lt;/ref-type&gt;&lt;contributors&gt;&lt;authors&gt;&lt;author&gt;Drempetic, Samuel&lt;/author&gt;&lt;author&gt;Klein, Christian&lt;/author&gt;&lt;author&gt;Zwergel, Bernhard&lt;/author&gt;&lt;/authors&gt;&lt;/contributors&gt;&lt;titles&gt;&lt;title&gt;The influence of firm size on the ESG score: Corporate sustainability ratings under review&lt;/title&gt;&lt;secondary-title&gt;Journal of business ethics&lt;/secondary-title&gt;&lt;/titles&gt;&lt;periodical&gt;&lt;full-title&gt;Journal of business ethics&lt;/full-title&gt;&lt;/periodical&gt;&lt;pages&gt;333-360&lt;/pages&gt;&lt;volume&gt;167&lt;/volume&gt;&lt;number&gt;2&lt;/number&gt;&lt;dates&gt;&lt;year&gt;2020&lt;/year&gt;&lt;/dates&gt;&lt;isbn&gt;0167-4544&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Drempetic et al. (2020)</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estimated over 2,200 individual studies and thus found a positive correlation between ESG </w:t>
      </w:r>
      <w:r w:rsidRPr="00FF3475">
        <w:rPr>
          <w:rFonts w:ascii="Times New Roman" w:hAnsi="Times New Roman" w:cs="Times New Roman"/>
          <w:sz w:val="24"/>
          <w:szCs w:val="24"/>
        </w:rPr>
        <w:lastRenderedPageBreak/>
        <w:t xml:space="preserve">performance and financial performance. The influence of this correlation means that companies that invest in ESG principles do more than reduce their risks; they can </w:t>
      </w:r>
      <w:proofErr w:type="gramStart"/>
      <w:r w:rsidRPr="00FF3475">
        <w:rPr>
          <w:rFonts w:ascii="Times New Roman" w:hAnsi="Times New Roman" w:cs="Times New Roman"/>
          <w:sz w:val="24"/>
          <w:szCs w:val="24"/>
        </w:rPr>
        <w:t>actually ensure</w:t>
      </w:r>
      <w:proofErr w:type="gramEnd"/>
      <w:r w:rsidRPr="00FF3475">
        <w:rPr>
          <w:rFonts w:ascii="Times New Roman" w:hAnsi="Times New Roman" w:cs="Times New Roman"/>
          <w:sz w:val="24"/>
          <w:szCs w:val="24"/>
        </w:rPr>
        <w:t xml:space="preserve"> the long-term strength of their finances.</w:t>
      </w:r>
    </w:p>
    <w:p w14:paraId="7061410F" w14:textId="43947F56" w:rsidR="004521EC" w:rsidRPr="00FF3475" w:rsidRDefault="004521EC" w:rsidP="004521EC">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One of ESG’s pillars, environmental sustainability calls upon businesses to keep their footprint as small as possible. Companies with strong environmental practices invest in the energy efficient technology, renewable energy, programs to reduce waste and circular economy models. These measures enable organizations to cut their costs; pin down its reputation; and never mind future outcomes due to environmental risks like resource paucity and climate change. These environmentally responsible practices, in turn, ensure corporate sustainability by bringing the needs of the planet to the corporate ventures</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&lt;EndNote&gt;&lt;Cite&gt;&lt;Author&gt;Garcia&lt;/Author&gt;&lt;Year&gt;2019&lt;/Year&gt;&lt;RecNum&gt;2483&lt;/RecNum&gt;&lt;DisplayText&gt;(Garcia et al., 2019)&lt;/DisplayText&gt;&lt;record&gt;&lt;rec-number&gt;2483&lt;/rec-number&gt;&lt;foreign-keys&gt;&lt;key app="EN" db-id="vp0t0fz5q9wvv2etf21x9vp5rv92ew2dstft" timestamp="1728733553"&gt;2483&lt;/key&gt;&lt;/foreign-keys&gt;&lt;ref-type name="Journal Article"&gt;17&lt;/ref-type&gt;&lt;contributors&gt;&lt;authors&gt;&lt;author&gt;Garcia, Alexandre S&lt;/author&gt;&lt;author&gt;Mendes-Da-Silva, Wesley&lt;/author&gt;&lt;author&gt;Orsato, Renato J&lt;/author&gt;&lt;/authors&gt;&lt;/contributors&gt;&lt;titles&gt;&lt;title&gt;Corporate sustainability, capital markets, and ESG performance&lt;/title&gt;&lt;secondary-title&gt;Individual behaviors and technologies for financial innovations&lt;/secondary-title&gt;&lt;/titles&gt;&lt;periodical&gt;&lt;full-title&gt;Individual behaviors and technologies for financial innovations&lt;/full-title&gt;&lt;/periodical&gt;&lt;pages&gt;287-309&lt;/pages&gt;&lt;dates&gt;&lt;year&gt;2019&lt;/year&gt;&lt;/dates&gt;&lt;isbn&gt;3319919105&lt;/isbn&gt;&lt;urls&gt;&lt;/urls&gt;&lt;/record&gt;&lt;/Cite&gt;&lt;/EndNote&gt;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(Garcia et al., 2019)</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5E09D336" w14:textId="21EDA49F" w:rsidR="004521EC" w:rsidRPr="00FF3475" w:rsidRDefault="004521EC" w:rsidP="004521EC">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The social part of ESG talks at length about fair labor practices, diversity, employee health, and community contribution. Organizations that care about social responsibility are creating inclusive workplaces so that innovation and employee retention can happen, plus customer loyalty</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&lt;EndNote&gt;&lt;Cite&gt;&lt;Author&gt;Weston&lt;/Author&gt;&lt;Year&gt;2023&lt;/Year&gt;&lt;RecNum&gt;2484&lt;/RecNum&gt;&lt;DisplayText&gt;(Weston &amp;amp; Nnadi, 2023)&lt;/DisplayText&gt;&lt;record&gt;&lt;rec-number&gt;2484&lt;/rec-number&gt;&lt;foreign-keys&gt;&lt;key app="EN" db-id="vp0t0fz5q9wvv2etf21x9vp5rv92ew2dstft" timestamp="1728733580"&gt;2484&lt;/key&gt;&lt;/foreign-keys&gt;&lt;ref-type name="Journal Article"&gt;17&lt;/ref-type&gt;&lt;contributors&gt;&lt;authors&gt;&lt;author&gt;Weston, Piers&lt;/author&gt;&lt;author&gt;Nnadi, Matthias&lt;/author&gt;&lt;/authors&gt;&lt;/contributors&gt;&lt;titles&gt;&lt;title&gt;Evaluation of strategic and financial variables of corporate sustainability and ESG policies on corporate finance performance&lt;/title&gt;&lt;secondary-title&gt;Journal of Sustainable Finance &amp;amp; Investment&lt;/secondary-title&gt;&lt;/titles&gt;&lt;periodical&gt;&lt;full-title&gt;Journal of Sustainable Finance &amp;amp; Investment&lt;/full-title&gt;&lt;/periodical&gt;&lt;pages&gt;1058-1074&lt;/pages&gt;&lt;volume&gt;13&lt;/volume&gt;&lt;number&gt;2&lt;/number&gt;&lt;dates&gt;&lt;year&gt;2023&lt;/year&gt;&lt;/dates&gt;&lt;isbn&gt;2043-0795&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(Weston &amp; Nnadi, 2023)</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As an example, businesses that are vocal about diversity and inclusion will have more engaged and powerful employees; all of which directly contribute to sustainable business success. Furthermore, businesses that support community initiatives and build strong relationship with the local stakeholders also gain good reputation and a good social impact.</w:t>
      </w:r>
    </w:p>
    <w:p w14:paraId="39F894B6" w14:textId="701EDABB" w:rsidR="004521EC" w:rsidRPr="00FF3475" w:rsidRDefault="004521EC" w:rsidP="004521EC">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The third pillar of ESG is governance which means principled transparency and responsibility; ethical decision making. Those firms with strong governance structures </w:t>
      </w:r>
      <w:proofErr w:type="gramStart"/>
      <w:r w:rsidRPr="00FF3475">
        <w:rPr>
          <w:rFonts w:ascii="Times New Roman" w:hAnsi="Times New Roman" w:cs="Times New Roman"/>
          <w:sz w:val="24"/>
          <w:szCs w:val="24"/>
        </w:rPr>
        <w:t>are able to</w:t>
      </w:r>
      <w:proofErr w:type="gramEnd"/>
      <w:r w:rsidRPr="00FF3475">
        <w:rPr>
          <w:rFonts w:ascii="Times New Roman" w:hAnsi="Times New Roman" w:cs="Times New Roman"/>
          <w:sz w:val="24"/>
          <w:szCs w:val="24"/>
        </w:rPr>
        <w:t xml:space="preserve"> respond promptly to stakeholder concerns, to comply in regulatory terms, and to reduce risks associated with unethical conduct or poor management. A strong governance can also help cement a company’s sustainability by foster trust and good </w:t>
      </w:r>
      <w:r w:rsidR="00080473" w:rsidRPr="00FF3475">
        <w:rPr>
          <w:rFonts w:ascii="Times New Roman" w:hAnsi="Times New Roman" w:cs="Times New Roman"/>
          <w:sz w:val="24"/>
          <w:szCs w:val="24"/>
        </w:rPr>
        <w:t>long-term</w:t>
      </w:r>
      <w:r w:rsidRPr="00FF3475">
        <w:rPr>
          <w:rFonts w:ascii="Times New Roman" w:hAnsi="Times New Roman" w:cs="Times New Roman"/>
          <w:sz w:val="24"/>
          <w:szCs w:val="24"/>
        </w:rPr>
        <w:t xml:space="preserve"> relationship with investors, customers and employees. When businesses uphold strong governance practices, they can show who they are accountable to, attract more ethical investors, and have better access to capital, all of which helps them survive the long-term</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&lt;EndNote&gt;&lt;Cite&gt;&lt;Author&gt;Alsayegh&lt;/Author&gt;&lt;Year&gt;2020&lt;/Year&gt;&lt;RecNum&gt;2485&lt;/RecNum&gt;&lt;DisplayText&gt;(Alsayegh et al., 2020)&lt;/DisplayText&gt;&lt;record&gt;&lt;rec-number&gt;2485&lt;/rec-number&gt;&lt;foreign-keys&gt;&lt;key app="EN" db-id="vp0t0fz5q9wvv2etf21x9vp5rv92ew2dstft" timestamp="1728733602"&gt;2485&lt;/key&gt;&lt;/foreign-keys&gt;&lt;ref-type name="Journal Article"&gt;17&lt;/ref-type&gt;&lt;contributors&gt;&lt;authors&gt;&lt;author&gt;Alsayegh, Maha Faisal&lt;/author&gt;&lt;author&gt;Abdul Rahman, Rashidah&lt;/author&gt;&lt;author&gt;Homayoun, Saeid&lt;/author&gt;&lt;/authors&gt;&lt;/contributors&gt;&lt;titles&gt;&lt;title&gt;Corporate economic, environmental, and social sustainability performance transformation through ESG disclosure&lt;/title&gt;&lt;secondary-title&gt;Sustainability&lt;/secondary-title&gt;&lt;/titles&gt;&lt;periodical&gt;&lt;full-title&gt;Sustainability&lt;/full-title&gt;&lt;/periodical&gt;&lt;pages&gt;3910&lt;/pages&gt;&lt;volume&gt;12&lt;/volume&gt;&lt;number&gt;9&lt;/number&gt;&lt;dates&gt;&lt;year&gt;2020&lt;/year&gt;&lt;/dates&gt;&lt;isbn&gt;2071-1050&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(Alsayegh et al., 2020)</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42CB8257" w14:textId="706E05EB" w:rsidR="003C05FF" w:rsidRPr="00FF3475" w:rsidRDefault="004521EC" w:rsidP="004521EC">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From an overview, the ESG principles provide a complete framework which promotes business sustainability by promoting business conduct in environmental, social, and governance dimensions. Firms that efficiently align ESG with business activities are better situated to cope with risk, foster innovation, and meet their responsibility to stakeholders, ultimately making for greater long term organizational resilience and market competitiveness</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&lt;EndNote&gt;&lt;Cite&gt;&lt;Author&gt;Khaled&lt;/Author&gt;&lt;Year&gt;2021&lt;/Year&gt;&lt;RecNum&gt;2486&lt;/RecNum&gt;&lt;DisplayText&gt;(Khaled et al., 2021)&lt;/DisplayText&gt;&lt;record&gt;&lt;rec-number&gt;2486&lt;/rec-number&gt;&lt;foreign-keys&gt;&lt;key app="EN" db-id="vp0t0fz5q9wvv2etf21x9vp5rv92ew2dstft" timestamp="1728733622"&gt;2486&lt;/key&gt;&lt;/foreign-keys&gt;&lt;ref-type name="Journal Article"&gt;17&lt;/ref-type&gt;&lt;contributors&gt;&lt;authors&gt;&lt;author&gt;Khaled, Raneem&lt;/author&gt;&lt;author&gt;Ali, Heba&lt;/author&gt;&lt;author&gt;Mohamed, Ehab KA&lt;/author&gt;&lt;/authors&gt;&lt;/contributors&gt;&lt;titles&gt;&lt;title&gt;The Sustainable Development Goals and corporate sustainability performance: Mapping, extent and determinants&lt;/title&gt;&lt;secondary-title&gt;Journal of Cleaner Production&lt;/secondary-title&gt;&lt;/titles&gt;&lt;periodical&gt;&lt;full-title&gt;Journal of Cleaner Production&lt;/full-title&gt;&lt;/periodical&gt;&lt;pages&gt;127599&lt;/pages&gt;&lt;volume&gt;311&lt;/volume&gt;&lt;dates&gt;&lt;year&gt;2021&lt;/year&gt;&lt;/dates&gt;&lt;isbn&gt;0959-6526&lt;/isbn&gt;&lt;urls&gt;&lt;/urls&gt;&lt;/record&gt;&lt;/Cite&gt;&lt;/EndNote&gt;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(Khaled et al., 2021)</w:t>
      </w:r>
      <w:r w:rsidR="00080473" w:rsidRPr="00FF3475">
        <w:rPr>
          <w:rFonts w:ascii="Times New Roman" w:hAnsi="Times New Roman" w:cs="Times New Roman"/>
          <w:sz w:val="24"/>
          <w:szCs w:val="24"/>
        </w:rPr>
        <w:fldChar w:fldCharType="end"/>
      </w:r>
      <w:r w:rsidR="003C05FF" w:rsidRPr="00FF3475">
        <w:rPr>
          <w:rFonts w:ascii="Times New Roman" w:hAnsi="Times New Roman" w:cs="Times New Roman"/>
          <w:sz w:val="24"/>
          <w:szCs w:val="24"/>
        </w:rPr>
        <w:t>.</w:t>
      </w:r>
    </w:p>
    <w:p w14:paraId="14541EA5" w14:textId="77777777" w:rsidR="003C05FF" w:rsidRPr="00FF3475" w:rsidRDefault="003C05FF" w:rsidP="0083582F">
      <w:pPr>
        <w:pStyle w:val="Heading3"/>
        <w:rPr>
          <w:rFonts w:ascii="Times New Roman" w:hAnsi="Times New Roman" w:cs="Times New Roman"/>
          <w:color w:val="auto"/>
        </w:rPr>
      </w:pPr>
      <w:bookmarkStart w:id="23" w:name="_Toc180406343"/>
      <w:r w:rsidRPr="00FF3475">
        <w:rPr>
          <w:rFonts w:ascii="Times New Roman" w:hAnsi="Times New Roman" w:cs="Times New Roman"/>
          <w:color w:val="auto"/>
        </w:rPr>
        <w:lastRenderedPageBreak/>
        <w:t>2.4.3 Measuring the Impact of ESG on Corporate Sustainability</w:t>
      </w:r>
      <w:bookmarkEnd w:id="23"/>
    </w:p>
    <w:p w14:paraId="7A286E03" w14:textId="4CE8A10F" w:rsidR="003C05FF" w:rsidRPr="00FF3475" w:rsidRDefault="0061169C" w:rsidP="003C05FF">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Even though the linkage between ESG and corporate sustainability is quite obvious, there still has not been a clear measure of the actual impact of ESG practices because of the multifaceted and complex nature of ESG factors</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&lt;EndNote&gt;&lt;Cite&gt;&lt;Author&gt;Diwan&lt;/Author&gt;&lt;Year&gt;2024&lt;/Year&gt;&lt;RecNum&gt;2487&lt;/RecNum&gt;&lt;DisplayText&gt;(Diwan &amp;amp; Amarayil Sreeraman, 2024)&lt;/DisplayText&gt;&lt;record&gt;&lt;rec-number&gt;2487&lt;/rec-number&gt;&lt;foreign-keys&gt;&lt;key app="EN" db-id="vp0t0fz5q9wvv2etf21x9vp5rv92ew2dstft" timestamp="1728733648"&gt;2487&lt;/key&gt;&lt;/foreign-keys&gt;&lt;ref-type name="Journal Article"&gt;17&lt;/ref-type&gt;&lt;contributors&gt;&lt;authors&gt;&lt;author&gt;Diwan, Hema&lt;/author&gt;&lt;author&gt;Amarayil Sreeraman, Binilkumar&lt;/author&gt;&lt;/authors&gt;&lt;/contributors&gt;&lt;titles&gt;&lt;title&gt;From financial reporting to ESG reporting: a bibliometric analysis of the evolution in corporate sustainability disclosures&lt;/title&gt;&lt;secondary-title&gt;Environment, development and sustainability&lt;/secondary-title&gt;&lt;/titles&gt;&lt;periodical&gt;&lt;full-title&gt;Environment, development and sustainability&lt;/full-title&gt;&lt;/periodical&gt;&lt;pages&gt;13769-13805&lt;/pages&gt;&lt;volume&gt;26&lt;/volume&gt;&lt;number&gt;6&lt;/number&gt;&lt;dates&gt;&lt;year&gt;2024&lt;/year&gt;&lt;/dates&gt;&lt;isbn&gt;1573-2975&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(Diwan &amp; Amarayil Sreeraman, 2024)</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The performance on ESG has no single metric which covers the scope comprehensively, hence a range of tools, framework, and methodology developed to evaluate sustainability</w:t>
      </w:r>
      <w:r w:rsidR="003C05FF" w:rsidRPr="00FF3475">
        <w:rPr>
          <w:rFonts w:ascii="Times New Roman" w:hAnsi="Times New Roman" w:cs="Times New Roman"/>
          <w:sz w:val="24"/>
          <w:szCs w:val="24"/>
        </w:rPr>
        <w:t>.</w:t>
      </w:r>
    </w:p>
    <w:p w14:paraId="7C1173A1" w14:textId="77777777" w:rsidR="003C05FF" w:rsidRPr="00FF3475" w:rsidRDefault="003C05FF" w:rsidP="003C05FF">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ESG Ratings and Indices</w:t>
      </w:r>
    </w:p>
    <w:p w14:paraId="448DE225" w14:textId="4D78A58D" w:rsidR="003C05FF" w:rsidRPr="00FF3475" w:rsidRDefault="000F1092" w:rsidP="003C05FF">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ESG ratings, provided by specialized agencies like MSCI, Sustainalytics and FTSE Russell, are one of the most common methods used to evaluate ESG performance. ESG in this context means companies are evaluated by these agencies through specific ESG criteria, scoring companies or issuing scores or ratings for their ESG practices</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&lt;EndNote&gt;&lt;Cite&gt;&lt;Author&gt;Dimson&lt;/Author&gt;&lt;Year&gt;2020&lt;/Year&gt;&lt;RecNum&gt;2488&lt;/RecNum&gt;&lt;DisplayText&gt;(Dimson et al., 2020)&lt;/DisplayText&gt;&lt;record&gt;&lt;rec-number&gt;2488&lt;/rec-number&gt;&lt;foreign-keys&gt;&lt;key app="EN" db-id="vp0t0fz5q9wvv2etf21x9vp5rv92ew2dstft" timestamp="1728733679"&gt;2488&lt;/key&gt;&lt;/foreign-keys&gt;&lt;ref-type name="Journal Article"&gt;17&lt;/ref-type&gt;&lt;contributors&gt;&lt;authors&gt;&lt;author&gt;Dimson, Elroy&lt;/author&gt;&lt;author&gt;Marsh, Paul&lt;/author&gt;&lt;author&gt;Staunton, Mike&lt;/author&gt;&lt;/authors&gt;&lt;/contributors&gt;&lt;titles&gt;&lt;title&gt;Divergent ESG ratings&lt;/title&gt;&lt;/titles&gt;&lt;dates&gt;&lt;year&gt;2020&lt;/year&gt;&lt;/dates&gt;&lt;isbn&gt;0095-4918&lt;/isbn&gt;&lt;urls&gt;&lt;/urls&gt;&lt;/record&gt;&lt;/Cite&gt;&lt;/EndNote&gt;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(Dimson et al., 2020)</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w:t>
      </w:r>
      <w:proofErr w:type="gramStart"/>
      <w:r w:rsidRPr="00FF3475">
        <w:rPr>
          <w:rFonts w:ascii="Times New Roman" w:hAnsi="Times New Roman" w:cs="Times New Roman"/>
          <w:sz w:val="24"/>
          <w:szCs w:val="24"/>
        </w:rPr>
        <w:t>More often than not</w:t>
      </w:r>
      <w:proofErr w:type="gramEnd"/>
      <w:r w:rsidRPr="00FF3475">
        <w:rPr>
          <w:rFonts w:ascii="Times New Roman" w:hAnsi="Times New Roman" w:cs="Times New Roman"/>
          <w:sz w:val="24"/>
          <w:szCs w:val="24"/>
        </w:rPr>
        <w:t>, ratings involve many areas from carbon emissions to labor standards to board diversity. These ratings are used by investors to evaluate how sustainably companies perform relative to one another and ensure they invest wisely. Although these ratings can be very useful for receiving insights, there is often a big difference between agency ratings, biding off variations in methodology that can lead to inconsistencies and confusion among stakeholders</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&lt;EndNote&gt;&lt;Cite&gt;&lt;Author&gt;Escrig-Olmedo&lt;/Author&gt;&lt;Year&gt;2019&lt;/Year&gt;&lt;RecNum&gt;2489&lt;/RecNum&gt;&lt;DisplayText&gt;(Escrig-Olmedo et al., 2019)&lt;/DisplayText&gt;&lt;record&gt;&lt;rec-number&gt;2489&lt;/rec-number&gt;&lt;foreign-keys&gt;&lt;key app="EN" db-id="vp0t0fz5q9wvv2etf21x9vp5rv92ew2dstft" timestamp="1728733693"&gt;2489&lt;/key&gt;&lt;/foreign-keys&gt;&lt;ref-type name="Journal Article"&gt;17&lt;/ref-type&gt;&lt;contributors&gt;&lt;authors&gt;&lt;author&gt;Escrig-Olmedo, Elena&lt;/author&gt;&lt;author&gt;Fernández-Izquierdo, María Ángeles&lt;/author&gt;&lt;author&gt;Ferrero-Ferrero, Idoya&lt;/author&gt;&lt;author&gt;Rivera-Lirio, Juana María&lt;/author&gt;&lt;author&gt;Muñoz-Torres, María Jesús&lt;/author&gt;&lt;/authors&gt;&lt;/contributors&gt;&lt;titles&gt;&lt;title&gt;Rating the raters: Evaluating how ESG rating agencies integrate sustainability principles&lt;/title&gt;&lt;secondary-title&gt;Sustainability&lt;/secondary-title&gt;&lt;/titles&gt;&lt;periodical&gt;&lt;full-title&gt;Sustainability&lt;/full-title&gt;&lt;/periodical&gt;&lt;pages&gt;915&lt;/pages&gt;&lt;volume&gt;11&lt;/volume&gt;&lt;number&gt;3&lt;/number&gt;&lt;dates&gt;&lt;year&gt;2019&lt;/year&gt;&lt;/dates&gt;&lt;isbn&gt;2071-1050&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(Escrig-Olmedo et al., 2019)</w:t>
      </w:r>
      <w:r w:rsidR="00080473" w:rsidRPr="00FF3475">
        <w:rPr>
          <w:rFonts w:ascii="Times New Roman" w:hAnsi="Times New Roman" w:cs="Times New Roman"/>
          <w:sz w:val="24"/>
          <w:szCs w:val="24"/>
        </w:rPr>
        <w:fldChar w:fldCharType="end"/>
      </w:r>
      <w:r w:rsidR="003C05FF" w:rsidRPr="00FF3475">
        <w:rPr>
          <w:rFonts w:ascii="Times New Roman" w:hAnsi="Times New Roman" w:cs="Times New Roman"/>
          <w:sz w:val="24"/>
          <w:szCs w:val="24"/>
        </w:rPr>
        <w:t>.</w:t>
      </w:r>
    </w:p>
    <w:p w14:paraId="12298C9F" w14:textId="77777777" w:rsidR="003C05FF" w:rsidRPr="00FF3475" w:rsidRDefault="003C05FF" w:rsidP="003C05FF">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Sustainability Reporting Frameworks</w:t>
      </w:r>
    </w:p>
    <w:p w14:paraId="466AD661" w14:textId="5BCFFC8B" w:rsidR="00E0591E" w:rsidRPr="00FF3475" w:rsidRDefault="00E0591E" w:rsidP="00E0591E">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Standardized approaches to reporting ESG performance are offered in sustainability reporting frameworks, such as Global Reporting Initiative (GRI), Integrated Reporting (IR) et cetera. The GRI framework — a globally used tool for corporations worldwide — provides recommendations for reporting impacts in a company’s environmental, social and governance front while ensuring that a company’s sustainability efforts are communicated to its stakeholders transparently. For companies, GRI reporting covers from: greenhouse gas emissions and energy consumption on one side to </w:t>
      </w:r>
      <w:proofErr w:type="spellStart"/>
      <w:r w:rsidRPr="00FF3475">
        <w:rPr>
          <w:rFonts w:ascii="Times New Roman" w:hAnsi="Times New Roman" w:cs="Times New Roman"/>
          <w:sz w:val="24"/>
          <w:szCs w:val="24"/>
        </w:rPr>
        <w:t>labour</w:t>
      </w:r>
      <w:proofErr w:type="spellEnd"/>
      <w:r w:rsidRPr="00FF3475">
        <w:rPr>
          <w:rFonts w:ascii="Times New Roman" w:hAnsi="Times New Roman" w:cs="Times New Roman"/>
          <w:sz w:val="24"/>
          <w:szCs w:val="24"/>
        </w:rPr>
        <w:t xml:space="preserve"> practices and community engagement on the other, to present a complete picture of its ESG activities</w:t>
      </w:r>
      <w:r w:rsidR="00080473" w:rsidRPr="00FF3475">
        <w:rPr>
          <w:rFonts w:ascii="Times New Roman" w:hAnsi="Times New Roman" w:cs="Times New Roman"/>
          <w:sz w:val="24"/>
          <w:szCs w:val="24"/>
        </w:rPr>
        <w:fldChar w:fldCharType="begin"/>
      </w:r>
      <w:r w:rsidR="00D30B3D" w:rsidRPr="00FF3475">
        <w:rPr>
          <w:rFonts w:ascii="Times New Roman" w:hAnsi="Times New Roman" w:cs="Times New Roman"/>
          <w:sz w:val="24"/>
          <w:szCs w:val="24"/>
        </w:rPr>
        <w:instrText xml:space="preserve"> ADDIN EN.CITE &lt;EndNote&gt;&lt;Cite&gt;&lt;Author&gt;Oprean-Stan&lt;/Author&gt;&lt;Year&gt;2020&lt;/Year&gt;&lt;RecNum&gt;2332&lt;/RecNum&gt;&lt;DisplayText&gt;(Oprean-Stan et al., 2020)&lt;/DisplayText&gt;&lt;record&gt;&lt;rec-number&gt;2332&lt;/rec-number&gt;&lt;foreign-keys&gt;&lt;key app="EN" db-id="vp0t0fz5q9wvv2etf21x9vp5rv92ew2dstft" timestamp="1728749533"&gt;2332&lt;/key&gt;&lt;/foreign-keys&gt;&lt;ref-type name="Journal Article"&gt;17&lt;/ref-type&gt;&lt;contributors&gt;&lt;authors&gt;&lt;author&gt;Oprean-Stan, Camelia&lt;/author&gt;&lt;author&gt;Oncioiu, Ionica&lt;/author&gt;&lt;author&gt;Iuga, Iulia Cristina&lt;/author&gt;&lt;author&gt;Stan, Sebastian&lt;/author&gt;&lt;/authors&gt;&lt;/contributors&gt;&lt;titles&gt;&lt;title&gt;Impact of sustainability reporting and inadequate management of ESG factors on corporate performance and sustainable growth&lt;/title&gt;&lt;secondary-title&gt;Sustainability&lt;/secondary-title&gt;&lt;/titles&gt;&lt;periodical&gt;&lt;full-title&gt;Sustainability&lt;/full-title&gt;&lt;/periodical&gt;&lt;pages&gt;8536&lt;/pages&gt;&lt;volume&gt;12&lt;/volume&gt;&lt;number&gt;20&lt;/number&gt;&lt;dates&gt;&lt;year&gt;2020&lt;/year&gt;&lt;/dates&gt;&lt;isbn&gt;2071-1050&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(Oprean-Stan et al., 2020)</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470F44F1" w14:textId="31C714CC" w:rsidR="003C05FF" w:rsidRPr="00FF3475" w:rsidRDefault="00E0591E" w:rsidP="00E0591E">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Meanwhile, Integrated Reporting (IR) takes integrated reporting beyond traditional sustainability reporting by articulating how non-financial aspects of it such as ESG should influence financial performance. Its IR framework focuses on integrated thinking and reporting through which companies show how ESG initiatives create value over time. Viewed holistically, companies with </w:t>
      </w:r>
      <w:r w:rsidRPr="00FF3475">
        <w:rPr>
          <w:rFonts w:ascii="Times New Roman" w:hAnsi="Times New Roman" w:cs="Times New Roman"/>
          <w:sz w:val="24"/>
          <w:szCs w:val="24"/>
        </w:rPr>
        <w:lastRenderedPageBreak/>
        <w:t>better alignment fulfil the expectations of all stakeholders, producing a more constructive explanation that better explains the trajectory of a company’s long term sustainable value generation</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&lt;EndNote&gt;&lt;Cite&gt;&lt;Author&gt;Ismail&lt;/Author&gt;&lt;Year&gt;2019&lt;/Year&gt;&lt;RecNum&gt;2491&lt;/RecNum&gt;&lt;DisplayText&gt;(Ismail &amp;amp; Latiff, 2019)&lt;/DisplayText&gt;&lt;record&gt;&lt;rec-number&gt;2491&lt;/rec-number&gt;&lt;foreign-keys&gt;&lt;key app="EN" db-id="vp0t0fz5q9wvv2etf21x9vp5rv92ew2dstft" timestamp="1728733749"&gt;2491&lt;/key&gt;&lt;/foreign-keys&gt;&lt;ref-type name="Journal Article"&gt;17&lt;/ref-type&gt;&lt;contributors&gt;&lt;authors&gt;&lt;author&gt;Ismail, Aida Maria&lt;/author&gt;&lt;author&gt;Latiff, Izrul Haida Mohd&lt;/author&gt;&lt;/authors&gt;&lt;/contributors&gt;&lt;titles&gt;&lt;title&gt;Board diversity and corporate sustainability practices: Evidence on environmental, social and governance (ESG) reporting&lt;/title&gt;&lt;secondary-title&gt;International Journal of Financial Research&lt;/secondary-title&gt;&lt;/titles&gt;&lt;periodical&gt;&lt;full-title&gt;International Journal of Financial Research&lt;/full-title&gt;&lt;/periodical&gt;&lt;pages&gt;31-50&lt;/pages&gt;&lt;volume&gt;10&lt;/volume&gt;&lt;number&gt;3&lt;/number&gt;&lt;dates&gt;&lt;year&gt;2019&lt;/year&gt;&lt;/dates&gt;&lt;urls&gt;&lt;/urls&gt;&lt;/record&gt;&lt;/Cite&gt;&lt;/EndNote&gt;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(Ismail &amp; Latiff, 2019)</w:t>
      </w:r>
      <w:r w:rsidR="00080473" w:rsidRPr="00FF3475">
        <w:rPr>
          <w:rFonts w:ascii="Times New Roman" w:hAnsi="Times New Roman" w:cs="Times New Roman"/>
          <w:sz w:val="24"/>
          <w:szCs w:val="24"/>
        </w:rPr>
        <w:fldChar w:fldCharType="end"/>
      </w:r>
      <w:r w:rsidR="003C05FF" w:rsidRPr="00FF3475">
        <w:rPr>
          <w:rFonts w:ascii="Times New Roman" w:hAnsi="Times New Roman" w:cs="Times New Roman"/>
          <w:sz w:val="24"/>
          <w:szCs w:val="24"/>
        </w:rPr>
        <w:t>.</w:t>
      </w:r>
    </w:p>
    <w:p w14:paraId="2FD4BC1A" w14:textId="77777777" w:rsidR="003C05FF" w:rsidRPr="00FF3475" w:rsidRDefault="003C05FF" w:rsidP="003C05FF">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Life Cycle Assessments (LCA) and Carbon Footprint Analysis</w:t>
      </w:r>
    </w:p>
    <w:p w14:paraId="0F40F02A" w14:textId="648831A2" w:rsidR="003C05FF" w:rsidRPr="00FF3475" w:rsidRDefault="00F3302C" w:rsidP="003C05FF">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Life Cycle Assessments (LCA) and carbon footprint analysis are very useful tools to understand your environmental impact deeper, if you are a company. LCAs are a </w:t>
      </w:r>
      <w:r w:rsidR="00D906E2" w:rsidRPr="00FF3475">
        <w:rPr>
          <w:rFonts w:ascii="Times New Roman" w:hAnsi="Times New Roman" w:cs="Times New Roman"/>
          <w:sz w:val="24"/>
          <w:szCs w:val="24"/>
        </w:rPr>
        <w:t>tool</w:t>
      </w:r>
      <w:r w:rsidRPr="00FF3475">
        <w:rPr>
          <w:rFonts w:ascii="Times New Roman" w:hAnsi="Times New Roman" w:cs="Times New Roman"/>
          <w:sz w:val="24"/>
          <w:szCs w:val="24"/>
        </w:rPr>
        <w:t xml:space="preserve"> for assessing the environmental performance of each stage in the product’s life cycle from raw material extraction through to disposal</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&lt;EndNote&gt;&lt;Cite&gt;&lt;Author&gt;Clabeaux&lt;/Author&gt;&lt;Year&gt;2020&lt;/Year&gt;&lt;RecNum&gt;2493&lt;/RecNum&gt;&lt;DisplayText&gt;(Clabeaux et al., 2020)&lt;/DisplayText&gt;&lt;record&gt;&lt;rec-number&gt;2493&lt;/rec-number&gt;&lt;foreign-keys&gt;&lt;key app="EN" db-id="vp0t0fz5q9wvv2etf21x9vp5rv92ew2dstft" timestamp="1728733789"&gt;2493&lt;/key&gt;&lt;/foreign-keys&gt;&lt;ref-type name="Journal Article"&gt;17&lt;/ref-type&gt;&lt;contributors&gt;&lt;authors&gt;&lt;author&gt;Clabeaux, Raeanne&lt;/author&gt;&lt;author&gt;Carbajales-Dale, Michael&lt;/author&gt;&lt;author&gt;Ladner, David&lt;/author&gt;&lt;author&gt;Walker, Terry&lt;/author&gt;&lt;/authors&gt;&lt;/contributors&gt;&lt;titles&gt;&lt;title&gt;Assessing the carbon footprint of a university campus using a life cycle assessment approach&lt;/title&gt;&lt;secondary-title&gt;Journal of Cleaner Production&lt;/secondary-title&gt;&lt;/titles&gt;&lt;periodical&gt;&lt;full-title&gt;Journal of Cleaner Production&lt;/full-title&gt;&lt;/periodical&gt;&lt;pages&gt;122600&lt;/pages&gt;&lt;volume&gt;273&lt;/volume&gt;&lt;dates&gt;&lt;year&gt;2020&lt;/year&gt;&lt;/dates&gt;&lt;isbn&gt;0959-6526&lt;/isbn&gt;&lt;urls&gt;&lt;/urls&gt;&lt;/record&gt;&lt;/Cite&gt;&lt;/EndNote&gt;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(Clabeaux et al., 2020)</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 xml:space="preserve">. This approach allows companies to determine what they can change to decrease their environmental footprint, maximize resource efficiency and strengthen </w:t>
      </w:r>
      <w:proofErr w:type="gramStart"/>
      <w:r w:rsidRPr="00FF3475">
        <w:rPr>
          <w:rFonts w:ascii="Times New Roman" w:hAnsi="Times New Roman" w:cs="Times New Roman"/>
          <w:sz w:val="24"/>
          <w:szCs w:val="24"/>
        </w:rPr>
        <w:t>sustainability as a whole</w:t>
      </w:r>
      <w:proofErr w:type="gramEnd"/>
      <w:r w:rsidRPr="00FF3475">
        <w:rPr>
          <w:rFonts w:ascii="Times New Roman" w:hAnsi="Times New Roman" w:cs="Times New Roman"/>
          <w:sz w:val="24"/>
          <w:szCs w:val="24"/>
        </w:rPr>
        <w:t>. Carbon footprint analysis also helps companies determine the amount of greenhouse gas emissions that they are accountable for – largely with tools aligned with the Greenhouse Gas Protocol – to better understand the critical role that their activities play in climate change and facilitate steps to reduce them</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&lt;EndNote&gt;&lt;Cite&gt;&lt;Author&gt;Onat&lt;/Author&gt;&lt;Year&gt;2014&lt;/Year&gt;&lt;RecNum&gt;2494&lt;/RecNum&gt;&lt;DisplayText&gt;(Onat et al., 2014)&lt;/DisplayText&gt;&lt;record&gt;&lt;rec-number&gt;2494&lt;/rec-number&gt;&lt;foreign-keys&gt;&lt;key app="EN" db-id="vp0t0fz5q9wvv2etf21x9vp5rv92ew2dstft" timestamp="1728733813"&gt;2494&lt;/key&gt;&lt;/foreign-keys&gt;&lt;ref-type name="Journal Article"&gt;17&lt;/ref-type&gt;&lt;contributors&gt;&lt;authors&gt;&lt;author&gt;Onat, Nuri Cihat&lt;/author&gt;&lt;author&gt;Kucukvar, Murat&lt;/author&gt;&lt;author&gt;Tatari, Omer&lt;/author&gt;&lt;/authors&gt;&lt;/contributors&gt;&lt;titles&gt;&lt;title&gt;Scope-based carbon footprint analysis of US residential and commercial buildings: An input–output hybrid life cycle assessment approach&lt;/title&gt;&lt;secondary-title&gt;Building and Environment&lt;/secondary-title&gt;&lt;/titles&gt;&lt;periodical&gt;&lt;full-title&gt;Building and Environment&lt;/full-title&gt;&lt;/periodical&gt;&lt;pages&gt;53-62&lt;/pages&gt;&lt;volume&gt;72&lt;/volume&gt;&lt;dates&gt;&lt;year&gt;2014&lt;/year&gt;&lt;/dates&gt;&lt;isbn&gt;0360-1323&lt;/isbn&gt;&lt;urls&gt;&lt;/urls&gt;&lt;/record&gt;&lt;/Cite&gt;&lt;/EndNote&gt;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(Onat et al., 2014)</w:t>
      </w:r>
      <w:r w:rsidR="00080473" w:rsidRPr="00FF3475">
        <w:rPr>
          <w:rFonts w:ascii="Times New Roman" w:hAnsi="Times New Roman" w:cs="Times New Roman"/>
          <w:sz w:val="24"/>
          <w:szCs w:val="24"/>
        </w:rPr>
        <w:fldChar w:fldCharType="end"/>
      </w:r>
      <w:r w:rsidR="003C05FF" w:rsidRPr="00FF3475">
        <w:rPr>
          <w:rFonts w:ascii="Times New Roman" w:hAnsi="Times New Roman" w:cs="Times New Roman"/>
          <w:sz w:val="24"/>
          <w:szCs w:val="24"/>
        </w:rPr>
        <w:t>.</w:t>
      </w:r>
    </w:p>
    <w:p w14:paraId="494A3002" w14:textId="77777777" w:rsidR="003C05FF" w:rsidRPr="00FF3475" w:rsidRDefault="003C05FF" w:rsidP="003C05FF">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Stakeholder Surveys and Social Impact Metrics</w:t>
      </w:r>
    </w:p>
    <w:p w14:paraId="3E2091C5" w14:textId="6561CEF6" w:rsidR="003C05FF" w:rsidRPr="00FF3475" w:rsidRDefault="00C61E8A" w:rsidP="003C05FF">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Social impact is inherently quantitative due to its qualitative character. But companies will often use stakeholder surveys to learn more about how satisfied people are with employees, customers and the community. Besides, social performance of a company is also assessed in terms of social impact metrics like employee turnover, gender diversity, and community investment. These metrics set the standard against which to measure a company’s contribution to social sustainability, and </w:t>
      </w:r>
      <w:r w:rsidR="003775AF" w:rsidRPr="00FF3475">
        <w:rPr>
          <w:rFonts w:ascii="Times New Roman" w:hAnsi="Times New Roman" w:cs="Times New Roman"/>
          <w:sz w:val="24"/>
          <w:szCs w:val="24"/>
        </w:rPr>
        <w:t>essentially,</w:t>
      </w:r>
      <w:r w:rsidRPr="00FF3475">
        <w:rPr>
          <w:rFonts w:ascii="Times New Roman" w:hAnsi="Times New Roman" w:cs="Times New Roman"/>
          <w:sz w:val="24"/>
          <w:szCs w:val="24"/>
        </w:rPr>
        <w:t xml:space="preserve"> they allow companies to pinpoint where their programs or endeavors in social responsibility fall short of expectations</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&lt;EndNote&gt;&lt;Cite&gt;&lt;Author&gt;Costa&lt;/Author&gt;&lt;Year&gt;2016&lt;/Year&gt;&lt;RecNum&gt;2495&lt;/RecNum&gt;&lt;DisplayText&gt;(Costa &amp;amp; Pesci, 2016)&lt;/DisplayText&gt;&lt;record&gt;&lt;rec-number&gt;2495&lt;/rec-number&gt;&lt;foreign-keys&gt;&lt;key app="EN" db-id="vp0t0fz5q9wvv2etf21x9vp5rv92ew2dstft" timestamp="1728733842"&gt;2495&lt;/key&gt;&lt;/foreign-keys&gt;&lt;ref-type name="Journal Article"&gt;17&lt;/ref-type&gt;&lt;contributors&gt;&lt;authors&gt;&lt;author&gt;Costa, Ericka&lt;/author&gt;&lt;author&gt;Pesci, Caterina&lt;/author&gt;&lt;/authors&gt;&lt;/contributors&gt;&lt;titles&gt;&lt;title&gt;Social impact measurement: why do stakeholders matter?&lt;/title&gt;&lt;secondary-title&gt;Sustainability Accounting, Management and Policy Journal&lt;/secondary-title&gt;&lt;/titles&gt;&lt;periodical&gt;&lt;full-title&gt;Sustainability Accounting, Management and Policy Journal&lt;/full-title&gt;&lt;/periodical&gt;&lt;pages&gt;99-124&lt;/pages&gt;&lt;volume&gt;7&lt;/volume&gt;&lt;number&gt;1&lt;/number&gt;&lt;dates&gt;&lt;year&gt;2016&lt;/year&gt;&lt;/dates&gt;&lt;isbn&gt;2040-8021&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(Costa &amp; Pesci, 2016)</w:t>
      </w:r>
      <w:r w:rsidR="00080473" w:rsidRPr="00FF3475">
        <w:rPr>
          <w:rFonts w:ascii="Times New Roman" w:hAnsi="Times New Roman" w:cs="Times New Roman"/>
          <w:sz w:val="24"/>
          <w:szCs w:val="24"/>
        </w:rPr>
        <w:fldChar w:fldCharType="end"/>
      </w:r>
      <w:r w:rsidR="003C05FF" w:rsidRPr="00FF3475">
        <w:rPr>
          <w:rFonts w:ascii="Times New Roman" w:hAnsi="Times New Roman" w:cs="Times New Roman"/>
          <w:sz w:val="24"/>
          <w:szCs w:val="24"/>
        </w:rPr>
        <w:t>.</w:t>
      </w:r>
    </w:p>
    <w:p w14:paraId="028512A1" w14:textId="77777777" w:rsidR="003C05FF" w:rsidRPr="00FF3475" w:rsidRDefault="003C05FF" w:rsidP="003C05FF">
      <w:pPr>
        <w:spacing w:line="360" w:lineRule="auto"/>
        <w:jc w:val="both"/>
        <w:rPr>
          <w:rFonts w:ascii="Times New Roman" w:hAnsi="Times New Roman" w:cs="Times New Roman"/>
          <w:sz w:val="24"/>
          <w:szCs w:val="24"/>
        </w:rPr>
      </w:pPr>
      <w:r w:rsidRPr="00FF3475">
        <w:rPr>
          <w:rFonts w:ascii="Times New Roman" w:hAnsi="Times New Roman" w:cs="Times New Roman"/>
          <w:b/>
          <w:bCs/>
          <w:sz w:val="24"/>
          <w:szCs w:val="24"/>
        </w:rPr>
        <w:t>Governance Metrics and Compliance Audits</w:t>
      </w:r>
    </w:p>
    <w:p w14:paraId="1449A276" w14:textId="7D5A51CD" w:rsidR="00AA0BE6" w:rsidRPr="00FF3475" w:rsidRDefault="00AA0BE6" w:rsidP="00AA0BE6">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Metrics of board diversity, executive compensation, and shareholder rights, and many more are typically used to measure governance. Compliance audits also serve critical function to assess governance practices while helping the companies adhere to compliance law and regulation. The more robust a company’s governance metrics, the greater the probability that they will show transparency, ethical leadership and accountability, increasing their overall sustainability</w:t>
      </w:r>
      <w:r w:rsidR="00080473" w:rsidRPr="00FF3475">
        <w:rPr>
          <w:rFonts w:ascii="Times New Roman" w:hAnsi="Times New Roman" w:cs="Times New Roman"/>
          <w:sz w:val="24"/>
          <w:szCs w:val="24"/>
        </w:rPr>
        <w:fldChar w:fldCharType="begin"/>
      </w:r>
      <w:r w:rsidR="00080473" w:rsidRPr="00FF3475">
        <w:rPr>
          <w:rFonts w:ascii="Times New Roman" w:hAnsi="Times New Roman" w:cs="Times New Roman"/>
          <w:sz w:val="24"/>
          <w:szCs w:val="24"/>
        </w:rPr>
        <w:instrText xml:space="preserve"> ADDIN EN.CITE &lt;EndNote&gt;&lt;Cite&gt;&lt;Author&gt;Silveira&lt;/Author&gt;&lt;Year&gt;2010&lt;/Year&gt;&lt;RecNum&gt;2496&lt;/RecNum&gt;&lt;DisplayText&gt;(Silveira et al., 2010)&lt;/DisplayText&gt;&lt;record&gt;&lt;rec-number&gt;2496&lt;/rec-number&gt;&lt;foreign-keys&gt;&lt;key app="EN" db-id="vp0t0fz5q9wvv2etf21x9vp5rv92ew2dstft" timestamp="1728733867"&gt;2496&lt;/key&gt;&lt;/foreign-keys&gt;&lt;ref-type name="Conference Proceedings"&gt;10&lt;/ref-type&gt;&lt;contributors&gt;&lt;authors&gt;&lt;author&gt;Silveira, Patrícia&lt;/author&gt;&lt;author&gt;Rodríguez, Carlos&lt;/author&gt;&lt;author&gt;Casati, Fabio&lt;/author&gt;&lt;author&gt;Daniel, Florian&lt;/author&gt;&lt;author&gt;D’Andrea, Vincenzo&lt;/author&gt;&lt;author&gt;Worledge, Claire&lt;/author&gt;&lt;author&gt;Taheri, Zouhair&lt;/author&gt;&lt;/authors&gt;&lt;/contributors&gt;&lt;titles&gt;&lt;title&gt;On the design of compliance governance dashboards for effective compliance and audit management&lt;/title&gt;&lt;secondary-title&gt;Service-Oriented Computing. ICSOC/ServiceWave 2009 Workshops: International Workshops, ICSOC/ServiceWave 2009, Stockholm, Sweden, November 23-27, 2009, Revised Selected Papers 2&lt;/secondary-title&gt;&lt;/titles&gt;&lt;pages&gt;208-217&lt;/pages&gt;&lt;dates&gt;&lt;year&gt;2010&lt;/year&gt;&lt;/dates&gt;&lt;publisher&gt;Springer&lt;/publisher&gt;&lt;isbn&gt;3642161316&lt;/isbn&gt;&lt;urls&gt;&lt;/urls&gt;&lt;/record&gt;&lt;/Cite&gt;&lt;/EndNote&gt;</w:instrText>
      </w:r>
      <w:r w:rsidR="00080473" w:rsidRPr="00FF3475">
        <w:rPr>
          <w:rFonts w:ascii="Times New Roman" w:hAnsi="Times New Roman" w:cs="Times New Roman"/>
          <w:sz w:val="24"/>
          <w:szCs w:val="24"/>
        </w:rPr>
        <w:fldChar w:fldCharType="separate"/>
      </w:r>
      <w:r w:rsidR="00080473" w:rsidRPr="00FF3475">
        <w:rPr>
          <w:rFonts w:ascii="Times New Roman" w:hAnsi="Times New Roman" w:cs="Times New Roman"/>
          <w:noProof/>
          <w:sz w:val="24"/>
          <w:szCs w:val="24"/>
        </w:rPr>
        <w:t>(Silveira et al., 2010)</w:t>
      </w:r>
      <w:r w:rsidR="00080473"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05082649" w14:textId="33DBFF80" w:rsidR="003C05FF" w:rsidRPr="00FF3475" w:rsidRDefault="00AA0BE6" w:rsidP="00DF6385">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lastRenderedPageBreak/>
        <w:t>A multi prong approach including existing methods like ESG ratings, sustainability reporting, LCAs, stakeholder surveys and governance audits goes a long way in developing a more holistic view of a company’s ESG performance</w:t>
      </w:r>
      <w:r w:rsidR="000623C1" w:rsidRPr="00FF3475">
        <w:rPr>
          <w:rFonts w:ascii="Times New Roman" w:hAnsi="Times New Roman" w:cs="Times New Roman"/>
          <w:sz w:val="24"/>
          <w:szCs w:val="24"/>
        </w:rPr>
        <w:fldChar w:fldCharType="begin"/>
      </w:r>
      <w:r w:rsidR="000623C1" w:rsidRPr="00FF3475">
        <w:rPr>
          <w:rFonts w:ascii="Times New Roman" w:hAnsi="Times New Roman" w:cs="Times New Roman"/>
          <w:sz w:val="24"/>
          <w:szCs w:val="24"/>
        </w:rPr>
        <w:instrText xml:space="preserve"> ADDIN EN.CITE &lt;EndNote&gt;&lt;Cite&gt;&lt;Author&gt;du Fresne&lt;/Author&gt;&lt;Year&gt;2020&lt;/Year&gt;&lt;RecNum&gt;2497&lt;/RecNum&gt;&lt;DisplayText&gt;(du Fresne, 2020)&lt;/DisplayText&gt;&lt;record&gt;&lt;rec-number&gt;2497&lt;/rec-number&gt;&lt;foreign-keys&gt;&lt;key app="EN" db-id="vp0t0fz5q9wvv2etf21x9vp5rv92ew2dstft" timestamp="1728733885"&gt;2497&lt;/key&gt;&lt;/foreign-keys&gt;&lt;ref-type name="Thesis"&gt;32&lt;/ref-type&gt;&lt;contributors&gt;&lt;authors&gt;&lt;author&gt;du Fresne, Andrew J&lt;/author&gt;&lt;/authors&gt;&lt;/contributors&gt;&lt;titles&gt;&lt;title&gt;Can Audits be an Effective Method to Improve Information Governance Compliance Objectives?&lt;/title&gt;&lt;/titles&gt;&lt;dates&gt;&lt;year&gt;2020&lt;/year&gt;&lt;/dates&gt;&lt;publisher&gt;The University of Findlay&lt;/publisher&gt;&lt;urls&gt;&lt;/urls&gt;&lt;/record&gt;&lt;/Cite&gt;&lt;/EndNote&gt;</w:instrText>
      </w:r>
      <w:r w:rsidR="000623C1" w:rsidRPr="00FF3475">
        <w:rPr>
          <w:rFonts w:ascii="Times New Roman" w:hAnsi="Times New Roman" w:cs="Times New Roman"/>
          <w:sz w:val="24"/>
          <w:szCs w:val="24"/>
        </w:rPr>
        <w:fldChar w:fldCharType="separate"/>
      </w:r>
      <w:r w:rsidR="000623C1" w:rsidRPr="00FF3475">
        <w:rPr>
          <w:rFonts w:ascii="Times New Roman" w:hAnsi="Times New Roman" w:cs="Times New Roman"/>
          <w:noProof/>
          <w:sz w:val="24"/>
          <w:szCs w:val="24"/>
        </w:rPr>
        <w:t>(du Fresne, 2020)</w:t>
      </w:r>
      <w:r w:rsidR="000623C1" w:rsidRPr="00FF3475">
        <w:rPr>
          <w:rFonts w:ascii="Times New Roman" w:hAnsi="Times New Roman" w:cs="Times New Roman"/>
          <w:sz w:val="24"/>
          <w:szCs w:val="24"/>
        </w:rPr>
        <w:fldChar w:fldCharType="end"/>
      </w:r>
      <w:r w:rsidRPr="00FF3475">
        <w:rPr>
          <w:rFonts w:ascii="Times New Roman" w:hAnsi="Times New Roman" w:cs="Times New Roman"/>
          <w:sz w:val="24"/>
          <w:szCs w:val="24"/>
        </w:rPr>
        <w:t>. The field of ESG will incorporate more standardization and further refinement of these measurement tools to ensure that corporate sustainability can be accurately demonstrated by companies</w:t>
      </w:r>
      <w:r w:rsidR="003C05FF" w:rsidRPr="00FF3475">
        <w:rPr>
          <w:rFonts w:ascii="Times New Roman" w:hAnsi="Times New Roman" w:cs="Times New Roman"/>
          <w:sz w:val="24"/>
          <w:szCs w:val="24"/>
        </w:rPr>
        <w:t>.</w:t>
      </w:r>
    </w:p>
    <w:p w14:paraId="01645C70" w14:textId="25B0A71F" w:rsidR="00DF6385" w:rsidRPr="00FF3475" w:rsidRDefault="00DF6385" w:rsidP="0083582F">
      <w:pPr>
        <w:pStyle w:val="Heading3"/>
        <w:rPr>
          <w:rFonts w:ascii="Times New Roman" w:hAnsi="Times New Roman" w:cs="Times New Roman"/>
          <w:color w:val="auto"/>
        </w:rPr>
      </w:pPr>
      <w:bookmarkStart w:id="24" w:name="_Toc180406344"/>
      <w:r w:rsidRPr="00FF3475">
        <w:rPr>
          <w:rFonts w:ascii="Times New Roman" w:hAnsi="Times New Roman" w:cs="Times New Roman"/>
          <w:color w:val="auto"/>
        </w:rPr>
        <w:t>2.4.4 Stakeholder Theory and Corporate Sustainability</w:t>
      </w:r>
      <w:bookmarkEnd w:id="24"/>
    </w:p>
    <w:p w14:paraId="3B11EEEB" w14:textId="7EB0C711" w:rsidR="00581FAF" w:rsidRPr="00FF3475" w:rsidRDefault="00581FAF" w:rsidP="00581FAF">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Stakeholder Theory as introduced by Freeman (1984) is a major concept in comprehending the interrelationship between ESG and corporate sustainability. In this theory, it was said that organizations have the responsibility of not only their shareholder but also the broad spectrum of stakeholders, employees, customers, suppliers, communities and environment. According to Stakeholder Theory, when you consider the interests of all of the stakeholders, the company will become long lasting and sustainable</w:t>
      </w:r>
      <w:r w:rsidR="000623C1" w:rsidRPr="00FF3475">
        <w:rPr>
          <w:rFonts w:ascii="Times New Roman" w:hAnsi="Times New Roman" w:cs="Times New Roman"/>
          <w:sz w:val="24"/>
          <w:szCs w:val="24"/>
        </w:rPr>
        <w:fldChar w:fldCharType="begin"/>
      </w:r>
      <w:r w:rsidR="000623C1" w:rsidRPr="00FF3475">
        <w:rPr>
          <w:rFonts w:ascii="Times New Roman" w:hAnsi="Times New Roman" w:cs="Times New Roman"/>
          <w:sz w:val="24"/>
          <w:szCs w:val="24"/>
        </w:rPr>
        <w:instrText xml:space="preserve"> ADDIN EN.CITE &lt;EndNote&gt;&lt;Cite&gt;&lt;Author&gt;Kivits&lt;/Author&gt;&lt;Year&gt;2021&lt;/Year&gt;&lt;RecNum&gt;2498&lt;/RecNum&gt;&lt;DisplayText&gt;(Kivits et al., 2021)&lt;/DisplayText&gt;&lt;record&gt;&lt;rec-number&gt;2498&lt;/rec-number&gt;&lt;foreign-keys&gt;&lt;key app="EN" db-id="vp0t0fz5q9wvv2etf21x9vp5rv92ew2dstft" timestamp="1728733920"&gt;2498&lt;/key&gt;&lt;/foreign-keys&gt;&lt;ref-type name="Journal Article"&gt;17&lt;/ref-type&gt;&lt;contributors&gt;&lt;authors&gt;&lt;author&gt;Kivits, Robbert&lt;/author&gt;&lt;author&gt;Sawang, Sukanlaya&lt;/author&gt;&lt;author&gt;Kivits, Robbert&lt;/author&gt;&lt;author&gt;Sawang, Sukanlaya&lt;/author&gt;&lt;/authors&gt;&lt;/contributors&gt;&lt;titles&gt;&lt;title&gt;Stakeholder theory&lt;/title&gt;&lt;secondary-title&gt;The Dynamism of Stakeholder Engagement: A Case Study of the Aviation Industry&lt;/secondary-title&gt;&lt;/titles&gt;&lt;periodical&gt;&lt;full-title&gt;The Dynamism of Stakeholder Engagement: A Case Study of the Aviation Industry&lt;/full-title&gt;&lt;/periodical&gt;&lt;pages&gt;1-8&lt;/pages&gt;&lt;dates&gt;&lt;year&gt;2021&lt;/year&gt;&lt;/dates&gt;&lt;isbn&gt;3030704270&lt;/isbn&gt;&lt;urls&gt;&lt;/urls&gt;&lt;/record&gt;&lt;/Cite&gt;&lt;/EndNote&gt;</w:instrText>
      </w:r>
      <w:r w:rsidR="000623C1" w:rsidRPr="00FF3475">
        <w:rPr>
          <w:rFonts w:ascii="Times New Roman" w:hAnsi="Times New Roman" w:cs="Times New Roman"/>
          <w:sz w:val="24"/>
          <w:szCs w:val="24"/>
        </w:rPr>
        <w:fldChar w:fldCharType="separate"/>
      </w:r>
      <w:r w:rsidR="000623C1" w:rsidRPr="00FF3475">
        <w:rPr>
          <w:rFonts w:ascii="Times New Roman" w:hAnsi="Times New Roman" w:cs="Times New Roman"/>
          <w:noProof/>
          <w:sz w:val="24"/>
          <w:szCs w:val="24"/>
        </w:rPr>
        <w:t>(Kivits et al., 2021)</w:t>
      </w:r>
      <w:r w:rsidR="000623C1"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3A0772E8" w14:textId="55495A05" w:rsidR="00581FAF" w:rsidRPr="00FF3475" w:rsidRDefault="00581FAF" w:rsidP="00581FAF">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 xml:space="preserve">Stakeholder Theory aligns with ESG principles </w:t>
      </w:r>
      <w:proofErr w:type="gramStart"/>
      <w:r w:rsidRPr="00FF3475">
        <w:rPr>
          <w:rFonts w:ascii="Times New Roman" w:hAnsi="Times New Roman" w:cs="Times New Roman"/>
          <w:sz w:val="24"/>
          <w:szCs w:val="24"/>
        </w:rPr>
        <w:t>due to the fact that</w:t>
      </w:r>
      <w:proofErr w:type="gramEnd"/>
      <w:r w:rsidRPr="00FF3475">
        <w:rPr>
          <w:rFonts w:ascii="Times New Roman" w:hAnsi="Times New Roman" w:cs="Times New Roman"/>
          <w:sz w:val="24"/>
          <w:szCs w:val="24"/>
        </w:rPr>
        <w:t xml:space="preserve"> ESG principles are focused on the need to take into account environmental, social, and yes, governance factors in decision making. ESG adoption by companies enables them to strengthen their relationships with their stakeholders, build trust and develop value for all involved. Together, the corporate governance exercise based on this holistic approach to corporate governance supports sustainable business practices and brings to the business, society and the environment at large</w:t>
      </w:r>
      <w:r w:rsidR="000623C1" w:rsidRPr="00FF3475">
        <w:rPr>
          <w:rFonts w:ascii="Times New Roman" w:hAnsi="Times New Roman" w:cs="Times New Roman"/>
          <w:sz w:val="24"/>
          <w:szCs w:val="24"/>
        </w:rPr>
        <w:fldChar w:fldCharType="begin"/>
      </w:r>
      <w:r w:rsidR="000623C1" w:rsidRPr="00FF3475">
        <w:rPr>
          <w:rFonts w:ascii="Times New Roman" w:hAnsi="Times New Roman" w:cs="Times New Roman"/>
          <w:sz w:val="24"/>
          <w:szCs w:val="24"/>
        </w:rPr>
        <w:instrText xml:space="preserve"> ADDIN EN.CITE &lt;EndNote&gt;&lt;Cite&gt;&lt;Author&gt;Peng&lt;/Author&gt;&lt;Year&gt;2020&lt;/Year&gt;&lt;RecNum&gt;2499&lt;/RecNum&gt;&lt;DisplayText&gt;(Peng &amp;amp; Isa, 2020)&lt;/DisplayText&gt;&lt;record&gt;&lt;rec-number&gt;2499&lt;/rec-number&gt;&lt;foreign-keys&gt;&lt;key app="EN" db-id="vp0t0fz5q9wvv2etf21x9vp5rv92ew2dstft" timestamp="1728733948"&gt;2499&lt;/key&gt;&lt;/foreign-keys&gt;&lt;ref-type name="Journal Article"&gt;17&lt;/ref-type&gt;&lt;contributors&gt;&lt;authors&gt;&lt;author&gt;Peng, Lee Siew&lt;/author&gt;&lt;author&gt;Isa, Mansor&lt;/author&gt;&lt;/authors&gt;&lt;/contributors&gt;&lt;titles&gt;&lt;title&gt;Environmental, social and governance (ESG) practices and performance in Shariah firms: agency or stakeholder theory?&lt;/title&gt;&lt;secondary-title&gt;Asian Academy of Management Journal of Accounting &amp;amp; Finance&lt;/secondary-title&gt;&lt;/titles&gt;&lt;periodical&gt;&lt;full-title&gt;Asian Academy of Management Journal of Accounting &amp;amp; Finance&lt;/full-title&gt;&lt;/periodical&gt;&lt;volume&gt;16&lt;/volume&gt;&lt;number&gt;1&lt;/number&gt;&lt;dates&gt;&lt;year&gt;2020&lt;/year&gt;&lt;/dates&gt;&lt;isbn&gt;1823-4992&lt;/isbn&gt;&lt;urls&gt;&lt;/urls&gt;&lt;/record&gt;&lt;/Cite&gt;&lt;/EndNote&gt;</w:instrText>
      </w:r>
      <w:r w:rsidR="000623C1" w:rsidRPr="00FF3475">
        <w:rPr>
          <w:rFonts w:ascii="Times New Roman" w:hAnsi="Times New Roman" w:cs="Times New Roman"/>
          <w:sz w:val="24"/>
          <w:szCs w:val="24"/>
        </w:rPr>
        <w:fldChar w:fldCharType="separate"/>
      </w:r>
      <w:r w:rsidR="000623C1" w:rsidRPr="00FF3475">
        <w:rPr>
          <w:rFonts w:ascii="Times New Roman" w:hAnsi="Times New Roman" w:cs="Times New Roman"/>
          <w:noProof/>
          <w:sz w:val="24"/>
          <w:szCs w:val="24"/>
        </w:rPr>
        <w:t>(Peng &amp; Isa, 2020)</w:t>
      </w:r>
      <w:r w:rsidR="000623C1"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612A3494" w14:textId="27507BE8" w:rsidR="00F2118A" w:rsidRPr="00FF3475" w:rsidRDefault="00581FAF" w:rsidP="00581FAF">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In the context of this study on integrating ESG principles into risk management, Stakeholder Theory is particularly relevant because</w:t>
      </w:r>
      <w:r w:rsidR="00F2118A" w:rsidRPr="00FF3475">
        <w:rPr>
          <w:rFonts w:ascii="Times New Roman" w:hAnsi="Times New Roman" w:cs="Times New Roman"/>
          <w:sz w:val="24"/>
          <w:szCs w:val="24"/>
        </w:rPr>
        <w:t>:</w:t>
      </w:r>
    </w:p>
    <w:p w14:paraId="2B300E5F" w14:textId="4138374B" w:rsidR="00F2118A" w:rsidRPr="00FF3475" w:rsidRDefault="00D17662" w:rsidP="00D17662">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Stakeholders concerned about ecological impacts and sustainability use Environmental Factors (EF). Mitigation of both environmental risks and building the organization’s reputation and relationships with environmentally conscious stakeholders can also be achieved by addressing these concerns</w:t>
      </w:r>
      <w:r w:rsidR="000623C1" w:rsidRPr="00FF3475">
        <w:rPr>
          <w:rFonts w:ascii="Times New Roman" w:hAnsi="Times New Roman" w:cs="Times New Roman"/>
          <w:sz w:val="24"/>
          <w:szCs w:val="24"/>
        </w:rPr>
        <w:fldChar w:fldCharType="begin"/>
      </w:r>
      <w:r w:rsidR="000623C1" w:rsidRPr="00FF3475">
        <w:rPr>
          <w:rFonts w:ascii="Times New Roman" w:hAnsi="Times New Roman" w:cs="Times New Roman"/>
          <w:sz w:val="24"/>
          <w:szCs w:val="24"/>
        </w:rPr>
        <w:instrText xml:space="preserve"> ADDIN EN.CITE &lt;EndNote&gt;&lt;Cite&gt;&lt;Author&gt;Hu&lt;/Author&gt;&lt;Year&gt;2023&lt;/Year&gt;&lt;RecNum&gt;2500&lt;/RecNum&gt;&lt;DisplayText&gt;(Hu et al., 2023)&lt;/DisplayText&gt;&lt;record&gt;&lt;rec-number&gt;2500&lt;/rec-number&gt;&lt;foreign-keys&gt;&lt;key app="EN" db-id="vp0t0fz5q9wvv2etf21x9vp5rv92ew2dstft" timestamp="1728733965"&gt;2500&lt;/key&gt;&lt;/foreign-keys&gt;&lt;ref-type name="Journal Article"&gt;17&lt;/ref-type&gt;&lt;contributors&gt;&lt;authors&gt;&lt;author&gt;Hu, Anjun&lt;/author&gt;&lt;author&gt;Yuan, Xianzhu&lt;/author&gt;&lt;author&gt;Fan, Shuangshuang&lt;/author&gt;&lt;author&gt;Wang, Shali&lt;/author&gt;&lt;/authors&gt;&lt;/contributors&gt;&lt;titles&gt;&lt;title&gt;The impact and mechanism of corporate ESG construction on the efficiency of regional green economy: an empirical analysis based on signal transmission theory and stakeholder theory&lt;/title&gt;&lt;secondary-title&gt;Sustainability&lt;/secondary-title&gt;&lt;/titles&gt;&lt;periodical&gt;&lt;full-title&gt;Sustainability&lt;/full-title&gt;&lt;/periodical&gt;&lt;pages&gt;13236&lt;/pages&gt;&lt;volume&gt;15&lt;/volume&gt;&lt;number&gt;17&lt;/number&gt;&lt;dates&gt;&lt;year&gt;2023&lt;/year&gt;&lt;/dates&gt;&lt;isbn&gt;2071-1050&lt;/isbn&gt;&lt;urls&gt;&lt;/urls&gt;&lt;/record&gt;&lt;/Cite&gt;&lt;/EndNote&gt;</w:instrText>
      </w:r>
      <w:r w:rsidR="000623C1" w:rsidRPr="00FF3475">
        <w:rPr>
          <w:rFonts w:ascii="Times New Roman" w:hAnsi="Times New Roman" w:cs="Times New Roman"/>
          <w:sz w:val="24"/>
          <w:szCs w:val="24"/>
        </w:rPr>
        <w:fldChar w:fldCharType="separate"/>
      </w:r>
      <w:r w:rsidR="000623C1" w:rsidRPr="00FF3475">
        <w:rPr>
          <w:rFonts w:ascii="Times New Roman" w:hAnsi="Times New Roman" w:cs="Times New Roman"/>
          <w:noProof/>
          <w:sz w:val="24"/>
          <w:szCs w:val="24"/>
        </w:rPr>
        <w:t>(Hu et al., 2023)</w:t>
      </w:r>
      <w:r w:rsidR="000623C1" w:rsidRPr="00FF3475">
        <w:rPr>
          <w:rFonts w:ascii="Times New Roman" w:hAnsi="Times New Roman" w:cs="Times New Roman"/>
          <w:sz w:val="24"/>
          <w:szCs w:val="24"/>
        </w:rPr>
        <w:fldChar w:fldCharType="end"/>
      </w:r>
      <w:r w:rsidR="00F2118A" w:rsidRPr="00FF3475">
        <w:rPr>
          <w:rFonts w:ascii="Times New Roman" w:hAnsi="Times New Roman" w:cs="Times New Roman"/>
          <w:sz w:val="24"/>
          <w:szCs w:val="24"/>
        </w:rPr>
        <w:t>.</w:t>
      </w:r>
    </w:p>
    <w:p w14:paraId="6DA42EF9" w14:textId="0345F557" w:rsidR="00F2118A" w:rsidRPr="00FF3475" w:rsidRDefault="00D17662" w:rsidP="00D17662">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Social Factors (SF) deal with the organization responsibilities to its employees and other social groups as well as its communities. Integration of social considerations with risks management will produce positive relationships with workforce, social equity, and community expectation</w:t>
      </w:r>
      <w:r w:rsidR="000623C1" w:rsidRPr="00FF3475">
        <w:rPr>
          <w:rFonts w:ascii="Times New Roman" w:hAnsi="Times New Roman" w:cs="Times New Roman"/>
          <w:sz w:val="24"/>
          <w:szCs w:val="24"/>
        </w:rPr>
        <w:fldChar w:fldCharType="begin"/>
      </w:r>
      <w:r w:rsidR="000623C1" w:rsidRPr="00FF3475">
        <w:rPr>
          <w:rFonts w:ascii="Times New Roman" w:hAnsi="Times New Roman" w:cs="Times New Roman"/>
          <w:sz w:val="24"/>
          <w:szCs w:val="24"/>
        </w:rPr>
        <w:instrText xml:space="preserve"> ADDIN EN.CITE &lt;EndNote&gt;&lt;Cite&gt;&lt;Author&gt;Kumar&lt;/Author&gt;&lt;Year&gt;2021&lt;/Year&gt;&lt;RecNum&gt;2501&lt;/RecNum&gt;&lt;DisplayText&gt;(Kumar &amp;amp; Pankaj, 2021)&lt;/DisplayText&gt;&lt;record&gt;&lt;rec-number&gt;2501&lt;/rec-number&gt;&lt;foreign-keys&gt;&lt;key app="EN" db-id="vp0t0fz5q9wvv2etf21x9vp5rv92ew2dstft" timestamp="1728733988"&gt;2501&lt;/key&gt;&lt;/foreign-keys&gt;&lt;ref-type name="Journal Article"&gt;17&lt;/ref-type&gt;&lt;contributors&gt;&lt;authors&gt;&lt;author&gt;Kumar, Sumit&lt;/author&gt;&lt;author&gt;Pankaj, Baag&lt;/author&gt;&lt;/authors&gt;&lt;/contributors&gt;&lt;titles&gt;&lt;title&gt;ESG Performance of a Firm is a Measure of Stakeholder’s Theory&lt;/title&gt;&lt;secondary-title&gt;Available at SSRN 3945183&lt;/secondary-title&gt;&lt;/titles&gt;&lt;periodical&gt;&lt;full-title&gt;Available at SSRN 3945183&lt;/full-title&gt;&lt;/periodical&gt;&lt;dates&gt;&lt;year&gt;2021&lt;/year&gt;&lt;/dates&gt;&lt;urls&gt;&lt;/urls&gt;&lt;/record&gt;&lt;/Cite&gt;&lt;/EndNote&gt;</w:instrText>
      </w:r>
      <w:r w:rsidR="000623C1" w:rsidRPr="00FF3475">
        <w:rPr>
          <w:rFonts w:ascii="Times New Roman" w:hAnsi="Times New Roman" w:cs="Times New Roman"/>
          <w:sz w:val="24"/>
          <w:szCs w:val="24"/>
        </w:rPr>
        <w:fldChar w:fldCharType="separate"/>
      </w:r>
      <w:r w:rsidR="000623C1" w:rsidRPr="00FF3475">
        <w:rPr>
          <w:rFonts w:ascii="Times New Roman" w:hAnsi="Times New Roman" w:cs="Times New Roman"/>
          <w:noProof/>
          <w:sz w:val="24"/>
          <w:szCs w:val="24"/>
        </w:rPr>
        <w:t>(Kumar &amp; Pankaj, 2021)</w:t>
      </w:r>
      <w:r w:rsidR="000623C1"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4EAAE5D7" w14:textId="2332CE1C" w:rsidR="00F2118A" w:rsidRPr="00FF3475" w:rsidRDefault="00EE45A9" w:rsidP="00EE45A9">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lastRenderedPageBreak/>
        <w:t>Governance Factors (GF) are the need for transparency, ethical behavior and accountability. Being subjected to good governance practices aids creating trust with stakeholders and this is an essential part for sustainability</w:t>
      </w:r>
      <w:r w:rsidR="00F2118A" w:rsidRPr="00FF3475">
        <w:rPr>
          <w:rFonts w:ascii="Times New Roman" w:hAnsi="Times New Roman" w:cs="Times New Roman"/>
          <w:sz w:val="24"/>
          <w:szCs w:val="24"/>
        </w:rPr>
        <w:t>.</w:t>
      </w:r>
    </w:p>
    <w:p w14:paraId="7299CEAE" w14:textId="60C97D5F" w:rsidR="009A64D5" w:rsidRPr="00FF3475" w:rsidRDefault="009A64D5" w:rsidP="009A64D5">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Based on this research model, the Corporate Sustainability (CS) is mediated by the Risk Management (RM) for the relationship between ESG factors. Organizations can make ESG a competitive advantage by utilizing good risk management as a lever to align their ESG efforts with stakeholder expectations and reduce exposure to risk. This then contributes to corporate sustainability by making organizations’ operations resilient, responsible and aligned to larger social values</w:t>
      </w:r>
      <w:r w:rsidR="000623C1" w:rsidRPr="00FF3475">
        <w:rPr>
          <w:rFonts w:ascii="Times New Roman" w:hAnsi="Times New Roman" w:cs="Times New Roman"/>
          <w:sz w:val="24"/>
          <w:szCs w:val="24"/>
        </w:rPr>
        <w:fldChar w:fldCharType="begin"/>
      </w:r>
      <w:r w:rsidR="000623C1" w:rsidRPr="00FF3475">
        <w:rPr>
          <w:rFonts w:ascii="Times New Roman" w:hAnsi="Times New Roman" w:cs="Times New Roman"/>
          <w:sz w:val="24"/>
          <w:szCs w:val="24"/>
        </w:rPr>
        <w:instrText xml:space="preserve"> ADDIN EN.CITE &lt;EndNote&gt;&lt;Cite&gt;&lt;Author&gt;Signori&lt;/Author&gt;&lt;Year&gt;2021&lt;/Year&gt;&lt;RecNum&gt;2502&lt;/RecNum&gt;&lt;DisplayText&gt;(Signori et al., 2021)&lt;/DisplayText&gt;&lt;record&gt;&lt;rec-number&gt;2502&lt;/rec-number&gt;&lt;foreign-keys&gt;&lt;key app="EN" db-id="vp0t0fz5q9wvv2etf21x9vp5rv92ew2dstft" timestamp="1728734013"&gt;2502&lt;/key&gt;&lt;/foreign-keys&gt;&lt;ref-type name="Journal Article"&gt;17&lt;/ref-type&gt;&lt;contributors&gt;&lt;authors&gt;&lt;author&gt;Signori, Silvana&lt;/author&gt;&lt;author&gt;San-Jose, Leire&lt;/author&gt;&lt;author&gt;Retolaza, Jose Luis&lt;/author&gt;&lt;author&gt;Rusconi, Gianfranco&lt;/author&gt;&lt;/authors&gt;&lt;/contributors&gt;&lt;titles&gt;&lt;title&gt;Stakeholder value creation: Comparing ESG and value added in European companies&lt;/title&gt;&lt;secondary-title&gt;Sustainability&lt;/secondary-title&gt;&lt;/titles&gt;&lt;periodical&gt;&lt;full-title&gt;Sustainability&lt;/full-title&gt;&lt;/periodical&gt;&lt;pages&gt;1392&lt;/pages&gt;&lt;volume&gt;13&lt;/volume&gt;&lt;number&gt;3&lt;/number&gt;&lt;dates&gt;&lt;year&gt;2021&lt;/year&gt;&lt;/dates&gt;&lt;isbn&gt;2071-1050&lt;/isbn&gt;&lt;urls&gt;&lt;/urls&gt;&lt;/record&gt;&lt;/Cite&gt;&lt;/EndNote&gt;</w:instrText>
      </w:r>
      <w:r w:rsidR="000623C1" w:rsidRPr="00FF3475">
        <w:rPr>
          <w:rFonts w:ascii="Times New Roman" w:hAnsi="Times New Roman" w:cs="Times New Roman"/>
          <w:sz w:val="24"/>
          <w:szCs w:val="24"/>
        </w:rPr>
        <w:fldChar w:fldCharType="separate"/>
      </w:r>
      <w:r w:rsidR="000623C1" w:rsidRPr="00FF3475">
        <w:rPr>
          <w:rFonts w:ascii="Times New Roman" w:hAnsi="Times New Roman" w:cs="Times New Roman"/>
          <w:noProof/>
          <w:sz w:val="24"/>
          <w:szCs w:val="24"/>
        </w:rPr>
        <w:t>(Signori et al., 2021)</w:t>
      </w:r>
      <w:r w:rsidR="000623C1" w:rsidRPr="00FF3475">
        <w:rPr>
          <w:rFonts w:ascii="Times New Roman" w:hAnsi="Times New Roman" w:cs="Times New Roman"/>
          <w:sz w:val="24"/>
          <w:szCs w:val="24"/>
        </w:rPr>
        <w:fldChar w:fldCharType="end"/>
      </w:r>
      <w:r w:rsidRPr="00FF3475">
        <w:rPr>
          <w:rFonts w:ascii="Times New Roman" w:hAnsi="Times New Roman" w:cs="Times New Roman"/>
          <w:sz w:val="24"/>
          <w:szCs w:val="24"/>
        </w:rPr>
        <w:t>.</w:t>
      </w:r>
    </w:p>
    <w:p w14:paraId="2E6C5C5A" w14:textId="09D44DC1" w:rsidR="00DF6385" w:rsidRPr="00FF3475" w:rsidRDefault="009A64D5" w:rsidP="00DF6385">
      <w:pPr>
        <w:spacing w:line="360" w:lineRule="auto"/>
        <w:jc w:val="both"/>
        <w:rPr>
          <w:rFonts w:ascii="Times New Roman" w:hAnsi="Times New Roman" w:cs="Times New Roman"/>
          <w:sz w:val="24"/>
          <w:szCs w:val="24"/>
        </w:rPr>
      </w:pPr>
      <w:r w:rsidRPr="00FF3475">
        <w:rPr>
          <w:rFonts w:ascii="Times New Roman" w:hAnsi="Times New Roman" w:cs="Times New Roman"/>
          <w:sz w:val="24"/>
          <w:szCs w:val="24"/>
        </w:rPr>
        <w:t>Stakeholder theory emphasizes that applying ESG principles in risk management leads to more sustainable corporate practice because ESG principles help fulfilling the needs and expectations of multiple stakeholders thereby making business practices responsible and sustainable.</w:t>
      </w:r>
    </w:p>
    <w:p w14:paraId="112CC557" w14:textId="77777777" w:rsidR="00B31D80" w:rsidRPr="00FF3475" w:rsidRDefault="00B31D80" w:rsidP="00DF6385">
      <w:pPr>
        <w:spacing w:line="360" w:lineRule="auto"/>
        <w:jc w:val="both"/>
        <w:rPr>
          <w:rFonts w:ascii="Times New Roman" w:hAnsi="Times New Roman" w:cs="Times New Roman"/>
          <w:sz w:val="24"/>
          <w:szCs w:val="24"/>
        </w:rPr>
      </w:pPr>
    </w:p>
    <w:p w14:paraId="4D9BA46F" w14:textId="77777777" w:rsidR="00B31D80" w:rsidRPr="00FF3475" w:rsidRDefault="00B31D80" w:rsidP="00DF6385">
      <w:pPr>
        <w:spacing w:line="360" w:lineRule="auto"/>
        <w:jc w:val="both"/>
        <w:rPr>
          <w:rFonts w:ascii="Times New Roman" w:hAnsi="Times New Roman" w:cs="Times New Roman"/>
          <w:sz w:val="24"/>
          <w:szCs w:val="24"/>
        </w:rPr>
      </w:pPr>
    </w:p>
    <w:p w14:paraId="08BDE9D4" w14:textId="77777777" w:rsidR="00B31D80" w:rsidRPr="00FF3475" w:rsidRDefault="00B31D80" w:rsidP="00DF6385">
      <w:pPr>
        <w:spacing w:line="360" w:lineRule="auto"/>
        <w:jc w:val="both"/>
        <w:rPr>
          <w:rFonts w:ascii="Times New Roman" w:hAnsi="Times New Roman" w:cs="Times New Roman"/>
          <w:sz w:val="24"/>
          <w:szCs w:val="24"/>
        </w:rPr>
      </w:pPr>
    </w:p>
    <w:p w14:paraId="7F93E149" w14:textId="77777777" w:rsidR="00B31D80" w:rsidRPr="00FF3475" w:rsidRDefault="00B31D80" w:rsidP="00DF6385">
      <w:pPr>
        <w:spacing w:line="360" w:lineRule="auto"/>
        <w:jc w:val="both"/>
        <w:rPr>
          <w:rFonts w:ascii="Times New Roman" w:hAnsi="Times New Roman" w:cs="Times New Roman"/>
          <w:sz w:val="24"/>
          <w:szCs w:val="24"/>
        </w:rPr>
      </w:pPr>
    </w:p>
    <w:p w14:paraId="0F176AD1" w14:textId="77777777" w:rsidR="00B31D80" w:rsidRPr="00FF3475" w:rsidRDefault="00B31D80" w:rsidP="00DF6385">
      <w:pPr>
        <w:spacing w:line="360" w:lineRule="auto"/>
        <w:jc w:val="both"/>
        <w:rPr>
          <w:rFonts w:ascii="Times New Roman" w:hAnsi="Times New Roman" w:cs="Times New Roman"/>
          <w:sz w:val="24"/>
          <w:szCs w:val="24"/>
        </w:rPr>
      </w:pPr>
    </w:p>
    <w:p w14:paraId="1BFB4E16" w14:textId="77777777" w:rsidR="0083582F" w:rsidRPr="00FF3475" w:rsidRDefault="0083582F" w:rsidP="00DF6385">
      <w:pPr>
        <w:spacing w:line="360" w:lineRule="auto"/>
        <w:jc w:val="both"/>
        <w:rPr>
          <w:rFonts w:ascii="Times New Roman" w:hAnsi="Times New Roman" w:cs="Times New Roman"/>
          <w:sz w:val="24"/>
          <w:szCs w:val="24"/>
        </w:rPr>
      </w:pPr>
    </w:p>
    <w:p w14:paraId="03EAE00B" w14:textId="77777777" w:rsidR="0083582F" w:rsidRPr="00FF3475" w:rsidRDefault="0083582F" w:rsidP="00DF6385">
      <w:pPr>
        <w:spacing w:line="360" w:lineRule="auto"/>
        <w:jc w:val="both"/>
        <w:rPr>
          <w:rFonts w:ascii="Times New Roman" w:hAnsi="Times New Roman" w:cs="Times New Roman"/>
          <w:sz w:val="24"/>
          <w:szCs w:val="24"/>
        </w:rPr>
      </w:pPr>
    </w:p>
    <w:p w14:paraId="2C521D40" w14:textId="77777777" w:rsidR="0083582F" w:rsidRPr="00FF3475" w:rsidRDefault="0083582F" w:rsidP="00DF6385">
      <w:pPr>
        <w:spacing w:line="360" w:lineRule="auto"/>
        <w:jc w:val="both"/>
        <w:rPr>
          <w:rFonts w:ascii="Times New Roman" w:hAnsi="Times New Roman" w:cs="Times New Roman"/>
          <w:sz w:val="24"/>
          <w:szCs w:val="24"/>
        </w:rPr>
      </w:pPr>
    </w:p>
    <w:p w14:paraId="5332F4CE" w14:textId="77777777" w:rsidR="0083582F" w:rsidRPr="00FF3475" w:rsidRDefault="0083582F" w:rsidP="00DF6385">
      <w:pPr>
        <w:spacing w:line="360" w:lineRule="auto"/>
        <w:jc w:val="both"/>
        <w:rPr>
          <w:rFonts w:ascii="Times New Roman" w:hAnsi="Times New Roman" w:cs="Times New Roman"/>
          <w:sz w:val="24"/>
          <w:szCs w:val="24"/>
        </w:rPr>
      </w:pPr>
    </w:p>
    <w:p w14:paraId="77AE85CA" w14:textId="77777777" w:rsidR="0083582F" w:rsidRPr="00FF3475" w:rsidRDefault="0083582F" w:rsidP="00DF6385">
      <w:pPr>
        <w:spacing w:line="360" w:lineRule="auto"/>
        <w:jc w:val="both"/>
        <w:rPr>
          <w:rFonts w:ascii="Times New Roman" w:hAnsi="Times New Roman" w:cs="Times New Roman"/>
          <w:sz w:val="24"/>
          <w:szCs w:val="24"/>
        </w:rPr>
      </w:pPr>
    </w:p>
    <w:p w14:paraId="6E542CA3" w14:textId="77777777" w:rsidR="0083582F" w:rsidRPr="00FF3475" w:rsidRDefault="0083582F" w:rsidP="00DF6385">
      <w:pPr>
        <w:spacing w:line="360" w:lineRule="auto"/>
        <w:jc w:val="both"/>
        <w:rPr>
          <w:rFonts w:ascii="Times New Roman" w:hAnsi="Times New Roman" w:cs="Times New Roman"/>
          <w:sz w:val="24"/>
          <w:szCs w:val="24"/>
        </w:rPr>
      </w:pPr>
    </w:p>
    <w:p w14:paraId="0C2C948D" w14:textId="77777777" w:rsidR="0083582F" w:rsidRPr="00FF3475" w:rsidRDefault="0083582F" w:rsidP="00DF6385">
      <w:pPr>
        <w:spacing w:line="360" w:lineRule="auto"/>
        <w:jc w:val="both"/>
        <w:rPr>
          <w:rFonts w:ascii="Times New Roman" w:hAnsi="Times New Roman" w:cs="Times New Roman"/>
          <w:sz w:val="24"/>
          <w:szCs w:val="24"/>
        </w:rPr>
      </w:pPr>
    </w:p>
    <w:p w14:paraId="60DA54F0" w14:textId="77777777" w:rsidR="0083582F" w:rsidRPr="00FF3475" w:rsidRDefault="0083582F" w:rsidP="00DF6385">
      <w:pPr>
        <w:spacing w:line="360" w:lineRule="auto"/>
        <w:jc w:val="both"/>
        <w:rPr>
          <w:rFonts w:ascii="Times New Roman" w:hAnsi="Times New Roman" w:cs="Times New Roman"/>
          <w:sz w:val="24"/>
          <w:szCs w:val="24"/>
        </w:rPr>
      </w:pPr>
    </w:p>
    <w:sectPr w:rsidR="0083582F" w:rsidRPr="00FF34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AC4779"/>
    <w:multiLevelType w:val="multilevel"/>
    <w:tmpl w:val="7DD6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895AA5"/>
    <w:multiLevelType w:val="multilevel"/>
    <w:tmpl w:val="6FF47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0D4912"/>
    <w:multiLevelType w:val="multilevel"/>
    <w:tmpl w:val="0D86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2E6409"/>
    <w:multiLevelType w:val="multilevel"/>
    <w:tmpl w:val="0672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F8428A"/>
    <w:multiLevelType w:val="multilevel"/>
    <w:tmpl w:val="D220A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194FEB"/>
    <w:multiLevelType w:val="multilevel"/>
    <w:tmpl w:val="68B2E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664983"/>
    <w:multiLevelType w:val="multilevel"/>
    <w:tmpl w:val="FBDA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A528E1"/>
    <w:multiLevelType w:val="multilevel"/>
    <w:tmpl w:val="16BEF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3353539">
    <w:abstractNumId w:val="7"/>
  </w:num>
  <w:num w:numId="2" w16cid:durableId="994340569">
    <w:abstractNumId w:val="1"/>
  </w:num>
  <w:num w:numId="3" w16cid:durableId="1889143083">
    <w:abstractNumId w:val="2"/>
  </w:num>
  <w:num w:numId="4" w16cid:durableId="2127196815">
    <w:abstractNumId w:val="6"/>
  </w:num>
  <w:num w:numId="5" w16cid:durableId="2095392950">
    <w:abstractNumId w:val="3"/>
  </w:num>
  <w:num w:numId="6" w16cid:durableId="1406419980">
    <w:abstractNumId w:val="4"/>
  </w:num>
  <w:num w:numId="7" w16cid:durableId="635719708">
    <w:abstractNumId w:val="0"/>
  </w:num>
  <w:num w:numId="8" w16cid:durableId="335023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p0t0fz5q9wvv2etf21x9vp5rv92ew2dstft&quot;&gt;My EndNote Library-Converted&lt;record-ids&gt;&lt;item&gt;2327&lt;/item&gt;&lt;item&gt;2328&lt;/item&gt;&lt;item&gt;2329&lt;/item&gt;&lt;item&gt;2330&lt;/item&gt;&lt;item&gt;2331&lt;/item&gt;&lt;item&gt;2332&lt;/item&gt;&lt;item&gt;2333&lt;/item&gt;&lt;item&gt;2334&lt;/item&gt;&lt;item&gt;2335&lt;/item&gt;&lt;/record-ids&gt;&lt;/item&gt;&lt;/Libraries&gt;"/>
  </w:docVars>
  <w:rsids>
    <w:rsidRoot w:val="000C0587"/>
    <w:rsid w:val="00001BE5"/>
    <w:rsid w:val="00001F46"/>
    <w:rsid w:val="0001315D"/>
    <w:rsid w:val="0002088D"/>
    <w:rsid w:val="0004559E"/>
    <w:rsid w:val="0004680A"/>
    <w:rsid w:val="0006155A"/>
    <w:rsid w:val="000623C1"/>
    <w:rsid w:val="00063F16"/>
    <w:rsid w:val="00064A6A"/>
    <w:rsid w:val="00080473"/>
    <w:rsid w:val="00081ABE"/>
    <w:rsid w:val="000B045A"/>
    <w:rsid w:val="000B4EAC"/>
    <w:rsid w:val="000B4FBB"/>
    <w:rsid w:val="000C0587"/>
    <w:rsid w:val="000C2C12"/>
    <w:rsid w:val="000C3AA6"/>
    <w:rsid w:val="000C481B"/>
    <w:rsid w:val="000C4CBD"/>
    <w:rsid w:val="000D1DBB"/>
    <w:rsid w:val="000D6677"/>
    <w:rsid w:val="000E75B8"/>
    <w:rsid w:val="000F1092"/>
    <w:rsid w:val="00123138"/>
    <w:rsid w:val="00180150"/>
    <w:rsid w:val="00193479"/>
    <w:rsid w:val="001B5B03"/>
    <w:rsid w:val="001C2241"/>
    <w:rsid w:val="001D3FD4"/>
    <w:rsid w:val="00200429"/>
    <w:rsid w:val="0020631E"/>
    <w:rsid w:val="00214BA6"/>
    <w:rsid w:val="002553A8"/>
    <w:rsid w:val="0025618D"/>
    <w:rsid w:val="00262C20"/>
    <w:rsid w:val="00266BEF"/>
    <w:rsid w:val="0028029D"/>
    <w:rsid w:val="002A6393"/>
    <w:rsid w:val="002C0ACF"/>
    <w:rsid w:val="002D754E"/>
    <w:rsid w:val="002F385E"/>
    <w:rsid w:val="00300F62"/>
    <w:rsid w:val="003068A6"/>
    <w:rsid w:val="00306C08"/>
    <w:rsid w:val="0031756E"/>
    <w:rsid w:val="00327C73"/>
    <w:rsid w:val="003349A0"/>
    <w:rsid w:val="003520A5"/>
    <w:rsid w:val="00371619"/>
    <w:rsid w:val="003775AF"/>
    <w:rsid w:val="0038024A"/>
    <w:rsid w:val="00395F2D"/>
    <w:rsid w:val="00396235"/>
    <w:rsid w:val="003A3332"/>
    <w:rsid w:val="003B3368"/>
    <w:rsid w:val="003C05FF"/>
    <w:rsid w:val="003C4553"/>
    <w:rsid w:val="003C4CA9"/>
    <w:rsid w:val="003D479C"/>
    <w:rsid w:val="003D70E9"/>
    <w:rsid w:val="003F09B3"/>
    <w:rsid w:val="003F5B94"/>
    <w:rsid w:val="003F76FD"/>
    <w:rsid w:val="0041231F"/>
    <w:rsid w:val="00412B55"/>
    <w:rsid w:val="00430800"/>
    <w:rsid w:val="00435678"/>
    <w:rsid w:val="0043771B"/>
    <w:rsid w:val="0044210B"/>
    <w:rsid w:val="00447A04"/>
    <w:rsid w:val="004521EC"/>
    <w:rsid w:val="00452340"/>
    <w:rsid w:val="0045614A"/>
    <w:rsid w:val="00460431"/>
    <w:rsid w:val="004B513F"/>
    <w:rsid w:val="004C0333"/>
    <w:rsid w:val="004C204D"/>
    <w:rsid w:val="004D473D"/>
    <w:rsid w:val="004E7AE2"/>
    <w:rsid w:val="004F5BA8"/>
    <w:rsid w:val="004F6AF9"/>
    <w:rsid w:val="00503FCD"/>
    <w:rsid w:val="0052337D"/>
    <w:rsid w:val="00531860"/>
    <w:rsid w:val="0054251B"/>
    <w:rsid w:val="0054637C"/>
    <w:rsid w:val="0054700D"/>
    <w:rsid w:val="00552770"/>
    <w:rsid w:val="00580CE7"/>
    <w:rsid w:val="00581FAF"/>
    <w:rsid w:val="0059541C"/>
    <w:rsid w:val="005964CD"/>
    <w:rsid w:val="005B222B"/>
    <w:rsid w:val="005C6CDF"/>
    <w:rsid w:val="005D6893"/>
    <w:rsid w:val="005F34A3"/>
    <w:rsid w:val="0061169C"/>
    <w:rsid w:val="00627E2A"/>
    <w:rsid w:val="00641E87"/>
    <w:rsid w:val="00661F29"/>
    <w:rsid w:val="00664C13"/>
    <w:rsid w:val="006A0C09"/>
    <w:rsid w:val="006A4820"/>
    <w:rsid w:val="006A4E45"/>
    <w:rsid w:val="006C4CEC"/>
    <w:rsid w:val="007112FD"/>
    <w:rsid w:val="00713303"/>
    <w:rsid w:val="00723D45"/>
    <w:rsid w:val="0072477C"/>
    <w:rsid w:val="00725224"/>
    <w:rsid w:val="00733093"/>
    <w:rsid w:val="00737A1C"/>
    <w:rsid w:val="00741F21"/>
    <w:rsid w:val="007530F5"/>
    <w:rsid w:val="00767769"/>
    <w:rsid w:val="007B15C4"/>
    <w:rsid w:val="007B36E8"/>
    <w:rsid w:val="007B7272"/>
    <w:rsid w:val="007C0C57"/>
    <w:rsid w:val="007E08F7"/>
    <w:rsid w:val="007E4E16"/>
    <w:rsid w:val="00800838"/>
    <w:rsid w:val="0080329A"/>
    <w:rsid w:val="00817BA0"/>
    <w:rsid w:val="00820ACA"/>
    <w:rsid w:val="008301D5"/>
    <w:rsid w:val="00833D93"/>
    <w:rsid w:val="0083582F"/>
    <w:rsid w:val="008535E3"/>
    <w:rsid w:val="00854397"/>
    <w:rsid w:val="00871B7F"/>
    <w:rsid w:val="00880962"/>
    <w:rsid w:val="008844AB"/>
    <w:rsid w:val="0088746C"/>
    <w:rsid w:val="008A2AC8"/>
    <w:rsid w:val="008B6EF4"/>
    <w:rsid w:val="008D557B"/>
    <w:rsid w:val="008F1FF8"/>
    <w:rsid w:val="00912FA2"/>
    <w:rsid w:val="00925643"/>
    <w:rsid w:val="00931ABD"/>
    <w:rsid w:val="00937283"/>
    <w:rsid w:val="009557DB"/>
    <w:rsid w:val="00955897"/>
    <w:rsid w:val="00974394"/>
    <w:rsid w:val="0097689B"/>
    <w:rsid w:val="00983369"/>
    <w:rsid w:val="00987C1D"/>
    <w:rsid w:val="00993E41"/>
    <w:rsid w:val="0099649E"/>
    <w:rsid w:val="009A64D5"/>
    <w:rsid w:val="009C130A"/>
    <w:rsid w:val="009C2023"/>
    <w:rsid w:val="009F52A4"/>
    <w:rsid w:val="00A02E1A"/>
    <w:rsid w:val="00A16574"/>
    <w:rsid w:val="00A40284"/>
    <w:rsid w:val="00A45B12"/>
    <w:rsid w:val="00A56535"/>
    <w:rsid w:val="00A805FB"/>
    <w:rsid w:val="00A81B7B"/>
    <w:rsid w:val="00A878F7"/>
    <w:rsid w:val="00A91DF6"/>
    <w:rsid w:val="00AA0BE6"/>
    <w:rsid w:val="00AB72DF"/>
    <w:rsid w:val="00AF537E"/>
    <w:rsid w:val="00B23D32"/>
    <w:rsid w:val="00B31D80"/>
    <w:rsid w:val="00B31EE7"/>
    <w:rsid w:val="00B458AF"/>
    <w:rsid w:val="00B51096"/>
    <w:rsid w:val="00B62FE6"/>
    <w:rsid w:val="00B77500"/>
    <w:rsid w:val="00B817DD"/>
    <w:rsid w:val="00B90391"/>
    <w:rsid w:val="00BA7A73"/>
    <w:rsid w:val="00BB19F0"/>
    <w:rsid w:val="00BF24C3"/>
    <w:rsid w:val="00BF392E"/>
    <w:rsid w:val="00BF5094"/>
    <w:rsid w:val="00BF6EEC"/>
    <w:rsid w:val="00C25600"/>
    <w:rsid w:val="00C26EB7"/>
    <w:rsid w:val="00C3412C"/>
    <w:rsid w:val="00C61E8A"/>
    <w:rsid w:val="00C63022"/>
    <w:rsid w:val="00C644EB"/>
    <w:rsid w:val="00C75883"/>
    <w:rsid w:val="00C94894"/>
    <w:rsid w:val="00CA1E29"/>
    <w:rsid w:val="00CC069A"/>
    <w:rsid w:val="00CC3294"/>
    <w:rsid w:val="00CC47B5"/>
    <w:rsid w:val="00CC60AB"/>
    <w:rsid w:val="00CD117E"/>
    <w:rsid w:val="00CD6988"/>
    <w:rsid w:val="00CE696F"/>
    <w:rsid w:val="00D01AD2"/>
    <w:rsid w:val="00D01CEB"/>
    <w:rsid w:val="00D0635E"/>
    <w:rsid w:val="00D12C40"/>
    <w:rsid w:val="00D14CC0"/>
    <w:rsid w:val="00D17662"/>
    <w:rsid w:val="00D30B3D"/>
    <w:rsid w:val="00D37649"/>
    <w:rsid w:val="00D41452"/>
    <w:rsid w:val="00D46675"/>
    <w:rsid w:val="00D70BEA"/>
    <w:rsid w:val="00D8138C"/>
    <w:rsid w:val="00D8209B"/>
    <w:rsid w:val="00D906E2"/>
    <w:rsid w:val="00DA4DDE"/>
    <w:rsid w:val="00DC0495"/>
    <w:rsid w:val="00DC1B35"/>
    <w:rsid w:val="00DD122C"/>
    <w:rsid w:val="00DE0EE2"/>
    <w:rsid w:val="00DE127E"/>
    <w:rsid w:val="00DF6385"/>
    <w:rsid w:val="00DF786A"/>
    <w:rsid w:val="00E03E44"/>
    <w:rsid w:val="00E0591E"/>
    <w:rsid w:val="00E235EC"/>
    <w:rsid w:val="00E40C6C"/>
    <w:rsid w:val="00E43F6A"/>
    <w:rsid w:val="00E50E59"/>
    <w:rsid w:val="00E65C19"/>
    <w:rsid w:val="00EA102A"/>
    <w:rsid w:val="00EB3138"/>
    <w:rsid w:val="00EC3EEA"/>
    <w:rsid w:val="00EC780B"/>
    <w:rsid w:val="00ED0CE4"/>
    <w:rsid w:val="00ED5141"/>
    <w:rsid w:val="00EE45A9"/>
    <w:rsid w:val="00EF23C9"/>
    <w:rsid w:val="00EF3EC7"/>
    <w:rsid w:val="00F00210"/>
    <w:rsid w:val="00F2118A"/>
    <w:rsid w:val="00F25BDC"/>
    <w:rsid w:val="00F30A08"/>
    <w:rsid w:val="00F3302C"/>
    <w:rsid w:val="00F36014"/>
    <w:rsid w:val="00F4550F"/>
    <w:rsid w:val="00F71D58"/>
    <w:rsid w:val="00F71E4C"/>
    <w:rsid w:val="00F828A8"/>
    <w:rsid w:val="00FA054F"/>
    <w:rsid w:val="00FA5511"/>
    <w:rsid w:val="00FC14F0"/>
    <w:rsid w:val="00FD2248"/>
    <w:rsid w:val="00FE7DE4"/>
    <w:rsid w:val="00FF3475"/>
    <w:rsid w:val="00FF3AA9"/>
    <w:rsid w:val="00FF73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AFDC5"/>
  <w15:chartTrackingRefBased/>
  <w15:docId w15:val="{8F1A3AC2-E762-423A-AC6C-FD9BEB3EA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64C13"/>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664C13"/>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664C13"/>
    <w:pPr>
      <w:keepNext/>
      <w:keepLines/>
      <w:spacing w:before="40" w:after="0"/>
      <w:outlineLvl w:val="2"/>
    </w:pPr>
    <w:rPr>
      <w:rFonts w:asciiTheme="majorHAnsi" w:eastAsiaTheme="majorEastAsia" w:hAnsiTheme="majorHAnsi"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C13"/>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664C13"/>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664C13"/>
    <w:rPr>
      <w:rFonts w:asciiTheme="majorHAnsi" w:eastAsiaTheme="majorEastAsia" w:hAnsiTheme="majorHAnsi" w:cstheme="majorBidi"/>
      <w:b/>
      <w:color w:val="1F3763" w:themeColor="accent1" w:themeShade="7F"/>
      <w:sz w:val="24"/>
      <w:szCs w:val="24"/>
    </w:rPr>
  </w:style>
  <w:style w:type="paragraph" w:customStyle="1" w:styleId="EndNoteBibliographyTitle">
    <w:name w:val="EndNote Bibliography Title"/>
    <w:basedOn w:val="Normal"/>
    <w:link w:val="EndNoteBibliographyTitleChar"/>
    <w:rsid w:val="00737A1C"/>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737A1C"/>
    <w:rPr>
      <w:rFonts w:ascii="Calibri" w:hAnsi="Calibri" w:cs="Calibri"/>
      <w:noProof/>
    </w:rPr>
  </w:style>
  <w:style w:type="paragraph" w:customStyle="1" w:styleId="EndNoteBibliography">
    <w:name w:val="EndNote Bibliography"/>
    <w:basedOn w:val="Normal"/>
    <w:link w:val="EndNoteBibliographyChar"/>
    <w:rsid w:val="00737A1C"/>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737A1C"/>
    <w:rPr>
      <w:rFonts w:ascii="Calibri" w:hAnsi="Calibri" w:cs="Calibri"/>
      <w:noProof/>
    </w:rPr>
  </w:style>
  <w:style w:type="table" w:styleId="TableGrid">
    <w:name w:val="Table Grid"/>
    <w:basedOn w:val="TableNormal"/>
    <w:uiPriority w:val="39"/>
    <w:rsid w:val="00955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71B7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E696F"/>
    <w:pPr>
      <w:outlineLvl w:val="9"/>
    </w:pPr>
    <w:rPr>
      <w:b w:val="0"/>
      <w:kern w:val="0"/>
      <w14:ligatures w14:val="none"/>
    </w:rPr>
  </w:style>
  <w:style w:type="paragraph" w:styleId="TOC1">
    <w:name w:val="toc 1"/>
    <w:basedOn w:val="Normal"/>
    <w:next w:val="Normal"/>
    <w:autoRedefine/>
    <w:uiPriority w:val="39"/>
    <w:unhideWhenUsed/>
    <w:rsid w:val="00CE696F"/>
    <w:pPr>
      <w:spacing w:after="100"/>
    </w:pPr>
  </w:style>
  <w:style w:type="paragraph" w:styleId="TOC2">
    <w:name w:val="toc 2"/>
    <w:basedOn w:val="Normal"/>
    <w:next w:val="Normal"/>
    <w:autoRedefine/>
    <w:uiPriority w:val="39"/>
    <w:unhideWhenUsed/>
    <w:rsid w:val="00CE696F"/>
    <w:pPr>
      <w:spacing w:after="100"/>
      <w:ind w:left="220"/>
    </w:pPr>
  </w:style>
  <w:style w:type="paragraph" w:styleId="TOC3">
    <w:name w:val="toc 3"/>
    <w:basedOn w:val="Normal"/>
    <w:next w:val="Normal"/>
    <w:autoRedefine/>
    <w:uiPriority w:val="39"/>
    <w:unhideWhenUsed/>
    <w:rsid w:val="00CE696F"/>
    <w:pPr>
      <w:spacing w:after="100"/>
      <w:ind w:left="440"/>
    </w:pPr>
  </w:style>
  <w:style w:type="character" w:styleId="Hyperlink">
    <w:name w:val="Hyperlink"/>
    <w:basedOn w:val="DefaultParagraphFont"/>
    <w:uiPriority w:val="99"/>
    <w:unhideWhenUsed/>
    <w:rsid w:val="00CE69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05262">
      <w:bodyDiv w:val="1"/>
      <w:marLeft w:val="0"/>
      <w:marRight w:val="0"/>
      <w:marTop w:val="0"/>
      <w:marBottom w:val="0"/>
      <w:divBdr>
        <w:top w:val="none" w:sz="0" w:space="0" w:color="auto"/>
        <w:left w:val="none" w:sz="0" w:space="0" w:color="auto"/>
        <w:bottom w:val="none" w:sz="0" w:space="0" w:color="auto"/>
        <w:right w:val="none" w:sz="0" w:space="0" w:color="auto"/>
      </w:divBdr>
    </w:div>
    <w:div w:id="97146873">
      <w:bodyDiv w:val="1"/>
      <w:marLeft w:val="0"/>
      <w:marRight w:val="0"/>
      <w:marTop w:val="0"/>
      <w:marBottom w:val="0"/>
      <w:divBdr>
        <w:top w:val="none" w:sz="0" w:space="0" w:color="auto"/>
        <w:left w:val="none" w:sz="0" w:space="0" w:color="auto"/>
        <w:bottom w:val="none" w:sz="0" w:space="0" w:color="auto"/>
        <w:right w:val="none" w:sz="0" w:space="0" w:color="auto"/>
      </w:divBdr>
    </w:div>
    <w:div w:id="98992025">
      <w:bodyDiv w:val="1"/>
      <w:marLeft w:val="0"/>
      <w:marRight w:val="0"/>
      <w:marTop w:val="0"/>
      <w:marBottom w:val="0"/>
      <w:divBdr>
        <w:top w:val="none" w:sz="0" w:space="0" w:color="auto"/>
        <w:left w:val="none" w:sz="0" w:space="0" w:color="auto"/>
        <w:bottom w:val="none" w:sz="0" w:space="0" w:color="auto"/>
        <w:right w:val="none" w:sz="0" w:space="0" w:color="auto"/>
      </w:divBdr>
    </w:div>
    <w:div w:id="163012740">
      <w:bodyDiv w:val="1"/>
      <w:marLeft w:val="0"/>
      <w:marRight w:val="0"/>
      <w:marTop w:val="0"/>
      <w:marBottom w:val="0"/>
      <w:divBdr>
        <w:top w:val="none" w:sz="0" w:space="0" w:color="auto"/>
        <w:left w:val="none" w:sz="0" w:space="0" w:color="auto"/>
        <w:bottom w:val="none" w:sz="0" w:space="0" w:color="auto"/>
        <w:right w:val="none" w:sz="0" w:space="0" w:color="auto"/>
      </w:divBdr>
    </w:div>
    <w:div w:id="170461864">
      <w:bodyDiv w:val="1"/>
      <w:marLeft w:val="0"/>
      <w:marRight w:val="0"/>
      <w:marTop w:val="0"/>
      <w:marBottom w:val="0"/>
      <w:divBdr>
        <w:top w:val="none" w:sz="0" w:space="0" w:color="auto"/>
        <w:left w:val="none" w:sz="0" w:space="0" w:color="auto"/>
        <w:bottom w:val="none" w:sz="0" w:space="0" w:color="auto"/>
        <w:right w:val="none" w:sz="0" w:space="0" w:color="auto"/>
      </w:divBdr>
    </w:div>
    <w:div w:id="197594366">
      <w:bodyDiv w:val="1"/>
      <w:marLeft w:val="0"/>
      <w:marRight w:val="0"/>
      <w:marTop w:val="0"/>
      <w:marBottom w:val="0"/>
      <w:divBdr>
        <w:top w:val="none" w:sz="0" w:space="0" w:color="auto"/>
        <w:left w:val="none" w:sz="0" w:space="0" w:color="auto"/>
        <w:bottom w:val="none" w:sz="0" w:space="0" w:color="auto"/>
        <w:right w:val="none" w:sz="0" w:space="0" w:color="auto"/>
      </w:divBdr>
    </w:div>
    <w:div w:id="211813020">
      <w:bodyDiv w:val="1"/>
      <w:marLeft w:val="0"/>
      <w:marRight w:val="0"/>
      <w:marTop w:val="0"/>
      <w:marBottom w:val="0"/>
      <w:divBdr>
        <w:top w:val="none" w:sz="0" w:space="0" w:color="auto"/>
        <w:left w:val="none" w:sz="0" w:space="0" w:color="auto"/>
        <w:bottom w:val="none" w:sz="0" w:space="0" w:color="auto"/>
        <w:right w:val="none" w:sz="0" w:space="0" w:color="auto"/>
      </w:divBdr>
    </w:div>
    <w:div w:id="216404989">
      <w:bodyDiv w:val="1"/>
      <w:marLeft w:val="0"/>
      <w:marRight w:val="0"/>
      <w:marTop w:val="0"/>
      <w:marBottom w:val="0"/>
      <w:divBdr>
        <w:top w:val="none" w:sz="0" w:space="0" w:color="auto"/>
        <w:left w:val="none" w:sz="0" w:space="0" w:color="auto"/>
        <w:bottom w:val="none" w:sz="0" w:space="0" w:color="auto"/>
        <w:right w:val="none" w:sz="0" w:space="0" w:color="auto"/>
      </w:divBdr>
    </w:div>
    <w:div w:id="259215865">
      <w:bodyDiv w:val="1"/>
      <w:marLeft w:val="0"/>
      <w:marRight w:val="0"/>
      <w:marTop w:val="0"/>
      <w:marBottom w:val="0"/>
      <w:divBdr>
        <w:top w:val="none" w:sz="0" w:space="0" w:color="auto"/>
        <w:left w:val="none" w:sz="0" w:space="0" w:color="auto"/>
        <w:bottom w:val="none" w:sz="0" w:space="0" w:color="auto"/>
        <w:right w:val="none" w:sz="0" w:space="0" w:color="auto"/>
      </w:divBdr>
    </w:div>
    <w:div w:id="282470013">
      <w:bodyDiv w:val="1"/>
      <w:marLeft w:val="0"/>
      <w:marRight w:val="0"/>
      <w:marTop w:val="0"/>
      <w:marBottom w:val="0"/>
      <w:divBdr>
        <w:top w:val="none" w:sz="0" w:space="0" w:color="auto"/>
        <w:left w:val="none" w:sz="0" w:space="0" w:color="auto"/>
        <w:bottom w:val="none" w:sz="0" w:space="0" w:color="auto"/>
        <w:right w:val="none" w:sz="0" w:space="0" w:color="auto"/>
      </w:divBdr>
    </w:div>
    <w:div w:id="307787481">
      <w:bodyDiv w:val="1"/>
      <w:marLeft w:val="0"/>
      <w:marRight w:val="0"/>
      <w:marTop w:val="0"/>
      <w:marBottom w:val="0"/>
      <w:divBdr>
        <w:top w:val="none" w:sz="0" w:space="0" w:color="auto"/>
        <w:left w:val="none" w:sz="0" w:space="0" w:color="auto"/>
        <w:bottom w:val="none" w:sz="0" w:space="0" w:color="auto"/>
        <w:right w:val="none" w:sz="0" w:space="0" w:color="auto"/>
      </w:divBdr>
    </w:div>
    <w:div w:id="326398756">
      <w:bodyDiv w:val="1"/>
      <w:marLeft w:val="0"/>
      <w:marRight w:val="0"/>
      <w:marTop w:val="0"/>
      <w:marBottom w:val="0"/>
      <w:divBdr>
        <w:top w:val="none" w:sz="0" w:space="0" w:color="auto"/>
        <w:left w:val="none" w:sz="0" w:space="0" w:color="auto"/>
        <w:bottom w:val="none" w:sz="0" w:space="0" w:color="auto"/>
        <w:right w:val="none" w:sz="0" w:space="0" w:color="auto"/>
      </w:divBdr>
    </w:div>
    <w:div w:id="361446553">
      <w:bodyDiv w:val="1"/>
      <w:marLeft w:val="0"/>
      <w:marRight w:val="0"/>
      <w:marTop w:val="0"/>
      <w:marBottom w:val="0"/>
      <w:divBdr>
        <w:top w:val="none" w:sz="0" w:space="0" w:color="auto"/>
        <w:left w:val="none" w:sz="0" w:space="0" w:color="auto"/>
        <w:bottom w:val="none" w:sz="0" w:space="0" w:color="auto"/>
        <w:right w:val="none" w:sz="0" w:space="0" w:color="auto"/>
      </w:divBdr>
    </w:div>
    <w:div w:id="425461234">
      <w:bodyDiv w:val="1"/>
      <w:marLeft w:val="0"/>
      <w:marRight w:val="0"/>
      <w:marTop w:val="0"/>
      <w:marBottom w:val="0"/>
      <w:divBdr>
        <w:top w:val="none" w:sz="0" w:space="0" w:color="auto"/>
        <w:left w:val="none" w:sz="0" w:space="0" w:color="auto"/>
        <w:bottom w:val="none" w:sz="0" w:space="0" w:color="auto"/>
        <w:right w:val="none" w:sz="0" w:space="0" w:color="auto"/>
      </w:divBdr>
    </w:div>
    <w:div w:id="440343600">
      <w:bodyDiv w:val="1"/>
      <w:marLeft w:val="0"/>
      <w:marRight w:val="0"/>
      <w:marTop w:val="0"/>
      <w:marBottom w:val="0"/>
      <w:divBdr>
        <w:top w:val="none" w:sz="0" w:space="0" w:color="auto"/>
        <w:left w:val="none" w:sz="0" w:space="0" w:color="auto"/>
        <w:bottom w:val="none" w:sz="0" w:space="0" w:color="auto"/>
        <w:right w:val="none" w:sz="0" w:space="0" w:color="auto"/>
      </w:divBdr>
    </w:div>
    <w:div w:id="452946088">
      <w:bodyDiv w:val="1"/>
      <w:marLeft w:val="0"/>
      <w:marRight w:val="0"/>
      <w:marTop w:val="0"/>
      <w:marBottom w:val="0"/>
      <w:divBdr>
        <w:top w:val="none" w:sz="0" w:space="0" w:color="auto"/>
        <w:left w:val="none" w:sz="0" w:space="0" w:color="auto"/>
        <w:bottom w:val="none" w:sz="0" w:space="0" w:color="auto"/>
        <w:right w:val="none" w:sz="0" w:space="0" w:color="auto"/>
      </w:divBdr>
    </w:div>
    <w:div w:id="544146861">
      <w:bodyDiv w:val="1"/>
      <w:marLeft w:val="0"/>
      <w:marRight w:val="0"/>
      <w:marTop w:val="0"/>
      <w:marBottom w:val="0"/>
      <w:divBdr>
        <w:top w:val="none" w:sz="0" w:space="0" w:color="auto"/>
        <w:left w:val="none" w:sz="0" w:space="0" w:color="auto"/>
        <w:bottom w:val="none" w:sz="0" w:space="0" w:color="auto"/>
        <w:right w:val="none" w:sz="0" w:space="0" w:color="auto"/>
      </w:divBdr>
    </w:div>
    <w:div w:id="578910596">
      <w:bodyDiv w:val="1"/>
      <w:marLeft w:val="0"/>
      <w:marRight w:val="0"/>
      <w:marTop w:val="0"/>
      <w:marBottom w:val="0"/>
      <w:divBdr>
        <w:top w:val="none" w:sz="0" w:space="0" w:color="auto"/>
        <w:left w:val="none" w:sz="0" w:space="0" w:color="auto"/>
        <w:bottom w:val="none" w:sz="0" w:space="0" w:color="auto"/>
        <w:right w:val="none" w:sz="0" w:space="0" w:color="auto"/>
      </w:divBdr>
    </w:div>
    <w:div w:id="589772224">
      <w:bodyDiv w:val="1"/>
      <w:marLeft w:val="0"/>
      <w:marRight w:val="0"/>
      <w:marTop w:val="0"/>
      <w:marBottom w:val="0"/>
      <w:divBdr>
        <w:top w:val="none" w:sz="0" w:space="0" w:color="auto"/>
        <w:left w:val="none" w:sz="0" w:space="0" w:color="auto"/>
        <w:bottom w:val="none" w:sz="0" w:space="0" w:color="auto"/>
        <w:right w:val="none" w:sz="0" w:space="0" w:color="auto"/>
      </w:divBdr>
    </w:div>
    <w:div w:id="593245814">
      <w:bodyDiv w:val="1"/>
      <w:marLeft w:val="0"/>
      <w:marRight w:val="0"/>
      <w:marTop w:val="0"/>
      <w:marBottom w:val="0"/>
      <w:divBdr>
        <w:top w:val="none" w:sz="0" w:space="0" w:color="auto"/>
        <w:left w:val="none" w:sz="0" w:space="0" w:color="auto"/>
        <w:bottom w:val="none" w:sz="0" w:space="0" w:color="auto"/>
        <w:right w:val="none" w:sz="0" w:space="0" w:color="auto"/>
      </w:divBdr>
    </w:div>
    <w:div w:id="621543905">
      <w:bodyDiv w:val="1"/>
      <w:marLeft w:val="0"/>
      <w:marRight w:val="0"/>
      <w:marTop w:val="0"/>
      <w:marBottom w:val="0"/>
      <w:divBdr>
        <w:top w:val="none" w:sz="0" w:space="0" w:color="auto"/>
        <w:left w:val="none" w:sz="0" w:space="0" w:color="auto"/>
        <w:bottom w:val="none" w:sz="0" w:space="0" w:color="auto"/>
        <w:right w:val="none" w:sz="0" w:space="0" w:color="auto"/>
      </w:divBdr>
    </w:div>
    <w:div w:id="634457088">
      <w:bodyDiv w:val="1"/>
      <w:marLeft w:val="0"/>
      <w:marRight w:val="0"/>
      <w:marTop w:val="0"/>
      <w:marBottom w:val="0"/>
      <w:divBdr>
        <w:top w:val="none" w:sz="0" w:space="0" w:color="auto"/>
        <w:left w:val="none" w:sz="0" w:space="0" w:color="auto"/>
        <w:bottom w:val="none" w:sz="0" w:space="0" w:color="auto"/>
        <w:right w:val="none" w:sz="0" w:space="0" w:color="auto"/>
      </w:divBdr>
    </w:div>
    <w:div w:id="648023507">
      <w:bodyDiv w:val="1"/>
      <w:marLeft w:val="0"/>
      <w:marRight w:val="0"/>
      <w:marTop w:val="0"/>
      <w:marBottom w:val="0"/>
      <w:divBdr>
        <w:top w:val="none" w:sz="0" w:space="0" w:color="auto"/>
        <w:left w:val="none" w:sz="0" w:space="0" w:color="auto"/>
        <w:bottom w:val="none" w:sz="0" w:space="0" w:color="auto"/>
        <w:right w:val="none" w:sz="0" w:space="0" w:color="auto"/>
      </w:divBdr>
    </w:div>
    <w:div w:id="661544616">
      <w:bodyDiv w:val="1"/>
      <w:marLeft w:val="0"/>
      <w:marRight w:val="0"/>
      <w:marTop w:val="0"/>
      <w:marBottom w:val="0"/>
      <w:divBdr>
        <w:top w:val="none" w:sz="0" w:space="0" w:color="auto"/>
        <w:left w:val="none" w:sz="0" w:space="0" w:color="auto"/>
        <w:bottom w:val="none" w:sz="0" w:space="0" w:color="auto"/>
        <w:right w:val="none" w:sz="0" w:space="0" w:color="auto"/>
      </w:divBdr>
      <w:divsChild>
        <w:div w:id="935753187">
          <w:marLeft w:val="0"/>
          <w:marRight w:val="0"/>
          <w:marTop w:val="0"/>
          <w:marBottom w:val="0"/>
          <w:divBdr>
            <w:top w:val="none" w:sz="0" w:space="0" w:color="auto"/>
            <w:left w:val="none" w:sz="0" w:space="0" w:color="auto"/>
            <w:bottom w:val="none" w:sz="0" w:space="0" w:color="auto"/>
            <w:right w:val="none" w:sz="0" w:space="0" w:color="auto"/>
          </w:divBdr>
          <w:divsChild>
            <w:div w:id="1374424987">
              <w:marLeft w:val="0"/>
              <w:marRight w:val="0"/>
              <w:marTop w:val="0"/>
              <w:marBottom w:val="0"/>
              <w:divBdr>
                <w:top w:val="none" w:sz="0" w:space="0" w:color="auto"/>
                <w:left w:val="none" w:sz="0" w:space="0" w:color="auto"/>
                <w:bottom w:val="none" w:sz="0" w:space="0" w:color="auto"/>
                <w:right w:val="none" w:sz="0" w:space="0" w:color="auto"/>
              </w:divBdr>
              <w:divsChild>
                <w:div w:id="7098376">
                  <w:marLeft w:val="0"/>
                  <w:marRight w:val="0"/>
                  <w:marTop w:val="0"/>
                  <w:marBottom w:val="0"/>
                  <w:divBdr>
                    <w:top w:val="none" w:sz="0" w:space="0" w:color="auto"/>
                    <w:left w:val="none" w:sz="0" w:space="0" w:color="auto"/>
                    <w:bottom w:val="none" w:sz="0" w:space="0" w:color="auto"/>
                    <w:right w:val="none" w:sz="0" w:space="0" w:color="auto"/>
                  </w:divBdr>
                  <w:divsChild>
                    <w:div w:id="22730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18114">
          <w:marLeft w:val="0"/>
          <w:marRight w:val="0"/>
          <w:marTop w:val="0"/>
          <w:marBottom w:val="0"/>
          <w:divBdr>
            <w:top w:val="none" w:sz="0" w:space="0" w:color="auto"/>
            <w:left w:val="none" w:sz="0" w:space="0" w:color="auto"/>
            <w:bottom w:val="none" w:sz="0" w:space="0" w:color="auto"/>
            <w:right w:val="none" w:sz="0" w:space="0" w:color="auto"/>
          </w:divBdr>
          <w:divsChild>
            <w:div w:id="239100114">
              <w:marLeft w:val="0"/>
              <w:marRight w:val="0"/>
              <w:marTop w:val="0"/>
              <w:marBottom w:val="0"/>
              <w:divBdr>
                <w:top w:val="none" w:sz="0" w:space="0" w:color="auto"/>
                <w:left w:val="none" w:sz="0" w:space="0" w:color="auto"/>
                <w:bottom w:val="none" w:sz="0" w:space="0" w:color="auto"/>
                <w:right w:val="none" w:sz="0" w:space="0" w:color="auto"/>
              </w:divBdr>
              <w:divsChild>
                <w:div w:id="1275600458">
                  <w:marLeft w:val="0"/>
                  <w:marRight w:val="0"/>
                  <w:marTop w:val="0"/>
                  <w:marBottom w:val="0"/>
                  <w:divBdr>
                    <w:top w:val="none" w:sz="0" w:space="0" w:color="auto"/>
                    <w:left w:val="none" w:sz="0" w:space="0" w:color="auto"/>
                    <w:bottom w:val="none" w:sz="0" w:space="0" w:color="auto"/>
                    <w:right w:val="none" w:sz="0" w:space="0" w:color="auto"/>
                  </w:divBdr>
                  <w:divsChild>
                    <w:div w:id="53177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940531">
      <w:bodyDiv w:val="1"/>
      <w:marLeft w:val="0"/>
      <w:marRight w:val="0"/>
      <w:marTop w:val="0"/>
      <w:marBottom w:val="0"/>
      <w:divBdr>
        <w:top w:val="none" w:sz="0" w:space="0" w:color="auto"/>
        <w:left w:val="none" w:sz="0" w:space="0" w:color="auto"/>
        <w:bottom w:val="none" w:sz="0" w:space="0" w:color="auto"/>
        <w:right w:val="none" w:sz="0" w:space="0" w:color="auto"/>
      </w:divBdr>
    </w:div>
    <w:div w:id="725640565">
      <w:bodyDiv w:val="1"/>
      <w:marLeft w:val="0"/>
      <w:marRight w:val="0"/>
      <w:marTop w:val="0"/>
      <w:marBottom w:val="0"/>
      <w:divBdr>
        <w:top w:val="none" w:sz="0" w:space="0" w:color="auto"/>
        <w:left w:val="none" w:sz="0" w:space="0" w:color="auto"/>
        <w:bottom w:val="none" w:sz="0" w:space="0" w:color="auto"/>
        <w:right w:val="none" w:sz="0" w:space="0" w:color="auto"/>
      </w:divBdr>
    </w:div>
    <w:div w:id="755900141">
      <w:bodyDiv w:val="1"/>
      <w:marLeft w:val="0"/>
      <w:marRight w:val="0"/>
      <w:marTop w:val="0"/>
      <w:marBottom w:val="0"/>
      <w:divBdr>
        <w:top w:val="none" w:sz="0" w:space="0" w:color="auto"/>
        <w:left w:val="none" w:sz="0" w:space="0" w:color="auto"/>
        <w:bottom w:val="none" w:sz="0" w:space="0" w:color="auto"/>
        <w:right w:val="none" w:sz="0" w:space="0" w:color="auto"/>
      </w:divBdr>
    </w:div>
    <w:div w:id="773287135">
      <w:bodyDiv w:val="1"/>
      <w:marLeft w:val="0"/>
      <w:marRight w:val="0"/>
      <w:marTop w:val="0"/>
      <w:marBottom w:val="0"/>
      <w:divBdr>
        <w:top w:val="none" w:sz="0" w:space="0" w:color="auto"/>
        <w:left w:val="none" w:sz="0" w:space="0" w:color="auto"/>
        <w:bottom w:val="none" w:sz="0" w:space="0" w:color="auto"/>
        <w:right w:val="none" w:sz="0" w:space="0" w:color="auto"/>
      </w:divBdr>
    </w:div>
    <w:div w:id="855271550">
      <w:bodyDiv w:val="1"/>
      <w:marLeft w:val="0"/>
      <w:marRight w:val="0"/>
      <w:marTop w:val="0"/>
      <w:marBottom w:val="0"/>
      <w:divBdr>
        <w:top w:val="none" w:sz="0" w:space="0" w:color="auto"/>
        <w:left w:val="none" w:sz="0" w:space="0" w:color="auto"/>
        <w:bottom w:val="none" w:sz="0" w:space="0" w:color="auto"/>
        <w:right w:val="none" w:sz="0" w:space="0" w:color="auto"/>
      </w:divBdr>
    </w:div>
    <w:div w:id="879974300">
      <w:bodyDiv w:val="1"/>
      <w:marLeft w:val="0"/>
      <w:marRight w:val="0"/>
      <w:marTop w:val="0"/>
      <w:marBottom w:val="0"/>
      <w:divBdr>
        <w:top w:val="none" w:sz="0" w:space="0" w:color="auto"/>
        <w:left w:val="none" w:sz="0" w:space="0" w:color="auto"/>
        <w:bottom w:val="none" w:sz="0" w:space="0" w:color="auto"/>
        <w:right w:val="none" w:sz="0" w:space="0" w:color="auto"/>
      </w:divBdr>
    </w:div>
    <w:div w:id="910313720">
      <w:bodyDiv w:val="1"/>
      <w:marLeft w:val="0"/>
      <w:marRight w:val="0"/>
      <w:marTop w:val="0"/>
      <w:marBottom w:val="0"/>
      <w:divBdr>
        <w:top w:val="none" w:sz="0" w:space="0" w:color="auto"/>
        <w:left w:val="none" w:sz="0" w:space="0" w:color="auto"/>
        <w:bottom w:val="none" w:sz="0" w:space="0" w:color="auto"/>
        <w:right w:val="none" w:sz="0" w:space="0" w:color="auto"/>
      </w:divBdr>
    </w:div>
    <w:div w:id="969826432">
      <w:bodyDiv w:val="1"/>
      <w:marLeft w:val="0"/>
      <w:marRight w:val="0"/>
      <w:marTop w:val="0"/>
      <w:marBottom w:val="0"/>
      <w:divBdr>
        <w:top w:val="none" w:sz="0" w:space="0" w:color="auto"/>
        <w:left w:val="none" w:sz="0" w:space="0" w:color="auto"/>
        <w:bottom w:val="none" w:sz="0" w:space="0" w:color="auto"/>
        <w:right w:val="none" w:sz="0" w:space="0" w:color="auto"/>
      </w:divBdr>
    </w:div>
    <w:div w:id="1015578505">
      <w:bodyDiv w:val="1"/>
      <w:marLeft w:val="0"/>
      <w:marRight w:val="0"/>
      <w:marTop w:val="0"/>
      <w:marBottom w:val="0"/>
      <w:divBdr>
        <w:top w:val="none" w:sz="0" w:space="0" w:color="auto"/>
        <w:left w:val="none" w:sz="0" w:space="0" w:color="auto"/>
        <w:bottom w:val="none" w:sz="0" w:space="0" w:color="auto"/>
        <w:right w:val="none" w:sz="0" w:space="0" w:color="auto"/>
      </w:divBdr>
    </w:div>
    <w:div w:id="1025442080">
      <w:bodyDiv w:val="1"/>
      <w:marLeft w:val="0"/>
      <w:marRight w:val="0"/>
      <w:marTop w:val="0"/>
      <w:marBottom w:val="0"/>
      <w:divBdr>
        <w:top w:val="none" w:sz="0" w:space="0" w:color="auto"/>
        <w:left w:val="none" w:sz="0" w:space="0" w:color="auto"/>
        <w:bottom w:val="none" w:sz="0" w:space="0" w:color="auto"/>
        <w:right w:val="none" w:sz="0" w:space="0" w:color="auto"/>
      </w:divBdr>
    </w:div>
    <w:div w:id="1059278916">
      <w:bodyDiv w:val="1"/>
      <w:marLeft w:val="0"/>
      <w:marRight w:val="0"/>
      <w:marTop w:val="0"/>
      <w:marBottom w:val="0"/>
      <w:divBdr>
        <w:top w:val="none" w:sz="0" w:space="0" w:color="auto"/>
        <w:left w:val="none" w:sz="0" w:space="0" w:color="auto"/>
        <w:bottom w:val="none" w:sz="0" w:space="0" w:color="auto"/>
        <w:right w:val="none" w:sz="0" w:space="0" w:color="auto"/>
      </w:divBdr>
      <w:divsChild>
        <w:div w:id="467430316">
          <w:marLeft w:val="0"/>
          <w:marRight w:val="0"/>
          <w:marTop w:val="0"/>
          <w:marBottom w:val="0"/>
          <w:divBdr>
            <w:top w:val="none" w:sz="0" w:space="0" w:color="auto"/>
            <w:left w:val="none" w:sz="0" w:space="0" w:color="auto"/>
            <w:bottom w:val="none" w:sz="0" w:space="0" w:color="auto"/>
            <w:right w:val="none" w:sz="0" w:space="0" w:color="auto"/>
          </w:divBdr>
          <w:divsChild>
            <w:div w:id="69431194">
              <w:marLeft w:val="0"/>
              <w:marRight w:val="0"/>
              <w:marTop w:val="0"/>
              <w:marBottom w:val="0"/>
              <w:divBdr>
                <w:top w:val="none" w:sz="0" w:space="0" w:color="auto"/>
                <w:left w:val="none" w:sz="0" w:space="0" w:color="auto"/>
                <w:bottom w:val="none" w:sz="0" w:space="0" w:color="auto"/>
                <w:right w:val="none" w:sz="0" w:space="0" w:color="auto"/>
              </w:divBdr>
              <w:divsChild>
                <w:div w:id="1095250420">
                  <w:marLeft w:val="0"/>
                  <w:marRight w:val="0"/>
                  <w:marTop w:val="0"/>
                  <w:marBottom w:val="0"/>
                  <w:divBdr>
                    <w:top w:val="none" w:sz="0" w:space="0" w:color="auto"/>
                    <w:left w:val="none" w:sz="0" w:space="0" w:color="auto"/>
                    <w:bottom w:val="none" w:sz="0" w:space="0" w:color="auto"/>
                    <w:right w:val="none" w:sz="0" w:space="0" w:color="auto"/>
                  </w:divBdr>
                  <w:divsChild>
                    <w:div w:id="1796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4296">
          <w:marLeft w:val="0"/>
          <w:marRight w:val="0"/>
          <w:marTop w:val="0"/>
          <w:marBottom w:val="0"/>
          <w:divBdr>
            <w:top w:val="none" w:sz="0" w:space="0" w:color="auto"/>
            <w:left w:val="none" w:sz="0" w:space="0" w:color="auto"/>
            <w:bottom w:val="none" w:sz="0" w:space="0" w:color="auto"/>
            <w:right w:val="none" w:sz="0" w:space="0" w:color="auto"/>
          </w:divBdr>
          <w:divsChild>
            <w:div w:id="1917589490">
              <w:marLeft w:val="0"/>
              <w:marRight w:val="0"/>
              <w:marTop w:val="0"/>
              <w:marBottom w:val="0"/>
              <w:divBdr>
                <w:top w:val="none" w:sz="0" w:space="0" w:color="auto"/>
                <w:left w:val="none" w:sz="0" w:space="0" w:color="auto"/>
                <w:bottom w:val="none" w:sz="0" w:space="0" w:color="auto"/>
                <w:right w:val="none" w:sz="0" w:space="0" w:color="auto"/>
              </w:divBdr>
              <w:divsChild>
                <w:div w:id="1450860030">
                  <w:marLeft w:val="0"/>
                  <w:marRight w:val="0"/>
                  <w:marTop w:val="0"/>
                  <w:marBottom w:val="0"/>
                  <w:divBdr>
                    <w:top w:val="none" w:sz="0" w:space="0" w:color="auto"/>
                    <w:left w:val="none" w:sz="0" w:space="0" w:color="auto"/>
                    <w:bottom w:val="none" w:sz="0" w:space="0" w:color="auto"/>
                    <w:right w:val="none" w:sz="0" w:space="0" w:color="auto"/>
                  </w:divBdr>
                  <w:divsChild>
                    <w:div w:id="9937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075922">
      <w:bodyDiv w:val="1"/>
      <w:marLeft w:val="0"/>
      <w:marRight w:val="0"/>
      <w:marTop w:val="0"/>
      <w:marBottom w:val="0"/>
      <w:divBdr>
        <w:top w:val="none" w:sz="0" w:space="0" w:color="auto"/>
        <w:left w:val="none" w:sz="0" w:space="0" w:color="auto"/>
        <w:bottom w:val="none" w:sz="0" w:space="0" w:color="auto"/>
        <w:right w:val="none" w:sz="0" w:space="0" w:color="auto"/>
      </w:divBdr>
    </w:div>
    <w:div w:id="1282760704">
      <w:bodyDiv w:val="1"/>
      <w:marLeft w:val="0"/>
      <w:marRight w:val="0"/>
      <w:marTop w:val="0"/>
      <w:marBottom w:val="0"/>
      <w:divBdr>
        <w:top w:val="none" w:sz="0" w:space="0" w:color="auto"/>
        <w:left w:val="none" w:sz="0" w:space="0" w:color="auto"/>
        <w:bottom w:val="none" w:sz="0" w:space="0" w:color="auto"/>
        <w:right w:val="none" w:sz="0" w:space="0" w:color="auto"/>
      </w:divBdr>
    </w:div>
    <w:div w:id="1304306922">
      <w:bodyDiv w:val="1"/>
      <w:marLeft w:val="0"/>
      <w:marRight w:val="0"/>
      <w:marTop w:val="0"/>
      <w:marBottom w:val="0"/>
      <w:divBdr>
        <w:top w:val="none" w:sz="0" w:space="0" w:color="auto"/>
        <w:left w:val="none" w:sz="0" w:space="0" w:color="auto"/>
        <w:bottom w:val="none" w:sz="0" w:space="0" w:color="auto"/>
        <w:right w:val="none" w:sz="0" w:space="0" w:color="auto"/>
      </w:divBdr>
    </w:div>
    <w:div w:id="1360472507">
      <w:bodyDiv w:val="1"/>
      <w:marLeft w:val="0"/>
      <w:marRight w:val="0"/>
      <w:marTop w:val="0"/>
      <w:marBottom w:val="0"/>
      <w:divBdr>
        <w:top w:val="none" w:sz="0" w:space="0" w:color="auto"/>
        <w:left w:val="none" w:sz="0" w:space="0" w:color="auto"/>
        <w:bottom w:val="none" w:sz="0" w:space="0" w:color="auto"/>
        <w:right w:val="none" w:sz="0" w:space="0" w:color="auto"/>
      </w:divBdr>
    </w:div>
    <w:div w:id="1400326713">
      <w:bodyDiv w:val="1"/>
      <w:marLeft w:val="0"/>
      <w:marRight w:val="0"/>
      <w:marTop w:val="0"/>
      <w:marBottom w:val="0"/>
      <w:divBdr>
        <w:top w:val="none" w:sz="0" w:space="0" w:color="auto"/>
        <w:left w:val="none" w:sz="0" w:space="0" w:color="auto"/>
        <w:bottom w:val="none" w:sz="0" w:space="0" w:color="auto"/>
        <w:right w:val="none" w:sz="0" w:space="0" w:color="auto"/>
      </w:divBdr>
    </w:div>
    <w:div w:id="1521240306">
      <w:bodyDiv w:val="1"/>
      <w:marLeft w:val="0"/>
      <w:marRight w:val="0"/>
      <w:marTop w:val="0"/>
      <w:marBottom w:val="0"/>
      <w:divBdr>
        <w:top w:val="none" w:sz="0" w:space="0" w:color="auto"/>
        <w:left w:val="none" w:sz="0" w:space="0" w:color="auto"/>
        <w:bottom w:val="none" w:sz="0" w:space="0" w:color="auto"/>
        <w:right w:val="none" w:sz="0" w:space="0" w:color="auto"/>
      </w:divBdr>
    </w:div>
    <w:div w:id="1527065278">
      <w:bodyDiv w:val="1"/>
      <w:marLeft w:val="0"/>
      <w:marRight w:val="0"/>
      <w:marTop w:val="0"/>
      <w:marBottom w:val="0"/>
      <w:divBdr>
        <w:top w:val="none" w:sz="0" w:space="0" w:color="auto"/>
        <w:left w:val="none" w:sz="0" w:space="0" w:color="auto"/>
        <w:bottom w:val="none" w:sz="0" w:space="0" w:color="auto"/>
        <w:right w:val="none" w:sz="0" w:space="0" w:color="auto"/>
      </w:divBdr>
    </w:div>
    <w:div w:id="1534999803">
      <w:bodyDiv w:val="1"/>
      <w:marLeft w:val="0"/>
      <w:marRight w:val="0"/>
      <w:marTop w:val="0"/>
      <w:marBottom w:val="0"/>
      <w:divBdr>
        <w:top w:val="none" w:sz="0" w:space="0" w:color="auto"/>
        <w:left w:val="none" w:sz="0" w:space="0" w:color="auto"/>
        <w:bottom w:val="none" w:sz="0" w:space="0" w:color="auto"/>
        <w:right w:val="none" w:sz="0" w:space="0" w:color="auto"/>
      </w:divBdr>
    </w:div>
    <w:div w:id="1603606176">
      <w:bodyDiv w:val="1"/>
      <w:marLeft w:val="0"/>
      <w:marRight w:val="0"/>
      <w:marTop w:val="0"/>
      <w:marBottom w:val="0"/>
      <w:divBdr>
        <w:top w:val="none" w:sz="0" w:space="0" w:color="auto"/>
        <w:left w:val="none" w:sz="0" w:space="0" w:color="auto"/>
        <w:bottom w:val="none" w:sz="0" w:space="0" w:color="auto"/>
        <w:right w:val="none" w:sz="0" w:space="0" w:color="auto"/>
      </w:divBdr>
      <w:divsChild>
        <w:div w:id="811288003">
          <w:marLeft w:val="0"/>
          <w:marRight w:val="0"/>
          <w:marTop w:val="0"/>
          <w:marBottom w:val="0"/>
          <w:divBdr>
            <w:top w:val="single" w:sz="2" w:space="0" w:color="auto"/>
            <w:left w:val="single" w:sz="2" w:space="0" w:color="auto"/>
            <w:bottom w:val="single" w:sz="2" w:space="0" w:color="auto"/>
            <w:right w:val="single" w:sz="2" w:space="0" w:color="auto"/>
          </w:divBdr>
        </w:div>
      </w:divsChild>
    </w:div>
    <w:div w:id="1672676924">
      <w:bodyDiv w:val="1"/>
      <w:marLeft w:val="0"/>
      <w:marRight w:val="0"/>
      <w:marTop w:val="0"/>
      <w:marBottom w:val="0"/>
      <w:divBdr>
        <w:top w:val="none" w:sz="0" w:space="0" w:color="auto"/>
        <w:left w:val="none" w:sz="0" w:space="0" w:color="auto"/>
        <w:bottom w:val="none" w:sz="0" w:space="0" w:color="auto"/>
        <w:right w:val="none" w:sz="0" w:space="0" w:color="auto"/>
      </w:divBdr>
    </w:div>
    <w:div w:id="1772237675">
      <w:bodyDiv w:val="1"/>
      <w:marLeft w:val="0"/>
      <w:marRight w:val="0"/>
      <w:marTop w:val="0"/>
      <w:marBottom w:val="0"/>
      <w:divBdr>
        <w:top w:val="none" w:sz="0" w:space="0" w:color="auto"/>
        <w:left w:val="none" w:sz="0" w:space="0" w:color="auto"/>
        <w:bottom w:val="none" w:sz="0" w:space="0" w:color="auto"/>
        <w:right w:val="none" w:sz="0" w:space="0" w:color="auto"/>
      </w:divBdr>
    </w:div>
    <w:div w:id="1803383516">
      <w:bodyDiv w:val="1"/>
      <w:marLeft w:val="0"/>
      <w:marRight w:val="0"/>
      <w:marTop w:val="0"/>
      <w:marBottom w:val="0"/>
      <w:divBdr>
        <w:top w:val="none" w:sz="0" w:space="0" w:color="auto"/>
        <w:left w:val="none" w:sz="0" w:space="0" w:color="auto"/>
        <w:bottom w:val="none" w:sz="0" w:space="0" w:color="auto"/>
        <w:right w:val="none" w:sz="0" w:space="0" w:color="auto"/>
      </w:divBdr>
    </w:div>
    <w:div w:id="1809274057">
      <w:bodyDiv w:val="1"/>
      <w:marLeft w:val="0"/>
      <w:marRight w:val="0"/>
      <w:marTop w:val="0"/>
      <w:marBottom w:val="0"/>
      <w:divBdr>
        <w:top w:val="none" w:sz="0" w:space="0" w:color="auto"/>
        <w:left w:val="none" w:sz="0" w:space="0" w:color="auto"/>
        <w:bottom w:val="none" w:sz="0" w:space="0" w:color="auto"/>
        <w:right w:val="none" w:sz="0" w:space="0" w:color="auto"/>
      </w:divBdr>
    </w:div>
    <w:div w:id="1833333864">
      <w:bodyDiv w:val="1"/>
      <w:marLeft w:val="0"/>
      <w:marRight w:val="0"/>
      <w:marTop w:val="0"/>
      <w:marBottom w:val="0"/>
      <w:divBdr>
        <w:top w:val="none" w:sz="0" w:space="0" w:color="auto"/>
        <w:left w:val="none" w:sz="0" w:space="0" w:color="auto"/>
        <w:bottom w:val="none" w:sz="0" w:space="0" w:color="auto"/>
        <w:right w:val="none" w:sz="0" w:space="0" w:color="auto"/>
      </w:divBdr>
    </w:div>
    <w:div w:id="1840340610">
      <w:bodyDiv w:val="1"/>
      <w:marLeft w:val="0"/>
      <w:marRight w:val="0"/>
      <w:marTop w:val="0"/>
      <w:marBottom w:val="0"/>
      <w:divBdr>
        <w:top w:val="none" w:sz="0" w:space="0" w:color="auto"/>
        <w:left w:val="none" w:sz="0" w:space="0" w:color="auto"/>
        <w:bottom w:val="none" w:sz="0" w:space="0" w:color="auto"/>
        <w:right w:val="none" w:sz="0" w:space="0" w:color="auto"/>
      </w:divBdr>
    </w:div>
    <w:div w:id="1861620735">
      <w:bodyDiv w:val="1"/>
      <w:marLeft w:val="0"/>
      <w:marRight w:val="0"/>
      <w:marTop w:val="0"/>
      <w:marBottom w:val="0"/>
      <w:divBdr>
        <w:top w:val="none" w:sz="0" w:space="0" w:color="auto"/>
        <w:left w:val="none" w:sz="0" w:space="0" w:color="auto"/>
        <w:bottom w:val="none" w:sz="0" w:space="0" w:color="auto"/>
        <w:right w:val="none" w:sz="0" w:space="0" w:color="auto"/>
      </w:divBdr>
    </w:div>
    <w:div w:id="1998682377">
      <w:bodyDiv w:val="1"/>
      <w:marLeft w:val="0"/>
      <w:marRight w:val="0"/>
      <w:marTop w:val="0"/>
      <w:marBottom w:val="0"/>
      <w:divBdr>
        <w:top w:val="none" w:sz="0" w:space="0" w:color="auto"/>
        <w:left w:val="none" w:sz="0" w:space="0" w:color="auto"/>
        <w:bottom w:val="none" w:sz="0" w:space="0" w:color="auto"/>
        <w:right w:val="none" w:sz="0" w:space="0" w:color="auto"/>
      </w:divBdr>
    </w:div>
    <w:div w:id="2065835697">
      <w:bodyDiv w:val="1"/>
      <w:marLeft w:val="0"/>
      <w:marRight w:val="0"/>
      <w:marTop w:val="0"/>
      <w:marBottom w:val="0"/>
      <w:divBdr>
        <w:top w:val="none" w:sz="0" w:space="0" w:color="auto"/>
        <w:left w:val="none" w:sz="0" w:space="0" w:color="auto"/>
        <w:bottom w:val="none" w:sz="0" w:space="0" w:color="auto"/>
        <w:right w:val="none" w:sz="0" w:space="0" w:color="auto"/>
      </w:divBdr>
    </w:div>
    <w:div w:id="2124029289">
      <w:bodyDiv w:val="1"/>
      <w:marLeft w:val="0"/>
      <w:marRight w:val="0"/>
      <w:marTop w:val="0"/>
      <w:marBottom w:val="0"/>
      <w:divBdr>
        <w:top w:val="none" w:sz="0" w:space="0" w:color="auto"/>
        <w:left w:val="none" w:sz="0" w:space="0" w:color="auto"/>
        <w:bottom w:val="none" w:sz="0" w:space="0" w:color="auto"/>
        <w:right w:val="none" w:sz="0" w:space="0" w:color="auto"/>
      </w:divBdr>
    </w:div>
    <w:div w:id="2131044451">
      <w:bodyDiv w:val="1"/>
      <w:marLeft w:val="0"/>
      <w:marRight w:val="0"/>
      <w:marTop w:val="0"/>
      <w:marBottom w:val="0"/>
      <w:divBdr>
        <w:top w:val="none" w:sz="0" w:space="0" w:color="auto"/>
        <w:left w:val="none" w:sz="0" w:space="0" w:color="auto"/>
        <w:bottom w:val="none" w:sz="0" w:space="0" w:color="auto"/>
        <w:right w:val="none" w:sz="0" w:space="0" w:color="auto"/>
      </w:divBdr>
      <w:divsChild>
        <w:div w:id="96295502">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3DD73-00F5-4698-8D4F-841FA5DE6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21495</Words>
  <Characters>122528</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Global Office 3</cp:lastModifiedBy>
  <cp:revision>8</cp:revision>
  <dcterms:created xsi:type="dcterms:W3CDTF">2024-10-20T12:13:00Z</dcterms:created>
  <dcterms:modified xsi:type="dcterms:W3CDTF">2024-10-21T09:31:00Z</dcterms:modified>
</cp:coreProperties>
</file>