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4B92B79E" w14:textId="77777777" w:rsidR="00395E1F" w:rsidRPr="00395E1F" w:rsidRDefault="00395E1F" w:rsidP="00395E1F">
      <w:pPr>
        <w:bidi/>
        <w:jc w:val="center"/>
        <w:rPr>
          <w:rFonts w:ascii="Arial" w:hAnsi="Arial" w:cs="Akhbar MT"/>
          <w:b/>
          <w:bCs/>
          <w:sz w:val="44"/>
          <w:szCs w:val="44"/>
          <w:rtl/>
        </w:rPr>
      </w:pPr>
      <w:r>
        <w:rPr>
          <w:rFonts w:ascii="Arial" w:hAnsi="Arial" w:cs="Akhbar MT" w:hint="cs"/>
          <w:b/>
          <w:bCs/>
          <w:sz w:val="44"/>
          <w:szCs w:val="44"/>
          <w:rtl/>
        </w:rPr>
        <w:t xml:space="preserve">نموذج </w:t>
      </w:r>
    </w:p>
    <w:p w14:paraId="1A9CD56B" w14:textId="200159FA" w:rsidR="007A31DC" w:rsidRPr="00BE609B" w:rsidRDefault="00C11026" w:rsidP="00BE609B">
      <w:pPr>
        <w:bidi/>
        <w:jc w:val="center"/>
        <w:rPr>
          <w:rFonts w:ascii="Arial" w:hAnsi="Arial" w:cs="Monotype Koufi"/>
          <w:b/>
          <w:bCs/>
          <w:sz w:val="44"/>
          <w:szCs w:val="44"/>
          <w:rtl/>
        </w:rPr>
      </w:pPr>
      <w:r>
        <w:rPr>
          <w:rFonts w:ascii="Arial" w:hAnsi="Arial" w:cs="Monotype Koufi" w:hint="cs"/>
          <w:b/>
          <w:bCs/>
          <w:sz w:val="44"/>
          <w:szCs w:val="44"/>
          <w:rtl/>
        </w:rPr>
        <w:t xml:space="preserve">مشروع خطة أطروحة </w:t>
      </w:r>
      <w:r>
        <w:rPr>
          <w:rFonts w:ascii="Arial" w:hAnsi="Arial" w:cs="Arial" w:hint="cs"/>
          <w:b/>
          <w:bCs/>
          <w:sz w:val="44"/>
          <w:szCs w:val="44"/>
          <w:rtl/>
        </w:rPr>
        <w:t>للتسجيل لدرجة الدكتوراه</w:t>
      </w: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26787208" w14:textId="0FB3BF33" w:rsidR="001475E2" w:rsidRPr="0021414C" w:rsidRDefault="00BE609B" w:rsidP="0021414C">
      <w:pPr>
        <w:spacing w:line="360" w:lineRule="auto"/>
        <w:jc w:val="right"/>
        <w:rPr>
          <w:rFonts w:ascii="Arial" w:hAnsi="Arial" w:cs="Arial"/>
          <w:b/>
          <w:bCs/>
          <w:noProof/>
          <w:sz w:val="28"/>
          <w:szCs w:val="28"/>
          <w:rtl/>
        </w:rPr>
      </w:pPr>
      <w:r>
        <w:rPr>
          <w:rFonts w:ascii="Arial" w:hAnsi="Arial" w:cs="Arial" w:hint="cs"/>
          <w:b/>
          <w:bCs/>
          <w:noProof/>
          <w:sz w:val="28"/>
          <w:szCs w:val="28"/>
          <w:rtl/>
        </w:rPr>
        <w:t>العنوان</w:t>
      </w:r>
      <w:r>
        <w:rPr>
          <w:rFonts w:ascii="Arial" w:hAnsi="Arial" w:cs="Arial"/>
          <w:b/>
          <w:bCs/>
          <w:noProof/>
          <w:sz w:val="28"/>
          <w:szCs w:val="28"/>
          <w:rtl/>
        </w:rPr>
        <w:t xml:space="preserve"> باللغة </w:t>
      </w:r>
      <w:r>
        <w:rPr>
          <w:rFonts w:ascii="Arial" w:hAnsi="Arial" w:cs="Arial" w:hint="cs"/>
          <w:b/>
          <w:bCs/>
          <w:noProof/>
          <w:sz w:val="28"/>
          <w:szCs w:val="28"/>
          <w:rtl/>
        </w:rPr>
        <w:t>العربية</w:t>
      </w:r>
      <w:r>
        <w:rPr>
          <w:rFonts w:ascii="Arial" w:hAnsi="Arial" w:cs="Arial"/>
          <w:b/>
          <w:bCs/>
          <w:noProof/>
          <w:sz w:val="28"/>
          <w:szCs w:val="28"/>
          <w:rtl/>
        </w:rPr>
        <w:t xml:space="preserve">: </w:t>
      </w:r>
    </w:p>
    <w:p w14:paraId="31CD65D2" w14:textId="7274607A" w:rsidR="001475E2" w:rsidRDefault="001475E2" w:rsidP="001475E2">
      <w:pPr>
        <w:pStyle w:val="a8"/>
        <w:bidi/>
        <w:spacing w:before="0" w:beforeAutospacing="0" w:after="0" w:afterAutospacing="0" w:line="276" w:lineRule="auto"/>
        <w:ind w:right="-270"/>
        <w:jc w:val="center"/>
        <w:rPr>
          <w:rFonts w:ascii="Arial" w:hAnsi="Arial" w:cs="Arial"/>
          <w:b/>
          <w:bCs/>
          <w:color w:val="0070C0"/>
          <w:szCs w:val="28"/>
          <w:rtl/>
        </w:rPr>
      </w:pPr>
      <w:r>
        <w:rPr>
          <w:rFonts w:ascii="Arial" w:hAnsi="Arial" w:cs="Arial"/>
          <w:b/>
          <w:bCs/>
          <w:color w:val="0070C0"/>
          <w:szCs w:val="28"/>
          <w:rtl/>
        </w:rPr>
        <w:t>أثر توظيف تقنيات الذكاء الاصطناعي التوليدي في تصميم الحملات التسويقية الرقمية على فعالية الأداء التسويقي: نموذج تفسيري ميداني في وكالات التسويق السعودية</w:t>
      </w:r>
    </w:p>
    <w:p w14:paraId="234A30E1" w14:textId="77777777" w:rsidR="001475E2" w:rsidRDefault="001475E2" w:rsidP="001475E2">
      <w:pPr>
        <w:pStyle w:val="a8"/>
        <w:bidi/>
        <w:spacing w:before="0" w:beforeAutospacing="0" w:after="0" w:afterAutospacing="0" w:line="276" w:lineRule="auto"/>
        <w:ind w:right="-270"/>
        <w:jc w:val="center"/>
        <w:rPr>
          <w:rFonts w:ascii="Arial" w:hAnsi="Arial" w:cs="Arial"/>
          <w:b/>
          <w:bCs/>
          <w:color w:val="0070C0"/>
          <w:szCs w:val="28"/>
          <w:rtl/>
        </w:rPr>
      </w:pPr>
    </w:p>
    <w:p w14:paraId="49C7E52E" w14:textId="77777777" w:rsidR="00B16B50" w:rsidRDefault="00B16B50" w:rsidP="00B16B50">
      <w:pPr>
        <w:pStyle w:val="a8"/>
        <w:bidi/>
        <w:spacing w:before="0" w:beforeAutospacing="0" w:after="0" w:afterAutospacing="0" w:line="276" w:lineRule="auto"/>
        <w:ind w:right="-270"/>
        <w:jc w:val="center"/>
        <w:rPr>
          <w:rFonts w:ascii="Arial" w:hAnsi="Arial" w:cs="Arial"/>
          <w:b/>
          <w:bCs/>
          <w:color w:val="0070C0"/>
          <w:szCs w:val="28"/>
          <w:rtl/>
        </w:rPr>
      </w:pPr>
    </w:p>
    <w:p w14:paraId="17CAA6F6" w14:textId="77777777" w:rsidR="00BE609B" w:rsidRPr="004C1AE1" w:rsidRDefault="00BE609B" w:rsidP="00BE609B">
      <w:pPr>
        <w:spacing w:line="360" w:lineRule="auto"/>
        <w:ind w:left="534" w:hanging="340"/>
        <w:jc w:val="right"/>
        <w:rPr>
          <w:rFonts w:ascii="Arial" w:hAnsi="Arial" w:cs="Arial"/>
          <w:noProof/>
          <w:sz w:val="20"/>
          <w:szCs w:val="20"/>
        </w:rPr>
      </w:pPr>
    </w:p>
    <w:p w14:paraId="5473F8B1" w14:textId="7860161D" w:rsidR="00BE609B" w:rsidRPr="004C1AE1" w:rsidRDefault="00BE609B" w:rsidP="00BE609B">
      <w:pPr>
        <w:spacing w:line="360" w:lineRule="auto"/>
        <w:ind w:left="534" w:hanging="340"/>
        <w:jc w:val="right"/>
        <w:rPr>
          <w:rFonts w:ascii="Arial" w:hAnsi="Arial" w:cs="Arial"/>
          <w:b/>
          <w:bCs/>
          <w:noProof/>
          <w:sz w:val="20"/>
          <w:szCs w:val="20"/>
          <w:rtl/>
        </w:rPr>
      </w:pPr>
      <w:r>
        <w:rPr>
          <w:rFonts w:ascii="Arial" w:hAnsi="Arial" w:cs="Arial"/>
          <w:b/>
          <w:bCs/>
          <w:noProof/>
          <w:sz w:val="20"/>
          <w:szCs w:val="28"/>
          <w:rtl/>
        </w:rPr>
        <w:t xml:space="preserve">  ب. </w:t>
      </w:r>
      <w:r>
        <w:rPr>
          <w:rFonts w:ascii="Arial" w:hAnsi="Arial" w:cs="Arial" w:hint="cs"/>
          <w:b/>
          <w:bCs/>
          <w:noProof/>
          <w:sz w:val="20"/>
          <w:szCs w:val="28"/>
          <w:rtl/>
        </w:rPr>
        <w:t>العنوان</w:t>
      </w:r>
      <w:r>
        <w:rPr>
          <w:rFonts w:ascii="Arial" w:hAnsi="Arial" w:cs="Arial"/>
          <w:b/>
          <w:bCs/>
          <w:noProof/>
          <w:sz w:val="20"/>
          <w:szCs w:val="28"/>
          <w:rtl/>
        </w:rPr>
        <w:t xml:space="preserve"> </w:t>
      </w:r>
      <w:r>
        <w:rPr>
          <w:rFonts w:ascii="Arial" w:hAnsi="Arial" w:cs="Arial"/>
          <w:b/>
          <w:bCs/>
          <w:noProof/>
          <w:sz w:val="28"/>
          <w:szCs w:val="28"/>
          <w:rtl/>
        </w:rPr>
        <w:t xml:space="preserve">باللغة </w:t>
      </w:r>
      <w:r>
        <w:rPr>
          <w:rFonts w:ascii="Arial" w:hAnsi="Arial" w:cs="Arial" w:hint="cs"/>
          <w:b/>
          <w:bCs/>
          <w:noProof/>
          <w:sz w:val="28"/>
          <w:szCs w:val="28"/>
          <w:rtl/>
        </w:rPr>
        <w:t>الإنجليزي</w:t>
      </w:r>
    </w:p>
    <w:p w14:paraId="4F2C4676" w14:textId="5533EF75" w:rsidR="00395E1F" w:rsidRPr="00B16B50" w:rsidRDefault="00B16B50" w:rsidP="00B16B50">
      <w:pPr>
        <w:pStyle w:val="a8"/>
        <w:bidi/>
        <w:spacing w:before="0" w:beforeAutospacing="0" w:after="0" w:afterAutospacing="0"/>
        <w:ind w:right="-270"/>
        <w:jc w:val="center"/>
        <w:rPr>
          <w:rFonts w:asciiTheme="majorBidi" w:hAnsiTheme="majorBidi" w:cstheme="majorBidi"/>
          <w:b/>
          <w:bCs/>
          <w:color w:val="0070C0"/>
          <w:szCs w:val="28"/>
          <w:rtl/>
        </w:rPr>
      </w:pPr>
      <w:r>
        <w:rPr>
          <w:rFonts w:asciiTheme="majorBidi" w:hAnsiTheme="majorBidi" w:cstheme="majorBidi"/>
          <w:b/>
          <w:bCs/>
          <w:color w:val="0070C0"/>
          <w:szCs w:val="28"/>
        </w:rPr>
        <w:t>The Impact of Employing Generative Artificial Intelligence Techniques in Designing Digital Marketing Campaigns on Marketing Performance: A Field-Based Explanatory Model in Saudi Marketing Agencies</w:t>
      </w:r>
    </w:p>
    <w:p w14:paraId="79313DA6" w14:textId="1AAF97B0" w:rsidR="001C7DB2" w:rsidRDefault="001C7DB2" w:rsidP="00395E1F">
      <w:pPr>
        <w:pStyle w:val="a8"/>
        <w:bidi/>
        <w:spacing w:before="0" w:beforeAutospacing="0" w:after="0" w:afterAutospacing="0"/>
        <w:ind w:right="-270"/>
        <w:jc w:val="center"/>
        <w:rPr>
          <w:rFonts w:ascii="Sakkal Majalla" w:hAnsi="Sakkal Majalla" w:cs="Sakkal Majalla"/>
          <w:b/>
          <w:bCs/>
          <w:color w:val="0070C0"/>
          <w:sz w:val="36"/>
          <w:szCs w:val="36"/>
          <w:rtl/>
        </w:rPr>
      </w:pPr>
    </w:p>
    <w:p w14:paraId="0CE6BF58" w14:textId="77777777" w:rsidR="00B16B50" w:rsidRDefault="00B16B50" w:rsidP="00B16B50">
      <w:pPr>
        <w:pStyle w:val="a8"/>
        <w:bidi/>
        <w:spacing w:before="0" w:beforeAutospacing="0" w:after="0" w:afterAutospacing="0"/>
        <w:ind w:right="-270"/>
        <w:jc w:val="center"/>
        <w:rPr>
          <w:rFonts w:ascii="Sakkal Majalla" w:hAnsi="Sakkal Majalla" w:cs="Sakkal Majalla"/>
          <w:b/>
          <w:bCs/>
          <w:color w:val="0070C0"/>
          <w:sz w:val="36"/>
          <w:szCs w:val="36"/>
          <w:rtl/>
        </w:rPr>
      </w:pPr>
    </w:p>
    <w:p w14:paraId="5D5B02DE" w14:textId="77777777" w:rsidR="00F92EA4" w:rsidRPr="004B484B" w:rsidRDefault="00F92EA4" w:rsidP="00F92EA4">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023F2D" w14:paraId="42F9CBE0" w14:textId="4104E405" w:rsidTr="00023F2D">
        <w:tc>
          <w:tcPr>
            <w:tcW w:w="1763" w:type="dxa"/>
          </w:tcPr>
          <w:p w14:paraId="4059763A" w14:textId="6A53FEA7" w:rsidR="00023F2D" w:rsidRPr="004B484B" w:rsidRDefault="00023F2D" w:rsidP="00023F2D">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اسم الباحث</w:t>
            </w:r>
          </w:p>
        </w:tc>
        <w:tc>
          <w:tcPr>
            <w:tcW w:w="287" w:type="dxa"/>
          </w:tcPr>
          <w:p w14:paraId="43197712" w14:textId="0CFEB903" w:rsidR="00023F2D" w:rsidRPr="004B484B" w:rsidRDefault="00023F2D" w:rsidP="00023F2D">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73AC6230" w14:textId="4432EFB1" w:rsidR="00023F2D" w:rsidRDefault="00023F2D" w:rsidP="00023F2D">
            <w:pPr>
              <w:pStyle w:val="a8"/>
              <w:bidi/>
              <w:spacing w:before="0" w:beforeAutospacing="0" w:after="0" w:afterAutospacing="0"/>
              <w:ind w:right="-27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 </w:t>
            </w:r>
            <w:r w:rsidRPr="004566ED">
              <w:rPr>
                <w:rFonts w:ascii="Sakkal Majalla" w:hAnsi="Sakkal Majalla" w:cs="Sakkal Majalla" w:hint="cs"/>
                <w:b/>
                <w:bCs/>
                <w:color w:val="365F91" w:themeColor="accent1" w:themeShade="BF"/>
                <w:sz w:val="36"/>
                <w:szCs w:val="36"/>
                <w:rtl/>
              </w:rPr>
              <w:t>هبه عبد الل</w:t>
            </w:r>
            <w:r w:rsidRPr="004566ED">
              <w:rPr>
                <w:rFonts w:ascii="Sakkal Majalla" w:hAnsi="Sakkal Majalla" w:cs="Sakkal Majalla" w:hint="eastAsia"/>
                <w:b/>
                <w:bCs/>
                <w:color w:val="365F91" w:themeColor="accent1" w:themeShade="BF"/>
                <w:sz w:val="36"/>
                <w:szCs w:val="36"/>
                <w:rtl/>
              </w:rPr>
              <w:t>ه</w:t>
            </w:r>
            <w:r w:rsidRPr="004566ED">
              <w:rPr>
                <w:rFonts w:ascii="Sakkal Majalla" w:hAnsi="Sakkal Majalla" w:cs="Sakkal Majalla" w:hint="cs"/>
                <w:b/>
                <w:bCs/>
                <w:color w:val="365F91" w:themeColor="accent1" w:themeShade="BF"/>
                <w:sz w:val="36"/>
                <w:szCs w:val="36"/>
                <w:rtl/>
              </w:rPr>
              <w:t xml:space="preserve"> المنيع</w:t>
            </w:r>
          </w:p>
        </w:tc>
      </w:tr>
      <w:tr w:rsidR="00023F2D" w14:paraId="6FA7B4A8" w14:textId="02E32D0F" w:rsidTr="00023F2D">
        <w:tc>
          <w:tcPr>
            <w:tcW w:w="1763" w:type="dxa"/>
          </w:tcPr>
          <w:p w14:paraId="040F1E28" w14:textId="335D4647" w:rsidR="00023F2D" w:rsidRPr="004B484B" w:rsidRDefault="00023F2D" w:rsidP="00023F2D">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287" w:type="dxa"/>
          </w:tcPr>
          <w:p w14:paraId="53048679" w14:textId="235E86A8" w:rsidR="00023F2D" w:rsidRPr="004B484B" w:rsidRDefault="00023F2D" w:rsidP="00023F2D">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60443D63" w14:textId="71223A1B" w:rsidR="00023F2D" w:rsidRDefault="00023F2D" w:rsidP="00023F2D">
            <w:pPr>
              <w:pStyle w:val="a8"/>
              <w:bidi/>
              <w:spacing w:before="0" w:beforeAutospacing="0" w:after="0" w:afterAutospacing="0"/>
              <w:ind w:right="-270"/>
              <w:rPr>
                <w:rFonts w:ascii="Sakkal Majalla" w:hAnsi="Sakkal Majalla" w:cs="Sakkal Majalla"/>
                <w:b/>
                <w:bCs/>
                <w:color w:val="0000FF"/>
                <w:sz w:val="36"/>
                <w:szCs w:val="36"/>
                <w:rtl/>
              </w:rPr>
            </w:pPr>
            <w:r w:rsidRPr="004566ED">
              <w:rPr>
                <w:rFonts w:ascii="Sakkal Majalla" w:hAnsi="Sakkal Majalla" w:cs="Sakkal Majalla"/>
                <w:b/>
                <w:bCs/>
                <w:color w:val="365F91" w:themeColor="accent1" w:themeShade="BF"/>
                <w:sz w:val="36"/>
                <w:szCs w:val="36"/>
              </w:rPr>
              <w:t>242001374</w:t>
            </w:r>
          </w:p>
        </w:tc>
      </w:tr>
      <w:tr w:rsidR="00023F2D" w14:paraId="627B39DB" w14:textId="0373C5D2" w:rsidTr="00023F2D">
        <w:tc>
          <w:tcPr>
            <w:tcW w:w="1763" w:type="dxa"/>
          </w:tcPr>
          <w:p w14:paraId="0FCA9608" w14:textId="2B6BE0D9" w:rsidR="00023F2D" w:rsidRPr="004B484B" w:rsidRDefault="00023F2D" w:rsidP="00023F2D">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287" w:type="dxa"/>
          </w:tcPr>
          <w:p w14:paraId="69EA7444" w14:textId="2B4C85B0" w:rsidR="00023F2D" w:rsidRPr="004B484B" w:rsidRDefault="00023F2D" w:rsidP="00023F2D">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491C11B9" w:rsidR="00023F2D" w:rsidRDefault="00023F2D" w:rsidP="00023F2D">
            <w:pPr>
              <w:pStyle w:val="a8"/>
              <w:bidi/>
              <w:spacing w:before="0" w:beforeAutospacing="0" w:after="0" w:afterAutospacing="0"/>
              <w:ind w:right="-270"/>
              <w:rPr>
                <w:rFonts w:ascii="Sakkal Majalla" w:hAnsi="Sakkal Majalla" w:cs="Sakkal Majalla"/>
                <w:b/>
                <w:bCs/>
                <w:color w:val="0000FF"/>
                <w:sz w:val="36"/>
                <w:szCs w:val="36"/>
                <w:rtl/>
              </w:rPr>
            </w:pPr>
            <w:r w:rsidRPr="004566ED">
              <w:rPr>
                <w:rFonts w:ascii="Sakkal Majalla" w:hAnsi="Sakkal Majalla" w:cs="Sakkal Majalla"/>
                <w:b/>
                <w:bCs/>
                <w:color w:val="365F91" w:themeColor="accent1" w:themeShade="BF"/>
                <w:sz w:val="36"/>
                <w:szCs w:val="36"/>
                <w:rtl/>
              </w:rPr>
              <w:t>كلية الاعلام والتسويق</w:t>
            </w:r>
          </w:p>
        </w:tc>
      </w:tr>
      <w:tr w:rsidR="00023F2D" w14:paraId="51860AEF" w14:textId="0FB5AA02" w:rsidTr="00023F2D">
        <w:tc>
          <w:tcPr>
            <w:tcW w:w="1763" w:type="dxa"/>
          </w:tcPr>
          <w:p w14:paraId="2C6768A4" w14:textId="49EB9922" w:rsidR="00023F2D" w:rsidRPr="004B484B" w:rsidRDefault="00023F2D" w:rsidP="00023F2D">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287" w:type="dxa"/>
          </w:tcPr>
          <w:p w14:paraId="16262C81" w14:textId="42441BCF" w:rsidR="00023F2D" w:rsidRPr="004B484B" w:rsidRDefault="00023F2D" w:rsidP="00023F2D">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023F2D" w:rsidRDefault="00023F2D" w:rsidP="00023F2D">
            <w:pPr>
              <w:pStyle w:val="a8"/>
              <w:bidi/>
              <w:spacing w:before="0" w:beforeAutospacing="0" w:after="0" w:afterAutospacing="0"/>
              <w:ind w:right="-270"/>
              <w:rPr>
                <w:rFonts w:ascii="Sakkal Majalla" w:hAnsi="Sakkal Majalla" w:cs="Sakkal Majalla"/>
                <w:b/>
                <w:bCs/>
                <w:color w:val="0000FF"/>
                <w:sz w:val="36"/>
                <w:szCs w:val="36"/>
                <w:rtl/>
              </w:rPr>
            </w:pPr>
          </w:p>
        </w:tc>
      </w:tr>
    </w:tbl>
    <w:p w14:paraId="461CFDDF" w14:textId="77777777" w:rsidR="00EA16F8" w:rsidRDefault="00EA16F8" w:rsidP="00EA16F8">
      <w:pPr>
        <w:pStyle w:val="a8"/>
        <w:bidi/>
        <w:spacing w:before="0" w:beforeAutospacing="0" w:after="0" w:afterAutospacing="0"/>
        <w:ind w:right="-270"/>
        <w:jc w:val="both"/>
        <w:rPr>
          <w:rFonts w:ascii="Sakkal Majalla" w:hAnsi="Sakkal Majalla" w:cs="Sakkal Majalla"/>
          <w:b/>
          <w:bCs/>
          <w:color w:val="0000FF"/>
          <w:sz w:val="36"/>
          <w:szCs w:val="36"/>
          <w:rtl/>
        </w:rPr>
      </w:pPr>
    </w:p>
    <w:p w14:paraId="3B3B34C5" w14:textId="77777777" w:rsidR="00B16B50" w:rsidRDefault="00B16B50" w:rsidP="00B16B50">
      <w:pPr>
        <w:pStyle w:val="a8"/>
        <w:bidi/>
        <w:spacing w:before="0" w:beforeAutospacing="0" w:after="0" w:afterAutospacing="0"/>
        <w:ind w:right="-270"/>
        <w:jc w:val="both"/>
        <w:rPr>
          <w:rFonts w:ascii="Sakkal Majalla" w:hAnsi="Sakkal Majalla" w:cs="Sakkal Majalla"/>
          <w:b/>
          <w:bCs/>
          <w:color w:val="0000FF"/>
          <w:sz w:val="36"/>
          <w:szCs w:val="36"/>
          <w:rtl/>
        </w:rPr>
      </w:pPr>
    </w:p>
    <w:p w14:paraId="7D669CAF" w14:textId="77777777" w:rsidR="00B16B50" w:rsidRDefault="00B16B50" w:rsidP="00B16B50">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35CE0815" w14:textId="5F10184D" w:rsidR="00AD783C" w:rsidRDefault="00883E09" w:rsidP="00B16B50">
      <w:pPr>
        <w:jc w:val="center"/>
        <w:rPr>
          <w:rFonts w:ascii="Calibri" w:hAnsi="Calibri" w:cs="Calibri"/>
          <w:b/>
          <w:bCs/>
          <w:color w:val="FF0000"/>
          <w:sz w:val="28"/>
          <w:szCs w:val="28"/>
        </w:rPr>
      </w:pPr>
      <w:r>
        <w:rPr>
          <w:rFonts w:ascii="Calibri" w:hAnsi="Calibri" w:cs="Calibri" w:hint="cs"/>
          <w:b/>
          <w:bCs/>
          <w:color w:val="548DD4" w:themeColor="text2" w:themeTint="99"/>
          <w:sz w:val="28"/>
          <w:szCs w:val="28"/>
          <w:rtl/>
        </w:rPr>
        <w:t xml:space="preserve">       </w:t>
      </w:r>
      <w:r>
        <w:rPr>
          <w:rFonts w:ascii="Calibri" w:hAnsi="Calibri" w:cs="Calibri" w:hint="cs"/>
          <w:b/>
          <w:bCs/>
          <w:color w:val="FF0000"/>
          <w:sz w:val="28"/>
          <w:szCs w:val="28"/>
          <w:rtl/>
        </w:rPr>
        <w:t xml:space="preserve"> </w:t>
      </w:r>
      <w:r w:rsidR="00023F2D">
        <w:rPr>
          <w:rFonts w:ascii="Calibri" w:hAnsi="Calibri" w:cs="Calibri" w:hint="cs"/>
          <w:b/>
          <w:bCs/>
          <w:color w:val="FF0000"/>
          <w:sz w:val="28"/>
          <w:szCs w:val="28"/>
          <w:rtl/>
        </w:rPr>
        <w:t>14٤٧</w:t>
      </w:r>
      <w:r w:rsidR="00023F2D" w:rsidRPr="00444B1D">
        <w:rPr>
          <w:rFonts w:ascii="Calibri" w:hAnsi="Calibri" w:cs="Calibri" w:hint="cs"/>
          <w:b/>
          <w:bCs/>
          <w:color w:val="FF0000"/>
          <w:sz w:val="28"/>
          <w:szCs w:val="28"/>
          <w:rtl/>
        </w:rPr>
        <w:t xml:space="preserve">ه </w:t>
      </w:r>
      <w:r>
        <w:rPr>
          <w:rFonts w:ascii="Calibri" w:hAnsi="Calibri" w:cs="Calibri" w:hint="cs"/>
          <w:b/>
          <w:bCs/>
          <w:color w:val="FF0000"/>
          <w:sz w:val="28"/>
          <w:szCs w:val="28"/>
          <w:rtl/>
        </w:rPr>
        <w:t>-  2025 م</w:t>
      </w:r>
    </w:p>
    <w:p w14:paraId="02B695D8" w14:textId="3898959F" w:rsidR="00C11026" w:rsidRDefault="00C11026" w:rsidP="00395E1F">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مقدمة الدراسة</w:t>
      </w:r>
    </w:p>
    <w:p w14:paraId="1978F2B1" w14:textId="73856262" w:rsidR="004E0378" w:rsidRPr="004E0378" w:rsidRDefault="004E0378" w:rsidP="00A22393">
      <w:pPr>
        <w:bidi/>
        <w:spacing w:after="200" w:line="276" w:lineRule="auto"/>
        <w:jc w:val="both"/>
        <w:rPr>
          <w:rFonts w:ascii="Simplified Arabic" w:hAnsi="Simplified Arabic" w:cs="Simplified Arabic"/>
          <w:rtl/>
        </w:rPr>
      </w:pPr>
      <w:r>
        <w:rPr>
          <w:rFonts w:ascii="Simplified Arabic" w:hAnsi="Simplified Arabic" w:cs="Simplified Arabic"/>
          <w:rtl/>
        </w:rPr>
        <w:t>يشهد العالم في العقد الثالث من القرن الحادي والعشرين طفرة غير مسبوقة في مجال التحول الرقمي، يقودها الذكاء الاصطناعي التوليدي</w:t>
      </w:r>
      <w:r>
        <w:rPr>
          <w:rFonts w:ascii="Simplified Arabic" w:hAnsi="Simplified Arabic" w:cs="Simplified Arabic"/>
        </w:rPr>
        <w:t xml:space="preserve"> (Generative AI) </w:t>
      </w:r>
      <w:r>
        <w:rPr>
          <w:rFonts w:ascii="Simplified Arabic" w:hAnsi="Simplified Arabic" w:cs="Simplified Arabic"/>
          <w:rtl/>
        </w:rPr>
        <w:t>الذي أصبح محوراً لتغيير جذري في أنماط العمل والإبداع البشري. فقد انتقل هذا المجال من مرحلة الأتمتة إلى الإبداع المعرفي الذي يمكنه توليد النصوص والصور والفيديوهات والعناصر التصميمية بقدرات قريبة من التفكير الإنساني. وتؤكد تقارير اقتصادية دولية أن القيمة العالمية المتوقعة لتطبيقات الذكاء الاصطناعي التوليدي تتراوح بين 2.6 و4.4 تريليون دولار سنوياً، ما يعكس حجمه كأحد المحركات الأساسية للاقتصاد الرقمي العالمي</w:t>
      </w:r>
      <w:r>
        <w:rPr>
          <w:rFonts w:ascii="Simplified Arabic" w:hAnsi="Simplified Arabic" w:cs="Simplified Arabic"/>
        </w:rPr>
        <w:t xml:space="preserve"> .(McKinsey &amp; Company, 2024) </w:t>
      </w:r>
    </w:p>
    <w:p w14:paraId="086DF099" w14:textId="6BF9DC1E" w:rsidR="003B56AF" w:rsidRDefault="003B56AF" w:rsidP="00A22393">
      <w:pPr>
        <w:bidi/>
        <w:spacing w:after="200" w:line="276" w:lineRule="auto"/>
        <w:jc w:val="both"/>
        <w:rPr>
          <w:rFonts w:ascii="Simplified Arabic" w:hAnsi="Simplified Arabic" w:cs="Simplified Arabic"/>
          <w:rtl/>
        </w:rPr>
      </w:pPr>
      <w:r>
        <w:rPr>
          <w:rFonts w:ascii="Simplified Arabic" w:hAnsi="Simplified Arabic" w:cs="Simplified Arabic"/>
          <w:rtl/>
        </w:rPr>
        <w:t>وتكشف الدراسات الحديثة أن أنظمة الذكاء الاصطناعي التوليدي</w:t>
      </w:r>
      <w:r>
        <w:rPr>
          <w:rFonts w:ascii="Simplified Arabic" w:hAnsi="Simplified Arabic" w:cs="Simplified Arabic" w:hint="cs"/>
          <w:rtl/>
        </w:rPr>
        <w:t xml:space="preserve"> </w:t>
      </w:r>
      <w:r>
        <w:rPr>
          <w:rFonts w:ascii="Simplified Arabic" w:hAnsi="Simplified Arabic" w:cs="Simplified Arabic"/>
          <w:rtl/>
        </w:rPr>
        <w:t xml:space="preserve">—مثل </w:t>
      </w:r>
      <w:r>
        <w:rPr>
          <w:rFonts w:ascii="Simplified Arabic" w:hAnsi="Simplified Arabic" w:cs="Simplified Arabic"/>
        </w:rPr>
        <w:t>ChatGPT</w:t>
      </w:r>
      <w:r>
        <w:rPr>
          <w:rFonts w:ascii="Simplified Arabic" w:hAnsi="Simplified Arabic" w:cs="Simplified Arabic"/>
          <w:rtl/>
        </w:rPr>
        <w:t xml:space="preserve"> و</w:t>
      </w:r>
      <w:r>
        <w:rPr>
          <w:rFonts w:ascii="Simplified Arabic" w:hAnsi="Simplified Arabic" w:cs="Simplified Arabic"/>
        </w:rPr>
        <w:t>Midjourney</w:t>
      </w:r>
      <w:r>
        <w:rPr>
          <w:rFonts w:ascii="Simplified Arabic" w:hAnsi="Simplified Arabic" w:cs="Simplified Arabic"/>
          <w:rtl/>
        </w:rPr>
        <w:t xml:space="preserve"> و</w:t>
      </w:r>
      <w:r>
        <w:rPr>
          <w:rFonts w:ascii="Simplified Arabic" w:hAnsi="Simplified Arabic" w:cs="Simplified Arabic"/>
        </w:rPr>
        <w:t>DALL·E</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قد أسهمت في إعادة صياغة مفهوم الإبداع التسويقي، حيث مكّنت المسوقين من تقليص الوقت اللازم لتصميم الحملات الرقمية، وتحسين دقة الاستهداف، وتخصيص المحتوى بما يتلاءم مع سلوك المستهلكين (</w:t>
      </w:r>
      <w:r>
        <w:rPr>
          <w:rFonts w:ascii="Simplified Arabic" w:hAnsi="Simplified Arabic" w:cs="Simplified Arabic"/>
        </w:rPr>
        <w:t>Heitmann, 2024; Islam et al., 2024</w:t>
      </w:r>
      <w:r>
        <w:rPr>
          <w:rFonts w:ascii="Simplified Arabic" w:hAnsi="Simplified Arabic" w:cs="Simplified Arabic"/>
          <w:rtl/>
        </w:rPr>
        <w:t>). كما أشارت دراسة أخرى إلى أن توظيف الذكاء الاصطناعي التوليدي في مراحل تصميم الحملات يعزز فاعلية الرسائل التسويقية عبر رفع جودة المحتوى، وتخفيض تكاليف الإنتاج، وتعزيز التفاعل بين العلامة التجارية والعملاء (</w:t>
      </w:r>
      <w:r>
        <w:rPr>
          <w:rFonts w:ascii="Simplified Arabic" w:hAnsi="Simplified Arabic" w:cs="Simplified Arabic"/>
        </w:rPr>
        <w:t>Nuremberg Institute for Market Decisions, 2024</w:t>
      </w:r>
      <w:r>
        <w:rPr>
          <w:rFonts w:ascii="Simplified Arabic" w:hAnsi="Simplified Arabic" w:cs="Simplified Arabic"/>
          <w:rtl/>
        </w:rPr>
        <w:t>).</w:t>
      </w:r>
    </w:p>
    <w:p w14:paraId="3825F32A" w14:textId="33E4B8E2" w:rsidR="003B56AF" w:rsidRPr="003B56AF" w:rsidRDefault="003B56AF" w:rsidP="00A22393">
      <w:pPr>
        <w:bidi/>
        <w:spacing w:after="200" w:line="276" w:lineRule="auto"/>
        <w:jc w:val="both"/>
        <w:rPr>
          <w:rFonts w:ascii="Simplified Arabic" w:hAnsi="Simplified Arabic" w:cs="Simplified Arabic"/>
          <w:rtl/>
        </w:rPr>
      </w:pPr>
      <w:r>
        <w:rPr>
          <w:rFonts w:ascii="Simplified Arabic" w:hAnsi="Simplified Arabic" w:cs="Simplified Arabic"/>
          <w:rtl/>
        </w:rPr>
        <w:t>على الصعيد الإقليمي، تشير تقديرات</w:t>
      </w:r>
      <w:r>
        <w:rPr>
          <w:rFonts w:ascii="Simplified Arabic" w:hAnsi="Simplified Arabic" w:cs="Simplified Arabic"/>
        </w:rPr>
        <w:t xml:space="preserve"> (McKinsey, 2024) </w:t>
      </w:r>
      <w:r>
        <w:rPr>
          <w:rFonts w:ascii="Simplified Arabic" w:hAnsi="Simplified Arabic" w:cs="Simplified Arabic"/>
          <w:rtl/>
        </w:rPr>
        <w:t>إلى أن تبني تقنيات الذكاء الاصطناعي التوليدي في دول مجلس التعاون الخليجي قد يولد قيمة اقتصادية إضافية تتراوح بين 21 و35 مليار دولار سنوياً، ما يعادل نحو 2.8% من الناتج المحلي الإجمالي غير النفطي. ويعكس هذا التسارع في تبني التقنيات الذكية خاصة في القطاعات الإنتاجية والخدمية القائمة على التفاعل الرقمي وصناعة المحتوى. ومع ذلك، لا تزال هناك فجوة ملحوظة بين الإمكانات التقنية المتاحة ومستوى التوظيف الفعلي لهذه التقنيات في المؤسسات التسويقية بالمنطقة</w:t>
      </w:r>
      <w:r>
        <w:rPr>
          <w:rFonts w:ascii="Simplified Arabic" w:hAnsi="Simplified Arabic" w:cs="Simplified Arabic"/>
        </w:rPr>
        <w:t>.</w:t>
      </w:r>
    </w:p>
    <w:p w14:paraId="1A08F6E2" w14:textId="4D851F87" w:rsidR="003B56AF" w:rsidRPr="003B56AF" w:rsidRDefault="003B56AF" w:rsidP="00A22393">
      <w:pPr>
        <w:bidi/>
        <w:spacing w:after="200" w:line="276" w:lineRule="auto"/>
        <w:jc w:val="both"/>
        <w:rPr>
          <w:rFonts w:ascii="Simplified Arabic" w:hAnsi="Simplified Arabic" w:cs="Simplified Arabic"/>
          <w:rtl/>
        </w:rPr>
      </w:pPr>
      <w:r>
        <w:rPr>
          <w:rFonts w:ascii="Simplified Arabic" w:hAnsi="Simplified Arabic" w:cs="Simplified Arabic"/>
          <w:rtl/>
        </w:rPr>
        <w:t>وفي المملكة العربية السعودية، يشكل الذكاء الاصطناعي التوليدي أحد الركائز الأساسية لرؤية 2030، التي تهدف إلى بناء اقتصاد معرفي متنوع وتعزيز التحول الرقمي الشامل. وفي هذا الإطار، أصدرت الهيئة السعودية للبيانات والذكاء الاصطناعي عام 2024 إرشادات تنظيمية لاستخدام الذكاء الاصطناعي التوليدي في الجهات الحكومية، ركزت فيها على مبادئ الشفافية والمساءلة وضبط الجودة والاستخدام المسؤول (</w:t>
      </w:r>
      <w:r>
        <w:rPr>
          <w:rFonts w:ascii="Simplified Arabic" w:hAnsi="Simplified Arabic" w:cs="Simplified Arabic"/>
        </w:rPr>
        <w:t>SDAIA, 2024</w:t>
      </w:r>
      <w:r>
        <w:rPr>
          <w:rFonts w:ascii="Simplified Arabic" w:hAnsi="Simplified Arabic" w:cs="Simplified Arabic"/>
          <w:rtl/>
        </w:rPr>
        <w:t>). وتشير الدراسات التطبيقية إلى أن وكالات التسويق السعودية قد بدأت في دمج أدوات الذكاء الاصطناعي التوليدي في عمليات التصميم والتحليل، إلا أن مستوى الاستفادة لا يزال متبايناً بسبب التحديات التقنية والبشرية والتنظيمية (</w:t>
      </w:r>
      <w:r>
        <w:rPr>
          <w:rFonts w:ascii="Simplified Arabic" w:hAnsi="Simplified Arabic" w:cs="Simplified Arabic"/>
        </w:rPr>
        <w:t>Masnita et al., 2024</w:t>
      </w:r>
      <w:r>
        <w:rPr>
          <w:rFonts w:ascii="Simplified Arabic" w:hAnsi="Simplified Arabic" w:cs="Simplified Arabic"/>
          <w:rtl/>
        </w:rPr>
        <w:t>).</w:t>
      </w:r>
    </w:p>
    <w:p w14:paraId="62EE7C4F" w14:textId="760D1B3E" w:rsidR="003B56AF" w:rsidRPr="003B56AF" w:rsidRDefault="003B56AF" w:rsidP="00A22393">
      <w:pPr>
        <w:bidi/>
        <w:spacing w:after="200" w:line="276" w:lineRule="auto"/>
        <w:jc w:val="both"/>
        <w:rPr>
          <w:rFonts w:ascii="Simplified Arabic" w:hAnsi="Simplified Arabic" w:cs="Simplified Arabic"/>
          <w:rtl/>
        </w:rPr>
      </w:pPr>
      <w:r>
        <w:rPr>
          <w:rFonts w:ascii="Simplified Arabic" w:hAnsi="Simplified Arabic" w:cs="Simplified Arabic"/>
          <w:rtl/>
        </w:rPr>
        <w:t>ورغم التوسع البحثي العالمي في هذا المجال، تُظهر مراجعة الأدبيات أن معظم الدراسات ركزت على الذكاء الاصطناعي التوليدي في التسويق من زاوية أحادية، سواء من ناحية التبني التقني أو الأثر التسويقي العام. لكنها أغفلت تحليل العلاقة السببية التي تربط بين توظيف التقنية في مراحل التصميم الإبداعي وفعالية الأداء التسويقي بمؤشراته الملموسة، مثل معدل التحويل وولاء العلامة التجارية والعائد على الاستثمار التسويقي. كما أن الأبحاث المحلية لا تزال محدودة في تحليل هذه الآلية داخل بيئة وكالات التسويق السعودية، مما يخلق فجوة معرفية تتطلب معالجة علمية دقيقة (</w:t>
      </w:r>
      <w:r>
        <w:rPr>
          <w:rFonts w:ascii="Simplified Arabic" w:hAnsi="Simplified Arabic" w:cs="Simplified Arabic"/>
        </w:rPr>
        <w:t>Doshi et al., 2025; Sharabati et al., 2024</w:t>
      </w:r>
      <w:r>
        <w:rPr>
          <w:rFonts w:ascii="Simplified Arabic" w:hAnsi="Simplified Arabic" w:cs="Simplified Arabic"/>
          <w:rtl/>
        </w:rPr>
        <w:t>).</w:t>
      </w:r>
    </w:p>
    <w:p w14:paraId="60B1440B" w14:textId="6B68C93E" w:rsidR="003B56AF" w:rsidRPr="003B56AF" w:rsidRDefault="003B56AF" w:rsidP="00A22393">
      <w:pPr>
        <w:bidi/>
        <w:spacing w:after="200" w:line="276" w:lineRule="auto"/>
        <w:jc w:val="both"/>
        <w:rPr>
          <w:rFonts w:ascii="Simplified Arabic" w:hAnsi="Simplified Arabic" w:cs="Simplified Arabic"/>
          <w:rtl/>
        </w:rPr>
      </w:pPr>
      <w:r>
        <w:rPr>
          <w:rFonts w:ascii="Simplified Arabic" w:hAnsi="Simplified Arabic" w:cs="Simplified Arabic"/>
          <w:rtl/>
        </w:rPr>
        <w:lastRenderedPageBreak/>
        <w:t>وانطلاقاً من هذه الفجوة، تسعى هذه الدراسة إلى بناء نموذج تفسيري ميداني يقيس أثر توظيف تقنيات الذكاء الاصطناعي التوليدي في مراحل تصميم الحملات الرقمية على فعالية الأداء التسويقي في وكالات التسويق السعودية. وتقوم الفرضية الرئيسية للبحث على أن جودة عملية التصميم الإبداعي تمثل متغيراً وسيطاً بين التوظيف التقني والأداء التسويقي، وأن هذه العلاقة تتأثر بعوامل الدوافع التشغيلية والتنافسية من جهة، والعوائق التقنية والبشرية من جهة أخرى. وتهدف الدراسة إلى تحليل هذه العلاقات واختبارها إحصائياً باستخدام المنهج الوصفي التحليلي، مما يعزز فهم آلية التحول من الاستثمار التقني إلى القيمة التسويقية الملموسة</w:t>
      </w:r>
      <w:r>
        <w:rPr>
          <w:rFonts w:ascii="Simplified Arabic" w:hAnsi="Simplified Arabic" w:cs="Simplified Arabic"/>
        </w:rPr>
        <w:t>.</w:t>
      </w:r>
    </w:p>
    <w:p w14:paraId="793E7058" w14:textId="77777777" w:rsidR="003B56AF" w:rsidRDefault="003B56AF" w:rsidP="00A22393">
      <w:pPr>
        <w:bidi/>
        <w:spacing w:after="200" w:line="276" w:lineRule="auto"/>
        <w:jc w:val="both"/>
        <w:rPr>
          <w:rFonts w:ascii="Sakkal Majalla" w:hAnsi="Sakkal Majalla" w:cs="Sakkal Majalla"/>
          <w:b/>
          <w:bCs/>
          <w:color w:val="00B0F0"/>
          <w:sz w:val="36"/>
          <w:szCs w:val="36"/>
          <w:u w:val="single"/>
          <w:rtl/>
        </w:rPr>
      </w:pPr>
      <w:r>
        <w:rPr>
          <w:rFonts w:ascii="Simplified Arabic" w:hAnsi="Simplified Arabic" w:cs="Simplified Arabic"/>
          <w:rtl/>
        </w:rPr>
        <w:t>وتتألف الرسالة من خمسة فصول مترابطة؛ يُقدّم الفصل الأول الإطار العام للدراسة، بينما يستعرض الفصل الثاني الإطار النظري والدراسات السابقة ذات الصلة. ويشرح الفصل الثالث منهجية البحث وإجراءاته الميدانية وأدوات التحليل الإحصائي. أما الفصل الرابع فيعرض النتائج الميدانية واختبار الفرضيات، ويُختتم العمل في الفصل الخامس بعرض الاستنتاجات والتوصيات العملية التي يمكن أن تسهم في تطوير منظومة التسويق الذكي في المملكة.</w:t>
      </w:r>
    </w:p>
    <w:p w14:paraId="245EEC70" w14:textId="77777777" w:rsidR="004F2B23" w:rsidRDefault="004F2B23" w:rsidP="004F2B23">
      <w:pPr>
        <w:bidi/>
        <w:spacing w:after="200" w:line="276" w:lineRule="auto"/>
        <w:jc w:val="both"/>
        <w:rPr>
          <w:rFonts w:ascii="Sakkal Majalla" w:hAnsi="Sakkal Majalla" w:cs="Sakkal Majalla"/>
          <w:b/>
          <w:bCs/>
          <w:color w:val="00B0F0"/>
          <w:sz w:val="36"/>
          <w:szCs w:val="36"/>
          <w:u w:val="single"/>
          <w:rtl/>
        </w:rPr>
      </w:pPr>
    </w:p>
    <w:p w14:paraId="6654D88D" w14:textId="535EDC83" w:rsidR="00436B59" w:rsidRPr="00E940F8" w:rsidRDefault="00883E09" w:rsidP="003B56AF">
      <w:pPr>
        <w:bidi/>
        <w:spacing w:after="200" w:line="276" w:lineRule="auto"/>
        <w:jc w:val="both"/>
        <w:rPr>
          <w:rFonts w:ascii="Sakkal Majalla" w:hAnsi="Sakkal Majalla" w:cs="Sakkal Majalla"/>
          <w:b/>
          <w:bCs/>
          <w:color w:val="1F497D" w:themeColor="text2"/>
          <w:sz w:val="36"/>
          <w:szCs w:val="36"/>
          <w:rtl/>
        </w:rPr>
      </w:pPr>
      <w:r>
        <w:rPr>
          <w:rFonts w:ascii="Sakkal Majalla" w:hAnsi="Sakkal Majalla" w:cs="Sakkal Majalla" w:hint="cs"/>
          <w:b/>
          <w:bCs/>
          <w:color w:val="00B0F0"/>
          <w:sz w:val="36"/>
          <w:szCs w:val="36"/>
          <w:u w:val="single"/>
          <w:rtl/>
        </w:rPr>
        <w:t>مشكلة الدراسة وأسئلتها</w:t>
      </w:r>
      <w:r>
        <w:rPr>
          <w:rFonts w:ascii="Sakkal Majalla" w:hAnsi="Sakkal Majalla" w:cs="Sakkal Majalla"/>
          <w:b/>
          <w:bCs/>
          <w:color w:val="00B0F0"/>
          <w:sz w:val="36"/>
          <w:szCs w:val="36"/>
          <w:u w:val="single"/>
          <w:rtl/>
        </w:rPr>
        <w:t>:</w:t>
      </w:r>
      <w:r>
        <w:rPr>
          <w:rFonts w:ascii="Sakkal Majalla" w:hAnsi="Sakkal Majalla" w:cs="Sakkal Majalla"/>
          <w:b/>
          <w:bCs/>
          <w:color w:val="00B0F0"/>
          <w:sz w:val="32"/>
          <w:szCs w:val="32"/>
          <w:rtl/>
        </w:rPr>
        <w:t xml:space="preserve"> </w:t>
      </w:r>
      <w:r>
        <w:rPr>
          <w:rFonts w:ascii="Sakkal Majalla" w:hAnsi="Sakkal Majalla" w:cs="Sakkal Majalla" w:hint="cs"/>
          <w:b/>
          <w:bCs/>
          <w:color w:val="00B0F0"/>
          <w:sz w:val="32"/>
          <w:szCs w:val="32"/>
          <w:rtl/>
        </w:rPr>
        <w:t xml:space="preserve">  </w:t>
      </w:r>
    </w:p>
    <w:p w14:paraId="7F2A713C" w14:textId="509D6201" w:rsidR="000D4873" w:rsidRPr="000D4873" w:rsidRDefault="000D4873" w:rsidP="000D4873">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hint="cs"/>
          <w:b/>
          <w:bCs/>
          <w:color w:val="1F497D" w:themeColor="text2"/>
          <w:sz w:val="32"/>
          <w:szCs w:val="32"/>
          <w:u w:val="single"/>
          <w:rtl/>
        </w:rPr>
        <w:t>مشكلة الدراسة</w:t>
      </w:r>
    </w:p>
    <w:p w14:paraId="6DB41142" w14:textId="77777777" w:rsidR="002E7312" w:rsidRDefault="002E7312" w:rsidP="00A22393">
      <w:pPr>
        <w:bidi/>
        <w:jc w:val="both"/>
        <w:rPr>
          <w:rFonts w:ascii="Simplified Arabic" w:hAnsi="Simplified Arabic" w:cs="Simplified Arabic"/>
          <w:rtl/>
        </w:rPr>
      </w:pPr>
      <w:r>
        <w:rPr>
          <w:rFonts w:ascii="Simplified Arabic" w:hAnsi="Simplified Arabic" w:cs="Simplified Arabic"/>
          <w:rtl/>
        </w:rPr>
        <w:t>على الرغم من التوسع المتزايد في استخدام تقنيات الذكاء الاصطناعي التوليدي (</w:t>
      </w:r>
      <w:r>
        <w:rPr>
          <w:rFonts w:ascii="Simplified Arabic" w:hAnsi="Simplified Arabic" w:cs="Simplified Arabic"/>
        </w:rPr>
        <w:t>Generative AI</w:t>
      </w:r>
      <w:r>
        <w:rPr>
          <w:rFonts w:ascii="Simplified Arabic" w:hAnsi="Simplified Arabic" w:cs="Simplified Arabic"/>
          <w:rtl/>
        </w:rPr>
        <w:t>) في قطاع التسويق الرقمي، لا تزال وكالات التسويق السعودية تواجه صعوبة في ترجمة هذا التوظيف التقني إلى نتائج فعالة ومُقيسة ضمن عملية تصميم الحملات التسويقية الرقمية. فقد أظهرت بيانات حديثة أن ما يقارب ثلاثة أرباع المؤسسات في دول مجلس التعاون الخليجي قد استخدمت التقنيات التوليدية لأداء واحد على الأقل، إلا أن مستوى الاستخدام المؤسسي ضمن سياق التصميم الكامل للحملة ما زال محدوداً (</w:t>
      </w:r>
      <w:r>
        <w:rPr>
          <w:rFonts w:ascii="Simplified Arabic" w:hAnsi="Simplified Arabic" w:cs="Simplified Arabic"/>
        </w:rPr>
        <w:t>McKinsey &amp; Company, 2024</w:t>
      </w:r>
      <w:r>
        <w:rPr>
          <w:rFonts w:ascii="Simplified Arabic" w:hAnsi="Simplified Arabic" w:cs="Simplified Arabic"/>
          <w:rtl/>
        </w:rPr>
        <w:t>). وفي المملكة، رغم صدور إرشادات وطنية من الهيئة السعودية للبيانات والذكاء الاصطناعي التي تُهيئ البنية التنظيمية لتبني هذه التقنيات، فإن التحديات المرتبطة ببُنية البيانات، والكفاءات، وحوكمة المحتوى المولَّد، ما تزال بارزة في الواقع العملي لوكالات التسويق (</w:t>
      </w:r>
      <w:r>
        <w:rPr>
          <w:rFonts w:ascii="Simplified Arabic" w:hAnsi="Simplified Arabic" w:cs="Simplified Arabic"/>
        </w:rPr>
        <w:t>SDAIA, 2024</w:t>
      </w:r>
      <w:r>
        <w:rPr>
          <w:rFonts w:ascii="Simplified Arabic" w:hAnsi="Simplified Arabic" w:cs="Simplified Arabic"/>
          <w:rtl/>
        </w:rPr>
        <w:t>).</w:t>
      </w:r>
    </w:p>
    <w:p w14:paraId="230F6B98" w14:textId="1A458F19" w:rsidR="00A22393" w:rsidRDefault="00A22393" w:rsidP="00A22393">
      <w:pPr>
        <w:bidi/>
        <w:jc w:val="both"/>
        <w:rPr>
          <w:rFonts w:ascii="Simplified Arabic" w:hAnsi="Simplified Arabic" w:cs="Simplified Arabic"/>
          <w:rtl/>
        </w:rPr>
      </w:pPr>
      <w:r>
        <w:rPr>
          <w:rFonts w:ascii="Simplified Arabic" w:hAnsi="Simplified Arabic" w:cs="Simplified Arabic"/>
          <w:rtl/>
        </w:rPr>
        <w:t>كما تُظهر البيانات الصادرة عن</w:t>
      </w:r>
      <w:r>
        <w:rPr>
          <w:rFonts w:ascii="Simplified Arabic" w:hAnsi="Simplified Arabic" w:cs="Simplified Arabic"/>
        </w:rPr>
        <w:t xml:space="preserve"> (Nuremberg Institute for Market Decisions, 2024) </w:t>
      </w:r>
      <w:r>
        <w:rPr>
          <w:rFonts w:ascii="Simplified Arabic" w:hAnsi="Simplified Arabic" w:cs="Simplified Arabic"/>
          <w:rtl/>
        </w:rPr>
        <w:t>أن ارتفاع وتيرة استخدام هذه التقنيات لا يرتبط دوماً بتحسين أداء التسويق أو جودة المحتوى، إذ يغيب القياس الممنهج لتأثيرها في تصميم الحملات ونتائجها الفعلية على مؤشرات الأداء التسويقي</w:t>
      </w:r>
      <w:r>
        <w:rPr>
          <w:rFonts w:ascii="Simplified Arabic" w:hAnsi="Simplified Arabic" w:cs="Simplified Arabic" w:hint="cs"/>
          <w:rtl/>
        </w:rPr>
        <w:t xml:space="preserve">. إذ </w:t>
      </w:r>
      <w:r>
        <w:rPr>
          <w:rFonts w:ascii="Simplified Arabic" w:hAnsi="Simplified Arabic" w:cs="Simplified Arabic"/>
          <w:rtl/>
        </w:rPr>
        <w:t>تتجلى المشكلة البحثية في غياب الأدلة العلمية المحلية التي تفسر العلاقة السببية بين توظيف تقنيات الذكاء الاصطناعي التوليدي داخل مراحل تصميم الحملات التسويقية الرقمية وبين فعالية الأداء التسويقي في وكالات التسويق السعودية. فالأدبيات السابقة تناولت التوظيف أو الأداء كمتغيرين منفصلين، ولم تتعمق في تحليل الآلية التي ينتقل عبرها الأثر من الاستثمار التقني إلى التحسن الإبداعي ثم إلى النتائج التسويقية (</w:t>
      </w:r>
      <w:r>
        <w:rPr>
          <w:rFonts w:ascii="Simplified Arabic" w:hAnsi="Simplified Arabic" w:cs="Simplified Arabic"/>
        </w:rPr>
        <w:t>Masnita et al., 2024; Doshi et al., 2025</w:t>
      </w:r>
      <w:r>
        <w:rPr>
          <w:rFonts w:ascii="Simplified Arabic" w:hAnsi="Simplified Arabic" w:cs="Simplified Arabic"/>
          <w:rtl/>
        </w:rPr>
        <w:t>). كما لم تختبر الدور التعديلي للدوافع التشغيلية والتنافسية أو المعيقات التقنية والبشرية التي قد تفسر التباين في مستويات الاستفادة من الذكاء الاصطناعي بين وكالة وأخرى.</w:t>
      </w:r>
    </w:p>
    <w:p w14:paraId="45A8478F" w14:textId="071754F7" w:rsidR="00EE2921" w:rsidRPr="00A22393" w:rsidRDefault="002E7312" w:rsidP="00A22393">
      <w:pPr>
        <w:bidi/>
        <w:jc w:val="both"/>
        <w:rPr>
          <w:rFonts w:ascii="Simplified Arabic" w:hAnsi="Simplified Arabic" w:cs="Simplified Arabic"/>
          <w:rtl/>
        </w:rPr>
      </w:pPr>
      <w:r>
        <w:rPr>
          <w:rFonts w:ascii="Simplified Arabic" w:hAnsi="Simplified Arabic" w:cs="Simplified Arabic" w:hint="cs"/>
          <w:rtl/>
        </w:rPr>
        <w:t xml:space="preserve"> بناءً عليه، </w:t>
      </w:r>
      <w:r>
        <w:rPr>
          <w:rFonts w:ascii="Simplified Arabic" w:hAnsi="Simplified Arabic" w:cs="Simplified Arabic"/>
          <w:rtl/>
        </w:rPr>
        <w:t xml:space="preserve">تسعى الدراسة إلى قياس هذا الأثر من خلال تتبع العلاقات المباشرة وغير المباشرة بين المتغيرات، مع اختبار تأثير الدوافع التشغيلية والتنافسية بوصفها عوامل معززة، والعوائق التقنية والبشرية بوصفها عوامل مثبطة لهذه العلاقة. </w:t>
      </w:r>
      <w:r>
        <w:rPr>
          <w:rFonts w:ascii="Simplified Arabic" w:hAnsi="Simplified Arabic" w:cs="Simplified Arabic" w:hint="cs"/>
          <w:rtl/>
        </w:rPr>
        <w:t>و</w:t>
      </w:r>
      <w:r>
        <w:rPr>
          <w:rFonts w:ascii="Simplified Arabic" w:hAnsi="Simplified Arabic" w:cs="Simplified Arabic"/>
          <w:rtl/>
        </w:rPr>
        <w:t xml:space="preserve">بذلك، </w:t>
      </w:r>
      <w:r>
        <w:rPr>
          <w:rFonts w:ascii="Simplified Arabic" w:hAnsi="Simplified Arabic" w:cs="Simplified Arabic"/>
          <w:rtl/>
        </w:rPr>
        <w:lastRenderedPageBreak/>
        <w:t>تضع الدراسة أساساً تفسيرياً يساعد في فهم الكيفية التي يتحول بها الاستثمار التقني في الذكاء الاصطناعي إلى قيمة تسويقية قابلة للقياس، بما يسهم في تطوير استراتيجيات تبن فعالة داخل وكالات التسويق السعودية</w:t>
      </w:r>
      <w:r>
        <w:rPr>
          <w:rFonts w:ascii="Simplified Arabic" w:hAnsi="Simplified Arabic" w:cs="Simplified Arabic"/>
        </w:rPr>
        <w:t>.</w:t>
      </w:r>
    </w:p>
    <w:p w14:paraId="0A8D624F" w14:textId="4AF4402F" w:rsidR="00257F01" w:rsidRDefault="000D4873" w:rsidP="00257F01">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hint="cs"/>
          <w:b/>
          <w:bCs/>
          <w:color w:val="1F497D" w:themeColor="text2"/>
          <w:sz w:val="32"/>
          <w:szCs w:val="32"/>
          <w:u w:val="single"/>
          <w:rtl/>
        </w:rPr>
        <w:t>أسئلة الدراسة</w:t>
      </w:r>
    </w:p>
    <w:p w14:paraId="5D5B498C" w14:textId="40D5717D" w:rsidR="000D4873" w:rsidRDefault="000D4873" w:rsidP="007E5B35">
      <w:pPr>
        <w:bidi/>
        <w:rPr>
          <w:rFonts w:ascii="Simplified Arabic" w:hAnsi="Simplified Arabic" w:cs="Simplified Arabic"/>
          <w:rtl/>
        </w:rPr>
      </w:pPr>
      <w:r>
        <w:rPr>
          <w:rFonts w:ascii="Simplified Arabic" w:hAnsi="Simplified Arabic" w:cs="Simplified Arabic"/>
          <w:rtl/>
        </w:rPr>
        <w:t>بناءً على مشكلة الدراسة المفصلة سابقاً، تسعى هذه الدراسة إلى الإجابة على الأسئلة البحثية التالية:</w:t>
      </w:r>
    </w:p>
    <w:p w14:paraId="7AE9CEC9" w14:textId="233F0C57" w:rsidR="007E5B35" w:rsidRPr="007E5B35" w:rsidRDefault="007E5B35" w:rsidP="007E5B35">
      <w:pPr>
        <w:bidi/>
        <w:rPr>
          <w:rFonts w:ascii="Simplified Arabic" w:hAnsi="Simplified Arabic" w:cs="Simplified Arabic"/>
          <w:b/>
          <w:bCs/>
          <w:rtl/>
        </w:rPr>
      </w:pPr>
      <w:r>
        <w:rPr>
          <w:rFonts w:ascii="Simplified Arabic" w:hAnsi="Simplified Arabic" w:cs="Simplified Arabic"/>
          <w:b/>
          <w:bCs/>
          <w:rtl/>
        </w:rPr>
        <w:t>السؤال الرئيس</w:t>
      </w:r>
      <w:r>
        <w:rPr>
          <w:rFonts w:ascii="Simplified Arabic" w:hAnsi="Simplified Arabic" w:cs="Simplified Arabic"/>
          <w:b/>
          <w:bCs/>
        </w:rPr>
        <w:t>:</w:t>
      </w:r>
    </w:p>
    <w:p w14:paraId="32C2C948" w14:textId="2514E716" w:rsidR="007E5B35" w:rsidRPr="007E5B35" w:rsidRDefault="007E5B35" w:rsidP="007E5B35">
      <w:pPr>
        <w:bidi/>
        <w:rPr>
          <w:rFonts w:ascii="Simplified Arabic" w:hAnsi="Simplified Arabic" w:cs="Simplified Arabic"/>
          <w:rtl/>
        </w:rPr>
      </w:pPr>
      <w:r>
        <w:rPr>
          <w:rFonts w:ascii="Simplified Arabic" w:hAnsi="Simplified Arabic" w:cs="Simplified Arabic"/>
          <w:rtl/>
        </w:rPr>
        <w:t>ما أثر توظيف تقنيات الذكاء الاصطناعي التوليدي في مراحل تصميم الحملات التسويقية الرقمية على فعالية الأداء التسويقي داخل وكالات التسويق السعودية؟</w:t>
      </w:r>
    </w:p>
    <w:p w14:paraId="11F1B71C" w14:textId="44C92418" w:rsidR="007E5B35" w:rsidRPr="007E5B35" w:rsidRDefault="007E5B35" w:rsidP="007E5B35">
      <w:pPr>
        <w:bidi/>
        <w:rPr>
          <w:rFonts w:ascii="Simplified Arabic" w:hAnsi="Simplified Arabic" w:cs="Simplified Arabic"/>
          <w:b/>
          <w:bCs/>
          <w:rtl/>
        </w:rPr>
      </w:pPr>
      <w:r>
        <w:rPr>
          <w:rFonts w:ascii="Simplified Arabic" w:hAnsi="Simplified Arabic" w:cs="Simplified Arabic"/>
          <w:b/>
          <w:bCs/>
          <w:rtl/>
        </w:rPr>
        <w:t>الأسئلة الفرعية</w:t>
      </w:r>
      <w:r>
        <w:rPr>
          <w:rFonts w:ascii="Simplified Arabic" w:hAnsi="Simplified Arabic" w:cs="Simplified Arabic"/>
          <w:b/>
          <w:bCs/>
        </w:rPr>
        <w:t>:</w:t>
      </w:r>
    </w:p>
    <w:p w14:paraId="076C837F" w14:textId="737A9949" w:rsidR="007E5B35" w:rsidRPr="007E5B35" w:rsidRDefault="007E5B35">
      <w:pPr>
        <w:numPr>
          <w:ilvl w:val="0"/>
          <w:numId w:val="2"/>
        </w:numPr>
        <w:bidi/>
        <w:spacing w:after="0" w:line="276" w:lineRule="auto"/>
        <w:rPr>
          <w:rFonts w:ascii="Simplified Arabic" w:hAnsi="Simplified Arabic" w:cs="Simplified Arabic"/>
          <w:rtl/>
        </w:rPr>
      </w:pPr>
      <w:r>
        <w:rPr>
          <w:rFonts w:ascii="Simplified Arabic" w:hAnsi="Simplified Arabic" w:cs="Simplified Arabic"/>
          <w:rtl/>
        </w:rPr>
        <w:t>ما الأنماط والأساليب المختلفة التي توظفها وكالات التسويق السعودية لاستخدام تقنيات الذكاء الاصطناعي التوليدي في المراحل المتتابعة لتصميم الحملات التسويقية الرقمية (التخطيط، الإبداع، التنفيذ، التحليل)؟</w:t>
      </w:r>
    </w:p>
    <w:p w14:paraId="5917F10D" w14:textId="41578D4A" w:rsidR="007E5B35" w:rsidRPr="007E5B35" w:rsidRDefault="007E5B35">
      <w:pPr>
        <w:numPr>
          <w:ilvl w:val="0"/>
          <w:numId w:val="2"/>
        </w:numPr>
        <w:bidi/>
        <w:spacing w:after="0" w:line="276" w:lineRule="auto"/>
        <w:rPr>
          <w:rFonts w:ascii="Simplified Arabic" w:hAnsi="Simplified Arabic" w:cs="Simplified Arabic"/>
          <w:rtl/>
        </w:rPr>
      </w:pPr>
      <w:r>
        <w:rPr>
          <w:rFonts w:ascii="Simplified Arabic" w:hAnsi="Simplified Arabic" w:cs="Simplified Arabic"/>
          <w:rtl/>
        </w:rPr>
        <w:t>كيف يؤثر توظيف هذه التقنيات في تطوير جودة عملية تصميم الحملات التسويقية من حيث سرعة الإنجاز، وتنوع البدائل الإبداعية، ودقة استهداف الجمهور، ودرجة تخصيص المحتوى؟</w:t>
      </w:r>
    </w:p>
    <w:p w14:paraId="15B9AA7D" w14:textId="56D42ED1" w:rsidR="007E5B35" w:rsidRPr="007E5B35" w:rsidRDefault="007E5B35">
      <w:pPr>
        <w:numPr>
          <w:ilvl w:val="0"/>
          <w:numId w:val="2"/>
        </w:numPr>
        <w:bidi/>
        <w:spacing w:after="0" w:line="276" w:lineRule="auto"/>
        <w:rPr>
          <w:rFonts w:ascii="Simplified Arabic" w:hAnsi="Simplified Arabic" w:cs="Simplified Arabic"/>
          <w:rtl/>
        </w:rPr>
      </w:pPr>
      <w:r>
        <w:rPr>
          <w:rFonts w:ascii="Simplified Arabic" w:hAnsi="Simplified Arabic" w:cs="Simplified Arabic"/>
          <w:rtl/>
        </w:rPr>
        <w:t>ما الدور الذي تمارسه الدوافع التشغيلية والتنافسية في تعزيز العلاقة بين توظيف تقنيات الذكاء الاصطناعي التوليدي وجودة عملية التصميم؟ وكيف تؤثر العوائق التقنية والبشرية في إضعاف هذه العلاقة؟</w:t>
      </w:r>
    </w:p>
    <w:p w14:paraId="00A0B175" w14:textId="39BEF0CE" w:rsidR="00810769" w:rsidRDefault="007E5B35">
      <w:pPr>
        <w:numPr>
          <w:ilvl w:val="0"/>
          <w:numId w:val="2"/>
        </w:numPr>
        <w:bidi/>
        <w:spacing w:after="0" w:line="276" w:lineRule="auto"/>
        <w:rPr>
          <w:rFonts w:ascii="Simplified Arabic" w:hAnsi="Simplified Arabic" w:cs="Simplified Arabic"/>
        </w:rPr>
      </w:pPr>
      <w:r>
        <w:rPr>
          <w:rFonts w:ascii="Simplified Arabic" w:hAnsi="Simplified Arabic" w:cs="Simplified Arabic"/>
          <w:rtl/>
        </w:rPr>
        <w:t>ما الأثر المباشر وغير المباشر لتوظيف تقنيات الذكاء الاصطناعي التوليدي على مؤشرات فعالية الأداء التسويقي، مثل جودة المحتوى النهائي، ومعدل التفاعل، ودقة الاستهداف، والعائد على الاستثمار؟</w:t>
      </w:r>
    </w:p>
    <w:p w14:paraId="11949424" w14:textId="77777777" w:rsidR="004F2B23" w:rsidRPr="007E5B35" w:rsidRDefault="004F2B23" w:rsidP="004F2B23">
      <w:pPr>
        <w:bidi/>
        <w:spacing w:after="0" w:line="276" w:lineRule="auto"/>
        <w:rPr>
          <w:rFonts w:ascii="Simplified Arabic" w:hAnsi="Simplified Arabic" w:cs="Simplified Arabic"/>
        </w:rPr>
      </w:pPr>
    </w:p>
    <w:p w14:paraId="15174074" w14:textId="19C90E51" w:rsidR="00883E09" w:rsidRPr="004F1607" w:rsidRDefault="00C11026" w:rsidP="000A1E46">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أهمية الدراسة (النظرية والتطبيقية)</w:t>
      </w:r>
      <w:r>
        <w:rPr>
          <w:rFonts w:ascii="Sakkal Majalla" w:hAnsi="Sakkal Majalla" w:cs="Sakkal Majalla"/>
          <w:b/>
          <w:bCs/>
          <w:color w:val="00B0F0"/>
          <w:sz w:val="36"/>
          <w:szCs w:val="36"/>
          <w:u w:val="single"/>
          <w:rtl/>
        </w:rPr>
        <w:t>:</w:t>
      </w:r>
    </w:p>
    <w:p w14:paraId="78A5A6E4" w14:textId="77777777" w:rsidR="000D4873" w:rsidRPr="000D4873" w:rsidRDefault="000D4873" w:rsidP="00022442">
      <w:pPr>
        <w:bidi/>
        <w:rPr>
          <w:rFonts w:ascii="Simplified Arabic" w:hAnsi="Simplified Arabic" w:cs="Simplified Arabic"/>
          <w:b/>
          <w:bCs/>
          <w:rtl/>
        </w:rPr>
      </w:pPr>
      <w:r>
        <w:rPr>
          <w:rFonts w:ascii="Simplified Arabic" w:hAnsi="Simplified Arabic" w:cs="Simplified Arabic"/>
          <w:b/>
          <w:bCs/>
          <w:rtl/>
        </w:rPr>
        <w:t>الأهمية النظرية</w:t>
      </w:r>
    </w:p>
    <w:p w14:paraId="277CD4F7" w14:textId="25C98B6E" w:rsidR="00F15ECE" w:rsidRPr="00F15ECE" w:rsidRDefault="00F15ECE">
      <w:pPr>
        <w:numPr>
          <w:ilvl w:val="0"/>
          <w:numId w:val="5"/>
        </w:numPr>
        <w:bidi/>
        <w:spacing w:before="240" w:after="0"/>
        <w:rPr>
          <w:rFonts w:ascii="Simplified Arabic" w:hAnsi="Simplified Arabic" w:cs="Simplified Arabic"/>
          <w:rtl/>
        </w:rPr>
      </w:pPr>
      <w:r>
        <w:rPr>
          <w:rFonts w:ascii="Simplified Arabic" w:hAnsi="Simplified Arabic" w:cs="Simplified Arabic"/>
          <w:rtl/>
        </w:rPr>
        <w:t>تقدم الدراسة نموذجاً نظرياً متكاملاً يربط لأول مرة بين توظيف الذكاء الاصطناعي التوليدي، جودة التصميم الإبداعي، وفعالية الأداء التسويقي، مع الأخذ بالاعتبار المتغيرات الوسيطة والتعديلية</w:t>
      </w:r>
      <w:r>
        <w:rPr>
          <w:rFonts w:ascii="Simplified Arabic" w:hAnsi="Simplified Arabic" w:cs="Simplified Arabic"/>
        </w:rPr>
        <w:t>.</w:t>
      </w:r>
    </w:p>
    <w:p w14:paraId="3791BB5A" w14:textId="7B1230DB" w:rsidR="00F15ECE" w:rsidRPr="00F15ECE" w:rsidRDefault="00F15ECE">
      <w:pPr>
        <w:numPr>
          <w:ilvl w:val="0"/>
          <w:numId w:val="5"/>
        </w:numPr>
        <w:bidi/>
        <w:spacing w:before="240" w:after="0"/>
        <w:rPr>
          <w:rFonts w:ascii="Simplified Arabic" w:hAnsi="Simplified Arabic" w:cs="Simplified Arabic"/>
          <w:rtl/>
        </w:rPr>
      </w:pPr>
      <w:r>
        <w:rPr>
          <w:rFonts w:ascii="Simplified Arabic" w:hAnsi="Simplified Arabic" w:cs="Simplified Arabic"/>
          <w:rtl/>
        </w:rPr>
        <w:t>تسد الدراسة فجوة منهجية في الأدبيات السابقة من خلال قياس العلاقات السببية بدلاً من العلاقات الارتباطية فقط، باستخدام منهجية كمية تعتمد على النمذجة بالمعادلات البنائية</w:t>
      </w:r>
      <w:r>
        <w:rPr>
          <w:rFonts w:ascii="Simplified Arabic" w:hAnsi="Simplified Arabic" w:cs="Simplified Arabic"/>
        </w:rPr>
        <w:t>.</w:t>
      </w:r>
    </w:p>
    <w:p w14:paraId="17F78135" w14:textId="27F3F759" w:rsidR="00F15ECE" w:rsidRPr="00F15ECE" w:rsidRDefault="00F15ECE">
      <w:pPr>
        <w:numPr>
          <w:ilvl w:val="0"/>
          <w:numId w:val="5"/>
        </w:numPr>
        <w:bidi/>
        <w:spacing w:before="240" w:after="0"/>
        <w:rPr>
          <w:rFonts w:ascii="Simplified Arabic" w:hAnsi="Simplified Arabic" w:cs="Simplified Arabic"/>
          <w:rtl/>
        </w:rPr>
      </w:pPr>
      <w:r>
        <w:rPr>
          <w:rFonts w:ascii="Simplified Arabic" w:hAnsi="Simplified Arabic" w:cs="Simplified Arabic"/>
          <w:rtl/>
        </w:rPr>
        <w:t>تسهم في تطوير النظرية السلوكية للمؤسسات من خلال دراسة العوامل التنظيمية والدوافع التي تؤثر على تبني التقنيات الحديثة في البيئة السعودية</w:t>
      </w:r>
      <w:r>
        <w:rPr>
          <w:rFonts w:ascii="Simplified Arabic" w:hAnsi="Simplified Arabic" w:cs="Simplified Arabic"/>
        </w:rPr>
        <w:t>.</w:t>
      </w:r>
    </w:p>
    <w:p w14:paraId="4BFC3B54" w14:textId="5811B5D6" w:rsidR="00F15ECE" w:rsidRDefault="00F15ECE">
      <w:pPr>
        <w:numPr>
          <w:ilvl w:val="0"/>
          <w:numId w:val="5"/>
        </w:numPr>
        <w:bidi/>
        <w:spacing w:before="240" w:after="0"/>
        <w:rPr>
          <w:rFonts w:ascii="Simplified Arabic" w:hAnsi="Simplified Arabic" w:cs="Simplified Arabic"/>
        </w:rPr>
      </w:pPr>
      <w:r>
        <w:rPr>
          <w:rFonts w:ascii="Simplified Arabic" w:hAnsi="Simplified Arabic" w:cs="Simplified Arabic"/>
          <w:rtl/>
        </w:rPr>
        <w:t>تطور مقاييس معيارية متعددة الأبعاد يمكن للباحثين الاعتماد عليها في قياس متغيرات الذكاء الاصطناعي التوليدي وجودة التصميم الإبداعي في السياق العربي</w:t>
      </w:r>
      <w:r>
        <w:rPr>
          <w:rFonts w:ascii="Simplified Arabic" w:hAnsi="Simplified Arabic" w:cs="Simplified Arabic"/>
        </w:rPr>
        <w:t>.</w:t>
      </w:r>
    </w:p>
    <w:p w14:paraId="167D41AB" w14:textId="45B5A8C6" w:rsidR="00F15ECE" w:rsidRPr="00F15ECE" w:rsidRDefault="00F15ECE">
      <w:pPr>
        <w:numPr>
          <w:ilvl w:val="0"/>
          <w:numId w:val="5"/>
        </w:numPr>
        <w:tabs>
          <w:tab w:val="num" w:pos="720"/>
        </w:tabs>
        <w:bidi/>
        <w:spacing w:before="240" w:after="0"/>
        <w:rPr>
          <w:rFonts w:ascii="Simplified Arabic" w:hAnsi="Simplified Arabic" w:cs="Simplified Arabic"/>
          <w:rtl/>
        </w:rPr>
      </w:pPr>
      <w:r>
        <w:rPr>
          <w:rFonts w:ascii="Simplified Arabic" w:hAnsi="Simplified Arabic" w:cs="Simplified Arabic"/>
          <w:rtl/>
        </w:rPr>
        <w:t>بناء إطار تكاملي ثلاثي الأبعاد يربط بين العوائق التقنية والبشرية والتشريعية في سياق تصميم الحملات الرقمية</w:t>
      </w:r>
      <w:r>
        <w:rPr>
          <w:rFonts w:ascii="Simplified Arabic" w:hAnsi="Simplified Arabic" w:cs="Simplified Arabic"/>
        </w:rPr>
        <w:t>.</w:t>
      </w:r>
    </w:p>
    <w:p w14:paraId="3C5D7BFD" w14:textId="35E5005D" w:rsidR="000D3CD0" w:rsidRDefault="00F15ECE">
      <w:pPr>
        <w:numPr>
          <w:ilvl w:val="0"/>
          <w:numId w:val="5"/>
        </w:numPr>
        <w:bidi/>
        <w:spacing w:before="240" w:after="0"/>
        <w:jc w:val="both"/>
        <w:rPr>
          <w:rFonts w:ascii="Simplified Arabic" w:hAnsi="Simplified Arabic" w:cs="Simplified Arabic"/>
        </w:rPr>
      </w:pPr>
      <w:r>
        <w:rPr>
          <w:rFonts w:ascii="Simplified Arabic" w:hAnsi="Simplified Arabic" w:cs="Simplified Arabic"/>
          <w:rtl/>
        </w:rPr>
        <w:lastRenderedPageBreak/>
        <w:t>تطبق النظرية في مجال جديد وهو تبني تقنيات الذكاء الاصطناعي التوليدي، مما يسهم في تطويرها نظرياً.</w:t>
      </w:r>
    </w:p>
    <w:p w14:paraId="0C2B1A03" w14:textId="77777777" w:rsidR="004F2B23" w:rsidRPr="0085283F" w:rsidRDefault="004F2B23" w:rsidP="004F2B23">
      <w:pPr>
        <w:bidi/>
        <w:spacing w:after="0"/>
        <w:jc w:val="both"/>
        <w:rPr>
          <w:rFonts w:ascii="Simplified Arabic" w:hAnsi="Simplified Arabic" w:cs="Simplified Arabic"/>
          <w:rtl/>
        </w:rPr>
      </w:pPr>
    </w:p>
    <w:p w14:paraId="57D4803F" w14:textId="189C39AE" w:rsidR="000D4873" w:rsidRPr="000D4873" w:rsidRDefault="000D4873" w:rsidP="000D3CD0">
      <w:pPr>
        <w:bidi/>
        <w:rPr>
          <w:rFonts w:ascii="Simplified Arabic" w:hAnsi="Simplified Arabic" w:cs="Simplified Arabic"/>
          <w:b/>
          <w:bCs/>
          <w:rtl/>
        </w:rPr>
      </w:pPr>
      <w:r>
        <w:rPr>
          <w:rFonts w:ascii="Simplified Arabic" w:hAnsi="Simplified Arabic" w:cs="Simplified Arabic"/>
          <w:b/>
          <w:bCs/>
          <w:rtl/>
        </w:rPr>
        <w:t>الأهمية التطبيقية</w:t>
      </w:r>
    </w:p>
    <w:p w14:paraId="6972F30D" w14:textId="0E50BE2D" w:rsidR="00F15ECE" w:rsidRPr="00F15ECE" w:rsidRDefault="00F15ECE">
      <w:pPr>
        <w:numPr>
          <w:ilvl w:val="0"/>
          <w:numId w:val="4"/>
        </w:numPr>
        <w:bidi/>
        <w:spacing w:line="276" w:lineRule="auto"/>
        <w:rPr>
          <w:rFonts w:ascii="Simplified Arabic" w:hAnsi="Simplified Arabic" w:cs="Simplified Arabic"/>
          <w:rtl/>
        </w:rPr>
      </w:pPr>
      <w:r>
        <w:rPr>
          <w:rFonts w:ascii="Simplified Arabic" w:hAnsi="Simplified Arabic" w:cs="Simplified Arabic"/>
          <w:rtl/>
        </w:rPr>
        <w:t>تزود مدراء وكالات التسويق بأدلة قياسية حول العائد الاستثماري من تبني تقنيات الذكاء الاصطناعي التوليدي، مما يمكنهم من اتخاذ قرارات استثمارية مستنيرة</w:t>
      </w:r>
      <w:r>
        <w:rPr>
          <w:rFonts w:ascii="Simplified Arabic" w:hAnsi="Simplified Arabic" w:cs="Simplified Arabic"/>
        </w:rPr>
        <w:t>.</w:t>
      </w:r>
    </w:p>
    <w:p w14:paraId="79E32DDC" w14:textId="000C5331" w:rsidR="00F15ECE" w:rsidRPr="00F15ECE" w:rsidRDefault="00F15ECE">
      <w:pPr>
        <w:numPr>
          <w:ilvl w:val="0"/>
          <w:numId w:val="4"/>
        </w:numPr>
        <w:bidi/>
        <w:spacing w:line="276" w:lineRule="auto"/>
        <w:rPr>
          <w:rFonts w:ascii="Simplified Arabic" w:hAnsi="Simplified Arabic" w:cs="Simplified Arabic"/>
          <w:rtl/>
        </w:rPr>
      </w:pPr>
      <w:r>
        <w:rPr>
          <w:rFonts w:ascii="Simplified Arabic" w:hAnsi="Simplified Arabic" w:cs="Simplified Arabic"/>
          <w:rtl/>
        </w:rPr>
        <w:t>تمكّن مسؤولي التدريب من تحديد الفجوات المهارية لدى الكوادر البشرية في التعامل مع الأدوات التوليدية، وتصميم برامج تدريبية مستهدفة</w:t>
      </w:r>
      <w:r>
        <w:rPr>
          <w:rFonts w:ascii="Simplified Arabic" w:hAnsi="Simplified Arabic" w:cs="Simplified Arabic"/>
        </w:rPr>
        <w:t>.</w:t>
      </w:r>
    </w:p>
    <w:p w14:paraId="0439F475" w14:textId="060E2519" w:rsidR="00F15ECE" w:rsidRPr="00F15ECE" w:rsidRDefault="00F15ECE">
      <w:pPr>
        <w:numPr>
          <w:ilvl w:val="0"/>
          <w:numId w:val="4"/>
        </w:numPr>
        <w:bidi/>
        <w:spacing w:line="276" w:lineRule="auto"/>
        <w:rPr>
          <w:rFonts w:ascii="Simplified Arabic" w:hAnsi="Simplified Arabic" w:cs="Simplified Arabic"/>
          <w:rtl/>
        </w:rPr>
      </w:pPr>
      <w:r>
        <w:rPr>
          <w:rFonts w:ascii="Simplified Arabic" w:hAnsi="Simplified Arabic" w:cs="Simplified Arabic"/>
          <w:rtl/>
        </w:rPr>
        <w:t>تقدم معايير عملية لتحسين جودة التصميم الإبداعي من خلال الاستفادة المثلى من إمكانات الذكاء الاصطناعي التوليدي</w:t>
      </w:r>
      <w:r>
        <w:rPr>
          <w:rFonts w:ascii="Simplified Arabic" w:hAnsi="Simplified Arabic" w:cs="Simplified Arabic"/>
        </w:rPr>
        <w:t>.</w:t>
      </w:r>
    </w:p>
    <w:p w14:paraId="1A54DDAF" w14:textId="67415E10" w:rsidR="00F15ECE" w:rsidRPr="00F15ECE" w:rsidRDefault="00F15ECE">
      <w:pPr>
        <w:numPr>
          <w:ilvl w:val="0"/>
          <w:numId w:val="4"/>
        </w:numPr>
        <w:bidi/>
        <w:spacing w:line="276" w:lineRule="auto"/>
        <w:rPr>
          <w:rFonts w:ascii="Simplified Arabic" w:hAnsi="Simplified Arabic" w:cs="Simplified Arabic"/>
          <w:rtl/>
        </w:rPr>
      </w:pPr>
      <w:r>
        <w:rPr>
          <w:rFonts w:ascii="Simplified Arabic" w:hAnsi="Simplified Arabic" w:cs="Simplified Arabic"/>
          <w:rtl/>
        </w:rPr>
        <w:t>تساعد الجهات التنظيمية مثل الهيئة السعودية للبيانات والذكاء الاصطناعي</w:t>
      </w:r>
      <w:r>
        <w:rPr>
          <w:rFonts w:ascii="Simplified Arabic" w:hAnsi="Simplified Arabic" w:cs="Simplified Arabic"/>
        </w:rPr>
        <w:t xml:space="preserve"> (SDAIA) </w:t>
      </w:r>
      <w:r>
        <w:rPr>
          <w:rFonts w:ascii="Simplified Arabic" w:hAnsi="Simplified Arabic" w:cs="Simplified Arabic"/>
          <w:rtl/>
        </w:rPr>
        <w:t>في تطوير أطر حوكمة لاستخدام الذكاء الاصطناعي التوليدي في القطاع التسويقي</w:t>
      </w:r>
      <w:r>
        <w:rPr>
          <w:rFonts w:ascii="Simplified Arabic" w:hAnsi="Simplified Arabic" w:cs="Simplified Arabic"/>
        </w:rPr>
        <w:t>.</w:t>
      </w:r>
    </w:p>
    <w:p w14:paraId="777E9322" w14:textId="51C279BB" w:rsidR="00F15ECE" w:rsidRPr="00F15ECE" w:rsidRDefault="00F15ECE">
      <w:pPr>
        <w:numPr>
          <w:ilvl w:val="0"/>
          <w:numId w:val="4"/>
        </w:numPr>
        <w:bidi/>
        <w:spacing w:line="276" w:lineRule="auto"/>
        <w:rPr>
          <w:rFonts w:ascii="Simplified Arabic" w:hAnsi="Simplified Arabic" w:cs="Simplified Arabic"/>
          <w:rtl/>
        </w:rPr>
      </w:pPr>
      <w:r>
        <w:rPr>
          <w:rFonts w:ascii="Simplified Arabic" w:hAnsi="Simplified Arabic" w:cs="Simplified Arabic"/>
          <w:rtl/>
        </w:rPr>
        <w:t>تسهم في تعزيز القدرة التنافسية لوكالات التسويق السعودية من خلال توفير أدوات عملية لتحسين الفعالية التسويقية</w:t>
      </w:r>
      <w:r>
        <w:rPr>
          <w:rFonts w:ascii="Simplified Arabic" w:hAnsi="Simplified Arabic" w:cs="Simplified Arabic"/>
        </w:rPr>
        <w:t>.</w:t>
      </w:r>
    </w:p>
    <w:p w14:paraId="4DDF652E" w14:textId="2CC4E6AF" w:rsidR="00F15ECE" w:rsidRPr="00F15ECE" w:rsidRDefault="00F15ECE">
      <w:pPr>
        <w:numPr>
          <w:ilvl w:val="0"/>
          <w:numId w:val="4"/>
        </w:numPr>
        <w:bidi/>
        <w:spacing w:line="276" w:lineRule="auto"/>
        <w:rPr>
          <w:rFonts w:ascii="Simplified Arabic" w:hAnsi="Simplified Arabic" w:cs="Simplified Arabic"/>
          <w:rtl/>
        </w:rPr>
      </w:pPr>
      <w:r>
        <w:rPr>
          <w:rFonts w:ascii="Simplified Arabic" w:hAnsi="Simplified Arabic" w:cs="Simplified Arabic"/>
          <w:rtl/>
        </w:rPr>
        <w:t>توفّر مؤشرات أداء قياسية</w:t>
      </w:r>
      <w:r>
        <w:rPr>
          <w:rFonts w:ascii="Simplified Arabic" w:hAnsi="Simplified Arabic" w:cs="Simplified Arabic"/>
        </w:rPr>
        <w:t xml:space="preserve"> (KPIs) </w:t>
      </w:r>
      <w:r>
        <w:rPr>
          <w:rFonts w:ascii="Simplified Arabic" w:hAnsi="Simplified Arabic" w:cs="Simplified Arabic"/>
          <w:rtl/>
        </w:rPr>
        <w:t>لقياس فعالية الحملات التسويقية المدعومة بالذكاء الاصطناعي التوليدي</w:t>
      </w:r>
      <w:r>
        <w:rPr>
          <w:rFonts w:ascii="Simplified Arabic" w:hAnsi="Simplified Arabic" w:cs="Simplified Arabic"/>
        </w:rPr>
        <w:t>.</w:t>
      </w:r>
    </w:p>
    <w:p w14:paraId="5335BB7B" w14:textId="78623436" w:rsidR="00F15ECE" w:rsidRDefault="00F15ECE">
      <w:pPr>
        <w:numPr>
          <w:ilvl w:val="0"/>
          <w:numId w:val="4"/>
        </w:numPr>
        <w:bidi/>
        <w:spacing w:line="276" w:lineRule="auto"/>
        <w:rPr>
          <w:rFonts w:ascii="Simplified Arabic" w:hAnsi="Simplified Arabic" w:cs="Simplified Arabic"/>
        </w:rPr>
      </w:pPr>
      <w:r>
        <w:rPr>
          <w:rFonts w:ascii="Simplified Arabic" w:hAnsi="Simplified Arabic" w:cs="Simplified Arabic"/>
          <w:rtl/>
        </w:rPr>
        <w:t>تمكن الوكالات من تحقيق ميزة تنافسية من خلال الاستخدام الأمثل للتقنيات التوليدية في تحسين جودة المحتوى وتخصيصه للجمهور المستهدف.</w:t>
      </w:r>
    </w:p>
    <w:p w14:paraId="69680043" w14:textId="77777777" w:rsidR="004F2B23" w:rsidRPr="004F2B23" w:rsidRDefault="004F2B23" w:rsidP="004F2B23">
      <w:pPr>
        <w:bidi/>
        <w:spacing w:line="276" w:lineRule="auto"/>
        <w:rPr>
          <w:rFonts w:ascii="Simplified Arabic" w:hAnsi="Simplified Arabic" w:cs="Simplified Arabic"/>
          <w:sz w:val="12"/>
          <w:szCs w:val="12"/>
          <w:rtl/>
        </w:rPr>
      </w:pPr>
    </w:p>
    <w:p w14:paraId="0E8E9098" w14:textId="6E6D9109" w:rsidR="00A16E60" w:rsidRPr="004F1607" w:rsidRDefault="00C11026" w:rsidP="008A25EF">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أهداف الدراسة</w:t>
      </w:r>
      <w:r>
        <w:rPr>
          <w:rFonts w:ascii="Sakkal Majalla" w:hAnsi="Sakkal Majalla" w:cs="Sakkal Majalla"/>
          <w:b/>
          <w:bCs/>
          <w:color w:val="00B0F0"/>
          <w:sz w:val="36"/>
          <w:szCs w:val="36"/>
          <w:u w:val="single"/>
          <w:rtl/>
        </w:rPr>
        <w:t>:</w:t>
      </w:r>
    </w:p>
    <w:p w14:paraId="0B2F1F5F" w14:textId="2885F33A" w:rsidR="005A6DF8" w:rsidRPr="004223DC" w:rsidRDefault="005A6DF8" w:rsidP="004F2B23">
      <w:pPr>
        <w:bidi/>
        <w:spacing w:before="240"/>
        <w:rPr>
          <w:rFonts w:ascii="Simplified Arabic" w:hAnsi="Simplified Arabic" w:cs="Simplified Arabic"/>
          <w:rtl/>
        </w:rPr>
      </w:pPr>
      <w:r>
        <w:rPr>
          <w:rFonts w:ascii="Simplified Arabic" w:hAnsi="Simplified Arabic" w:cs="Simplified Arabic"/>
          <w:rtl/>
        </w:rPr>
        <w:t>تسعى الدراسة إلى تحقيق الأهداف العلمية التالية:</w:t>
      </w:r>
    </w:p>
    <w:p w14:paraId="049C422C" w14:textId="77777777" w:rsidR="002C5909" w:rsidRPr="002C5909" w:rsidRDefault="002C5909" w:rsidP="004F2B23">
      <w:pPr>
        <w:bidi/>
        <w:spacing w:before="240"/>
        <w:rPr>
          <w:rFonts w:ascii="Simplified Arabic" w:hAnsi="Simplified Arabic" w:cs="Simplified Arabic"/>
          <w:b/>
          <w:bCs/>
          <w:rtl/>
        </w:rPr>
      </w:pPr>
      <w:r>
        <w:rPr>
          <w:rFonts w:ascii="Simplified Arabic" w:hAnsi="Simplified Arabic" w:cs="Simplified Arabic"/>
          <w:b/>
          <w:bCs/>
          <w:rtl/>
        </w:rPr>
        <w:t>الهدف الرئيسي</w:t>
      </w:r>
    </w:p>
    <w:p w14:paraId="76CE2C8D" w14:textId="77777777" w:rsidR="00E93246" w:rsidRDefault="00E93246" w:rsidP="004F2B23">
      <w:pPr>
        <w:bidi/>
        <w:spacing w:before="240"/>
        <w:rPr>
          <w:rFonts w:ascii="Simplified Arabic" w:hAnsi="Simplified Arabic" w:cs="Simplified Arabic"/>
          <w:b/>
          <w:bCs/>
          <w:rtl/>
        </w:rPr>
      </w:pPr>
      <w:r>
        <w:rPr>
          <w:rFonts w:ascii="Simplified Arabic" w:hAnsi="Simplified Arabic" w:cs="Simplified Arabic"/>
          <w:rtl/>
        </w:rPr>
        <w:t>تحليل العلاقة بين توظيف تقنيات الذكاء الاصطناعي التوليدي في مراحل تصميم الحملات التسويقية الرقمية وفعالية الأداء التسويقي في وكالات التسويق السعودية، وتفسير طبيعتها من خلال جودة عملية التصميم كعامل وسيط والعوامل التشغيلية والبشرية كمتغيرات معدّلة.</w:t>
      </w:r>
    </w:p>
    <w:p w14:paraId="711B5C8B" w14:textId="610E25D4" w:rsidR="002C5909" w:rsidRPr="002C5909" w:rsidRDefault="002C5909" w:rsidP="004F2B23">
      <w:pPr>
        <w:bidi/>
        <w:spacing w:before="240"/>
        <w:rPr>
          <w:rFonts w:ascii="Simplified Arabic" w:hAnsi="Simplified Arabic" w:cs="Simplified Arabic"/>
          <w:b/>
          <w:bCs/>
          <w:rtl/>
        </w:rPr>
      </w:pPr>
      <w:r>
        <w:rPr>
          <w:rFonts w:ascii="Simplified Arabic" w:hAnsi="Simplified Arabic" w:cs="Simplified Arabic"/>
          <w:b/>
          <w:bCs/>
          <w:rtl/>
        </w:rPr>
        <w:t>الأهداف الفرعية</w:t>
      </w:r>
    </w:p>
    <w:p w14:paraId="11F58D7E" w14:textId="480BF5AD" w:rsidR="001717DE" w:rsidRPr="001717DE" w:rsidRDefault="001717DE">
      <w:pPr>
        <w:numPr>
          <w:ilvl w:val="0"/>
          <w:numId w:val="3"/>
        </w:numPr>
        <w:bidi/>
        <w:spacing w:before="240"/>
        <w:rPr>
          <w:rFonts w:ascii="Simplified Arabic" w:hAnsi="Simplified Arabic" w:cs="Simplified Arabic"/>
        </w:rPr>
      </w:pPr>
      <w:r>
        <w:rPr>
          <w:rFonts w:ascii="Simplified Arabic" w:hAnsi="Simplified Arabic" w:cs="Simplified Arabic"/>
          <w:rtl/>
        </w:rPr>
        <w:t>رصد وتصنيف أنماط توظيف تقنيات الذكاء الاصطناعي التوليدي في مراحل التخطيط، والإبداع، والتنفيذ، والتحليل ضمن عمليات تصميم الحملات التسويقية الرقمية.</w:t>
      </w:r>
    </w:p>
    <w:p w14:paraId="3F553399" w14:textId="55415FFB" w:rsidR="001717DE" w:rsidRPr="001717DE" w:rsidRDefault="001717DE">
      <w:pPr>
        <w:numPr>
          <w:ilvl w:val="0"/>
          <w:numId w:val="3"/>
        </w:numPr>
        <w:bidi/>
        <w:spacing w:before="240"/>
        <w:rPr>
          <w:rFonts w:ascii="Simplified Arabic" w:hAnsi="Simplified Arabic" w:cs="Simplified Arabic"/>
        </w:rPr>
      </w:pPr>
      <w:r>
        <w:rPr>
          <w:rFonts w:ascii="Simplified Arabic" w:hAnsi="Simplified Arabic" w:cs="Simplified Arabic"/>
          <w:rtl/>
        </w:rPr>
        <w:lastRenderedPageBreak/>
        <w:t>قياس أثر التوظيف التقني على جودة عملية التصميم من حيث سرعة الإنجاز، وتنوع البدائل الإبداعية، ودقة استهداف الجمهور، ودرجة تخصيص المحتوى التسويقي.</w:t>
      </w:r>
    </w:p>
    <w:p w14:paraId="743536C6" w14:textId="1F107411" w:rsidR="001717DE" w:rsidRPr="001717DE" w:rsidRDefault="001717DE">
      <w:pPr>
        <w:numPr>
          <w:ilvl w:val="0"/>
          <w:numId w:val="3"/>
        </w:numPr>
        <w:bidi/>
        <w:spacing w:before="240"/>
        <w:rPr>
          <w:rFonts w:ascii="Simplified Arabic" w:hAnsi="Simplified Arabic" w:cs="Simplified Arabic"/>
        </w:rPr>
      </w:pPr>
      <w:r>
        <w:rPr>
          <w:rFonts w:ascii="Simplified Arabic" w:hAnsi="Simplified Arabic" w:cs="Simplified Arabic"/>
          <w:rtl/>
        </w:rPr>
        <w:t>اختبار الدور التعديلي للدوافع التشغيلية والتنافسية والعوائق التقنية والبشرية في تحديد قوة العلاقة بين توظيف الذكاء الاصطناعي التوليدي وجودة عملية التصميم.</w:t>
      </w:r>
    </w:p>
    <w:p w14:paraId="30859C99" w14:textId="5A4B8CEE" w:rsidR="008A25EF" w:rsidRDefault="001717DE">
      <w:pPr>
        <w:numPr>
          <w:ilvl w:val="0"/>
          <w:numId w:val="3"/>
        </w:numPr>
        <w:bidi/>
        <w:spacing w:before="240"/>
        <w:rPr>
          <w:rFonts w:ascii="Simplified Arabic" w:hAnsi="Simplified Arabic" w:cs="Simplified Arabic"/>
        </w:rPr>
      </w:pPr>
      <w:r>
        <w:rPr>
          <w:rFonts w:ascii="Simplified Arabic" w:hAnsi="Simplified Arabic" w:cs="Simplified Arabic"/>
          <w:rtl/>
        </w:rPr>
        <w:t>تحليل الأثر المباشر وغير المباشر لتوظيف الذكاء الاصطناعي التوليدي على مؤشرات فعالية الأداء التسويقي، بما في ذلك جودة المحتوى، معدل التفاعل، دقة الاستهداف، والعائد على الاستثمار التسويقي.</w:t>
      </w:r>
    </w:p>
    <w:p w14:paraId="1AECB964" w14:textId="77777777" w:rsidR="0085283F" w:rsidRPr="004F2B23" w:rsidRDefault="0085283F" w:rsidP="0085283F">
      <w:pPr>
        <w:bidi/>
        <w:rPr>
          <w:rFonts w:ascii="Simplified Arabic" w:hAnsi="Simplified Arabic" w:cs="Simplified Arabic"/>
          <w:sz w:val="18"/>
          <w:szCs w:val="18"/>
        </w:rPr>
      </w:pPr>
    </w:p>
    <w:p w14:paraId="69389CED" w14:textId="2D7A0736" w:rsidR="00A16E60" w:rsidRPr="004F1607" w:rsidRDefault="00A16E60" w:rsidP="00A16E60">
      <w:pPr>
        <w:bidi/>
        <w:spacing w:after="200" w:line="276" w:lineRule="auto"/>
        <w:rPr>
          <w:rFonts w:ascii="Sakkal Majalla" w:hAnsi="Sakkal Majalla" w:cs="Sakkal Majalla"/>
          <w:b/>
          <w:bCs/>
          <w:color w:val="00B0F0"/>
          <w:sz w:val="36"/>
          <w:szCs w:val="36"/>
          <w:u w:val="single"/>
          <w:rtl/>
        </w:rPr>
      </w:pPr>
      <w:bookmarkStart w:id="0" w:name="_Hlk214856741"/>
      <w:r>
        <w:rPr>
          <w:rFonts w:ascii="Sakkal Majalla" w:hAnsi="Sakkal Majalla" w:cs="Sakkal Majalla" w:hint="cs"/>
          <w:b/>
          <w:bCs/>
          <w:color w:val="00B0F0"/>
          <w:sz w:val="36"/>
          <w:szCs w:val="36"/>
          <w:u w:val="single"/>
          <w:rtl/>
        </w:rPr>
        <w:t>فرضيات الدراسة</w:t>
      </w:r>
      <w:r>
        <w:rPr>
          <w:rFonts w:ascii="Sakkal Majalla" w:hAnsi="Sakkal Majalla" w:cs="Sakkal Majalla"/>
          <w:b/>
          <w:bCs/>
          <w:color w:val="00B0F0"/>
          <w:sz w:val="36"/>
          <w:szCs w:val="36"/>
          <w:u w:val="single"/>
          <w:rtl/>
        </w:rPr>
        <w:t>:</w:t>
      </w:r>
    </w:p>
    <w:bookmarkEnd w:id="0"/>
    <w:p w14:paraId="6FD778C4" w14:textId="10CA8D7B" w:rsidR="009F0570" w:rsidRPr="000D3CD0" w:rsidRDefault="009F0570" w:rsidP="009F0570">
      <w:pPr>
        <w:bidi/>
        <w:rPr>
          <w:rFonts w:ascii="Simplified Arabic" w:hAnsi="Simplified Arabic" w:cs="Simplified Arabic"/>
          <w:b/>
          <w:bCs/>
          <w:rtl/>
        </w:rPr>
      </w:pPr>
      <w:r>
        <w:rPr>
          <w:rFonts w:ascii="Simplified Arabic" w:hAnsi="Simplified Arabic" w:cs="Simplified Arabic"/>
          <w:b/>
          <w:bCs/>
          <w:rtl/>
        </w:rPr>
        <w:t>الفرضية الرئيسة</w:t>
      </w:r>
      <w:r>
        <w:rPr>
          <w:rFonts w:ascii="Simplified Arabic" w:hAnsi="Simplified Arabic" w:cs="Simplified Arabic"/>
          <w:b/>
          <w:bCs/>
        </w:rPr>
        <w:t>:</w:t>
      </w:r>
    </w:p>
    <w:p w14:paraId="2E0A11D8" w14:textId="33245263" w:rsidR="009F0570" w:rsidRPr="009F0570" w:rsidRDefault="009F0570" w:rsidP="009F0570">
      <w:pPr>
        <w:bidi/>
        <w:rPr>
          <w:rFonts w:ascii="Simplified Arabic" w:hAnsi="Simplified Arabic" w:cs="Simplified Arabic"/>
          <w:rtl/>
        </w:rPr>
      </w:pPr>
      <w:r>
        <w:rPr>
          <w:rFonts w:ascii="Simplified Arabic" w:hAnsi="Simplified Arabic" w:cs="Simplified Arabic"/>
          <w:rtl/>
        </w:rPr>
        <w:t>توجد علاقة ذات دلالة إحصائية عند مستوى</w:t>
      </w:r>
      <w:r>
        <w:rPr>
          <w:rFonts w:ascii="Simplified Arabic" w:hAnsi="Simplified Arabic" w:cs="Simplified Arabic"/>
        </w:rPr>
        <w:t xml:space="preserve"> (</w:t>
      </w:r>
      <w:r>
        <w:rPr>
          <w:rFonts w:ascii="Cambria" w:hAnsi="Cambria" w:cs="Cambria"/>
        </w:rPr>
        <w:t>α</w:t>
      </w:r>
      <w:r>
        <w:rPr>
          <w:rFonts w:ascii="Simplified Arabic" w:hAnsi="Simplified Arabic" w:cs="Simplified Arabic"/>
        </w:rPr>
        <w:t xml:space="preserve"> </w:t>
      </w:r>
      <w:r>
        <w:rPr>
          <w:rFonts w:ascii="Cambria Math" w:hAnsi="Cambria Math" w:cs="Cambria Math"/>
        </w:rPr>
        <w:t>≤</w:t>
      </w:r>
      <w:r>
        <w:rPr>
          <w:rFonts w:ascii="Simplified Arabic" w:hAnsi="Simplified Arabic" w:cs="Simplified Arabic"/>
        </w:rPr>
        <w:t xml:space="preserve"> 0.05) </w:t>
      </w:r>
      <w:r>
        <w:rPr>
          <w:rFonts w:ascii="Simplified Arabic" w:hAnsi="Simplified Arabic" w:cs="Simplified Arabic"/>
          <w:rtl/>
        </w:rPr>
        <w:t>بين توظيف تقنيات الذكاء الاصطناعي التوليدي في مراحل تصميم الحملات التسويقية الرقمية وفعالية الأداء التسويقي في وكالات التسويق السعودية</w:t>
      </w:r>
      <w:r>
        <w:rPr>
          <w:rFonts w:ascii="Simplified Arabic" w:hAnsi="Simplified Arabic" w:cs="Simplified Arabic"/>
        </w:rPr>
        <w:t>.</w:t>
      </w:r>
    </w:p>
    <w:p w14:paraId="72FA0880" w14:textId="19A0873B" w:rsidR="009F0570" w:rsidRPr="000D3CD0" w:rsidRDefault="009F0570" w:rsidP="009F0570">
      <w:pPr>
        <w:bidi/>
        <w:rPr>
          <w:rFonts w:ascii="Simplified Arabic" w:hAnsi="Simplified Arabic" w:cs="Simplified Arabic"/>
          <w:b/>
          <w:bCs/>
          <w:rtl/>
        </w:rPr>
      </w:pPr>
      <w:r>
        <w:rPr>
          <w:rFonts w:ascii="Simplified Arabic" w:hAnsi="Simplified Arabic" w:cs="Simplified Arabic"/>
          <w:b/>
          <w:bCs/>
          <w:rtl/>
        </w:rPr>
        <w:t>الفرضيات الفرعية</w:t>
      </w:r>
      <w:r>
        <w:rPr>
          <w:rFonts w:ascii="Simplified Arabic" w:hAnsi="Simplified Arabic" w:cs="Simplified Arabic"/>
          <w:b/>
          <w:bCs/>
        </w:rPr>
        <w:t>:</w:t>
      </w:r>
    </w:p>
    <w:p w14:paraId="1058466C" w14:textId="06472A71" w:rsidR="009F0570" w:rsidRPr="009F0570" w:rsidRDefault="009F0570" w:rsidP="009F0570">
      <w:pPr>
        <w:bidi/>
        <w:rPr>
          <w:rFonts w:ascii="Simplified Arabic" w:hAnsi="Simplified Arabic" w:cs="Simplified Arabic"/>
          <w:rtl/>
        </w:rPr>
      </w:pPr>
      <w:r>
        <w:rPr>
          <w:rFonts w:ascii="Simplified Arabic" w:hAnsi="Simplified Arabic" w:cs="Simplified Arabic"/>
          <w:b/>
          <w:bCs/>
        </w:rPr>
        <w:t>H1</w:t>
      </w:r>
      <w:r>
        <w:rPr>
          <w:rFonts w:ascii="Simplified Arabic" w:hAnsi="Simplified Arabic" w:cs="Simplified Arabic" w:hint="cs"/>
          <w:b/>
          <w:bCs/>
          <w:rtl/>
        </w:rPr>
        <w:t xml:space="preserve">: </w:t>
      </w:r>
      <w:r>
        <w:rPr>
          <w:rFonts w:ascii="Simplified Arabic" w:hAnsi="Simplified Arabic" w:cs="Simplified Arabic"/>
          <w:rtl/>
        </w:rPr>
        <w:t>توجد علاقة ذات دلالة إحصائية عند مستوى</w:t>
      </w:r>
      <w:r>
        <w:rPr>
          <w:rFonts w:ascii="Simplified Arabic" w:hAnsi="Simplified Arabic" w:cs="Simplified Arabic"/>
        </w:rPr>
        <w:t xml:space="preserve"> (</w:t>
      </w:r>
      <w:r>
        <w:rPr>
          <w:rFonts w:ascii="Cambria" w:hAnsi="Cambria" w:cs="Cambria"/>
        </w:rPr>
        <w:t>α</w:t>
      </w:r>
      <w:r>
        <w:rPr>
          <w:rFonts w:ascii="Simplified Arabic" w:hAnsi="Simplified Arabic" w:cs="Simplified Arabic"/>
        </w:rPr>
        <w:t xml:space="preserve"> </w:t>
      </w:r>
      <w:r>
        <w:rPr>
          <w:rFonts w:ascii="Cambria Math" w:hAnsi="Cambria Math" w:cs="Cambria Math"/>
        </w:rPr>
        <w:t>≤</w:t>
      </w:r>
      <w:r>
        <w:rPr>
          <w:rFonts w:ascii="Simplified Arabic" w:hAnsi="Simplified Arabic" w:cs="Simplified Arabic"/>
        </w:rPr>
        <w:t xml:space="preserve"> 0.05) </w:t>
      </w:r>
      <w:r>
        <w:rPr>
          <w:rFonts w:ascii="Simplified Arabic" w:hAnsi="Simplified Arabic" w:cs="Simplified Arabic"/>
          <w:rtl/>
        </w:rPr>
        <w:t>بين مستوى توظيف تقنيات الذكاء الاصطناعي التوليدي وجودة عملية تصميم الحملات التسويقية الرقمية (من حيث سرعة الإنجاز، تنوع البدائل الإبداعية، دقة الاستهداف، ودرجة تخصيص المحتوى)</w:t>
      </w:r>
      <w:r>
        <w:rPr>
          <w:rFonts w:ascii="Simplified Arabic" w:hAnsi="Simplified Arabic" w:cs="Simplified Arabic"/>
        </w:rPr>
        <w:t>.</w:t>
      </w:r>
    </w:p>
    <w:p w14:paraId="533ADC45" w14:textId="6CBA25B2" w:rsidR="004F2B23" w:rsidRPr="00A20BAB" w:rsidRDefault="00ED75B0" w:rsidP="00A20BAB">
      <w:pPr>
        <w:bidi/>
        <w:rPr>
          <w:rFonts w:ascii="Simplified Arabic" w:hAnsi="Simplified Arabic" w:cs="Simplified Arabic"/>
          <w:rtl/>
        </w:rPr>
      </w:pPr>
      <w:r>
        <w:rPr>
          <w:rFonts w:ascii="Simplified Arabic" w:hAnsi="Simplified Arabic" w:cs="Simplified Arabic"/>
          <w:b/>
          <w:bCs/>
        </w:rPr>
        <w:t xml:space="preserve"> :H2</w:t>
      </w:r>
      <w:r>
        <w:rPr>
          <w:rFonts w:ascii="Simplified Arabic" w:hAnsi="Simplified Arabic" w:cs="Simplified Arabic"/>
          <w:rtl/>
        </w:rPr>
        <w:t>توجد علاقة ذات دلالة إحصائية عند مستوى</w:t>
      </w:r>
      <w:r>
        <w:rPr>
          <w:rFonts w:ascii="Simplified Arabic" w:hAnsi="Simplified Arabic" w:cs="Simplified Arabic"/>
        </w:rPr>
        <w:t xml:space="preserve"> (</w:t>
      </w:r>
      <w:r>
        <w:rPr>
          <w:rFonts w:ascii="Cambria" w:hAnsi="Cambria" w:cs="Cambria"/>
        </w:rPr>
        <w:t>α</w:t>
      </w:r>
      <w:r>
        <w:rPr>
          <w:rFonts w:ascii="Simplified Arabic" w:hAnsi="Simplified Arabic" w:cs="Simplified Arabic"/>
        </w:rPr>
        <w:t xml:space="preserve"> </w:t>
      </w:r>
      <w:r>
        <w:rPr>
          <w:rFonts w:ascii="Cambria Math" w:hAnsi="Cambria Math" w:cs="Cambria Math"/>
        </w:rPr>
        <w:t>≤</w:t>
      </w:r>
      <w:r>
        <w:rPr>
          <w:rFonts w:ascii="Simplified Arabic" w:hAnsi="Simplified Arabic" w:cs="Simplified Arabic"/>
        </w:rPr>
        <w:t xml:space="preserve"> 0.05) </w:t>
      </w:r>
      <w:r>
        <w:rPr>
          <w:rFonts w:ascii="Simplified Arabic" w:hAnsi="Simplified Arabic" w:cs="Simplified Arabic"/>
          <w:rtl/>
        </w:rPr>
        <w:t>بين جودة عملية تصميم الحملات التسويقية الرقمية وفعالية الأداء التسويقي في وكالات التسويق السعودية</w:t>
      </w:r>
      <w:r>
        <w:rPr>
          <w:rFonts w:ascii="Simplified Arabic" w:hAnsi="Simplified Arabic" w:cs="Simplified Arabic"/>
        </w:rPr>
        <w:t>.</w:t>
      </w:r>
    </w:p>
    <w:p w14:paraId="65C2ED6C" w14:textId="0CF89DDD" w:rsidR="009F0570" w:rsidRPr="009F0570" w:rsidRDefault="009F0570" w:rsidP="004F2B23">
      <w:pPr>
        <w:bidi/>
        <w:rPr>
          <w:rFonts w:ascii="Simplified Arabic" w:hAnsi="Simplified Arabic" w:cs="Simplified Arabic"/>
          <w:rtl/>
        </w:rPr>
      </w:pPr>
      <w:r>
        <w:rPr>
          <w:rFonts w:ascii="Simplified Arabic" w:hAnsi="Simplified Arabic" w:cs="Simplified Arabic"/>
          <w:b/>
          <w:bCs/>
        </w:rPr>
        <w:t>H3</w:t>
      </w:r>
      <w:r>
        <w:rPr>
          <w:rFonts w:ascii="Simplified Arabic" w:hAnsi="Simplified Arabic" w:cs="Simplified Arabic" w:hint="cs"/>
          <w:b/>
          <w:bCs/>
          <w:rtl/>
        </w:rPr>
        <w:t>:</w:t>
      </w:r>
      <w:r>
        <w:rPr>
          <w:rFonts w:ascii="Simplified Arabic" w:hAnsi="Simplified Arabic" w:cs="Simplified Arabic" w:hint="cs"/>
          <w:rtl/>
        </w:rPr>
        <w:t xml:space="preserve"> </w:t>
      </w:r>
      <w:r>
        <w:rPr>
          <w:rFonts w:ascii="Simplified Arabic" w:hAnsi="Simplified Arabic" w:cs="Simplified Arabic"/>
          <w:rtl/>
        </w:rPr>
        <w:t>تؤثر الدوافع التشغيلية والتنافسية والعوائق التقنية والبشرية بوصفها متغيرات معدِّلة في طبيعة العلاقة بين توظيف تقنيات الذكاء الاصطناعي التوليدي وجودة عملية التصميم التسويقي.</w:t>
      </w:r>
    </w:p>
    <w:p w14:paraId="633EAC54" w14:textId="05F82FE1" w:rsidR="004104AA" w:rsidRDefault="00ED75B0" w:rsidP="004104AA">
      <w:pPr>
        <w:bidi/>
        <w:rPr>
          <w:rFonts w:ascii="Simplified Arabic" w:hAnsi="Simplified Arabic" w:cs="Simplified Arabic"/>
          <w:rtl/>
        </w:rPr>
      </w:pPr>
      <w:r>
        <w:rPr>
          <w:rFonts w:ascii="Simplified Arabic" w:hAnsi="Simplified Arabic" w:cs="Simplified Arabic"/>
          <w:b/>
          <w:bCs/>
        </w:rPr>
        <w:t>H4</w:t>
      </w:r>
      <w:r>
        <w:rPr>
          <w:rFonts w:ascii="Simplified Arabic" w:hAnsi="Simplified Arabic" w:cs="Simplified Arabic"/>
          <w:b/>
          <w:bCs/>
          <w:rtl/>
        </w:rPr>
        <w:t>:</w:t>
      </w:r>
      <w:r>
        <w:rPr>
          <w:rFonts w:ascii="Simplified Arabic" w:hAnsi="Simplified Arabic" w:cs="Simplified Arabic"/>
          <w:rtl/>
        </w:rPr>
        <w:t xml:space="preserve"> توجد علاقة غير مباشرة ذات دلالة إحصائية بين توظيف تقنيات الذكاء الاصطناعي التوليدي وفعالية الأداء التسويقي، تتوسطها جودة عملية التصميم التسويقي.</w:t>
      </w:r>
    </w:p>
    <w:p w14:paraId="660C460A" w14:textId="77777777" w:rsidR="004F2B23" w:rsidRDefault="004F2B23" w:rsidP="004104AA">
      <w:pPr>
        <w:bidi/>
        <w:rPr>
          <w:rFonts w:ascii="Simplified Arabic" w:hAnsi="Simplified Arabic" w:cs="Simplified Arabic"/>
          <w:b/>
          <w:bCs/>
          <w:rtl/>
        </w:rPr>
      </w:pPr>
    </w:p>
    <w:p w14:paraId="7E79A979" w14:textId="4200A2DF" w:rsidR="004F2B23" w:rsidRDefault="004F2B23" w:rsidP="004F2B23">
      <w:pPr>
        <w:bidi/>
        <w:rPr>
          <w:rFonts w:ascii="Simplified Arabic" w:hAnsi="Simplified Arabic" w:cs="Simplified Arabic"/>
          <w:b/>
          <w:bCs/>
          <w:rtl/>
        </w:rPr>
      </w:pPr>
    </w:p>
    <w:p w14:paraId="49CD4C3F" w14:textId="5AC55890" w:rsidR="004F2B23" w:rsidRDefault="004F2B23" w:rsidP="004F2B23">
      <w:pPr>
        <w:bidi/>
        <w:rPr>
          <w:rFonts w:ascii="Simplified Arabic" w:hAnsi="Simplified Arabic" w:cs="Simplified Arabic"/>
          <w:b/>
          <w:bCs/>
          <w:rtl/>
        </w:rPr>
      </w:pPr>
    </w:p>
    <w:p w14:paraId="4197CAFB" w14:textId="77777777" w:rsidR="00A20BAB" w:rsidRDefault="00A20BAB" w:rsidP="00A20BAB">
      <w:pPr>
        <w:bidi/>
        <w:rPr>
          <w:rFonts w:ascii="Simplified Arabic" w:hAnsi="Simplified Arabic" w:cs="Simplified Arabic"/>
          <w:b/>
          <w:bCs/>
          <w:rtl/>
        </w:rPr>
      </w:pPr>
    </w:p>
    <w:p w14:paraId="786AA0A9" w14:textId="77777777" w:rsidR="004F2B23" w:rsidRDefault="004F2B23" w:rsidP="004F2B23">
      <w:pPr>
        <w:bidi/>
        <w:rPr>
          <w:rFonts w:ascii="Simplified Arabic" w:hAnsi="Simplified Arabic" w:cs="Simplified Arabic"/>
          <w:b/>
          <w:bCs/>
          <w:rtl/>
        </w:rPr>
      </w:pPr>
    </w:p>
    <w:p w14:paraId="4D339B27" w14:textId="77777777" w:rsidR="004F2B23" w:rsidRDefault="004F2B23" w:rsidP="004F2B23">
      <w:pPr>
        <w:bidi/>
        <w:rPr>
          <w:rFonts w:ascii="Simplified Arabic" w:hAnsi="Simplified Arabic" w:cs="Simplified Arabic"/>
          <w:b/>
          <w:bCs/>
          <w:rtl/>
        </w:rPr>
      </w:pPr>
    </w:p>
    <w:p w14:paraId="3F3D4FD3" w14:textId="77C0F66A" w:rsidR="004104AA" w:rsidRDefault="004104AA" w:rsidP="004F2B23">
      <w:pPr>
        <w:bidi/>
        <w:rPr>
          <w:rFonts w:ascii="Simplified Arabic" w:hAnsi="Simplified Arabic" w:cs="Simplified Arabic"/>
          <w:b/>
          <w:bCs/>
          <w:rtl/>
        </w:rPr>
      </w:pPr>
      <w:r>
        <w:rPr>
          <w:rFonts w:ascii="Simplified Arabic" w:hAnsi="Simplified Arabic" w:cs="Simplified Arabic" w:hint="cs"/>
          <w:b/>
          <w:bCs/>
          <w:rtl/>
        </w:rPr>
        <w:lastRenderedPageBreak/>
        <w:t>نموذج الدراسة المقترح:</w:t>
      </w:r>
    </w:p>
    <w:p w14:paraId="5A3992AC" w14:textId="1555B010" w:rsidR="004104AA" w:rsidRPr="004104AA" w:rsidRDefault="004104AA" w:rsidP="004104AA">
      <w:pPr>
        <w:bidi/>
        <w:rPr>
          <w:rFonts w:ascii="Simplified Arabic" w:hAnsi="Simplified Arabic" w:cs="Simplified Arabic"/>
          <w:b/>
          <w:bCs/>
          <w:rtl/>
        </w:rPr>
      </w:pPr>
      <w:r>
        <w:rPr>
          <w:rFonts w:ascii="Simplified Arabic" w:hAnsi="Simplified Arabic" w:cs="Simplified Arabic"/>
          <w:b/>
          <w:bCs/>
          <w:rtl/>
        </w:rPr>
        <w:t>شكل رقم (1): نموذج الدراسة المقترح</w:t>
      </w:r>
    </w:p>
    <w:p w14:paraId="6DBCC7D8" w14:textId="40BA43EF" w:rsidR="004104AA" w:rsidRPr="004104AA" w:rsidRDefault="004F2B23" w:rsidP="004104AA">
      <w:pPr>
        <w:bidi/>
        <w:rPr>
          <w:rFonts w:ascii="Simplified Arabic" w:hAnsi="Simplified Arabic" w:cs="Simplified Arabic"/>
          <w:b/>
          <w:bCs/>
          <w:rtl/>
        </w:rPr>
      </w:pPr>
      <w:r>
        <w:rPr>
          <w:rFonts w:ascii="Simplified Arabic" w:hAnsi="Simplified Arabic" w:cs="Simplified Arabic"/>
          <w:b/>
          <w:bCs/>
          <w:noProof/>
          <w:rtl/>
          <w:lang w:val="ar-SA"/>
        </w:rPr>
        <w:drawing>
          <wp:anchor distT="0" distB="0" distL="114300" distR="114300" simplePos="0" relativeHeight="251660800" behindDoc="0" locked="0" layoutInCell="1" allowOverlap="1" wp14:anchorId="16CCD327" wp14:editId="2DBC2A0D">
            <wp:simplePos x="0" y="0"/>
            <wp:positionH relativeFrom="column">
              <wp:posOffset>359229</wp:posOffset>
            </wp:positionH>
            <wp:positionV relativeFrom="paragraph">
              <wp:posOffset>79556</wp:posOffset>
            </wp:positionV>
            <wp:extent cx="4679719" cy="6499860"/>
            <wp:effectExtent l="0" t="0" r="6985" b="0"/>
            <wp:wrapNone/>
            <wp:docPr id="1871769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769621" name="Picture 1871769621"/>
                    <pic:cNvPicPr/>
                  </pic:nvPicPr>
                  <pic:blipFill>
                    <a:blip r:embed="rId9" cstate="print">
                      <a:extLst>
                        <a:ext uri="{BEBA8EAE-BF5A-486C-A8C5-ECC9F3942E4B}">
                          <a14:imgProps xmlns:a14="http://schemas.microsoft.com/office/drawing/2010/main">
                            <a14:imgLayer r:embed="rId10">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4703495" cy="6532884"/>
                    </a:xfrm>
                    <a:prstGeom prst="rect">
                      <a:avLst/>
                    </a:prstGeom>
                  </pic:spPr>
                </pic:pic>
              </a:graphicData>
            </a:graphic>
            <wp14:sizeRelH relativeFrom="margin">
              <wp14:pctWidth>0</wp14:pctWidth>
            </wp14:sizeRelH>
            <wp14:sizeRelV relativeFrom="margin">
              <wp14:pctHeight>0</wp14:pctHeight>
            </wp14:sizeRelV>
          </wp:anchor>
        </w:drawing>
      </w:r>
    </w:p>
    <w:p w14:paraId="0F5118B8" w14:textId="06C34A4B" w:rsidR="004104AA" w:rsidRDefault="004104AA" w:rsidP="004104AA">
      <w:pPr>
        <w:bidi/>
        <w:rPr>
          <w:rFonts w:ascii="Simplified Arabic" w:hAnsi="Simplified Arabic" w:cs="Simplified Arabic"/>
          <w:b/>
          <w:bCs/>
          <w:rtl/>
        </w:rPr>
      </w:pPr>
    </w:p>
    <w:p w14:paraId="3FFE2769" w14:textId="3EC36E6A" w:rsidR="004104AA" w:rsidRDefault="004104AA" w:rsidP="004104AA">
      <w:pPr>
        <w:bidi/>
        <w:rPr>
          <w:rFonts w:ascii="Simplified Arabic" w:hAnsi="Simplified Arabic" w:cs="Simplified Arabic"/>
          <w:b/>
          <w:bCs/>
          <w:rtl/>
        </w:rPr>
      </w:pPr>
    </w:p>
    <w:p w14:paraId="2CA2D9E0" w14:textId="4185A713" w:rsidR="004104AA" w:rsidRDefault="004104AA" w:rsidP="004104AA">
      <w:pPr>
        <w:bidi/>
        <w:rPr>
          <w:rFonts w:ascii="Simplified Arabic" w:hAnsi="Simplified Arabic" w:cs="Simplified Arabic"/>
          <w:b/>
          <w:bCs/>
          <w:rtl/>
        </w:rPr>
      </w:pPr>
    </w:p>
    <w:p w14:paraId="0B10993A" w14:textId="3DE4D712" w:rsidR="004104AA" w:rsidRDefault="004104AA" w:rsidP="004104AA">
      <w:pPr>
        <w:bidi/>
        <w:rPr>
          <w:rFonts w:ascii="Simplified Arabic" w:hAnsi="Simplified Arabic" w:cs="Simplified Arabic"/>
          <w:b/>
          <w:bCs/>
          <w:rtl/>
        </w:rPr>
      </w:pPr>
    </w:p>
    <w:p w14:paraId="13401B03" w14:textId="77777777" w:rsidR="004F2B23" w:rsidRDefault="004F2B23" w:rsidP="004F2B23">
      <w:pPr>
        <w:bidi/>
        <w:rPr>
          <w:rFonts w:ascii="Simplified Arabic" w:hAnsi="Simplified Arabic" w:cs="Simplified Arabic"/>
          <w:b/>
          <w:bCs/>
          <w:rtl/>
        </w:rPr>
      </w:pPr>
    </w:p>
    <w:p w14:paraId="7CA5C13E" w14:textId="77777777" w:rsidR="004F2B23" w:rsidRDefault="004F2B23" w:rsidP="004F2B23">
      <w:pPr>
        <w:bidi/>
        <w:rPr>
          <w:rFonts w:ascii="Simplified Arabic" w:hAnsi="Simplified Arabic" w:cs="Simplified Arabic"/>
          <w:b/>
          <w:bCs/>
          <w:rtl/>
        </w:rPr>
      </w:pPr>
    </w:p>
    <w:p w14:paraId="7FED24B9" w14:textId="77777777" w:rsidR="004F2B23" w:rsidRDefault="004F2B23" w:rsidP="004F2B23">
      <w:pPr>
        <w:bidi/>
        <w:rPr>
          <w:rFonts w:ascii="Simplified Arabic" w:hAnsi="Simplified Arabic" w:cs="Simplified Arabic"/>
          <w:b/>
          <w:bCs/>
          <w:rtl/>
        </w:rPr>
      </w:pPr>
    </w:p>
    <w:p w14:paraId="63629B10" w14:textId="77777777" w:rsidR="004F2B23" w:rsidRDefault="004F2B23" w:rsidP="004F2B23">
      <w:pPr>
        <w:bidi/>
        <w:rPr>
          <w:rFonts w:ascii="Simplified Arabic" w:hAnsi="Simplified Arabic" w:cs="Simplified Arabic"/>
          <w:b/>
          <w:bCs/>
          <w:rtl/>
        </w:rPr>
      </w:pPr>
    </w:p>
    <w:p w14:paraId="3239D0E9" w14:textId="77777777" w:rsidR="004F2B23" w:rsidRDefault="004F2B23" w:rsidP="004F2B23">
      <w:pPr>
        <w:bidi/>
        <w:rPr>
          <w:rFonts w:ascii="Simplified Arabic" w:hAnsi="Simplified Arabic" w:cs="Simplified Arabic"/>
          <w:b/>
          <w:bCs/>
          <w:rtl/>
        </w:rPr>
      </w:pPr>
    </w:p>
    <w:p w14:paraId="604F4D2D" w14:textId="77777777" w:rsidR="004F2B23" w:rsidRDefault="004F2B23" w:rsidP="004F2B23">
      <w:pPr>
        <w:bidi/>
        <w:rPr>
          <w:rFonts w:ascii="Simplified Arabic" w:hAnsi="Simplified Arabic" w:cs="Simplified Arabic"/>
          <w:b/>
          <w:bCs/>
          <w:rtl/>
        </w:rPr>
      </w:pPr>
    </w:p>
    <w:p w14:paraId="770CAE09" w14:textId="77777777" w:rsidR="004F2B23" w:rsidRDefault="004F2B23" w:rsidP="004F2B23">
      <w:pPr>
        <w:bidi/>
        <w:rPr>
          <w:rFonts w:ascii="Simplified Arabic" w:hAnsi="Simplified Arabic" w:cs="Simplified Arabic"/>
          <w:b/>
          <w:bCs/>
          <w:rtl/>
        </w:rPr>
      </w:pPr>
    </w:p>
    <w:p w14:paraId="398294DC" w14:textId="77777777" w:rsidR="004F2B23" w:rsidRDefault="004F2B23" w:rsidP="004F2B23">
      <w:pPr>
        <w:bidi/>
        <w:rPr>
          <w:rFonts w:ascii="Simplified Arabic" w:hAnsi="Simplified Arabic" w:cs="Simplified Arabic"/>
          <w:b/>
          <w:bCs/>
          <w:rtl/>
        </w:rPr>
      </w:pPr>
    </w:p>
    <w:p w14:paraId="3EDC36D6" w14:textId="77777777" w:rsidR="004F2B23" w:rsidRDefault="004F2B23" w:rsidP="004F2B23">
      <w:pPr>
        <w:bidi/>
        <w:rPr>
          <w:rFonts w:ascii="Simplified Arabic" w:hAnsi="Simplified Arabic" w:cs="Simplified Arabic"/>
          <w:b/>
          <w:bCs/>
          <w:rtl/>
        </w:rPr>
      </w:pPr>
    </w:p>
    <w:p w14:paraId="0DC92A8F" w14:textId="366E0679" w:rsidR="004F2B23" w:rsidRDefault="004F2B23" w:rsidP="004F2B23">
      <w:pPr>
        <w:bidi/>
        <w:rPr>
          <w:rFonts w:ascii="Simplified Arabic" w:hAnsi="Simplified Arabic" w:cs="Simplified Arabic"/>
          <w:b/>
          <w:bCs/>
          <w:rtl/>
        </w:rPr>
      </w:pPr>
    </w:p>
    <w:p w14:paraId="366045AC" w14:textId="315DB89B" w:rsidR="004104AA" w:rsidRDefault="004104AA" w:rsidP="004104AA">
      <w:pPr>
        <w:bidi/>
        <w:rPr>
          <w:rFonts w:ascii="Simplified Arabic" w:hAnsi="Simplified Arabic" w:cs="Simplified Arabic"/>
          <w:b/>
          <w:bCs/>
          <w:rtl/>
        </w:rPr>
      </w:pPr>
    </w:p>
    <w:p w14:paraId="701B74D8" w14:textId="19FAC3F3" w:rsidR="004104AA" w:rsidRPr="004104AA" w:rsidRDefault="004104AA" w:rsidP="004104AA">
      <w:pPr>
        <w:bidi/>
        <w:rPr>
          <w:rFonts w:ascii="Simplified Arabic" w:hAnsi="Simplified Arabic" w:cs="Simplified Arabic"/>
          <w:b/>
          <w:bCs/>
          <w:rtl/>
        </w:rPr>
      </w:pPr>
    </w:p>
    <w:p w14:paraId="00CCB9C9" w14:textId="77777777" w:rsidR="004F2B23" w:rsidRDefault="004F2B23" w:rsidP="004104AA">
      <w:pPr>
        <w:bidi/>
        <w:rPr>
          <w:rFonts w:ascii="Simplified Arabic" w:hAnsi="Simplified Arabic" w:cs="Simplified Arabic"/>
          <w:rtl/>
        </w:rPr>
      </w:pPr>
    </w:p>
    <w:p w14:paraId="5A93C906" w14:textId="77777777" w:rsidR="004F2B23" w:rsidRDefault="004F2B23" w:rsidP="004F2B23">
      <w:pPr>
        <w:bidi/>
        <w:rPr>
          <w:rFonts w:ascii="Simplified Arabic" w:hAnsi="Simplified Arabic" w:cs="Simplified Arabic"/>
          <w:rtl/>
        </w:rPr>
      </w:pPr>
    </w:p>
    <w:p w14:paraId="7474B18C" w14:textId="77777777" w:rsidR="004F2B23" w:rsidRPr="004F2B23" w:rsidRDefault="004F2B23" w:rsidP="004F2B23">
      <w:pPr>
        <w:bidi/>
        <w:rPr>
          <w:rFonts w:ascii="Simplified Arabic" w:hAnsi="Simplified Arabic" w:cs="Simplified Arabic"/>
          <w:sz w:val="10"/>
          <w:szCs w:val="10"/>
          <w:rtl/>
        </w:rPr>
      </w:pPr>
    </w:p>
    <w:p w14:paraId="593A3666" w14:textId="00942484" w:rsidR="004104AA" w:rsidRDefault="004104AA" w:rsidP="004F2B23">
      <w:pPr>
        <w:bidi/>
        <w:rPr>
          <w:rFonts w:ascii="Simplified Arabic" w:hAnsi="Simplified Arabic" w:cs="Simplified Arabic"/>
          <w:rtl/>
        </w:rPr>
      </w:pPr>
      <w:r>
        <w:rPr>
          <w:rFonts w:ascii="Simplified Arabic" w:hAnsi="Simplified Arabic" w:cs="Simplified Arabic"/>
          <w:rtl/>
        </w:rPr>
        <w:t>يوضح الشكل أعلاه أن الدراسة تفترض وجود تأثير مباشر لتقنيات الذكاء الاصطناعي التوليدي على فعالية الأداء التسويقي، وتأثير غير مباشر يمر عبر تحسين جودة عملية التصميم. كما يبرز النموذج الدور الذي تلعبه الدوافع والعوائق كمتغيرات مُعدّلة قد تزيد أو تضعف من قوة هذا التأثير.</w:t>
      </w:r>
    </w:p>
    <w:p w14:paraId="24AAF9F2" w14:textId="77777777" w:rsidR="004F2B23" w:rsidRPr="004104AA" w:rsidRDefault="004F2B23" w:rsidP="004F2B23">
      <w:pPr>
        <w:bidi/>
        <w:rPr>
          <w:rFonts w:ascii="Simplified Arabic" w:hAnsi="Simplified Arabic" w:cs="Simplified Arabic"/>
          <w:rtl/>
        </w:rPr>
      </w:pPr>
    </w:p>
    <w:p w14:paraId="5B807CFC" w14:textId="58E9BA1B" w:rsidR="00D9067F" w:rsidRPr="004F1607" w:rsidRDefault="00D9067F" w:rsidP="00D9067F">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منهجية الدراسة</w:t>
      </w:r>
      <w:r>
        <w:rPr>
          <w:rFonts w:ascii="Sakkal Majalla" w:hAnsi="Sakkal Majalla" w:cs="Sakkal Majalla"/>
          <w:b/>
          <w:bCs/>
          <w:color w:val="00B0F0"/>
          <w:sz w:val="36"/>
          <w:szCs w:val="36"/>
          <w:u w:val="single"/>
          <w:rtl/>
        </w:rPr>
        <w:t>:</w:t>
      </w:r>
    </w:p>
    <w:p w14:paraId="0CEA0D7A" w14:textId="64C59662" w:rsidR="00D9067F" w:rsidRPr="00D9067F" w:rsidRDefault="00D9067F" w:rsidP="00D9067F">
      <w:pPr>
        <w:bidi/>
        <w:rPr>
          <w:rFonts w:ascii="Simplified Arabic" w:hAnsi="Simplified Arabic" w:cs="Simplified Arabic"/>
          <w:rtl/>
        </w:rPr>
      </w:pPr>
      <w:r>
        <w:rPr>
          <w:rFonts w:ascii="Simplified Arabic" w:hAnsi="Simplified Arabic" w:cs="Simplified Arabic"/>
          <w:rtl/>
        </w:rPr>
        <w:t>تحقيقاً لأهداف الدراسة واختباراً لفرضياتها، تعتمد الدراسة على المنهج الوصفي التحليلي؛ حيث لا تكتفي بوصف واقع توظيف الذكاء الاصطناعي التوليدي في الوكالات، بل تمتد لتحليل علاقات التأثير المتبادلة بين المتغيرات وتفسيرها</w:t>
      </w:r>
      <w:r>
        <w:rPr>
          <w:rFonts w:ascii="Simplified Arabic" w:hAnsi="Simplified Arabic" w:cs="Simplified Arabic"/>
        </w:rPr>
        <w:t>.</w:t>
      </w:r>
    </w:p>
    <w:p w14:paraId="0ED8AAE7" w14:textId="66AAA04D" w:rsidR="00D9067F" w:rsidRPr="00D9067F" w:rsidRDefault="00D9067F" w:rsidP="00D9067F">
      <w:pPr>
        <w:bidi/>
        <w:rPr>
          <w:rFonts w:ascii="Simplified Arabic" w:hAnsi="Simplified Arabic" w:cs="Simplified Arabic"/>
          <w:b/>
          <w:bCs/>
          <w:rtl/>
        </w:rPr>
      </w:pPr>
      <w:r>
        <w:rPr>
          <w:rFonts w:ascii="Simplified Arabic" w:hAnsi="Simplified Arabic" w:cs="Simplified Arabic" w:hint="cs"/>
          <w:b/>
          <w:bCs/>
          <w:rtl/>
        </w:rPr>
        <w:t xml:space="preserve">1. </w:t>
      </w:r>
      <w:r>
        <w:rPr>
          <w:rFonts w:ascii="Simplified Arabic" w:hAnsi="Simplified Arabic" w:cs="Simplified Arabic"/>
          <w:b/>
          <w:bCs/>
          <w:rtl/>
        </w:rPr>
        <w:t xml:space="preserve">أداة الدراسة  </w:t>
      </w:r>
    </w:p>
    <w:p w14:paraId="31AFA069" w14:textId="1824C553" w:rsidR="00D9067F" w:rsidRPr="00D9067F" w:rsidRDefault="00D9067F" w:rsidP="00D9067F">
      <w:pPr>
        <w:bidi/>
        <w:rPr>
          <w:rFonts w:ascii="Simplified Arabic" w:hAnsi="Simplified Arabic" w:cs="Simplified Arabic"/>
          <w:rtl/>
        </w:rPr>
      </w:pPr>
      <w:r>
        <w:rPr>
          <w:rFonts w:ascii="Simplified Arabic" w:hAnsi="Simplified Arabic" w:cs="Simplified Arabic"/>
          <w:rtl/>
        </w:rPr>
        <w:t>سيتم الاعتماد على الاستبانة الإلكترونية كأداة رئيسة لجمع البيانات، وتُصمم فقراتها وفق مقياس ليكرت الخماسي</w:t>
      </w:r>
      <w:r>
        <w:rPr>
          <w:rFonts w:ascii="Simplified Arabic" w:hAnsi="Simplified Arabic" w:cs="Simplified Arabic"/>
        </w:rPr>
        <w:t xml:space="preserve"> (Five-point Likert Scale)</w:t>
      </w:r>
      <w:r>
        <w:rPr>
          <w:rFonts w:ascii="Simplified Arabic" w:hAnsi="Simplified Arabic" w:cs="Simplified Arabic" w:hint="cs"/>
          <w:rtl/>
        </w:rPr>
        <w:t xml:space="preserve"> </w:t>
      </w:r>
      <w:r>
        <w:rPr>
          <w:rFonts w:ascii="Simplified Arabic" w:hAnsi="Simplified Arabic" w:cs="Simplified Arabic"/>
          <w:rtl/>
        </w:rPr>
        <w:t>(من "موافق بشدة" إلى "غير موافق بشدة")، لضمان دقة قياس استجابات المبحوثين حول متغيرات الدراسة</w:t>
      </w:r>
      <w:r>
        <w:rPr>
          <w:rFonts w:ascii="Simplified Arabic" w:hAnsi="Simplified Arabic" w:cs="Simplified Arabic"/>
        </w:rPr>
        <w:t>.</w:t>
      </w:r>
    </w:p>
    <w:p w14:paraId="742004CD" w14:textId="13885FCA" w:rsidR="00D9067F" w:rsidRPr="00D9067F" w:rsidRDefault="00D9067F" w:rsidP="00D9067F">
      <w:pPr>
        <w:bidi/>
        <w:rPr>
          <w:rFonts w:ascii="Simplified Arabic" w:hAnsi="Simplified Arabic" w:cs="Simplified Arabic"/>
          <w:b/>
          <w:bCs/>
          <w:rtl/>
        </w:rPr>
      </w:pPr>
      <w:r>
        <w:rPr>
          <w:rFonts w:ascii="Simplified Arabic" w:hAnsi="Simplified Arabic" w:cs="Simplified Arabic" w:hint="cs"/>
          <w:b/>
          <w:bCs/>
          <w:rtl/>
        </w:rPr>
        <w:t xml:space="preserve">2. </w:t>
      </w:r>
      <w:r>
        <w:rPr>
          <w:rFonts w:ascii="Simplified Arabic" w:hAnsi="Simplified Arabic" w:cs="Simplified Arabic"/>
          <w:b/>
          <w:bCs/>
          <w:rtl/>
        </w:rPr>
        <w:t xml:space="preserve">مجتمع وعينة الدراسة </w:t>
      </w:r>
    </w:p>
    <w:p w14:paraId="3DF0FF25" w14:textId="318D21B8" w:rsidR="00D9067F" w:rsidRPr="009F0B28" w:rsidRDefault="00D9067F" w:rsidP="00D9067F">
      <w:pPr>
        <w:bidi/>
        <w:rPr>
          <w:rFonts w:ascii="Simplified Arabic" w:hAnsi="Simplified Arabic" w:cs="Simplified Arabic"/>
          <w:rtl/>
        </w:rPr>
      </w:pPr>
      <w:r>
        <w:rPr>
          <w:rFonts w:ascii="Simplified Arabic" w:hAnsi="Simplified Arabic" w:cs="Simplified Arabic"/>
          <w:rtl/>
        </w:rPr>
        <w:t>يتمثل مجتمع الدراسة في كافة وكالات التسويق الرقمي المرخصة رسميًا والعاملة في المناطق الرئيسة بالمملكة العربية السعودية (الرياض، جدة، الدمام). ونظراً لعدم توفر إطار معاينة شامل يضم بيانات جميع الموظفين في تلك الوكالات، ستعتمد الدراسة على أسلوب العينة غير الاحتمالية (</w:t>
      </w:r>
      <w:r>
        <w:rPr>
          <w:rFonts w:ascii="Simplified Arabic" w:hAnsi="Simplified Arabic" w:cs="Simplified Arabic"/>
        </w:rPr>
        <w:t>Non-probability Sampling</w:t>
      </w:r>
      <w:r>
        <w:rPr>
          <w:rFonts w:ascii="Simplified Arabic" w:hAnsi="Simplified Arabic" w:cs="Simplified Arabic"/>
          <w:rtl/>
        </w:rPr>
        <w:t>)، وتحديداً أسلوب العينة الميسرة (</w:t>
      </w:r>
      <w:r>
        <w:rPr>
          <w:rFonts w:ascii="Simplified Arabic" w:hAnsi="Simplified Arabic" w:cs="Simplified Arabic"/>
        </w:rPr>
        <w:t>Convenience Sampling</w:t>
      </w:r>
      <w:r>
        <w:rPr>
          <w:rFonts w:ascii="Simplified Arabic" w:hAnsi="Simplified Arabic" w:cs="Simplified Arabic"/>
          <w:rtl/>
        </w:rPr>
        <w:t>) وكرة الثلج (</w:t>
      </w:r>
      <w:r>
        <w:rPr>
          <w:rFonts w:ascii="Simplified Arabic" w:hAnsi="Simplified Arabic" w:cs="Simplified Arabic"/>
        </w:rPr>
        <w:t>Snowball Sampling</w:t>
      </w:r>
      <w:r>
        <w:rPr>
          <w:rFonts w:ascii="Simplified Arabic" w:hAnsi="Simplified Arabic" w:cs="Simplified Arabic"/>
          <w:rtl/>
        </w:rPr>
        <w:t>) للوصول إلى المبحوثين المستهدفين (المختصين في التصميم، التخطيط، والتحليل). أما فيما يتعلق بحجم العينة، فقد تم الاعتماد على برنامج (</w:t>
      </w:r>
      <w:r>
        <w:rPr>
          <w:rFonts w:ascii="Simplified Arabic" w:hAnsi="Simplified Arabic" w:cs="Simplified Arabic"/>
        </w:rPr>
        <w:t>G*Power</w:t>
      </w:r>
      <w:r>
        <w:rPr>
          <w:rFonts w:ascii="Simplified Arabic" w:hAnsi="Simplified Arabic" w:cs="Simplified Arabic"/>
          <w:rtl/>
        </w:rPr>
        <w:t xml:space="preserve">) لتحديد الحد الأدنى اللازم، حيث تستهدف الدراسة عينة قوامها (384 مفردة) فأكثر، وذلك لتحقيق مستوى ثقة (95%) وهامش خطأ (5%)، مما </w:t>
      </w:r>
      <w:r>
        <w:rPr>
          <w:rFonts w:ascii="Simplified Arabic" w:hAnsi="Simplified Arabic" w:cs="Simplified Arabic" w:hint="cs"/>
          <w:rtl/>
        </w:rPr>
        <w:t>يساعد بالحصول على</w:t>
      </w:r>
      <w:r>
        <w:rPr>
          <w:rFonts w:ascii="Simplified Arabic" w:hAnsi="Simplified Arabic" w:cs="Simplified Arabic"/>
          <w:rtl/>
        </w:rPr>
        <w:t xml:space="preserve"> تمثيل</w:t>
      </w:r>
      <w:r>
        <w:rPr>
          <w:rFonts w:ascii="Simplified Arabic" w:hAnsi="Simplified Arabic" w:cs="Simplified Arabic" w:hint="cs"/>
          <w:rtl/>
        </w:rPr>
        <w:t xml:space="preserve"> </w:t>
      </w:r>
      <w:r>
        <w:rPr>
          <w:rFonts w:ascii="Simplified Arabic" w:hAnsi="Simplified Arabic" w:cs="Simplified Arabic"/>
          <w:rtl/>
        </w:rPr>
        <w:t>إحصائي مقبول</w:t>
      </w:r>
      <w:r>
        <w:rPr>
          <w:rFonts w:ascii="Simplified Arabic" w:hAnsi="Simplified Arabic" w:cs="Simplified Arabic" w:hint="cs"/>
          <w:rtl/>
        </w:rPr>
        <w:t xml:space="preserve"> </w:t>
      </w:r>
      <w:r>
        <w:rPr>
          <w:rFonts w:ascii="Simplified Arabic" w:hAnsi="Simplified Arabic" w:cs="Simplified Arabic"/>
          <w:rtl/>
        </w:rPr>
        <w:t>لتعميم النتائج.</w:t>
      </w:r>
    </w:p>
    <w:p w14:paraId="797DC339" w14:textId="77777777" w:rsidR="00D9067F" w:rsidRPr="00D9067F" w:rsidRDefault="00D9067F" w:rsidP="00D9067F">
      <w:pPr>
        <w:bidi/>
        <w:rPr>
          <w:rFonts w:ascii="Simplified Arabic" w:hAnsi="Simplified Arabic" w:cs="Simplified Arabic"/>
          <w:b/>
          <w:bCs/>
          <w:rtl/>
        </w:rPr>
      </w:pPr>
      <w:r>
        <w:rPr>
          <w:rFonts w:ascii="Simplified Arabic" w:hAnsi="Simplified Arabic" w:cs="Simplified Arabic" w:hint="cs"/>
          <w:b/>
          <w:bCs/>
          <w:rtl/>
        </w:rPr>
        <w:t xml:space="preserve">3. </w:t>
      </w:r>
      <w:r>
        <w:rPr>
          <w:rFonts w:ascii="Simplified Arabic" w:hAnsi="Simplified Arabic" w:cs="Simplified Arabic"/>
          <w:b/>
          <w:bCs/>
          <w:rtl/>
        </w:rPr>
        <w:t>أساليب المعالجة الإحصائية</w:t>
      </w:r>
    </w:p>
    <w:p w14:paraId="77CD0B87" w14:textId="61A7B2A8" w:rsidR="00D9067F" w:rsidRPr="00D9067F" w:rsidRDefault="00D9067F" w:rsidP="00D9067F">
      <w:pPr>
        <w:bidi/>
        <w:rPr>
          <w:rFonts w:ascii="Simplified Arabic" w:hAnsi="Simplified Arabic" w:cs="Simplified Arabic"/>
          <w:rtl/>
        </w:rPr>
      </w:pPr>
      <w:r>
        <w:rPr>
          <w:rFonts w:ascii="Simplified Arabic" w:hAnsi="Simplified Arabic" w:cs="Simplified Arabic"/>
          <w:rtl/>
        </w:rPr>
        <w:t xml:space="preserve"> نظراً لطبيعة النموذج البحثي وتعدد متغيراته (المستقلة، التابعة، الوسيطة، والمُعدلة)، سيتم استخدام نمذجة المعادلات البنائية بالمربعات الصغرى الجزئية</w:t>
      </w:r>
      <w:r>
        <w:rPr>
          <w:rFonts w:ascii="Simplified Arabic" w:hAnsi="Simplified Arabic" w:cs="Simplified Arabic"/>
        </w:rPr>
        <w:t xml:space="preserve"> (PLS-SEM) </w:t>
      </w:r>
      <w:r>
        <w:rPr>
          <w:rFonts w:ascii="Simplified Arabic" w:hAnsi="Simplified Arabic" w:cs="Simplified Arabic"/>
          <w:rtl/>
        </w:rPr>
        <w:t>باستخدام برنامج</w:t>
      </w:r>
      <w:r>
        <w:rPr>
          <w:rFonts w:ascii="Simplified Arabic" w:hAnsi="Simplified Arabic" w:cs="Simplified Arabic"/>
        </w:rPr>
        <w:t xml:space="preserve"> (SmartPLS 4)</w:t>
      </w:r>
      <w:r>
        <w:rPr>
          <w:rFonts w:ascii="Simplified Arabic" w:hAnsi="Simplified Arabic" w:cs="Simplified Arabic"/>
          <w:rtl/>
        </w:rPr>
        <w:t>، وذلك للمبررات التالية</w:t>
      </w:r>
      <w:r>
        <w:rPr>
          <w:rFonts w:ascii="Simplified Arabic" w:hAnsi="Simplified Arabic" w:cs="Simplified Arabic"/>
        </w:rPr>
        <w:t>:</w:t>
      </w:r>
    </w:p>
    <w:p w14:paraId="0AD676E9" w14:textId="41BF5FC2" w:rsidR="00D9067F" w:rsidRPr="00D9067F" w:rsidRDefault="00D9067F">
      <w:pPr>
        <w:numPr>
          <w:ilvl w:val="0"/>
          <w:numId w:val="7"/>
        </w:numPr>
        <w:bidi/>
        <w:rPr>
          <w:rFonts w:ascii="Simplified Arabic" w:hAnsi="Simplified Arabic" w:cs="Simplified Arabic"/>
          <w:rtl/>
        </w:rPr>
      </w:pPr>
      <w:r>
        <w:rPr>
          <w:rFonts w:ascii="Simplified Arabic" w:hAnsi="Simplified Arabic" w:cs="Simplified Arabic"/>
          <w:rtl/>
        </w:rPr>
        <w:t>قدرته العالية على التعامل مع النماذج المعقدة واختبار العلاقات غير المباشرة (الوساطة) والمُعدلة بكفاءة</w:t>
      </w:r>
      <w:r>
        <w:rPr>
          <w:rFonts w:ascii="Simplified Arabic" w:hAnsi="Simplified Arabic" w:cs="Simplified Arabic"/>
        </w:rPr>
        <w:t>.</w:t>
      </w:r>
    </w:p>
    <w:p w14:paraId="6F58172A" w14:textId="65C9730F" w:rsidR="00D9067F" w:rsidRPr="00D9067F" w:rsidRDefault="00D9067F">
      <w:pPr>
        <w:numPr>
          <w:ilvl w:val="0"/>
          <w:numId w:val="7"/>
        </w:numPr>
        <w:bidi/>
        <w:rPr>
          <w:rFonts w:ascii="Simplified Arabic" w:hAnsi="Simplified Arabic" w:cs="Simplified Arabic"/>
          <w:rtl/>
        </w:rPr>
      </w:pPr>
      <w:r>
        <w:rPr>
          <w:rFonts w:ascii="Simplified Arabic" w:hAnsi="Simplified Arabic" w:cs="Simplified Arabic"/>
          <w:rtl/>
        </w:rPr>
        <w:t>التحقق من الصدق البنائي</w:t>
      </w:r>
      <w:r>
        <w:rPr>
          <w:rFonts w:ascii="Simplified Arabic" w:hAnsi="Simplified Arabic" w:cs="Simplified Arabic"/>
        </w:rPr>
        <w:t xml:space="preserve"> (Construct Validity) </w:t>
      </w:r>
      <w:r>
        <w:rPr>
          <w:rFonts w:ascii="Simplified Arabic" w:hAnsi="Simplified Arabic" w:cs="Simplified Arabic"/>
          <w:rtl/>
        </w:rPr>
        <w:t>عبر التحليل العاملي التوكيدي</w:t>
      </w:r>
      <w:r>
        <w:rPr>
          <w:rFonts w:ascii="Simplified Arabic" w:hAnsi="Simplified Arabic" w:cs="Simplified Arabic"/>
        </w:rPr>
        <w:t xml:space="preserve"> (CFA).</w:t>
      </w:r>
    </w:p>
    <w:p w14:paraId="46A00CF3" w14:textId="65F1A651" w:rsidR="00D9067F" w:rsidRDefault="00D9067F">
      <w:pPr>
        <w:numPr>
          <w:ilvl w:val="0"/>
          <w:numId w:val="7"/>
        </w:numPr>
        <w:bidi/>
        <w:rPr>
          <w:rFonts w:ascii="Simplified Arabic" w:hAnsi="Simplified Arabic" w:cs="Simplified Arabic"/>
        </w:rPr>
      </w:pPr>
      <w:r>
        <w:rPr>
          <w:rFonts w:ascii="Simplified Arabic" w:hAnsi="Simplified Arabic" w:cs="Simplified Arabic"/>
          <w:rtl/>
        </w:rPr>
        <w:t>قياس جودة النموذج الخارجي من خلال اختبارات الثبات المركب (</w:t>
      </w:r>
      <w:r>
        <w:rPr>
          <w:rFonts w:ascii="Simplified Arabic" w:hAnsi="Simplified Arabic" w:cs="Simplified Arabic"/>
        </w:rPr>
        <w:t>Composite Reliability – CR</w:t>
      </w:r>
      <w:r>
        <w:rPr>
          <w:rFonts w:ascii="Simplified Arabic" w:hAnsi="Simplified Arabic" w:cs="Simplified Arabic"/>
          <w:rtl/>
        </w:rPr>
        <w:t>)، ومتوسط التباين المستخرج (</w:t>
      </w:r>
      <w:r>
        <w:rPr>
          <w:rFonts w:ascii="Simplified Arabic" w:hAnsi="Simplified Arabic" w:cs="Simplified Arabic"/>
        </w:rPr>
        <w:t>Average Variance Extracted – AVE</w:t>
      </w:r>
      <w:r>
        <w:rPr>
          <w:rFonts w:ascii="Simplified Arabic" w:hAnsi="Simplified Arabic" w:cs="Simplified Arabic"/>
          <w:rtl/>
        </w:rPr>
        <w:t>) لصدق التقارب، واختبار (</w:t>
      </w:r>
      <w:r>
        <w:rPr>
          <w:rFonts w:ascii="Simplified Arabic" w:hAnsi="Simplified Arabic" w:cs="Simplified Arabic"/>
        </w:rPr>
        <w:t>HTMT</w:t>
      </w:r>
      <w:r>
        <w:rPr>
          <w:rFonts w:ascii="Simplified Arabic" w:hAnsi="Simplified Arabic" w:cs="Simplified Arabic"/>
          <w:rtl/>
        </w:rPr>
        <w:t>) لضمان الصدق التمايزي.</w:t>
      </w:r>
    </w:p>
    <w:p w14:paraId="0C1DA471" w14:textId="77777777" w:rsidR="004F2B23" w:rsidRPr="004F2B23" w:rsidRDefault="004F2B23" w:rsidP="004F2B23">
      <w:pPr>
        <w:bidi/>
        <w:ind w:left="360"/>
        <w:rPr>
          <w:rFonts w:ascii="Simplified Arabic" w:hAnsi="Simplified Arabic" w:cs="Simplified Arabic"/>
          <w:sz w:val="14"/>
          <w:szCs w:val="14"/>
          <w:rtl/>
        </w:rPr>
      </w:pPr>
    </w:p>
    <w:p w14:paraId="5CB607F4" w14:textId="77777777" w:rsidR="000343D5" w:rsidRPr="0062589E" w:rsidRDefault="000343D5" w:rsidP="000343D5">
      <w:pPr>
        <w:bidi/>
        <w:spacing w:after="200" w:line="276" w:lineRule="auto"/>
        <w:rPr>
          <w:rFonts w:ascii="Sakkal Majalla" w:hAnsi="Sakkal Majalla" w:cs="Sakkal Majalla"/>
          <w:color w:val="00B0F0"/>
          <w:sz w:val="28"/>
          <w:szCs w:val="28"/>
          <w:rtl/>
        </w:rPr>
      </w:pPr>
      <w:r>
        <w:rPr>
          <w:rFonts w:ascii="Sakkal Majalla" w:hAnsi="Sakkal Majalla" w:cs="Sakkal Majalla" w:hint="cs"/>
          <w:b/>
          <w:bCs/>
          <w:color w:val="00B0F0"/>
          <w:sz w:val="32"/>
          <w:szCs w:val="32"/>
          <w:u w:val="single"/>
          <w:rtl/>
        </w:rPr>
        <w:t>مصطلحات الدراسة وتعريفاتها الإجرائية</w:t>
      </w:r>
    </w:p>
    <w:p w14:paraId="74D84C15" w14:textId="28EBAD9A" w:rsidR="00727EAF" w:rsidRDefault="000343D5" w:rsidP="00727EAF">
      <w:pPr>
        <w:bidi/>
        <w:rPr>
          <w:rFonts w:ascii="Simplified Arabic" w:hAnsi="Simplified Arabic" w:cs="Simplified Arabic"/>
          <w:rtl/>
        </w:rPr>
      </w:pPr>
      <w:r>
        <w:rPr>
          <w:rFonts w:ascii="Simplified Arabic" w:hAnsi="Simplified Arabic" w:cs="Simplified Arabic"/>
          <w:b/>
          <w:bCs/>
          <w:rtl/>
        </w:rPr>
        <w:t>1.</w:t>
      </w:r>
      <w:r>
        <w:rPr>
          <w:rFonts w:ascii="Simplified Arabic" w:hAnsi="Simplified Arabic" w:cs="Simplified Arabic" w:hint="cs"/>
          <w:b/>
          <w:bCs/>
          <w:rtl/>
        </w:rPr>
        <w:t xml:space="preserve"> </w:t>
      </w:r>
      <w:r>
        <w:rPr>
          <w:rFonts w:ascii="Simplified Arabic" w:hAnsi="Simplified Arabic" w:cs="Simplified Arabic"/>
          <w:b/>
          <w:bCs/>
          <w:rtl/>
        </w:rPr>
        <w:t>الذكاء الاصطناعي التوليدي (</w:t>
      </w:r>
      <w:r>
        <w:rPr>
          <w:rFonts w:ascii="Simplified Arabic" w:hAnsi="Simplified Arabic" w:cs="Simplified Arabic"/>
          <w:b/>
          <w:bCs/>
        </w:rPr>
        <w:t>Generative AI</w:t>
      </w:r>
      <w:r>
        <w:rPr>
          <w:rFonts w:ascii="Simplified Arabic" w:hAnsi="Simplified Arabic" w:cs="Simplified Arabic"/>
          <w:b/>
          <w:bCs/>
          <w:rtl/>
        </w:rPr>
        <w:t>)</w:t>
      </w:r>
    </w:p>
    <w:p w14:paraId="39B4380B" w14:textId="5A80FFBF" w:rsidR="000343D5" w:rsidRPr="004223DC" w:rsidRDefault="000343D5">
      <w:pPr>
        <w:numPr>
          <w:ilvl w:val="0"/>
          <w:numId w:val="6"/>
        </w:numPr>
        <w:bidi/>
        <w:rPr>
          <w:rFonts w:ascii="Simplified Arabic" w:hAnsi="Simplified Arabic" w:cs="Simplified Arabic"/>
          <w:rtl/>
        </w:rPr>
      </w:pPr>
      <w:r>
        <w:rPr>
          <w:rFonts w:ascii="Simplified Arabic" w:hAnsi="Simplified Arabic" w:cs="Simplified Arabic"/>
          <w:rtl/>
        </w:rPr>
        <w:t>التعري</w:t>
      </w:r>
      <w:r>
        <w:rPr>
          <w:rFonts w:ascii="Simplified Arabic" w:hAnsi="Simplified Arabic" w:cs="Simplified Arabic" w:hint="cs"/>
          <w:rtl/>
        </w:rPr>
        <w:t>ف</w:t>
      </w:r>
      <w:r>
        <w:rPr>
          <w:rFonts w:ascii="Simplified Arabic" w:hAnsi="Simplified Arabic" w:cs="Simplified Arabic"/>
          <w:rtl/>
        </w:rPr>
        <w:t xml:space="preserve"> الإجرائي:</w:t>
      </w:r>
      <w:r>
        <w:rPr>
          <w:rFonts w:ascii="Simplified Arabic" w:hAnsi="Simplified Arabic" w:cs="Simplified Arabic" w:hint="cs"/>
          <w:rtl/>
        </w:rPr>
        <w:t xml:space="preserve"> </w:t>
      </w:r>
      <w:r>
        <w:rPr>
          <w:rFonts w:ascii="Simplified Arabic" w:hAnsi="Simplified Arabic" w:cs="Simplified Arabic"/>
          <w:rtl/>
        </w:rPr>
        <w:t xml:space="preserve">يقصد به في هذه الدراسة استخدام الأدوات التوليدية مثل </w:t>
      </w:r>
      <w:r>
        <w:rPr>
          <w:rFonts w:ascii="Simplified Arabic" w:hAnsi="Simplified Arabic" w:cs="Simplified Arabic"/>
        </w:rPr>
        <w:t>ChatGPT</w:t>
      </w:r>
      <w:r>
        <w:rPr>
          <w:rFonts w:ascii="Simplified Arabic" w:hAnsi="Simplified Arabic" w:cs="Simplified Arabic"/>
          <w:rtl/>
        </w:rPr>
        <w:t xml:space="preserve"> و </w:t>
      </w:r>
      <w:r>
        <w:rPr>
          <w:rFonts w:ascii="Simplified Arabic" w:hAnsi="Simplified Arabic" w:cs="Simplified Arabic"/>
        </w:rPr>
        <w:t>Midjourney</w:t>
      </w:r>
      <w:r>
        <w:rPr>
          <w:rFonts w:ascii="Simplified Arabic" w:hAnsi="Simplified Arabic" w:cs="Simplified Arabic"/>
          <w:rtl/>
        </w:rPr>
        <w:t xml:space="preserve"> و </w:t>
      </w:r>
      <w:r>
        <w:rPr>
          <w:rFonts w:ascii="Simplified Arabic" w:hAnsi="Simplified Arabic" w:cs="Simplified Arabic"/>
        </w:rPr>
        <w:t>DALL·E</w:t>
      </w:r>
      <w:r>
        <w:rPr>
          <w:rFonts w:ascii="Simplified Arabic" w:hAnsi="Simplified Arabic" w:cs="Simplified Arabic"/>
          <w:rtl/>
        </w:rPr>
        <w:t xml:space="preserve"> داخل وكالات التسويق السعودية في المراحل المختلفة لتصميم الحملات الرقمية، بهدف إنتاج محتوى تسويقي متكامل يعزز الكفاءة الإبداعية والدقة الاستهدافية.</w:t>
      </w:r>
    </w:p>
    <w:p w14:paraId="39F23C07" w14:textId="30C742B4" w:rsidR="00727EAF" w:rsidRPr="004223DC" w:rsidRDefault="000343D5">
      <w:pPr>
        <w:numPr>
          <w:ilvl w:val="0"/>
          <w:numId w:val="6"/>
        </w:numPr>
        <w:bidi/>
        <w:spacing w:after="0"/>
        <w:rPr>
          <w:rFonts w:ascii="Simplified Arabic" w:hAnsi="Simplified Arabic" w:cs="Simplified Arabic"/>
          <w:rtl/>
        </w:rPr>
      </w:pPr>
      <w:r>
        <w:rPr>
          <w:rFonts w:ascii="Simplified Arabic" w:hAnsi="Simplified Arabic" w:cs="Simplified Arabic"/>
          <w:rtl/>
        </w:rPr>
        <w:lastRenderedPageBreak/>
        <w:t>التع</w:t>
      </w:r>
      <w:r>
        <w:rPr>
          <w:rFonts w:ascii="Simplified Arabic" w:hAnsi="Simplified Arabic" w:cs="Simplified Arabic" w:hint="cs"/>
          <w:rtl/>
        </w:rPr>
        <w:t>ريف</w:t>
      </w:r>
      <w:r>
        <w:rPr>
          <w:rFonts w:ascii="Simplified Arabic" w:hAnsi="Simplified Arabic" w:cs="Simplified Arabic"/>
          <w:rtl/>
        </w:rPr>
        <w:t xml:space="preserve"> المرجعي: "الذكاء الاصطناعي التوليدي هو نوع من الذكاء الاصطناعي يقوم بإنشاء محتوى جديد (مثل النصوص، الصور، المقاطع الصوتية) بناءً على أنماط ومعلومات موجودة في البيانات التي تم تدريبه عليها</w:t>
      </w:r>
      <w:r>
        <w:rPr>
          <w:rFonts w:ascii="Simplified Arabic" w:hAnsi="Simplified Arabic" w:cs="Simplified Arabic" w:hint="cs"/>
          <w:rtl/>
        </w:rPr>
        <w:t>"</w:t>
      </w:r>
      <w:r>
        <w:rPr>
          <w:rFonts w:ascii="Simplified Arabic" w:hAnsi="Simplified Arabic" w:cs="Simplified Arabic"/>
          <w:rtl/>
        </w:rPr>
        <w:t>(</w:t>
      </w:r>
      <w:r>
        <w:rPr>
          <w:rFonts w:ascii="Simplified Arabic" w:hAnsi="Simplified Arabic" w:cs="Simplified Arabic"/>
        </w:rPr>
        <w:t>SDAIA, 2024</w:t>
      </w:r>
      <w:r>
        <w:rPr>
          <w:rFonts w:ascii="Simplified Arabic" w:hAnsi="Simplified Arabic" w:cs="Simplified Arabic" w:hint="cs"/>
          <w:rtl/>
        </w:rPr>
        <w:t>).</w:t>
      </w:r>
    </w:p>
    <w:p w14:paraId="20D8A91B" w14:textId="77777777" w:rsidR="00727EAF" w:rsidRDefault="00727EAF" w:rsidP="00727EAF">
      <w:pPr>
        <w:bidi/>
        <w:spacing w:before="240" w:after="0" w:line="240" w:lineRule="auto"/>
        <w:rPr>
          <w:rFonts w:ascii="Simplified Arabic" w:hAnsi="Simplified Arabic" w:cs="Simplified Arabic"/>
          <w:rtl/>
        </w:rPr>
      </w:pPr>
      <w:r>
        <w:rPr>
          <w:rFonts w:ascii="Simplified Arabic" w:hAnsi="Simplified Arabic" w:cs="Simplified Arabic"/>
          <w:b/>
          <w:bCs/>
          <w:rtl/>
        </w:rPr>
        <w:t>2. تصميم الحملات التسويقية الرقمية</w:t>
      </w:r>
    </w:p>
    <w:p w14:paraId="6B48C7AE" w14:textId="5B0FDD61" w:rsidR="000343D5" w:rsidRPr="00A366CE" w:rsidRDefault="000343D5">
      <w:pPr>
        <w:numPr>
          <w:ilvl w:val="0"/>
          <w:numId w:val="6"/>
        </w:numPr>
        <w:bidi/>
        <w:rPr>
          <w:rFonts w:ascii="Simplified Arabic" w:hAnsi="Simplified Arabic" w:cs="Simplified Arabic"/>
          <w:rtl/>
        </w:rPr>
      </w:pPr>
      <w:r>
        <w:rPr>
          <w:rFonts w:ascii="Simplified Arabic" w:hAnsi="Simplified Arabic" w:cs="Simplified Arabic"/>
          <w:rtl/>
        </w:rPr>
        <w:t>التعريف الإجرائي:</w:t>
      </w:r>
      <w:r>
        <w:rPr>
          <w:rFonts w:ascii="Simplified Arabic" w:hAnsi="Simplified Arabic" w:cs="Simplified Arabic" w:hint="cs"/>
          <w:rtl/>
        </w:rPr>
        <w:t xml:space="preserve"> </w:t>
      </w:r>
      <w:r>
        <w:rPr>
          <w:rFonts w:ascii="Simplified Arabic" w:hAnsi="Simplified Arabic" w:cs="Simplified Arabic"/>
          <w:rtl/>
        </w:rPr>
        <w:t>يُقصد به في هذه الدراسة العمليات الإبداعية التي تشمل مراحل التخطيط، والإنتاج، والتحليل، وإدارة التفاعل الرقمي باستخدام تقنيات الذكاء التوليدي، بهدف رفع جودة الرسالة التسويقية وكفاءة الأداء.</w:t>
      </w:r>
    </w:p>
    <w:p w14:paraId="69139EFD" w14:textId="4D7E1888" w:rsidR="00727EAF" w:rsidRPr="00A366CE" w:rsidRDefault="000343D5">
      <w:pPr>
        <w:numPr>
          <w:ilvl w:val="0"/>
          <w:numId w:val="6"/>
        </w:numPr>
        <w:bidi/>
        <w:rPr>
          <w:rFonts w:ascii="Simplified Arabic" w:hAnsi="Simplified Arabic" w:cs="Simplified Arabic"/>
          <w:rtl/>
        </w:rPr>
      </w:pPr>
      <w:r>
        <w:rPr>
          <w:rFonts w:ascii="Simplified Arabic" w:hAnsi="Simplified Arabic" w:cs="Simplified Arabic"/>
          <w:rtl/>
        </w:rPr>
        <w:t>التع</w:t>
      </w:r>
      <w:r>
        <w:rPr>
          <w:rFonts w:ascii="Simplified Arabic" w:hAnsi="Simplified Arabic" w:cs="Simplified Arabic" w:hint="cs"/>
          <w:rtl/>
        </w:rPr>
        <w:t>ريف</w:t>
      </w:r>
      <w:r>
        <w:rPr>
          <w:rFonts w:ascii="Simplified Arabic" w:hAnsi="Simplified Arabic" w:cs="Simplified Arabic"/>
          <w:rtl/>
        </w:rPr>
        <w:t xml:space="preserve"> المرجع</w:t>
      </w:r>
      <w:r>
        <w:rPr>
          <w:rFonts w:ascii="Simplified Arabic" w:hAnsi="Simplified Arabic" w:cs="Simplified Arabic" w:hint="cs"/>
          <w:rtl/>
        </w:rPr>
        <w:t>ي</w:t>
      </w:r>
      <w:r>
        <w:rPr>
          <w:rFonts w:ascii="Simplified Arabic" w:hAnsi="Simplified Arabic" w:cs="Simplified Arabic"/>
          <w:rtl/>
        </w:rPr>
        <w:t>:</w:t>
      </w:r>
      <w:r>
        <w:rPr>
          <w:rFonts w:ascii="Simplified Arabic" w:hAnsi="Simplified Arabic" w:cs="Simplified Arabic" w:hint="cs"/>
          <w:rtl/>
        </w:rPr>
        <w:t xml:space="preserve"> تعرف بإنها </w:t>
      </w:r>
      <w:r>
        <w:rPr>
          <w:rFonts w:ascii="Simplified Arabic" w:hAnsi="Simplified Arabic" w:cs="Simplified Arabic"/>
          <w:rtl/>
        </w:rPr>
        <w:t>"عملية إستراتيجية منهجية تشمل التخطيط، الإنشاء، التنفيذ، والمراقبة للمحتوى التسويقي عبر القنوات الرقمية، بهدف تحقيق أهداف تسويقية محددة من خلال تحليل البيانات والرؤى المستمدة من سلوك المستهلك</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Islam et al., 2024</w:t>
      </w:r>
      <w:r>
        <w:rPr>
          <w:rFonts w:ascii="Simplified Arabic" w:hAnsi="Simplified Arabic" w:cs="Simplified Arabic" w:hint="cs"/>
          <w:rtl/>
        </w:rPr>
        <w:t>).</w:t>
      </w:r>
    </w:p>
    <w:p w14:paraId="34FEFC87" w14:textId="6051FA8E" w:rsidR="000343D5" w:rsidRPr="00675F33" w:rsidRDefault="000343D5" w:rsidP="00727EAF">
      <w:pPr>
        <w:bidi/>
        <w:spacing w:before="240" w:after="0" w:line="240" w:lineRule="auto"/>
        <w:rPr>
          <w:rFonts w:ascii="Simplified Arabic" w:hAnsi="Simplified Arabic" w:cs="Simplified Arabic"/>
          <w:b/>
          <w:bCs/>
          <w:rtl/>
        </w:rPr>
      </w:pPr>
      <w:r>
        <w:rPr>
          <w:rFonts w:ascii="Simplified Arabic" w:hAnsi="Simplified Arabic" w:cs="Simplified Arabic"/>
          <w:b/>
          <w:bCs/>
          <w:rtl/>
        </w:rPr>
        <w:t>3. توظيف تقنيات الذكاء الاصطناعي</w:t>
      </w:r>
    </w:p>
    <w:p w14:paraId="352AA7B4" w14:textId="279179CD" w:rsidR="000343D5" w:rsidRPr="004223DC" w:rsidRDefault="000343D5">
      <w:pPr>
        <w:numPr>
          <w:ilvl w:val="0"/>
          <w:numId w:val="6"/>
        </w:numPr>
        <w:bidi/>
        <w:rPr>
          <w:rFonts w:ascii="Simplified Arabic" w:hAnsi="Simplified Arabic" w:cs="Simplified Arabic"/>
          <w:rtl/>
        </w:rPr>
      </w:pPr>
      <w:r>
        <w:rPr>
          <w:rFonts w:ascii="Simplified Arabic" w:hAnsi="Simplified Arabic" w:cs="Simplified Arabic"/>
          <w:rtl/>
        </w:rPr>
        <w:t>التعريف الإجرائي:</w:t>
      </w:r>
      <w:r>
        <w:rPr>
          <w:rFonts w:ascii="Simplified Arabic" w:hAnsi="Simplified Arabic" w:cs="Simplified Arabic" w:hint="cs"/>
          <w:rtl/>
        </w:rPr>
        <w:t xml:space="preserve"> </w:t>
      </w:r>
      <w:r>
        <w:rPr>
          <w:rFonts w:ascii="Simplified Arabic" w:hAnsi="Simplified Arabic" w:cs="Simplified Arabic"/>
          <w:rtl/>
        </w:rPr>
        <w:t>هو مدى دمج أدوات الذكاء الاصطناعي التوليدي في سير عمل التصميم التسويقي داخل وكالات التسويق السعودية، ويُقاس بدرجة الاستخدام العملي لهذه الأدوات في مراحل الفكرة، والصياغة، والتنفيذ، والتقييم.</w:t>
      </w:r>
    </w:p>
    <w:p w14:paraId="40706401" w14:textId="7BDCF859" w:rsidR="000343D5" w:rsidRPr="004223DC" w:rsidRDefault="000343D5">
      <w:pPr>
        <w:numPr>
          <w:ilvl w:val="0"/>
          <w:numId w:val="6"/>
        </w:numPr>
        <w:bidi/>
        <w:rPr>
          <w:rFonts w:ascii="Simplified Arabic" w:hAnsi="Simplified Arabic" w:cs="Simplified Arabic"/>
          <w:rtl/>
        </w:rPr>
      </w:pPr>
      <w:r>
        <w:rPr>
          <w:rFonts w:ascii="Simplified Arabic" w:hAnsi="Simplified Arabic" w:cs="Simplified Arabic"/>
          <w:rtl/>
        </w:rPr>
        <w:t>التع</w:t>
      </w:r>
      <w:r>
        <w:rPr>
          <w:rFonts w:ascii="Simplified Arabic" w:hAnsi="Simplified Arabic" w:cs="Simplified Arabic" w:hint="cs"/>
          <w:rtl/>
        </w:rPr>
        <w:t>ريف</w:t>
      </w:r>
      <w:r>
        <w:rPr>
          <w:rFonts w:ascii="Simplified Arabic" w:hAnsi="Simplified Arabic" w:cs="Simplified Arabic"/>
          <w:rtl/>
        </w:rPr>
        <w:t xml:space="preserve"> المرجعي:</w:t>
      </w:r>
      <w:r>
        <w:rPr>
          <w:rFonts w:ascii="Simplified Arabic" w:hAnsi="Simplified Arabic" w:cs="Simplified Arabic" w:hint="cs"/>
          <w:rtl/>
        </w:rPr>
        <w:t xml:space="preserve"> </w:t>
      </w:r>
      <w:r>
        <w:rPr>
          <w:rFonts w:ascii="Simplified Arabic" w:hAnsi="Simplified Arabic" w:cs="Simplified Arabic"/>
          <w:rtl/>
        </w:rPr>
        <w:t>"دمج وتطبيق أنظمة الذكاء الاصطناعي وخوارزمياته في المهام والعمليات التسويقية لتحسين الكفاءة التشغيلية، تعزيز تجربة العملاء، واتخاذ قرارات أكثر استنارة</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Masnita et al., 2024</w:t>
      </w:r>
      <w:r>
        <w:rPr>
          <w:rFonts w:ascii="Simplified Arabic" w:hAnsi="Simplified Arabic" w:cs="Simplified Arabic" w:hint="cs"/>
          <w:rtl/>
        </w:rPr>
        <w:t>).</w:t>
      </w:r>
    </w:p>
    <w:p w14:paraId="5331CE54" w14:textId="77777777" w:rsidR="00727EAF" w:rsidRDefault="000343D5" w:rsidP="00727EAF">
      <w:pPr>
        <w:bidi/>
        <w:spacing w:before="240" w:after="0" w:line="240" w:lineRule="auto"/>
        <w:rPr>
          <w:rFonts w:ascii="Simplified Arabic" w:hAnsi="Simplified Arabic" w:cs="Simplified Arabic"/>
          <w:rtl/>
        </w:rPr>
      </w:pPr>
      <w:r>
        <w:rPr>
          <w:rFonts w:ascii="Simplified Arabic" w:hAnsi="Simplified Arabic" w:cs="Simplified Arabic"/>
          <w:b/>
          <w:bCs/>
          <w:rtl/>
        </w:rPr>
        <w:t>4. فعالية الأداء التسويقي</w:t>
      </w:r>
    </w:p>
    <w:p w14:paraId="0C197278" w14:textId="47457BF0" w:rsidR="000343D5" w:rsidRPr="00A366CE" w:rsidRDefault="000343D5">
      <w:pPr>
        <w:numPr>
          <w:ilvl w:val="0"/>
          <w:numId w:val="6"/>
        </w:numPr>
        <w:bidi/>
        <w:rPr>
          <w:rFonts w:ascii="Simplified Arabic" w:hAnsi="Simplified Arabic" w:cs="Simplified Arabic"/>
          <w:rtl/>
        </w:rPr>
      </w:pPr>
      <w:r>
        <w:rPr>
          <w:rFonts w:ascii="Simplified Arabic" w:hAnsi="Simplified Arabic" w:cs="Simplified Arabic"/>
          <w:rtl/>
        </w:rPr>
        <w:t>التعريف الإجرائي:</w:t>
      </w:r>
      <w:r>
        <w:rPr>
          <w:rFonts w:ascii="Simplified Arabic" w:hAnsi="Simplified Arabic" w:cs="Simplified Arabic" w:hint="cs"/>
          <w:rtl/>
        </w:rPr>
        <w:t xml:space="preserve"> </w:t>
      </w:r>
      <w:r>
        <w:rPr>
          <w:rFonts w:ascii="Simplified Arabic" w:hAnsi="Simplified Arabic" w:cs="Simplified Arabic"/>
          <w:rtl/>
        </w:rPr>
        <w:t xml:space="preserve">يقصد به في هذه الدراسة التحسن الذي تحققه وكالات التسويق السعودية في مؤشرات الأداء (جودة المحتوى، معدل </w:t>
      </w:r>
      <w:r>
        <w:rPr>
          <w:rFonts w:ascii="Simplified Arabic" w:hAnsi="Simplified Arabic" w:cs="Simplified Arabic"/>
        </w:rPr>
        <w:t>Engagement</w:t>
      </w:r>
      <w:r>
        <w:rPr>
          <w:rFonts w:ascii="Simplified Arabic" w:hAnsi="Simplified Arabic" w:cs="Simplified Arabic"/>
          <w:rtl/>
        </w:rPr>
        <w:t xml:space="preserve">، دقة </w:t>
      </w:r>
      <w:r>
        <w:rPr>
          <w:rFonts w:ascii="Simplified Arabic" w:hAnsi="Simplified Arabic" w:cs="Simplified Arabic"/>
        </w:rPr>
        <w:t>Targeting</w:t>
      </w:r>
      <w:r>
        <w:rPr>
          <w:rFonts w:ascii="Simplified Arabic" w:hAnsi="Simplified Arabic" w:cs="Simplified Arabic"/>
          <w:rtl/>
        </w:rPr>
        <w:t xml:space="preserve">، والعائد </w:t>
      </w:r>
      <w:r>
        <w:rPr>
          <w:rFonts w:ascii="Simplified Arabic" w:hAnsi="Simplified Arabic" w:cs="Simplified Arabic"/>
        </w:rPr>
        <w:t>ROMI</w:t>
      </w:r>
      <w:r>
        <w:rPr>
          <w:rFonts w:ascii="Simplified Arabic" w:hAnsi="Simplified Arabic" w:cs="Simplified Arabic"/>
          <w:rtl/>
        </w:rPr>
        <w:t>) كنتيجة مباشرة أو غير مباشرة لتوظيف الذكاء الاصطناعي التوليدي في التصميم الإبداعي.</w:t>
      </w:r>
    </w:p>
    <w:p w14:paraId="474923C9" w14:textId="07341E9C" w:rsidR="000343D5" w:rsidRPr="00A366CE" w:rsidRDefault="000343D5">
      <w:pPr>
        <w:numPr>
          <w:ilvl w:val="0"/>
          <w:numId w:val="6"/>
        </w:numPr>
        <w:bidi/>
        <w:rPr>
          <w:rFonts w:ascii="Simplified Arabic" w:hAnsi="Simplified Arabic" w:cs="Simplified Arabic"/>
          <w:rtl/>
        </w:rPr>
      </w:pPr>
      <w:r>
        <w:rPr>
          <w:rFonts w:ascii="Simplified Arabic" w:hAnsi="Simplified Arabic" w:cs="Simplified Arabic"/>
          <w:rtl/>
        </w:rPr>
        <w:t>التع</w:t>
      </w:r>
      <w:r>
        <w:rPr>
          <w:rFonts w:ascii="Simplified Arabic" w:hAnsi="Simplified Arabic" w:cs="Simplified Arabic" w:hint="cs"/>
          <w:rtl/>
        </w:rPr>
        <w:t>ريف</w:t>
      </w:r>
      <w:r>
        <w:rPr>
          <w:rFonts w:ascii="Simplified Arabic" w:hAnsi="Simplified Arabic" w:cs="Simplified Arabic"/>
          <w:rtl/>
        </w:rPr>
        <w:t xml:space="preserve"> المرجعي:</w:t>
      </w:r>
      <w:r>
        <w:rPr>
          <w:rFonts w:ascii="Simplified Arabic" w:hAnsi="Simplified Arabic" w:cs="Simplified Arabic" w:hint="cs"/>
          <w:rtl/>
        </w:rPr>
        <w:t xml:space="preserve"> </w:t>
      </w:r>
      <w:r>
        <w:rPr>
          <w:rFonts w:ascii="Simplified Arabic" w:hAnsi="Simplified Arabic" w:cs="Simplified Arabic"/>
          <w:rtl/>
        </w:rPr>
        <w:t>"مقياس لمدى نجاح الأنشطة والتكتيكات التسويقية في تحقيق الأهداف المحددة، سواء كانت كمية (مثل معدلات التحويل، العائد على الاستثمار) أو نوعية (مثل الوعي بالعلامة التجارية، رضا العملاء)</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Heitmann, 2024</w:t>
      </w:r>
      <w:r>
        <w:rPr>
          <w:rFonts w:ascii="Simplified Arabic" w:hAnsi="Simplified Arabic" w:cs="Simplified Arabic" w:hint="cs"/>
          <w:rtl/>
        </w:rPr>
        <w:t>).</w:t>
      </w:r>
    </w:p>
    <w:p w14:paraId="46AEFCB4" w14:textId="77777777" w:rsidR="00727EAF" w:rsidRDefault="000343D5" w:rsidP="00727EAF">
      <w:pPr>
        <w:bidi/>
        <w:spacing w:before="240" w:after="0" w:line="240" w:lineRule="auto"/>
        <w:rPr>
          <w:rFonts w:ascii="Simplified Arabic" w:hAnsi="Simplified Arabic" w:cs="Simplified Arabic"/>
          <w:rtl/>
        </w:rPr>
      </w:pPr>
      <w:bookmarkStart w:id="1" w:name="_Hlk213563305"/>
      <w:r>
        <w:rPr>
          <w:rFonts w:ascii="Simplified Arabic" w:hAnsi="Simplified Arabic" w:cs="Simplified Arabic"/>
          <w:b/>
          <w:bCs/>
          <w:rtl/>
        </w:rPr>
        <w:t>5. جودة عملية التصميم</w:t>
      </w:r>
    </w:p>
    <w:bookmarkEnd w:id="1"/>
    <w:p w14:paraId="6D7EAC5E" w14:textId="67FA8BC5" w:rsidR="000343D5" w:rsidRPr="00A366CE" w:rsidRDefault="000343D5">
      <w:pPr>
        <w:numPr>
          <w:ilvl w:val="0"/>
          <w:numId w:val="6"/>
        </w:numPr>
        <w:bidi/>
        <w:rPr>
          <w:rFonts w:ascii="Simplified Arabic" w:hAnsi="Simplified Arabic" w:cs="Simplified Arabic"/>
          <w:rtl/>
        </w:rPr>
      </w:pPr>
      <w:r>
        <w:rPr>
          <w:rFonts w:ascii="Simplified Arabic" w:hAnsi="Simplified Arabic" w:cs="Simplified Arabic"/>
          <w:rtl/>
        </w:rPr>
        <w:t>التعريف الإجرائي:</w:t>
      </w:r>
      <w:r>
        <w:rPr>
          <w:rFonts w:ascii="Simplified Arabic" w:hAnsi="Simplified Arabic" w:cs="Simplified Arabic" w:hint="cs"/>
          <w:rtl/>
        </w:rPr>
        <w:t xml:space="preserve"> </w:t>
      </w:r>
      <w:r>
        <w:rPr>
          <w:rFonts w:ascii="Simplified Arabic" w:hAnsi="Simplified Arabic" w:cs="Simplified Arabic"/>
          <w:rtl/>
        </w:rPr>
        <w:t>في هذه الدراسة تُشير إلى مدى التحسّن في عناصر العملية التصميمية (السرعة، التنوع، الدقة، التخصيص) الناتج عن دمج الذكاء الاصطناعي التوليدي في بيئة العمل الإبداعي.</w:t>
      </w:r>
    </w:p>
    <w:p w14:paraId="2FA795F3" w14:textId="5C805161" w:rsidR="000343D5" w:rsidRPr="00A366CE" w:rsidRDefault="000343D5">
      <w:pPr>
        <w:numPr>
          <w:ilvl w:val="0"/>
          <w:numId w:val="6"/>
        </w:numPr>
        <w:bidi/>
        <w:rPr>
          <w:rFonts w:ascii="Simplified Arabic" w:hAnsi="Simplified Arabic" w:cs="Simplified Arabic"/>
          <w:rtl/>
        </w:rPr>
      </w:pPr>
      <w:r>
        <w:rPr>
          <w:rFonts w:ascii="Simplified Arabic" w:hAnsi="Simplified Arabic" w:cs="Simplified Arabic"/>
          <w:rtl/>
        </w:rPr>
        <w:t>التع</w:t>
      </w:r>
      <w:r>
        <w:rPr>
          <w:rFonts w:ascii="Simplified Arabic" w:hAnsi="Simplified Arabic" w:cs="Simplified Arabic" w:hint="cs"/>
          <w:rtl/>
        </w:rPr>
        <w:t>ريف</w:t>
      </w:r>
      <w:r>
        <w:rPr>
          <w:rFonts w:ascii="Simplified Arabic" w:hAnsi="Simplified Arabic" w:cs="Simplified Arabic"/>
          <w:rtl/>
        </w:rPr>
        <w:t xml:space="preserve"> المرجعي:</w:t>
      </w:r>
      <w:r>
        <w:rPr>
          <w:rFonts w:ascii="Simplified Arabic" w:hAnsi="Simplified Arabic" w:cs="Simplified Arabic" w:hint="cs"/>
          <w:rtl/>
        </w:rPr>
        <w:t xml:space="preserve"> </w:t>
      </w:r>
      <w:r>
        <w:rPr>
          <w:rFonts w:ascii="Simplified Arabic" w:hAnsi="Simplified Arabic" w:cs="Simplified Arabic"/>
          <w:rtl/>
        </w:rPr>
        <w:t>"مستوى الكفاءة والفعالية في تنفيذ العمليات الإبداعية، ويشمل ذلك السرعة، الدقة، الاتساق، وقابلية التكيف لتحقيق النتائج المرجوة التي تلبي توقعات العملاء والأهداف التنظيمية</w:t>
      </w:r>
      <w:r>
        <w:rPr>
          <w:rFonts w:ascii="Simplified Arabic" w:hAnsi="Simplified Arabic" w:cs="Simplified Arabic" w:hint="cs"/>
          <w:rtl/>
        </w:rPr>
        <w:t xml:space="preserve">" </w:t>
      </w:r>
      <w:r>
        <w:rPr>
          <w:rFonts w:ascii="Simplified Arabic" w:hAnsi="Simplified Arabic" w:cs="Simplified Arabic"/>
        </w:rPr>
        <w:t>.(McKinsey &amp; Company, 2024)</w:t>
      </w:r>
    </w:p>
    <w:p w14:paraId="0D1A30C7" w14:textId="77777777" w:rsidR="00A366CE" w:rsidRPr="00A366CE" w:rsidRDefault="00A366CE" w:rsidP="00A366CE">
      <w:pPr>
        <w:bidi/>
        <w:spacing w:before="240" w:after="0" w:line="240" w:lineRule="auto"/>
        <w:rPr>
          <w:rFonts w:ascii="Simplified Arabic" w:hAnsi="Simplified Arabic" w:cs="Simplified Arabic"/>
          <w:b/>
          <w:bCs/>
          <w:rtl/>
        </w:rPr>
      </w:pPr>
      <w:r>
        <w:rPr>
          <w:rFonts w:ascii="Simplified Arabic" w:hAnsi="Simplified Arabic" w:cs="Simplified Arabic"/>
          <w:b/>
          <w:bCs/>
          <w:rtl/>
        </w:rPr>
        <w:t>6. الدوافع والعوائق</w:t>
      </w:r>
    </w:p>
    <w:p w14:paraId="411DAAA1" w14:textId="7029EAA7" w:rsidR="00A366CE" w:rsidRPr="00143016" w:rsidRDefault="00A366CE">
      <w:pPr>
        <w:numPr>
          <w:ilvl w:val="0"/>
          <w:numId w:val="6"/>
        </w:numPr>
        <w:bidi/>
        <w:rPr>
          <w:rFonts w:ascii="Simplified Arabic" w:hAnsi="Simplified Arabic" w:cs="Simplified Arabic"/>
          <w:rtl/>
        </w:rPr>
      </w:pPr>
      <w:r>
        <w:rPr>
          <w:rFonts w:ascii="Simplified Arabic" w:hAnsi="Simplified Arabic" w:cs="Simplified Arabic" w:hint="cs"/>
          <w:rtl/>
        </w:rPr>
        <w:t xml:space="preserve">التعريف الإجرائي: </w:t>
      </w:r>
      <w:r>
        <w:rPr>
          <w:rFonts w:ascii="Simplified Arabic" w:hAnsi="Simplified Arabic" w:cs="Simplified Arabic"/>
          <w:rtl/>
        </w:rPr>
        <w:t>يقصد بها في هذه الدراسة مجموعة العوامل التنظيمية والتقنية والبشرية التي إمّا تعزز أو تُضعف العلاقة بين توظيف الذكاء الاصطناعي التوليدي وجودة عملية التصميم في وكالات التسويق السعودية.</w:t>
      </w:r>
    </w:p>
    <w:p w14:paraId="30F541A0" w14:textId="3FB2B50E" w:rsidR="000D3CD0" w:rsidRDefault="00A366CE">
      <w:pPr>
        <w:numPr>
          <w:ilvl w:val="0"/>
          <w:numId w:val="6"/>
        </w:numPr>
        <w:bidi/>
        <w:rPr>
          <w:rFonts w:ascii="Simplified Arabic" w:hAnsi="Simplified Arabic" w:cs="Simplified Arabic"/>
        </w:rPr>
      </w:pPr>
      <w:r>
        <w:rPr>
          <w:rFonts w:ascii="Simplified Arabic" w:hAnsi="Simplified Arabic" w:cs="Simplified Arabic" w:hint="cs"/>
          <w:rtl/>
        </w:rPr>
        <w:lastRenderedPageBreak/>
        <w:t xml:space="preserve">التعريف المرجعي: </w:t>
      </w:r>
      <w:r>
        <w:rPr>
          <w:rFonts w:ascii="Simplified Arabic" w:hAnsi="Simplified Arabic" w:cs="Simplified Arabic"/>
          <w:rtl/>
        </w:rPr>
        <w:t>"العوامل الداخلية والخارجية التي تؤثر على قرار اعتماد التقنيات الجديدة، حيث تشمل الدوافع المنافع المتوقعة والمزايا التنافسية، بينما تشمل العوائق التحديات التقنية والمالية والتنظيمية</w:t>
      </w:r>
      <w:r>
        <w:rPr>
          <w:rFonts w:ascii="Simplified Arabic" w:hAnsi="Simplified Arabic" w:cs="Simplified Arabic" w:hint="cs"/>
          <w:rtl/>
        </w:rPr>
        <w:t xml:space="preserve">"               </w:t>
      </w:r>
      <w:r>
        <w:rPr>
          <w:rFonts w:ascii="Segoe UI" w:hAnsi="Segoe UI" w:cs="Segoe UI"/>
          <w:color w:val="0F1115"/>
          <w:sz w:val="23"/>
          <w:szCs w:val="23"/>
          <w:shd w:val="clear" w:color="auto" w:fill="FFFFFF"/>
        </w:rPr>
        <w:t>(Kılınç &amp; Keçecioğlu, 2024)</w:t>
      </w:r>
      <w:r>
        <w:rPr>
          <w:rFonts w:ascii="Simplified Arabic" w:hAnsi="Simplified Arabic" w:cs="Simplified Arabic" w:hint="cs"/>
          <w:rtl/>
        </w:rPr>
        <w:t>.</w:t>
      </w:r>
    </w:p>
    <w:p w14:paraId="2A9CF9F3" w14:textId="77777777" w:rsidR="004F2B23" w:rsidRPr="004F2B23" w:rsidRDefault="004F2B23" w:rsidP="004F2B23">
      <w:pPr>
        <w:bidi/>
        <w:ind w:left="360"/>
        <w:rPr>
          <w:rFonts w:ascii="Simplified Arabic" w:hAnsi="Simplified Arabic" w:cs="Simplified Arabic"/>
          <w:sz w:val="18"/>
          <w:szCs w:val="18"/>
          <w:rtl/>
        </w:rPr>
      </w:pPr>
    </w:p>
    <w:p w14:paraId="6BC94E93" w14:textId="00DF5DD5" w:rsidR="000343D5" w:rsidRPr="0062589E" w:rsidRDefault="000343D5" w:rsidP="000343D5">
      <w:pPr>
        <w:bidi/>
        <w:spacing w:after="0" w:line="240" w:lineRule="auto"/>
        <w:rPr>
          <w:rFonts w:ascii="Sakkal Majalla" w:hAnsi="Sakkal Majalla" w:cs="Sakkal Majalla"/>
          <w:b/>
          <w:bCs/>
          <w:color w:val="00B0F0"/>
          <w:sz w:val="32"/>
          <w:szCs w:val="32"/>
          <w:u w:val="single"/>
          <w:rtl/>
        </w:rPr>
      </w:pPr>
      <w:r>
        <w:rPr>
          <w:rFonts w:ascii="Sakkal Majalla" w:hAnsi="Sakkal Majalla" w:cs="Sakkal Majalla" w:hint="cs"/>
          <w:b/>
          <w:bCs/>
          <w:color w:val="00B0F0"/>
          <w:sz w:val="36"/>
          <w:szCs w:val="36"/>
          <w:u w:val="single"/>
          <w:rtl/>
        </w:rPr>
        <w:t xml:space="preserve"> </w:t>
      </w:r>
      <w:r>
        <w:rPr>
          <w:rFonts w:ascii="Sakkal Majalla" w:hAnsi="Sakkal Majalla" w:cs="Sakkal Majalla" w:hint="cs"/>
          <w:b/>
          <w:bCs/>
          <w:color w:val="00B0F0"/>
          <w:sz w:val="32"/>
          <w:szCs w:val="32"/>
          <w:u w:val="single"/>
          <w:rtl/>
        </w:rPr>
        <w:t>حدود الدراسة</w:t>
      </w:r>
      <w:r>
        <w:rPr>
          <w:rFonts w:ascii="Sakkal Majalla" w:hAnsi="Sakkal Majalla" w:cs="Sakkal Majalla"/>
          <w:b/>
          <w:bCs/>
          <w:color w:val="00B0F0"/>
          <w:sz w:val="32"/>
          <w:szCs w:val="32"/>
          <w:u w:val="single"/>
          <w:rtl/>
        </w:rPr>
        <w:t>:</w:t>
      </w:r>
      <w:r>
        <w:rPr>
          <w:rFonts w:ascii="Sakkal Majalla" w:hAnsi="Sakkal Majalla" w:cs="Sakkal Majalla" w:hint="cs"/>
          <w:b/>
          <w:bCs/>
          <w:color w:val="00B0F0"/>
          <w:sz w:val="32"/>
          <w:szCs w:val="32"/>
          <w:u w:val="single"/>
          <w:rtl/>
        </w:rPr>
        <w:t xml:space="preserve"> (الموضوعية، المكانية ، الزمانية ، البشرية)</w:t>
      </w:r>
    </w:p>
    <w:p w14:paraId="24D844A8" w14:textId="77777777" w:rsidR="000343D5" w:rsidRPr="004223DC" w:rsidRDefault="000343D5" w:rsidP="000343D5">
      <w:pPr>
        <w:bidi/>
        <w:rPr>
          <w:rFonts w:ascii="Simplified Arabic" w:hAnsi="Simplified Arabic" w:cs="Simplified Arabic"/>
          <w:rtl/>
        </w:rPr>
      </w:pPr>
      <w:r>
        <w:rPr>
          <w:rFonts w:ascii="Simplified Arabic" w:hAnsi="Simplified Arabic" w:cs="Simplified Arabic"/>
          <w:rtl/>
        </w:rPr>
        <w:t>ستلتزم الدراسة بالحدود التالية التي تحدد نطاقها الإجرائي والمعرفي:</w:t>
      </w:r>
    </w:p>
    <w:p w14:paraId="17CEA033" w14:textId="3799336C" w:rsidR="000343D5" w:rsidRPr="004223DC" w:rsidRDefault="000343D5">
      <w:pPr>
        <w:numPr>
          <w:ilvl w:val="0"/>
          <w:numId w:val="1"/>
        </w:numPr>
        <w:bidi/>
        <w:rPr>
          <w:rFonts w:ascii="Simplified Arabic" w:hAnsi="Simplified Arabic" w:cs="Simplified Arabic"/>
          <w:rtl/>
        </w:rPr>
      </w:pPr>
      <w:r>
        <w:rPr>
          <w:rFonts w:ascii="Simplified Arabic" w:hAnsi="Simplified Arabic" w:cs="Simplified Arabic"/>
          <w:rtl/>
        </w:rPr>
        <w:t>الحدود الموضوعية: تقتصر الدراسة على تحليل أثر توظيف تقنيات الذكاء الاصطناعي التوليدي في مراحل تصميم الحملات التسويقية الرقمية وعلاقته بفعالية الأداء التسويقي داخل وكالات التسويق السعودية، دون التطرق إلى مجالات أخرى للذكاء الاصطناعي مثل التحليل التنبؤي أو إدارة البيانات.</w:t>
      </w:r>
    </w:p>
    <w:p w14:paraId="1491A7E4" w14:textId="69FA2BCC" w:rsidR="000343D5" w:rsidRPr="004223DC" w:rsidRDefault="000343D5">
      <w:pPr>
        <w:numPr>
          <w:ilvl w:val="0"/>
          <w:numId w:val="1"/>
        </w:numPr>
        <w:bidi/>
        <w:rPr>
          <w:rFonts w:ascii="Simplified Arabic" w:hAnsi="Simplified Arabic" w:cs="Simplified Arabic"/>
          <w:rtl/>
        </w:rPr>
      </w:pPr>
      <w:r>
        <w:rPr>
          <w:rFonts w:ascii="Simplified Arabic" w:hAnsi="Simplified Arabic" w:cs="Simplified Arabic"/>
          <w:rtl/>
        </w:rPr>
        <w:t>الحدود المكانية: تجرى الدراسة على وكالات التسويق العاملة في المملكة العربية السعودية بمناطقها الرئيسة (الرياض، جدة، الدمام)، لما تمثله من بيئة خصبة لتطبيقات الذكاء الاصطناعي في المجال التسويقي.</w:t>
      </w:r>
    </w:p>
    <w:p w14:paraId="3E899DA0" w14:textId="77777777" w:rsidR="00E93246" w:rsidRDefault="000343D5">
      <w:pPr>
        <w:numPr>
          <w:ilvl w:val="0"/>
          <w:numId w:val="1"/>
        </w:numPr>
        <w:bidi/>
        <w:rPr>
          <w:rFonts w:ascii="Simplified Arabic" w:hAnsi="Simplified Arabic" w:cs="Simplified Arabic"/>
        </w:rPr>
      </w:pPr>
      <w:r>
        <w:rPr>
          <w:rFonts w:ascii="Simplified Arabic" w:hAnsi="Simplified Arabic" w:cs="Simplified Arabic"/>
          <w:rtl/>
        </w:rPr>
        <w:t>الحدود الزمانية:</w:t>
      </w:r>
      <w:r>
        <w:rPr>
          <w:rFonts w:ascii="Simplified Arabic" w:hAnsi="Simplified Arabic" w:cs="Simplified Arabic" w:hint="cs"/>
          <w:rtl/>
        </w:rPr>
        <w:t xml:space="preserve"> </w:t>
      </w:r>
      <w:r>
        <w:rPr>
          <w:rFonts w:ascii="Simplified Arabic" w:hAnsi="Simplified Arabic" w:cs="Simplified Arabic"/>
          <w:rtl/>
        </w:rPr>
        <w:t>تغطي الدراسة الفترة الممتدة من 2024 إلى 2025م، وهي مرحلة تشهد توسعاً فعلياً في استخدام أدوات الذكاء الاصطناعي التوليدي داخل القطاع التسويقي السعودي.</w:t>
      </w:r>
    </w:p>
    <w:p w14:paraId="5D746713" w14:textId="69D2A22A" w:rsidR="00675F33" w:rsidRDefault="00E93246">
      <w:pPr>
        <w:numPr>
          <w:ilvl w:val="0"/>
          <w:numId w:val="1"/>
        </w:numPr>
        <w:bidi/>
        <w:rPr>
          <w:rFonts w:ascii="Simplified Arabic" w:hAnsi="Simplified Arabic" w:cs="Simplified Arabic"/>
        </w:rPr>
      </w:pPr>
      <w:r>
        <w:rPr>
          <w:rFonts w:ascii="Simplified Arabic" w:hAnsi="Simplified Arabic" w:cs="Simplified Arabic"/>
          <w:rtl/>
        </w:rPr>
        <w:t>الحدود البشرية: تشمل مجتمع الدراسة العاملين في أقسام التصميم والإبداع والتحليل الرقمي في وكالات التسويق السعودية، لكونهم الفئة الأكثر ارتباطاً بعمليات توظيف الذكاء الاصطناعي التوليدي في الحملات الرقمية.</w:t>
      </w:r>
    </w:p>
    <w:p w14:paraId="671D5652" w14:textId="04F95839" w:rsidR="00A20BAB" w:rsidRPr="00A20BAB" w:rsidRDefault="00A20BAB" w:rsidP="00A20BAB">
      <w:pPr>
        <w:bidi/>
        <w:spacing w:after="200" w:line="276" w:lineRule="auto"/>
        <w:rPr>
          <w:rFonts w:ascii="Sakkal Majalla" w:hAnsi="Sakkal Majalla" w:cs="Sakkal Majalla"/>
          <w:b/>
          <w:bCs/>
          <w:color w:val="00B0F0"/>
          <w:sz w:val="32"/>
          <w:szCs w:val="32"/>
          <w:u w:val="single"/>
          <w:rtl/>
        </w:rPr>
      </w:pPr>
      <w:r>
        <w:rPr>
          <w:rFonts w:ascii="Sakkal Majalla" w:hAnsi="Sakkal Majalla" w:cs="Sakkal Majalla" w:hint="cs"/>
          <w:b/>
          <w:bCs/>
          <w:color w:val="00B0F0"/>
          <w:sz w:val="32"/>
          <w:szCs w:val="32"/>
          <w:u w:val="single"/>
          <w:rtl/>
        </w:rPr>
        <w:t>الإطار النظري</w:t>
      </w:r>
    </w:p>
    <w:p w14:paraId="54106F1C" w14:textId="77777777" w:rsidR="00A20BAB" w:rsidRPr="00A20BAB" w:rsidRDefault="00A20BAB" w:rsidP="00A20BAB">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hint="cs"/>
          <w:b/>
          <w:bCs/>
          <w:color w:val="1F497D" w:themeColor="text2"/>
          <w:sz w:val="32"/>
          <w:szCs w:val="32"/>
          <w:u w:val="single"/>
          <w:rtl/>
        </w:rPr>
        <w:t>الم</w:t>
      </w:r>
      <w:r>
        <w:rPr>
          <w:rFonts w:ascii="Sakkal Majalla" w:hAnsi="Sakkal Majalla" w:cs="Sakkal Majalla"/>
          <w:b/>
          <w:bCs/>
          <w:color w:val="1F497D" w:themeColor="text2"/>
          <w:sz w:val="32"/>
          <w:szCs w:val="32"/>
          <w:u w:val="single"/>
          <w:rtl/>
        </w:rPr>
        <w:t>بحث الأول: توظيف تقنيات الذكاء الاصطناعي التوليدي في تصميم الحملات التسويقية الرقمية</w:t>
      </w:r>
    </w:p>
    <w:p w14:paraId="158378DD" w14:textId="77777777" w:rsidR="00A20BAB" w:rsidRPr="00A20BAB" w:rsidRDefault="00A20BAB" w:rsidP="007F6645">
      <w:pPr>
        <w:bidi/>
        <w:jc w:val="both"/>
        <w:rPr>
          <w:rFonts w:ascii="Simplified Arabic" w:hAnsi="Simplified Arabic" w:cs="Simplified Arabic"/>
          <w:b/>
          <w:bCs/>
          <w:rtl/>
        </w:rPr>
      </w:pPr>
      <w:r>
        <w:rPr>
          <w:rFonts w:ascii="Simplified Arabic" w:hAnsi="Simplified Arabic" w:cs="Simplified Arabic"/>
          <w:b/>
          <w:bCs/>
          <w:rtl/>
        </w:rPr>
        <w:t>المطلب الأول: مفهوم الذكاء الاصطناعي التوليدي وتقنياته</w:t>
      </w:r>
    </w:p>
    <w:p w14:paraId="6FC07B24" w14:textId="028671A2" w:rsidR="00A20BAB" w:rsidRPr="00A20BAB" w:rsidRDefault="00A20BAB" w:rsidP="007F6645">
      <w:pPr>
        <w:bidi/>
        <w:jc w:val="both"/>
        <w:rPr>
          <w:rFonts w:ascii="Simplified Arabic" w:hAnsi="Simplified Arabic" w:cs="Simplified Arabic"/>
          <w:b/>
          <w:bCs/>
          <w:rtl/>
        </w:rPr>
      </w:pPr>
      <w:r>
        <w:rPr>
          <w:rFonts w:ascii="Simplified Arabic" w:hAnsi="Simplified Arabic" w:cs="Simplified Arabic" w:hint="cs"/>
          <w:b/>
          <w:bCs/>
          <w:rtl/>
        </w:rPr>
        <w:t xml:space="preserve">أولاً: </w:t>
      </w:r>
      <w:r>
        <w:rPr>
          <w:rFonts w:ascii="Simplified Arabic" w:hAnsi="Simplified Arabic" w:cs="Simplified Arabic"/>
          <w:b/>
          <w:bCs/>
          <w:rtl/>
        </w:rPr>
        <w:t>تعريف الذكاء الاصطناعي التوليدي وكيف يختلف عن الأنواع الأخرى من الذكاء الاصطناعي</w:t>
      </w:r>
    </w:p>
    <w:p w14:paraId="46411182"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يشير الذكاء الاصطناعي التوليدي (</w:t>
      </w:r>
      <w:r>
        <w:rPr>
          <w:rFonts w:ascii="Simplified Arabic" w:hAnsi="Simplified Arabic" w:cs="Simplified Arabic"/>
        </w:rPr>
        <w:t>Generative AI</w:t>
      </w:r>
      <w:r>
        <w:rPr>
          <w:rFonts w:ascii="Simplified Arabic" w:hAnsi="Simplified Arabic" w:cs="Simplified Arabic"/>
          <w:rtl/>
        </w:rPr>
        <w:t>) إلى فئة من أنظمة الذكاء الاصطناعي القادرة على إنتاج محتوى جديد—مثل النصوص والصور والصوت والفيديو—اعتمادًا على أنماط إحصائية وتعلمية استخلصتها من بيانات تدريب واسعة، بدلًا من الاكتفاء بوظائف التحليل أو التصنيف أو التنبؤ (</w:t>
      </w:r>
      <w:r>
        <w:rPr>
          <w:rFonts w:ascii="Simplified Arabic" w:hAnsi="Simplified Arabic" w:cs="Simplified Arabic"/>
        </w:rPr>
        <w:t>Kılınç &amp; Keçecio</w:t>
      </w:r>
      <w:r>
        <w:rPr>
          <w:rFonts w:ascii="Cambria" w:hAnsi="Cambria" w:cs="Cambria"/>
        </w:rPr>
        <w:t>ğ</w:t>
      </w:r>
      <w:r>
        <w:rPr>
          <w:rFonts w:ascii="Simplified Arabic" w:hAnsi="Simplified Arabic" w:cs="Simplified Arabic"/>
        </w:rPr>
        <w:t>lu, 2024</w:t>
      </w:r>
      <w:r>
        <w:rPr>
          <w:rFonts w:ascii="Simplified Arabic" w:hAnsi="Simplified Arabic" w:cs="Simplified Arabic"/>
          <w:rtl/>
        </w:rPr>
        <w:t>). ومن هذا المنطلق، فإن القيمة التطبيقية للذكاء الاصطناعي التوليدي في التسويق لا تتمثل فقط في دعم التحليل، بل في دخوله المباشر إلى صميم العملية الإبداعية للحملة عبر توليد الرسائل والأصول البصرية والبدائل الاتصالية (</w:t>
      </w:r>
      <w:r>
        <w:rPr>
          <w:rFonts w:ascii="Simplified Arabic" w:hAnsi="Simplified Arabic" w:cs="Simplified Arabic"/>
        </w:rPr>
        <w:t>Islam et al., 2024</w:t>
      </w:r>
      <w:r>
        <w:rPr>
          <w:rFonts w:ascii="Simplified Arabic" w:hAnsi="Simplified Arabic" w:cs="Simplified Arabic"/>
          <w:rtl/>
        </w:rPr>
        <w:t>).</w:t>
      </w:r>
    </w:p>
    <w:p w14:paraId="494984C3"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hint="cs"/>
          <w:rtl/>
        </w:rPr>
        <w:t xml:space="preserve"> </w:t>
      </w:r>
      <w:r>
        <w:rPr>
          <w:rFonts w:ascii="Simplified Arabic" w:hAnsi="Simplified Arabic" w:cs="Simplified Arabic"/>
          <w:rtl/>
        </w:rPr>
        <w:t>ويمكن توضيح هذا الفرق في ثلاثة أبعاد مترابطة:</w:t>
      </w:r>
    </w:p>
    <w:p w14:paraId="24771332"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1) الاختلاف في طبيعة الوظيفة</w:t>
      </w:r>
    </w:p>
    <w:p w14:paraId="07281D4A"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lastRenderedPageBreak/>
        <w:t>الأنظمة التقليدية في الذكاء الاصطناعي تُستخدم غالبًا لتحليل البيانات، واستخراج الأنماط، ودعم التنبؤ واتخاذ القرار. أما الذكاء الاصطناعي التوليدي فيضيف وظيفة إنتاجية/إبداعية؛ إذ يستطيع إنشاء محتوى جديد قابل للاستخدام أو التطوير داخل العملية التسويقية، مثل النسخ الإعلانية والتصورات البصرية الأولية (</w:t>
      </w:r>
      <w:r>
        <w:rPr>
          <w:rFonts w:ascii="Simplified Arabic" w:hAnsi="Simplified Arabic" w:cs="Simplified Arabic"/>
        </w:rPr>
        <w:t>Kshetri et al., 2023</w:t>
      </w:r>
      <w:r>
        <w:rPr>
          <w:rFonts w:ascii="Simplified Arabic" w:hAnsi="Simplified Arabic" w:cs="Simplified Arabic"/>
          <w:rtl/>
        </w:rPr>
        <w:t>).</w:t>
      </w:r>
    </w:p>
    <w:p w14:paraId="28F8553C"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2) الاختلاف في موقع الاستخدام داخل العملية التسويقية</w:t>
      </w:r>
    </w:p>
    <w:p w14:paraId="59EA9EDC" w14:textId="7AC1FF28"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يظهر الذكاء الاصطناعي التقليدي عادةً في مراحل التحليل والاستهداف والتنبؤ بالسلوك، بينما يمتد الذكاء الاصطناعي التوليدي إلى مرحلة تصميم الحملة نفسها؛ أي مرحلة إنتاج الرسالة التسويقية وصياغة المحتوى وبناء البدائل الإبداعية</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Heitmann, 2024</w:t>
      </w:r>
      <w:r>
        <w:rPr>
          <w:rFonts w:ascii="Simplified Arabic" w:hAnsi="Simplified Arabic" w:cs="Simplified Arabic"/>
          <w:rtl/>
        </w:rPr>
        <w:t>).</w:t>
      </w:r>
    </w:p>
    <w:p w14:paraId="18DD4361"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3) الاختلاف في مسار التأثير على النتائج التسويقية</w:t>
      </w:r>
    </w:p>
    <w:p w14:paraId="7B6E9176"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قد يؤثر الذكاء الاصطناعي التقليدي في الأداء عبر تحسين التحليل والاستهداف، بينما يُتوقع أن يؤثر الذكاء الاصطناعي التوليدي عبر مسارين متكاملين:</w:t>
      </w:r>
    </w:p>
    <w:p w14:paraId="5BCF6908" w14:textId="77777777" w:rsidR="00A20BAB" w:rsidRPr="00A20BAB" w:rsidRDefault="00A20BAB">
      <w:pPr>
        <w:numPr>
          <w:ilvl w:val="0"/>
          <w:numId w:val="8"/>
        </w:numPr>
        <w:bidi/>
        <w:jc w:val="both"/>
        <w:rPr>
          <w:rFonts w:ascii="Simplified Arabic" w:hAnsi="Simplified Arabic" w:cs="Simplified Arabic"/>
          <w:rtl/>
        </w:rPr>
      </w:pPr>
      <w:r>
        <w:rPr>
          <w:rFonts w:ascii="Simplified Arabic" w:hAnsi="Simplified Arabic" w:cs="Simplified Arabic"/>
          <w:rtl/>
        </w:rPr>
        <w:t>مسار تشغيلي مباشر: تقليل الوقت والجهد اللازمين لإنتاج المحتوى الأولي.</w:t>
      </w:r>
    </w:p>
    <w:p w14:paraId="3EFD39D7" w14:textId="77777777" w:rsidR="00A20BAB" w:rsidRPr="00A20BAB" w:rsidRDefault="00A20BAB">
      <w:pPr>
        <w:numPr>
          <w:ilvl w:val="0"/>
          <w:numId w:val="8"/>
        </w:numPr>
        <w:bidi/>
        <w:jc w:val="both"/>
        <w:rPr>
          <w:rFonts w:ascii="Simplified Arabic" w:hAnsi="Simplified Arabic" w:cs="Simplified Arabic"/>
          <w:rtl/>
        </w:rPr>
      </w:pPr>
      <w:r>
        <w:rPr>
          <w:rFonts w:ascii="Simplified Arabic" w:hAnsi="Simplified Arabic" w:cs="Simplified Arabic"/>
          <w:rtl/>
        </w:rPr>
        <w:t>مسار نوعي غير مباشر: تحسين جودة وتنوع وتخصيص المخرجات الإبداعية، وهو ما يرتبط لاحقًا بفعالية الأداء التسويقي (</w:t>
      </w:r>
      <w:r>
        <w:rPr>
          <w:rFonts w:ascii="Simplified Arabic" w:hAnsi="Simplified Arabic" w:cs="Simplified Arabic"/>
        </w:rPr>
        <w:t>Nuremberg Institute for Market Decisions, 2024</w:t>
      </w:r>
      <w:r>
        <w:rPr>
          <w:rFonts w:ascii="Simplified Arabic" w:hAnsi="Simplified Arabic" w:cs="Simplified Arabic"/>
          <w:rtl/>
        </w:rPr>
        <w:t>).</w:t>
      </w:r>
    </w:p>
    <w:p w14:paraId="13A0B018" w14:textId="1AA7637B" w:rsidR="00A20BAB" w:rsidRPr="00A20BAB" w:rsidRDefault="00A20BAB" w:rsidP="007F6645">
      <w:pPr>
        <w:bidi/>
        <w:jc w:val="both"/>
        <w:rPr>
          <w:rFonts w:ascii="Simplified Arabic" w:hAnsi="Simplified Arabic" w:cs="Simplified Arabic"/>
          <w:b/>
          <w:bCs/>
          <w:rtl/>
        </w:rPr>
      </w:pPr>
      <w:r>
        <w:rPr>
          <w:rFonts w:ascii="Simplified Arabic" w:hAnsi="Simplified Arabic" w:cs="Simplified Arabic" w:hint="cs"/>
          <w:b/>
          <w:bCs/>
          <w:rtl/>
        </w:rPr>
        <w:t xml:space="preserve">ثانياً: </w:t>
      </w:r>
      <w:r>
        <w:rPr>
          <w:rFonts w:ascii="Simplified Arabic" w:hAnsi="Simplified Arabic" w:cs="Simplified Arabic"/>
          <w:b/>
          <w:bCs/>
          <w:rtl/>
        </w:rPr>
        <w:t>أهم النماذج والأدوات وكيفية عملها</w:t>
      </w:r>
    </w:p>
    <w:p w14:paraId="16904B08" w14:textId="6832D8E0" w:rsidR="00A20BAB" w:rsidRPr="00A20BAB" w:rsidRDefault="00A20BAB" w:rsidP="007F6645">
      <w:pPr>
        <w:bidi/>
        <w:jc w:val="both"/>
        <w:rPr>
          <w:rFonts w:ascii="Simplified Arabic" w:hAnsi="Simplified Arabic" w:cs="Simplified Arabic"/>
          <w:rtl/>
        </w:rPr>
      </w:pPr>
      <w:r>
        <w:rPr>
          <w:rFonts w:ascii="Simplified Arabic" w:hAnsi="Simplified Arabic" w:cs="Simplified Arabic" w:hint="cs"/>
          <w:rtl/>
        </w:rPr>
        <w:t>1.</w:t>
      </w:r>
      <w:r>
        <w:rPr>
          <w:rFonts w:ascii="Simplified Arabic" w:hAnsi="Simplified Arabic" w:cs="Simplified Arabic"/>
          <w:rtl/>
        </w:rPr>
        <w:t xml:space="preserve"> النماذج التوليدية النصية (مثل </w:t>
      </w:r>
      <w:r>
        <w:rPr>
          <w:rFonts w:ascii="Simplified Arabic" w:hAnsi="Simplified Arabic" w:cs="Simplified Arabic"/>
        </w:rPr>
        <w:t>ChatGPT</w:t>
      </w:r>
      <w:r>
        <w:rPr>
          <w:rFonts w:ascii="Simplified Arabic" w:hAnsi="Simplified Arabic" w:cs="Simplified Arabic"/>
          <w:rtl/>
        </w:rPr>
        <w:t>)</w:t>
      </w:r>
    </w:p>
    <w:p w14:paraId="389B423B"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 xml:space="preserve">تقوم النماذج التوليدية النصية—ومن أشهر تطبيقاتها أدوات المحادثة والكتابة المعتمدة على النماذج اللغوية الكبيرة مثل </w:t>
      </w:r>
      <w:r>
        <w:rPr>
          <w:rFonts w:ascii="Simplified Arabic" w:hAnsi="Simplified Arabic" w:cs="Simplified Arabic"/>
        </w:rPr>
        <w:t>ChatGPT</w:t>
      </w:r>
      <w:r>
        <w:rPr>
          <w:rFonts w:ascii="Simplified Arabic" w:hAnsi="Simplified Arabic" w:cs="Simplified Arabic"/>
          <w:rtl/>
        </w:rPr>
        <w:t>—على تدريب نماذج لغوية على كميات ضخمة من النصوص، ثم استخدامها لتوليد نصوص جديدة استجابةً لأوامر المستخدم (</w:t>
      </w:r>
      <w:r>
        <w:rPr>
          <w:rFonts w:ascii="Simplified Arabic" w:hAnsi="Simplified Arabic" w:cs="Simplified Arabic"/>
        </w:rPr>
        <w:t>Prompts</w:t>
      </w:r>
      <w:r>
        <w:rPr>
          <w:rFonts w:ascii="Simplified Arabic" w:hAnsi="Simplified Arabic" w:cs="Simplified Arabic"/>
          <w:rtl/>
        </w:rPr>
        <w:t>). وبصورة وظيفية، تعمل هذه النماذج عبر استقبال تعليمات تتضمن هدف المهمة وسياقها، ثم إنتاج مخرجات لغوية يمكن تطويرها تكراريًا من خلال التعديل وإعادة التوجيه (</w:t>
      </w:r>
      <w:r>
        <w:rPr>
          <w:rFonts w:ascii="Simplified Arabic" w:hAnsi="Simplified Arabic" w:cs="Simplified Arabic"/>
        </w:rPr>
        <w:t>Islam et al., 2024</w:t>
      </w:r>
      <w:r>
        <w:rPr>
          <w:rFonts w:ascii="Simplified Arabic" w:hAnsi="Simplified Arabic" w:cs="Simplified Arabic"/>
          <w:rtl/>
        </w:rPr>
        <w:t>).</w:t>
      </w:r>
    </w:p>
    <w:p w14:paraId="3748A07C"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وفي السياق التسويقي، تُستخدم هذه الأدوات في كتابة النسخ الإعلانية، وصياغة الرسائل التسويقية، واقتراح العناوين، وإعادة الصياغة بحسب المنصة والجمهور، وهو ما يمنح فرق التسويق قدرة أعلى على توليد بدائل متعددة بسرعة أكبر مقارنةً بالأساليب التقليدية في التوليد الأولي للمحتوى (</w:t>
      </w:r>
      <w:r>
        <w:rPr>
          <w:rFonts w:ascii="Simplified Arabic" w:hAnsi="Simplified Arabic" w:cs="Simplified Arabic"/>
        </w:rPr>
        <w:t>Heitmann, 2024</w:t>
      </w:r>
      <w:r>
        <w:rPr>
          <w:rFonts w:ascii="Simplified Arabic" w:hAnsi="Simplified Arabic" w:cs="Simplified Arabic"/>
          <w:rtl/>
        </w:rPr>
        <w:t>). كما تشير الأدبيات إلى أن القيمة الحقيقية لهذه الأدوات لا ترتبط بمجرد “الكتابة السريعة”، بل بقدرتها على دعم التخصيص وتوسيع نطاق التجريب الإبداعي داخل الحملة (</w:t>
      </w:r>
      <w:r>
        <w:rPr>
          <w:rFonts w:ascii="Simplified Arabic" w:hAnsi="Simplified Arabic" w:cs="Simplified Arabic"/>
        </w:rPr>
        <w:t>Kshetri et al., 2023</w:t>
      </w:r>
      <w:r>
        <w:rPr>
          <w:rFonts w:ascii="Simplified Arabic" w:hAnsi="Simplified Arabic" w:cs="Simplified Arabic"/>
          <w:rtl/>
        </w:rPr>
        <w:t>).</w:t>
      </w:r>
    </w:p>
    <w:p w14:paraId="784180B9" w14:textId="172EFFFC" w:rsidR="00A20BAB" w:rsidRPr="00A20BAB" w:rsidRDefault="00A20BAB" w:rsidP="007F6645">
      <w:pPr>
        <w:bidi/>
        <w:jc w:val="both"/>
        <w:rPr>
          <w:rFonts w:ascii="Simplified Arabic" w:hAnsi="Simplified Arabic" w:cs="Simplified Arabic"/>
          <w:rtl/>
        </w:rPr>
      </w:pPr>
      <w:r>
        <w:rPr>
          <w:rFonts w:ascii="Simplified Arabic" w:hAnsi="Simplified Arabic" w:cs="Simplified Arabic" w:hint="cs"/>
          <w:rtl/>
        </w:rPr>
        <w:t>2.</w:t>
      </w:r>
      <w:r>
        <w:rPr>
          <w:rFonts w:ascii="Simplified Arabic" w:hAnsi="Simplified Arabic" w:cs="Simplified Arabic"/>
          <w:rtl/>
        </w:rPr>
        <w:t xml:space="preserve"> النماذج التوليدية البصرية (مثل </w:t>
      </w:r>
      <w:r>
        <w:rPr>
          <w:rFonts w:ascii="Simplified Arabic" w:hAnsi="Simplified Arabic" w:cs="Simplified Arabic"/>
        </w:rPr>
        <w:t>DALL-E</w:t>
      </w:r>
      <w:r>
        <w:rPr>
          <w:rFonts w:ascii="Simplified Arabic" w:hAnsi="Simplified Arabic" w:cs="Simplified Arabic"/>
          <w:rtl/>
        </w:rPr>
        <w:t xml:space="preserve"> و</w:t>
      </w:r>
      <w:r>
        <w:rPr>
          <w:rFonts w:ascii="Simplified Arabic" w:hAnsi="Simplified Arabic" w:cs="Simplified Arabic"/>
        </w:rPr>
        <w:t>Midjourney</w:t>
      </w:r>
      <w:r>
        <w:rPr>
          <w:rFonts w:ascii="Simplified Arabic" w:hAnsi="Simplified Arabic" w:cs="Simplified Arabic"/>
          <w:rtl/>
        </w:rPr>
        <w:t>)</w:t>
      </w:r>
    </w:p>
    <w:p w14:paraId="03F42495"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 xml:space="preserve">تُستخدم الأدوات البصرية التوليدية—مثل </w:t>
      </w:r>
      <w:r>
        <w:rPr>
          <w:rFonts w:ascii="Simplified Arabic" w:hAnsi="Simplified Arabic" w:cs="Simplified Arabic"/>
        </w:rPr>
        <w:t>DALL-E</w:t>
      </w:r>
      <w:r>
        <w:rPr>
          <w:rFonts w:ascii="Simplified Arabic" w:hAnsi="Simplified Arabic" w:cs="Simplified Arabic"/>
          <w:rtl/>
        </w:rPr>
        <w:t xml:space="preserve"> و</w:t>
      </w:r>
      <w:r>
        <w:rPr>
          <w:rFonts w:ascii="Simplified Arabic" w:hAnsi="Simplified Arabic" w:cs="Simplified Arabic"/>
        </w:rPr>
        <w:t>Midjourney</w:t>
      </w:r>
      <w:r>
        <w:rPr>
          <w:rFonts w:ascii="Simplified Arabic" w:hAnsi="Simplified Arabic" w:cs="Simplified Arabic"/>
          <w:rtl/>
        </w:rPr>
        <w:t>—في إنشاء صور أو تصورات بصرية انطلاقًا من وصف نصي، أو في تطوير بدائل متعددة للمشهد البصري الواحد. وتعتمد هذه الأدوات على نماذج توليد حديثة تُحوِّل الوصف اللغوي إلى مخرجات بصرية، مع إمكانية تحسين النتائج تدريجيًا من خلال تعديل الوصف أو إضافة قيود متعلقة بالأسلوب أو التكوين أو الاستخدام الإعلاني (</w:t>
      </w:r>
      <w:r>
        <w:rPr>
          <w:rFonts w:ascii="Simplified Arabic" w:hAnsi="Simplified Arabic" w:cs="Simplified Arabic"/>
        </w:rPr>
        <w:t>Dimitrieska, 2024</w:t>
      </w:r>
      <w:r>
        <w:rPr>
          <w:rFonts w:ascii="Simplified Arabic" w:hAnsi="Simplified Arabic" w:cs="Simplified Arabic"/>
          <w:rtl/>
        </w:rPr>
        <w:t>).</w:t>
      </w:r>
    </w:p>
    <w:p w14:paraId="482C26D8"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lastRenderedPageBreak/>
        <w:t>وتكمن أهميتها التسويقية في أنها تساعد فرق التصميم على تسريع مرحلة التصور الإبداعي وإنتاج نماذج أولية متعددة للحملات، الأمر الذي يعزز مرونة الاختيار والمقارنة قبل إنتاج النسخة النهائية. وهذا الاستخدام له صلة مباشرة بموضوع الدراسة؛ لأن جودة العناصر البصرية واتساقها مع الرسالة والهوية من المكونات الجوهرية في جودة التصميم الإبداعي للحملة (</w:t>
      </w:r>
      <w:r>
        <w:rPr>
          <w:rFonts w:ascii="Simplified Arabic" w:hAnsi="Simplified Arabic" w:cs="Simplified Arabic"/>
        </w:rPr>
        <w:t>Gujar &amp; Panyam, 2024</w:t>
      </w:r>
      <w:r>
        <w:rPr>
          <w:rFonts w:ascii="Simplified Arabic" w:hAnsi="Simplified Arabic" w:cs="Simplified Arabic"/>
          <w:rtl/>
        </w:rPr>
        <w:t>). كما أن الأدبيات المتعلقة بمحتوى التسويق التوليدي تؤكد أن هذه الأدوات أصبحت جزءًا من إعادة تشكيل اقتصاديات إنتاج المحتوى التسويقي من حيث الوقت والكمية وإدارة البدائل (</w:t>
      </w:r>
      <w:r>
        <w:rPr>
          <w:rFonts w:ascii="Simplified Arabic" w:hAnsi="Simplified Arabic" w:cs="Simplified Arabic"/>
        </w:rPr>
        <w:t>Heitmann, 2024</w:t>
      </w:r>
      <w:r>
        <w:rPr>
          <w:rFonts w:ascii="Simplified Arabic" w:hAnsi="Simplified Arabic" w:cs="Simplified Arabic"/>
          <w:rtl/>
        </w:rPr>
        <w:t>).</w:t>
      </w:r>
    </w:p>
    <w:p w14:paraId="60DB0794" w14:textId="6E4F6281" w:rsidR="00A20BAB" w:rsidRPr="00A20BAB" w:rsidRDefault="00A20BAB" w:rsidP="007F6645">
      <w:pPr>
        <w:bidi/>
        <w:jc w:val="both"/>
        <w:rPr>
          <w:rFonts w:ascii="Simplified Arabic" w:hAnsi="Simplified Arabic" w:cs="Simplified Arabic"/>
          <w:rtl/>
        </w:rPr>
      </w:pPr>
      <w:r>
        <w:rPr>
          <w:rFonts w:ascii="Simplified Arabic" w:hAnsi="Simplified Arabic" w:cs="Simplified Arabic" w:hint="cs"/>
          <w:rtl/>
        </w:rPr>
        <w:t>3.</w:t>
      </w:r>
      <w:r>
        <w:rPr>
          <w:rFonts w:ascii="Simplified Arabic" w:hAnsi="Simplified Arabic" w:cs="Simplified Arabic"/>
          <w:rtl/>
        </w:rPr>
        <w:t xml:space="preserve"> أدوات التوليد متعددة الوسائط ودعم المحتوى التسويقي المركب</w:t>
      </w:r>
    </w:p>
    <w:p w14:paraId="4DBEB42C"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لا يقتصر استخدام الذكاء الاصطناعي التوليدي في الحملات الرقمية على النص أو الصورة منفردين؛ إذ تتجه الحملات الحديثة إلى دمج النصوص والصور والعناصر السمعية/المرئية ضمن رسالة واحدة متناسقة عبر منصات متعددة. وفي هذا الإطار، تسهم أدوات التوليد متعددة الوسائط في بناء تصورات أولية للحملة، وتنسيق المخرجات عبر القنوات، ودعم إنتاج محتوى تسويقي أكثر تكاملاً (</w:t>
      </w:r>
      <w:r>
        <w:rPr>
          <w:rFonts w:ascii="Simplified Arabic" w:hAnsi="Simplified Arabic" w:cs="Simplified Arabic"/>
        </w:rPr>
        <w:t>Kujore et al., 2025</w:t>
      </w:r>
      <w:r>
        <w:rPr>
          <w:rFonts w:ascii="Simplified Arabic" w:hAnsi="Simplified Arabic" w:cs="Simplified Arabic"/>
          <w:rtl/>
        </w:rPr>
        <w:t>).</w:t>
      </w:r>
    </w:p>
    <w:p w14:paraId="2812DC0B" w14:textId="30FFE5D2" w:rsidR="00A20BAB" w:rsidRPr="00A20BAB" w:rsidRDefault="007F6645" w:rsidP="007F6645">
      <w:pPr>
        <w:bidi/>
        <w:jc w:val="both"/>
        <w:rPr>
          <w:rFonts w:ascii="Simplified Arabic" w:hAnsi="Simplified Arabic" w:cs="Simplified Arabic"/>
          <w:rtl/>
        </w:rPr>
      </w:pPr>
      <w:r>
        <w:rPr>
          <w:rFonts w:ascii="Simplified Arabic" w:hAnsi="Simplified Arabic" w:cs="Simplified Arabic" w:hint="cs"/>
          <w:rtl/>
        </w:rPr>
        <w:t>4.</w:t>
      </w:r>
      <w:r>
        <w:rPr>
          <w:rFonts w:ascii="Simplified Arabic" w:hAnsi="Simplified Arabic" w:cs="Simplified Arabic"/>
          <w:rtl/>
        </w:rPr>
        <w:t xml:space="preserve"> كيف تعمل هذه الأدوات عمليًا داخل السياق التسويقي؟</w:t>
      </w:r>
    </w:p>
    <w:p w14:paraId="76906696"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رغم اختلاف النماذج والأدوات، فإن منطق العمل التطبيقي داخل الحملات يتكرر في خطوات أساسية، وهو ما يفيد في بناء فهم أكاديمي منضبط للتوظيف:</w:t>
      </w:r>
    </w:p>
    <w:p w14:paraId="1CBC8B78" w14:textId="77777777" w:rsidR="00A20BAB" w:rsidRPr="00A20BAB" w:rsidRDefault="00A20BAB">
      <w:pPr>
        <w:numPr>
          <w:ilvl w:val="0"/>
          <w:numId w:val="12"/>
        </w:numPr>
        <w:bidi/>
        <w:jc w:val="both"/>
        <w:rPr>
          <w:rFonts w:ascii="Simplified Arabic" w:hAnsi="Simplified Arabic" w:cs="Simplified Arabic"/>
          <w:rtl/>
        </w:rPr>
      </w:pPr>
      <w:r>
        <w:rPr>
          <w:rFonts w:ascii="Simplified Arabic" w:hAnsi="Simplified Arabic" w:cs="Simplified Arabic"/>
          <w:rtl/>
        </w:rPr>
        <w:t>إدخال الهدف والسياق التسويقي: يحدد المستخدم هدف المهمة (مثل إعلان، منشور، تصور بصري)، والجمهور المستهدف، ونبرة العلامة التجارية، وبعض القيود الخاصة بالمنصة.</w:t>
      </w:r>
    </w:p>
    <w:p w14:paraId="083F418E" w14:textId="77777777" w:rsidR="00A20BAB" w:rsidRPr="00A20BAB" w:rsidRDefault="00A20BAB">
      <w:pPr>
        <w:numPr>
          <w:ilvl w:val="0"/>
          <w:numId w:val="12"/>
        </w:numPr>
        <w:bidi/>
        <w:jc w:val="both"/>
        <w:rPr>
          <w:rFonts w:ascii="Simplified Arabic" w:hAnsi="Simplified Arabic" w:cs="Simplified Arabic"/>
          <w:rtl/>
        </w:rPr>
      </w:pPr>
      <w:r>
        <w:rPr>
          <w:rFonts w:ascii="Simplified Arabic" w:hAnsi="Simplified Arabic" w:cs="Simplified Arabic"/>
          <w:rtl/>
        </w:rPr>
        <w:t>توليد مخرجات أولية: تنتج الأداة نصًا أو صورة أو بدائل متعددة تمثل نقطة انطلاق إبداعية.</w:t>
      </w:r>
    </w:p>
    <w:p w14:paraId="7DC29895" w14:textId="77777777" w:rsidR="00A20BAB" w:rsidRPr="00A20BAB" w:rsidRDefault="00A20BAB">
      <w:pPr>
        <w:numPr>
          <w:ilvl w:val="0"/>
          <w:numId w:val="12"/>
        </w:numPr>
        <w:bidi/>
        <w:jc w:val="both"/>
        <w:rPr>
          <w:rFonts w:ascii="Simplified Arabic" w:hAnsi="Simplified Arabic" w:cs="Simplified Arabic"/>
          <w:rtl/>
        </w:rPr>
      </w:pPr>
      <w:r>
        <w:rPr>
          <w:rFonts w:ascii="Simplified Arabic" w:hAnsi="Simplified Arabic" w:cs="Simplified Arabic"/>
          <w:rtl/>
        </w:rPr>
        <w:t>المراجعة والتوجيه التكراري: تُعدَّل الأوامر أو القيود لتحسين الملاءمة والجودة والاتساق.</w:t>
      </w:r>
    </w:p>
    <w:p w14:paraId="2D648E95" w14:textId="77777777" w:rsidR="00A20BAB" w:rsidRPr="00A20BAB" w:rsidRDefault="00A20BAB">
      <w:pPr>
        <w:numPr>
          <w:ilvl w:val="0"/>
          <w:numId w:val="12"/>
        </w:numPr>
        <w:bidi/>
        <w:jc w:val="both"/>
        <w:rPr>
          <w:rFonts w:ascii="Simplified Arabic" w:hAnsi="Simplified Arabic" w:cs="Simplified Arabic"/>
          <w:rtl/>
        </w:rPr>
      </w:pPr>
      <w:r>
        <w:rPr>
          <w:rFonts w:ascii="Simplified Arabic" w:hAnsi="Simplified Arabic" w:cs="Simplified Arabic"/>
          <w:rtl/>
        </w:rPr>
        <w:t>التحرير البشري والاعتماد: تُراجع المخرجات قبل استخدامها ضمن الحملة الفعلية، خاصةً فيما يتعلق بالدقة والهوية والملاءمة الثقافية (</w:t>
      </w:r>
      <w:r>
        <w:rPr>
          <w:rFonts w:ascii="Simplified Arabic" w:hAnsi="Simplified Arabic" w:cs="Simplified Arabic"/>
        </w:rPr>
        <w:t>IAB Tech Lab, 2024</w:t>
      </w:r>
      <w:r>
        <w:rPr>
          <w:rFonts w:ascii="Simplified Arabic" w:hAnsi="Simplified Arabic" w:cs="Simplified Arabic"/>
          <w:rtl/>
        </w:rPr>
        <w:t>).</w:t>
      </w:r>
    </w:p>
    <w:p w14:paraId="05BEA6C0" w14:textId="1FEA9EC6" w:rsidR="00A20BAB" w:rsidRPr="00A20BAB" w:rsidRDefault="007F6645" w:rsidP="007F6645">
      <w:pPr>
        <w:bidi/>
        <w:jc w:val="both"/>
        <w:rPr>
          <w:rFonts w:ascii="Simplified Arabic" w:hAnsi="Simplified Arabic" w:cs="Simplified Arabic"/>
          <w:rtl/>
        </w:rPr>
      </w:pPr>
      <w:r>
        <w:rPr>
          <w:rFonts w:ascii="Simplified Arabic" w:hAnsi="Simplified Arabic" w:cs="Simplified Arabic" w:hint="cs"/>
          <w:rtl/>
        </w:rPr>
        <w:t>5.</w:t>
      </w:r>
      <w:r>
        <w:rPr>
          <w:rFonts w:ascii="Simplified Arabic" w:hAnsi="Simplified Arabic" w:cs="Simplified Arabic"/>
          <w:rtl/>
        </w:rPr>
        <w:t xml:space="preserve"> هندسة التلقين بوصفها عاملًا حاكمًا لجودة مخرجات الأدوات</w:t>
      </w:r>
    </w:p>
    <w:p w14:paraId="7E0FC533" w14:textId="77777777" w:rsidR="00A20BAB" w:rsidRDefault="00A20BAB" w:rsidP="007F6645">
      <w:pPr>
        <w:bidi/>
        <w:jc w:val="both"/>
        <w:rPr>
          <w:rFonts w:ascii="Simplified Arabic" w:hAnsi="Simplified Arabic" w:cs="Simplified Arabic"/>
          <w:rtl/>
        </w:rPr>
      </w:pPr>
      <w:r>
        <w:rPr>
          <w:rFonts w:ascii="Simplified Arabic" w:hAnsi="Simplified Arabic" w:cs="Simplified Arabic"/>
          <w:rtl/>
        </w:rPr>
        <w:t>يتطلب العرض العلمي للأدوات التوليدية الإشارة إلى أن جودة المخرجات لا تعتمد على الأداة وحدها، بل على جودة صياغة الأوامر الموجهة إليها. ولهذا تُعد هندسة التلقين (</w:t>
      </w:r>
      <w:r>
        <w:rPr>
          <w:rFonts w:ascii="Simplified Arabic" w:hAnsi="Simplified Arabic" w:cs="Simplified Arabic"/>
        </w:rPr>
        <w:t>Prompt Engineering</w:t>
      </w:r>
      <w:r>
        <w:rPr>
          <w:rFonts w:ascii="Simplified Arabic" w:hAnsi="Simplified Arabic" w:cs="Simplified Arabic"/>
          <w:rtl/>
        </w:rPr>
        <w:t>) جزءًا عمليًا من “كيفية عمل” الأدوات في السياق التسويقي، لا مجرد مهارة إضافية. فعندما تكون الأوامر أكثر تحديدًا لهدف الرسالة والجمهور ونبرة العلامة التجارية والقيود اللغوية/الثقافية، تكون المخرجات عادةً أكثر ملاءمة وقابلية للاستخدام (محيسن، مجاهد، &amp; بصبوص، 2025).</w:t>
      </w:r>
    </w:p>
    <w:p w14:paraId="5E9C05E0" w14:textId="77777777" w:rsidR="007F6645" w:rsidRPr="00A20BAB" w:rsidRDefault="007F6645" w:rsidP="007F6645">
      <w:pPr>
        <w:bidi/>
        <w:jc w:val="both"/>
        <w:rPr>
          <w:rFonts w:ascii="Simplified Arabic" w:hAnsi="Simplified Arabic" w:cs="Simplified Arabic"/>
          <w:rtl/>
        </w:rPr>
      </w:pPr>
    </w:p>
    <w:p w14:paraId="3E0D313C" w14:textId="77777777" w:rsidR="00A20BAB" w:rsidRPr="00A20BAB" w:rsidRDefault="00A20BAB" w:rsidP="007F6645">
      <w:pPr>
        <w:bidi/>
        <w:jc w:val="both"/>
        <w:rPr>
          <w:rFonts w:ascii="Simplified Arabic" w:hAnsi="Simplified Arabic" w:cs="Simplified Arabic"/>
          <w:b/>
          <w:bCs/>
          <w:rtl/>
        </w:rPr>
      </w:pPr>
      <w:r>
        <w:rPr>
          <w:rFonts w:ascii="Simplified Arabic" w:hAnsi="Simplified Arabic" w:cs="Simplified Arabic"/>
          <w:b/>
          <w:bCs/>
          <w:rtl/>
        </w:rPr>
        <w:t>المطلب الثاني: مراحل تصميم الحملات التسويقية الرقمية</w:t>
      </w:r>
    </w:p>
    <w:p w14:paraId="1B26A071" w14:textId="6A83C5A2" w:rsidR="00A20BAB" w:rsidRPr="00A20BAB" w:rsidRDefault="00A20BAB" w:rsidP="007F6645">
      <w:pPr>
        <w:bidi/>
        <w:jc w:val="both"/>
        <w:rPr>
          <w:rFonts w:ascii="Simplified Arabic" w:hAnsi="Simplified Arabic" w:cs="Simplified Arabic"/>
          <w:b/>
          <w:bCs/>
          <w:rtl/>
        </w:rPr>
      </w:pPr>
      <w:r>
        <w:rPr>
          <w:rFonts w:ascii="Simplified Arabic" w:hAnsi="Simplified Arabic" w:cs="Simplified Arabic" w:hint="cs"/>
          <w:b/>
          <w:bCs/>
          <w:rtl/>
        </w:rPr>
        <w:t xml:space="preserve">أولاً: </w:t>
      </w:r>
      <w:r>
        <w:rPr>
          <w:rFonts w:ascii="Simplified Arabic" w:hAnsi="Simplified Arabic" w:cs="Simplified Arabic"/>
          <w:b/>
          <w:bCs/>
          <w:rtl/>
        </w:rPr>
        <w:t>مراحل التخطيط للحملة</w:t>
      </w:r>
      <w:r>
        <w:rPr>
          <w:rFonts w:ascii="Simplified Arabic" w:hAnsi="Simplified Arabic" w:cs="Simplified Arabic" w:hint="cs"/>
          <w:b/>
          <w:bCs/>
          <w:rtl/>
        </w:rPr>
        <w:t xml:space="preserve"> التسويقية</w:t>
      </w:r>
    </w:p>
    <w:p w14:paraId="33E5DA21"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 xml:space="preserve">تُبنى الحملات التسويقية الرقمية الفعالة عادةً عبر تسلسل تخطيطي متكامل يبدأ بتحديد الأهداف وينتهي بالتنفيذ والمتابعة والتقويم. ورغم اختلاف تفاصيل الممارسة بين الوكالات والقطاعات، فإن الأدبيات والتطبيقات الحديثة تتفق على خمس مراحل </w:t>
      </w:r>
      <w:r>
        <w:rPr>
          <w:rFonts w:ascii="Simplified Arabic" w:hAnsi="Simplified Arabic" w:cs="Simplified Arabic"/>
          <w:rtl/>
        </w:rPr>
        <w:lastRenderedPageBreak/>
        <w:t>مركزية، وهي: تحديد الأهداف، تحليل الجمهور، اختيار القنوات، إنشاء المحتوى، التنفيذ والمتابعة (</w:t>
      </w:r>
      <w:r>
        <w:rPr>
          <w:rFonts w:ascii="Simplified Arabic" w:hAnsi="Simplified Arabic" w:cs="Simplified Arabic"/>
        </w:rPr>
        <w:t>Sharabati et al., 2024</w:t>
      </w:r>
      <w:r>
        <w:rPr>
          <w:rFonts w:ascii="Simplified Arabic" w:hAnsi="Simplified Arabic" w:cs="Simplified Arabic"/>
          <w:rtl/>
        </w:rPr>
        <w:t xml:space="preserve">؛ </w:t>
      </w:r>
      <w:r>
        <w:rPr>
          <w:rFonts w:ascii="Simplified Arabic" w:hAnsi="Simplified Arabic" w:cs="Simplified Arabic"/>
        </w:rPr>
        <w:t>Social Media Today, 2025</w:t>
      </w:r>
      <w:r>
        <w:rPr>
          <w:rFonts w:ascii="Simplified Arabic" w:hAnsi="Simplified Arabic" w:cs="Simplified Arabic"/>
          <w:rtl/>
        </w:rPr>
        <w:t>).</w:t>
      </w:r>
      <w:r>
        <w:rPr>
          <w:rFonts w:ascii="Simplified Arabic" w:hAnsi="Simplified Arabic" w:cs="Simplified Arabic" w:hint="cs"/>
          <w:rtl/>
        </w:rPr>
        <w:t xml:space="preserve"> </w:t>
      </w:r>
    </w:p>
    <w:p w14:paraId="13EDFDFB"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1) مرحلة تحديد الأهداف التسويقية للحملة</w:t>
      </w:r>
    </w:p>
    <w:p w14:paraId="2C353F6E"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تمثل هذه المرحلة نقطة الانطلاق الاستراتيجية للحملة؛ إذ يجري فيها تحديد ما الذي تسعى الحملة إلى تحقيقه (مثل زيادة الوعي، رفع التفاعل، تحسين التحويل، دعم المبيعات، أو تعزيز الولاء)، مع ترجمة ذلك إلى أهداف قابلة للقياس ضمن إطار زمني محدد. وتكمن أهميتها في أنها توجه القرارات اللاحقة المتعلقة بالجمهور، ونوع الرسائل، والقنوات، وطبيعة المحتوى، وآليات التقييم (</w:t>
      </w:r>
      <w:r>
        <w:rPr>
          <w:rFonts w:ascii="Simplified Arabic" w:hAnsi="Simplified Arabic" w:cs="Simplified Arabic"/>
        </w:rPr>
        <w:t>Sharabati et al., 2024</w:t>
      </w:r>
      <w:r>
        <w:rPr>
          <w:rFonts w:ascii="Simplified Arabic" w:hAnsi="Simplified Arabic" w:cs="Simplified Arabic"/>
          <w:rtl/>
        </w:rPr>
        <w:t>).</w:t>
      </w:r>
    </w:p>
    <w:p w14:paraId="11CF301D"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2) مرحلة تحليل الجمهور المستهدف</w:t>
      </w:r>
    </w:p>
    <w:p w14:paraId="54757125"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تأتي مرحلة تحليل الجمهور بوصفها المرحلة التي تُترجم فيها الأهداف إلى فهمٍ أعمق لمن تخاطبه الحملة. وتشمل هذه المرحلة عادةً تحديد الخصائص الديموغرافية والسلوكية والاهتمامات الرقمية، وتقدير دوافع الجمهور وتفضيلاته، وأنماط تفاعله مع المحتوى والمنصات. وتؤكد الدراسات الحديثة أن فعالية الحملات الرقمية ترتبط بدرجة كبيرة بمدى دقة هذا التحليل وقدرته على دعم التخصيص (</w:t>
      </w:r>
      <w:r>
        <w:rPr>
          <w:rFonts w:ascii="Simplified Arabic" w:hAnsi="Simplified Arabic" w:cs="Simplified Arabic"/>
        </w:rPr>
        <w:t>Mendoza et al., 2025</w:t>
      </w:r>
      <w:r>
        <w:rPr>
          <w:rFonts w:ascii="Simplified Arabic" w:hAnsi="Simplified Arabic" w:cs="Simplified Arabic"/>
          <w:rtl/>
        </w:rPr>
        <w:t>).</w:t>
      </w:r>
    </w:p>
    <w:p w14:paraId="38828384"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3) مرحلة اختيار القنوات والمنصات الرقمية</w:t>
      </w:r>
    </w:p>
    <w:p w14:paraId="01FC2816"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بعد تحديد الأهداف وتحليل الجمهور، تنتقل الحملة إلى مرحلة اختيار القنوات الرقمية المناسبة (مثل المنصات الاجتماعية، الإعلانات المدفوعة، البريد الإلكتروني، محركات البحث، أو المنصات المرئية). ويُفترض في هذه المرحلة أن تُبنى قرارات الاختيار على مواءمة بين: طبيعة الجمهور، وهدف الحملة، ونوع المحتوى، وطبيعة التفاعل المطلوب، والميزانية المتاحة (</w:t>
      </w:r>
      <w:r>
        <w:rPr>
          <w:rFonts w:ascii="Simplified Arabic" w:hAnsi="Simplified Arabic" w:cs="Simplified Arabic"/>
        </w:rPr>
        <w:t>Sharabati et al., 2024</w:t>
      </w:r>
      <w:r>
        <w:rPr>
          <w:rFonts w:ascii="Simplified Arabic" w:hAnsi="Simplified Arabic" w:cs="Simplified Arabic"/>
          <w:rtl/>
        </w:rPr>
        <w:t>).</w:t>
      </w:r>
    </w:p>
    <w:p w14:paraId="419A9242"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4) مرحلة إنشاء المحتوى وتصميم الرسائل الإبداعية</w:t>
      </w:r>
    </w:p>
    <w:p w14:paraId="61E9C5A5"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تمثل</w:t>
      </w:r>
      <w:r>
        <w:rPr>
          <w:rFonts w:ascii="Simplified Arabic" w:hAnsi="Simplified Arabic" w:cs="Simplified Arabic" w:hint="cs"/>
          <w:rtl/>
        </w:rPr>
        <w:t xml:space="preserve"> هذه المرحلة</w:t>
      </w:r>
      <w:r>
        <w:rPr>
          <w:rFonts w:ascii="Simplified Arabic" w:hAnsi="Simplified Arabic" w:cs="Simplified Arabic"/>
          <w:rtl/>
        </w:rPr>
        <w:t xml:space="preserve"> المجال الأكثر مباشرةً لتوظيف الذكاء الاصطناعي التوليدي. وفيها تُصاغ الرسائل الإعلانية، وتُبنى النسخ النصية، وتُصمم العناصر البصرية، وتُطوَّر صيغ المحتوى الملائمة لكل منصة، مع مراعاة هوية العلامة التجارية والجمهور المستهدف وأهداف الحملة (</w:t>
      </w:r>
      <w:r>
        <w:rPr>
          <w:rFonts w:ascii="Simplified Arabic" w:hAnsi="Simplified Arabic" w:cs="Simplified Arabic"/>
        </w:rPr>
        <w:t>Heitmann, 2024</w:t>
      </w:r>
      <w:r>
        <w:rPr>
          <w:rFonts w:ascii="Simplified Arabic" w:hAnsi="Simplified Arabic" w:cs="Simplified Arabic"/>
          <w:rtl/>
        </w:rPr>
        <w:t xml:space="preserve">؛ </w:t>
      </w:r>
      <w:r>
        <w:rPr>
          <w:rFonts w:ascii="Simplified Arabic" w:hAnsi="Simplified Arabic" w:cs="Simplified Arabic"/>
        </w:rPr>
        <w:t>Gujar &amp; Panyam, 2024</w:t>
      </w:r>
      <w:r>
        <w:rPr>
          <w:rFonts w:ascii="Simplified Arabic" w:hAnsi="Simplified Arabic" w:cs="Simplified Arabic"/>
          <w:rtl/>
        </w:rPr>
        <w:t>).</w:t>
      </w:r>
    </w:p>
    <w:p w14:paraId="60502959"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5) مرحلة التنفيذ والمتابعة والتقويم</w:t>
      </w:r>
    </w:p>
    <w:p w14:paraId="7E4F3670" w14:textId="77777777" w:rsidR="00A20BAB" w:rsidRDefault="00A20BAB" w:rsidP="007F6645">
      <w:pPr>
        <w:bidi/>
        <w:jc w:val="both"/>
        <w:rPr>
          <w:rFonts w:ascii="Simplified Arabic" w:hAnsi="Simplified Arabic" w:cs="Simplified Arabic"/>
          <w:rtl/>
        </w:rPr>
      </w:pPr>
      <w:r>
        <w:rPr>
          <w:rFonts w:ascii="Simplified Arabic" w:hAnsi="Simplified Arabic" w:cs="Simplified Arabic"/>
          <w:rtl/>
        </w:rPr>
        <w:t>لا يكتمل تصميم الحملة الرقمية بمجرد إنتاج المحتوى وإطلاقه؛ إذ تُعد مرحلة التنفيذ والمتابعة مرحلةً تشغيلية-تحليلية يتم فيها نشر الحملة، ومراقبة التفاعل، وقياس المؤشرات الأولية، وإجراء تعديلات مستمرة لتحسين النتائج أثناء سير الحملة. وتبرز هنا أهمية المرونة وسرعة الاستجابة في البيئات الرقمية، حيث تتغير أنماط التفاعل بسرعة وتتطلب قرارات تحسين متتابعة (</w:t>
      </w:r>
      <w:r>
        <w:rPr>
          <w:rFonts w:ascii="Simplified Arabic" w:hAnsi="Simplified Arabic" w:cs="Simplified Arabic"/>
        </w:rPr>
        <w:t>Islam et al., 2024</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 xml:space="preserve">وتتضمن هذه المرحلة – في التطبيق المهني – عمليات مثل: تتبع الأداء، ومراجعة الرسائل، واختبار البدائل، وإعادة توجيه الإنفاق أو المحتوى، بما يجعلها مرحلةً حاسمة في تحويل جودة التصميم إلى نتائج أداء ملموسة. </w:t>
      </w:r>
      <w:r>
        <w:rPr>
          <w:rFonts w:ascii="Simplified Arabic" w:hAnsi="Simplified Arabic" w:cs="Simplified Arabic" w:hint="cs"/>
          <w:rtl/>
        </w:rPr>
        <w:t xml:space="preserve"> </w:t>
      </w:r>
    </w:p>
    <w:p w14:paraId="600E1C2D" w14:textId="77777777" w:rsidR="007F6645" w:rsidRDefault="007F6645" w:rsidP="007F6645">
      <w:pPr>
        <w:bidi/>
        <w:jc w:val="both"/>
        <w:rPr>
          <w:rFonts w:ascii="Simplified Arabic" w:hAnsi="Simplified Arabic" w:cs="Simplified Arabic"/>
          <w:rtl/>
        </w:rPr>
      </w:pPr>
    </w:p>
    <w:p w14:paraId="177049D9" w14:textId="77777777" w:rsidR="007F6645" w:rsidRPr="00A20BAB" w:rsidRDefault="007F6645" w:rsidP="007F6645">
      <w:pPr>
        <w:bidi/>
        <w:jc w:val="both"/>
        <w:rPr>
          <w:rFonts w:ascii="Simplified Arabic" w:hAnsi="Simplified Arabic" w:cs="Simplified Arabic"/>
          <w:rtl/>
        </w:rPr>
      </w:pPr>
    </w:p>
    <w:p w14:paraId="3FE8513C" w14:textId="77777777" w:rsidR="00A20BAB" w:rsidRPr="00A20BAB" w:rsidRDefault="00A20BAB" w:rsidP="007F6645">
      <w:pPr>
        <w:bidi/>
        <w:jc w:val="both"/>
        <w:rPr>
          <w:rFonts w:ascii="Simplified Arabic" w:hAnsi="Simplified Arabic" w:cs="Simplified Arabic"/>
          <w:b/>
          <w:bCs/>
          <w:rtl/>
        </w:rPr>
      </w:pPr>
      <w:r>
        <w:rPr>
          <w:rFonts w:ascii="Simplified Arabic" w:hAnsi="Simplified Arabic" w:cs="Simplified Arabic" w:hint="cs"/>
          <w:b/>
          <w:bCs/>
          <w:rtl/>
        </w:rPr>
        <w:lastRenderedPageBreak/>
        <w:t xml:space="preserve">ثانياً: توضيح </w:t>
      </w:r>
      <w:r>
        <w:rPr>
          <w:rFonts w:ascii="Simplified Arabic" w:hAnsi="Simplified Arabic" w:cs="Simplified Arabic"/>
          <w:b/>
          <w:bCs/>
          <w:rtl/>
        </w:rPr>
        <w:t>كيف يمكن للذكاء الاصطناعي أن يدعم كل مرحلة</w:t>
      </w:r>
    </w:p>
    <w:p w14:paraId="4E815006"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بعد عرض المراحل الأساسية للحملة، يتضح أن الذكاء الاصطناعي التوليدي يمكن أن يدعم معظم مراحل التخطيط والتنفيذ بدرجات متفاوتة. والمقصود هنا دوره بوصفه أداة داعمة للتفكير والإنتاج والتحسين داخل سير عمل تقوده الخبرة التسويقية، لا بديلًا عن الفريق البشري (</w:t>
      </w:r>
      <w:r>
        <w:rPr>
          <w:rFonts w:ascii="Simplified Arabic" w:hAnsi="Simplified Arabic" w:cs="Simplified Arabic"/>
        </w:rPr>
        <w:t>Nguyen et al., 2025</w:t>
      </w:r>
      <w:r>
        <w:rPr>
          <w:rFonts w:ascii="Simplified Arabic" w:hAnsi="Simplified Arabic" w:cs="Simplified Arabic"/>
          <w:rtl/>
        </w:rPr>
        <w:t>).</w:t>
      </w:r>
    </w:p>
    <w:p w14:paraId="51E7DF3A"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1. دعم مرحلة تحديد الأهداف</w:t>
      </w:r>
    </w:p>
    <w:p w14:paraId="476BA73C"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يظهر الدعم هنا بصورة غير مباشرة، من خلال إعادة صياغة أهداف الحملة ورسائلها، وتلخيص متطلبات العميل أو المعطيات السوقية، واقتراح مؤشرات أولية للمتابعة؛ بما يساعد على تسريع مرحلة الصياغة والتوضيح وتقليل الغموض في بداية التخطيط (</w:t>
      </w:r>
      <w:r>
        <w:rPr>
          <w:rFonts w:ascii="Simplified Arabic" w:hAnsi="Simplified Arabic" w:cs="Simplified Arabic"/>
        </w:rPr>
        <w:t>Doshi et al., 2025</w:t>
      </w:r>
      <w:r>
        <w:rPr>
          <w:rFonts w:ascii="Simplified Arabic" w:hAnsi="Simplified Arabic" w:cs="Simplified Arabic"/>
          <w:rtl/>
        </w:rPr>
        <w:t>).</w:t>
      </w:r>
    </w:p>
    <w:p w14:paraId="07FB899C"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2. دعم مرحلة تحليل الجمهور المستهدف</w:t>
      </w:r>
    </w:p>
    <w:p w14:paraId="57DACCDC"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يمكن للذكاء الاصطناعي المساعدة في تلخيص الأنماط السلوكية، واقتراح شرائح أولية أو شخصيات افتراضية (</w:t>
      </w:r>
      <w:r>
        <w:rPr>
          <w:rFonts w:ascii="Simplified Arabic" w:hAnsi="Simplified Arabic" w:cs="Simplified Arabic"/>
        </w:rPr>
        <w:t>Personas</w:t>
      </w:r>
      <w:r>
        <w:rPr>
          <w:rFonts w:ascii="Simplified Arabic" w:hAnsi="Simplified Arabic" w:cs="Simplified Arabic"/>
          <w:rtl/>
        </w:rPr>
        <w:t>)، وتوليد رسائل مبدئية مخصصة لكل شريحة. وتزداد قيمة هذا الدعم مع تزايد أهمية التخصيص، مع بقاء جودة النتائج مشروطة بجودة البيانات والتحقق البشري (</w:t>
      </w:r>
      <w:r>
        <w:rPr>
          <w:rFonts w:ascii="Simplified Arabic" w:hAnsi="Simplified Arabic" w:cs="Simplified Arabic"/>
        </w:rPr>
        <w:t>Mendoza et al., 2025</w:t>
      </w:r>
      <w:r>
        <w:rPr>
          <w:rFonts w:ascii="Simplified Arabic" w:hAnsi="Simplified Arabic" w:cs="Simplified Arabic"/>
          <w:rtl/>
        </w:rPr>
        <w:t xml:space="preserve">؛ </w:t>
      </w:r>
      <w:r>
        <w:rPr>
          <w:rFonts w:ascii="Simplified Arabic" w:hAnsi="Simplified Arabic" w:cs="Simplified Arabic"/>
        </w:rPr>
        <w:t>Wang et al., 2025</w:t>
      </w:r>
      <w:r>
        <w:rPr>
          <w:rFonts w:ascii="Simplified Arabic" w:hAnsi="Simplified Arabic" w:cs="Simplified Arabic"/>
          <w:rtl/>
        </w:rPr>
        <w:t xml:space="preserve">؛ </w:t>
      </w:r>
      <w:r>
        <w:rPr>
          <w:rFonts w:ascii="Simplified Arabic" w:hAnsi="Simplified Arabic" w:cs="Simplified Arabic"/>
        </w:rPr>
        <w:t>SDAIA, 2024</w:t>
      </w:r>
      <w:r>
        <w:rPr>
          <w:rFonts w:ascii="Simplified Arabic" w:hAnsi="Simplified Arabic" w:cs="Simplified Arabic"/>
          <w:rtl/>
        </w:rPr>
        <w:t>).</w:t>
      </w:r>
    </w:p>
    <w:p w14:paraId="7FF1EDAF"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3. دعم مرحلة اختيار القنوات والمنصات</w:t>
      </w:r>
    </w:p>
    <w:p w14:paraId="7F3843A3"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يسهم الذكاء الاصطناعي التوليدي في إعداد مقارنات وصفية أولية بين القنوات، واقتراح تصورات مبدئية لتوزيع المحتوى، وإعادة تكييف الرسالة الأساسية وفق خصائص كل منصة. ويُحسن ذلك سرعة الإعداد واتساق الحملة، دون أن يغني عن الخبرة التسويقية وبيانات الأداء الفعلية (</w:t>
      </w:r>
      <w:r>
        <w:rPr>
          <w:rFonts w:ascii="Simplified Arabic" w:hAnsi="Simplified Arabic" w:cs="Simplified Arabic"/>
        </w:rPr>
        <w:t>Islam et al., 2024</w:t>
      </w:r>
      <w:r>
        <w:rPr>
          <w:rFonts w:ascii="Simplified Arabic" w:hAnsi="Simplified Arabic" w:cs="Simplified Arabic"/>
          <w:rtl/>
        </w:rPr>
        <w:t>).</w:t>
      </w:r>
    </w:p>
    <w:p w14:paraId="2C87C82A"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4. دعم مرحلة إنشاء المحتوى وتصميم الرسائل</w:t>
      </w:r>
    </w:p>
    <w:p w14:paraId="7016C826"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يمثل هذا المجال الاستخدام الأكثر مركزية للذكاء الاصطناعي التوليدي، ويتجلى في:</w:t>
      </w:r>
    </w:p>
    <w:p w14:paraId="3509524A" w14:textId="77777777" w:rsidR="00A20BAB" w:rsidRPr="00A20BAB" w:rsidRDefault="00A20BAB">
      <w:pPr>
        <w:numPr>
          <w:ilvl w:val="0"/>
          <w:numId w:val="11"/>
        </w:numPr>
        <w:bidi/>
        <w:jc w:val="both"/>
        <w:rPr>
          <w:rFonts w:ascii="Simplified Arabic" w:hAnsi="Simplified Arabic" w:cs="Simplified Arabic"/>
          <w:rtl/>
        </w:rPr>
      </w:pPr>
      <w:r>
        <w:rPr>
          <w:rFonts w:ascii="Simplified Arabic" w:hAnsi="Simplified Arabic" w:cs="Simplified Arabic"/>
          <w:rtl/>
        </w:rPr>
        <w:t>إنتاج النصوص التسويقية عبر توليد نسخ إعلانية وعناوين ورسائل متعددة (</w:t>
      </w:r>
      <w:r>
        <w:rPr>
          <w:rFonts w:ascii="Simplified Arabic" w:hAnsi="Simplified Arabic" w:cs="Simplified Arabic"/>
        </w:rPr>
        <w:t>Heitmann, 2024</w:t>
      </w:r>
      <w:r>
        <w:rPr>
          <w:rFonts w:ascii="Simplified Arabic" w:hAnsi="Simplified Arabic" w:cs="Simplified Arabic"/>
          <w:rtl/>
        </w:rPr>
        <w:t xml:space="preserve">؛ </w:t>
      </w:r>
      <w:r>
        <w:rPr>
          <w:rFonts w:ascii="Simplified Arabic" w:hAnsi="Simplified Arabic" w:cs="Simplified Arabic"/>
        </w:rPr>
        <w:t>Kshetri et al., 2023</w:t>
      </w:r>
      <w:r>
        <w:rPr>
          <w:rFonts w:ascii="Simplified Arabic" w:hAnsi="Simplified Arabic" w:cs="Simplified Arabic"/>
          <w:rtl/>
        </w:rPr>
        <w:t>).</w:t>
      </w:r>
    </w:p>
    <w:p w14:paraId="41A6BDB8" w14:textId="77777777" w:rsidR="00A20BAB" w:rsidRPr="00A20BAB" w:rsidRDefault="00A20BAB">
      <w:pPr>
        <w:numPr>
          <w:ilvl w:val="0"/>
          <w:numId w:val="11"/>
        </w:numPr>
        <w:bidi/>
        <w:jc w:val="both"/>
        <w:rPr>
          <w:rFonts w:ascii="Simplified Arabic" w:hAnsi="Simplified Arabic" w:cs="Simplified Arabic"/>
          <w:rtl/>
        </w:rPr>
      </w:pPr>
      <w:r>
        <w:rPr>
          <w:rFonts w:ascii="Simplified Arabic" w:hAnsi="Simplified Arabic" w:cs="Simplified Arabic"/>
          <w:rtl/>
        </w:rPr>
        <w:t>إنتاج العناصر البصرية عبر بناء تصورات أولية وبدائل تصميمية قابلة للمقارنة (</w:t>
      </w:r>
      <w:r>
        <w:rPr>
          <w:rFonts w:ascii="Simplified Arabic" w:hAnsi="Simplified Arabic" w:cs="Simplified Arabic"/>
        </w:rPr>
        <w:t>Dimitrieska, 2024</w:t>
      </w:r>
      <w:r>
        <w:rPr>
          <w:rFonts w:ascii="Simplified Arabic" w:hAnsi="Simplified Arabic" w:cs="Simplified Arabic"/>
          <w:rtl/>
        </w:rPr>
        <w:t xml:space="preserve">؛ </w:t>
      </w:r>
      <w:r>
        <w:rPr>
          <w:rFonts w:ascii="Simplified Arabic" w:hAnsi="Simplified Arabic" w:cs="Simplified Arabic"/>
        </w:rPr>
        <w:t>Gujar &amp; Panyam, 2024</w:t>
      </w:r>
      <w:r>
        <w:rPr>
          <w:rFonts w:ascii="Simplified Arabic" w:hAnsi="Simplified Arabic" w:cs="Simplified Arabic"/>
          <w:rtl/>
        </w:rPr>
        <w:t>).</w:t>
      </w:r>
    </w:p>
    <w:p w14:paraId="34C917B5" w14:textId="77777777" w:rsidR="00A20BAB" w:rsidRPr="00A20BAB" w:rsidRDefault="00A20BAB">
      <w:pPr>
        <w:numPr>
          <w:ilvl w:val="0"/>
          <w:numId w:val="11"/>
        </w:numPr>
        <w:bidi/>
        <w:jc w:val="both"/>
        <w:rPr>
          <w:rFonts w:ascii="Simplified Arabic" w:hAnsi="Simplified Arabic" w:cs="Simplified Arabic"/>
          <w:rtl/>
        </w:rPr>
      </w:pPr>
      <w:r>
        <w:rPr>
          <w:rFonts w:ascii="Simplified Arabic" w:hAnsi="Simplified Arabic" w:cs="Simplified Arabic"/>
          <w:rtl/>
        </w:rPr>
        <w:t>دعم التكامل الإبداعي عبر المنصات من خلال تكييف الرسالة نفسها بما يناسب خصائص كل قناة (</w:t>
      </w:r>
      <w:r>
        <w:rPr>
          <w:rFonts w:ascii="Simplified Arabic" w:hAnsi="Simplified Arabic" w:cs="Simplified Arabic"/>
        </w:rPr>
        <w:t>Kujore et al., 2025</w:t>
      </w:r>
      <w:r>
        <w:rPr>
          <w:rFonts w:ascii="Simplified Arabic" w:hAnsi="Simplified Arabic" w:cs="Simplified Arabic"/>
          <w:rtl/>
        </w:rPr>
        <w:t>).</w:t>
      </w:r>
    </w:p>
    <w:p w14:paraId="52D34EC5" w14:textId="7E17E68A" w:rsidR="007F6645" w:rsidRDefault="00A20BAB" w:rsidP="00E04FE4">
      <w:pPr>
        <w:bidi/>
        <w:jc w:val="both"/>
        <w:rPr>
          <w:rFonts w:ascii="Simplified Arabic" w:hAnsi="Simplified Arabic" w:cs="Simplified Arabic"/>
          <w:rtl/>
        </w:rPr>
      </w:pPr>
      <w:r>
        <w:rPr>
          <w:rFonts w:ascii="Simplified Arabic" w:hAnsi="Simplified Arabic" w:cs="Simplified Arabic"/>
          <w:rtl/>
        </w:rPr>
        <w:t>ومع ذلك، تظل جودة هذا الدعم مرتبطة بمهارة التوجيه والتحرير، مما يجعل هندسة التلقين والمراجعة البشرية عاملين حاكمين في جودة المخرجات النهائية (محيسن، مجاهد، &amp; بصبوص، 2025).</w:t>
      </w:r>
    </w:p>
    <w:p w14:paraId="1B7CE7EF" w14:textId="77777777" w:rsidR="00E04FE4" w:rsidRDefault="00E04FE4" w:rsidP="00E04FE4">
      <w:pPr>
        <w:bidi/>
        <w:jc w:val="both"/>
        <w:rPr>
          <w:rFonts w:ascii="Simplified Arabic" w:hAnsi="Simplified Arabic" w:cs="Simplified Arabic"/>
          <w:rtl/>
        </w:rPr>
      </w:pPr>
    </w:p>
    <w:p w14:paraId="55CF98EB" w14:textId="77777777" w:rsidR="00E04FE4" w:rsidRDefault="00E04FE4" w:rsidP="00E04FE4">
      <w:pPr>
        <w:bidi/>
        <w:jc w:val="both"/>
        <w:rPr>
          <w:rFonts w:ascii="Simplified Arabic" w:hAnsi="Simplified Arabic" w:cs="Simplified Arabic"/>
          <w:rtl/>
        </w:rPr>
      </w:pPr>
    </w:p>
    <w:p w14:paraId="28F1322C" w14:textId="77777777" w:rsidR="00E04FE4" w:rsidRPr="00A20BAB" w:rsidRDefault="00E04FE4" w:rsidP="00E04FE4">
      <w:pPr>
        <w:bidi/>
        <w:jc w:val="both"/>
        <w:rPr>
          <w:rFonts w:ascii="Simplified Arabic" w:hAnsi="Simplified Arabic" w:cs="Simplified Arabic"/>
          <w:rtl/>
        </w:rPr>
      </w:pPr>
    </w:p>
    <w:p w14:paraId="76B6F152"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lastRenderedPageBreak/>
        <w:t>5. دعم مرحلة التنفيذ والمتابعة والتحسين أثناء الحملة</w:t>
      </w:r>
    </w:p>
    <w:p w14:paraId="6354D57E" w14:textId="77777777" w:rsidR="00A20BAB" w:rsidRDefault="00A20BAB" w:rsidP="007F6645">
      <w:pPr>
        <w:bidi/>
        <w:jc w:val="both"/>
        <w:rPr>
          <w:rFonts w:ascii="Simplified Arabic" w:hAnsi="Simplified Arabic" w:cs="Simplified Arabic"/>
          <w:rtl/>
        </w:rPr>
      </w:pPr>
      <w:r>
        <w:rPr>
          <w:rFonts w:ascii="Simplified Arabic" w:hAnsi="Simplified Arabic" w:cs="Simplified Arabic"/>
          <w:rtl/>
        </w:rPr>
        <w:t>يمكن أن يمتد دور الذكاء الاصطناعي التوليدي إلى ما بعد الإطلاق عبر تسريع التعديلات، واقتراح بدائل للمحتوى أو الرسائل استجابةً للنتائج المرحلية، والمساعدة في تلخيص مؤشرات الأداء الأولية لدعم قرارات التحسين، خاصة في الحملات التي تتطلب استجابة سريعة وتعديلًا مستمرًا (</w:t>
      </w:r>
      <w:r>
        <w:rPr>
          <w:rFonts w:ascii="Simplified Arabic" w:hAnsi="Simplified Arabic" w:cs="Simplified Arabic"/>
        </w:rPr>
        <w:t>IAB Tech Lab, 2024</w:t>
      </w:r>
      <w:r>
        <w:rPr>
          <w:rFonts w:ascii="Simplified Arabic" w:hAnsi="Simplified Arabic" w:cs="Simplified Arabic"/>
          <w:rtl/>
        </w:rPr>
        <w:t xml:space="preserve">؛ </w:t>
      </w:r>
      <w:r>
        <w:rPr>
          <w:rFonts w:ascii="Simplified Arabic" w:hAnsi="Simplified Arabic" w:cs="Simplified Arabic"/>
        </w:rPr>
        <w:t>Nguyen et al., 2025</w:t>
      </w:r>
      <w:r>
        <w:rPr>
          <w:rFonts w:ascii="Simplified Arabic" w:hAnsi="Simplified Arabic" w:cs="Simplified Arabic"/>
          <w:rtl/>
        </w:rPr>
        <w:t>).</w:t>
      </w:r>
    </w:p>
    <w:p w14:paraId="00B6EA53" w14:textId="77777777" w:rsidR="007F6645" w:rsidRPr="00A20BAB" w:rsidRDefault="007F6645" w:rsidP="007F6645">
      <w:pPr>
        <w:bidi/>
        <w:jc w:val="both"/>
        <w:rPr>
          <w:rFonts w:ascii="Simplified Arabic" w:hAnsi="Simplified Arabic" w:cs="Simplified Arabic"/>
          <w:rtl/>
        </w:rPr>
      </w:pPr>
    </w:p>
    <w:p w14:paraId="488F229B" w14:textId="77777777" w:rsidR="00A20BAB" w:rsidRPr="00A20BAB" w:rsidRDefault="00A20BAB" w:rsidP="007F6645">
      <w:pPr>
        <w:bidi/>
        <w:jc w:val="both"/>
        <w:rPr>
          <w:rFonts w:ascii="Simplified Arabic" w:hAnsi="Simplified Arabic" w:cs="Simplified Arabic"/>
          <w:b/>
          <w:bCs/>
          <w:rtl/>
        </w:rPr>
      </w:pPr>
      <w:r>
        <w:rPr>
          <w:rFonts w:ascii="Simplified Arabic" w:hAnsi="Simplified Arabic" w:cs="Simplified Arabic"/>
          <w:b/>
          <w:bCs/>
          <w:rtl/>
        </w:rPr>
        <w:t>المطلب الثالث: دور الذكاء الاصطناعي التوليدي في تصميم الحملات</w:t>
      </w:r>
    </w:p>
    <w:p w14:paraId="362F7A5D" w14:textId="77777777" w:rsidR="00A20BAB" w:rsidRPr="00A20BAB" w:rsidRDefault="00A20BAB" w:rsidP="007F6645">
      <w:pPr>
        <w:bidi/>
        <w:jc w:val="both"/>
        <w:rPr>
          <w:rFonts w:ascii="Simplified Arabic" w:hAnsi="Simplified Arabic" w:cs="Simplified Arabic"/>
          <w:b/>
          <w:bCs/>
          <w:rtl/>
        </w:rPr>
      </w:pPr>
      <w:r>
        <w:rPr>
          <w:rFonts w:ascii="Simplified Arabic" w:hAnsi="Simplified Arabic" w:cs="Simplified Arabic"/>
          <w:b/>
          <w:bCs/>
          <w:rtl/>
        </w:rPr>
        <w:t>أولًا: أفرع تطبيق الذكاء الاصطناعي التوليدي في تصميم الحملات</w:t>
      </w:r>
    </w:p>
    <w:p w14:paraId="56760465"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1) توليد النصوص التسويقية</w:t>
      </w:r>
    </w:p>
    <w:p w14:paraId="089382E4"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تُستخدم النماذج اللغوية الكبيرة في كتابة النسخ الإعلانية، وصياغة العناوين، وإعداد أوصاف المنتجات، وتطوير رسائل الحملات عبر المنصات المختلفة. وتكمن أهميتها في أنها تمنح فريق الحملة قدرة أعلى على إنتاج صيغ متعددة بسرعة، بدلًا من الاكتفاء بعدد محدود من النسخ الناتجة عن ضغط الوقت أو الموارد (</w:t>
      </w:r>
      <w:r>
        <w:rPr>
          <w:rFonts w:ascii="Simplified Arabic" w:hAnsi="Simplified Arabic" w:cs="Simplified Arabic"/>
        </w:rPr>
        <w:t>Islam et al., 2024</w:t>
      </w:r>
      <w:r>
        <w:rPr>
          <w:rFonts w:ascii="Simplified Arabic" w:hAnsi="Simplified Arabic" w:cs="Simplified Arabic"/>
          <w:rtl/>
        </w:rPr>
        <w:t>). كما أن الأدبيات التسويقية تشير إلى أن هذه القدرة على “تكثير البدائل” تُحسن فرص الوصول إلى صياغة أكثر ملاءمة للجمهور والسياق عند اقترانها بمراجعة تحريرية جيدة (</w:t>
      </w:r>
      <w:r>
        <w:rPr>
          <w:rFonts w:ascii="Simplified Arabic" w:hAnsi="Simplified Arabic" w:cs="Simplified Arabic"/>
        </w:rPr>
        <w:t>Kshetri et al., 2023</w:t>
      </w:r>
      <w:r>
        <w:rPr>
          <w:rFonts w:ascii="Simplified Arabic" w:hAnsi="Simplified Arabic" w:cs="Simplified Arabic"/>
          <w:rtl/>
        </w:rPr>
        <w:t>).</w:t>
      </w:r>
      <w:r>
        <w:rPr>
          <w:rFonts w:ascii="Simplified Arabic" w:hAnsi="Simplified Arabic" w:cs="Simplified Arabic" w:hint="cs"/>
          <w:rtl/>
        </w:rPr>
        <w:t xml:space="preserve"> </w:t>
      </w:r>
    </w:p>
    <w:p w14:paraId="1E112365"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وفي البيئة العربية، يكتسب هذا الاستخدام أهمية إضافية بسبب حساسية الصياغة اللغوية ونبرة الخطاب التسويقي، الأمر الذي يجعل جودة التوجيه والتحرير البشري عنصرًا حاسمًا في الاستفادة من المخرجات. وفي هذا الإطار، أوضحت دراسة محيسن ومجاهد وبصبوص (2025) أن هندسة التلقين تؤثر في جودة المحتوى التسويقي العربي الناتج عن أدوات الذكاء الاصطناعي التوليدي</w:t>
      </w:r>
      <w:r>
        <w:rPr>
          <w:rFonts w:ascii="Simplified Arabic" w:hAnsi="Simplified Arabic" w:cs="Simplified Arabic" w:hint="cs"/>
          <w:rtl/>
        </w:rPr>
        <w:t>.</w:t>
      </w:r>
    </w:p>
    <w:p w14:paraId="1287A6DF"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2) توليد الصور والتصاميم الإعلانية</w:t>
      </w:r>
    </w:p>
    <w:p w14:paraId="79196FEE"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يسهم الذكاء الاصطناعي التوليدي في إنتاج تصورات بصرية وصور وتصاميم أولية للحملة اعتمادًا على أوصاف نصية أو توجيهات تصميمية محددة. ويُعد هذا الدور مهمًا في مرحلة بناء الهوية البصرية للحملة أو اختبار بدائل متعددة للرسالة المرئية قبل اعتماد النسخة النهائية (</w:t>
      </w:r>
      <w:r>
        <w:rPr>
          <w:rFonts w:ascii="Simplified Arabic" w:hAnsi="Simplified Arabic" w:cs="Simplified Arabic"/>
        </w:rPr>
        <w:t>Dimitrieska, 2024</w:t>
      </w:r>
      <w:r>
        <w:rPr>
          <w:rFonts w:ascii="Simplified Arabic" w:hAnsi="Simplified Arabic" w:cs="Simplified Arabic"/>
          <w:rtl/>
        </w:rPr>
        <w:t>). كما تساعد الأدوات البصرية التوليدية على تسريع إنتاج النماذج الأولية (</w:t>
      </w:r>
      <w:r>
        <w:rPr>
          <w:rFonts w:ascii="Simplified Arabic" w:hAnsi="Simplified Arabic" w:cs="Simplified Arabic"/>
        </w:rPr>
        <w:t>Mockups</w:t>
      </w:r>
      <w:r>
        <w:rPr>
          <w:rFonts w:ascii="Simplified Arabic" w:hAnsi="Simplified Arabic" w:cs="Simplified Arabic"/>
          <w:rtl/>
        </w:rPr>
        <w:t>) وتوسيع مساحة التجريب الإبداعي، وهو ما يُعد ذا قيمة خاصة في الحملات الرقمية التي تتطلب تحديثًا مستمرًا وتكييفًا بصريًا عبر منصات مختلفة (</w:t>
      </w:r>
      <w:r>
        <w:rPr>
          <w:rFonts w:ascii="Simplified Arabic" w:hAnsi="Simplified Arabic" w:cs="Simplified Arabic"/>
        </w:rPr>
        <w:t>Gujar &amp; Panyam, 2024</w:t>
      </w:r>
      <w:r>
        <w:rPr>
          <w:rFonts w:ascii="Simplified Arabic" w:hAnsi="Simplified Arabic" w:cs="Simplified Arabic"/>
          <w:rtl/>
        </w:rPr>
        <w:t>).</w:t>
      </w:r>
    </w:p>
    <w:p w14:paraId="5FE80322"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ومن منظور ا</w:t>
      </w:r>
      <w:r>
        <w:rPr>
          <w:rFonts w:ascii="Simplified Arabic" w:hAnsi="Simplified Arabic" w:cs="Simplified Arabic" w:hint="cs"/>
          <w:rtl/>
        </w:rPr>
        <w:t>لباحث</w:t>
      </w:r>
      <w:r>
        <w:rPr>
          <w:rFonts w:ascii="Simplified Arabic" w:hAnsi="Simplified Arabic" w:cs="Simplified Arabic"/>
          <w:rtl/>
        </w:rPr>
        <w:t>، لا تكمن أهمية هذا الدور في السرعة فقط، بل في أثره المحتمل على جودة التصميم الإبداعي البصري من حيث التنوع، والاتساق، وقابلية المقارنة بين البدائل. فكلما تمكن الفريق من اختبار بدائل أكثر ضمن وقت مناسب، زادت فرص اختيار مخرج بصري أكثر توافقًا مع هدف الحملة والجمهور المستهدف (</w:t>
      </w:r>
      <w:r>
        <w:rPr>
          <w:rFonts w:ascii="Simplified Arabic" w:hAnsi="Simplified Arabic" w:cs="Simplified Arabic"/>
        </w:rPr>
        <w:t>Heitmann, 2024</w:t>
      </w:r>
      <w:r>
        <w:rPr>
          <w:rFonts w:ascii="Simplified Arabic" w:hAnsi="Simplified Arabic" w:cs="Simplified Arabic"/>
          <w:rtl/>
        </w:rPr>
        <w:t>).</w:t>
      </w:r>
    </w:p>
    <w:p w14:paraId="62CD0AFD"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3) دعم إنتاج الفيديوهات التسويقية والمحتوى متعدد الوسائط</w:t>
      </w:r>
    </w:p>
    <w:p w14:paraId="6F2B6B5E"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رغم تفاوت مستوى نضج أدوات الفيديو التوليدي مقارنة بالنص والصورة، فإن الأدبيات الحديثة تؤكد تصاعد دور الذكاء الاصطناعي التوليدي في دعم المحتوى متعدد الوسائط، سواء عبر توليد سيناريوهات إعلانية، أو اقتراح لقطات ومشاهد، أو المساعدة في تحويل الفكرة التسويقية إلى مخرجات أكثر تكاملًا عبر النص والصورة والصوت (</w:t>
      </w:r>
      <w:r>
        <w:rPr>
          <w:rFonts w:ascii="Simplified Arabic" w:hAnsi="Simplified Arabic" w:cs="Simplified Arabic"/>
        </w:rPr>
        <w:t>Kujore et al., 2025</w:t>
      </w:r>
      <w:r>
        <w:rPr>
          <w:rFonts w:ascii="Simplified Arabic" w:hAnsi="Simplified Arabic" w:cs="Simplified Arabic"/>
          <w:rtl/>
        </w:rPr>
        <w:t xml:space="preserve">). </w:t>
      </w:r>
      <w:r>
        <w:rPr>
          <w:rFonts w:ascii="Simplified Arabic" w:hAnsi="Simplified Arabic" w:cs="Simplified Arabic"/>
          <w:rtl/>
        </w:rPr>
        <w:lastRenderedPageBreak/>
        <w:t>ويكتسب هذا البعد أهمية خاصة في الحملات الرقمية الحديثة التي تعتمد على المحتوى القصير والمتجدد والموجّه لمنصات متعددة.</w:t>
      </w:r>
    </w:p>
    <w:p w14:paraId="6FC2DEB8" w14:textId="77777777" w:rsidR="00A20BAB" w:rsidRPr="00A20BAB" w:rsidRDefault="00A20BAB" w:rsidP="007F6645">
      <w:pPr>
        <w:bidi/>
        <w:jc w:val="both"/>
        <w:rPr>
          <w:rFonts w:ascii="Simplified Arabic" w:hAnsi="Simplified Arabic" w:cs="Simplified Arabic"/>
          <w:b/>
          <w:bCs/>
          <w:rtl/>
        </w:rPr>
      </w:pPr>
      <w:r>
        <w:rPr>
          <w:rFonts w:ascii="Simplified Arabic" w:hAnsi="Simplified Arabic" w:cs="Simplified Arabic"/>
          <w:b/>
          <w:bCs/>
          <w:rtl/>
        </w:rPr>
        <w:t>ثانيًا: التخصيص الدقيق للمحتوى واستهداف الجمهور المناسب</w:t>
      </w:r>
    </w:p>
    <w:p w14:paraId="21E73680"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يُعد التخصيص من أبرز مصادر القيمة الاستراتيجية للذكاء الاصطناعي التوليدي في تصميم الحملات؛ لأن البيئة الرقمية تتجه نحو رسائل متعددة تُصاغ بحسب الشرائح والسياقات والمنصات، بدلًا من الرسائل الموحدة. وتوضح الأدبيات أن التقنية تدعم ذلك عبر إنتاج نسخ متعددة من الرسالة نفسها مع الحفاظ على الفكرة الأساسية والهوية العامة للحملة (</w:t>
      </w:r>
      <w:r>
        <w:rPr>
          <w:rFonts w:ascii="Simplified Arabic" w:hAnsi="Simplified Arabic" w:cs="Simplified Arabic"/>
        </w:rPr>
        <w:t>Mendoza et al., 2025</w:t>
      </w:r>
      <w:r>
        <w:rPr>
          <w:rFonts w:ascii="Simplified Arabic" w:hAnsi="Simplified Arabic" w:cs="Simplified Arabic"/>
          <w:rtl/>
        </w:rPr>
        <w:t>).</w:t>
      </w:r>
    </w:p>
    <w:p w14:paraId="3E229781"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ويتجلى هذا الدور في ثلاث وظائف مترابطة:</w:t>
      </w:r>
    </w:p>
    <w:p w14:paraId="501B02E2" w14:textId="77777777" w:rsidR="00A20BAB" w:rsidRPr="00A20BAB" w:rsidRDefault="00A20BAB">
      <w:pPr>
        <w:numPr>
          <w:ilvl w:val="0"/>
          <w:numId w:val="9"/>
        </w:numPr>
        <w:bidi/>
        <w:jc w:val="both"/>
        <w:rPr>
          <w:rFonts w:ascii="Simplified Arabic" w:hAnsi="Simplified Arabic" w:cs="Simplified Arabic"/>
          <w:rtl/>
        </w:rPr>
      </w:pPr>
      <w:r>
        <w:rPr>
          <w:rFonts w:ascii="Simplified Arabic" w:hAnsi="Simplified Arabic" w:cs="Simplified Arabic"/>
          <w:rtl/>
        </w:rPr>
        <w:t>إعادة صياغة الرسائل بحسب الشريحة المستهدفة بما يراعي الاهتمامات والدوافع ونبرة الخطاب المناسبة (</w:t>
      </w:r>
      <w:r>
        <w:rPr>
          <w:rFonts w:ascii="Simplified Arabic" w:hAnsi="Simplified Arabic" w:cs="Simplified Arabic"/>
        </w:rPr>
        <w:t>Wang et al., 2025</w:t>
      </w:r>
      <w:r>
        <w:rPr>
          <w:rFonts w:ascii="Simplified Arabic" w:hAnsi="Simplified Arabic" w:cs="Simplified Arabic"/>
          <w:rtl/>
        </w:rPr>
        <w:t>).</w:t>
      </w:r>
    </w:p>
    <w:p w14:paraId="374A7BD5" w14:textId="77777777" w:rsidR="00A20BAB" w:rsidRPr="00A20BAB" w:rsidRDefault="00A20BAB">
      <w:pPr>
        <w:numPr>
          <w:ilvl w:val="0"/>
          <w:numId w:val="9"/>
        </w:numPr>
        <w:bidi/>
        <w:jc w:val="both"/>
        <w:rPr>
          <w:rFonts w:ascii="Simplified Arabic" w:hAnsi="Simplified Arabic" w:cs="Simplified Arabic"/>
          <w:rtl/>
        </w:rPr>
      </w:pPr>
      <w:r>
        <w:rPr>
          <w:rFonts w:ascii="Simplified Arabic" w:hAnsi="Simplified Arabic" w:cs="Simplified Arabic"/>
          <w:rtl/>
        </w:rPr>
        <w:t>تكييف المحتوى بحسب المنصة الرقمية مع تعديل الطول والصياغة والإيقاع وفق خصائص كل قناة (</w:t>
      </w:r>
      <w:r>
        <w:rPr>
          <w:rFonts w:ascii="Simplified Arabic" w:hAnsi="Simplified Arabic" w:cs="Simplified Arabic"/>
        </w:rPr>
        <w:t>Islam et al., 2024</w:t>
      </w:r>
      <w:r>
        <w:rPr>
          <w:rFonts w:ascii="Simplified Arabic" w:hAnsi="Simplified Arabic" w:cs="Simplified Arabic"/>
          <w:rtl/>
        </w:rPr>
        <w:t>).</w:t>
      </w:r>
    </w:p>
    <w:p w14:paraId="3F7D6B27" w14:textId="77777777" w:rsidR="00A20BAB" w:rsidRPr="00A20BAB" w:rsidRDefault="00A20BAB">
      <w:pPr>
        <w:numPr>
          <w:ilvl w:val="0"/>
          <w:numId w:val="9"/>
        </w:numPr>
        <w:bidi/>
        <w:jc w:val="both"/>
        <w:rPr>
          <w:rFonts w:ascii="Simplified Arabic" w:hAnsi="Simplified Arabic" w:cs="Simplified Arabic"/>
          <w:rtl/>
        </w:rPr>
      </w:pPr>
      <w:r>
        <w:rPr>
          <w:rFonts w:ascii="Simplified Arabic" w:hAnsi="Simplified Arabic" w:cs="Simplified Arabic"/>
          <w:rtl/>
        </w:rPr>
        <w:t>تسريع إنتاج بدائل اختبارية للتخصيص بما يدعم التجريب والتحسين المستمر أثناء الحملة (</w:t>
      </w:r>
      <w:r>
        <w:rPr>
          <w:rFonts w:ascii="Simplified Arabic" w:hAnsi="Simplified Arabic" w:cs="Simplified Arabic"/>
        </w:rPr>
        <w:t>Kshetri et al., 2023</w:t>
      </w:r>
      <w:r>
        <w:rPr>
          <w:rFonts w:ascii="Simplified Arabic" w:hAnsi="Simplified Arabic" w:cs="Simplified Arabic"/>
          <w:rtl/>
        </w:rPr>
        <w:t>).</w:t>
      </w:r>
    </w:p>
    <w:p w14:paraId="498489AA"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ومع ذلك، تبقى فعالية التخصيص مشروطة بجودة البيانات ودقة فهم الجمهور والمراجعة البشرية للملاءمة، خاصة في البيئات الحساسة ثقافيًا وتنظيميًا (</w:t>
      </w:r>
      <w:r>
        <w:rPr>
          <w:rFonts w:ascii="Simplified Arabic" w:hAnsi="Simplified Arabic" w:cs="Simplified Arabic"/>
        </w:rPr>
        <w:t>SDAIA, 2024</w:t>
      </w:r>
      <w:r>
        <w:rPr>
          <w:rFonts w:ascii="Simplified Arabic" w:hAnsi="Simplified Arabic" w:cs="Simplified Arabic"/>
          <w:rtl/>
        </w:rPr>
        <w:t>).</w:t>
      </w:r>
    </w:p>
    <w:p w14:paraId="7CA21812" w14:textId="77777777" w:rsidR="00A20BAB" w:rsidRPr="00A20BAB" w:rsidRDefault="00A20BAB" w:rsidP="007F6645">
      <w:pPr>
        <w:bidi/>
        <w:jc w:val="both"/>
        <w:rPr>
          <w:rFonts w:ascii="Simplified Arabic" w:hAnsi="Simplified Arabic" w:cs="Simplified Arabic"/>
          <w:b/>
          <w:bCs/>
          <w:rtl/>
        </w:rPr>
      </w:pPr>
      <w:r>
        <w:rPr>
          <w:rFonts w:ascii="Simplified Arabic" w:hAnsi="Simplified Arabic" w:cs="Simplified Arabic"/>
          <w:b/>
          <w:bCs/>
          <w:rtl/>
        </w:rPr>
        <w:t>ثالثًا: تحليل البيانات الضخمة وتحسين القرارات أثناء الحملة</w:t>
      </w:r>
    </w:p>
    <w:p w14:paraId="71825828"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على الرغم من أن الذكاء الاصطناعي التوليدي يرتبط أساسًا بوظيفة الإنتاج، فإنه يمكن أن يدعم القرارات أثناء تنفيذ الحملة عند استخدامه بالتكامل مع بيانات الأداء المرحلية. وتؤكد الأدبيات أن القيمة العملية للتقنية ترتفع عندما تُستخدم لإنتاج محتوى موجّه بالبيانات يخدم قرارات التحسين أثناء الحملة (</w:t>
      </w:r>
      <w:r>
        <w:rPr>
          <w:rFonts w:ascii="Simplified Arabic" w:hAnsi="Simplified Arabic" w:cs="Simplified Arabic"/>
        </w:rPr>
        <w:t>Islam et al., 2024</w:t>
      </w:r>
      <w:r>
        <w:rPr>
          <w:rFonts w:ascii="Simplified Arabic" w:hAnsi="Simplified Arabic" w:cs="Simplified Arabic"/>
          <w:rtl/>
        </w:rPr>
        <w:t>).</w:t>
      </w:r>
    </w:p>
    <w:p w14:paraId="307CECD8"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ويظهر هذا الدور في ثلاثة مستويات رئيسة:</w:t>
      </w:r>
    </w:p>
    <w:p w14:paraId="4396ED1D" w14:textId="77777777" w:rsidR="00A20BAB" w:rsidRPr="00A20BAB" w:rsidRDefault="00A20BAB">
      <w:pPr>
        <w:numPr>
          <w:ilvl w:val="0"/>
          <w:numId w:val="10"/>
        </w:numPr>
        <w:bidi/>
        <w:jc w:val="both"/>
        <w:rPr>
          <w:rFonts w:ascii="Simplified Arabic" w:hAnsi="Simplified Arabic" w:cs="Simplified Arabic"/>
          <w:rtl/>
        </w:rPr>
      </w:pPr>
      <w:r>
        <w:rPr>
          <w:rFonts w:ascii="Simplified Arabic" w:hAnsi="Simplified Arabic" w:cs="Simplified Arabic"/>
          <w:rtl/>
        </w:rPr>
        <w:t>تلخيص المعطيات وتحويلها إلى رؤى قابلة للاستخدام لدعم سرعة الفهم واتخاذ القرار داخل الفريق، دون أن يحل محل أدوات التحليل الإحصائي المتخصصة (</w:t>
      </w:r>
      <w:r>
        <w:rPr>
          <w:rFonts w:ascii="Simplified Arabic" w:hAnsi="Simplified Arabic" w:cs="Simplified Arabic"/>
        </w:rPr>
        <w:t>Doshi et al., 2025</w:t>
      </w:r>
      <w:r>
        <w:rPr>
          <w:rFonts w:ascii="Simplified Arabic" w:hAnsi="Simplified Arabic" w:cs="Simplified Arabic"/>
          <w:rtl/>
        </w:rPr>
        <w:t>).</w:t>
      </w:r>
    </w:p>
    <w:p w14:paraId="101358CA" w14:textId="77777777" w:rsidR="00A20BAB" w:rsidRPr="00A20BAB" w:rsidRDefault="00A20BAB">
      <w:pPr>
        <w:numPr>
          <w:ilvl w:val="0"/>
          <w:numId w:val="10"/>
        </w:numPr>
        <w:bidi/>
        <w:jc w:val="both"/>
        <w:rPr>
          <w:rFonts w:ascii="Simplified Arabic" w:hAnsi="Simplified Arabic" w:cs="Simplified Arabic"/>
          <w:rtl/>
        </w:rPr>
      </w:pPr>
      <w:r>
        <w:rPr>
          <w:rFonts w:ascii="Simplified Arabic" w:hAnsi="Simplified Arabic" w:cs="Simplified Arabic"/>
          <w:rtl/>
        </w:rPr>
        <w:t>اقتراح بدائل تحسين أثناء التنفيذ عند ضعف أداء رسالة أو عنصر بصري، بما يعزز مرونة الاستجابة (</w:t>
      </w:r>
      <w:r>
        <w:rPr>
          <w:rFonts w:ascii="Simplified Arabic" w:hAnsi="Simplified Arabic" w:cs="Simplified Arabic"/>
        </w:rPr>
        <w:t>Heitmann, 2024</w:t>
      </w:r>
      <w:r>
        <w:rPr>
          <w:rFonts w:ascii="Simplified Arabic" w:hAnsi="Simplified Arabic" w:cs="Simplified Arabic"/>
          <w:rtl/>
        </w:rPr>
        <w:t>).</w:t>
      </w:r>
    </w:p>
    <w:p w14:paraId="5141FC66" w14:textId="77777777" w:rsidR="00A20BAB" w:rsidRDefault="00A20BAB">
      <w:pPr>
        <w:numPr>
          <w:ilvl w:val="0"/>
          <w:numId w:val="10"/>
        </w:numPr>
        <w:bidi/>
        <w:jc w:val="both"/>
        <w:rPr>
          <w:rFonts w:ascii="Simplified Arabic" w:hAnsi="Simplified Arabic" w:cs="Simplified Arabic"/>
        </w:rPr>
      </w:pPr>
      <w:r>
        <w:rPr>
          <w:rFonts w:ascii="Simplified Arabic" w:hAnsi="Simplified Arabic" w:cs="Simplified Arabic"/>
          <w:rtl/>
        </w:rPr>
        <w:t>دعم المفاضلة بين الخيارات تحت ضغط الوقت عبر توليد صيغ وسيناريوهات بديلة تساعد على اتخاذ قرار أكثر وعيًا ضمن إطار مراجعة واعتماد منظم (</w:t>
      </w:r>
      <w:r>
        <w:rPr>
          <w:rFonts w:ascii="Simplified Arabic" w:hAnsi="Simplified Arabic" w:cs="Simplified Arabic"/>
        </w:rPr>
        <w:t>Doshi et al., 2025</w:t>
      </w:r>
      <w:r>
        <w:rPr>
          <w:rFonts w:ascii="Simplified Arabic" w:hAnsi="Simplified Arabic" w:cs="Simplified Arabic"/>
          <w:rtl/>
        </w:rPr>
        <w:t xml:space="preserve">؛ </w:t>
      </w:r>
      <w:r>
        <w:rPr>
          <w:rFonts w:ascii="Simplified Arabic" w:hAnsi="Simplified Arabic" w:cs="Simplified Arabic"/>
        </w:rPr>
        <w:t>Nguyen et al., 2025</w:t>
      </w:r>
      <w:r>
        <w:rPr>
          <w:rFonts w:ascii="Simplified Arabic" w:hAnsi="Simplified Arabic" w:cs="Simplified Arabic"/>
          <w:rtl/>
        </w:rPr>
        <w:t>).</w:t>
      </w:r>
    </w:p>
    <w:p w14:paraId="54C37392" w14:textId="77777777" w:rsidR="00E04FE4" w:rsidRDefault="00E04FE4" w:rsidP="00E04FE4">
      <w:pPr>
        <w:bidi/>
        <w:jc w:val="both"/>
        <w:rPr>
          <w:rFonts w:ascii="Simplified Arabic" w:hAnsi="Simplified Arabic" w:cs="Simplified Arabic"/>
          <w:rtl/>
        </w:rPr>
      </w:pPr>
    </w:p>
    <w:p w14:paraId="46FD8CCE" w14:textId="77777777" w:rsidR="00E04FE4" w:rsidRPr="00A20BAB" w:rsidRDefault="00E04FE4" w:rsidP="00E04FE4">
      <w:pPr>
        <w:bidi/>
        <w:jc w:val="both"/>
        <w:rPr>
          <w:rFonts w:ascii="Simplified Arabic" w:hAnsi="Simplified Arabic" w:cs="Simplified Arabic"/>
          <w:rtl/>
        </w:rPr>
      </w:pPr>
    </w:p>
    <w:p w14:paraId="6B7CA5AD" w14:textId="77777777" w:rsidR="00A20BAB" w:rsidRPr="00A20BAB" w:rsidRDefault="00A20BAB" w:rsidP="007F6645">
      <w:pPr>
        <w:bidi/>
        <w:jc w:val="both"/>
        <w:rPr>
          <w:rFonts w:ascii="Simplified Arabic" w:hAnsi="Simplified Arabic" w:cs="Simplified Arabic"/>
          <w:b/>
          <w:bCs/>
          <w:rtl/>
        </w:rPr>
      </w:pPr>
      <w:r>
        <w:rPr>
          <w:rFonts w:ascii="Simplified Arabic" w:hAnsi="Simplified Arabic" w:cs="Simplified Arabic"/>
          <w:b/>
          <w:bCs/>
          <w:rtl/>
        </w:rPr>
        <w:lastRenderedPageBreak/>
        <w:t>المطلب الرابع: التحديات والأخلاقيات</w:t>
      </w:r>
    </w:p>
    <w:p w14:paraId="27ECC8C6" w14:textId="77777777" w:rsidR="00A20BAB" w:rsidRPr="00A20BAB" w:rsidRDefault="00A20BAB" w:rsidP="007F6645">
      <w:pPr>
        <w:bidi/>
        <w:jc w:val="both"/>
        <w:rPr>
          <w:rFonts w:ascii="Simplified Arabic" w:hAnsi="Simplified Arabic" w:cs="Simplified Arabic"/>
          <w:b/>
          <w:bCs/>
          <w:rtl/>
        </w:rPr>
      </w:pPr>
      <w:r>
        <w:rPr>
          <w:rFonts w:ascii="Simplified Arabic" w:hAnsi="Simplified Arabic" w:cs="Simplified Arabic"/>
          <w:b/>
          <w:bCs/>
          <w:rtl/>
        </w:rPr>
        <w:t>أولًا: التحديات التشغيلية والفنية في توظيف الذكاء الاصطناعي التوليدي</w:t>
      </w:r>
    </w:p>
    <w:p w14:paraId="41DF0F33"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1) جودة البيانات ومدى ملاءمتها</w:t>
      </w:r>
    </w:p>
    <w:p w14:paraId="2556E501"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تبدأ كثير من مشكلات الاستخدام الفعلي للذكاء الاصطناعي التوليدي من نقطة قد تبدو غير ظاهرة للوهلة الأولى، وهي جودة البيانات. فالأداة قد تكون قادرة على إنتاج مخرجات لغوية أو بصرية مقنعة شكليًا، لكن فاعلية تلك المخرجات تسويقيًا تبقى مرتبطة بمدى صحة البيانات التي بُني عليها فهم الجمهور والسوق والسياق. وتشير الأدبيات إلى أن ضعف البيانات أو عدم تمثيلها الجيد للجمهور المستهدف ينعكس على جودة التخصيص وملاءمة الرسائل، وقد يؤدي إلى محتوى يبدو جيد الصياغة لكنه محدود الجدوى التسويقية (</w:t>
      </w:r>
      <w:r>
        <w:rPr>
          <w:rFonts w:ascii="Simplified Arabic" w:hAnsi="Simplified Arabic" w:cs="Simplified Arabic"/>
        </w:rPr>
        <w:t>Mendoza et al., 2025</w:t>
      </w:r>
      <w:r>
        <w:rPr>
          <w:rFonts w:ascii="Simplified Arabic" w:hAnsi="Simplified Arabic" w:cs="Simplified Arabic"/>
          <w:rtl/>
        </w:rPr>
        <w:t>).</w:t>
      </w:r>
    </w:p>
    <w:p w14:paraId="119C2A2A"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2) تفاوت جودة المخرجات والحاجة إلى المراجعة البشرية</w:t>
      </w:r>
    </w:p>
    <w:p w14:paraId="2F0A35B8"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رغم التطور الملحوظ في قدرات الأدوات التوليدية، فإن مخرجاتها لا تتسم بالثبات النوعي في جميع الحالات. فقد تنتج نصوصًا جيدة في صياغتها العامة لكنها لا تعكس نبرة العلامة التجارية بدقة، أو تُنتج تصورات بصرية جذابة ولكنها غير مناسبة للاستخدام المهني المباشر، أو تتضمن مبالغة/غموضًا في الرسالة. لهذا تؤكد الأدبيات المهنية أن أفضل نتائج الاستخدام تتحقق عندما تعمل الأدوات التوليدية ضمن دورة إنتاج تتضمن التوجيه، والمراجعة، والتحرير، والاعتماد البشري، لا عندما تُستخدم بوصفها بديلًا كاملًا عن الفريق الإبداعي (</w:t>
      </w:r>
      <w:r>
        <w:rPr>
          <w:rFonts w:ascii="Simplified Arabic" w:hAnsi="Simplified Arabic" w:cs="Simplified Arabic"/>
        </w:rPr>
        <w:t>Heitmann, 2024</w:t>
      </w:r>
      <w:r>
        <w:rPr>
          <w:rFonts w:ascii="Simplified Arabic" w:hAnsi="Simplified Arabic" w:cs="Simplified Arabic"/>
          <w:rtl/>
        </w:rPr>
        <w:t xml:space="preserve">؛ </w:t>
      </w:r>
      <w:r>
        <w:rPr>
          <w:rFonts w:ascii="Simplified Arabic" w:hAnsi="Simplified Arabic" w:cs="Simplified Arabic"/>
        </w:rPr>
        <w:t>IAB Tech Lab, 2024</w:t>
      </w:r>
      <w:r>
        <w:rPr>
          <w:rFonts w:ascii="Simplified Arabic" w:hAnsi="Simplified Arabic" w:cs="Simplified Arabic"/>
          <w:rtl/>
        </w:rPr>
        <w:t>).</w:t>
      </w:r>
    </w:p>
    <w:p w14:paraId="35BBB0FB"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3) التكلفة الكلية للتبني والدمج التشغيلي</w:t>
      </w:r>
    </w:p>
    <w:p w14:paraId="7C815E8D"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يُطرح الذكاء الاصطناعي التوليدي أحيانًا في الخطاب المهني بوصفه أداةً لخفض التكاليف، غير أن هذا الطرح يحتاج إلى قدر من الدقة التحليلية. صحيح أن بعض مهام إنتاج المحتوى الأولي قد تصبح أقل تكلفة زمنية وتشغيلية، لكن التبني المؤسسي الفعلي يضيف أنواعًا أخرى من التكاليف، مثل تكلفة الاشتراكات والأدوات، والتدريب، وإعادة تنظيم سير العمل، وتخصيص وقت للمراجعة البشرية والاعتماد، وبناء سياسات استخدام داخلية (</w:t>
      </w:r>
      <w:r>
        <w:rPr>
          <w:rFonts w:ascii="Simplified Arabic" w:hAnsi="Simplified Arabic" w:cs="Simplified Arabic"/>
        </w:rPr>
        <w:t>Nuremberg Institute for Market Decisions, 2024</w:t>
      </w:r>
      <w:r>
        <w:rPr>
          <w:rFonts w:ascii="Simplified Arabic" w:hAnsi="Simplified Arabic" w:cs="Simplified Arabic"/>
          <w:rtl/>
        </w:rPr>
        <w:t>).</w:t>
      </w:r>
    </w:p>
    <w:p w14:paraId="0A155178"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4) صعوبات التكامل مع سير العمل والأنظمة القائمة</w:t>
      </w:r>
    </w:p>
    <w:p w14:paraId="6EE32103"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من الناحية التطبيقية، لا تتحقق القيمة الكاملة للأدوات التوليدية بمجرد توفرها، بل عندما تُدمج في سير العمل اليومي بصورة واضحة ومنظمة. وهنا تظهر صعوبة متكررة في كثير من البيئات المهنية: من يستخدم الأداة؟ وفي أي مرحلة؟ وما حدود التوليد الآلي؟ ومن المسؤول عن المراجعة؟ وكيف تُدمج المخرجات مع أدوات التصميم والتحليل وإدارة الحملات المعتمدة داخل الوكالة؟ وتشير الأدبيات إلى أن نجاح دمج الذكاء الاصطناعي في فرق التسويق يرتبط بدرجة نضج التعاون بين الإنسان والأداة، ووضوح أدوار العمل ومسارات الاعتماد (</w:t>
      </w:r>
      <w:r>
        <w:rPr>
          <w:rFonts w:ascii="Simplified Arabic" w:hAnsi="Simplified Arabic" w:cs="Simplified Arabic"/>
        </w:rPr>
        <w:t>Nguyen et al., 2025</w:t>
      </w:r>
      <w:r>
        <w:rPr>
          <w:rFonts w:ascii="Simplified Arabic" w:hAnsi="Simplified Arabic" w:cs="Simplified Arabic"/>
          <w:rtl/>
        </w:rPr>
        <w:t>).</w:t>
      </w:r>
    </w:p>
    <w:p w14:paraId="1A7667AE" w14:textId="77777777" w:rsidR="00A20BAB" w:rsidRPr="00A20BAB" w:rsidRDefault="00A20BAB" w:rsidP="007F6645">
      <w:pPr>
        <w:bidi/>
        <w:jc w:val="both"/>
        <w:rPr>
          <w:rFonts w:ascii="Simplified Arabic" w:hAnsi="Simplified Arabic" w:cs="Simplified Arabic"/>
          <w:b/>
          <w:bCs/>
          <w:rtl/>
        </w:rPr>
      </w:pPr>
      <w:r>
        <w:rPr>
          <w:rFonts w:ascii="Simplified Arabic" w:hAnsi="Simplified Arabic" w:cs="Simplified Arabic"/>
          <w:b/>
          <w:bCs/>
          <w:rtl/>
        </w:rPr>
        <w:t>ثانيًا: الأبعاد الأخلاقية في استخدام الذكاء الاصطناعي التوليدي بالحملات التسويقية</w:t>
      </w:r>
    </w:p>
    <w:p w14:paraId="4B742DCA"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1) الخصوصية وأمن البيانات</w:t>
      </w:r>
    </w:p>
    <w:p w14:paraId="430D8556"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 xml:space="preserve">تزداد حساسية الخصوصية وأمن البيانات في التسويق الرقمي عند استخدام أدوات ذكاء اصطناعي توليدي، خاصة إذا استُخدمت أدوات خارجية أو سحابية في معالجة مدخلات تتعلق بالجمهور أو الحملات. ولذلك تؤكد الإرشادات على ضبط </w:t>
      </w:r>
      <w:r>
        <w:rPr>
          <w:rFonts w:ascii="Simplified Arabic" w:hAnsi="Simplified Arabic" w:cs="Simplified Arabic"/>
          <w:rtl/>
        </w:rPr>
        <w:lastRenderedPageBreak/>
        <w:t>حدود البيانات المستخدمة وآليات إدخالها وسياسات الحماية والمراجعة (الهيئة السعودية للبيانات والذكاء الاصطناعي [سدايا]، 2024).</w:t>
      </w:r>
    </w:p>
    <w:p w14:paraId="78C0FDBE"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2) الملكية الفكرية وحقوق المحتوى</w:t>
      </w:r>
    </w:p>
    <w:p w14:paraId="1ED3697F"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يثير الذكاء الاصطناعي التوليدي أسئلة عملية حول ملكية المخرجات وحدود استخدامها التجاري، خاصة في المحتوى الإبداعي المرتبط بالعلامة التجارية والهوية البصرية. ومن ثم، يتطلب الاستخدام المسؤول التعامل مع المخرجات التوليدية بوصفها مواد تحتاج إلى تدقيق مهني—وقانوني عند اللزوم—قبل النشر (</w:t>
      </w:r>
      <w:r>
        <w:rPr>
          <w:rFonts w:ascii="Simplified Arabic" w:hAnsi="Simplified Arabic" w:cs="Simplified Arabic"/>
        </w:rPr>
        <w:t>Dwivedi et al., 2023</w:t>
      </w:r>
      <w:r>
        <w:rPr>
          <w:rFonts w:ascii="Simplified Arabic" w:hAnsi="Simplified Arabic" w:cs="Simplified Arabic"/>
          <w:rtl/>
        </w:rPr>
        <w:t>).</w:t>
      </w:r>
    </w:p>
    <w:p w14:paraId="2F82F033"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3) التحيز والعدالة في المخرجات التسويقية</w:t>
      </w:r>
    </w:p>
    <w:p w14:paraId="4D459DCF"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قد تعكس المخرجات التوليدية تحيزات كامنة في البيانات أو في أنماط التوليد، وهو ما قد يظهر في تمثيل غير متوازن لفئات الجمهور أو رسائل لا تراعي التنوع الثقافي والاجتماعي. لذلك تؤكد الأدلة المهنية ضرورة مراجعة المخرجات وتطبيق إجراءات تخفيف التحيز قبل الاستخدام التجاري (</w:t>
      </w:r>
      <w:r>
        <w:rPr>
          <w:rFonts w:ascii="Simplified Arabic" w:hAnsi="Simplified Arabic" w:cs="Simplified Arabic"/>
        </w:rPr>
        <w:t>IAB Tech Lab, 2024</w:t>
      </w:r>
      <w:r>
        <w:rPr>
          <w:rFonts w:ascii="Simplified Arabic" w:hAnsi="Simplified Arabic" w:cs="Simplified Arabic"/>
          <w:rtl/>
        </w:rPr>
        <w:t>). وتزداد أهمية ذلك في السياق السعودي بما يتطلبه من مواءمة للقيم والسياق المحلي (</w:t>
      </w:r>
      <w:r>
        <w:rPr>
          <w:rFonts w:ascii="Simplified Arabic" w:hAnsi="Simplified Arabic" w:cs="Simplified Arabic"/>
        </w:rPr>
        <w:t>SDAIA, 2024</w:t>
      </w:r>
      <w:r>
        <w:rPr>
          <w:rFonts w:ascii="Simplified Arabic" w:hAnsi="Simplified Arabic" w:cs="Simplified Arabic"/>
          <w:rtl/>
        </w:rPr>
        <w:t>).</w:t>
      </w:r>
    </w:p>
    <w:p w14:paraId="02C3DA68"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4) الشفافية والمساءلة عن المحتوى المنشور</w:t>
      </w:r>
    </w:p>
    <w:p w14:paraId="2E9E70D8"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تؤكد الأدبيات أن المسؤولية عن المخرج النهائي تقع على الجهة التي تعتمد وتنشر المحتوى، لا على الأداة ذاتها؛ لذا تصبح الشفافية في إجراءات الإنتاج والمراجعة، ووضوح خطوط الاعتماد داخل الفريق، من متطلبات الاستخدام المهني الرشيد، فضلًا عن دورها في حماية الثقة المؤسسية وتقليل مخاطر إساءة الاستخدام (</w:t>
      </w:r>
      <w:r>
        <w:rPr>
          <w:rFonts w:ascii="Simplified Arabic" w:hAnsi="Simplified Arabic" w:cs="Simplified Arabic"/>
        </w:rPr>
        <w:t>Dwivedi et al., 2023</w:t>
      </w:r>
      <w:r>
        <w:rPr>
          <w:rFonts w:ascii="Simplified Arabic" w:hAnsi="Simplified Arabic" w:cs="Simplified Arabic"/>
          <w:rtl/>
        </w:rPr>
        <w:t>).</w:t>
      </w:r>
    </w:p>
    <w:p w14:paraId="0F5BD6A1" w14:textId="77777777" w:rsidR="00A20BAB" w:rsidRPr="00A20BAB" w:rsidRDefault="00A20BAB" w:rsidP="007F6645">
      <w:pPr>
        <w:bidi/>
        <w:jc w:val="both"/>
        <w:rPr>
          <w:rFonts w:ascii="Simplified Arabic" w:hAnsi="Simplified Arabic" w:cs="Simplified Arabic"/>
          <w:b/>
          <w:bCs/>
          <w:rtl/>
        </w:rPr>
      </w:pPr>
      <w:r>
        <w:rPr>
          <w:rFonts w:ascii="Simplified Arabic" w:hAnsi="Simplified Arabic" w:cs="Simplified Arabic"/>
          <w:b/>
          <w:bCs/>
          <w:rtl/>
        </w:rPr>
        <w:t>ثالثًا: التوازن بين الكفاءة والضبط الأخلاقي في تصميم الحملات</w:t>
      </w:r>
    </w:p>
    <w:p w14:paraId="5145A5E5" w14:textId="77777777" w:rsidR="00A20BAB" w:rsidRPr="00A20BAB" w:rsidRDefault="00A20BAB" w:rsidP="007F6645">
      <w:pPr>
        <w:bidi/>
        <w:jc w:val="both"/>
        <w:rPr>
          <w:rFonts w:ascii="Simplified Arabic" w:hAnsi="Simplified Arabic" w:cs="Simplified Arabic"/>
          <w:rtl/>
        </w:rPr>
      </w:pPr>
      <w:r>
        <w:rPr>
          <w:rFonts w:ascii="Simplified Arabic" w:hAnsi="Simplified Arabic" w:cs="Simplified Arabic"/>
          <w:rtl/>
        </w:rPr>
        <w:t>تكشف الأدبيات أن التحدي الحقيقي لا يتمثل في الاختيار بين تبني الذكاء الاصطناعي التوليدي أو رفضه، بل في إدارة التوازن بين كفاءة التشغيل وسرعة الإنتاج من جهة، وبين الضبط الأخلاقي والتنظيمي وجودة المراجعة من جهة أخرى. فالاستخدام غير المنضبط قد يحقق سرعة ظاهرية، لكنه يرفع مخاطر الأخطاء وعدم الاتساق والضرر السمعة، بينما يتيح الاستخدام المنظم تحويل التقنية إلى قيمة تسويقية أكثر استقرارًا واستدامة (</w:t>
      </w:r>
      <w:r>
        <w:rPr>
          <w:rFonts w:ascii="Simplified Arabic" w:hAnsi="Simplified Arabic" w:cs="Simplified Arabic"/>
        </w:rPr>
        <w:t>Kshetri et al., 2023</w:t>
      </w:r>
      <w:r>
        <w:rPr>
          <w:rFonts w:ascii="Simplified Arabic" w:hAnsi="Simplified Arabic" w:cs="Simplified Arabic"/>
          <w:rtl/>
        </w:rPr>
        <w:t xml:space="preserve">؛ </w:t>
      </w:r>
      <w:r>
        <w:rPr>
          <w:rFonts w:ascii="Simplified Arabic" w:hAnsi="Simplified Arabic" w:cs="Simplified Arabic"/>
        </w:rPr>
        <w:t>IAB Tech Lab, 2024</w:t>
      </w:r>
      <w:r>
        <w:rPr>
          <w:rFonts w:ascii="Simplified Arabic" w:hAnsi="Simplified Arabic" w:cs="Simplified Arabic"/>
          <w:rtl/>
        </w:rPr>
        <w:t>).</w:t>
      </w:r>
    </w:p>
    <w:p w14:paraId="77FA2000" w14:textId="77777777" w:rsidR="00A20BAB" w:rsidRDefault="00A20BAB" w:rsidP="007F6645">
      <w:pPr>
        <w:bidi/>
        <w:jc w:val="both"/>
        <w:rPr>
          <w:rFonts w:ascii="Simplified Arabic" w:hAnsi="Simplified Arabic" w:cs="Simplified Arabic"/>
          <w:rtl/>
        </w:rPr>
      </w:pPr>
      <w:r>
        <w:rPr>
          <w:rFonts w:ascii="Simplified Arabic" w:hAnsi="Simplified Arabic" w:cs="Simplified Arabic"/>
          <w:rtl/>
        </w:rPr>
        <w:t>وفي هذا السياق، تُعد المراجعة البشرية، والتحقق من الملاءمة الثقافية، وضبط استخدام البيانات، وتوثيق إجراءات الاعتماد شروطًا مؤسسية لتحسين جودة التوظيف، لا عوائق أمام الاستفادة من التقنية، وهو ما تؤكده أيضًا الإرشادات الوطنية الخاصة بالاستخدام المسؤول والعادل لتطبيقات الذكاء الاصطناعي التوليدي (</w:t>
      </w:r>
      <w:r>
        <w:rPr>
          <w:rFonts w:ascii="Simplified Arabic" w:hAnsi="Simplified Arabic" w:cs="Simplified Arabic"/>
        </w:rPr>
        <w:t>SDAIA, 2024</w:t>
      </w:r>
      <w:r>
        <w:rPr>
          <w:rFonts w:ascii="Simplified Arabic" w:hAnsi="Simplified Arabic" w:cs="Simplified Arabic"/>
          <w:rtl/>
        </w:rPr>
        <w:t>).</w:t>
      </w:r>
    </w:p>
    <w:p w14:paraId="764C2DC7" w14:textId="77777777" w:rsidR="00E04FE4" w:rsidRDefault="00E04FE4" w:rsidP="00E04FE4">
      <w:pPr>
        <w:bidi/>
        <w:jc w:val="both"/>
        <w:rPr>
          <w:rFonts w:ascii="Simplified Arabic" w:hAnsi="Simplified Arabic" w:cs="Simplified Arabic"/>
          <w:rtl/>
        </w:rPr>
      </w:pPr>
    </w:p>
    <w:p w14:paraId="1938A051" w14:textId="77777777" w:rsidR="00E04FE4" w:rsidRPr="00E04FE4" w:rsidRDefault="00E04FE4" w:rsidP="00915B55">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t>المبحث الثاني: الدوافع والعوائق لتبني الذكاء الاصطناعي في وكالات التسويق السعودية</w:t>
      </w:r>
    </w:p>
    <w:p w14:paraId="2C6B04FE" w14:textId="77777777" w:rsidR="00E04FE4" w:rsidRPr="00E04FE4" w:rsidRDefault="00E04FE4" w:rsidP="00E04FE4">
      <w:pPr>
        <w:bidi/>
        <w:jc w:val="both"/>
        <w:rPr>
          <w:rFonts w:ascii="Simplified Arabic" w:hAnsi="Simplified Arabic" w:cs="Simplified Arabic"/>
          <w:b/>
          <w:bCs/>
          <w:rtl/>
        </w:rPr>
      </w:pPr>
      <w:r>
        <w:rPr>
          <w:rFonts w:ascii="Simplified Arabic" w:hAnsi="Simplified Arabic" w:cs="Simplified Arabic"/>
          <w:b/>
          <w:bCs/>
          <w:rtl/>
        </w:rPr>
        <w:t>المطلب الأول: دوافع التبني</w:t>
      </w:r>
    </w:p>
    <w:p w14:paraId="20AB40C8" w14:textId="77777777" w:rsidR="00E04FE4" w:rsidRPr="00E04FE4" w:rsidRDefault="00E04FE4" w:rsidP="00E04FE4">
      <w:pPr>
        <w:bidi/>
        <w:jc w:val="both"/>
        <w:rPr>
          <w:rFonts w:ascii="Simplified Arabic" w:hAnsi="Simplified Arabic" w:cs="Simplified Arabic"/>
          <w:b/>
          <w:bCs/>
          <w:rtl/>
        </w:rPr>
      </w:pPr>
      <w:r>
        <w:rPr>
          <w:rFonts w:ascii="Simplified Arabic" w:hAnsi="Simplified Arabic" w:cs="Simplified Arabic"/>
          <w:b/>
          <w:bCs/>
          <w:rtl/>
        </w:rPr>
        <w:t>أولًا: دافع تحسين الكفاءة التشغيلية وتسريع الإنجاز</w:t>
      </w:r>
    </w:p>
    <w:p w14:paraId="64E0F2D6"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lastRenderedPageBreak/>
        <w:t>يُعد تحسين الكفاءة التشغيلية من أكثر دوافع التبني ظهورًا في البيئات التسويقية، لأن عمل الوكالات يقوم على إدارة مهام متزامنة تتطلب إنتاجًا سريعًا للمحتوى، وتعديلات متكررة، وتنسيقًا بين فرق متعددة (كتابة، تصميم، إدارة حملات، تحليل أداء). وفي هذا السياق، تتيح تطبيقات الذكاء الاصطناعي—وخاصة التوليدية—تقليص الوقت اللازم لإنجاز المهام الأولية، مثل إعداد النسخ الأولى من المحتوى، وتوليد بدائل إبداعية، وصياغة رسائل متعددة للمنصات المختلفة، وهو ما يعزز سرعة دورة العمل داخل الوكالة (</w:t>
      </w:r>
      <w:r>
        <w:rPr>
          <w:rFonts w:ascii="Simplified Arabic" w:hAnsi="Simplified Arabic" w:cs="Simplified Arabic"/>
        </w:rPr>
        <w:t>Heitmann, 2024</w:t>
      </w:r>
      <w:r>
        <w:rPr>
          <w:rFonts w:ascii="Simplified Arabic" w:hAnsi="Simplified Arabic" w:cs="Simplified Arabic"/>
          <w:rtl/>
        </w:rPr>
        <w:t>).</w:t>
      </w:r>
    </w:p>
    <w:p w14:paraId="24D0EA73"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ولا تقتصر الكفاءة هنا على “السرعة” بمعناها الزمني فقط، بل تشمل أيضًا رفع إنتاجية الفريق وتوسيع قدرته على التعامل مع عدد أكبر من البدائل والمشروعات ضمن الموارد نفسها. وتؤكد الأدبيات في التسويق المدعوم بالذكاء الاصطناعي أن المنظمات التي توظف الأدوات بآلية منظمة تستطيع تحسين انسيابية العمل وتقليل الاختناقات التشغيلية في مراحل التصميم والتحرير والتحسين (</w:t>
      </w:r>
      <w:r>
        <w:rPr>
          <w:rFonts w:ascii="Simplified Arabic" w:hAnsi="Simplified Arabic" w:cs="Simplified Arabic"/>
        </w:rPr>
        <w:t>Kshetri et al., 2023</w:t>
      </w:r>
      <w:r>
        <w:rPr>
          <w:rFonts w:ascii="Simplified Arabic" w:hAnsi="Simplified Arabic" w:cs="Simplified Arabic"/>
          <w:rtl/>
        </w:rPr>
        <w:t>). وهذا الدافع يكتسب أهمية خاصة في الوكالات التسويقية السعودية التي تعمل في سوق سريع النمو وتزايد الطلب فيه على الحملات الرقمية متعددة القنوات.</w:t>
      </w:r>
    </w:p>
    <w:p w14:paraId="7DBF12BE"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كما تُظهر الدراسات العربية ذات الصلة أن توظيف تطبيقات الذكاء الاصطناعي يرتبط بتحسين الأداء ورفع كفاءة الأنشطة التسويقية في البيئات التطبيقية، وهو ما يدعم منطقيًا اعتبار “تحسين الكفاءة” دافعًا محوريًا للتبني داخل الوكالات (سماكة &amp; اللهيبي، 2024؛ الأسدودي، 2023).</w:t>
      </w:r>
    </w:p>
    <w:p w14:paraId="263F027A" w14:textId="77777777" w:rsidR="00E04FE4" w:rsidRPr="00E04FE4" w:rsidRDefault="00E04FE4" w:rsidP="00E04FE4">
      <w:pPr>
        <w:bidi/>
        <w:jc w:val="both"/>
        <w:rPr>
          <w:rFonts w:ascii="Simplified Arabic" w:hAnsi="Simplified Arabic" w:cs="Simplified Arabic"/>
          <w:b/>
          <w:bCs/>
          <w:rtl/>
        </w:rPr>
      </w:pPr>
      <w:r>
        <w:rPr>
          <w:rFonts w:ascii="Simplified Arabic" w:hAnsi="Simplified Arabic" w:cs="Simplified Arabic"/>
          <w:b/>
          <w:bCs/>
          <w:rtl/>
        </w:rPr>
        <w:t>ثانيًا: دافع خفض التكاليف وإعادة توزيع الموارد</w:t>
      </w:r>
    </w:p>
    <w:p w14:paraId="5A4EDB1C"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يُعد خفض التكاليف من الدوافع المتداولة بقوة في الخطاب المهني حول الذكاء الاصطناعي، لكنه—في السياق الأكاديمي—يحتاج إلى صياغة أدق. فالدافع هنا لا يعني بالضرورة انخفاضًا مباشرًا ومطلقًا في التكلفة الكلية، وإنما كثيرًا ما يتمثل في إعادة توزيع الموارد وتقليل كلفة بعض المهام التكرارية أو الأولية، بما يسمح بتوجيه الوقت والجهد البشري نحو المهام الأعلى قيمة، مثل التوجيه الاستراتيجي، والتحرير الإبداعي، وإدارة العلاقة مع العميل (</w:t>
      </w:r>
      <w:r>
        <w:rPr>
          <w:rFonts w:ascii="Simplified Arabic" w:hAnsi="Simplified Arabic" w:cs="Simplified Arabic"/>
        </w:rPr>
        <w:t>Nuremberg Institute for Market Decisions, 2024</w:t>
      </w:r>
      <w:r>
        <w:rPr>
          <w:rFonts w:ascii="Simplified Arabic" w:hAnsi="Simplified Arabic" w:cs="Simplified Arabic"/>
          <w:rtl/>
        </w:rPr>
        <w:t>).</w:t>
      </w:r>
    </w:p>
    <w:p w14:paraId="1E38A461"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وفي بيئة الوكالات، يظهر هذا الدافع عندما تساعد الأدوات التوليدية على تسريع إنتاج النسخ الأولية للنصوص والتصاميم، وتقليل الزمن المستغرق في بعض الأعمال الروتينية، وتقليص تكلفة التعديلات المتكررة في المراحل الأولى من تطوير الحملة. ومع ذلك، فإن الأدبيات الحديثة تنبه إلى أن هذا “الخفض” يرتبط بقدرة الوكالة على إدارة التبني بفاعلية؛ لأن الأدوات نفسها قد تفرض تكاليف تدريب واشتراك وحوكمة ومراجعة إذا لم يُحسن تنظيم استخدامها (</w:t>
      </w:r>
      <w:r>
        <w:rPr>
          <w:rFonts w:ascii="Simplified Arabic" w:hAnsi="Simplified Arabic" w:cs="Simplified Arabic"/>
        </w:rPr>
        <w:t>Heitmann, 2024</w:t>
      </w:r>
      <w:r>
        <w:rPr>
          <w:rFonts w:ascii="Simplified Arabic" w:hAnsi="Simplified Arabic" w:cs="Simplified Arabic"/>
          <w:rtl/>
        </w:rPr>
        <w:t>).</w:t>
      </w:r>
    </w:p>
    <w:p w14:paraId="7E06E398" w14:textId="77777777" w:rsidR="00E04FE4" w:rsidRPr="00E04FE4" w:rsidRDefault="00E04FE4" w:rsidP="00E04FE4">
      <w:pPr>
        <w:bidi/>
        <w:jc w:val="both"/>
        <w:rPr>
          <w:rFonts w:ascii="Simplified Arabic" w:hAnsi="Simplified Arabic" w:cs="Simplified Arabic"/>
          <w:b/>
          <w:bCs/>
          <w:rtl/>
        </w:rPr>
      </w:pPr>
      <w:r>
        <w:rPr>
          <w:rFonts w:ascii="Simplified Arabic" w:hAnsi="Simplified Arabic" w:cs="Simplified Arabic"/>
          <w:b/>
          <w:bCs/>
          <w:rtl/>
        </w:rPr>
        <w:t>ثالثًا: دافع زيادة القدرة على التخصيص وتحسين ملاءمة الرسائل</w:t>
      </w:r>
    </w:p>
    <w:p w14:paraId="69562D8F"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يمثل التخصيص أحد أقوى دوافع التبني في التسويق الرقمي المعاصر، لأن الأسواق الرقمية أصبحت أقل استجابة للرسائل العامة وأكثر تفاعلًا مع المحتوى الذي يعكس احتياجات الجمهور وسياقه وتفضيلاته. وتُظهر الأدبيات أن الذكاء الاصطناعي—وعلى نحو خاص الذكاء الاصطناعي التوليدي—يمنح المؤسسات قدرة أعلى على إنتاج رسائل متعددة ونسخ متنوعة من المحتوى، بما يدعم بناء حملات أكثر تخصيصًا على مستوى الشرائح أو حتى الأفراد في بعض التطبيقات (</w:t>
      </w:r>
      <w:r>
        <w:rPr>
          <w:rFonts w:ascii="Simplified Arabic" w:hAnsi="Simplified Arabic" w:cs="Simplified Arabic"/>
        </w:rPr>
        <w:t>Mendoza et al., 2025</w:t>
      </w:r>
      <w:r>
        <w:rPr>
          <w:rFonts w:ascii="Simplified Arabic" w:hAnsi="Simplified Arabic" w:cs="Simplified Arabic"/>
          <w:rtl/>
        </w:rPr>
        <w:t>).</w:t>
      </w:r>
    </w:p>
    <w:p w14:paraId="2A1EC428"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 xml:space="preserve">وفي هذا الإطار، لا يُفهم التخصيص فقط بوصفه تغييرًا لغويًا في الرسالة، بل بوصفه قدرة على مواءمة عناصر الحملة (النص، والصورة، وتوقيت النشر، وصيغة العرض) مع خصائص الجمهور والمنصة. وهذا ما يجعل الذكاء الاصطناعي </w:t>
      </w:r>
      <w:r>
        <w:rPr>
          <w:rFonts w:ascii="Simplified Arabic" w:hAnsi="Simplified Arabic" w:cs="Simplified Arabic"/>
          <w:rtl/>
        </w:rPr>
        <w:lastRenderedPageBreak/>
        <w:t>التوليدي جذابًا لوكالات التسويق التي تدير حملات لعملاء متنوعين وتحتاج إلى إنتاج محتوى متمايز دون مضاعفة الجهد بصورة خطية (</w:t>
      </w:r>
      <w:r>
        <w:rPr>
          <w:rFonts w:ascii="Simplified Arabic" w:hAnsi="Simplified Arabic" w:cs="Simplified Arabic"/>
        </w:rPr>
        <w:t>Islam et al., 2024</w:t>
      </w:r>
      <w:r>
        <w:rPr>
          <w:rFonts w:ascii="Simplified Arabic" w:hAnsi="Simplified Arabic" w:cs="Simplified Arabic"/>
          <w:rtl/>
        </w:rPr>
        <w:t>).</w:t>
      </w:r>
    </w:p>
    <w:p w14:paraId="7957FA02"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 xml:space="preserve">ويكتسب هذا الدافع أهمية إضافية في السوق السعودي، حيث تشير المناقشات والتقارير إلى تصاعد الاتجاه نحو التسويق الأكثر فردية واعتمادًا على البيانات، بدلًا من الحملات العامة الموحدة، وهو ما يزيد من القيمة العملية للأدوات التي تدعم التخصيص السريع والمنظم (رمضان، 2025؛ الهيئة السعودية للبيانات والذكاء الاصطناعي [سدايا]، 2024). كما أن دراسة </w:t>
      </w:r>
      <w:r>
        <w:rPr>
          <w:rFonts w:ascii="Simplified Arabic" w:hAnsi="Simplified Arabic" w:cs="Simplified Arabic"/>
        </w:rPr>
        <w:t>Beyari</w:t>
      </w:r>
      <w:r>
        <w:rPr>
          <w:rFonts w:ascii="Simplified Arabic" w:hAnsi="Simplified Arabic" w:cs="Simplified Arabic"/>
          <w:rtl/>
        </w:rPr>
        <w:t xml:space="preserve"> (2025) حول أثر الذكاء الاصطناعي في الولاء الإلكتروني بالسوق السعودي تدعم أهمية هذا المسار؛ إذ إن تحسين ملاءمة التفاعل والمحتوى يرتبط نظريًا وعمليًا بمخرجات سلوكية أكثر استدامة مثل الولاء.</w:t>
      </w:r>
    </w:p>
    <w:p w14:paraId="3F1F29DE" w14:textId="77777777" w:rsidR="00E04FE4" w:rsidRPr="00E04FE4" w:rsidRDefault="00E04FE4" w:rsidP="00E04FE4">
      <w:pPr>
        <w:bidi/>
        <w:jc w:val="both"/>
        <w:rPr>
          <w:rFonts w:ascii="Simplified Arabic" w:hAnsi="Simplified Arabic" w:cs="Simplified Arabic"/>
          <w:b/>
          <w:bCs/>
          <w:rtl/>
        </w:rPr>
      </w:pPr>
      <w:r>
        <w:rPr>
          <w:rFonts w:ascii="Simplified Arabic" w:hAnsi="Simplified Arabic" w:cs="Simplified Arabic"/>
          <w:b/>
          <w:bCs/>
          <w:rtl/>
        </w:rPr>
        <w:t>رابعًا: دافع مواكبة المنافسة والتحول السوقي</w:t>
      </w:r>
    </w:p>
    <w:p w14:paraId="29960F54"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لا تتبنى الوكالات التسويقية التقنيات الجديدة فقط بدافع الكفاءة الداخلية، بل أيضًا تحت ضغط بيئة تنافسية تتغير بسرعة. فحين تتحول الأدوات التوليدية إلى جزء من الممارسة المهنية في السوق، يصبح عدم تبنيها—أو التأخر في تبنيها—عاملًا قد يُضعف القدرة التنافسية للوكالة من حيث سرعة الإنجاز، ومرونة التعديل، واتساع الخدمات، وتوقعات العملاء بشأن مستوى الابتكار. ولذلك يظهر “مواكبة المنافسة” بوصفه دافعًا مؤسسيًا مهمًا، لا سيما في الأسواق سريعة التحول رقميًا (</w:t>
      </w:r>
      <w:r>
        <w:rPr>
          <w:rFonts w:ascii="Simplified Arabic" w:hAnsi="Simplified Arabic" w:cs="Simplified Arabic"/>
        </w:rPr>
        <w:t>Kshetri et al., 2023</w:t>
      </w:r>
      <w:r>
        <w:rPr>
          <w:rFonts w:ascii="Simplified Arabic" w:hAnsi="Simplified Arabic" w:cs="Simplified Arabic"/>
          <w:rtl/>
        </w:rPr>
        <w:t>).</w:t>
      </w:r>
    </w:p>
    <w:p w14:paraId="7CD6CFA5"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وفي السياق السعودي، تتعزز هذه الضغوط التنافسية مع تسارع التحول الرقمي وتنامي الاستثمار في الذكاء الاصطناعي على مستوى السياسات والقطاعات، بما يرفع سقف التوقعات من مقدمي الخدمات التسويقية والإبداعية (</w:t>
      </w:r>
      <w:r>
        <w:rPr>
          <w:rFonts w:ascii="Simplified Arabic" w:hAnsi="Simplified Arabic" w:cs="Simplified Arabic"/>
        </w:rPr>
        <w:t>McKinsey &amp; Company, 2024</w:t>
      </w:r>
      <w:r>
        <w:rPr>
          <w:rFonts w:ascii="Simplified Arabic" w:hAnsi="Simplified Arabic" w:cs="Simplified Arabic"/>
          <w:rtl/>
        </w:rPr>
        <w:t xml:space="preserve">؛ </w:t>
      </w:r>
      <w:r>
        <w:rPr>
          <w:rFonts w:ascii="Simplified Arabic" w:hAnsi="Simplified Arabic" w:cs="Simplified Arabic"/>
        </w:rPr>
        <w:t>Strategy&amp; (PwC Middle East), 2024</w:t>
      </w:r>
      <w:r>
        <w:rPr>
          <w:rFonts w:ascii="Simplified Arabic" w:hAnsi="Simplified Arabic" w:cs="Simplified Arabic"/>
          <w:rtl/>
        </w:rPr>
        <w:t>). كما أن الأدبيات التطبيقية في السوق السعودي تشير إلى أن دمج الذكاء الاصطناعي في الاستراتيجيات التسويقية يرتبط بالابتكار وتحسين القدرة على مواكبة التحولات الحديثة، وهو ما يجعل التبني في بعض الحالات خيارًا تنافسيًا أكثر منه خيارًا تقنيًا فقط (</w:t>
      </w:r>
      <w:r>
        <w:rPr>
          <w:rFonts w:ascii="Simplified Arabic" w:hAnsi="Simplified Arabic" w:cs="Simplified Arabic"/>
        </w:rPr>
        <w:t>Alotaibi &amp; Al Youbi, 2024</w:t>
      </w:r>
      <w:r>
        <w:rPr>
          <w:rFonts w:ascii="Simplified Arabic" w:hAnsi="Simplified Arabic" w:cs="Simplified Arabic"/>
          <w:rtl/>
        </w:rPr>
        <w:t xml:space="preserve">؛ </w:t>
      </w:r>
      <w:r>
        <w:rPr>
          <w:rFonts w:ascii="Simplified Arabic" w:hAnsi="Simplified Arabic" w:cs="Simplified Arabic"/>
        </w:rPr>
        <w:t>Aljabari et al., 2024</w:t>
      </w:r>
      <w:r>
        <w:rPr>
          <w:rFonts w:ascii="Simplified Arabic" w:hAnsi="Simplified Arabic" w:cs="Simplified Arabic"/>
          <w:rtl/>
        </w:rPr>
        <w:t>).</w:t>
      </w:r>
    </w:p>
    <w:p w14:paraId="57E8EDBE" w14:textId="77777777" w:rsidR="00E04FE4" w:rsidRPr="00E04FE4" w:rsidRDefault="00E04FE4" w:rsidP="00E04FE4">
      <w:pPr>
        <w:bidi/>
        <w:jc w:val="both"/>
        <w:rPr>
          <w:rFonts w:ascii="Simplified Arabic" w:hAnsi="Simplified Arabic" w:cs="Simplified Arabic"/>
          <w:rtl/>
        </w:rPr>
      </w:pPr>
    </w:p>
    <w:p w14:paraId="1DF57528" w14:textId="77777777" w:rsidR="00E04FE4" w:rsidRPr="00E04FE4" w:rsidRDefault="00E04FE4" w:rsidP="00E04FE4">
      <w:pPr>
        <w:bidi/>
        <w:jc w:val="both"/>
        <w:rPr>
          <w:rFonts w:ascii="Simplified Arabic" w:hAnsi="Simplified Arabic" w:cs="Simplified Arabic"/>
          <w:b/>
          <w:bCs/>
          <w:rtl/>
        </w:rPr>
      </w:pPr>
      <w:r>
        <w:rPr>
          <w:rFonts w:ascii="Simplified Arabic" w:hAnsi="Simplified Arabic" w:cs="Simplified Arabic"/>
          <w:b/>
          <w:bCs/>
          <w:rtl/>
        </w:rPr>
        <w:t>المطلب الثاني: العوائق الفنية</w:t>
      </w:r>
    </w:p>
    <w:p w14:paraId="6C9C3EEB"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يمثل تناول العوائق الفنية خطوةً لازمةً لاستكمال تفسير واقع تبني الذكاء الاصطناعي في وكالات التسويق؛ إذ إن وجود الدوافع وحده لا يعني تحقق التبني الفعّال أو المستدام. فالتبني المؤسسي للتقنيات الحديثة يتأثر بدرجة الجاهزية التقنية والبشرية، وبقدرة المنظمة على دمج الأدوات الجديدة ضمن بنيتها التشغيلية القائمة دون إحداث اضطراب في جودة العمل أو استمراريته. وتؤكد الأدبيات أن فجوة التبني لا ترتبط دائمًا بضعف القناعة بفوائد التقنية، بل كثيرًا ما ترتبط بقيود تنفيذية وفنية تحول دون الاستفادة الكاملة منها (</w:t>
      </w:r>
      <w:r>
        <w:rPr>
          <w:rFonts w:ascii="Simplified Arabic" w:hAnsi="Simplified Arabic" w:cs="Simplified Arabic"/>
        </w:rPr>
        <w:t>Masnita et al., 2024</w:t>
      </w:r>
      <w:r>
        <w:rPr>
          <w:rFonts w:ascii="Simplified Arabic" w:hAnsi="Simplified Arabic" w:cs="Simplified Arabic"/>
          <w:rtl/>
        </w:rPr>
        <w:t>).</w:t>
      </w:r>
    </w:p>
    <w:p w14:paraId="4126B0D6" w14:textId="77777777" w:rsidR="00E04FE4" w:rsidRDefault="00E04FE4" w:rsidP="00E04FE4">
      <w:pPr>
        <w:bidi/>
        <w:jc w:val="both"/>
        <w:rPr>
          <w:rFonts w:ascii="Simplified Arabic" w:hAnsi="Simplified Arabic" w:cs="Simplified Arabic"/>
          <w:rtl/>
        </w:rPr>
      </w:pPr>
      <w:r>
        <w:rPr>
          <w:rFonts w:ascii="Simplified Arabic" w:hAnsi="Simplified Arabic" w:cs="Simplified Arabic" w:hint="cs"/>
          <w:rtl/>
        </w:rPr>
        <w:t>و</w:t>
      </w:r>
      <w:r>
        <w:rPr>
          <w:rFonts w:ascii="Simplified Arabic" w:hAnsi="Simplified Arabic" w:cs="Simplified Arabic"/>
          <w:rtl/>
        </w:rPr>
        <w:t>يمكن تنظيم العوائق الفنية الأكثر حضورًا في بيئة وكالات التسويق ضمن ثلاثة محاور مترابطة: نقص المهارات والمعرفة التقنية، والحاجة إلى بنية تحتية رقمية مناسبة، وصعوبات التكامل مع الأنظمة والأدوات القائمة. وهذه المحاور لا تعمل بمعزل عن بعضها؛ إذ قد يؤدي ضعف أحدها إلى إضعاف فاعلية بقية العناصر حتى مع توفر الأدوات التوليدية نفسها.</w:t>
      </w:r>
    </w:p>
    <w:p w14:paraId="7E426446" w14:textId="77777777" w:rsidR="00915B55" w:rsidRDefault="00915B55" w:rsidP="00915B55">
      <w:pPr>
        <w:bidi/>
        <w:jc w:val="both"/>
        <w:rPr>
          <w:rFonts w:ascii="Simplified Arabic" w:hAnsi="Simplified Arabic" w:cs="Simplified Arabic"/>
          <w:rtl/>
        </w:rPr>
      </w:pPr>
    </w:p>
    <w:p w14:paraId="2F984AE7" w14:textId="77777777" w:rsidR="00915B55" w:rsidRPr="00E04FE4" w:rsidRDefault="00915B55" w:rsidP="00915B55">
      <w:pPr>
        <w:bidi/>
        <w:jc w:val="both"/>
        <w:rPr>
          <w:rFonts w:ascii="Simplified Arabic" w:hAnsi="Simplified Arabic" w:cs="Simplified Arabic"/>
          <w:rtl/>
        </w:rPr>
      </w:pPr>
    </w:p>
    <w:p w14:paraId="045AD823" w14:textId="77777777" w:rsidR="00E04FE4" w:rsidRPr="00E04FE4" w:rsidRDefault="00E04FE4" w:rsidP="00E04FE4">
      <w:pPr>
        <w:bidi/>
        <w:jc w:val="both"/>
        <w:rPr>
          <w:rFonts w:ascii="Simplified Arabic" w:hAnsi="Simplified Arabic" w:cs="Simplified Arabic"/>
          <w:b/>
          <w:bCs/>
          <w:rtl/>
        </w:rPr>
      </w:pPr>
      <w:r>
        <w:rPr>
          <w:rFonts w:ascii="Simplified Arabic" w:hAnsi="Simplified Arabic" w:cs="Simplified Arabic"/>
          <w:b/>
          <w:bCs/>
          <w:rtl/>
        </w:rPr>
        <w:lastRenderedPageBreak/>
        <w:t>أولًا: نقص المهارات والمعرفة التقنية</w:t>
      </w:r>
    </w:p>
    <w:p w14:paraId="2C227AC0"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يُعد نقص المهارات أحد أبرز العوائق الفنية أمام تبني الذكاء الاصطناعي في البيئات المهنية عمومًا، وفي وكالات التسويق على نحو خاص؛ لأن استخدام الأدوات التوليدية لا يقتصر على تشغيل واجهة تقنية، بل يتطلب فهمًا عمليًا لمنطق استخدامها، وحدودها، وكيفية توجيهها ومراجعة مخرجاتها. فالفريق الذي يفتقر إلى المعرفة الأساسية بآليات التوليد، أو بمهارات صياغة الأوامر، أو بمعايير تقييم جودة المخرجات، قد يستخدم الأداة استخدامًا سطحيًا لا يحقق قيمة فعلية، وقد ينعكس ذلك على جودة المحتوى واتساقه (</w:t>
      </w:r>
      <w:r>
        <w:rPr>
          <w:rFonts w:ascii="Simplified Arabic" w:hAnsi="Simplified Arabic" w:cs="Simplified Arabic"/>
        </w:rPr>
        <w:t>Kshetri et al., 2023</w:t>
      </w:r>
      <w:r>
        <w:rPr>
          <w:rFonts w:ascii="Simplified Arabic" w:hAnsi="Simplified Arabic" w:cs="Simplified Arabic"/>
          <w:rtl/>
        </w:rPr>
        <w:t>).</w:t>
      </w:r>
    </w:p>
    <w:p w14:paraId="41CBEEE4"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وتظهر هذه المشكلة بوضوح في المهام التسويقية التي تعتمد على الحس اللغوي والبصري؛ إذ إن الأدوات التوليدية قد تنتج بدائل كثيرة، لكن فرز هذه البدائل وتطويرها يتطلب مهارة بشرية تجمع بين الفهم التسويقي والمعرفة التشغيلية بالأداة. ولذلك أصبح التدريب العملي على استخدام الأدوات، وهندسة التلقين، وآليات المراجعة والتحرير، جزءًا أساسيًا من جاهزية فرق العمل، لا إضافةً ثانوية (محيسن، مجاهد، &amp; بصبوص، 2025).</w:t>
      </w:r>
    </w:p>
    <w:p w14:paraId="4798842F"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كما تدعم بعض الدراسات التطبيقية العربية فكرة أن مستوى المعرفة والتدريب يؤثر في الاستفادة الفعلية من تطبيقات الذكاء الاصطناعي داخل البيئات المهنية، وأن ضعف التأهيل قد يحد من الأثر المتوقع للتطبيق حتى عندما تكون هناك قناعة بأهميته (سماكة &amp; اللهيبي، 2024). ويظهر هذا المعنى أيضًا في الدراسات التي تناولت واقع استخدام تطبيقات الذكاء الاصطناعي في البيئات التعليمية؛ إذ يظل الاستخدام الفعلي مرتبطًا بمستوى المعرفة والدعم والتدريب المتاح للمستخدمين (البخيت، 2025).</w:t>
      </w:r>
    </w:p>
    <w:p w14:paraId="4113D35E"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ومن زاوية أوسع، تشير الأدبيات الحديثة إلى أن التبني لا يتطلب فقط مهارات تشغيلية فردية، بل معرفة مؤسسية تراكمية تتعلق بكيفية بناء إجراءات العمل، وتوثيق الممارسات الناجحة، وتبادل الخبرة داخل الفريق، وهو ما يفسر تفاوت نتائج التبني بين مؤسسات تستخدم الأدوات نفسها ولكن بدرجات مختلفة من التعلم التنظيمي (</w:t>
      </w:r>
      <w:r>
        <w:rPr>
          <w:rFonts w:ascii="Simplified Arabic" w:hAnsi="Simplified Arabic" w:cs="Simplified Arabic"/>
        </w:rPr>
        <w:t>Al-Emran et al., 2025</w:t>
      </w:r>
      <w:r>
        <w:rPr>
          <w:rFonts w:ascii="Simplified Arabic" w:hAnsi="Simplified Arabic" w:cs="Simplified Arabic"/>
          <w:rtl/>
        </w:rPr>
        <w:t>).</w:t>
      </w:r>
    </w:p>
    <w:p w14:paraId="30A0A440" w14:textId="77777777" w:rsidR="00E04FE4" w:rsidRPr="00E04FE4" w:rsidRDefault="00E04FE4" w:rsidP="00E04FE4">
      <w:pPr>
        <w:bidi/>
        <w:jc w:val="both"/>
        <w:rPr>
          <w:rFonts w:ascii="Simplified Arabic" w:hAnsi="Simplified Arabic" w:cs="Simplified Arabic"/>
          <w:b/>
          <w:bCs/>
          <w:rtl/>
        </w:rPr>
      </w:pPr>
      <w:r>
        <w:rPr>
          <w:rFonts w:ascii="Simplified Arabic" w:hAnsi="Simplified Arabic" w:cs="Simplified Arabic"/>
          <w:b/>
          <w:bCs/>
          <w:rtl/>
        </w:rPr>
        <w:t>ثانيًا: الحاجة إلى بنية تحتية رقمية متقدمة</w:t>
      </w:r>
    </w:p>
    <w:p w14:paraId="1DCA02B2"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لا تعمل تطبيقات الذكاء الاصطناعي التوليدي بكفاءة في فراغ تقني؛ بل تحتاج إلى بيئة رقمية مناسبة من حيث الاتصال، وإدارة البيانات، والأدوات الداعمة، وإجراءات الحفظ والمشاركة، وسياسات الاستخدام. وفي كثير من الحالات، لا تكون المشكلة في غياب الأداة التوليدية ذاتها، بل في عدم جاهزية البيئة المحيطة بها لاستيعاب استخدامها بصورة منتظمة ومأمونة داخل سير العمل (</w:t>
      </w:r>
      <w:r>
        <w:rPr>
          <w:rFonts w:ascii="Simplified Arabic" w:hAnsi="Simplified Arabic" w:cs="Simplified Arabic"/>
        </w:rPr>
        <w:t>Masnita et al., 2024</w:t>
      </w:r>
      <w:r>
        <w:rPr>
          <w:rFonts w:ascii="Simplified Arabic" w:hAnsi="Simplified Arabic" w:cs="Simplified Arabic"/>
          <w:rtl/>
        </w:rPr>
        <w:t>).</w:t>
      </w:r>
    </w:p>
    <w:p w14:paraId="69D6192A"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وفي وكالات التسويق، تتجلى هذه الحاجة في عدة صور عملية: الحاجة إلى منصات إدارة محتوى ومشروعات قادرة على استيعاب المخرجات التوليدية، وإلى آليات منظمة لحفظ النسخ وتتبع التعديلات، وإلى بيئة تسمح بالتعاون بين فرق الكتابة والتصميم وإدارة الحملات والتحليل. كما أن استخدام الذكاء الاصطناعي في التخصيص وتحسين القرار يرتبط بجودة الوصول إلى البيانات وتكاملها؛ وهو ما يجعل البنية التحتية الرقمية عنصرًا مؤثرًا في القيمة الفعلية للتبني، لا مجرد شرط تقني عام (</w:t>
      </w:r>
      <w:r>
        <w:rPr>
          <w:rFonts w:ascii="Simplified Arabic" w:hAnsi="Simplified Arabic" w:cs="Simplified Arabic"/>
        </w:rPr>
        <w:t>Mendoza et al., 2025</w:t>
      </w:r>
      <w:r>
        <w:rPr>
          <w:rFonts w:ascii="Simplified Arabic" w:hAnsi="Simplified Arabic" w:cs="Simplified Arabic"/>
          <w:rtl/>
        </w:rPr>
        <w:t>).</w:t>
      </w:r>
    </w:p>
    <w:p w14:paraId="55904A6E"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وتشير التقارير الإقليمية إلى أن تحديات البيئة التقنية والبنية المساندة تظل من المحددات المؤثرة في توسيع تطبيقات الذكاء الاصطناعي داخل المؤسسات، حتى في الأسواق التي تشهد تقدمًا في التحول الرقمي (</w:t>
      </w:r>
      <w:r>
        <w:rPr>
          <w:rFonts w:ascii="Simplified Arabic" w:hAnsi="Simplified Arabic" w:cs="Simplified Arabic"/>
        </w:rPr>
        <w:t>Strategy&amp; (PwC Middle East), 2024</w:t>
      </w:r>
      <w:r>
        <w:rPr>
          <w:rFonts w:ascii="Simplified Arabic" w:hAnsi="Simplified Arabic" w:cs="Simplified Arabic"/>
          <w:rtl/>
        </w:rPr>
        <w:t xml:space="preserve">). كما تؤكد تقارير محلية أن الفرص الكبيرة للذكاء الاصطناعي التوليدي في المملكة ترتبط بقدرة الجهات </w:t>
      </w:r>
      <w:r>
        <w:rPr>
          <w:rFonts w:ascii="Simplified Arabic" w:hAnsi="Simplified Arabic" w:cs="Simplified Arabic"/>
          <w:rtl/>
        </w:rPr>
        <w:lastRenderedPageBreak/>
        <w:t>على بناء بيئات تشغيل ملائمة وتطوير الجاهزية المؤسسية المصاحبة للتبني (الهيئة السعودية للبيانات والذكاء الاصطناعي [سدايا]، 2024).</w:t>
      </w:r>
    </w:p>
    <w:p w14:paraId="1B844690" w14:textId="77777777" w:rsidR="00E04FE4" w:rsidRPr="00E04FE4" w:rsidRDefault="00E04FE4" w:rsidP="00E04FE4">
      <w:pPr>
        <w:bidi/>
        <w:jc w:val="both"/>
        <w:rPr>
          <w:rFonts w:ascii="Simplified Arabic" w:hAnsi="Simplified Arabic" w:cs="Simplified Arabic"/>
          <w:b/>
          <w:bCs/>
          <w:rtl/>
        </w:rPr>
      </w:pPr>
      <w:r>
        <w:rPr>
          <w:rFonts w:ascii="Simplified Arabic" w:hAnsi="Simplified Arabic" w:cs="Simplified Arabic"/>
          <w:b/>
          <w:bCs/>
          <w:rtl/>
        </w:rPr>
        <w:t>ثالثًا: صعوبات التكامل مع الأنظمة والأدوات القائمة</w:t>
      </w:r>
    </w:p>
    <w:p w14:paraId="3C93CBAB"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من العوائق الفنية المتكررة في البيئات المهنية أن الأدوات الجديدة</w:t>
      </w:r>
      <w:r>
        <w:rPr>
          <w:rFonts w:ascii="Simplified Arabic" w:hAnsi="Simplified Arabic" w:cs="Simplified Arabic" w:hint="cs"/>
          <w:rtl/>
        </w:rPr>
        <w:t xml:space="preserve"> </w:t>
      </w:r>
      <w:r>
        <w:rPr>
          <w:rFonts w:ascii="Simplified Arabic" w:hAnsi="Simplified Arabic" w:cs="Simplified Arabic"/>
          <w:rtl/>
        </w:rPr>
        <w:t>لا تحقق أثرًا كبيرًا إذا بقيت منفصلة عن الأنظمة والأدوات المعتمدة بالفعل في العمل اليومي. ويظهر هذا بوضوح في وكالات التسويق التي تستخدم منظومات متعددة لإدارة المشروعات، وتصميم المحتوى، ونشر الحملات، وتحليل الأداء، والتواصل مع العملاء. فإدخال أدوات الذكاء الاصطناعي التوليدي ضمن هذا المشهد قد يخلق تحديات تتعلق بتدفق العمل، وتكرار المهام، وتضارب النسخ، وعدم وضوح نقاط الانتقال بين التوليد والمراجعة والاعتماد (</w:t>
      </w:r>
      <w:r>
        <w:rPr>
          <w:rFonts w:ascii="Simplified Arabic" w:hAnsi="Simplified Arabic" w:cs="Simplified Arabic"/>
        </w:rPr>
        <w:t>Nguyen et al., 2025</w:t>
      </w:r>
      <w:r>
        <w:rPr>
          <w:rFonts w:ascii="Simplified Arabic" w:hAnsi="Simplified Arabic" w:cs="Simplified Arabic"/>
          <w:rtl/>
        </w:rPr>
        <w:t>).</w:t>
      </w:r>
    </w:p>
    <w:p w14:paraId="7B9F13C0" w14:textId="007E5C15" w:rsidR="00E04FE4" w:rsidRDefault="00E04FE4" w:rsidP="00915B55">
      <w:pPr>
        <w:bidi/>
        <w:jc w:val="both"/>
        <w:rPr>
          <w:rFonts w:ascii="Simplified Arabic" w:hAnsi="Simplified Arabic" w:cs="Simplified Arabic"/>
          <w:rtl/>
        </w:rPr>
      </w:pPr>
      <w:r>
        <w:rPr>
          <w:rFonts w:ascii="Simplified Arabic" w:hAnsi="Simplified Arabic" w:cs="Simplified Arabic"/>
          <w:rtl/>
        </w:rPr>
        <w:t>وتتخذ صعوبات التكامل صورًا مختلفة؛ فقد تكون تقنية بحتة، مثل ضعف الربط بين الأدوات أو صعوبة نقل المخرجات وإدارتها بكفاءة، وقد تكون تشغيلية، مثل غياب إجراءات واضحة تحدد متى يُستخدم التوليد، ومن يراجع، ومن يعتمد، وكيف تُوثق التعديلات. ولهذا، فإن نجاح التكامل لا يعتمد فقط على البنية التقنية، بل أيضًا على تصميم سير العمل وتوزيع الأدوار بصورة منضبطة (</w:t>
      </w:r>
      <w:r>
        <w:rPr>
          <w:rFonts w:ascii="Simplified Arabic" w:hAnsi="Simplified Arabic" w:cs="Simplified Arabic"/>
        </w:rPr>
        <w:t>Heitmann, 2024</w:t>
      </w:r>
      <w:r>
        <w:rPr>
          <w:rFonts w:ascii="Simplified Arabic" w:hAnsi="Simplified Arabic" w:cs="Simplified Arabic"/>
          <w:rtl/>
        </w:rPr>
        <w:t>).</w:t>
      </w:r>
    </w:p>
    <w:p w14:paraId="1D9212CF" w14:textId="77777777" w:rsidR="00915B55" w:rsidRPr="00E04FE4" w:rsidRDefault="00915B55" w:rsidP="00915B55">
      <w:pPr>
        <w:bidi/>
        <w:jc w:val="both"/>
        <w:rPr>
          <w:rFonts w:ascii="Simplified Arabic" w:hAnsi="Simplified Arabic" w:cs="Simplified Arabic"/>
          <w:rtl/>
        </w:rPr>
      </w:pPr>
    </w:p>
    <w:p w14:paraId="20C5A65C" w14:textId="77777777" w:rsidR="00E04FE4" w:rsidRPr="00E04FE4" w:rsidRDefault="00E04FE4" w:rsidP="00E04FE4">
      <w:pPr>
        <w:bidi/>
        <w:jc w:val="both"/>
        <w:rPr>
          <w:rFonts w:ascii="Simplified Arabic" w:hAnsi="Simplified Arabic" w:cs="Simplified Arabic"/>
          <w:b/>
          <w:bCs/>
          <w:rtl/>
        </w:rPr>
      </w:pPr>
      <w:r>
        <w:rPr>
          <w:rFonts w:ascii="Simplified Arabic" w:hAnsi="Simplified Arabic" w:cs="Simplified Arabic"/>
          <w:b/>
          <w:bCs/>
          <w:rtl/>
        </w:rPr>
        <w:t>المطلب الثالث: العوائق التنظيمية والأخلاقية</w:t>
      </w:r>
    </w:p>
    <w:p w14:paraId="598BE9C4"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لا تكتمل قراءة واقع تبني الذكاء الاصطناعي في وكالات التسويق عند حدود العوائق الفنية فقط؛ إذ تُظهر الأدبيات والتطبيقات المهنية أن كثيرًا من فجوات التبني ترجع إلى عوامل تنظيمية وأخلاقية تؤثر في قرار الاستخدام واستمراريته ودرجة الثقة في نتائجه. فحتى مع توفر الأدوات والمهارات الأساسية، قد يتعثر التبني إذا واجه مقاومة داخلية، أو غموضًا في المسؤوليات، أو مخاوف متعلقة بالخصوصية وأمن البيانات، أو غياب سياسات واضحة تضبط استخدام التقنية داخل الوكالة (</w:t>
      </w:r>
      <w:r>
        <w:rPr>
          <w:rFonts w:ascii="Simplified Arabic" w:hAnsi="Simplified Arabic" w:cs="Simplified Arabic"/>
        </w:rPr>
        <w:t>Dwivedi et al., 2023</w:t>
      </w:r>
      <w:r>
        <w:rPr>
          <w:rFonts w:ascii="Simplified Arabic" w:hAnsi="Simplified Arabic" w:cs="Simplified Arabic"/>
          <w:rtl/>
        </w:rPr>
        <w:t>).</w:t>
      </w:r>
    </w:p>
    <w:p w14:paraId="6793F5F1"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وفي بيئة الوكالات التسويقية، تتضاعف أهمية هذه العوائق لأن العمل لا يقوم فقط على الإنتاج السريع، بل على إدارة علاقات العملاء، وحماية سمعة العلامات التجارية، والالتزام بمتطلبات مهنية وتنظيمية تتعلق بالمحتوى والبيانات. لذلك، فإن العوائق التنظيمية والأخلاقية لا تُعد مسائل جانبية، بل تمثل جزءًا أساسيًا من تفسير تفاوت مستويات التبني بين الوكالات، حتى عندما تتشابه في حجمها أو في نوع الأدوات المستخدمة (</w:t>
      </w:r>
      <w:r>
        <w:rPr>
          <w:rFonts w:ascii="Simplified Arabic" w:hAnsi="Simplified Arabic" w:cs="Simplified Arabic"/>
        </w:rPr>
        <w:t>Kshetri et al., 2023</w:t>
      </w:r>
      <w:r>
        <w:rPr>
          <w:rFonts w:ascii="Simplified Arabic" w:hAnsi="Simplified Arabic" w:cs="Simplified Arabic"/>
          <w:rtl/>
        </w:rPr>
        <w:t>).</w:t>
      </w:r>
    </w:p>
    <w:p w14:paraId="324F146A"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hint="cs"/>
          <w:rtl/>
        </w:rPr>
        <w:t>و</w:t>
      </w:r>
      <w:r>
        <w:rPr>
          <w:rFonts w:ascii="Simplified Arabic" w:hAnsi="Simplified Arabic" w:cs="Simplified Arabic"/>
          <w:rtl/>
        </w:rPr>
        <w:t xml:space="preserve">يمكن تنظيم هذا المطلب حول ثلاثة عوائق رئيسة تتكرر في الأدبيات والممارسة المهنية: مقاومة التغيير داخل المؤسسات، والمخاوف المتعلقة بالخصوصية وأمن البيانات، وغياب الأطر التنظيمية والسياسات الداخلية الواضحة. </w:t>
      </w:r>
    </w:p>
    <w:p w14:paraId="1ECEF5A2" w14:textId="77777777" w:rsidR="00E04FE4" w:rsidRPr="00E04FE4" w:rsidRDefault="00E04FE4" w:rsidP="00E04FE4">
      <w:pPr>
        <w:bidi/>
        <w:jc w:val="both"/>
        <w:rPr>
          <w:rFonts w:ascii="Simplified Arabic" w:hAnsi="Simplified Arabic" w:cs="Simplified Arabic"/>
          <w:b/>
          <w:bCs/>
          <w:rtl/>
        </w:rPr>
      </w:pPr>
      <w:r>
        <w:rPr>
          <w:rFonts w:ascii="Simplified Arabic" w:hAnsi="Simplified Arabic" w:cs="Simplified Arabic"/>
          <w:b/>
          <w:bCs/>
          <w:rtl/>
        </w:rPr>
        <w:t>أولًا: مقاومة التغيير داخل المؤسسات</w:t>
      </w:r>
    </w:p>
    <w:p w14:paraId="04B21A80"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تُعد مقاومة التغيير من أكثر العوائق التنظيمية شيوعًا عند إدخال تقنيات جديدة إلى بيئات العمل، خاصة عندما تمس طبيعة المهام اليومية أو تعيد توزيع الأدوار بين الأفراد والفرق. وفي حالة الذكاء الاصطناعي التوليدي، قد تنشأ المقاومة من عدة مصادر: الخوف من فقدان السيطرة على جودة العمل، أو القلق من التأثير في الأدوار المهنية القائمة، أو الشك في موثوقية المخرجات، أو حتى عدم وضوح القيمة العملية للتقنية في سياق العمل الفعلي (</w:t>
      </w:r>
      <w:r>
        <w:rPr>
          <w:rFonts w:ascii="Simplified Arabic" w:hAnsi="Simplified Arabic" w:cs="Simplified Arabic"/>
        </w:rPr>
        <w:t>Masnita et al., 2024</w:t>
      </w:r>
      <w:r>
        <w:rPr>
          <w:rFonts w:ascii="Simplified Arabic" w:hAnsi="Simplified Arabic" w:cs="Simplified Arabic"/>
          <w:rtl/>
        </w:rPr>
        <w:t>).</w:t>
      </w:r>
    </w:p>
    <w:p w14:paraId="3FAF6163"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lastRenderedPageBreak/>
        <w:t>وفي الوكالات التسويقية، قد تظهر مقاومة التغيير بصور متعددة؛ منها التردد في إدماج الأدوات داخل مراحل التصميم والتحرير، أو الاكتفاء باستخدامها في نطاق محدود جدًا، أو التعامل معها بوصفها أداة تجريبية لا تدخل في العمل الأساسي. وهذه المقاومة لا تعني دائمًا رفضًا صريحًا للتقنية، بل قد تتجلى في بطء التبني، وضعف الالتزام بإجراءات الاستخدام، وعدم تراكم الخبرة المؤسسية حولها</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Masnita et al., 2024</w:t>
      </w:r>
      <w:r>
        <w:rPr>
          <w:rFonts w:ascii="Simplified Arabic" w:hAnsi="Simplified Arabic" w:cs="Simplified Arabic"/>
          <w:rtl/>
        </w:rPr>
        <w:t>).</w:t>
      </w:r>
    </w:p>
    <w:p w14:paraId="4637F858"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وتشير الأدبيات إلى أن مقاومة التغيير تصبح أكثر وضوحًا عندما يغيب التواصل الداخلي الفعال حول أهداف التبني وحدوده، أو عندما لا تُصاحب عملية التبني برامج تدريب وتوضيح للأدوار الجديدة داخل الفريق (</w:t>
      </w:r>
      <w:r>
        <w:rPr>
          <w:rFonts w:ascii="Simplified Arabic" w:hAnsi="Simplified Arabic" w:cs="Simplified Arabic"/>
        </w:rPr>
        <w:t>Nguyen et al., 2025</w:t>
      </w:r>
      <w:r>
        <w:rPr>
          <w:rFonts w:ascii="Simplified Arabic" w:hAnsi="Simplified Arabic" w:cs="Simplified Arabic"/>
          <w:rtl/>
        </w:rPr>
        <w:t>). لذلك، فإن معالجة هذا العائق لا تعتمد فقط على توفير الأدوات، بل على إدارة التغيير تنظيميًا ومهنيًا، وبناء تصور مشترك داخل الوكالة حول دور التقنية بوصفها أداة داعمة للعمل لا بديلًا آليًا غير منضبط.</w:t>
      </w:r>
    </w:p>
    <w:p w14:paraId="6C3F1897" w14:textId="77777777" w:rsidR="00E04FE4" w:rsidRPr="00E04FE4" w:rsidRDefault="00E04FE4" w:rsidP="00E04FE4">
      <w:pPr>
        <w:bidi/>
        <w:jc w:val="both"/>
        <w:rPr>
          <w:rFonts w:ascii="Simplified Arabic" w:hAnsi="Simplified Arabic" w:cs="Simplified Arabic"/>
          <w:b/>
          <w:bCs/>
          <w:rtl/>
        </w:rPr>
      </w:pPr>
      <w:r>
        <w:rPr>
          <w:rFonts w:ascii="Simplified Arabic" w:hAnsi="Simplified Arabic" w:cs="Simplified Arabic"/>
          <w:b/>
          <w:bCs/>
          <w:rtl/>
        </w:rPr>
        <w:t>ثانيًا: المخاوف المتعلقة بالخصوصية وأمن البيانات</w:t>
      </w:r>
    </w:p>
    <w:p w14:paraId="4B9F43C7"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تمثل الخصوصية وأمن البيانات أحد أكثر العوائق الأخلاقية والتنظيمية تأثيرًا في قرار تبني الذكاء الاصطناعي، خصوصًا في الأنشطة التسويقية التي تعتمد على بيانات العملاء وتفضيلاتهم وسلوكهم الرقمي. فمع توسع استخدام الأدوات التوليدية، تزداد الحاجة إلى ضبط نوع البيانات التي يتم إدخالها إلى الأنظمة، وطريقة التعامل معها، وحدود مشاركتها، وآليات مراجعة الاستخدام داخل الوكالة (</w:t>
      </w:r>
      <w:r>
        <w:rPr>
          <w:rFonts w:ascii="Simplified Arabic" w:hAnsi="Simplified Arabic" w:cs="Simplified Arabic"/>
        </w:rPr>
        <w:t>SDAIA, 2024</w:t>
      </w:r>
      <w:r>
        <w:rPr>
          <w:rFonts w:ascii="Simplified Arabic" w:hAnsi="Simplified Arabic" w:cs="Simplified Arabic"/>
          <w:rtl/>
        </w:rPr>
        <w:t>).</w:t>
      </w:r>
    </w:p>
    <w:p w14:paraId="37F80AED"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 xml:space="preserve">وتؤكد الإرشادات الوطنية أهمية الاستخدام المسؤول للبيانات، والمراجعة البشرية، وضبط آليات التشغيل بما يتوافق مع مبادئ العدالة وتقليل المخاطر المرتبطة بتطبيقات الذكاء الاصطناعي (الهيئة السعودية للبيانات والذكاء الاصطناعي [سدايا]، 2024؛ </w:t>
      </w:r>
      <w:r>
        <w:rPr>
          <w:rFonts w:ascii="Simplified Arabic" w:hAnsi="Simplified Arabic" w:cs="Simplified Arabic"/>
        </w:rPr>
        <w:t>SDAIA, 2024</w:t>
      </w:r>
      <w:r>
        <w:rPr>
          <w:rFonts w:ascii="Simplified Arabic" w:hAnsi="Simplified Arabic" w:cs="Simplified Arabic"/>
          <w:rtl/>
        </w:rPr>
        <w:t>). وهذا يكتسب أهمية خاصة في السوق السعودي، حيث يرتبط التوسع في التبني بالحاجة إلى مواءمة الاستخدام مع المتطلبات التنظيمية والثقة المؤسسية.</w:t>
      </w:r>
    </w:p>
    <w:p w14:paraId="41C7F393" w14:textId="77777777" w:rsidR="00E04FE4" w:rsidRPr="00E04FE4" w:rsidRDefault="00E04FE4" w:rsidP="00E04FE4">
      <w:pPr>
        <w:bidi/>
        <w:jc w:val="both"/>
        <w:rPr>
          <w:rFonts w:ascii="Simplified Arabic" w:hAnsi="Simplified Arabic" w:cs="Simplified Arabic"/>
          <w:b/>
          <w:bCs/>
          <w:rtl/>
        </w:rPr>
      </w:pPr>
      <w:r>
        <w:rPr>
          <w:rFonts w:ascii="Simplified Arabic" w:hAnsi="Simplified Arabic" w:cs="Simplified Arabic"/>
          <w:b/>
          <w:bCs/>
          <w:rtl/>
        </w:rPr>
        <w:t>ثالثًا: غياب الأطر التنظيمية والسياسات الداخلية الواضحة</w:t>
      </w:r>
    </w:p>
    <w:p w14:paraId="2ED82133"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من العوائق التي تتكرر في مراحل التبني المبكر أو غير الناضج للتقنيات الجديدة غياب أطر تنظيمية واضحة تحدد كيفية الاستخدام، ومسؤوليات المراجعة، وحدود الاعتماد، وآليات التحقق من جودة المخرجات. وفي حالة الذكاء الاصطناعي التوليدي، يزداد أثر هذا العائق لأن التقنية تدخل في مهام ترتبط مباشرة بالمحتوى المنشور، والهوية الاتصالية، وقرارات الحملة، وهي مجالات تحتاج إلى ضبط مهني مرتفع (</w:t>
      </w:r>
      <w:r>
        <w:rPr>
          <w:rFonts w:ascii="Simplified Arabic" w:hAnsi="Simplified Arabic" w:cs="Simplified Arabic"/>
        </w:rPr>
        <w:t>IAB Tech Lab, 2024</w:t>
      </w:r>
      <w:r>
        <w:rPr>
          <w:rFonts w:ascii="Simplified Arabic" w:hAnsi="Simplified Arabic" w:cs="Simplified Arabic"/>
          <w:rtl/>
        </w:rPr>
        <w:t>).</w:t>
      </w:r>
    </w:p>
    <w:p w14:paraId="347E705A"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وعندما تغيب السياسات الداخلية، تظهر عدة مشكلات عملية داخل الوكالة، مثل:</w:t>
      </w:r>
    </w:p>
    <w:p w14:paraId="71A909D4" w14:textId="77777777" w:rsidR="00E04FE4" w:rsidRPr="00E04FE4" w:rsidRDefault="00E04FE4">
      <w:pPr>
        <w:numPr>
          <w:ilvl w:val="0"/>
          <w:numId w:val="13"/>
        </w:numPr>
        <w:bidi/>
        <w:jc w:val="both"/>
        <w:rPr>
          <w:rFonts w:ascii="Simplified Arabic" w:hAnsi="Simplified Arabic" w:cs="Simplified Arabic"/>
          <w:rtl/>
        </w:rPr>
      </w:pPr>
      <w:r>
        <w:rPr>
          <w:rFonts w:ascii="Simplified Arabic" w:hAnsi="Simplified Arabic" w:cs="Simplified Arabic"/>
          <w:rtl/>
        </w:rPr>
        <w:t>تفاوت أساليب الاستخدام بين الأفراد دون معيار موحد.</w:t>
      </w:r>
    </w:p>
    <w:p w14:paraId="7CEB01BF" w14:textId="77777777" w:rsidR="00E04FE4" w:rsidRPr="00E04FE4" w:rsidRDefault="00E04FE4">
      <w:pPr>
        <w:numPr>
          <w:ilvl w:val="0"/>
          <w:numId w:val="13"/>
        </w:numPr>
        <w:bidi/>
        <w:jc w:val="both"/>
        <w:rPr>
          <w:rFonts w:ascii="Simplified Arabic" w:hAnsi="Simplified Arabic" w:cs="Simplified Arabic"/>
          <w:rtl/>
        </w:rPr>
      </w:pPr>
      <w:r>
        <w:rPr>
          <w:rFonts w:ascii="Simplified Arabic" w:hAnsi="Simplified Arabic" w:cs="Simplified Arabic"/>
          <w:rtl/>
        </w:rPr>
        <w:t>غموض في مسؤولية مراجعة المخرجات واعتمادها.</w:t>
      </w:r>
    </w:p>
    <w:p w14:paraId="5EAF06C7" w14:textId="77777777" w:rsidR="00E04FE4" w:rsidRPr="00E04FE4" w:rsidRDefault="00E04FE4">
      <w:pPr>
        <w:numPr>
          <w:ilvl w:val="0"/>
          <w:numId w:val="13"/>
        </w:numPr>
        <w:bidi/>
        <w:jc w:val="both"/>
        <w:rPr>
          <w:rFonts w:ascii="Simplified Arabic" w:hAnsi="Simplified Arabic" w:cs="Simplified Arabic"/>
          <w:rtl/>
        </w:rPr>
      </w:pPr>
      <w:r>
        <w:rPr>
          <w:rFonts w:ascii="Simplified Arabic" w:hAnsi="Simplified Arabic" w:cs="Simplified Arabic"/>
          <w:rtl/>
        </w:rPr>
        <w:t>اختلاف في حدود ما يجوز إدخاله إلى الأدوات من بيانات ومعلومات.</w:t>
      </w:r>
    </w:p>
    <w:p w14:paraId="7BA3ED03" w14:textId="77777777" w:rsidR="00E04FE4" w:rsidRPr="00E04FE4" w:rsidRDefault="00E04FE4">
      <w:pPr>
        <w:numPr>
          <w:ilvl w:val="0"/>
          <w:numId w:val="13"/>
        </w:numPr>
        <w:bidi/>
        <w:jc w:val="both"/>
        <w:rPr>
          <w:rFonts w:ascii="Simplified Arabic" w:hAnsi="Simplified Arabic" w:cs="Simplified Arabic"/>
          <w:rtl/>
        </w:rPr>
      </w:pPr>
      <w:r>
        <w:rPr>
          <w:rFonts w:ascii="Simplified Arabic" w:hAnsi="Simplified Arabic" w:cs="Simplified Arabic"/>
          <w:rtl/>
        </w:rPr>
        <w:t>صعوبة تقييم جودة الاستخدام أو تحسينه بصورة مؤسسية.</w:t>
      </w:r>
    </w:p>
    <w:p w14:paraId="5AC87B6F"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هذه المشكلات لا تؤثر فقط في الكفاءة، بل قد تؤدي إلى تراجع الثقة الداخلية في التقنية؛ لأن نتائج الاستخدام تصبح متذبذبة وتعتمد على الاجتهاد الفردي أكثر من اعتمادها على نظام عمل واضح. ولهذا تؤكد الأدبيات المهنية أن حوكمة الاستخدام—</w:t>
      </w:r>
      <w:r>
        <w:rPr>
          <w:rFonts w:ascii="Simplified Arabic" w:hAnsi="Simplified Arabic" w:cs="Simplified Arabic"/>
          <w:rtl/>
        </w:rPr>
        <w:lastRenderedPageBreak/>
        <w:t>ولو بصورة تدريجية—تمثل شرطًا مهمًا لتحويل التبني من استخدام تجريبي متفرق إلى ممارسة مستقرة قابلة للتوسع (</w:t>
      </w:r>
      <w:r>
        <w:rPr>
          <w:rFonts w:ascii="Simplified Arabic" w:hAnsi="Simplified Arabic" w:cs="Simplified Arabic"/>
        </w:rPr>
        <w:t>Nguyen et al., 2025</w:t>
      </w:r>
      <w:r>
        <w:rPr>
          <w:rFonts w:ascii="Simplified Arabic" w:hAnsi="Simplified Arabic" w:cs="Simplified Arabic"/>
          <w:rtl/>
        </w:rPr>
        <w:t>).</w:t>
      </w:r>
    </w:p>
    <w:p w14:paraId="5834282A"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ومن زاوية أوسع، فإن غياب الأطر التنظيمية قد يتقاطع مع قضايا أخلاقية مثل الشفافية والمساءلة؛ إذ لا يمكن مساءلة الفرق عن جودة المخرجات أو عن سلامة استخدام البيانات إذا لم تكن هناك قواعد واضحة تحدد المسؤوليات والإجراءات منذ البداية (</w:t>
      </w:r>
      <w:r>
        <w:rPr>
          <w:rFonts w:ascii="Simplified Arabic" w:hAnsi="Simplified Arabic" w:cs="Simplified Arabic"/>
        </w:rPr>
        <w:t>Dwivedi et al., 2023</w:t>
      </w:r>
      <w:r>
        <w:rPr>
          <w:rFonts w:ascii="Simplified Arabic" w:hAnsi="Simplified Arabic" w:cs="Simplified Arabic"/>
          <w:rtl/>
        </w:rPr>
        <w:t>).</w:t>
      </w:r>
    </w:p>
    <w:p w14:paraId="63F5C11A"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hint="cs"/>
          <w:rtl/>
        </w:rPr>
        <w:t xml:space="preserve">كما </w:t>
      </w:r>
      <w:r>
        <w:rPr>
          <w:rFonts w:ascii="Simplified Arabic" w:hAnsi="Simplified Arabic" w:cs="Simplified Arabic"/>
          <w:rtl/>
        </w:rPr>
        <w:t>يُظهر التحليل السابق أن العوائق التنظيمية والأخلاقية ليست طبقة منفصلة عن العوائق الفنية، بل تمثل امتدادًا لها على مستوى الحوكمة والثقافة المؤسسية. فضعف المهارات قد يُعالج بالتدريب، لكن استمرار الاستخدام وتوسعه يتطلب بيئة تنظيمية تتقبل التغيير وتضبطه، وتضع سياسات واضحة لحماية البيانات ومراجعة المخرجات وتحديد المسؤوليات. وبدون ذلك، قد يبقى التبني محدودًا أو متذبذبًا حتى مع توفر الأدوات والمهارات الأساسية (</w:t>
      </w:r>
      <w:r>
        <w:rPr>
          <w:rFonts w:ascii="Simplified Arabic" w:hAnsi="Simplified Arabic" w:cs="Simplified Arabic"/>
        </w:rPr>
        <w:t>Kshetri et al., 2023</w:t>
      </w:r>
      <w:r>
        <w:rPr>
          <w:rFonts w:ascii="Simplified Arabic" w:hAnsi="Simplified Arabic" w:cs="Simplified Arabic"/>
          <w:rtl/>
        </w:rPr>
        <w:t>).</w:t>
      </w:r>
    </w:p>
    <w:p w14:paraId="589C5B4F" w14:textId="77777777" w:rsidR="00E04FE4" w:rsidRPr="00EB385F" w:rsidRDefault="00E04FE4" w:rsidP="00E04FE4">
      <w:pPr>
        <w:bidi/>
        <w:jc w:val="both"/>
        <w:rPr>
          <w:rFonts w:ascii="Simplified Arabic" w:hAnsi="Simplified Arabic" w:cs="Simplified Arabic"/>
          <w:sz w:val="20"/>
          <w:szCs w:val="20"/>
          <w:rtl/>
        </w:rPr>
      </w:pPr>
    </w:p>
    <w:p w14:paraId="0167CB3B" w14:textId="77777777" w:rsidR="00E04FE4" w:rsidRPr="00E04FE4" w:rsidRDefault="00E04FE4" w:rsidP="00E04FE4">
      <w:pPr>
        <w:bidi/>
        <w:jc w:val="both"/>
        <w:rPr>
          <w:rFonts w:ascii="Simplified Arabic" w:hAnsi="Simplified Arabic" w:cs="Simplified Arabic"/>
          <w:b/>
          <w:bCs/>
          <w:rtl/>
        </w:rPr>
      </w:pPr>
      <w:r>
        <w:rPr>
          <w:rFonts w:ascii="Simplified Arabic" w:hAnsi="Simplified Arabic" w:cs="Simplified Arabic"/>
          <w:b/>
          <w:bCs/>
          <w:rtl/>
        </w:rPr>
        <w:t>المطلب الرابع: واقع تبني الذكاء الاصطناعي في السعودية</w:t>
      </w:r>
    </w:p>
    <w:p w14:paraId="05EC4EA2" w14:textId="77777777" w:rsidR="00E04FE4" w:rsidRPr="00E04FE4" w:rsidRDefault="00E04FE4" w:rsidP="00E04FE4">
      <w:pPr>
        <w:bidi/>
        <w:jc w:val="both"/>
        <w:rPr>
          <w:rFonts w:ascii="Simplified Arabic" w:hAnsi="Simplified Arabic" w:cs="Simplified Arabic"/>
          <w:b/>
          <w:bCs/>
          <w:rtl/>
        </w:rPr>
      </w:pPr>
      <w:r>
        <w:rPr>
          <w:rFonts w:ascii="Simplified Arabic" w:hAnsi="Simplified Arabic" w:cs="Simplified Arabic" w:hint="cs"/>
          <w:b/>
          <w:bCs/>
          <w:rtl/>
        </w:rPr>
        <w:t xml:space="preserve">أولاً: </w:t>
      </w:r>
      <w:r>
        <w:rPr>
          <w:rFonts w:ascii="Simplified Arabic" w:hAnsi="Simplified Arabic" w:cs="Simplified Arabic"/>
          <w:b/>
          <w:bCs/>
          <w:rtl/>
        </w:rPr>
        <w:t>عرض نتائج الدراسات أو التقارير الرسمية التي توضح مستوى التبني الحالي وفرص النمو في السوق المحلي</w:t>
      </w:r>
    </w:p>
    <w:p w14:paraId="5591592B"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تشير الأدبيات والتقارير الحديثة إلى أن المملكة العربية السعودية تشهد بيئة مواتية نسبيًا لتوسع تطبيقات الذكاء الاصطناعي، مدفوعةً بمسارات التحول الرقمي، وتنامي الاهتمام المؤسسي برفع الإنتاجية، وتزايد الاستثمارات والبرامج الداعمة للابتكار. وفي هذا السياق، تبرز تقارير سدايا بوصفها مرجعًا وطنيًا مهمًا في توصيف الفرص المرتبطة بالذكاء الاصطناعي التوليدي، حيث تُقدَّم التقنية باعتبارها فرصة لتعزيز النمو ورفع الكفاءة وتوسيع القيمة المضافة عبر قطاعات متعددة، مع التأكيد في الوقت نفسه على الاستخدام المسؤول والحوكمة المناسبة (الهيئة السعودية للبيانات والذكاء الاصطناعي [سدايا]، 2024).</w:t>
      </w:r>
    </w:p>
    <w:p w14:paraId="4416B46D"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 xml:space="preserve">ومن زاوية إقليمية أوسع، تعرض تقارير </w:t>
      </w:r>
      <w:r>
        <w:rPr>
          <w:rFonts w:ascii="Simplified Arabic" w:hAnsi="Simplified Arabic" w:cs="Simplified Arabic"/>
        </w:rPr>
        <w:t>McKinsey &amp; Company</w:t>
      </w:r>
      <w:r>
        <w:rPr>
          <w:rFonts w:ascii="Simplified Arabic" w:hAnsi="Simplified Arabic" w:cs="Simplified Arabic"/>
          <w:rtl/>
        </w:rPr>
        <w:t xml:space="preserve"> (2024) عن دول الخليج صورة تؤكد أن الذكاء الاصطناعي التوليدي لم يعد موضوعًا تجريبيًا هامشيًا، بل أصبح جزءًا من أجندة التحول المؤسسي في المنطقة، مع تفاوت في مستويات الجاهزية والتنفيذ بين الجهات والقطاعات. وتفيد هذه القراءة في فهم السياق السعودي، لأن السوق المحلي يعمل ضمن بيئة خليجية تتصاعد فيها المنافسة على الإنتاجية والابتكار الرقمي، وهو ما يرفع من الحافز المؤسسي لتبني التطبيقات الذكية، بما فيها التطبيقات المرتبطة بالتسويق وصناعة المحتوى (</w:t>
      </w:r>
      <w:r>
        <w:rPr>
          <w:rFonts w:ascii="Simplified Arabic" w:hAnsi="Simplified Arabic" w:cs="Simplified Arabic"/>
        </w:rPr>
        <w:t>McKinsey &amp; Company, 2024</w:t>
      </w:r>
      <w:r>
        <w:rPr>
          <w:rFonts w:ascii="Simplified Arabic" w:hAnsi="Simplified Arabic" w:cs="Simplified Arabic"/>
          <w:rtl/>
        </w:rPr>
        <w:t>).</w:t>
      </w:r>
    </w:p>
    <w:p w14:paraId="3614801B"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 xml:space="preserve">وفي الاتجاه نفسه، تشير تقارير </w:t>
      </w:r>
      <w:r>
        <w:rPr>
          <w:rFonts w:ascii="Simplified Arabic" w:hAnsi="Simplified Arabic" w:cs="Simplified Arabic"/>
        </w:rPr>
        <w:t>Strategy&amp; (PwC Middle East)</w:t>
      </w:r>
      <w:r>
        <w:rPr>
          <w:rFonts w:ascii="Simplified Arabic" w:hAnsi="Simplified Arabic" w:cs="Simplified Arabic"/>
          <w:rtl/>
        </w:rPr>
        <w:t xml:space="preserve"> (2024) إلى أن توسيع الاستفادة من الذكاء الاصطناعي في المنطقة يرتبط ليس فقط بتوفر الفرص السوقية، بل أيضًا بمعالجة تحديات النظام البيئي (</w:t>
      </w:r>
      <w:r>
        <w:rPr>
          <w:rFonts w:ascii="Simplified Arabic" w:hAnsi="Simplified Arabic" w:cs="Simplified Arabic"/>
        </w:rPr>
        <w:t>ecosystem</w:t>
      </w:r>
      <w:r>
        <w:rPr>
          <w:rFonts w:ascii="Simplified Arabic" w:hAnsi="Simplified Arabic" w:cs="Simplified Arabic"/>
          <w:rtl/>
        </w:rPr>
        <w:t>) مثل الجاهزية المؤسسية، وتنمية المهارات، وتكامل البنية الرقمية. وهذا الطرح ينسجم مع ما سبق عرضه في المطلبين الثاني والثالث من هذا المبحث؛ إذ يوضح أن واقع التبني في السعودية يتشكل من تفاعل الفرص الكبيرة مع تحديات التنفيذ والنضج التنظيمي، وليس من أحدهما بمعزل عن الآخر.</w:t>
      </w:r>
    </w:p>
    <w:p w14:paraId="4B8362BA" w14:textId="77777777" w:rsidR="00E04FE4" w:rsidRPr="00E04FE4" w:rsidRDefault="00E04FE4" w:rsidP="00E04FE4">
      <w:pPr>
        <w:bidi/>
        <w:jc w:val="both"/>
        <w:rPr>
          <w:rFonts w:ascii="Simplified Arabic" w:hAnsi="Simplified Arabic" w:cs="Simplified Arabic"/>
          <w:b/>
          <w:bCs/>
          <w:rtl/>
        </w:rPr>
      </w:pPr>
      <w:r>
        <w:rPr>
          <w:rFonts w:ascii="Simplified Arabic" w:hAnsi="Simplified Arabic" w:cs="Simplified Arabic" w:hint="cs"/>
          <w:b/>
          <w:bCs/>
          <w:rtl/>
        </w:rPr>
        <w:t>ثانياً</w:t>
      </w:r>
      <w:r>
        <w:rPr>
          <w:rFonts w:ascii="Simplified Arabic" w:hAnsi="Simplified Arabic" w:cs="Simplified Arabic"/>
          <w:b/>
          <w:bCs/>
          <w:rtl/>
        </w:rPr>
        <w:t>: مؤشرات الواقع السعودي من زاوية الجاهزية والاهتمام المؤسسي</w:t>
      </w:r>
    </w:p>
    <w:p w14:paraId="0A6F4806"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يمكن قراءة واقع التبني في السعودية من خلال مؤشرات غير مباشرة لكنها ذات دلالة، أهمها:</w:t>
      </w:r>
    </w:p>
    <w:p w14:paraId="6A2AC879" w14:textId="77777777" w:rsidR="00E04FE4" w:rsidRPr="00E04FE4" w:rsidRDefault="00E04FE4">
      <w:pPr>
        <w:numPr>
          <w:ilvl w:val="0"/>
          <w:numId w:val="14"/>
        </w:numPr>
        <w:bidi/>
        <w:jc w:val="both"/>
        <w:rPr>
          <w:rFonts w:ascii="Simplified Arabic" w:hAnsi="Simplified Arabic" w:cs="Simplified Arabic"/>
          <w:rtl/>
        </w:rPr>
      </w:pPr>
      <w:r>
        <w:rPr>
          <w:rFonts w:ascii="Simplified Arabic" w:hAnsi="Simplified Arabic" w:cs="Simplified Arabic"/>
          <w:rtl/>
        </w:rPr>
        <w:t>الحضور المتزايد للذكاء الاصطناعي في الخطاب المؤسسي والمهني.</w:t>
      </w:r>
    </w:p>
    <w:p w14:paraId="0659AFF0" w14:textId="77777777" w:rsidR="00E04FE4" w:rsidRPr="00E04FE4" w:rsidRDefault="00E04FE4">
      <w:pPr>
        <w:numPr>
          <w:ilvl w:val="0"/>
          <w:numId w:val="14"/>
        </w:numPr>
        <w:bidi/>
        <w:jc w:val="both"/>
        <w:rPr>
          <w:rFonts w:ascii="Simplified Arabic" w:hAnsi="Simplified Arabic" w:cs="Simplified Arabic"/>
          <w:rtl/>
        </w:rPr>
      </w:pPr>
      <w:r>
        <w:rPr>
          <w:rFonts w:ascii="Simplified Arabic" w:hAnsi="Simplified Arabic" w:cs="Simplified Arabic"/>
          <w:rtl/>
        </w:rPr>
        <w:lastRenderedPageBreak/>
        <w:t>توسع الإرشادات والسياسات الوطنية المنظمة للاستخدام المسؤول.</w:t>
      </w:r>
    </w:p>
    <w:p w14:paraId="39BF45D5" w14:textId="77777777" w:rsidR="00E04FE4" w:rsidRPr="00E04FE4" w:rsidRDefault="00E04FE4">
      <w:pPr>
        <w:numPr>
          <w:ilvl w:val="0"/>
          <w:numId w:val="14"/>
        </w:numPr>
        <w:bidi/>
        <w:jc w:val="both"/>
        <w:rPr>
          <w:rFonts w:ascii="Simplified Arabic" w:hAnsi="Simplified Arabic" w:cs="Simplified Arabic"/>
          <w:rtl/>
        </w:rPr>
      </w:pPr>
      <w:r>
        <w:rPr>
          <w:rFonts w:ascii="Simplified Arabic" w:hAnsi="Simplified Arabic" w:cs="Simplified Arabic"/>
          <w:rtl/>
        </w:rPr>
        <w:t>تنامي النقاشات التطبيقية حول توظيف الذكاء الاصطناعي في التسويق والإعلام وصناعة المحتوى.</w:t>
      </w:r>
    </w:p>
    <w:p w14:paraId="79E6C654"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فوجود إرشادات وطنية للذكاء الاصطناعي التوليدي يعكس انتقال الاهتمام من مستوى “التعريف بالتقنية” إلى مستوى “تنظيم استخدامها وتوجيهه”، وهو مؤشر على نضج نسبي في البيئة المؤسسية المحيطة بالتبني (</w:t>
      </w:r>
      <w:r>
        <w:rPr>
          <w:rFonts w:ascii="Simplified Arabic" w:hAnsi="Simplified Arabic" w:cs="Simplified Arabic"/>
        </w:rPr>
        <w:t>SDAIA, 2024</w:t>
      </w:r>
      <w:r>
        <w:rPr>
          <w:rFonts w:ascii="Simplified Arabic" w:hAnsi="Simplified Arabic" w:cs="Simplified Arabic"/>
          <w:rtl/>
        </w:rPr>
        <w:t>). كما أن التقارير والمناقشات الإعلامية في السعودية تشير إلى تحوّل في الممارسة التسويقية من الاستهداف العام إلى مستويات أعلى من التخصيص، وهو تحول يزيد من جاذبية أدوات الذكاء الاصطناعي للتطبيق في المجال التسويقي (رمضان، 2025).</w:t>
      </w:r>
    </w:p>
    <w:p w14:paraId="25538F6F"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ولا يقتصر الأمر على الخطاب العام؛ إذ إن الأدبيات العربية ذات الصلة بالتسويق الرقمي تُظهر اتجاهاً واضحًا نحو دراسة أثر تطبيقات الذكاء الاصطناعي في الأداء والمزايا التنافسية، وهو ما يعكس تصاعد حضور الموضوع في البيئة الأكاديمية والمهنية العربية، ويشكّل خلفية داعمة لفهم تبني الوكالات السعودية للتقنية (الأسدودي، 2023؛ سماكة &amp; اللهيبي، 2024).</w:t>
      </w:r>
    </w:p>
    <w:p w14:paraId="11B2662D" w14:textId="77777777" w:rsidR="00E04FE4" w:rsidRPr="00E04FE4" w:rsidRDefault="00E04FE4" w:rsidP="00E04FE4">
      <w:pPr>
        <w:bidi/>
        <w:jc w:val="both"/>
        <w:rPr>
          <w:rFonts w:ascii="Simplified Arabic" w:hAnsi="Simplified Arabic" w:cs="Simplified Arabic"/>
          <w:b/>
          <w:bCs/>
          <w:rtl/>
        </w:rPr>
      </w:pPr>
      <w:r>
        <w:rPr>
          <w:rFonts w:ascii="Simplified Arabic" w:hAnsi="Simplified Arabic" w:cs="Simplified Arabic"/>
          <w:b/>
          <w:bCs/>
          <w:rtl/>
        </w:rPr>
        <w:t>ثا</w:t>
      </w:r>
      <w:r>
        <w:rPr>
          <w:rFonts w:ascii="Simplified Arabic" w:hAnsi="Simplified Arabic" w:cs="Simplified Arabic" w:hint="cs"/>
          <w:b/>
          <w:bCs/>
          <w:rtl/>
        </w:rPr>
        <w:t>لثاً</w:t>
      </w:r>
      <w:r>
        <w:rPr>
          <w:rFonts w:ascii="Simplified Arabic" w:hAnsi="Simplified Arabic" w:cs="Simplified Arabic"/>
          <w:b/>
          <w:bCs/>
          <w:rtl/>
        </w:rPr>
        <w:t>: واقع التبني في المجال التسويقي والإعلامي بوصفه مؤشرًا على بيئة الوكالات</w:t>
      </w:r>
    </w:p>
    <w:p w14:paraId="04067F74"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عند تضييق النظر من المستوى الوطني العام إلى المجال التسويقي والإعلامي، تتضح صورة أكثر دقة: فالتبني يظهر غالبًا بصورة وظيفية متدرجة، تبدأ باستخدامات تدعم الإنتاجية وصناعة المحتوى، ثم تتوسع نحو التخصيص وتحسين القرارات والعمليات. وتؤكد الأدبيات الحديثة في التسويق أن هذا النمط من التبني شائع في المؤسسات التي تبدأ بتطبيقات سهلة الدمج نسبيًا (كتوليد المحتوى والمساعدة في التصميم) قبل الانتقال إلى مستويات أكثر تعقيدًا ترتبط بتحليل البيانات والتكامل المؤسسي الأوسع (</w:t>
      </w:r>
      <w:r>
        <w:rPr>
          <w:rFonts w:ascii="Simplified Arabic" w:hAnsi="Simplified Arabic" w:cs="Simplified Arabic"/>
        </w:rPr>
        <w:t>Kshetri et al., 2023</w:t>
      </w:r>
      <w:r>
        <w:rPr>
          <w:rFonts w:ascii="Simplified Arabic" w:hAnsi="Simplified Arabic" w:cs="Simplified Arabic"/>
          <w:rtl/>
        </w:rPr>
        <w:t xml:space="preserve">؛ </w:t>
      </w:r>
      <w:r>
        <w:rPr>
          <w:rFonts w:ascii="Simplified Arabic" w:hAnsi="Simplified Arabic" w:cs="Simplified Arabic"/>
        </w:rPr>
        <w:t>Islam et al., 2024</w:t>
      </w:r>
      <w:r>
        <w:rPr>
          <w:rFonts w:ascii="Simplified Arabic" w:hAnsi="Simplified Arabic" w:cs="Simplified Arabic"/>
          <w:rtl/>
        </w:rPr>
        <w:t>).</w:t>
      </w:r>
    </w:p>
    <w:p w14:paraId="085433F9"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وفي السياق السعودي، تدعم بعض الدراسات التطبيقية هذه القراءة؛ إذ توضح وجود أثر لتطبيقات الذكاء الاصطناعي في تطوير الأداء التسويقي والابتكار التسويقي في بيئات أعمال محلية، بما يشير إلى أن التبني لم يعد محصورًا في الطرح النظري، بل أخذ طابعًا عمليًا في بعض القطاعات والمؤسسات (</w:t>
      </w:r>
      <w:r>
        <w:rPr>
          <w:rFonts w:ascii="Simplified Arabic" w:hAnsi="Simplified Arabic" w:cs="Simplified Arabic"/>
        </w:rPr>
        <w:t>Alotaibi &amp; Al Youbi, 2024</w:t>
      </w:r>
      <w:r>
        <w:rPr>
          <w:rFonts w:ascii="Simplified Arabic" w:hAnsi="Simplified Arabic" w:cs="Simplified Arabic"/>
          <w:rtl/>
        </w:rPr>
        <w:t xml:space="preserve">؛ </w:t>
      </w:r>
      <w:r>
        <w:rPr>
          <w:rFonts w:ascii="Simplified Arabic" w:hAnsi="Simplified Arabic" w:cs="Simplified Arabic"/>
        </w:rPr>
        <w:t>Aljabari et al., 2024</w:t>
      </w:r>
      <w:r>
        <w:rPr>
          <w:rFonts w:ascii="Simplified Arabic" w:hAnsi="Simplified Arabic" w:cs="Simplified Arabic"/>
          <w:rtl/>
        </w:rPr>
        <w:t xml:space="preserve">). كما أن دراسة </w:t>
      </w:r>
      <w:r>
        <w:rPr>
          <w:rFonts w:ascii="Simplified Arabic" w:hAnsi="Simplified Arabic" w:cs="Simplified Arabic"/>
        </w:rPr>
        <w:t>Ben Khalifa et al</w:t>
      </w:r>
      <w:r>
        <w:rPr>
          <w:rFonts w:ascii="Simplified Arabic" w:hAnsi="Simplified Arabic" w:cs="Simplified Arabic"/>
          <w:rtl/>
        </w:rPr>
        <w:t>. (2023) حول واقع استخدام تطبيقات الذكاء الاصطناعي في تطوير التسويق الإلكتروني في المملكة تشير إلى وجود حضور فعلي للتطبيقات الذكية، مع تفاوت في عمق الاستخدام ومستوى الاستفادة.</w:t>
      </w:r>
    </w:p>
    <w:p w14:paraId="215A9F17"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ومن المفيد هنا الإشارة إلى أن المجال الإعلامي السعودي والعربي—بحكم قربه من صناعة المحتوى—يمثل أيضًا مؤشرًا داعمًا لفهم بيئة التبني التسويقي؛ إذ تناولت تقارير ودراسات عربية مبكرًا فرص توظيف الذكاء الاصطناعي في الإعلام وصناعة المحتوى، بما في ذلك السياق السعودي، وهو ما يعكس استعدادًا متزايدًا لتقبل أدوات الإنتاج الذكي في المجالات الاتصالية والإبداعية (ملتقى أسبار، 2023؛ عبد الرازق، 2022).</w:t>
      </w:r>
    </w:p>
    <w:p w14:paraId="2C9601B5" w14:textId="3A847841" w:rsidR="00E04FE4" w:rsidRPr="00E04FE4" w:rsidRDefault="00915B55" w:rsidP="00E04FE4">
      <w:pPr>
        <w:bidi/>
        <w:jc w:val="both"/>
        <w:rPr>
          <w:rFonts w:ascii="Simplified Arabic" w:hAnsi="Simplified Arabic" w:cs="Simplified Arabic"/>
          <w:b/>
          <w:bCs/>
          <w:rtl/>
        </w:rPr>
      </w:pPr>
      <w:r>
        <w:rPr>
          <w:rFonts w:ascii="Simplified Arabic" w:hAnsi="Simplified Arabic" w:cs="Simplified Arabic" w:hint="cs"/>
          <w:b/>
          <w:bCs/>
          <w:rtl/>
        </w:rPr>
        <w:t>رابعاً</w:t>
      </w:r>
      <w:r>
        <w:rPr>
          <w:rFonts w:ascii="Simplified Arabic" w:hAnsi="Simplified Arabic" w:cs="Simplified Arabic"/>
          <w:b/>
          <w:bCs/>
          <w:rtl/>
        </w:rPr>
        <w:t>: فرص النمو في السوق المحلي وانعكاسها على الوكالات التسويقية</w:t>
      </w:r>
    </w:p>
    <w:p w14:paraId="11CC5A1E"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لا يقتصر واقع التبني في السعودية على وصف الوضع الحالي، بل يتضمن أيضًا فرص نمو واضحة تدفع نحو توسع الاستخدام في المرحلة المقبلة. ويمكن فهم هذه الفرص في ضوء ثلاثة اتجاهات رئيسة مترابطة:</w:t>
      </w:r>
    </w:p>
    <w:p w14:paraId="67A9F0CF"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1) نمو الطلب على التسويق الرقمي والمحتوى المتخصص</w:t>
      </w:r>
    </w:p>
    <w:p w14:paraId="7D883313"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تشير المؤشرات المهنية والإحصائية إلى استمرار نمو أهمية التسويق الرقمي واتساع قنواته وأدواته، بما يرفع الطلب على إنتاج محتوى متنوع وسريع وقابل للتخصيص (العتيبي، 2024؛ الفرّا، 2025). وهذا الاتجاه يزيد من القيمة العملية للأدوات التي تساعد الوكالات على توسيع القدرة الإنتاجية دون زيادة خطية في الوقت والجهد.</w:t>
      </w:r>
    </w:p>
    <w:p w14:paraId="6D1C6619"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lastRenderedPageBreak/>
        <w:t>2) تصاعد أهمية التخصيص وتجربة العميل</w:t>
      </w:r>
    </w:p>
    <w:p w14:paraId="7585B335"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تُظهر الأدبيات التسويقية الحديثة أن القيمة المتولدة من الذكاء الاصطناعي ترتبط بقوة بقدرته على تحسين التخصيص وملاءمة المحتوى والسلوك الاتصالي، وهو ما يجعل السوق السعودي—في ظل التحول نحو تسويق أكثر فردية—سوقًا مرشحًا للتوسع في هذه التطبيقات (</w:t>
      </w:r>
      <w:r>
        <w:rPr>
          <w:rFonts w:ascii="Simplified Arabic" w:hAnsi="Simplified Arabic" w:cs="Simplified Arabic"/>
        </w:rPr>
        <w:t>Mendoza et al., 2025</w:t>
      </w:r>
      <w:r>
        <w:rPr>
          <w:rFonts w:ascii="Simplified Arabic" w:hAnsi="Simplified Arabic" w:cs="Simplified Arabic"/>
          <w:rtl/>
        </w:rPr>
        <w:t>؛ رمضان، 2025). كما أن نتائج الدراسات المتعلقة بولاء العملاء الإلكتروني في السوق السعودي تدعم أهمية هذا المسار من زاوية المخرجات التسويقية طويلة الأثر (</w:t>
      </w:r>
      <w:r>
        <w:rPr>
          <w:rFonts w:ascii="Simplified Arabic" w:hAnsi="Simplified Arabic" w:cs="Simplified Arabic"/>
        </w:rPr>
        <w:t>Beyari, 2025</w:t>
      </w:r>
      <w:r>
        <w:rPr>
          <w:rFonts w:ascii="Simplified Arabic" w:hAnsi="Simplified Arabic" w:cs="Simplified Arabic"/>
          <w:rtl/>
        </w:rPr>
        <w:t>).</w:t>
      </w:r>
    </w:p>
    <w:p w14:paraId="2538E846" w14:textId="77777777" w:rsidR="00E04FE4" w:rsidRPr="00E04FE4" w:rsidRDefault="00E04FE4" w:rsidP="00E04FE4">
      <w:pPr>
        <w:bidi/>
        <w:jc w:val="both"/>
        <w:rPr>
          <w:rFonts w:ascii="Simplified Arabic" w:hAnsi="Simplified Arabic" w:cs="Simplified Arabic"/>
          <w:rtl/>
        </w:rPr>
      </w:pPr>
      <w:r>
        <w:rPr>
          <w:rFonts w:ascii="Simplified Arabic" w:hAnsi="Simplified Arabic" w:cs="Simplified Arabic"/>
          <w:rtl/>
        </w:rPr>
        <w:t>3) البيئة المؤسسية الداعمة للتحول الرقمي والذكاء الاصطناعي</w:t>
      </w:r>
    </w:p>
    <w:p w14:paraId="2DC449B5" w14:textId="07061CF3" w:rsidR="00E04FE4" w:rsidRDefault="00E04FE4" w:rsidP="00915B55">
      <w:pPr>
        <w:bidi/>
        <w:jc w:val="both"/>
        <w:rPr>
          <w:rFonts w:ascii="Simplified Arabic" w:hAnsi="Simplified Arabic" w:cs="Simplified Arabic"/>
          <w:rtl/>
        </w:rPr>
      </w:pPr>
      <w:r>
        <w:rPr>
          <w:rFonts w:ascii="Simplified Arabic" w:hAnsi="Simplified Arabic" w:cs="Simplified Arabic"/>
          <w:rtl/>
        </w:rPr>
        <w:t>إن وجود اهتمام وطني منظم بفرص الذكاء الاصطناعي التوليدي، مقرونًا بإرشادات استخدام ومسارات تطوير، يعزز ثقة المؤسسات في التوسع التدريجي بالتبني ويقلل من حالة الغموض التنظيمي التي قد تعيق الاستخدام (</w:t>
      </w:r>
      <w:r>
        <w:rPr>
          <w:rFonts w:ascii="Simplified Arabic" w:hAnsi="Simplified Arabic" w:cs="Simplified Arabic"/>
        </w:rPr>
        <w:t>SDAIA, 2024</w:t>
      </w:r>
      <w:r>
        <w:rPr>
          <w:rFonts w:ascii="Simplified Arabic" w:hAnsi="Simplified Arabic" w:cs="Simplified Arabic"/>
          <w:rtl/>
        </w:rPr>
        <w:t>). ومع أن هذا لا يلغي التحديات، فإنه يوفّر إطارًا داعمًا يسمح بنمو أكثر انتظامًا للتطبيقات، بما فيها التطبيقات التسويقية.</w:t>
      </w:r>
    </w:p>
    <w:p w14:paraId="74F4353C" w14:textId="77777777" w:rsidR="00915B55" w:rsidRPr="00915B55" w:rsidRDefault="00915B55" w:rsidP="00915B55">
      <w:pPr>
        <w:bidi/>
        <w:jc w:val="both"/>
        <w:rPr>
          <w:rFonts w:ascii="Simplified Arabic" w:hAnsi="Simplified Arabic" w:cs="Simplified Arabic"/>
          <w:rtl/>
        </w:rPr>
      </w:pPr>
    </w:p>
    <w:p w14:paraId="57AB4298" w14:textId="77777777" w:rsidR="00915B55" w:rsidRPr="00915B55" w:rsidRDefault="00915B55" w:rsidP="00915B55">
      <w:pPr>
        <w:bidi/>
        <w:spacing w:after="200" w:line="240" w:lineRule="auto"/>
        <w:rPr>
          <w:rFonts w:ascii="Simplified Arabic" w:hAnsi="Simplified Arabic" w:cs="Simplified Arabic"/>
          <w:b/>
          <w:bCs/>
          <w:rtl/>
        </w:rPr>
      </w:pPr>
      <w:r>
        <w:rPr>
          <w:rFonts w:ascii="Sakkal Majalla" w:hAnsi="Sakkal Majalla" w:cs="Sakkal Majalla" w:hint="cs"/>
          <w:b/>
          <w:bCs/>
          <w:color w:val="1F497D" w:themeColor="text2"/>
          <w:sz w:val="32"/>
          <w:szCs w:val="32"/>
          <w:u w:val="single"/>
          <w:rtl/>
        </w:rPr>
        <w:t>ال</w:t>
      </w:r>
      <w:r>
        <w:rPr>
          <w:rFonts w:ascii="Sakkal Majalla" w:hAnsi="Sakkal Majalla" w:cs="Sakkal Majalla"/>
          <w:b/>
          <w:bCs/>
          <w:color w:val="1F497D" w:themeColor="text2"/>
          <w:sz w:val="32"/>
          <w:szCs w:val="32"/>
          <w:u w:val="single"/>
          <w:rtl/>
        </w:rPr>
        <w:t>مبحث الثالث: أثر توظيف الذكاء الاصطناعي التوليدي في فعالية الأداء التسويقي</w:t>
      </w:r>
    </w:p>
    <w:p w14:paraId="6026AE8A" w14:textId="77777777" w:rsidR="00915B55" w:rsidRPr="00915B55" w:rsidRDefault="00915B55" w:rsidP="00915B55">
      <w:pPr>
        <w:bidi/>
        <w:jc w:val="both"/>
        <w:rPr>
          <w:rFonts w:ascii="Simplified Arabic" w:hAnsi="Simplified Arabic" w:cs="Simplified Arabic"/>
          <w:b/>
          <w:bCs/>
          <w:rtl/>
        </w:rPr>
      </w:pPr>
      <w:r>
        <w:rPr>
          <w:rFonts w:ascii="Simplified Arabic" w:hAnsi="Simplified Arabic" w:cs="Simplified Arabic"/>
          <w:b/>
          <w:bCs/>
          <w:rtl/>
        </w:rPr>
        <w:t>المطلب الأول: مفهوم الأداء التسويقي ومؤشراته</w:t>
      </w:r>
    </w:p>
    <w:p w14:paraId="4702BE7F"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يُعدّ الأداء التسويقي من المفاهيم المركزية في الأدبيات التسويقية المعاصرة؛ لأنه يمثّل المحصلة العملية للقرارات والاستراتيجيات والأنشطة التسويقية داخل المنظمة. ولا يقتصر هذا المفهوم على قياس نتائج البيع فقط، بل يمتد إلى قياس مدى نجاح الجهود التسويقية في تحقيق أهداف السوق، وبناء العلاقات مع العملاء، وتعزيز القيمة المتحققة للمنظمة على المدى القصير والطويل (</w:t>
      </w:r>
      <w:r>
        <w:rPr>
          <w:rFonts w:ascii="Simplified Arabic" w:hAnsi="Simplified Arabic" w:cs="Simplified Arabic"/>
        </w:rPr>
        <w:t>Sharabati et al., 2024</w:t>
      </w:r>
      <w:r>
        <w:rPr>
          <w:rFonts w:ascii="Simplified Arabic" w:hAnsi="Simplified Arabic" w:cs="Simplified Arabic"/>
          <w:rtl/>
        </w:rPr>
        <w:t>). ولهذا، فإن تناول الأداء التسويقي في الإطار النظري يتطلب ضبطًا مفاهيميًا ومؤشراتيًا يميز بين المفهوم العام وبين أبعاده القابلة للقياس.</w:t>
      </w:r>
    </w:p>
    <w:p w14:paraId="4F52EA39"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وتزداد أهمية هذا الضبط في البيئة الرقمية؛ إذ لم تعد نتائج التسويق تُقاس فقط بمؤشرات تقليدية عامة، بل أصبحت مرتبطة بمؤشرات أكثر دقة وسرعة مثل التحويل، والتفاعل، والولاء الرقمي، والعائد على الاستثمار التسويقي، وهي مؤشرات تتأثر بنوعية المحتوى، ودرجة التخصيص، وسرعة التعديل والتحسين أثناء الحملة (</w:t>
      </w:r>
      <w:r>
        <w:rPr>
          <w:rFonts w:ascii="Simplified Arabic" w:hAnsi="Simplified Arabic" w:cs="Simplified Arabic"/>
        </w:rPr>
        <w:t>Islam et al., 2024</w:t>
      </w:r>
      <w:r>
        <w:rPr>
          <w:rFonts w:ascii="Simplified Arabic" w:hAnsi="Simplified Arabic" w:cs="Simplified Arabic"/>
          <w:rtl/>
        </w:rPr>
        <w:t xml:space="preserve">؛ </w:t>
      </w:r>
      <w:r>
        <w:rPr>
          <w:rFonts w:ascii="Simplified Arabic" w:hAnsi="Simplified Arabic" w:cs="Simplified Arabic"/>
        </w:rPr>
        <w:t>Mendoza et al., 2025</w:t>
      </w:r>
      <w:r>
        <w:rPr>
          <w:rFonts w:ascii="Simplified Arabic" w:hAnsi="Simplified Arabic" w:cs="Simplified Arabic"/>
          <w:rtl/>
        </w:rPr>
        <w:t>). كما أن الأدبيات التي تناولت الذكاء الاصطناعي في التسويق تؤكد أن تقييم أثر التقنيات الحديثة لا يكون ذا معنى ما لم يُترجم إلى مؤشرات أداء واضحة ومحددة (</w:t>
      </w:r>
      <w:r>
        <w:rPr>
          <w:rFonts w:ascii="Simplified Arabic" w:hAnsi="Simplified Arabic" w:cs="Simplified Arabic"/>
        </w:rPr>
        <w:t>Kshetri et al., 2023</w:t>
      </w:r>
      <w:r>
        <w:rPr>
          <w:rFonts w:ascii="Simplified Arabic" w:hAnsi="Simplified Arabic" w:cs="Simplified Arabic"/>
          <w:rtl/>
        </w:rPr>
        <w:t>).</w:t>
      </w:r>
    </w:p>
    <w:p w14:paraId="3AF06F9D" w14:textId="77777777" w:rsidR="00915B55" w:rsidRPr="00915B55" w:rsidRDefault="00915B55" w:rsidP="00915B55">
      <w:pPr>
        <w:bidi/>
        <w:jc w:val="both"/>
        <w:rPr>
          <w:rFonts w:ascii="Simplified Arabic" w:hAnsi="Simplified Arabic" w:cs="Simplified Arabic"/>
          <w:b/>
          <w:bCs/>
          <w:rtl/>
        </w:rPr>
      </w:pPr>
      <w:r>
        <w:rPr>
          <w:rFonts w:ascii="Simplified Arabic" w:hAnsi="Simplified Arabic" w:cs="Simplified Arabic"/>
          <w:b/>
          <w:bCs/>
          <w:rtl/>
        </w:rPr>
        <w:t>تعريف الأداء التسويقي وأبرز مؤشرات قياسه</w:t>
      </w:r>
      <w:r>
        <w:rPr>
          <w:rFonts w:ascii="Simplified Arabic" w:hAnsi="Simplified Arabic" w:cs="Simplified Arabic" w:hint="cs"/>
          <w:b/>
          <w:bCs/>
          <w:rtl/>
        </w:rPr>
        <w:t xml:space="preserve"> </w:t>
      </w:r>
    </w:p>
    <w:p w14:paraId="34F6AAE2"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يمكن تعريف الأداء التسويقي بأنه مستوى نجاح الأنشطة والقرارات التسويقية في تحقيق الأهداف المستهدفة، من خلال نتائج قابلة للقياس تتعلق بالسوق والعملاء والعائد الاقتصادي. ويُفهم من هذا التعريف أن الأداء التسويقي ليس مؤشرًا واحدًا، بل بناء مركب يجمع بين نتائج مالية وسوقية وسلوكية وعلاقاتية، تختلف أهميتها بحسب طبيعة النشاط والمنصة والسوق المستهدف (</w:t>
      </w:r>
      <w:r>
        <w:rPr>
          <w:rFonts w:ascii="Simplified Arabic" w:hAnsi="Simplified Arabic" w:cs="Simplified Arabic"/>
        </w:rPr>
        <w:t>Masnita et al., 2024</w:t>
      </w:r>
      <w:r>
        <w:rPr>
          <w:rFonts w:ascii="Simplified Arabic" w:hAnsi="Simplified Arabic" w:cs="Simplified Arabic"/>
          <w:rtl/>
        </w:rPr>
        <w:t>).</w:t>
      </w:r>
    </w:p>
    <w:p w14:paraId="76067990"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 xml:space="preserve">وفي الأدبيات التطبيقية، يُستخدم الأداء التسويقي بوصفه مقياسًا لفاعلية الاستراتيجية التسويقية وقدرتها على تحويل الموارد والأنشطة إلى نتائج ملموسة. وقد بينت دراسات عربية أن تطبيقات الذكاء الاصطناعي في المجال التسويقي ترتبط بتحسين </w:t>
      </w:r>
      <w:r>
        <w:rPr>
          <w:rFonts w:ascii="Simplified Arabic" w:hAnsi="Simplified Arabic" w:cs="Simplified Arabic"/>
          <w:rtl/>
        </w:rPr>
        <w:lastRenderedPageBreak/>
        <w:t>بعض مخرجات الأداء التسويقي في البيئات التطبيقية، بما يدعم أهمية هذا المتغير في الدراسات التي تبحث أثر التبني التقني على النتائج التسويقية (سماكة &amp; اللهيبي، 2024؛ الأسدودي، 2023)</w:t>
      </w:r>
      <w:r>
        <w:rPr>
          <w:rFonts w:ascii="Simplified Arabic" w:hAnsi="Simplified Arabic" w:cs="Simplified Arabic" w:hint="cs"/>
          <w:rtl/>
        </w:rPr>
        <w:t>، و</w:t>
      </w:r>
      <w:r>
        <w:rPr>
          <w:rFonts w:ascii="Simplified Arabic" w:hAnsi="Simplified Arabic" w:cs="Simplified Arabic"/>
          <w:rtl/>
        </w:rPr>
        <w:t>يمكن تنظيم أبرز مؤشرات الأداء التسويقي في المؤشرات الآتية:</w:t>
      </w:r>
    </w:p>
    <w:p w14:paraId="717284DE"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1) حصة السوق</w:t>
      </w:r>
      <w:r>
        <w:rPr>
          <w:rFonts w:ascii="Simplified Arabic" w:hAnsi="Simplified Arabic" w:cs="Simplified Arabic" w:hint="cs"/>
          <w:rtl/>
        </w:rPr>
        <w:t xml:space="preserve"> </w:t>
      </w:r>
    </w:p>
    <w:p w14:paraId="516026B8"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تمثل حصة السوق أحد المؤشرات الكلاسيكية المهمة للأداء التسويقي، إذ تعبّر عن نسبة استحواذ المنظمة أو العلامة التجارية على السوق مقارنة بالمنافسين خلال فترة زمنية معينة. وتُعد الحصة السوقية مؤشرًا ذا قيمة تحليلية لأنه لا يعكس فقط حجم المبيعات، بل يعكس أيضًا القدرة التنافسية وفعالية الاستراتيجية التسويقية في جذب الطلب والحفاظ عليه (</w:t>
      </w:r>
      <w:r>
        <w:rPr>
          <w:rFonts w:ascii="Simplified Arabic" w:hAnsi="Simplified Arabic" w:cs="Simplified Arabic"/>
        </w:rPr>
        <w:t>Sharabati et al., 2024</w:t>
      </w:r>
      <w:r>
        <w:rPr>
          <w:rFonts w:ascii="Simplified Arabic" w:hAnsi="Simplified Arabic" w:cs="Simplified Arabic"/>
          <w:rtl/>
        </w:rPr>
        <w:t>).</w:t>
      </w:r>
    </w:p>
    <w:p w14:paraId="70BA343C"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2) معدل التحويل</w:t>
      </w:r>
      <w:r>
        <w:rPr>
          <w:rFonts w:ascii="Simplified Arabic" w:hAnsi="Simplified Arabic" w:cs="Simplified Arabic" w:hint="cs"/>
          <w:rtl/>
        </w:rPr>
        <w:t xml:space="preserve"> </w:t>
      </w:r>
    </w:p>
    <w:p w14:paraId="3272E85F"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يُعد معدل التحويل من أكثر المؤشرات ارتباطًا بالأداء في البيئة الرقمية، لأنه يقيس نسبة الأفراد الذين انتقلوا من التفاعل أو الزيارة إلى تنفيذ السلوك المستهدف (مثل الشراء، التسجيل، طلب الخدمة، أو تعبئة نموذج). وتنبع أهميته من كونه يعكس فعالية الرسالة التسويقية، وجودة الاستهداف، وملاءمة المحتوى، وكفاءة تجربة المستخدم في آنٍ واحد (</w:t>
      </w:r>
      <w:r>
        <w:rPr>
          <w:rFonts w:ascii="Simplified Arabic" w:hAnsi="Simplified Arabic" w:cs="Simplified Arabic"/>
        </w:rPr>
        <w:t>Islam et al., 2024</w:t>
      </w:r>
      <w:r>
        <w:rPr>
          <w:rFonts w:ascii="Simplified Arabic" w:hAnsi="Simplified Arabic" w:cs="Simplified Arabic"/>
          <w:rtl/>
        </w:rPr>
        <w:t>).</w:t>
      </w:r>
    </w:p>
    <w:p w14:paraId="7D4940AD"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وفي سياق الحملات الرقمية، يُعد هذا المؤشر حساسًا بدرجة كبيرة لجودة تصميم الرسالة وتخصيصها؛ لذلك كثيرًا ما يُستخدم في الدراسات والتطبيقات العملية بوصفه مؤشرًا مباشرًا على فاعلية الحملة، لا سيما عند المقارنة بين بدائل محتوى أو استراتيجيات استهداف مختلفة (</w:t>
      </w:r>
      <w:r>
        <w:rPr>
          <w:rFonts w:ascii="Simplified Arabic" w:hAnsi="Simplified Arabic" w:cs="Simplified Arabic"/>
        </w:rPr>
        <w:t>Mendoza et al., 2025</w:t>
      </w:r>
      <w:r>
        <w:rPr>
          <w:rFonts w:ascii="Simplified Arabic" w:hAnsi="Simplified Arabic" w:cs="Simplified Arabic"/>
          <w:rtl/>
        </w:rPr>
        <w:t>).</w:t>
      </w:r>
    </w:p>
    <w:p w14:paraId="7E432794"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3) العائد على الاستثمار التسويقي</w:t>
      </w:r>
    </w:p>
    <w:p w14:paraId="715246FC"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يعكس العائد على الاستثمار التسويقي مدى كفاءة الإنفاق التسويقي في توليد قيمة أو عائد مقارنة بالتكلفة. ويُعد هذا المؤشر مهمًا لأنه يربط الأداء التسويقي بالبعد الاقتصادي والإداري، ويتيح تقييمًا أكثر دقة لجدوى الحملات والأنشطة التسويقية، خاصة في البيئات التي تتطلب تبريرًا مستمرًا للإنفاق وقياسًا واضحًا للمردود (</w:t>
      </w:r>
      <w:r>
        <w:rPr>
          <w:rFonts w:ascii="Simplified Arabic" w:hAnsi="Simplified Arabic" w:cs="Simplified Arabic"/>
        </w:rPr>
        <w:t>Nuremberg Institute for Market Decisions, 2024</w:t>
      </w:r>
      <w:r>
        <w:rPr>
          <w:rFonts w:ascii="Simplified Arabic" w:hAnsi="Simplified Arabic" w:cs="Simplified Arabic"/>
          <w:rtl/>
        </w:rPr>
        <w:t>).</w:t>
      </w:r>
    </w:p>
    <w:p w14:paraId="7C7A12E0"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4) رضا العملاء</w:t>
      </w:r>
      <w:r>
        <w:rPr>
          <w:rFonts w:ascii="Simplified Arabic" w:hAnsi="Simplified Arabic" w:cs="Simplified Arabic" w:hint="cs"/>
          <w:rtl/>
        </w:rPr>
        <w:t xml:space="preserve"> </w:t>
      </w:r>
    </w:p>
    <w:p w14:paraId="723319C7"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يمثل رضا العملاء بُعدًا سلوكيًا/إدراكيًا مهمًا في الأداء التسويقي، لأنه يعكس تقييم العميل لتجربته مع الرسائل التسويقية والعلامة التجارية والخدمة أو المنتج. ورغم أن الرضا يتأثر بعوامل متعددة، فإن الأنشطة التسويقية—خاصة في البيئة الرقمية—تسهم في تشكيله من خلال جودة المحتوى، وملاءمة الرسائل، وسهولة التفاعل، ووضوح القيمة المقدمة (</w:t>
      </w:r>
      <w:r>
        <w:rPr>
          <w:rFonts w:ascii="Simplified Arabic" w:hAnsi="Simplified Arabic" w:cs="Simplified Arabic"/>
        </w:rPr>
        <w:t>Alotaibi &amp; Al Youbi, 2024</w:t>
      </w:r>
      <w:r>
        <w:rPr>
          <w:rFonts w:ascii="Simplified Arabic" w:hAnsi="Simplified Arabic" w:cs="Simplified Arabic"/>
          <w:rtl/>
        </w:rPr>
        <w:t>).</w:t>
      </w:r>
    </w:p>
    <w:p w14:paraId="2D70D19E"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 xml:space="preserve">5) ولاء العملاء </w:t>
      </w:r>
      <w:r>
        <w:rPr>
          <w:rFonts w:ascii="Simplified Arabic" w:hAnsi="Simplified Arabic" w:cs="Simplified Arabic" w:hint="cs"/>
          <w:rtl/>
        </w:rPr>
        <w:t xml:space="preserve"> </w:t>
      </w:r>
    </w:p>
    <w:p w14:paraId="5C266AA5"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يُعد الولاء من المؤشرات المتقدمة نسبيًا في تقييم الأداء التسويقي، لأنه يعكس استدامة العلاقة بين العميل والعلامة التجارية، وليس مجرد الاستجابة العابرة لحملة أو رسالة محددة. ويظهر الولاء في صور متعددة مثل تكرار الشراء، والاستمرار في التفاعل، وتفضيل العلامة التجارية، والدفاع عنها أو التوصية بها (</w:t>
      </w:r>
      <w:r>
        <w:rPr>
          <w:rFonts w:ascii="Simplified Arabic" w:hAnsi="Simplified Arabic" w:cs="Simplified Arabic"/>
        </w:rPr>
        <w:t>Beyari, 2025</w:t>
      </w:r>
      <w:r>
        <w:rPr>
          <w:rFonts w:ascii="Simplified Arabic" w:hAnsi="Simplified Arabic" w:cs="Simplified Arabic"/>
          <w:rtl/>
        </w:rPr>
        <w:t>).</w:t>
      </w:r>
    </w:p>
    <w:p w14:paraId="48D62A63" w14:textId="77777777" w:rsidR="00915B55" w:rsidRDefault="00915B55" w:rsidP="00915B55">
      <w:pPr>
        <w:bidi/>
        <w:jc w:val="both"/>
        <w:rPr>
          <w:rFonts w:ascii="Simplified Arabic" w:hAnsi="Simplified Arabic" w:cs="Simplified Arabic"/>
          <w:rtl/>
        </w:rPr>
      </w:pPr>
      <w:r>
        <w:rPr>
          <w:rFonts w:ascii="Simplified Arabic" w:hAnsi="Simplified Arabic" w:cs="Simplified Arabic"/>
          <w:rtl/>
        </w:rPr>
        <w:lastRenderedPageBreak/>
        <w:t>وفي الأدبيات الحديثة، يكتسب هذا المؤشر أهمية خاصة عند دراسة أثر الذكاء الاصطناعي في التسويق، لأن التخصيص وتحسين تجربة التفاعل—وهما من أبرز وعود الذكاء الاصطناعي التوليدي—يفترض أن يسهما، عند الاستخدام الفعال، في تحسين مؤشرات الولاء على المدى المتوسط والطويل (</w:t>
      </w:r>
      <w:r>
        <w:rPr>
          <w:rFonts w:ascii="Simplified Arabic" w:hAnsi="Simplified Arabic" w:cs="Simplified Arabic"/>
        </w:rPr>
        <w:t>Wang et al., 2025</w:t>
      </w:r>
      <w:r>
        <w:rPr>
          <w:rFonts w:ascii="Simplified Arabic" w:hAnsi="Simplified Arabic" w:cs="Simplified Arabic"/>
          <w:rtl/>
        </w:rPr>
        <w:t>).</w:t>
      </w:r>
    </w:p>
    <w:p w14:paraId="7F653A2A" w14:textId="77777777" w:rsidR="00915B55" w:rsidRPr="00915B55" w:rsidRDefault="00915B55" w:rsidP="00915B55">
      <w:pPr>
        <w:bidi/>
        <w:jc w:val="both"/>
        <w:rPr>
          <w:rFonts w:ascii="Simplified Arabic" w:hAnsi="Simplified Arabic" w:cs="Simplified Arabic"/>
          <w:rtl/>
        </w:rPr>
      </w:pPr>
    </w:p>
    <w:p w14:paraId="5B24E7C3" w14:textId="77777777" w:rsidR="00915B55" w:rsidRPr="00915B55" w:rsidRDefault="00915B55" w:rsidP="00915B55">
      <w:pPr>
        <w:bidi/>
        <w:jc w:val="both"/>
        <w:rPr>
          <w:rFonts w:ascii="Simplified Arabic" w:hAnsi="Simplified Arabic" w:cs="Simplified Arabic"/>
          <w:b/>
          <w:bCs/>
          <w:rtl/>
        </w:rPr>
      </w:pPr>
      <w:r>
        <w:rPr>
          <w:rFonts w:ascii="Simplified Arabic" w:hAnsi="Simplified Arabic" w:cs="Simplified Arabic"/>
          <w:b/>
          <w:bCs/>
          <w:rtl/>
        </w:rPr>
        <w:t>المطلب الثاني: أبعاد الأداء التسويقي في البيئة الرقمية</w:t>
      </w:r>
    </w:p>
    <w:p w14:paraId="31DC0ED7"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يمكن تناول أبعاد الأداء التسويقي في البيئة الرقمية ضمن بناء تحليلي متكامل يجمع بين البعد التشغيلي، والبعد التفاعلي/السلوكي، والبعد الاقتصادي/النتائجي، والبعد العلاقاتي طويل الأجل.</w:t>
      </w:r>
    </w:p>
    <w:p w14:paraId="62321044" w14:textId="77777777" w:rsidR="00915B55" w:rsidRPr="00915B55" w:rsidRDefault="00915B55" w:rsidP="00915B55">
      <w:pPr>
        <w:bidi/>
        <w:jc w:val="both"/>
        <w:rPr>
          <w:rFonts w:ascii="Simplified Arabic" w:hAnsi="Simplified Arabic" w:cs="Simplified Arabic"/>
          <w:b/>
          <w:bCs/>
          <w:rtl/>
        </w:rPr>
      </w:pPr>
      <w:r>
        <w:rPr>
          <w:rFonts w:ascii="Simplified Arabic" w:hAnsi="Simplified Arabic" w:cs="Simplified Arabic"/>
          <w:b/>
          <w:bCs/>
          <w:rtl/>
        </w:rPr>
        <w:t>أولًا: البعد التشغيلي للأداء التسويقي الرقمي</w:t>
      </w:r>
    </w:p>
    <w:p w14:paraId="35A6E974"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يقصد بالبعد التشغيلي مستوى كفاءة تنفيذ الأنشطة التسويقية الرقمية من حيث السرعة، والانسيابية، والقدرة على إدارة المحتوى والحملات عبر القنوات المختلفة. ويكتسب هذا البعد أهمية خاصة في البيئة الرقمية لأن المنافسة لا ترتبط فقط بجودة الفكرة التسويقية، بل أيضًا بسرعة تحويلها إلى محتوى منشور، ثم إلى تعديلات وتحسينات متتابعة أثناء الحملة. وتشير الأدبيات إلى أن التحول الرقمي وتوظيف الأدوات الذكية يعززان هذا البعد عندما يسهمان في تقليص زمن الإنجاز وتحسين اتساق العمليات (</w:t>
      </w:r>
      <w:r>
        <w:rPr>
          <w:rFonts w:ascii="Simplified Arabic" w:hAnsi="Simplified Arabic" w:cs="Simplified Arabic"/>
        </w:rPr>
        <w:t>Heitmann, 2024</w:t>
      </w:r>
      <w:r>
        <w:rPr>
          <w:rFonts w:ascii="Simplified Arabic" w:hAnsi="Simplified Arabic" w:cs="Simplified Arabic"/>
          <w:rtl/>
        </w:rPr>
        <w:t>).</w:t>
      </w:r>
    </w:p>
    <w:p w14:paraId="5F56DE6E"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ومن الناحية التطبيقية، يُقاس هذا البعد في التسويق الرقمي بمؤشرات تشغيلية مثل:</w:t>
      </w:r>
    </w:p>
    <w:p w14:paraId="22A01341" w14:textId="77777777" w:rsidR="00915B55" w:rsidRPr="00915B55" w:rsidRDefault="00915B55">
      <w:pPr>
        <w:numPr>
          <w:ilvl w:val="0"/>
          <w:numId w:val="15"/>
        </w:numPr>
        <w:bidi/>
        <w:jc w:val="both"/>
        <w:rPr>
          <w:rFonts w:ascii="Simplified Arabic" w:hAnsi="Simplified Arabic" w:cs="Simplified Arabic"/>
          <w:rtl/>
        </w:rPr>
      </w:pPr>
      <w:r>
        <w:rPr>
          <w:rFonts w:ascii="Simplified Arabic" w:hAnsi="Simplified Arabic" w:cs="Simplified Arabic"/>
          <w:rtl/>
        </w:rPr>
        <w:t>زمن إنتاج المحتوى أو تجهيز الحملة.</w:t>
      </w:r>
    </w:p>
    <w:p w14:paraId="720F70AA" w14:textId="77777777" w:rsidR="00915B55" w:rsidRPr="00915B55" w:rsidRDefault="00915B55">
      <w:pPr>
        <w:numPr>
          <w:ilvl w:val="0"/>
          <w:numId w:val="15"/>
        </w:numPr>
        <w:bidi/>
        <w:jc w:val="both"/>
        <w:rPr>
          <w:rFonts w:ascii="Simplified Arabic" w:hAnsi="Simplified Arabic" w:cs="Simplified Arabic"/>
          <w:rtl/>
        </w:rPr>
      </w:pPr>
      <w:r>
        <w:rPr>
          <w:rFonts w:ascii="Simplified Arabic" w:hAnsi="Simplified Arabic" w:cs="Simplified Arabic"/>
          <w:rtl/>
        </w:rPr>
        <w:t>سرعة الاستجابة للتعديلات أثناء التنفيذ.</w:t>
      </w:r>
    </w:p>
    <w:p w14:paraId="5562119C" w14:textId="77777777" w:rsidR="00915B55" w:rsidRPr="00915B55" w:rsidRDefault="00915B55">
      <w:pPr>
        <w:numPr>
          <w:ilvl w:val="0"/>
          <w:numId w:val="15"/>
        </w:numPr>
        <w:bidi/>
        <w:jc w:val="both"/>
        <w:rPr>
          <w:rFonts w:ascii="Simplified Arabic" w:hAnsi="Simplified Arabic" w:cs="Simplified Arabic"/>
          <w:rtl/>
        </w:rPr>
      </w:pPr>
      <w:r>
        <w:rPr>
          <w:rFonts w:ascii="Simplified Arabic" w:hAnsi="Simplified Arabic" w:cs="Simplified Arabic"/>
          <w:rtl/>
        </w:rPr>
        <w:t>عدد البدائل الإبداعية التي يمكن إنتاجها واختبارها ضمن إطار زمني محدد.</w:t>
      </w:r>
    </w:p>
    <w:p w14:paraId="2E4A5E39" w14:textId="77777777" w:rsidR="00915B55" w:rsidRPr="00915B55" w:rsidRDefault="00915B55">
      <w:pPr>
        <w:numPr>
          <w:ilvl w:val="0"/>
          <w:numId w:val="15"/>
        </w:numPr>
        <w:bidi/>
        <w:jc w:val="both"/>
        <w:rPr>
          <w:rFonts w:ascii="Simplified Arabic" w:hAnsi="Simplified Arabic" w:cs="Simplified Arabic"/>
          <w:rtl/>
        </w:rPr>
      </w:pPr>
      <w:r>
        <w:rPr>
          <w:rFonts w:ascii="Simplified Arabic" w:hAnsi="Simplified Arabic" w:cs="Simplified Arabic"/>
          <w:rtl/>
        </w:rPr>
        <w:t>معدل الالتزام بخطة النشر والتنفيذ عبر القنوات.</w:t>
      </w:r>
    </w:p>
    <w:p w14:paraId="760D6E4C"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وهذه المؤشرات قد لا تمثل “النتيجة السوقية” النهائية مباشرة، لكنها تؤثر بقوة في قدرة المؤسسة على تحسين الأداء اللاحق؛ لأن الكفاءة التشغيلية ترفع قابلية التعلم والتحسين المستمر أثناء الحملة (</w:t>
      </w:r>
      <w:r>
        <w:rPr>
          <w:rFonts w:ascii="Simplified Arabic" w:hAnsi="Simplified Arabic" w:cs="Simplified Arabic"/>
        </w:rPr>
        <w:t>Nuremberg Institute for Market Decisions, 2024</w:t>
      </w:r>
      <w:r>
        <w:rPr>
          <w:rFonts w:ascii="Simplified Arabic" w:hAnsi="Simplified Arabic" w:cs="Simplified Arabic"/>
          <w:rtl/>
        </w:rPr>
        <w:t>).</w:t>
      </w:r>
    </w:p>
    <w:p w14:paraId="7C4D3F49" w14:textId="77777777" w:rsidR="00915B55" w:rsidRPr="00915B55" w:rsidRDefault="00915B55" w:rsidP="00915B55">
      <w:pPr>
        <w:bidi/>
        <w:jc w:val="both"/>
        <w:rPr>
          <w:rFonts w:ascii="Simplified Arabic" w:hAnsi="Simplified Arabic" w:cs="Simplified Arabic"/>
          <w:b/>
          <w:bCs/>
          <w:rtl/>
        </w:rPr>
      </w:pPr>
      <w:r>
        <w:rPr>
          <w:rFonts w:ascii="Simplified Arabic" w:hAnsi="Simplified Arabic" w:cs="Simplified Arabic"/>
          <w:b/>
          <w:bCs/>
          <w:rtl/>
        </w:rPr>
        <w:t>ثانيًا: البعد التفاعلي والسلوكي في البيئة الرقمية</w:t>
      </w:r>
    </w:p>
    <w:p w14:paraId="3A81C017"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يمثل هذا البعد مستوى استجابة الجمهور للمحتوى والرسائل والحملات الرقمية، وهو من أكثر الأبعاد حساسية للتغيرات في جودة المحتوى، وملاءمة الرسالة، والتخصيص، وتوقيت النشر. وفي البيئة الرقمية، تظهر قيمة هذا البعد في أنه يوفّر مؤشرات مبكرة ومباشرة نسبيًا حول فاعلية الحملة، ما يتيح إجراء تعديلات سريعة قبل انتهاء الحملة أو قبل تراكم آثار الأداء الضعيف (</w:t>
      </w:r>
      <w:r>
        <w:rPr>
          <w:rFonts w:ascii="Simplified Arabic" w:hAnsi="Simplified Arabic" w:cs="Simplified Arabic"/>
        </w:rPr>
        <w:t>Islam et al., 2024</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ويشمل هذا البعد مؤشرات مثل:</w:t>
      </w:r>
    </w:p>
    <w:p w14:paraId="1EB313D7" w14:textId="77777777" w:rsidR="00915B55" w:rsidRPr="00915B55" w:rsidRDefault="00915B55">
      <w:pPr>
        <w:numPr>
          <w:ilvl w:val="0"/>
          <w:numId w:val="16"/>
        </w:numPr>
        <w:bidi/>
        <w:jc w:val="both"/>
        <w:rPr>
          <w:rFonts w:ascii="Simplified Arabic" w:hAnsi="Simplified Arabic" w:cs="Simplified Arabic"/>
          <w:rtl/>
        </w:rPr>
      </w:pPr>
      <w:r>
        <w:rPr>
          <w:rFonts w:ascii="Simplified Arabic" w:hAnsi="Simplified Arabic" w:cs="Simplified Arabic"/>
          <w:rtl/>
        </w:rPr>
        <w:t>معدلات التفاعل مع المحتوى (مثل النقر، المشاركة، التعليق، الحفظ بحسب طبيعة المنصة).</w:t>
      </w:r>
    </w:p>
    <w:p w14:paraId="570CDEA5" w14:textId="77777777" w:rsidR="00915B55" w:rsidRPr="00915B55" w:rsidRDefault="00915B55">
      <w:pPr>
        <w:numPr>
          <w:ilvl w:val="0"/>
          <w:numId w:val="16"/>
        </w:numPr>
        <w:bidi/>
        <w:jc w:val="both"/>
        <w:rPr>
          <w:rFonts w:ascii="Simplified Arabic" w:hAnsi="Simplified Arabic" w:cs="Simplified Arabic"/>
          <w:rtl/>
        </w:rPr>
      </w:pPr>
      <w:r>
        <w:rPr>
          <w:rFonts w:ascii="Simplified Arabic" w:hAnsi="Simplified Arabic" w:cs="Simplified Arabic"/>
          <w:rtl/>
        </w:rPr>
        <w:t>معدل التحويل إلى السلوك المستهدف (شراء، تسجيل، طلب خدمة، تعبئة نموذج).</w:t>
      </w:r>
    </w:p>
    <w:p w14:paraId="23C63AFB" w14:textId="77777777" w:rsidR="00915B55" w:rsidRPr="00915B55" w:rsidRDefault="00915B55">
      <w:pPr>
        <w:numPr>
          <w:ilvl w:val="0"/>
          <w:numId w:val="16"/>
        </w:numPr>
        <w:bidi/>
        <w:jc w:val="both"/>
        <w:rPr>
          <w:rFonts w:ascii="Simplified Arabic" w:hAnsi="Simplified Arabic" w:cs="Simplified Arabic"/>
          <w:rtl/>
        </w:rPr>
      </w:pPr>
      <w:r>
        <w:rPr>
          <w:rFonts w:ascii="Simplified Arabic" w:hAnsi="Simplified Arabic" w:cs="Simplified Arabic"/>
          <w:rtl/>
        </w:rPr>
        <w:t>معدلات الاستجابة للعروض أو الرسائل المخصصة.</w:t>
      </w:r>
    </w:p>
    <w:p w14:paraId="06D17D43" w14:textId="77777777" w:rsidR="00915B55" w:rsidRPr="00915B55" w:rsidRDefault="00915B55">
      <w:pPr>
        <w:numPr>
          <w:ilvl w:val="0"/>
          <w:numId w:val="16"/>
        </w:numPr>
        <w:bidi/>
        <w:jc w:val="both"/>
        <w:rPr>
          <w:rFonts w:ascii="Simplified Arabic" w:hAnsi="Simplified Arabic" w:cs="Simplified Arabic"/>
          <w:rtl/>
        </w:rPr>
      </w:pPr>
      <w:r>
        <w:rPr>
          <w:rFonts w:ascii="Simplified Arabic" w:hAnsi="Simplified Arabic" w:cs="Simplified Arabic"/>
          <w:rtl/>
        </w:rPr>
        <w:lastRenderedPageBreak/>
        <w:t>مؤشرات جودة التفاعل (مثل عمق التفاعل أو استمراريته، بحسب ما تتيحه المنصة).</w:t>
      </w:r>
    </w:p>
    <w:p w14:paraId="2DBF3128"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وتُظهر الأدبيات أن هذا البعد يرتبط بدرجة كبيرة بقدرة التسويق الرقمي على إنتاج رسائل أكثر ملاءمة للجمهور، وهو ما يجعل التخصيص وجودة التصميم الإبداعي عاملين مؤثرين في تفسير نتائجه (</w:t>
      </w:r>
      <w:r>
        <w:rPr>
          <w:rFonts w:ascii="Simplified Arabic" w:hAnsi="Simplified Arabic" w:cs="Simplified Arabic"/>
        </w:rPr>
        <w:t>Mendoza et al., 2025</w:t>
      </w:r>
      <w:r>
        <w:rPr>
          <w:rFonts w:ascii="Simplified Arabic" w:hAnsi="Simplified Arabic" w:cs="Simplified Arabic"/>
          <w:rtl/>
        </w:rPr>
        <w:t xml:space="preserve">؛ </w:t>
      </w:r>
      <w:r>
        <w:rPr>
          <w:rFonts w:ascii="Simplified Arabic" w:hAnsi="Simplified Arabic" w:cs="Simplified Arabic"/>
        </w:rPr>
        <w:t>Wang et al., 2025</w:t>
      </w:r>
      <w:r>
        <w:rPr>
          <w:rFonts w:ascii="Simplified Arabic" w:hAnsi="Simplified Arabic" w:cs="Simplified Arabic"/>
          <w:rtl/>
        </w:rPr>
        <w:t>). لذلك يُعد هذا البعد جسرًا مهمًا بين عناصر الحملة (المحتوى، الرسالة، التخصيص) وبين مؤشرات الأداء الأكثر نهائية.</w:t>
      </w:r>
    </w:p>
    <w:p w14:paraId="1ACD9FC1" w14:textId="77777777" w:rsidR="00915B55" w:rsidRPr="00915B55" w:rsidRDefault="00915B55" w:rsidP="00915B55">
      <w:pPr>
        <w:bidi/>
        <w:jc w:val="both"/>
        <w:rPr>
          <w:rFonts w:ascii="Simplified Arabic" w:hAnsi="Simplified Arabic" w:cs="Simplified Arabic"/>
          <w:b/>
          <w:bCs/>
          <w:rtl/>
        </w:rPr>
      </w:pPr>
      <w:r>
        <w:rPr>
          <w:rFonts w:ascii="Simplified Arabic" w:hAnsi="Simplified Arabic" w:cs="Simplified Arabic"/>
          <w:b/>
          <w:bCs/>
          <w:rtl/>
        </w:rPr>
        <w:t>ثالثًا: البعد الاقتصادي والنتائجي للأداء التسويقي</w:t>
      </w:r>
    </w:p>
    <w:p w14:paraId="5D7668E2"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يقيس هذا البعد ما إذا كانت الأنشطة التسويقية الرقمية تُترجم إلى قيمة اقتصادية أو نتائج أعمال ملموسة، مثل نمو المبيعات، وتحسن العائد، وكفاءة الإنفاق التسويقي. وتنبع أهميته من أنه يربط الأداء التسويقي بالإدارة الاستراتيجية للموارد، ويتيح تقييم جدوى الأنشطة والحملات بعيدًا عن الاكتفاء بمؤشرات التفاعل الظاهر (</w:t>
      </w:r>
      <w:r>
        <w:rPr>
          <w:rFonts w:ascii="Simplified Arabic" w:hAnsi="Simplified Arabic" w:cs="Simplified Arabic"/>
        </w:rPr>
        <w:t>Sharabati et al., 2024</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وفي التسويق الرقمي، يتجسد هذا البعد غالبًا عبر مؤشرات من أبرزها:</w:t>
      </w:r>
    </w:p>
    <w:p w14:paraId="22A281AB" w14:textId="77777777" w:rsidR="00915B55" w:rsidRPr="00915B55" w:rsidRDefault="00915B55">
      <w:pPr>
        <w:numPr>
          <w:ilvl w:val="0"/>
          <w:numId w:val="17"/>
        </w:numPr>
        <w:bidi/>
        <w:jc w:val="both"/>
        <w:rPr>
          <w:rFonts w:ascii="Simplified Arabic" w:hAnsi="Simplified Arabic" w:cs="Simplified Arabic"/>
          <w:rtl/>
        </w:rPr>
      </w:pPr>
      <w:r>
        <w:rPr>
          <w:rFonts w:ascii="Simplified Arabic" w:hAnsi="Simplified Arabic" w:cs="Simplified Arabic"/>
          <w:rtl/>
        </w:rPr>
        <w:t>العائد على الاستثمار التسويقي (</w:t>
      </w:r>
      <w:r>
        <w:rPr>
          <w:rFonts w:ascii="Simplified Arabic" w:hAnsi="Simplified Arabic" w:cs="Simplified Arabic"/>
        </w:rPr>
        <w:t>Marketing ROI</w:t>
      </w:r>
      <w:r>
        <w:rPr>
          <w:rFonts w:ascii="Simplified Arabic" w:hAnsi="Simplified Arabic" w:cs="Simplified Arabic"/>
          <w:rtl/>
        </w:rPr>
        <w:t>): لقياس مردود الحملات مقارنة بالتكلفة.</w:t>
      </w:r>
    </w:p>
    <w:p w14:paraId="4F552F3F" w14:textId="77777777" w:rsidR="00915B55" w:rsidRPr="00915B55" w:rsidRDefault="00915B55">
      <w:pPr>
        <w:numPr>
          <w:ilvl w:val="0"/>
          <w:numId w:val="17"/>
        </w:numPr>
        <w:bidi/>
        <w:jc w:val="both"/>
        <w:rPr>
          <w:rFonts w:ascii="Simplified Arabic" w:hAnsi="Simplified Arabic" w:cs="Simplified Arabic"/>
          <w:rtl/>
        </w:rPr>
      </w:pPr>
      <w:r>
        <w:rPr>
          <w:rFonts w:ascii="Simplified Arabic" w:hAnsi="Simplified Arabic" w:cs="Simplified Arabic"/>
          <w:rtl/>
        </w:rPr>
        <w:t>تكلفة التحويل أو تكلفة اكتساب العميل (بحسب طبيعة النشاط وبيانات القياس المتاحة).</w:t>
      </w:r>
    </w:p>
    <w:p w14:paraId="12027196" w14:textId="77777777" w:rsidR="00915B55" w:rsidRPr="00915B55" w:rsidRDefault="00915B55">
      <w:pPr>
        <w:numPr>
          <w:ilvl w:val="0"/>
          <w:numId w:val="17"/>
        </w:numPr>
        <w:bidi/>
        <w:jc w:val="both"/>
        <w:rPr>
          <w:rFonts w:ascii="Simplified Arabic" w:hAnsi="Simplified Arabic" w:cs="Simplified Arabic"/>
          <w:rtl/>
        </w:rPr>
      </w:pPr>
      <w:r>
        <w:rPr>
          <w:rFonts w:ascii="Simplified Arabic" w:hAnsi="Simplified Arabic" w:cs="Simplified Arabic"/>
          <w:rtl/>
        </w:rPr>
        <w:t>مساهمة الحملات في نمو المبيعات أو الطلبات خلال فترة زمنية محددة.</w:t>
      </w:r>
    </w:p>
    <w:p w14:paraId="02CC37FA" w14:textId="77777777" w:rsidR="00915B55" w:rsidRPr="00915B55" w:rsidRDefault="00915B55">
      <w:pPr>
        <w:numPr>
          <w:ilvl w:val="0"/>
          <w:numId w:val="17"/>
        </w:numPr>
        <w:bidi/>
        <w:jc w:val="both"/>
        <w:rPr>
          <w:rFonts w:ascii="Simplified Arabic" w:hAnsi="Simplified Arabic" w:cs="Simplified Arabic"/>
          <w:rtl/>
        </w:rPr>
      </w:pPr>
      <w:r>
        <w:rPr>
          <w:rFonts w:ascii="Simplified Arabic" w:hAnsi="Simplified Arabic" w:cs="Simplified Arabic"/>
          <w:rtl/>
        </w:rPr>
        <w:t>تحسن كفاءة الإنفاق الإعلاني عبر مقارنة نتائج القنوات أو الرسائل المختلفة.</w:t>
      </w:r>
    </w:p>
    <w:p w14:paraId="6F8C12F0"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وتزداد أهمية هذا البعد عند تقييم أثر الذكاء الاصطناعي في التسويق؛ لأن كثيرًا من الوعود المرتبطة بالتقنية تتمحور حول تحسين الكفاءة وتقليل الهدر ورفع القيمة المتحققة من الإنفاق التسويقي. وبالتالي، فإن تحليل الأداء دون هذا البعد قد يُظهر تحسنًا في التفاعل أو السرعة دون التحقق من جدواه الاقتصادية الفعلية (</w:t>
      </w:r>
      <w:r>
        <w:rPr>
          <w:rFonts w:ascii="Simplified Arabic" w:hAnsi="Simplified Arabic" w:cs="Simplified Arabic"/>
        </w:rPr>
        <w:t>Kshetri et al., 2023</w:t>
      </w:r>
      <w:r>
        <w:rPr>
          <w:rFonts w:ascii="Simplified Arabic" w:hAnsi="Simplified Arabic" w:cs="Simplified Arabic"/>
          <w:rtl/>
        </w:rPr>
        <w:t xml:space="preserve">؛ </w:t>
      </w:r>
      <w:r>
        <w:rPr>
          <w:rFonts w:ascii="Simplified Arabic" w:hAnsi="Simplified Arabic" w:cs="Simplified Arabic"/>
        </w:rPr>
        <w:t>Nuremberg Institute for Market Decisions, 2024</w:t>
      </w:r>
      <w:r>
        <w:rPr>
          <w:rFonts w:ascii="Simplified Arabic" w:hAnsi="Simplified Arabic" w:cs="Simplified Arabic"/>
          <w:rtl/>
        </w:rPr>
        <w:t>).</w:t>
      </w:r>
    </w:p>
    <w:p w14:paraId="6BBF65F7" w14:textId="77777777" w:rsidR="00915B55" w:rsidRPr="00915B55" w:rsidRDefault="00915B55" w:rsidP="00915B55">
      <w:pPr>
        <w:bidi/>
        <w:jc w:val="both"/>
        <w:rPr>
          <w:rFonts w:ascii="Simplified Arabic" w:hAnsi="Simplified Arabic" w:cs="Simplified Arabic"/>
          <w:b/>
          <w:bCs/>
          <w:rtl/>
        </w:rPr>
      </w:pPr>
      <w:r>
        <w:rPr>
          <w:rFonts w:ascii="Simplified Arabic" w:hAnsi="Simplified Arabic" w:cs="Simplified Arabic"/>
          <w:b/>
          <w:bCs/>
          <w:rtl/>
        </w:rPr>
        <w:t>رابعًا: البعد العلاقاتي طويل الأجل</w:t>
      </w:r>
    </w:p>
    <w:p w14:paraId="28B7B157"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لا يقتصر الأداء التسويقي في البيئة الرقمية على النتائج الفورية للحملات، بل يشمل أيضًا أثر الأنشطة التسويقية في بناء علاقة مستدامة مع العملاء والجمهور. ويعبّر هذا البعد عن قدرة الجهود التسويقية على تعزيز الثقة، والرضا، والارتباط بالعلامة التجارية، بما ينعكس على الاستمرارية والولاء على المدى المتوسط والطويل (</w:t>
      </w:r>
      <w:r>
        <w:rPr>
          <w:rFonts w:ascii="Simplified Arabic" w:hAnsi="Simplified Arabic" w:cs="Simplified Arabic"/>
        </w:rPr>
        <w:t>Beyari, 2025</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ويُقاس هذا البعد من خلال مؤشرات مثل:</w:t>
      </w:r>
    </w:p>
    <w:p w14:paraId="2A1B0CC8" w14:textId="77777777" w:rsidR="00915B55" w:rsidRPr="00915B55" w:rsidRDefault="00915B55">
      <w:pPr>
        <w:numPr>
          <w:ilvl w:val="0"/>
          <w:numId w:val="18"/>
        </w:numPr>
        <w:bidi/>
        <w:jc w:val="both"/>
        <w:rPr>
          <w:rFonts w:ascii="Simplified Arabic" w:hAnsi="Simplified Arabic" w:cs="Simplified Arabic"/>
          <w:rtl/>
        </w:rPr>
      </w:pPr>
      <w:r>
        <w:rPr>
          <w:rFonts w:ascii="Simplified Arabic" w:hAnsi="Simplified Arabic" w:cs="Simplified Arabic"/>
          <w:rtl/>
        </w:rPr>
        <w:t>رضا العملاء عن التجربة الاتصالية أو التسويقية.</w:t>
      </w:r>
    </w:p>
    <w:p w14:paraId="6AC614A5" w14:textId="77777777" w:rsidR="00915B55" w:rsidRPr="00915B55" w:rsidRDefault="00915B55">
      <w:pPr>
        <w:numPr>
          <w:ilvl w:val="0"/>
          <w:numId w:val="18"/>
        </w:numPr>
        <w:bidi/>
        <w:jc w:val="both"/>
        <w:rPr>
          <w:rFonts w:ascii="Simplified Arabic" w:hAnsi="Simplified Arabic" w:cs="Simplified Arabic"/>
          <w:rtl/>
        </w:rPr>
      </w:pPr>
      <w:r>
        <w:rPr>
          <w:rFonts w:ascii="Simplified Arabic" w:hAnsi="Simplified Arabic" w:cs="Simplified Arabic"/>
          <w:rtl/>
        </w:rPr>
        <w:t>مؤشرات الولاء (مثل تكرار التعامل أو الاستمرار في التفاعل).</w:t>
      </w:r>
    </w:p>
    <w:p w14:paraId="4C12DC6D" w14:textId="77777777" w:rsidR="00915B55" w:rsidRPr="00915B55" w:rsidRDefault="00915B55">
      <w:pPr>
        <w:numPr>
          <w:ilvl w:val="0"/>
          <w:numId w:val="18"/>
        </w:numPr>
        <w:bidi/>
        <w:jc w:val="both"/>
        <w:rPr>
          <w:rFonts w:ascii="Simplified Arabic" w:hAnsi="Simplified Arabic" w:cs="Simplified Arabic"/>
          <w:rtl/>
        </w:rPr>
      </w:pPr>
      <w:r>
        <w:rPr>
          <w:rFonts w:ascii="Simplified Arabic" w:hAnsi="Simplified Arabic" w:cs="Simplified Arabic"/>
          <w:rtl/>
        </w:rPr>
        <w:t>الميل إلى التوصية بالعلامة التجارية أو تفضيلها.</w:t>
      </w:r>
    </w:p>
    <w:p w14:paraId="0A9F1D63" w14:textId="77777777" w:rsidR="00915B55" w:rsidRPr="00915B55" w:rsidRDefault="00915B55">
      <w:pPr>
        <w:numPr>
          <w:ilvl w:val="0"/>
          <w:numId w:val="18"/>
        </w:numPr>
        <w:bidi/>
        <w:jc w:val="both"/>
        <w:rPr>
          <w:rFonts w:ascii="Simplified Arabic" w:hAnsi="Simplified Arabic" w:cs="Simplified Arabic"/>
          <w:rtl/>
        </w:rPr>
      </w:pPr>
      <w:r>
        <w:rPr>
          <w:rFonts w:ascii="Simplified Arabic" w:hAnsi="Simplified Arabic" w:cs="Simplified Arabic"/>
          <w:rtl/>
        </w:rPr>
        <w:t>مؤشرات الاحتفاظ بالعملاء (بحسب طبيعة القطاع والبيانات المتاحة).</w:t>
      </w:r>
    </w:p>
    <w:p w14:paraId="15372600"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 xml:space="preserve">وتكمن أهمية هذا البعد في أنه يقدّم قراءة أعمق لفعالية الأداء؛ إذ قد تحقق حملة رقمية نتائج تحويل جيدة على المدى القصير، لكنها لا تبني علاقة إيجابية أو مستدامة مع العملاء. كما أن الأدبيات الحديثة تشير إلى أن جودة التخصيص وشفافية </w:t>
      </w:r>
      <w:r>
        <w:rPr>
          <w:rFonts w:ascii="Simplified Arabic" w:hAnsi="Simplified Arabic" w:cs="Simplified Arabic"/>
          <w:rtl/>
        </w:rPr>
        <w:lastRenderedPageBreak/>
        <w:t>التواصل تؤثر في تشكيل الثقة والاستجابة طويلة الأجل، وهو ما يمنح هذا البعد أهمية خاصة عند مناقشة أثر التطبيقات الذكية والتوليدية في التسويق (</w:t>
      </w:r>
      <w:r>
        <w:rPr>
          <w:rFonts w:ascii="Simplified Arabic" w:hAnsi="Simplified Arabic" w:cs="Simplified Arabic"/>
        </w:rPr>
        <w:t>Wang et al., 2025</w:t>
      </w:r>
      <w:r>
        <w:rPr>
          <w:rFonts w:ascii="Simplified Arabic" w:hAnsi="Simplified Arabic" w:cs="Simplified Arabic"/>
          <w:rtl/>
        </w:rPr>
        <w:t>).</w:t>
      </w:r>
    </w:p>
    <w:p w14:paraId="7FB988F7" w14:textId="77777777" w:rsidR="00915B55" w:rsidRPr="00915B55" w:rsidRDefault="00915B55" w:rsidP="00915B55">
      <w:pPr>
        <w:bidi/>
        <w:jc w:val="both"/>
        <w:rPr>
          <w:rFonts w:ascii="Simplified Arabic" w:hAnsi="Simplified Arabic" w:cs="Simplified Arabic"/>
          <w:b/>
          <w:bCs/>
          <w:rtl/>
        </w:rPr>
      </w:pPr>
      <w:r>
        <w:rPr>
          <w:rFonts w:ascii="Simplified Arabic" w:hAnsi="Simplified Arabic" w:cs="Simplified Arabic"/>
          <w:b/>
          <w:bCs/>
          <w:rtl/>
        </w:rPr>
        <w:t>خصائص قياس الأداء التسويقي في البيئة الرقمية</w:t>
      </w:r>
    </w:p>
    <w:p w14:paraId="0BC86A10"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إلى جانب تحديد الأبعاد، من المهم الإشارة إلى أن قياس الأداء في البيئة الرقمية يتميز بخصائص تجعل التعامل معه مختلفًا عن القياس في البيئات التقليدية. وأبرز هذه الخصائص تتمثل في:</w:t>
      </w:r>
    </w:p>
    <w:p w14:paraId="2299A4E2"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1) السرعة والتتابع الزمني للنتائج</w:t>
      </w:r>
    </w:p>
    <w:p w14:paraId="7B5726FF"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تظهر كثير من مؤشرات الأداء الرقمي بسرعة، ما يسمح بمتابعة الأداء أثناء تنفيذ الحملة لا بعد انتهائها فقط. وهذه الخاصية تمنح القياس دورًا تشغيليًا وتحسينيًا، وليس مجرد دور تقويمي لاحق</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Beyari, 2025</w:t>
      </w:r>
      <w:r>
        <w:rPr>
          <w:rFonts w:ascii="Simplified Arabic" w:hAnsi="Simplified Arabic" w:cs="Simplified Arabic"/>
          <w:rtl/>
        </w:rPr>
        <w:t>).</w:t>
      </w:r>
    </w:p>
    <w:p w14:paraId="59800DFB"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2) كثافة البيانات وتعدد المؤشرات</w:t>
      </w:r>
    </w:p>
    <w:p w14:paraId="20A52E14"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تُنتج الحملات الرقمية حجمًا كبيرًا من البيانات والمؤشرات، وهو ما يتيح فرصًا أكبر للتحليل، لكنه يفرض في المقابل حاجة إلى انتقاء المؤشرات الأكثر ارتباطًا بأهداف الحملة وبالبعد المراد قياسه، حتى لا يتحول القياس إلى تراكم أرقام دون دلالة تفسيرية (</w:t>
      </w:r>
      <w:r>
        <w:rPr>
          <w:rFonts w:ascii="Simplified Arabic" w:hAnsi="Simplified Arabic" w:cs="Simplified Arabic"/>
        </w:rPr>
        <w:t>Masnita et al., 2024</w:t>
      </w:r>
      <w:r>
        <w:rPr>
          <w:rFonts w:ascii="Simplified Arabic" w:hAnsi="Simplified Arabic" w:cs="Simplified Arabic"/>
          <w:rtl/>
        </w:rPr>
        <w:t>).</w:t>
      </w:r>
    </w:p>
    <w:p w14:paraId="7BE56B36"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3) ترابط الأبعاد وعدم كفاية المؤشر الواحد</w:t>
      </w:r>
    </w:p>
    <w:p w14:paraId="2B4EEE6E"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في البيئة الرقمية، قد يتحسن بُعد معين (مثل التفاعل) دون تحسن مماثل في بُعد آخر (مثل العائد الاقتصادي أو الولاء)، لذلك تتطلب القراءة الدقيقة للأداء الجمع بين مؤشرات متعددة تمثل أبعادًا مختلفة، بدل الاعتماد على مؤشر منفرد بوصفه ممثلًا كاملًا للأداء</w:t>
      </w:r>
      <w:r>
        <w:rPr>
          <w:rFonts w:ascii="Simplified Arabic" w:hAnsi="Simplified Arabic" w:cs="Simplified Arabic" w:hint="cs"/>
          <w:rtl/>
        </w:rPr>
        <w:t xml:space="preserve"> </w:t>
      </w:r>
      <w:r>
        <w:rPr>
          <w:rFonts w:ascii="Simplified Arabic" w:hAnsi="Simplified Arabic" w:cs="Simplified Arabic"/>
          <w:rtl/>
        </w:rPr>
        <w:t xml:space="preserve"> (</w:t>
      </w:r>
      <w:r>
        <w:rPr>
          <w:rFonts w:ascii="Simplified Arabic" w:hAnsi="Simplified Arabic" w:cs="Simplified Arabic"/>
        </w:rPr>
        <w:t>Islam et al., 2024</w:t>
      </w:r>
      <w:r>
        <w:rPr>
          <w:rFonts w:ascii="Simplified Arabic" w:hAnsi="Simplified Arabic" w:cs="Simplified Arabic" w:hint="cs"/>
          <w:rtl/>
        </w:rPr>
        <w:t>).</w:t>
      </w:r>
    </w:p>
    <w:p w14:paraId="0E1DB686"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4) حساسية القياس لجودة التخصيص والمحتوى</w:t>
      </w:r>
    </w:p>
    <w:p w14:paraId="24EFEDE0"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ترتبط مؤشرات الأداء الرقمي بدرجة عالية بجودة تصميم الرسائل والمحتوى وملاءمتهما للجمهور والقناة؛ ولذلك فإن التغير في جودة التنفيذ الإبداعي قد ينعكس سريعًا على مؤشرات التفاعل والتحويل. وهذه الخاصية تمنح العلاقة بين تصميم الحملة والأداء أهمية تحليلية خاصة في الأدبيات الحديثة للتسويق الرقمي (</w:t>
      </w:r>
      <w:r>
        <w:rPr>
          <w:rFonts w:ascii="Simplified Arabic" w:hAnsi="Simplified Arabic" w:cs="Simplified Arabic"/>
        </w:rPr>
        <w:t>Islam et al., 2024</w:t>
      </w:r>
      <w:r>
        <w:rPr>
          <w:rFonts w:ascii="Simplified Arabic" w:hAnsi="Simplified Arabic" w:cs="Simplified Arabic"/>
          <w:rtl/>
        </w:rPr>
        <w:t xml:space="preserve">؛ </w:t>
      </w:r>
      <w:r>
        <w:rPr>
          <w:rFonts w:ascii="Simplified Arabic" w:hAnsi="Simplified Arabic" w:cs="Simplified Arabic"/>
        </w:rPr>
        <w:t>Mendoza et al., 2025</w:t>
      </w:r>
      <w:r>
        <w:rPr>
          <w:rFonts w:ascii="Simplified Arabic" w:hAnsi="Simplified Arabic" w:cs="Simplified Arabic"/>
          <w:rtl/>
        </w:rPr>
        <w:t>).</w:t>
      </w:r>
    </w:p>
    <w:p w14:paraId="238570E2" w14:textId="77777777" w:rsidR="00915B55" w:rsidRPr="00915B55" w:rsidRDefault="00915B55" w:rsidP="00915B55">
      <w:pPr>
        <w:bidi/>
        <w:jc w:val="both"/>
        <w:rPr>
          <w:rFonts w:ascii="Simplified Arabic" w:hAnsi="Simplified Arabic" w:cs="Simplified Arabic"/>
          <w:rtl/>
        </w:rPr>
      </w:pPr>
    </w:p>
    <w:p w14:paraId="51486505" w14:textId="77777777" w:rsidR="00915B55" w:rsidRPr="00915B55" w:rsidRDefault="00915B55" w:rsidP="00915B55">
      <w:pPr>
        <w:bidi/>
        <w:jc w:val="both"/>
        <w:rPr>
          <w:rFonts w:ascii="Simplified Arabic" w:hAnsi="Simplified Arabic" w:cs="Simplified Arabic"/>
          <w:b/>
          <w:bCs/>
          <w:rtl/>
        </w:rPr>
      </w:pPr>
      <w:r>
        <w:rPr>
          <w:rFonts w:ascii="Simplified Arabic" w:hAnsi="Simplified Arabic" w:cs="Simplified Arabic"/>
          <w:b/>
          <w:bCs/>
          <w:rtl/>
        </w:rPr>
        <w:t>المطلب الثالث: العلاقة بين الذكاء الاصطناعي التوليدي والأداء التسويقي</w:t>
      </w:r>
    </w:p>
    <w:p w14:paraId="61583F44" w14:textId="77777777" w:rsidR="00915B55" w:rsidRPr="00915B55" w:rsidRDefault="00915B55" w:rsidP="00915B55">
      <w:pPr>
        <w:bidi/>
        <w:jc w:val="both"/>
        <w:rPr>
          <w:rFonts w:ascii="Simplified Arabic" w:hAnsi="Simplified Arabic" w:cs="Simplified Arabic"/>
          <w:b/>
          <w:bCs/>
          <w:rtl/>
        </w:rPr>
      </w:pPr>
      <w:r>
        <w:rPr>
          <w:rFonts w:ascii="Simplified Arabic" w:hAnsi="Simplified Arabic" w:cs="Simplified Arabic" w:hint="cs"/>
          <w:b/>
          <w:bCs/>
          <w:rtl/>
        </w:rPr>
        <w:t xml:space="preserve">أولاً: توضيح مسارات </w:t>
      </w:r>
      <w:r>
        <w:rPr>
          <w:rFonts w:ascii="Simplified Arabic" w:hAnsi="Simplified Arabic" w:cs="Simplified Arabic"/>
          <w:b/>
          <w:bCs/>
          <w:rtl/>
        </w:rPr>
        <w:t>أثر الذكاء الاصطناعي التوليدي في فعالية الأداء التسويقي</w:t>
      </w:r>
    </w:p>
    <w:p w14:paraId="117FF45D"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يمكن تفسير أثر الذكاء الاصطناعي التوليدي في فعالية الأداء التسويقي من خلال ثلاثة مسارات وظيفية مترابطة ظهرت بصورة متكررة في الأدبيات:</w:t>
      </w:r>
    </w:p>
    <w:p w14:paraId="74CE5365"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مسار التوليد الإبداعي للمحتوى،</w:t>
      </w:r>
      <w:r>
        <w:rPr>
          <w:rFonts w:ascii="Simplified Arabic" w:hAnsi="Simplified Arabic" w:cs="Simplified Arabic" w:hint="cs"/>
          <w:rtl/>
        </w:rPr>
        <w:t xml:space="preserve"> </w:t>
      </w:r>
      <w:r>
        <w:rPr>
          <w:rFonts w:ascii="Simplified Arabic" w:hAnsi="Simplified Arabic" w:cs="Simplified Arabic"/>
          <w:rtl/>
        </w:rPr>
        <w:t>مسار التخصيص والاستهداف،</w:t>
      </w:r>
      <w:r>
        <w:rPr>
          <w:rFonts w:ascii="Simplified Arabic" w:hAnsi="Simplified Arabic" w:cs="Simplified Arabic" w:hint="cs"/>
          <w:rtl/>
        </w:rPr>
        <w:t xml:space="preserve"> </w:t>
      </w:r>
      <w:r>
        <w:rPr>
          <w:rFonts w:ascii="Simplified Arabic" w:hAnsi="Simplified Arabic" w:cs="Simplified Arabic"/>
          <w:rtl/>
        </w:rPr>
        <w:t>مسار التحليل والتحسين المستمر للقرارات.</w:t>
      </w:r>
    </w:p>
    <w:p w14:paraId="2A625210"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ولا تعمل هذه المسارات بصورة منفصلة؛ بل تتفاعل داخل الحملة الرقمية، بحيث قد يبدأ الأثر من تحسين سرعة وجودة إنتاج المحتوى، ثم يمتد إلى رفع ملاءمة الرسائل، ثم ينعكس على جودة القرارات أثناء التنفيذ، وهو ما يدعم في النهاية فعالية الأداء التسويقي عبر أبعاده المختلفة (</w:t>
      </w:r>
      <w:r>
        <w:rPr>
          <w:rFonts w:ascii="Simplified Arabic" w:hAnsi="Simplified Arabic" w:cs="Simplified Arabic"/>
        </w:rPr>
        <w:t>Islam et al., 2024</w:t>
      </w:r>
      <w:r>
        <w:rPr>
          <w:rFonts w:ascii="Simplified Arabic" w:hAnsi="Simplified Arabic" w:cs="Simplified Arabic"/>
          <w:rtl/>
        </w:rPr>
        <w:t>).</w:t>
      </w:r>
    </w:p>
    <w:p w14:paraId="18F2F9C5"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Pr>
        <w:lastRenderedPageBreak/>
        <w:t>1</w:t>
      </w:r>
      <w:r>
        <w:rPr>
          <w:rFonts w:ascii="Simplified Arabic" w:hAnsi="Simplified Arabic" w:cs="Simplified Arabic" w:hint="cs"/>
          <w:rtl/>
        </w:rPr>
        <w:t xml:space="preserve">. </w:t>
      </w:r>
      <w:r>
        <w:rPr>
          <w:rFonts w:ascii="Simplified Arabic" w:hAnsi="Simplified Arabic" w:cs="Simplified Arabic"/>
          <w:rtl/>
        </w:rPr>
        <w:t>مسار التوليد الإبداعي للمحتوى وأثره في فعالية الأداء</w:t>
      </w:r>
    </w:p>
    <w:p w14:paraId="3C64B8C2"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يتمثل أحد أبرز أوجه تأثير الذكاء الاصطناعي التوليدي في التسويق في قدرته على دعم إنتاج المحتوى النصي والبصري بسرعة أعلى وببدائل أكثر مقارنة بالأساليب التقليدية. وتوضح الأدبيات أن هذه القدرة لا تقتصر على تقليل الزمن، بل توسّع مساحة التجريب الإبداعي، وتمكّن الفرق التسويقية من اختبار صيغ متعددة للرسالة والعرض والقالب البصري قبل اعتماد النسخة النهائية (</w:t>
      </w:r>
      <w:r>
        <w:rPr>
          <w:rFonts w:ascii="Simplified Arabic" w:hAnsi="Simplified Arabic" w:cs="Simplified Arabic"/>
        </w:rPr>
        <w:t>Heitmann, 2024</w:t>
      </w:r>
      <w:r>
        <w:rPr>
          <w:rFonts w:ascii="Simplified Arabic" w:hAnsi="Simplified Arabic" w:cs="Simplified Arabic"/>
          <w:rtl/>
        </w:rPr>
        <w:t xml:space="preserve">؛ </w:t>
      </w:r>
      <w:r>
        <w:rPr>
          <w:rFonts w:ascii="Simplified Arabic" w:hAnsi="Simplified Arabic" w:cs="Simplified Arabic"/>
        </w:rPr>
        <w:t>Gujar &amp; Panyam, 2024</w:t>
      </w:r>
      <w:r>
        <w:rPr>
          <w:rFonts w:ascii="Simplified Arabic" w:hAnsi="Simplified Arabic" w:cs="Simplified Arabic"/>
          <w:rtl/>
        </w:rPr>
        <w:t>).</w:t>
      </w:r>
    </w:p>
    <w:p w14:paraId="7F10BB2C"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ومن منظور الأداء التسويقي، ينعكس هذا المسار على الفعالية عبر أكثر من مستوى. فإتاحة عدد أكبر من البدائل الإبداعية خلال وقت أقصر قد ترفع احتمال الوصول إلى رسالة أكثر وضوحًا أو جاذبية أو مواءمة للجمهور والقناة، وهو ما يؤثر لاحقًا في مؤشرات مثل التفاعل والتحويل. كما أن تحسين سرعة إنتاج المحتوى وتعديله أثناء الحملة يدعم البعد التشغيلي للأداء، ويزيد من قدرة الفريق على الاستجابة للتغيرات دون تعطيل مسار التنفيذ (</w:t>
      </w:r>
      <w:r>
        <w:rPr>
          <w:rFonts w:ascii="Simplified Arabic" w:hAnsi="Simplified Arabic" w:cs="Simplified Arabic"/>
        </w:rPr>
        <w:t>Kshetri et al., 2023</w:t>
      </w:r>
      <w:r>
        <w:rPr>
          <w:rFonts w:ascii="Simplified Arabic" w:hAnsi="Simplified Arabic" w:cs="Simplified Arabic"/>
          <w:rtl/>
        </w:rPr>
        <w:t>).</w:t>
      </w:r>
    </w:p>
    <w:p w14:paraId="3FE978E0"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وفي هذا السياق، تشير أدبيات التسويق التوليدي إلى أن القيمة الحقيقية لا تتحقق من “الإنتاج الآلي” وحده، بل من الجمع بين التوليد السريع والتحرير البشري المنضبط. لذلك فإن أثر هذا المسار على الأداء يكون أقوى عندما تُستخدم الأدوات داخل دورة عمل تشمل التوجيه والمراجعة والاعتماد، بما يحافظ على جودة الرسالة واتساقها مع هوية العلامة التجارية (</w:t>
      </w:r>
      <w:r>
        <w:rPr>
          <w:rFonts w:ascii="Simplified Arabic" w:hAnsi="Simplified Arabic" w:cs="Simplified Arabic"/>
        </w:rPr>
        <w:t>IAB Tech Lab, 2024</w:t>
      </w:r>
      <w:r>
        <w:rPr>
          <w:rFonts w:ascii="Simplified Arabic" w:hAnsi="Simplified Arabic" w:cs="Simplified Arabic"/>
          <w:rtl/>
        </w:rPr>
        <w:t xml:space="preserve">؛ </w:t>
      </w:r>
      <w:r>
        <w:rPr>
          <w:rFonts w:ascii="Simplified Arabic" w:hAnsi="Simplified Arabic" w:cs="Simplified Arabic"/>
        </w:rPr>
        <w:t>Heitmann, 2024</w:t>
      </w:r>
      <w:r>
        <w:rPr>
          <w:rFonts w:ascii="Simplified Arabic" w:hAnsi="Simplified Arabic" w:cs="Simplified Arabic"/>
          <w:rtl/>
        </w:rPr>
        <w:t>).</w:t>
      </w:r>
    </w:p>
    <w:p w14:paraId="7ACF06CF"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hint="cs"/>
          <w:rtl/>
        </w:rPr>
        <w:t xml:space="preserve">2. </w:t>
      </w:r>
      <w:r>
        <w:rPr>
          <w:rFonts w:ascii="Simplified Arabic" w:hAnsi="Simplified Arabic" w:cs="Simplified Arabic"/>
          <w:rtl/>
        </w:rPr>
        <w:t>مسار التخصيص الدقيق للرسائل وتحسين الاستهداف</w:t>
      </w:r>
    </w:p>
    <w:p w14:paraId="73452071"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يمثل التخصيص أحد أكثر المسارات تأثيرًا في تفسير العلاقة بين الذكاء الاصطناعي التوليدي والأداء التسويقي، لأن البيئة الرقمية أصبحت أكثر حساسية لملاءمة الرسالة والسياق والجمهور. وتؤكد الأدبيات أن الذكاء الاصطناعي التوليدي يتيح إنتاج نسخ متعددة من الرسائل التسويقية بسرعة وكفاءة، مع إمكان تكييف الصياغة والأسلوب والعرض بحسب خصائص الشرائح المختلفة والمنصات الرقمية المتنوعة (</w:t>
      </w:r>
      <w:r>
        <w:rPr>
          <w:rFonts w:ascii="Simplified Arabic" w:hAnsi="Simplified Arabic" w:cs="Simplified Arabic"/>
        </w:rPr>
        <w:t>Mendoza et al., 2025</w:t>
      </w:r>
      <w:r>
        <w:rPr>
          <w:rFonts w:ascii="Simplified Arabic" w:hAnsi="Simplified Arabic" w:cs="Simplified Arabic"/>
          <w:rtl/>
        </w:rPr>
        <w:t xml:space="preserve">؛ </w:t>
      </w:r>
      <w:r>
        <w:rPr>
          <w:rFonts w:ascii="Simplified Arabic" w:hAnsi="Simplified Arabic" w:cs="Simplified Arabic"/>
        </w:rPr>
        <w:t>Islam et al., 2024</w:t>
      </w:r>
      <w:r>
        <w:rPr>
          <w:rFonts w:ascii="Simplified Arabic" w:hAnsi="Simplified Arabic" w:cs="Simplified Arabic"/>
          <w:rtl/>
        </w:rPr>
        <w:t>).</w:t>
      </w:r>
    </w:p>
    <w:p w14:paraId="3DFA88F6"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ويؤثر هذا المسار في الأداء التسويقي عبر آليتين أساسيتين. الأولى هي تحسين جودة التفاعل؛ إذ تميل الرسائل الأكثر ملاءمة للجمهور إلى تحقيق استجابة أعلى من الرسائل العامة الموحدة. والثانية هي رفع كفاءة التحويل؛ لأن التخصيص لا يزيد فقط من احتمال جذب الانتباه، بل قد يحسن أيضًا الاستجابة للفعل التسويقي المستهدف عندما تكون الرسالة أكثر اتصالًا باحتياجات المتلقي وسياقه (</w:t>
      </w:r>
      <w:r>
        <w:rPr>
          <w:rFonts w:ascii="Simplified Arabic" w:hAnsi="Simplified Arabic" w:cs="Simplified Arabic"/>
        </w:rPr>
        <w:t>Wang et al., 2025</w:t>
      </w:r>
      <w:r>
        <w:rPr>
          <w:rFonts w:ascii="Simplified Arabic" w:hAnsi="Simplified Arabic" w:cs="Simplified Arabic"/>
          <w:rtl/>
        </w:rPr>
        <w:t>).</w:t>
      </w:r>
    </w:p>
    <w:p w14:paraId="4F650D39"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كما أن هذا المسار يتسق مع الأدبيات التي تربط بين تطبيقات الذكاء الاصطناعي وتحسن بعض مخرجات الأداء التسويقي في البيئات التطبيقية، خاصة عندما يُستخدم الذكاء الاصطناعي في تحسين الملاءمة والقدرة على الاستجابة لمتطلبات العملاء (سماكة &amp; اللهيبي، 2024؛ الخطيب، 2024). وفي السوق السعودي، يزداد وزن هذا المسار مع تصاعد الاتجاه نحو التسويق الأكثر فردية وتوقعات العملاء بشأن محتوى أكثر تخصيصًا وارتباطًا بالسياق المحلي (رمضان، 2025؛ الهيئة السعودية للبيانات والذكاء الاصطناعي [سدايا]، 2024).</w:t>
      </w:r>
    </w:p>
    <w:p w14:paraId="72B924F6"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ومع ذلك، فإن أثر التخصيص في الأداء لا يكون إيجابيًا تلقائيًا؛ إذ يعتمد على جودة البيانات، ودقة فهم الشرائح، وحسن صياغة الأوامر، ومراجعة المخرجات قبل النشر، حتى لا يتحول التخصيص إلى رسائل شكلية أو غير مناسبة (</w:t>
      </w:r>
      <w:r>
        <w:rPr>
          <w:rFonts w:ascii="Simplified Arabic" w:hAnsi="Simplified Arabic" w:cs="Simplified Arabic"/>
        </w:rPr>
        <w:t>SDAIA, 2024</w:t>
      </w:r>
      <w:r>
        <w:rPr>
          <w:rFonts w:ascii="Simplified Arabic" w:hAnsi="Simplified Arabic" w:cs="Simplified Arabic"/>
          <w:rtl/>
        </w:rPr>
        <w:t>).</w:t>
      </w:r>
    </w:p>
    <w:p w14:paraId="43CBE8BA"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hint="cs"/>
          <w:rtl/>
        </w:rPr>
        <w:t xml:space="preserve">3. </w:t>
      </w:r>
      <w:r>
        <w:rPr>
          <w:rFonts w:ascii="Simplified Arabic" w:hAnsi="Simplified Arabic" w:cs="Simplified Arabic"/>
          <w:rtl/>
        </w:rPr>
        <w:t>مسار التحليل والتحسين المستمر للقرارات أثناء الحملة</w:t>
      </w:r>
    </w:p>
    <w:p w14:paraId="00AC0F0D"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lastRenderedPageBreak/>
        <w:t>لا يقتصر أثر الذكاء الاصطناعي التوليدي على مرحلة إنتاج المحتوى قبل الإطلاق، بل يمتد إلى دعم القرار أثناء تنفيذ الحملة، خصوصًا في البيئات الرقمية التي تتطلب سرعة في قراءة المؤشرات وتعديل الرسائل والقوالب بصورة مستمرة. وتوضح الأدبيات أن التكامل بين المخرجات التوليدية والبيانات المرحلية للحملة يسمح بتطوير بدائل جديدة بسرعة، واختبارها، وتحسين الأداء تدريجيًا أثناء التنفيذ (</w:t>
      </w:r>
      <w:r>
        <w:rPr>
          <w:rFonts w:ascii="Simplified Arabic" w:hAnsi="Simplified Arabic" w:cs="Simplified Arabic"/>
        </w:rPr>
        <w:t>Islam et al., 2024</w:t>
      </w:r>
      <w:r>
        <w:rPr>
          <w:rFonts w:ascii="Simplified Arabic" w:hAnsi="Simplified Arabic" w:cs="Simplified Arabic"/>
          <w:rtl/>
        </w:rPr>
        <w:t xml:space="preserve">؛ </w:t>
      </w:r>
      <w:r>
        <w:rPr>
          <w:rFonts w:ascii="Simplified Arabic" w:hAnsi="Simplified Arabic" w:cs="Simplified Arabic"/>
        </w:rPr>
        <w:t>Doshi et al., 2025</w:t>
      </w:r>
      <w:r>
        <w:rPr>
          <w:rFonts w:ascii="Simplified Arabic" w:hAnsi="Simplified Arabic" w:cs="Simplified Arabic"/>
          <w:rtl/>
        </w:rPr>
        <w:t>).</w:t>
      </w:r>
    </w:p>
    <w:p w14:paraId="63CA1347"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وتكمن أهمية هذا المسار في أنه يربط الذكاء الاصطناعي التوليدي بالبعد الديناميكي للأداء التسويقي؛ أي القدرة على التحسين أثناء الحملة لا بعدها فقط. فعندما تساعد الأدوات التوليدية في اقتراح صيغ بديلة للعناوين أو الرسائل أو العناصر البصرية بناءً على مؤشرات أولية للأداء، فإن ذلك قد يرفع من مرونة الحملة وقدرتها على التكيف، وهو ما ينعكس على مؤشرات مثل معدل التحويل وكفاءة الإنفاق التسويقي</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Wang et al., 2025</w:t>
      </w:r>
      <w:r>
        <w:rPr>
          <w:rFonts w:ascii="Simplified Arabic" w:hAnsi="Simplified Arabic" w:cs="Simplified Arabic"/>
          <w:rtl/>
        </w:rPr>
        <w:t>).</w:t>
      </w:r>
    </w:p>
    <w:p w14:paraId="5A52756A"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وفي هذا الإطار، تشير الأدبيات الخاصة بتكامل الذكاء الاصطناعي داخل فرق التسويق إلى أن أثر التحسين المستمر يتعزز عندما يكون استخدام التقنية جزءًا من سير عمل واضح يحدد من يقرأ المؤشرات، ومن يوجّه الأداة، ومن يراجع البدائل، ومن يعتمد التعديل النهائي (</w:t>
      </w:r>
      <w:r>
        <w:rPr>
          <w:rFonts w:ascii="Simplified Arabic" w:hAnsi="Simplified Arabic" w:cs="Simplified Arabic"/>
        </w:rPr>
        <w:t>Nguyen et al., 2025</w:t>
      </w:r>
      <w:r>
        <w:rPr>
          <w:rFonts w:ascii="Simplified Arabic" w:hAnsi="Simplified Arabic" w:cs="Simplified Arabic"/>
          <w:rtl/>
        </w:rPr>
        <w:t>). وبغير هذا التنظيم، قد تزداد سرعة إنتاج البدائل دون أن يتحسن القرار فعليًا أو دون أن تظهر قيمة واضحة على مستوى الأداء.</w:t>
      </w:r>
    </w:p>
    <w:p w14:paraId="286F5B05" w14:textId="77777777" w:rsidR="00915B55" w:rsidRPr="00915B55" w:rsidRDefault="00915B55" w:rsidP="00915B55">
      <w:pPr>
        <w:bidi/>
        <w:jc w:val="both"/>
        <w:rPr>
          <w:rFonts w:ascii="Simplified Arabic" w:hAnsi="Simplified Arabic" w:cs="Simplified Arabic"/>
          <w:b/>
          <w:bCs/>
          <w:rtl/>
        </w:rPr>
      </w:pPr>
      <w:r>
        <w:rPr>
          <w:rFonts w:ascii="Simplified Arabic" w:hAnsi="Simplified Arabic" w:cs="Simplified Arabic" w:hint="cs"/>
          <w:b/>
          <w:bCs/>
          <w:rtl/>
        </w:rPr>
        <w:t xml:space="preserve">ثانياً: </w:t>
      </w:r>
      <w:r>
        <w:rPr>
          <w:rFonts w:ascii="Simplified Arabic" w:hAnsi="Simplified Arabic" w:cs="Simplified Arabic"/>
          <w:b/>
          <w:bCs/>
          <w:rtl/>
        </w:rPr>
        <w:t>ذكر نماذج أو نظريات داعمة مع إبراز أثر الذكاء الاصطناعي على الكفاءة والإبداع</w:t>
      </w:r>
    </w:p>
    <w:p w14:paraId="53039DCA"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لفهم العلاقة بين الذكاء الاصطناعي التوليدي وفعالية الأداء التسويقي بصورة أعمق، يمكن الاستناد إلى عدد من التصورات والنماذج المفاهيمية الواردة في الأدبيات الحديثة، ليس بوصفها “قوالب جاهزة” للتطبيق الحرفي، وإنما بوصفها أطرًا تفسيرية تساعد على تنظيم مسارات الأثر</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Wang et al., 2025</w:t>
      </w:r>
      <w:r>
        <w:rPr>
          <w:rFonts w:ascii="Simplified Arabic" w:hAnsi="Simplified Arabic" w:cs="Simplified Arabic"/>
          <w:rtl/>
        </w:rPr>
        <w:t>).</w:t>
      </w:r>
    </w:p>
    <w:p w14:paraId="4CC93974"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1) منطق “القيمة التسويقية المتولدة” من الذكاء الاصطناعي</w:t>
      </w:r>
    </w:p>
    <w:p w14:paraId="5EAE06A2"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 xml:space="preserve">تشير أدبيات التسويق والذكاء الاصطناعي إلى أن القيمة المتحققة من التبني لا تتولد من وجود الأداة نفسها، بل من قدرتها على تحسين مزيج من الكفاءة التشغيلية وجودة المخرجات وسرعة التكيف. وتنسجم هذه الفكرة مع ما تعرضه تقارير </w:t>
      </w:r>
      <w:r>
        <w:rPr>
          <w:rFonts w:ascii="Simplified Arabic" w:hAnsi="Simplified Arabic" w:cs="Simplified Arabic"/>
        </w:rPr>
        <w:t>Nuremberg Institute for Market Decisions</w:t>
      </w:r>
      <w:r>
        <w:rPr>
          <w:rFonts w:ascii="Simplified Arabic" w:hAnsi="Simplified Arabic" w:cs="Simplified Arabic"/>
          <w:rtl/>
        </w:rPr>
        <w:t xml:space="preserve"> (2024) حول خلق قيمة تسويقية باستخدام الذكاء الاصطناعي التوليدي، حيث يظهر الأثر عندما يُوظف الذكاء الاصطناعي ضمن منطق إنتاجي/تحسيني منظم، لا كحل تجريبي معزول.</w:t>
      </w:r>
    </w:p>
    <w:p w14:paraId="5541597B"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ويفيد هذا المنظور في تفسير كيف يمكن أن ينعكس الذكاء الاصطناعي التوليدي على أبعاد الأداء التسويقي المختلفة:</w:t>
      </w:r>
    </w:p>
    <w:p w14:paraId="47129B59" w14:textId="77777777" w:rsidR="00915B55" w:rsidRPr="00915B55" w:rsidRDefault="00915B55">
      <w:pPr>
        <w:numPr>
          <w:ilvl w:val="0"/>
          <w:numId w:val="19"/>
        </w:numPr>
        <w:bidi/>
        <w:jc w:val="both"/>
        <w:rPr>
          <w:rFonts w:ascii="Simplified Arabic" w:hAnsi="Simplified Arabic" w:cs="Simplified Arabic"/>
          <w:rtl/>
        </w:rPr>
      </w:pPr>
      <w:r>
        <w:rPr>
          <w:rFonts w:ascii="Simplified Arabic" w:hAnsi="Simplified Arabic" w:cs="Simplified Arabic"/>
          <w:rtl/>
        </w:rPr>
        <w:t>عبر تحسين الكفاءة في إنتاج المحتوى وإدارته</w:t>
      </w:r>
      <w:r>
        <w:rPr>
          <w:rFonts w:ascii="Simplified Arabic" w:hAnsi="Simplified Arabic" w:cs="Simplified Arabic" w:hint="cs"/>
          <w:rtl/>
        </w:rPr>
        <w:t>.</w:t>
      </w:r>
    </w:p>
    <w:p w14:paraId="2FDE931A" w14:textId="77777777" w:rsidR="00915B55" w:rsidRPr="00915B55" w:rsidRDefault="00915B55">
      <w:pPr>
        <w:numPr>
          <w:ilvl w:val="0"/>
          <w:numId w:val="19"/>
        </w:numPr>
        <w:bidi/>
        <w:jc w:val="both"/>
        <w:rPr>
          <w:rFonts w:ascii="Simplified Arabic" w:hAnsi="Simplified Arabic" w:cs="Simplified Arabic"/>
          <w:rtl/>
        </w:rPr>
      </w:pPr>
      <w:r>
        <w:rPr>
          <w:rFonts w:ascii="Simplified Arabic" w:hAnsi="Simplified Arabic" w:cs="Simplified Arabic"/>
          <w:rtl/>
        </w:rPr>
        <w:t>وعبر تعزيز الإبداع العملي من خلال توسيع البدائل</w:t>
      </w:r>
      <w:r>
        <w:rPr>
          <w:rFonts w:ascii="Simplified Arabic" w:hAnsi="Simplified Arabic" w:cs="Simplified Arabic" w:hint="cs"/>
          <w:rtl/>
        </w:rPr>
        <w:t>.</w:t>
      </w:r>
    </w:p>
    <w:p w14:paraId="08BE2A42" w14:textId="77777777" w:rsidR="00915B55" w:rsidRPr="00915B55" w:rsidRDefault="00915B55">
      <w:pPr>
        <w:numPr>
          <w:ilvl w:val="0"/>
          <w:numId w:val="19"/>
        </w:numPr>
        <w:bidi/>
        <w:jc w:val="both"/>
        <w:rPr>
          <w:rFonts w:ascii="Simplified Arabic" w:hAnsi="Simplified Arabic" w:cs="Simplified Arabic"/>
          <w:rtl/>
        </w:rPr>
      </w:pPr>
      <w:r>
        <w:rPr>
          <w:rFonts w:ascii="Simplified Arabic" w:hAnsi="Simplified Arabic" w:cs="Simplified Arabic"/>
          <w:rtl/>
        </w:rPr>
        <w:t>وعبر رفع جودة التخصيص بما يخدم التفاعل والتحويل.</w:t>
      </w:r>
    </w:p>
    <w:p w14:paraId="0267E957"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2) منطق التبني–الدمج–الأثر في فرق التسويق</w:t>
      </w:r>
    </w:p>
    <w:p w14:paraId="676F6D65"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تقدم الأدبيات الحديثة حول دمج الذكاء الاصطناعي التوليدي في سير العمل التسويقي تصورًا مهمًا مفاده أن الأثر على الأداء يمر بثلاث حلقات مترابطة: تبنّي الأداة، ثم دمجها داخل سير العمل، ثم تحويل الاستخدام إلى نتائج قابلة للقياس (</w:t>
      </w:r>
      <w:r>
        <w:rPr>
          <w:rFonts w:ascii="Simplified Arabic" w:hAnsi="Simplified Arabic" w:cs="Simplified Arabic"/>
        </w:rPr>
        <w:t>Nguyen et al., 2025</w:t>
      </w:r>
      <w:r>
        <w:rPr>
          <w:rFonts w:ascii="Simplified Arabic" w:hAnsi="Simplified Arabic" w:cs="Simplified Arabic"/>
          <w:rtl/>
        </w:rPr>
        <w:t>). وهذا المنطق يفسر لماذا قد لا تحقق بعض المؤسسات أثرًا ملموسًا رغم استخدامها للأدوات؛ لأن مرحلة الدمج التنظيمي والإجرائي تكون غير ناضجة.</w:t>
      </w:r>
    </w:p>
    <w:p w14:paraId="38C49DC7"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lastRenderedPageBreak/>
        <w:t>ويُعد هذا المنظور مهمًا في تفسير أثر الذكاء الاصطناعي على الكفاءة والإبداع معًا؛ فالكفاءة تتحسن عندما يُنظم الاستخدام ويُخفض زمن الدورة التشغيلية، بينما يتحسن الإبداع عندما يُتاح للفريق وقت أكبر للمفاضلة والتحرير والتطوير بدل الانشغال بالإنتاج الأولي من الصفر.</w:t>
      </w:r>
    </w:p>
    <w:p w14:paraId="69E59CDA"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3) منطق الثقة/التجربة في تفسير الاستجابة للمخرجات الذكية</w:t>
      </w:r>
    </w:p>
    <w:p w14:paraId="28BF54ED" w14:textId="77777777" w:rsidR="00915B55" w:rsidRPr="00915B55" w:rsidRDefault="00915B55" w:rsidP="00915B55">
      <w:pPr>
        <w:bidi/>
        <w:jc w:val="both"/>
        <w:rPr>
          <w:rFonts w:ascii="Simplified Arabic" w:hAnsi="Simplified Arabic" w:cs="Simplified Arabic"/>
          <w:rtl/>
        </w:rPr>
      </w:pPr>
      <w:r>
        <w:rPr>
          <w:rFonts w:ascii="Simplified Arabic" w:hAnsi="Simplified Arabic" w:cs="Simplified Arabic"/>
          <w:rtl/>
        </w:rPr>
        <w:t xml:space="preserve">رغم أن بعض الأدبيات مثل </w:t>
      </w:r>
      <w:r>
        <w:rPr>
          <w:rFonts w:ascii="Simplified Arabic" w:hAnsi="Simplified Arabic" w:cs="Simplified Arabic"/>
        </w:rPr>
        <w:t>Ameen et al</w:t>
      </w:r>
      <w:r>
        <w:rPr>
          <w:rFonts w:ascii="Simplified Arabic" w:hAnsi="Simplified Arabic" w:cs="Simplified Arabic" w:hint="cs"/>
          <w:rtl/>
        </w:rPr>
        <w:t xml:space="preserve"> </w:t>
      </w:r>
      <w:r>
        <w:rPr>
          <w:rFonts w:ascii="Simplified Arabic" w:hAnsi="Simplified Arabic" w:cs="Simplified Arabic"/>
          <w:rtl/>
        </w:rPr>
        <w:t>(2021) لا تركز مباشرة على الذكاء الاصطناعي التوليدي في التسويق، فإنها تقدم خلفية تفسيرية مفيدة حول دور الثقة والتجربة الإدراكية في قبول النظم الرقمية والتفاعل معها. ويمكن الإفادة من هذا المنظور في فهم أن أثر الذكاء الاصطناعي التوليدي في الأداء التسويقي لا يرتبط فقط بإنتاج الرسائل، بل أيضًا بمدى قبول الجمهور للمحتوى ودرجة شعوره بملاءمته ومصداقيته، خاصة في التطبيقات التي يزداد فيها حضور التفاعل المباشر أو المحتوى الشخصي (</w:t>
      </w:r>
      <w:r>
        <w:rPr>
          <w:rFonts w:ascii="Simplified Arabic" w:hAnsi="Simplified Arabic" w:cs="Simplified Arabic"/>
        </w:rPr>
        <w:t>Ameen et al., 2021</w:t>
      </w:r>
      <w:r>
        <w:rPr>
          <w:rFonts w:ascii="Simplified Arabic" w:hAnsi="Simplified Arabic" w:cs="Simplified Arabic"/>
          <w:rtl/>
        </w:rPr>
        <w:t xml:space="preserve">؛ </w:t>
      </w:r>
      <w:r>
        <w:rPr>
          <w:rFonts w:ascii="Simplified Arabic" w:hAnsi="Simplified Arabic" w:cs="Simplified Arabic"/>
        </w:rPr>
        <w:t>Wang et al., 2025</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وبذلك، فإن التحليل النظري للعلاقة لا ينبغي أن يختزل الأثر في البعد الإنتاجي فقط، بل يضم كذلك البعد الإدراكي/العلاقاتي الذي قد يؤثر في الرضا والولاء.</w:t>
      </w:r>
    </w:p>
    <w:p w14:paraId="2E064325" w14:textId="77777777" w:rsidR="00A20BAB" w:rsidRPr="00A20BAB" w:rsidRDefault="00A20BAB" w:rsidP="00A20BAB">
      <w:pPr>
        <w:bidi/>
        <w:rPr>
          <w:rFonts w:ascii="Simplified Arabic" w:hAnsi="Simplified Arabic" w:cs="Simplified Arabic"/>
          <w:rtl/>
        </w:rPr>
      </w:pPr>
    </w:p>
    <w:p w14:paraId="2D5C99FC" w14:textId="3457DF6C" w:rsidR="00257F01" w:rsidRPr="00675F33" w:rsidRDefault="00533AA9" w:rsidP="00675F33">
      <w:pPr>
        <w:bidi/>
        <w:spacing w:after="200" w:line="276" w:lineRule="auto"/>
        <w:rPr>
          <w:rFonts w:ascii="Sakkal Majalla" w:hAnsi="Sakkal Majalla" w:cs="Sakkal Majalla"/>
          <w:b/>
          <w:bCs/>
          <w:color w:val="00B0F0"/>
          <w:sz w:val="32"/>
          <w:szCs w:val="32"/>
          <w:u w:val="single"/>
          <w:rtl/>
        </w:rPr>
      </w:pPr>
      <w:r>
        <w:rPr>
          <w:rFonts w:ascii="Sakkal Majalla" w:hAnsi="Sakkal Majalla" w:cs="Sakkal Majalla" w:hint="cs"/>
          <w:b/>
          <w:bCs/>
          <w:color w:val="00B0F0"/>
          <w:sz w:val="32"/>
          <w:szCs w:val="32"/>
          <w:u w:val="single"/>
          <w:rtl/>
        </w:rPr>
        <w:t>الدراسات السابقة</w:t>
      </w:r>
      <w:r>
        <w:rPr>
          <w:rFonts w:ascii="Sakkal Majalla" w:hAnsi="Sakkal Majalla" w:cs="Sakkal Majalla"/>
          <w:b/>
          <w:bCs/>
          <w:color w:val="00B0F0"/>
          <w:sz w:val="32"/>
          <w:szCs w:val="32"/>
          <w:u w:val="single"/>
          <w:rtl/>
        </w:rPr>
        <w:t>:</w:t>
      </w:r>
    </w:p>
    <w:p w14:paraId="5E04B72C" w14:textId="77777777" w:rsidR="000343D5" w:rsidRDefault="00675F33" w:rsidP="000343D5">
      <w:pPr>
        <w:bidi/>
        <w:spacing w:after="200" w:line="240" w:lineRule="auto"/>
        <w:rPr>
          <w:rFonts w:ascii="Simplified Arabic" w:hAnsi="Simplified Arabic" w:cs="Simplified Arabic"/>
          <w:b/>
          <w:bCs/>
          <w:color w:val="EE0000"/>
          <w:rtl/>
        </w:rPr>
      </w:pPr>
      <w:r>
        <w:rPr>
          <w:rFonts w:ascii="Sakkal Majalla" w:hAnsi="Sakkal Majalla" w:cs="Sakkal Majalla"/>
          <w:b/>
          <w:bCs/>
          <w:color w:val="1F497D" w:themeColor="text2"/>
          <w:sz w:val="32"/>
          <w:szCs w:val="32"/>
          <w:u w:val="single"/>
          <w:rtl/>
        </w:rPr>
        <w:t>المحور الأول: توظيف تقنيات الذكاء الاصطناعي التوليدي في تصميم الحملات التسويقية الرقمية</w:t>
      </w:r>
    </w:p>
    <w:p w14:paraId="68690A1C" w14:textId="4802617B" w:rsidR="00644BCE" w:rsidRDefault="00837EBE" w:rsidP="000D3CD0">
      <w:pPr>
        <w:bidi/>
        <w:spacing w:after="200" w:line="240" w:lineRule="auto"/>
        <w:jc w:val="both"/>
        <w:rPr>
          <w:rFonts w:ascii="Simplified Arabic" w:hAnsi="Simplified Arabic" w:cs="Simplified Arabic"/>
          <w:rtl/>
        </w:rPr>
      </w:pPr>
      <w:bookmarkStart w:id="2" w:name="_Hlk213567627"/>
      <w:r>
        <w:rPr>
          <w:rFonts w:ascii="Simplified Arabic" w:hAnsi="Simplified Arabic" w:cs="Simplified Arabic"/>
          <w:rtl/>
        </w:rPr>
        <w:t>أجرى</w:t>
      </w:r>
      <w:bookmarkEnd w:id="2"/>
      <w:r>
        <w:rPr>
          <w:rFonts w:ascii="Simplified Arabic" w:hAnsi="Simplified Arabic" w:cs="Simplified Arabic"/>
          <w:rtl/>
        </w:rPr>
        <w:t xml:space="preserve"> الخطيب </w:t>
      </w:r>
      <w:r>
        <w:rPr>
          <w:rFonts w:ascii="Simplified Arabic" w:hAnsi="Simplified Arabic" w:cs="Simplified Arabic"/>
        </w:rPr>
        <w:t xml:space="preserve"> (2024) </w:t>
      </w:r>
      <w:r>
        <w:rPr>
          <w:rFonts w:ascii="Simplified Arabic" w:hAnsi="Simplified Arabic" w:cs="Simplified Arabic"/>
          <w:rtl/>
        </w:rPr>
        <w:t xml:space="preserve">دراسة بعنوان </w:t>
      </w:r>
      <w:r>
        <w:rPr>
          <w:rFonts w:ascii="Simplified Arabic" w:hAnsi="Simplified Arabic" w:cs="Simplified Arabic"/>
        </w:rPr>
        <w:t>"</w:t>
      </w:r>
      <w:r>
        <w:rPr>
          <w:rFonts w:ascii="Simplified Arabic" w:hAnsi="Simplified Arabic" w:cs="Simplified Arabic"/>
          <w:rtl/>
        </w:rPr>
        <w:t>تأثير تقنيات التسويق الرقمى المدعومة بالذكاء االصطناعي في السلوك الشرائي دراسة ميدانية على عمالء المتاجر اإللكترونية</w:t>
      </w:r>
      <w:r>
        <w:rPr>
          <w:rFonts w:ascii="Simplified Arabic" w:hAnsi="Simplified Arabic" w:cs="Simplified Arabic"/>
        </w:rPr>
        <w:t xml:space="preserve">". </w:t>
      </w:r>
      <w:r>
        <w:rPr>
          <w:rFonts w:ascii="Simplified Arabic" w:hAnsi="Simplified Arabic" w:cs="Simplified Arabic"/>
          <w:rtl/>
        </w:rPr>
        <w:t>هدفت الدراسة بشكل رئيسي إلى التعرف على تأثير تقنيات التسويق الرقمي المدعومة بالذكاء الاصطناعي على السلوك الشرائي لعمالء المتاجر الإلكترونية</w:t>
      </w:r>
      <w:r>
        <w:rPr>
          <w:rFonts w:ascii="Simplified Arabic" w:hAnsi="Simplified Arabic" w:cs="Simplified Arabic"/>
        </w:rPr>
        <w:t xml:space="preserve"> . </w:t>
      </w:r>
      <w:r>
        <w:rPr>
          <w:rFonts w:ascii="Simplified Arabic" w:hAnsi="Simplified Arabic" w:cs="Simplified Arabic"/>
          <w:rtl/>
        </w:rPr>
        <w:t>وقد ارتكزت مشكلة الدراسة على انخفاض حجم مبيعات المتاجر الإلكترونية في مصر، مما استدعى البحث عن أدوات تسويقية قادرة على جذب أكبر عدد ممكن من جمهور المستهلكين لزيادة المبيعات</w:t>
      </w:r>
      <w:r>
        <w:rPr>
          <w:rFonts w:ascii="Simplified Arabic" w:hAnsi="Simplified Arabic" w:cs="Simplified Arabic"/>
        </w:rPr>
        <w:t>.</w:t>
      </w:r>
      <w:r>
        <w:rPr>
          <w:rFonts w:ascii="Simplified Arabic" w:hAnsi="Simplified Arabic" w:cs="Simplified Arabic" w:hint="cs"/>
          <w:rtl/>
        </w:rPr>
        <w:t xml:space="preserve"> </w:t>
      </w:r>
      <w:r>
        <w:rPr>
          <w:rFonts w:ascii="Simplified Arabic" w:hAnsi="Simplified Arabic" w:cs="Simplified Arabic"/>
          <w:rtl/>
        </w:rPr>
        <w:t>اعتمد الباحث على المنهج الوصفي التحليلي، وطُبقت الدراسة على عينة عمالء المتاجر الإلكترونية في مصر</w:t>
      </w:r>
      <w:r>
        <w:rPr>
          <w:rFonts w:ascii="Simplified Arabic" w:hAnsi="Simplified Arabic" w:cs="Simplified Arabic"/>
        </w:rPr>
        <w:t xml:space="preserve">. </w:t>
      </w:r>
      <w:r>
        <w:rPr>
          <w:rFonts w:ascii="Simplified Arabic" w:hAnsi="Simplified Arabic" w:cs="Simplified Arabic"/>
          <w:rtl/>
        </w:rPr>
        <w:t xml:space="preserve">بلغ حجم العينة (الحد الأدنى) </w:t>
      </w:r>
      <w:r>
        <w:rPr>
          <w:rFonts w:ascii="Simplified Arabic" w:hAnsi="Simplified Arabic" w:cs="Simplified Arabic"/>
        </w:rPr>
        <w:t xml:space="preserve"> 384 </w:t>
      </w:r>
      <w:r>
        <w:rPr>
          <w:rFonts w:ascii="Simplified Arabic" w:hAnsi="Simplified Arabic" w:cs="Simplified Arabic"/>
          <w:rtl/>
        </w:rPr>
        <w:t>مفردة من العملاء، وتم جمع البيانات الأولية من خلال استمارة إلكترونية باستخدام عينة كرة الثلج</w:t>
      </w:r>
      <w:r>
        <w:rPr>
          <w:rFonts w:ascii="Simplified Arabic" w:hAnsi="Simplified Arabic" w:cs="Simplified Arabic"/>
        </w:rPr>
        <w:t xml:space="preserve">(Snowball Sample) </w:t>
      </w:r>
      <w:r>
        <w:rPr>
          <w:rFonts w:ascii="Simplified Arabic" w:hAnsi="Simplified Arabic" w:cs="Simplified Arabic" w:hint="cs"/>
          <w:rtl/>
        </w:rPr>
        <w:t xml:space="preserve">. </w:t>
      </w:r>
      <w:r>
        <w:rPr>
          <w:rFonts w:ascii="Simplified Arabic" w:hAnsi="Simplified Arabic" w:cs="Simplified Arabic"/>
          <w:rtl/>
        </w:rPr>
        <w:t>وقد تضمنت أدوات التحليل الإحصائي المستخدمة معامل الثبات ألفا كرونباخ</w:t>
      </w:r>
      <w:r>
        <w:rPr>
          <w:rFonts w:ascii="Simplified Arabic" w:hAnsi="Simplified Arabic" w:cs="Simplified Arabic"/>
        </w:rPr>
        <w:t xml:space="preserve">(Cronbach's Alpha) </w:t>
      </w:r>
      <w:r>
        <w:rPr>
          <w:rFonts w:ascii="Simplified Arabic" w:hAnsi="Simplified Arabic" w:cs="Simplified Arabic"/>
          <w:rtl/>
        </w:rPr>
        <w:t>، ومعامل الارتباط بيرسون، بالإضافة إلى تحليل الانحدار</w:t>
      </w:r>
      <w:r>
        <w:rPr>
          <w:rFonts w:ascii="Simplified Arabic" w:hAnsi="Simplified Arabic" w:cs="Simplified Arabic"/>
        </w:rPr>
        <w:t xml:space="preserve"> (Regression Analysis) </w:t>
      </w:r>
      <w:r>
        <w:rPr>
          <w:rFonts w:ascii="Simplified Arabic" w:hAnsi="Simplified Arabic" w:cs="Simplified Arabic"/>
          <w:rtl/>
        </w:rPr>
        <w:t>واختبارات</w:t>
      </w:r>
      <w:r>
        <w:rPr>
          <w:rFonts w:ascii="Simplified Arabic" w:hAnsi="Simplified Arabic" w:cs="Simplified Arabic"/>
        </w:rPr>
        <w:t xml:space="preserve"> T-Test </w:t>
      </w:r>
      <w:r>
        <w:rPr>
          <w:rFonts w:ascii="Simplified Arabic" w:hAnsi="Simplified Arabic" w:cs="Simplified Arabic"/>
          <w:rtl/>
        </w:rPr>
        <w:t>و</w:t>
      </w:r>
      <w:r>
        <w:rPr>
          <w:rFonts w:ascii="Simplified Arabic" w:hAnsi="Simplified Arabic" w:cs="Simplified Arabic"/>
        </w:rPr>
        <w:t xml:space="preserve"> F- Test </w:t>
      </w:r>
      <w:r>
        <w:rPr>
          <w:rFonts w:ascii="Simplified Arabic" w:hAnsi="Simplified Arabic" w:cs="Simplified Arabic" w:hint="cs"/>
          <w:rtl/>
        </w:rPr>
        <w:t xml:space="preserve"> </w:t>
      </w:r>
      <w:r>
        <w:rPr>
          <w:rFonts w:ascii="Simplified Arabic" w:hAnsi="Simplified Arabic" w:cs="Simplified Arabic"/>
          <w:rtl/>
        </w:rPr>
        <w:t>لاختبار فروض الدراسة</w:t>
      </w:r>
      <w:r>
        <w:rPr>
          <w:rFonts w:ascii="Simplified Arabic" w:hAnsi="Simplified Arabic" w:cs="Simplified Arabic"/>
        </w:rPr>
        <w:t>.</w:t>
      </w:r>
      <w:r>
        <w:rPr>
          <w:rFonts w:ascii="Simplified Arabic" w:hAnsi="Simplified Arabic" w:cs="Simplified Arabic" w:hint="cs"/>
          <w:rtl/>
        </w:rPr>
        <w:t xml:space="preserve"> كما </w:t>
      </w:r>
      <w:r>
        <w:rPr>
          <w:rFonts w:ascii="Simplified Arabic" w:hAnsi="Simplified Arabic" w:cs="Simplified Arabic"/>
          <w:rtl/>
        </w:rPr>
        <w:t>توصلت النتائج إلى وجود تأثير إيجابي معنوي لتقنيات التسويق الرقمي المدعومة بالذكاء الاصطناعي على السلوك الشرائي لعمالء المتاجر الإلكترونية. وأكدت الدراسة قبول جميع الفروض الفرعية المتعلقة بالتأثير المعنوي لتقنيات التسويق الرقمي المدعومة بالذكاء الاصطناعي على أبعاد السلوك الشرائي للمستهلك</w:t>
      </w:r>
      <w:r>
        <w:rPr>
          <w:rFonts w:ascii="Simplified Arabic" w:hAnsi="Simplified Arabic" w:cs="Simplified Arabic"/>
        </w:rPr>
        <w:t xml:space="preserve">: </w:t>
      </w:r>
      <w:r>
        <w:rPr>
          <w:rFonts w:ascii="Simplified Arabic" w:hAnsi="Simplified Arabic" w:cs="Simplified Arabic"/>
          <w:rtl/>
        </w:rPr>
        <w:t>جذب الانتباه، خلق الاهتمام، إثارة الرغبة، والشراء الفعلي</w:t>
      </w:r>
      <w:r>
        <w:rPr>
          <w:rFonts w:ascii="Simplified Arabic" w:hAnsi="Simplified Arabic" w:cs="Simplified Arabic"/>
        </w:rPr>
        <w:t>.</w:t>
      </w:r>
      <w:r>
        <w:rPr>
          <w:rFonts w:ascii="Simplified Arabic" w:hAnsi="Simplified Arabic" w:cs="Simplified Arabic" w:hint="cs"/>
          <w:rtl/>
        </w:rPr>
        <w:t xml:space="preserve"> </w:t>
      </w:r>
      <w:r>
        <w:rPr>
          <w:rFonts w:ascii="Simplified Arabic" w:hAnsi="Simplified Arabic" w:cs="Simplified Arabic"/>
          <w:rtl/>
        </w:rPr>
        <w:t>ومن أهم التوصيات التي قدمتها الدراسة، ضرورة إجراء استطلاعات دورية لآراء العمالء والمتعاملين في المتاجر الإلكترونية، والتعامل اللائق مع مشاكل العمالء والاهتمام بها وتنمية الإحساس بالتعاطف معهم من جانب الفريق التسويقي</w:t>
      </w:r>
      <w:r>
        <w:rPr>
          <w:rFonts w:ascii="Simplified Arabic" w:hAnsi="Simplified Arabic" w:cs="Simplified Arabic"/>
        </w:rPr>
        <w:t xml:space="preserve">. </w:t>
      </w:r>
      <w:r>
        <w:rPr>
          <w:rFonts w:ascii="Simplified Arabic" w:hAnsi="Simplified Arabic" w:cs="Simplified Arabic"/>
          <w:rtl/>
        </w:rPr>
        <w:t>كما أوصت بالتدريب المستمر للمسوقين على تقنية تحسين محركات البحث</w:t>
      </w:r>
      <w:r>
        <w:rPr>
          <w:rFonts w:ascii="Simplified Arabic" w:hAnsi="Simplified Arabic" w:cs="Simplified Arabic"/>
        </w:rPr>
        <w:t xml:space="preserve"> (SEO) </w:t>
      </w:r>
      <w:r>
        <w:rPr>
          <w:rFonts w:ascii="Simplified Arabic" w:hAnsi="Simplified Arabic" w:cs="Simplified Arabic"/>
          <w:rtl/>
        </w:rPr>
        <w:t>وروبوتات الدردشة</w:t>
      </w:r>
      <w:r>
        <w:rPr>
          <w:rFonts w:ascii="Simplified Arabic" w:hAnsi="Simplified Arabic" w:cs="Simplified Arabic"/>
        </w:rPr>
        <w:t>.</w:t>
      </w:r>
    </w:p>
    <w:p w14:paraId="65215C04" w14:textId="6CD21E2D" w:rsidR="0005238F" w:rsidRPr="0005238F" w:rsidRDefault="0005238F" w:rsidP="0005238F">
      <w:pPr>
        <w:bidi/>
        <w:spacing w:after="200" w:line="240" w:lineRule="auto"/>
        <w:jc w:val="both"/>
        <w:rPr>
          <w:rFonts w:ascii="Simplified Arabic" w:hAnsi="Simplified Arabic" w:cs="Simplified Arabic"/>
          <w:rtl/>
        </w:rPr>
      </w:pPr>
      <w:r>
        <w:rPr>
          <w:rFonts w:ascii="Simplified Arabic" w:hAnsi="Simplified Arabic" w:cs="Simplified Arabic"/>
          <w:rtl/>
        </w:rPr>
        <w:t xml:space="preserve">تتفق دراسة الخطيب (2024) مع الدراسة الحالية في تأكيدها أن توظيف تقنيات الذكاء الاصطناعي في التسويق الرقمي يرتبط بتحسين فعالية المخرجات التسويقية وزيادة تفاعل العملاء وسلوكهم الشرائي، بما يدعم الاتجاه العام الذي يربط الاستخدام التقني بتحسين النتائج التسويقية. غير أنها تختلف عن الدراسة الحالية في كونها ركزت على السلوك الشرائي بوصفه مخرجًا نهائيًا مباشرًا، دون تحليل مراحل تصميم الحملة أو جودة العملية الإبداعية كمتغير وسيط، كما أنها تناولت الذكاء الاصطناعي </w:t>
      </w:r>
      <w:r>
        <w:rPr>
          <w:rFonts w:ascii="Simplified Arabic" w:hAnsi="Simplified Arabic" w:cs="Simplified Arabic"/>
          <w:rtl/>
        </w:rPr>
        <w:lastRenderedPageBreak/>
        <w:t>بصيغة عامة ولم تميز بين الذكاء الاصطناعي التقليدي والتوليدي، فضلًا عن تطبيقها في بيئة مصرية وعدم تناولها دوافع التبني وعوائقه في وكالات التسويق السعودية.</w:t>
      </w:r>
    </w:p>
    <w:p w14:paraId="6DED76DC" w14:textId="77777777" w:rsidR="000D3CD0" w:rsidRPr="00644BCE" w:rsidRDefault="000D3CD0" w:rsidP="000D3CD0">
      <w:pPr>
        <w:bidi/>
        <w:spacing w:after="200" w:line="240" w:lineRule="auto"/>
        <w:jc w:val="both"/>
        <w:rPr>
          <w:rFonts w:ascii="Simplified Arabic" w:hAnsi="Simplified Arabic" w:cs="Simplified Arabic"/>
        </w:rPr>
      </w:pPr>
    </w:p>
    <w:p w14:paraId="0AE4F4C4" w14:textId="67854B49" w:rsidR="00E019FE" w:rsidRDefault="00644BCE" w:rsidP="00361EA9">
      <w:pPr>
        <w:bidi/>
        <w:spacing w:after="200" w:line="240" w:lineRule="auto"/>
        <w:jc w:val="both"/>
        <w:rPr>
          <w:rFonts w:ascii="Simplified Arabic" w:hAnsi="Simplified Arabic" w:cs="Simplified Arabic"/>
          <w:rtl/>
        </w:rPr>
      </w:pPr>
      <w:r>
        <w:rPr>
          <w:rFonts w:ascii="Simplified Arabic" w:hAnsi="Simplified Arabic" w:cs="Simplified Arabic"/>
        </w:rPr>
        <w:t xml:space="preserve"> </w:t>
      </w:r>
      <w:r>
        <w:rPr>
          <w:rFonts w:ascii="Simplified Arabic" w:hAnsi="Simplified Arabic" w:cs="Simplified Arabic"/>
          <w:rtl/>
        </w:rPr>
        <w:t>أجرى</w:t>
      </w:r>
      <w:r>
        <w:rPr>
          <w:rFonts w:ascii="Simplified Arabic" w:hAnsi="Simplified Arabic" w:cs="Simplified Arabic" w:hint="cs"/>
          <w:rtl/>
        </w:rPr>
        <w:t xml:space="preserve"> الباحثان </w:t>
      </w:r>
      <w:r>
        <w:rPr>
          <w:rFonts w:ascii="Simplified Arabic" w:hAnsi="Simplified Arabic" w:cs="Simplified Arabic"/>
        </w:rPr>
        <w:t>(Gujar &amp; Panyam, 2024)</w:t>
      </w:r>
      <w:r>
        <w:rPr>
          <w:rFonts w:ascii="Simplified Arabic" w:hAnsi="Simplified Arabic" w:cs="Simplified Arabic" w:hint="cs"/>
          <w:rtl/>
        </w:rPr>
        <w:t xml:space="preserve"> دراسة و</w:t>
      </w:r>
      <w:r>
        <w:rPr>
          <w:rFonts w:ascii="Simplified Arabic" w:hAnsi="Simplified Arabic" w:cs="Simplified Arabic"/>
          <w:rtl/>
        </w:rPr>
        <w:t>التي حملت عنوان</w:t>
      </w:r>
      <w:r>
        <w:rPr>
          <w:rFonts w:ascii="Simplified Arabic" w:hAnsi="Simplified Arabic" w:cs="Simplified Arabic"/>
        </w:rPr>
        <w:t xml:space="preserve"> "Generative AI in Digital Advertising Campaigns"</w:t>
      </w:r>
      <w:r>
        <w:rPr>
          <w:rFonts w:ascii="Simplified Arabic" w:hAnsi="Simplified Arabic" w:cs="Simplified Arabic"/>
          <w:rtl/>
        </w:rPr>
        <w:t>، حيث هدف الباحثان من خلالها إلى تحليل الأثر النوعي للذكاء الاصطناعي التوليدي في إعادة تشكيل صناعة الإعلانات الرقمية، مع التركيز على قدرته على إنتاج محتوى مبدع ومُخصص بدرجة عالية، وتحسين كفاءة التسليم، ورفع مستوى التفاعل مع الجمهور. اعتمدت الدراسة على منهج وصفي تحليلي من خلال مراجعة شاملة للأدبيات الأكاديمية والمهنية ذات الصلة، بالإضافة إلى تحليل متعمق لدراسات حالة تطبيقية مثل حملات</w:t>
      </w:r>
      <w:r>
        <w:rPr>
          <w:rFonts w:ascii="Simplified Arabic" w:hAnsi="Simplified Arabic" w:cs="Simplified Arabic"/>
        </w:rPr>
        <w:t xml:space="preserve"> Netflix </w:t>
      </w:r>
      <w:r>
        <w:rPr>
          <w:rFonts w:ascii="Simplified Arabic" w:hAnsi="Simplified Arabic" w:cs="Simplified Arabic"/>
          <w:rtl/>
        </w:rPr>
        <w:t>المُخصصة وتجربة أحد متاجر الأزياء التي لم تحقق النتائج المرجوة. وقد شمل مجتمع الدراسة تحليل محتوى إعلاني منشور عبر منصات رقمية متعددة، مع التركيز على الحملات التي استخدمت تقنيات الذكاء الاصطناعي التوليدي. واستخدم الباحثان أدوات تحليل نوعية متقدمة لدراسة النماذج التطبيقية وأداء الحملات الإعلانية، بما في ذلك تحليل المحتوى الإبداعي وقياس التفاعل. وكشفت نتائج الدراسة عن إمكانات كبيرة لتقنية الذكاء الاصطناعي التوليدي في تعزيز الإبداع والكفاءة التشغيلية والتخصيص على نطاق واسع، لكنها أبرزت في الوقت نفسه تحديات جوهرية تتعلق بالحفاظ على الهوية البصرية واللغوية للعلامات التجارية، ومخاوف الخصوصية في استخدام البيانات، والقضايا الأخلاقية المرتبطة بالأتمتة. وأوصت الدراسة بضرورة الدمج المتوازن بين الإبداع البشري والذكاء الاصطناعي، مع التأكيد على وضع أطر رقابية وأخلاقية واضحة تضمن الشفافية والمساءلة</w:t>
      </w:r>
      <w:r>
        <w:rPr>
          <w:rFonts w:ascii="Simplified Arabic" w:hAnsi="Simplified Arabic" w:cs="Simplified Arabic"/>
        </w:rPr>
        <w:t xml:space="preserve">. </w:t>
      </w:r>
    </w:p>
    <w:p w14:paraId="5D0B1FF7" w14:textId="76FA8834" w:rsidR="00E019FE" w:rsidRPr="0005238F" w:rsidRDefault="0005238F" w:rsidP="0005238F">
      <w:pPr>
        <w:bidi/>
        <w:spacing w:after="200" w:line="240" w:lineRule="auto"/>
        <w:jc w:val="both"/>
        <w:rPr>
          <w:rFonts w:ascii="Simplified Arabic" w:hAnsi="Simplified Arabic" w:cs="Simplified Arabic"/>
        </w:rPr>
      </w:pPr>
      <w:r>
        <w:rPr>
          <w:rFonts w:ascii="Simplified Arabic" w:hAnsi="Simplified Arabic" w:cs="Simplified Arabic"/>
          <w:rtl/>
        </w:rPr>
        <w:t>تتقاطع هذه الدراسة مع الدراسة الحالية في تأكيدها قدرة الذكاء الاصطناعي التوليدي على دعم الإبداع الإعلاني، وتخصيص الرسائل، وتحسين كفاءة إنتاج المحتوى وإدارة الحملات، إضافة إلى إبرازها التحديات الأخلاقية والمرتبطة بالهوية البصرية للعلامة التجارية. إلا أنها تختلف من حيث المنهج؛ إذ اعتمدت على مراجعة نظرية وتحليل حالات دولية دون اختبار ميداني كمي، كما لم تقيس أثر التوظيف التوليدي على جودة تصميم الحملات أو فعالية الأداء التسويقي كمخرجات قابلة للقياس، ولم تتناول السياق العربي/السعودي أو العوامل المؤسسية الدافعة والمعيقة للتبني.</w:t>
      </w:r>
    </w:p>
    <w:p w14:paraId="45799612" w14:textId="66CA1C04" w:rsidR="000D3CD0" w:rsidRDefault="00361EA9" w:rsidP="0085283F">
      <w:pPr>
        <w:bidi/>
        <w:spacing w:after="200" w:line="240" w:lineRule="auto"/>
        <w:jc w:val="both"/>
        <w:rPr>
          <w:rFonts w:ascii="Simplified Arabic" w:hAnsi="Simplified Arabic" w:cs="Simplified Arabic"/>
          <w:rtl/>
        </w:rPr>
      </w:pPr>
      <w:r>
        <w:rPr>
          <w:rFonts w:ascii="Simplified Arabic" w:hAnsi="Simplified Arabic" w:cs="Simplified Arabic"/>
          <w:rtl/>
        </w:rPr>
        <w:t>دراسة إسلام وزملاؤه (</w:t>
      </w:r>
      <w:r>
        <w:rPr>
          <w:rFonts w:ascii="Simplified Arabic" w:hAnsi="Simplified Arabic" w:cs="Simplified Arabic"/>
        </w:rPr>
        <w:t>Islam et al</w:t>
      </w:r>
      <w:r>
        <w:rPr>
          <w:rFonts w:ascii="Simplified Arabic" w:hAnsi="Simplified Arabic" w:cs="Simplified Arabic"/>
          <w:rtl/>
        </w:rPr>
        <w:t>.) في عام 2024، بعنوان "تحويل التسويق الرقمي باستخدام الذكاء الاصطناعي التوليدي". هدفت هذه الدراسة الأساسية إلى تقديم وتفصيل إطار عمل مفاهيمي جديد أطلق عليه (</w:t>
      </w:r>
      <w:r>
        <w:rPr>
          <w:rFonts w:ascii="Simplified Arabic" w:hAnsi="Simplified Arabic" w:cs="Simplified Arabic"/>
        </w:rPr>
        <w:t>MARK-GEN</w:t>
      </w:r>
      <w:r>
        <w:rPr>
          <w:rFonts w:ascii="Simplified Arabic" w:hAnsi="Simplified Arabic" w:cs="Simplified Arabic"/>
          <w:rtl/>
        </w:rPr>
        <w:t>)، والذي يستفيد من نماذج الذكاء الاصطناعي التوليدي لتحويل عملية إنشاء محتوى التسويق الرقمي. جاء هذا الطرح لمعالجة الفجوة القائمة في كل من الأبحاث والتطبيقات المتعلقة باستخدام تقنيات الذكاء الاصطناعي التوليدي الجديدة لتعزيز التسويق الرقمي. للإجابة على التساؤل الرئيسي حول الخطوات اللازمة للشركات لتطوير نموذج ذكاء اصطناعي توليدي يساعدها في تحقيق أهدافها التسويقية، قُدم الإطار (</w:t>
      </w:r>
      <w:r>
        <w:rPr>
          <w:rFonts w:ascii="Simplified Arabic" w:hAnsi="Simplified Arabic" w:cs="Simplified Arabic"/>
        </w:rPr>
        <w:t>MARK-GEN</w:t>
      </w:r>
      <w:r>
        <w:rPr>
          <w:rFonts w:ascii="Simplified Arabic" w:hAnsi="Simplified Arabic" w:cs="Simplified Arabic"/>
          <w:rtl/>
        </w:rPr>
        <w:t>) ليكون بمثابة مقاربة منظمة وشاملة يمكن للشركات استخدامها لإنتاج مواد تسويقية. شملت الفئة التي استهدفتها الدراسة والجمهور الذي وجهت إليه أساساً مجالات إدارة الأعمال بشكل عام، وطُبقت الأمثلة العملية (دراسات الحالة) على الشركات في قطاع صناعة الأزياء والتجارة الإلكترونية. اعتمد الباحثون في منهجهم على تقديم إطار عمل مفاهيمي (</w:t>
      </w:r>
      <w:r>
        <w:rPr>
          <w:rFonts w:ascii="Simplified Arabic" w:hAnsi="Simplified Arabic" w:cs="Simplified Arabic"/>
        </w:rPr>
        <w:t>Conceptual Framework</w:t>
      </w:r>
      <w:r>
        <w:rPr>
          <w:rFonts w:ascii="Simplified Arabic" w:hAnsi="Simplified Arabic" w:cs="Simplified Arabic"/>
          <w:rtl/>
        </w:rPr>
        <w:t>)، تم تدعيمه وعرضه من خلال دراستي حالة تطبيقيتين (القياس الافتراضي للملابس (</w:t>
      </w:r>
      <w:r>
        <w:rPr>
          <w:rFonts w:ascii="Simplified Arabic" w:hAnsi="Simplified Arabic" w:cs="Simplified Arabic"/>
        </w:rPr>
        <w:t>Virtual Try-On</w:t>
      </w:r>
      <w:r>
        <w:rPr>
          <w:rFonts w:ascii="Simplified Arabic" w:hAnsi="Simplified Arabic" w:cs="Simplified Arabic"/>
          <w:rtl/>
        </w:rPr>
        <w:t xml:space="preserve">) وتوليد الصور إلى فيديوهات </w:t>
      </w:r>
      <w:r>
        <w:rPr>
          <w:rFonts w:ascii="Simplified Arabic" w:hAnsi="Simplified Arabic" w:cs="Simplified Arabic"/>
        </w:rPr>
        <w:t>(Image-to-Video Generation)</w:t>
      </w:r>
      <w:r>
        <w:rPr>
          <w:rFonts w:ascii="Simplified Arabic" w:hAnsi="Simplified Arabic" w:cs="Simplified Arabic"/>
          <w:rtl/>
        </w:rPr>
        <w:t>)، وذلك لتوضيح كيفية اتباع الإطار لتحقيق الأهداف التسويقية. أما بالنسبة لأدوات التحليل، فقد اعتمدت الدراسة على نماذج الذكاء الاصطناعي التوليدي المعقدة، مثل شبكات الخصومة التوليدية (</w:t>
      </w:r>
      <w:r>
        <w:rPr>
          <w:rFonts w:ascii="Simplified Arabic" w:hAnsi="Simplified Arabic" w:cs="Simplified Arabic"/>
        </w:rPr>
        <w:t>GANs</w:t>
      </w:r>
      <w:r>
        <w:rPr>
          <w:rFonts w:ascii="Simplified Arabic" w:hAnsi="Simplified Arabic" w:cs="Simplified Arabic"/>
          <w:rtl/>
        </w:rPr>
        <w:t>) ونماذج الانتشار (</w:t>
      </w:r>
      <w:r>
        <w:rPr>
          <w:rFonts w:ascii="Simplified Arabic" w:hAnsi="Simplified Arabic" w:cs="Simplified Arabic"/>
        </w:rPr>
        <w:t>Diffusion Models</w:t>
      </w:r>
      <w:r>
        <w:rPr>
          <w:rFonts w:ascii="Simplified Arabic" w:hAnsi="Simplified Arabic" w:cs="Simplified Arabic"/>
          <w:rtl/>
        </w:rPr>
        <w:t>) وبنية (</w:t>
      </w:r>
      <w:r>
        <w:rPr>
          <w:rFonts w:ascii="Simplified Arabic" w:hAnsi="Simplified Arabic" w:cs="Simplified Arabic"/>
        </w:rPr>
        <w:t>U-Net</w:t>
      </w:r>
      <w:r>
        <w:rPr>
          <w:rFonts w:ascii="Simplified Arabic" w:hAnsi="Simplified Arabic" w:cs="Simplified Arabic"/>
          <w:rtl/>
        </w:rPr>
        <w:t xml:space="preserve">) (في تطوير نموذج </w:t>
      </w:r>
      <w:r>
        <w:rPr>
          <w:rFonts w:ascii="Simplified Arabic" w:hAnsi="Simplified Arabic" w:cs="Simplified Arabic"/>
        </w:rPr>
        <w:t>SVTON</w:t>
      </w:r>
      <w:r>
        <w:rPr>
          <w:rFonts w:ascii="Simplified Arabic" w:hAnsi="Simplified Arabic" w:cs="Simplified Arabic"/>
          <w:rtl/>
        </w:rPr>
        <w:t xml:space="preserve"> لعمليات القياس الافتراضي ونموذج </w:t>
      </w:r>
      <w:r>
        <w:rPr>
          <w:rFonts w:ascii="Simplified Arabic" w:hAnsi="Simplified Arabic" w:cs="Simplified Arabic"/>
        </w:rPr>
        <w:t>FashionFlow</w:t>
      </w:r>
      <w:r>
        <w:rPr>
          <w:rFonts w:ascii="Simplified Arabic" w:hAnsi="Simplified Arabic" w:cs="Simplified Arabic"/>
          <w:rtl/>
        </w:rPr>
        <w:t xml:space="preserve"> لتحويل الصورة إلى فيديو). وقد تضمنت عملية التقييم قياس أداء النماذج ومقارنة النواتج بالبيانات الأصلية (</w:t>
      </w:r>
      <w:r>
        <w:rPr>
          <w:rFonts w:ascii="Simplified Arabic" w:hAnsi="Simplified Arabic" w:cs="Simplified Arabic"/>
        </w:rPr>
        <w:t>ground truth</w:t>
      </w:r>
      <w:r>
        <w:rPr>
          <w:rFonts w:ascii="Simplified Arabic" w:hAnsi="Simplified Arabic" w:cs="Simplified Arabic"/>
          <w:rtl/>
        </w:rPr>
        <w:t>)، بالإضافة إلى تقييم ذاتي لجودة الصور المُولدة ومدى ملاءمتها للأهداف التسويقية. وتوصلت النتائج إلى أن إطار عمل (</w:t>
      </w:r>
      <w:r>
        <w:rPr>
          <w:rFonts w:ascii="Simplified Arabic" w:hAnsi="Simplified Arabic" w:cs="Simplified Arabic"/>
        </w:rPr>
        <w:t>MARK-GEN</w:t>
      </w:r>
      <w:r>
        <w:rPr>
          <w:rFonts w:ascii="Simplified Arabic" w:hAnsi="Simplified Arabic" w:cs="Simplified Arabic"/>
          <w:rtl/>
        </w:rPr>
        <w:t xml:space="preserve">) </w:t>
      </w:r>
      <w:r>
        <w:rPr>
          <w:rFonts w:ascii="Simplified Arabic" w:hAnsi="Simplified Arabic" w:cs="Simplified Arabic"/>
          <w:rtl/>
        </w:rPr>
        <w:lastRenderedPageBreak/>
        <w:t>يوفر دليلاً واضحاً للشركات لإنشاء نموذج ذكاء اصطناعي توليدي فعال وقادر على توليد محتوى تسويقي عالي الجودة بكفاءة وسرعة، مما يقلل الجهد البشري والتكاليف. وأشارت التوصيات إلى أهمية الحفاظ على خصوصية العملاء وضرورة تبني ممارسات شفافة لجمع البيانات والتعامل معها، محذرةً من خطر فقدان ثقة العملاء بسبب المخاوف المتعلقة بالخصوصية. كما نوهت إلى التحديات المتعلقة بالحاجة إلى استثمارات في الأجهزة المتخصصة (</w:t>
      </w:r>
      <w:r>
        <w:rPr>
          <w:rFonts w:ascii="Simplified Arabic" w:hAnsi="Simplified Arabic" w:cs="Simplified Arabic"/>
        </w:rPr>
        <w:t>GPUs</w:t>
      </w:r>
      <w:r>
        <w:rPr>
          <w:rFonts w:ascii="Simplified Arabic" w:hAnsi="Simplified Arabic" w:cs="Simplified Arabic"/>
          <w:rtl/>
        </w:rPr>
        <w:t>) وطول فترة تدريب نماذج التعلم العميق.</w:t>
      </w:r>
    </w:p>
    <w:p w14:paraId="5DCC34D8" w14:textId="27E23911" w:rsidR="0005238F" w:rsidRPr="0005238F" w:rsidRDefault="0005238F" w:rsidP="0005238F">
      <w:pPr>
        <w:bidi/>
        <w:spacing w:after="200" w:line="240" w:lineRule="auto"/>
        <w:jc w:val="both"/>
        <w:rPr>
          <w:rFonts w:ascii="Simplified Arabic" w:hAnsi="Simplified Arabic" w:cs="Simplified Arabic"/>
          <w:rtl/>
        </w:rPr>
      </w:pPr>
      <w:r>
        <w:rPr>
          <w:rFonts w:ascii="Simplified Arabic" w:hAnsi="Simplified Arabic" w:cs="Simplified Arabic"/>
          <w:rtl/>
        </w:rPr>
        <w:t xml:space="preserve">تتفق دراسة </w:t>
      </w:r>
      <w:r>
        <w:rPr>
          <w:rFonts w:ascii="Simplified Arabic" w:hAnsi="Simplified Arabic" w:cs="Simplified Arabic"/>
        </w:rPr>
        <w:t>Islam</w:t>
      </w:r>
      <w:r>
        <w:rPr>
          <w:rFonts w:ascii="Simplified Arabic" w:hAnsi="Simplified Arabic" w:cs="Simplified Arabic"/>
          <w:rtl/>
        </w:rPr>
        <w:t xml:space="preserve"> وزملائه (2024) مع الدراسة الحالية في إبرازها الدور التحويلي للذكاء الاصطناعي التوليدي في إنشاء المحتوى التسويقي، وفي التأكيد على أثره في تحسين سرعة الإنتاج وجودة المخرجات والحاجة إلى أطر عمل منظمة للتبني. ومع ذلك، تختلف عنها في طبيعتها المفاهيمية؛ إذ قدمت إطارًا تطبيقيًا (</w:t>
      </w:r>
      <w:r>
        <w:rPr>
          <w:rFonts w:ascii="Simplified Arabic" w:hAnsi="Simplified Arabic" w:cs="Simplified Arabic"/>
        </w:rPr>
        <w:t>MARK-GEN</w:t>
      </w:r>
      <w:r>
        <w:rPr>
          <w:rFonts w:ascii="Simplified Arabic" w:hAnsi="Simplified Arabic" w:cs="Simplified Arabic"/>
          <w:rtl/>
        </w:rPr>
        <w:t>) مدعومًا بحالات توضيحية دون اختبار ميداني مباشر للعلاقة بين التوظيف التقني وفعالية الأداء التسويقي، كما لم تعالج جودة التصميم الإبداعي كمتغير وسيط، ولم تتناول خصوصية وكالات التسويق السعودية أو العوامل التنظيمية والثقافية المؤثرة في تبني التقنية.</w:t>
      </w:r>
    </w:p>
    <w:p w14:paraId="769615BD" w14:textId="77777777" w:rsidR="000D3CD0" w:rsidRPr="004F2B23" w:rsidRDefault="000D3CD0" w:rsidP="000D3CD0">
      <w:pPr>
        <w:bidi/>
        <w:spacing w:after="200" w:line="240" w:lineRule="auto"/>
        <w:jc w:val="both"/>
        <w:rPr>
          <w:rFonts w:ascii="Simplified Arabic" w:hAnsi="Simplified Arabic" w:cs="Simplified Arabic"/>
          <w:sz w:val="2"/>
          <w:szCs w:val="2"/>
          <w:rtl/>
        </w:rPr>
      </w:pPr>
    </w:p>
    <w:p w14:paraId="3AB730F3" w14:textId="02761DC1" w:rsidR="00675F33" w:rsidRPr="004223DC" w:rsidRDefault="00675F33" w:rsidP="000343D5">
      <w:pPr>
        <w:bidi/>
        <w:spacing w:after="200" w:line="240" w:lineRule="auto"/>
        <w:jc w:val="both"/>
        <w:rPr>
          <w:rFonts w:ascii="Simplified Arabic" w:hAnsi="Simplified Arabic" w:cs="Simplified Arabic"/>
          <w:rtl/>
        </w:rPr>
      </w:pPr>
      <w:r>
        <w:rPr>
          <w:rFonts w:ascii="Sakkal Majalla" w:hAnsi="Sakkal Majalla" w:cs="Sakkal Majalla"/>
          <w:b/>
          <w:bCs/>
          <w:color w:val="1F497D" w:themeColor="text2"/>
          <w:sz w:val="32"/>
          <w:szCs w:val="32"/>
          <w:u w:val="single"/>
          <w:rtl/>
        </w:rPr>
        <w:t>المحور الثاني: الدوافع والعوائق لتبني الذكاء الاصطناعي في وكالات التسويق السعودية</w:t>
      </w:r>
      <w:r>
        <w:rPr>
          <w:rFonts w:ascii="Simplified Arabic" w:hAnsi="Simplified Arabic" w:cs="Simplified Arabic" w:hint="cs"/>
          <w:b/>
          <w:bCs/>
          <w:color w:val="EE0000"/>
          <w:rtl/>
        </w:rPr>
        <w:t xml:space="preserve"> </w:t>
      </w:r>
    </w:p>
    <w:p w14:paraId="738A13F1" w14:textId="4495F492" w:rsidR="00675F33" w:rsidRDefault="00DB23C9" w:rsidP="00F9365E">
      <w:pPr>
        <w:bidi/>
        <w:jc w:val="both"/>
        <w:rPr>
          <w:rFonts w:ascii="Simplified Arabic" w:hAnsi="Simplified Arabic" w:cs="Simplified Arabic"/>
          <w:rtl/>
        </w:rPr>
      </w:pPr>
      <w:r>
        <w:rPr>
          <w:rFonts w:ascii="Simplified Arabic" w:hAnsi="Simplified Arabic" w:cs="Simplified Arabic" w:hint="cs"/>
          <w:b/>
          <w:bCs/>
          <w:color w:val="EE0000"/>
          <w:rtl/>
        </w:rPr>
        <w:t xml:space="preserve"> </w:t>
      </w:r>
      <w:r>
        <w:rPr>
          <w:rFonts w:ascii="Simplified Arabic" w:hAnsi="Simplified Arabic" w:cs="Simplified Arabic"/>
          <w:rtl/>
        </w:rPr>
        <w:t>دراسة آل مرعي المنشورة عام 2024، والتي حملت عنوان: "إدراك الشباب السعودي لتقنيات الذكاء الاصطناعي وتأثيراتها على تحقيق جودة المحتوى المرئي عبر وسائل الإعلام: دراسة ميدانية". تمحورت المشكلة البحثية وهدف الدراسة الأساسي حول الوقوف على مستوى إدراك الشباب السعودي لتقنيات الذكاء الاصطناعي (</w:t>
      </w:r>
      <w:r>
        <w:rPr>
          <w:rFonts w:ascii="Simplified Arabic" w:hAnsi="Simplified Arabic" w:cs="Simplified Arabic"/>
        </w:rPr>
        <w:t>AI</w:t>
      </w:r>
      <w:r>
        <w:rPr>
          <w:rFonts w:ascii="Simplified Arabic" w:hAnsi="Simplified Arabic" w:cs="Simplified Arabic"/>
          <w:rtl/>
        </w:rPr>
        <w:t>) وتحديد تأثيرات هذه التقنيات في الارتقاء بجودة المحتوى المرئي المُقدَّم عبر وسائل الإعلام. وقد استندت الدراسة في إطارها النظري إلى نظرية ثراء الوسيلة. ولتحقيق هذا الهدف، اعتمد الباحث المنهج الميداني، مطبقاً دراسته على عينة متاحة من الشباب السعودي بلغت 400 مفردة، وهم من متابعي المحتوى المرئي الذي يعتمد على توظيف تقنيات الذكاء الاصطناعي. وقد شملت أدوات التحليل المستخدمة التحليل الإحصائي (كقياس الارتباط والفروق)، حيث أسفرت النتائج عن عدة استنتاجات مهمة، أبرزها أن نسبة 50% من العينة لديها معرفة واسعة بهذه التقنيات، ونسبة 70.4% تتمتع بإدراك مرتفع للمجالات التي يُستفاد منها في الذكاء الاصطناعي. كما ثبت وجود علاقة ارتباطية دالة إحصائياً بين معدلات متابعة الشباب السعودي للمحتوى المرئي الذي يوظف الذكاء الاصطناعي وإدراكهم للتأثيرات الناتجة عن توظيف هذه التقنيات في تحقيق جودة المحتوى المرئي. علاوة على ذلك، أشارت النتائج إلى وجود فروق ذات دلالة إحصائية في الإدراك لتأثيرات توظيف تقنيات الذكاء الاصطناعي في تحقيق جودة المحتوى المرئي، وذلك تبعاً لنوع التعليم والفئة العمرية والمستوى الاقتصادي الاجتماعي فقط. ومن حيث التفاعل مع التطبيقات الذكية، تصدّر تطبيق "توكلنا" القائمة بنسبة تفاعل بلغت 91.0% من العينة.</w:t>
      </w:r>
    </w:p>
    <w:p w14:paraId="139FE416" w14:textId="4F0C41B3" w:rsidR="0005238F" w:rsidRPr="0005238F" w:rsidRDefault="0005238F" w:rsidP="0005238F">
      <w:pPr>
        <w:bidi/>
        <w:jc w:val="both"/>
        <w:rPr>
          <w:rFonts w:ascii="Simplified Arabic" w:hAnsi="Simplified Arabic" w:cs="Simplified Arabic"/>
          <w:rtl/>
        </w:rPr>
      </w:pPr>
      <w:r>
        <w:rPr>
          <w:rFonts w:ascii="Simplified Arabic" w:hAnsi="Simplified Arabic" w:cs="Simplified Arabic"/>
          <w:rtl/>
        </w:rPr>
        <w:t>تتفق دراسة آل مرعي (2024) مع الدراسة الحالية في إبراز أهمية الوعي والإدراك بالتقنيات الذكية ودورهما في قبول المحتوى المرتبط بالذكاء الاصطناعي، كما تدعم بصورة غير مباشرة فكرة العلاقة بين توظيف التقنية وإدراك جودة المحتوى. إلا أنها تختلف جوهريًا عن الدراسة الحالية من حيث وحدة التحليل؛ إذ ركزت على الجمهور السعودي (الشباب) لا على المؤسسات أو وكالات التسويق، كما لم تتناول الذكاء الاصطناعي التوليدي تحديدًا في تصميم الحملات، ولم تقيس الأداء التسويقي أو تبحث في الدوافع والعوائق المؤسسية أو العلاقات السببية بين التوظيف التقني وجودة التصميم والفعالية التسويقية.</w:t>
      </w:r>
    </w:p>
    <w:p w14:paraId="08080855" w14:textId="77777777" w:rsidR="00361EA9" w:rsidRPr="00361EA9" w:rsidRDefault="00361EA9" w:rsidP="00361EA9">
      <w:pPr>
        <w:bidi/>
        <w:jc w:val="both"/>
        <w:rPr>
          <w:rFonts w:ascii="Simplified Arabic" w:hAnsi="Simplified Arabic" w:cs="Simplified Arabic"/>
          <w:rtl/>
        </w:rPr>
      </w:pPr>
    </w:p>
    <w:p w14:paraId="3637037E" w14:textId="6B2477B3" w:rsidR="00CD177D" w:rsidRDefault="00CD177D" w:rsidP="00CD177D">
      <w:pPr>
        <w:bidi/>
        <w:spacing w:after="200" w:line="240" w:lineRule="auto"/>
        <w:jc w:val="both"/>
        <w:rPr>
          <w:rFonts w:ascii="Simplified Arabic" w:hAnsi="Simplified Arabic" w:cs="Simplified Arabic"/>
          <w:rtl/>
        </w:rPr>
      </w:pPr>
      <w:r>
        <w:rPr>
          <w:rFonts w:ascii="Simplified Arabic" w:hAnsi="Simplified Arabic" w:cs="Simplified Arabic"/>
          <w:rtl/>
        </w:rPr>
        <w:t xml:space="preserve">دراسة العتيبي واليوبي عام 2024، بعنوان "أثر تقنيات الذكاء الاصطناعي على الابتكار التسويقي: دراسة تطبيقية على شركة موبايلي بالمملكة العربية السعودية"، العلاقة الجوهرية بين هذين المتغيرين. وقد تمثّل الهدف الأساسي للدراسة في </w:t>
      </w:r>
      <w:r>
        <w:rPr>
          <w:rFonts w:ascii="Simplified Arabic" w:hAnsi="Simplified Arabic" w:cs="Simplified Arabic"/>
          <w:rtl/>
        </w:rPr>
        <w:lastRenderedPageBreak/>
        <w:t>التعرف على أثر تقنيات الذكاء الاصطناعي على الابتكار التسويقي، مع التركيز على دور هذه التقنيات في تميز الشركات ومواجهة المنافسين. اعتمدت الدراسة على منهج دراسة الحالة</w:t>
      </w:r>
      <w:r>
        <w:rPr>
          <w:rFonts w:ascii="Simplified Arabic" w:hAnsi="Simplified Arabic" w:cs="Simplified Arabic"/>
        </w:rPr>
        <w:t xml:space="preserve"> (Case Study) </w:t>
      </w:r>
      <w:r>
        <w:rPr>
          <w:rFonts w:ascii="Simplified Arabic" w:hAnsi="Simplified Arabic" w:cs="Simplified Arabic"/>
          <w:rtl/>
        </w:rPr>
        <w:t>لدراسة الوضع الراهن وتطبيق التقنيات داخل شركة موبايلي. أما الفئة التي استهدفتها الدراسة فكانت شركة موبايلي بالمملكة العربية السعودية، حيث جُمعت البيانات من الفروع الرئيسية الثلاثة للشركة بمدينة مكة المكرمة. اعتمدت الباحثتان في جمع البيانات على الاستبانة العلمية كأداة رئيسية، بالإضافة إلى استخدام منهج تحليل المحتوى لإعداد نموذج مقترح يوضح كيفية استخدام الذكاء الاصطناعي في الابتكار التسويقي. وقد توصلت الدراسة إلى نتائج دالة، أبرزها وجود أثر إيجابي لاستخدام تقنيات الذكاء الاصطناعي على الابتكار التسويقي وأبعاده داخل شركة موبايلي بنسبة بلغت 80%، ووجود علاقة ارتباط طردية قوية ذات دلالة إحصائية بين تقنيات الذكاء الاصطناعي والابتكار التسويقي بلغت نسبتها 93%. كما كشفت النتائج أن تقنية تحليل البيانات الضخمة</w:t>
      </w:r>
      <w:r>
        <w:rPr>
          <w:rFonts w:ascii="Simplified Arabic" w:hAnsi="Simplified Arabic" w:cs="Simplified Arabic"/>
        </w:rPr>
        <w:t xml:space="preserve"> (Big Data) </w:t>
      </w:r>
      <w:r>
        <w:rPr>
          <w:rFonts w:ascii="Simplified Arabic" w:hAnsi="Simplified Arabic" w:cs="Simplified Arabic"/>
          <w:rtl/>
        </w:rPr>
        <w:t>هي التقنية الأكثر تأثيراً (بنسبة 59%) على الابتكار التسويقي، بينما كانت تقنية التعلم العميق هي الأقل تأثيراً (بنسبة 27%). وكنتيجة لذلك، أوصت الدراسة بضرورة الاهتمام بتطبيق تقنيات الذكاء الاصطناعي في الابتكار التسويقي بجميع أبعاده، وذلك لتسهيل التعامل مع البيانات الهائلة وابتكار منتجات تلبي رغبات العميل، بالإضافة إلى أهمية إعداد خطة تطويرية لكيفية استخدام تقنية تحليل البيانات الضخمة والاستفادة منها في هذا المجال</w:t>
      </w:r>
      <w:r>
        <w:rPr>
          <w:rFonts w:ascii="Simplified Arabic" w:hAnsi="Simplified Arabic" w:cs="Simplified Arabic"/>
        </w:rPr>
        <w:t>.</w:t>
      </w:r>
    </w:p>
    <w:p w14:paraId="78B88FF0" w14:textId="349085C8" w:rsidR="0005238F" w:rsidRPr="00CD177D" w:rsidRDefault="0005238F" w:rsidP="0005238F">
      <w:pPr>
        <w:bidi/>
        <w:spacing w:after="200" w:line="240" w:lineRule="auto"/>
        <w:jc w:val="both"/>
        <w:rPr>
          <w:rFonts w:ascii="Simplified Arabic" w:hAnsi="Simplified Arabic" w:cs="Simplified Arabic"/>
        </w:rPr>
      </w:pPr>
      <w:r>
        <w:rPr>
          <w:rFonts w:ascii="Simplified Arabic" w:hAnsi="Simplified Arabic" w:cs="Simplified Arabic"/>
          <w:rtl/>
        </w:rPr>
        <w:t>تتفق هذه الدراسة مع الدراسة الحالية في تأكيد الأثر الإيجابي لتقنيات الذكاء الاصطناعي على المخرجات التسويقية داخل السياق السعودي، وفي إبراز دور تحليل البيانات بوصفه عنصرًا مهمًا في تحسين الأداء الابتكاري والقدرة التنافسية. غير أنها تختلف في تركيزها على الابتكار التسويقي كمتغير تابع داخل شركة واحدة (موبايلي) باستخدام منهج دراسة الحالة، دون تناول جودة تصميم الحملات أو فعالية الأداء التسويقي بمؤشراته، كما أنها لا تقدم نموذجًا تفسيريًا يختبر الأثر غير المباشر عبر متغيرات وسيطة، ولا تعالج الذكاء الاصطناعي التوليدي صراحةً أو الدوافع والعوائق المؤسسية بشكل تفصيلي.</w:t>
      </w:r>
    </w:p>
    <w:p w14:paraId="0066C116" w14:textId="77777777" w:rsidR="000D3CD0" w:rsidRDefault="000D3CD0" w:rsidP="000D17E6">
      <w:pPr>
        <w:bidi/>
        <w:jc w:val="both"/>
        <w:rPr>
          <w:rFonts w:asciiTheme="majorBidi" w:hAnsiTheme="majorBidi" w:cstheme="majorBidi"/>
          <w:rtl/>
        </w:rPr>
      </w:pPr>
    </w:p>
    <w:p w14:paraId="44CF6AF4" w14:textId="7739D329" w:rsidR="000343D5" w:rsidRDefault="000D17E6" w:rsidP="000D3CD0">
      <w:pPr>
        <w:bidi/>
        <w:jc w:val="both"/>
        <w:rPr>
          <w:rFonts w:ascii="Simplified Arabic" w:hAnsi="Simplified Arabic" w:cs="Simplified Arabic"/>
          <w:rtl/>
        </w:rPr>
      </w:pPr>
      <w:r>
        <w:rPr>
          <w:rFonts w:ascii="Simplified Arabic" w:hAnsi="Simplified Arabic" w:cs="Simplified Arabic"/>
          <w:rtl/>
        </w:rPr>
        <w:t>تناولت دراسة كشتري وزملاؤه (</w:t>
      </w:r>
      <w:r>
        <w:rPr>
          <w:rFonts w:ascii="Simplified Arabic" w:hAnsi="Simplified Arabic" w:cs="Simplified Arabic"/>
        </w:rPr>
        <w:t>Kshetri et al</w:t>
      </w:r>
      <w:r>
        <w:rPr>
          <w:rFonts w:ascii="Simplified Arabic" w:hAnsi="Simplified Arabic" w:cs="Simplified Arabic"/>
          <w:rtl/>
        </w:rPr>
        <w:t>.) في عام 2023، بعنوان "الذكاء الاصطناعي التوليدي في التسويق: التطبيقات، الفرص، التحديات، وأجندة البحث"، التأثيرات التحويلية للذكاء الاصطناعي التوليدي (</w:t>
      </w:r>
      <w:r>
        <w:rPr>
          <w:rFonts w:ascii="Simplified Arabic" w:hAnsi="Simplified Arabic" w:cs="Simplified Arabic"/>
        </w:rPr>
        <w:t>GAI</w:t>
      </w:r>
      <w:r>
        <w:rPr>
          <w:rFonts w:ascii="Simplified Arabic" w:hAnsi="Simplified Arabic" w:cs="Simplified Arabic"/>
          <w:rtl/>
        </w:rPr>
        <w:t>) على أنشطة التسويق. وقد أكد الباحثون أن التسويق كان من المجالات الوظيفية التي تأثرت إيجاباً بشكل خاص بهذا الابتكار. تمحور الهدف الأساسي لهذه الدراسة حول تحديد الوضع الحالي للذكاء الاصطناعي التوليدي في مجال التسويق وملء الفراغ البحثي المتعلق بالتأثيرات التحويلية لهذه التقنيات على الأنشطة التسويقية. وقد سعى الباحثون للإجابة على سؤال مركزي مفاده: ما هي الآليات التي يؤثر بها الذكاء الاصطناعي التوليدي على أنشطة ونتائج التسويق؟. ركزت الدراسة على ثلاث تطبيقات رئيسية للذكاء الاصطناعي التوليدي في التسويق، وهي: التخصيص، وتوليد الرؤى، وإنشاء المحتوى. الفئة التي شملتها الدراسة كانت واسعة، حيث اعتُبرت جميع المجالات الوظيفية في المؤسسات التي تستفيد من الذكاء الاصطناعي التوليدي، مع إيلاء اهتمام خاص للمهنيين والمنظمات في قطاع التسويق والإعلان. أما منهج البحث المعتمد، فقد كان منهج المقال الافتتاحي المفاهيمي، حيث قام الباحثون بتنظيم المناقشة حول ميسرات وعوائق استخدام الذكاء الاصطناعي التوليدي في التسويق، وطوروا عدداً من الافتراضات المتعلقة بتأثير الذكاء الاصطناعي التوليدي على عمليات ونتائج التسويق. اعتمدت أدوات التحليل على تحليل الأدلة الأولية والإحصائيات المستخلصة من المسوح المتخصصة التي تظهر الاستخدام الواسع النطاق لهذه التقنيات في التسويق. ومن أبرز النتائج التي توصلت إليها الدراسة أن المحتوى التسويقي المُنشأ بواسطة الذكاء الاصطناعي التوليدي من المرجح أن يكون أكثر ملاءمة على المستوى الشخصي مقارنة بالتقنيات الرقمية السابقة</w:t>
      </w:r>
      <w:r>
        <w:rPr>
          <w:rFonts w:ascii="Simplified Arabic" w:hAnsi="Simplified Arabic" w:cs="Simplified Arabic" w:hint="cs"/>
          <w:rtl/>
        </w:rPr>
        <w:t>،</w:t>
      </w:r>
      <w:r>
        <w:rPr>
          <w:rFonts w:ascii="Simplified Arabic" w:hAnsi="Simplified Arabic" w:cs="Simplified Arabic"/>
          <w:rtl/>
        </w:rPr>
        <w:t xml:space="preserve"> كما أن استخدام الذكاء الاصطناعي التوليدي يؤدي إلى تحقيق كفاءة وإنتاجية أعلى في الأنشطة التسويقية (حيث توقع 82% من المستجيبين تحسن الإنتاجية). أما التوصيات فقد شملت ضرورة معالجة حواجز التكلفة التي تمثل عائقاً، خاصة للشركات الصغيرة والمتوسطة، </w:t>
      </w:r>
      <w:r>
        <w:rPr>
          <w:rFonts w:ascii="Simplified Arabic" w:hAnsi="Simplified Arabic" w:cs="Simplified Arabic"/>
          <w:rtl/>
        </w:rPr>
        <w:lastRenderedPageBreak/>
        <w:t>وأكدت على أن الرؤى والمحتوى المُولّد بواسطة الذكاء الاصطناعي التوليدي تلعب دوراً حاسماً في تحسين عملية توليد العملاء المحتملين</w:t>
      </w:r>
      <w:r>
        <w:rPr>
          <w:rFonts w:ascii="Simplified Arabic" w:hAnsi="Simplified Arabic" w:cs="Simplified Arabic" w:hint="cs"/>
          <w:rtl/>
        </w:rPr>
        <w:t>.</w:t>
      </w:r>
    </w:p>
    <w:p w14:paraId="08528780" w14:textId="565CC364" w:rsidR="0005238F" w:rsidRPr="0005238F" w:rsidRDefault="0005238F" w:rsidP="0005238F">
      <w:pPr>
        <w:bidi/>
        <w:jc w:val="both"/>
        <w:rPr>
          <w:rFonts w:ascii="Simplified Arabic" w:hAnsi="Simplified Arabic" w:cs="Simplified Arabic"/>
          <w:rtl/>
        </w:rPr>
      </w:pPr>
      <w:r>
        <w:rPr>
          <w:rFonts w:ascii="Simplified Arabic" w:hAnsi="Simplified Arabic" w:cs="Simplified Arabic"/>
          <w:rtl/>
        </w:rPr>
        <w:t xml:space="preserve">تتوافق دراسة </w:t>
      </w:r>
      <w:r>
        <w:rPr>
          <w:rFonts w:ascii="Simplified Arabic" w:hAnsi="Simplified Arabic" w:cs="Simplified Arabic"/>
        </w:rPr>
        <w:t>Kshetri</w:t>
      </w:r>
      <w:r>
        <w:rPr>
          <w:rFonts w:ascii="Simplified Arabic" w:hAnsi="Simplified Arabic" w:cs="Simplified Arabic"/>
          <w:rtl/>
        </w:rPr>
        <w:t xml:space="preserve"> وزملائه (2023) مع الدراسة الحالية في تأكيدها أن الذكاء الاصطناعي التوليدي يمثل تحولًا نوعيًا في التسويق من خلال التخصيص، وتوليد المحتوى، ورفع الكفاءة والإنتاجية، كما أنها مفيدة في بناء الأساس النظري المتعلق بالمحفزات والمعوقات وأجندة البحث. إلا أنها تختلف عن الدراسة الحالية لكونها دراسة مفاهيمية/تحليلية لا تتضمن اختبارًا ميدانيًا للفرضيات، ولا تربط بين التبني وجودة تصميم الحملات وفعالية الأداء التسويقي ضمن نموذج سببي، كما لا تتناول السياق السعودي أو أثر المتغيرات الوسيطة والمعدلة على نحو تطبيقي.</w:t>
      </w:r>
    </w:p>
    <w:p w14:paraId="45A37254" w14:textId="77777777" w:rsidR="004F2B23" w:rsidRPr="004F2B23" w:rsidRDefault="004F2B23" w:rsidP="004F2B23">
      <w:pPr>
        <w:bidi/>
        <w:jc w:val="both"/>
        <w:rPr>
          <w:rFonts w:ascii="Simplified Arabic" w:hAnsi="Simplified Arabic" w:cs="Simplified Arabic"/>
          <w:sz w:val="2"/>
          <w:szCs w:val="2"/>
          <w:rtl/>
        </w:rPr>
      </w:pPr>
    </w:p>
    <w:p w14:paraId="35C1D59A" w14:textId="5D007FF5" w:rsidR="008F5423" w:rsidRDefault="00675F33" w:rsidP="000D3CD0">
      <w:pPr>
        <w:bidi/>
        <w:spacing w:after="200" w:line="240" w:lineRule="auto"/>
        <w:jc w:val="both"/>
        <w:rPr>
          <w:rFonts w:ascii="Simplified Arabic" w:hAnsi="Simplified Arabic" w:cs="Simplified Arabic"/>
          <w:rtl/>
        </w:rPr>
      </w:pPr>
      <w:r>
        <w:rPr>
          <w:rFonts w:ascii="Sakkal Majalla" w:hAnsi="Sakkal Majalla" w:cs="Sakkal Majalla"/>
          <w:b/>
          <w:bCs/>
          <w:color w:val="1F497D" w:themeColor="text2"/>
          <w:sz w:val="32"/>
          <w:szCs w:val="32"/>
          <w:u w:val="single"/>
          <w:rtl/>
        </w:rPr>
        <w:t>المحور الثالث: أثر توظيف الذكاء الاصطناعي التوليدي في فعالية الأداء التسويقي</w:t>
      </w:r>
      <w:r>
        <w:rPr>
          <w:rFonts w:ascii="Simplified Arabic" w:hAnsi="Simplified Arabic" w:cs="Simplified Arabic" w:hint="cs"/>
          <w:b/>
          <w:bCs/>
          <w:rtl/>
        </w:rPr>
        <w:t xml:space="preserve"> </w:t>
      </w:r>
    </w:p>
    <w:p w14:paraId="10CF38DC" w14:textId="77777777" w:rsidR="0016375F" w:rsidRDefault="003B5EAB" w:rsidP="0016375F">
      <w:pPr>
        <w:bidi/>
        <w:jc w:val="both"/>
        <w:rPr>
          <w:rFonts w:ascii="Simplified Arabic" w:hAnsi="Simplified Arabic" w:cs="Simplified Arabic"/>
          <w:rtl/>
        </w:rPr>
      </w:pPr>
      <w:r>
        <w:rPr>
          <w:rFonts w:ascii="Simplified Arabic" w:hAnsi="Simplified Arabic" w:cs="Simplified Arabic"/>
          <w:rtl/>
        </w:rPr>
        <w:t xml:space="preserve">جاءت دراسة </w:t>
      </w:r>
      <w:r>
        <w:rPr>
          <w:rFonts w:ascii="Simplified Arabic" w:hAnsi="Simplified Arabic" w:cs="Simplified Arabic" w:hint="cs"/>
          <w:rtl/>
        </w:rPr>
        <w:t>اللهيبي وآخرون</w:t>
      </w:r>
      <w:r>
        <w:rPr>
          <w:rFonts w:ascii="Simplified Arabic" w:hAnsi="Simplified Arabic" w:cs="Simplified Arabic"/>
          <w:rtl/>
        </w:rPr>
        <w:t xml:space="preserve"> في عام 2024، تحت عنوان "أثر تطبيق الذكاء الاصطناعي على الأداء التسويقي المصرفي". وقد تمثّل الهدف الأساسي لمشروع البحث في تحديد علاقة تأثير تطبيق الذكاء الاصطناعي (</w:t>
      </w:r>
      <w:r>
        <w:rPr>
          <w:rFonts w:ascii="Simplified Arabic" w:hAnsi="Simplified Arabic" w:cs="Simplified Arabic"/>
        </w:rPr>
        <w:t>AI</w:t>
      </w:r>
      <w:r>
        <w:rPr>
          <w:rFonts w:ascii="Simplified Arabic" w:hAnsi="Simplified Arabic" w:cs="Simplified Arabic"/>
          <w:rtl/>
        </w:rPr>
        <w:t xml:space="preserve">) على الأداء التسويقي المصرفي. انطلقت مشكلة الدراسة من وجود ضعف في الأداء التسويقي المصرفي يعود إلى ضعف الاهتمام بتبني تقنيات الذكاء الاصطناعي في المصارف المبحوثة. اعتمد الباحث في معالجة المشكلة المنهج الوصفي التحليلي. وقد شملت الفئة التي درستها العاملين في فروع المصارف الحكومية الثلاثة (مصرف الرافدين، ومصرف الرشيد، والمصرف العراقي للتجارة </w:t>
      </w:r>
      <w:r>
        <w:rPr>
          <w:rFonts w:ascii="Simplified Arabic" w:hAnsi="Simplified Arabic" w:cs="Simplified Arabic"/>
        </w:rPr>
        <w:t>(TBI)</w:t>
      </w:r>
      <w:r>
        <w:rPr>
          <w:rFonts w:ascii="Simplified Arabic" w:hAnsi="Simplified Arabic" w:cs="Simplified Arabic"/>
          <w:rtl/>
        </w:rPr>
        <w:t xml:space="preserve">) بمحافظة النجف الأشرف، حيث بلغت عينة الدراسة 120 مفردة، وشملت مدراء الأقسام والشُعب ورؤساء قسم تكنولوجيا المعلومات. ولجمع المعلومات، اعتمدت الدراسة على مقياس الاستبيان. أما أدوات التحليل الإحصائي المستخدمة، فقد شملت برامج </w:t>
      </w:r>
      <w:r>
        <w:rPr>
          <w:rFonts w:ascii="Simplified Arabic" w:hAnsi="Simplified Arabic" w:cs="Simplified Arabic"/>
        </w:rPr>
        <w:t>SPSS v.25</w:t>
      </w:r>
      <w:r>
        <w:rPr>
          <w:rFonts w:ascii="Simplified Arabic" w:hAnsi="Simplified Arabic" w:cs="Simplified Arabic"/>
          <w:rtl/>
        </w:rPr>
        <w:t xml:space="preserve"> و</w:t>
      </w:r>
      <w:r>
        <w:rPr>
          <w:rFonts w:ascii="Simplified Arabic" w:hAnsi="Simplified Arabic" w:cs="Simplified Arabic"/>
        </w:rPr>
        <w:t>SMART PLS v.4.1.0.2</w:t>
      </w:r>
      <w:r>
        <w:rPr>
          <w:rFonts w:ascii="Simplified Arabic" w:hAnsi="Simplified Arabic" w:cs="Simplified Arabic"/>
          <w:rtl/>
        </w:rPr>
        <w:t xml:space="preserve"> للكشف عن العلاقات بين المتغيرات. وتوصلت الدراسة إلى استنتاجات مهمة، أهمها وجود علاقة تأثير موجبة وذات دلالة معنوية لتطبيق الذكاء الاصطناعي على الأداء التسويقي في المصارف المبحوثة، مما يشير إلى أن استخدام هذه التقنيات يساعد بشكل كبير في تحسين الأداء التسويقي. في المقابل، أشارت النتائج إلى عدم وجود تأثير ذي دلالة معنوية لبعد الخوارزميات في الأداء التسويقي، مما يدل على ضعف تبنيها. كما أظهرت النتائج أن العاملين يواجهون صعوبة في الحصول على الدعم والتدريب اللازمين لاستخدام النظم الخبيرة (</w:t>
      </w:r>
      <w:r>
        <w:rPr>
          <w:rFonts w:ascii="Simplified Arabic" w:hAnsi="Simplified Arabic" w:cs="Simplified Arabic"/>
        </w:rPr>
        <w:t>Expert Systems</w:t>
      </w:r>
      <w:r>
        <w:rPr>
          <w:rFonts w:ascii="Simplified Arabic" w:hAnsi="Simplified Arabic" w:cs="Simplified Arabic"/>
          <w:rtl/>
        </w:rPr>
        <w:t>). وبناءً على هذه الاستنتاجات، أوصت الدراسة بضرورة اعتماد تطبيقات الذكاء الاصطناعي في المصارف لتعزيز أدائها التسويقي، وأكدت على ضرورة تحول المصارف من النظام التقليدي إلى النظام التكنولوجي الحديث وإطلاق منصات للتطبيقات عبر الهاتف المحمول لجذب قاعدة عملاء أكبر. كما دعت إلى العمل على استغلال البيانات الضخمة واستخدام الخوارزميات للكشف عن شرائح العملاء لتقديم استراتيجيات تسويق مخصصة.</w:t>
      </w:r>
    </w:p>
    <w:p w14:paraId="4FA834F9" w14:textId="5E76DB7D" w:rsidR="0016375F" w:rsidRPr="0016375F" w:rsidRDefault="0016375F" w:rsidP="0016375F">
      <w:pPr>
        <w:bidi/>
        <w:jc w:val="both"/>
        <w:rPr>
          <w:rFonts w:ascii="Simplified Arabic" w:hAnsi="Simplified Arabic" w:cs="Simplified Arabic"/>
          <w:rtl/>
        </w:rPr>
      </w:pPr>
      <w:r>
        <w:rPr>
          <w:rFonts w:ascii="Simplified Arabic" w:hAnsi="Simplified Arabic" w:cs="Simplified Arabic"/>
          <w:rtl/>
        </w:rPr>
        <w:t>تتفق دراسة اللهيبي وآخرون (2024) مع الدراسة الحالية في تأكيدها وجود أثر إيجابي لتطبيقات الذكاء الاصطناعي على الأداء التسويقي، كما تُعد مهمة في إبراز دور التدريب والدعم البشري والمؤسسي في نجاح التبني وتحقيق النتائج. لكنها تختلف من حيث المجال والسياق؛ إذ طُبقت على القطاع المصرفي العراقي لا على وكالات التسويق السعودية، وتناولت الذكاء الاصطناعي بصورته العامة لا التوليدية تحديدًا، كما لم تبحث أثر التوظيف على جودة تصميم الحملات أو التخصيص الإبداعي، ولم تقدم نموذجًا يختبر الأثر غير المباشر أو تأثير العوامل التنظيمية والثقافية المحلية.</w:t>
      </w:r>
    </w:p>
    <w:p w14:paraId="71584529" w14:textId="77777777" w:rsidR="000D3CD0" w:rsidRDefault="000D3CD0" w:rsidP="003B5EAB">
      <w:pPr>
        <w:bidi/>
        <w:jc w:val="both"/>
        <w:rPr>
          <w:rFonts w:asciiTheme="majorBidi" w:hAnsiTheme="majorBidi" w:cstheme="majorBidi"/>
          <w:rtl/>
        </w:rPr>
      </w:pPr>
    </w:p>
    <w:p w14:paraId="0F558315" w14:textId="78D07CFF" w:rsidR="000343D5" w:rsidRDefault="003B5EAB" w:rsidP="000D3CD0">
      <w:pPr>
        <w:bidi/>
        <w:jc w:val="both"/>
        <w:rPr>
          <w:rFonts w:ascii="Simplified Arabic" w:hAnsi="Simplified Arabic" w:cs="Simplified Arabic"/>
          <w:rtl/>
        </w:rPr>
      </w:pPr>
      <w:r>
        <w:rPr>
          <w:rFonts w:ascii="Simplified Arabic" w:hAnsi="Simplified Arabic" w:cs="Simplified Arabic"/>
          <w:rtl/>
        </w:rPr>
        <w:t>في إطار الدراسات التي تركز على تحليل الأدبيات القائمة حول دمج التقنيات الجديدة في التسويق، قدم مندوزا وزملاؤه (</w:t>
      </w:r>
      <w:r>
        <w:rPr>
          <w:rFonts w:ascii="Simplified Arabic" w:hAnsi="Simplified Arabic" w:cs="Simplified Arabic"/>
        </w:rPr>
        <w:t>Mendoza et al</w:t>
      </w:r>
      <w:r>
        <w:rPr>
          <w:rFonts w:ascii="Simplified Arabic" w:hAnsi="Simplified Arabic" w:cs="Simplified Arabic"/>
          <w:rtl/>
        </w:rPr>
        <w:t xml:space="preserve">.) دراستهم في عام 2025، تحت عنوان "الذكاء الاصطناعي في التسويق الرقمي: تحليل كمي لتأثيره </w:t>
      </w:r>
      <w:r>
        <w:rPr>
          <w:rFonts w:ascii="Simplified Arabic" w:hAnsi="Simplified Arabic" w:cs="Simplified Arabic"/>
          <w:rtl/>
        </w:rPr>
        <w:lastRenderedPageBreak/>
        <w:t>على تخصيص العملاء". تمثّل الهدف الأساسي لهذا البحث في إجراء تحليل منهجي وكمي لتأثير الذكاء الاصطناعي (</w:t>
      </w:r>
      <w:r>
        <w:rPr>
          <w:rFonts w:ascii="Simplified Arabic" w:hAnsi="Simplified Arabic" w:cs="Simplified Arabic"/>
        </w:rPr>
        <w:t>AI</w:t>
      </w:r>
      <w:r>
        <w:rPr>
          <w:rFonts w:ascii="Simplified Arabic" w:hAnsi="Simplified Arabic" w:cs="Simplified Arabic"/>
          <w:rtl/>
        </w:rPr>
        <w:t>) على تخصيص العملاء</w:t>
      </w:r>
      <w:r>
        <w:rPr>
          <w:rFonts w:ascii="Simplified Arabic" w:hAnsi="Simplified Arabic" w:cs="Simplified Arabic" w:hint="cs"/>
          <w:rtl/>
        </w:rPr>
        <w:t xml:space="preserve"> </w:t>
      </w:r>
      <w:r>
        <w:rPr>
          <w:rFonts w:ascii="Simplified Arabic" w:hAnsi="Simplified Arabic" w:cs="Simplified Arabic"/>
          <w:rtl/>
        </w:rPr>
        <w:t xml:space="preserve">ضمن سياق التسويق الرقمي. اعتمدت الدراسة في منهجها على منهجية المراجعة المنهجية والتحليل الكمي، حيث تم استخدام منهجية </w:t>
      </w:r>
      <w:r>
        <w:rPr>
          <w:rFonts w:ascii="Simplified Arabic" w:hAnsi="Simplified Arabic" w:cs="Simplified Arabic"/>
        </w:rPr>
        <w:t>PRISMA</w:t>
      </w:r>
      <w:r>
        <w:rPr>
          <w:rFonts w:ascii="Simplified Arabic" w:hAnsi="Simplified Arabic" w:cs="Simplified Arabic"/>
          <w:rtl/>
        </w:rPr>
        <w:t xml:space="preserve"> لإجراء البحث في قواعد بيانات متخصصة مثل </w:t>
      </w:r>
      <w:r>
        <w:rPr>
          <w:rFonts w:ascii="Simplified Arabic" w:hAnsi="Simplified Arabic" w:cs="Simplified Arabic"/>
        </w:rPr>
        <w:t>Scopus</w:t>
      </w:r>
      <w:r>
        <w:rPr>
          <w:rFonts w:ascii="Simplified Arabic" w:hAnsi="Simplified Arabic" w:cs="Simplified Arabic"/>
          <w:rtl/>
        </w:rPr>
        <w:t xml:space="preserve"> و </w:t>
      </w:r>
      <w:r>
        <w:rPr>
          <w:rFonts w:ascii="Simplified Arabic" w:hAnsi="Simplified Arabic" w:cs="Simplified Arabic"/>
        </w:rPr>
        <w:t>Web of Science</w:t>
      </w:r>
      <w:r>
        <w:rPr>
          <w:rFonts w:ascii="Simplified Arabic" w:hAnsi="Simplified Arabic" w:cs="Simplified Arabic"/>
          <w:rtl/>
        </w:rPr>
        <w:t>. أما الفئة التي درستها، فقد ركزت على تحليل محتوى 18 دراسة مؤهلة تم اختيارها من أصل 44 وثيقة تم تحديدها في البداية، وهي دراسات تتناول التقاطع بين الذكاء الاصطناعي والتسويق الرقمي وتخصيص العملاء. أما بالنسبة لأدوات التحليل، فقد اعتمدت على التحليل الكمي للمخرجات البحثية المتاحة. وقد كشفت النتائج أن الذكاء الاصطناعي قد أحدث تحولاً عميقاً في استراتيجيات التسويق، حيث مكّن من تخصيص المحتوى والخدمات والتجارب لتلبية احتياجات المستهلك الفردية في الوقت الفعلي. وتم إثبات أن التخصيص الآلي يرفع من فعالية الحملات التسويقية، مما يؤدي إلى تعزيز ولاء العملاء ورضاهم. علاوة على ذلك، تم تحديد تطورات في مجالات التسويق التخاطبي، والأنظمة التنبؤية، وتحليلات البيانات، وأتمتة العمليات، والتي تخدم تعزيز العلاقة بين الشركة والمستهلك. وفي ختام الدراسة، أوصى الباحثون بأن الذكاء الاصطناعي يمثل فرصة استراتيجية لتصميم تجارب عملاء أكثر ديناميكية ومحورية حول المستخدم، مع التشديد على ضرورة أن يتم تنفيذه في إطار المبادئ الأخلاقية والمسؤولية الرقمية، لمعالجة التحديات الأخلاقية المتعلقة بخصوصية البيانات وشفافية الخوارزميات.</w:t>
      </w:r>
    </w:p>
    <w:p w14:paraId="379F030F" w14:textId="04B3C26F" w:rsidR="0016375F" w:rsidRPr="0016375F" w:rsidRDefault="0016375F" w:rsidP="0016375F">
      <w:pPr>
        <w:bidi/>
        <w:jc w:val="both"/>
        <w:rPr>
          <w:rFonts w:ascii="Simplified Arabic" w:hAnsi="Simplified Arabic" w:cs="Simplified Arabic"/>
          <w:rtl/>
        </w:rPr>
      </w:pPr>
      <w:r>
        <w:rPr>
          <w:rFonts w:ascii="Simplified Arabic" w:hAnsi="Simplified Arabic" w:cs="Simplified Arabic"/>
          <w:rtl/>
        </w:rPr>
        <w:t xml:space="preserve">تتوافق دراسة </w:t>
      </w:r>
      <w:r>
        <w:rPr>
          <w:rFonts w:ascii="Simplified Arabic" w:hAnsi="Simplified Arabic" w:cs="Simplified Arabic"/>
        </w:rPr>
        <w:t>Mendoza</w:t>
      </w:r>
      <w:r>
        <w:rPr>
          <w:rFonts w:ascii="Simplified Arabic" w:hAnsi="Simplified Arabic" w:cs="Simplified Arabic"/>
          <w:rtl/>
        </w:rPr>
        <w:t xml:space="preserve"> وزملائه (2025) مع الدراسة الحالية في تأكيدها أن الذكاء الاصطناعي يعزز تخصيص المحتوى وتجارب العملاء، وأن هذا التخصيص يرتبط بتحسين نتائج تسويقية مثل الرضا والولاء، وهو ما يدعم البعد النظري المتعلق بآليات تحسين الأداء عبر التخصيص. إلا أنها تختلف عن الدراسة الحالية في كونها مراجعة منهجية وتحليلًا كميًا للأدبيات (</w:t>
      </w:r>
      <w:r>
        <w:rPr>
          <w:rFonts w:ascii="Simplified Arabic" w:hAnsi="Simplified Arabic" w:cs="Simplified Arabic"/>
        </w:rPr>
        <w:t>PRISMA</w:t>
      </w:r>
      <w:r>
        <w:rPr>
          <w:rFonts w:ascii="Simplified Arabic" w:hAnsi="Simplified Arabic" w:cs="Simplified Arabic"/>
          <w:rtl/>
        </w:rPr>
        <w:t>) لا دراسة ميدانية، كما أنها لا تقتصر على الذكاء الاصطناعي التوليدي، ولا تربط بين التخصيص وجودة التصميم الإبداعي للحملات بوصفه متغيرًا وسيطًا، ولا تعالج سياق الوكالات السعودية أو دوافع التبني وعوائقه المؤسسية.</w:t>
      </w:r>
    </w:p>
    <w:p w14:paraId="2137F085" w14:textId="34D7C0CA" w:rsidR="000D3CD0" w:rsidRDefault="000D3CD0" w:rsidP="0085283F">
      <w:pPr>
        <w:spacing w:after="200" w:line="240" w:lineRule="auto"/>
        <w:rPr>
          <w:rFonts w:asciiTheme="majorBidi" w:hAnsiTheme="majorBidi" w:cstheme="majorBidi"/>
        </w:rPr>
      </w:pPr>
      <w:r>
        <w:rPr>
          <w:rFonts w:ascii="Simplified Arabic" w:hAnsi="Simplified Arabic" w:cs="Simplified Arabic"/>
        </w:rPr>
        <w:t xml:space="preserve"> </w:t>
      </w:r>
    </w:p>
    <w:p w14:paraId="60E3B97C" w14:textId="09AA0776" w:rsidR="00E019FE" w:rsidRDefault="000D3CD0" w:rsidP="008203C3">
      <w:pPr>
        <w:bidi/>
        <w:jc w:val="both"/>
        <w:rPr>
          <w:rFonts w:ascii="Simplified Arabic" w:hAnsi="Simplified Arabic" w:cs="Simplified Arabic"/>
          <w:rtl/>
        </w:rPr>
      </w:pPr>
      <w:r>
        <w:rPr>
          <w:rFonts w:ascii="Simplified Arabic" w:hAnsi="Simplified Arabic" w:cs="Simplified Arabic"/>
          <w:rtl/>
        </w:rPr>
        <w:t>جاءت دراسة بياري المنشورة في عام 2025، بعنوان "تقييم تأثير الذكاء الاصطناعي على ولاء العميل الإلكتروني في السوق السعودي". ركز الهدف الأساسي لهذه الدراسة على قياس تأثير الذكاء الاصطناعي (</w:t>
      </w:r>
      <w:r>
        <w:rPr>
          <w:rFonts w:ascii="Simplified Arabic" w:hAnsi="Simplified Arabic" w:cs="Simplified Arabic"/>
        </w:rPr>
        <w:t>AI</w:t>
      </w:r>
      <w:r>
        <w:rPr>
          <w:rFonts w:ascii="Simplified Arabic" w:hAnsi="Simplified Arabic" w:cs="Simplified Arabic"/>
          <w:rtl/>
        </w:rPr>
        <w:t>) على ولاء العميل الإلكتروني في سوق التجارة الإلكترونية السعودي. وقد وضعت الدراسة نموذجاً هيكلياً يفترض أن هذا التأثير يتم عبر عوامل وسيطة مهمة، هي التعرض لوسائل التواصل الاجتماعي، وتوصيات المنتج، والقصد الشرائي (</w:t>
      </w:r>
      <w:r>
        <w:rPr>
          <w:rFonts w:ascii="Simplified Arabic" w:hAnsi="Simplified Arabic" w:cs="Simplified Arabic"/>
        </w:rPr>
        <w:t>Purchase Intention</w:t>
      </w:r>
      <w:r>
        <w:rPr>
          <w:rFonts w:ascii="Simplified Arabic" w:hAnsi="Simplified Arabic" w:cs="Simplified Arabic"/>
          <w:rtl/>
        </w:rPr>
        <w:t xml:space="preserve">)، وتفضيل العلامة التجارية </w:t>
      </w:r>
      <w:r>
        <w:rPr>
          <w:rFonts w:ascii="Simplified Arabic" w:hAnsi="Simplified Arabic" w:cs="Simplified Arabic"/>
        </w:rPr>
        <w:t>(Brand Preference)</w:t>
      </w:r>
      <w:r>
        <w:rPr>
          <w:rFonts w:ascii="Simplified Arabic" w:hAnsi="Simplified Arabic" w:cs="Simplified Arabic"/>
          <w:rtl/>
        </w:rPr>
        <w:t>. ولتحقيق هذا الهدف، اعتمدت الدراسة على الإطار النظري لنموذج قبول التكنولوجيا (</w:t>
      </w:r>
      <w:r>
        <w:rPr>
          <w:rFonts w:ascii="Simplified Arabic" w:hAnsi="Simplified Arabic" w:cs="Simplified Arabic"/>
        </w:rPr>
        <w:t>TAM</w:t>
      </w:r>
      <w:r>
        <w:rPr>
          <w:rFonts w:ascii="Simplified Arabic" w:hAnsi="Simplified Arabic" w:cs="Simplified Arabic"/>
          <w:rtl/>
        </w:rPr>
        <w:t xml:space="preserve">) ونظرية الفعل المنطقي </w:t>
      </w:r>
      <w:r>
        <w:rPr>
          <w:rFonts w:ascii="Simplified Arabic" w:hAnsi="Simplified Arabic" w:cs="Simplified Arabic"/>
        </w:rPr>
        <w:t>(TRA)</w:t>
      </w:r>
      <w:r>
        <w:rPr>
          <w:rFonts w:ascii="Simplified Arabic" w:hAnsi="Simplified Arabic" w:cs="Simplified Arabic"/>
          <w:rtl/>
        </w:rPr>
        <w:t xml:space="preserve">. اعتمدت الدراسة المنهج الكمي الميداني، حيث استخدمت منهجيات بحث أولية عبر توزيع استبانة على عينة قوامها 157 مستجيباً، شملت مزيجاً من الذكور والإناث ومن مختلف الفئات العمرية، وتم جمع البيانات من المناطق الشرقية والغربية والوسطى من المملكة العربية السعودية (المدن المختارة: الهفوف، الرياض، والمدينة المنورة). أما أداة التحليل الرئيسية فكانت نمذجة المعادلة الهيكلية </w:t>
      </w:r>
      <w:r>
        <w:rPr>
          <w:rFonts w:ascii="Simplified Arabic" w:hAnsi="Simplified Arabic" w:cs="Simplified Arabic"/>
        </w:rPr>
        <w:t>(Structural Equation Model - SEM)</w:t>
      </w:r>
      <w:r>
        <w:rPr>
          <w:rFonts w:ascii="Simplified Arabic" w:hAnsi="Simplified Arabic" w:cs="Simplified Arabic"/>
          <w:rtl/>
        </w:rPr>
        <w:t xml:space="preserve">، بالإضافة إلى تقييم موثوقية المؤشرات، والاتساق الداخلي (ألفا كرونباخ)، والصلاحية التقاربية (متوسط التباين المستخرج </w:t>
      </w:r>
      <w:r>
        <w:rPr>
          <w:rFonts w:ascii="Simplified Arabic" w:hAnsi="Simplified Arabic" w:cs="Simplified Arabic"/>
        </w:rPr>
        <w:t>AVE</w:t>
      </w:r>
      <w:r>
        <w:rPr>
          <w:rFonts w:ascii="Simplified Arabic" w:hAnsi="Simplified Arabic" w:cs="Simplified Arabic"/>
          <w:rtl/>
        </w:rPr>
        <w:t>). وأكدت النتائج الإحصائية أن النموذج الهيكلي ذو دلالة إحصائية (</w:t>
      </w:r>
      <w:r>
        <w:rPr>
          <w:rFonts w:ascii="Simplified Arabic" w:hAnsi="Simplified Arabic" w:cs="Simplified Arabic"/>
        </w:rPr>
        <w:t>CMIN/DF = 3.117</w:t>
      </w:r>
      <w:r>
        <w:rPr>
          <w:rFonts w:ascii="Simplified Arabic" w:hAnsi="Simplified Arabic" w:cs="Simplified Arabic"/>
          <w:rtl/>
        </w:rPr>
        <w:t>)، كما تم تأكيد صحة جميع الفرضيات الستة. وأظهرت النتائج أن الذكاء الاصطناعي، خاصة عبر التعرض لوسائل التواصل الاجتماعي وتوصيات المنتج، يؤثر بقوة على ولاء العميل الإلكتروني السعودي. وقد بيّنت التحليلات أن توصيات المنتج كانت أكثر فعالية في التأثير على القصد الشرائي (</w:t>
      </w:r>
      <w:r>
        <w:rPr>
          <w:rFonts w:ascii="Cambria" w:hAnsi="Cambria" w:cs="Cambria"/>
        </w:rPr>
        <w:t>β</w:t>
      </w:r>
      <w:r>
        <w:rPr>
          <w:rFonts w:ascii="Simplified Arabic" w:hAnsi="Simplified Arabic" w:cs="Simplified Arabic"/>
        </w:rPr>
        <w:t>=0.631</w:t>
      </w:r>
      <w:r>
        <w:rPr>
          <w:rFonts w:ascii="Simplified Arabic" w:hAnsi="Simplified Arabic" w:cs="Simplified Arabic"/>
          <w:rtl/>
        </w:rPr>
        <w:t>) وتفضيل العلامة التجارية (</w:t>
      </w:r>
      <w:r>
        <w:rPr>
          <w:rFonts w:ascii="Cambria" w:hAnsi="Cambria" w:cs="Cambria"/>
        </w:rPr>
        <w:t>β</w:t>
      </w:r>
      <w:r>
        <w:rPr>
          <w:rFonts w:ascii="Simplified Arabic" w:hAnsi="Simplified Arabic" w:cs="Simplified Arabic"/>
        </w:rPr>
        <w:t>=0.733</w:t>
      </w:r>
      <w:r>
        <w:rPr>
          <w:rFonts w:ascii="Simplified Arabic" w:hAnsi="Simplified Arabic" w:cs="Simplified Arabic"/>
          <w:rtl/>
        </w:rPr>
        <w:t xml:space="preserve">) مقارنة بالتعرض لوسائل التواصل الاجتماعي. كما أثبتت الدراسة أن كلاً من تفضيل العلامة التجارية والقصد الشرائي يؤثران إيجاباً وبشكل معنوي على ولاء </w:t>
      </w:r>
      <w:r>
        <w:rPr>
          <w:rFonts w:ascii="Simplified Arabic" w:hAnsi="Simplified Arabic" w:cs="Simplified Arabic"/>
          <w:rtl/>
        </w:rPr>
        <w:lastRenderedPageBreak/>
        <w:t>العميل الإلكتروني. وخلصت الدراسة إلى أن الذكاء الاصطناعي استراتيجية صالحة لتحقيق ولاء العملاء في منصات التجارة الإلكترونية، موصيةً بأن على المنظمات استخدام أنظمة ولاء يتحكم فيها الذكاء الاصطناعي لتخصيص التفاعلات في الوقت الفعلي وتقديم حوافز تتلاءم مع عادات التسوق، مع ضرورة تحقيق التوازن بين تحسين الحملات التسويقية والتدخل في خصوصية المستهلك من خلال الشفافية الأخلاقية في التعامل مع البيانات.</w:t>
      </w:r>
    </w:p>
    <w:p w14:paraId="769AA873" w14:textId="5283104D" w:rsidR="0016375F" w:rsidRPr="0016375F" w:rsidRDefault="0016375F" w:rsidP="0016375F">
      <w:pPr>
        <w:bidi/>
        <w:jc w:val="both"/>
        <w:rPr>
          <w:rFonts w:ascii="Simplified Arabic" w:hAnsi="Simplified Arabic" w:cs="Simplified Arabic"/>
          <w:rtl/>
        </w:rPr>
      </w:pPr>
      <w:r>
        <w:rPr>
          <w:rFonts w:ascii="Simplified Arabic" w:hAnsi="Simplified Arabic" w:cs="Simplified Arabic"/>
          <w:rtl/>
        </w:rPr>
        <w:t xml:space="preserve">تتفق دراسة </w:t>
      </w:r>
      <w:r>
        <w:rPr>
          <w:rFonts w:ascii="Simplified Arabic" w:hAnsi="Simplified Arabic" w:cs="Simplified Arabic"/>
        </w:rPr>
        <w:t>Beyari</w:t>
      </w:r>
      <w:r>
        <w:rPr>
          <w:rFonts w:ascii="Simplified Arabic" w:hAnsi="Simplified Arabic" w:cs="Simplified Arabic"/>
          <w:rtl/>
        </w:rPr>
        <w:t xml:space="preserve"> (2025) مع الدراسة الحالية في السياق السعودي، وفي تأكيدها أن الذكاء الاصطناعي يمكن أن يؤثر إيجابيًا في النتائج التسويقية عبر آليات وسيطة مثل التوصيات الذكية والقصد الشرائي وتفضيل العلامة التجارية، وهو ما يدعم منطق النماذج السببية في دراسة أثر التقنية. ومع ذلك، تختلف عنها في تركيزها على ولاء العميل الإلكتروني داخل قطاع التجارة الإلكترونية بوصفه مخرجًا نهائيًا، دون تناول مراحل تصميم الحملة أو جودة المحتوى/التصميم الإبداعي كمتغير وسيط، كما أنها لا تميز بين أنواع الذكاء الاصطناعي ولا تبحث أثر الدوافع والعوائق المؤسسية والتنظيمية على التبني.</w:t>
      </w:r>
    </w:p>
    <w:p w14:paraId="6A3A423C" w14:textId="77777777" w:rsidR="000D3CD0" w:rsidRDefault="000D3CD0" w:rsidP="000D3CD0">
      <w:pPr>
        <w:bidi/>
        <w:rPr>
          <w:rFonts w:ascii="Simplified Arabic" w:hAnsi="Simplified Arabic" w:cs="Simplified Arabic"/>
          <w:rtl/>
        </w:rPr>
      </w:pPr>
    </w:p>
    <w:p w14:paraId="05A3B488" w14:textId="30692DB0" w:rsidR="008F5423" w:rsidRPr="00D14DC7" w:rsidRDefault="008F5423" w:rsidP="00D14DC7">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hint="cs"/>
          <w:b/>
          <w:bCs/>
          <w:color w:val="1F497D" w:themeColor="text2"/>
          <w:sz w:val="32"/>
          <w:szCs w:val="32"/>
          <w:u w:val="single"/>
          <w:rtl/>
        </w:rPr>
        <w:t>جدول مقارنة بين الدراسات السابقة</w:t>
      </w:r>
    </w:p>
    <w:tbl>
      <w:tblPr>
        <w:tblStyle w:val="ac"/>
        <w:bidiVisual/>
        <w:tblW w:w="8630" w:type="dxa"/>
        <w:tblLook w:val="04A0" w:firstRow="1" w:lastRow="0" w:firstColumn="1" w:lastColumn="0" w:noHBand="0" w:noVBand="1"/>
      </w:tblPr>
      <w:tblGrid>
        <w:gridCol w:w="2596"/>
        <w:gridCol w:w="1322"/>
        <w:gridCol w:w="1314"/>
        <w:gridCol w:w="1786"/>
        <w:gridCol w:w="1612"/>
      </w:tblGrid>
      <w:tr w:rsidR="00BE56D1" w:rsidRPr="00BE56D1" w14:paraId="0BFB86D5" w14:textId="77777777" w:rsidTr="00BE56D1">
        <w:trPr>
          <w:trHeight w:val="626"/>
        </w:trPr>
        <w:tc>
          <w:tcPr>
            <w:tcW w:w="0" w:type="auto"/>
            <w:hideMark/>
          </w:tcPr>
          <w:p w14:paraId="0FAA4259" w14:textId="77777777" w:rsidR="00BE56D1" w:rsidRPr="00BE56D1" w:rsidRDefault="00BE56D1" w:rsidP="00BE56D1">
            <w:pPr>
              <w:bidi/>
              <w:spacing w:after="0" w:line="240" w:lineRule="auto"/>
              <w:jc w:val="center"/>
              <w:rPr>
                <w:rFonts w:ascii="Simplified Arabic" w:eastAsia="Times New Roman" w:hAnsi="Simplified Arabic" w:cs="Simplified Arabic"/>
                <w:b/>
                <w:bCs/>
                <w:sz w:val="20"/>
                <w:szCs w:val="20"/>
              </w:rPr>
            </w:pPr>
            <w:r>
              <w:rPr>
                <w:rFonts w:ascii="Simplified Arabic" w:eastAsia="Times New Roman" w:hAnsi="Simplified Arabic" w:cs="Simplified Arabic"/>
                <w:b/>
                <w:bCs/>
                <w:sz w:val="20"/>
                <w:szCs w:val="20"/>
                <w:rtl/>
              </w:rPr>
              <w:t>الدراسة والمرجع</w:t>
            </w:r>
          </w:p>
        </w:tc>
        <w:tc>
          <w:tcPr>
            <w:tcW w:w="0" w:type="auto"/>
            <w:hideMark/>
          </w:tcPr>
          <w:p w14:paraId="11C00097" w14:textId="77777777" w:rsidR="00BE56D1" w:rsidRPr="00BE56D1" w:rsidRDefault="00BE56D1" w:rsidP="00BE56D1">
            <w:pPr>
              <w:bidi/>
              <w:spacing w:after="0" w:line="240" w:lineRule="auto"/>
              <w:jc w:val="center"/>
              <w:rPr>
                <w:rFonts w:ascii="Simplified Arabic" w:eastAsia="Times New Roman" w:hAnsi="Simplified Arabic" w:cs="Simplified Arabic"/>
                <w:b/>
                <w:bCs/>
                <w:sz w:val="20"/>
                <w:szCs w:val="20"/>
              </w:rPr>
            </w:pPr>
            <w:r>
              <w:rPr>
                <w:rFonts w:ascii="Simplified Arabic" w:eastAsia="Times New Roman" w:hAnsi="Simplified Arabic" w:cs="Simplified Arabic"/>
                <w:b/>
                <w:bCs/>
                <w:sz w:val="20"/>
                <w:szCs w:val="20"/>
                <w:rtl/>
              </w:rPr>
              <w:t>المنهجية</w:t>
            </w:r>
          </w:p>
        </w:tc>
        <w:tc>
          <w:tcPr>
            <w:tcW w:w="0" w:type="auto"/>
            <w:hideMark/>
          </w:tcPr>
          <w:p w14:paraId="0DE3536F" w14:textId="77777777" w:rsidR="00BE56D1" w:rsidRPr="00BE56D1" w:rsidRDefault="00BE56D1" w:rsidP="00BE56D1">
            <w:pPr>
              <w:bidi/>
              <w:spacing w:after="0" w:line="240" w:lineRule="auto"/>
              <w:jc w:val="center"/>
              <w:rPr>
                <w:rFonts w:ascii="Simplified Arabic" w:eastAsia="Times New Roman" w:hAnsi="Simplified Arabic" w:cs="Simplified Arabic"/>
                <w:b/>
                <w:bCs/>
                <w:sz w:val="20"/>
                <w:szCs w:val="20"/>
              </w:rPr>
            </w:pPr>
            <w:r>
              <w:rPr>
                <w:rFonts w:ascii="Simplified Arabic" w:eastAsia="Times New Roman" w:hAnsi="Simplified Arabic" w:cs="Simplified Arabic"/>
                <w:b/>
                <w:bCs/>
                <w:sz w:val="20"/>
                <w:szCs w:val="20"/>
                <w:rtl/>
              </w:rPr>
              <w:t>العينة</w:t>
            </w:r>
          </w:p>
        </w:tc>
        <w:tc>
          <w:tcPr>
            <w:tcW w:w="0" w:type="auto"/>
            <w:hideMark/>
          </w:tcPr>
          <w:p w14:paraId="6504941A" w14:textId="77777777" w:rsidR="00BE56D1" w:rsidRPr="00BE56D1" w:rsidRDefault="00BE56D1" w:rsidP="00BE56D1">
            <w:pPr>
              <w:bidi/>
              <w:spacing w:after="0" w:line="240" w:lineRule="auto"/>
              <w:jc w:val="center"/>
              <w:rPr>
                <w:rFonts w:ascii="Simplified Arabic" w:eastAsia="Times New Roman" w:hAnsi="Simplified Arabic" w:cs="Simplified Arabic"/>
                <w:b/>
                <w:bCs/>
                <w:sz w:val="20"/>
                <w:szCs w:val="20"/>
              </w:rPr>
            </w:pPr>
            <w:r>
              <w:rPr>
                <w:rFonts w:ascii="Simplified Arabic" w:eastAsia="Times New Roman" w:hAnsi="Simplified Arabic" w:cs="Simplified Arabic"/>
                <w:b/>
                <w:bCs/>
                <w:sz w:val="20"/>
                <w:szCs w:val="20"/>
                <w:rtl/>
              </w:rPr>
              <w:t>النتائج الرئيسية</w:t>
            </w:r>
          </w:p>
        </w:tc>
        <w:tc>
          <w:tcPr>
            <w:tcW w:w="0" w:type="auto"/>
            <w:hideMark/>
          </w:tcPr>
          <w:p w14:paraId="7BB28DEC" w14:textId="77777777" w:rsidR="00BE56D1" w:rsidRPr="00BE56D1" w:rsidRDefault="00BE56D1" w:rsidP="00BE56D1">
            <w:pPr>
              <w:bidi/>
              <w:spacing w:after="0" w:line="240" w:lineRule="auto"/>
              <w:jc w:val="center"/>
              <w:rPr>
                <w:rFonts w:ascii="Simplified Arabic" w:eastAsia="Times New Roman" w:hAnsi="Simplified Arabic" w:cs="Simplified Arabic"/>
                <w:b/>
                <w:bCs/>
                <w:sz w:val="20"/>
                <w:szCs w:val="20"/>
              </w:rPr>
            </w:pPr>
            <w:r>
              <w:rPr>
                <w:rFonts w:ascii="Simplified Arabic" w:eastAsia="Times New Roman" w:hAnsi="Simplified Arabic" w:cs="Simplified Arabic"/>
                <w:b/>
                <w:bCs/>
                <w:sz w:val="20"/>
                <w:szCs w:val="20"/>
                <w:rtl/>
              </w:rPr>
              <w:t>الفجوات / أوجه التمايز</w:t>
            </w:r>
          </w:p>
        </w:tc>
      </w:tr>
      <w:tr w:rsidR="00BE56D1" w:rsidRPr="00BE56D1" w14:paraId="0E4A7B7B" w14:textId="77777777" w:rsidTr="00BE56D1">
        <w:trPr>
          <w:trHeight w:val="1891"/>
        </w:trPr>
        <w:tc>
          <w:tcPr>
            <w:tcW w:w="0" w:type="auto"/>
            <w:hideMark/>
          </w:tcPr>
          <w:p w14:paraId="4B7042AA"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الخطيب</w:t>
            </w:r>
            <w:r>
              <w:rPr>
                <w:rFonts w:ascii="Simplified Arabic" w:eastAsia="Times New Roman" w:hAnsi="Simplified Arabic" w:cs="Simplified Arabic"/>
                <w:sz w:val="20"/>
                <w:szCs w:val="20"/>
              </w:rPr>
              <w:t xml:space="preserve"> (2024) </w:t>
            </w:r>
            <w:r>
              <w:rPr>
                <w:rFonts w:ascii="Simplified Arabic" w:eastAsia="Times New Roman" w:hAnsi="Simplified Arabic" w:cs="Simplified Arabic"/>
                <w:i/>
                <w:iCs/>
                <w:sz w:val="20"/>
                <w:szCs w:val="20"/>
                <w:rtl/>
              </w:rPr>
              <w:t>تأثير تقنيات التسويق الرقمي المدعومة بالذكاء الاصطناعي في السلوك الشرائي لعملاء المتاجر الإلكترونية</w:t>
            </w:r>
            <w:r>
              <w:rPr>
                <w:rFonts w:ascii="Simplified Arabic" w:eastAsia="Times New Roman" w:hAnsi="Simplified Arabic" w:cs="Simplified Arabic"/>
                <w:i/>
                <w:iCs/>
                <w:sz w:val="20"/>
                <w:szCs w:val="20"/>
              </w:rPr>
              <w:t>.</w:t>
            </w:r>
          </w:p>
        </w:tc>
        <w:tc>
          <w:tcPr>
            <w:tcW w:w="0" w:type="auto"/>
            <w:hideMark/>
          </w:tcPr>
          <w:p w14:paraId="2CBA50D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المنهج الوصفي التحليلي</w:t>
            </w:r>
            <w:r>
              <w:rPr>
                <w:rFonts w:ascii="Simplified Arabic" w:eastAsia="Times New Roman" w:hAnsi="Simplified Arabic" w:cs="Simplified Arabic"/>
                <w:sz w:val="20"/>
                <w:szCs w:val="20"/>
              </w:rPr>
              <w:t>.</w:t>
            </w:r>
          </w:p>
        </w:tc>
        <w:tc>
          <w:tcPr>
            <w:tcW w:w="0" w:type="auto"/>
            <w:hideMark/>
          </w:tcPr>
          <w:p w14:paraId="02BB52B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384 </w:t>
            </w:r>
            <w:r>
              <w:rPr>
                <w:rFonts w:ascii="Simplified Arabic" w:eastAsia="Times New Roman" w:hAnsi="Simplified Arabic" w:cs="Simplified Arabic"/>
                <w:sz w:val="20"/>
                <w:szCs w:val="20"/>
                <w:rtl/>
              </w:rPr>
              <w:t>من عملاء المتاجر الإلكترونية في مصر (عينة كرة الثلج)</w:t>
            </w:r>
            <w:r>
              <w:rPr>
                <w:rFonts w:ascii="Simplified Arabic" w:eastAsia="Times New Roman" w:hAnsi="Simplified Arabic" w:cs="Simplified Arabic"/>
                <w:sz w:val="20"/>
                <w:szCs w:val="20"/>
              </w:rPr>
              <w:t>.</w:t>
            </w:r>
          </w:p>
        </w:tc>
        <w:tc>
          <w:tcPr>
            <w:tcW w:w="0" w:type="auto"/>
            <w:hideMark/>
          </w:tcPr>
          <w:p w14:paraId="6760384D"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وجود تأثير إيجابي معنوي لتقنيات التسويق المدعومة بالذكاء الاصطناعي على السلوك الشرائي في جميع مراحله</w:t>
            </w:r>
            <w:r>
              <w:rPr>
                <w:rFonts w:ascii="Simplified Arabic" w:eastAsia="Times New Roman" w:hAnsi="Simplified Arabic" w:cs="Simplified Arabic"/>
                <w:sz w:val="20"/>
                <w:szCs w:val="20"/>
              </w:rPr>
              <w:t>.</w:t>
            </w:r>
          </w:p>
        </w:tc>
        <w:tc>
          <w:tcPr>
            <w:tcW w:w="0" w:type="auto"/>
            <w:hideMark/>
          </w:tcPr>
          <w:p w14:paraId="715CC04F"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ركزت على السلوك الشرائي فقط دون تحليل الأثر البنيوي على مراحل التصميم أو الأداء التسويقي</w:t>
            </w:r>
            <w:r>
              <w:rPr>
                <w:rFonts w:ascii="Simplified Arabic" w:eastAsia="Times New Roman" w:hAnsi="Simplified Arabic" w:cs="Simplified Arabic"/>
                <w:sz w:val="20"/>
                <w:szCs w:val="20"/>
              </w:rPr>
              <w:t>.</w:t>
            </w:r>
          </w:p>
        </w:tc>
      </w:tr>
      <w:tr w:rsidR="00BE56D1" w:rsidRPr="00BE56D1" w14:paraId="7675FF2D" w14:textId="77777777" w:rsidTr="00BE56D1">
        <w:trPr>
          <w:trHeight w:val="1572"/>
        </w:trPr>
        <w:tc>
          <w:tcPr>
            <w:tcW w:w="0" w:type="auto"/>
            <w:hideMark/>
          </w:tcPr>
          <w:p w14:paraId="5A6FDCFF" w14:textId="77777777" w:rsidR="00BE56D1" w:rsidRPr="00BE56D1" w:rsidRDefault="00BE56D1" w:rsidP="00BE56D1">
            <w:pPr>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Gujar &amp; Panyam (2024) </w:t>
            </w:r>
            <w:r>
              <w:rPr>
                <w:rFonts w:ascii="Simplified Arabic" w:eastAsia="Times New Roman" w:hAnsi="Simplified Arabic" w:cs="Simplified Arabic"/>
                <w:i/>
                <w:iCs/>
                <w:sz w:val="20"/>
                <w:szCs w:val="20"/>
              </w:rPr>
              <w:t>Generative AI in Digital Advertising Campaigns.</w:t>
            </w:r>
          </w:p>
        </w:tc>
        <w:tc>
          <w:tcPr>
            <w:tcW w:w="0" w:type="auto"/>
            <w:hideMark/>
          </w:tcPr>
          <w:p w14:paraId="107E0F23"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مراجعة أدبيات وتحليل دراسات حالة تطبيقية</w:t>
            </w:r>
            <w:r>
              <w:rPr>
                <w:rFonts w:ascii="Simplified Arabic" w:eastAsia="Times New Roman" w:hAnsi="Simplified Arabic" w:cs="Simplified Arabic"/>
                <w:sz w:val="20"/>
                <w:szCs w:val="20"/>
              </w:rPr>
              <w:t>.</w:t>
            </w:r>
          </w:p>
        </w:tc>
        <w:tc>
          <w:tcPr>
            <w:tcW w:w="0" w:type="auto"/>
            <w:hideMark/>
          </w:tcPr>
          <w:p w14:paraId="4F1765CA"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حملات إعلانية رقمية لشركات عالمية</w:t>
            </w:r>
            <w:r>
              <w:rPr>
                <w:rFonts w:ascii="Simplified Arabic" w:eastAsia="Times New Roman" w:hAnsi="Simplified Arabic" w:cs="Simplified Arabic"/>
                <w:sz w:val="20"/>
                <w:szCs w:val="20"/>
              </w:rPr>
              <w:t xml:space="preserve"> (Netflix </w:t>
            </w:r>
            <w:r>
              <w:rPr>
                <w:rFonts w:ascii="Simplified Arabic" w:eastAsia="Times New Roman" w:hAnsi="Simplified Arabic" w:cs="Simplified Arabic"/>
                <w:sz w:val="20"/>
                <w:szCs w:val="20"/>
                <w:rtl/>
              </w:rPr>
              <w:t>ومتجر أزياء</w:t>
            </w:r>
            <w:r>
              <w:rPr>
                <w:rFonts w:ascii="Simplified Arabic" w:eastAsia="Times New Roman" w:hAnsi="Simplified Arabic" w:cs="Simplified Arabic"/>
                <w:sz w:val="20"/>
                <w:szCs w:val="20"/>
              </w:rPr>
              <w:t>).</w:t>
            </w:r>
          </w:p>
        </w:tc>
        <w:tc>
          <w:tcPr>
            <w:tcW w:w="0" w:type="auto"/>
            <w:hideMark/>
          </w:tcPr>
          <w:p w14:paraId="4FA8D970"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أثبتت قدرة الذكاء التوليدي على رفع الإبداع والتخصيص مع تحديات تتعلق بالهوية البصرية والأخلاقيات</w:t>
            </w:r>
            <w:r>
              <w:rPr>
                <w:rFonts w:ascii="Simplified Arabic" w:eastAsia="Times New Roman" w:hAnsi="Simplified Arabic" w:cs="Simplified Arabic"/>
                <w:sz w:val="20"/>
                <w:szCs w:val="20"/>
              </w:rPr>
              <w:t>.</w:t>
            </w:r>
          </w:p>
        </w:tc>
        <w:tc>
          <w:tcPr>
            <w:tcW w:w="0" w:type="auto"/>
            <w:hideMark/>
          </w:tcPr>
          <w:p w14:paraId="1BAA7C79"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لم تقدم نموذجاً تفسيريّاً لقياس العلاقة بين التوظيف التقني والفعالية التسويقية في بيئة عربية</w:t>
            </w:r>
            <w:r>
              <w:rPr>
                <w:rFonts w:ascii="Simplified Arabic" w:eastAsia="Times New Roman" w:hAnsi="Simplified Arabic" w:cs="Simplified Arabic"/>
                <w:sz w:val="20"/>
                <w:szCs w:val="20"/>
              </w:rPr>
              <w:t>.</w:t>
            </w:r>
          </w:p>
        </w:tc>
      </w:tr>
      <w:tr w:rsidR="00BE56D1" w:rsidRPr="00BE56D1" w14:paraId="7CFA10C5" w14:textId="77777777" w:rsidTr="00BE56D1">
        <w:trPr>
          <w:trHeight w:val="1880"/>
        </w:trPr>
        <w:tc>
          <w:tcPr>
            <w:tcW w:w="0" w:type="auto"/>
            <w:hideMark/>
          </w:tcPr>
          <w:p w14:paraId="27CB5DA8" w14:textId="77777777" w:rsidR="00BE56D1" w:rsidRPr="00BE56D1" w:rsidRDefault="00BE56D1" w:rsidP="00BE56D1">
            <w:pPr>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Islam et al. (2024) </w:t>
            </w:r>
            <w:r>
              <w:rPr>
                <w:rFonts w:ascii="Simplified Arabic" w:eastAsia="Times New Roman" w:hAnsi="Simplified Arabic" w:cs="Simplified Arabic"/>
                <w:i/>
                <w:iCs/>
                <w:sz w:val="20"/>
                <w:szCs w:val="20"/>
              </w:rPr>
              <w:t>Transforming Digital Marketing with Generative AI (MARK-GEN Framework).</w:t>
            </w:r>
          </w:p>
        </w:tc>
        <w:tc>
          <w:tcPr>
            <w:tcW w:w="0" w:type="auto"/>
            <w:hideMark/>
          </w:tcPr>
          <w:p w14:paraId="3FD4B6B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منهج مفاهيمي مدعوم بدراسات حالة</w:t>
            </w:r>
            <w:r>
              <w:rPr>
                <w:rFonts w:ascii="Simplified Arabic" w:eastAsia="Times New Roman" w:hAnsi="Simplified Arabic" w:cs="Simplified Arabic"/>
                <w:sz w:val="20"/>
                <w:szCs w:val="20"/>
              </w:rPr>
              <w:t>.</w:t>
            </w:r>
          </w:p>
        </w:tc>
        <w:tc>
          <w:tcPr>
            <w:tcW w:w="0" w:type="auto"/>
            <w:hideMark/>
          </w:tcPr>
          <w:p w14:paraId="5E719B23"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شركات في قطاع الأزياء والتجارة الإلكترونية</w:t>
            </w:r>
            <w:r>
              <w:rPr>
                <w:rFonts w:ascii="Simplified Arabic" w:eastAsia="Times New Roman" w:hAnsi="Simplified Arabic" w:cs="Simplified Arabic"/>
                <w:sz w:val="20"/>
                <w:szCs w:val="20"/>
              </w:rPr>
              <w:t>.</w:t>
            </w:r>
          </w:p>
        </w:tc>
        <w:tc>
          <w:tcPr>
            <w:tcW w:w="0" w:type="auto"/>
            <w:hideMark/>
          </w:tcPr>
          <w:p w14:paraId="47596AB3"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قدم إطار</w:t>
            </w:r>
            <w:r>
              <w:rPr>
                <w:rFonts w:ascii="Simplified Arabic" w:eastAsia="Times New Roman" w:hAnsi="Simplified Arabic" w:cs="Simplified Arabic"/>
                <w:sz w:val="20"/>
                <w:szCs w:val="20"/>
              </w:rPr>
              <w:t xml:space="preserve"> MARK-GEN </w:t>
            </w:r>
            <w:r>
              <w:rPr>
                <w:rFonts w:ascii="Simplified Arabic" w:eastAsia="Times New Roman" w:hAnsi="Simplified Arabic" w:cs="Simplified Arabic"/>
                <w:sz w:val="20"/>
                <w:szCs w:val="20"/>
                <w:rtl/>
              </w:rPr>
              <w:t>لتطبيق الذكاء التوليدي في التسويق، وأثبت كفاءته في توليد محتوى عالي الجودة بتكلفة أقل</w:t>
            </w:r>
            <w:r>
              <w:rPr>
                <w:rFonts w:ascii="Simplified Arabic" w:eastAsia="Times New Roman" w:hAnsi="Simplified Arabic" w:cs="Simplified Arabic"/>
                <w:sz w:val="20"/>
                <w:szCs w:val="20"/>
              </w:rPr>
              <w:t>.</w:t>
            </w:r>
          </w:p>
        </w:tc>
        <w:tc>
          <w:tcPr>
            <w:tcW w:w="0" w:type="auto"/>
            <w:hideMark/>
          </w:tcPr>
          <w:p w14:paraId="4C5F3ED3"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لم يختبر الإطار ميدانياً، وتجاهل أثر جودة التصميم على الأداء التسويقي</w:t>
            </w:r>
            <w:r>
              <w:rPr>
                <w:rFonts w:ascii="Simplified Arabic" w:eastAsia="Times New Roman" w:hAnsi="Simplified Arabic" w:cs="Simplified Arabic"/>
                <w:sz w:val="20"/>
                <w:szCs w:val="20"/>
              </w:rPr>
              <w:t>.</w:t>
            </w:r>
          </w:p>
        </w:tc>
      </w:tr>
      <w:tr w:rsidR="00BE56D1" w:rsidRPr="00BE56D1" w14:paraId="580EEAC2" w14:textId="77777777" w:rsidTr="00BE56D1">
        <w:trPr>
          <w:trHeight w:val="1572"/>
        </w:trPr>
        <w:tc>
          <w:tcPr>
            <w:tcW w:w="0" w:type="auto"/>
            <w:hideMark/>
          </w:tcPr>
          <w:p w14:paraId="206259E4"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آل مرعي</w:t>
            </w:r>
            <w:r>
              <w:rPr>
                <w:rFonts w:ascii="Simplified Arabic" w:eastAsia="Times New Roman" w:hAnsi="Simplified Arabic" w:cs="Simplified Arabic"/>
                <w:sz w:val="20"/>
                <w:szCs w:val="20"/>
              </w:rPr>
              <w:t xml:space="preserve"> (2024) </w:t>
            </w:r>
            <w:r>
              <w:rPr>
                <w:rFonts w:ascii="Simplified Arabic" w:eastAsia="Times New Roman" w:hAnsi="Simplified Arabic" w:cs="Simplified Arabic"/>
                <w:i/>
                <w:iCs/>
                <w:sz w:val="20"/>
                <w:szCs w:val="20"/>
                <w:rtl/>
              </w:rPr>
              <w:t>إدراك الشباب السعودي لتقنيات الذكاء الاصطناعي وتأثيراتها على جودة المحتوى المرئي</w:t>
            </w:r>
            <w:r>
              <w:rPr>
                <w:rFonts w:ascii="Simplified Arabic" w:eastAsia="Times New Roman" w:hAnsi="Simplified Arabic" w:cs="Simplified Arabic"/>
                <w:i/>
                <w:iCs/>
                <w:sz w:val="20"/>
                <w:szCs w:val="20"/>
              </w:rPr>
              <w:t>.</w:t>
            </w:r>
          </w:p>
        </w:tc>
        <w:tc>
          <w:tcPr>
            <w:tcW w:w="0" w:type="auto"/>
            <w:hideMark/>
          </w:tcPr>
          <w:p w14:paraId="781F5146"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المنهج الميداني التحليلي</w:t>
            </w:r>
            <w:r>
              <w:rPr>
                <w:rFonts w:ascii="Simplified Arabic" w:eastAsia="Times New Roman" w:hAnsi="Simplified Arabic" w:cs="Simplified Arabic"/>
                <w:sz w:val="20"/>
                <w:szCs w:val="20"/>
              </w:rPr>
              <w:t>.</w:t>
            </w:r>
          </w:p>
        </w:tc>
        <w:tc>
          <w:tcPr>
            <w:tcW w:w="0" w:type="auto"/>
            <w:hideMark/>
          </w:tcPr>
          <w:p w14:paraId="647DD547"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400 </w:t>
            </w:r>
            <w:r>
              <w:rPr>
                <w:rFonts w:ascii="Simplified Arabic" w:eastAsia="Times New Roman" w:hAnsi="Simplified Arabic" w:cs="Simplified Arabic"/>
                <w:sz w:val="20"/>
                <w:szCs w:val="20"/>
                <w:rtl/>
              </w:rPr>
              <w:t>شاب سعودي من متابعي المحتوى المرئي</w:t>
            </w:r>
            <w:r>
              <w:rPr>
                <w:rFonts w:ascii="Simplified Arabic" w:eastAsia="Times New Roman" w:hAnsi="Simplified Arabic" w:cs="Simplified Arabic"/>
                <w:sz w:val="20"/>
                <w:szCs w:val="20"/>
              </w:rPr>
              <w:t>.</w:t>
            </w:r>
          </w:p>
        </w:tc>
        <w:tc>
          <w:tcPr>
            <w:tcW w:w="0" w:type="auto"/>
            <w:hideMark/>
          </w:tcPr>
          <w:p w14:paraId="4A6BDF88"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وجود علاقة ارتباطية دالة بين استخدام الذكاء الاصطناعي ومستوى إدراك جودة المحتوى</w:t>
            </w:r>
            <w:r>
              <w:rPr>
                <w:rFonts w:ascii="Simplified Arabic" w:eastAsia="Times New Roman" w:hAnsi="Simplified Arabic" w:cs="Simplified Arabic"/>
                <w:sz w:val="20"/>
                <w:szCs w:val="20"/>
              </w:rPr>
              <w:t>.</w:t>
            </w:r>
          </w:p>
        </w:tc>
        <w:tc>
          <w:tcPr>
            <w:tcW w:w="0" w:type="auto"/>
            <w:hideMark/>
          </w:tcPr>
          <w:p w14:paraId="276B3CF9"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ركزت على المتلقين لا على المؤسسات التسويقية، ولم تتناول مراحل التصميم أو الفاعلية المؤسسية</w:t>
            </w:r>
            <w:r>
              <w:rPr>
                <w:rFonts w:ascii="Simplified Arabic" w:eastAsia="Times New Roman" w:hAnsi="Simplified Arabic" w:cs="Simplified Arabic"/>
                <w:sz w:val="20"/>
                <w:szCs w:val="20"/>
              </w:rPr>
              <w:t>.</w:t>
            </w:r>
          </w:p>
        </w:tc>
      </w:tr>
      <w:tr w:rsidR="00BE56D1" w:rsidRPr="00BE56D1" w14:paraId="44F411AA" w14:textId="77777777" w:rsidTr="00BE56D1">
        <w:trPr>
          <w:trHeight w:val="1891"/>
        </w:trPr>
        <w:tc>
          <w:tcPr>
            <w:tcW w:w="0" w:type="auto"/>
            <w:hideMark/>
          </w:tcPr>
          <w:p w14:paraId="4F50E73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lastRenderedPageBreak/>
              <w:t>العتيبي واليُوبي</w:t>
            </w:r>
            <w:r>
              <w:rPr>
                <w:rFonts w:ascii="Simplified Arabic" w:eastAsia="Times New Roman" w:hAnsi="Simplified Arabic" w:cs="Simplified Arabic"/>
                <w:sz w:val="20"/>
                <w:szCs w:val="20"/>
              </w:rPr>
              <w:t xml:space="preserve"> (2024) </w:t>
            </w:r>
            <w:r>
              <w:rPr>
                <w:rFonts w:ascii="Simplified Arabic" w:eastAsia="Times New Roman" w:hAnsi="Simplified Arabic" w:cs="Simplified Arabic"/>
                <w:i/>
                <w:iCs/>
                <w:sz w:val="20"/>
                <w:szCs w:val="20"/>
                <w:rtl/>
              </w:rPr>
              <w:t>أثر تقنيات الذكاء الاصطناعي على الابتكار التسويقي في شركة موبايلي</w:t>
            </w:r>
            <w:r>
              <w:rPr>
                <w:rFonts w:ascii="Simplified Arabic" w:eastAsia="Times New Roman" w:hAnsi="Simplified Arabic" w:cs="Simplified Arabic"/>
                <w:i/>
                <w:iCs/>
                <w:sz w:val="20"/>
                <w:szCs w:val="20"/>
              </w:rPr>
              <w:t>.</w:t>
            </w:r>
          </w:p>
        </w:tc>
        <w:tc>
          <w:tcPr>
            <w:tcW w:w="0" w:type="auto"/>
            <w:hideMark/>
          </w:tcPr>
          <w:p w14:paraId="6DC2576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دراسة حالة</w:t>
            </w:r>
            <w:r>
              <w:rPr>
                <w:rFonts w:ascii="Simplified Arabic" w:eastAsia="Times New Roman" w:hAnsi="Simplified Arabic" w:cs="Simplified Arabic"/>
                <w:sz w:val="20"/>
                <w:szCs w:val="20"/>
              </w:rPr>
              <w:t>.</w:t>
            </w:r>
          </w:p>
        </w:tc>
        <w:tc>
          <w:tcPr>
            <w:tcW w:w="0" w:type="auto"/>
            <w:hideMark/>
          </w:tcPr>
          <w:p w14:paraId="539F2BDC"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موظفو شركة موبايلي بالمملكة العربية السعودية</w:t>
            </w:r>
            <w:r>
              <w:rPr>
                <w:rFonts w:ascii="Simplified Arabic" w:eastAsia="Times New Roman" w:hAnsi="Simplified Arabic" w:cs="Simplified Arabic"/>
                <w:sz w:val="20"/>
                <w:szCs w:val="20"/>
              </w:rPr>
              <w:t>.</w:t>
            </w:r>
          </w:p>
        </w:tc>
        <w:tc>
          <w:tcPr>
            <w:tcW w:w="0" w:type="auto"/>
            <w:hideMark/>
          </w:tcPr>
          <w:p w14:paraId="1C62681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وجود أثر إيجابي قوي للذكاء الاصطناعي على الابتكار التسويقي (نسبة 80 %)، مع تفوق تحليل البيانات الضخمة</w:t>
            </w:r>
            <w:r>
              <w:rPr>
                <w:rFonts w:ascii="Simplified Arabic" w:eastAsia="Times New Roman" w:hAnsi="Simplified Arabic" w:cs="Simplified Arabic"/>
                <w:sz w:val="20"/>
                <w:szCs w:val="20"/>
              </w:rPr>
              <w:t>.</w:t>
            </w:r>
          </w:p>
        </w:tc>
        <w:tc>
          <w:tcPr>
            <w:tcW w:w="0" w:type="auto"/>
            <w:hideMark/>
          </w:tcPr>
          <w:p w14:paraId="063F4984"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اقتصرت على حالة واحدة ولم تختبر الأثر السببي أو الوسيط لجودة التصميم أو الأداء</w:t>
            </w:r>
            <w:r>
              <w:rPr>
                <w:rFonts w:ascii="Simplified Arabic" w:eastAsia="Times New Roman" w:hAnsi="Simplified Arabic" w:cs="Simplified Arabic"/>
                <w:sz w:val="20"/>
                <w:szCs w:val="20"/>
              </w:rPr>
              <w:t>.</w:t>
            </w:r>
          </w:p>
        </w:tc>
      </w:tr>
      <w:tr w:rsidR="00BE56D1" w:rsidRPr="00BE56D1" w14:paraId="1DCB1684" w14:textId="77777777" w:rsidTr="00BE56D1">
        <w:trPr>
          <w:trHeight w:val="626"/>
        </w:trPr>
        <w:tc>
          <w:tcPr>
            <w:tcW w:w="0" w:type="auto"/>
            <w:hideMark/>
          </w:tcPr>
          <w:p w14:paraId="62566FE3" w14:textId="77777777" w:rsidR="00BE56D1" w:rsidRPr="00BE56D1" w:rsidRDefault="00BE56D1" w:rsidP="00BE56D1">
            <w:pPr>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Kshetri et al. (2023) </w:t>
            </w:r>
            <w:r>
              <w:rPr>
                <w:rFonts w:ascii="Simplified Arabic" w:eastAsia="Times New Roman" w:hAnsi="Simplified Arabic" w:cs="Simplified Arabic"/>
                <w:i/>
                <w:iCs/>
                <w:sz w:val="20"/>
                <w:szCs w:val="20"/>
              </w:rPr>
              <w:t>Generative AI in Marketing: Applications, Opportunities, Challenges.</w:t>
            </w:r>
          </w:p>
        </w:tc>
        <w:tc>
          <w:tcPr>
            <w:tcW w:w="0" w:type="auto"/>
            <w:hideMark/>
          </w:tcPr>
          <w:p w14:paraId="290F3C18"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دراسة مفاهيمية تحليلية</w:t>
            </w:r>
            <w:r>
              <w:rPr>
                <w:rFonts w:ascii="Simplified Arabic" w:eastAsia="Times New Roman" w:hAnsi="Simplified Arabic" w:cs="Simplified Arabic"/>
                <w:sz w:val="20"/>
                <w:szCs w:val="20"/>
              </w:rPr>
              <w:t>.</w:t>
            </w:r>
          </w:p>
        </w:tc>
        <w:tc>
          <w:tcPr>
            <w:tcW w:w="0" w:type="auto"/>
            <w:hideMark/>
          </w:tcPr>
          <w:p w14:paraId="48813C6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منظمات تسويق وإعلان عالمية</w:t>
            </w:r>
            <w:r>
              <w:rPr>
                <w:rFonts w:ascii="Simplified Arabic" w:eastAsia="Times New Roman" w:hAnsi="Simplified Arabic" w:cs="Simplified Arabic"/>
                <w:sz w:val="20"/>
                <w:szCs w:val="20"/>
              </w:rPr>
              <w:t>.</w:t>
            </w:r>
          </w:p>
        </w:tc>
        <w:tc>
          <w:tcPr>
            <w:tcW w:w="0" w:type="auto"/>
            <w:hideMark/>
          </w:tcPr>
          <w:p w14:paraId="20F66960"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أكدت أن المحتوى المُولّد أكثر تخصيصاً وكفاءة، وأن 82 % من المستجيبين توقعوا تحسن الإنتاجية</w:t>
            </w:r>
            <w:r>
              <w:rPr>
                <w:rFonts w:ascii="Simplified Arabic" w:eastAsia="Times New Roman" w:hAnsi="Simplified Arabic" w:cs="Simplified Arabic"/>
                <w:sz w:val="20"/>
                <w:szCs w:val="20"/>
              </w:rPr>
              <w:t>.</w:t>
            </w:r>
          </w:p>
        </w:tc>
        <w:tc>
          <w:tcPr>
            <w:tcW w:w="0" w:type="auto"/>
            <w:hideMark/>
          </w:tcPr>
          <w:p w14:paraId="28353F53"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افتقرت إلى التطبيق الميداني، ولم تقدم تحليلاً للعوامل التعديلية أو الوسيطة</w:t>
            </w:r>
            <w:r>
              <w:rPr>
                <w:rFonts w:ascii="Simplified Arabic" w:eastAsia="Times New Roman" w:hAnsi="Simplified Arabic" w:cs="Simplified Arabic"/>
                <w:sz w:val="20"/>
                <w:szCs w:val="20"/>
              </w:rPr>
              <w:t>.</w:t>
            </w:r>
          </w:p>
        </w:tc>
      </w:tr>
      <w:tr w:rsidR="00BE56D1" w:rsidRPr="00BE56D1" w14:paraId="34DD9EB7" w14:textId="77777777" w:rsidTr="00BE56D1">
        <w:trPr>
          <w:trHeight w:val="136"/>
        </w:trPr>
        <w:tc>
          <w:tcPr>
            <w:tcW w:w="0" w:type="auto"/>
            <w:hideMark/>
          </w:tcPr>
          <w:p w14:paraId="132B84BF"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اللهيبي وآخرون</w:t>
            </w:r>
            <w:r>
              <w:rPr>
                <w:rFonts w:ascii="Simplified Arabic" w:eastAsia="Times New Roman" w:hAnsi="Simplified Arabic" w:cs="Simplified Arabic"/>
                <w:sz w:val="20"/>
                <w:szCs w:val="20"/>
              </w:rPr>
              <w:t xml:space="preserve"> (2024) </w:t>
            </w:r>
            <w:r>
              <w:rPr>
                <w:rFonts w:ascii="Simplified Arabic" w:eastAsia="Times New Roman" w:hAnsi="Simplified Arabic" w:cs="Simplified Arabic"/>
                <w:i/>
                <w:iCs/>
                <w:sz w:val="20"/>
                <w:szCs w:val="20"/>
                <w:rtl/>
              </w:rPr>
              <w:t>أثر تطبيق الذكاء الاصطناعي على الأداء التسويقي المصرفي</w:t>
            </w:r>
            <w:r>
              <w:rPr>
                <w:rFonts w:ascii="Simplified Arabic" w:eastAsia="Times New Roman" w:hAnsi="Simplified Arabic" w:cs="Simplified Arabic"/>
                <w:i/>
                <w:iCs/>
                <w:sz w:val="20"/>
                <w:szCs w:val="20"/>
              </w:rPr>
              <w:t>.</w:t>
            </w:r>
          </w:p>
        </w:tc>
        <w:tc>
          <w:tcPr>
            <w:tcW w:w="0" w:type="auto"/>
            <w:hideMark/>
          </w:tcPr>
          <w:p w14:paraId="07904F1C"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المنهج الوصفي التحليلي</w:t>
            </w:r>
            <w:r>
              <w:rPr>
                <w:rFonts w:ascii="Simplified Arabic" w:eastAsia="Times New Roman" w:hAnsi="Simplified Arabic" w:cs="Simplified Arabic"/>
                <w:sz w:val="20"/>
                <w:szCs w:val="20"/>
              </w:rPr>
              <w:t>.</w:t>
            </w:r>
          </w:p>
        </w:tc>
        <w:tc>
          <w:tcPr>
            <w:tcW w:w="0" w:type="auto"/>
            <w:hideMark/>
          </w:tcPr>
          <w:p w14:paraId="46378FBB"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120 </w:t>
            </w:r>
            <w:r>
              <w:rPr>
                <w:rFonts w:ascii="Simplified Arabic" w:eastAsia="Times New Roman" w:hAnsi="Simplified Arabic" w:cs="Simplified Arabic"/>
                <w:sz w:val="20"/>
                <w:szCs w:val="20"/>
                <w:rtl/>
              </w:rPr>
              <w:t>موظفاً في ثلاثة مصارف حكومية عراقية</w:t>
            </w:r>
            <w:r>
              <w:rPr>
                <w:rFonts w:ascii="Simplified Arabic" w:eastAsia="Times New Roman" w:hAnsi="Simplified Arabic" w:cs="Simplified Arabic"/>
                <w:sz w:val="20"/>
                <w:szCs w:val="20"/>
              </w:rPr>
              <w:t>.</w:t>
            </w:r>
          </w:p>
        </w:tc>
        <w:tc>
          <w:tcPr>
            <w:tcW w:w="0" w:type="auto"/>
            <w:hideMark/>
          </w:tcPr>
          <w:p w14:paraId="5C91D95D"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وجود علاقة تأثير موجبة وذات دلالة معنوية بين تطبيق</w:t>
            </w:r>
            <w:r>
              <w:rPr>
                <w:rFonts w:ascii="Simplified Arabic" w:eastAsia="Times New Roman" w:hAnsi="Simplified Arabic" w:cs="Simplified Arabic"/>
                <w:sz w:val="20"/>
                <w:szCs w:val="20"/>
              </w:rPr>
              <w:t xml:space="preserve"> AI </w:t>
            </w:r>
            <w:r>
              <w:rPr>
                <w:rFonts w:ascii="Simplified Arabic" w:eastAsia="Times New Roman" w:hAnsi="Simplified Arabic" w:cs="Simplified Arabic"/>
                <w:sz w:val="20"/>
                <w:szCs w:val="20"/>
                <w:rtl/>
              </w:rPr>
              <w:t>والأداء التسويقي</w:t>
            </w:r>
            <w:r>
              <w:rPr>
                <w:rFonts w:ascii="Simplified Arabic" w:eastAsia="Times New Roman" w:hAnsi="Simplified Arabic" w:cs="Simplified Arabic"/>
                <w:sz w:val="20"/>
                <w:szCs w:val="20"/>
              </w:rPr>
              <w:t>.</w:t>
            </w:r>
          </w:p>
        </w:tc>
        <w:tc>
          <w:tcPr>
            <w:tcW w:w="0" w:type="auto"/>
            <w:hideMark/>
          </w:tcPr>
          <w:p w14:paraId="624CBC38"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لم تعالج الذكاء التوليدي تحديداً، ولم تتناول عمليات التصميم أو القطاع السعودي</w:t>
            </w:r>
            <w:r>
              <w:rPr>
                <w:rFonts w:ascii="Simplified Arabic" w:eastAsia="Times New Roman" w:hAnsi="Simplified Arabic" w:cs="Simplified Arabic"/>
                <w:sz w:val="20"/>
                <w:szCs w:val="20"/>
              </w:rPr>
              <w:t>.</w:t>
            </w:r>
          </w:p>
        </w:tc>
      </w:tr>
      <w:tr w:rsidR="00BE56D1" w:rsidRPr="00BE56D1" w14:paraId="2CE934F1" w14:textId="77777777" w:rsidTr="00BE56D1">
        <w:trPr>
          <w:trHeight w:val="136"/>
        </w:trPr>
        <w:tc>
          <w:tcPr>
            <w:tcW w:w="0" w:type="auto"/>
            <w:hideMark/>
          </w:tcPr>
          <w:p w14:paraId="351E9B50" w14:textId="77777777" w:rsidR="00BE56D1" w:rsidRPr="00BE56D1" w:rsidRDefault="00BE56D1" w:rsidP="00BE56D1">
            <w:pPr>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Mendoza et al. (2025) </w:t>
            </w:r>
            <w:r>
              <w:rPr>
                <w:rFonts w:ascii="Simplified Arabic" w:eastAsia="Times New Roman" w:hAnsi="Simplified Arabic" w:cs="Simplified Arabic"/>
                <w:i/>
                <w:iCs/>
                <w:sz w:val="20"/>
                <w:szCs w:val="20"/>
              </w:rPr>
              <w:t>Artificial Intelligence in Digital Marketing: Quantitative Analysis of Its Impact on Customer Personalization.</w:t>
            </w:r>
          </w:p>
        </w:tc>
        <w:tc>
          <w:tcPr>
            <w:tcW w:w="0" w:type="auto"/>
            <w:hideMark/>
          </w:tcPr>
          <w:p w14:paraId="723914D1"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مراجعة منهجية وتحليل كمي</w:t>
            </w:r>
            <w:r>
              <w:rPr>
                <w:rFonts w:ascii="Simplified Arabic" w:eastAsia="Times New Roman" w:hAnsi="Simplified Arabic" w:cs="Simplified Arabic"/>
                <w:sz w:val="20"/>
                <w:szCs w:val="20"/>
              </w:rPr>
              <w:t xml:space="preserve"> (PRISMA).</w:t>
            </w:r>
          </w:p>
        </w:tc>
        <w:tc>
          <w:tcPr>
            <w:tcW w:w="0" w:type="auto"/>
            <w:hideMark/>
          </w:tcPr>
          <w:p w14:paraId="12E07E14"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18 </w:t>
            </w:r>
            <w:r>
              <w:rPr>
                <w:rFonts w:ascii="Simplified Arabic" w:eastAsia="Times New Roman" w:hAnsi="Simplified Arabic" w:cs="Simplified Arabic"/>
                <w:sz w:val="20"/>
                <w:szCs w:val="20"/>
                <w:rtl/>
              </w:rPr>
              <w:t>دراسة من</w:t>
            </w:r>
            <w:r>
              <w:rPr>
                <w:rFonts w:ascii="Simplified Arabic" w:eastAsia="Times New Roman" w:hAnsi="Simplified Arabic" w:cs="Simplified Arabic"/>
                <w:sz w:val="20"/>
                <w:szCs w:val="20"/>
              </w:rPr>
              <w:t xml:space="preserve"> Scopus </w:t>
            </w:r>
            <w:r>
              <w:rPr>
                <w:rFonts w:ascii="Simplified Arabic" w:eastAsia="Times New Roman" w:hAnsi="Simplified Arabic" w:cs="Simplified Arabic"/>
                <w:sz w:val="20"/>
                <w:szCs w:val="20"/>
                <w:rtl/>
              </w:rPr>
              <w:t>و</w:t>
            </w:r>
            <w:r>
              <w:rPr>
                <w:rFonts w:ascii="Simplified Arabic" w:eastAsia="Times New Roman" w:hAnsi="Simplified Arabic" w:cs="Simplified Arabic"/>
                <w:sz w:val="20"/>
                <w:szCs w:val="20"/>
              </w:rPr>
              <w:t xml:space="preserve"> Web of Science.</w:t>
            </w:r>
          </w:p>
        </w:tc>
        <w:tc>
          <w:tcPr>
            <w:tcW w:w="0" w:type="auto"/>
            <w:hideMark/>
          </w:tcPr>
          <w:p w14:paraId="49518B53"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أثبتت أن الذكاء الاصطناعي يحسن تخصيص المحتوى ويزيد ولاء العملاء ورضاهم</w:t>
            </w:r>
            <w:r>
              <w:rPr>
                <w:rFonts w:ascii="Simplified Arabic" w:eastAsia="Times New Roman" w:hAnsi="Simplified Arabic" w:cs="Simplified Arabic"/>
                <w:sz w:val="20"/>
                <w:szCs w:val="20"/>
              </w:rPr>
              <w:t>.</w:t>
            </w:r>
          </w:p>
        </w:tc>
        <w:tc>
          <w:tcPr>
            <w:tcW w:w="0" w:type="auto"/>
            <w:hideMark/>
          </w:tcPr>
          <w:p w14:paraId="585AC29F"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تحليل عالمي دون إسقاط على السياق السعودي أو مراحل التصميم التسويقي</w:t>
            </w:r>
            <w:r>
              <w:rPr>
                <w:rFonts w:ascii="Simplified Arabic" w:eastAsia="Times New Roman" w:hAnsi="Simplified Arabic" w:cs="Simplified Arabic"/>
                <w:sz w:val="20"/>
                <w:szCs w:val="20"/>
              </w:rPr>
              <w:t>.</w:t>
            </w:r>
          </w:p>
        </w:tc>
      </w:tr>
      <w:tr w:rsidR="00BE56D1" w:rsidRPr="00BE56D1" w14:paraId="3AC1758F" w14:textId="77777777" w:rsidTr="00BE56D1">
        <w:trPr>
          <w:trHeight w:val="1891"/>
        </w:trPr>
        <w:tc>
          <w:tcPr>
            <w:tcW w:w="0" w:type="auto"/>
            <w:hideMark/>
          </w:tcPr>
          <w:p w14:paraId="09A0B99A" w14:textId="77777777" w:rsidR="00BE56D1" w:rsidRPr="00BE56D1" w:rsidRDefault="00BE56D1" w:rsidP="00BE56D1">
            <w:pPr>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بياري</w:t>
            </w:r>
            <w:r>
              <w:rPr>
                <w:rFonts w:ascii="Simplified Arabic" w:eastAsia="Times New Roman" w:hAnsi="Simplified Arabic" w:cs="Simplified Arabic"/>
                <w:sz w:val="20"/>
                <w:szCs w:val="20"/>
              </w:rPr>
              <w:t xml:space="preserve"> (2025) </w:t>
            </w:r>
            <w:r>
              <w:rPr>
                <w:rFonts w:ascii="Simplified Arabic" w:eastAsia="Times New Roman" w:hAnsi="Simplified Arabic" w:cs="Simplified Arabic"/>
                <w:i/>
                <w:iCs/>
                <w:sz w:val="20"/>
                <w:szCs w:val="20"/>
              </w:rPr>
              <w:t>Assessing Artificial Intelligence’s Impact on E-Customer Loyalty in Saudi Arabia.</w:t>
            </w:r>
          </w:p>
        </w:tc>
        <w:tc>
          <w:tcPr>
            <w:tcW w:w="0" w:type="auto"/>
            <w:hideMark/>
          </w:tcPr>
          <w:p w14:paraId="75FCF753" w14:textId="7921D97E"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منهج كمي</w:t>
            </w:r>
            <w:r>
              <w:rPr>
                <w:rFonts w:ascii="Simplified Arabic" w:eastAsia="Times New Roman" w:hAnsi="Simplified Arabic" w:cs="Simplified Arabic"/>
                <w:sz w:val="20"/>
                <w:szCs w:val="20"/>
              </w:rPr>
              <w:t xml:space="preserve">  </w:t>
            </w:r>
            <w:r>
              <w:rPr>
                <w:rFonts w:ascii="Simplified Arabic" w:eastAsia="Times New Roman" w:hAnsi="Simplified Arabic" w:cs="Simplified Arabic"/>
                <w:sz w:val="20"/>
                <w:szCs w:val="20"/>
                <w:rtl/>
              </w:rPr>
              <w:t>نمذجة معادلات هيكلية</w:t>
            </w:r>
            <w:r>
              <w:rPr>
                <w:rFonts w:ascii="Simplified Arabic" w:eastAsia="Times New Roman" w:hAnsi="Simplified Arabic" w:cs="Simplified Arabic"/>
                <w:sz w:val="20"/>
                <w:szCs w:val="20"/>
              </w:rPr>
              <w:t xml:space="preserve"> SEM.</w:t>
            </w:r>
          </w:p>
        </w:tc>
        <w:tc>
          <w:tcPr>
            <w:tcW w:w="0" w:type="auto"/>
            <w:hideMark/>
          </w:tcPr>
          <w:p w14:paraId="04A915B4"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157 </w:t>
            </w:r>
            <w:r>
              <w:rPr>
                <w:rFonts w:ascii="Simplified Arabic" w:eastAsia="Times New Roman" w:hAnsi="Simplified Arabic" w:cs="Simplified Arabic"/>
                <w:sz w:val="20"/>
                <w:szCs w:val="20"/>
                <w:rtl/>
              </w:rPr>
              <w:t>مشاركاً في منصات التجارة الإلكترونية السعودية</w:t>
            </w:r>
            <w:r>
              <w:rPr>
                <w:rFonts w:ascii="Simplified Arabic" w:eastAsia="Times New Roman" w:hAnsi="Simplified Arabic" w:cs="Simplified Arabic"/>
                <w:sz w:val="20"/>
                <w:szCs w:val="20"/>
              </w:rPr>
              <w:t>.</w:t>
            </w:r>
          </w:p>
        </w:tc>
        <w:tc>
          <w:tcPr>
            <w:tcW w:w="0" w:type="auto"/>
            <w:hideMark/>
          </w:tcPr>
          <w:p w14:paraId="65B25941"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أثبتت وجود تأثير مباشر ومعنوي للذكاء الاصطناعي على ولاء العميل الإلكتروني عبر القصد الشرائي وتفضيل العلامة</w:t>
            </w:r>
            <w:r>
              <w:rPr>
                <w:rFonts w:ascii="Simplified Arabic" w:eastAsia="Times New Roman" w:hAnsi="Simplified Arabic" w:cs="Simplified Arabic"/>
                <w:sz w:val="20"/>
                <w:szCs w:val="20"/>
              </w:rPr>
              <w:t>.</w:t>
            </w:r>
          </w:p>
        </w:tc>
        <w:tc>
          <w:tcPr>
            <w:tcW w:w="0" w:type="auto"/>
            <w:hideMark/>
          </w:tcPr>
          <w:p w14:paraId="0616FBAB"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لم تبحث الأثر غير المباشر عبر جودة التصميم أو العوامل المؤسسية، واقتصرت على التجارة الإلكترونية</w:t>
            </w:r>
            <w:r>
              <w:rPr>
                <w:rFonts w:ascii="Simplified Arabic" w:eastAsia="Times New Roman" w:hAnsi="Simplified Arabic" w:cs="Simplified Arabic"/>
                <w:sz w:val="20"/>
                <w:szCs w:val="20"/>
              </w:rPr>
              <w:t>.</w:t>
            </w:r>
          </w:p>
        </w:tc>
      </w:tr>
    </w:tbl>
    <w:p w14:paraId="0CC9F3DA" w14:textId="77777777" w:rsidR="00675F33" w:rsidRPr="00BE56D1" w:rsidRDefault="00675F33" w:rsidP="00675F33">
      <w:pPr>
        <w:bidi/>
        <w:rPr>
          <w:rFonts w:ascii="Simplified Arabic" w:hAnsi="Simplified Arabic" w:cs="Simplified Arabic"/>
          <w:rtl/>
        </w:rPr>
      </w:pPr>
    </w:p>
    <w:p w14:paraId="2BEFE8A1" w14:textId="020A41E2" w:rsidR="004F2B23" w:rsidRPr="00E04FE4" w:rsidRDefault="00675F33" w:rsidP="00E04FE4">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t>مايميز الدراسة الحالية عن الدراسات السابقة</w:t>
      </w:r>
    </w:p>
    <w:p w14:paraId="7813E8F8" w14:textId="0AEB408C" w:rsidR="00E04FE4" w:rsidRPr="00E04FE4" w:rsidRDefault="00E04FE4" w:rsidP="00E04FE4">
      <w:pPr>
        <w:bidi/>
        <w:spacing w:after="200" w:line="276" w:lineRule="auto"/>
        <w:jc w:val="both"/>
        <w:rPr>
          <w:rFonts w:ascii="Simplified Arabic" w:hAnsi="Simplified Arabic" w:cs="Simplified Arabic"/>
          <w:rtl/>
        </w:rPr>
      </w:pPr>
      <w:r>
        <w:rPr>
          <w:rFonts w:ascii="Simplified Arabic" w:hAnsi="Simplified Arabic" w:cs="Simplified Arabic"/>
          <w:rtl/>
        </w:rPr>
        <w:t>تتميّز هذه الدراسة بتركيزها على تحليل العلاقة التكاملية بين التوظيف التقني والإبداعي والإداري لتقنيات الذكاء الاصطناعي التوليدي في وكالات التسويق السعودية، وهو منظور لم تتناوله الدراسات السابقة بصورة شاملة أو تفسيرية. فبينما ركزت بعض الدراسات مثل</w:t>
      </w:r>
      <w:r>
        <w:rPr>
          <w:rFonts w:ascii="Simplified Arabic" w:hAnsi="Simplified Arabic" w:cs="Simplified Arabic" w:hint="cs"/>
          <w:rtl/>
        </w:rPr>
        <w:t xml:space="preserve"> </w:t>
      </w:r>
      <w:r>
        <w:rPr>
          <w:rFonts w:ascii="Simplified Arabic" w:hAnsi="Simplified Arabic" w:cs="Simplified Arabic"/>
          <w:rtl/>
        </w:rPr>
        <w:t xml:space="preserve">(الخطيب، 2024؛ </w:t>
      </w:r>
      <w:r>
        <w:rPr>
          <w:rFonts w:ascii="Simplified Arabic" w:hAnsi="Simplified Arabic" w:cs="Simplified Arabic"/>
        </w:rPr>
        <w:t>Gujar &amp; Panyam, 2024</w:t>
      </w:r>
      <w:r>
        <w:rPr>
          <w:rFonts w:ascii="Simplified Arabic" w:hAnsi="Simplified Arabic" w:cs="Simplified Arabic"/>
          <w:rtl/>
        </w:rPr>
        <w:t xml:space="preserve">؛ </w:t>
      </w:r>
      <w:r>
        <w:rPr>
          <w:rFonts w:ascii="Simplified Arabic" w:hAnsi="Simplified Arabic" w:cs="Simplified Arabic"/>
        </w:rPr>
        <w:t>Islam et al., 2024</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على الأثر الوصفي لتقنيات الذكاء الاصطناعي في تحسين المحتوى والإنتاجية، فإنها لم تربط هذا الأثر بعملية التصميم التسويقي بوصفها متغيرًا وسيطًا قابلاً للقياس، كما لم تختبر الآلية التي يتحول من خلالها الاستثمار التقني إلى فعالية تسويقية قابلة للقياس بمؤشرات الأداء</w:t>
      </w:r>
      <w:r>
        <w:rPr>
          <w:rFonts w:ascii="Simplified Arabic" w:hAnsi="Simplified Arabic" w:cs="Simplified Arabic"/>
        </w:rPr>
        <w:t>.</w:t>
      </w:r>
    </w:p>
    <w:p w14:paraId="7DB65F1D" w14:textId="3185679A" w:rsidR="00E04FE4" w:rsidRPr="00E04FE4" w:rsidRDefault="00E04FE4" w:rsidP="00E04FE4">
      <w:pPr>
        <w:bidi/>
        <w:spacing w:after="200" w:line="276" w:lineRule="auto"/>
        <w:jc w:val="both"/>
        <w:rPr>
          <w:rFonts w:ascii="Simplified Arabic" w:hAnsi="Simplified Arabic" w:cs="Simplified Arabic"/>
          <w:rtl/>
        </w:rPr>
      </w:pPr>
      <w:r>
        <w:rPr>
          <w:rFonts w:ascii="Simplified Arabic" w:hAnsi="Simplified Arabic" w:cs="Simplified Arabic"/>
          <w:rtl/>
        </w:rPr>
        <w:t xml:space="preserve">كذلك، تناولت دراسات محلية مثل (آل مرعي، 2024؛ العتيبي واليوبي، 2024) موضوع تبني الذكاء الاصطناعي في سياقات إدراكية أو مؤسسية عامة، دون معالجة البيئة التطبيقية داخل وكالات التسويق بوصفها منظومة تشغيلية متكاملة </w:t>
      </w:r>
      <w:r>
        <w:rPr>
          <w:rFonts w:ascii="Simplified Arabic" w:hAnsi="Simplified Arabic" w:cs="Simplified Arabic"/>
          <w:rtl/>
        </w:rPr>
        <w:lastRenderedPageBreak/>
        <w:t>تجمع بين الإبداع والتحليل والأداء التسويقي. أما الدراسات المفاهيمية مثل</w:t>
      </w:r>
      <w:r>
        <w:rPr>
          <w:rFonts w:ascii="Simplified Arabic" w:hAnsi="Simplified Arabic" w:cs="Simplified Arabic"/>
        </w:rPr>
        <w:t xml:space="preserve">  </w:t>
      </w:r>
      <w:r>
        <w:rPr>
          <w:rFonts w:ascii="Simplified Arabic" w:hAnsi="Simplified Arabic" w:cs="Simplified Arabic"/>
          <w:rtl/>
        </w:rPr>
        <w:t>(</w:t>
      </w:r>
      <w:r>
        <w:rPr>
          <w:rFonts w:ascii="Simplified Arabic" w:hAnsi="Simplified Arabic" w:cs="Simplified Arabic"/>
        </w:rPr>
        <w:t>Kshetri et al., 2023</w:t>
      </w:r>
      <w:r>
        <w:rPr>
          <w:rFonts w:ascii="Simplified Arabic" w:hAnsi="Simplified Arabic" w:cs="Simplified Arabic"/>
          <w:rtl/>
        </w:rPr>
        <w:t xml:space="preserve">؛ </w:t>
      </w:r>
      <w:r>
        <w:rPr>
          <w:rFonts w:ascii="Simplified Arabic" w:hAnsi="Simplified Arabic" w:cs="Simplified Arabic"/>
        </w:rPr>
        <w:t>Mendoza et al., 2025</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فقد ركزت على الأدوار التحويلية النظرية للذكاء الاصطناعي (وخاصة التوليدي في بعض الحالات) في التسويق، دون اختبارها ميدانيًا في بيئة خليجية أو سعودية</w:t>
      </w:r>
      <w:r>
        <w:rPr>
          <w:rFonts w:ascii="Simplified Arabic" w:hAnsi="Simplified Arabic" w:cs="Simplified Arabic"/>
        </w:rPr>
        <w:t>.</w:t>
      </w:r>
    </w:p>
    <w:p w14:paraId="3AF3E957" w14:textId="77ABE70D" w:rsidR="00E04FE4" w:rsidRPr="00E04FE4" w:rsidRDefault="00E04FE4" w:rsidP="00E04FE4">
      <w:pPr>
        <w:bidi/>
        <w:spacing w:after="200" w:line="276" w:lineRule="auto"/>
        <w:jc w:val="both"/>
        <w:rPr>
          <w:rFonts w:ascii="Simplified Arabic" w:hAnsi="Simplified Arabic" w:cs="Simplified Arabic"/>
          <w:rtl/>
        </w:rPr>
      </w:pPr>
      <w:r>
        <w:rPr>
          <w:rFonts w:ascii="Simplified Arabic" w:hAnsi="Simplified Arabic" w:cs="Simplified Arabic"/>
          <w:rtl/>
        </w:rPr>
        <w:t>وفي المقابل، ركزت الدراسات التي تناولت أثر الذكاء الاصطناعي في الأداء التسويقي مثل</w:t>
      </w:r>
      <w:r>
        <w:rPr>
          <w:rFonts w:ascii="Simplified Arabic" w:hAnsi="Simplified Arabic" w:cs="Simplified Arabic" w:hint="cs"/>
          <w:rtl/>
        </w:rPr>
        <w:t xml:space="preserve"> </w:t>
      </w:r>
      <w:r>
        <w:rPr>
          <w:rFonts w:ascii="Simplified Arabic" w:hAnsi="Simplified Arabic" w:cs="Simplified Arabic"/>
          <w:rtl/>
        </w:rPr>
        <w:t xml:space="preserve">(اللهيبي وآخرون، 2024؛ </w:t>
      </w:r>
      <w:r>
        <w:rPr>
          <w:rFonts w:ascii="Simplified Arabic" w:hAnsi="Simplified Arabic" w:cs="Simplified Arabic"/>
        </w:rPr>
        <w:t>Beyari, 2025</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على العلاقات المباشرة بين الاستخدام والأداء، ولم تتطرق إلى الدور الوسيط لجودة عملية التصميم، أو إلى التأثير التعديلي للدوافع التشغيلية والتنافسية والعوائق التقنية والبشرية والتنظيمية. ومن ثم، تبرز الفجوة البحثية في غياب نموذج تفسيري محلي يختبر الأثر المباشر وغير المباشر لتقنيات الذكاء الاصطناعي التوليدي على فعالية الأداء التسويقي عبر جودة التصميم الإبداعي في وكالات التسويق السعودية</w:t>
      </w:r>
      <w:r>
        <w:rPr>
          <w:rFonts w:ascii="Simplified Arabic" w:hAnsi="Simplified Arabic" w:cs="Simplified Arabic"/>
        </w:rPr>
        <w:t>.</w:t>
      </w:r>
    </w:p>
    <w:p w14:paraId="7BE70FCD" w14:textId="0B0B86E8" w:rsidR="00E04FE4" w:rsidRPr="00E04FE4" w:rsidRDefault="00E04FE4" w:rsidP="00E04FE4">
      <w:pPr>
        <w:bidi/>
        <w:spacing w:after="200" w:line="276" w:lineRule="auto"/>
        <w:jc w:val="both"/>
        <w:rPr>
          <w:rFonts w:ascii="Simplified Arabic" w:hAnsi="Simplified Arabic" w:cs="Simplified Arabic"/>
          <w:rtl/>
        </w:rPr>
      </w:pPr>
      <w:r>
        <w:rPr>
          <w:rFonts w:ascii="Simplified Arabic" w:hAnsi="Simplified Arabic" w:cs="Simplified Arabic"/>
          <w:rtl/>
        </w:rPr>
        <w:t>وانطلاقًا من هذه الفجوة، تتميز الدراسة الحالية بأنها تدمج المتغيرات الرئيسة في نموذج تفسيري واحد يربط بين: توظيف الذكاء الاصطناعي التوليدي في تصميم الحملات التسويقية الرقمية، وجودة عملية التصميم الإبداعي، وفعالية الأداء التسويقي، مع إدراج الدوافع والعوائق بوصفها عوامل مؤثرة في قوة العلاقات بين المتغيرات. ويمنح هذا البناء الدراسة قدرة تفسيرية أعلى مقارنة بالدراسات التي عالجت هذه الأبعاد بصورة منفصلة أو في علاقات مباشرة محدودة</w:t>
      </w:r>
      <w:r>
        <w:rPr>
          <w:rFonts w:ascii="Simplified Arabic" w:hAnsi="Simplified Arabic" w:cs="Simplified Arabic"/>
        </w:rPr>
        <w:t>.</w:t>
      </w:r>
    </w:p>
    <w:p w14:paraId="07CAB288" w14:textId="544338B7" w:rsidR="00E04FE4" w:rsidRPr="00E04FE4" w:rsidRDefault="00E04FE4" w:rsidP="00E04FE4">
      <w:pPr>
        <w:bidi/>
        <w:spacing w:after="200" w:line="276" w:lineRule="auto"/>
        <w:jc w:val="both"/>
        <w:rPr>
          <w:rFonts w:ascii="Simplified Arabic" w:hAnsi="Simplified Arabic" w:cs="Simplified Arabic"/>
          <w:rtl/>
        </w:rPr>
      </w:pPr>
      <w:r>
        <w:rPr>
          <w:rFonts w:ascii="Simplified Arabic" w:hAnsi="Simplified Arabic" w:cs="Simplified Arabic"/>
          <w:rtl/>
        </w:rPr>
        <w:t>كما تتميز الدراسة من حيث السياق التطبيقي المحلي؛ إذ تركز على وكالات التسويق السعودية بوصفها بيئة مهنية لم تحظَ — في حدود الاطلاع — بمعالجة ميدانية كافية تجمع بين التوظيف التوليدي، وجودة التصميم، وفعالية الأداء التسويقي ضمن إطار واحد. ويكتسب هذا التوجه أهميته في ضوء التحول الرقمي المتسارع في المملكة، والحاجة إلى نماذج بحثية تطبيقية تدعم صناعة القرار المؤسسي</w:t>
      </w:r>
      <w:r>
        <w:rPr>
          <w:rFonts w:ascii="Simplified Arabic" w:hAnsi="Simplified Arabic" w:cs="Simplified Arabic"/>
        </w:rPr>
        <w:t>.</w:t>
      </w:r>
    </w:p>
    <w:p w14:paraId="6FE8DF36" w14:textId="31E3946E" w:rsidR="00E04FE4" w:rsidRPr="00E04FE4" w:rsidRDefault="00E04FE4" w:rsidP="00E04FE4">
      <w:pPr>
        <w:bidi/>
        <w:spacing w:after="200" w:line="276" w:lineRule="auto"/>
        <w:jc w:val="both"/>
        <w:rPr>
          <w:rFonts w:ascii="Simplified Arabic" w:hAnsi="Simplified Arabic" w:cs="Simplified Arabic"/>
          <w:rtl/>
        </w:rPr>
      </w:pPr>
      <w:r>
        <w:rPr>
          <w:rFonts w:ascii="Simplified Arabic" w:hAnsi="Simplified Arabic" w:cs="Simplified Arabic"/>
          <w:rtl/>
        </w:rPr>
        <w:t>ومن أوجه التميز كذلك إبراز جودة التصميم الإبداعي للحملات بوصفها متغيرًا وسيطًا يفسر انتقال الأثر من التوظيف التقني إلى نتائج الأداء التسويقي، بدل الاكتفاء بفحص العلاقة المباشرة بين استخدام التقنية والمخرجات النهائية. كما تختبر الدراسة أثر الدوافع والعوائق بوصفها عوامل قد تعزز أو تضعف هذا الأثر، وهو ما يضيف بعدًا تفسيريًا وتطبيقيًا يساعد على بناء توصيات أكثر واقعية لبيئات العمل التسويقي</w:t>
      </w:r>
      <w:r>
        <w:rPr>
          <w:rFonts w:ascii="Simplified Arabic" w:hAnsi="Simplified Arabic" w:cs="Simplified Arabic"/>
        </w:rPr>
        <w:t>.</w:t>
      </w:r>
    </w:p>
    <w:p w14:paraId="3DBFA736" w14:textId="02C21289" w:rsidR="00E04FE4" w:rsidRPr="00E04FE4" w:rsidRDefault="00E04FE4" w:rsidP="00E04FE4">
      <w:pPr>
        <w:bidi/>
        <w:spacing w:after="200" w:line="276" w:lineRule="auto"/>
        <w:jc w:val="both"/>
        <w:rPr>
          <w:rFonts w:ascii="Simplified Arabic" w:hAnsi="Simplified Arabic" w:cs="Simplified Arabic"/>
          <w:rtl/>
        </w:rPr>
      </w:pPr>
      <w:r>
        <w:rPr>
          <w:rFonts w:ascii="Simplified Arabic" w:hAnsi="Simplified Arabic" w:cs="Simplified Arabic"/>
          <w:rtl/>
        </w:rPr>
        <w:t>وعلى المستوى المنهجي، تستفيد الدراسة من منهج كمي تحليلي يتيح اختبار العلاقات المباشرة وغير المباشرة داخل النموذج المقترح، بما يعزز دقة تفسير النتائج مقارنة بالدراسات ذات الطابع الوصفي أو المفاهيمي. كما يستند تصميمها إلى إطار نظري يدمج بين أدوار الذكاء الاصطناعي التوليدي في مراحل تصميم الحملات، والدوافع والعوائق والتحديات الأخلاقية، ومؤشرات الأداء التسويقي في البيئة الرقمية</w:t>
      </w:r>
      <w:r>
        <w:rPr>
          <w:rFonts w:ascii="Simplified Arabic" w:hAnsi="Simplified Arabic" w:cs="Simplified Arabic"/>
        </w:rPr>
        <w:t>.</w:t>
      </w:r>
    </w:p>
    <w:p w14:paraId="3F3F6D85" w14:textId="7C7EA944" w:rsidR="00E04FE4" w:rsidRDefault="00E04FE4" w:rsidP="00E04FE4">
      <w:pPr>
        <w:bidi/>
        <w:spacing w:after="200" w:line="276" w:lineRule="auto"/>
        <w:jc w:val="both"/>
        <w:rPr>
          <w:rFonts w:ascii="Simplified Arabic" w:hAnsi="Simplified Arabic" w:cs="Simplified Arabic"/>
          <w:rtl/>
        </w:rPr>
      </w:pPr>
      <w:r>
        <w:rPr>
          <w:rFonts w:ascii="Simplified Arabic" w:hAnsi="Simplified Arabic" w:cs="Simplified Arabic"/>
          <w:rtl/>
        </w:rPr>
        <w:t>وبذلك تُعدّ هذه الدراسة — في حدود اطلاع الباحث — محاولة علمية متقدمة لبناء نموذج تفسيري ميداني يقيس الأثر المباشر وغير المباشر لتوظيف الذكاء الاصطناعي التوليدي في تصميم الحملات التسويقية الرقمية على فعالية الأداء التسويقي في وكالات التسويق السعودية، بما ينسجم مع متطلبات التطور المهني في القطاع ومع توجهات التحول الرقمي في المملكة.</w:t>
      </w:r>
    </w:p>
    <w:p w14:paraId="02AD0F66" w14:textId="77777777" w:rsidR="00915B55" w:rsidRDefault="00915B55" w:rsidP="00915B55">
      <w:pPr>
        <w:bidi/>
        <w:spacing w:after="200" w:line="276" w:lineRule="auto"/>
        <w:jc w:val="both"/>
        <w:rPr>
          <w:rFonts w:ascii="Simplified Arabic" w:hAnsi="Simplified Arabic" w:cs="Simplified Arabic"/>
          <w:rtl/>
        </w:rPr>
      </w:pPr>
    </w:p>
    <w:p w14:paraId="6F6661C9" w14:textId="78896B03" w:rsidR="00B65A24" w:rsidRPr="00B65A24" w:rsidRDefault="00B65A24" w:rsidP="00B65A24">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الفصل الثالث: منهجية الدراسة</w:t>
      </w:r>
    </w:p>
    <w:p w14:paraId="2EF16704" w14:textId="0FF2C46E" w:rsidR="00B65A24" w:rsidRPr="00B65A24" w:rsidRDefault="00B65A24" w:rsidP="00B65A24">
      <w:pPr>
        <w:bidi/>
        <w:spacing w:after="200" w:line="240" w:lineRule="auto"/>
        <w:jc w:val="both"/>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t>تمهيد</w:t>
      </w:r>
    </w:p>
    <w:p w14:paraId="7E09DB84" w14:textId="77777777" w:rsidR="00B65A24" w:rsidRPr="00B65A24" w:rsidRDefault="00B65A24" w:rsidP="00B65A24">
      <w:pPr>
        <w:bidi/>
        <w:spacing w:after="200" w:line="276" w:lineRule="auto"/>
        <w:rPr>
          <w:rFonts w:ascii="Simplified Arabic" w:hAnsi="Simplified Arabic" w:cs="Simplified Arabic"/>
          <w:rtl/>
        </w:rPr>
      </w:pPr>
      <w:r>
        <w:rPr>
          <w:rFonts w:ascii="Simplified Arabic" w:hAnsi="Simplified Arabic" w:cs="Simplified Arabic"/>
          <w:rtl/>
        </w:rPr>
        <w:t>يخصَّص هذا الفصل لعرض الطريقة والإجراءات التي اتُّبعت في الجانب الميداني من الدراسة، بدءًا من تحديد المنهج المناسب لطبيعة المشكلة البحثية، ووصف مجتمع الدراسة وكيفية اختيار عينته، مرورًا ببناء أداة جمع البيانات والتحقق من صدقها وثباتها، وانتهاءً ببيان الأساليب الإحصائية التي استُخدمت في تحليل البيانات واختبار الفرضيات</w:t>
      </w:r>
      <w:r>
        <w:rPr>
          <w:rFonts w:ascii="Simplified Arabic" w:hAnsi="Simplified Arabic" w:cs="Simplified Arabic"/>
        </w:rPr>
        <w:t>.</w:t>
      </w:r>
    </w:p>
    <w:p w14:paraId="5B3759B4" w14:textId="77777777" w:rsidR="00B65A24" w:rsidRPr="00B65A24" w:rsidRDefault="00B65A24" w:rsidP="00B65A24">
      <w:pPr>
        <w:bidi/>
        <w:spacing w:after="200" w:line="276" w:lineRule="auto"/>
        <w:rPr>
          <w:rFonts w:ascii="Simplified Arabic" w:hAnsi="Simplified Arabic" w:cs="Simplified Arabic"/>
          <w:rtl/>
        </w:rPr>
      </w:pPr>
      <w:r>
        <w:rPr>
          <w:rFonts w:ascii="Simplified Arabic" w:hAnsi="Simplified Arabic" w:cs="Simplified Arabic"/>
          <w:rtl/>
        </w:rPr>
        <w:t>ولمّا كانت الدراسة تسعى إلى الكشف عن أثر توظيف تقنيات الذكاء الاصطناعي التوليدي في تصميم الحملات الرقمية على فعالية الأداء التسويقي، عبر الدور الوسيط لجودة عملية التصميم والدور المعدِّل للدوافع والعوائق، فقد اقتضى ذلك اختيار إجراءات منهجية قادرة على اختبار هذه العلاقات المباشرة وغير المباشرة في آنٍ واحد. وتمثل هذه الإجراءات الأساس الذي تُبنى عليه نتائج الفصل الرابع وتفسيرها</w:t>
      </w:r>
      <w:r>
        <w:rPr>
          <w:rFonts w:ascii="Simplified Arabic" w:hAnsi="Simplified Arabic" w:cs="Simplified Arabic"/>
        </w:rPr>
        <w:t>.</w:t>
      </w:r>
    </w:p>
    <w:p w14:paraId="757926E1" w14:textId="77777777" w:rsidR="00B65A24" w:rsidRDefault="00B65A24" w:rsidP="00B65A24">
      <w:pPr>
        <w:bidi/>
        <w:spacing w:after="200" w:line="276" w:lineRule="auto"/>
        <w:rPr>
          <w:rFonts w:ascii="Simplified Arabic" w:hAnsi="Simplified Arabic" w:cs="Simplified Arabic"/>
          <w:rtl/>
        </w:rPr>
      </w:pPr>
      <w:r>
        <w:rPr>
          <w:rFonts w:ascii="Simplified Arabic" w:hAnsi="Simplified Arabic" w:cs="Simplified Arabic"/>
          <w:rtl/>
        </w:rPr>
        <w:t>ويتناول الفصل في عناصره منهج الدراسة وتصميمها، ومتغيراتها، ومجتمعها ووحدة تحليلها، وعينتها وأسلوب اختيارها، ثم أداة الدراسة وإجراءات التحقق من صدقها وثباتها، فالأساليب الإحصائية المستخدمة في معالجة بياناتها، وصولًا إلى الجوانب الأخلاقية لإجراءاتها</w:t>
      </w:r>
      <w:r>
        <w:rPr>
          <w:rFonts w:ascii="Simplified Arabic" w:hAnsi="Simplified Arabic" w:cs="Simplified Arabic"/>
        </w:rPr>
        <w:t>.</w:t>
      </w:r>
    </w:p>
    <w:p w14:paraId="149311E0" w14:textId="77777777" w:rsidR="00DE2E72" w:rsidRPr="00B65A24" w:rsidRDefault="00DE2E72" w:rsidP="00DE2E72">
      <w:pPr>
        <w:bidi/>
        <w:spacing w:after="200" w:line="276" w:lineRule="auto"/>
        <w:rPr>
          <w:rFonts w:ascii="Simplified Arabic" w:hAnsi="Simplified Arabic" w:cs="Simplified Arabic"/>
          <w:rtl/>
        </w:rPr>
      </w:pPr>
    </w:p>
    <w:p w14:paraId="43D5736F" w14:textId="60691C8E" w:rsidR="00B65A24" w:rsidRPr="00B65A24" w:rsidRDefault="00B65A24" w:rsidP="00B65A24">
      <w:pPr>
        <w:bidi/>
        <w:spacing w:after="200" w:line="240" w:lineRule="auto"/>
        <w:jc w:val="both"/>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t>منهج الدراسة وتصميمها</w:t>
      </w:r>
    </w:p>
    <w:p w14:paraId="6EBA402A" w14:textId="77777777" w:rsidR="00B65A24" w:rsidRPr="00B65A24" w:rsidRDefault="00B65A24" w:rsidP="00B65A24">
      <w:pPr>
        <w:bidi/>
        <w:spacing w:after="200" w:line="276" w:lineRule="auto"/>
        <w:rPr>
          <w:rFonts w:ascii="Simplified Arabic" w:hAnsi="Simplified Arabic" w:cs="Simplified Arabic"/>
          <w:rtl/>
        </w:rPr>
      </w:pPr>
      <w:r>
        <w:rPr>
          <w:rFonts w:ascii="Simplified Arabic" w:hAnsi="Simplified Arabic" w:cs="Simplified Arabic"/>
          <w:rtl/>
        </w:rPr>
        <w:t>اعتمدت الدراسة المنهج الوصفي التحليلي لملاءمته طبيعة المشكلة وأهداف الدراسة. فهذا المنهج لا يكتفي بوصف واقع توظيف تقنيات الذكاء الاصطناعي التوليدي في وكالات التسويق السعودية، وإنما يتجاوزه إلى تحليل العلاقات بين متغيرات الدراسة وتفسير اتجاه التأثير بينها وقوته، وهو ما تتطلبه دراسة تستهدف بناء نموذج تفسيري لا مجرد توصيف للظاهرة</w:t>
      </w:r>
      <w:r>
        <w:rPr>
          <w:rFonts w:ascii="Simplified Arabic" w:hAnsi="Simplified Arabic" w:cs="Simplified Arabic"/>
        </w:rPr>
        <w:t>.</w:t>
      </w:r>
    </w:p>
    <w:p w14:paraId="7A3C7919" w14:textId="3B796D7F" w:rsidR="00B65A24" w:rsidRPr="00B65A24" w:rsidRDefault="00B65A24" w:rsidP="00B65A24">
      <w:pPr>
        <w:bidi/>
        <w:spacing w:after="200" w:line="276" w:lineRule="auto"/>
        <w:rPr>
          <w:rFonts w:ascii="Simplified Arabic" w:hAnsi="Simplified Arabic" w:cs="Simplified Arabic"/>
          <w:rtl/>
        </w:rPr>
      </w:pPr>
      <w:r>
        <w:rPr>
          <w:rFonts w:ascii="Simplified Arabic" w:hAnsi="Simplified Arabic" w:cs="Simplified Arabic"/>
          <w:rtl/>
        </w:rPr>
        <w:t>وتندرج الدراسة ضمن البحوث الكمية لاعتمادها على بيانات رقمية تُجمع بأداة مقننة وتُعالَج إحصائيًا، كما تُعد دراسة مقطعية</w:t>
      </w:r>
      <w:r>
        <w:rPr>
          <w:rFonts w:ascii="Simplified Arabic" w:hAnsi="Simplified Arabic" w:cs="Simplified Arabic"/>
        </w:rPr>
        <w:t xml:space="preserve"> (Cross-sectional) </w:t>
      </w:r>
      <w:r>
        <w:rPr>
          <w:rFonts w:ascii="Simplified Arabic" w:hAnsi="Simplified Arabic" w:cs="Simplified Arabic"/>
          <w:rtl/>
        </w:rPr>
        <w:t>جُمعت بياناتها في فترة زمنية واحدة تعكس واقع الممارسة المهنية وقت إجرائها، دون متابعة تطور المتغيرات عبر الزمن</w:t>
      </w:r>
      <w:r>
        <w:rPr>
          <w:rFonts w:ascii="Simplified Arabic" w:hAnsi="Simplified Arabic" w:cs="Simplified Arabic"/>
        </w:rPr>
        <w:t xml:space="preserve"> (Creswell &amp; Creswell, 2018).</w:t>
      </w:r>
    </w:p>
    <w:p w14:paraId="737A4DFD" w14:textId="5610FD45" w:rsidR="00B65A24" w:rsidRDefault="00B65A24" w:rsidP="00B65A24">
      <w:pPr>
        <w:bidi/>
        <w:spacing w:after="200" w:line="276" w:lineRule="auto"/>
        <w:jc w:val="both"/>
        <w:rPr>
          <w:rFonts w:ascii="Simplified Arabic" w:hAnsi="Simplified Arabic" w:cs="Simplified Arabic"/>
          <w:rtl/>
        </w:rPr>
      </w:pPr>
      <w:r>
        <w:rPr>
          <w:rFonts w:ascii="Simplified Arabic" w:hAnsi="Simplified Arabic" w:cs="Simplified Arabic"/>
          <w:rtl/>
        </w:rPr>
        <w:t>ويقوم تصميم الدراسة على اختبار شبكة من العلاقات السببية باستخدام نمذجة المعادلات البنائية القائمة على المربعات الصغرى الجزئية (</w:t>
      </w:r>
      <w:r>
        <w:rPr>
          <w:rFonts w:ascii="Simplified Arabic" w:hAnsi="Simplified Arabic" w:cs="Simplified Arabic"/>
        </w:rPr>
        <w:t>PLS-SEM</w:t>
      </w:r>
      <w:r>
        <w:rPr>
          <w:rFonts w:ascii="Simplified Arabic" w:hAnsi="Simplified Arabic" w:cs="Simplified Arabic"/>
          <w:rtl/>
        </w:rPr>
        <w:t xml:space="preserve">)، إذ يتيح هذا الأسلوب فحص أثر المتغير المستقل في المتغير التابع، ودور المتغير الوسيط، وتأثير المتغيرين المعدِّلين، ضمن نموذج واحد. </w:t>
      </w:r>
      <w:r>
        <w:rPr>
          <w:rFonts w:ascii="Simplified Arabic" w:hAnsi="Simplified Arabic" w:cs="Simplified Arabic" w:hint="cs"/>
          <w:rtl/>
        </w:rPr>
        <w:t xml:space="preserve"> </w:t>
      </w:r>
    </w:p>
    <w:p w14:paraId="4879414F" w14:textId="77777777" w:rsidR="00390A57" w:rsidRDefault="00390A57" w:rsidP="00390A57">
      <w:pPr>
        <w:bidi/>
        <w:spacing w:after="200" w:line="276" w:lineRule="auto"/>
        <w:jc w:val="both"/>
        <w:rPr>
          <w:rFonts w:ascii="Simplified Arabic" w:hAnsi="Simplified Arabic" w:cs="Simplified Arabic"/>
          <w:rtl/>
        </w:rPr>
      </w:pPr>
    </w:p>
    <w:p w14:paraId="43D74155" w14:textId="77777777" w:rsidR="00DE2E72" w:rsidRDefault="00DE2E72" w:rsidP="00DE2E72">
      <w:pPr>
        <w:bidi/>
        <w:spacing w:after="200" w:line="276" w:lineRule="auto"/>
        <w:jc w:val="both"/>
        <w:rPr>
          <w:rFonts w:ascii="Simplified Arabic" w:hAnsi="Simplified Arabic" w:cs="Simplified Arabic"/>
          <w:rtl/>
        </w:rPr>
      </w:pPr>
    </w:p>
    <w:p w14:paraId="6D21723D" w14:textId="77777777" w:rsidR="00DE2E72" w:rsidRDefault="00DE2E72" w:rsidP="00DE2E72">
      <w:pPr>
        <w:bidi/>
        <w:spacing w:after="200" w:line="276" w:lineRule="auto"/>
        <w:jc w:val="both"/>
        <w:rPr>
          <w:rFonts w:ascii="Simplified Arabic" w:hAnsi="Simplified Arabic" w:cs="Simplified Arabic"/>
          <w:rtl/>
        </w:rPr>
      </w:pPr>
    </w:p>
    <w:p w14:paraId="5A7CC37C" w14:textId="6FFC0F0B" w:rsidR="00B65A24" w:rsidRPr="004F4747" w:rsidRDefault="00B65A24" w:rsidP="004F4747">
      <w:pPr>
        <w:bidi/>
        <w:spacing w:after="200" w:line="240" w:lineRule="auto"/>
        <w:jc w:val="both"/>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lastRenderedPageBreak/>
        <w:t>متغيرات الدراسة</w:t>
      </w:r>
    </w:p>
    <w:p w14:paraId="7F6459D0" w14:textId="77777777" w:rsidR="00B65A24" w:rsidRPr="00B65A24" w:rsidRDefault="00B65A24" w:rsidP="00B65A24">
      <w:pPr>
        <w:bidi/>
        <w:spacing w:after="200" w:line="276" w:lineRule="auto"/>
        <w:jc w:val="both"/>
        <w:rPr>
          <w:rFonts w:ascii="Simplified Arabic" w:hAnsi="Simplified Arabic" w:cs="Simplified Arabic"/>
          <w:rtl/>
        </w:rPr>
      </w:pPr>
      <w:r>
        <w:rPr>
          <w:rFonts w:ascii="Simplified Arabic" w:hAnsi="Simplified Arabic" w:cs="Simplified Arabic"/>
          <w:rtl/>
        </w:rPr>
        <w:t>تقوم الدراسة على خمسة متغيرات يتحدد دور كل منها داخل النموذج التفسيري على النحو الآتي</w:t>
      </w:r>
      <w:r>
        <w:rPr>
          <w:rFonts w:ascii="Simplified Arabic" w:hAnsi="Simplified Arabic" w:cs="Simplified Arabic"/>
        </w:rPr>
        <w:t>:</w:t>
      </w:r>
    </w:p>
    <w:p w14:paraId="47D684BC" w14:textId="265332B6" w:rsidR="00B65A24" w:rsidRPr="00B65A24" w:rsidRDefault="00B65A24">
      <w:pPr>
        <w:numPr>
          <w:ilvl w:val="0"/>
          <w:numId w:val="20"/>
        </w:numPr>
        <w:bidi/>
        <w:spacing w:after="200" w:line="276" w:lineRule="auto"/>
        <w:jc w:val="both"/>
        <w:rPr>
          <w:rFonts w:ascii="Simplified Arabic" w:hAnsi="Simplified Arabic" w:cs="Simplified Arabic"/>
          <w:rtl/>
        </w:rPr>
      </w:pPr>
      <w:r>
        <w:rPr>
          <w:rFonts w:ascii="Simplified Arabic" w:hAnsi="Simplified Arabic" w:cs="Simplified Arabic"/>
          <w:rtl/>
        </w:rPr>
        <w:t>توظيف تقنيات الذكاء الاصطناعي التوليدي في تصميم الحملات الرقمية، وهو المتغير المستقل، ويُقاس بعشر فقرات يرمز إليها بالرمز</w:t>
      </w:r>
      <w:r w:rsidR="00EB385F">
        <w:rPr>
          <w:rFonts w:ascii="Simplified Arabic" w:hAnsi="Simplified Arabic" w:cs="Simplified Arabic" w:hint="cs"/>
          <w:rtl/>
        </w:rPr>
        <w:t xml:space="preserve"> </w:t>
      </w:r>
      <w:r w:rsidR="00EB385F">
        <w:rPr>
          <w:rFonts w:ascii="Simplified Arabic" w:hAnsi="Simplified Arabic" w:cs="Simplified Arabic"/>
        </w:rPr>
        <w:t>.</w:t>
      </w:r>
      <w:r>
        <w:rPr>
          <w:rFonts w:ascii="Simplified Arabic" w:hAnsi="Simplified Arabic" w:cs="Simplified Arabic"/>
        </w:rPr>
        <w:t>(GAIU)</w:t>
      </w:r>
    </w:p>
    <w:p w14:paraId="0BAF0A06" w14:textId="291588A9" w:rsidR="00B65A24" w:rsidRPr="00B65A24" w:rsidRDefault="00B65A24">
      <w:pPr>
        <w:numPr>
          <w:ilvl w:val="0"/>
          <w:numId w:val="20"/>
        </w:numPr>
        <w:bidi/>
        <w:spacing w:after="200" w:line="276" w:lineRule="auto"/>
        <w:jc w:val="both"/>
        <w:rPr>
          <w:rFonts w:ascii="Simplified Arabic" w:hAnsi="Simplified Arabic" w:cs="Simplified Arabic"/>
          <w:rtl/>
        </w:rPr>
      </w:pPr>
      <w:r>
        <w:rPr>
          <w:rFonts w:ascii="Simplified Arabic" w:hAnsi="Simplified Arabic" w:cs="Simplified Arabic"/>
          <w:rtl/>
        </w:rPr>
        <w:t>جودة عملية تصميم الحملات الرقمية، وهو المتغير الوسيط، ويُقاس بثماني فقرات يرمز إليها بالرمز</w:t>
      </w:r>
      <w:r w:rsidR="00EB385F">
        <w:rPr>
          <w:rFonts w:ascii="Simplified Arabic" w:hAnsi="Simplified Arabic" w:cs="Simplified Arabic"/>
        </w:rPr>
        <w:t>.</w:t>
      </w:r>
      <w:r>
        <w:rPr>
          <w:rFonts w:ascii="Simplified Arabic" w:hAnsi="Simplified Arabic" w:cs="Simplified Arabic"/>
        </w:rPr>
        <w:t xml:space="preserve">(CDQ) </w:t>
      </w:r>
    </w:p>
    <w:p w14:paraId="552046F8" w14:textId="62B442E3" w:rsidR="00B65A24" w:rsidRPr="00B65A24" w:rsidRDefault="00B65A24">
      <w:pPr>
        <w:numPr>
          <w:ilvl w:val="0"/>
          <w:numId w:val="20"/>
        </w:numPr>
        <w:bidi/>
        <w:spacing w:after="200" w:line="276" w:lineRule="auto"/>
        <w:jc w:val="both"/>
        <w:rPr>
          <w:rFonts w:ascii="Simplified Arabic" w:hAnsi="Simplified Arabic" w:cs="Simplified Arabic"/>
          <w:rtl/>
        </w:rPr>
      </w:pPr>
      <w:r>
        <w:rPr>
          <w:rFonts w:ascii="Simplified Arabic" w:hAnsi="Simplified Arabic" w:cs="Simplified Arabic"/>
          <w:rtl/>
        </w:rPr>
        <w:t>دوافع تبني التقنية، وهو متغير معدِّل معزِّز، ويُقاس بتسع فقرات يرمز إليها بالرمز</w:t>
      </w:r>
      <w:r w:rsidR="00EB385F">
        <w:rPr>
          <w:rFonts w:ascii="Simplified Arabic" w:hAnsi="Simplified Arabic" w:cs="Simplified Arabic"/>
        </w:rPr>
        <w:t>.</w:t>
      </w:r>
      <w:r>
        <w:rPr>
          <w:rFonts w:ascii="Simplified Arabic" w:hAnsi="Simplified Arabic" w:cs="Simplified Arabic"/>
        </w:rPr>
        <w:t>(ADP)</w:t>
      </w:r>
      <w:r w:rsidR="00EB385F">
        <w:rPr>
          <w:rFonts w:ascii="Simplified Arabic" w:hAnsi="Simplified Arabic" w:cs="Simplified Arabic"/>
        </w:rPr>
        <w:t xml:space="preserve"> </w:t>
      </w:r>
    </w:p>
    <w:p w14:paraId="524F7A2D" w14:textId="5446E8AA" w:rsidR="00B65A24" w:rsidRPr="00B65A24" w:rsidRDefault="00B65A24">
      <w:pPr>
        <w:numPr>
          <w:ilvl w:val="0"/>
          <w:numId w:val="20"/>
        </w:numPr>
        <w:bidi/>
        <w:spacing w:after="200" w:line="276" w:lineRule="auto"/>
        <w:jc w:val="both"/>
        <w:rPr>
          <w:rFonts w:ascii="Simplified Arabic" w:hAnsi="Simplified Arabic" w:cs="Simplified Arabic"/>
          <w:rtl/>
        </w:rPr>
      </w:pPr>
      <w:r>
        <w:rPr>
          <w:rFonts w:ascii="Simplified Arabic" w:hAnsi="Simplified Arabic" w:cs="Simplified Arabic"/>
          <w:rtl/>
        </w:rPr>
        <w:t>العوائق التقنية والبشرية والتنظيمية والأخلاقية، وهو متغير معدِّل مثبِّط، ويُقاس بعشر فقرات يرمز إليها بالرمز</w:t>
      </w:r>
      <w:r>
        <w:rPr>
          <w:rFonts w:ascii="Simplified Arabic" w:hAnsi="Simplified Arabic" w:cs="Simplified Arabic"/>
        </w:rPr>
        <w:t xml:space="preserve"> (BAR)</w:t>
      </w:r>
      <w:r w:rsidR="00EB385F">
        <w:rPr>
          <w:rFonts w:ascii="Simplified Arabic" w:hAnsi="Simplified Arabic" w:cs="Simplified Arabic" w:hint="cs"/>
          <w:rtl/>
        </w:rPr>
        <w:t>.</w:t>
      </w:r>
    </w:p>
    <w:p w14:paraId="4E0EE145" w14:textId="69856559" w:rsidR="00B65A24" w:rsidRPr="00B65A24" w:rsidRDefault="00B65A24">
      <w:pPr>
        <w:numPr>
          <w:ilvl w:val="0"/>
          <w:numId w:val="20"/>
        </w:numPr>
        <w:bidi/>
        <w:spacing w:after="200" w:line="276" w:lineRule="auto"/>
        <w:jc w:val="both"/>
        <w:rPr>
          <w:rFonts w:ascii="Simplified Arabic" w:hAnsi="Simplified Arabic" w:cs="Simplified Arabic"/>
          <w:rtl/>
        </w:rPr>
      </w:pPr>
      <w:r>
        <w:rPr>
          <w:rFonts w:ascii="Simplified Arabic" w:hAnsi="Simplified Arabic" w:cs="Simplified Arabic"/>
          <w:rtl/>
        </w:rPr>
        <w:t>فعالية الأداء التسويقي للحملات الرقمية، وهو المتغير التابع، ويُقاس بتسع فقرات يرمز إليها بالرمز</w:t>
      </w:r>
      <w:r w:rsidR="00EB385F">
        <w:rPr>
          <w:rFonts w:ascii="Simplified Arabic" w:hAnsi="Simplified Arabic" w:cs="Simplified Arabic"/>
        </w:rPr>
        <w:t>.</w:t>
      </w:r>
      <w:r>
        <w:rPr>
          <w:rFonts w:ascii="Simplified Arabic" w:hAnsi="Simplified Arabic" w:cs="Simplified Arabic"/>
        </w:rPr>
        <w:t>(MP)</w:t>
      </w:r>
      <w:r w:rsidR="00EB385F">
        <w:rPr>
          <w:rFonts w:ascii="Simplified Arabic" w:hAnsi="Simplified Arabic" w:cs="Simplified Arabic"/>
        </w:rPr>
        <w:t xml:space="preserve"> </w:t>
      </w:r>
    </w:p>
    <w:p w14:paraId="5947D9A9" w14:textId="63E2FF6C" w:rsidR="00B65A24" w:rsidRPr="004F4747" w:rsidRDefault="00B65A24" w:rsidP="004F4747">
      <w:pPr>
        <w:bidi/>
        <w:spacing w:after="200" w:line="276" w:lineRule="auto"/>
        <w:rPr>
          <w:rFonts w:ascii="Simplified Arabic" w:hAnsi="Simplified Arabic" w:cs="Simplified Arabic"/>
          <w:b/>
          <w:bCs/>
          <w:rtl/>
        </w:rPr>
      </w:pPr>
      <w:r>
        <w:rPr>
          <w:rFonts w:ascii="Simplified Arabic" w:hAnsi="Simplified Arabic" w:cs="Simplified Arabic"/>
          <w:b/>
          <w:bCs/>
          <w:rtl/>
        </w:rPr>
        <w:t>جدول: متغيرات الدراسة ودورها في النموذج</w:t>
      </w:r>
    </w:p>
    <w:tbl>
      <w:tblPr>
        <w:tblStyle w:val="ac"/>
        <w:bidiVisual/>
        <w:tblW w:w="8215" w:type="dxa"/>
        <w:tblInd w:w="612" w:type="dxa"/>
        <w:tblLook w:val="04A0" w:firstRow="1" w:lastRow="0" w:firstColumn="1" w:lastColumn="0" w:noHBand="0" w:noVBand="1"/>
      </w:tblPr>
      <w:tblGrid>
        <w:gridCol w:w="1855"/>
        <w:gridCol w:w="2400"/>
        <w:gridCol w:w="1560"/>
        <w:gridCol w:w="2400"/>
      </w:tblGrid>
      <w:tr w:rsidR="004F4747" w:rsidRPr="004F4747" w14:paraId="61FE216E" w14:textId="77777777" w:rsidTr="00DE2E72">
        <w:tc>
          <w:tcPr>
            <w:tcW w:w="1855" w:type="dxa"/>
          </w:tcPr>
          <w:p w14:paraId="25DB391B" w14:textId="77777777" w:rsidR="004F4747" w:rsidRPr="004F4747" w:rsidRDefault="004F4747" w:rsidP="004F4747">
            <w:pPr>
              <w:bidi/>
              <w:spacing w:after="200" w:line="276" w:lineRule="auto"/>
              <w:jc w:val="both"/>
              <w:rPr>
                <w:rFonts w:ascii="Simplified Arabic" w:hAnsi="Simplified Arabic" w:cs="Simplified Arabic"/>
                <w:sz w:val="20"/>
                <w:szCs w:val="20"/>
              </w:rPr>
            </w:pPr>
            <w:r>
              <w:rPr>
                <w:rFonts w:ascii="Simplified Arabic" w:hAnsi="Simplified Arabic" w:cs="Simplified Arabic"/>
                <w:b/>
                <w:bCs/>
                <w:sz w:val="20"/>
                <w:szCs w:val="20"/>
                <w:rtl/>
              </w:rPr>
              <w:t>المتغير</w:t>
            </w:r>
          </w:p>
        </w:tc>
        <w:tc>
          <w:tcPr>
            <w:tcW w:w="2400" w:type="dxa"/>
          </w:tcPr>
          <w:p w14:paraId="662A94F3" w14:textId="77777777" w:rsidR="004F4747" w:rsidRPr="004F4747" w:rsidRDefault="004F4747" w:rsidP="004F4747">
            <w:pPr>
              <w:bidi/>
              <w:spacing w:after="200" w:line="276" w:lineRule="auto"/>
              <w:jc w:val="both"/>
              <w:rPr>
                <w:rFonts w:ascii="Simplified Arabic" w:hAnsi="Simplified Arabic" w:cs="Simplified Arabic"/>
                <w:sz w:val="20"/>
                <w:szCs w:val="20"/>
              </w:rPr>
            </w:pPr>
            <w:r>
              <w:rPr>
                <w:rFonts w:ascii="Simplified Arabic" w:hAnsi="Simplified Arabic" w:cs="Simplified Arabic"/>
                <w:b/>
                <w:bCs/>
                <w:sz w:val="20"/>
                <w:szCs w:val="20"/>
                <w:rtl/>
              </w:rPr>
              <w:t>دوره في النموذج</w:t>
            </w:r>
          </w:p>
        </w:tc>
        <w:tc>
          <w:tcPr>
            <w:tcW w:w="1560" w:type="dxa"/>
          </w:tcPr>
          <w:p w14:paraId="0AA12DCF" w14:textId="77777777" w:rsidR="004F4747" w:rsidRPr="004F4747" w:rsidRDefault="004F4747" w:rsidP="004F4747">
            <w:pPr>
              <w:bidi/>
              <w:spacing w:after="200" w:line="276" w:lineRule="auto"/>
              <w:jc w:val="both"/>
              <w:rPr>
                <w:rFonts w:ascii="Simplified Arabic" w:hAnsi="Simplified Arabic" w:cs="Simplified Arabic"/>
                <w:sz w:val="20"/>
                <w:szCs w:val="20"/>
              </w:rPr>
            </w:pPr>
            <w:r>
              <w:rPr>
                <w:rFonts w:ascii="Simplified Arabic" w:hAnsi="Simplified Arabic" w:cs="Simplified Arabic"/>
                <w:b/>
                <w:bCs/>
                <w:sz w:val="20"/>
                <w:szCs w:val="20"/>
                <w:rtl/>
              </w:rPr>
              <w:t>الرمز</w:t>
            </w:r>
          </w:p>
        </w:tc>
        <w:tc>
          <w:tcPr>
            <w:tcW w:w="2400" w:type="dxa"/>
          </w:tcPr>
          <w:p w14:paraId="64671784" w14:textId="77777777" w:rsidR="004F4747" w:rsidRPr="004F4747" w:rsidRDefault="004F4747" w:rsidP="004F4747">
            <w:pPr>
              <w:bidi/>
              <w:spacing w:after="200" w:line="276" w:lineRule="auto"/>
              <w:jc w:val="both"/>
              <w:rPr>
                <w:rFonts w:ascii="Simplified Arabic" w:hAnsi="Simplified Arabic" w:cs="Simplified Arabic"/>
                <w:sz w:val="20"/>
                <w:szCs w:val="20"/>
              </w:rPr>
            </w:pPr>
            <w:r>
              <w:rPr>
                <w:rFonts w:ascii="Simplified Arabic" w:hAnsi="Simplified Arabic" w:cs="Simplified Arabic"/>
                <w:b/>
                <w:bCs/>
                <w:sz w:val="20"/>
                <w:szCs w:val="20"/>
                <w:rtl/>
              </w:rPr>
              <w:t>عدد الفقرات</w:t>
            </w:r>
          </w:p>
        </w:tc>
      </w:tr>
      <w:tr w:rsidR="004F4747" w:rsidRPr="004F4747" w14:paraId="2000BD6F" w14:textId="77777777" w:rsidTr="00DE2E72">
        <w:tc>
          <w:tcPr>
            <w:tcW w:w="1855" w:type="dxa"/>
          </w:tcPr>
          <w:p w14:paraId="6D556A2D" w14:textId="77777777" w:rsidR="004F4747" w:rsidRPr="004F4747" w:rsidRDefault="004F4747" w:rsidP="004F4747">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توظيف تقنيات الذكاء الاصطناعي التوليدي</w:t>
            </w:r>
          </w:p>
        </w:tc>
        <w:tc>
          <w:tcPr>
            <w:tcW w:w="2400" w:type="dxa"/>
          </w:tcPr>
          <w:p w14:paraId="00D72BCD" w14:textId="77777777" w:rsidR="004F4747" w:rsidRPr="004F4747" w:rsidRDefault="004F4747" w:rsidP="004F4747">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مستقل</w:t>
            </w:r>
          </w:p>
        </w:tc>
        <w:tc>
          <w:tcPr>
            <w:tcW w:w="1560" w:type="dxa"/>
          </w:tcPr>
          <w:p w14:paraId="59B7F6DE" w14:textId="77777777" w:rsidR="004F4747" w:rsidRPr="004F4747" w:rsidRDefault="004F4747" w:rsidP="004F4747">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GAIU</w:t>
            </w:r>
          </w:p>
        </w:tc>
        <w:tc>
          <w:tcPr>
            <w:tcW w:w="2400" w:type="dxa"/>
          </w:tcPr>
          <w:p w14:paraId="0186809D" w14:textId="77777777" w:rsidR="004F4747" w:rsidRPr="004F4747" w:rsidRDefault="004F4747" w:rsidP="004F4747">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10</w:t>
            </w:r>
          </w:p>
        </w:tc>
      </w:tr>
      <w:tr w:rsidR="004F4747" w:rsidRPr="004F4747" w14:paraId="19BDE7D1" w14:textId="77777777" w:rsidTr="00DE2E72">
        <w:trPr>
          <w:trHeight w:val="485"/>
        </w:trPr>
        <w:tc>
          <w:tcPr>
            <w:tcW w:w="1855" w:type="dxa"/>
          </w:tcPr>
          <w:p w14:paraId="57702038" w14:textId="77777777" w:rsidR="004F4747" w:rsidRPr="004F4747" w:rsidRDefault="004F4747" w:rsidP="004F4747">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جودة عملية تصميم الحملات</w:t>
            </w:r>
          </w:p>
        </w:tc>
        <w:tc>
          <w:tcPr>
            <w:tcW w:w="2400" w:type="dxa"/>
          </w:tcPr>
          <w:p w14:paraId="0390E1F8" w14:textId="77777777" w:rsidR="004F4747" w:rsidRPr="004F4747" w:rsidRDefault="004F4747" w:rsidP="004F4747">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وسيط</w:t>
            </w:r>
          </w:p>
        </w:tc>
        <w:tc>
          <w:tcPr>
            <w:tcW w:w="1560" w:type="dxa"/>
          </w:tcPr>
          <w:p w14:paraId="6839AC2D" w14:textId="77777777" w:rsidR="004F4747" w:rsidRPr="004F4747" w:rsidRDefault="004F4747" w:rsidP="004F4747">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CDQ</w:t>
            </w:r>
          </w:p>
        </w:tc>
        <w:tc>
          <w:tcPr>
            <w:tcW w:w="2400" w:type="dxa"/>
          </w:tcPr>
          <w:p w14:paraId="078F2653" w14:textId="77777777" w:rsidR="004F4747" w:rsidRPr="004F4747" w:rsidRDefault="004F4747" w:rsidP="004F4747">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8</w:t>
            </w:r>
          </w:p>
        </w:tc>
      </w:tr>
      <w:tr w:rsidR="004F4747" w:rsidRPr="004F4747" w14:paraId="3FC0A650" w14:textId="77777777" w:rsidTr="00DE2E72">
        <w:tc>
          <w:tcPr>
            <w:tcW w:w="1855" w:type="dxa"/>
          </w:tcPr>
          <w:p w14:paraId="2572F01B" w14:textId="77777777" w:rsidR="004F4747" w:rsidRPr="004F4747" w:rsidRDefault="004F4747" w:rsidP="004F4747">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دوافع التبني</w:t>
            </w:r>
          </w:p>
        </w:tc>
        <w:tc>
          <w:tcPr>
            <w:tcW w:w="2400" w:type="dxa"/>
          </w:tcPr>
          <w:p w14:paraId="4571F19B" w14:textId="77777777" w:rsidR="004F4747" w:rsidRPr="004F4747" w:rsidRDefault="004F4747" w:rsidP="004F4747">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معدِّل معزِّز</w:t>
            </w:r>
          </w:p>
        </w:tc>
        <w:tc>
          <w:tcPr>
            <w:tcW w:w="1560" w:type="dxa"/>
          </w:tcPr>
          <w:p w14:paraId="3F4EB12F" w14:textId="77777777" w:rsidR="004F4747" w:rsidRPr="004F4747" w:rsidRDefault="004F4747" w:rsidP="004F4747">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ADP</w:t>
            </w:r>
          </w:p>
        </w:tc>
        <w:tc>
          <w:tcPr>
            <w:tcW w:w="2400" w:type="dxa"/>
          </w:tcPr>
          <w:p w14:paraId="48F024CD" w14:textId="77777777" w:rsidR="004F4747" w:rsidRPr="004F4747" w:rsidRDefault="004F4747" w:rsidP="004F4747">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9</w:t>
            </w:r>
          </w:p>
        </w:tc>
      </w:tr>
      <w:tr w:rsidR="004F4747" w:rsidRPr="004F4747" w14:paraId="3738AD25" w14:textId="77777777" w:rsidTr="00DE2E72">
        <w:tc>
          <w:tcPr>
            <w:tcW w:w="1855" w:type="dxa"/>
          </w:tcPr>
          <w:p w14:paraId="5CB91CBC" w14:textId="77777777" w:rsidR="004F4747" w:rsidRPr="004F4747" w:rsidRDefault="004F4747" w:rsidP="004F4747">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العوائق التقنية والبشرية والتنظيمية والأخلاقية</w:t>
            </w:r>
          </w:p>
        </w:tc>
        <w:tc>
          <w:tcPr>
            <w:tcW w:w="2400" w:type="dxa"/>
          </w:tcPr>
          <w:p w14:paraId="449031B0" w14:textId="77777777" w:rsidR="004F4747" w:rsidRPr="004F4747" w:rsidRDefault="004F4747" w:rsidP="004F4747">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معدِّل مثبِّط</w:t>
            </w:r>
          </w:p>
        </w:tc>
        <w:tc>
          <w:tcPr>
            <w:tcW w:w="1560" w:type="dxa"/>
          </w:tcPr>
          <w:p w14:paraId="6ACEFB29" w14:textId="77777777" w:rsidR="004F4747" w:rsidRPr="004F4747" w:rsidRDefault="004F4747" w:rsidP="004F4747">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BAR</w:t>
            </w:r>
          </w:p>
        </w:tc>
        <w:tc>
          <w:tcPr>
            <w:tcW w:w="2400" w:type="dxa"/>
          </w:tcPr>
          <w:p w14:paraId="21864603" w14:textId="77777777" w:rsidR="004F4747" w:rsidRPr="004F4747" w:rsidRDefault="004F4747" w:rsidP="004F4747">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10</w:t>
            </w:r>
          </w:p>
        </w:tc>
      </w:tr>
      <w:tr w:rsidR="004F4747" w:rsidRPr="004F4747" w14:paraId="186BB48F" w14:textId="77777777" w:rsidTr="00DE2E72">
        <w:tc>
          <w:tcPr>
            <w:tcW w:w="1855" w:type="dxa"/>
          </w:tcPr>
          <w:p w14:paraId="145725EF" w14:textId="77777777" w:rsidR="004F4747" w:rsidRPr="004F4747" w:rsidRDefault="004F4747" w:rsidP="004F4747">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فعالية الأداء التسويقي</w:t>
            </w:r>
          </w:p>
        </w:tc>
        <w:tc>
          <w:tcPr>
            <w:tcW w:w="2400" w:type="dxa"/>
          </w:tcPr>
          <w:p w14:paraId="6E56EBDB" w14:textId="77777777" w:rsidR="004F4747" w:rsidRPr="004F4747" w:rsidRDefault="004F4747" w:rsidP="004F4747">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تابع</w:t>
            </w:r>
          </w:p>
        </w:tc>
        <w:tc>
          <w:tcPr>
            <w:tcW w:w="1560" w:type="dxa"/>
          </w:tcPr>
          <w:p w14:paraId="17A32CF1" w14:textId="77777777" w:rsidR="004F4747" w:rsidRPr="004F4747" w:rsidRDefault="004F4747" w:rsidP="004F4747">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MP</w:t>
            </w:r>
          </w:p>
        </w:tc>
        <w:tc>
          <w:tcPr>
            <w:tcW w:w="2400" w:type="dxa"/>
          </w:tcPr>
          <w:p w14:paraId="69FFE11B" w14:textId="77777777" w:rsidR="004F4747" w:rsidRPr="004F4747" w:rsidRDefault="004F4747" w:rsidP="004F4747">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9</w:t>
            </w:r>
          </w:p>
        </w:tc>
      </w:tr>
      <w:tr w:rsidR="004F4747" w:rsidRPr="004F4747" w14:paraId="4EBFE753" w14:textId="77777777" w:rsidTr="00DE2E72">
        <w:tc>
          <w:tcPr>
            <w:tcW w:w="1855" w:type="dxa"/>
          </w:tcPr>
          <w:p w14:paraId="76FA8D11" w14:textId="77777777" w:rsidR="004F4747" w:rsidRPr="004F4747" w:rsidRDefault="004F4747" w:rsidP="004F4747">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الإجمالي</w:t>
            </w:r>
          </w:p>
        </w:tc>
        <w:tc>
          <w:tcPr>
            <w:tcW w:w="2400" w:type="dxa"/>
          </w:tcPr>
          <w:p w14:paraId="0502AB15" w14:textId="77777777" w:rsidR="004F4747" w:rsidRPr="004F4747" w:rsidRDefault="004F4747" w:rsidP="004F4747">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w:t>
            </w:r>
          </w:p>
        </w:tc>
        <w:tc>
          <w:tcPr>
            <w:tcW w:w="1560" w:type="dxa"/>
          </w:tcPr>
          <w:p w14:paraId="5269F94D" w14:textId="77777777" w:rsidR="004F4747" w:rsidRPr="004F4747" w:rsidRDefault="004F4747" w:rsidP="004F4747">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w:t>
            </w:r>
          </w:p>
        </w:tc>
        <w:tc>
          <w:tcPr>
            <w:tcW w:w="2400" w:type="dxa"/>
          </w:tcPr>
          <w:p w14:paraId="468DF369" w14:textId="77777777" w:rsidR="004F4747" w:rsidRPr="004F4747" w:rsidRDefault="004F4747" w:rsidP="004F4747">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46</w:t>
            </w:r>
          </w:p>
        </w:tc>
      </w:tr>
    </w:tbl>
    <w:p w14:paraId="7226388F" w14:textId="77777777" w:rsidR="00B65A24" w:rsidRDefault="00B65A24" w:rsidP="004F4747">
      <w:pPr>
        <w:bidi/>
        <w:spacing w:after="200" w:line="276" w:lineRule="auto"/>
        <w:jc w:val="both"/>
        <w:rPr>
          <w:rFonts w:ascii="Simplified Arabic" w:hAnsi="Simplified Arabic" w:cs="Simplified Arabic"/>
          <w:rtl/>
        </w:rPr>
      </w:pPr>
    </w:p>
    <w:p w14:paraId="170514B8" w14:textId="58D04BB4" w:rsidR="004F4747" w:rsidRPr="004F4747" w:rsidRDefault="004F4747" w:rsidP="004F4747">
      <w:pPr>
        <w:bidi/>
        <w:spacing w:after="200" w:line="240" w:lineRule="auto"/>
        <w:jc w:val="both"/>
        <w:rPr>
          <w:rFonts w:ascii="Simplified Arabic" w:hAnsi="Simplified Arabic" w:cs="Simplified Arabic"/>
          <w:rtl/>
        </w:rPr>
      </w:pPr>
      <w:r>
        <w:rPr>
          <w:rFonts w:ascii="Simplified Arabic" w:hAnsi="Simplified Arabic" w:cs="Simplified Arabic"/>
        </w:rPr>
        <w:t xml:space="preserve"> </w:t>
      </w:r>
      <w:r>
        <w:rPr>
          <w:rFonts w:ascii="Sakkal Majalla" w:hAnsi="Sakkal Majalla" w:cs="Sakkal Majalla"/>
          <w:b/>
          <w:bCs/>
          <w:color w:val="1F497D" w:themeColor="text2"/>
          <w:sz w:val="32"/>
          <w:szCs w:val="32"/>
          <w:u w:val="single"/>
          <w:rtl/>
        </w:rPr>
        <w:t xml:space="preserve">مجتمع الدراسة </w:t>
      </w:r>
    </w:p>
    <w:p w14:paraId="38F88526" w14:textId="77777777" w:rsidR="004F4747" w:rsidRPr="004F4747" w:rsidRDefault="004F4747" w:rsidP="004F4747">
      <w:pPr>
        <w:bidi/>
        <w:spacing w:after="200" w:line="276" w:lineRule="auto"/>
        <w:rPr>
          <w:rFonts w:ascii="Simplified Arabic" w:hAnsi="Simplified Arabic" w:cs="Simplified Arabic"/>
          <w:rtl/>
        </w:rPr>
      </w:pPr>
      <w:r>
        <w:rPr>
          <w:rFonts w:ascii="Simplified Arabic" w:hAnsi="Simplified Arabic" w:cs="Simplified Arabic"/>
          <w:rtl/>
        </w:rPr>
        <w:t xml:space="preserve">يتكوّن مجتمع الدراسة من العاملين في وكالات التسويق الرقمي المرخصة في المناطق الرئيسة بالمملكة العربية السعودية (الرياض وجدة والدمام)، ممن ترتبط أعمالهم بتخطيط الحملات الرقمية أو تصميمها أو تنفيذها أو تحليل أدائها. وقد رُوعي </w:t>
      </w:r>
      <w:r>
        <w:rPr>
          <w:rFonts w:ascii="Simplified Arabic" w:hAnsi="Simplified Arabic" w:cs="Simplified Arabic"/>
          <w:rtl/>
        </w:rPr>
        <w:lastRenderedPageBreak/>
        <w:t>في تحديد هذه الفئة أنها الأقدر على إدراك واقع توظيف الذكاء الاصطناعي التوليدي في مراحل تصميم الحملة والحكم على أثره في جودة العملية التصميمية وفي الأداء التسويقي، بحكم تعاملها المباشر مع هذه التقنيات في سياق العمل</w:t>
      </w:r>
      <w:r>
        <w:rPr>
          <w:rFonts w:ascii="Simplified Arabic" w:hAnsi="Simplified Arabic" w:cs="Simplified Arabic"/>
        </w:rPr>
        <w:t>.</w:t>
      </w:r>
    </w:p>
    <w:p w14:paraId="3118E663" w14:textId="77777777" w:rsidR="004F4747" w:rsidRPr="004F4747" w:rsidRDefault="004F4747" w:rsidP="004F4747">
      <w:pPr>
        <w:bidi/>
        <w:spacing w:after="200" w:line="276" w:lineRule="auto"/>
        <w:rPr>
          <w:rFonts w:ascii="Simplified Arabic" w:hAnsi="Simplified Arabic" w:cs="Simplified Arabic"/>
          <w:rtl/>
        </w:rPr>
      </w:pPr>
      <w:r>
        <w:rPr>
          <w:rFonts w:ascii="Simplified Arabic" w:hAnsi="Simplified Arabic" w:cs="Simplified Arabic"/>
          <w:rtl/>
        </w:rPr>
        <w:t>وتتمثل وحدة التحليل في الدراسة في الفرد العامل في وكالة التسويق بوصفه مفردة الاستجابة؛ أي أن البيانات تُجمع على مستوى الموظف لا على مستوى الوكالة، باعتبار أن إدراك العاملين وممارساتهم اليومية هي ما يعكس فعليًا مستوى توظيف التقنية وأثرها في عملهم. وقد ترتب على هذا التحديد أثر مباشر في حجم العينة وأسلوب اختيارها، كما سيأتي بيانه</w:t>
      </w:r>
      <w:r>
        <w:rPr>
          <w:rFonts w:ascii="Simplified Arabic" w:hAnsi="Simplified Arabic" w:cs="Simplified Arabic"/>
        </w:rPr>
        <w:t>.</w:t>
      </w:r>
    </w:p>
    <w:p w14:paraId="234B26CE" w14:textId="77777777" w:rsidR="004F4747" w:rsidRDefault="004F4747" w:rsidP="004F4747">
      <w:pPr>
        <w:bidi/>
        <w:spacing w:after="200" w:line="276" w:lineRule="auto"/>
        <w:rPr>
          <w:rFonts w:ascii="Simplified Arabic" w:hAnsi="Simplified Arabic" w:cs="Simplified Arabic"/>
          <w:rtl/>
        </w:rPr>
      </w:pPr>
      <w:r>
        <w:rPr>
          <w:rFonts w:ascii="Simplified Arabic" w:hAnsi="Simplified Arabic" w:cs="Simplified Arabic"/>
          <w:rtl/>
        </w:rPr>
        <w:t>ومن المعوقات التي واجهت ضبط المجتمع الإحصائي عدمُ توفر إطار معاينة شامل ومحدّث يحصر أعداد العاملين في هذه الوكالات وتوزيعهم؛ فلا يوجد سجل معلن يتيح حصرًا دقيقًا لهم. وهذه الحال — المألوفة في البحوث التي تستهدف فئات مهنية متخصصة تتوزع على منشآت متعددة — هي التي وجّهت الدراسة نحو المعاينة غير الاحتمالية</w:t>
      </w:r>
      <w:r>
        <w:rPr>
          <w:rFonts w:ascii="Simplified Arabic" w:hAnsi="Simplified Arabic" w:cs="Simplified Arabic"/>
        </w:rPr>
        <w:t>.</w:t>
      </w:r>
    </w:p>
    <w:p w14:paraId="2777B3BA" w14:textId="77777777" w:rsidR="00DE2E72" w:rsidRPr="004F4747" w:rsidRDefault="00DE2E72" w:rsidP="00DE2E72">
      <w:pPr>
        <w:bidi/>
        <w:spacing w:after="200" w:line="276" w:lineRule="auto"/>
        <w:rPr>
          <w:rFonts w:ascii="Simplified Arabic" w:hAnsi="Simplified Arabic" w:cs="Simplified Arabic"/>
          <w:rtl/>
        </w:rPr>
      </w:pPr>
    </w:p>
    <w:p w14:paraId="151C6137" w14:textId="33C00073" w:rsidR="004F4747" w:rsidRPr="004F4747" w:rsidRDefault="004F4747" w:rsidP="004F4747">
      <w:pPr>
        <w:bidi/>
        <w:spacing w:after="200" w:line="240" w:lineRule="auto"/>
        <w:jc w:val="both"/>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t>عينة الدراسة</w:t>
      </w:r>
    </w:p>
    <w:p w14:paraId="7CCA2D2E" w14:textId="2BAE5EE8" w:rsidR="004F4747" w:rsidRPr="004F4747" w:rsidRDefault="004F4747" w:rsidP="004F4747">
      <w:pPr>
        <w:bidi/>
        <w:spacing w:after="200" w:line="276" w:lineRule="auto"/>
        <w:rPr>
          <w:rFonts w:ascii="Simplified Arabic" w:hAnsi="Simplified Arabic" w:cs="Simplified Arabic"/>
          <w:rtl/>
        </w:rPr>
      </w:pPr>
      <w:r>
        <w:rPr>
          <w:rFonts w:ascii="Simplified Arabic" w:hAnsi="Simplified Arabic" w:cs="Simplified Arabic"/>
          <w:rtl/>
        </w:rPr>
        <w:t>في ضوء تعذر بناء إطار معاينة شامل، اختير أفراد العينة بأسلوب المعاينة غير الاحتمالية</w:t>
      </w:r>
      <w:r>
        <w:rPr>
          <w:rFonts w:ascii="Simplified Arabic" w:hAnsi="Simplified Arabic" w:cs="Simplified Arabic"/>
        </w:rPr>
        <w:t xml:space="preserve"> (Non-probability Sampling)</w:t>
      </w:r>
      <w:r>
        <w:rPr>
          <w:rFonts w:ascii="Simplified Arabic" w:hAnsi="Simplified Arabic" w:cs="Simplified Arabic"/>
          <w:rtl/>
        </w:rPr>
        <w:t>، عبر طريقتي العينة الميسرة</w:t>
      </w:r>
      <w:r>
        <w:rPr>
          <w:rFonts w:ascii="Simplified Arabic" w:hAnsi="Simplified Arabic" w:cs="Simplified Arabic"/>
        </w:rPr>
        <w:t xml:space="preserve"> (Convenience) </w:t>
      </w:r>
      <w:r>
        <w:rPr>
          <w:rFonts w:ascii="Simplified Arabic" w:hAnsi="Simplified Arabic" w:cs="Simplified Arabic"/>
          <w:rtl/>
        </w:rPr>
        <w:t>وكرة الثلج</w:t>
      </w:r>
      <w:r w:rsidR="00754FEB">
        <w:rPr>
          <w:rFonts w:ascii="Simplified Arabic" w:hAnsi="Simplified Arabic" w:cs="Simplified Arabic" w:hint="cs"/>
          <w:rtl/>
        </w:rPr>
        <w:t xml:space="preserve"> </w:t>
      </w:r>
      <w:r>
        <w:rPr>
          <w:rFonts w:ascii="Simplified Arabic" w:hAnsi="Simplified Arabic" w:cs="Simplified Arabic"/>
        </w:rPr>
        <w:t>(Snowball)</w:t>
      </w:r>
      <w:r>
        <w:rPr>
          <w:rFonts w:ascii="Simplified Arabic" w:hAnsi="Simplified Arabic" w:cs="Simplified Arabic"/>
          <w:rtl/>
        </w:rPr>
        <w:t>، للوصول إلى المختصين في التخطيط والإبداع والتصميم والتحليل داخل الوكالات. وتفيد طريقة كرة الثلج هنا في الاستعانة بشبكة العلاقات المهنية بين العاملين للوصول إلى مزيد من المبحوثين المؤهلين، وهي مناسبة لفئة يصعب حصرها في إطار معاينة منضبط</w:t>
      </w:r>
      <w:r>
        <w:rPr>
          <w:rFonts w:ascii="Simplified Arabic" w:hAnsi="Simplified Arabic" w:cs="Simplified Arabic"/>
        </w:rPr>
        <w:t>.</w:t>
      </w:r>
    </w:p>
    <w:p w14:paraId="4251C34D" w14:textId="31838835" w:rsidR="004F4747" w:rsidRPr="004F4747" w:rsidRDefault="004F4747" w:rsidP="004F4747">
      <w:pPr>
        <w:bidi/>
        <w:spacing w:after="200" w:line="276" w:lineRule="auto"/>
        <w:rPr>
          <w:rFonts w:ascii="Simplified Arabic" w:hAnsi="Simplified Arabic" w:cs="Simplified Arabic"/>
          <w:rtl/>
        </w:rPr>
      </w:pPr>
      <w:r>
        <w:rPr>
          <w:rFonts w:ascii="Simplified Arabic" w:hAnsi="Simplified Arabic" w:cs="Simplified Arabic"/>
          <w:rtl/>
        </w:rPr>
        <w:t xml:space="preserve">وتُعد المعاينة الميسرة وكرة الثلج من الأساليب المقبولة منهجيًا حين يتعذر الاختيار العشوائي لغياب إطار المعاينة، شريطة ضبط شروط الأهلية وتوثيق خصائص المستجيبين </w:t>
      </w:r>
      <w:r>
        <w:rPr>
          <w:rFonts w:ascii="Simplified Arabic" w:hAnsi="Simplified Arabic" w:cs="Simplified Arabic"/>
        </w:rPr>
        <w:t>(Saunders et al., 2019; Etikan et al., 2016)</w:t>
      </w:r>
      <w:r>
        <w:rPr>
          <w:rFonts w:ascii="Simplified Arabic" w:hAnsi="Simplified Arabic" w:cs="Simplified Arabic"/>
          <w:rtl/>
        </w:rPr>
        <w:t>. ومع ذلك يدرك الباحث أن هذا الأسلوب، بحكم طبيعته غير الاحتمالية، قد يحد من إمكانية تعميم النتائج على مجتمع الدراسة كافة؛ ولذلك تفسر النتائج في حدود خصائص العينة المشاركة كما تصفها بياناتها الشخصية والوظيفية، مع السعي إلى تخفيف هذا القيد بتنويع قنوات الوصول إلى المبحوثين، وتعدد مناطق الوكالات وأحجامها والأدوار الوظيفية داخلها.</w:t>
      </w:r>
    </w:p>
    <w:p w14:paraId="699DFAE7" w14:textId="1DF97052" w:rsidR="004F4747" w:rsidRPr="004F4747" w:rsidRDefault="004F4747" w:rsidP="004F4747">
      <w:pPr>
        <w:bidi/>
        <w:spacing w:after="200" w:line="276" w:lineRule="auto"/>
        <w:rPr>
          <w:rFonts w:ascii="Simplified Arabic" w:hAnsi="Simplified Arabic" w:cs="Simplified Arabic"/>
          <w:rtl/>
        </w:rPr>
      </w:pPr>
      <w:r>
        <w:rPr>
          <w:rFonts w:ascii="Simplified Arabic" w:hAnsi="Simplified Arabic" w:cs="Simplified Arabic"/>
          <w:rtl/>
        </w:rPr>
        <w:t xml:space="preserve">أما حجم العينة فقد حدد بالجمع بين مدخلين متكاملين؛ فمن جهة أولى أُجري تحليل القوة الإحصائية القبلي ببرنامج </w:t>
      </w:r>
      <w:r>
        <w:rPr>
          <w:rFonts w:ascii="Simplified Arabic" w:hAnsi="Simplified Arabic" w:cs="Simplified Arabic"/>
        </w:rPr>
        <w:t>(G*Power 3.1)</w:t>
      </w:r>
      <w:r>
        <w:rPr>
          <w:rFonts w:ascii="Simplified Arabic" w:hAnsi="Simplified Arabic" w:cs="Simplified Arabic"/>
          <w:rtl/>
        </w:rPr>
        <w:t xml:space="preserve"> لتقدير الحد الأدنى اللازم لاختبار أعقد معادلة في نموذج الدراسة، وهي معادلة التنبؤ بجودة عملية التصميم من خمسة متنبئات (المتغير المستقل، والمتغيران المعدلان، وحدّا التفاعل)؛ فعند حجم أثر متوسط </w:t>
      </w:r>
      <w:r>
        <w:rPr>
          <w:rFonts w:ascii="Simplified Arabic" w:hAnsi="Simplified Arabic" w:cs="Simplified Arabic"/>
        </w:rPr>
        <w:t>(f² = 0.15)</w:t>
      </w:r>
      <w:r>
        <w:rPr>
          <w:rFonts w:ascii="Simplified Arabic" w:hAnsi="Simplified Arabic" w:cs="Simplified Arabic"/>
          <w:rtl/>
        </w:rPr>
        <w:t xml:space="preserve"> ومستوى دلالة (0.05) وقوة إحصائية (0.95)، بلغ الحد الأدنى المطلوب (138) مفردة. ومن جهة ثانية، ولمّا كان مجتمع الدراسة كبيرًا وغير محدد العدد بدقة لتعذر بناء إطار معاينة شامل، اعتُمدت معادلة كوكران </w:t>
      </w:r>
      <w:r>
        <w:rPr>
          <w:rFonts w:ascii="Simplified Arabic" w:hAnsi="Simplified Arabic" w:cs="Simplified Arabic"/>
        </w:rPr>
        <w:t>(Cochran, 1977)</w:t>
      </w:r>
      <w:r>
        <w:rPr>
          <w:rFonts w:ascii="Simplified Arabic" w:hAnsi="Simplified Arabic" w:cs="Simplified Arabic"/>
          <w:rtl/>
        </w:rPr>
        <w:t xml:space="preserve"> المخصصة لتقدير حجم العينة في المجتمعات غير المحددة، عند مستوى ثقة (95%) وهامش خطأ (5%)، فبلغ الحجم المستهدف (384) مفردة فأكثر.</w:t>
      </w:r>
    </w:p>
    <w:p w14:paraId="25F27A27" w14:textId="77777777" w:rsidR="004F4747" w:rsidRPr="004F4747" w:rsidRDefault="004F4747" w:rsidP="004F4747">
      <w:pPr>
        <w:bidi/>
        <w:spacing w:after="200" w:line="276" w:lineRule="auto"/>
        <w:rPr>
          <w:rFonts w:ascii="Simplified Arabic" w:hAnsi="Simplified Arabic" w:cs="Simplified Arabic"/>
          <w:rtl/>
        </w:rPr>
      </w:pPr>
      <w:r>
        <w:rPr>
          <w:rFonts w:ascii="Simplified Arabic" w:hAnsi="Simplified Arabic" w:cs="Simplified Arabic"/>
          <w:rtl/>
        </w:rPr>
        <w:t xml:space="preserve">وبذلك اعتمدت الدراسة الحجم الأكبر بين التقديرين احتياطًا لدقة النتائج واستقرارها؛ إذ يتجاوز هذا الحجم الحد الأدنى الذي يقتضيه تحليل القوة الإحصائية بما يزيد على الضعفين، كما يفي بمتطلبات نمذجة المعادلات البنائية بالمربعات الصغرى </w:t>
      </w:r>
      <w:r>
        <w:rPr>
          <w:rFonts w:ascii="Simplified Arabic" w:hAnsi="Simplified Arabic" w:cs="Simplified Arabic"/>
          <w:rtl/>
        </w:rPr>
        <w:lastRenderedPageBreak/>
        <w:t xml:space="preserve">الجزئية </w:t>
      </w:r>
      <w:r>
        <w:rPr>
          <w:rFonts w:ascii="Simplified Arabic" w:hAnsi="Simplified Arabic" w:cs="Simplified Arabic"/>
        </w:rPr>
        <w:t>(PLS-SEM)</w:t>
      </w:r>
      <w:r>
        <w:rPr>
          <w:rFonts w:ascii="Simplified Arabic" w:hAnsi="Simplified Arabic" w:cs="Simplified Arabic"/>
          <w:rtl/>
        </w:rPr>
        <w:t xml:space="preserve"> التي لا تشترط أحجام عينات كبيرة أصلًا، غير أن الأحجام الأكبر تزيد دقة التقديرات وقوة الاختبارات </w:t>
      </w:r>
      <w:r>
        <w:rPr>
          <w:rFonts w:ascii="Simplified Arabic" w:hAnsi="Simplified Arabic" w:cs="Simplified Arabic"/>
        </w:rPr>
        <w:t>(Hair et al., 2022)</w:t>
      </w:r>
      <w:r>
        <w:rPr>
          <w:rFonts w:ascii="Simplified Arabic" w:hAnsi="Simplified Arabic" w:cs="Simplified Arabic"/>
          <w:rtl/>
        </w:rPr>
        <w:t>. وقد ارتبط هذا العدد بوحدة التحليل المعتمدة؛ إذ يحسب على أساس الفرد المستجيب بوصفه مفردة العينة، لا على مستوى الوكالة.</w:t>
      </w:r>
    </w:p>
    <w:p w14:paraId="16386ECF" w14:textId="1C431F5A" w:rsidR="004F4747" w:rsidRDefault="004F4747" w:rsidP="004F4747">
      <w:pPr>
        <w:bidi/>
        <w:spacing w:after="200" w:line="276" w:lineRule="auto"/>
        <w:jc w:val="both"/>
        <w:rPr>
          <w:rFonts w:ascii="Simplified Arabic" w:hAnsi="Simplified Arabic" w:cs="Simplified Arabic"/>
          <w:rtl/>
        </w:rPr>
      </w:pPr>
      <w:r>
        <w:rPr>
          <w:rFonts w:ascii="Simplified Arabic" w:hAnsi="Simplified Arabic" w:cs="Simplified Arabic"/>
          <w:rtl/>
        </w:rPr>
        <w:t>وقبل تمكين المبحوث من إكمال الاستبانة، جرى التحقق من استيفائه شروط الأهلية من خلال أسئلة تمهيدية تضمن أن يكون من العاملين فعليًا في وكالة تسويق داخل المملكة، وأن يرتبط عمله بالحملات الرقمية، وأن تكون له معرفة عملية بأدوات الذكاء الاصطناعي التوليدي في هذا المجال، وأن يوافق طوعًا على المشاركة.</w:t>
      </w:r>
    </w:p>
    <w:p w14:paraId="2F6B58B6" w14:textId="0EBAAD9A" w:rsidR="00B65A24" w:rsidRPr="004F4747" w:rsidRDefault="004F4747" w:rsidP="004F4747">
      <w:pPr>
        <w:bidi/>
        <w:spacing w:after="200" w:line="276" w:lineRule="auto"/>
        <w:rPr>
          <w:rFonts w:ascii="Simplified Arabic" w:hAnsi="Simplified Arabic" w:cs="Simplified Arabic"/>
          <w:b/>
          <w:bCs/>
          <w:rtl/>
        </w:rPr>
      </w:pPr>
      <w:r>
        <w:rPr>
          <w:rFonts w:ascii="Simplified Arabic" w:hAnsi="Simplified Arabic" w:cs="Simplified Arabic"/>
          <w:b/>
          <w:bCs/>
          <w:rtl/>
        </w:rPr>
        <w:t>جدول: شروط أهلية المشاركة في الدراسة</w:t>
      </w:r>
    </w:p>
    <w:tbl>
      <w:tblPr>
        <w:tblStyle w:val="ac"/>
        <w:bidiVisual/>
        <w:tblW w:w="8211" w:type="dxa"/>
        <w:tblInd w:w="1330" w:type="dxa"/>
        <w:tblLook w:val="04A0" w:firstRow="1" w:lastRow="0" w:firstColumn="1" w:lastColumn="0" w:noHBand="0" w:noVBand="1"/>
      </w:tblPr>
      <w:tblGrid>
        <w:gridCol w:w="707"/>
        <w:gridCol w:w="7504"/>
      </w:tblGrid>
      <w:tr w:rsidR="004F4747" w:rsidRPr="004F4747" w14:paraId="679DCA3D" w14:textId="77777777" w:rsidTr="00DE2E72">
        <w:tc>
          <w:tcPr>
            <w:tcW w:w="707" w:type="dxa"/>
          </w:tcPr>
          <w:p w14:paraId="59837913" w14:textId="77777777" w:rsidR="004F4747" w:rsidRPr="004F4747" w:rsidRDefault="004F4747" w:rsidP="004F4747">
            <w:pPr>
              <w:bidi/>
              <w:spacing w:after="200" w:line="276" w:lineRule="auto"/>
              <w:jc w:val="both"/>
              <w:rPr>
                <w:rFonts w:ascii="Simplified Arabic" w:hAnsi="Simplified Arabic" w:cs="Simplified Arabic"/>
                <w:sz w:val="20"/>
                <w:szCs w:val="20"/>
              </w:rPr>
            </w:pPr>
            <w:r>
              <w:rPr>
                <w:rFonts w:ascii="Simplified Arabic" w:hAnsi="Simplified Arabic" w:cs="Simplified Arabic"/>
                <w:b/>
                <w:bCs/>
                <w:sz w:val="20"/>
                <w:szCs w:val="20"/>
                <w:rtl/>
              </w:rPr>
              <w:t>الرمز</w:t>
            </w:r>
          </w:p>
        </w:tc>
        <w:tc>
          <w:tcPr>
            <w:tcW w:w="7504" w:type="dxa"/>
          </w:tcPr>
          <w:p w14:paraId="23C8C0EB" w14:textId="77777777" w:rsidR="004F4747" w:rsidRPr="004F4747" w:rsidRDefault="004F4747" w:rsidP="004F4747">
            <w:pPr>
              <w:bidi/>
              <w:spacing w:after="200" w:line="276" w:lineRule="auto"/>
              <w:jc w:val="both"/>
              <w:rPr>
                <w:rFonts w:ascii="Simplified Arabic" w:hAnsi="Simplified Arabic" w:cs="Simplified Arabic"/>
                <w:sz w:val="20"/>
                <w:szCs w:val="20"/>
              </w:rPr>
            </w:pPr>
            <w:r>
              <w:rPr>
                <w:rFonts w:ascii="Simplified Arabic" w:hAnsi="Simplified Arabic" w:cs="Simplified Arabic"/>
                <w:b/>
                <w:bCs/>
                <w:sz w:val="20"/>
                <w:szCs w:val="20"/>
                <w:rtl/>
              </w:rPr>
              <w:t>شرط الأهلية</w:t>
            </w:r>
          </w:p>
        </w:tc>
      </w:tr>
      <w:tr w:rsidR="004F4747" w:rsidRPr="004F4747" w14:paraId="6C7D5ECC" w14:textId="77777777" w:rsidTr="00DE2E72">
        <w:tc>
          <w:tcPr>
            <w:tcW w:w="707" w:type="dxa"/>
          </w:tcPr>
          <w:p w14:paraId="2B648251" w14:textId="77777777" w:rsidR="004F4747" w:rsidRPr="004F4747" w:rsidRDefault="004F4747" w:rsidP="004F4747">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S1</w:t>
            </w:r>
          </w:p>
        </w:tc>
        <w:tc>
          <w:tcPr>
            <w:tcW w:w="7504" w:type="dxa"/>
          </w:tcPr>
          <w:p w14:paraId="49E83671" w14:textId="77777777" w:rsidR="004F4747" w:rsidRPr="004F4747" w:rsidRDefault="004F4747" w:rsidP="004F4747">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العمل الحالي في وكالة تسويق أو إعلان أو اتصال تسويقي داخل المملكة العربية السعودية.</w:t>
            </w:r>
          </w:p>
        </w:tc>
      </w:tr>
      <w:tr w:rsidR="004F4747" w:rsidRPr="004F4747" w14:paraId="06C247E6" w14:textId="77777777" w:rsidTr="00DE2E72">
        <w:tc>
          <w:tcPr>
            <w:tcW w:w="707" w:type="dxa"/>
          </w:tcPr>
          <w:p w14:paraId="20AA9878" w14:textId="77777777" w:rsidR="004F4747" w:rsidRPr="004F4747" w:rsidRDefault="004F4747" w:rsidP="004F4747">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S2</w:t>
            </w:r>
          </w:p>
        </w:tc>
        <w:tc>
          <w:tcPr>
            <w:tcW w:w="7504" w:type="dxa"/>
          </w:tcPr>
          <w:p w14:paraId="4BA7FDD9" w14:textId="77777777" w:rsidR="004F4747" w:rsidRPr="004F4747" w:rsidRDefault="004F4747" w:rsidP="004F4747">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ارتباط طبيعة العمل بتخطيط الحملات الرقمية أو تصميمها أو تنفيذها أو تحليل أدائها.</w:t>
            </w:r>
          </w:p>
        </w:tc>
      </w:tr>
      <w:tr w:rsidR="004F4747" w:rsidRPr="004F4747" w14:paraId="6C9FF291" w14:textId="77777777" w:rsidTr="00DE2E72">
        <w:tc>
          <w:tcPr>
            <w:tcW w:w="707" w:type="dxa"/>
          </w:tcPr>
          <w:p w14:paraId="664D02C4" w14:textId="77777777" w:rsidR="004F4747" w:rsidRPr="004F4747" w:rsidRDefault="004F4747" w:rsidP="004F4747">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S3</w:t>
            </w:r>
          </w:p>
        </w:tc>
        <w:tc>
          <w:tcPr>
            <w:tcW w:w="7504" w:type="dxa"/>
          </w:tcPr>
          <w:p w14:paraId="33700C98" w14:textId="77777777" w:rsidR="004F4747" w:rsidRPr="004F4747" w:rsidRDefault="004F4747" w:rsidP="004F4747">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وجود معرفة عملية أو تعامل مباشر أو غير مباشر مع أدوات الذكاء الاصطناعي التوليدي في سياق الحملات التسويقية خلال آخر اثني عشر شهرًا.</w:t>
            </w:r>
          </w:p>
        </w:tc>
      </w:tr>
      <w:tr w:rsidR="004F4747" w:rsidRPr="004F4747" w14:paraId="6CA7C83F" w14:textId="77777777" w:rsidTr="00DE2E72">
        <w:tc>
          <w:tcPr>
            <w:tcW w:w="707" w:type="dxa"/>
          </w:tcPr>
          <w:p w14:paraId="4F298C3A" w14:textId="77777777" w:rsidR="004F4747" w:rsidRPr="004F4747" w:rsidRDefault="004F4747" w:rsidP="004F4747">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S4</w:t>
            </w:r>
          </w:p>
        </w:tc>
        <w:tc>
          <w:tcPr>
            <w:tcW w:w="7504" w:type="dxa"/>
          </w:tcPr>
          <w:p w14:paraId="07F5681D" w14:textId="77777777" w:rsidR="004F4747" w:rsidRPr="004F4747" w:rsidRDefault="004F4747" w:rsidP="004F4747">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الموافقة الطوعية على المشاركة في الدراسة بعد الاطلاع على تعليماتها.</w:t>
            </w:r>
          </w:p>
        </w:tc>
      </w:tr>
    </w:tbl>
    <w:p w14:paraId="07BC839C" w14:textId="77777777" w:rsidR="004F4747" w:rsidRPr="004F4747" w:rsidRDefault="004F4747" w:rsidP="004F4747">
      <w:pPr>
        <w:bidi/>
        <w:spacing w:after="200" w:line="276" w:lineRule="auto"/>
        <w:rPr>
          <w:rFonts w:ascii="Simplified Arabic" w:hAnsi="Simplified Arabic" w:cs="Simplified Arabic"/>
          <w:rtl/>
        </w:rPr>
      </w:pPr>
    </w:p>
    <w:p w14:paraId="6611B33D" w14:textId="6F1A36D7" w:rsidR="004F4747" w:rsidRPr="00B133F8" w:rsidRDefault="004F4747" w:rsidP="00B133F8">
      <w:pPr>
        <w:bidi/>
        <w:spacing w:after="200" w:line="240" w:lineRule="auto"/>
        <w:jc w:val="both"/>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t>المتغيرات الوصفية لأفراد العينة</w:t>
      </w:r>
    </w:p>
    <w:p w14:paraId="50161482" w14:textId="5BB6B989" w:rsidR="004F4747" w:rsidRPr="004F4747" w:rsidRDefault="004F4747" w:rsidP="004F4747">
      <w:pPr>
        <w:bidi/>
        <w:spacing w:after="200" w:line="276" w:lineRule="auto"/>
        <w:rPr>
          <w:rFonts w:ascii="Simplified Arabic" w:hAnsi="Simplified Arabic" w:cs="Simplified Arabic"/>
          <w:rtl/>
        </w:rPr>
      </w:pPr>
      <w:r>
        <w:rPr>
          <w:rFonts w:ascii="Simplified Arabic" w:hAnsi="Simplified Arabic" w:cs="Simplified Arabic"/>
          <w:rtl/>
        </w:rPr>
        <w:t>اشتملت الأداة على مجموعة من المتغيرات الشخصية والوظيفية لوصف خصائص أفراد العينة، تفيد لاحقًا في تفسير النتائج وقراءة التباين المحتمل في الاستجابات. ولم تقتصر هذه المتغيرات على البيانات الديموغرافية العامة، بل امتدت إلى مؤشرات مرتبطة بطبيعة العمل ومستوى نضج استخدام التقنية داخل الوكالة، لصلتها المباشرة بموضوع الدراسة.</w:t>
      </w:r>
    </w:p>
    <w:p w14:paraId="7A1DA7E6" w14:textId="0BF8981C" w:rsidR="004F4747" w:rsidRPr="00B133F8" w:rsidRDefault="004F4747" w:rsidP="004F4747">
      <w:pPr>
        <w:bidi/>
        <w:spacing w:after="200" w:line="276" w:lineRule="auto"/>
        <w:rPr>
          <w:rFonts w:ascii="Simplified Arabic" w:hAnsi="Simplified Arabic" w:cs="Simplified Arabic"/>
          <w:b/>
          <w:bCs/>
          <w:rtl/>
        </w:rPr>
      </w:pPr>
      <w:r>
        <w:rPr>
          <w:rFonts w:ascii="Simplified Arabic" w:hAnsi="Simplified Arabic" w:cs="Simplified Arabic"/>
          <w:b/>
          <w:bCs/>
          <w:rtl/>
        </w:rPr>
        <w:t>جدول: المتغيرات الوصفية لأفراد عينة الدراسة</w:t>
      </w:r>
    </w:p>
    <w:tbl>
      <w:tblPr>
        <w:tblStyle w:val="ac"/>
        <w:bidiVisual/>
        <w:tblW w:w="8211" w:type="dxa"/>
        <w:tblInd w:w="1330" w:type="dxa"/>
        <w:tblLook w:val="04A0" w:firstRow="1" w:lastRow="0" w:firstColumn="1" w:lastColumn="0" w:noHBand="0" w:noVBand="1"/>
      </w:tblPr>
      <w:tblGrid>
        <w:gridCol w:w="990"/>
        <w:gridCol w:w="2456"/>
        <w:gridCol w:w="4765"/>
      </w:tblGrid>
      <w:tr w:rsidR="00B133F8" w:rsidRPr="00B133F8" w14:paraId="0E0B667A" w14:textId="77777777" w:rsidTr="00DE2E72">
        <w:tc>
          <w:tcPr>
            <w:tcW w:w="990" w:type="dxa"/>
          </w:tcPr>
          <w:p w14:paraId="72D07DB5"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b/>
                <w:bCs/>
                <w:sz w:val="20"/>
                <w:szCs w:val="20"/>
                <w:rtl/>
              </w:rPr>
              <w:t>الرمز</w:t>
            </w:r>
          </w:p>
        </w:tc>
        <w:tc>
          <w:tcPr>
            <w:tcW w:w="2456" w:type="dxa"/>
          </w:tcPr>
          <w:p w14:paraId="437372C7"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b/>
                <w:bCs/>
                <w:sz w:val="20"/>
                <w:szCs w:val="20"/>
                <w:rtl/>
              </w:rPr>
              <w:t>المتغير</w:t>
            </w:r>
          </w:p>
        </w:tc>
        <w:tc>
          <w:tcPr>
            <w:tcW w:w="4765" w:type="dxa"/>
          </w:tcPr>
          <w:p w14:paraId="3F071708"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b/>
                <w:bCs/>
                <w:sz w:val="20"/>
                <w:szCs w:val="20"/>
                <w:rtl/>
              </w:rPr>
              <w:t>الفئات</w:t>
            </w:r>
          </w:p>
        </w:tc>
      </w:tr>
      <w:tr w:rsidR="00B133F8" w:rsidRPr="00B133F8" w14:paraId="7D138D5B" w14:textId="77777777" w:rsidTr="00DE2E72">
        <w:tc>
          <w:tcPr>
            <w:tcW w:w="990" w:type="dxa"/>
          </w:tcPr>
          <w:p w14:paraId="6666FE41"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Pr>
              <w:t>P1</w:t>
            </w:r>
          </w:p>
        </w:tc>
        <w:tc>
          <w:tcPr>
            <w:tcW w:w="2456" w:type="dxa"/>
          </w:tcPr>
          <w:p w14:paraId="1834FCB3"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tl/>
              </w:rPr>
              <w:t>الجنس</w:t>
            </w:r>
          </w:p>
        </w:tc>
        <w:tc>
          <w:tcPr>
            <w:tcW w:w="4765" w:type="dxa"/>
          </w:tcPr>
          <w:p w14:paraId="43CF26E2"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tl/>
              </w:rPr>
              <w:t>ذكر، أنثى.</w:t>
            </w:r>
          </w:p>
        </w:tc>
      </w:tr>
      <w:tr w:rsidR="00B133F8" w:rsidRPr="00B133F8" w14:paraId="654532BE" w14:textId="77777777" w:rsidTr="00DE2E72">
        <w:tc>
          <w:tcPr>
            <w:tcW w:w="990" w:type="dxa"/>
          </w:tcPr>
          <w:p w14:paraId="7222D36B"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Pr>
              <w:t>P2</w:t>
            </w:r>
          </w:p>
        </w:tc>
        <w:tc>
          <w:tcPr>
            <w:tcW w:w="2456" w:type="dxa"/>
          </w:tcPr>
          <w:p w14:paraId="3D159759"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tl/>
              </w:rPr>
              <w:t>الفئة العمرية</w:t>
            </w:r>
          </w:p>
        </w:tc>
        <w:tc>
          <w:tcPr>
            <w:tcW w:w="4765" w:type="dxa"/>
          </w:tcPr>
          <w:p w14:paraId="005C0555"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tl/>
              </w:rPr>
              <w:t>أقل من 25 سنة، 25–أقل من 35، 35–أقل من 45، 45 فأكثر.</w:t>
            </w:r>
          </w:p>
        </w:tc>
      </w:tr>
      <w:tr w:rsidR="00B133F8" w:rsidRPr="00B133F8" w14:paraId="3455A50C" w14:textId="77777777" w:rsidTr="00DE2E72">
        <w:tc>
          <w:tcPr>
            <w:tcW w:w="990" w:type="dxa"/>
          </w:tcPr>
          <w:p w14:paraId="2AB88AF4"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Pr>
              <w:t>P3</w:t>
            </w:r>
          </w:p>
        </w:tc>
        <w:tc>
          <w:tcPr>
            <w:tcW w:w="2456" w:type="dxa"/>
          </w:tcPr>
          <w:p w14:paraId="04B77209"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tl/>
              </w:rPr>
              <w:t>المؤهل العلمي</w:t>
            </w:r>
          </w:p>
        </w:tc>
        <w:tc>
          <w:tcPr>
            <w:tcW w:w="4765" w:type="dxa"/>
          </w:tcPr>
          <w:p w14:paraId="0C9E6A03"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tl/>
              </w:rPr>
              <w:t>دبلوم فأقل، بكالوريوس، ماجستير، دكتوراه، أخرى.</w:t>
            </w:r>
          </w:p>
        </w:tc>
      </w:tr>
      <w:tr w:rsidR="00B133F8" w:rsidRPr="00B133F8" w14:paraId="0C2DB9BD" w14:textId="77777777" w:rsidTr="00DE2E72">
        <w:tc>
          <w:tcPr>
            <w:tcW w:w="990" w:type="dxa"/>
          </w:tcPr>
          <w:p w14:paraId="54A97A6D"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Pr>
              <w:t>P4</w:t>
            </w:r>
          </w:p>
        </w:tc>
        <w:tc>
          <w:tcPr>
            <w:tcW w:w="2456" w:type="dxa"/>
          </w:tcPr>
          <w:p w14:paraId="04CA82DD"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tl/>
              </w:rPr>
              <w:t>الدور الوظيفي</w:t>
            </w:r>
          </w:p>
        </w:tc>
        <w:tc>
          <w:tcPr>
            <w:tcW w:w="4765" w:type="dxa"/>
          </w:tcPr>
          <w:p w14:paraId="680B14E6"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tl/>
              </w:rPr>
              <w:t>تخطيط واستراتيجية، إبداع وتصميم، كتابة محتوى، تحليل بيانات وأداء، إدارة حسابات، إدارة حملات، إدارة عليا/إشرافية، أخرى.</w:t>
            </w:r>
          </w:p>
        </w:tc>
      </w:tr>
      <w:tr w:rsidR="00B133F8" w:rsidRPr="00B133F8" w14:paraId="4E7EEF1E" w14:textId="77777777" w:rsidTr="00DE2E72">
        <w:tc>
          <w:tcPr>
            <w:tcW w:w="990" w:type="dxa"/>
          </w:tcPr>
          <w:p w14:paraId="513B36A4"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Pr>
              <w:lastRenderedPageBreak/>
              <w:t>P5</w:t>
            </w:r>
          </w:p>
        </w:tc>
        <w:tc>
          <w:tcPr>
            <w:tcW w:w="2456" w:type="dxa"/>
          </w:tcPr>
          <w:p w14:paraId="67AC0725"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tl/>
              </w:rPr>
              <w:t>سنوات الخبرة</w:t>
            </w:r>
          </w:p>
        </w:tc>
        <w:tc>
          <w:tcPr>
            <w:tcW w:w="4765" w:type="dxa"/>
          </w:tcPr>
          <w:p w14:paraId="4D9B00EA"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tl/>
              </w:rPr>
              <w:t>أقل من 3 سنوات، 3–أقل من 7، 7–أقل من 10، 10 فأكثر.</w:t>
            </w:r>
          </w:p>
        </w:tc>
      </w:tr>
      <w:tr w:rsidR="00B133F8" w:rsidRPr="00B133F8" w14:paraId="5FE50CA1" w14:textId="77777777" w:rsidTr="00DE2E72">
        <w:tc>
          <w:tcPr>
            <w:tcW w:w="990" w:type="dxa"/>
          </w:tcPr>
          <w:p w14:paraId="76A83121"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Pr>
              <w:t>P6</w:t>
            </w:r>
          </w:p>
        </w:tc>
        <w:tc>
          <w:tcPr>
            <w:tcW w:w="2456" w:type="dxa"/>
          </w:tcPr>
          <w:p w14:paraId="2D71BA06"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tl/>
              </w:rPr>
              <w:t>حجم الوكالة</w:t>
            </w:r>
          </w:p>
        </w:tc>
        <w:tc>
          <w:tcPr>
            <w:tcW w:w="4765" w:type="dxa"/>
          </w:tcPr>
          <w:p w14:paraId="7EFA358B"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tl/>
              </w:rPr>
              <w:t>صغيرة (أقل من 30)، متوسطة (30–أقل من 100)، كبيرة (100 فأكثر).</w:t>
            </w:r>
          </w:p>
        </w:tc>
      </w:tr>
      <w:tr w:rsidR="00B133F8" w:rsidRPr="00B133F8" w14:paraId="528E9F55" w14:textId="77777777" w:rsidTr="00DE2E72">
        <w:tc>
          <w:tcPr>
            <w:tcW w:w="990" w:type="dxa"/>
          </w:tcPr>
          <w:p w14:paraId="7122757F"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Pr>
              <w:t>P7</w:t>
            </w:r>
          </w:p>
        </w:tc>
        <w:tc>
          <w:tcPr>
            <w:tcW w:w="2456" w:type="dxa"/>
          </w:tcPr>
          <w:p w14:paraId="52027063"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tl/>
              </w:rPr>
              <w:t>الموقع الرئيس للوكالة</w:t>
            </w:r>
          </w:p>
        </w:tc>
        <w:tc>
          <w:tcPr>
            <w:tcW w:w="4765" w:type="dxa"/>
          </w:tcPr>
          <w:p w14:paraId="429E6B7E"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tl/>
              </w:rPr>
              <w:t>الرياض، جدة، الدمام/الخبر، مكة/المدينة، مدينة أخرى داخل المملكة.</w:t>
            </w:r>
          </w:p>
        </w:tc>
      </w:tr>
      <w:tr w:rsidR="00B133F8" w:rsidRPr="00B133F8" w14:paraId="62AAB432" w14:textId="77777777" w:rsidTr="00DE2E72">
        <w:tc>
          <w:tcPr>
            <w:tcW w:w="990" w:type="dxa"/>
          </w:tcPr>
          <w:p w14:paraId="4483628F"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Pr>
              <w:t>P8</w:t>
            </w:r>
          </w:p>
        </w:tc>
        <w:tc>
          <w:tcPr>
            <w:tcW w:w="2456" w:type="dxa"/>
          </w:tcPr>
          <w:p w14:paraId="7F68EA40"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tl/>
              </w:rPr>
              <w:t>طبيعة العملاء</w:t>
            </w:r>
          </w:p>
        </w:tc>
        <w:tc>
          <w:tcPr>
            <w:tcW w:w="4765" w:type="dxa"/>
          </w:tcPr>
          <w:p w14:paraId="76EFA570"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tl/>
              </w:rPr>
              <w:t>جهات حكومية/شبه حكومية، شركات كبرى، منشآت صغيرة ومتوسطة، علامات ناشئة، قطاعات متعددة، أخرى.</w:t>
            </w:r>
          </w:p>
        </w:tc>
      </w:tr>
      <w:tr w:rsidR="00B133F8" w:rsidRPr="00B133F8" w14:paraId="788D2DFF" w14:textId="77777777" w:rsidTr="00DE2E72">
        <w:tc>
          <w:tcPr>
            <w:tcW w:w="990" w:type="dxa"/>
          </w:tcPr>
          <w:p w14:paraId="49CFBB67"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Pr>
              <w:t>P9</w:t>
            </w:r>
          </w:p>
        </w:tc>
        <w:tc>
          <w:tcPr>
            <w:tcW w:w="2456" w:type="dxa"/>
          </w:tcPr>
          <w:p w14:paraId="41554512"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tl/>
              </w:rPr>
              <w:t>نضج استخدام التقنية</w:t>
            </w:r>
          </w:p>
        </w:tc>
        <w:tc>
          <w:tcPr>
            <w:tcW w:w="4765" w:type="dxa"/>
          </w:tcPr>
          <w:p w14:paraId="7F479788"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tl/>
              </w:rPr>
              <w:t>فردي محدود، تجريبي، منتظم في بعض المشاريع، مؤسسي مدمج، لا أعلم.</w:t>
            </w:r>
          </w:p>
        </w:tc>
      </w:tr>
      <w:tr w:rsidR="00B133F8" w:rsidRPr="00B133F8" w14:paraId="4247EAFE" w14:textId="77777777" w:rsidTr="00DE2E72">
        <w:tc>
          <w:tcPr>
            <w:tcW w:w="990" w:type="dxa"/>
          </w:tcPr>
          <w:p w14:paraId="5B2A7790"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Pr>
              <w:t>P10</w:t>
            </w:r>
          </w:p>
        </w:tc>
        <w:tc>
          <w:tcPr>
            <w:tcW w:w="2456" w:type="dxa"/>
          </w:tcPr>
          <w:p w14:paraId="0739A6C2"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tl/>
              </w:rPr>
              <w:t>أنواع الأدوات المستخدمة</w:t>
            </w:r>
          </w:p>
        </w:tc>
        <w:tc>
          <w:tcPr>
            <w:tcW w:w="4765" w:type="dxa"/>
          </w:tcPr>
          <w:p w14:paraId="49BF12FA"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tl/>
              </w:rPr>
              <w:t>نماذج لغوية، توليد صور وتصاميم، توليد فيديو/صوت، تحليل وتلخيص، أتمتة وتسويق، أخرى.</w:t>
            </w:r>
          </w:p>
        </w:tc>
      </w:tr>
      <w:tr w:rsidR="00B133F8" w:rsidRPr="00B133F8" w14:paraId="4C8F381C" w14:textId="77777777" w:rsidTr="00DE2E72">
        <w:tc>
          <w:tcPr>
            <w:tcW w:w="990" w:type="dxa"/>
          </w:tcPr>
          <w:p w14:paraId="5C0EFADF"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Pr>
              <w:t>P11</w:t>
            </w:r>
          </w:p>
        </w:tc>
        <w:tc>
          <w:tcPr>
            <w:tcW w:w="2456" w:type="dxa"/>
          </w:tcPr>
          <w:p w14:paraId="45BB2CBB"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tl/>
              </w:rPr>
              <w:t>عدد الحملات خلال 12 شهرًا</w:t>
            </w:r>
          </w:p>
        </w:tc>
        <w:tc>
          <w:tcPr>
            <w:tcW w:w="4765" w:type="dxa"/>
          </w:tcPr>
          <w:p w14:paraId="38AFD51B"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tl/>
              </w:rPr>
              <w:t>حملة أو أقل، 2–5، 6–10، أكثر من 10.</w:t>
            </w:r>
          </w:p>
        </w:tc>
      </w:tr>
      <w:tr w:rsidR="00B133F8" w:rsidRPr="00B133F8" w14:paraId="789690A2" w14:textId="77777777" w:rsidTr="00DE2E72">
        <w:tc>
          <w:tcPr>
            <w:tcW w:w="990" w:type="dxa"/>
          </w:tcPr>
          <w:p w14:paraId="2D687911"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Pr>
              <w:t>P12</w:t>
            </w:r>
          </w:p>
        </w:tc>
        <w:tc>
          <w:tcPr>
            <w:tcW w:w="2456" w:type="dxa"/>
          </w:tcPr>
          <w:p w14:paraId="1BF9546C"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tl/>
              </w:rPr>
              <w:t>وجود سياسة داخلية للاستخدام</w:t>
            </w:r>
          </w:p>
        </w:tc>
        <w:tc>
          <w:tcPr>
            <w:tcW w:w="4765" w:type="dxa"/>
          </w:tcPr>
          <w:p w14:paraId="47288581"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tl/>
              </w:rPr>
              <w:t>نعم مكتوبة، نعم غير مكتملة، لا توجد، لا أعلم.</w:t>
            </w:r>
          </w:p>
        </w:tc>
      </w:tr>
      <w:tr w:rsidR="00B133F8" w:rsidRPr="00B133F8" w14:paraId="2B121E0C" w14:textId="77777777" w:rsidTr="00DE2E72">
        <w:tc>
          <w:tcPr>
            <w:tcW w:w="990" w:type="dxa"/>
          </w:tcPr>
          <w:p w14:paraId="433790D6"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Pr>
              <w:t>P13</w:t>
            </w:r>
          </w:p>
        </w:tc>
        <w:tc>
          <w:tcPr>
            <w:tcW w:w="2456" w:type="dxa"/>
          </w:tcPr>
          <w:p w14:paraId="45BC307E"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tl/>
              </w:rPr>
              <w:t>طبيعة العلاقة بالأدوات</w:t>
            </w:r>
          </w:p>
        </w:tc>
        <w:tc>
          <w:tcPr>
            <w:tcW w:w="4765" w:type="dxa"/>
          </w:tcPr>
          <w:p w14:paraId="5F9D27F0"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tl/>
              </w:rPr>
              <w:t>استخدام مباشر، مراجعة المخرجات، المشاركة في قرار الاستخدام، معرفة محدودة، لا تعامل مباشر.</w:t>
            </w:r>
          </w:p>
        </w:tc>
      </w:tr>
    </w:tbl>
    <w:p w14:paraId="4B183F2C" w14:textId="77777777" w:rsidR="00B133F8" w:rsidRPr="00B133F8" w:rsidRDefault="00B133F8" w:rsidP="004F4747">
      <w:pPr>
        <w:bidi/>
        <w:spacing w:after="200" w:line="276" w:lineRule="auto"/>
        <w:rPr>
          <w:rFonts w:ascii="Simplified Arabic" w:hAnsi="Simplified Arabic" w:cs="Simplified Arabic"/>
          <w:rtl/>
        </w:rPr>
      </w:pPr>
    </w:p>
    <w:p w14:paraId="65080D1E" w14:textId="7C3C50B3" w:rsidR="004F4747" w:rsidRPr="004F4747" w:rsidRDefault="004F4747" w:rsidP="00B133F8">
      <w:pPr>
        <w:bidi/>
        <w:spacing w:after="200" w:line="240" w:lineRule="auto"/>
        <w:jc w:val="both"/>
        <w:rPr>
          <w:rFonts w:ascii="Simplified Arabic" w:hAnsi="Simplified Arabic" w:cs="Simplified Arabic"/>
          <w:rtl/>
        </w:rPr>
      </w:pPr>
      <w:r>
        <w:rPr>
          <w:rFonts w:ascii="Simplified Arabic" w:hAnsi="Simplified Arabic" w:cs="Simplified Arabic"/>
        </w:rPr>
        <w:t xml:space="preserve"> </w:t>
      </w:r>
      <w:r>
        <w:rPr>
          <w:rFonts w:ascii="Sakkal Majalla" w:hAnsi="Sakkal Majalla" w:cs="Sakkal Majalla"/>
          <w:b/>
          <w:bCs/>
          <w:color w:val="1F497D" w:themeColor="text2"/>
          <w:sz w:val="32"/>
          <w:szCs w:val="32"/>
          <w:u w:val="single"/>
          <w:rtl/>
        </w:rPr>
        <w:t>أداة الدراسة وبناؤها</w:t>
      </w:r>
    </w:p>
    <w:p w14:paraId="00EC3183" w14:textId="77777777" w:rsidR="004F4747" w:rsidRPr="004F4747" w:rsidRDefault="004F4747" w:rsidP="004F4747">
      <w:pPr>
        <w:bidi/>
        <w:spacing w:after="200" w:line="276" w:lineRule="auto"/>
        <w:rPr>
          <w:rFonts w:ascii="Simplified Arabic" w:hAnsi="Simplified Arabic" w:cs="Simplified Arabic"/>
          <w:rtl/>
        </w:rPr>
      </w:pPr>
      <w:r>
        <w:rPr>
          <w:rFonts w:ascii="Simplified Arabic" w:hAnsi="Simplified Arabic" w:cs="Simplified Arabic"/>
          <w:rtl/>
        </w:rPr>
        <w:t>استُخدمت الاستبانة الإلكترونية أداةً رئيسة لجمع البيانات الأولية، لمناسبتها للدراسات الكمية وإمكان وصولها إلى عدد كافٍ من المبحوثين الموزعين على مناطق متعددة، فضلًا عن تيسيرها تنظيم البيانات وتجهيزها للتحليل. وصيغت فقرات المحاور وفق مقياس ليكرت الخماسي، الذي يدرّج موافقة المبحوث على كل عبارة في خمسة مستويات على النحو الآتي</w:t>
      </w:r>
      <w:r>
        <w:rPr>
          <w:rFonts w:ascii="Simplified Arabic" w:hAnsi="Simplified Arabic" w:cs="Simplified Arabic"/>
        </w:rPr>
        <w:t>:</w:t>
      </w:r>
    </w:p>
    <w:p w14:paraId="00341A81" w14:textId="0A2CDD64" w:rsidR="004F4747" w:rsidRPr="00B133F8" w:rsidRDefault="004F4747" w:rsidP="004F4747">
      <w:pPr>
        <w:bidi/>
        <w:spacing w:after="200" w:line="276" w:lineRule="auto"/>
        <w:rPr>
          <w:rFonts w:ascii="Simplified Arabic" w:hAnsi="Simplified Arabic" w:cs="Simplified Arabic"/>
          <w:b/>
          <w:bCs/>
          <w:rtl/>
        </w:rPr>
      </w:pPr>
      <w:r>
        <w:rPr>
          <w:rFonts w:ascii="Simplified Arabic" w:hAnsi="Simplified Arabic" w:cs="Simplified Arabic"/>
          <w:b/>
          <w:bCs/>
          <w:rtl/>
        </w:rPr>
        <w:t>جدول</w:t>
      </w:r>
      <w:r>
        <w:rPr>
          <w:rFonts w:ascii="Simplified Arabic" w:hAnsi="Simplified Arabic" w:cs="Simplified Arabic" w:hint="cs"/>
          <w:b/>
          <w:bCs/>
          <w:rtl/>
        </w:rPr>
        <w:t>:</w:t>
      </w:r>
      <w:r>
        <w:rPr>
          <w:rFonts w:ascii="Simplified Arabic" w:hAnsi="Simplified Arabic" w:cs="Simplified Arabic"/>
          <w:b/>
          <w:bCs/>
          <w:rtl/>
        </w:rPr>
        <w:t xml:space="preserve"> مستويات مقياس ليكرت الخماسي وتفسير المتوسطات</w:t>
      </w:r>
    </w:p>
    <w:tbl>
      <w:tblPr>
        <w:tblStyle w:val="ac"/>
        <w:bidiVisual/>
        <w:tblW w:w="8215" w:type="dxa"/>
        <w:tblInd w:w="1145" w:type="dxa"/>
        <w:tblLook w:val="04A0" w:firstRow="1" w:lastRow="0" w:firstColumn="1" w:lastColumn="0" w:noHBand="0" w:noVBand="1"/>
      </w:tblPr>
      <w:tblGrid>
        <w:gridCol w:w="849"/>
        <w:gridCol w:w="3543"/>
        <w:gridCol w:w="3823"/>
      </w:tblGrid>
      <w:tr w:rsidR="00B133F8" w:rsidRPr="00B133F8" w14:paraId="7122E72B" w14:textId="77777777" w:rsidTr="00DE2E72">
        <w:tc>
          <w:tcPr>
            <w:tcW w:w="849" w:type="dxa"/>
          </w:tcPr>
          <w:p w14:paraId="412999D4"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b/>
                <w:bCs/>
                <w:sz w:val="20"/>
                <w:szCs w:val="20"/>
                <w:rtl/>
              </w:rPr>
              <w:t>الدرجة</w:t>
            </w:r>
          </w:p>
        </w:tc>
        <w:tc>
          <w:tcPr>
            <w:tcW w:w="3543" w:type="dxa"/>
          </w:tcPr>
          <w:p w14:paraId="73FF3919"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b/>
                <w:bCs/>
                <w:sz w:val="20"/>
                <w:szCs w:val="20"/>
                <w:rtl/>
              </w:rPr>
              <w:t>مستوى الموافقة</w:t>
            </w:r>
          </w:p>
        </w:tc>
        <w:tc>
          <w:tcPr>
            <w:tcW w:w="3823" w:type="dxa"/>
          </w:tcPr>
          <w:p w14:paraId="213E612E"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b/>
                <w:bCs/>
                <w:sz w:val="20"/>
                <w:szCs w:val="20"/>
                <w:rtl/>
              </w:rPr>
              <w:t>فئة المتوسط</w:t>
            </w:r>
          </w:p>
        </w:tc>
      </w:tr>
      <w:tr w:rsidR="00B133F8" w:rsidRPr="00B133F8" w14:paraId="52E1673A" w14:textId="77777777" w:rsidTr="00DE2E72">
        <w:tc>
          <w:tcPr>
            <w:tcW w:w="849" w:type="dxa"/>
          </w:tcPr>
          <w:p w14:paraId="630B4512"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Pr>
              <w:t>1</w:t>
            </w:r>
          </w:p>
        </w:tc>
        <w:tc>
          <w:tcPr>
            <w:tcW w:w="3543" w:type="dxa"/>
          </w:tcPr>
          <w:p w14:paraId="4265A578"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tl/>
              </w:rPr>
              <w:t>غير موافق بشدة</w:t>
            </w:r>
          </w:p>
        </w:tc>
        <w:tc>
          <w:tcPr>
            <w:tcW w:w="3823" w:type="dxa"/>
          </w:tcPr>
          <w:p w14:paraId="5089D5F1"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Pr>
              <w:t>1.00 – 1.79</w:t>
            </w:r>
          </w:p>
        </w:tc>
      </w:tr>
      <w:tr w:rsidR="00B133F8" w:rsidRPr="00B133F8" w14:paraId="33C4478D" w14:textId="77777777" w:rsidTr="00DE2E72">
        <w:tc>
          <w:tcPr>
            <w:tcW w:w="849" w:type="dxa"/>
          </w:tcPr>
          <w:p w14:paraId="2C41EC65"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Pr>
              <w:t>2</w:t>
            </w:r>
          </w:p>
        </w:tc>
        <w:tc>
          <w:tcPr>
            <w:tcW w:w="3543" w:type="dxa"/>
          </w:tcPr>
          <w:p w14:paraId="7816ADBD"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tl/>
              </w:rPr>
              <w:t>غير موافق</w:t>
            </w:r>
          </w:p>
        </w:tc>
        <w:tc>
          <w:tcPr>
            <w:tcW w:w="3823" w:type="dxa"/>
          </w:tcPr>
          <w:p w14:paraId="19141DB4"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Pr>
              <w:t>1.80 – 2.59</w:t>
            </w:r>
          </w:p>
        </w:tc>
      </w:tr>
      <w:tr w:rsidR="00B133F8" w:rsidRPr="00B133F8" w14:paraId="6C372605" w14:textId="77777777" w:rsidTr="00DE2E72">
        <w:tc>
          <w:tcPr>
            <w:tcW w:w="849" w:type="dxa"/>
          </w:tcPr>
          <w:p w14:paraId="0BF9B8CE"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Pr>
              <w:t>3</w:t>
            </w:r>
          </w:p>
        </w:tc>
        <w:tc>
          <w:tcPr>
            <w:tcW w:w="3543" w:type="dxa"/>
          </w:tcPr>
          <w:p w14:paraId="06335C61"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tl/>
              </w:rPr>
              <w:t>محايد</w:t>
            </w:r>
          </w:p>
        </w:tc>
        <w:tc>
          <w:tcPr>
            <w:tcW w:w="3823" w:type="dxa"/>
          </w:tcPr>
          <w:p w14:paraId="7B6BA8C9"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Pr>
              <w:t>2.60 – 3.39</w:t>
            </w:r>
          </w:p>
        </w:tc>
      </w:tr>
      <w:tr w:rsidR="00B133F8" w:rsidRPr="00B133F8" w14:paraId="0D48876D" w14:textId="77777777" w:rsidTr="00DE2E72">
        <w:tc>
          <w:tcPr>
            <w:tcW w:w="849" w:type="dxa"/>
          </w:tcPr>
          <w:p w14:paraId="1ABA8987"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Pr>
              <w:t>4</w:t>
            </w:r>
          </w:p>
        </w:tc>
        <w:tc>
          <w:tcPr>
            <w:tcW w:w="3543" w:type="dxa"/>
          </w:tcPr>
          <w:p w14:paraId="013AAF54"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tl/>
              </w:rPr>
              <w:t>موافق</w:t>
            </w:r>
          </w:p>
        </w:tc>
        <w:tc>
          <w:tcPr>
            <w:tcW w:w="3823" w:type="dxa"/>
          </w:tcPr>
          <w:p w14:paraId="4364CE3B"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Pr>
              <w:t>3.40 – 4.19</w:t>
            </w:r>
          </w:p>
        </w:tc>
      </w:tr>
      <w:tr w:rsidR="00B133F8" w:rsidRPr="00B133F8" w14:paraId="489586AF" w14:textId="77777777" w:rsidTr="00DE2E72">
        <w:tc>
          <w:tcPr>
            <w:tcW w:w="849" w:type="dxa"/>
          </w:tcPr>
          <w:p w14:paraId="3280254F"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Pr>
              <w:lastRenderedPageBreak/>
              <w:t>5</w:t>
            </w:r>
          </w:p>
        </w:tc>
        <w:tc>
          <w:tcPr>
            <w:tcW w:w="3543" w:type="dxa"/>
          </w:tcPr>
          <w:p w14:paraId="792410D3"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tl/>
              </w:rPr>
              <w:t>موافق بشدة</w:t>
            </w:r>
          </w:p>
        </w:tc>
        <w:tc>
          <w:tcPr>
            <w:tcW w:w="3823" w:type="dxa"/>
          </w:tcPr>
          <w:p w14:paraId="77A679A4"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Pr>
              <w:t>4.20 – 5.00</w:t>
            </w:r>
          </w:p>
        </w:tc>
      </w:tr>
    </w:tbl>
    <w:p w14:paraId="2B2F9BC5" w14:textId="77777777" w:rsidR="00DE2E72" w:rsidRPr="00DE2E72" w:rsidRDefault="00DE2E72" w:rsidP="00B133F8">
      <w:pPr>
        <w:bidi/>
        <w:spacing w:after="200" w:line="276" w:lineRule="auto"/>
        <w:rPr>
          <w:rFonts w:ascii="Simplified Arabic" w:hAnsi="Simplified Arabic" w:cs="Simplified Arabic"/>
          <w:sz w:val="2"/>
          <w:szCs w:val="2"/>
          <w:rtl/>
        </w:rPr>
      </w:pPr>
    </w:p>
    <w:p w14:paraId="0D33178E" w14:textId="78713C9F" w:rsidR="004F4747" w:rsidRPr="00B133F8" w:rsidRDefault="004F4747" w:rsidP="00DE2E72">
      <w:pPr>
        <w:bidi/>
        <w:spacing w:after="200" w:line="276" w:lineRule="auto"/>
        <w:rPr>
          <w:rFonts w:ascii="Simplified Arabic" w:hAnsi="Simplified Arabic" w:cs="Simplified Arabic"/>
          <w:b/>
          <w:bCs/>
          <w:rtl/>
        </w:rPr>
      </w:pPr>
      <w:r>
        <w:rPr>
          <w:rFonts w:ascii="Simplified Arabic" w:hAnsi="Simplified Arabic" w:cs="Simplified Arabic"/>
          <w:b/>
          <w:bCs/>
          <w:rtl/>
        </w:rPr>
        <w:t>مكوّنات الأداة</w:t>
      </w:r>
    </w:p>
    <w:p w14:paraId="7C1B6485" w14:textId="77777777" w:rsidR="004F4747" w:rsidRPr="004F4747" w:rsidRDefault="004F4747" w:rsidP="004F4747">
      <w:pPr>
        <w:bidi/>
        <w:spacing w:after="200" w:line="276" w:lineRule="auto"/>
        <w:rPr>
          <w:rFonts w:ascii="Simplified Arabic" w:hAnsi="Simplified Arabic" w:cs="Simplified Arabic"/>
          <w:rtl/>
        </w:rPr>
      </w:pPr>
      <w:r>
        <w:rPr>
          <w:rFonts w:ascii="Simplified Arabic" w:hAnsi="Simplified Arabic" w:cs="Simplified Arabic"/>
          <w:rtl/>
        </w:rPr>
        <w:t>جاءت الأداة في صورتها النهائية في ثلاثة أقسام</w:t>
      </w:r>
      <w:r>
        <w:rPr>
          <w:rFonts w:ascii="Simplified Arabic" w:hAnsi="Simplified Arabic" w:cs="Simplified Arabic"/>
        </w:rPr>
        <w:t>:</w:t>
      </w:r>
    </w:p>
    <w:p w14:paraId="41EC3C86" w14:textId="125CE94E" w:rsidR="004F4747" w:rsidRPr="004F4747" w:rsidRDefault="004F4747">
      <w:pPr>
        <w:numPr>
          <w:ilvl w:val="0"/>
          <w:numId w:val="21"/>
        </w:numPr>
        <w:bidi/>
        <w:spacing w:after="200" w:line="276" w:lineRule="auto"/>
        <w:rPr>
          <w:rFonts w:ascii="Simplified Arabic" w:hAnsi="Simplified Arabic" w:cs="Simplified Arabic"/>
          <w:rtl/>
        </w:rPr>
      </w:pPr>
      <w:r>
        <w:rPr>
          <w:rFonts w:ascii="Simplified Arabic" w:hAnsi="Simplified Arabic" w:cs="Simplified Arabic"/>
          <w:rtl/>
        </w:rPr>
        <w:t>أسئلة الأهلية والموافقة، وعددها أربعة</w:t>
      </w:r>
      <w:r>
        <w:rPr>
          <w:rFonts w:ascii="Simplified Arabic" w:hAnsi="Simplified Arabic" w:cs="Simplified Arabic"/>
        </w:rPr>
        <w:t>(S1–S4)</w:t>
      </w:r>
      <w:r w:rsidR="00EB385F">
        <w:rPr>
          <w:rFonts w:ascii="Simplified Arabic" w:hAnsi="Simplified Arabic" w:cs="Simplified Arabic"/>
        </w:rPr>
        <w:t xml:space="preserve"> </w:t>
      </w:r>
      <w:r>
        <w:rPr>
          <w:rFonts w:ascii="Simplified Arabic" w:hAnsi="Simplified Arabic" w:cs="Simplified Arabic"/>
          <w:rtl/>
        </w:rPr>
        <w:t>، للتحقق من توافر شروط المشاركة قبل البدء</w:t>
      </w:r>
      <w:r>
        <w:rPr>
          <w:rFonts w:ascii="Simplified Arabic" w:hAnsi="Simplified Arabic" w:cs="Simplified Arabic"/>
        </w:rPr>
        <w:t>.</w:t>
      </w:r>
    </w:p>
    <w:p w14:paraId="1EDAC469" w14:textId="0B0B029C" w:rsidR="004F4747" w:rsidRPr="004F4747" w:rsidRDefault="004F4747">
      <w:pPr>
        <w:numPr>
          <w:ilvl w:val="0"/>
          <w:numId w:val="21"/>
        </w:numPr>
        <w:bidi/>
        <w:spacing w:after="200" w:line="276" w:lineRule="auto"/>
        <w:rPr>
          <w:rFonts w:ascii="Simplified Arabic" w:hAnsi="Simplified Arabic" w:cs="Simplified Arabic"/>
          <w:rtl/>
        </w:rPr>
      </w:pPr>
      <w:r>
        <w:rPr>
          <w:rFonts w:ascii="Simplified Arabic" w:hAnsi="Simplified Arabic" w:cs="Simplified Arabic"/>
          <w:rtl/>
        </w:rPr>
        <w:t>المحاور الموضوعية، وهي خمسة محاور تقابل متغيرات الدراسة، وتضم (46) فقرة</w:t>
      </w:r>
      <w:r>
        <w:rPr>
          <w:rFonts w:ascii="Simplified Arabic" w:hAnsi="Simplified Arabic" w:cs="Simplified Arabic"/>
        </w:rPr>
        <w:t>.</w:t>
      </w:r>
    </w:p>
    <w:p w14:paraId="49ADC0EB" w14:textId="71C736BF" w:rsidR="004F4747" w:rsidRPr="004F4747" w:rsidRDefault="004F4747">
      <w:pPr>
        <w:numPr>
          <w:ilvl w:val="0"/>
          <w:numId w:val="21"/>
        </w:numPr>
        <w:bidi/>
        <w:spacing w:after="200" w:line="276" w:lineRule="auto"/>
        <w:rPr>
          <w:rFonts w:ascii="Simplified Arabic" w:hAnsi="Simplified Arabic" w:cs="Simplified Arabic"/>
          <w:rtl/>
        </w:rPr>
      </w:pPr>
      <w:r>
        <w:rPr>
          <w:rFonts w:ascii="Simplified Arabic" w:hAnsi="Simplified Arabic" w:cs="Simplified Arabic"/>
          <w:rtl/>
        </w:rPr>
        <w:t>البيانات الشخصية والوظيفية، وعددها ثلاثة عشر متغيرًا</w:t>
      </w:r>
      <w:r>
        <w:rPr>
          <w:rFonts w:ascii="Simplified Arabic" w:hAnsi="Simplified Arabic" w:cs="Simplified Arabic"/>
        </w:rPr>
        <w:t xml:space="preserve"> (P1–P13) </w:t>
      </w:r>
      <w:r>
        <w:rPr>
          <w:rFonts w:ascii="Simplified Arabic" w:hAnsi="Simplified Arabic" w:cs="Simplified Arabic"/>
          <w:rtl/>
        </w:rPr>
        <w:t>لوصف خصائص المبحوثين وبيئة عملهم</w:t>
      </w:r>
      <w:r>
        <w:rPr>
          <w:rFonts w:ascii="Simplified Arabic" w:hAnsi="Simplified Arabic" w:cs="Simplified Arabic"/>
        </w:rPr>
        <w:t>.</w:t>
      </w:r>
    </w:p>
    <w:p w14:paraId="29CEC9DE" w14:textId="086EA14D" w:rsidR="004F4747" w:rsidRPr="00B133F8" w:rsidRDefault="004F4747" w:rsidP="004F4747">
      <w:pPr>
        <w:bidi/>
        <w:spacing w:after="200" w:line="276" w:lineRule="auto"/>
        <w:rPr>
          <w:rFonts w:ascii="Simplified Arabic" w:hAnsi="Simplified Arabic" w:cs="Simplified Arabic"/>
          <w:b/>
          <w:bCs/>
          <w:rtl/>
        </w:rPr>
      </w:pPr>
      <w:r>
        <w:rPr>
          <w:rFonts w:ascii="Simplified Arabic" w:hAnsi="Simplified Arabic" w:cs="Simplified Arabic"/>
          <w:b/>
          <w:bCs/>
          <w:rtl/>
        </w:rPr>
        <w:t>مصادر بناء فقرات الأداة</w:t>
      </w:r>
    </w:p>
    <w:p w14:paraId="7D2322F6" w14:textId="77777777" w:rsidR="004F4747" w:rsidRPr="004F4747" w:rsidRDefault="004F4747" w:rsidP="004F4747">
      <w:pPr>
        <w:bidi/>
        <w:spacing w:after="200" w:line="276" w:lineRule="auto"/>
        <w:rPr>
          <w:rFonts w:ascii="Simplified Arabic" w:hAnsi="Simplified Arabic" w:cs="Simplified Arabic"/>
          <w:rtl/>
        </w:rPr>
      </w:pPr>
      <w:r>
        <w:rPr>
          <w:rFonts w:ascii="Simplified Arabic" w:hAnsi="Simplified Arabic" w:cs="Simplified Arabic"/>
          <w:rtl/>
        </w:rPr>
        <w:t>اشتُقّت فقرات الأداة من الدراسات السابقة المعروضة في الإطار النظري، ثم عُدّلت صياغتها لتناسب عنوان الدراسة ومتغيراتها ومجتمعها من وكالات التسويق السعودية. وحرص الباحث في صياغتها على وضوح العبارة وتحديد دلالتها، وانتماء كل فقرة إلى البعد الذي وُضعت لقياسه، وتعبيرها عن التعريف الإجرائي لمتغيرها. ويلخّص الجدول (3-5) توزيع الفقرات على المحاور وأبرز مصادر اشتقاقها</w:t>
      </w:r>
      <w:r>
        <w:rPr>
          <w:rFonts w:ascii="Simplified Arabic" w:hAnsi="Simplified Arabic" w:cs="Simplified Arabic"/>
        </w:rPr>
        <w:t>.</w:t>
      </w:r>
    </w:p>
    <w:p w14:paraId="480124FD" w14:textId="665C30A8" w:rsidR="004F4747" w:rsidRPr="00B133F8" w:rsidRDefault="004F4747" w:rsidP="004F4747">
      <w:pPr>
        <w:bidi/>
        <w:spacing w:after="200" w:line="276" w:lineRule="auto"/>
        <w:rPr>
          <w:rFonts w:ascii="Simplified Arabic" w:hAnsi="Simplified Arabic" w:cs="Simplified Arabic"/>
          <w:b/>
          <w:bCs/>
          <w:rtl/>
        </w:rPr>
      </w:pPr>
      <w:r>
        <w:rPr>
          <w:rFonts w:ascii="Simplified Arabic" w:hAnsi="Simplified Arabic" w:cs="Simplified Arabic"/>
          <w:b/>
          <w:bCs/>
          <w:rtl/>
        </w:rPr>
        <w:t>جدول: توزيع فقرات الأداة على المحاور</w:t>
      </w:r>
    </w:p>
    <w:tbl>
      <w:tblPr>
        <w:tblStyle w:val="ac"/>
        <w:bidiVisual/>
        <w:tblW w:w="8215" w:type="dxa"/>
        <w:tblInd w:w="1145" w:type="dxa"/>
        <w:tblLook w:val="04A0" w:firstRow="1" w:lastRow="0" w:firstColumn="1" w:lastColumn="0" w:noHBand="0" w:noVBand="1"/>
      </w:tblPr>
      <w:tblGrid>
        <w:gridCol w:w="1555"/>
        <w:gridCol w:w="1300"/>
        <w:gridCol w:w="1160"/>
        <w:gridCol w:w="4200"/>
      </w:tblGrid>
      <w:tr w:rsidR="00B133F8" w:rsidRPr="00B133F8" w14:paraId="3EADC29B" w14:textId="77777777" w:rsidTr="00DE2E72">
        <w:tc>
          <w:tcPr>
            <w:tcW w:w="1555" w:type="dxa"/>
          </w:tcPr>
          <w:p w14:paraId="56A9B8DD"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b/>
                <w:bCs/>
                <w:sz w:val="20"/>
                <w:szCs w:val="20"/>
                <w:rtl/>
              </w:rPr>
              <w:t>المحور (المتغير)</w:t>
            </w:r>
          </w:p>
        </w:tc>
        <w:tc>
          <w:tcPr>
            <w:tcW w:w="1300" w:type="dxa"/>
          </w:tcPr>
          <w:p w14:paraId="4825D85E"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b/>
                <w:bCs/>
                <w:sz w:val="20"/>
                <w:szCs w:val="20"/>
                <w:rtl/>
              </w:rPr>
              <w:t>الرمز</w:t>
            </w:r>
          </w:p>
        </w:tc>
        <w:tc>
          <w:tcPr>
            <w:tcW w:w="1160" w:type="dxa"/>
          </w:tcPr>
          <w:p w14:paraId="6EEA5F12"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b/>
                <w:bCs/>
                <w:sz w:val="20"/>
                <w:szCs w:val="20"/>
                <w:rtl/>
              </w:rPr>
              <w:t>الفقرات</w:t>
            </w:r>
          </w:p>
        </w:tc>
        <w:tc>
          <w:tcPr>
            <w:tcW w:w="4200" w:type="dxa"/>
          </w:tcPr>
          <w:p w14:paraId="304E15F9"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b/>
                <w:bCs/>
                <w:sz w:val="20"/>
                <w:szCs w:val="20"/>
                <w:rtl/>
              </w:rPr>
              <w:t>أبرز مصادر الاشتقاق</w:t>
            </w:r>
          </w:p>
        </w:tc>
      </w:tr>
      <w:tr w:rsidR="00B133F8" w:rsidRPr="00B133F8" w14:paraId="30DEA94B" w14:textId="77777777" w:rsidTr="00DE2E72">
        <w:tc>
          <w:tcPr>
            <w:tcW w:w="1555" w:type="dxa"/>
          </w:tcPr>
          <w:p w14:paraId="2B0F8349"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tl/>
              </w:rPr>
              <w:t>توظيف الذكاء الاصطناعي التوليدي</w:t>
            </w:r>
          </w:p>
        </w:tc>
        <w:tc>
          <w:tcPr>
            <w:tcW w:w="1300" w:type="dxa"/>
          </w:tcPr>
          <w:p w14:paraId="0D2C4C3B"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Pr>
              <w:t>GAIU1–GAIU10</w:t>
            </w:r>
          </w:p>
        </w:tc>
        <w:tc>
          <w:tcPr>
            <w:tcW w:w="1160" w:type="dxa"/>
          </w:tcPr>
          <w:p w14:paraId="77753C90"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Pr>
              <w:t>10</w:t>
            </w:r>
          </w:p>
        </w:tc>
        <w:tc>
          <w:tcPr>
            <w:tcW w:w="4200" w:type="dxa"/>
          </w:tcPr>
          <w:p w14:paraId="67A144F0"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Pr>
              <w:t>Islam et al. (2024); Gujar &amp; Panyam (2024); Kshetri et al. (2023); Mendoza et al. (2025)</w:t>
            </w:r>
          </w:p>
        </w:tc>
      </w:tr>
      <w:tr w:rsidR="00B133F8" w:rsidRPr="00B133F8" w14:paraId="1826BF35" w14:textId="77777777" w:rsidTr="00DE2E72">
        <w:tc>
          <w:tcPr>
            <w:tcW w:w="1555" w:type="dxa"/>
          </w:tcPr>
          <w:p w14:paraId="6911709E"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tl/>
              </w:rPr>
              <w:t>جودة عملية التصميم</w:t>
            </w:r>
          </w:p>
        </w:tc>
        <w:tc>
          <w:tcPr>
            <w:tcW w:w="1300" w:type="dxa"/>
          </w:tcPr>
          <w:p w14:paraId="5D1A5D73"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Pr>
              <w:t>CDQ1–CDQ8</w:t>
            </w:r>
          </w:p>
        </w:tc>
        <w:tc>
          <w:tcPr>
            <w:tcW w:w="1160" w:type="dxa"/>
          </w:tcPr>
          <w:p w14:paraId="577FEEE0"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Pr>
              <w:t>8</w:t>
            </w:r>
          </w:p>
        </w:tc>
        <w:tc>
          <w:tcPr>
            <w:tcW w:w="4200" w:type="dxa"/>
          </w:tcPr>
          <w:p w14:paraId="61FBE901"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Pr>
              <w:t>Heitmann (2024); McKinsey (2024); Gujar &amp; Panyam (2024); Mendoza et al. (2025)</w:t>
            </w:r>
          </w:p>
        </w:tc>
      </w:tr>
      <w:tr w:rsidR="00B133F8" w:rsidRPr="00B133F8" w14:paraId="3A69C6AE" w14:textId="77777777" w:rsidTr="00DE2E72">
        <w:tc>
          <w:tcPr>
            <w:tcW w:w="1555" w:type="dxa"/>
          </w:tcPr>
          <w:p w14:paraId="218200B0"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tl/>
              </w:rPr>
              <w:t>دوافع التبني</w:t>
            </w:r>
          </w:p>
        </w:tc>
        <w:tc>
          <w:tcPr>
            <w:tcW w:w="1300" w:type="dxa"/>
          </w:tcPr>
          <w:p w14:paraId="13612EC4"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Pr>
              <w:t>ADP1–ADP9</w:t>
            </w:r>
          </w:p>
        </w:tc>
        <w:tc>
          <w:tcPr>
            <w:tcW w:w="1160" w:type="dxa"/>
          </w:tcPr>
          <w:p w14:paraId="124BCBFB"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Pr>
              <w:t>9</w:t>
            </w:r>
          </w:p>
        </w:tc>
        <w:tc>
          <w:tcPr>
            <w:tcW w:w="4200" w:type="dxa"/>
          </w:tcPr>
          <w:p w14:paraId="00DD0732" w14:textId="487FFDF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Pr>
              <w:t xml:space="preserve">Kshetri et al. (2023); Masnita et al. (2024); Sharabati et al. (2024); </w:t>
            </w:r>
            <w:r w:rsidR="00EB385F">
              <w:rPr>
                <w:rFonts w:ascii="Simplified Arabic" w:hAnsi="Simplified Arabic" w:cs="Simplified Arabic" w:hint="cs"/>
                <w:sz w:val="20"/>
                <w:szCs w:val="20"/>
                <w:rtl/>
              </w:rPr>
              <w:t xml:space="preserve"> </w:t>
            </w:r>
            <w:r>
              <w:rPr>
                <w:rFonts w:ascii="Simplified Arabic" w:hAnsi="Simplified Arabic" w:cs="Simplified Arabic"/>
                <w:sz w:val="20"/>
                <w:szCs w:val="20"/>
                <w:rtl/>
              </w:rPr>
              <w:t>العتيبي واليوبي (2024)</w:t>
            </w:r>
          </w:p>
        </w:tc>
      </w:tr>
      <w:tr w:rsidR="00B133F8" w:rsidRPr="00B133F8" w14:paraId="5165DD44" w14:textId="77777777" w:rsidTr="00DE2E72">
        <w:tc>
          <w:tcPr>
            <w:tcW w:w="1555" w:type="dxa"/>
          </w:tcPr>
          <w:p w14:paraId="06F7DFED"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tl/>
              </w:rPr>
              <w:t>العوائق التقنية والبشرية والتنظيمية</w:t>
            </w:r>
          </w:p>
        </w:tc>
        <w:tc>
          <w:tcPr>
            <w:tcW w:w="1300" w:type="dxa"/>
          </w:tcPr>
          <w:p w14:paraId="6E563673"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Pr>
              <w:t>BAR1–BAR10</w:t>
            </w:r>
          </w:p>
        </w:tc>
        <w:tc>
          <w:tcPr>
            <w:tcW w:w="1160" w:type="dxa"/>
          </w:tcPr>
          <w:p w14:paraId="7C73D22F"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Pr>
              <w:t>10</w:t>
            </w:r>
          </w:p>
        </w:tc>
        <w:tc>
          <w:tcPr>
            <w:tcW w:w="4200" w:type="dxa"/>
          </w:tcPr>
          <w:p w14:paraId="02535162" w14:textId="1F49530F"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Pr>
              <w:t xml:space="preserve">SDAIA (2024); Dwivedi et al. (2023); Kshetri et al. (2023); </w:t>
            </w:r>
            <w:r w:rsidR="00EB385F">
              <w:rPr>
                <w:rFonts w:ascii="Simplified Arabic" w:hAnsi="Simplified Arabic" w:cs="Simplified Arabic" w:hint="cs"/>
                <w:sz w:val="20"/>
                <w:szCs w:val="20"/>
                <w:rtl/>
              </w:rPr>
              <w:t xml:space="preserve"> </w:t>
            </w:r>
            <w:r>
              <w:rPr>
                <w:rFonts w:ascii="Simplified Arabic" w:hAnsi="Simplified Arabic" w:cs="Simplified Arabic"/>
                <w:sz w:val="20"/>
                <w:szCs w:val="20"/>
                <w:rtl/>
              </w:rPr>
              <w:t>محيسن وآخرون (2025)</w:t>
            </w:r>
          </w:p>
        </w:tc>
      </w:tr>
      <w:tr w:rsidR="00B133F8" w:rsidRPr="00B133F8" w14:paraId="39D6754E" w14:textId="77777777" w:rsidTr="00DE2E72">
        <w:tc>
          <w:tcPr>
            <w:tcW w:w="1555" w:type="dxa"/>
          </w:tcPr>
          <w:p w14:paraId="4BE64A2E"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tl/>
              </w:rPr>
              <w:t>فعالية الأداء التسويقي</w:t>
            </w:r>
          </w:p>
        </w:tc>
        <w:tc>
          <w:tcPr>
            <w:tcW w:w="1300" w:type="dxa"/>
          </w:tcPr>
          <w:p w14:paraId="5CB89456"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Pr>
              <w:t>MP1–MP9</w:t>
            </w:r>
          </w:p>
        </w:tc>
        <w:tc>
          <w:tcPr>
            <w:tcW w:w="1160" w:type="dxa"/>
          </w:tcPr>
          <w:p w14:paraId="301F87FA" w14:textId="7777777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Pr>
              <w:t>9</w:t>
            </w:r>
          </w:p>
        </w:tc>
        <w:tc>
          <w:tcPr>
            <w:tcW w:w="4200" w:type="dxa"/>
          </w:tcPr>
          <w:p w14:paraId="44B04867" w14:textId="5B042157" w:rsidR="00B133F8" w:rsidRPr="00B133F8" w:rsidRDefault="00B133F8" w:rsidP="00B133F8">
            <w:pPr>
              <w:bidi/>
              <w:spacing w:after="200" w:line="276" w:lineRule="auto"/>
              <w:rPr>
                <w:rFonts w:ascii="Simplified Arabic" w:hAnsi="Simplified Arabic" w:cs="Simplified Arabic"/>
                <w:sz w:val="20"/>
                <w:szCs w:val="20"/>
              </w:rPr>
            </w:pPr>
            <w:r>
              <w:rPr>
                <w:rFonts w:ascii="Simplified Arabic" w:hAnsi="Simplified Arabic" w:cs="Simplified Arabic"/>
                <w:sz w:val="20"/>
                <w:szCs w:val="20"/>
              </w:rPr>
              <w:t xml:space="preserve">Nuremberg Institute (2024); Mendoza et al. (2025); Beyari (2025); </w:t>
            </w:r>
            <w:r w:rsidR="00EB385F">
              <w:rPr>
                <w:rFonts w:ascii="Simplified Arabic" w:hAnsi="Simplified Arabic" w:cs="Simplified Arabic" w:hint="cs"/>
                <w:sz w:val="20"/>
                <w:szCs w:val="20"/>
                <w:rtl/>
              </w:rPr>
              <w:t xml:space="preserve"> </w:t>
            </w:r>
            <w:r>
              <w:rPr>
                <w:rFonts w:ascii="Simplified Arabic" w:hAnsi="Simplified Arabic" w:cs="Simplified Arabic"/>
                <w:sz w:val="20"/>
                <w:szCs w:val="20"/>
                <w:rtl/>
              </w:rPr>
              <w:t>اللهيبي وآخرون (2024)</w:t>
            </w:r>
          </w:p>
        </w:tc>
      </w:tr>
    </w:tbl>
    <w:p w14:paraId="59A215E9" w14:textId="77777777" w:rsidR="00B133F8" w:rsidRDefault="00B133F8" w:rsidP="004F4747">
      <w:pPr>
        <w:bidi/>
        <w:spacing w:after="200" w:line="276" w:lineRule="auto"/>
        <w:rPr>
          <w:rFonts w:ascii="Simplified Arabic" w:hAnsi="Simplified Arabic" w:cs="Simplified Arabic"/>
          <w:rtl/>
        </w:rPr>
      </w:pPr>
    </w:p>
    <w:p w14:paraId="7F51931E" w14:textId="461B709E" w:rsidR="004F4747" w:rsidRPr="00B133F8" w:rsidRDefault="004F4747" w:rsidP="00B133F8">
      <w:pPr>
        <w:bidi/>
        <w:spacing w:after="200" w:line="240" w:lineRule="auto"/>
        <w:jc w:val="both"/>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lastRenderedPageBreak/>
        <w:t>صدق أداة الدراسة</w:t>
      </w:r>
    </w:p>
    <w:p w14:paraId="7785EF77" w14:textId="77777777" w:rsidR="004F4747" w:rsidRPr="004F4747" w:rsidRDefault="004F4747" w:rsidP="004F4747">
      <w:pPr>
        <w:bidi/>
        <w:spacing w:after="200" w:line="276" w:lineRule="auto"/>
        <w:rPr>
          <w:rFonts w:ascii="Simplified Arabic" w:hAnsi="Simplified Arabic" w:cs="Simplified Arabic"/>
          <w:rtl/>
        </w:rPr>
      </w:pPr>
      <w:r>
        <w:rPr>
          <w:rFonts w:ascii="Simplified Arabic" w:hAnsi="Simplified Arabic" w:cs="Simplified Arabic"/>
          <w:rtl/>
        </w:rPr>
        <w:t>يُراد بالصدق قدرة الأداة على قياس ما وُضعت لقياسه. وقد تحقق الباحث من صدق الأداة بطريقتين متكاملتين: الصدق الظاهري بعرضها على المحكَّمين، وصدق البناء عبر التحليل العاملي التوكيدي</w:t>
      </w:r>
      <w:r>
        <w:rPr>
          <w:rFonts w:ascii="Simplified Arabic" w:hAnsi="Simplified Arabic" w:cs="Simplified Arabic"/>
        </w:rPr>
        <w:t>.</w:t>
      </w:r>
    </w:p>
    <w:p w14:paraId="684094F3" w14:textId="594C0A89" w:rsidR="004F4747" w:rsidRPr="00B133F8" w:rsidRDefault="004F4747" w:rsidP="004F4747">
      <w:pPr>
        <w:bidi/>
        <w:spacing w:after="200" w:line="276" w:lineRule="auto"/>
        <w:rPr>
          <w:rFonts w:ascii="Simplified Arabic" w:hAnsi="Simplified Arabic" w:cs="Simplified Arabic"/>
          <w:b/>
          <w:bCs/>
          <w:rtl/>
        </w:rPr>
      </w:pPr>
      <w:r>
        <w:rPr>
          <w:rFonts w:ascii="Simplified Arabic" w:hAnsi="Simplified Arabic" w:cs="Simplified Arabic"/>
          <w:b/>
          <w:bCs/>
          <w:rtl/>
        </w:rPr>
        <w:t>الصدق الظاهري (صدق المحكَّمين)</w:t>
      </w:r>
    </w:p>
    <w:p w14:paraId="109F1DB3" w14:textId="77777777" w:rsidR="004F4747" w:rsidRPr="004F4747" w:rsidRDefault="004F4747" w:rsidP="004F4747">
      <w:pPr>
        <w:bidi/>
        <w:spacing w:after="200" w:line="276" w:lineRule="auto"/>
        <w:rPr>
          <w:rFonts w:ascii="Simplified Arabic" w:hAnsi="Simplified Arabic" w:cs="Simplified Arabic"/>
          <w:rtl/>
        </w:rPr>
      </w:pPr>
      <w:r>
        <w:rPr>
          <w:rFonts w:ascii="Simplified Arabic" w:hAnsi="Simplified Arabic" w:cs="Simplified Arabic"/>
          <w:rtl/>
        </w:rPr>
        <w:t>عُرضت الأداة في صورتها الأولية على عدد من المحكَّمين من ذوي الاختصاص في التسويق ومناهج البحث، لإبداء الرأي في ملاءمة الفقرات لأبعاد المتغيرات، وسلامة صياغتها، ووضوح عباراتها، وانتماء كل فقرة إلى محورها، ومناسبة الأداة لمجتمع الدراسة. وفي ضوء ملاحظاتهم، عُدّلت صياغة بعض الفقرات وأُعيد ضبط بعضها الآخر، ثم أُخرجت الأداة في صورتها النهائية المعدّة للتطبيق</w:t>
      </w:r>
      <w:r>
        <w:rPr>
          <w:rFonts w:ascii="Simplified Arabic" w:hAnsi="Simplified Arabic" w:cs="Simplified Arabic"/>
        </w:rPr>
        <w:t>.</w:t>
      </w:r>
    </w:p>
    <w:p w14:paraId="43431353" w14:textId="4FEB2D18" w:rsidR="004F4747" w:rsidRPr="00DE2E72" w:rsidRDefault="004F4747" w:rsidP="004F4747">
      <w:pPr>
        <w:bidi/>
        <w:spacing w:after="200" w:line="276" w:lineRule="auto"/>
        <w:rPr>
          <w:rFonts w:ascii="Simplified Arabic" w:hAnsi="Simplified Arabic" w:cs="Simplified Arabic"/>
          <w:b/>
          <w:bCs/>
          <w:rtl/>
        </w:rPr>
      </w:pPr>
      <w:r>
        <w:rPr>
          <w:rFonts w:ascii="Simplified Arabic" w:hAnsi="Simplified Arabic" w:cs="Simplified Arabic"/>
          <w:b/>
          <w:bCs/>
          <w:rtl/>
        </w:rPr>
        <w:t>صدق البناء</w:t>
      </w:r>
    </w:p>
    <w:p w14:paraId="7F4932F0" w14:textId="26CA8A8E" w:rsidR="004F4747" w:rsidRPr="004F4747" w:rsidRDefault="004F4747" w:rsidP="004F4747">
      <w:pPr>
        <w:bidi/>
        <w:spacing w:after="200" w:line="276" w:lineRule="auto"/>
        <w:rPr>
          <w:rFonts w:ascii="Simplified Arabic" w:hAnsi="Simplified Arabic" w:cs="Simplified Arabic"/>
          <w:rtl/>
        </w:rPr>
      </w:pPr>
      <w:r>
        <w:rPr>
          <w:rFonts w:ascii="Simplified Arabic" w:hAnsi="Simplified Arabic" w:cs="Simplified Arabic"/>
          <w:rtl/>
        </w:rPr>
        <w:t>يُتحقق من صدق البناء بالتحليل العاملي التوكيدي</w:t>
      </w:r>
      <w:r>
        <w:rPr>
          <w:rFonts w:ascii="Simplified Arabic" w:hAnsi="Simplified Arabic" w:cs="Simplified Arabic"/>
        </w:rPr>
        <w:t xml:space="preserve"> </w:t>
      </w:r>
      <w:r>
        <w:rPr>
          <w:rFonts w:ascii="Simplified Arabic" w:hAnsi="Simplified Arabic" w:cs="Simplified Arabic"/>
          <w:rtl/>
        </w:rPr>
        <w:t>ضمن نموذج القياس، للتأكد من أن الفقرات تقيس فعلًا الأبعاد التي صممت لها. وينظر في هذا الإطار إلى نوعين من الصدق</w:t>
      </w:r>
      <w:r>
        <w:rPr>
          <w:rFonts w:ascii="Simplified Arabic" w:hAnsi="Simplified Arabic" w:cs="Simplified Arabic"/>
        </w:rPr>
        <w:t>:</w:t>
      </w:r>
    </w:p>
    <w:p w14:paraId="36340E95" w14:textId="020CA0FB" w:rsidR="004F4747" w:rsidRPr="004F4747" w:rsidRDefault="004F4747">
      <w:pPr>
        <w:numPr>
          <w:ilvl w:val="0"/>
          <w:numId w:val="22"/>
        </w:numPr>
        <w:bidi/>
        <w:spacing w:after="200" w:line="276" w:lineRule="auto"/>
        <w:rPr>
          <w:rFonts w:ascii="Simplified Arabic" w:hAnsi="Simplified Arabic" w:cs="Simplified Arabic"/>
          <w:rtl/>
        </w:rPr>
      </w:pPr>
      <w:r>
        <w:rPr>
          <w:rFonts w:ascii="Simplified Arabic" w:hAnsi="Simplified Arabic" w:cs="Simplified Arabic"/>
          <w:rtl/>
        </w:rPr>
        <w:t>الصدق التقاربي</w:t>
      </w:r>
      <w:r>
        <w:rPr>
          <w:rFonts w:ascii="Simplified Arabic" w:hAnsi="Simplified Arabic" w:cs="Simplified Arabic" w:hint="cs"/>
          <w:rtl/>
        </w:rPr>
        <w:t xml:space="preserve"> </w:t>
      </w:r>
      <w:r>
        <w:rPr>
          <w:rFonts w:ascii="Simplified Arabic" w:hAnsi="Simplified Arabic" w:cs="Simplified Arabic"/>
        </w:rPr>
        <w:t>(Convergent Validity)</w:t>
      </w:r>
      <w:r>
        <w:rPr>
          <w:rFonts w:ascii="Simplified Arabic" w:hAnsi="Simplified Arabic" w:cs="Simplified Arabic"/>
          <w:rtl/>
        </w:rPr>
        <w:t>، ويُحكم عليه بدلالة تشبّع الفقرات على عواملها وبقيمة متوسط التباين المستخرج</w:t>
      </w:r>
      <w:r>
        <w:rPr>
          <w:rFonts w:ascii="Simplified Arabic" w:hAnsi="Simplified Arabic" w:cs="Simplified Arabic" w:hint="cs"/>
          <w:rtl/>
        </w:rPr>
        <w:t xml:space="preserve"> </w:t>
      </w:r>
      <w:r>
        <w:rPr>
          <w:rFonts w:ascii="Simplified Arabic" w:hAnsi="Simplified Arabic" w:cs="Simplified Arabic"/>
        </w:rPr>
        <w:t>(AVE)</w:t>
      </w:r>
      <w:r>
        <w:rPr>
          <w:rFonts w:ascii="Simplified Arabic" w:hAnsi="Simplified Arabic" w:cs="Simplified Arabic"/>
          <w:rtl/>
        </w:rPr>
        <w:t>، بحيث لا تقل عن (0.50) للمتغير الواحد، أي أن المتغير يفسّر ما لا يقل عن نصف تباين فقراته</w:t>
      </w:r>
      <w:r>
        <w:rPr>
          <w:rFonts w:ascii="Simplified Arabic" w:hAnsi="Simplified Arabic" w:cs="Simplified Arabic"/>
        </w:rPr>
        <w:t>.</w:t>
      </w:r>
    </w:p>
    <w:p w14:paraId="06204B77" w14:textId="22777EB2" w:rsidR="004F4747" w:rsidRPr="004F4747" w:rsidRDefault="004F4747">
      <w:pPr>
        <w:numPr>
          <w:ilvl w:val="0"/>
          <w:numId w:val="22"/>
        </w:numPr>
        <w:bidi/>
        <w:spacing w:after="200" w:line="276" w:lineRule="auto"/>
        <w:rPr>
          <w:rFonts w:ascii="Simplified Arabic" w:hAnsi="Simplified Arabic" w:cs="Simplified Arabic"/>
          <w:rtl/>
        </w:rPr>
      </w:pPr>
      <w:r>
        <w:rPr>
          <w:rFonts w:ascii="Simplified Arabic" w:hAnsi="Simplified Arabic" w:cs="Simplified Arabic"/>
          <w:rtl/>
        </w:rPr>
        <w:t>الصدق التمايزي</w:t>
      </w:r>
      <w:r>
        <w:rPr>
          <w:rFonts w:ascii="Simplified Arabic" w:hAnsi="Simplified Arabic" w:cs="Simplified Arabic" w:hint="cs"/>
          <w:rtl/>
        </w:rPr>
        <w:t xml:space="preserve"> </w:t>
      </w:r>
      <w:r>
        <w:rPr>
          <w:rFonts w:ascii="Simplified Arabic" w:hAnsi="Simplified Arabic" w:cs="Simplified Arabic"/>
        </w:rPr>
        <w:t>(Discriminant Validity)</w:t>
      </w:r>
      <w:r>
        <w:rPr>
          <w:rFonts w:ascii="Simplified Arabic" w:hAnsi="Simplified Arabic" w:cs="Simplified Arabic"/>
          <w:rtl/>
        </w:rPr>
        <w:t>، ويُحكم عليه باختبار نسبة الارتباط أحادي السمة إلى متعدد السمات</w:t>
      </w:r>
      <w:r>
        <w:rPr>
          <w:rFonts w:ascii="Simplified Arabic" w:hAnsi="Simplified Arabic" w:cs="Simplified Arabic" w:hint="cs"/>
          <w:rtl/>
        </w:rPr>
        <w:t xml:space="preserve"> </w:t>
      </w:r>
      <w:r>
        <w:rPr>
          <w:rFonts w:ascii="Simplified Arabic" w:hAnsi="Simplified Arabic" w:cs="Simplified Arabic"/>
        </w:rPr>
        <w:t>(HTMT)</w:t>
      </w:r>
      <w:r>
        <w:rPr>
          <w:rFonts w:ascii="Simplified Arabic" w:hAnsi="Simplified Arabic" w:cs="Simplified Arabic"/>
          <w:rtl/>
        </w:rPr>
        <w:t>، بحيث لا تتجاوز قيمته (0.85)، بما يؤكد تمايز كل متغير عن سائر متغيرات النموذج</w:t>
      </w:r>
      <w:r>
        <w:rPr>
          <w:rFonts w:ascii="Simplified Arabic" w:hAnsi="Simplified Arabic" w:cs="Simplified Arabic"/>
        </w:rPr>
        <w:t>.</w:t>
      </w:r>
    </w:p>
    <w:p w14:paraId="17BB3968" w14:textId="77777777" w:rsidR="00DE2E72" w:rsidRDefault="00DE2E72" w:rsidP="00DE2E72">
      <w:pPr>
        <w:bidi/>
        <w:spacing w:after="200" w:line="240" w:lineRule="auto"/>
        <w:jc w:val="both"/>
        <w:rPr>
          <w:rFonts w:ascii="Sakkal Majalla" w:hAnsi="Sakkal Majalla" w:cs="Sakkal Majalla"/>
          <w:b/>
          <w:bCs/>
          <w:color w:val="1F497D" w:themeColor="text2"/>
          <w:sz w:val="32"/>
          <w:szCs w:val="32"/>
          <w:u w:val="single"/>
          <w:rtl/>
        </w:rPr>
      </w:pPr>
    </w:p>
    <w:p w14:paraId="1FFBC5D6" w14:textId="43B1D167" w:rsidR="004F4747" w:rsidRPr="00DE2E72" w:rsidRDefault="004F4747" w:rsidP="00DE2E72">
      <w:pPr>
        <w:bidi/>
        <w:spacing w:after="200" w:line="240" w:lineRule="auto"/>
        <w:jc w:val="both"/>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t>ثبات أداة الدراسة</w:t>
      </w:r>
    </w:p>
    <w:p w14:paraId="18E15FA9" w14:textId="3114919C" w:rsidR="004F4747" w:rsidRPr="004F4747" w:rsidRDefault="004F4747" w:rsidP="004F4747">
      <w:pPr>
        <w:bidi/>
        <w:spacing w:after="200" w:line="276" w:lineRule="auto"/>
        <w:rPr>
          <w:rFonts w:ascii="Simplified Arabic" w:hAnsi="Simplified Arabic" w:cs="Simplified Arabic"/>
          <w:rtl/>
        </w:rPr>
      </w:pPr>
      <w:r>
        <w:rPr>
          <w:rFonts w:ascii="Simplified Arabic" w:hAnsi="Simplified Arabic" w:cs="Simplified Arabic"/>
          <w:rtl/>
        </w:rPr>
        <w:t>يشير الثبات إلى استقرار نتائج الأداة واتساقها لو أُعيد تطبيقها في ظروف متماثلة. واعتمد الباحث في قياسه مؤشرين متكاملين يناسبان أسلوب التحليل: معامل ألفا كرونباخ</w:t>
      </w:r>
      <w:r>
        <w:rPr>
          <w:rFonts w:ascii="Simplified Arabic" w:hAnsi="Simplified Arabic" w:cs="Simplified Arabic"/>
        </w:rPr>
        <w:t xml:space="preserve"> (Cronbach's Alpha) </w:t>
      </w:r>
      <w:r>
        <w:rPr>
          <w:rFonts w:ascii="Simplified Arabic" w:hAnsi="Simplified Arabic" w:cs="Simplified Arabic"/>
          <w:rtl/>
        </w:rPr>
        <w:t>والثبات المركب</w:t>
      </w:r>
      <w:r>
        <w:rPr>
          <w:rFonts w:ascii="Simplified Arabic" w:hAnsi="Simplified Arabic" w:cs="Simplified Arabic"/>
        </w:rPr>
        <w:t xml:space="preserve"> (CR)</w:t>
      </w:r>
      <w:r>
        <w:rPr>
          <w:rFonts w:ascii="Simplified Arabic" w:hAnsi="Simplified Arabic" w:cs="Simplified Arabic"/>
          <w:rtl/>
        </w:rPr>
        <w:t>، ويُعدّ المتغير مقبول الثبات إذا بلغ كلٌّ منهما (0.70) فأكثر، إذ تدل القيم الأعلى على اتساق داخلي أكبر بين فقرات المتغير</w:t>
      </w:r>
      <w:r>
        <w:rPr>
          <w:rFonts w:ascii="Simplified Arabic" w:hAnsi="Simplified Arabic" w:cs="Simplified Arabic"/>
        </w:rPr>
        <w:t xml:space="preserve"> (Hair et al., 2022)</w:t>
      </w:r>
      <w:r>
        <w:rPr>
          <w:rFonts w:ascii="Simplified Arabic" w:hAnsi="Simplified Arabic" w:cs="Simplified Arabic"/>
          <w:rtl/>
        </w:rPr>
        <w:t xml:space="preserve">. </w:t>
      </w:r>
    </w:p>
    <w:p w14:paraId="191FA3B9" w14:textId="7D22CA5C" w:rsidR="004F4747" w:rsidRPr="00DE2E72" w:rsidRDefault="004F4747" w:rsidP="004F4747">
      <w:pPr>
        <w:bidi/>
        <w:spacing w:after="200" w:line="276" w:lineRule="auto"/>
        <w:rPr>
          <w:rFonts w:ascii="Simplified Arabic" w:hAnsi="Simplified Arabic" w:cs="Simplified Arabic"/>
          <w:b/>
          <w:bCs/>
          <w:rtl/>
        </w:rPr>
      </w:pPr>
      <w:r>
        <w:rPr>
          <w:rFonts w:ascii="Simplified Arabic" w:hAnsi="Simplified Arabic" w:cs="Simplified Arabic"/>
          <w:b/>
          <w:bCs/>
          <w:rtl/>
        </w:rPr>
        <w:t>جدول: مؤشرات الصدق والثبات المعتمدة وقيمها المرجعية</w:t>
      </w:r>
    </w:p>
    <w:tbl>
      <w:tblPr>
        <w:tblStyle w:val="ac"/>
        <w:bidiVisual/>
        <w:tblW w:w="8215" w:type="dxa"/>
        <w:tblInd w:w="1145" w:type="dxa"/>
        <w:tblLook w:val="04A0" w:firstRow="1" w:lastRow="0" w:firstColumn="1" w:lastColumn="0" w:noHBand="0" w:noVBand="1"/>
      </w:tblPr>
      <w:tblGrid>
        <w:gridCol w:w="1983"/>
        <w:gridCol w:w="2932"/>
        <w:gridCol w:w="3300"/>
      </w:tblGrid>
      <w:tr w:rsidR="00DE2E72" w:rsidRPr="00DE2E72" w14:paraId="168C2FCE" w14:textId="77777777" w:rsidTr="0040129F">
        <w:tc>
          <w:tcPr>
            <w:tcW w:w="1983" w:type="dxa"/>
          </w:tcPr>
          <w:p w14:paraId="388D3695" w14:textId="77777777" w:rsidR="00DE2E72" w:rsidRPr="00DE2E72" w:rsidRDefault="00DE2E72" w:rsidP="00DE2E72">
            <w:pPr>
              <w:bidi/>
              <w:spacing w:after="200" w:line="276" w:lineRule="auto"/>
              <w:rPr>
                <w:rFonts w:ascii="Simplified Arabic" w:hAnsi="Simplified Arabic" w:cs="Simplified Arabic"/>
              </w:rPr>
            </w:pPr>
            <w:r>
              <w:rPr>
                <w:rFonts w:ascii="Simplified Arabic" w:hAnsi="Simplified Arabic" w:cs="Simplified Arabic"/>
                <w:b/>
                <w:bCs/>
                <w:rtl/>
              </w:rPr>
              <w:t>المؤشر</w:t>
            </w:r>
          </w:p>
        </w:tc>
        <w:tc>
          <w:tcPr>
            <w:tcW w:w="2932" w:type="dxa"/>
          </w:tcPr>
          <w:p w14:paraId="1C73D4BD" w14:textId="77777777" w:rsidR="00DE2E72" w:rsidRPr="00DE2E72" w:rsidRDefault="00DE2E72" w:rsidP="00DE2E72">
            <w:pPr>
              <w:bidi/>
              <w:spacing w:after="200" w:line="276" w:lineRule="auto"/>
              <w:rPr>
                <w:rFonts w:ascii="Simplified Arabic" w:hAnsi="Simplified Arabic" w:cs="Simplified Arabic"/>
              </w:rPr>
            </w:pPr>
            <w:r>
              <w:rPr>
                <w:rFonts w:ascii="Simplified Arabic" w:hAnsi="Simplified Arabic" w:cs="Simplified Arabic"/>
                <w:b/>
                <w:bCs/>
                <w:rtl/>
              </w:rPr>
              <w:t>الغرض</w:t>
            </w:r>
          </w:p>
        </w:tc>
        <w:tc>
          <w:tcPr>
            <w:tcW w:w="3300" w:type="dxa"/>
          </w:tcPr>
          <w:p w14:paraId="22B50BA3" w14:textId="77777777" w:rsidR="00DE2E72" w:rsidRPr="00DE2E72" w:rsidRDefault="00DE2E72" w:rsidP="00DE2E72">
            <w:pPr>
              <w:bidi/>
              <w:spacing w:after="200" w:line="276" w:lineRule="auto"/>
              <w:rPr>
                <w:rFonts w:ascii="Simplified Arabic" w:hAnsi="Simplified Arabic" w:cs="Simplified Arabic"/>
              </w:rPr>
            </w:pPr>
            <w:r>
              <w:rPr>
                <w:rFonts w:ascii="Simplified Arabic" w:hAnsi="Simplified Arabic" w:cs="Simplified Arabic"/>
                <w:b/>
                <w:bCs/>
                <w:rtl/>
              </w:rPr>
              <w:t>القيمة المرجعية</w:t>
            </w:r>
          </w:p>
        </w:tc>
      </w:tr>
      <w:tr w:rsidR="00DE2E72" w:rsidRPr="00DE2E72" w14:paraId="612F4589" w14:textId="77777777" w:rsidTr="0040129F">
        <w:tc>
          <w:tcPr>
            <w:tcW w:w="1983" w:type="dxa"/>
          </w:tcPr>
          <w:p w14:paraId="1B129F2C" w14:textId="77777777" w:rsidR="00DE2E72" w:rsidRPr="00DE2E72" w:rsidRDefault="00DE2E72" w:rsidP="00DE2E72">
            <w:pPr>
              <w:bidi/>
              <w:spacing w:after="200" w:line="276" w:lineRule="auto"/>
              <w:rPr>
                <w:rFonts w:ascii="Simplified Arabic" w:hAnsi="Simplified Arabic" w:cs="Simplified Arabic"/>
              </w:rPr>
            </w:pPr>
            <w:r>
              <w:rPr>
                <w:rFonts w:ascii="Simplified Arabic" w:hAnsi="Simplified Arabic" w:cs="Simplified Arabic"/>
              </w:rPr>
              <w:t>Cronbach's Alpha</w:t>
            </w:r>
          </w:p>
        </w:tc>
        <w:tc>
          <w:tcPr>
            <w:tcW w:w="2932" w:type="dxa"/>
          </w:tcPr>
          <w:p w14:paraId="34710A57" w14:textId="77777777" w:rsidR="00DE2E72" w:rsidRPr="00DE2E72" w:rsidRDefault="00DE2E72" w:rsidP="00DE2E72">
            <w:pPr>
              <w:bidi/>
              <w:spacing w:after="200" w:line="276" w:lineRule="auto"/>
              <w:rPr>
                <w:rFonts w:ascii="Simplified Arabic" w:hAnsi="Simplified Arabic" w:cs="Simplified Arabic"/>
              </w:rPr>
            </w:pPr>
            <w:r>
              <w:rPr>
                <w:rFonts w:ascii="Simplified Arabic" w:hAnsi="Simplified Arabic" w:cs="Simplified Arabic"/>
                <w:rtl/>
              </w:rPr>
              <w:t>الاتساق الداخلي (الثبات)</w:t>
            </w:r>
          </w:p>
        </w:tc>
        <w:tc>
          <w:tcPr>
            <w:tcW w:w="3300" w:type="dxa"/>
          </w:tcPr>
          <w:p w14:paraId="6FA67DA6" w14:textId="77777777" w:rsidR="00DE2E72" w:rsidRPr="00DE2E72" w:rsidRDefault="00DE2E72" w:rsidP="00DE2E72">
            <w:pPr>
              <w:bidi/>
              <w:spacing w:after="200" w:line="276" w:lineRule="auto"/>
              <w:rPr>
                <w:rFonts w:ascii="Simplified Arabic" w:hAnsi="Simplified Arabic" w:cs="Simplified Arabic"/>
              </w:rPr>
            </w:pPr>
            <w:r>
              <w:rPr>
                <w:rFonts w:ascii="Simplified Arabic" w:hAnsi="Simplified Arabic" w:cs="Simplified Arabic"/>
                <w:rtl/>
              </w:rPr>
              <w:t>0.70 فأكثر</w:t>
            </w:r>
          </w:p>
        </w:tc>
      </w:tr>
      <w:tr w:rsidR="00DE2E72" w:rsidRPr="00DE2E72" w14:paraId="4714696C" w14:textId="77777777" w:rsidTr="0040129F">
        <w:tc>
          <w:tcPr>
            <w:tcW w:w="1983" w:type="dxa"/>
          </w:tcPr>
          <w:p w14:paraId="6D8B78E6" w14:textId="77777777" w:rsidR="00DE2E72" w:rsidRPr="00DE2E72" w:rsidRDefault="00DE2E72" w:rsidP="00DE2E72">
            <w:pPr>
              <w:bidi/>
              <w:spacing w:after="200" w:line="276" w:lineRule="auto"/>
              <w:rPr>
                <w:rFonts w:ascii="Simplified Arabic" w:hAnsi="Simplified Arabic" w:cs="Simplified Arabic"/>
              </w:rPr>
            </w:pPr>
            <w:r>
              <w:rPr>
                <w:rFonts w:ascii="Simplified Arabic" w:hAnsi="Simplified Arabic" w:cs="Simplified Arabic"/>
              </w:rPr>
              <w:lastRenderedPageBreak/>
              <w:t>Composite Reliability (CR)</w:t>
            </w:r>
          </w:p>
        </w:tc>
        <w:tc>
          <w:tcPr>
            <w:tcW w:w="2932" w:type="dxa"/>
          </w:tcPr>
          <w:p w14:paraId="1AAA117C" w14:textId="77777777" w:rsidR="00DE2E72" w:rsidRPr="00DE2E72" w:rsidRDefault="00DE2E72" w:rsidP="00DE2E72">
            <w:pPr>
              <w:bidi/>
              <w:spacing w:after="200" w:line="276" w:lineRule="auto"/>
              <w:rPr>
                <w:rFonts w:ascii="Simplified Arabic" w:hAnsi="Simplified Arabic" w:cs="Simplified Arabic"/>
              </w:rPr>
            </w:pPr>
            <w:r>
              <w:rPr>
                <w:rFonts w:ascii="Simplified Arabic" w:hAnsi="Simplified Arabic" w:cs="Simplified Arabic"/>
                <w:rtl/>
              </w:rPr>
              <w:t>الثبات المركب للمتغير</w:t>
            </w:r>
          </w:p>
        </w:tc>
        <w:tc>
          <w:tcPr>
            <w:tcW w:w="3300" w:type="dxa"/>
          </w:tcPr>
          <w:p w14:paraId="096D7454" w14:textId="77777777" w:rsidR="00DE2E72" w:rsidRPr="00DE2E72" w:rsidRDefault="00DE2E72" w:rsidP="00DE2E72">
            <w:pPr>
              <w:bidi/>
              <w:spacing w:after="200" w:line="276" w:lineRule="auto"/>
              <w:rPr>
                <w:rFonts w:ascii="Simplified Arabic" w:hAnsi="Simplified Arabic" w:cs="Simplified Arabic"/>
              </w:rPr>
            </w:pPr>
            <w:r>
              <w:rPr>
                <w:rFonts w:ascii="Simplified Arabic" w:hAnsi="Simplified Arabic" w:cs="Simplified Arabic"/>
                <w:rtl/>
              </w:rPr>
              <w:t>0.70 فأكثر</w:t>
            </w:r>
          </w:p>
        </w:tc>
      </w:tr>
      <w:tr w:rsidR="00DE2E72" w:rsidRPr="00DE2E72" w14:paraId="5AAFFBA1" w14:textId="77777777" w:rsidTr="0040129F">
        <w:tc>
          <w:tcPr>
            <w:tcW w:w="1983" w:type="dxa"/>
          </w:tcPr>
          <w:p w14:paraId="751D22D5" w14:textId="77777777" w:rsidR="00DE2E72" w:rsidRPr="00DE2E72" w:rsidRDefault="00DE2E72" w:rsidP="00DE2E72">
            <w:pPr>
              <w:bidi/>
              <w:spacing w:after="200" w:line="276" w:lineRule="auto"/>
              <w:rPr>
                <w:rFonts w:ascii="Simplified Arabic" w:hAnsi="Simplified Arabic" w:cs="Simplified Arabic"/>
              </w:rPr>
            </w:pPr>
            <w:r>
              <w:rPr>
                <w:rFonts w:ascii="Simplified Arabic" w:hAnsi="Simplified Arabic" w:cs="Simplified Arabic"/>
              </w:rPr>
              <w:t>Average Variance Extracted (AVE)</w:t>
            </w:r>
          </w:p>
        </w:tc>
        <w:tc>
          <w:tcPr>
            <w:tcW w:w="2932" w:type="dxa"/>
          </w:tcPr>
          <w:p w14:paraId="79CE33F8" w14:textId="77777777" w:rsidR="00DE2E72" w:rsidRPr="00DE2E72" w:rsidRDefault="00DE2E72" w:rsidP="00DE2E72">
            <w:pPr>
              <w:bidi/>
              <w:spacing w:after="200" w:line="276" w:lineRule="auto"/>
              <w:rPr>
                <w:rFonts w:ascii="Simplified Arabic" w:hAnsi="Simplified Arabic" w:cs="Simplified Arabic"/>
              </w:rPr>
            </w:pPr>
            <w:r>
              <w:rPr>
                <w:rFonts w:ascii="Simplified Arabic" w:hAnsi="Simplified Arabic" w:cs="Simplified Arabic"/>
                <w:rtl/>
              </w:rPr>
              <w:t>الصدق التقاربي</w:t>
            </w:r>
          </w:p>
        </w:tc>
        <w:tc>
          <w:tcPr>
            <w:tcW w:w="3300" w:type="dxa"/>
          </w:tcPr>
          <w:p w14:paraId="76ACB530" w14:textId="77777777" w:rsidR="00DE2E72" w:rsidRPr="00DE2E72" w:rsidRDefault="00DE2E72" w:rsidP="00DE2E72">
            <w:pPr>
              <w:bidi/>
              <w:spacing w:after="200" w:line="276" w:lineRule="auto"/>
              <w:rPr>
                <w:rFonts w:ascii="Simplified Arabic" w:hAnsi="Simplified Arabic" w:cs="Simplified Arabic"/>
              </w:rPr>
            </w:pPr>
            <w:r>
              <w:rPr>
                <w:rFonts w:ascii="Simplified Arabic" w:hAnsi="Simplified Arabic" w:cs="Simplified Arabic"/>
                <w:rtl/>
              </w:rPr>
              <w:t>0.50 فأكثر</w:t>
            </w:r>
          </w:p>
        </w:tc>
      </w:tr>
      <w:tr w:rsidR="00DE2E72" w:rsidRPr="00DE2E72" w14:paraId="19CAA713" w14:textId="77777777" w:rsidTr="0040129F">
        <w:tc>
          <w:tcPr>
            <w:tcW w:w="1983" w:type="dxa"/>
          </w:tcPr>
          <w:p w14:paraId="2C553FCF" w14:textId="77777777" w:rsidR="00DE2E72" w:rsidRPr="00DE2E72" w:rsidRDefault="00DE2E72" w:rsidP="00DE2E72">
            <w:pPr>
              <w:bidi/>
              <w:spacing w:after="200" w:line="276" w:lineRule="auto"/>
              <w:rPr>
                <w:rFonts w:ascii="Simplified Arabic" w:hAnsi="Simplified Arabic" w:cs="Simplified Arabic"/>
              </w:rPr>
            </w:pPr>
            <w:r>
              <w:rPr>
                <w:rFonts w:ascii="Simplified Arabic" w:hAnsi="Simplified Arabic" w:cs="Simplified Arabic"/>
              </w:rPr>
              <w:t>HTMT</w:t>
            </w:r>
          </w:p>
        </w:tc>
        <w:tc>
          <w:tcPr>
            <w:tcW w:w="2932" w:type="dxa"/>
          </w:tcPr>
          <w:p w14:paraId="5D7DA663" w14:textId="77777777" w:rsidR="00DE2E72" w:rsidRPr="00DE2E72" w:rsidRDefault="00DE2E72" w:rsidP="00DE2E72">
            <w:pPr>
              <w:bidi/>
              <w:spacing w:after="200" w:line="276" w:lineRule="auto"/>
              <w:rPr>
                <w:rFonts w:ascii="Simplified Arabic" w:hAnsi="Simplified Arabic" w:cs="Simplified Arabic"/>
              </w:rPr>
            </w:pPr>
            <w:r>
              <w:rPr>
                <w:rFonts w:ascii="Simplified Arabic" w:hAnsi="Simplified Arabic" w:cs="Simplified Arabic"/>
                <w:rtl/>
              </w:rPr>
              <w:t>الصدق التمايزي</w:t>
            </w:r>
          </w:p>
        </w:tc>
        <w:tc>
          <w:tcPr>
            <w:tcW w:w="3300" w:type="dxa"/>
          </w:tcPr>
          <w:p w14:paraId="38651B07" w14:textId="77777777" w:rsidR="00DE2E72" w:rsidRPr="00DE2E72" w:rsidRDefault="00DE2E72" w:rsidP="00DE2E72">
            <w:pPr>
              <w:bidi/>
              <w:spacing w:after="200" w:line="276" w:lineRule="auto"/>
              <w:rPr>
                <w:rFonts w:ascii="Simplified Arabic" w:hAnsi="Simplified Arabic" w:cs="Simplified Arabic"/>
              </w:rPr>
            </w:pPr>
            <w:r>
              <w:rPr>
                <w:rFonts w:ascii="Simplified Arabic" w:hAnsi="Simplified Arabic" w:cs="Simplified Arabic"/>
                <w:rtl/>
              </w:rPr>
              <w:t>0.85 فأقل</w:t>
            </w:r>
          </w:p>
        </w:tc>
      </w:tr>
      <w:tr w:rsidR="00DE2E72" w:rsidRPr="00DE2E72" w14:paraId="590C223A" w14:textId="77777777" w:rsidTr="0040129F">
        <w:tc>
          <w:tcPr>
            <w:tcW w:w="1983" w:type="dxa"/>
          </w:tcPr>
          <w:p w14:paraId="0E783AFA" w14:textId="63FAE0E2" w:rsidR="00DE2E72" w:rsidRPr="00DE2E72" w:rsidRDefault="00DE2E72" w:rsidP="00DE2E72">
            <w:pPr>
              <w:bidi/>
              <w:spacing w:after="200" w:line="276" w:lineRule="auto"/>
              <w:rPr>
                <w:rFonts w:ascii="Simplified Arabic" w:hAnsi="Simplified Arabic" w:cs="Simplified Arabic"/>
                <w:rtl/>
              </w:rPr>
            </w:pPr>
            <w:r>
              <w:rPr>
                <w:rFonts w:ascii="Simplified Arabic" w:hAnsi="Simplified Arabic" w:cs="Simplified Arabic"/>
                <w:rtl/>
              </w:rPr>
              <w:t>تشبّع الفقرة (</w:t>
            </w:r>
            <w:r>
              <w:rPr>
                <w:rFonts w:ascii="Simplified Arabic" w:hAnsi="Simplified Arabic" w:cs="Simplified Arabic"/>
              </w:rPr>
              <w:t>Outer Loading</w:t>
            </w:r>
            <w:r>
              <w:rPr>
                <w:rFonts w:ascii="Simplified Arabic" w:hAnsi="Simplified Arabic" w:cs="Simplified Arabic"/>
                <w:rtl/>
              </w:rPr>
              <w:t>)</w:t>
            </w:r>
          </w:p>
        </w:tc>
        <w:tc>
          <w:tcPr>
            <w:tcW w:w="2932" w:type="dxa"/>
          </w:tcPr>
          <w:p w14:paraId="357B4FB4" w14:textId="77777777" w:rsidR="00DE2E72" w:rsidRPr="00DE2E72" w:rsidRDefault="00DE2E72" w:rsidP="00DE2E72">
            <w:pPr>
              <w:bidi/>
              <w:spacing w:after="200" w:line="276" w:lineRule="auto"/>
              <w:rPr>
                <w:rFonts w:ascii="Simplified Arabic" w:hAnsi="Simplified Arabic" w:cs="Simplified Arabic"/>
              </w:rPr>
            </w:pPr>
            <w:r>
              <w:rPr>
                <w:rFonts w:ascii="Simplified Arabic" w:hAnsi="Simplified Arabic" w:cs="Simplified Arabic"/>
                <w:rtl/>
              </w:rPr>
              <w:t>ارتباط الفقرة بمتغيرها</w:t>
            </w:r>
          </w:p>
        </w:tc>
        <w:tc>
          <w:tcPr>
            <w:tcW w:w="3300" w:type="dxa"/>
          </w:tcPr>
          <w:p w14:paraId="56AD7FC9" w14:textId="77777777" w:rsidR="00DE2E72" w:rsidRPr="00DE2E72" w:rsidRDefault="00DE2E72" w:rsidP="00DE2E72">
            <w:pPr>
              <w:bidi/>
              <w:spacing w:after="200" w:line="276" w:lineRule="auto"/>
              <w:rPr>
                <w:rFonts w:ascii="Simplified Arabic" w:hAnsi="Simplified Arabic" w:cs="Simplified Arabic"/>
              </w:rPr>
            </w:pPr>
            <w:r>
              <w:rPr>
                <w:rFonts w:ascii="Simplified Arabic" w:hAnsi="Simplified Arabic" w:cs="Simplified Arabic"/>
                <w:rtl/>
              </w:rPr>
              <w:t>0.70 فأكثر</w:t>
            </w:r>
          </w:p>
        </w:tc>
      </w:tr>
    </w:tbl>
    <w:p w14:paraId="54AC6716" w14:textId="77777777" w:rsidR="00B133F8" w:rsidRDefault="00B133F8" w:rsidP="004F4747">
      <w:pPr>
        <w:bidi/>
        <w:spacing w:after="200" w:line="276" w:lineRule="auto"/>
        <w:rPr>
          <w:rFonts w:ascii="Simplified Arabic" w:hAnsi="Simplified Arabic" w:cs="Simplified Arabic"/>
          <w:rtl/>
        </w:rPr>
      </w:pPr>
    </w:p>
    <w:p w14:paraId="618942D1" w14:textId="7635EB04" w:rsidR="004F4747" w:rsidRPr="00DE2E72" w:rsidRDefault="004F4747" w:rsidP="00DE2E72">
      <w:pPr>
        <w:bidi/>
        <w:spacing w:after="200" w:line="240" w:lineRule="auto"/>
        <w:jc w:val="both"/>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t>أساليب المعالجة الإحصائية</w:t>
      </w:r>
    </w:p>
    <w:p w14:paraId="69D525B1" w14:textId="1635FAAD" w:rsidR="004F4747" w:rsidRPr="00FD24BA" w:rsidRDefault="004F4747" w:rsidP="004F4747">
      <w:pPr>
        <w:bidi/>
        <w:spacing w:after="200" w:line="276" w:lineRule="auto"/>
        <w:rPr>
          <w:rFonts w:ascii="Simplified Arabic" w:hAnsi="Simplified Arabic" w:cs="Simplified Arabic"/>
          <w:rtl/>
        </w:rPr>
      </w:pPr>
      <w:r>
        <w:rPr>
          <w:rFonts w:ascii="Simplified Arabic" w:hAnsi="Simplified Arabic" w:cs="Simplified Arabic"/>
          <w:rtl/>
        </w:rPr>
        <w:t>لتعدد متغيرات النموذج (المستقل والوسيط والمعدِّلين والتابع) واشتماله على علاقات مباشرة وغير مباشرة، اعتمد الباحث نمذجة المعادلات البنائية بالمربعات الصغرى الجزئية</w:t>
      </w:r>
      <w:r>
        <w:rPr>
          <w:rFonts w:ascii="Simplified Arabic" w:hAnsi="Simplified Arabic" w:cs="Simplified Arabic"/>
        </w:rPr>
        <w:t xml:space="preserve"> (PLS-SEM) </w:t>
      </w:r>
      <w:r>
        <w:rPr>
          <w:rFonts w:ascii="Simplified Arabic" w:hAnsi="Simplified Arabic" w:cs="Simplified Arabic"/>
          <w:rtl/>
        </w:rPr>
        <w:t>عبر برنامج</w:t>
      </w:r>
      <w:r w:rsidR="00FD24BA">
        <w:rPr>
          <w:rFonts w:ascii="Simplified Arabic" w:hAnsi="Simplified Arabic" w:cs="Simplified Arabic" w:hint="cs"/>
          <w:rtl/>
        </w:rPr>
        <w:t xml:space="preserve"> </w:t>
      </w:r>
      <w:r>
        <w:rPr>
          <w:rFonts w:ascii="Simplified Arabic" w:hAnsi="Simplified Arabic" w:cs="Simplified Arabic"/>
        </w:rPr>
        <w:t>(SmartPLS 4)</w:t>
      </w:r>
      <w:r w:rsidR="00FD24BA">
        <w:rPr>
          <w:rFonts w:ascii="Simplified Arabic" w:hAnsi="Simplified Arabic" w:cs="Simplified Arabic" w:hint="cs"/>
          <w:rtl/>
        </w:rPr>
        <w:t xml:space="preserve">. </w:t>
      </w:r>
      <w:r>
        <w:rPr>
          <w:rFonts w:ascii="Simplified Arabic" w:hAnsi="Simplified Arabic" w:cs="Simplified Arabic"/>
          <w:rtl/>
        </w:rPr>
        <w:t>ويناسب هذا الأسلوب النماذج التفسيرية متعددة العلاقات، إذ يقدر العلاقات مجتمعة ويختبر أثري الوساطة والتعديل، ولا يشترط التوزيع الطبيعي للبيانات أو حجم عينة كبيرًا كما هي الحال في الأساليب القائمة على التغاير</w:t>
      </w:r>
      <w:r>
        <w:rPr>
          <w:rFonts w:ascii="Simplified Arabic" w:hAnsi="Simplified Arabic" w:cs="Simplified Arabic"/>
        </w:rPr>
        <w:t>(Hair et al., 2022)</w:t>
      </w:r>
      <w:r>
        <w:rPr>
          <w:rFonts w:ascii="Simplified Arabic" w:hAnsi="Simplified Arabic" w:cs="Simplified Arabic"/>
          <w:rtl/>
        </w:rPr>
        <w:t>. وقد سبق أن اعتمد الأسلوب نفسه في دراسات وردت في الإطار النظري، مثل دراسة اللهيبي وآخرين (2024) ودراسة بياري</w:t>
      </w:r>
      <w:r>
        <w:rPr>
          <w:rFonts w:ascii="Simplified Arabic" w:hAnsi="Simplified Arabic" w:cs="Simplified Arabic"/>
        </w:rPr>
        <w:t xml:space="preserve"> (2025)</w:t>
      </w:r>
      <w:r w:rsidR="00EB385F">
        <w:rPr>
          <w:rFonts w:ascii="Simplified Arabic" w:hAnsi="Simplified Arabic" w:cs="Simplified Arabic" w:hint="cs"/>
          <w:rtl/>
        </w:rPr>
        <w:t>.</w:t>
      </w:r>
    </w:p>
    <w:p w14:paraId="3113D902" w14:textId="77777777" w:rsidR="004F4747" w:rsidRPr="004F4747" w:rsidRDefault="004F4747" w:rsidP="004F4747">
      <w:pPr>
        <w:bidi/>
        <w:spacing w:after="200" w:line="276" w:lineRule="auto"/>
        <w:rPr>
          <w:rFonts w:ascii="Simplified Arabic" w:hAnsi="Simplified Arabic" w:cs="Simplified Arabic"/>
          <w:rtl/>
        </w:rPr>
      </w:pPr>
      <w:r>
        <w:rPr>
          <w:rFonts w:ascii="Simplified Arabic" w:hAnsi="Simplified Arabic" w:cs="Simplified Arabic"/>
          <w:rtl/>
        </w:rPr>
        <w:t>ويمر التحليل بمرحلتين متتابعتين هما تقييم نموذج القياس ثم تقييم النموذج الهيكلي، تسبقهما مرحلة تمهيدية تشمل تنظيف البيانات وتجهيزها، وفحص تحيز الطريقة المشتركة، والمعالجة الوصفية، على النحو الآتي</w:t>
      </w:r>
      <w:r>
        <w:rPr>
          <w:rFonts w:ascii="Simplified Arabic" w:hAnsi="Simplified Arabic" w:cs="Simplified Arabic"/>
        </w:rPr>
        <w:t>:</w:t>
      </w:r>
    </w:p>
    <w:p w14:paraId="7D8C7445" w14:textId="77777777" w:rsidR="004F4747" w:rsidRPr="004F4747" w:rsidRDefault="004F4747" w:rsidP="004F4747">
      <w:pPr>
        <w:bidi/>
        <w:spacing w:after="200" w:line="276" w:lineRule="auto"/>
        <w:rPr>
          <w:rFonts w:ascii="Simplified Arabic" w:hAnsi="Simplified Arabic" w:cs="Simplified Arabic"/>
          <w:b/>
          <w:bCs/>
          <w:rtl/>
        </w:rPr>
      </w:pPr>
      <w:r>
        <w:rPr>
          <w:rFonts w:ascii="Simplified Arabic" w:hAnsi="Simplified Arabic" w:cs="Simplified Arabic"/>
          <w:b/>
          <w:bCs/>
          <w:rtl/>
        </w:rPr>
        <w:t>تنظيف البيانات وتجهيزها للتحليل</w:t>
      </w:r>
    </w:p>
    <w:p w14:paraId="63B65768" w14:textId="77777777" w:rsidR="004F4747" w:rsidRPr="004F4747" w:rsidRDefault="004F4747" w:rsidP="004F4747">
      <w:pPr>
        <w:bidi/>
        <w:spacing w:after="200" w:line="276" w:lineRule="auto"/>
        <w:rPr>
          <w:rFonts w:ascii="Simplified Arabic" w:hAnsi="Simplified Arabic" w:cs="Simplified Arabic"/>
          <w:rtl/>
        </w:rPr>
      </w:pPr>
      <w:r>
        <w:rPr>
          <w:rFonts w:ascii="Simplified Arabic" w:hAnsi="Simplified Arabic" w:cs="Simplified Arabic"/>
          <w:rtl/>
        </w:rPr>
        <w:t xml:space="preserve">قبل الشروع في التحليل، تخضع البيانات المجمَّعة لعملية فحص وتنظيف تضمن جودتها وصلاحيتها؛ إذ تُستبعد الاستجابات غير المكتملة التي لم تستوفِ شروط الأهلية أو لم تُجب عن محاور الأداة، وتُفحص القيم المفقودة للتحقق من حجمها ونمطها ومعالجتها بما يناسبها، كما تُفحص القيم الشاذة </w:t>
      </w:r>
      <w:r>
        <w:rPr>
          <w:rFonts w:ascii="Simplified Arabic" w:hAnsi="Simplified Arabic" w:cs="Simplified Arabic"/>
        </w:rPr>
        <w:t>(Outliers)</w:t>
      </w:r>
      <w:r>
        <w:rPr>
          <w:rFonts w:ascii="Simplified Arabic" w:hAnsi="Simplified Arabic" w:cs="Simplified Arabic"/>
          <w:rtl/>
        </w:rPr>
        <w:t xml:space="preserve"> التي قد تؤثر في نتائج التحليل، وتُستبعد الاستجابات النمطية أو غير الجادة، كالتي تختار الدرجة نفسها في جميع الفقرات أو تُنجز في زمن لا يسمح بقراءة العبارات. وبعد اكتمال هذه الخطوات تُعتمد قاعدة البيانات النهائية التي يُبنى عليها تقييم نموذج القياس ثم النموذج الهيكلي.</w:t>
      </w:r>
    </w:p>
    <w:p w14:paraId="4450D19C" w14:textId="041F6877" w:rsidR="004F4747" w:rsidRPr="004F4747" w:rsidRDefault="004F4747" w:rsidP="004F4747">
      <w:pPr>
        <w:bidi/>
        <w:spacing w:after="200" w:line="276" w:lineRule="auto"/>
        <w:rPr>
          <w:rFonts w:ascii="Simplified Arabic" w:hAnsi="Simplified Arabic" w:cs="Simplified Arabic"/>
          <w:b/>
          <w:bCs/>
          <w:rtl/>
        </w:rPr>
      </w:pPr>
      <w:r>
        <w:rPr>
          <w:rFonts w:ascii="Simplified Arabic" w:hAnsi="Simplified Arabic" w:cs="Simplified Arabic"/>
          <w:b/>
          <w:bCs/>
          <w:rtl/>
        </w:rPr>
        <w:t xml:space="preserve">فحص تحيز الطريقة المشتركة </w:t>
      </w:r>
      <w:r w:rsidR="00EB385F">
        <w:rPr>
          <w:rFonts w:ascii="Simplified Arabic" w:hAnsi="Simplified Arabic" w:cs="Simplified Arabic" w:hint="cs"/>
          <w:b/>
          <w:bCs/>
          <w:rtl/>
        </w:rPr>
        <w:t xml:space="preserve"> </w:t>
      </w:r>
    </w:p>
    <w:p w14:paraId="3BE4C808" w14:textId="55CE9761" w:rsidR="004F4747" w:rsidRPr="004F4747" w:rsidRDefault="00EB385F" w:rsidP="004F4747">
      <w:pPr>
        <w:bidi/>
        <w:spacing w:after="200" w:line="276" w:lineRule="auto"/>
        <w:rPr>
          <w:rFonts w:ascii="Simplified Arabic" w:hAnsi="Simplified Arabic" w:cs="Simplified Arabic"/>
          <w:rtl/>
        </w:rPr>
      </w:pPr>
      <w:r>
        <w:rPr>
          <w:rFonts w:ascii="Simplified Arabic" w:hAnsi="Simplified Arabic" w:cs="Simplified Arabic" w:hint="cs"/>
          <w:rtl/>
        </w:rPr>
        <w:t>لأن</w:t>
      </w:r>
      <w:r w:rsidR="004F4747">
        <w:rPr>
          <w:rFonts w:ascii="Simplified Arabic" w:hAnsi="Simplified Arabic" w:cs="Simplified Arabic"/>
          <w:rtl/>
        </w:rPr>
        <w:t xml:space="preserve"> بيانات الدراسة تُجمع من مصدر واحد وبأداة واحدة هي الاستبانة، فقد يظهر ما يُعرف بتحيز الطريقة المشتركة الذي قد يضخ</w:t>
      </w:r>
      <w:r>
        <w:rPr>
          <w:rFonts w:ascii="Simplified Arabic" w:hAnsi="Simplified Arabic" w:cs="Simplified Arabic" w:hint="cs"/>
          <w:rtl/>
        </w:rPr>
        <w:t>م</w:t>
      </w:r>
      <w:r w:rsidR="004F4747">
        <w:rPr>
          <w:rFonts w:ascii="Simplified Arabic" w:hAnsi="Simplified Arabic" w:cs="Simplified Arabic"/>
          <w:rtl/>
        </w:rPr>
        <w:t xml:space="preserve"> العلاقات بين المتغيرات </w:t>
      </w:r>
      <w:r w:rsidR="004F4747">
        <w:rPr>
          <w:rFonts w:ascii="Simplified Arabic" w:hAnsi="Simplified Arabic" w:cs="Simplified Arabic"/>
        </w:rPr>
        <w:t>(Podsakoff et al., 2003)</w:t>
      </w:r>
      <w:r w:rsidR="004F4747">
        <w:rPr>
          <w:rFonts w:ascii="Simplified Arabic" w:hAnsi="Simplified Arabic" w:cs="Simplified Arabic"/>
          <w:rtl/>
        </w:rPr>
        <w:t xml:space="preserve">. وللتحقق من عدم تأثيره في النتائج، يُجري الباحث </w:t>
      </w:r>
      <w:r w:rsidR="004F4747">
        <w:rPr>
          <w:rFonts w:ascii="Simplified Arabic" w:hAnsi="Simplified Arabic" w:cs="Simplified Arabic"/>
          <w:rtl/>
        </w:rPr>
        <w:lastRenderedPageBreak/>
        <w:t xml:space="preserve">اختبار العامل الوحيد لهارمان </w:t>
      </w:r>
      <w:r w:rsidR="004F4747">
        <w:rPr>
          <w:rFonts w:ascii="Simplified Arabic" w:hAnsi="Simplified Arabic" w:cs="Simplified Arabic"/>
        </w:rPr>
        <w:t>(Harman's Single-Factor Test)</w:t>
      </w:r>
      <w:r w:rsidR="004F4747">
        <w:rPr>
          <w:rFonts w:ascii="Simplified Arabic" w:hAnsi="Simplified Arabic" w:cs="Simplified Arabic"/>
          <w:rtl/>
        </w:rPr>
        <w:t xml:space="preserve"> للتأكد من أن عامل واحد لا يفسر النسبة الأكبر من التباين الكلي، ويعززه بفحص الارتباط الخطي الكلي القائم على معاملات تضخم التباين </w:t>
      </w:r>
      <w:r w:rsidR="004F4747">
        <w:rPr>
          <w:rFonts w:ascii="Simplified Arabic" w:hAnsi="Simplified Arabic" w:cs="Simplified Arabic"/>
        </w:rPr>
        <w:t>(Full Collinearity VIF)</w:t>
      </w:r>
      <w:r w:rsidR="004F4747">
        <w:rPr>
          <w:rFonts w:ascii="Simplified Arabic" w:hAnsi="Simplified Arabic" w:cs="Simplified Arabic"/>
          <w:rtl/>
        </w:rPr>
        <w:t xml:space="preserve"> في بيئة </w:t>
      </w:r>
      <w:r w:rsidR="004F4747">
        <w:rPr>
          <w:rFonts w:ascii="Simplified Arabic" w:hAnsi="Simplified Arabic" w:cs="Simplified Arabic"/>
        </w:rPr>
        <w:t>PLS-SEM</w:t>
      </w:r>
      <w:r w:rsidR="004F4747">
        <w:rPr>
          <w:rFonts w:ascii="Simplified Arabic" w:hAnsi="Simplified Arabic" w:cs="Simplified Arabic"/>
          <w:rtl/>
        </w:rPr>
        <w:t xml:space="preserve">، بحيث تدل القيم الأدنى من (3.3) على سلامة النموذج من هذا التحيز </w:t>
      </w:r>
      <w:r w:rsidR="004F4747">
        <w:rPr>
          <w:rFonts w:ascii="Simplified Arabic" w:hAnsi="Simplified Arabic" w:cs="Simplified Arabic"/>
        </w:rPr>
        <w:t>(Kock, 2015)</w:t>
      </w:r>
      <w:r w:rsidR="004F4747">
        <w:rPr>
          <w:rFonts w:ascii="Simplified Arabic" w:hAnsi="Simplified Arabic" w:cs="Simplified Arabic"/>
          <w:rtl/>
        </w:rPr>
        <w:t>.</w:t>
      </w:r>
    </w:p>
    <w:p w14:paraId="6178F62B" w14:textId="2A92220F" w:rsidR="004F4747" w:rsidRPr="00DE2E72" w:rsidRDefault="004F4747" w:rsidP="004F4747">
      <w:pPr>
        <w:bidi/>
        <w:spacing w:after="200" w:line="276" w:lineRule="auto"/>
        <w:rPr>
          <w:rFonts w:ascii="Simplified Arabic" w:hAnsi="Simplified Arabic" w:cs="Simplified Arabic"/>
          <w:b/>
          <w:bCs/>
          <w:rtl/>
        </w:rPr>
      </w:pPr>
      <w:r>
        <w:rPr>
          <w:rFonts w:ascii="Simplified Arabic" w:hAnsi="Simplified Arabic" w:cs="Simplified Arabic"/>
          <w:b/>
          <w:bCs/>
          <w:rtl/>
        </w:rPr>
        <w:t>الأساليب الوصفية</w:t>
      </w:r>
    </w:p>
    <w:p w14:paraId="7888C4A8" w14:textId="77777777" w:rsidR="004F4747" w:rsidRPr="004F4747" w:rsidRDefault="004F4747" w:rsidP="004F4747">
      <w:pPr>
        <w:bidi/>
        <w:spacing w:after="200" w:line="276" w:lineRule="auto"/>
        <w:rPr>
          <w:rFonts w:ascii="Simplified Arabic" w:hAnsi="Simplified Arabic" w:cs="Simplified Arabic"/>
          <w:rtl/>
        </w:rPr>
      </w:pPr>
      <w:r>
        <w:rPr>
          <w:rFonts w:ascii="Simplified Arabic" w:hAnsi="Simplified Arabic" w:cs="Simplified Arabic"/>
          <w:rtl/>
        </w:rPr>
        <w:t>وتُستعمل لوصف خصائص أفراد العينة واستجاباتهم، وتشمل التكرارات والنسب المئوية لوصف المتغيرات الشخصية والوظيفية، والمتوسطات الحسابية والانحرافات المعيارية لتحديد مستوى استجابة العينة على الفقرات والمحاور وترتيبها</w:t>
      </w:r>
      <w:r>
        <w:rPr>
          <w:rFonts w:ascii="Simplified Arabic" w:hAnsi="Simplified Arabic" w:cs="Simplified Arabic"/>
        </w:rPr>
        <w:t>.</w:t>
      </w:r>
    </w:p>
    <w:p w14:paraId="31ED5698" w14:textId="433158C4" w:rsidR="004F4747" w:rsidRPr="00DE2E72" w:rsidRDefault="004F4747" w:rsidP="004F4747">
      <w:pPr>
        <w:bidi/>
        <w:spacing w:after="200" w:line="276" w:lineRule="auto"/>
        <w:rPr>
          <w:rFonts w:ascii="Simplified Arabic" w:hAnsi="Simplified Arabic" w:cs="Simplified Arabic"/>
          <w:b/>
          <w:bCs/>
          <w:rtl/>
        </w:rPr>
      </w:pPr>
      <w:r>
        <w:rPr>
          <w:rFonts w:ascii="Simplified Arabic" w:hAnsi="Simplified Arabic" w:cs="Simplified Arabic"/>
          <w:b/>
          <w:bCs/>
        </w:rPr>
        <w:t xml:space="preserve"> </w:t>
      </w:r>
      <w:r>
        <w:rPr>
          <w:rFonts w:ascii="Simplified Arabic" w:hAnsi="Simplified Arabic" w:cs="Simplified Arabic"/>
          <w:b/>
          <w:bCs/>
          <w:rtl/>
        </w:rPr>
        <w:t>تقييم نموذج القياس</w:t>
      </w:r>
    </w:p>
    <w:p w14:paraId="791FDEE8" w14:textId="16BAF8EB" w:rsidR="004F4747" w:rsidRPr="004F4747" w:rsidRDefault="004F4747" w:rsidP="004F4747">
      <w:pPr>
        <w:bidi/>
        <w:spacing w:after="200" w:line="276" w:lineRule="auto"/>
        <w:rPr>
          <w:rFonts w:ascii="Simplified Arabic" w:hAnsi="Simplified Arabic" w:cs="Simplified Arabic"/>
          <w:rtl/>
        </w:rPr>
      </w:pPr>
      <w:r>
        <w:rPr>
          <w:rFonts w:ascii="Simplified Arabic" w:hAnsi="Simplified Arabic" w:cs="Simplified Arabic"/>
          <w:rtl/>
        </w:rPr>
        <w:t>ويُقصد به التحقق من جودة قياس المتغيرات الكامنة عبر فقراتها، ويشمل فحص تشبّعات الفقرات</w:t>
      </w:r>
      <w:r>
        <w:rPr>
          <w:rFonts w:ascii="Simplified Arabic" w:hAnsi="Simplified Arabic" w:cs="Simplified Arabic"/>
        </w:rPr>
        <w:t xml:space="preserve"> (Outer Loadings)</w:t>
      </w:r>
      <w:r>
        <w:rPr>
          <w:rFonts w:ascii="Simplified Arabic" w:hAnsi="Simplified Arabic" w:cs="Simplified Arabic"/>
          <w:rtl/>
        </w:rPr>
        <w:t>، ومعاملي ألفا كرونباخ والثبات المركب للاتساق الداخلي، ومتوسط التباين المستخرج</w:t>
      </w:r>
      <w:r>
        <w:rPr>
          <w:rFonts w:ascii="Simplified Arabic" w:hAnsi="Simplified Arabic" w:cs="Simplified Arabic"/>
        </w:rPr>
        <w:t xml:space="preserve"> (AVE) </w:t>
      </w:r>
      <w:r>
        <w:rPr>
          <w:rFonts w:ascii="Simplified Arabic" w:hAnsi="Simplified Arabic" w:cs="Simplified Arabic"/>
          <w:rtl/>
        </w:rPr>
        <w:t>للصدق التقاربي، واختبار</w:t>
      </w:r>
      <w:r>
        <w:rPr>
          <w:rFonts w:ascii="Simplified Arabic" w:hAnsi="Simplified Arabic" w:cs="Simplified Arabic"/>
        </w:rPr>
        <w:t xml:space="preserve"> </w:t>
      </w:r>
      <w:r w:rsidR="00EB385F">
        <w:rPr>
          <w:rFonts w:ascii="Simplified Arabic" w:hAnsi="Simplified Arabic" w:cs="Simplified Arabic"/>
        </w:rPr>
        <w:t xml:space="preserve"> </w:t>
      </w:r>
      <w:r>
        <w:rPr>
          <w:rFonts w:ascii="Simplified Arabic" w:hAnsi="Simplified Arabic" w:cs="Simplified Arabic"/>
        </w:rPr>
        <w:t xml:space="preserve">(HTMT) </w:t>
      </w:r>
      <w:r w:rsidR="00EB385F">
        <w:rPr>
          <w:rFonts w:ascii="Simplified Arabic" w:hAnsi="Simplified Arabic" w:cs="Simplified Arabic" w:hint="cs"/>
          <w:rtl/>
        </w:rPr>
        <w:t xml:space="preserve"> </w:t>
      </w:r>
      <w:r>
        <w:rPr>
          <w:rFonts w:ascii="Simplified Arabic" w:hAnsi="Simplified Arabic" w:cs="Simplified Arabic"/>
          <w:rtl/>
        </w:rPr>
        <w:t>للصدق التمايزي، وفق القيم المرجعية</w:t>
      </w:r>
      <w:r w:rsidR="00EB385F">
        <w:rPr>
          <w:rFonts w:ascii="Simplified Arabic" w:hAnsi="Simplified Arabic" w:cs="Simplified Arabic" w:hint="cs"/>
          <w:rtl/>
        </w:rPr>
        <w:t xml:space="preserve"> الذي تم تحديدها.</w:t>
      </w:r>
    </w:p>
    <w:p w14:paraId="56B75461" w14:textId="36AD6444" w:rsidR="004F4747" w:rsidRPr="00DE2E72" w:rsidRDefault="004F4747" w:rsidP="004F4747">
      <w:pPr>
        <w:bidi/>
        <w:spacing w:after="200" w:line="276" w:lineRule="auto"/>
        <w:rPr>
          <w:rFonts w:ascii="Simplified Arabic" w:hAnsi="Simplified Arabic" w:cs="Simplified Arabic"/>
          <w:b/>
          <w:bCs/>
          <w:rtl/>
        </w:rPr>
      </w:pPr>
      <w:r>
        <w:rPr>
          <w:rFonts w:ascii="Simplified Arabic" w:hAnsi="Simplified Arabic" w:cs="Simplified Arabic"/>
          <w:b/>
          <w:bCs/>
          <w:rtl/>
        </w:rPr>
        <w:t>تقييم النموذج الهيكلي واختبار الفرضيات</w:t>
      </w:r>
    </w:p>
    <w:p w14:paraId="522CEEDE" w14:textId="0665ADC8" w:rsidR="004F4747" w:rsidRPr="004F4747" w:rsidRDefault="004F4747" w:rsidP="004F4747">
      <w:pPr>
        <w:bidi/>
        <w:spacing w:after="200" w:line="276" w:lineRule="auto"/>
        <w:rPr>
          <w:rFonts w:ascii="Simplified Arabic" w:hAnsi="Simplified Arabic" w:cs="Simplified Arabic"/>
          <w:rtl/>
        </w:rPr>
      </w:pPr>
      <w:r>
        <w:rPr>
          <w:rFonts w:ascii="Simplified Arabic" w:hAnsi="Simplified Arabic" w:cs="Simplified Arabic"/>
          <w:rtl/>
        </w:rPr>
        <w:t>ويقصد به اختبار العلاقات بين المتغيرات، ويشمل تقدير معاملات المسار</w:t>
      </w:r>
      <w:r>
        <w:rPr>
          <w:rFonts w:ascii="Simplified Arabic" w:hAnsi="Simplified Arabic" w:cs="Simplified Arabic"/>
        </w:rPr>
        <w:t xml:space="preserve"> (Path Coefficients) </w:t>
      </w:r>
      <w:r>
        <w:rPr>
          <w:rFonts w:ascii="Simplified Arabic" w:hAnsi="Simplified Arabic" w:cs="Simplified Arabic"/>
          <w:rtl/>
        </w:rPr>
        <w:t>وفحص دلالتها عبر إعادة المعاينة</w:t>
      </w:r>
      <w:r>
        <w:rPr>
          <w:rFonts w:ascii="Simplified Arabic" w:hAnsi="Simplified Arabic" w:cs="Simplified Arabic"/>
        </w:rPr>
        <w:t>(Bootstrapping)</w:t>
      </w:r>
      <w:r w:rsidR="00EB385F">
        <w:rPr>
          <w:rFonts w:ascii="Simplified Arabic" w:hAnsi="Simplified Arabic" w:cs="Simplified Arabic"/>
        </w:rPr>
        <w:t xml:space="preserve"> </w:t>
      </w:r>
      <w:r>
        <w:rPr>
          <w:rFonts w:ascii="Simplified Arabic" w:hAnsi="Simplified Arabic" w:cs="Simplified Arabic"/>
          <w:rtl/>
        </w:rPr>
        <w:t>، ومعامل التحديد</w:t>
      </w:r>
      <w:r>
        <w:rPr>
          <w:rFonts w:ascii="Simplified Arabic" w:hAnsi="Simplified Arabic" w:cs="Simplified Arabic"/>
        </w:rPr>
        <w:t xml:space="preserve"> (R²) </w:t>
      </w:r>
      <w:r>
        <w:rPr>
          <w:rFonts w:ascii="Simplified Arabic" w:hAnsi="Simplified Arabic" w:cs="Simplified Arabic"/>
          <w:rtl/>
        </w:rPr>
        <w:t>لبيان نسبة التباين المفسر في المتغيرين الوسيط والتابع</w:t>
      </w:r>
      <w:r>
        <w:rPr>
          <w:rFonts w:ascii="Simplified Arabic" w:hAnsi="Simplified Arabic" w:cs="Simplified Arabic"/>
        </w:rPr>
        <w:t>.</w:t>
      </w:r>
    </w:p>
    <w:p w14:paraId="474F021B" w14:textId="77777777" w:rsidR="004F4747" w:rsidRPr="004F4747" w:rsidRDefault="004F4747" w:rsidP="004F4747">
      <w:pPr>
        <w:bidi/>
        <w:spacing w:after="200" w:line="276" w:lineRule="auto"/>
        <w:rPr>
          <w:rFonts w:ascii="Simplified Arabic" w:hAnsi="Simplified Arabic" w:cs="Simplified Arabic"/>
          <w:rtl/>
        </w:rPr>
      </w:pPr>
      <w:r>
        <w:rPr>
          <w:rFonts w:ascii="Simplified Arabic" w:hAnsi="Simplified Arabic" w:cs="Simplified Arabic"/>
          <w:rtl/>
        </w:rPr>
        <w:t xml:space="preserve">ويُختبر في هذه المرحلة أثر الوساطة لجودة عملية التصميم في العلاقة بين توظيف الذكاء الاصطناعي التوليدي وفعالية الأداء التسويقي، من خلال تقدير الأثر غير المباشر وفحص دلالته بأسلوب إعادة المعاينة </w:t>
      </w:r>
      <w:r>
        <w:rPr>
          <w:rFonts w:ascii="Simplified Arabic" w:hAnsi="Simplified Arabic" w:cs="Simplified Arabic"/>
        </w:rPr>
        <w:t>(Bootstrapping)</w:t>
      </w:r>
      <w:r>
        <w:rPr>
          <w:rFonts w:ascii="Simplified Arabic" w:hAnsi="Simplified Arabic" w:cs="Simplified Arabic"/>
          <w:rtl/>
        </w:rPr>
        <w:t xml:space="preserve">، ثم تحديد نمط الوساطة، أهي كاملة أم جزئية أم منعدمة، في ضوء دلالة الأثرين المباشر وغير المباشر واتجاهيهما وفق تصنيف </w:t>
      </w:r>
      <w:r>
        <w:rPr>
          <w:rFonts w:ascii="Simplified Arabic" w:hAnsi="Simplified Arabic" w:cs="Simplified Arabic"/>
        </w:rPr>
        <w:t>(Zhao et al., 2010)</w:t>
      </w:r>
      <w:r>
        <w:rPr>
          <w:rFonts w:ascii="Simplified Arabic" w:hAnsi="Simplified Arabic" w:cs="Simplified Arabic"/>
          <w:rtl/>
        </w:rPr>
        <w:t>.</w:t>
      </w:r>
    </w:p>
    <w:p w14:paraId="1AC5C7A8" w14:textId="5FDE75B4" w:rsidR="004F4747" w:rsidRPr="004F4747" w:rsidRDefault="004F4747" w:rsidP="004F4747">
      <w:pPr>
        <w:bidi/>
        <w:spacing w:after="200" w:line="276" w:lineRule="auto"/>
        <w:rPr>
          <w:rFonts w:ascii="Simplified Arabic" w:hAnsi="Simplified Arabic" w:cs="Simplified Arabic"/>
          <w:rtl/>
        </w:rPr>
      </w:pPr>
      <w:r>
        <w:rPr>
          <w:rFonts w:ascii="Simplified Arabic" w:hAnsi="Simplified Arabic" w:cs="Simplified Arabic"/>
          <w:rtl/>
        </w:rPr>
        <w:t>أما الدور المعدِّل فيُختبر من خلال أثر التفاعل في علاقة التوظيف بجودة التصميم، ويُجرى لكل متغير معدل</w:t>
      </w:r>
      <w:r w:rsidR="00EB385F">
        <w:rPr>
          <w:rFonts w:ascii="Simplified Arabic" w:hAnsi="Simplified Arabic" w:cs="Simplified Arabic" w:hint="cs"/>
          <w:rtl/>
        </w:rPr>
        <w:t xml:space="preserve"> على حده</w:t>
      </w:r>
      <w:r>
        <w:rPr>
          <w:rFonts w:ascii="Simplified Arabic" w:hAnsi="Simplified Arabic" w:cs="Simplified Arabic"/>
          <w:rtl/>
        </w:rPr>
        <w:t xml:space="preserve">؛ إذ يُبنى حد التفاعل بين المتغير المستقل وكل متغير معدِّل داخل برنامج </w:t>
      </w:r>
      <w:r>
        <w:rPr>
          <w:rFonts w:ascii="Simplified Arabic" w:hAnsi="Simplified Arabic" w:cs="Simplified Arabic"/>
        </w:rPr>
        <w:t>(SmartPLS)</w:t>
      </w:r>
      <w:r>
        <w:rPr>
          <w:rFonts w:ascii="Simplified Arabic" w:hAnsi="Simplified Arabic" w:cs="Simplified Arabic"/>
          <w:rtl/>
        </w:rPr>
        <w:t xml:space="preserve"> بأسلوب المرحلتين </w:t>
      </w:r>
      <w:r>
        <w:rPr>
          <w:rFonts w:ascii="Simplified Arabic" w:hAnsi="Simplified Arabic" w:cs="Simplified Arabic"/>
        </w:rPr>
        <w:t>(Two-Stage Approach)</w:t>
      </w:r>
      <w:r>
        <w:rPr>
          <w:rFonts w:ascii="Simplified Arabic" w:hAnsi="Simplified Arabic" w:cs="Simplified Arabic"/>
          <w:rtl/>
        </w:rPr>
        <w:t xml:space="preserve"> لما يوفره من قوة إحصائية أعلى وملاءمة لأغراض اختبار الفرضيات </w:t>
      </w:r>
      <w:r>
        <w:rPr>
          <w:rFonts w:ascii="Simplified Arabic" w:hAnsi="Simplified Arabic" w:cs="Simplified Arabic"/>
        </w:rPr>
        <w:t>(Hair et al., 2022)</w:t>
      </w:r>
      <w:r>
        <w:rPr>
          <w:rFonts w:ascii="Simplified Arabic" w:hAnsi="Simplified Arabic" w:cs="Simplified Arabic"/>
          <w:rtl/>
        </w:rPr>
        <w:t xml:space="preserve">، فيُختبر تفاعل الدوافع مع التوظيف </w:t>
      </w:r>
      <w:r>
        <w:rPr>
          <w:rFonts w:ascii="Simplified Arabic" w:hAnsi="Simplified Arabic" w:cs="Simplified Arabic"/>
        </w:rPr>
        <w:t>(GAIU × ADP)</w:t>
      </w:r>
      <w:r>
        <w:rPr>
          <w:rFonts w:ascii="Simplified Arabic" w:hAnsi="Simplified Arabic" w:cs="Simplified Arabic"/>
          <w:rtl/>
        </w:rPr>
        <w:t xml:space="preserve"> في مسار واحد، ويُختبر تفاعل العوائق مع التوظيف </w:t>
      </w:r>
      <w:r>
        <w:rPr>
          <w:rFonts w:ascii="Simplified Arabic" w:hAnsi="Simplified Arabic" w:cs="Simplified Arabic"/>
        </w:rPr>
        <w:t>(GAIU × BAR)</w:t>
      </w:r>
      <w:r>
        <w:rPr>
          <w:rFonts w:ascii="Simplified Arabic" w:hAnsi="Simplified Arabic" w:cs="Simplified Arabic"/>
          <w:rtl/>
        </w:rPr>
        <w:t xml:space="preserve"> في مسار مستقل، تمييزًا للأثر المعزز عن الأثر المثبط، ثم تُفحص دلالة كل أثر تفاعلي بأسلوب </w:t>
      </w:r>
      <w:r>
        <w:rPr>
          <w:rFonts w:ascii="Simplified Arabic" w:hAnsi="Simplified Arabic" w:cs="Simplified Arabic"/>
        </w:rPr>
        <w:t>(Bootstrapping)</w:t>
      </w:r>
      <w:r>
        <w:rPr>
          <w:rFonts w:ascii="Simplified Arabic" w:hAnsi="Simplified Arabic" w:cs="Simplified Arabic"/>
          <w:rtl/>
        </w:rPr>
        <w:t>.</w:t>
      </w:r>
      <w:r w:rsidR="00FD24BA">
        <w:rPr>
          <w:rFonts w:ascii="Simplified Arabic" w:hAnsi="Simplified Arabic" w:cs="Simplified Arabic" w:hint="cs"/>
          <w:rtl/>
        </w:rPr>
        <w:t xml:space="preserve"> </w:t>
      </w:r>
    </w:p>
    <w:p w14:paraId="1A36C435" w14:textId="34EC637D" w:rsidR="004F4747" w:rsidRPr="00DE2E72" w:rsidRDefault="004F4747" w:rsidP="004F4747">
      <w:pPr>
        <w:bidi/>
        <w:spacing w:after="200" w:line="276" w:lineRule="auto"/>
        <w:rPr>
          <w:rFonts w:ascii="Simplified Arabic" w:hAnsi="Simplified Arabic" w:cs="Simplified Arabic"/>
          <w:b/>
          <w:bCs/>
          <w:rtl/>
        </w:rPr>
      </w:pPr>
      <w:r>
        <w:rPr>
          <w:rFonts w:ascii="Simplified Arabic" w:hAnsi="Simplified Arabic" w:cs="Simplified Arabic"/>
          <w:b/>
          <w:bCs/>
          <w:rtl/>
        </w:rPr>
        <w:t>جدول: ربط فرضيات الدراسة بأساليب اختبارها الإحصائية</w:t>
      </w:r>
    </w:p>
    <w:tbl>
      <w:tblPr>
        <w:tblStyle w:val="ac"/>
        <w:bidiVisual/>
        <w:tblW w:w="8218" w:type="dxa"/>
        <w:tblInd w:w="1281" w:type="dxa"/>
        <w:tblLook w:val="04A0" w:firstRow="1" w:lastRow="0" w:firstColumn="1" w:lastColumn="0" w:noHBand="0" w:noVBand="1"/>
      </w:tblPr>
      <w:tblGrid>
        <w:gridCol w:w="773"/>
        <w:gridCol w:w="4418"/>
        <w:gridCol w:w="3027"/>
      </w:tblGrid>
      <w:tr w:rsidR="00DE2E72" w:rsidRPr="00DE2E72" w14:paraId="2B1EB43F" w14:textId="77777777" w:rsidTr="0040129F">
        <w:tc>
          <w:tcPr>
            <w:tcW w:w="709" w:type="dxa"/>
          </w:tcPr>
          <w:p w14:paraId="07B3C331" w14:textId="77777777" w:rsidR="00DE2E72" w:rsidRPr="00DE2E72" w:rsidRDefault="00DE2E72" w:rsidP="00DE2E72">
            <w:pPr>
              <w:bidi/>
              <w:spacing w:after="200" w:line="276" w:lineRule="auto"/>
              <w:rPr>
                <w:rFonts w:ascii="Simplified Arabic" w:hAnsi="Simplified Arabic" w:cs="Simplified Arabic"/>
              </w:rPr>
            </w:pPr>
            <w:r>
              <w:rPr>
                <w:rFonts w:ascii="Simplified Arabic" w:hAnsi="Simplified Arabic" w:cs="Simplified Arabic"/>
                <w:b/>
                <w:bCs/>
                <w:rtl/>
              </w:rPr>
              <w:t>الفرضية</w:t>
            </w:r>
          </w:p>
        </w:tc>
        <w:tc>
          <w:tcPr>
            <w:tcW w:w="4463" w:type="dxa"/>
          </w:tcPr>
          <w:p w14:paraId="1653E07B" w14:textId="77777777" w:rsidR="00DE2E72" w:rsidRPr="00DE2E72" w:rsidRDefault="00DE2E72" w:rsidP="00DE2E72">
            <w:pPr>
              <w:bidi/>
              <w:spacing w:after="200" w:line="276" w:lineRule="auto"/>
              <w:rPr>
                <w:rFonts w:ascii="Simplified Arabic" w:hAnsi="Simplified Arabic" w:cs="Simplified Arabic"/>
              </w:rPr>
            </w:pPr>
            <w:r>
              <w:rPr>
                <w:rFonts w:ascii="Simplified Arabic" w:hAnsi="Simplified Arabic" w:cs="Simplified Arabic"/>
                <w:b/>
                <w:bCs/>
                <w:rtl/>
              </w:rPr>
              <w:t>مضمونها</w:t>
            </w:r>
          </w:p>
        </w:tc>
        <w:tc>
          <w:tcPr>
            <w:tcW w:w="3046" w:type="dxa"/>
          </w:tcPr>
          <w:p w14:paraId="2AD79292" w14:textId="77777777" w:rsidR="00DE2E72" w:rsidRPr="00DE2E72" w:rsidRDefault="00DE2E72" w:rsidP="00DE2E72">
            <w:pPr>
              <w:bidi/>
              <w:spacing w:after="200" w:line="276" w:lineRule="auto"/>
              <w:rPr>
                <w:rFonts w:ascii="Simplified Arabic" w:hAnsi="Simplified Arabic" w:cs="Simplified Arabic"/>
              </w:rPr>
            </w:pPr>
            <w:r>
              <w:rPr>
                <w:rFonts w:ascii="Simplified Arabic" w:hAnsi="Simplified Arabic" w:cs="Simplified Arabic"/>
                <w:b/>
                <w:bCs/>
                <w:rtl/>
              </w:rPr>
              <w:t>أسلوب الاختبار</w:t>
            </w:r>
          </w:p>
        </w:tc>
      </w:tr>
      <w:tr w:rsidR="00DE2E72" w:rsidRPr="00DE2E72" w14:paraId="1ACECD7A" w14:textId="77777777" w:rsidTr="0040129F">
        <w:tc>
          <w:tcPr>
            <w:tcW w:w="709" w:type="dxa"/>
          </w:tcPr>
          <w:p w14:paraId="53F59A1F" w14:textId="77777777" w:rsidR="00DE2E72" w:rsidRPr="00DE2E72" w:rsidRDefault="00DE2E72" w:rsidP="00DE2E72">
            <w:pPr>
              <w:bidi/>
              <w:spacing w:after="200" w:line="276" w:lineRule="auto"/>
              <w:rPr>
                <w:rFonts w:ascii="Simplified Arabic" w:hAnsi="Simplified Arabic" w:cs="Simplified Arabic"/>
              </w:rPr>
            </w:pPr>
            <w:r>
              <w:rPr>
                <w:rFonts w:ascii="Simplified Arabic" w:hAnsi="Simplified Arabic" w:cs="Simplified Arabic"/>
              </w:rPr>
              <w:t>H1</w:t>
            </w:r>
          </w:p>
        </w:tc>
        <w:tc>
          <w:tcPr>
            <w:tcW w:w="4463" w:type="dxa"/>
          </w:tcPr>
          <w:p w14:paraId="10266ACF" w14:textId="77777777" w:rsidR="00DE2E72" w:rsidRPr="00DE2E72" w:rsidRDefault="00DE2E72" w:rsidP="00DE2E72">
            <w:pPr>
              <w:bidi/>
              <w:spacing w:after="200" w:line="276" w:lineRule="auto"/>
              <w:rPr>
                <w:rFonts w:ascii="Simplified Arabic" w:hAnsi="Simplified Arabic" w:cs="Simplified Arabic"/>
              </w:rPr>
            </w:pPr>
            <w:r>
              <w:rPr>
                <w:rFonts w:ascii="Simplified Arabic" w:hAnsi="Simplified Arabic" w:cs="Simplified Arabic"/>
                <w:rtl/>
              </w:rPr>
              <w:t>علاقة توظيف الذكاء الاصطناعي التوليدي بجودة عملية التصميم.</w:t>
            </w:r>
          </w:p>
        </w:tc>
        <w:tc>
          <w:tcPr>
            <w:tcW w:w="3046" w:type="dxa"/>
          </w:tcPr>
          <w:p w14:paraId="2CDC4EFB" w14:textId="77777777" w:rsidR="00DE2E72" w:rsidRPr="00DE2E72" w:rsidRDefault="00DE2E72" w:rsidP="00DE2E72">
            <w:pPr>
              <w:bidi/>
              <w:spacing w:after="200" w:line="276" w:lineRule="auto"/>
              <w:rPr>
                <w:rFonts w:ascii="Simplified Arabic" w:hAnsi="Simplified Arabic" w:cs="Simplified Arabic"/>
              </w:rPr>
            </w:pPr>
            <w:r>
              <w:rPr>
                <w:rFonts w:ascii="Simplified Arabic" w:hAnsi="Simplified Arabic" w:cs="Simplified Arabic"/>
                <w:rtl/>
              </w:rPr>
              <w:t>معامل المسار ودلالته (Bootstrapping)</w:t>
            </w:r>
          </w:p>
        </w:tc>
      </w:tr>
      <w:tr w:rsidR="00DE2E72" w:rsidRPr="00DE2E72" w14:paraId="132C26D0" w14:textId="77777777" w:rsidTr="0040129F">
        <w:tc>
          <w:tcPr>
            <w:tcW w:w="709" w:type="dxa"/>
          </w:tcPr>
          <w:p w14:paraId="0AAD7014" w14:textId="77777777" w:rsidR="00DE2E72" w:rsidRPr="00DE2E72" w:rsidRDefault="00DE2E72" w:rsidP="00DE2E72">
            <w:pPr>
              <w:bidi/>
              <w:spacing w:after="200" w:line="276" w:lineRule="auto"/>
              <w:rPr>
                <w:rFonts w:ascii="Simplified Arabic" w:hAnsi="Simplified Arabic" w:cs="Simplified Arabic"/>
              </w:rPr>
            </w:pPr>
            <w:r>
              <w:rPr>
                <w:rFonts w:ascii="Simplified Arabic" w:hAnsi="Simplified Arabic" w:cs="Simplified Arabic"/>
              </w:rPr>
              <w:lastRenderedPageBreak/>
              <w:t>H2</w:t>
            </w:r>
          </w:p>
        </w:tc>
        <w:tc>
          <w:tcPr>
            <w:tcW w:w="4463" w:type="dxa"/>
          </w:tcPr>
          <w:p w14:paraId="3AB16FEE" w14:textId="77777777" w:rsidR="00DE2E72" w:rsidRPr="00DE2E72" w:rsidRDefault="00DE2E72" w:rsidP="00DE2E72">
            <w:pPr>
              <w:bidi/>
              <w:spacing w:after="200" w:line="276" w:lineRule="auto"/>
              <w:rPr>
                <w:rFonts w:ascii="Simplified Arabic" w:hAnsi="Simplified Arabic" w:cs="Simplified Arabic"/>
              </w:rPr>
            </w:pPr>
            <w:r>
              <w:rPr>
                <w:rFonts w:ascii="Simplified Arabic" w:hAnsi="Simplified Arabic" w:cs="Simplified Arabic"/>
                <w:rtl/>
              </w:rPr>
              <w:t>علاقة جودة عملية التصميم بفعالية الأداء التسويقي.</w:t>
            </w:r>
          </w:p>
        </w:tc>
        <w:tc>
          <w:tcPr>
            <w:tcW w:w="3046" w:type="dxa"/>
          </w:tcPr>
          <w:p w14:paraId="441FCDEF" w14:textId="77777777" w:rsidR="00DE2E72" w:rsidRPr="00DE2E72" w:rsidRDefault="00DE2E72" w:rsidP="00DE2E72">
            <w:pPr>
              <w:bidi/>
              <w:spacing w:after="200" w:line="276" w:lineRule="auto"/>
              <w:rPr>
                <w:rFonts w:ascii="Simplified Arabic" w:hAnsi="Simplified Arabic" w:cs="Simplified Arabic"/>
              </w:rPr>
            </w:pPr>
            <w:r>
              <w:rPr>
                <w:rFonts w:ascii="Simplified Arabic" w:hAnsi="Simplified Arabic" w:cs="Simplified Arabic"/>
                <w:rtl/>
              </w:rPr>
              <w:t>معامل المسار ودلالته (Bootstrapping)</w:t>
            </w:r>
          </w:p>
        </w:tc>
      </w:tr>
      <w:tr w:rsidR="00DE2E72" w:rsidRPr="00DE2E72" w14:paraId="5A5A2822" w14:textId="77777777" w:rsidTr="0040129F">
        <w:tc>
          <w:tcPr>
            <w:tcW w:w="709" w:type="dxa"/>
          </w:tcPr>
          <w:p w14:paraId="1FD9BD00" w14:textId="77777777" w:rsidR="00DE2E72" w:rsidRPr="00DE2E72" w:rsidRDefault="00DE2E72" w:rsidP="00DE2E72">
            <w:pPr>
              <w:bidi/>
              <w:spacing w:after="200" w:line="276" w:lineRule="auto"/>
              <w:rPr>
                <w:rFonts w:ascii="Simplified Arabic" w:hAnsi="Simplified Arabic" w:cs="Simplified Arabic"/>
              </w:rPr>
            </w:pPr>
            <w:r>
              <w:rPr>
                <w:rFonts w:ascii="Simplified Arabic" w:hAnsi="Simplified Arabic" w:cs="Simplified Arabic"/>
              </w:rPr>
              <w:t>H3</w:t>
            </w:r>
          </w:p>
        </w:tc>
        <w:tc>
          <w:tcPr>
            <w:tcW w:w="4463" w:type="dxa"/>
          </w:tcPr>
          <w:p w14:paraId="7F346EC1" w14:textId="69EDDA17" w:rsidR="00DE2E72" w:rsidRPr="00DE2E72" w:rsidRDefault="00DE2E72" w:rsidP="00DE2E72">
            <w:pPr>
              <w:bidi/>
              <w:spacing w:after="200" w:line="276" w:lineRule="auto"/>
              <w:rPr>
                <w:rFonts w:ascii="Simplified Arabic" w:hAnsi="Simplified Arabic" w:cs="Simplified Arabic"/>
                <w:rtl/>
              </w:rPr>
            </w:pPr>
            <w:r>
              <w:rPr>
                <w:rFonts w:ascii="Simplified Arabic" w:hAnsi="Simplified Arabic" w:cs="Simplified Arabic"/>
                <w:rtl/>
              </w:rPr>
              <w:t>أثر التفاعل المعدِّل في علاقة التوظيف بجودة التصميم، ويُختبر في مسارين: تفاعل الدوافع (</w:t>
            </w:r>
            <w:r>
              <w:rPr>
                <w:rFonts w:ascii="Simplified Arabic" w:hAnsi="Simplified Arabic" w:cs="Simplified Arabic"/>
              </w:rPr>
              <w:t>GAIU × ADP</w:t>
            </w:r>
            <w:r>
              <w:rPr>
                <w:rFonts w:ascii="Simplified Arabic" w:hAnsi="Simplified Arabic" w:cs="Simplified Arabic"/>
                <w:rtl/>
              </w:rPr>
              <w:t xml:space="preserve">)، وتفاعل العوائق </w:t>
            </w:r>
            <w:r>
              <w:rPr>
                <w:rFonts w:ascii="Simplified Arabic" w:hAnsi="Simplified Arabic" w:cs="Simplified Arabic"/>
              </w:rPr>
              <w:t>(GAIU × BAR)</w:t>
            </w:r>
          </w:p>
        </w:tc>
        <w:tc>
          <w:tcPr>
            <w:tcW w:w="3046" w:type="dxa"/>
          </w:tcPr>
          <w:p w14:paraId="1989E670" w14:textId="77777777" w:rsidR="00DE2E72" w:rsidRPr="00DE2E72" w:rsidRDefault="00DE2E72" w:rsidP="00DE2E72">
            <w:pPr>
              <w:bidi/>
              <w:spacing w:after="200" w:line="276" w:lineRule="auto"/>
              <w:rPr>
                <w:rFonts w:ascii="Simplified Arabic" w:hAnsi="Simplified Arabic" w:cs="Simplified Arabic"/>
              </w:rPr>
            </w:pPr>
            <w:r>
              <w:rPr>
                <w:rFonts w:ascii="Simplified Arabic" w:hAnsi="Simplified Arabic" w:cs="Simplified Arabic"/>
                <w:rtl/>
              </w:rPr>
              <w:t>تحليل أثر التعديل لكل تفاعل على حدة (Moderation)</w:t>
            </w:r>
          </w:p>
        </w:tc>
      </w:tr>
      <w:tr w:rsidR="00DE2E72" w:rsidRPr="00DE2E72" w14:paraId="437E0496" w14:textId="77777777" w:rsidTr="0040129F">
        <w:tc>
          <w:tcPr>
            <w:tcW w:w="709" w:type="dxa"/>
          </w:tcPr>
          <w:p w14:paraId="4FC28B33" w14:textId="77777777" w:rsidR="00DE2E72" w:rsidRPr="00DE2E72" w:rsidRDefault="00DE2E72" w:rsidP="00DE2E72">
            <w:pPr>
              <w:bidi/>
              <w:spacing w:after="200" w:line="276" w:lineRule="auto"/>
              <w:rPr>
                <w:rFonts w:ascii="Simplified Arabic" w:hAnsi="Simplified Arabic" w:cs="Simplified Arabic"/>
              </w:rPr>
            </w:pPr>
            <w:r>
              <w:rPr>
                <w:rFonts w:ascii="Simplified Arabic" w:hAnsi="Simplified Arabic" w:cs="Simplified Arabic"/>
              </w:rPr>
              <w:t>H4</w:t>
            </w:r>
          </w:p>
        </w:tc>
        <w:tc>
          <w:tcPr>
            <w:tcW w:w="4463" w:type="dxa"/>
          </w:tcPr>
          <w:p w14:paraId="7562FE1D" w14:textId="77777777" w:rsidR="00DE2E72" w:rsidRPr="00DE2E72" w:rsidRDefault="00DE2E72" w:rsidP="00DE2E72">
            <w:pPr>
              <w:bidi/>
              <w:spacing w:after="200" w:line="276" w:lineRule="auto"/>
              <w:rPr>
                <w:rFonts w:ascii="Simplified Arabic" w:hAnsi="Simplified Arabic" w:cs="Simplified Arabic"/>
              </w:rPr>
            </w:pPr>
            <w:r>
              <w:rPr>
                <w:rFonts w:ascii="Simplified Arabic" w:hAnsi="Simplified Arabic" w:cs="Simplified Arabic"/>
                <w:rtl/>
              </w:rPr>
              <w:t>العلاقة غير المباشرة بين التوظيف وفعالية الأداء عبر وساطة جودة التصميم.</w:t>
            </w:r>
          </w:p>
        </w:tc>
        <w:tc>
          <w:tcPr>
            <w:tcW w:w="3046" w:type="dxa"/>
          </w:tcPr>
          <w:p w14:paraId="71BB8F86" w14:textId="77777777" w:rsidR="00DE2E72" w:rsidRPr="00DE2E72" w:rsidRDefault="00DE2E72" w:rsidP="00DE2E72">
            <w:pPr>
              <w:bidi/>
              <w:spacing w:after="200" w:line="276" w:lineRule="auto"/>
              <w:rPr>
                <w:rFonts w:ascii="Simplified Arabic" w:hAnsi="Simplified Arabic" w:cs="Simplified Arabic"/>
              </w:rPr>
            </w:pPr>
            <w:r>
              <w:rPr>
                <w:rFonts w:ascii="Simplified Arabic" w:hAnsi="Simplified Arabic" w:cs="Simplified Arabic"/>
                <w:rtl/>
              </w:rPr>
              <w:t>تحليل أثر الوساطة (Mediation)</w:t>
            </w:r>
          </w:p>
        </w:tc>
      </w:tr>
    </w:tbl>
    <w:p w14:paraId="52E559C6" w14:textId="77777777" w:rsidR="00DE2E72" w:rsidRDefault="00DE2E72" w:rsidP="004F4747">
      <w:pPr>
        <w:bidi/>
        <w:spacing w:after="200" w:line="276" w:lineRule="auto"/>
        <w:rPr>
          <w:rFonts w:ascii="Simplified Arabic" w:hAnsi="Simplified Arabic" w:cs="Simplified Arabic"/>
          <w:rtl/>
        </w:rPr>
      </w:pPr>
    </w:p>
    <w:p w14:paraId="27AC84C7" w14:textId="1413B3CC" w:rsidR="004F4747" w:rsidRPr="00DE2E72" w:rsidRDefault="004F4747" w:rsidP="00DE2E72">
      <w:pPr>
        <w:bidi/>
        <w:spacing w:after="200" w:line="240" w:lineRule="auto"/>
        <w:jc w:val="both"/>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t>الجوانب الأخلاقية لإجراءات الدراسة</w:t>
      </w:r>
    </w:p>
    <w:p w14:paraId="560F9A84" w14:textId="206E86E2" w:rsidR="00B65A24" w:rsidRDefault="004F4747" w:rsidP="004F4747">
      <w:pPr>
        <w:bidi/>
        <w:spacing w:after="200" w:line="276" w:lineRule="auto"/>
        <w:rPr>
          <w:rFonts w:ascii="Simplified Arabic" w:hAnsi="Simplified Arabic" w:cs="Simplified Arabic"/>
          <w:rtl/>
        </w:rPr>
      </w:pPr>
      <w:r>
        <w:rPr>
          <w:rFonts w:ascii="Simplified Arabic" w:hAnsi="Simplified Arabic" w:cs="Simplified Arabic"/>
          <w:rtl/>
        </w:rPr>
        <w:t>التزم الباحث بأخلاقيات البحث العلمي في الجانب الميداني. فقد عُرّف المبحوثون بهدف الدراسة قبل المشاركة، وأُخذت موافقتهم الطوعية عليها، مع توضيح أن المشاركة اختيارية وأنه لا توجد إجابة صحيحة وأخرى خاطئة، وإنما المطلوب التعبير عن واقع الممارسة المهنية. وروعيت سرية البيانات، إذ تُعالَج إجماليًا لأغراض البحث وحده، دون كشف هوية المشاركين أو جهات عملهم.</w:t>
      </w:r>
    </w:p>
    <w:p w14:paraId="7D9A00BB" w14:textId="77777777" w:rsidR="00B65A24" w:rsidRDefault="00B65A24" w:rsidP="00B65A24">
      <w:pPr>
        <w:bidi/>
        <w:spacing w:after="200" w:line="276" w:lineRule="auto"/>
        <w:jc w:val="both"/>
        <w:rPr>
          <w:rFonts w:ascii="Simplified Arabic" w:hAnsi="Simplified Arabic" w:cs="Simplified Arabic"/>
          <w:rtl/>
        </w:rPr>
      </w:pPr>
    </w:p>
    <w:p w14:paraId="5C352796" w14:textId="77777777" w:rsidR="00B65A24" w:rsidRDefault="00B65A24" w:rsidP="00B65A24">
      <w:pPr>
        <w:bidi/>
        <w:spacing w:after="200" w:line="276" w:lineRule="auto"/>
        <w:jc w:val="both"/>
        <w:rPr>
          <w:rFonts w:ascii="Simplified Arabic" w:hAnsi="Simplified Arabic" w:cs="Simplified Arabic"/>
          <w:rtl/>
        </w:rPr>
      </w:pPr>
    </w:p>
    <w:p w14:paraId="57C6A03E" w14:textId="77777777" w:rsidR="00B65A24" w:rsidRDefault="00B65A24" w:rsidP="00B65A24">
      <w:pPr>
        <w:bidi/>
        <w:spacing w:after="200" w:line="276" w:lineRule="auto"/>
        <w:jc w:val="both"/>
        <w:rPr>
          <w:rFonts w:ascii="Simplified Arabic" w:hAnsi="Simplified Arabic" w:cs="Simplified Arabic"/>
          <w:rtl/>
        </w:rPr>
      </w:pPr>
    </w:p>
    <w:p w14:paraId="2E266C34" w14:textId="77777777" w:rsidR="00B65A24" w:rsidRDefault="00B65A24" w:rsidP="00B65A24">
      <w:pPr>
        <w:bidi/>
        <w:spacing w:after="200" w:line="276" w:lineRule="auto"/>
        <w:jc w:val="both"/>
        <w:rPr>
          <w:rFonts w:ascii="Simplified Arabic" w:hAnsi="Simplified Arabic" w:cs="Simplified Arabic"/>
          <w:rtl/>
        </w:rPr>
      </w:pPr>
    </w:p>
    <w:p w14:paraId="2E4F09F9" w14:textId="77777777" w:rsidR="00B65A24" w:rsidRDefault="00B65A24" w:rsidP="00B65A24">
      <w:pPr>
        <w:bidi/>
        <w:spacing w:after="200" w:line="276" w:lineRule="auto"/>
        <w:jc w:val="both"/>
        <w:rPr>
          <w:rFonts w:ascii="Simplified Arabic" w:hAnsi="Simplified Arabic" w:cs="Simplified Arabic"/>
          <w:rtl/>
        </w:rPr>
      </w:pPr>
    </w:p>
    <w:p w14:paraId="56E53A75" w14:textId="77777777" w:rsidR="00B65A24" w:rsidRDefault="00B65A24" w:rsidP="00B65A24">
      <w:pPr>
        <w:bidi/>
        <w:spacing w:after="200" w:line="276" w:lineRule="auto"/>
        <w:jc w:val="both"/>
        <w:rPr>
          <w:rFonts w:ascii="Simplified Arabic" w:hAnsi="Simplified Arabic" w:cs="Simplified Arabic"/>
          <w:rtl/>
        </w:rPr>
      </w:pPr>
    </w:p>
    <w:p w14:paraId="37533969" w14:textId="77777777" w:rsidR="00B65A24" w:rsidRDefault="00B65A24" w:rsidP="00B65A24">
      <w:pPr>
        <w:bidi/>
        <w:spacing w:after="200" w:line="276" w:lineRule="auto"/>
        <w:jc w:val="both"/>
        <w:rPr>
          <w:rFonts w:ascii="Simplified Arabic" w:hAnsi="Simplified Arabic" w:cs="Simplified Arabic"/>
          <w:rtl/>
        </w:rPr>
      </w:pPr>
    </w:p>
    <w:p w14:paraId="1C8F66AB" w14:textId="77777777" w:rsidR="00B65A24" w:rsidRDefault="00B65A24" w:rsidP="00B65A24">
      <w:pPr>
        <w:bidi/>
        <w:spacing w:after="200" w:line="276" w:lineRule="auto"/>
        <w:jc w:val="both"/>
        <w:rPr>
          <w:rFonts w:ascii="Simplified Arabic" w:hAnsi="Simplified Arabic" w:cs="Simplified Arabic"/>
          <w:rtl/>
        </w:rPr>
      </w:pPr>
    </w:p>
    <w:p w14:paraId="15461FD5" w14:textId="77777777" w:rsidR="0040129F" w:rsidRDefault="0040129F" w:rsidP="0040129F">
      <w:pPr>
        <w:bidi/>
        <w:spacing w:after="200" w:line="276" w:lineRule="auto"/>
        <w:jc w:val="both"/>
        <w:rPr>
          <w:rFonts w:ascii="Simplified Arabic" w:hAnsi="Simplified Arabic" w:cs="Simplified Arabic"/>
          <w:rtl/>
        </w:rPr>
      </w:pPr>
    </w:p>
    <w:p w14:paraId="32EF3ECF" w14:textId="77777777" w:rsidR="00EB385F" w:rsidRDefault="00EB385F" w:rsidP="00EB385F">
      <w:pPr>
        <w:bidi/>
        <w:spacing w:after="200" w:line="276" w:lineRule="auto"/>
        <w:jc w:val="both"/>
        <w:rPr>
          <w:rFonts w:ascii="Simplified Arabic" w:hAnsi="Simplified Arabic" w:cs="Simplified Arabic"/>
          <w:rtl/>
        </w:rPr>
      </w:pPr>
    </w:p>
    <w:p w14:paraId="711504E9" w14:textId="77777777" w:rsidR="0040129F" w:rsidRPr="00E04FE4" w:rsidRDefault="0040129F" w:rsidP="0040129F">
      <w:pPr>
        <w:bidi/>
        <w:spacing w:after="200" w:line="276" w:lineRule="auto"/>
        <w:jc w:val="both"/>
        <w:rPr>
          <w:rFonts w:ascii="Simplified Arabic" w:hAnsi="Simplified Arabic" w:cs="Simplified Arabic"/>
          <w:rtl/>
        </w:rPr>
      </w:pPr>
    </w:p>
    <w:p w14:paraId="1F6EEDB0" w14:textId="77777777" w:rsidR="008C1CFA" w:rsidRPr="004F1607" w:rsidRDefault="008C1CFA" w:rsidP="008C1CFA">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المراجع</w:t>
      </w:r>
      <w:r>
        <w:rPr>
          <w:rFonts w:ascii="Sakkal Majalla" w:hAnsi="Sakkal Majalla" w:cs="Sakkal Majalla"/>
          <w:b/>
          <w:bCs/>
          <w:color w:val="00B0F0"/>
          <w:sz w:val="36"/>
          <w:szCs w:val="36"/>
          <w:u w:val="single"/>
          <w:rtl/>
        </w:rPr>
        <w:t>:</w:t>
      </w:r>
    </w:p>
    <w:p w14:paraId="1CD929D5" w14:textId="0CEB7879" w:rsidR="00BB1CA4" w:rsidRPr="00ED07DE" w:rsidRDefault="00BB1CA4" w:rsidP="00BB1CA4">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t>الم</w:t>
      </w:r>
      <w:r>
        <w:rPr>
          <w:rFonts w:ascii="Sakkal Majalla" w:hAnsi="Sakkal Majalla" w:cs="Sakkal Majalla" w:hint="cs"/>
          <w:b/>
          <w:bCs/>
          <w:color w:val="1F497D" w:themeColor="text2"/>
          <w:sz w:val="32"/>
          <w:szCs w:val="32"/>
          <w:u w:val="single"/>
          <w:rtl/>
        </w:rPr>
        <w:t>راجع العربية</w:t>
      </w:r>
    </w:p>
    <w:p w14:paraId="05AC7E75" w14:textId="7FD77CCF" w:rsidR="00BB1CA4" w:rsidRPr="00CE3F21" w:rsidRDefault="00BB1CA4" w:rsidP="00CE3F21">
      <w:pPr>
        <w:bidi/>
        <w:spacing w:after="200" w:line="276" w:lineRule="auto"/>
        <w:ind w:left="720" w:hanging="720"/>
        <w:rPr>
          <w:rFonts w:asciiTheme="majorBidi" w:hAnsiTheme="majorBidi" w:cstheme="majorBidi"/>
          <w:rtl/>
        </w:rPr>
      </w:pPr>
      <w:r>
        <w:rPr>
          <w:rFonts w:asciiTheme="majorBidi" w:hAnsiTheme="majorBidi" w:cs="Times New Roman"/>
          <w:b/>
          <w:bCs/>
          <w:rtl/>
        </w:rPr>
        <w:t xml:space="preserve">الأسدودي، ن. ن. </w:t>
      </w:r>
      <w:r>
        <w:rPr>
          <w:rFonts w:asciiTheme="majorBidi" w:hAnsiTheme="majorBidi" w:cs="Times New Roman"/>
          <w:rtl/>
        </w:rPr>
        <w:t xml:space="preserve">(2023). تطبيق آليات الذكاء الاصطناعي في التسويق الرقمي وآثارها في تحقيق المزايا التنافسية: دراسة ميدانية على الخبراء. </w:t>
      </w:r>
      <w:r>
        <w:rPr>
          <w:rFonts w:asciiTheme="majorBidi" w:hAnsiTheme="majorBidi" w:cs="Times New Roman"/>
          <w:i/>
          <w:iCs/>
          <w:rtl/>
        </w:rPr>
        <w:t>مجلة البحوث الإعلامية، جامعة الأزهر</w:t>
      </w:r>
      <w:r>
        <w:rPr>
          <w:rFonts w:asciiTheme="majorBidi" w:hAnsiTheme="majorBidi" w:cs="Times New Roman"/>
          <w:rtl/>
        </w:rPr>
        <w:t>، 67(2)، 837–902</w:t>
      </w:r>
      <w:r>
        <w:rPr>
          <w:rFonts w:asciiTheme="majorBidi" w:hAnsiTheme="majorBidi" w:cstheme="majorBidi"/>
        </w:rPr>
        <w:t xml:space="preserve">. </w:t>
      </w:r>
      <w:hyperlink r:id="rId11" w:history="1">
        <w:r>
          <w:rPr>
            <w:rStyle w:val="Hyperlink"/>
            <w:rFonts w:asciiTheme="majorBidi" w:hAnsiTheme="majorBidi" w:cstheme="majorBidi"/>
            <w:color w:val="auto"/>
          </w:rPr>
          <w:t>https://doi.org/10.21608/jsb.2023.230616.1633</w:t>
        </w:r>
      </w:hyperlink>
      <w:r>
        <w:rPr>
          <w:rFonts w:asciiTheme="majorBidi" w:hAnsiTheme="majorBidi" w:cstheme="majorBidi"/>
        </w:rPr>
        <w:t xml:space="preserve"> </w:t>
      </w:r>
    </w:p>
    <w:p w14:paraId="7E33556D" w14:textId="166CBE9E" w:rsidR="00BB1CA4" w:rsidRPr="00CE3F21" w:rsidRDefault="00BB1CA4" w:rsidP="00CE3F21">
      <w:pPr>
        <w:bidi/>
        <w:spacing w:after="200" w:line="276" w:lineRule="auto"/>
        <w:ind w:left="720" w:hanging="720"/>
        <w:rPr>
          <w:rFonts w:asciiTheme="majorBidi" w:hAnsiTheme="majorBidi" w:cstheme="majorBidi"/>
          <w:rtl/>
        </w:rPr>
      </w:pPr>
      <w:r>
        <w:rPr>
          <w:rFonts w:asciiTheme="majorBidi" w:hAnsiTheme="majorBidi" w:cs="Times New Roman"/>
          <w:b/>
          <w:bCs/>
          <w:rtl/>
        </w:rPr>
        <w:t>البخيت، م. (2025).</w:t>
      </w:r>
      <w:r>
        <w:rPr>
          <w:rFonts w:asciiTheme="majorBidi" w:hAnsiTheme="majorBidi" w:cs="Times New Roman"/>
          <w:rtl/>
        </w:rPr>
        <w:t xml:space="preserve"> واقع استخدام تطبيقات الذكاء الاصطناعي لدى أعضاء هيئة التدريس بكلية الآداب والفنون بجامعة حائل: دراسة ميدانية. </w:t>
      </w:r>
      <w:r>
        <w:rPr>
          <w:rFonts w:asciiTheme="majorBidi" w:hAnsiTheme="majorBidi" w:cs="Times New Roman"/>
          <w:i/>
          <w:iCs/>
          <w:rtl/>
        </w:rPr>
        <w:t>مجلة جامعة الملك عبد العزيز: الاتصال والدراسات الإعلامية،</w:t>
      </w:r>
      <w:r>
        <w:rPr>
          <w:rFonts w:asciiTheme="majorBidi" w:hAnsiTheme="majorBidi" w:cs="Times New Roman"/>
          <w:rtl/>
        </w:rPr>
        <w:t xml:space="preserve"> 2(1)، 178–203</w:t>
      </w:r>
      <w:r>
        <w:rPr>
          <w:rFonts w:asciiTheme="majorBidi" w:hAnsiTheme="majorBidi" w:cstheme="majorBidi"/>
        </w:rPr>
        <w:t xml:space="preserve">. </w:t>
      </w:r>
      <w:hyperlink r:id="rId12" w:history="1">
        <w:r>
          <w:rPr>
            <w:rStyle w:val="Hyperlink"/>
            <w:rFonts w:asciiTheme="majorBidi" w:hAnsiTheme="majorBidi" w:cstheme="majorBidi"/>
            <w:color w:val="auto"/>
          </w:rPr>
          <w:t>https://doi.org/10.4197/Comm.2-1.5</w:t>
        </w:r>
      </w:hyperlink>
      <w:r>
        <w:rPr>
          <w:rFonts w:asciiTheme="majorBidi" w:hAnsiTheme="majorBidi" w:cstheme="majorBidi"/>
        </w:rPr>
        <w:t xml:space="preserve"> </w:t>
      </w:r>
    </w:p>
    <w:p w14:paraId="313877BA" w14:textId="17CD4807" w:rsidR="00F14098" w:rsidRPr="00CE3F21" w:rsidRDefault="00F14098" w:rsidP="00CE3F21">
      <w:pPr>
        <w:bidi/>
        <w:spacing w:after="200" w:line="276" w:lineRule="auto"/>
        <w:ind w:left="720" w:hanging="720"/>
        <w:rPr>
          <w:rFonts w:asciiTheme="majorBidi" w:hAnsiTheme="majorBidi" w:cstheme="majorBidi"/>
          <w:rtl/>
        </w:rPr>
      </w:pPr>
      <w:r>
        <w:rPr>
          <w:rFonts w:asciiTheme="majorBidi" w:hAnsiTheme="majorBidi" w:cs="Times New Roman"/>
          <w:b/>
          <w:bCs/>
          <w:rtl/>
        </w:rPr>
        <w:t xml:space="preserve">الخطيب، أ. س. م. ع. </w:t>
      </w:r>
      <w:r>
        <w:rPr>
          <w:rFonts w:asciiTheme="majorBidi" w:hAnsiTheme="majorBidi" w:cs="Times New Roman"/>
          <w:rtl/>
        </w:rPr>
        <w:t xml:space="preserve">(2024). تأثير تقنيات التسويق الرقمي المدعومة بالذكاء الاصطناعي في السلوك الشرائي: دراسة ميدانية على عملاء المتاجر الإلكترونية. </w:t>
      </w:r>
      <w:r>
        <w:rPr>
          <w:rFonts w:asciiTheme="majorBidi" w:hAnsiTheme="majorBidi" w:cs="Times New Roman"/>
          <w:i/>
          <w:iCs/>
          <w:rtl/>
        </w:rPr>
        <w:t xml:space="preserve">مجلة جامعة الصالحية الجديدة للعلوم الإدارية والاقتصادية، </w:t>
      </w:r>
      <w:r>
        <w:rPr>
          <w:rFonts w:asciiTheme="majorBidi" w:hAnsiTheme="majorBidi" w:cs="Times New Roman"/>
          <w:rtl/>
        </w:rPr>
        <w:t>1(2)، 159–219</w:t>
      </w:r>
      <w:r>
        <w:rPr>
          <w:rFonts w:asciiTheme="majorBidi" w:hAnsiTheme="majorBidi" w:cstheme="majorBidi"/>
        </w:rPr>
        <w:t xml:space="preserve">. </w:t>
      </w:r>
      <w:hyperlink r:id="rId13" w:history="1">
        <w:r>
          <w:rPr>
            <w:rStyle w:val="Hyperlink"/>
            <w:rFonts w:asciiTheme="majorBidi" w:hAnsiTheme="majorBidi" w:cstheme="majorBidi"/>
            <w:color w:val="auto"/>
          </w:rPr>
          <w:t>https://doi.org/10.21608/jsasc.2024.335098.1016</w:t>
        </w:r>
      </w:hyperlink>
      <w:r>
        <w:rPr>
          <w:rFonts w:asciiTheme="majorBidi" w:hAnsiTheme="majorBidi" w:cstheme="majorBidi"/>
        </w:rPr>
        <w:t xml:space="preserve"> </w:t>
      </w:r>
    </w:p>
    <w:p w14:paraId="355AF569" w14:textId="2FF0B61E" w:rsidR="00BB1CA4" w:rsidRPr="00CE3F21" w:rsidRDefault="00BB1CA4" w:rsidP="00CE3F21">
      <w:pPr>
        <w:bidi/>
        <w:spacing w:after="200" w:line="276" w:lineRule="auto"/>
        <w:ind w:left="720" w:hanging="720"/>
        <w:rPr>
          <w:rFonts w:asciiTheme="majorBidi" w:hAnsiTheme="majorBidi" w:cstheme="majorBidi"/>
          <w:rtl/>
        </w:rPr>
      </w:pPr>
      <w:r>
        <w:rPr>
          <w:rFonts w:asciiTheme="majorBidi" w:hAnsiTheme="majorBidi" w:cs="Times New Roman"/>
          <w:b/>
          <w:bCs/>
          <w:rtl/>
        </w:rPr>
        <w:t xml:space="preserve">رمضان، ن. </w:t>
      </w:r>
      <w:r>
        <w:rPr>
          <w:rFonts w:asciiTheme="majorBidi" w:hAnsiTheme="majorBidi" w:cs="Times New Roman"/>
          <w:rtl/>
        </w:rPr>
        <w:t>(2025، 27 مايو). من العام إلى الفردي… كيف يغيّر الذكاء الاصطناعي قواعد التسويق في السعودية؟ الشرق الأوسط</w:t>
      </w:r>
      <w:r>
        <w:rPr>
          <w:rFonts w:asciiTheme="majorBidi" w:hAnsiTheme="majorBidi" w:cstheme="majorBidi" w:hint="cs"/>
          <w:rtl/>
        </w:rPr>
        <w:t>.</w:t>
      </w:r>
    </w:p>
    <w:p w14:paraId="3FD54B93" w14:textId="5466B1A1" w:rsidR="00BB1CA4" w:rsidRPr="00CE3F21" w:rsidRDefault="00BB1CA4" w:rsidP="00CE3F21">
      <w:pPr>
        <w:bidi/>
        <w:spacing w:after="200" w:line="276" w:lineRule="auto"/>
        <w:ind w:left="720" w:hanging="720"/>
        <w:rPr>
          <w:rFonts w:asciiTheme="majorBidi" w:hAnsiTheme="majorBidi" w:cstheme="majorBidi"/>
          <w:rtl/>
        </w:rPr>
      </w:pPr>
      <w:r>
        <w:rPr>
          <w:rFonts w:asciiTheme="majorBidi" w:hAnsiTheme="majorBidi" w:cs="Times New Roman"/>
          <w:b/>
          <w:bCs/>
          <w:rtl/>
        </w:rPr>
        <w:t xml:space="preserve">سماكة، ع. م.، &amp; اللهيبي، س. ع. ر. </w:t>
      </w:r>
      <w:r>
        <w:rPr>
          <w:rFonts w:asciiTheme="majorBidi" w:hAnsiTheme="majorBidi" w:cs="Times New Roman"/>
          <w:rtl/>
        </w:rPr>
        <w:t xml:space="preserve">(2024). أثر تطبيق الذكاء الاصطناعي على الأداء التسويقي المصرفي: دراسة تطبيقية. </w:t>
      </w:r>
      <w:r>
        <w:rPr>
          <w:rFonts w:asciiTheme="majorBidi" w:hAnsiTheme="majorBidi" w:cs="Times New Roman"/>
          <w:i/>
          <w:iCs/>
          <w:rtl/>
        </w:rPr>
        <w:t>مجلة الغري للعلوم الاقتصادية والإدارية،</w:t>
      </w:r>
      <w:r>
        <w:rPr>
          <w:rFonts w:asciiTheme="majorBidi" w:hAnsiTheme="majorBidi" w:cs="Times New Roman"/>
          <w:rtl/>
        </w:rPr>
        <w:t xml:space="preserve"> 20(3)، 438–469</w:t>
      </w:r>
      <w:r>
        <w:rPr>
          <w:rFonts w:asciiTheme="majorBidi" w:hAnsiTheme="majorBidi" w:cstheme="majorBidi"/>
        </w:rPr>
        <w:t xml:space="preserve">. </w:t>
      </w:r>
      <w:hyperlink r:id="rId14" w:history="1">
        <w:r>
          <w:rPr>
            <w:rStyle w:val="Hyperlink"/>
            <w:rFonts w:asciiTheme="majorBidi" w:hAnsiTheme="majorBidi" w:cstheme="majorBidi"/>
            <w:color w:val="auto"/>
          </w:rPr>
          <w:t>https://doi.org/10.36325/ghjec.v20i3.16786</w:t>
        </w:r>
      </w:hyperlink>
      <w:r>
        <w:rPr>
          <w:rFonts w:asciiTheme="majorBidi" w:hAnsiTheme="majorBidi" w:cstheme="majorBidi"/>
        </w:rPr>
        <w:t xml:space="preserve"> </w:t>
      </w:r>
    </w:p>
    <w:p w14:paraId="10DE7EFD" w14:textId="0C2DDED7" w:rsidR="00BB1CA4" w:rsidRPr="00CE3F21" w:rsidRDefault="00BB1CA4" w:rsidP="00CE3F21">
      <w:pPr>
        <w:bidi/>
        <w:spacing w:after="200" w:line="276" w:lineRule="auto"/>
        <w:ind w:left="720" w:hanging="720"/>
        <w:rPr>
          <w:rFonts w:asciiTheme="majorBidi" w:hAnsiTheme="majorBidi" w:cstheme="majorBidi"/>
          <w:rtl/>
        </w:rPr>
      </w:pPr>
      <w:r>
        <w:rPr>
          <w:rFonts w:asciiTheme="majorBidi" w:hAnsiTheme="majorBidi" w:cs="Times New Roman"/>
          <w:b/>
          <w:bCs/>
          <w:rtl/>
        </w:rPr>
        <w:t xml:space="preserve">آل مرعي، ع. </w:t>
      </w:r>
      <w:r>
        <w:rPr>
          <w:rFonts w:asciiTheme="majorBidi" w:hAnsiTheme="majorBidi" w:cs="Times New Roman"/>
          <w:rtl/>
        </w:rPr>
        <w:t>(2024). إدراك الشباب السعودي لتقنيات الذكاء الاصطناعي وتأثيراتها على تحقيق جودة المحتوى المرئي عبر وسائل الإعلام: دراسة ميدانية. مجلة البحوث الإعلامية، جامعة الأزهر، 72(2)، 901–950</w:t>
      </w:r>
      <w:r>
        <w:rPr>
          <w:rFonts w:asciiTheme="majorBidi" w:hAnsiTheme="majorBidi" w:cstheme="majorBidi"/>
        </w:rPr>
        <w:t xml:space="preserve">. </w:t>
      </w:r>
      <w:hyperlink r:id="rId15" w:history="1">
        <w:r>
          <w:rPr>
            <w:rStyle w:val="Hyperlink"/>
            <w:rFonts w:asciiTheme="majorBidi" w:hAnsiTheme="majorBidi" w:cstheme="majorBidi"/>
            <w:color w:val="auto"/>
          </w:rPr>
          <w:t>https://doi.org/10.21608/jsb.2024.307517.1782</w:t>
        </w:r>
      </w:hyperlink>
      <w:r>
        <w:rPr>
          <w:rFonts w:asciiTheme="majorBidi" w:hAnsiTheme="majorBidi" w:cstheme="majorBidi"/>
        </w:rPr>
        <w:t xml:space="preserve"> </w:t>
      </w:r>
    </w:p>
    <w:p w14:paraId="6A7EA46E" w14:textId="3A0F42C8" w:rsidR="00BB1CA4" w:rsidRPr="00CE3F21" w:rsidRDefault="00BB1CA4" w:rsidP="00CE3F21">
      <w:pPr>
        <w:bidi/>
        <w:spacing w:after="200" w:line="276" w:lineRule="auto"/>
        <w:ind w:left="720" w:hanging="720"/>
        <w:rPr>
          <w:rFonts w:asciiTheme="majorBidi" w:hAnsiTheme="majorBidi" w:cstheme="majorBidi"/>
          <w:rtl/>
        </w:rPr>
      </w:pPr>
      <w:r>
        <w:rPr>
          <w:rFonts w:asciiTheme="majorBidi" w:hAnsiTheme="majorBidi" w:cs="Times New Roman"/>
          <w:b/>
          <w:bCs/>
          <w:rtl/>
        </w:rPr>
        <w:t xml:space="preserve">عبد الرازق، م. م. </w:t>
      </w:r>
      <w:r>
        <w:rPr>
          <w:rFonts w:asciiTheme="majorBidi" w:hAnsiTheme="majorBidi" w:cs="Times New Roman"/>
          <w:rtl/>
        </w:rPr>
        <w:t>(2022). تقنيات الذكاء الاصطناعي في الإعلام: الواقع والتطورات المستقبلية: دراسة تطبيقية على القائمين بالاتصال بالوسائل الإعلامية المصرية والعربية. المجلة المصرية لبحوث الإعلام، 81، 1–74</w:t>
      </w:r>
      <w:r>
        <w:rPr>
          <w:rFonts w:asciiTheme="majorBidi" w:hAnsiTheme="majorBidi" w:cstheme="majorBidi"/>
        </w:rPr>
        <w:t xml:space="preserve">. </w:t>
      </w:r>
      <w:hyperlink r:id="rId16" w:history="1">
        <w:r>
          <w:rPr>
            <w:rStyle w:val="Hyperlink"/>
            <w:rFonts w:asciiTheme="majorBidi" w:hAnsiTheme="majorBidi" w:cstheme="majorBidi"/>
            <w:color w:val="auto"/>
          </w:rPr>
          <w:t>https://doi.org/10.21608/ejsc.2022.272038</w:t>
        </w:r>
      </w:hyperlink>
      <w:r>
        <w:rPr>
          <w:rFonts w:asciiTheme="majorBidi" w:hAnsiTheme="majorBidi" w:cstheme="majorBidi"/>
        </w:rPr>
        <w:t xml:space="preserve"> </w:t>
      </w:r>
    </w:p>
    <w:p w14:paraId="5A356609" w14:textId="15ECC574" w:rsidR="00CE3F21" w:rsidRPr="00CE3F21" w:rsidRDefault="00CE3F21" w:rsidP="00CE3F21">
      <w:pPr>
        <w:bidi/>
        <w:spacing w:after="200" w:line="276" w:lineRule="auto"/>
        <w:ind w:left="720" w:hanging="720"/>
        <w:rPr>
          <w:rFonts w:asciiTheme="majorBidi" w:hAnsiTheme="majorBidi" w:cstheme="majorBidi"/>
          <w:rtl/>
        </w:rPr>
      </w:pPr>
      <w:r>
        <w:rPr>
          <w:rFonts w:asciiTheme="majorBidi" w:hAnsiTheme="majorBidi" w:cs="Times New Roman"/>
          <w:b/>
          <w:bCs/>
          <w:rtl/>
        </w:rPr>
        <w:t xml:space="preserve">العتيبي، ع. </w:t>
      </w:r>
      <w:r>
        <w:rPr>
          <w:rFonts w:asciiTheme="majorBidi" w:hAnsiTheme="majorBidi" w:cs="Times New Roman"/>
          <w:rtl/>
        </w:rPr>
        <w:t>(2024). أهم إحصائيات عن التسويق الإلكتروني 2024. عبد الرحمن العتيبي</w:t>
      </w:r>
      <w:r>
        <w:rPr>
          <w:rFonts w:asciiTheme="majorBidi" w:hAnsiTheme="majorBidi" w:cstheme="majorBidi"/>
        </w:rPr>
        <w:t xml:space="preserve">. </w:t>
      </w:r>
    </w:p>
    <w:p w14:paraId="699B7C28" w14:textId="2E0BC4A9" w:rsidR="00F14098" w:rsidRPr="00CE3F21" w:rsidRDefault="00F14098" w:rsidP="00CE3F21">
      <w:pPr>
        <w:bidi/>
        <w:spacing w:after="200" w:line="276" w:lineRule="auto"/>
        <w:ind w:left="720" w:hanging="720"/>
        <w:rPr>
          <w:rFonts w:asciiTheme="majorBidi" w:hAnsiTheme="majorBidi" w:cstheme="majorBidi"/>
          <w:rtl/>
        </w:rPr>
      </w:pPr>
      <w:r>
        <w:rPr>
          <w:rFonts w:asciiTheme="majorBidi" w:hAnsiTheme="majorBidi" w:cs="Times New Roman"/>
          <w:b/>
          <w:bCs/>
          <w:rtl/>
        </w:rPr>
        <w:t xml:space="preserve">غباشي، ن. أ. </w:t>
      </w:r>
      <w:r>
        <w:rPr>
          <w:rFonts w:asciiTheme="majorBidi" w:hAnsiTheme="majorBidi" w:cs="Times New Roman"/>
          <w:rtl/>
        </w:rPr>
        <w:t>(2022). اتجاهات الجمهور نحو استخدام تطبيقات الذكاء الاصطناعي في تسويق الخدمات المصرفية في البنوك المصرية: دراسة ميدانية. المجلة المصرية لبحوث الرأي العام، 21(1)، 703–752</w:t>
      </w:r>
      <w:r>
        <w:rPr>
          <w:rFonts w:asciiTheme="majorBidi" w:hAnsiTheme="majorBidi" w:cstheme="majorBidi"/>
        </w:rPr>
        <w:t>.</w:t>
      </w:r>
    </w:p>
    <w:p w14:paraId="3CA6CD00" w14:textId="25B1C61D" w:rsidR="00F14098" w:rsidRPr="00CE3F21" w:rsidRDefault="00F14098" w:rsidP="00CE3F21">
      <w:pPr>
        <w:bidi/>
        <w:spacing w:after="200" w:line="276" w:lineRule="auto"/>
        <w:ind w:left="720" w:hanging="720"/>
        <w:rPr>
          <w:rFonts w:asciiTheme="majorBidi" w:hAnsiTheme="majorBidi" w:cstheme="majorBidi"/>
          <w:rtl/>
        </w:rPr>
      </w:pPr>
      <w:r>
        <w:rPr>
          <w:rFonts w:asciiTheme="majorBidi" w:hAnsiTheme="majorBidi" w:cs="Times New Roman"/>
          <w:b/>
          <w:bCs/>
          <w:rtl/>
        </w:rPr>
        <w:t xml:space="preserve">الفرَّا، أ. </w:t>
      </w:r>
      <w:r>
        <w:rPr>
          <w:rFonts w:asciiTheme="majorBidi" w:hAnsiTheme="majorBidi" w:cs="Times New Roman"/>
          <w:rtl/>
        </w:rPr>
        <w:t>(2025، 17 أبريل). أحدث توجهات التسويق الرقمي والتجارة الإلكترونية في 2025. أبو الكمبوز</w:t>
      </w:r>
      <w:r>
        <w:rPr>
          <w:rFonts w:asciiTheme="majorBidi" w:hAnsiTheme="majorBidi" w:cstheme="majorBidi"/>
        </w:rPr>
        <w:t>.</w:t>
      </w:r>
    </w:p>
    <w:p w14:paraId="29396A47" w14:textId="16BA541E" w:rsidR="00F14098" w:rsidRPr="00CE3F21" w:rsidRDefault="00F14098" w:rsidP="00CE3F21">
      <w:pPr>
        <w:bidi/>
        <w:spacing w:after="200" w:line="276" w:lineRule="auto"/>
        <w:ind w:left="720" w:hanging="720"/>
        <w:rPr>
          <w:rFonts w:asciiTheme="majorBidi" w:hAnsiTheme="majorBidi" w:cstheme="majorBidi"/>
          <w:rtl/>
        </w:rPr>
      </w:pPr>
      <w:r>
        <w:rPr>
          <w:rFonts w:asciiTheme="majorBidi" w:hAnsiTheme="majorBidi" w:cs="Times New Roman"/>
          <w:b/>
          <w:bCs/>
          <w:rtl/>
        </w:rPr>
        <w:t xml:space="preserve">محيسن، ح. أ.، مجاهد، ح.، &amp; بصبوص، ر. </w:t>
      </w:r>
      <w:r>
        <w:rPr>
          <w:rFonts w:asciiTheme="majorBidi" w:hAnsiTheme="majorBidi" w:cs="Times New Roman"/>
          <w:rtl/>
        </w:rPr>
        <w:t>(2025). أثر هندسة التلقين لأدوات الذكاء الاصطناعي التوليدي في جودة إنتاج المحتوى النصي التسويقي العربي. المجلة الدولية للبحوث في العلوم التربوية والنفسية، جامعة القدس، فلسطين، 4(2)، 675–680</w:t>
      </w:r>
      <w:r>
        <w:rPr>
          <w:rFonts w:asciiTheme="majorBidi" w:hAnsiTheme="majorBidi" w:cstheme="majorBidi"/>
        </w:rPr>
        <w:t xml:space="preserve">. </w:t>
      </w:r>
      <w:hyperlink r:id="rId17" w:history="1">
        <w:r>
          <w:rPr>
            <w:rStyle w:val="Hyperlink"/>
            <w:rFonts w:asciiTheme="majorBidi" w:hAnsiTheme="majorBidi" w:cstheme="majorBidi"/>
            <w:color w:val="auto"/>
          </w:rPr>
          <w:t>https://doi.org/10.59994/pau.2025.2.161</w:t>
        </w:r>
      </w:hyperlink>
    </w:p>
    <w:p w14:paraId="48579835" w14:textId="7CB7D2E8" w:rsidR="00947CBD" w:rsidRPr="00CE3F21" w:rsidRDefault="00BB1CA4" w:rsidP="00CE3F21">
      <w:pPr>
        <w:bidi/>
        <w:spacing w:after="200" w:line="276" w:lineRule="auto"/>
        <w:ind w:left="720" w:hanging="720"/>
        <w:rPr>
          <w:rFonts w:asciiTheme="majorBidi" w:hAnsiTheme="majorBidi" w:cstheme="majorBidi"/>
          <w:rtl/>
        </w:rPr>
      </w:pPr>
      <w:r>
        <w:rPr>
          <w:rFonts w:asciiTheme="majorBidi" w:hAnsiTheme="majorBidi" w:cs="Times New Roman"/>
          <w:b/>
          <w:bCs/>
          <w:rtl/>
        </w:rPr>
        <w:t>ملتقى أسبار.</w:t>
      </w:r>
      <w:r>
        <w:rPr>
          <w:rFonts w:asciiTheme="majorBidi" w:hAnsiTheme="majorBidi" w:cs="Times New Roman"/>
          <w:rtl/>
        </w:rPr>
        <w:t xml:space="preserve"> (2023، 30 أكتوبر). استشراف تطبيقات الذكاء الاصطناعي في خدمة الإعلام السعودي وقضايا المملكة (تقرير رقم 115). ملتقى أسبار. </w:t>
      </w:r>
    </w:p>
    <w:p w14:paraId="69D52027" w14:textId="77777777" w:rsidR="00F14098" w:rsidRPr="00CE3F21" w:rsidRDefault="00F14098" w:rsidP="00CE3F21">
      <w:pPr>
        <w:bidi/>
        <w:spacing w:after="200" w:line="276" w:lineRule="auto"/>
        <w:ind w:left="720" w:hanging="720"/>
        <w:rPr>
          <w:rFonts w:asciiTheme="majorBidi" w:hAnsiTheme="majorBidi" w:cstheme="majorBidi"/>
          <w:rtl/>
        </w:rPr>
      </w:pPr>
      <w:r>
        <w:rPr>
          <w:rFonts w:asciiTheme="majorBidi" w:hAnsiTheme="majorBidi" w:cs="Times New Roman"/>
          <w:b/>
          <w:bCs/>
          <w:rtl/>
        </w:rPr>
        <w:t>الهيئة السعودية للبيانات والذكاء الاصطناعي (سدايا).</w:t>
      </w:r>
      <w:r>
        <w:rPr>
          <w:rFonts w:asciiTheme="majorBidi" w:hAnsiTheme="majorBidi" w:cs="Times New Roman"/>
          <w:rtl/>
        </w:rPr>
        <w:t xml:space="preserve"> (2024). معادلة النمو الجديدة: فرصة الذكاء الاصطناعي التوليدي في المملكة العربية السعودية. سدايا</w:t>
      </w:r>
      <w:r>
        <w:rPr>
          <w:rFonts w:asciiTheme="majorBidi" w:hAnsiTheme="majorBidi" w:cstheme="majorBidi" w:hint="cs"/>
          <w:rtl/>
        </w:rPr>
        <w:t>.</w:t>
      </w:r>
    </w:p>
    <w:p w14:paraId="4893D166" w14:textId="77777777" w:rsidR="00F14098" w:rsidRDefault="00F14098" w:rsidP="00F14098">
      <w:pPr>
        <w:bidi/>
        <w:spacing w:after="200" w:line="276" w:lineRule="auto"/>
        <w:rPr>
          <w:rFonts w:asciiTheme="majorBidi" w:hAnsiTheme="majorBidi" w:cstheme="majorBidi"/>
          <w:rtl/>
        </w:rPr>
      </w:pPr>
    </w:p>
    <w:p w14:paraId="38D20247" w14:textId="77777777" w:rsidR="00F14098" w:rsidRDefault="00F14098" w:rsidP="00F14098">
      <w:pPr>
        <w:bidi/>
        <w:spacing w:after="200" w:line="240" w:lineRule="auto"/>
        <w:rPr>
          <w:rFonts w:asciiTheme="majorBidi" w:hAnsiTheme="majorBidi" w:cstheme="majorBidi"/>
          <w:rtl/>
        </w:rPr>
      </w:pPr>
    </w:p>
    <w:p w14:paraId="136E637D" w14:textId="01F1DFCF" w:rsidR="00F14098" w:rsidRPr="00ED07DE" w:rsidRDefault="00F14098" w:rsidP="00F14098">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hint="cs"/>
          <w:b/>
          <w:bCs/>
          <w:color w:val="1F497D" w:themeColor="text2"/>
          <w:sz w:val="32"/>
          <w:szCs w:val="32"/>
          <w:u w:val="single"/>
          <w:rtl/>
        </w:rPr>
        <w:lastRenderedPageBreak/>
        <w:t xml:space="preserve">المراجع الأجنبية </w:t>
      </w:r>
    </w:p>
    <w:p w14:paraId="5F28D573" w14:textId="77777777" w:rsidR="00CE3F21" w:rsidRPr="00CE3F21" w:rsidRDefault="00CE3F21" w:rsidP="00CE3F21">
      <w:pPr>
        <w:spacing w:after="200" w:line="276" w:lineRule="auto"/>
        <w:ind w:left="720" w:hanging="720"/>
        <w:rPr>
          <w:rFonts w:asciiTheme="majorBidi" w:hAnsiTheme="majorBidi" w:cstheme="majorBidi"/>
        </w:rPr>
      </w:pPr>
      <w:r>
        <w:rPr>
          <w:rFonts w:asciiTheme="majorBidi" w:hAnsiTheme="majorBidi" w:cstheme="majorBidi"/>
          <w:b/>
          <w:bCs/>
        </w:rPr>
        <w:t>Al</w:t>
      </w:r>
      <w:r>
        <w:rPr>
          <w:rFonts w:asciiTheme="majorBidi" w:hAnsiTheme="majorBidi" w:cstheme="majorBidi"/>
          <w:b/>
          <w:bCs/>
        </w:rPr>
        <w:noBreakHyphen/>
        <w:t>Emran, M., Al</w:t>
      </w:r>
      <w:r>
        <w:rPr>
          <w:rFonts w:asciiTheme="majorBidi" w:hAnsiTheme="majorBidi" w:cstheme="majorBidi"/>
          <w:b/>
          <w:bCs/>
        </w:rPr>
        <w:noBreakHyphen/>
        <w:t>Qaysi, N., Al</w:t>
      </w:r>
      <w:r>
        <w:rPr>
          <w:rFonts w:asciiTheme="majorBidi" w:hAnsiTheme="majorBidi" w:cstheme="majorBidi"/>
          <w:b/>
          <w:bCs/>
        </w:rPr>
        <w:noBreakHyphen/>
        <w:t>Sharafi, M. A., Khoshkam, M., Foroughi, B., &amp; Ghobakhloo, M.</w:t>
      </w:r>
      <w:r>
        <w:rPr>
          <w:rFonts w:asciiTheme="majorBidi" w:hAnsiTheme="majorBidi" w:cstheme="majorBidi"/>
        </w:rPr>
        <w:t xml:space="preserve"> (2025). Role of perceived threats and knowledge management in shaping generative AI use in education and its impact on social sustainability. </w:t>
      </w:r>
      <w:r>
        <w:rPr>
          <w:rFonts w:asciiTheme="majorBidi" w:hAnsiTheme="majorBidi" w:cstheme="majorBidi"/>
          <w:i/>
          <w:iCs/>
        </w:rPr>
        <w:t>International Journal of Management Education, 23</w:t>
      </w:r>
      <w:r>
        <w:rPr>
          <w:rFonts w:asciiTheme="majorBidi" w:hAnsiTheme="majorBidi" w:cstheme="majorBidi"/>
        </w:rPr>
        <w:t xml:space="preserve">(1), Article 101105. </w:t>
      </w:r>
      <w:hyperlink r:id="rId18" w:tgtFrame="_new" w:history="1">
        <w:r>
          <w:rPr>
            <w:rStyle w:val="Hyperlink"/>
            <w:rFonts w:asciiTheme="majorBidi" w:hAnsiTheme="majorBidi" w:cstheme="majorBidi"/>
            <w:color w:val="auto"/>
          </w:rPr>
          <w:t>https://doi.org/10.1016/j.ijme.2024.101105</w:t>
        </w:r>
      </w:hyperlink>
      <w:r>
        <w:rPr>
          <w:rFonts w:asciiTheme="majorBidi" w:hAnsiTheme="majorBidi" w:cstheme="majorBidi"/>
        </w:rPr>
        <w:t xml:space="preserve"> </w:t>
      </w:r>
    </w:p>
    <w:p w14:paraId="3C9186E0" w14:textId="77777777" w:rsidR="00CE3F21" w:rsidRPr="00CE3F21" w:rsidRDefault="00CE3F21" w:rsidP="00CE3F21">
      <w:pPr>
        <w:spacing w:after="200" w:line="276" w:lineRule="auto"/>
        <w:ind w:left="720" w:hanging="720"/>
        <w:rPr>
          <w:rFonts w:asciiTheme="majorBidi" w:hAnsiTheme="majorBidi" w:cstheme="majorBidi"/>
        </w:rPr>
      </w:pPr>
      <w:r>
        <w:rPr>
          <w:rFonts w:asciiTheme="majorBidi" w:hAnsiTheme="majorBidi" w:cstheme="majorBidi"/>
          <w:b/>
          <w:bCs/>
        </w:rPr>
        <w:t>Aljabari, M., Althuwaini, S., Bouguerra, A., Sharabati, A., Allahham, M., &amp; Allan, M.</w:t>
      </w:r>
      <w:r>
        <w:rPr>
          <w:rFonts w:asciiTheme="majorBidi" w:hAnsiTheme="majorBidi" w:cstheme="majorBidi"/>
        </w:rPr>
        <w:t xml:space="preserve"> (2024). The impact of digital marketing strategies on innovation: The mediating role of AI: A critical study of SMEs in the KSA market. </w:t>
      </w:r>
      <w:r>
        <w:rPr>
          <w:rFonts w:asciiTheme="majorBidi" w:hAnsiTheme="majorBidi" w:cstheme="majorBidi"/>
          <w:i/>
          <w:iCs/>
        </w:rPr>
        <w:t>International Journal of Data and Network Science, 8</w:t>
      </w:r>
      <w:r>
        <w:rPr>
          <w:rFonts w:asciiTheme="majorBidi" w:hAnsiTheme="majorBidi" w:cstheme="majorBidi"/>
        </w:rPr>
        <w:t xml:space="preserve">, 2029–2036. </w:t>
      </w:r>
      <w:hyperlink r:id="rId19" w:tgtFrame="_new" w:history="1">
        <w:r>
          <w:rPr>
            <w:rStyle w:val="Hyperlink"/>
            <w:rFonts w:asciiTheme="majorBidi" w:hAnsiTheme="majorBidi" w:cstheme="majorBidi"/>
            <w:color w:val="auto"/>
          </w:rPr>
          <w:t>https://doi.org/10.5267/j.ijdns.2024.7.006</w:t>
        </w:r>
      </w:hyperlink>
      <w:r>
        <w:rPr>
          <w:rFonts w:asciiTheme="majorBidi" w:hAnsiTheme="majorBidi" w:cstheme="majorBidi"/>
        </w:rPr>
        <w:t xml:space="preserve"> </w:t>
      </w:r>
    </w:p>
    <w:p w14:paraId="35F02102" w14:textId="772EB31B" w:rsidR="00CE3F21" w:rsidRPr="00CE3F21" w:rsidRDefault="00CE3F21" w:rsidP="00CE3F21">
      <w:pPr>
        <w:spacing w:after="200" w:line="276" w:lineRule="auto"/>
        <w:ind w:left="720" w:hanging="720"/>
        <w:rPr>
          <w:rFonts w:asciiTheme="majorBidi" w:hAnsiTheme="majorBidi" w:cstheme="majorBidi"/>
        </w:rPr>
      </w:pPr>
      <w:r>
        <w:rPr>
          <w:rFonts w:asciiTheme="majorBidi" w:hAnsiTheme="majorBidi" w:cstheme="majorBidi"/>
          <w:b/>
          <w:bCs/>
        </w:rPr>
        <w:t>Alotaibi, M. M., &amp; Al Youbi, L. A.</w:t>
      </w:r>
      <w:r>
        <w:rPr>
          <w:rFonts w:asciiTheme="majorBidi" w:hAnsiTheme="majorBidi" w:cstheme="majorBidi"/>
        </w:rPr>
        <w:t xml:space="preserve"> (2024). The impact of artificial intelligence techniques on marketing innovation: An applied study on Mobily company in Saudi Arabia. </w:t>
      </w:r>
      <w:r>
        <w:rPr>
          <w:rFonts w:asciiTheme="majorBidi" w:hAnsiTheme="majorBidi" w:cstheme="majorBidi"/>
          <w:i/>
          <w:iCs/>
        </w:rPr>
        <w:t>Journal of Humanities &amp; Social Sciences, 8</w:t>
      </w:r>
      <w:r>
        <w:rPr>
          <w:rFonts w:asciiTheme="majorBidi" w:hAnsiTheme="majorBidi" w:cstheme="majorBidi"/>
        </w:rPr>
        <w:t>(11), 10–26.</w:t>
      </w:r>
    </w:p>
    <w:p w14:paraId="582F1734" w14:textId="77777777" w:rsidR="00CE3F21" w:rsidRPr="00CE3F21" w:rsidRDefault="00CE3F21" w:rsidP="00CE3F21">
      <w:pPr>
        <w:spacing w:after="200" w:line="276" w:lineRule="auto"/>
        <w:ind w:left="720" w:hanging="720"/>
        <w:rPr>
          <w:rFonts w:asciiTheme="majorBidi" w:hAnsiTheme="majorBidi" w:cstheme="majorBidi"/>
        </w:rPr>
      </w:pPr>
      <w:r>
        <w:rPr>
          <w:rFonts w:asciiTheme="majorBidi" w:hAnsiTheme="majorBidi" w:cstheme="majorBidi"/>
          <w:b/>
          <w:bCs/>
        </w:rPr>
        <w:t>Ameen, N., Tarhini, A., Reppel, A., &amp; Anand, A.</w:t>
      </w:r>
      <w:r>
        <w:rPr>
          <w:rFonts w:asciiTheme="majorBidi" w:hAnsiTheme="majorBidi" w:cstheme="majorBidi"/>
        </w:rPr>
        <w:t xml:space="preserve"> (2021). Role of cognitive absorption in building user trust and experience. </w:t>
      </w:r>
      <w:r>
        <w:rPr>
          <w:rFonts w:asciiTheme="majorBidi" w:hAnsiTheme="majorBidi" w:cstheme="majorBidi"/>
          <w:i/>
          <w:iCs/>
        </w:rPr>
        <w:t>Computers in Human Behavior, 114</w:t>
      </w:r>
      <w:r>
        <w:rPr>
          <w:rFonts w:asciiTheme="majorBidi" w:hAnsiTheme="majorBidi" w:cstheme="majorBidi"/>
        </w:rPr>
        <w:t xml:space="preserve">, Article 106548. </w:t>
      </w:r>
      <w:hyperlink r:id="rId20" w:tgtFrame="_new" w:history="1">
        <w:r>
          <w:rPr>
            <w:rStyle w:val="Hyperlink"/>
            <w:rFonts w:asciiTheme="majorBidi" w:hAnsiTheme="majorBidi" w:cstheme="majorBidi"/>
            <w:color w:val="auto"/>
          </w:rPr>
          <w:t>https://doi.org/10.1016/j.chb.2020.106548</w:t>
        </w:r>
      </w:hyperlink>
      <w:r>
        <w:rPr>
          <w:rFonts w:asciiTheme="majorBidi" w:hAnsiTheme="majorBidi" w:cstheme="majorBidi"/>
        </w:rPr>
        <w:t xml:space="preserve"> </w:t>
      </w:r>
    </w:p>
    <w:p w14:paraId="2199F8B0" w14:textId="32C5984D" w:rsidR="00CE3F21" w:rsidRPr="00CE3F21" w:rsidRDefault="00CE3F21" w:rsidP="00CE3F21">
      <w:pPr>
        <w:spacing w:after="200" w:line="276" w:lineRule="auto"/>
        <w:ind w:left="720" w:hanging="720"/>
        <w:rPr>
          <w:rFonts w:asciiTheme="majorBidi" w:hAnsiTheme="majorBidi" w:cstheme="majorBidi"/>
        </w:rPr>
      </w:pPr>
      <w:r>
        <w:rPr>
          <w:rFonts w:asciiTheme="majorBidi" w:hAnsiTheme="majorBidi" w:cstheme="majorBidi"/>
          <w:b/>
          <w:bCs/>
        </w:rPr>
        <w:t>Ben Khalifa, W. A., Alshorman, B. A., Seddik, W. A. S., Zahou, A. M. E., Torky, M. S., Rizk, M. F., … &amp; Yousif, M. A. B. A.</w:t>
      </w:r>
      <w:r>
        <w:rPr>
          <w:rFonts w:asciiTheme="majorBidi" w:hAnsiTheme="majorBidi" w:cstheme="majorBidi"/>
        </w:rPr>
        <w:t xml:space="preserve"> (2023). The reality of using artificial intelligence applications in developing e</w:t>
      </w:r>
      <w:r>
        <w:rPr>
          <w:rFonts w:asciiTheme="majorBidi" w:hAnsiTheme="majorBidi" w:cstheme="majorBidi"/>
        </w:rPr>
        <w:noBreakHyphen/>
        <w:t xml:space="preserve">marketing in the Kingdom of Saudi Arabia. </w:t>
      </w:r>
      <w:r>
        <w:rPr>
          <w:rFonts w:asciiTheme="majorBidi" w:hAnsiTheme="majorBidi" w:cstheme="majorBidi"/>
          <w:i/>
          <w:iCs/>
        </w:rPr>
        <w:t>Migration Letters, 20</w:t>
      </w:r>
      <w:r>
        <w:rPr>
          <w:rFonts w:asciiTheme="majorBidi" w:hAnsiTheme="majorBidi" w:cstheme="majorBidi"/>
        </w:rPr>
        <w:t xml:space="preserve">(S3), 146–158. </w:t>
      </w:r>
      <w:hyperlink r:id="rId21" w:history="1">
        <w:r>
          <w:rPr>
            <w:rStyle w:val="Hyperlink"/>
            <w:rFonts w:asciiTheme="majorBidi" w:hAnsiTheme="majorBidi" w:cstheme="majorBidi"/>
            <w:color w:val="auto"/>
          </w:rPr>
          <w:t>https://doi.org/10.59670/ml.v20iS3.3768</w:t>
        </w:r>
      </w:hyperlink>
      <w:r>
        <w:rPr>
          <w:rFonts w:asciiTheme="majorBidi" w:hAnsiTheme="majorBidi" w:cstheme="majorBidi"/>
        </w:rPr>
        <w:t xml:space="preserve"> </w:t>
      </w:r>
    </w:p>
    <w:p w14:paraId="2AE646C4" w14:textId="77777777" w:rsidR="00CE3F21" w:rsidRPr="00CE3F21" w:rsidRDefault="00CE3F21" w:rsidP="00CE3F21">
      <w:pPr>
        <w:spacing w:after="200" w:line="276" w:lineRule="auto"/>
        <w:ind w:left="720" w:hanging="720"/>
        <w:rPr>
          <w:rFonts w:asciiTheme="majorBidi" w:hAnsiTheme="majorBidi" w:cstheme="majorBidi"/>
        </w:rPr>
      </w:pPr>
      <w:r>
        <w:rPr>
          <w:rFonts w:asciiTheme="majorBidi" w:hAnsiTheme="majorBidi" w:cstheme="majorBidi"/>
          <w:b/>
          <w:bCs/>
        </w:rPr>
        <w:t>Beyari, H.</w:t>
      </w:r>
      <w:r>
        <w:rPr>
          <w:rFonts w:asciiTheme="majorBidi" w:hAnsiTheme="majorBidi" w:cstheme="majorBidi"/>
        </w:rPr>
        <w:t xml:space="preserve"> (2025). Assessing artificial intelligence’s impact on e</w:t>
      </w:r>
      <w:r>
        <w:rPr>
          <w:rFonts w:asciiTheme="majorBidi" w:hAnsiTheme="majorBidi" w:cstheme="majorBidi"/>
        </w:rPr>
        <w:noBreakHyphen/>
        <w:t xml:space="preserve">customer loyalty in the Saudi Arabian market. </w:t>
      </w:r>
      <w:r>
        <w:rPr>
          <w:rFonts w:asciiTheme="majorBidi" w:hAnsiTheme="majorBidi" w:cstheme="majorBidi"/>
          <w:i/>
          <w:iCs/>
        </w:rPr>
        <w:t>Frontiers in Artificial Intelligence, 8</w:t>
      </w:r>
      <w:r>
        <w:rPr>
          <w:rFonts w:asciiTheme="majorBidi" w:hAnsiTheme="majorBidi" w:cstheme="majorBidi"/>
        </w:rPr>
        <w:t xml:space="preserve">, Article 1541678. </w:t>
      </w:r>
      <w:hyperlink r:id="rId22" w:tgtFrame="_new" w:history="1">
        <w:r>
          <w:rPr>
            <w:rStyle w:val="Hyperlink"/>
            <w:rFonts w:asciiTheme="majorBidi" w:hAnsiTheme="majorBidi" w:cstheme="majorBidi"/>
            <w:color w:val="auto"/>
          </w:rPr>
          <w:t>https://doi.org/10.3389/frai.2025.1541678</w:t>
        </w:r>
      </w:hyperlink>
      <w:r>
        <w:rPr>
          <w:rFonts w:asciiTheme="majorBidi" w:hAnsiTheme="majorBidi" w:cstheme="majorBidi"/>
        </w:rPr>
        <w:t xml:space="preserve"> </w:t>
      </w:r>
    </w:p>
    <w:p w14:paraId="55E07A2B" w14:textId="77777777" w:rsidR="00CE3F21" w:rsidRPr="00CE3F21" w:rsidRDefault="00CE3F21" w:rsidP="00CE3F21">
      <w:pPr>
        <w:spacing w:after="200" w:line="276" w:lineRule="auto"/>
        <w:ind w:left="720" w:hanging="720"/>
        <w:rPr>
          <w:rFonts w:asciiTheme="majorBidi" w:hAnsiTheme="majorBidi" w:cstheme="majorBidi"/>
        </w:rPr>
      </w:pPr>
      <w:r>
        <w:rPr>
          <w:rFonts w:asciiTheme="majorBidi" w:hAnsiTheme="majorBidi" w:cstheme="majorBidi"/>
          <w:b/>
          <w:bCs/>
        </w:rPr>
        <w:t>Cochran, W. G.</w:t>
      </w:r>
      <w:r>
        <w:rPr>
          <w:rFonts w:asciiTheme="majorBidi" w:hAnsiTheme="majorBidi" w:cstheme="majorBidi"/>
        </w:rPr>
        <w:t xml:space="preserve"> (1977). </w:t>
      </w:r>
      <w:r>
        <w:rPr>
          <w:rFonts w:asciiTheme="majorBidi" w:hAnsiTheme="majorBidi" w:cstheme="majorBidi"/>
          <w:i/>
          <w:iCs/>
        </w:rPr>
        <w:t>Sampling techniques</w:t>
      </w:r>
      <w:r>
        <w:rPr>
          <w:rFonts w:asciiTheme="majorBidi" w:hAnsiTheme="majorBidi" w:cstheme="majorBidi"/>
        </w:rPr>
        <w:t xml:space="preserve"> (3rd ed.). John Wiley &amp; Sons. </w:t>
      </w:r>
    </w:p>
    <w:p w14:paraId="56BF2C0B" w14:textId="77777777" w:rsidR="00CE3F21" w:rsidRPr="00CE3F21" w:rsidRDefault="00CE3F21" w:rsidP="00CE3F21">
      <w:pPr>
        <w:spacing w:after="200" w:line="276" w:lineRule="auto"/>
        <w:ind w:left="720" w:hanging="720"/>
        <w:rPr>
          <w:rFonts w:asciiTheme="majorBidi" w:hAnsiTheme="majorBidi" w:cstheme="majorBidi"/>
        </w:rPr>
      </w:pPr>
      <w:r>
        <w:rPr>
          <w:rFonts w:asciiTheme="majorBidi" w:hAnsiTheme="majorBidi" w:cstheme="majorBidi"/>
          <w:b/>
          <w:bCs/>
        </w:rPr>
        <w:t>Creswell, J. W., &amp; Creswell, J. D.</w:t>
      </w:r>
      <w:r>
        <w:rPr>
          <w:rFonts w:asciiTheme="majorBidi" w:hAnsiTheme="majorBidi" w:cstheme="majorBidi"/>
        </w:rPr>
        <w:t xml:space="preserve"> (2018). </w:t>
      </w:r>
      <w:r>
        <w:rPr>
          <w:rFonts w:asciiTheme="majorBidi" w:hAnsiTheme="majorBidi" w:cstheme="majorBidi"/>
          <w:i/>
          <w:iCs/>
        </w:rPr>
        <w:t>Research design: Qualitative, quantitative, and mixed methods approaches</w:t>
      </w:r>
      <w:r>
        <w:rPr>
          <w:rFonts w:asciiTheme="majorBidi" w:hAnsiTheme="majorBidi" w:cstheme="majorBidi"/>
        </w:rPr>
        <w:t xml:space="preserve"> (5th ed.). SAGE Publications. </w:t>
      </w:r>
    </w:p>
    <w:p w14:paraId="5F3583F9" w14:textId="1394C877" w:rsidR="00CE3F21" w:rsidRPr="00CE3F21" w:rsidRDefault="00CE3F21" w:rsidP="00CE3F21">
      <w:pPr>
        <w:spacing w:after="200" w:line="276" w:lineRule="auto"/>
        <w:ind w:left="720" w:hanging="720"/>
        <w:rPr>
          <w:rFonts w:asciiTheme="majorBidi" w:hAnsiTheme="majorBidi" w:cstheme="majorBidi"/>
        </w:rPr>
      </w:pPr>
      <w:r>
        <w:rPr>
          <w:rFonts w:asciiTheme="majorBidi" w:hAnsiTheme="majorBidi" w:cstheme="majorBidi"/>
          <w:b/>
          <w:bCs/>
        </w:rPr>
        <w:t>Dimitrieska, S.</w:t>
      </w:r>
      <w:r>
        <w:rPr>
          <w:rFonts w:asciiTheme="majorBidi" w:hAnsiTheme="majorBidi" w:cstheme="majorBidi"/>
        </w:rPr>
        <w:t xml:space="preserve"> (2024). Generative artificial intelligence and advertising. </w:t>
      </w:r>
      <w:r>
        <w:rPr>
          <w:rFonts w:asciiTheme="majorBidi" w:hAnsiTheme="majorBidi" w:cstheme="majorBidi"/>
          <w:i/>
          <w:iCs/>
        </w:rPr>
        <w:t>Trends in Economics, Finance and Management Journal, 6</w:t>
      </w:r>
      <w:r>
        <w:rPr>
          <w:rFonts w:asciiTheme="majorBidi" w:hAnsiTheme="majorBidi" w:cstheme="majorBidi"/>
        </w:rPr>
        <w:t xml:space="preserve">(1), 23–33. </w:t>
      </w:r>
      <w:hyperlink r:id="rId23" w:history="1">
        <w:r>
          <w:rPr>
            <w:rStyle w:val="Hyperlink"/>
            <w:rFonts w:asciiTheme="majorBidi" w:hAnsiTheme="majorBidi" w:cstheme="majorBidi"/>
            <w:color w:val="auto"/>
          </w:rPr>
          <w:t>https://doi.org/10.69648/EYZI2281</w:t>
        </w:r>
      </w:hyperlink>
      <w:r>
        <w:rPr>
          <w:rFonts w:asciiTheme="majorBidi" w:hAnsiTheme="majorBidi" w:cstheme="majorBidi"/>
        </w:rPr>
        <w:t xml:space="preserve">   </w:t>
      </w:r>
    </w:p>
    <w:p w14:paraId="2314DF32" w14:textId="77777777" w:rsidR="00CE3F21" w:rsidRPr="00CE3F21" w:rsidRDefault="00CE3F21" w:rsidP="00CE3F21">
      <w:pPr>
        <w:spacing w:after="200" w:line="276" w:lineRule="auto"/>
        <w:ind w:left="720" w:hanging="720"/>
        <w:rPr>
          <w:rFonts w:asciiTheme="majorBidi" w:hAnsiTheme="majorBidi" w:cstheme="majorBidi"/>
        </w:rPr>
      </w:pPr>
      <w:r>
        <w:rPr>
          <w:rFonts w:asciiTheme="majorBidi" w:hAnsiTheme="majorBidi" w:cstheme="majorBidi"/>
          <w:b/>
          <w:bCs/>
        </w:rPr>
        <w:t>Doshi, A. R., Bell, J. J., Mirzayev, E., &amp; Vanneste, B. S.</w:t>
      </w:r>
      <w:r>
        <w:rPr>
          <w:rFonts w:asciiTheme="majorBidi" w:hAnsiTheme="majorBidi" w:cstheme="majorBidi"/>
        </w:rPr>
        <w:t xml:space="preserve"> (2025). Generative artificial intelligence and evaluating strategic decisions. </w:t>
      </w:r>
      <w:r>
        <w:rPr>
          <w:rFonts w:asciiTheme="majorBidi" w:hAnsiTheme="majorBidi" w:cstheme="majorBidi"/>
          <w:i/>
          <w:iCs/>
        </w:rPr>
        <w:t>Strategic Management Journal, 46</w:t>
      </w:r>
      <w:r>
        <w:rPr>
          <w:rFonts w:asciiTheme="majorBidi" w:hAnsiTheme="majorBidi" w:cstheme="majorBidi"/>
        </w:rPr>
        <w:t xml:space="preserve">(3), 583–610. </w:t>
      </w:r>
      <w:hyperlink r:id="rId24" w:tgtFrame="_new" w:history="1">
        <w:r>
          <w:rPr>
            <w:rStyle w:val="Hyperlink"/>
            <w:rFonts w:asciiTheme="majorBidi" w:hAnsiTheme="majorBidi" w:cstheme="majorBidi"/>
            <w:color w:val="auto"/>
          </w:rPr>
          <w:t>https://doi.org/10.1002/smj.3677</w:t>
        </w:r>
      </w:hyperlink>
    </w:p>
    <w:p w14:paraId="72C33EAD" w14:textId="77777777" w:rsidR="00CE3F21" w:rsidRPr="00CE3F21" w:rsidRDefault="00CE3F21" w:rsidP="00CE3F21">
      <w:pPr>
        <w:spacing w:after="200" w:line="276" w:lineRule="auto"/>
        <w:ind w:left="720" w:hanging="720"/>
        <w:rPr>
          <w:rFonts w:asciiTheme="majorBidi" w:hAnsiTheme="majorBidi" w:cstheme="majorBidi"/>
        </w:rPr>
      </w:pPr>
      <w:r>
        <w:rPr>
          <w:rFonts w:asciiTheme="majorBidi" w:hAnsiTheme="majorBidi" w:cstheme="majorBidi"/>
          <w:b/>
          <w:bCs/>
        </w:rPr>
        <w:t>Dwivedi, Y. K., Kshetri, N., Hughes, L., Slade, E. L., Jeyaraj, A., Kar, A. K., &amp; Baabdullah, A. M.</w:t>
      </w:r>
      <w:r>
        <w:rPr>
          <w:rFonts w:asciiTheme="majorBidi" w:hAnsiTheme="majorBidi" w:cstheme="majorBidi"/>
        </w:rPr>
        <w:t xml:space="preserve"> (2023). Opinion paper: “So what if ChatGPT wrote it?” Multidisciplinary perspectives on opportunities, challenges and implications of generative conversational AI for research, practice and policy. </w:t>
      </w:r>
      <w:r>
        <w:rPr>
          <w:rFonts w:asciiTheme="majorBidi" w:hAnsiTheme="majorBidi" w:cstheme="majorBidi"/>
          <w:i/>
          <w:iCs/>
        </w:rPr>
        <w:t>International Journal of Information Management, 71</w:t>
      </w:r>
      <w:r>
        <w:rPr>
          <w:rFonts w:asciiTheme="majorBidi" w:hAnsiTheme="majorBidi" w:cstheme="majorBidi"/>
        </w:rPr>
        <w:t xml:space="preserve">, Article 102642. </w:t>
      </w:r>
      <w:hyperlink r:id="rId25" w:tgtFrame="_new" w:history="1">
        <w:r>
          <w:rPr>
            <w:rStyle w:val="Hyperlink"/>
            <w:rFonts w:asciiTheme="majorBidi" w:hAnsiTheme="majorBidi" w:cstheme="majorBidi"/>
            <w:color w:val="auto"/>
          </w:rPr>
          <w:t>https://doi.org/10.1016/j.ijinfomgt.2023.102642</w:t>
        </w:r>
      </w:hyperlink>
    </w:p>
    <w:p w14:paraId="173D924E" w14:textId="77777777" w:rsidR="00CE3F21" w:rsidRPr="00CE3F21" w:rsidRDefault="00CE3F21" w:rsidP="00CE3F21">
      <w:pPr>
        <w:spacing w:after="200" w:line="276" w:lineRule="auto"/>
        <w:ind w:left="720" w:hanging="720"/>
        <w:rPr>
          <w:rFonts w:asciiTheme="majorBidi" w:hAnsiTheme="majorBidi" w:cstheme="majorBidi"/>
        </w:rPr>
      </w:pPr>
      <w:r>
        <w:rPr>
          <w:rFonts w:asciiTheme="majorBidi" w:hAnsiTheme="majorBidi" w:cstheme="majorBidi"/>
          <w:b/>
          <w:bCs/>
        </w:rPr>
        <w:lastRenderedPageBreak/>
        <w:t>Etikan, I., Musa, S. A., &amp; Alkassim, R. S.</w:t>
      </w:r>
      <w:r>
        <w:rPr>
          <w:rFonts w:asciiTheme="majorBidi" w:hAnsiTheme="majorBidi" w:cstheme="majorBidi"/>
        </w:rPr>
        <w:t xml:space="preserve"> (2016). Comparison of convenience sampling and purposive sampling. </w:t>
      </w:r>
      <w:r>
        <w:rPr>
          <w:rFonts w:asciiTheme="majorBidi" w:hAnsiTheme="majorBidi" w:cstheme="majorBidi"/>
          <w:i/>
          <w:iCs/>
        </w:rPr>
        <w:t>American Journal of Theoretical and Applied Statistics, 5</w:t>
      </w:r>
      <w:r>
        <w:rPr>
          <w:rFonts w:asciiTheme="majorBidi" w:hAnsiTheme="majorBidi" w:cstheme="majorBidi"/>
        </w:rPr>
        <w:t xml:space="preserve">(1), 1–5. </w:t>
      </w:r>
      <w:hyperlink r:id="rId26" w:tgtFrame="_new" w:history="1">
        <w:r>
          <w:rPr>
            <w:rStyle w:val="Hyperlink"/>
            <w:rFonts w:asciiTheme="majorBidi" w:hAnsiTheme="majorBidi" w:cstheme="majorBidi"/>
            <w:color w:val="auto"/>
          </w:rPr>
          <w:t>https://doi.org/10.11648/j.ajtas.20160501.11</w:t>
        </w:r>
      </w:hyperlink>
      <w:r>
        <w:rPr>
          <w:rFonts w:asciiTheme="majorBidi" w:hAnsiTheme="majorBidi" w:cstheme="majorBidi"/>
        </w:rPr>
        <w:t xml:space="preserve"> </w:t>
      </w:r>
    </w:p>
    <w:p w14:paraId="474877EC" w14:textId="77777777" w:rsidR="00CE3F21" w:rsidRPr="00CE3F21" w:rsidRDefault="00CE3F21" w:rsidP="00CE3F21">
      <w:pPr>
        <w:spacing w:after="200" w:line="276" w:lineRule="auto"/>
        <w:ind w:left="720" w:hanging="720"/>
        <w:rPr>
          <w:rFonts w:asciiTheme="majorBidi" w:hAnsiTheme="majorBidi" w:cstheme="majorBidi"/>
        </w:rPr>
      </w:pPr>
      <w:r>
        <w:rPr>
          <w:rFonts w:asciiTheme="majorBidi" w:hAnsiTheme="majorBidi" w:cstheme="majorBidi"/>
          <w:b/>
          <w:bCs/>
        </w:rPr>
        <w:t>Kujore, V., Adebayo, A., Sambakiu, O., &amp; Segbenu, B. S.</w:t>
      </w:r>
      <w:r>
        <w:rPr>
          <w:rFonts w:asciiTheme="majorBidi" w:hAnsiTheme="majorBidi" w:cstheme="majorBidi"/>
        </w:rPr>
        <w:t xml:space="preserve"> (2025). Transformative role of generative AI in marketing content creation and brand engagement strategies. </w:t>
      </w:r>
      <w:r>
        <w:rPr>
          <w:rFonts w:asciiTheme="majorBidi" w:hAnsiTheme="majorBidi" w:cstheme="majorBidi"/>
          <w:i/>
          <w:iCs/>
        </w:rPr>
        <w:t>GSC Advanced Research and Reviews, 23</w:t>
      </w:r>
      <w:r>
        <w:rPr>
          <w:rFonts w:asciiTheme="majorBidi" w:hAnsiTheme="majorBidi" w:cstheme="majorBidi"/>
        </w:rPr>
        <w:t xml:space="preserve">(3), 1–11. </w:t>
      </w:r>
      <w:hyperlink r:id="rId27" w:tgtFrame="_new" w:history="1">
        <w:r>
          <w:rPr>
            <w:rStyle w:val="Hyperlink"/>
            <w:rFonts w:asciiTheme="majorBidi" w:hAnsiTheme="majorBidi" w:cstheme="majorBidi"/>
            <w:color w:val="auto"/>
          </w:rPr>
          <w:t>https://doi.org/10.30574/gscarr.2025.23.3.0145</w:t>
        </w:r>
      </w:hyperlink>
      <w:r>
        <w:rPr>
          <w:rFonts w:asciiTheme="majorBidi" w:hAnsiTheme="majorBidi" w:cstheme="majorBidi"/>
        </w:rPr>
        <w:t xml:space="preserve"> </w:t>
      </w:r>
    </w:p>
    <w:p w14:paraId="422D62FD" w14:textId="4D24F7DC" w:rsidR="00CE3F21" w:rsidRPr="00CE3F21" w:rsidRDefault="00CE3F21" w:rsidP="00CE3F21">
      <w:pPr>
        <w:spacing w:after="200" w:line="276" w:lineRule="auto"/>
        <w:ind w:left="720" w:hanging="720"/>
        <w:rPr>
          <w:rFonts w:asciiTheme="majorBidi" w:hAnsiTheme="majorBidi" w:cstheme="majorBidi"/>
        </w:rPr>
      </w:pPr>
      <w:r>
        <w:rPr>
          <w:rFonts w:asciiTheme="majorBidi" w:hAnsiTheme="majorBidi" w:cstheme="majorBidi"/>
          <w:b/>
          <w:bCs/>
        </w:rPr>
        <w:t>Gujar, P., &amp; Panyam, S.</w:t>
      </w:r>
      <w:r>
        <w:rPr>
          <w:rFonts w:asciiTheme="majorBidi" w:hAnsiTheme="majorBidi" w:cstheme="majorBidi"/>
        </w:rPr>
        <w:t xml:space="preserve"> (2024). Generative AI in digital advertising campaigns. </w:t>
      </w:r>
      <w:r>
        <w:rPr>
          <w:rFonts w:asciiTheme="majorBidi" w:hAnsiTheme="majorBidi" w:cstheme="majorBidi"/>
          <w:i/>
          <w:iCs/>
        </w:rPr>
        <w:t>International Journal of Computer Trends and Technology, 72</w:t>
      </w:r>
      <w:r>
        <w:rPr>
          <w:rFonts w:asciiTheme="majorBidi" w:hAnsiTheme="majorBidi" w:cstheme="majorBidi"/>
        </w:rPr>
        <w:t xml:space="preserve">(5), 51–55. </w:t>
      </w:r>
      <w:hyperlink r:id="rId28" w:tgtFrame="_new" w:history="1">
        <w:r>
          <w:rPr>
            <w:rStyle w:val="Hyperlink"/>
            <w:rFonts w:asciiTheme="majorBidi" w:hAnsiTheme="majorBidi" w:cstheme="majorBidi"/>
            <w:color w:val="auto"/>
          </w:rPr>
          <w:t>https://doi.org/10.14445/22312803/IJCTT-V72I5P106</w:t>
        </w:r>
      </w:hyperlink>
      <w:r>
        <w:rPr>
          <w:rFonts w:asciiTheme="majorBidi" w:hAnsiTheme="majorBidi" w:cstheme="majorBidi"/>
        </w:rPr>
        <w:t xml:space="preserve">  </w:t>
      </w:r>
    </w:p>
    <w:p w14:paraId="0E353EBF" w14:textId="77777777" w:rsidR="00CE3F21" w:rsidRPr="00CE3F21" w:rsidRDefault="00CE3F21" w:rsidP="00CE3F21">
      <w:pPr>
        <w:spacing w:after="200" w:line="276" w:lineRule="auto"/>
        <w:ind w:left="720" w:hanging="720"/>
        <w:rPr>
          <w:rFonts w:asciiTheme="majorBidi" w:hAnsiTheme="majorBidi" w:cstheme="majorBidi"/>
        </w:rPr>
      </w:pPr>
      <w:r>
        <w:rPr>
          <w:rFonts w:asciiTheme="majorBidi" w:hAnsiTheme="majorBidi" w:cstheme="majorBidi"/>
          <w:b/>
          <w:bCs/>
        </w:rPr>
        <w:t>Hair, J. F., Hult, G. T. M., Ringle, C. M., &amp; Sarstedt, M.</w:t>
      </w:r>
      <w:r>
        <w:rPr>
          <w:rFonts w:asciiTheme="majorBidi" w:hAnsiTheme="majorBidi" w:cstheme="majorBidi"/>
        </w:rPr>
        <w:t xml:space="preserve"> (2022). </w:t>
      </w:r>
      <w:r>
        <w:rPr>
          <w:rFonts w:asciiTheme="majorBidi" w:hAnsiTheme="majorBidi" w:cstheme="majorBidi"/>
          <w:i/>
          <w:iCs/>
        </w:rPr>
        <w:t>A primer on partial least squares structural equation modeling (PLS-SEM)</w:t>
      </w:r>
      <w:r>
        <w:rPr>
          <w:rFonts w:asciiTheme="majorBidi" w:hAnsiTheme="majorBidi" w:cstheme="majorBidi"/>
        </w:rPr>
        <w:t xml:space="preserve"> (3rd ed.). SAGE Publications. </w:t>
      </w:r>
    </w:p>
    <w:p w14:paraId="623B5DF9" w14:textId="77777777" w:rsidR="00CE3F21" w:rsidRPr="00CE3F21" w:rsidRDefault="00CE3F21" w:rsidP="00CE3F21">
      <w:pPr>
        <w:spacing w:after="200" w:line="276" w:lineRule="auto"/>
        <w:ind w:left="720" w:hanging="720"/>
        <w:rPr>
          <w:rFonts w:asciiTheme="majorBidi" w:hAnsiTheme="majorBidi" w:cstheme="majorBidi"/>
        </w:rPr>
      </w:pPr>
      <w:r>
        <w:rPr>
          <w:rFonts w:asciiTheme="majorBidi" w:hAnsiTheme="majorBidi" w:cstheme="majorBidi"/>
          <w:b/>
          <w:bCs/>
        </w:rPr>
        <w:t>Heitmann, M.</w:t>
      </w:r>
      <w:r>
        <w:rPr>
          <w:rFonts w:asciiTheme="majorBidi" w:hAnsiTheme="majorBidi" w:cstheme="majorBidi"/>
        </w:rPr>
        <w:t xml:space="preserve"> (2024). Generative AI for marketing content creation: New rules for an old game. </w:t>
      </w:r>
      <w:r>
        <w:rPr>
          <w:rFonts w:asciiTheme="majorBidi" w:hAnsiTheme="majorBidi" w:cstheme="majorBidi"/>
          <w:i/>
          <w:iCs/>
        </w:rPr>
        <w:t>NIM Marketing Intelligence Review, 16</w:t>
      </w:r>
      <w:r>
        <w:rPr>
          <w:rFonts w:asciiTheme="majorBidi" w:hAnsiTheme="majorBidi" w:cstheme="majorBidi"/>
        </w:rPr>
        <w:t xml:space="preserve">(1), 10–17. </w:t>
      </w:r>
      <w:hyperlink r:id="rId29" w:tgtFrame="_new" w:history="1">
        <w:r>
          <w:rPr>
            <w:rStyle w:val="Hyperlink"/>
            <w:rFonts w:asciiTheme="majorBidi" w:hAnsiTheme="majorBidi" w:cstheme="majorBidi"/>
            <w:color w:val="auto"/>
          </w:rPr>
          <w:t>https://doi.org/10.2478/nimmir-2024-0002</w:t>
        </w:r>
      </w:hyperlink>
      <w:r>
        <w:rPr>
          <w:rFonts w:asciiTheme="majorBidi" w:hAnsiTheme="majorBidi" w:cstheme="majorBidi"/>
        </w:rPr>
        <w:t xml:space="preserve"> </w:t>
      </w:r>
    </w:p>
    <w:p w14:paraId="1A910009" w14:textId="12635EA1" w:rsidR="00CE3F21" w:rsidRPr="00CE3F21" w:rsidRDefault="00CE3F21" w:rsidP="00CE3F21">
      <w:pPr>
        <w:spacing w:after="200" w:line="276" w:lineRule="auto"/>
        <w:ind w:left="720" w:hanging="720"/>
        <w:rPr>
          <w:rFonts w:asciiTheme="majorBidi" w:hAnsiTheme="majorBidi" w:cstheme="majorBidi"/>
        </w:rPr>
      </w:pPr>
      <w:r>
        <w:rPr>
          <w:rFonts w:asciiTheme="majorBidi" w:hAnsiTheme="majorBidi" w:cstheme="majorBidi"/>
          <w:b/>
          <w:bCs/>
        </w:rPr>
        <w:t>IAB Tech Lab.</w:t>
      </w:r>
      <w:r>
        <w:rPr>
          <w:rFonts w:asciiTheme="majorBidi" w:hAnsiTheme="majorBidi" w:cstheme="majorBidi"/>
        </w:rPr>
        <w:t xml:space="preserve"> (2024). </w:t>
      </w:r>
      <w:r>
        <w:rPr>
          <w:rFonts w:asciiTheme="majorBidi" w:hAnsiTheme="majorBidi" w:cstheme="majorBidi"/>
          <w:i/>
          <w:iCs/>
        </w:rPr>
        <w:t>AI in advertising primer</w:t>
      </w:r>
      <w:r>
        <w:rPr>
          <w:rFonts w:asciiTheme="majorBidi" w:hAnsiTheme="majorBidi" w:cstheme="majorBidi"/>
        </w:rPr>
        <w:t xml:space="preserve">. </w:t>
      </w:r>
    </w:p>
    <w:p w14:paraId="47BB264C" w14:textId="77777777" w:rsidR="00CE3F21" w:rsidRPr="00CE3F21" w:rsidRDefault="00CE3F21" w:rsidP="00CE3F21">
      <w:pPr>
        <w:spacing w:after="200" w:line="276" w:lineRule="auto"/>
        <w:ind w:left="720" w:hanging="720"/>
        <w:rPr>
          <w:rFonts w:asciiTheme="majorBidi" w:hAnsiTheme="majorBidi" w:cstheme="majorBidi"/>
        </w:rPr>
      </w:pPr>
      <w:r>
        <w:rPr>
          <w:rFonts w:asciiTheme="majorBidi" w:hAnsiTheme="majorBidi" w:cstheme="majorBidi"/>
          <w:b/>
          <w:bCs/>
        </w:rPr>
        <w:t>Islam, T., Miron, A., Nandy, M., Choudrie, J., Liu, X., &amp; Li, Y.</w:t>
      </w:r>
      <w:r>
        <w:rPr>
          <w:rFonts w:asciiTheme="majorBidi" w:hAnsiTheme="majorBidi" w:cstheme="majorBidi"/>
        </w:rPr>
        <w:t xml:space="preserve"> (2024). Transforming digital marketing with generative AI. </w:t>
      </w:r>
      <w:r>
        <w:rPr>
          <w:rFonts w:asciiTheme="majorBidi" w:hAnsiTheme="majorBidi" w:cstheme="majorBidi"/>
          <w:i/>
          <w:iCs/>
        </w:rPr>
        <w:t>Computers, 13</w:t>
      </w:r>
      <w:r>
        <w:rPr>
          <w:rFonts w:asciiTheme="majorBidi" w:hAnsiTheme="majorBidi" w:cstheme="majorBidi"/>
        </w:rPr>
        <w:t xml:space="preserve">(7), 168. </w:t>
      </w:r>
      <w:hyperlink r:id="rId30" w:tgtFrame="_new" w:history="1">
        <w:r>
          <w:rPr>
            <w:rStyle w:val="Hyperlink"/>
            <w:rFonts w:asciiTheme="majorBidi" w:hAnsiTheme="majorBidi" w:cstheme="majorBidi"/>
            <w:color w:val="auto"/>
          </w:rPr>
          <w:t>https://doi.org/10.3390/computers13070168</w:t>
        </w:r>
      </w:hyperlink>
    </w:p>
    <w:p w14:paraId="71B900F5" w14:textId="77777777" w:rsidR="00CE3F21" w:rsidRPr="00CE3F21" w:rsidRDefault="00CE3F21" w:rsidP="00CE3F21">
      <w:pPr>
        <w:spacing w:after="200" w:line="276" w:lineRule="auto"/>
        <w:ind w:left="720" w:hanging="720"/>
        <w:rPr>
          <w:rFonts w:asciiTheme="majorBidi" w:hAnsiTheme="majorBidi" w:cstheme="majorBidi"/>
        </w:rPr>
      </w:pPr>
      <w:r>
        <w:rPr>
          <w:rFonts w:asciiTheme="majorBidi" w:hAnsiTheme="majorBidi" w:cstheme="majorBidi"/>
          <w:b/>
          <w:bCs/>
        </w:rPr>
        <w:t>Kılınç, H. K., &amp; Keçecioğlu, Ö. F.</w:t>
      </w:r>
      <w:r>
        <w:rPr>
          <w:rFonts w:asciiTheme="majorBidi" w:hAnsiTheme="majorBidi" w:cstheme="majorBidi"/>
        </w:rPr>
        <w:t xml:space="preserve"> (2024). Generative artificial intelligence: A historical and future perspective. </w:t>
      </w:r>
      <w:r>
        <w:rPr>
          <w:rFonts w:asciiTheme="majorBidi" w:hAnsiTheme="majorBidi" w:cstheme="majorBidi"/>
          <w:i/>
          <w:iCs/>
        </w:rPr>
        <w:t>Academic Platform Journal of Engineering and Smart Systems, 12</w:t>
      </w:r>
      <w:r>
        <w:rPr>
          <w:rFonts w:asciiTheme="majorBidi" w:hAnsiTheme="majorBidi" w:cstheme="majorBidi"/>
        </w:rPr>
        <w:t xml:space="preserve">(2), 47–58. </w:t>
      </w:r>
      <w:hyperlink r:id="rId31" w:tgtFrame="_new" w:history="1">
        <w:r>
          <w:rPr>
            <w:rStyle w:val="Hyperlink"/>
            <w:rFonts w:asciiTheme="majorBidi" w:hAnsiTheme="majorBidi" w:cstheme="majorBidi"/>
            <w:color w:val="auto"/>
          </w:rPr>
          <w:t>https://doi.org/10.21541/apjess.1398155</w:t>
        </w:r>
      </w:hyperlink>
    </w:p>
    <w:p w14:paraId="6B2F6C78" w14:textId="77777777" w:rsidR="00CE3F21" w:rsidRPr="00CE3F21" w:rsidRDefault="00CE3F21" w:rsidP="00CE3F21">
      <w:pPr>
        <w:spacing w:after="200" w:line="276" w:lineRule="auto"/>
        <w:ind w:left="720" w:hanging="720"/>
        <w:rPr>
          <w:rFonts w:asciiTheme="majorBidi" w:hAnsiTheme="majorBidi" w:cstheme="majorBidi"/>
        </w:rPr>
      </w:pPr>
      <w:r>
        <w:rPr>
          <w:rFonts w:asciiTheme="majorBidi" w:hAnsiTheme="majorBidi" w:cstheme="majorBidi"/>
          <w:b/>
          <w:bCs/>
        </w:rPr>
        <w:t>Kock, N.</w:t>
      </w:r>
      <w:r>
        <w:rPr>
          <w:rFonts w:asciiTheme="majorBidi" w:hAnsiTheme="majorBidi" w:cstheme="majorBidi"/>
        </w:rPr>
        <w:t xml:space="preserve"> (2015). Common method bias in PLS-SEM: A full collinearity assessment approach. </w:t>
      </w:r>
      <w:r>
        <w:rPr>
          <w:rFonts w:asciiTheme="majorBidi" w:hAnsiTheme="majorBidi" w:cstheme="majorBidi"/>
          <w:i/>
          <w:iCs/>
        </w:rPr>
        <w:t>International Journal of e-Collaboration, 11</w:t>
      </w:r>
      <w:r>
        <w:rPr>
          <w:rFonts w:asciiTheme="majorBidi" w:hAnsiTheme="majorBidi" w:cstheme="majorBidi"/>
        </w:rPr>
        <w:t xml:space="preserve">(4), 1–10. </w:t>
      </w:r>
      <w:hyperlink r:id="rId32" w:tgtFrame="_new" w:history="1">
        <w:r>
          <w:rPr>
            <w:rStyle w:val="Hyperlink"/>
            <w:rFonts w:asciiTheme="majorBidi" w:hAnsiTheme="majorBidi" w:cstheme="majorBidi"/>
            <w:color w:val="auto"/>
          </w:rPr>
          <w:t>https://doi.org/10.4018/ijec.2015100101</w:t>
        </w:r>
      </w:hyperlink>
      <w:r>
        <w:rPr>
          <w:rFonts w:asciiTheme="majorBidi" w:hAnsiTheme="majorBidi" w:cstheme="majorBidi"/>
        </w:rPr>
        <w:t xml:space="preserve"> </w:t>
      </w:r>
    </w:p>
    <w:p w14:paraId="61669E8E" w14:textId="77777777" w:rsidR="00CE3F21" w:rsidRPr="00CE3F21" w:rsidRDefault="00CE3F21" w:rsidP="00CE3F21">
      <w:pPr>
        <w:spacing w:after="200" w:line="276" w:lineRule="auto"/>
        <w:ind w:left="720" w:hanging="720"/>
        <w:rPr>
          <w:rFonts w:asciiTheme="majorBidi" w:hAnsiTheme="majorBidi" w:cstheme="majorBidi"/>
        </w:rPr>
      </w:pPr>
      <w:r>
        <w:rPr>
          <w:rFonts w:asciiTheme="majorBidi" w:hAnsiTheme="majorBidi" w:cstheme="majorBidi"/>
          <w:b/>
          <w:bCs/>
        </w:rPr>
        <w:t>Kshetri, N., Dwivedi, Y., Davenport, T., &amp; Panteli, N.</w:t>
      </w:r>
      <w:r>
        <w:rPr>
          <w:rFonts w:asciiTheme="majorBidi" w:hAnsiTheme="majorBidi" w:cstheme="majorBidi"/>
        </w:rPr>
        <w:t xml:space="preserve"> (2023). Generative artificial intelligence in marketing: Applications, opportunities, challenges, and research agenda. </w:t>
      </w:r>
      <w:r>
        <w:rPr>
          <w:rFonts w:asciiTheme="majorBidi" w:hAnsiTheme="majorBidi" w:cstheme="majorBidi"/>
          <w:i/>
          <w:iCs/>
        </w:rPr>
        <w:t>International Journal of Information Management, 75</w:t>
      </w:r>
      <w:r>
        <w:rPr>
          <w:rFonts w:asciiTheme="majorBidi" w:hAnsiTheme="majorBidi" w:cstheme="majorBidi"/>
        </w:rPr>
        <w:t xml:space="preserve">, Article 102716. </w:t>
      </w:r>
      <w:hyperlink r:id="rId33" w:tgtFrame="_new" w:history="1">
        <w:r>
          <w:rPr>
            <w:rStyle w:val="Hyperlink"/>
            <w:rFonts w:asciiTheme="majorBidi" w:hAnsiTheme="majorBidi" w:cstheme="majorBidi"/>
            <w:color w:val="auto"/>
          </w:rPr>
          <w:t>https://doi.org/10.1016/j.ijinfomgt.2023.102716</w:t>
        </w:r>
      </w:hyperlink>
    </w:p>
    <w:p w14:paraId="38DD88A0" w14:textId="0931FD7D" w:rsidR="00CE3F21" w:rsidRPr="00CE3F21" w:rsidRDefault="00CE3F21" w:rsidP="00CE3F21">
      <w:pPr>
        <w:spacing w:after="200" w:line="276" w:lineRule="auto"/>
        <w:ind w:left="720" w:hanging="720"/>
        <w:rPr>
          <w:rFonts w:asciiTheme="majorBidi" w:hAnsiTheme="majorBidi" w:cstheme="majorBidi"/>
        </w:rPr>
      </w:pPr>
      <w:r>
        <w:rPr>
          <w:rFonts w:asciiTheme="majorBidi" w:hAnsiTheme="majorBidi" w:cstheme="majorBidi"/>
          <w:b/>
          <w:bCs/>
        </w:rPr>
        <w:t>Marketing AI Institute, &amp; Drift.</w:t>
      </w:r>
      <w:r>
        <w:rPr>
          <w:rFonts w:asciiTheme="majorBidi" w:hAnsiTheme="majorBidi" w:cstheme="majorBidi"/>
        </w:rPr>
        <w:t xml:space="preserve"> (2024). </w:t>
      </w:r>
      <w:r>
        <w:rPr>
          <w:rFonts w:asciiTheme="majorBidi" w:hAnsiTheme="majorBidi" w:cstheme="majorBidi"/>
          <w:i/>
          <w:iCs/>
        </w:rPr>
        <w:t>2024 State of Marketing AI report</w:t>
      </w:r>
      <w:r>
        <w:rPr>
          <w:rFonts w:asciiTheme="majorBidi" w:hAnsiTheme="majorBidi" w:cstheme="majorBidi"/>
        </w:rPr>
        <w:t>. Marketing AI Institute.</w:t>
      </w:r>
    </w:p>
    <w:p w14:paraId="25CF3034" w14:textId="77777777" w:rsidR="00CE3F21" w:rsidRPr="00CE3F21" w:rsidRDefault="00CE3F21" w:rsidP="00CE3F21">
      <w:pPr>
        <w:spacing w:after="200" w:line="276" w:lineRule="auto"/>
        <w:ind w:left="720" w:hanging="720"/>
        <w:rPr>
          <w:rFonts w:asciiTheme="majorBidi" w:hAnsiTheme="majorBidi" w:cstheme="majorBidi"/>
        </w:rPr>
      </w:pPr>
      <w:r>
        <w:rPr>
          <w:rFonts w:asciiTheme="majorBidi" w:hAnsiTheme="majorBidi" w:cstheme="majorBidi"/>
          <w:b/>
          <w:bCs/>
        </w:rPr>
        <w:t>Masnita, Y., Kasuma Ali, J., Zahra, A., Wilson, N., &amp; Murwonugroho, W.</w:t>
      </w:r>
      <w:r>
        <w:rPr>
          <w:rFonts w:asciiTheme="majorBidi" w:hAnsiTheme="majorBidi" w:cstheme="majorBidi"/>
        </w:rPr>
        <w:t xml:space="preserve"> (2024). Artificial intelligence in marketing: Literature review and future research agenda. </w:t>
      </w:r>
      <w:r>
        <w:rPr>
          <w:rFonts w:asciiTheme="majorBidi" w:hAnsiTheme="majorBidi" w:cstheme="majorBidi"/>
          <w:i/>
          <w:iCs/>
        </w:rPr>
        <w:t>Journal of System and Management Sciences, 14</w:t>
      </w:r>
      <w:r>
        <w:rPr>
          <w:rFonts w:asciiTheme="majorBidi" w:hAnsiTheme="majorBidi" w:cstheme="majorBidi"/>
        </w:rPr>
        <w:t xml:space="preserve">(1), 120–140. </w:t>
      </w:r>
      <w:hyperlink r:id="rId34" w:tgtFrame="_new" w:history="1">
        <w:r>
          <w:rPr>
            <w:rStyle w:val="Hyperlink"/>
            <w:rFonts w:asciiTheme="majorBidi" w:hAnsiTheme="majorBidi" w:cstheme="majorBidi"/>
            <w:color w:val="auto"/>
          </w:rPr>
          <w:t>https://doi.org/10.33168/JSMS.2024.0108</w:t>
        </w:r>
      </w:hyperlink>
    </w:p>
    <w:p w14:paraId="1878F8B6" w14:textId="5DD66453" w:rsidR="00CE3F21" w:rsidRPr="00CE3F21" w:rsidRDefault="00CE3F21" w:rsidP="00CE3F21">
      <w:pPr>
        <w:spacing w:after="200" w:line="276" w:lineRule="auto"/>
        <w:ind w:left="720" w:hanging="720"/>
        <w:rPr>
          <w:rFonts w:asciiTheme="majorBidi" w:hAnsiTheme="majorBidi" w:cstheme="majorBidi"/>
        </w:rPr>
      </w:pPr>
      <w:r>
        <w:rPr>
          <w:rFonts w:asciiTheme="majorBidi" w:hAnsiTheme="majorBidi" w:cstheme="majorBidi"/>
          <w:b/>
          <w:bCs/>
        </w:rPr>
        <w:t>McKinsey &amp; Company.</w:t>
      </w:r>
      <w:r>
        <w:rPr>
          <w:rFonts w:asciiTheme="majorBidi" w:hAnsiTheme="majorBidi" w:cstheme="majorBidi"/>
        </w:rPr>
        <w:t xml:space="preserve"> (2024). </w:t>
      </w:r>
      <w:r>
        <w:rPr>
          <w:rFonts w:asciiTheme="majorBidi" w:hAnsiTheme="majorBidi" w:cstheme="majorBidi"/>
          <w:i/>
          <w:iCs/>
        </w:rPr>
        <w:t>The state of gen AI in the Middle East’s GCC countries: A 2024 report card</w:t>
      </w:r>
      <w:r>
        <w:rPr>
          <w:rFonts w:asciiTheme="majorBidi" w:hAnsiTheme="majorBidi" w:cstheme="majorBidi"/>
        </w:rPr>
        <w:t>.</w:t>
      </w:r>
    </w:p>
    <w:p w14:paraId="73EA0BF8" w14:textId="77777777" w:rsidR="00CE3F21" w:rsidRPr="00CE3F21" w:rsidRDefault="00CE3F21" w:rsidP="00CE3F21">
      <w:pPr>
        <w:spacing w:after="200" w:line="276" w:lineRule="auto"/>
        <w:ind w:left="720" w:hanging="720"/>
        <w:rPr>
          <w:rFonts w:asciiTheme="majorBidi" w:hAnsiTheme="majorBidi" w:cstheme="majorBidi"/>
        </w:rPr>
      </w:pPr>
      <w:r>
        <w:rPr>
          <w:rFonts w:asciiTheme="majorBidi" w:hAnsiTheme="majorBidi" w:cstheme="majorBidi"/>
          <w:b/>
          <w:bCs/>
        </w:rPr>
        <w:lastRenderedPageBreak/>
        <w:t>Mendoza, J. A. G., Torres, O. A. P., &amp; Franco, H. H. M.</w:t>
      </w:r>
      <w:r>
        <w:rPr>
          <w:rFonts w:asciiTheme="majorBidi" w:hAnsiTheme="majorBidi" w:cstheme="majorBidi"/>
        </w:rPr>
        <w:t xml:space="preserve"> (2025). Artificial intelligence in digital marketing: Quantitative analysis of its impact on customer personalization. </w:t>
      </w:r>
      <w:r>
        <w:rPr>
          <w:rFonts w:asciiTheme="majorBidi" w:hAnsiTheme="majorBidi" w:cstheme="majorBidi"/>
          <w:i/>
          <w:iCs/>
        </w:rPr>
        <w:t>Journal of Posthumanism, 5</w:t>
      </w:r>
      <w:r>
        <w:rPr>
          <w:rFonts w:asciiTheme="majorBidi" w:hAnsiTheme="majorBidi" w:cstheme="majorBidi"/>
        </w:rPr>
        <w:t xml:space="preserve">(6), 4206–4218. </w:t>
      </w:r>
      <w:hyperlink r:id="rId35" w:tgtFrame="_new" w:history="1">
        <w:r>
          <w:rPr>
            <w:rStyle w:val="Hyperlink"/>
            <w:rFonts w:asciiTheme="majorBidi" w:hAnsiTheme="majorBidi" w:cstheme="majorBidi"/>
            <w:color w:val="auto"/>
          </w:rPr>
          <w:t>https://doi.org/10.63332/joph.v5i6.2596</w:t>
        </w:r>
      </w:hyperlink>
    </w:p>
    <w:p w14:paraId="74DA2F96" w14:textId="04D39BAC" w:rsidR="00CE3F21" w:rsidRPr="00CE3F21" w:rsidRDefault="00CE3F21" w:rsidP="00CE3F21">
      <w:pPr>
        <w:spacing w:after="200" w:line="276" w:lineRule="auto"/>
        <w:ind w:left="720" w:hanging="720"/>
        <w:rPr>
          <w:rFonts w:asciiTheme="majorBidi" w:hAnsiTheme="majorBidi" w:cstheme="majorBidi"/>
        </w:rPr>
      </w:pPr>
      <w:r>
        <w:rPr>
          <w:rFonts w:asciiTheme="majorBidi" w:hAnsiTheme="majorBidi" w:cstheme="majorBidi"/>
          <w:b/>
          <w:bCs/>
        </w:rPr>
        <w:t>Nguyen, M., Langan, R., &amp; Anderson, K.</w:t>
      </w:r>
      <w:r>
        <w:rPr>
          <w:rFonts w:asciiTheme="majorBidi" w:hAnsiTheme="majorBidi" w:cstheme="majorBidi"/>
        </w:rPr>
        <w:t xml:space="preserve"> (2025). </w:t>
      </w:r>
      <w:r>
        <w:rPr>
          <w:rFonts w:asciiTheme="majorBidi" w:hAnsiTheme="majorBidi" w:cstheme="majorBidi"/>
          <w:i/>
          <w:iCs/>
        </w:rPr>
        <w:t>Integrating generative AI into team</w:t>
      </w:r>
      <w:r>
        <w:rPr>
          <w:rFonts w:asciiTheme="majorBidi" w:hAnsiTheme="majorBidi" w:cstheme="majorBidi"/>
          <w:i/>
          <w:iCs/>
        </w:rPr>
        <w:noBreakHyphen/>
        <w:t>based marketing workflows: The AI collaboration maturity model</w:t>
      </w:r>
      <w:r>
        <w:rPr>
          <w:rFonts w:asciiTheme="majorBidi" w:hAnsiTheme="majorBidi" w:cstheme="majorBidi"/>
        </w:rPr>
        <w:t xml:space="preserve">. California State University, Los Angeles. </w:t>
      </w:r>
    </w:p>
    <w:p w14:paraId="71608F7D" w14:textId="5EA04231" w:rsidR="00CE3F21" w:rsidRPr="00CE3F21" w:rsidRDefault="00CE3F21" w:rsidP="00CE3F21">
      <w:pPr>
        <w:spacing w:after="200" w:line="276" w:lineRule="auto"/>
        <w:ind w:left="720" w:hanging="720"/>
        <w:rPr>
          <w:rFonts w:asciiTheme="majorBidi" w:hAnsiTheme="majorBidi" w:cstheme="majorBidi"/>
        </w:rPr>
      </w:pPr>
      <w:r>
        <w:rPr>
          <w:rFonts w:asciiTheme="majorBidi" w:hAnsiTheme="majorBidi" w:cstheme="majorBidi"/>
          <w:b/>
          <w:bCs/>
        </w:rPr>
        <w:t>Nuremberg Institute for Market Decisions.</w:t>
      </w:r>
      <w:r>
        <w:rPr>
          <w:rFonts w:asciiTheme="majorBidi" w:hAnsiTheme="majorBidi" w:cstheme="majorBidi"/>
        </w:rPr>
        <w:t xml:space="preserve"> (2024). </w:t>
      </w:r>
      <w:r>
        <w:rPr>
          <w:rFonts w:asciiTheme="majorBidi" w:hAnsiTheme="majorBidi" w:cstheme="majorBidi"/>
          <w:i/>
          <w:iCs/>
        </w:rPr>
        <w:t>Creating marketing value with generative AI</w:t>
      </w:r>
      <w:r>
        <w:rPr>
          <w:rFonts w:asciiTheme="majorBidi" w:hAnsiTheme="majorBidi" w:cstheme="majorBidi"/>
        </w:rPr>
        <w:t xml:space="preserve">. </w:t>
      </w:r>
      <w:hyperlink r:id="rId36" w:tgtFrame="_new" w:history="1"/>
      <w:r>
        <w:rPr>
          <w:rFonts w:asciiTheme="majorBidi" w:hAnsiTheme="majorBidi" w:cstheme="majorBidi"/>
        </w:rPr>
        <w:t xml:space="preserve"> </w:t>
      </w:r>
    </w:p>
    <w:p w14:paraId="2ED31CBC" w14:textId="77777777" w:rsidR="00CE3F21" w:rsidRPr="00CE3F21" w:rsidRDefault="00CE3F21" w:rsidP="00CE3F21">
      <w:pPr>
        <w:spacing w:after="200" w:line="276" w:lineRule="auto"/>
        <w:ind w:left="720" w:hanging="720"/>
        <w:rPr>
          <w:rFonts w:asciiTheme="majorBidi" w:hAnsiTheme="majorBidi" w:cstheme="majorBidi"/>
        </w:rPr>
      </w:pPr>
      <w:r>
        <w:rPr>
          <w:rFonts w:asciiTheme="majorBidi" w:hAnsiTheme="majorBidi" w:cstheme="majorBidi"/>
          <w:b/>
          <w:bCs/>
        </w:rPr>
        <w:t>Podsakoff, P. M., MacKenzie, S. B., Lee, J.-Y., &amp; Podsakoff, N. P.</w:t>
      </w:r>
      <w:r>
        <w:rPr>
          <w:rFonts w:asciiTheme="majorBidi" w:hAnsiTheme="majorBidi" w:cstheme="majorBidi"/>
        </w:rPr>
        <w:t xml:space="preserve"> (2003). Common method biases in behavioral research: A critical review of the literature and recommended remedies. </w:t>
      </w:r>
      <w:r>
        <w:rPr>
          <w:rFonts w:asciiTheme="majorBidi" w:hAnsiTheme="majorBidi" w:cstheme="majorBidi"/>
          <w:i/>
          <w:iCs/>
        </w:rPr>
        <w:t>Journal of Applied Psychology, 88</w:t>
      </w:r>
      <w:r>
        <w:rPr>
          <w:rFonts w:asciiTheme="majorBidi" w:hAnsiTheme="majorBidi" w:cstheme="majorBidi"/>
        </w:rPr>
        <w:t xml:space="preserve">(5), 879–903. </w:t>
      </w:r>
      <w:hyperlink r:id="rId37" w:tgtFrame="_new" w:history="1">
        <w:r>
          <w:rPr>
            <w:rStyle w:val="Hyperlink"/>
            <w:rFonts w:asciiTheme="majorBidi" w:hAnsiTheme="majorBidi" w:cstheme="majorBidi"/>
            <w:color w:val="auto"/>
          </w:rPr>
          <w:t>https://doi.org/10.1037/0021-9010.88.5.879</w:t>
        </w:r>
      </w:hyperlink>
      <w:r>
        <w:rPr>
          <w:rFonts w:asciiTheme="majorBidi" w:hAnsiTheme="majorBidi" w:cstheme="majorBidi"/>
        </w:rPr>
        <w:t xml:space="preserve"> </w:t>
      </w:r>
    </w:p>
    <w:p w14:paraId="206DB44F" w14:textId="5053EA71" w:rsidR="00CE3F21" w:rsidRPr="00CE3F21" w:rsidRDefault="00CE3F21" w:rsidP="00CE3F21">
      <w:pPr>
        <w:spacing w:after="200" w:line="276" w:lineRule="auto"/>
        <w:ind w:left="720" w:hanging="720"/>
        <w:rPr>
          <w:rFonts w:asciiTheme="majorBidi" w:hAnsiTheme="majorBidi" w:cstheme="majorBidi"/>
        </w:rPr>
      </w:pPr>
      <w:r>
        <w:rPr>
          <w:rFonts w:asciiTheme="majorBidi" w:hAnsiTheme="majorBidi" w:cstheme="majorBidi"/>
          <w:b/>
          <w:bCs/>
        </w:rPr>
        <w:t>SDAIA (Saudi Data &amp; AI Authority).</w:t>
      </w:r>
      <w:r>
        <w:rPr>
          <w:rFonts w:asciiTheme="majorBidi" w:hAnsiTheme="majorBidi" w:cstheme="majorBidi"/>
        </w:rPr>
        <w:t xml:space="preserve"> (2024). </w:t>
      </w:r>
      <w:r>
        <w:rPr>
          <w:rFonts w:asciiTheme="majorBidi" w:hAnsiTheme="majorBidi" w:cstheme="majorBidi"/>
          <w:i/>
          <w:iCs/>
        </w:rPr>
        <w:t>Generative artificial intelligence guidelines</w:t>
      </w:r>
      <w:r>
        <w:rPr>
          <w:rFonts w:asciiTheme="majorBidi" w:hAnsiTheme="majorBidi" w:cstheme="majorBidi"/>
        </w:rPr>
        <w:t xml:space="preserve">. SADAIA. </w:t>
      </w:r>
    </w:p>
    <w:p w14:paraId="37AFB1B2" w14:textId="77777777" w:rsidR="00CE3F21" w:rsidRPr="00CE3F21" w:rsidRDefault="00CE3F21" w:rsidP="00CE3F21">
      <w:pPr>
        <w:spacing w:after="200" w:line="276" w:lineRule="auto"/>
        <w:ind w:left="720" w:hanging="720"/>
        <w:rPr>
          <w:rFonts w:asciiTheme="majorBidi" w:hAnsiTheme="majorBidi" w:cstheme="majorBidi"/>
        </w:rPr>
      </w:pPr>
      <w:r>
        <w:rPr>
          <w:rFonts w:asciiTheme="majorBidi" w:hAnsiTheme="majorBidi" w:cstheme="majorBidi"/>
          <w:b/>
          <w:bCs/>
        </w:rPr>
        <w:t>Saunders, M., Lewis, P., &amp; Thornhill, A.</w:t>
      </w:r>
      <w:r>
        <w:rPr>
          <w:rFonts w:asciiTheme="majorBidi" w:hAnsiTheme="majorBidi" w:cstheme="majorBidi"/>
        </w:rPr>
        <w:t xml:space="preserve"> (2019). </w:t>
      </w:r>
      <w:r>
        <w:rPr>
          <w:rFonts w:asciiTheme="majorBidi" w:hAnsiTheme="majorBidi" w:cstheme="majorBidi"/>
          <w:i/>
          <w:iCs/>
        </w:rPr>
        <w:t>Research methods for business students</w:t>
      </w:r>
      <w:r>
        <w:rPr>
          <w:rFonts w:asciiTheme="majorBidi" w:hAnsiTheme="majorBidi" w:cstheme="majorBidi"/>
        </w:rPr>
        <w:t xml:space="preserve"> (8th ed.). Pearson Education. </w:t>
      </w:r>
    </w:p>
    <w:p w14:paraId="2BAB04F4" w14:textId="579B4CB1" w:rsidR="00CE3F21" w:rsidRPr="00CE3F21" w:rsidRDefault="00CE3F21" w:rsidP="00CE3F21">
      <w:pPr>
        <w:spacing w:after="200" w:line="276" w:lineRule="auto"/>
        <w:ind w:left="720" w:hanging="720"/>
        <w:rPr>
          <w:rFonts w:asciiTheme="majorBidi" w:hAnsiTheme="majorBidi" w:cstheme="majorBidi"/>
        </w:rPr>
      </w:pPr>
      <w:r>
        <w:rPr>
          <w:rFonts w:asciiTheme="majorBidi" w:hAnsiTheme="majorBidi" w:cstheme="majorBidi"/>
          <w:b/>
          <w:bCs/>
        </w:rPr>
        <w:t>Sharabati, A.-A. A., Ali, A. A. A., Allahham, M. I., Hussein, A. A., Alheet, A. F., &amp; Mohammad, A. S.</w:t>
      </w:r>
      <w:r>
        <w:rPr>
          <w:rFonts w:asciiTheme="majorBidi" w:hAnsiTheme="majorBidi" w:cstheme="majorBidi"/>
        </w:rPr>
        <w:t xml:space="preserve"> (2024). The impact of digital marketing on the performance of SMEs: An analytical study in light of modern digital transformations. </w:t>
      </w:r>
      <w:r>
        <w:rPr>
          <w:rFonts w:asciiTheme="majorBidi" w:hAnsiTheme="majorBidi" w:cstheme="majorBidi"/>
          <w:i/>
          <w:iCs/>
        </w:rPr>
        <w:t>Sustainability, 16</w:t>
      </w:r>
      <w:r>
        <w:rPr>
          <w:rFonts w:asciiTheme="majorBidi" w:hAnsiTheme="majorBidi" w:cstheme="majorBidi"/>
        </w:rPr>
        <w:t xml:space="preserve">(19), 8667. </w:t>
      </w:r>
      <w:hyperlink r:id="rId38" w:tgtFrame="_new" w:history="1">
        <w:r>
          <w:rPr>
            <w:rStyle w:val="Hyperlink"/>
            <w:rFonts w:asciiTheme="majorBidi" w:hAnsiTheme="majorBidi" w:cstheme="majorBidi"/>
            <w:color w:val="auto"/>
          </w:rPr>
          <w:t>https://doi.org/10.3390/su16198667</w:t>
        </w:r>
      </w:hyperlink>
      <w:r>
        <w:rPr>
          <w:rFonts w:asciiTheme="majorBidi" w:hAnsiTheme="majorBidi" w:cstheme="majorBidi"/>
        </w:rPr>
        <w:t xml:space="preserve">  </w:t>
      </w:r>
    </w:p>
    <w:p w14:paraId="5AE9DEB4" w14:textId="3E55C9C4" w:rsidR="00CE3F21" w:rsidRPr="00CE3F21" w:rsidRDefault="00CE3F21" w:rsidP="00CE3F21">
      <w:pPr>
        <w:spacing w:after="200" w:line="276" w:lineRule="auto"/>
        <w:ind w:left="720" w:hanging="720"/>
        <w:rPr>
          <w:rFonts w:asciiTheme="majorBidi" w:hAnsiTheme="majorBidi" w:cstheme="majorBidi"/>
        </w:rPr>
      </w:pPr>
      <w:r>
        <w:rPr>
          <w:rFonts w:asciiTheme="majorBidi" w:hAnsiTheme="majorBidi" w:cstheme="majorBidi"/>
          <w:b/>
          <w:bCs/>
        </w:rPr>
        <w:t>Social Media Today.</w:t>
      </w:r>
      <w:r>
        <w:rPr>
          <w:rFonts w:asciiTheme="majorBidi" w:hAnsiTheme="majorBidi" w:cstheme="majorBidi"/>
        </w:rPr>
        <w:t xml:space="preserve"> (2025). Digital marketing statistics of 2025: H1 by the numbers. </w:t>
      </w:r>
      <w:r>
        <w:rPr>
          <w:rFonts w:asciiTheme="majorBidi" w:hAnsiTheme="majorBidi" w:cstheme="majorBidi"/>
          <w:i/>
          <w:iCs/>
        </w:rPr>
        <w:t>Social Media Today</w:t>
      </w:r>
      <w:r>
        <w:rPr>
          <w:rFonts w:asciiTheme="majorBidi" w:hAnsiTheme="majorBidi" w:cstheme="majorBidi"/>
        </w:rPr>
        <w:t xml:space="preserve">. </w:t>
      </w:r>
    </w:p>
    <w:p w14:paraId="591185F7" w14:textId="7C2A4070" w:rsidR="00CE3F21" w:rsidRPr="00CE3F21" w:rsidRDefault="00CE3F21" w:rsidP="00CE3F21">
      <w:pPr>
        <w:spacing w:after="200" w:line="276" w:lineRule="auto"/>
        <w:ind w:left="720" w:hanging="720"/>
        <w:rPr>
          <w:rFonts w:asciiTheme="majorBidi" w:hAnsiTheme="majorBidi" w:cstheme="majorBidi"/>
        </w:rPr>
      </w:pPr>
      <w:r>
        <w:rPr>
          <w:rFonts w:asciiTheme="majorBidi" w:hAnsiTheme="majorBidi" w:cstheme="majorBidi"/>
          <w:b/>
          <w:bCs/>
        </w:rPr>
        <w:t>Strategy&amp; (PwC Middle East).</w:t>
      </w:r>
      <w:r>
        <w:rPr>
          <w:rFonts w:asciiTheme="majorBidi" w:hAnsiTheme="majorBidi" w:cstheme="majorBidi"/>
        </w:rPr>
        <w:t xml:space="preserve"> (2024). </w:t>
      </w:r>
      <w:r>
        <w:rPr>
          <w:rFonts w:asciiTheme="majorBidi" w:hAnsiTheme="majorBidi" w:cstheme="majorBidi"/>
          <w:i/>
          <w:iCs/>
        </w:rPr>
        <w:t>Overcoming regional ecosystem challenges in AI</w:t>
      </w:r>
      <w:r>
        <w:rPr>
          <w:rFonts w:asciiTheme="majorBidi" w:hAnsiTheme="majorBidi" w:cstheme="majorBidi"/>
        </w:rPr>
        <w:t xml:space="preserve">. </w:t>
      </w:r>
    </w:p>
    <w:p w14:paraId="104D4820" w14:textId="77777777" w:rsidR="00CE3F21" w:rsidRPr="00CE3F21" w:rsidRDefault="00CE3F21" w:rsidP="00CE3F21">
      <w:pPr>
        <w:spacing w:after="200" w:line="276" w:lineRule="auto"/>
        <w:ind w:left="720" w:hanging="720"/>
        <w:rPr>
          <w:rFonts w:asciiTheme="majorBidi" w:hAnsiTheme="majorBidi" w:cstheme="majorBidi"/>
        </w:rPr>
      </w:pPr>
      <w:r>
        <w:rPr>
          <w:rFonts w:asciiTheme="majorBidi" w:hAnsiTheme="majorBidi" w:cstheme="majorBidi"/>
          <w:b/>
          <w:bCs/>
        </w:rPr>
        <w:t>Tawalbeh, A. K.</w:t>
      </w:r>
      <w:r>
        <w:rPr>
          <w:rFonts w:asciiTheme="majorBidi" w:hAnsiTheme="majorBidi" w:cstheme="majorBidi"/>
        </w:rPr>
        <w:t xml:space="preserve"> (2025). Influence of AI on marketing strategies for university libraries. </w:t>
      </w:r>
      <w:r>
        <w:rPr>
          <w:rFonts w:asciiTheme="majorBidi" w:hAnsiTheme="majorBidi" w:cstheme="majorBidi"/>
          <w:i/>
          <w:iCs/>
        </w:rPr>
        <w:t>International Journal of Advanced and Applied Sciences, 12</w:t>
      </w:r>
      <w:r>
        <w:rPr>
          <w:rFonts w:asciiTheme="majorBidi" w:hAnsiTheme="majorBidi" w:cstheme="majorBidi"/>
        </w:rPr>
        <w:t xml:space="preserve">(8), 191–201. </w:t>
      </w:r>
      <w:hyperlink r:id="rId39" w:tgtFrame="_new" w:history="1">
        <w:r>
          <w:rPr>
            <w:rStyle w:val="Hyperlink"/>
            <w:rFonts w:asciiTheme="majorBidi" w:hAnsiTheme="majorBidi" w:cstheme="majorBidi"/>
            <w:color w:val="auto"/>
          </w:rPr>
          <w:t>https://doi.org/10.21833/ijaas.2025.08.018</w:t>
        </w:r>
      </w:hyperlink>
      <w:r>
        <w:rPr>
          <w:rFonts w:asciiTheme="majorBidi" w:hAnsiTheme="majorBidi" w:cstheme="majorBidi"/>
        </w:rPr>
        <w:t xml:space="preserve"> </w:t>
      </w:r>
    </w:p>
    <w:p w14:paraId="7FD49C9B" w14:textId="77777777" w:rsidR="00CE3F21" w:rsidRPr="00CE3F21" w:rsidRDefault="00CE3F21" w:rsidP="00CE3F21">
      <w:pPr>
        <w:spacing w:after="200" w:line="276" w:lineRule="auto"/>
        <w:ind w:left="720" w:hanging="720"/>
        <w:rPr>
          <w:rFonts w:asciiTheme="majorBidi" w:hAnsiTheme="majorBidi" w:cstheme="majorBidi"/>
        </w:rPr>
      </w:pPr>
      <w:r>
        <w:rPr>
          <w:rFonts w:asciiTheme="majorBidi" w:hAnsiTheme="majorBidi" w:cstheme="majorBidi"/>
          <w:b/>
          <w:bCs/>
        </w:rPr>
        <w:t>Wang, Y., Sauka, K., &amp; Situmeang, F. B. I.</w:t>
      </w:r>
      <w:r>
        <w:rPr>
          <w:rFonts w:asciiTheme="majorBidi" w:hAnsiTheme="majorBidi" w:cstheme="majorBidi"/>
        </w:rPr>
        <w:t xml:space="preserve"> (2025). Anthropomorphism and transparency interplay on consumer behaviour in generative AI</w:t>
      </w:r>
      <w:r>
        <w:rPr>
          <w:rFonts w:asciiTheme="majorBidi" w:hAnsiTheme="majorBidi" w:cstheme="majorBidi"/>
        </w:rPr>
        <w:noBreakHyphen/>
        <w:t xml:space="preserve">driven marketing communication. </w:t>
      </w:r>
      <w:r>
        <w:rPr>
          <w:rFonts w:asciiTheme="majorBidi" w:hAnsiTheme="majorBidi" w:cstheme="majorBidi"/>
          <w:i/>
          <w:iCs/>
        </w:rPr>
        <w:t>Journal of Consumer Marketing, 42</w:t>
      </w:r>
      <w:r>
        <w:rPr>
          <w:rFonts w:asciiTheme="majorBidi" w:hAnsiTheme="majorBidi" w:cstheme="majorBidi"/>
        </w:rPr>
        <w:t xml:space="preserve">(4), 512–536. </w:t>
      </w:r>
      <w:hyperlink r:id="rId40" w:tgtFrame="_new" w:history="1">
        <w:r>
          <w:rPr>
            <w:rStyle w:val="Hyperlink"/>
            <w:rFonts w:asciiTheme="majorBidi" w:hAnsiTheme="majorBidi" w:cstheme="majorBidi"/>
            <w:color w:val="auto"/>
          </w:rPr>
          <w:t>https://doi.org/10.1108/JCM-04-2024-6806</w:t>
        </w:r>
      </w:hyperlink>
      <w:r>
        <w:rPr>
          <w:rFonts w:asciiTheme="majorBidi" w:hAnsiTheme="majorBidi" w:cstheme="majorBidi"/>
        </w:rPr>
        <w:t xml:space="preserve"> </w:t>
      </w:r>
    </w:p>
    <w:p w14:paraId="01E7A8CF" w14:textId="77777777" w:rsidR="00CE3F21" w:rsidRPr="00CE3F21" w:rsidRDefault="00CE3F21" w:rsidP="00CE3F21">
      <w:pPr>
        <w:spacing w:after="200" w:line="276" w:lineRule="auto"/>
        <w:ind w:left="720" w:hanging="720"/>
        <w:rPr>
          <w:rFonts w:asciiTheme="majorBidi" w:hAnsiTheme="majorBidi" w:cstheme="majorBidi"/>
        </w:rPr>
      </w:pPr>
      <w:r>
        <w:rPr>
          <w:rFonts w:asciiTheme="majorBidi" w:hAnsiTheme="majorBidi" w:cstheme="majorBidi"/>
          <w:b/>
          <w:bCs/>
        </w:rPr>
        <w:t>Zhao, X., Lynch, J. G., Jr., &amp; Chen, Q.</w:t>
      </w:r>
      <w:r>
        <w:rPr>
          <w:rFonts w:asciiTheme="majorBidi" w:hAnsiTheme="majorBidi" w:cstheme="majorBidi"/>
        </w:rPr>
        <w:t xml:space="preserve"> (2010). Reconsidering Baron and Kenny: Myths and truths about mediation analysis. </w:t>
      </w:r>
      <w:r>
        <w:rPr>
          <w:rFonts w:asciiTheme="majorBidi" w:hAnsiTheme="majorBidi" w:cstheme="majorBidi"/>
          <w:i/>
          <w:iCs/>
        </w:rPr>
        <w:t>Journal of Consumer Research, 37</w:t>
      </w:r>
      <w:r>
        <w:rPr>
          <w:rFonts w:asciiTheme="majorBidi" w:hAnsiTheme="majorBidi" w:cstheme="majorBidi"/>
        </w:rPr>
        <w:t xml:space="preserve">(2), 197–206. </w:t>
      </w:r>
      <w:hyperlink r:id="rId41" w:tgtFrame="_new" w:history="1">
        <w:r>
          <w:rPr>
            <w:rStyle w:val="Hyperlink"/>
            <w:rFonts w:asciiTheme="majorBidi" w:hAnsiTheme="majorBidi" w:cstheme="majorBidi"/>
            <w:color w:val="auto"/>
          </w:rPr>
          <w:t>https://doi.org/10.1086/651257</w:t>
        </w:r>
      </w:hyperlink>
      <w:r>
        <w:rPr>
          <w:rFonts w:asciiTheme="majorBidi" w:hAnsiTheme="majorBidi" w:cstheme="majorBidi"/>
        </w:rPr>
        <w:t xml:space="preserve"> </w:t>
      </w:r>
    </w:p>
    <w:p w14:paraId="1A88F43A" w14:textId="77777777" w:rsidR="00CE3F21" w:rsidRPr="00CE3F21" w:rsidRDefault="00CE3F21" w:rsidP="00CE3F21">
      <w:pPr>
        <w:spacing w:after="200" w:line="276" w:lineRule="auto"/>
        <w:ind w:left="720" w:hanging="720"/>
        <w:rPr>
          <w:rFonts w:asciiTheme="majorBidi" w:hAnsiTheme="majorBidi" w:cstheme="majorBidi"/>
        </w:rPr>
      </w:pPr>
      <w:r>
        <w:rPr>
          <w:rFonts w:asciiTheme="majorBidi" w:hAnsiTheme="majorBidi" w:cstheme="majorBidi"/>
          <w:b/>
          <w:bCs/>
        </w:rPr>
        <w:t>Zhong, Y., &amp; Rosli, M. S. B.</w:t>
      </w:r>
      <w:r>
        <w:rPr>
          <w:rFonts w:asciiTheme="majorBidi" w:hAnsiTheme="majorBidi" w:cstheme="majorBidi"/>
        </w:rPr>
        <w:t xml:space="preserve"> (2025). Generative artificial intelligence in higher education: Opportunities, challenges, and future directions. </w:t>
      </w:r>
      <w:r>
        <w:rPr>
          <w:rFonts w:asciiTheme="majorBidi" w:hAnsiTheme="majorBidi" w:cstheme="majorBidi"/>
          <w:i/>
          <w:iCs/>
        </w:rPr>
        <w:t>International Journal of Academic Research in Progressive Education and Development, 14</w:t>
      </w:r>
      <w:r>
        <w:rPr>
          <w:rFonts w:asciiTheme="majorBidi" w:hAnsiTheme="majorBidi" w:cstheme="majorBidi"/>
        </w:rPr>
        <w:t xml:space="preserve">(3), 301–312. </w:t>
      </w:r>
      <w:hyperlink r:id="rId42" w:tgtFrame="_new" w:history="1">
        <w:r>
          <w:rPr>
            <w:rStyle w:val="Hyperlink"/>
            <w:rFonts w:asciiTheme="majorBidi" w:hAnsiTheme="majorBidi" w:cstheme="majorBidi"/>
            <w:color w:val="auto"/>
          </w:rPr>
          <w:t>https://doi.org/10.6007/IJARPED/v14-i3/25813</w:t>
        </w:r>
      </w:hyperlink>
      <w:r>
        <w:rPr>
          <w:rFonts w:asciiTheme="majorBidi" w:hAnsiTheme="majorBidi" w:cstheme="majorBidi"/>
        </w:rPr>
        <w:t xml:space="preserve"> </w:t>
      </w:r>
    </w:p>
    <w:p w14:paraId="50B67222" w14:textId="77777777" w:rsidR="00F14098" w:rsidRPr="00BB1CA4" w:rsidRDefault="00F14098" w:rsidP="00F14098">
      <w:pPr>
        <w:bidi/>
        <w:spacing w:after="200" w:line="240" w:lineRule="auto"/>
        <w:rPr>
          <w:rFonts w:asciiTheme="majorBidi" w:hAnsiTheme="majorBidi" w:cstheme="majorBidi"/>
          <w:rtl/>
        </w:rPr>
      </w:pPr>
    </w:p>
    <w:sectPr w:rsidR="00F14098" w:rsidRPr="00BB1CA4" w:rsidSect="00395E1F">
      <w:headerReference w:type="even" r:id="rId43"/>
      <w:headerReference w:type="default" r:id="rId44"/>
      <w:footerReference w:type="default" r:id="rId45"/>
      <w:headerReference w:type="first" r:id="rId46"/>
      <w:footerReference w:type="first" r:id="rId47"/>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191A66E" w14:textId="77777777" w:rsidR="00197728" w:rsidRDefault="00197728" w:rsidP="00F628F0">
      <w:pPr>
        <w:spacing w:after="0" w:line="240" w:lineRule="auto"/>
      </w:pPr>
      <w:r>
        <w:separator/>
      </w:r>
    </w:p>
  </w:endnote>
  <w:endnote w:type="continuationSeparator" w:id="0">
    <w:p w14:paraId="2BBF8821" w14:textId="77777777" w:rsidR="00197728" w:rsidRDefault="00197728"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E1002EFF" w:usb1="C000605B" w:usb2="00000029" w:usb3="00000000" w:csb0="000101FF" w:csb1="00000000"/>
  </w:font>
  <w:font w:name="ae_Cortoba">
    <w:altName w:val="Times New Roman"/>
    <w:panose1 w:val="020B0604020202020204"/>
    <w:charset w:val="00"/>
    <w:family w:val="roman"/>
    <w:pitch w:val="variable"/>
    <w:sig w:usb0="00000000" w:usb1="C000204A" w:usb2="00000008" w:usb3="00000000" w:csb0="00000041" w:csb1="00000000"/>
  </w:font>
  <w:font w:name="Akhbar MT">
    <w:altName w:val="Arial"/>
    <w:panose1 w:val="020B0604020202020204"/>
    <w:charset w:val="B2"/>
    <w:family w:val="auto"/>
    <w:pitch w:val="variable"/>
    <w:sig w:usb0="00002001" w:usb1="00000000" w:usb2="00000000" w:usb3="00000000" w:csb0="00000040" w:csb1="00000000"/>
  </w:font>
  <w:font w:name="Monotype Koufi">
    <w:altName w:val="Arial"/>
    <w:panose1 w:val="020B0604020202020204"/>
    <w:charset w:val="B2"/>
    <w:family w:val="auto"/>
    <w:pitch w:val="variable"/>
    <w:sig w:usb0="02942001" w:usb1="03D40006" w:usb2="02620000" w:usb3="00000000" w:csb0="00000040"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44AB2C2" w14:textId="521E4090" w:rsidR="00883E09" w:rsidRPr="00883E09" w:rsidRDefault="00264677" w:rsidP="00023F2D">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023F2D" w:rsidRPr="00023F2D">
      <w:rPr>
        <w:rFonts w:ascii="Arial" w:hAnsi="Arial" w:cs="Arial"/>
        <w:b/>
        <w:bCs/>
        <w:color w:val="0070C0"/>
        <w:sz w:val="18"/>
        <w:szCs w:val="18"/>
        <w:rtl/>
      </w:rPr>
      <w:t xml:space="preserve"> </w:t>
    </w:r>
    <w:r w:rsidR="00023F2D" w:rsidRPr="00B55F49">
      <w:rPr>
        <w:rFonts w:ascii="Arial" w:hAnsi="Arial" w:cs="Arial"/>
        <w:b/>
        <w:bCs/>
        <w:color w:val="0070C0"/>
        <w:sz w:val="18"/>
        <w:szCs w:val="18"/>
        <w:rtl/>
      </w:rPr>
      <w:t>أثر توظيف تقنيات الذكاء الاصطناعي التوليدي في تصميم الحملات التسويقية الرقمية على فعالية الأداء التسويقي</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5AFEADA" w14:textId="77777777" w:rsidR="00197728" w:rsidRDefault="00197728" w:rsidP="00F628F0">
      <w:pPr>
        <w:spacing w:after="0" w:line="240" w:lineRule="auto"/>
      </w:pPr>
      <w:r>
        <w:separator/>
      </w:r>
    </w:p>
  </w:footnote>
  <w:footnote w:type="continuationSeparator" w:id="0">
    <w:p w14:paraId="59A2CBC3" w14:textId="77777777" w:rsidR="00197728" w:rsidRDefault="00197728"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AA3B9A0" w14:textId="014BB609" w:rsidR="003235C8" w:rsidRDefault="00197728">
    <w:pPr>
      <w:pStyle w:val="a4"/>
    </w:pPr>
    <w:r>
      <w:rPr>
        <w:noProof/>
      </w:rPr>
      <w:pict w14:anchorId="50A9FF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alt="" style="position:absolute;margin-left:0;margin-top:0;width:415.2pt;height:182.4pt;z-index:-251656192;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F03090B" w14:textId="3E2A8446" w:rsidR="003235C8" w:rsidRDefault="00197728">
    <w:pPr>
      <w:pStyle w:val="a4"/>
    </w:pPr>
    <w:r>
      <w:rPr>
        <w:noProof/>
      </w:rPr>
      <w:pict w14:anchorId="4982C8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alt="" style="position:absolute;margin-left:0;margin-top:0;width:415.2pt;height:182.4pt;z-index:-251655168;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953437299"/>
      <w:docPartObj>
        <w:docPartGallery w:val="Watermarks"/>
        <w:docPartUnique/>
      </w:docPartObj>
    </w:sdtPr>
    <w:sdtContent>
      <w:p w14:paraId="2C592018" w14:textId="2BE52E38" w:rsidR="003235C8" w:rsidRDefault="00197728">
        <w:pPr>
          <w:pStyle w:val="a4"/>
        </w:pPr>
        <w:r>
          <w:rPr>
            <w:noProof/>
          </w:rPr>
          <w:pict w14:anchorId="65F48B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alt="" style="position:absolute;margin-left:0;margin-top:0;width:415.2pt;height:182.4pt;z-index:-251657216;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4F5C90"/>
    <w:multiLevelType w:val="hybridMultilevel"/>
    <w:tmpl w:val="86828B56"/>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BA0318"/>
    <w:multiLevelType w:val="hybridMultilevel"/>
    <w:tmpl w:val="C41C0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8F6923"/>
    <w:multiLevelType w:val="hybridMultilevel"/>
    <w:tmpl w:val="7E88C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86450C"/>
    <w:multiLevelType w:val="hybridMultilevel"/>
    <w:tmpl w:val="592EC0E0"/>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D550A"/>
    <w:multiLevelType w:val="hybridMultilevel"/>
    <w:tmpl w:val="58DC5CDA"/>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6058FE"/>
    <w:multiLevelType w:val="hybridMultilevel"/>
    <w:tmpl w:val="B336AF4E"/>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5311BB"/>
    <w:multiLevelType w:val="hybridMultilevel"/>
    <w:tmpl w:val="F0BC0EBC"/>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550036"/>
    <w:multiLevelType w:val="hybridMultilevel"/>
    <w:tmpl w:val="816A1D84"/>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6E40FD"/>
    <w:multiLevelType w:val="hybridMultilevel"/>
    <w:tmpl w:val="29564682"/>
    <w:lvl w:ilvl="0" w:tplc="98FA15F2">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551D88"/>
    <w:multiLevelType w:val="hybridMultilevel"/>
    <w:tmpl w:val="587CE7C2"/>
    <w:lvl w:ilvl="0" w:tplc="98FA15F2">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0D79CF"/>
    <w:multiLevelType w:val="hybridMultilevel"/>
    <w:tmpl w:val="94C4C9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986DA2"/>
    <w:multiLevelType w:val="hybridMultilevel"/>
    <w:tmpl w:val="5D46B9BC"/>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7F0B65"/>
    <w:multiLevelType w:val="hybridMultilevel"/>
    <w:tmpl w:val="992830BC"/>
    <w:lvl w:ilvl="0" w:tplc="98FA15F2">
      <w:start w:val="4"/>
      <w:numFmt w:val="bullet"/>
      <w:lvlText w:val="-"/>
      <w:lvlJc w:val="left"/>
      <w:pPr>
        <w:ind w:left="720" w:hanging="360"/>
      </w:pPr>
      <w:rPr>
        <w:rFonts w:ascii="Simplified Arabic" w:eastAsiaTheme="minorHAnsi" w:hAnsi="Simplified Arabic"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5A05EF2"/>
    <w:multiLevelType w:val="hybridMultilevel"/>
    <w:tmpl w:val="6C54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0203F5"/>
    <w:multiLevelType w:val="hybridMultilevel"/>
    <w:tmpl w:val="F5BA6B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8B16C6"/>
    <w:multiLevelType w:val="hybridMultilevel"/>
    <w:tmpl w:val="B3B84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0530A91"/>
    <w:multiLevelType w:val="hybridMultilevel"/>
    <w:tmpl w:val="1CA43558"/>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BA61A5C"/>
    <w:multiLevelType w:val="hybridMultilevel"/>
    <w:tmpl w:val="077C9A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4DD06C0"/>
    <w:multiLevelType w:val="hybridMultilevel"/>
    <w:tmpl w:val="4A6A3C06"/>
    <w:lvl w:ilvl="0" w:tplc="98FA15F2">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59073EC"/>
    <w:multiLevelType w:val="hybridMultilevel"/>
    <w:tmpl w:val="F02C7A16"/>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6F30A8E"/>
    <w:multiLevelType w:val="hybridMultilevel"/>
    <w:tmpl w:val="76621018"/>
    <w:lvl w:ilvl="0" w:tplc="4D52CF8C">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7FE96E5D"/>
    <w:multiLevelType w:val="hybridMultilevel"/>
    <w:tmpl w:val="5B7CFDEA"/>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206252">
    <w:abstractNumId w:val="21"/>
  </w:num>
  <w:num w:numId="2" w16cid:durableId="1854802837">
    <w:abstractNumId w:val="2"/>
  </w:num>
  <w:num w:numId="3" w16cid:durableId="1539509467">
    <w:abstractNumId w:val="17"/>
  </w:num>
  <w:num w:numId="4" w16cid:durableId="1909067862">
    <w:abstractNumId w:val="14"/>
  </w:num>
  <w:num w:numId="5" w16cid:durableId="1679650334">
    <w:abstractNumId w:val="13"/>
  </w:num>
  <w:num w:numId="6" w16cid:durableId="592784671">
    <w:abstractNumId w:val="20"/>
  </w:num>
  <w:num w:numId="7" w16cid:durableId="435633386">
    <w:abstractNumId w:val="3"/>
  </w:num>
  <w:num w:numId="8" w16cid:durableId="1979451528">
    <w:abstractNumId w:val="0"/>
  </w:num>
  <w:num w:numId="9" w16cid:durableId="589242404">
    <w:abstractNumId w:val="8"/>
  </w:num>
  <w:num w:numId="10" w16cid:durableId="1600747370">
    <w:abstractNumId w:val="18"/>
  </w:num>
  <w:num w:numId="11" w16cid:durableId="948900132">
    <w:abstractNumId w:val="9"/>
  </w:num>
  <w:num w:numId="12" w16cid:durableId="1541357767">
    <w:abstractNumId w:val="12"/>
  </w:num>
  <w:num w:numId="13" w16cid:durableId="1862162929">
    <w:abstractNumId w:val="7"/>
  </w:num>
  <w:num w:numId="14" w16cid:durableId="2129277972">
    <w:abstractNumId w:val="6"/>
  </w:num>
  <w:num w:numId="15" w16cid:durableId="954756250">
    <w:abstractNumId w:val="4"/>
  </w:num>
  <w:num w:numId="16" w16cid:durableId="2140219028">
    <w:abstractNumId w:val="5"/>
  </w:num>
  <w:num w:numId="17" w16cid:durableId="2119525575">
    <w:abstractNumId w:val="19"/>
  </w:num>
  <w:num w:numId="18" w16cid:durableId="949312272">
    <w:abstractNumId w:val="11"/>
  </w:num>
  <w:num w:numId="19" w16cid:durableId="919213346">
    <w:abstractNumId w:val="16"/>
  </w:num>
  <w:num w:numId="20" w16cid:durableId="1335955242">
    <w:abstractNumId w:val="15"/>
  </w:num>
  <w:num w:numId="21" w16cid:durableId="343287354">
    <w:abstractNumId w:val="10"/>
  </w:num>
  <w:num w:numId="22" w16cid:durableId="603804760">
    <w:abstractNumId w:val="1"/>
  </w:num>
  <w:numIdMacAtCleanup w:val="22"/>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7"/>
  <w:hideSpellingErrors/>
  <w:hideGrammaticalErrors/>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2010"/>
    <w:rsid w:val="00015F0D"/>
    <w:rsid w:val="00022442"/>
    <w:rsid w:val="00023F2D"/>
    <w:rsid w:val="000252C0"/>
    <w:rsid w:val="00027A34"/>
    <w:rsid w:val="000322E7"/>
    <w:rsid w:val="000343D5"/>
    <w:rsid w:val="00044CFD"/>
    <w:rsid w:val="0005238F"/>
    <w:rsid w:val="000528EF"/>
    <w:rsid w:val="0005455F"/>
    <w:rsid w:val="00061A09"/>
    <w:rsid w:val="00072CF8"/>
    <w:rsid w:val="00087E4F"/>
    <w:rsid w:val="00090A9C"/>
    <w:rsid w:val="00092C24"/>
    <w:rsid w:val="000940A0"/>
    <w:rsid w:val="000A1C3B"/>
    <w:rsid w:val="000A1D3E"/>
    <w:rsid w:val="000A1E46"/>
    <w:rsid w:val="000A310D"/>
    <w:rsid w:val="000A49ED"/>
    <w:rsid w:val="000A749C"/>
    <w:rsid w:val="000B04D2"/>
    <w:rsid w:val="000B0B32"/>
    <w:rsid w:val="000B706D"/>
    <w:rsid w:val="000D0869"/>
    <w:rsid w:val="000D17E6"/>
    <w:rsid w:val="000D3CD0"/>
    <w:rsid w:val="000D3EAE"/>
    <w:rsid w:val="000D4873"/>
    <w:rsid w:val="000D5131"/>
    <w:rsid w:val="000E12E4"/>
    <w:rsid w:val="000E23AB"/>
    <w:rsid w:val="000E6887"/>
    <w:rsid w:val="000F0A0D"/>
    <w:rsid w:val="000F7F04"/>
    <w:rsid w:val="00104C2B"/>
    <w:rsid w:val="00110665"/>
    <w:rsid w:val="0011126E"/>
    <w:rsid w:val="001123D7"/>
    <w:rsid w:val="00116AE4"/>
    <w:rsid w:val="00117CA1"/>
    <w:rsid w:val="00137276"/>
    <w:rsid w:val="00143016"/>
    <w:rsid w:val="00146682"/>
    <w:rsid w:val="001475E2"/>
    <w:rsid w:val="00152104"/>
    <w:rsid w:val="001603EF"/>
    <w:rsid w:val="001618EF"/>
    <w:rsid w:val="001624C4"/>
    <w:rsid w:val="0016375F"/>
    <w:rsid w:val="001654CD"/>
    <w:rsid w:val="001717DE"/>
    <w:rsid w:val="001762F4"/>
    <w:rsid w:val="00180799"/>
    <w:rsid w:val="00180A9B"/>
    <w:rsid w:val="00185F71"/>
    <w:rsid w:val="00195226"/>
    <w:rsid w:val="00197728"/>
    <w:rsid w:val="001A5804"/>
    <w:rsid w:val="001A680C"/>
    <w:rsid w:val="001C01BE"/>
    <w:rsid w:val="001C3DA0"/>
    <w:rsid w:val="001C426A"/>
    <w:rsid w:val="001C7DB2"/>
    <w:rsid w:val="001D47AD"/>
    <w:rsid w:val="001E252D"/>
    <w:rsid w:val="001E32DF"/>
    <w:rsid w:val="001E3406"/>
    <w:rsid w:val="001F5CB8"/>
    <w:rsid w:val="002010FC"/>
    <w:rsid w:val="0020239B"/>
    <w:rsid w:val="0021414C"/>
    <w:rsid w:val="0022051E"/>
    <w:rsid w:val="00222468"/>
    <w:rsid w:val="002267E3"/>
    <w:rsid w:val="00231AB1"/>
    <w:rsid w:val="00232A16"/>
    <w:rsid w:val="0024045F"/>
    <w:rsid w:val="00250CC6"/>
    <w:rsid w:val="00251580"/>
    <w:rsid w:val="00257F01"/>
    <w:rsid w:val="002616CF"/>
    <w:rsid w:val="00263733"/>
    <w:rsid w:val="00264677"/>
    <w:rsid w:val="00265C31"/>
    <w:rsid w:val="00274C5B"/>
    <w:rsid w:val="00291FB9"/>
    <w:rsid w:val="00296B99"/>
    <w:rsid w:val="002A0F37"/>
    <w:rsid w:val="002A113E"/>
    <w:rsid w:val="002B6766"/>
    <w:rsid w:val="002C2285"/>
    <w:rsid w:val="002C5909"/>
    <w:rsid w:val="002D019D"/>
    <w:rsid w:val="002D3349"/>
    <w:rsid w:val="002D46ED"/>
    <w:rsid w:val="002D638C"/>
    <w:rsid w:val="002D68BB"/>
    <w:rsid w:val="002D72E5"/>
    <w:rsid w:val="002E03CF"/>
    <w:rsid w:val="002E33D3"/>
    <w:rsid w:val="002E7312"/>
    <w:rsid w:val="002E7D73"/>
    <w:rsid w:val="002F0EEA"/>
    <w:rsid w:val="002F20A7"/>
    <w:rsid w:val="002F20B5"/>
    <w:rsid w:val="003078A4"/>
    <w:rsid w:val="00315FBB"/>
    <w:rsid w:val="00316776"/>
    <w:rsid w:val="003223F2"/>
    <w:rsid w:val="00322A0D"/>
    <w:rsid w:val="00322CDE"/>
    <w:rsid w:val="003235C8"/>
    <w:rsid w:val="003327DC"/>
    <w:rsid w:val="00333FF1"/>
    <w:rsid w:val="00334002"/>
    <w:rsid w:val="00337546"/>
    <w:rsid w:val="00343773"/>
    <w:rsid w:val="00351522"/>
    <w:rsid w:val="00356156"/>
    <w:rsid w:val="00360A3F"/>
    <w:rsid w:val="00361EA9"/>
    <w:rsid w:val="00364C07"/>
    <w:rsid w:val="00377CB0"/>
    <w:rsid w:val="00381E67"/>
    <w:rsid w:val="00390A57"/>
    <w:rsid w:val="00395E1F"/>
    <w:rsid w:val="00397058"/>
    <w:rsid w:val="003A3C87"/>
    <w:rsid w:val="003A42EF"/>
    <w:rsid w:val="003A4334"/>
    <w:rsid w:val="003B0F00"/>
    <w:rsid w:val="003B1418"/>
    <w:rsid w:val="003B56AF"/>
    <w:rsid w:val="003B5EAB"/>
    <w:rsid w:val="003B6969"/>
    <w:rsid w:val="003C05E1"/>
    <w:rsid w:val="003D3563"/>
    <w:rsid w:val="003D5F89"/>
    <w:rsid w:val="003D7E7F"/>
    <w:rsid w:val="003E1E60"/>
    <w:rsid w:val="003F6189"/>
    <w:rsid w:val="003F69BC"/>
    <w:rsid w:val="0040129F"/>
    <w:rsid w:val="0040510D"/>
    <w:rsid w:val="004104AA"/>
    <w:rsid w:val="0043449E"/>
    <w:rsid w:val="00436B59"/>
    <w:rsid w:val="004413CD"/>
    <w:rsid w:val="0044258D"/>
    <w:rsid w:val="00443A60"/>
    <w:rsid w:val="00444B1D"/>
    <w:rsid w:val="00444B3C"/>
    <w:rsid w:val="004613A1"/>
    <w:rsid w:val="00466097"/>
    <w:rsid w:val="004667A1"/>
    <w:rsid w:val="0047054C"/>
    <w:rsid w:val="004737B5"/>
    <w:rsid w:val="00473F99"/>
    <w:rsid w:val="00485BD0"/>
    <w:rsid w:val="00486B51"/>
    <w:rsid w:val="00487152"/>
    <w:rsid w:val="00492E40"/>
    <w:rsid w:val="00497141"/>
    <w:rsid w:val="004A10BC"/>
    <w:rsid w:val="004B484B"/>
    <w:rsid w:val="004B78C6"/>
    <w:rsid w:val="004C1CC5"/>
    <w:rsid w:val="004C7B52"/>
    <w:rsid w:val="004D075E"/>
    <w:rsid w:val="004D2A39"/>
    <w:rsid w:val="004D6DB2"/>
    <w:rsid w:val="004D7783"/>
    <w:rsid w:val="004D7F28"/>
    <w:rsid w:val="004E01F6"/>
    <w:rsid w:val="004E0378"/>
    <w:rsid w:val="004F1607"/>
    <w:rsid w:val="004F1964"/>
    <w:rsid w:val="004F1CF1"/>
    <w:rsid w:val="004F2B23"/>
    <w:rsid w:val="004F4747"/>
    <w:rsid w:val="0050023D"/>
    <w:rsid w:val="0050451B"/>
    <w:rsid w:val="005144E3"/>
    <w:rsid w:val="00515088"/>
    <w:rsid w:val="0052019E"/>
    <w:rsid w:val="005262B1"/>
    <w:rsid w:val="00527C05"/>
    <w:rsid w:val="0053336F"/>
    <w:rsid w:val="00533AA9"/>
    <w:rsid w:val="00535ED5"/>
    <w:rsid w:val="0053681E"/>
    <w:rsid w:val="005433BE"/>
    <w:rsid w:val="00545742"/>
    <w:rsid w:val="00546BB3"/>
    <w:rsid w:val="005532E5"/>
    <w:rsid w:val="00555B7A"/>
    <w:rsid w:val="00560CC1"/>
    <w:rsid w:val="0056164A"/>
    <w:rsid w:val="0058673F"/>
    <w:rsid w:val="00595574"/>
    <w:rsid w:val="00597208"/>
    <w:rsid w:val="005A3266"/>
    <w:rsid w:val="005A3959"/>
    <w:rsid w:val="005A4F66"/>
    <w:rsid w:val="005A6DF8"/>
    <w:rsid w:val="005A76D0"/>
    <w:rsid w:val="005A7EB2"/>
    <w:rsid w:val="005B0954"/>
    <w:rsid w:val="005B25B6"/>
    <w:rsid w:val="005B2E32"/>
    <w:rsid w:val="005B3C94"/>
    <w:rsid w:val="005B65AE"/>
    <w:rsid w:val="005C3DA2"/>
    <w:rsid w:val="005C51B5"/>
    <w:rsid w:val="005D1768"/>
    <w:rsid w:val="005D2492"/>
    <w:rsid w:val="005E17E2"/>
    <w:rsid w:val="005E1B7D"/>
    <w:rsid w:val="005E24FB"/>
    <w:rsid w:val="005F2661"/>
    <w:rsid w:val="005F5AF5"/>
    <w:rsid w:val="0061026F"/>
    <w:rsid w:val="00610D4A"/>
    <w:rsid w:val="00613C85"/>
    <w:rsid w:val="006220A5"/>
    <w:rsid w:val="0062589E"/>
    <w:rsid w:val="00625A3C"/>
    <w:rsid w:val="00633F98"/>
    <w:rsid w:val="00634932"/>
    <w:rsid w:val="006447D8"/>
    <w:rsid w:val="00644BCE"/>
    <w:rsid w:val="00644F28"/>
    <w:rsid w:val="0065187E"/>
    <w:rsid w:val="00655684"/>
    <w:rsid w:val="00661A1D"/>
    <w:rsid w:val="00667BBF"/>
    <w:rsid w:val="006731F3"/>
    <w:rsid w:val="00675F33"/>
    <w:rsid w:val="00676B85"/>
    <w:rsid w:val="00687F77"/>
    <w:rsid w:val="006A7DC3"/>
    <w:rsid w:val="006B1075"/>
    <w:rsid w:val="006B366F"/>
    <w:rsid w:val="006B51C2"/>
    <w:rsid w:val="006C10F3"/>
    <w:rsid w:val="006C2E76"/>
    <w:rsid w:val="006C54C9"/>
    <w:rsid w:val="006D3EFC"/>
    <w:rsid w:val="006F1837"/>
    <w:rsid w:val="006F3CD1"/>
    <w:rsid w:val="0070272D"/>
    <w:rsid w:val="00703A9A"/>
    <w:rsid w:val="00704C25"/>
    <w:rsid w:val="00705F1D"/>
    <w:rsid w:val="00706AC7"/>
    <w:rsid w:val="00711248"/>
    <w:rsid w:val="00716A33"/>
    <w:rsid w:val="007239AC"/>
    <w:rsid w:val="00723DF1"/>
    <w:rsid w:val="00723E95"/>
    <w:rsid w:val="00727EAF"/>
    <w:rsid w:val="00733953"/>
    <w:rsid w:val="007341D6"/>
    <w:rsid w:val="00736364"/>
    <w:rsid w:val="0073642B"/>
    <w:rsid w:val="00740AB1"/>
    <w:rsid w:val="007507AF"/>
    <w:rsid w:val="00750F2F"/>
    <w:rsid w:val="00754496"/>
    <w:rsid w:val="00754FEB"/>
    <w:rsid w:val="0076684E"/>
    <w:rsid w:val="00766A58"/>
    <w:rsid w:val="00767A1C"/>
    <w:rsid w:val="00772432"/>
    <w:rsid w:val="00772F74"/>
    <w:rsid w:val="007738FE"/>
    <w:rsid w:val="007764F4"/>
    <w:rsid w:val="00776AB8"/>
    <w:rsid w:val="00781550"/>
    <w:rsid w:val="00781E83"/>
    <w:rsid w:val="007822A3"/>
    <w:rsid w:val="00790119"/>
    <w:rsid w:val="00793616"/>
    <w:rsid w:val="007969DC"/>
    <w:rsid w:val="00797AF9"/>
    <w:rsid w:val="007A075D"/>
    <w:rsid w:val="007A31DC"/>
    <w:rsid w:val="007B29E4"/>
    <w:rsid w:val="007B3A5C"/>
    <w:rsid w:val="007B443D"/>
    <w:rsid w:val="007C1F01"/>
    <w:rsid w:val="007C428F"/>
    <w:rsid w:val="007C601A"/>
    <w:rsid w:val="007D39B9"/>
    <w:rsid w:val="007D7D94"/>
    <w:rsid w:val="007E3985"/>
    <w:rsid w:val="007E5B35"/>
    <w:rsid w:val="007F4183"/>
    <w:rsid w:val="007F5015"/>
    <w:rsid w:val="007F6645"/>
    <w:rsid w:val="008022F1"/>
    <w:rsid w:val="00802EEF"/>
    <w:rsid w:val="00806CCE"/>
    <w:rsid w:val="00810769"/>
    <w:rsid w:val="00810AE7"/>
    <w:rsid w:val="008173B3"/>
    <w:rsid w:val="00817E2A"/>
    <w:rsid w:val="008203C3"/>
    <w:rsid w:val="00831B04"/>
    <w:rsid w:val="00837EBE"/>
    <w:rsid w:val="00840269"/>
    <w:rsid w:val="00847603"/>
    <w:rsid w:val="0085283F"/>
    <w:rsid w:val="00854E14"/>
    <w:rsid w:val="0086333D"/>
    <w:rsid w:val="00864B2B"/>
    <w:rsid w:val="008806D9"/>
    <w:rsid w:val="0088301D"/>
    <w:rsid w:val="00883E09"/>
    <w:rsid w:val="00886510"/>
    <w:rsid w:val="0088782A"/>
    <w:rsid w:val="00894F92"/>
    <w:rsid w:val="008A09DC"/>
    <w:rsid w:val="008A2025"/>
    <w:rsid w:val="008A25EF"/>
    <w:rsid w:val="008A69EA"/>
    <w:rsid w:val="008A7D25"/>
    <w:rsid w:val="008B0F36"/>
    <w:rsid w:val="008B5953"/>
    <w:rsid w:val="008C140C"/>
    <w:rsid w:val="008C1CFA"/>
    <w:rsid w:val="008C2AA8"/>
    <w:rsid w:val="008D1B67"/>
    <w:rsid w:val="008D5F2C"/>
    <w:rsid w:val="008D722A"/>
    <w:rsid w:val="008E086D"/>
    <w:rsid w:val="008E18C4"/>
    <w:rsid w:val="008E1DF8"/>
    <w:rsid w:val="008E7947"/>
    <w:rsid w:val="008F5423"/>
    <w:rsid w:val="0090102E"/>
    <w:rsid w:val="009139AE"/>
    <w:rsid w:val="00915B55"/>
    <w:rsid w:val="00916122"/>
    <w:rsid w:val="00917C97"/>
    <w:rsid w:val="009200DC"/>
    <w:rsid w:val="00922314"/>
    <w:rsid w:val="009227E9"/>
    <w:rsid w:val="0093756B"/>
    <w:rsid w:val="009400C2"/>
    <w:rsid w:val="009462FA"/>
    <w:rsid w:val="00947CBD"/>
    <w:rsid w:val="009505DD"/>
    <w:rsid w:val="00955905"/>
    <w:rsid w:val="00962E14"/>
    <w:rsid w:val="0096761A"/>
    <w:rsid w:val="009705B3"/>
    <w:rsid w:val="00971016"/>
    <w:rsid w:val="009813A6"/>
    <w:rsid w:val="009A22B4"/>
    <w:rsid w:val="009B7B1F"/>
    <w:rsid w:val="009C2244"/>
    <w:rsid w:val="009C3C7B"/>
    <w:rsid w:val="009D1D31"/>
    <w:rsid w:val="009E4604"/>
    <w:rsid w:val="009E7CA3"/>
    <w:rsid w:val="009F0570"/>
    <w:rsid w:val="009F0B28"/>
    <w:rsid w:val="009F1183"/>
    <w:rsid w:val="009F1514"/>
    <w:rsid w:val="009F2F7B"/>
    <w:rsid w:val="009F44B4"/>
    <w:rsid w:val="009F589F"/>
    <w:rsid w:val="009F7119"/>
    <w:rsid w:val="00A00401"/>
    <w:rsid w:val="00A043DE"/>
    <w:rsid w:val="00A05BAE"/>
    <w:rsid w:val="00A11618"/>
    <w:rsid w:val="00A14CF4"/>
    <w:rsid w:val="00A1570C"/>
    <w:rsid w:val="00A15C4F"/>
    <w:rsid w:val="00A16BD2"/>
    <w:rsid w:val="00A16E60"/>
    <w:rsid w:val="00A20BAB"/>
    <w:rsid w:val="00A22393"/>
    <w:rsid w:val="00A23560"/>
    <w:rsid w:val="00A26064"/>
    <w:rsid w:val="00A2724A"/>
    <w:rsid w:val="00A366CE"/>
    <w:rsid w:val="00A37539"/>
    <w:rsid w:val="00A40B4C"/>
    <w:rsid w:val="00A51842"/>
    <w:rsid w:val="00A60347"/>
    <w:rsid w:val="00A62487"/>
    <w:rsid w:val="00A63AF0"/>
    <w:rsid w:val="00A6419D"/>
    <w:rsid w:val="00A64AD6"/>
    <w:rsid w:val="00A67E70"/>
    <w:rsid w:val="00A70534"/>
    <w:rsid w:val="00A73A46"/>
    <w:rsid w:val="00A74A2B"/>
    <w:rsid w:val="00A7525C"/>
    <w:rsid w:val="00A77B25"/>
    <w:rsid w:val="00A83153"/>
    <w:rsid w:val="00A8785A"/>
    <w:rsid w:val="00A90432"/>
    <w:rsid w:val="00AB0DB7"/>
    <w:rsid w:val="00AB0E27"/>
    <w:rsid w:val="00AC24D4"/>
    <w:rsid w:val="00AC46F5"/>
    <w:rsid w:val="00AC4F32"/>
    <w:rsid w:val="00AC68E2"/>
    <w:rsid w:val="00AC6DEF"/>
    <w:rsid w:val="00AD191A"/>
    <w:rsid w:val="00AD5DDB"/>
    <w:rsid w:val="00AD783C"/>
    <w:rsid w:val="00AE3D96"/>
    <w:rsid w:val="00AE6B9C"/>
    <w:rsid w:val="00AF62C2"/>
    <w:rsid w:val="00B00D76"/>
    <w:rsid w:val="00B03D10"/>
    <w:rsid w:val="00B05FDA"/>
    <w:rsid w:val="00B133F8"/>
    <w:rsid w:val="00B146C0"/>
    <w:rsid w:val="00B154C6"/>
    <w:rsid w:val="00B16B50"/>
    <w:rsid w:val="00B32E4E"/>
    <w:rsid w:val="00B40794"/>
    <w:rsid w:val="00B4283F"/>
    <w:rsid w:val="00B43F32"/>
    <w:rsid w:val="00B4456F"/>
    <w:rsid w:val="00B61F61"/>
    <w:rsid w:val="00B63BBC"/>
    <w:rsid w:val="00B65A24"/>
    <w:rsid w:val="00B802A8"/>
    <w:rsid w:val="00B90CF8"/>
    <w:rsid w:val="00B91986"/>
    <w:rsid w:val="00B96E4F"/>
    <w:rsid w:val="00BA688E"/>
    <w:rsid w:val="00BB1CA4"/>
    <w:rsid w:val="00BB3408"/>
    <w:rsid w:val="00BB4052"/>
    <w:rsid w:val="00BB46BB"/>
    <w:rsid w:val="00BB5DCC"/>
    <w:rsid w:val="00BC4670"/>
    <w:rsid w:val="00BC7341"/>
    <w:rsid w:val="00BC78DA"/>
    <w:rsid w:val="00BD17E4"/>
    <w:rsid w:val="00BD4333"/>
    <w:rsid w:val="00BE07E2"/>
    <w:rsid w:val="00BE2447"/>
    <w:rsid w:val="00BE2AD6"/>
    <w:rsid w:val="00BE56D1"/>
    <w:rsid w:val="00BE609B"/>
    <w:rsid w:val="00BF00BC"/>
    <w:rsid w:val="00BF10E4"/>
    <w:rsid w:val="00BF20DB"/>
    <w:rsid w:val="00BF2A76"/>
    <w:rsid w:val="00BF4225"/>
    <w:rsid w:val="00BF71B4"/>
    <w:rsid w:val="00C11026"/>
    <w:rsid w:val="00C1168C"/>
    <w:rsid w:val="00C1324B"/>
    <w:rsid w:val="00C144E4"/>
    <w:rsid w:val="00C2122A"/>
    <w:rsid w:val="00C2376A"/>
    <w:rsid w:val="00C31FEC"/>
    <w:rsid w:val="00C34390"/>
    <w:rsid w:val="00C34D41"/>
    <w:rsid w:val="00C35EB8"/>
    <w:rsid w:val="00C44E75"/>
    <w:rsid w:val="00C45804"/>
    <w:rsid w:val="00C472D8"/>
    <w:rsid w:val="00C476E1"/>
    <w:rsid w:val="00C51DEE"/>
    <w:rsid w:val="00C56B6D"/>
    <w:rsid w:val="00C61182"/>
    <w:rsid w:val="00C62DC1"/>
    <w:rsid w:val="00C74AAF"/>
    <w:rsid w:val="00C76706"/>
    <w:rsid w:val="00C812FE"/>
    <w:rsid w:val="00C87AB5"/>
    <w:rsid w:val="00C91221"/>
    <w:rsid w:val="00C93ED6"/>
    <w:rsid w:val="00CA1B14"/>
    <w:rsid w:val="00CB0A76"/>
    <w:rsid w:val="00CB0E67"/>
    <w:rsid w:val="00CB2F72"/>
    <w:rsid w:val="00CC365B"/>
    <w:rsid w:val="00CC3C32"/>
    <w:rsid w:val="00CD04AF"/>
    <w:rsid w:val="00CD177D"/>
    <w:rsid w:val="00CD67C0"/>
    <w:rsid w:val="00CE13A5"/>
    <w:rsid w:val="00CE39F0"/>
    <w:rsid w:val="00CE3F21"/>
    <w:rsid w:val="00CE45FE"/>
    <w:rsid w:val="00CE6643"/>
    <w:rsid w:val="00CE7DB9"/>
    <w:rsid w:val="00CF38E8"/>
    <w:rsid w:val="00D0035F"/>
    <w:rsid w:val="00D012B5"/>
    <w:rsid w:val="00D031A0"/>
    <w:rsid w:val="00D0374D"/>
    <w:rsid w:val="00D046CC"/>
    <w:rsid w:val="00D05EDF"/>
    <w:rsid w:val="00D1286C"/>
    <w:rsid w:val="00D14DC7"/>
    <w:rsid w:val="00D15D43"/>
    <w:rsid w:val="00D20B9D"/>
    <w:rsid w:val="00D20E96"/>
    <w:rsid w:val="00D235C5"/>
    <w:rsid w:val="00D23CA7"/>
    <w:rsid w:val="00D31D7E"/>
    <w:rsid w:val="00D47F4C"/>
    <w:rsid w:val="00D565DD"/>
    <w:rsid w:val="00D66F8C"/>
    <w:rsid w:val="00D70797"/>
    <w:rsid w:val="00D73F64"/>
    <w:rsid w:val="00D776C9"/>
    <w:rsid w:val="00D9067F"/>
    <w:rsid w:val="00D9144F"/>
    <w:rsid w:val="00D922B7"/>
    <w:rsid w:val="00DA5FAE"/>
    <w:rsid w:val="00DA6668"/>
    <w:rsid w:val="00DB23C9"/>
    <w:rsid w:val="00DB67ED"/>
    <w:rsid w:val="00DC034B"/>
    <w:rsid w:val="00DC5EEF"/>
    <w:rsid w:val="00DC64DD"/>
    <w:rsid w:val="00DC7903"/>
    <w:rsid w:val="00DD4E9D"/>
    <w:rsid w:val="00DE2E72"/>
    <w:rsid w:val="00DE4849"/>
    <w:rsid w:val="00DE5DEF"/>
    <w:rsid w:val="00DF30DF"/>
    <w:rsid w:val="00DF6DD4"/>
    <w:rsid w:val="00E01563"/>
    <w:rsid w:val="00E019FE"/>
    <w:rsid w:val="00E031FB"/>
    <w:rsid w:val="00E04FE4"/>
    <w:rsid w:val="00E11EF3"/>
    <w:rsid w:val="00E165FB"/>
    <w:rsid w:val="00E3299D"/>
    <w:rsid w:val="00E32C8C"/>
    <w:rsid w:val="00E34F6D"/>
    <w:rsid w:val="00E3576C"/>
    <w:rsid w:val="00E36535"/>
    <w:rsid w:val="00E415CF"/>
    <w:rsid w:val="00E45FD8"/>
    <w:rsid w:val="00E501DC"/>
    <w:rsid w:val="00E57E7F"/>
    <w:rsid w:val="00E638A6"/>
    <w:rsid w:val="00E667FB"/>
    <w:rsid w:val="00E70A28"/>
    <w:rsid w:val="00E70E4C"/>
    <w:rsid w:val="00E84D58"/>
    <w:rsid w:val="00E90953"/>
    <w:rsid w:val="00E93246"/>
    <w:rsid w:val="00E940F8"/>
    <w:rsid w:val="00EA0044"/>
    <w:rsid w:val="00EA16F8"/>
    <w:rsid w:val="00EA2C08"/>
    <w:rsid w:val="00EA69AC"/>
    <w:rsid w:val="00EB385F"/>
    <w:rsid w:val="00EB684E"/>
    <w:rsid w:val="00EC25CF"/>
    <w:rsid w:val="00EC36A7"/>
    <w:rsid w:val="00EC4694"/>
    <w:rsid w:val="00ED07DE"/>
    <w:rsid w:val="00ED72DC"/>
    <w:rsid w:val="00ED75B0"/>
    <w:rsid w:val="00EE1A99"/>
    <w:rsid w:val="00EE2921"/>
    <w:rsid w:val="00EE664C"/>
    <w:rsid w:val="00EE7D55"/>
    <w:rsid w:val="00EF040F"/>
    <w:rsid w:val="00EF1678"/>
    <w:rsid w:val="00F05002"/>
    <w:rsid w:val="00F13C08"/>
    <w:rsid w:val="00F14098"/>
    <w:rsid w:val="00F1554E"/>
    <w:rsid w:val="00F15ECE"/>
    <w:rsid w:val="00F17A30"/>
    <w:rsid w:val="00F20D35"/>
    <w:rsid w:val="00F3108F"/>
    <w:rsid w:val="00F43BA7"/>
    <w:rsid w:val="00F4536C"/>
    <w:rsid w:val="00F45910"/>
    <w:rsid w:val="00F55531"/>
    <w:rsid w:val="00F5781A"/>
    <w:rsid w:val="00F628F0"/>
    <w:rsid w:val="00F64D4A"/>
    <w:rsid w:val="00F71C4B"/>
    <w:rsid w:val="00F73EE4"/>
    <w:rsid w:val="00F74068"/>
    <w:rsid w:val="00F767E7"/>
    <w:rsid w:val="00F77CC4"/>
    <w:rsid w:val="00F909EF"/>
    <w:rsid w:val="00F92126"/>
    <w:rsid w:val="00F92EA4"/>
    <w:rsid w:val="00F9365E"/>
    <w:rsid w:val="00F95116"/>
    <w:rsid w:val="00FA0F7B"/>
    <w:rsid w:val="00FA28F4"/>
    <w:rsid w:val="00FA34EA"/>
    <w:rsid w:val="00FA4160"/>
    <w:rsid w:val="00FB1E42"/>
    <w:rsid w:val="00FB40CE"/>
    <w:rsid w:val="00FB4EC1"/>
    <w:rsid w:val="00FB5943"/>
    <w:rsid w:val="00FB599B"/>
    <w:rsid w:val="00FB67F2"/>
    <w:rsid w:val="00FB7B59"/>
    <w:rsid w:val="00FC3BCE"/>
    <w:rsid w:val="00FC4679"/>
    <w:rsid w:val="00FD057B"/>
    <w:rsid w:val="00FD131E"/>
    <w:rsid w:val="00FD24BA"/>
    <w:rsid w:val="00FD65D4"/>
    <w:rsid w:val="00FE6577"/>
    <w:rsid w:val="00FF0A80"/>
    <w:rsid w:val="00FF193A"/>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9067F"/>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unhideWhenUsed/>
    <w:qFormat/>
    <w:rsid w:val="00F936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unhideWhenUsed/>
    <w:qFormat/>
    <w:rsid w:val="00716A33"/>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88782A"/>
    <w:rPr>
      <w:color w:val="0000FF" w:themeColor="hyperlink"/>
      <w:u w:val="single"/>
    </w:rPr>
  </w:style>
  <w:style w:type="character" w:styleId="ab">
    <w:name w:val="Unresolved Mention"/>
    <w:basedOn w:val="a0"/>
    <w:uiPriority w:val="99"/>
    <w:semiHidden/>
    <w:unhideWhenUsed/>
    <w:rsid w:val="0088782A"/>
    <w:rPr>
      <w:color w:val="605E5C"/>
      <w:shd w:val="clear" w:color="auto" w:fill="E1DFDD"/>
    </w:rPr>
  </w:style>
  <w:style w:type="character" w:customStyle="1" w:styleId="4Char">
    <w:name w:val="عنوان 4 Char"/>
    <w:basedOn w:val="a0"/>
    <w:link w:val="4"/>
    <w:uiPriority w:val="9"/>
    <w:rsid w:val="00716A33"/>
    <w:rPr>
      <w:rFonts w:asciiTheme="majorHAnsi" w:eastAsiaTheme="majorEastAsia" w:hAnsiTheme="majorHAnsi" w:cstheme="majorBidi"/>
      <w:i/>
      <w:iCs/>
      <w:color w:val="365F91" w:themeColor="accent1" w:themeShade="BF"/>
    </w:rPr>
  </w:style>
  <w:style w:type="table" w:styleId="ac">
    <w:name w:val="Grid Table Light"/>
    <w:basedOn w:val="a1"/>
    <w:uiPriority w:val="40"/>
    <w:rsid w:val="008F542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0">
    <w:name w:val="Plain Table 1"/>
    <w:basedOn w:val="a1"/>
    <w:uiPriority w:val="41"/>
    <w:rsid w:val="008F542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3Char">
    <w:name w:val="عنوان 3 Char"/>
    <w:basedOn w:val="a0"/>
    <w:link w:val="3"/>
    <w:uiPriority w:val="9"/>
    <w:rsid w:val="00F9365E"/>
    <w:rPr>
      <w:rFonts w:asciiTheme="majorHAnsi" w:eastAsiaTheme="majorEastAsia" w:hAnsiTheme="majorHAnsi" w:cstheme="majorBidi"/>
      <w:color w:val="243F60" w:themeColor="accent1" w:themeShade="7F"/>
      <w:sz w:val="24"/>
      <w:szCs w:val="24"/>
    </w:rPr>
  </w:style>
  <w:style w:type="character" w:styleId="ad">
    <w:name w:val="FollowedHyperlink"/>
    <w:basedOn w:val="a0"/>
    <w:uiPriority w:val="99"/>
    <w:semiHidden/>
    <w:unhideWhenUsed/>
    <w:rsid w:val="0056164A"/>
    <w:rPr>
      <w:color w:val="800080" w:themeColor="followedHyperlink"/>
      <w:u w:val="single"/>
    </w:rPr>
  </w:style>
  <w:style w:type="character" w:styleId="ae">
    <w:name w:val="Emphasis"/>
    <w:basedOn w:val="a0"/>
    <w:uiPriority w:val="20"/>
    <w:qFormat/>
    <w:rsid w:val="00BE56D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03959501">
      <w:bodyDiv w:val="1"/>
      <w:marLeft w:val="0"/>
      <w:marRight w:val="0"/>
      <w:marTop w:val="0"/>
      <w:marBottom w:val="0"/>
      <w:divBdr>
        <w:top w:val="none" w:sz="0" w:space="0" w:color="auto"/>
        <w:left w:val="none" w:sz="0" w:space="0" w:color="auto"/>
        <w:bottom w:val="none" w:sz="0" w:space="0" w:color="auto"/>
        <w:right w:val="none" w:sz="0" w:space="0" w:color="auto"/>
      </w:divBdr>
    </w:div>
    <w:div w:id="237374832">
      <w:bodyDiv w:val="1"/>
      <w:marLeft w:val="0"/>
      <w:marRight w:val="0"/>
      <w:marTop w:val="0"/>
      <w:marBottom w:val="0"/>
      <w:divBdr>
        <w:top w:val="none" w:sz="0" w:space="0" w:color="auto"/>
        <w:left w:val="none" w:sz="0" w:space="0" w:color="auto"/>
        <w:bottom w:val="none" w:sz="0" w:space="0" w:color="auto"/>
        <w:right w:val="none" w:sz="0" w:space="0" w:color="auto"/>
      </w:divBdr>
    </w:div>
    <w:div w:id="403264674">
      <w:bodyDiv w:val="1"/>
      <w:marLeft w:val="0"/>
      <w:marRight w:val="0"/>
      <w:marTop w:val="0"/>
      <w:marBottom w:val="0"/>
      <w:divBdr>
        <w:top w:val="none" w:sz="0" w:space="0" w:color="auto"/>
        <w:left w:val="none" w:sz="0" w:space="0" w:color="auto"/>
        <w:bottom w:val="none" w:sz="0" w:space="0" w:color="auto"/>
        <w:right w:val="none" w:sz="0" w:space="0" w:color="auto"/>
      </w:divBdr>
    </w:div>
    <w:div w:id="531571163">
      <w:bodyDiv w:val="1"/>
      <w:marLeft w:val="0"/>
      <w:marRight w:val="0"/>
      <w:marTop w:val="0"/>
      <w:marBottom w:val="0"/>
      <w:divBdr>
        <w:top w:val="none" w:sz="0" w:space="0" w:color="auto"/>
        <w:left w:val="none" w:sz="0" w:space="0" w:color="auto"/>
        <w:bottom w:val="none" w:sz="0" w:space="0" w:color="auto"/>
        <w:right w:val="none" w:sz="0" w:space="0" w:color="auto"/>
      </w:divBdr>
    </w:div>
    <w:div w:id="930502073">
      <w:bodyDiv w:val="1"/>
      <w:marLeft w:val="0"/>
      <w:marRight w:val="0"/>
      <w:marTop w:val="0"/>
      <w:marBottom w:val="0"/>
      <w:divBdr>
        <w:top w:val="none" w:sz="0" w:space="0" w:color="auto"/>
        <w:left w:val="none" w:sz="0" w:space="0" w:color="auto"/>
        <w:bottom w:val="none" w:sz="0" w:space="0" w:color="auto"/>
        <w:right w:val="none" w:sz="0" w:space="0" w:color="auto"/>
      </w:divBdr>
    </w:div>
    <w:div w:id="936982781">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129934935">
      <w:bodyDiv w:val="1"/>
      <w:marLeft w:val="0"/>
      <w:marRight w:val="0"/>
      <w:marTop w:val="0"/>
      <w:marBottom w:val="0"/>
      <w:divBdr>
        <w:top w:val="none" w:sz="0" w:space="0" w:color="auto"/>
        <w:left w:val="none" w:sz="0" w:space="0" w:color="auto"/>
        <w:bottom w:val="none" w:sz="0" w:space="0" w:color="auto"/>
        <w:right w:val="none" w:sz="0" w:space="0" w:color="auto"/>
      </w:divBdr>
    </w:div>
    <w:div w:id="1257446306">
      <w:bodyDiv w:val="1"/>
      <w:marLeft w:val="0"/>
      <w:marRight w:val="0"/>
      <w:marTop w:val="0"/>
      <w:marBottom w:val="0"/>
      <w:divBdr>
        <w:top w:val="none" w:sz="0" w:space="0" w:color="auto"/>
        <w:left w:val="none" w:sz="0" w:space="0" w:color="auto"/>
        <w:bottom w:val="none" w:sz="0" w:space="0" w:color="auto"/>
        <w:right w:val="none" w:sz="0" w:space="0" w:color="auto"/>
      </w:divBdr>
    </w:div>
    <w:div w:id="1366180236">
      <w:bodyDiv w:val="1"/>
      <w:marLeft w:val="0"/>
      <w:marRight w:val="0"/>
      <w:marTop w:val="0"/>
      <w:marBottom w:val="0"/>
      <w:divBdr>
        <w:top w:val="none" w:sz="0" w:space="0" w:color="auto"/>
        <w:left w:val="none" w:sz="0" w:space="0" w:color="auto"/>
        <w:bottom w:val="none" w:sz="0" w:space="0" w:color="auto"/>
        <w:right w:val="none" w:sz="0" w:space="0" w:color="auto"/>
      </w:divBdr>
    </w:div>
    <w:div w:id="1415930995">
      <w:bodyDiv w:val="1"/>
      <w:marLeft w:val="0"/>
      <w:marRight w:val="0"/>
      <w:marTop w:val="0"/>
      <w:marBottom w:val="0"/>
      <w:divBdr>
        <w:top w:val="none" w:sz="0" w:space="0" w:color="auto"/>
        <w:left w:val="none" w:sz="0" w:space="0" w:color="auto"/>
        <w:bottom w:val="none" w:sz="0" w:space="0" w:color="auto"/>
        <w:right w:val="none" w:sz="0" w:space="0" w:color="auto"/>
      </w:divBdr>
    </w:div>
    <w:div w:id="1448232694">
      <w:bodyDiv w:val="1"/>
      <w:marLeft w:val="0"/>
      <w:marRight w:val="0"/>
      <w:marTop w:val="0"/>
      <w:marBottom w:val="0"/>
      <w:divBdr>
        <w:top w:val="none" w:sz="0" w:space="0" w:color="auto"/>
        <w:left w:val="none" w:sz="0" w:space="0" w:color="auto"/>
        <w:bottom w:val="none" w:sz="0" w:space="0" w:color="auto"/>
        <w:right w:val="none" w:sz="0" w:space="0" w:color="auto"/>
      </w:divBdr>
    </w:div>
    <w:div w:id="1549341084">
      <w:bodyDiv w:val="1"/>
      <w:marLeft w:val="0"/>
      <w:marRight w:val="0"/>
      <w:marTop w:val="0"/>
      <w:marBottom w:val="0"/>
      <w:divBdr>
        <w:top w:val="none" w:sz="0" w:space="0" w:color="auto"/>
        <w:left w:val="none" w:sz="0" w:space="0" w:color="auto"/>
        <w:bottom w:val="none" w:sz="0" w:space="0" w:color="auto"/>
        <w:right w:val="none" w:sz="0" w:space="0" w:color="auto"/>
      </w:divBdr>
    </w:div>
    <w:div w:id="1593126546">
      <w:bodyDiv w:val="1"/>
      <w:marLeft w:val="0"/>
      <w:marRight w:val="0"/>
      <w:marTop w:val="0"/>
      <w:marBottom w:val="0"/>
      <w:divBdr>
        <w:top w:val="none" w:sz="0" w:space="0" w:color="auto"/>
        <w:left w:val="none" w:sz="0" w:space="0" w:color="auto"/>
        <w:bottom w:val="none" w:sz="0" w:space="0" w:color="auto"/>
        <w:right w:val="none" w:sz="0" w:space="0" w:color="auto"/>
      </w:divBdr>
    </w:div>
    <w:div w:id="1677032775">
      <w:bodyDiv w:val="1"/>
      <w:marLeft w:val="0"/>
      <w:marRight w:val="0"/>
      <w:marTop w:val="0"/>
      <w:marBottom w:val="0"/>
      <w:divBdr>
        <w:top w:val="none" w:sz="0" w:space="0" w:color="auto"/>
        <w:left w:val="none" w:sz="0" w:space="0" w:color="auto"/>
        <w:bottom w:val="none" w:sz="0" w:space="0" w:color="auto"/>
        <w:right w:val="none" w:sz="0" w:space="0" w:color="auto"/>
      </w:divBdr>
    </w:div>
    <w:div w:id="2029939490">
      <w:bodyDiv w:val="1"/>
      <w:marLeft w:val="0"/>
      <w:marRight w:val="0"/>
      <w:marTop w:val="0"/>
      <w:marBottom w:val="0"/>
      <w:divBdr>
        <w:top w:val="none" w:sz="0" w:space="0" w:color="auto"/>
        <w:left w:val="none" w:sz="0" w:space="0" w:color="auto"/>
        <w:bottom w:val="none" w:sz="0" w:space="0" w:color="auto"/>
        <w:right w:val="none" w:sz="0" w:space="0" w:color="auto"/>
      </w:divBdr>
    </w:div>
    <w:div w:id="2043355941">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18058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21608/jsasc.2024.335098.1016" TargetMode="External"/><Relationship Id="rId18" Type="http://schemas.openxmlformats.org/officeDocument/2006/relationships/hyperlink" Target="https://doi.org/10.1016/j.ijme.2024.101105" TargetMode="External"/><Relationship Id="rId26" Type="http://schemas.openxmlformats.org/officeDocument/2006/relationships/hyperlink" Target="https://doi.org/10.11648/j.ajtas.20160501.11" TargetMode="External"/><Relationship Id="rId39" Type="http://schemas.openxmlformats.org/officeDocument/2006/relationships/hyperlink" Target="https://doi.org/10.21833/ijaas.2025.08.018" TargetMode="External"/><Relationship Id="rId21" Type="http://schemas.openxmlformats.org/officeDocument/2006/relationships/hyperlink" Target="https://doi.org/10.59670/ml.v20iS3.3768" TargetMode="External"/><Relationship Id="rId34" Type="http://schemas.openxmlformats.org/officeDocument/2006/relationships/hyperlink" Target="https://doi.org/10.33168/JSMS.2024.0108" TargetMode="External"/><Relationship Id="rId42" Type="http://schemas.openxmlformats.org/officeDocument/2006/relationships/hyperlink" Target="https://doi.org/10.6007/IJARPED/v14-i3/25813" TargetMode="External"/><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21608/ejsc.2022.272038" TargetMode="External"/><Relationship Id="rId29" Type="http://schemas.openxmlformats.org/officeDocument/2006/relationships/hyperlink" Target="https://doi.org/10.2478/nimmir-2024-0002" TargetMode="External"/><Relationship Id="rId11" Type="http://schemas.openxmlformats.org/officeDocument/2006/relationships/hyperlink" Target="https://doi.org/10.21608/jsb.2023.230616.1633" TargetMode="External"/><Relationship Id="rId24" Type="http://schemas.openxmlformats.org/officeDocument/2006/relationships/hyperlink" Target="https://doi.org/10.1002/smj.3677" TargetMode="External"/><Relationship Id="rId32" Type="http://schemas.openxmlformats.org/officeDocument/2006/relationships/hyperlink" Target="https://doi.org/10.4018/ijec.2015100101" TargetMode="External"/><Relationship Id="rId37" Type="http://schemas.openxmlformats.org/officeDocument/2006/relationships/hyperlink" Target="https://doi.org/10.1037/0021-9010.88.5.879" TargetMode="External"/><Relationship Id="rId40" Type="http://schemas.openxmlformats.org/officeDocument/2006/relationships/hyperlink" Target="https://doi.org/10.1108/JCM-04-2024-6806"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21608/jsb.2024.307517.1782" TargetMode="External"/><Relationship Id="rId23" Type="http://schemas.openxmlformats.org/officeDocument/2006/relationships/hyperlink" Target="https://doi.org/10.69648/EYZI2281" TargetMode="External"/><Relationship Id="rId28" Type="http://schemas.openxmlformats.org/officeDocument/2006/relationships/hyperlink" Target="https://doi.org/10.14445/22312803/IJCTT-V72I5P106" TargetMode="External"/><Relationship Id="rId36" Type="http://schemas.openxmlformats.org/officeDocument/2006/relationships/hyperlink" Target="https://www.nim.org" TargetMode="External"/><Relationship Id="rId49" Type="http://schemas.openxmlformats.org/officeDocument/2006/relationships/theme" Target="theme/theme1.xml"/><Relationship Id="rId10" Type="http://schemas.microsoft.com/office/2007/relationships/hdphoto" Target="media/hdphoto1.wdp"/><Relationship Id="rId19" Type="http://schemas.openxmlformats.org/officeDocument/2006/relationships/hyperlink" Target="https://doi.org/10.5267/j.ijdns.2024.7.006" TargetMode="External"/><Relationship Id="rId31" Type="http://schemas.openxmlformats.org/officeDocument/2006/relationships/hyperlink" Target="https://doi.org/10.21541/apjess.1398155" TargetMode="External"/><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36325/ghjec.v20i3.16786" TargetMode="External"/><Relationship Id="rId22" Type="http://schemas.openxmlformats.org/officeDocument/2006/relationships/hyperlink" Target="https://doi.org/10.3389/frai.2025.1541678" TargetMode="External"/><Relationship Id="rId27" Type="http://schemas.openxmlformats.org/officeDocument/2006/relationships/hyperlink" Target="https://doi.org/10.30574/gscarr.2025.23.3.0145" TargetMode="External"/><Relationship Id="rId30" Type="http://schemas.openxmlformats.org/officeDocument/2006/relationships/hyperlink" Target="https://doi.org/10.3390/computers13070168" TargetMode="External"/><Relationship Id="rId35" Type="http://schemas.openxmlformats.org/officeDocument/2006/relationships/hyperlink" Target="https://doi.org/10.63332/joph.v5i6.2596" TargetMode="External"/><Relationship Id="rId43" Type="http://schemas.openxmlformats.org/officeDocument/2006/relationships/header" Target="header1.xm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4197/Comm.2-1.5" TargetMode="External"/><Relationship Id="rId17" Type="http://schemas.openxmlformats.org/officeDocument/2006/relationships/hyperlink" Target="https://doi.org/10.59994/pau.2025.2.161" TargetMode="External"/><Relationship Id="rId25" Type="http://schemas.openxmlformats.org/officeDocument/2006/relationships/hyperlink" Target="https://doi.org/10.1016/j.ijinfomgt.2023.102642" TargetMode="External"/><Relationship Id="rId33" Type="http://schemas.openxmlformats.org/officeDocument/2006/relationships/hyperlink" Target="https://doi.org/10.1016/j.ijinfomgt.2023.102716" TargetMode="External"/><Relationship Id="rId38" Type="http://schemas.openxmlformats.org/officeDocument/2006/relationships/hyperlink" Target="https://doi.org/10.3390/su16198667" TargetMode="External"/><Relationship Id="rId46" Type="http://schemas.openxmlformats.org/officeDocument/2006/relationships/header" Target="header3.xml"/><Relationship Id="rId20" Type="http://schemas.openxmlformats.org/officeDocument/2006/relationships/hyperlink" Target="https://doi.org/10.1016/j.chb.2020.106548" TargetMode="External"/><Relationship Id="rId41" Type="http://schemas.openxmlformats.org/officeDocument/2006/relationships/hyperlink" Target="https://doi.org/10.1086/651257"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55</Pages>
  <Words>19409</Words>
  <Characters>110636</Characters>
  <Application>Microsoft Office Word</Application>
  <DocSecurity>0</DocSecurity>
  <Lines>921</Lines>
  <Paragraphs>259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129786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hebah abduaiiah .</cp:lastModifiedBy>
  <cp:revision>3</cp:revision>
  <cp:lastPrinted>2025-07-06T06:14:00Z</cp:lastPrinted>
  <dcterms:created xsi:type="dcterms:W3CDTF">2026-07-22T21:37:00Z</dcterms:created>
  <dcterms:modified xsi:type="dcterms:W3CDTF">2026-07-22T21:43:00Z</dcterms:modified>
</cp:coreProperties>
</file>