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0" w:type="auto"/>
        <w:tblLook w:val="04A0" w:firstRow="1" w:lastRow="0" w:firstColumn="1" w:lastColumn="0" w:noHBand="0" w:noVBand="1"/>
      </w:tblPr>
      <w:tblGrid>
        <w:gridCol w:w="2808"/>
        <w:gridCol w:w="2691"/>
        <w:gridCol w:w="3006"/>
      </w:tblGrid>
      <w:tr w:rsidR="00D778D8" w14:paraId="31B688A3" w14:textId="77777777" w:rsidTr="00D778D8">
        <w:tc>
          <w:tcPr>
            <w:tcW w:w="2831" w:type="dxa"/>
          </w:tcPr>
          <w:p w14:paraId="6B92F883" w14:textId="77777777" w:rsidR="00D778D8" w:rsidRPr="00D778D8" w:rsidRDefault="00D778D8" w:rsidP="00D778D8">
            <w:pPr>
              <w:autoSpaceDE w:val="0"/>
              <w:autoSpaceDN w:val="0"/>
              <w:adjustRightInd w:val="0"/>
              <w:spacing w:after="0"/>
              <w:jc w:val="center"/>
              <w:rPr>
                <w:rFonts w:ascii="Simplified Arabic" w:eastAsia="Times New Roman" w:hAnsi="Simplified Arabic" w:cs="Simplified Arabic"/>
                <w:b/>
                <w:bCs/>
                <w:color w:val="000000"/>
                <w:sz w:val="24"/>
                <w:szCs w:val="24"/>
                <w:lang w:bidi="ar-EG"/>
              </w:rPr>
            </w:pPr>
            <w:r w:rsidRPr="00D778D8">
              <w:rPr>
                <w:rFonts w:ascii="Simplified Arabic" w:eastAsia="Times New Roman" w:hAnsi="Simplified Arabic" w:cs="Simplified Arabic"/>
                <w:b/>
                <w:bCs/>
                <w:color w:val="000000"/>
                <w:sz w:val="24"/>
                <w:szCs w:val="24"/>
                <w:rtl/>
              </w:rPr>
              <w:t xml:space="preserve">جامعة </w:t>
            </w:r>
            <w:proofErr w:type="spellStart"/>
            <w:r w:rsidRPr="00D778D8">
              <w:rPr>
                <w:rFonts w:ascii="Simplified Arabic" w:eastAsia="Times New Roman" w:hAnsi="Simplified Arabic" w:cs="Simplified Arabic"/>
                <w:b/>
                <w:bCs/>
                <w:color w:val="000000"/>
                <w:sz w:val="24"/>
                <w:szCs w:val="24"/>
                <w:rtl/>
              </w:rPr>
              <w:t>ميدأوشن</w:t>
            </w:r>
            <w:proofErr w:type="spellEnd"/>
          </w:p>
          <w:p w14:paraId="0054BCCB"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4"/>
                <w:szCs w:val="24"/>
                <w:rtl/>
                <w:lang w:bidi="ar-EG"/>
              </w:rPr>
            </w:pPr>
            <w:r w:rsidRPr="00D778D8">
              <w:rPr>
                <w:rFonts w:ascii="Simplified Arabic" w:eastAsia="Times New Roman" w:hAnsi="Simplified Arabic" w:cs="Simplified Arabic"/>
                <w:b/>
                <w:bCs/>
                <w:color w:val="000000"/>
                <w:sz w:val="24"/>
                <w:szCs w:val="24"/>
                <w:lang w:bidi="ar-EG"/>
              </w:rPr>
              <w:t>Midocean University</w:t>
            </w:r>
          </w:p>
          <w:p w14:paraId="4DDB6D52" w14:textId="77777777" w:rsidR="00D778D8" w:rsidRDefault="00D778D8" w:rsidP="00D778D8">
            <w:pPr>
              <w:autoSpaceDE w:val="0"/>
              <w:autoSpaceDN w:val="0"/>
              <w:adjustRightInd w:val="0"/>
              <w:spacing w:after="0" w:line="240" w:lineRule="auto"/>
              <w:jc w:val="both"/>
              <w:rPr>
                <w:rFonts w:ascii="Simplified Arabic" w:eastAsia="Times New Roman" w:hAnsi="Simplified Arabic" w:cs="Simplified Arabic"/>
                <w:b/>
                <w:bCs/>
                <w:color w:val="000000"/>
                <w:sz w:val="28"/>
                <w:szCs w:val="28"/>
                <w:rtl/>
                <w:lang w:bidi="ar-EG"/>
              </w:rPr>
            </w:pPr>
            <w:r>
              <w:rPr>
                <w:rFonts w:ascii="Simplified Arabic" w:eastAsia="Times New Roman" w:hAnsi="Simplified Arabic" w:cs="Simplified Arabic"/>
                <w:b/>
                <w:bCs/>
                <w:noProof/>
                <w:color w:val="000000"/>
                <w:sz w:val="28"/>
                <w:szCs w:val="28"/>
              </w:rPr>
              <w:drawing>
                <wp:inline distT="0" distB="0" distL="0" distR="0" wp14:anchorId="69525229" wp14:editId="2D4DBCEA">
                  <wp:extent cx="1390015" cy="4572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0015" cy="457200"/>
                          </a:xfrm>
                          <a:prstGeom prst="rect">
                            <a:avLst/>
                          </a:prstGeom>
                          <a:noFill/>
                        </pic:spPr>
                      </pic:pic>
                    </a:graphicData>
                  </a:graphic>
                </wp:inline>
              </w:drawing>
            </w:r>
          </w:p>
        </w:tc>
        <w:tc>
          <w:tcPr>
            <w:tcW w:w="2832" w:type="dxa"/>
          </w:tcPr>
          <w:p w14:paraId="75FDB7C2" w14:textId="77777777" w:rsidR="00D778D8" w:rsidRDefault="00D778D8" w:rsidP="00D778D8">
            <w:pPr>
              <w:autoSpaceDE w:val="0"/>
              <w:autoSpaceDN w:val="0"/>
              <w:adjustRightInd w:val="0"/>
              <w:spacing w:after="0" w:line="240" w:lineRule="auto"/>
              <w:jc w:val="both"/>
              <w:rPr>
                <w:rFonts w:ascii="Simplified Arabic" w:eastAsia="Times New Roman" w:hAnsi="Simplified Arabic" w:cs="Simplified Arabic"/>
                <w:b/>
                <w:bCs/>
                <w:color w:val="000000"/>
                <w:sz w:val="28"/>
                <w:szCs w:val="28"/>
                <w:rtl/>
                <w:lang w:bidi="ar-EG"/>
              </w:rPr>
            </w:pPr>
          </w:p>
        </w:tc>
        <w:tc>
          <w:tcPr>
            <w:tcW w:w="2832" w:type="dxa"/>
          </w:tcPr>
          <w:p w14:paraId="217F74F4" w14:textId="77777777" w:rsidR="00D778D8" w:rsidRDefault="00D778D8" w:rsidP="00D778D8">
            <w:pPr>
              <w:autoSpaceDE w:val="0"/>
              <w:autoSpaceDN w:val="0"/>
              <w:adjustRightInd w:val="0"/>
              <w:spacing w:after="0" w:line="240" w:lineRule="auto"/>
              <w:jc w:val="both"/>
              <w:rPr>
                <w:rFonts w:ascii="Simplified Arabic" w:eastAsia="Times New Roman" w:hAnsi="Simplified Arabic" w:cs="Simplified Arabic"/>
                <w:b/>
                <w:bCs/>
                <w:color w:val="000000"/>
                <w:sz w:val="28"/>
                <w:szCs w:val="28"/>
                <w:rtl/>
                <w:lang w:bidi="ar-EG"/>
              </w:rPr>
            </w:pPr>
            <w:r>
              <w:rPr>
                <w:rFonts w:ascii="Simplified Arabic" w:eastAsia="Times New Roman" w:hAnsi="Simplified Arabic" w:cs="Simplified Arabic"/>
                <w:b/>
                <w:bCs/>
                <w:noProof/>
                <w:color w:val="000000"/>
                <w:sz w:val="28"/>
                <w:szCs w:val="28"/>
              </w:rPr>
              <w:drawing>
                <wp:inline distT="0" distB="0" distL="0" distR="0" wp14:anchorId="362E8D34" wp14:editId="1A5527CA">
                  <wp:extent cx="1762125" cy="65214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125" cy="652145"/>
                          </a:xfrm>
                          <a:prstGeom prst="rect">
                            <a:avLst/>
                          </a:prstGeom>
                          <a:noFill/>
                        </pic:spPr>
                      </pic:pic>
                    </a:graphicData>
                  </a:graphic>
                </wp:inline>
              </w:drawing>
            </w:r>
          </w:p>
        </w:tc>
      </w:tr>
    </w:tbl>
    <w:p w14:paraId="42A4A071" w14:textId="77777777" w:rsidR="00D778D8" w:rsidRPr="00D778D8" w:rsidRDefault="00D778D8" w:rsidP="00D778D8">
      <w:pPr>
        <w:autoSpaceDE w:val="0"/>
        <w:autoSpaceDN w:val="0"/>
        <w:adjustRightInd w:val="0"/>
        <w:spacing w:after="0" w:line="240" w:lineRule="auto"/>
        <w:jc w:val="both"/>
        <w:rPr>
          <w:rFonts w:ascii="Simplified Arabic" w:eastAsia="Times New Roman" w:hAnsi="Simplified Arabic" w:cs="Simplified Arabic"/>
          <w:b/>
          <w:bCs/>
          <w:color w:val="000000"/>
          <w:sz w:val="28"/>
          <w:szCs w:val="28"/>
          <w:rtl/>
          <w:lang w:bidi="ar-EG"/>
        </w:rPr>
      </w:pPr>
      <w:r w:rsidRPr="00D778D8">
        <w:rPr>
          <w:rFonts w:ascii="Simplified Arabic" w:eastAsia="Times New Roman" w:hAnsi="Simplified Arabic" w:cs="Simplified Arabic"/>
          <w:b/>
          <w:bCs/>
          <w:color w:val="000000"/>
          <w:sz w:val="28"/>
          <w:szCs w:val="28"/>
          <w:rtl/>
          <w:lang w:bidi="ar-EG"/>
        </w:rPr>
        <w:t xml:space="preserve">       </w:t>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p>
    <w:p w14:paraId="40ABF6FA" w14:textId="77777777" w:rsidR="00D778D8" w:rsidRDefault="00D778D8" w:rsidP="00D778D8">
      <w:pPr>
        <w:autoSpaceDE w:val="0"/>
        <w:autoSpaceDN w:val="0"/>
        <w:adjustRightInd w:val="0"/>
        <w:spacing w:after="0" w:line="240" w:lineRule="auto"/>
        <w:jc w:val="both"/>
        <w:rPr>
          <w:rFonts w:ascii="Simplified Arabic" w:eastAsia="Times New Roman" w:hAnsi="Simplified Arabic" w:cs="Simplified Arabic"/>
          <w:b/>
          <w:bCs/>
          <w:color w:val="FF0000"/>
          <w:sz w:val="40"/>
          <w:szCs w:val="40"/>
          <w:rtl/>
          <w:lang w:bidi="ar-EG"/>
        </w:rPr>
      </w:pP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rtl/>
          <w:lang w:bidi="ar-EG"/>
        </w:rPr>
        <w:tab/>
      </w:r>
      <w:r w:rsidRPr="00D778D8">
        <w:rPr>
          <w:rFonts w:ascii="Simplified Arabic" w:eastAsia="Times New Roman" w:hAnsi="Simplified Arabic" w:cs="Simplified Arabic"/>
          <w:b/>
          <w:bCs/>
          <w:color w:val="000000"/>
          <w:sz w:val="28"/>
          <w:szCs w:val="28"/>
          <w:lang w:bidi="ar-EG"/>
        </w:rPr>
        <w:tab/>
      </w:r>
      <w:r w:rsidRPr="00D778D8">
        <w:rPr>
          <w:rFonts w:ascii="Simplified Arabic" w:eastAsia="Times New Roman" w:hAnsi="Simplified Arabic" w:cs="Simplified Arabic"/>
          <w:b/>
          <w:bCs/>
          <w:color w:val="000000"/>
          <w:sz w:val="28"/>
          <w:szCs w:val="28"/>
          <w:lang w:bidi="ar-EG"/>
        </w:rPr>
        <w:tab/>
      </w:r>
      <w:r w:rsidRPr="00D778D8">
        <w:rPr>
          <w:rFonts w:ascii="Simplified Arabic" w:eastAsia="Times New Roman" w:hAnsi="Simplified Arabic" w:cs="Simplified Arabic"/>
          <w:b/>
          <w:bCs/>
          <w:color w:val="000000"/>
          <w:sz w:val="28"/>
          <w:szCs w:val="28"/>
          <w:lang w:bidi="ar-EG"/>
        </w:rPr>
        <w:tab/>
      </w:r>
      <w:r w:rsidRPr="00D778D8">
        <w:rPr>
          <w:rFonts w:ascii="Simplified Arabic" w:eastAsia="Times New Roman" w:hAnsi="Simplified Arabic" w:cs="Simplified Arabic"/>
          <w:b/>
          <w:bCs/>
          <w:color w:val="000000"/>
          <w:sz w:val="28"/>
          <w:szCs w:val="28"/>
          <w:lang w:bidi="ar-EG"/>
        </w:rPr>
        <w:tab/>
      </w:r>
    </w:p>
    <w:p w14:paraId="202EAC30"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FF0000"/>
          <w:sz w:val="40"/>
          <w:szCs w:val="40"/>
          <w:rtl/>
        </w:rPr>
      </w:pPr>
      <w:r w:rsidRPr="00D778D8">
        <w:rPr>
          <w:rFonts w:ascii="Simplified Arabic" w:eastAsia="Times New Roman" w:hAnsi="Simplified Arabic" w:cs="Simplified Arabic"/>
          <w:b/>
          <w:bCs/>
          <w:color w:val="FF0000"/>
          <w:sz w:val="40"/>
          <w:szCs w:val="40"/>
          <w:rtl/>
        </w:rPr>
        <w:t>نموذج مقترح للدور الوسيط لتوظيف نماذج اللغة الضخمة في العلاقة بين حوكمة المعلومات والرشاقة الاستراتيجية: دراسة ميدانية على شركات الاستشارة السعودية</w:t>
      </w:r>
    </w:p>
    <w:p w14:paraId="39907F56"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r w:rsidRPr="00D778D8">
        <w:rPr>
          <w:rFonts w:ascii="Times New Roman" w:eastAsia="Times New Roman" w:hAnsi="Times New Roman" w:cs="Times New Roman"/>
          <w:b/>
          <w:bCs/>
          <w:color w:val="000000"/>
          <w:sz w:val="32"/>
          <w:szCs w:val="32"/>
          <w:lang w:bidi="ar-EG"/>
        </w:rPr>
        <w:t>A Proposed Model for the Mediating Role of Large Language Model Utilization in the Relationship Between Information Governance and Strategic Agility: A Field Study on Saudi Consulting Companies</w:t>
      </w:r>
    </w:p>
    <w:p w14:paraId="7771CE2C"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r>
        <w:rPr>
          <w:rFonts w:ascii="Simplified Arabic" w:eastAsia="Times New Roman" w:hAnsi="Simplified Arabic" w:cs="Simplified Arabic" w:hint="cs"/>
          <w:b/>
          <w:bCs/>
          <w:color w:val="FF0000"/>
          <w:sz w:val="32"/>
          <w:szCs w:val="32"/>
          <w:rtl/>
          <w:lang w:bidi="ar-EG"/>
        </w:rPr>
        <w:t>خطة</w:t>
      </w:r>
      <w:r w:rsidRPr="00D778D8">
        <w:rPr>
          <w:rFonts w:ascii="Simplified Arabic" w:eastAsia="Times New Roman" w:hAnsi="Simplified Arabic" w:cs="Simplified Arabic"/>
          <w:b/>
          <w:bCs/>
          <w:color w:val="FF0000"/>
          <w:sz w:val="32"/>
          <w:szCs w:val="32"/>
          <w:rtl/>
          <w:lang w:bidi="ar-EG"/>
        </w:rPr>
        <w:t xml:space="preserve"> </w:t>
      </w:r>
      <w:r w:rsidRPr="00D778D8">
        <w:rPr>
          <w:rFonts w:ascii="Simplified Arabic" w:eastAsia="Times New Roman" w:hAnsi="Simplified Arabic" w:cs="Simplified Arabic" w:hint="cs"/>
          <w:b/>
          <w:bCs/>
          <w:color w:val="FF0000"/>
          <w:sz w:val="32"/>
          <w:szCs w:val="32"/>
          <w:rtl/>
          <w:lang w:bidi="ar-EG"/>
        </w:rPr>
        <w:t xml:space="preserve">مقدمة </w:t>
      </w:r>
      <w:r>
        <w:rPr>
          <w:rFonts w:ascii="Simplified Arabic" w:eastAsia="Times New Roman" w:hAnsi="Simplified Arabic" w:cs="Simplified Arabic" w:hint="cs"/>
          <w:b/>
          <w:bCs/>
          <w:color w:val="FF0000"/>
          <w:sz w:val="32"/>
          <w:szCs w:val="32"/>
          <w:rtl/>
          <w:lang w:bidi="ar-EG"/>
        </w:rPr>
        <w:t>للتسجيل ل</w:t>
      </w:r>
      <w:r w:rsidRPr="00D778D8">
        <w:rPr>
          <w:rFonts w:ascii="Simplified Arabic" w:eastAsia="Times New Roman" w:hAnsi="Simplified Arabic" w:cs="Simplified Arabic"/>
          <w:b/>
          <w:bCs/>
          <w:color w:val="FF0000"/>
          <w:sz w:val="32"/>
          <w:szCs w:val="32"/>
          <w:rtl/>
          <w:lang w:bidi="ar-EG"/>
        </w:rPr>
        <w:t xml:space="preserve">درجة </w:t>
      </w:r>
      <w:r w:rsidRPr="00D778D8">
        <w:rPr>
          <w:rFonts w:ascii="Simplified Arabic" w:eastAsia="Times New Roman" w:hAnsi="Simplified Arabic" w:cs="Simplified Arabic" w:hint="cs"/>
          <w:b/>
          <w:bCs/>
          <w:color w:val="FF0000"/>
          <w:sz w:val="32"/>
          <w:szCs w:val="32"/>
          <w:rtl/>
          <w:lang w:bidi="ar-EG"/>
        </w:rPr>
        <w:t xml:space="preserve">دكتوراة الفلسفة في الإدارة </w:t>
      </w:r>
    </w:p>
    <w:p w14:paraId="63FF5635"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p>
    <w:p w14:paraId="559B2291"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r w:rsidRPr="00D778D8">
        <w:rPr>
          <w:rFonts w:ascii="Simplified Arabic" w:eastAsia="Times New Roman" w:hAnsi="Simplified Arabic" w:cs="Simplified Arabic" w:hint="cs"/>
          <w:b/>
          <w:bCs/>
          <w:sz w:val="32"/>
          <w:szCs w:val="32"/>
          <w:rtl/>
          <w:lang w:bidi="ar-EG"/>
        </w:rPr>
        <w:t>إعداد الباحث/</w:t>
      </w:r>
    </w:p>
    <w:p w14:paraId="3B8A036C"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r>
        <w:rPr>
          <w:rFonts w:ascii="Simplified Arabic" w:eastAsia="Times New Roman" w:hAnsi="Simplified Arabic" w:cs="Simplified Arabic" w:hint="cs"/>
          <w:b/>
          <w:bCs/>
          <w:color w:val="000000"/>
          <w:sz w:val="32"/>
          <w:szCs w:val="32"/>
          <w:rtl/>
          <w:lang w:bidi="ar-EG"/>
        </w:rPr>
        <w:t xml:space="preserve">مصعب عبدالله بركة </w:t>
      </w:r>
    </w:p>
    <w:p w14:paraId="38B20B8B"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r w:rsidRPr="00D778D8">
        <w:rPr>
          <w:rFonts w:ascii="Simplified Arabic" w:eastAsia="Times New Roman" w:hAnsi="Simplified Arabic" w:cs="Simplified Arabic"/>
          <w:b/>
          <w:bCs/>
          <w:color w:val="000000"/>
          <w:sz w:val="28"/>
          <w:szCs w:val="28"/>
          <w:rtl/>
          <w:lang w:bidi="ar-EG"/>
        </w:rPr>
        <w:t xml:space="preserve">باحث </w:t>
      </w:r>
      <w:r>
        <w:rPr>
          <w:rFonts w:ascii="Simplified Arabic" w:eastAsia="Times New Roman" w:hAnsi="Simplified Arabic" w:cs="Simplified Arabic" w:hint="cs"/>
          <w:b/>
          <w:bCs/>
          <w:color w:val="000000"/>
          <w:sz w:val="28"/>
          <w:szCs w:val="28"/>
          <w:rtl/>
          <w:lang w:bidi="ar-EG"/>
        </w:rPr>
        <w:t>دكتوراه</w:t>
      </w:r>
      <w:r w:rsidRPr="00D778D8">
        <w:rPr>
          <w:rFonts w:ascii="Simplified Arabic" w:eastAsia="Times New Roman" w:hAnsi="Simplified Arabic" w:cs="Simplified Arabic"/>
          <w:b/>
          <w:bCs/>
          <w:color w:val="000000"/>
          <w:sz w:val="28"/>
          <w:szCs w:val="28"/>
          <w:rtl/>
          <w:lang w:bidi="ar-EG"/>
        </w:rPr>
        <w:t xml:space="preserve"> بقسم </w:t>
      </w:r>
      <w:r>
        <w:rPr>
          <w:rFonts w:ascii="Simplified Arabic" w:eastAsia="Times New Roman" w:hAnsi="Simplified Arabic" w:cs="Simplified Arabic" w:hint="cs"/>
          <w:b/>
          <w:bCs/>
          <w:color w:val="000000"/>
          <w:sz w:val="28"/>
          <w:szCs w:val="28"/>
          <w:rtl/>
          <w:lang w:bidi="ar-EG"/>
        </w:rPr>
        <w:t xml:space="preserve"> الإدارة</w:t>
      </w:r>
    </w:p>
    <w:p w14:paraId="2171AE03" w14:textId="77777777" w:rsid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p>
    <w:p w14:paraId="212D6CC1"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p>
    <w:p w14:paraId="66B1DC69"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28"/>
          <w:szCs w:val="28"/>
          <w:rtl/>
          <w:lang w:bidi="ar-EG"/>
        </w:rPr>
      </w:pPr>
    </w:p>
    <w:p w14:paraId="5061A01B" w14:textId="77777777" w:rsidR="00D778D8" w:rsidRPr="00D778D8" w:rsidRDefault="00D778D8" w:rsidP="00D778D8">
      <w:pPr>
        <w:autoSpaceDE w:val="0"/>
        <w:autoSpaceDN w:val="0"/>
        <w:adjustRightInd w:val="0"/>
        <w:spacing w:after="0" w:line="240" w:lineRule="auto"/>
        <w:jc w:val="center"/>
        <w:rPr>
          <w:rFonts w:ascii="Simplified Arabic" w:eastAsia="Times New Roman" w:hAnsi="Simplified Arabic" w:cs="Simplified Arabic"/>
          <w:b/>
          <w:bCs/>
          <w:color w:val="000000"/>
          <w:sz w:val="32"/>
          <w:szCs w:val="32"/>
          <w:rtl/>
          <w:lang w:bidi="ar-EG"/>
        </w:rPr>
      </w:pPr>
      <w:r w:rsidRPr="00D778D8">
        <w:rPr>
          <w:rFonts w:ascii="Simplified Arabic" w:eastAsia="Times New Roman" w:hAnsi="Simplified Arabic" w:cs="Simplified Arabic"/>
          <w:b/>
          <w:bCs/>
          <w:color w:val="000000"/>
          <w:sz w:val="32"/>
          <w:szCs w:val="32"/>
          <w:rtl/>
          <w:lang w:bidi="ar-EG"/>
        </w:rPr>
        <w:t>تحت إشراف</w:t>
      </w:r>
    </w:p>
    <w:p w14:paraId="4C47FE3B" w14:textId="77777777" w:rsidR="00D778D8" w:rsidRPr="00D778D8" w:rsidRDefault="00D778D8" w:rsidP="00D778D8">
      <w:pPr>
        <w:spacing w:after="0" w:line="240" w:lineRule="auto"/>
        <w:jc w:val="center"/>
        <w:rPr>
          <w:rFonts w:ascii="Simplified Arabic" w:eastAsia="Times New Roman" w:hAnsi="Simplified Arabic" w:cs="Simplified Arabic"/>
          <w:b/>
          <w:bCs/>
          <w:color w:val="00B0F0"/>
          <w:sz w:val="28"/>
          <w:szCs w:val="28"/>
          <w:rtl/>
          <w:lang w:bidi="ar-EG"/>
        </w:rPr>
      </w:pPr>
    </w:p>
    <w:p w14:paraId="00F0EFC9" w14:textId="77777777" w:rsidR="00D778D8" w:rsidRPr="00D778D8" w:rsidRDefault="00D778D8" w:rsidP="00D778D8">
      <w:pPr>
        <w:spacing w:after="0" w:line="240" w:lineRule="auto"/>
        <w:jc w:val="center"/>
        <w:rPr>
          <w:rFonts w:ascii="Simplified Arabic" w:eastAsia="Times New Roman" w:hAnsi="Simplified Arabic" w:cs="Simplified Arabic"/>
          <w:b/>
          <w:bCs/>
          <w:color w:val="00B0F0"/>
          <w:sz w:val="28"/>
          <w:szCs w:val="28"/>
          <w:rtl/>
          <w:lang w:bidi="ar-EG"/>
        </w:rPr>
      </w:pPr>
      <w:r w:rsidRPr="00D778D8">
        <w:rPr>
          <w:rFonts w:ascii="Simplified Arabic" w:eastAsia="Times New Roman" w:hAnsi="Simplified Arabic" w:cs="Simplified Arabic" w:hint="cs"/>
          <w:b/>
          <w:bCs/>
          <w:color w:val="00B0F0"/>
          <w:sz w:val="28"/>
          <w:szCs w:val="28"/>
          <w:rtl/>
          <w:lang w:bidi="ar-EG"/>
        </w:rPr>
        <w:t>2026</w:t>
      </w:r>
    </w:p>
    <w:p w14:paraId="362B9709" w14:textId="77777777" w:rsidR="00450AB7" w:rsidRDefault="0092157D" w:rsidP="008574AD">
      <w:pPr>
        <w:spacing w:line="240" w:lineRule="auto"/>
        <w:jc w:val="center"/>
        <w:rPr>
          <w:rFonts w:ascii="Simplified Arabic" w:hAnsi="Simplified Arabic" w:cs="Simplified Arabic"/>
          <w:b/>
          <w:bCs/>
          <w:sz w:val="36"/>
          <w:szCs w:val="36"/>
          <w:rtl/>
        </w:rPr>
      </w:pPr>
      <w:r w:rsidRPr="00450AB7">
        <w:rPr>
          <w:rFonts w:ascii="Simplified Arabic" w:hAnsi="Simplified Arabic" w:cs="Simplified Arabic"/>
          <w:b/>
          <w:bCs/>
          <w:sz w:val="36"/>
          <w:szCs w:val="36"/>
          <w:rtl/>
        </w:rPr>
        <w:lastRenderedPageBreak/>
        <w:t>نموذج مقترح للدور الوسيط لتوظيف نماذج اللغة الضخمة في العلاقة بين حوكمة المعلومات والرشاقة الاستراتيجية: دراسة ميدانية على شركات الاستشارة السعودية</w:t>
      </w:r>
    </w:p>
    <w:p w14:paraId="414E03C5" w14:textId="77777777" w:rsidR="002715C1" w:rsidRPr="002715C1" w:rsidRDefault="00F96C5F" w:rsidP="008574AD">
      <w:pPr>
        <w:spacing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 </w:t>
      </w:r>
      <w:r w:rsidR="002715C1" w:rsidRPr="002715C1">
        <w:rPr>
          <w:rFonts w:ascii="Simplified Arabic" w:hAnsi="Simplified Arabic" w:cs="Simplified Arabic"/>
          <w:b/>
          <w:bCs/>
          <w:sz w:val="32"/>
          <w:szCs w:val="32"/>
          <w:rtl/>
        </w:rPr>
        <w:t>مقدمة وخلفية الدراسة</w:t>
      </w:r>
    </w:p>
    <w:p w14:paraId="68F37727" w14:textId="77777777" w:rsidR="002715C1" w:rsidRPr="002715C1"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شهدت بيئة الأعمال خلال السنوات الأخيرة تحولات متسارعة أعادت تشكيل أنماط المنافسة وآليات خلق القيمة داخل المنظمات، في ظل تصاعد عدم اليقين، وتسارع التطورات التكنولوجية، واتساع الاعتماد على الحلول الرقمية في العمليات الإدارية والتشغيلية. ولم تعد المنظمة تعمل في بيئة مستقرة يمكن التنبؤ بمساراتها، بل أصبحت تواجه سياقًا ديناميكيًا تتداخل فيه الضغوط التنافسية مع تدفقات المعرفة والبيانات وتغيرات الأسواق. وفي هذا الإطار، لم يعد التحول الرقمي مجرد تحديث للبنية التقنية، بل أصبح قدرة تنظيمية واستراتيجية تعيد صياغة كيفية إنتاج المعلومات ومعالجتها وتوظيفها في دعم القرار</w:t>
      </w:r>
      <w:r w:rsidRPr="002715C1">
        <w:rPr>
          <w:rFonts w:ascii="Simplified Arabic" w:hAnsi="Simplified Arabic" w:cs="Simplified Arabic"/>
          <w:sz w:val="28"/>
          <w:szCs w:val="28"/>
        </w:rPr>
        <w:t xml:space="preserve"> (Mergel et al., 2019; Teece, 2018; George &amp;</w:t>
      </w:r>
      <w:r w:rsidR="00F96C5F">
        <w:rPr>
          <w:rFonts w:ascii="Simplified Arabic" w:hAnsi="Simplified Arabic" w:cs="Simplified Arabic"/>
          <w:sz w:val="28"/>
          <w:szCs w:val="28"/>
        </w:rPr>
        <w:t xml:space="preserve"> Schillebeeckx, 2022)</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كما تشير الأدبيات الحديثة إلى أن القيمة التنظيمية باتت ترتبط بشكل متزايد بقدرة المنظمة على تحويل البيانات إلى معرفة قابلة للاستخدام في التكيف والنمو وصناعة القيمة</w:t>
      </w:r>
      <w:r w:rsidRPr="002715C1">
        <w:rPr>
          <w:rFonts w:ascii="Simplified Arabic" w:hAnsi="Simplified Arabic" w:cs="Simplified Arabic"/>
          <w:sz w:val="28"/>
          <w:szCs w:val="28"/>
        </w:rPr>
        <w:t xml:space="preserve"> (Idris et al., 2024; Aghaei et a</w:t>
      </w:r>
      <w:r w:rsidR="00F96C5F">
        <w:rPr>
          <w:rFonts w:ascii="Simplified Arabic" w:hAnsi="Simplified Arabic" w:cs="Simplified Arabic"/>
          <w:sz w:val="28"/>
          <w:szCs w:val="28"/>
        </w:rPr>
        <w:t>l., 2025; Teubner et al., 2023)</w:t>
      </w:r>
      <w:r w:rsidR="00F96C5F">
        <w:rPr>
          <w:rFonts w:ascii="Simplified Arabic" w:hAnsi="Simplified Arabic" w:cs="Simplified Arabic" w:hint="cs"/>
          <w:sz w:val="28"/>
          <w:szCs w:val="28"/>
          <w:rtl/>
          <w:lang w:bidi="ar-EG"/>
        </w:rPr>
        <w:t>.</w:t>
      </w:r>
    </w:p>
    <w:p w14:paraId="5F2F0429" w14:textId="77777777" w:rsidR="00F96C5F" w:rsidRDefault="002715C1" w:rsidP="00F96C5F">
      <w:pPr>
        <w:spacing w:line="240" w:lineRule="auto"/>
        <w:ind w:firstLine="720"/>
        <w:jc w:val="both"/>
        <w:rPr>
          <w:rFonts w:ascii="Simplified Arabic" w:hAnsi="Simplified Arabic" w:cs="Simplified Arabic"/>
          <w:sz w:val="28"/>
          <w:szCs w:val="28"/>
          <w:lang w:bidi="ar-EG"/>
        </w:rPr>
      </w:pPr>
      <w:r w:rsidRPr="002715C1">
        <w:rPr>
          <w:rFonts w:ascii="Simplified Arabic" w:hAnsi="Simplified Arabic" w:cs="Simplified Arabic"/>
          <w:sz w:val="28"/>
          <w:szCs w:val="28"/>
          <w:rtl/>
        </w:rPr>
        <w:t>وقد انعكس هذا التحول على متطلبات النجاح التنظيمي، إذ لم يعد توافر الموارد التقليدية أو كثرة المعلومات كافيًا لتحقيق الميزة التنافسية، بل أصبحت القدرة على استشعار التغيرات البيئية، وتفسير الإشارات المبكرة، وتحويلها إلى قرارات في الوقت المناسب من أهم محددات الأداء. وتؤكد الأدبيات أن المنظمات الأقدر على التعامل مع البيئات المضطربة هي تلك التي تمتلك قدرات ديناميكية تمكّنها من إعادة تشكيل مواردها واستثمار المعرفة بكفاءة أعلى</w:t>
      </w:r>
      <w:r w:rsidRPr="002715C1">
        <w:rPr>
          <w:rFonts w:ascii="Simplified Arabic" w:hAnsi="Simplified Arabic" w:cs="Simplified Arabic"/>
          <w:sz w:val="28"/>
          <w:szCs w:val="28"/>
        </w:rPr>
        <w:t xml:space="preserve"> (Teece et al., 1997; Teece, 2007; Tallon et al., 2019). </w:t>
      </w:r>
      <w:r w:rsidRPr="002715C1">
        <w:rPr>
          <w:rFonts w:ascii="Simplified Arabic" w:hAnsi="Simplified Arabic" w:cs="Simplified Arabic"/>
          <w:sz w:val="28"/>
          <w:szCs w:val="28"/>
          <w:rtl/>
        </w:rPr>
        <w:t>وفي السياق نفسه، توضح دراسات حديثة أن التطبيقات الذكية ونماذج اللغة الضخمة أصبح لها دور متنامٍ في تحليل المعلومات، ودعم اتخاذ القرار، وتحسين الاستجابة للمتغيرات البيئية</w:t>
      </w:r>
      <w:r w:rsidRPr="002715C1">
        <w:rPr>
          <w:rFonts w:ascii="Simplified Arabic" w:hAnsi="Simplified Arabic" w:cs="Simplified Arabic"/>
          <w:sz w:val="28"/>
          <w:szCs w:val="28"/>
        </w:rPr>
        <w:t xml:space="preserve"> (Burton et al., 2024; Handler et al., 2</w:t>
      </w:r>
      <w:r w:rsidR="00F96C5F">
        <w:rPr>
          <w:rFonts w:ascii="Simplified Arabic" w:hAnsi="Simplified Arabic" w:cs="Simplified Arabic"/>
          <w:sz w:val="28"/>
          <w:szCs w:val="28"/>
        </w:rPr>
        <w:t>024; Caballero &amp; Jenkins, 2025)</w:t>
      </w:r>
      <w:r w:rsidR="00F96C5F">
        <w:rPr>
          <w:rFonts w:ascii="Simplified Arabic" w:hAnsi="Simplified Arabic" w:cs="Simplified Arabic" w:hint="cs"/>
          <w:sz w:val="28"/>
          <w:szCs w:val="28"/>
          <w:rtl/>
          <w:lang w:bidi="ar-EG"/>
        </w:rPr>
        <w:t xml:space="preserve">. </w:t>
      </w:r>
    </w:p>
    <w:p w14:paraId="29BF6F70"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lastRenderedPageBreak/>
        <w:t>وفي ضوء هذه التحولات، برزت الرشاقة الاستراتيجية بوصفها قدرة تنظيمية محورية تمكّن المنظمات من الاستجابة السريعة للمتغيرات والاقتناص المبكر للفرص وإعادة توجيه الموارد بمرونة. وقد تطور المفهوم من مجرد المرونة التشغيلية إلى منظور أشمل يركز على الاستشعار والتفسير وإعادة التشكيل المستمر للموارد بما يدعم الاستدامة التنافسية</w:t>
      </w:r>
      <w:r w:rsidRPr="002715C1">
        <w:rPr>
          <w:rFonts w:ascii="Simplified Arabic" w:hAnsi="Simplified Arabic" w:cs="Simplified Arabic"/>
          <w:sz w:val="28"/>
          <w:szCs w:val="28"/>
        </w:rPr>
        <w:t xml:space="preserve"> (Teece, 2007; Teece, 2018; Muel</w:t>
      </w:r>
      <w:r w:rsidR="00F96C5F">
        <w:rPr>
          <w:rFonts w:ascii="Simplified Arabic" w:hAnsi="Simplified Arabic" w:cs="Simplified Arabic"/>
          <w:sz w:val="28"/>
          <w:szCs w:val="28"/>
        </w:rPr>
        <w:t>ler-</w:t>
      </w:r>
      <w:proofErr w:type="spellStart"/>
      <w:r w:rsidR="00F96C5F">
        <w:rPr>
          <w:rFonts w:ascii="Simplified Arabic" w:hAnsi="Simplified Arabic" w:cs="Simplified Arabic"/>
          <w:sz w:val="28"/>
          <w:szCs w:val="28"/>
        </w:rPr>
        <w:t>Saegebrecht</w:t>
      </w:r>
      <w:proofErr w:type="spellEnd"/>
      <w:r w:rsidR="00F96C5F">
        <w:rPr>
          <w:rFonts w:ascii="Simplified Arabic" w:hAnsi="Simplified Arabic" w:cs="Simplified Arabic"/>
          <w:sz w:val="28"/>
          <w:szCs w:val="28"/>
        </w:rPr>
        <w:t xml:space="preserve"> &amp; Walter,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Pr>
        <w:t xml:space="preserve"> </w:t>
      </w:r>
      <w:r w:rsidRPr="002715C1">
        <w:rPr>
          <w:rFonts w:ascii="Simplified Arabic" w:hAnsi="Simplified Arabic" w:cs="Simplified Arabic"/>
          <w:sz w:val="28"/>
          <w:szCs w:val="28"/>
          <w:rtl/>
        </w:rPr>
        <w:t>وتشير دراسات المراجعة إلى أن الرشاقة الاستراتيجية ترتبط ارتباطًا وثيقًا بالقدرة على استثمار المعلومات ذات الجودة العالية، إذ إن سرعة الاستجابة دون معلومات دقيقة قد تؤدي إلى قرارات متسرعة لا تحقق النتائج المرجوة</w:t>
      </w:r>
      <w:r w:rsidRPr="002715C1">
        <w:rPr>
          <w:rFonts w:ascii="Simplified Arabic" w:hAnsi="Simplified Arabic" w:cs="Simplified Arabic"/>
          <w:sz w:val="28"/>
          <w:szCs w:val="28"/>
        </w:rPr>
        <w:t xml:space="preserve"> (Reed, 2020; </w:t>
      </w:r>
      <w:proofErr w:type="spellStart"/>
      <w:r w:rsidRPr="002715C1">
        <w:rPr>
          <w:rFonts w:ascii="Simplified Arabic" w:hAnsi="Simplified Arabic" w:cs="Simplified Arabic"/>
          <w:sz w:val="28"/>
          <w:szCs w:val="28"/>
        </w:rPr>
        <w:t>Akone</w:t>
      </w:r>
      <w:proofErr w:type="spellEnd"/>
      <w:r w:rsidRPr="002715C1">
        <w:rPr>
          <w:rFonts w:ascii="Simplified Arabic" w:hAnsi="Simplified Arabic" w:cs="Simplified Arabic"/>
          <w:sz w:val="28"/>
          <w:szCs w:val="28"/>
        </w:rPr>
        <w:t xml:space="preserve"> </w:t>
      </w:r>
      <w:r w:rsidR="00F96C5F">
        <w:rPr>
          <w:rFonts w:ascii="Simplified Arabic" w:hAnsi="Simplified Arabic" w:cs="Simplified Arabic"/>
          <w:sz w:val="28"/>
          <w:szCs w:val="28"/>
        </w:rPr>
        <w:t>&amp; Kinyua, 2025; Shatila,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ومن هنا تصبح جودة المعلومات شرطًا أساسيًا لفهم الرشاقة الاستراتيجية وليس مجرد عنصر مساعد لها</w:t>
      </w:r>
      <w:r w:rsidRPr="002715C1">
        <w:rPr>
          <w:rFonts w:ascii="Simplified Arabic" w:hAnsi="Simplified Arabic" w:cs="Simplified Arabic"/>
          <w:sz w:val="28"/>
          <w:szCs w:val="28"/>
        </w:rPr>
        <w:t>.</w:t>
      </w:r>
    </w:p>
    <w:p w14:paraId="3022EDA9"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ويقود هذا المنظور إلى أهمية حوكمة المعلومات بوصفها الإطار المؤسسي الذي ينظم إنتاج البيانات وتداولها واستخدامها بما يضمن الدقة والاتساق والموثوقية. وقد اتسع مفهوم الحوكمة في الأدبيات الحديثة ليشمل توزيع المسؤوليات، وضبط الصلاحيات، وإدارة الجودة، وربط البيانات بالأهداف التنظيمية، وليس فقط الجوانب التقنية أو الإجرائية</w:t>
      </w:r>
      <w:r w:rsidRPr="002715C1">
        <w:rPr>
          <w:rFonts w:ascii="Simplified Arabic" w:hAnsi="Simplified Arabic" w:cs="Simplified Arabic"/>
          <w:sz w:val="28"/>
          <w:szCs w:val="28"/>
        </w:rPr>
        <w:t xml:space="preserve"> (Lee &amp; </w:t>
      </w:r>
      <w:proofErr w:type="spellStart"/>
      <w:r w:rsidRPr="002715C1">
        <w:rPr>
          <w:rFonts w:ascii="Simplified Arabic" w:hAnsi="Simplified Arabic" w:cs="Simplified Arabic"/>
          <w:sz w:val="28"/>
          <w:szCs w:val="28"/>
        </w:rPr>
        <w:t>Darbellay</w:t>
      </w:r>
      <w:proofErr w:type="spellEnd"/>
      <w:r w:rsidRPr="002715C1">
        <w:rPr>
          <w:rFonts w:ascii="Simplified Arabic" w:hAnsi="Simplified Arabic" w:cs="Simplified Arabic"/>
          <w:sz w:val="28"/>
          <w:szCs w:val="28"/>
        </w:rPr>
        <w:t>, 2022</w:t>
      </w:r>
      <w:r w:rsidR="00F96C5F">
        <w:rPr>
          <w:rFonts w:ascii="Simplified Arabic" w:hAnsi="Simplified Arabic" w:cs="Simplified Arabic"/>
          <w:sz w:val="28"/>
          <w:szCs w:val="28"/>
        </w:rPr>
        <w:t>; Dal Molin, 2024; AIIM,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وتوضح الأدبيات كذلك أن حوكمة المعلومات تسهم في تهيئة بيئة معلوماتية أفضل، لكنها لا تضمن وحدها التحول إلى قيمة تنظيمية ما لم تُستثمر هذه المعلومات بآلية قادرة على تحليلها وإعادة توظيفها في سياق القرار</w:t>
      </w:r>
      <w:r w:rsidRPr="002715C1">
        <w:rPr>
          <w:rFonts w:ascii="Simplified Arabic" w:hAnsi="Simplified Arabic" w:cs="Simplified Arabic"/>
          <w:sz w:val="28"/>
          <w:szCs w:val="28"/>
        </w:rPr>
        <w:t xml:space="preserve"> (</w:t>
      </w:r>
      <w:proofErr w:type="spellStart"/>
      <w:r w:rsidRPr="002715C1">
        <w:rPr>
          <w:rFonts w:ascii="Simplified Arabic" w:hAnsi="Simplified Arabic" w:cs="Simplified Arabic"/>
          <w:sz w:val="28"/>
          <w:szCs w:val="28"/>
        </w:rPr>
        <w:t>Pahune</w:t>
      </w:r>
      <w:proofErr w:type="spellEnd"/>
      <w:r w:rsidRPr="002715C1">
        <w:rPr>
          <w:rFonts w:ascii="Simplified Arabic" w:hAnsi="Simplified Arabic" w:cs="Simplified Arabic"/>
          <w:sz w:val="28"/>
          <w:szCs w:val="28"/>
        </w:rPr>
        <w:t xml:space="preserve"> et al., 2025; </w:t>
      </w:r>
      <w:proofErr w:type="spellStart"/>
      <w:r w:rsidRPr="002715C1">
        <w:rPr>
          <w:rFonts w:ascii="Simplified Arabic" w:hAnsi="Simplified Arabic" w:cs="Simplified Arabic"/>
          <w:sz w:val="28"/>
          <w:szCs w:val="28"/>
        </w:rPr>
        <w:t>DataG</w:t>
      </w:r>
      <w:r w:rsidR="00F96C5F">
        <w:rPr>
          <w:rFonts w:ascii="Simplified Arabic" w:hAnsi="Simplified Arabic" w:cs="Simplified Arabic"/>
          <w:sz w:val="28"/>
          <w:szCs w:val="28"/>
        </w:rPr>
        <w:t>alaxy</w:t>
      </w:r>
      <w:proofErr w:type="spellEnd"/>
      <w:r w:rsidR="00F96C5F">
        <w:rPr>
          <w:rFonts w:ascii="Simplified Arabic" w:hAnsi="Simplified Arabic" w:cs="Simplified Arabic"/>
          <w:sz w:val="28"/>
          <w:szCs w:val="28"/>
        </w:rPr>
        <w:t>, 2025; World Bank,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وهنا تظهر الحاجة إلى تفسير الآلية التي تنقل المعلومات المحكومة إلى قرارات أكثر رشاقة وفاعلية</w:t>
      </w:r>
      <w:r w:rsidRPr="002715C1">
        <w:rPr>
          <w:rFonts w:ascii="Simplified Arabic" w:hAnsi="Simplified Arabic" w:cs="Simplified Arabic"/>
          <w:sz w:val="28"/>
          <w:szCs w:val="28"/>
        </w:rPr>
        <w:t>.</w:t>
      </w:r>
    </w:p>
    <w:p w14:paraId="47043B4B" w14:textId="77777777" w:rsidR="00F96C5F"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وتكشف مراجعة الأدبيات عن فجوة تفسيرية مهمة، تتمثل في أن كثيرًا من الدراسات ركز على أثر حوكمة المعلومات في جودة البيانات، بينما تناولت دراسات أخرى نتائج الرشاقة الاستراتيجية، دون أن تقدم تفسيرًا كافيًا للصلة بينهما. فوجود معلومات دقيقة ومنظمة لا يعني بالضرورة القدرة على تحويلها إلى استجابة تنظيمية سريعة أو قرار تنفيذي ملائم، خصوصًا في البيئات عالية التعقيد. ومن ثم، فإن الانتقال من جودة المعلومات إلى الرشاقة الاستراتيجية يبدو بحاجة إلى آلية معرفية وتقنية وسيطة قادرة على إعادة تشكيل المعرفة وربطها بسياق القرار</w:t>
      </w:r>
      <w:r w:rsidRPr="002715C1">
        <w:rPr>
          <w:rFonts w:ascii="Simplified Arabic" w:hAnsi="Simplified Arabic" w:cs="Simplified Arabic"/>
          <w:sz w:val="28"/>
          <w:szCs w:val="28"/>
        </w:rPr>
        <w:t xml:space="preserve"> (Burton et al., 2024; Payne &amp; </w:t>
      </w:r>
      <w:proofErr w:type="spellStart"/>
      <w:r w:rsidRPr="002715C1">
        <w:rPr>
          <w:rFonts w:ascii="Simplified Arabic" w:hAnsi="Simplified Arabic" w:cs="Simplified Arabic"/>
          <w:sz w:val="28"/>
          <w:szCs w:val="28"/>
        </w:rPr>
        <w:t>Alloui</w:t>
      </w:r>
      <w:proofErr w:type="spellEnd"/>
      <w:r w:rsidRPr="002715C1">
        <w:rPr>
          <w:rFonts w:ascii="Simplified Arabic" w:hAnsi="Simplified Arabic" w:cs="Simplified Arabic"/>
          <w:sz w:val="28"/>
          <w:szCs w:val="28"/>
        </w:rPr>
        <w:t>-Cro</w:t>
      </w:r>
      <w:r w:rsidR="00F96C5F">
        <w:rPr>
          <w:rFonts w:ascii="Simplified Arabic" w:hAnsi="Simplified Arabic" w:cs="Simplified Arabic"/>
          <w:sz w:val="28"/>
          <w:szCs w:val="28"/>
        </w:rPr>
        <w:t xml:space="preserve">s, 2025; </w:t>
      </w:r>
      <w:proofErr w:type="spellStart"/>
      <w:r w:rsidR="00F96C5F">
        <w:rPr>
          <w:rFonts w:ascii="Simplified Arabic" w:hAnsi="Simplified Arabic" w:cs="Simplified Arabic"/>
          <w:sz w:val="28"/>
          <w:szCs w:val="28"/>
        </w:rPr>
        <w:t>Lorè</w:t>
      </w:r>
      <w:proofErr w:type="spellEnd"/>
      <w:r w:rsidR="00F96C5F">
        <w:rPr>
          <w:rFonts w:ascii="Simplified Arabic" w:hAnsi="Simplified Arabic" w:cs="Simplified Arabic"/>
          <w:sz w:val="28"/>
          <w:szCs w:val="28"/>
        </w:rPr>
        <w:t xml:space="preserve"> &amp; Heydari, 2024)</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 xml:space="preserve">وتؤيد بعض الدراسات هذا الاتجاه من خلال إبراز دور الذكاء الاصطناعي التوليدي في إعادة تنظيم المعرفة وتخفيض العبء </w:t>
      </w:r>
      <w:r w:rsidRPr="002715C1">
        <w:rPr>
          <w:rFonts w:ascii="Simplified Arabic" w:hAnsi="Simplified Arabic" w:cs="Simplified Arabic"/>
          <w:sz w:val="28"/>
          <w:szCs w:val="28"/>
          <w:rtl/>
        </w:rPr>
        <w:lastRenderedPageBreak/>
        <w:t>الإدراكي وتعزيز التفكير التنظيمي</w:t>
      </w:r>
      <w:r w:rsidRPr="002715C1">
        <w:rPr>
          <w:rFonts w:ascii="Simplified Arabic" w:hAnsi="Simplified Arabic" w:cs="Simplified Arabic"/>
          <w:sz w:val="28"/>
          <w:szCs w:val="28"/>
        </w:rPr>
        <w:t xml:space="preserve"> (Idris et al., 2024; Aghaei et a</w:t>
      </w:r>
      <w:r w:rsidR="00F96C5F">
        <w:rPr>
          <w:rFonts w:ascii="Simplified Arabic" w:hAnsi="Simplified Arabic" w:cs="Simplified Arabic"/>
          <w:sz w:val="28"/>
          <w:szCs w:val="28"/>
        </w:rPr>
        <w:t>l., 2025; Handler et al., 2024)</w:t>
      </w:r>
      <w:r w:rsidR="00F96C5F">
        <w:rPr>
          <w:rFonts w:ascii="Simplified Arabic" w:hAnsi="Simplified Arabic" w:cs="Simplified Arabic" w:hint="cs"/>
          <w:sz w:val="28"/>
          <w:szCs w:val="28"/>
          <w:rtl/>
          <w:lang w:bidi="ar-EG"/>
        </w:rPr>
        <w:t xml:space="preserve">. </w:t>
      </w:r>
    </w:p>
    <w:p w14:paraId="0863905B"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وفي هذا الإطار، برزت نماذج اللغة الضخمة باعتبارها إحدى أبرز أدوات الذكاء الاصطناعي التوليدي التي تجاوزت وظيفتها التقليدية في إنتاج النصوص إلى أدوار أكثر عمقًا في إدارة المعرفة ودعم القرار. فقد أثبتت هذه النماذج قدرتها على تلخيص المعلومات، وتصنيفها، واستخلاص العلاقات بينها، وتقديم بدائل معرفية تدعم التفسير واتخاذ القرار في البيئات المعقدة</w:t>
      </w:r>
      <w:r w:rsidRPr="002715C1">
        <w:rPr>
          <w:rFonts w:ascii="Simplified Arabic" w:hAnsi="Simplified Arabic" w:cs="Simplified Arabic"/>
          <w:sz w:val="28"/>
          <w:szCs w:val="28"/>
        </w:rPr>
        <w:t xml:space="preserve"> (Burton et al., 2024; Teubner et al., 202</w:t>
      </w:r>
      <w:r w:rsidR="00F96C5F">
        <w:rPr>
          <w:rFonts w:ascii="Simplified Arabic" w:hAnsi="Simplified Arabic" w:cs="Simplified Arabic"/>
          <w:sz w:val="28"/>
          <w:szCs w:val="28"/>
        </w:rPr>
        <w:t xml:space="preserve">3; </w:t>
      </w:r>
      <w:proofErr w:type="spellStart"/>
      <w:r w:rsidR="00F96C5F">
        <w:rPr>
          <w:rFonts w:ascii="Simplified Arabic" w:hAnsi="Simplified Arabic" w:cs="Simplified Arabic"/>
          <w:sz w:val="28"/>
          <w:szCs w:val="28"/>
        </w:rPr>
        <w:t>Yurdasever</w:t>
      </w:r>
      <w:proofErr w:type="spellEnd"/>
      <w:r w:rsidR="00F96C5F">
        <w:rPr>
          <w:rFonts w:ascii="Simplified Arabic" w:hAnsi="Simplified Arabic" w:cs="Simplified Arabic"/>
          <w:sz w:val="28"/>
          <w:szCs w:val="28"/>
        </w:rPr>
        <w:t xml:space="preserve"> &amp; </w:t>
      </w:r>
      <w:proofErr w:type="spellStart"/>
      <w:r w:rsidR="00F96C5F">
        <w:rPr>
          <w:rFonts w:ascii="Simplified Arabic" w:hAnsi="Simplified Arabic" w:cs="Simplified Arabic"/>
          <w:sz w:val="28"/>
          <w:szCs w:val="28"/>
        </w:rPr>
        <w:t>Yıldıran</w:t>
      </w:r>
      <w:proofErr w:type="spellEnd"/>
      <w:r w:rsidR="00F96C5F">
        <w:rPr>
          <w:rFonts w:ascii="Simplified Arabic" w:hAnsi="Simplified Arabic" w:cs="Simplified Arabic"/>
          <w:sz w:val="28"/>
          <w:szCs w:val="28"/>
        </w:rPr>
        <w:t>, 2026)</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Pr>
        <w:t xml:space="preserve"> </w:t>
      </w:r>
      <w:r w:rsidRPr="002715C1">
        <w:rPr>
          <w:rFonts w:ascii="Simplified Arabic" w:hAnsi="Simplified Arabic" w:cs="Simplified Arabic"/>
          <w:sz w:val="28"/>
          <w:szCs w:val="28"/>
          <w:rtl/>
        </w:rPr>
        <w:t>كما تشير دراسات حديثة إلى أن القيمة التنظيمية لهذه النماذج لا تكمن في إنتاج المحتوى فقط، بل في قدرتها على إعادة تنظيم تدفقات المعرفة وربط المصادر المختلفة وتقديمها بصورة تسهّل على متخذي القرار التعامل مع التعقيد</w:t>
      </w:r>
      <w:r w:rsidRPr="002715C1">
        <w:rPr>
          <w:rFonts w:ascii="Simplified Arabic" w:hAnsi="Simplified Arabic" w:cs="Simplified Arabic"/>
          <w:sz w:val="28"/>
          <w:szCs w:val="28"/>
        </w:rPr>
        <w:t xml:space="preserve"> (Aghaei et al., 2025; Caballero &amp; J</w:t>
      </w:r>
      <w:r w:rsidR="00F96C5F">
        <w:rPr>
          <w:rFonts w:ascii="Simplified Arabic" w:hAnsi="Simplified Arabic" w:cs="Simplified Arabic"/>
          <w:sz w:val="28"/>
          <w:szCs w:val="28"/>
        </w:rPr>
        <w:t>enkins, 2025; Li et al.,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غير أن هذه القيمة تبقى مرهونة بوجود إطار حوكمة يضمن الاستخدام المسؤول ويحد من الانحياز والمخرجات غير الدقيقة، وهو ما يجعل التكامل بين الحوكمة والتقنية أمرًا جوهريًا</w:t>
      </w:r>
      <w:r w:rsidRPr="002715C1">
        <w:rPr>
          <w:rFonts w:ascii="Simplified Arabic" w:hAnsi="Simplified Arabic" w:cs="Simplified Arabic"/>
          <w:sz w:val="28"/>
          <w:szCs w:val="28"/>
        </w:rPr>
        <w:t xml:space="preserve"> (ISO, 2023; AIIM, 2025; Responsible AI Labs, 2025)</w:t>
      </w:r>
      <w:r w:rsidR="00F96C5F">
        <w:rPr>
          <w:rFonts w:ascii="Simplified Arabic" w:hAnsi="Simplified Arabic" w:cs="Simplified Arabic" w:hint="cs"/>
          <w:sz w:val="28"/>
          <w:szCs w:val="28"/>
          <w:rtl/>
        </w:rPr>
        <w:t>.</w:t>
      </w:r>
      <w:r w:rsidR="00F96C5F" w:rsidRPr="002715C1">
        <w:rPr>
          <w:rFonts w:ascii="Simplified Arabic" w:hAnsi="Simplified Arabic" w:cs="Simplified Arabic"/>
          <w:sz w:val="28"/>
          <w:szCs w:val="28"/>
          <w:rtl/>
        </w:rPr>
        <w:t xml:space="preserve"> </w:t>
      </w:r>
    </w:p>
    <w:p w14:paraId="6EA599F2"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ومن المنظور التنظيمي، تمثل نماذج اللغة الضخمة أداة واعدة في المنظمات كثيفة المعرفة التي تتعامل مع كمٍّ كبير من النصوص والتقارير والوثائق والبيانات غير المهيكلة. فهي تتيح إمكانات متقدمة في التلخيص والتحليل والمقارنة واقتراح البدائل، بما يسهم في تخفيض تكلفة التنسيق وتسريع الوصول إلى المعرفة ذات الصلة، خصوصًا في البيئات التي تتطلب قرارات سريعة ودقيقة</w:t>
      </w:r>
      <w:r w:rsidRPr="002715C1">
        <w:rPr>
          <w:rFonts w:ascii="Simplified Arabic" w:hAnsi="Simplified Arabic" w:cs="Simplified Arabic"/>
          <w:sz w:val="28"/>
          <w:szCs w:val="28"/>
        </w:rPr>
        <w:t xml:space="preserve"> (Burton et al., 2024; Idris et al</w:t>
      </w:r>
      <w:r w:rsidR="00F96C5F">
        <w:rPr>
          <w:rFonts w:ascii="Simplified Arabic" w:hAnsi="Simplified Arabic" w:cs="Simplified Arabic"/>
          <w:sz w:val="28"/>
          <w:szCs w:val="28"/>
        </w:rPr>
        <w:t>., 2024; Handler et al., 2024)</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كما أن الدراسات التي تناولت التطبيقات المتقدمة للذكاء الاصطناعي تشير إلى أن هذه الأدوات يمكن أن تعيد تشكيل البنية المعرفية التي يستند إليها القرار التنظيمي، بدلًا من الاكتفاء بأتمتة إنتاج المحتوى</w:t>
      </w:r>
      <w:r w:rsidRPr="002715C1">
        <w:rPr>
          <w:rFonts w:ascii="Simplified Arabic" w:hAnsi="Simplified Arabic" w:cs="Simplified Arabic"/>
          <w:sz w:val="28"/>
          <w:szCs w:val="28"/>
        </w:rPr>
        <w:t xml:space="preserve"> (</w:t>
      </w:r>
      <w:proofErr w:type="spellStart"/>
      <w:r w:rsidRPr="002715C1">
        <w:rPr>
          <w:rFonts w:ascii="Simplified Arabic" w:hAnsi="Simplified Arabic" w:cs="Simplified Arabic"/>
          <w:sz w:val="28"/>
          <w:szCs w:val="28"/>
        </w:rPr>
        <w:t>Lorè</w:t>
      </w:r>
      <w:proofErr w:type="spellEnd"/>
      <w:r w:rsidRPr="002715C1">
        <w:rPr>
          <w:rFonts w:ascii="Simplified Arabic" w:hAnsi="Simplified Arabic" w:cs="Simplified Arabic"/>
          <w:sz w:val="28"/>
          <w:szCs w:val="28"/>
        </w:rPr>
        <w:t xml:space="preserve"> &amp; Heydari, 2024; Payne &amp; </w:t>
      </w:r>
      <w:proofErr w:type="spellStart"/>
      <w:r w:rsidRPr="002715C1">
        <w:rPr>
          <w:rFonts w:ascii="Simplified Arabic" w:hAnsi="Simplified Arabic" w:cs="Simplified Arabic"/>
          <w:sz w:val="28"/>
          <w:szCs w:val="28"/>
        </w:rPr>
        <w:t>Alloui</w:t>
      </w:r>
      <w:proofErr w:type="spellEnd"/>
      <w:r w:rsidRPr="002715C1">
        <w:rPr>
          <w:rFonts w:ascii="Simplified Arabic" w:hAnsi="Simplified Arabic" w:cs="Simplified Arabic"/>
          <w:sz w:val="28"/>
          <w:szCs w:val="28"/>
        </w:rPr>
        <w:t>-Cro</w:t>
      </w:r>
      <w:r w:rsidR="00F96C5F">
        <w:rPr>
          <w:rFonts w:ascii="Simplified Arabic" w:hAnsi="Simplified Arabic" w:cs="Simplified Arabic"/>
          <w:sz w:val="28"/>
          <w:szCs w:val="28"/>
        </w:rPr>
        <w:t>s, 2025; Teubner et al., 2023)</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ويزداد هذا الدور أهمية في المنظمات التي تعتمد على التحليل المعرفي والتفسير السريع للمعلومات</w:t>
      </w:r>
      <w:r w:rsidRPr="002715C1">
        <w:rPr>
          <w:rFonts w:ascii="Simplified Arabic" w:hAnsi="Simplified Arabic" w:cs="Simplified Arabic"/>
          <w:sz w:val="28"/>
          <w:szCs w:val="28"/>
        </w:rPr>
        <w:t>.</w:t>
      </w:r>
    </w:p>
    <w:p w14:paraId="620FBD2B"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 xml:space="preserve">وتتضح أهمية هذا الطرح بصورة أكبر في قطاع الاستشارات، حيث تتحدد القيمة المهنية أساسًا بقدرة المنظمة على تحويل المعلومات إلى رؤى وتوصيات عملية تستجيب لاحتياجات العملاء وتغيرات السوق. وفي هذا القطاع، لا تكفي امتلاك المعرفة أو جمعها، بل تبرز الأهمية الحاسمة </w:t>
      </w:r>
      <w:r w:rsidRPr="002715C1">
        <w:rPr>
          <w:rFonts w:ascii="Simplified Arabic" w:hAnsi="Simplified Arabic" w:cs="Simplified Arabic"/>
          <w:sz w:val="28"/>
          <w:szCs w:val="28"/>
          <w:rtl/>
        </w:rPr>
        <w:lastRenderedPageBreak/>
        <w:t>لقدرة المنظمة على تفسيرها وإعادة توظيفها في صورة حلول قابلة للتنفيذ. وتشير الأدبيات إلى أن شركات الاستشارة تعمل في بيئات شديدة التعقيد والتغير، ما يجعل الرشاقة الاستراتيجية وحوكمة المعلومات والتقنيات المعرفية المتقدمة عناصر مترابطة في تكوين القيمة المهنية</w:t>
      </w:r>
      <w:r w:rsidRPr="002715C1">
        <w:rPr>
          <w:rFonts w:ascii="Simplified Arabic" w:hAnsi="Simplified Arabic" w:cs="Simplified Arabic"/>
          <w:sz w:val="28"/>
          <w:szCs w:val="28"/>
        </w:rPr>
        <w:t xml:space="preserve"> (Aghaei et al., 2025; Idris et al</w:t>
      </w:r>
      <w:r>
        <w:rPr>
          <w:rFonts w:ascii="Simplified Arabic" w:hAnsi="Simplified Arabic" w:cs="Simplified Arabic"/>
          <w:sz w:val="28"/>
          <w:szCs w:val="28"/>
        </w:rPr>
        <w:t xml:space="preserve">., 2024; </w:t>
      </w:r>
      <w:proofErr w:type="spellStart"/>
      <w:r>
        <w:rPr>
          <w:rFonts w:ascii="Simplified Arabic" w:hAnsi="Simplified Arabic" w:cs="Simplified Arabic"/>
          <w:sz w:val="28"/>
          <w:szCs w:val="28"/>
        </w:rPr>
        <w:t>Teebner</w:t>
      </w:r>
      <w:proofErr w:type="spellEnd"/>
      <w:r>
        <w:rPr>
          <w:rFonts w:ascii="Simplified Arabic" w:hAnsi="Simplified Arabic" w:cs="Simplified Arabic"/>
          <w:sz w:val="28"/>
          <w:szCs w:val="28"/>
        </w:rPr>
        <w:t xml:space="preserve"> et al., 2023)</w:t>
      </w:r>
      <w:r>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كما أن ما يتصل بالسوق السعودي من توسع رقمي أو اتجاهات مهنية يمكن دعمه بمراجع مؤسسية عند الحاجة، مثل التقارير أو الأدلة المهنية، لكن دون الاعتماد عليها في بناء الحجة النظرية الأساسية</w:t>
      </w:r>
      <w:r>
        <w:rPr>
          <w:rFonts w:ascii="Simplified Arabic" w:hAnsi="Simplified Arabic" w:cs="Simplified Arabic" w:hint="cs"/>
          <w:sz w:val="28"/>
          <w:szCs w:val="28"/>
          <w:rtl/>
        </w:rPr>
        <w:t>.</w:t>
      </w:r>
    </w:p>
    <w:p w14:paraId="10D8F5F6" w14:textId="77777777" w:rsidR="002715C1" w:rsidRPr="002715C1"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وفي ضوء ما سبق، يمكن القول إن العلاقة بين حوكمة المعلومات والرشاقة الاستراتيجية لا تُفسَّر بالكامل من خلال جودة المعلومات وحدها، رغم كونها شرطًا أساسيًا. فانتقال المعلومات من مورد منظم إلى معرفة قابلة للتوظيف في القرار يتطلب آلية وسيطة قادرة على تحليلها وإعادة تنظيمها وربطها بالسياق التنظيمي. ومن هنا، تبرز نماذج اللغة الضخمة بوصفها مدخلًا تفسيريًا مهمًا قد يوضح الكيفية التي تتحول بها جودة المعلومات إلى استجابات أكثر سرعة ومرونة وفاعلية. وانطلاقًا من هذا التصور، تسعى الدراسة الحالية إلى بناء نموذج مقترح يفسر الدور الوسيط لتوظيف نماذج اللغة الضخمة في العلاقة بين حوكمة المعلومات والرشاقة الاستراتيجية، ثم اختباره ميدانيًا على شركات الاستشارة السعودية بما يثري الأدبيات النظرية ويقدم إطارًا تطبيقيًا في بيئة تنظيمية كثيفة المعرفة</w:t>
      </w:r>
      <w:r w:rsidRPr="002715C1">
        <w:rPr>
          <w:rFonts w:ascii="Simplified Arabic" w:hAnsi="Simplified Arabic" w:cs="Simplified Arabic"/>
          <w:sz w:val="28"/>
          <w:szCs w:val="28"/>
        </w:rPr>
        <w:t xml:space="preserve"> (Burton et al., 2024; Dal Molin, 2024; Aghaei et al., 2</w:t>
      </w:r>
      <w:r w:rsidR="00F96C5F">
        <w:rPr>
          <w:rFonts w:ascii="Simplified Arabic" w:hAnsi="Simplified Arabic" w:cs="Simplified Arabic"/>
          <w:sz w:val="28"/>
          <w:szCs w:val="28"/>
        </w:rPr>
        <w:t xml:space="preserve">025; Payne &amp; </w:t>
      </w:r>
      <w:proofErr w:type="spellStart"/>
      <w:r w:rsidR="00F96C5F">
        <w:rPr>
          <w:rFonts w:ascii="Simplified Arabic" w:hAnsi="Simplified Arabic" w:cs="Simplified Arabic"/>
          <w:sz w:val="28"/>
          <w:szCs w:val="28"/>
        </w:rPr>
        <w:t>Alloui</w:t>
      </w:r>
      <w:proofErr w:type="spellEnd"/>
      <w:r w:rsidR="00F96C5F">
        <w:rPr>
          <w:rFonts w:ascii="Simplified Arabic" w:hAnsi="Simplified Arabic" w:cs="Simplified Arabic"/>
          <w:sz w:val="28"/>
          <w:szCs w:val="28"/>
        </w:rPr>
        <w:t>-Cros, 2025)</w:t>
      </w:r>
      <w:r w:rsidR="00F96C5F">
        <w:rPr>
          <w:rFonts w:ascii="Simplified Arabic" w:hAnsi="Simplified Arabic" w:cs="Simplified Arabic" w:hint="cs"/>
          <w:sz w:val="28"/>
          <w:szCs w:val="28"/>
          <w:rtl/>
          <w:lang w:bidi="ar-EG"/>
        </w:rPr>
        <w:t xml:space="preserve">. </w:t>
      </w:r>
    </w:p>
    <w:p w14:paraId="6E60A1F3" w14:textId="77777777" w:rsidR="002715C1" w:rsidRPr="00F96C5F" w:rsidRDefault="00F96C5F" w:rsidP="008574AD">
      <w:pPr>
        <w:spacing w:line="240" w:lineRule="auto"/>
        <w:jc w:val="both"/>
        <w:rPr>
          <w:rFonts w:ascii="Simplified Arabic" w:hAnsi="Simplified Arabic" w:cs="Simplified Arabic"/>
          <w:b/>
          <w:bCs/>
          <w:sz w:val="32"/>
          <w:szCs w:val="32"/>
        </w:rPr>
      </w:pPr>
      <w:r w:rsidRPr="00F96C5F">
        <w:rPr>
          <w:rFonts w:ascii="Simplified Arabic" w:hAnsi="Simplified Arabic" w:cs="Simplified Arabic" w:hint="cs"/>
          <w:b/>
          <w:bCs/>
          <w:sz w:val="32"/>
          <w:szCs w:val="32"/>
          <w:rtl/>
          <w:lang w:bidi="ar-EG"/>
        </w:rPr>
        <w:t xml:space="preserve">(2) </w:t>
      </w:r>
      <w:r w:rsidR="002715C1" w:rsidRPr="00F96C5F">
        <w:rPr>
          <w:rFonts w:ascii="Simplified Arabic" w:hAnsi="Simplified Arabic" w:cs="Simplified Arabic"/>
          <w:b/>
          <w:bCs/>
          <w:sz w:val="32"/>
          <w:szCs w:val="32"/>
          <w:rtl/>
        </w:rPr>
        <w:t>مشكلة الدراسة وتساؤلاتها</w:t>
      </w:r>
    </w:p>
    <w:p w14:paraId="0C31E157" w14:textId="77777777" w:rsidR="00710D6C" w:rsidRDefault="002715C1" w:rsidP="00F96C5F">
      <w:pPr>
        <w:spacing w:line="240" w:lineRule="auto"/>
        <w:ind w:firstLine="720"/>
        <w:jc w:val="both"/>
        <w:rPr>
          <w:rFonts w:ascii="Simplified Arabic" w:hAnsi="Simplified Arabic" w:cs="Simplified Arabic"/>
          <w:sz w:val="28"/>
          <w:szCs w:val="28"/>
        </w:rPr>
      </w:pPr>
      <w:r w:rsidRPr="002715C1">
        <w:rPr>
          <w:rFonts w:ascii="Simplified Arabic" w:hAnsi="Simplified Arabic" w:cs="Simplified Arabic"/>
          <w:sz w:val="28"/>
          <w:szCs w:val="28"/>
          <w:rtl/>
        </w:rPr>
        <w:t>تشهد الأدبيات الحديثة تحولًا واضحًا في فهم حوكمة المعلومات؛ إذ لم تعد تُعامل بوصفها مجموعة ضوابط تقنية لضبط الوصول إلى البيانات فحسب، بل أصبحت إطارًا مؤسسيًا ينظم دورة حياة المعلومات ويؤثر في جودة البيانات واتساقها وموثوقيتها، بما يدعم القرار التنظيمي ويحد من المخاطر المرتبطة بتعدد مصادر المعلومات وتسارع تدفقها في البيئات الرقمية</w:t>
      </w:r>
      <w:r w:rsidRPr="002715C1">
        <w:rPr>
          <w:rFonts w:ascii="Simplified Arabic" w:hAnsi="Simplified Arabic" w:cs="Simplified Arabic"/>
          <w:sz w:val="28"/>
          <w:szCs w:val="28"/>
        </w:rPr>
        <w:t xml:space="preserve"> (Lee &amp; </w:t>
      </w:r>
      <w:proofErr w:type="spellStart"/>
      <w:r w:rsidRPr="002715C1">
        <w:rPr>
          <w:rFonts w:ascii="Simplified Arabic" w:hAnsi="Simplified Arabic" w:cs="Simplified Arabic"/>
          <w:sz w:val="28"/>
          <w:szCs w:val="28"/>
        </w:rPr>
        <w:t>Darbellay</w:t>
      </w:r>
      <w:proofErr w:type="spellEnd"/>
      <w:r w:rsidRPr="002715C1">
        <w:rPr>
          <w:rFonts w:ascii="Simplified Arabic" w:hAnsi="Simplified Arabic" w:cs="Simplified Arabic"/>
          <w:sz w:val="28"/>
          <w:szCs w:val="28"/>
        </w:rPr>
        <w:t>, 2022; Dal Mol</w:t>
      </w:r>
      <w:r w:rsidR="00F96C5F">
        <w:rPr>
          <w:rFonts w:ascii="Simplified Arabic" w:hAnsi="Simplified Arabic" w:cs="Simplified Arabic"/>
          <w:sz w:val="28"/>
          <w:szCs w:val="28"/>
        </w:rPr>
        <w:t xml:space="preserve">in, 2024; </w:t>
      </w:r>
      <w:proofErr w:type="spellStart"/>
      <w:r w:rsidR="00F96C5F">
        <w:rPr>
          <w:rFonts w:ascii="Simplified Arabic" w:hAnsi="Simplified Arabic" w:cs="Simplified Arabic"/>
          <w:sz w:val="28"/>
          <w:szCs w:val="28"/>
        </w:rPr>
        <w:t>Pahune</w:t>
      </w:r>
      <w:proofErr w:type="spellEnd"/>
      <w:r w:rsidR="00F96C5F">
        <w:rPr>
          <w:rFonts w:ascii="Simplified Arabic" w:hAnsi="Simplified Arabic" w:cs="Simplified Arabic"/>
          <w:sz w:val="28"/>
          <w:szCs w:val="28"/>
        </w:rPr>
        <w:t xml:space="preserve"> et al.,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 xml:space="preserve">وتؤكد دراسات أخرى أن فعالية الحوكمة ترتبط بوضوح المسؤوليات، وضبط الصلاحيات، وتحسين جودة البيانات، وربط المعلومات بالأهداف التنظيمية، إلا أن هذه الأدبيات ركزت غالبًا على الحوكمة بوصفها شرطًا </w:t>
      </w:r>
      <w:r w:rsidRPr="002715C1">
        <w:rPr>
          <w:rFonts w:ascii="Simplified Arabic" w:hAnsi="Simplified Arabic" w:cs="Simplified Arabic"/>
          <w:sz w:val="28"/>
          <w:szCs w:val="28"/>
          <w:rtl/>
        </w:rPr>
        <w:lastRenderedPageBreak/>
        <w:t>تنظيميًا أو رقابيًا أكثر من كونها آلية توليد للقيمة الاستراتيجية</w:t>
      </w:r>
      <w:r w:rsidRPr="002715C1">
        <w:rPr>
          <w:rFonts w:ascii="Simplified Arabic" w:hAnsi="Simplified Arabic" w:cs="Simplified Arabic"/>
          <w:sz w:val="28"/>
          <w:szCs w:val="28"/>
        </w:rPr>
        <w:t xml:space="preserve"> (Teubner et al., 2023; AIIM, 2025; </w:t>
      </w:r>
      <w:proofErr w:type="spellStart"/>
      <w:r w:rsidRPr="002715C1">
        <w:rPr>
          <w:rFonts w:ascii="Simplified Arabic" w:hAnsi="Simplified Arabic" w:cs="Simplified Arabic"/>
          <w:sz w:val="28"/>
          <w:szCs w:val="28"/>
        </w:rPr>
        <w:t>DataGalaxy</w:t>
      </w:r>
      <w:proofErr w:type="spellEnd"/>
      <w:r w:rsidRPr="002715C1">
        <w:rPr>
          <w:rFonts w:ascii="Simplified Arabic" w:hAnsi="Simplified Arabic" w:cs="Simplified Arabic"/>
          <w:sz w:val="28"/>
          <w:szCs w:val="28"/>
        </w:rPr>
        <w:t>, 2025)</w:t>
      </w:r>
      <w:r w:rsidR="00F96C5F">
        <w:rPr>
          <w:rFonts w:ascii="Simplified Arabic" w:hAnsi="Simplified Arabic" w:cs="Simplified Arabic" w:hint="cs"/>
          <w:sz w:val="28"/>
          <w:szCs w:val="28"/>
          <w:rtl/>
        </w:rPr>
        <w:t>.</w:t>
      </w:r>
    </w:p>
    <w:p w14:paraId="709E7608" w14:textId="77777777" w:rsidR="002715C1" w:rsidRPr="002715C1" w:rsidRDefault="002715C1" w:rsidP="00F96C5F">
      <w:pPr>
        <w:spacing w:line="240" w:lineRule="auto"/>
        <w:ind w:firstLine="720"/>
        <w:jc w:val="both"/>
        <w:rPr>
          <w:rFonts w:ascii="Simplified Arabic" w:hAnsi="Simplified Arabic" w:cs="Simplified Arabic"/>
          <w:sz w:val="28"/>
          <w:szCs w:val="28"/>
        </w:rPr>
      </w:pPr>
      <w:r w:rsidRPr="002715C1">
        <w:rPr>
          <w:rFonts w:ascii="Simplified Arabic" w:hAnsi="Simplified Arabic" w:cs="Simplified Arabic"/>
          <w:sz w:val="28"/>
          <w:szCs w:val="28"/>
          <w:rtl/>
        </w:rPr>
        <w:t>ورغم اتفاق هذه الدراسات على أهمية حوكمة المعلومات، فإنها لم تقدم تفسيرًا كافيًا للكيفية التي تنتقل بها جودة المعلومات الناتجة عنها إلى نتائج تنظيمية ملموسة. فغالبية الأدبيات انشغلت بتفسير أثر الحوكمة في الامتثال والشفافية وتحسين البيانات، لكنها لم توضّح بصورة منهجية المسار الذي تتحول عبره المعلومات الجيدة إلى قرارات أكثر فاعلية أو إلى أداء أكثر رشاقة داخل المنظمة</w:t>
      </w:r>
      <w:r w:rsidRPr="002715C1">
        <w:rPr>
          <w:rFonts w:ascii="Simplified Arabic" w:hAnsi="Simplified Arabic" w:cs="Simplified Arabic"/>
          <w:sz w:val="28"/>
          <w:szCs w:val="28"/>
        </w:rPr>
        <w:t xml:space="preserve"> (Idris et al., 2024; Aghaei et al., 20</w:t>
      </w:r>
      <w:r w:rsidR="00F96C5F">
        <w:rPr>
          <w:rFonts w:ascii="Simplified Arabic" w:hAnsi="Simplified Arabic" w:cs="Simplified Arabic"/>
          <w:sz w:val="28"/>
          <w:szCs w:val="28"/>
        </w:rPr>
        <w:t>25; Caballero &amp; Jenkins,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ومن ثم، تبدو القيمة التنظيمية لحوكمة المعلومات غير مكتملة التفسير ما لم يُفهم كيف تُستثمر هذه الجودة في دعم الاستجابة التنظيمية السريعة</w:t>
      </w:r>
      <w:r w:rsidRPr="002715C1">
        <w:rPr>
          <w:rFonts w:ascii="Simplified Arabic" w:hAnsi="Simplified Arabic" w:cs="Simplified Arabic"/>
          <w:sz w:val="28"/>
          <w:szCs w:val="28"/>
        </w:rPr>
        <w:t>.</w:t>
      </w:r>
    </w:p>
    <w:p w14:paraId="0A23104A" w14:textId="77777777" w:rsidR="00F96C5F"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في المقابل، ركزت أدبيات الرشاقة الاستراتيجية على قدرة المنظمة على الاستشعار المبكر للتغيرات، وإعادة توجيه الموارد، واتخاذ قرارات سريعة تتوافق مع بيئات تتسم بعدم اليقين وتسارع التحول. وقد تطور هذا المفهوم من المرونة التشغيلية إلى قدرة استراتيجية أوسع ترتبط بالاستجابة الاستباقية، وإعادة التشكيل المستمر للموارد، والحفاظ على التنافسية في البيئات الديناميكية</w:t>
      </w:r>
      <w:r w:rsidRPr="002715C1">
        <w:rPr>
          <w:rFonts w:ascii="Simplified Arabic" w:hAnsi="Simplified Arabic" w:cs="Simplified Arabic"/>
          <w:sz w:val="28"/>
          <w:szCs w:val="28"/>
        </w:rPr>
        <w:t xml:space="preserve"> (Teece et al., 1997; Teece, 2007; Muell</w:t>
      </w:r>
      <w:r w:rsidR="00F96C5F">
        <w:rPr>
          <w:rFonts w:ascii="Simplified Arabic" w:hAnsi="Simplified Arabic" w:cs="Simplified Arabic"/>
          <w:sz w:val="28"/>
          <w:szCs w:val="28"/>
        </w:rPr>
        <w:t>er-</w:t>
      </w:r>
      <w:proofErr w:type="spellStart"/>
      <w:r w:rsidR="00F96C5F">
        <w:rPr>
          <w:rFonts w:ascii="Simplified Arabic" w:hAnsi="Simplified Arabic" w:cs="Simplified Arabic"/>
          <w:sz w:val="28"/>
          <w:szCs w:val="28"/>
        </w:rPr>
        <w:t>Saegebrecht</w:t>
      </w:r>
      <w:proofErr w:type="spellEnd"/>
      <w:r w:rsidR="00F96C5F">
        <w:rPr>
          <w:rFonts w:ascii="Simplified Arabic" w:hAnsi="Simplified Arabic" w:cs="Simplified Arabic"/>
          <w:sz w:val="28"/>
          <w:szCs w:val="28"/>
        </w:rPr>
        <w:t xml:space="preserve"> &amp; Walter,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ومع ذلك، تشير الأدبيات إلى أن الرشاقة لا تُفهم فقط بوصفها سرعة في القرار، بل بوصفها قدرة تعتمد أيضًا على توافر معلومات دقيقة وحديثة وقابلة للتفسير في الوقت المناسب</w:t>
      </w:r>
      <w:r w:rsidRPr="002715C1">
        <w:rPr>
          <w:rFonts w:ascii="Simplified Arabic" w:hAnsi="Simplified Arabic" w:cs="Simplified Arabic"/>
          <w:sz w:val="28"/>
          <w:szCs w:val="28"/>
        </w:rPr>
        <w:t xml:space="preserve"> (Tallon et al., 2</w:t>
      </w:r>
      <w:r w:rsidR="00F96C5F">
        <w:rPr>
          <w:rFonts w:ascii="Simplified Arabic" w:hAnsi="Simplified Arabic" w:cs="Simplified Arabic"/>
          <w:sz w:val="28"/>
          <w:szCs w:val="28"/>
        </w:rPr>
        <w:t>019; Reed, 2020; Shatila, 2025)</w:t>
      </w:r>
      <w:r w:rsidR="00F96C5F">
        <w:rPr>
          <w:rFonts w:ascii="Simplified Arabic" w:hAnsi="Simplified Arabic" w:cs="Simplified Arabic" w:hint="cs"/>
          <w:sz w:val="28"/>
          <w:szCs w:val="28"/>
          <w:rtl/>
          <w:lang w:bidi="ar-EG"/>
        </w:rPr>
        <w:t xml:space="preserve">. </w:t>
      </w:r>
    </w:p>
    <w:p w14:paraId="7E349243"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ومع ذلك، يكشف التحليل النقدي لهذه الأدبيات أن كثيرًا من الدراسات فسرت الرشاقة في ضوء القدرات الديناميكية أو مرونة الموارد أو سرعة اتخاذ القرار، بينما لم تمنح المعلومات ذاتها المكانة التفسيرية الكافية رغم أنها تمثل المدخل الأساسي لعمليات الاستشعار والتحليل والاستجابة. كما أن الدراسات التي تناولت جودة المعلومات غالبًا ما عرضتها كأحد متطلبات البيئة الرقمية، دون بناء نموذج يوضح كيف تتحول هذه الجودة إلى رشاقة استراتيجية عبر آلية محددة</w:t>
      </w:r>
      <w:r w:rsidRPr="002715C1">
        <w:rPr>
          <w:rFonts w:ascii="Simplified Arabic" w:hAnsi="Simplified Arabic" w:cs="Simplified Arabic"/>
          <w:sz w:val="28"/>
          <w:szCs w:val="28"/>
        </w:rPr>
        <w:t xml:space="preserve"> (Idris et al., 2024; </w:t>
      </w:r>
      <w:proofErr w:type="spellStart"/>
      <w:r w:rsidRPr="002715C1">
        <w:rPr>
          <w:rFonts w:ascii="Simplified Arabic" w:hAnsi="Simplified Arabic" w:cs="Simplified Arabic"/>
          <w:sz w:val="28"/>
          <w:szCs w:val="28"/>
        </w:rPr>
        <w:t>Lorè</w:t>
      </w:r>
      <w:proofErr w:type="spellEnd"/>
      <w:r w:rsidRPr="002715C1">
        <w:rPr>
          <w:rFonts w:ascii="Simplified Arabic" w:hAnsi="Simplified Arabic" w:cs="Simplified Arabic"/>
          <w:sz w:val="28"/>
          <w:szCs w:val="28"/>
        </w:rPr>
        <w:t xml:space="preserve"> &amp; Heydari, 20</w:t>
      </w:r>
      <w:r w:rsidR="00F96C5F">
        <w:rPr>
          <w:rFonts w:ascii="Simplified Arabic" w:hAnsi="Simplified Arabic" w:cs="Simplified Arabic"/>
          <w:sz w:val="28"/>
          <w:szCs w:val="28"/>
        </w:rPr>
        <w:t xml:space="preserve">24; Payne &amp; </w:t>
      </w:r>
      <w:proofErr w:type="spellStart"/>
      <w:r w:rsidR="00F96C5F">
        <w:rPr>
          <w:rFonts w:ascii="Simplified Arabic" w:hAnsi="Simplified Arabic" w:cs="Simplified Arabic"/>
          <w:sz w:val="28"/>
          <w:szCs w:val="28"/>
        </w:rPr>
        <w:t>Alloui</w:t>
      </w:r>
      <w:proofErr w:type="spellEnd"/>
      <w:r w:rsidR="00F96C5F">
        <w:rPr>
          <w:rFonts w:ascii="Simplified Arabic" w:hAnsi="Simplified Arabic" w:cs="Simplified Arabic"/>
          <w:sz w:val="28"/>
          <w:szCs w:val="28"/>
        </w:rPr>
        <w:t>-Cros,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وهذا يترك فجوة معرفية واضحة بين الحوكمة وبين المخرجات الاستراتيجية</w:t>
      </w:r>
      <w:r w:rsidRPr="002715C1">
        <w:rPr>
          <w:rFonts w:ascii="Simplified Arabic" w:hAnsi="Simplified Arabic" w:cs="Simplified Arabic"/>
          <w:sz w:val="28"/>
          <w:szCs w:val="28"/>
        </w:rPr>
        <w:t>.</w:t>
      </w:r>
    </w:p>
    <w:p w14:paraId="41DC1B10" w14:textId="77777777" w:rsidR="00F96C5F" w:rsidRDefault="00F96C5F" w:rsidP="00F96C5F">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002715C1" w:rsidRPr="002715C1">
        <w:rPr>
          <w:rFonts w:ascii="Simplified Arabic" w:hAnsi="Simplified Arabic" w:cs="Simplified Arabic"/>
          <w:sz w:val="28"/>
          <w:szCs w:val="28"/>
          <w:rtl/>
        </w:rPr>
        <w:t>في السنوات الأخيرة، ازداد الاهتمام بنماذج اللغة الضخمة باعتبارها أحد أهم تطبيقات الذكاء الاصطناعي التوليدي في المنظمات. ولم يعد النظر إليها مقصورًا على التوليد النصي، بل اتسع ليشمل تنظيم المعرفة، وتلخيص المعلومات، وتحليل البيانات غير المهيكلة، ودعم التفكير واتخاذ القرار</w:t>
      </w:r>
      <w:r w:rsidR="002715C1" w:rsidRPr="002715C1">
        <w:rPr>
          <w:rFonts w:ascii="Simplified Arabic" w:hAnsi="Simplified Arabic" w:cs="Simplified Arabic"/>
          <w:sz w:val="28"/>
          <w:szCs w:val="28"/>
        </w:rPr>
        <w:t>(Burton et al., 2024; Handler et a</w:t>
      </w:r>
      <w:r>
        <w:rPr>
          <w:rFonts w:ascii="Simplified Arabic" w:hAnsi="Simplified Arabic" w:cs="Simplified Arabic"/>
          <w:sz w:val="28"/>
          <w:szCs w:val="28"/>
        </w:rPr>
        <w:t>l., 2024; Teubner et al., 2023)</w:t>
      </w:r>
      <w:r>
        <w:rPr>
          <w:rFonts w:ascii="Simplified Arabic" w:hAnsi="Simplified Arabic" w:cs="Simplified Arabic" w:hint="cs"/>
          <w:sz w:val="28"/>
          <w:szCs w:val="28"/>
          <w:rtl/>
          <w:lang w:bidi="ar-EG"/>
        </w:rPr>
        <w:t>.</w:t>
      </w:r>
      <w:r w:rsidR="002715C1" w:rsidRPr="002715C1">
        <w:rPr>
          <w:rFonts w:ascii="Simplified Arabic" w:hAnsi="Simplified Arabic" w:cs="Simplified Arabic"/>
          <w:sz w:val="28"/>
          <w:szCs w:val="28"/>
        </w:rPr>
        <w:t xml:space="preserve"> </w:t>
      </w:r>
      <w:r w:rsidR="002715C1" w:rsidRPr="002715C1">
        <w:rPr>
          <w:rFonts w:ascii="Simplified Arabic" w:hAnsi="Simplified Arabic" w:cs="Simplified Arabic"/>
          <w:sz w:val="28"/>
          <w:szCs w:val="28"/>
          <w:rtl/>
        </w:rPr>
        <w:t>وتوضح بعض الدراسات أن هذه النماذج قد ترفع كفاءة التنسيق وتُيسر الوصول إلى المعرفة وتدعم الذكاء الجمعي، لكن هذه القيمة تظل مشروطة بوجود حوكمة فعالة لاستخدامها وإدارة مخرجاتها لتقليل الانحياز والهلوسة وضعف الموثوقية</w:t>
      </w:r>
      <w:r w:rsidR="002715C1" w:rsidRPr="002715C1">
        <w:rPr>
          <w:rFonts w:ascii="Simplified Arabic" w:hAnsi="Simplified Arabic" w:cs="Simplified Arabic"/>
          <w:sz w:val="28"/>
          <w:szCs w:val="28"/>
        </w:rPr>
        <w:t xml:space="preserve"> (Caballero &amp; Jenkins, 2025; Dal Molin, 2024; ISO, 2023)</w:t>
      </w:r>
      <w:r w:rsidRPr="002715C1">
        <w:rPr>
          <w:rFonts w:ascii="Simplified Arabic" w:hAnsi="Simplified Arabic" w:cs="Simplified Arabic"/>
          <w:sz w:val="28"/>
          <w:szCs w:val="28"/>
          <w:rtl/>
        </w:rPr>
        <w:t xml:space="preserve"> </w:t>
      </w:r>
    </w:p>
    <w:p w14:paraId="3406FF11" w14:textId="77777777" w:rsidR="00F96C5F"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ورغم هذا التطور، ما تزال الأدبيات الخاصة بنماذج اللغة الضخمة تميل إلى التركيز على قدراتها التقنية وتطبيقاتها المحتملة أكثر من تفسير موقعها داخل العلاقات التنظيمية الأوسع. فلم تربط معظم الدراسات هذه النماذج مباشرة بحوكمة المعلومات، ولم تختبر بما يكفي قدرتها على تحويل جودة المعلومات إلى استجابة تنظيمية أكثر رشاقة</w:t>
      </w:r>
      <w:r w:rsidRPr="002715C1">
        <w:rPr>
          <w:rFonts w:ascii="Simplified Arabic" w:hAnsi="Simplified Arabic" w:cs="Simplified Arabic"/>
          <w:sz w:val="28"/>
          <w:szCs w:val="28"/>
        </w:rPr>
        <w:t xml:space="preserve"> (Aghaei et al., 2025; Burton et al., 20</w:t>
      </w:r>
      <w:r w:rsidR="00F96C5F">
        <w:rPr>
          <w:rFonts w:ascii="Simplified Arabic" w:hAnsi="Simplified Arabic" w:cs="Simplified Arabic"/>
          <w:sz w:val="28"/>
          <w:szCs w:val="28"/>
        </w:rPr>
        <w:t xml:space="preserve">24; Payne &amp; </w:t>
      </w:r>
      <w:proofErr w:type="spellStart"/>
      <w:r w:rsidR="00F96C5F">
        <w:rPr>
          <w:rFonts w:ascii="Simplified Arabic" w:hAnsi="Simplified Arabic" w:cs="Simplified Arabic"/>
          <w:sz w:val="28"/>
          <w:szCs w:val="28"/>
        </w:rPr>
        <w:t>Alloui</w:t>
      </w:r>
      <w:proofErr w:type="spellEnd"/>
      <w:r w:rsidR="00F96C5F">
        <w:rPr>
          <w:rFonts w:ascii="Simplified Arabic" w:hAnsi="Simplified Arabic" w:cs="Simplified Arabic"/>
          <w:sz w:val="28"/>
          <w:szCs w:val="28"/>
        </w:rPr>
        <w:t>-Cros,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وبالتالي، تظل الحقول الثلاثة: حوكمة المعلومات، والرشاقة الاستراتيجية، ونماذج اللغة الضخمة، متجاورة في الأدبيات ولكنها غير مدمجة في إطار تفسيري واحد</w:t>
      </w:r>
      <w:r w:rsidRPr="002715C1">
        <w:rPr>
          <w:rFonts w:ascii="Simplified Arabic" w:hAnsi="Simplified Arabic" w:cs="Simplified Arabic"/>
          <w:sz w:val="28"/>
          <w:szCs w:val="28"/>
        </w:rPr>
        <w:t>.</w:t>
      </w:r>
    </w:p>
    <w:p w14:paraId="0B74093E"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وتتعمق الفجوة البحثية عند النظر إلى العلاقة بين حوكمة المعلومات والرشاقة الاستراتيجية تحديدًا. فقد أوضحت بعض الدراسات أن الحوكمة الفعالة تحسن جودة البيانات وتدعم القرار، لكن معظمها لم يفسر كيف تتحول هذه الجودة إلى سرعة استجابة ومرونة تنظيمية</w:t>
      </w:r>
      <w:r w:rsidRPr="002715C1">
        <w:rPr>
          <w:rFonts w:ascii="Simplified Arabic" w:hAnsi="Simplified Arabic" w:cs="Simplified Arabic"/>
          <w:sz w:val="28"/>
          <w:szCs w:val="28"/>
        </w:rPr>
        <w:t xml:space="preserve"> (Dal Molin, 2024; Teubner et al., 20</w:t>
      </w:r>
      <w:r w:rsidR="00F96C5F">
        <w:rPr>
          <w:rFonts w:ascii="Simplified Arabic" w:hAnsi="Simplified Arabic" w:cs="Simplified Arabic"/>
          <w:sz w:val="28"/>
          <w:szCs w:val="28"/>
        </w:rPr>
        <w:t>23; Caballero &amp; Jenkins, 2025)</w:t>
      </w:r>
      <w:r w:rsidR="00F96C5F">
        <w:rPr>
          <w:rFonts w:ascii="Simplified Arabic" w:hAnsi="Simplified Arabic" w:cs="Simplified Arabic" w:hint="cs"/>
          <w:sz w:val="28"/>
          <w:szCs w:val="28"/>
          <w:rtl/>
          <w:lang w:bidi="ar-EG"/>
        </w:rPr>
        <w:t xml:space="preserve">. </w:t>
      </w:r>
      <w:r w:rsidRPr="002715C1">
        <w:rPr>
          <w:rFonts w:ascii="Simplified Arabic" w:hAnsi="Simplified Arabic" w:cs="Simplified Arabic"/>
          <w:sz w:val="28"/>
          <w:szCs w:val="28"/>
          <w:rtl/>
        </w:rPr>
        <w:t>كما أن الدراسات المتعلقة بالرشاقة الاستراتيجية ركزت على النتائج والخصائص أكثر من تركيزها على الآليات المعلوماتية التي تسبقها، وهو ما يجعل الحاجة قائمة إلى تفسير أكثر تكاملًا للمسار الذي يربط بين المعلومات المحكومة والاستجابة الرشيقة</w:t>
      </w:r>
      <w:r w:rsidRPr="002715C1">
        <w:rPr>
          <w:rFonts w:ascii="Simplified Arabic" w:hAnsi="Simplified Arabic" w:cs="Simplified Arabic"/>
          <w:sz w:val="28"/>
          <w:szCs w:val="28"/>
        </w:rPr>
        <w:t>.</w:t>
      </w:r>
    </w:p>
    <w:p w14:paraId="7D934FBC" w14:textId="77777777" w:rsidR="00F96C5F" w:rsidRDefault="002715C1" w:rsidP="00F96C5F">
      <w:pPr>
        <w:spacing w:line="240" w:lineRule="auto"/>
        <w:ind w:firstLine="720"/>
        <w:jc w:val="both"/>
        <w:rPr>
          <w:rFonts w:ascii="Simplified Arabic" w:hAnsi="Simplified Arabic" w:cs="Simplified Arabic"/>
          <w:sz w:val="28"/>
          <w:szCs w:val="28"/>
          <w:rtl/>
        </w:rPr>
      </w:pPr>
      <w:r w:rsidRPr="002715C1">
        <w:rPr>
          <w:rFonts w:ascii="Simplified Arabic" w:hAnsi="Simplified Arabic" w:cs="Simplified Arabic"/>
          <w:sz w:val="28"/>
          <w:szCs w:val="28"/>
          <w:rtl/>
        </w:rPr>
        <w:t>ومن هنا، تبرز الحاجة إلى متغير وسيط يفسر هذه العلاقة، وتبدو نماذج اللغة الضخمة مرشحًا مناسبًا لهذا الدور. فهي لا تعمل فقط كأداة تقنية، بل كآلية معرفية يمكن أن تعيد تنظيم المعلومات وتربطها بسياق القرار وتقلص الفجوة الزمنية والمعرفية بين توافر المعلومات واستخدامها</w:t>
      </w:r>
      <w:r w:rsidRPr="002715C1">
        <w:rPr>
          <w:rFonts w:ascii="Simplified Arabic" w:hAnsi="Simplified Arabic" w:cs="Simplified Arabic"/>
          <w:sz w:val="28"/>
          <w:szCs w:val="28"/>
        </w:rPr>
        <w:t xml:space="preserve"> </w:t>
      </w:r>
      <w:r w:rsidRPr="002715C1">
        <w:rPr>
          <w:rFonts w:ascii="Simplified Arabic" w:hAnsi="Simplified Arabic" w:cs="Simplified Arabic"/>
          <w:sz w:val="28"/>
          <w:szCs w:val="28"/>
        </w:rPr>
        <w:lastRenderedPageBreak/>
        <w:t>(Burton et al., 2024; Idris et al</w:t>
      </w:r>
      <w:r w:rsidR="00F96C5F">
        <w:rPr>
          <w:rFonts w:ascii="Simplified Arabic" w:hAnsi="Simplified Arabic" w:cs="Simplified Arabic"/>
          <w:sz w:val="28"/>
          <w:szCs w:val="28"/>
        </w:rPr>
        <w:t xml:space="preserve">., 2024; </w:t>
      </w:r>
      <w:proofErr w:type="spellStart"/>
      <w:r w:rsidR="00F96C5F">
        <w:rPr>
          <w:rFonts w:ascii="Simplified Arabic" w:hAnsi="Simplified Arabic" w:cs="Simplified Arabic"/>
          <w:sz w:val="28"/>
          <w:szCs w:val="28"/>
        </w:rPr>
        <w:t>Lorè</w:t>
      </w:r>
      <w:proofErr w:type="spellEnd"/>
      <w:r w:rsidR="00F96C5F">
        <w:rPr>
          <w:rFonts w:ascii="Simplified Arabic" w:hAnsi="Simplified Arabic" w:cs="Simplified Arabic"/>
          <w:sz w:val="28"/>
          <w:szCs w:val="28"/>
        </w:rPr>
        <w:t xml:space="preserve"> &amp; Heydari, 2024)</w:t>
      </w:r>
      <w:r w:rsidR="00F96C5F">
        <w:rPr>
          <w:rFonts w:ascii="Simplified Arabic" w:hAnsi="Simplified Arabic" w:cs="Simplified Arabic" w:hint="cs"/>
          <w:sz w:val="28"/>
          <w:szCs w:val="28"/>
          <w:rtl/>
          <w:lang w:bidi="ar-EG"/>
        </w:rPr>
        <w:t xml:space="preserve">. </w:t>
      </w:r>
      <w:r w:rsidR="00F96C5F">
        <w:rPr>
          <w:rFonts w:ascii="Simplified Arabic" w:hAnsi="Simplified Arabic" w:cs="Simplified Arabic"/>
          <w:sz w:val="28"/>
          <w:szCs w:val="28"/>
          <w:rtl/>
        </w:rPr>
        <w:t>و</w:t>
      </w:r>
      <w:r w:rsidRPr="002715C1">
        <w:rPr>
          <w:rFonts w:ascii="Simplified Arabic" w:hAnsi="Simplified Arabic" w:cs="Simplified Arabic"/>
          <w:sz w:val="28"/>
          <w:szCs w:val="28"/>
          <w:rtl/>
        </w:rPr>
        <w:t xml:space="preserve">ينسجم </w:t>
      </w:r>
      <w:r w:rsidR="00F96C5F">
        <w:rPr>
          <w:rFonts w:ascii="Simplified Arabic" w:hAnsi="Simplified Arabic" w:cs="Simplified Arabic" w:hint="cs"/>
          <w:sz w:val="28"/>
          <w:szCs w:val="28"/>
          <w:rtl/>
        </w:rPr>
        <w:t xml:space="preserve">هذا </w:t>
      </w:r>
      <w:r w:rsidRPr="002715C1">
        <w:rPr>
          <w:rFonts w:ascii="Simplified Arabic" w:hAnsi="Simplified Arabic" w:cs="Simplified Arabic"/>
          <w:sz w:val="28"/>
          <w:szCs w:val="28"/>
          <w:rtl/>
        </w:rPr>
        <w:t>مع الأدبيات التي تؤكد أن القيمة التنظيمية للتقنيات الذكية لا تتحقق بمجرد وجودها، بل من خلال كيفية دمجها في منظومة الحوكمة والمعرفة واتخاذ القرار</w:t>
      </w:r>
      <w:r w:rsidRPr="002715C1">
        <w:rPr>
          <w:rFonts w:ascii="Simplified Arabic" w:hAnsi="Simplified Arabic" w:cs="Simplified Arabic"/>
          <w:sz w:val="28"/>
          <w:szCs w:val="28"/>
        </w:rPr>
        <w:t xml:space="preserve"> (</w:t>
      </w:r>
      <w:proofErr w:type="spellStart"/>
      <w:r w:rsidRPr="002715C1">
        <w:rPr>
          <w:rFonts w:ascii="Simplified Arabic" w:hAnsi="Simplified Arabic" w:cs="Simplified Arabic"/>
          <w:sz w:val="28"/>
          <w:szCs w:val="28"/>
        </w:rPr>
        <w:t>Pahune</w:t>
      </w:r>
      <w:proofErr w:type="spellEnd"/>
      <w:r w:rsidRPr="002715C1">
        <w:rPr>
          <w:rFonts w:ascii="Simplified Arabic" w:hAnsi="Simplified Arabic" w:cs="Simplified Arabic"/>
          <w:sz w:val="28"/>
          <w:szCs w:val="28"/>
        </w:rPr>
        <w:t xml:space="preserve"> et al., 2025; AIIM, 2025; World Bank, 2025)</w:t>
      </w:r>
    </w:p>
    <w:p w14:paraId="1766D2B0" w14:textId="77777777" w:rsidR="00F96C5F" w:rsidRDefault="002715C1" w:rsidP="00F96C5F">
      <w:pPr>
        <w:spacing w:line="240" w:lineRule="auto"/>
        <w:ind w:firstLine="720"/>
        <w:jc w:val="both"/>
        <w:rPr>
          <w:rFonts w:ascii="Simplified Arabic" w:hAnsi="Simplified Arabic" w:cs="Simplified Arabic"/>
          <w:sz w:val="28"/>
          <w:szCs w:val="28"/>
          <w:rtl/>
          <w:lang w:bidi="ar-EG"/>
        </w:rPr>
      </w:pPr>
      <w:r w:rsidRPr="002715C1">
        <w:rPr>
          <w:rFonts w:ascii="Simplified Arabic" w:hAnsi="Simplified Arabic" w:cs="Simplified Arabic"/>
          <w:sz w:val="28"/>
          <w:szCs w:val="28"/>
          <w:rtl/>
        </w:rPr>
        <w:t>وتتضح أهمية هذه الفجوة في قطاع الاستشارات، الذي يقوم أساسًا على إنتاج المعرفة وتحويلها إلى توصيات وحلول قابلة للتنفيذ. فالقيمة في هذا القطاع لا ترتبط فقط بامتلاك المعلومات، بل بالقدرة على تفسيرها وإعادة توظيفها بسرعة بما ينسجم مع احتياجات العملاء وتغيرات السوق. كما أن البيئة السعودية تمثل سياقًا مناسبًا لاختبار هذا النموذج، في ظل تسارع التحول الرقمي وتزايد الاهتمام بتطبيقات الذكاء الاصطناعي في الأعمال والخدمات المهنية، وهو ما يمكن دعمه بمراجع مؤسسية عند الحاجة مثل التقارير الوطنية أو الإقليمية [مؤسسي/داعم فقط]، بينما يظل التفسير النظري مستندًا إلى الأدبيات الأكاديمية</w:t>
      </w:r>
      <w:r w:rsidRPr="002715C1">
        <w:rPr>
          <w:rFonts w:ascii="Simplified Arabic" w:hAnsi="Simplified Arabic" w:cs="Simplified Arabic"/>
          <w:sz w:val="28"/>
          <w:szCs w:val="28"/>
        </w:rPr>
        <w:t xml:space="preserve"> (Teece, 2018; Teubner et </w:t>
      </w:r>
      <w:r w:rsidR="00F96C5F">
        <w:rPr>
          <w:rFonts w:ascii="Simplified Arabic" w:hAnsi="Simplified Arabic" w:cs="Simplified Arabic"/>
          <w:sz w:val="28"/>
          <w:szCs w:val="28"/>
        </w:rPr>
        <w:t>al., 2023; Aghaei et al., 2025)</w:t>
      </w:r>
      <w:r w:rsidR="00F96C5F">
        <w:rPr>
          <w:rFonts w:ascii="Simplified Arabic" w:hAnsi="Simplified Arabic" w:cs="Simplified Arabic" w:hint="cs"/>
          <w:sz w:val="28"/>
          <w:szCs w:val="28"/>
          <w:rtl/>
          <w:lang w:bidi="ar-EG"/>
        </w:rPr>
        <w:t>.</w:t>
      </w:r>
    </w:p>
    <w:p w14:paraId="5EAD7949" w14:textId="77777777" w:rsidR="002715C1" w:rsidRPr="002715C1" w:rsidRDefault="002715C1" w:rsidP="00F96C5F">
      <w:pPr>
        <w:spacing w:line="240" w:lineRule="auto"/>
        <w:ind w:firstLine="720"/>
        <w:jc w:val="both"/>
        <w:rPr>
          <w:rFonts w:ascii="Simplified Arabic" w:hAnsi="Simplified Arabic" w:cs="Simplified Arabic"/>
          <w:sz w:val="28"/>
          <w:szCs w:val="28"/>
        </w:rPr>
      </w:pPr>
      <w:r w:rsidRPr="002715C1">
        <w:rPr>
          <w:rFonts w:ascii="Simplified Arabic" w:hAnsi="Simplified Arabic" w:cs="Simplified Arabic"/>
          <w:sz w:val="28"/>
          <w:szCs w:val="28"/>
          <w:rtl/>
        </w:rPr>
        <w:t>وانطلاقًا من ذلك، تتمثل مشكلة الدراسة في أن الأدبيات الحالية لم تقدم تفسيرًا كافيًا للكيفية التي تنتقل بها آثار حوكمة المعلومات إلى الرشاقة الاستراتيجية داخل المنظمات كثيفة المعرفة، رغم الاتفاق على أهمية كل من جودة المعلومات وسرعة الاستجابة والتقنيات الذكية في تحسين الأداء التنظيمي. كما لم يتضح بعد ما إذا كان توظيف نماذج اللغة الضخمة يمثل الحلقة التفسيرية التي تحول المعلومات المحكومة إلى قرارات أكثر رشاقة وفاعلية، خاصة في شركات الاستشارة السعودية. ومن ثم، تسعى الدراسة الحالية إلى الإجابة عن السؤال الرئيس الآتي</w:t>
      </w:r>
      <w:r w:rsidRPr="002715C1">
        <w:rPr>
          <w:rFonts w:ascii="Simplified Arabic" w:hAnsi="Simplified Arabic" w:cs="Simplified Arabic"/>
          <w:sz w:val="28"/>
          <w:szCs w:val="28"/>
        </w:rPr>
        <w:t>:</w:t>
      </w:r>
    </w:p>
    <w:p w14:paraId="4012CD12" w14:textId="77777777" w:rsidR="002715C1" w:rsidRPr="00F96C5F" w:rsidRDefault="002715C1" w:rsidP="00F96C5F">
      <w:pPr>
        <w:spacing w:line="240" w:lineRule="auto"/>
        <w:jc w:val="center"/>
        <w:rPr>
          <w:rFonts w:ascii="Simplified Arabic" w:hAnsi="Simplified Arabic" w:cs="Simplified Arabic"/>
          <w:b/>
          <w:bCs/>
          <w:sz w:val="28"/>
          <w:szCs w:val="28"/>
        </w:rPr>
      </w:pPr>
      <w:r w:rsidRPr="00F96C5F">
        <w:rPr>
          <w:rFonts w:ascii="Simplified Arabic" w:hAnsi="Simplified Arabic" w:cs="Simplified Arabic"/>
          <w:b/>
          <w:bCs/>
          <w:sz w:val="28"/>
          <w:szCs w:val="28"/>
          <w:rtl/>
        </w:rPr>
        <w:t>ما الدور الوسيط لتوظيف نماذج اللغة الضخمة في العلاقة بين حوكمة المعلومات والرشاقة الاستراتيجية في شركات الاستشارة السعودية؟</w:t>
      </w:r>
    </w:p>
    <w:p w14:paraId="2C52066E" w14:textId="77777777" w:rsidR="002715C1" w:rsidRPr="002715C1" w:rsidRDefault="002715C1" w:rsidP="008574AD">
      <w:p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ويتفرع عن هذا السؤال الرئيس الأسئلة الآتية</w:t>
      </w:r>
      <w:r w:rsidRPr="002715C1">
        <w:rPr>
          <w:rFonts w:ascii="Simplified Arabic" w:hAnsi="Simplified Arabic" w:cs="Simplified Arabic"/>
          <w:sz w:val="28"/>
          <w:szCs w:val="28"/>
        </w:rPr>
        <w:t>:</w:t>
      </w:r>
    </w:p>
    <w:p w14:paraId="61CD6A19"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ما مستوى تطبيق حوكمة المعلومات في شركات الاستشارة السعودية؟</w:t>
      </w:r>
    </w:p>
    <w:p w14:paraId="206C2D81"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ما مستوى توظيف نماذج اللغة الضخمة داخل هذه الشركات؟</w:t>
      </w:r>
    </w:p>
    <w:p w14:paraId="711A8155"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ما مستوى الرشاقة الاستراتيجية لديها؟</w:t>
      </w:r>
    </w:p>
    <w:p w14:paraId="20E0810F"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lastRenderedPageBreak/>
        <w:t>ما طبيعة العلاقة بين حوكمة المعلومات والرشاقة الاستراتيجية؟</w:t>
      </w:r>
    </w:p>
    <w:p w14:paraId="5FC3D492"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ما طبيعة العلاقة بين حوكمة المعلومات وتوظيف نماذج اللغة الضخمة؟</w:t>
      </w:r>
    </w:p>
    <w:p w14:paraId="76BEC0C0"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ما طبيعة العلاقة بين توظيف نماذج اللغة الضخمة والرشاقة الاستراتيجية؟</w:t>
      </w:r>
    </w:p>
    <w:p w14:paraId="0EF56C2E" w14:textId="77777777" w:rsidR="002715C1" w:rsidRPr="002715C1" w:rsidRDefault="002715C1" w:rsidP="009D7AA8">
      <w:pPr>
        <w:numPr>
          <w:ilvl w:val="0"/>
          <w:numId w:val="1"/>
        </w:numPr>
        <w:spacing w:line="240" w:lineRule="auto"/>
        <w:jc w:val="both"/>
        <w:rPr>
          <w:rFonts w:ascii="Simplified Arabic" w:hAnsi="Simplified Arabic" w:cs="Simplified Arabic"/>
          <w:sz w:val="28"/>
          <w:szCs w:val="28"/>
        </w:rPr>
      </w:pPr>
      <w:r w:rsidRPr="002715C1">
        <w:rPr>
          <w:rFonts w:ascii="Simplified Arabic" w:hAnsi="Simplified Arabic" w:cs="Simplified Arabic"/>
          <w:sz w:val="28"/>
          <w:szCs w:val="28"/>
          <w:rtl/>
        </w:rPr>
        <w:t>هل يؤدي توظيف نماذج اللغة الضخمة دورًا وسيطًا في تفسير العلاقة بين حوكمة المعلومات والرشاقة الاستراتيجية؟</w:t>
      </w:r>
    </w:p>
    <w:p w14:paraId="7843DFDF" w14:textId="77777777" w:rsidR="006D0351" w:rsidRPr="008220F3" w:rsidRDefault="00F96C5F" w:rsidP="008574AD">
      <w:pPr>
        <w:spacing w:line="240" w:lineRule="auto"/>
        <w:jc w:val="both"/>
        <w:rPr>
          <w:rFonts w:ascii="Simplified Arabic" w:hAnsi="Simplified Arabic" w:cs="Simplified Arabic"/>
          <w:b/>
          <w:bCs/>
          <w:sz w:val="32"/>
          <w:szCs w:val="32"/>
        </w:rPr>
      </w:pPr>
      <w:r w:rsidRPr="008220F3">
        <w:rPr>
          <w:rFonts w:ascii="Simplified Arabic" w:hAnsi="Simplified Arabic" w:cs="Simplified Arabic" w:hint="cs"/>
          <w:b/>
          <w:bCs/>
          <w:sz w:val="32"/>
          <w:szCs w:val="32"/>
          <w:rtl/>
        </w:rPr>
        <w:t>(3)</w:t>
      </w:r>
      <w:r w:rsidR="006D0351" w:rsidRPr="008220F3">
        <w:rPr>
          <w:rFonts w:ascii="Simplified Arabic" w:hAnsi="Simplified Arabic" w:cs="Simplified Arabic"/>
          <w:b/>
          <w:bCs/>
          <w:sz w:val="32"/>
          <w:szCs w:val="32"/>
          <w:rtl/>
        </w:rPr>
        <w:t xml:space="preserve"> أهداف الدراسة</w:t>
      </w:r>
    </w:p>
    <w:p w14:paraId="5EF072EF" w14:textId="77777777" w:rsidR="00710D6C" w:rsidRPr="00710D6C" w:rsidRDefault="00710D6C" w:rsidP="00F96C5F">
      <w:pPr>
        <w:spacing w:after="0" w:line="240" w:lineRule="auto"/>
        <w:ind w:firstLine="720"/>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يهدف البحث إلى تطوير واختبار نموذج مفاهيمي يوضح الدور الوسيط لتوظيف نماذج اللغة الضخمة في العلاقة بين حوكمة المعلومات والرشاقة الاستراتيجية في شركات الاستشارة السعودية، بما يفسر الكيفية التي تنتقل بها جودة المعلومات المحكومة إلى قرارات أكثر رشاقة وفاعلية عبر توظيف هذه النماذج في إدارة المعرفة ودعم القرار</w:t>
      </w:r>
      <w:r w:rsidRPr="00710D6C">
        <w:rPr>
          <w:rFonts w:ascii="Simplified Arabic" w:eastAsia="Times New Roman" w:hAnsi="Simplified Arabic" w:cs="Simplified Arabic"/>
          <w:sz w:val="28"/>
          <w:szCs w:val="28"/>
        </w:rPr>
        <w:t>.</w:t>
      </w:r>
    </w:p>
    <w:p w14:paraId="49761DA8" w14:textId="77777777" w:rsidR="00F96C5F" w:rsidRPr="00710D6C" w:rsidRDefault="00710D6C" w:rsidP="00F96C5F">
      <w:pPr>
        <w:spacing w:after="0"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وينبثق عن هذا الهدف الرئيس الأهداف الآتية</w:t>
      </w:r>
      <w:r w:rsidRPr="00710D6C">
        <w:rPr>
          <w:rFonts w:ascii="Simplified Arabic" w:eastAsia="Times New Roman" w:hAnsi="Simplified Arabic" w:cs="Simplified Arabic"/>
          <w:sz w:val="28"/>
          <w:szCs w:val="28"/>
        </w:rPr>
        <w:t>:</w:t>
      </w:r>
    </w:p>
    <w:p w14:paraId="535C7FE9" w14:textId="77777777" w:rsidR="00710D6C" w:rsidRPr="00710D6C" w:rsidRDefault="00710D6C" w:rsidP="009D7AA8">
      <w:pPr>
        <w:numPr>
          <w:ilvl w:val="0"/>
          <w:numId w:val="2"/>
        </w:numPr>
        <w:spacing w:before="100" w:beforeAutospacing="1" w:after="100" w:afterAutospacing="1"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تأصيل الإطار المفاهيمي لمتغيرات الدراسة، وهي: حوكمة المعلومات، والرشاقة الاستراتيجية، وتوظيف نماذج اللغة الضخمة، في ضوء الأدبيات الحديثة</w:t>
      </w:r>
      <w:r w:rsidRPr="00710D6C">
        <w:rPr>
          <w:rFonts w:ascii="Simplified Arabic" w:eastAsia="Times New Roman" w:hAnsi="Simplified Arabic" w:cs="Simplified Arabic"/>
          <w:sz w:val="28"/>
          <w:szCs w:val="28"/>
        </w:rPr>
        <w:t>.</w:t>
      </w:r>
    </w:p>
    <w:p w14:paraId="1EA3EB3B" w14:textId="77777777" w:rsidR="00710D6C" w:rsidRPr="00710D6C" w:rsidRDefault="00710D6C" w:rsidP="009D7AA8">
      <w:pPr>
        <w:numPr>
          <w:ilvl w:val="0"/>
          <w:numId w:val="2"/>
        </w:numPr>
        <w:spacing w:before="100" w:beforeAutospacing="1" w:after="100" w:afterAutospacing="1"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تحليل العلاقات النظرية بين متغيرات الدراسة، من خلال فحص العلاقة بين حوكمة المعلومات والرشاقة الاستراتيجية، وبين حوكمة المعلومات وتوظيف نماذج اللغة الضخمة، وبين توظيف نماذج اللغة الضخمة والرشاقة الاستراتيجية</w:t>
      </w:r>
      <w:r w:rsidRPr="00710D6C">
        <w:rPr>
          <w:rFonts w:ascii="Simplified Arabic" w:eastAsia="Times New Roman" w:hAnsi="Simplified Arabic" w:cs="Simplified Arabic"/>
          <w:sz w:val="28"/>
          <w:szCs w:val="28"/>
        </w:rPr>
        <w:t>.</w:t>
      </w:r>
    </w:p>
    <w:p w14:paraId="11840B41" w14:textId="77777777" w:rsidR="00710D6C" w:rsidRPr="00710D6C" w:rsidRDefault="00710D6C" w:rsidP="009D7AA8">
      <w:pPr>
        <w:numPr>
          <w:ilvl w:val="0"/>
          <w:numId w:val="2"/>
        </w:numPr>
        <w:spacing w:before="100" w:beforeAutospacing="1" w:after="100" w:afterAutospacing="1"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بناء نموذج مفاهيمي يفسر العلاقة بين حوكمة المعلومات والرشاقة الاستراتيجية، مع إدراج توظيف نماذج اللغة الضخمة بوصفه متغيرًا وسيطًا</w:t>
      </w:r>
      <w:r w:rsidRPr="00710D6C">
        <w:rPr>
          <w:rFonts w:ascii="Simplified Arabic" w:eastAsia="Times New Roman" w:hAnsi="Simplified Arabic" w:cs="Simplified Arabic"/>
          <w:sz w:val="28"/>
          <w:szCs w:val="28"/>
        </w:rPr>
        <w:t>.</w:t>
      </w:r>
    </w:p>
    <w:p w14:paraId="11B087C5" w14:textId="77777777" w:rsidR="00710D6C" w:rsidRPr="00710D6C" w:rsidRDefault="00710D6C" w:rsidP="009D7AA8">
      <w:pPr>
        <w:numPr>
          <w:ilvl w:val="0"/>
          <w:numId w:val="2"/>
        </w:numPr>
        <w:spacing w:before="100" w:beforeAutospacing="1" w:after="100" w:afterAutospacing="1"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اختبار النموذج المفاهيمي ميدانيًا في شركات الاستشارة السعودية، والتحقق من دلالة العلاقات المباشرة وغير المباشرة بين متغيرات الدراسة</w:t>
      </w:r>
      <w:r w:rsidRPr="00710D6C">
        <w:rPr>
          <w:rFonts w:ascii="Simplified Arabic" w:eastAsia="Times New Roman" w:hAnsi="Simplified Arabic" w:cs="Simplified Arabic"/>
          <w:sz w:val="28"/>
          <w:szCs w:val="28"/>
        </w:rPr>
        <w:t>.</w:t>
      </w:r>
    </w:p>
    <w:p w14:paraId="3C554B29" w14:textId="77777777" w:rsidR="00F96C5F" w:rsidRDefault="00710D6C" w:rsidP="009D7AA8">
      <w:pPr>
        <w:numPr>
          <w:ilvl w:val="0"/>
          <w:numId w:val="2"/>
        </w:numPr>
        <w:spacing w:before="100" w:beforeAutospacing="1" w:after="100" w:afterAutospacing="1" w:line="240" w:lineRule="auto"/>
        <w:jc w:val="both"/>
        <w:rPr>
          <w:rFonts w:ascii="Simplified Arabic" w:eastAsia="Times New Roman" w:hAnsi="Simplified Arabic" w:cs="Simplified Arabic"/>
          <w:sz w:val="28"/>
          <w:szCs w:val="28"/>
        </w:rPr>
      </w:pPr>
      <w:r w:rsidRPr="00710D6C">
        <w:rPr>
          <w:rFonts w:ascii="Simplified Arabic" w:eastAsia="Times New Roman" w:hAnsi="Simplified Arabic" w:cs="Simplified Arabic"/>
          <w:sz w:val="28"/>
          <w:szCs w:val="28"/>
          <w:rtl/>
        </w:rPr>
        <w:t>تفسير النتائج في ضوء الإطار النظري والدراسات السابقة، واستخلاص ما تحمله من دلالات نظرية وتطبيقية لتطوير ممارسات حوكمة المعلومات وتعزيز توظيف نماذج اللغة الضخمة بما يدعم الرشاقة الاستراتيجية</w:t>
      </w:r>
      <w:r w:rsidRPr="00710D6C">
        <w:rPr>
          <w:rFonts w:ascii="Simplified Arabic" w:eastAsia="Times New Roman" w:hAnsi="Simplified Arabic" w:cs="Simplified Arabic"/>
          <w:sz w:val="28"/>
          <w:szCs w:val="28"/>
        </w:rPr>
        <w:t>.</w:t>
      </w:r>
    </w:p>
    <w:p w14:paraId="2F313F62" w14:textId="77777777" w:rsidR="006D0351" w:rsidRPr="008220F3" w:rsidRDefault="00F96C5F" w:rsidP="00F96C5F">
      <w:pPr>
        <w:spacing w:before="100" w:beforeAutospacing="1" w:after="100" w:afterAutospacing="1" w:line="240" w:lineRule="auto"/>
        <w:jc w:val="both"/>
        <w:rPr>
          <w:rFonts w:ascii="Simplified Arabic" w:eastAsia="Times New Roman" w:hAnsi="Simplified Arabic" w:cs="Simplified Arabic"/>
          <w:sz w:val="32"/>
          <w:szCs w:val="32"/>
        </w:rPr>
      </w:pPr>
      <w:r w:rsidRPr="008220F3">
        <w:rPr>
          <w:rFonts w:ascii="Simplified Arabic" w:eastAsia="Times New Roman" w:hAnsi="Simplified Arabic" w:cs="Simplified Arabic" w:hint="cs"/>
          <w:sz w:val="32"/>
          <w:szCs w:val="32"/>
          <w:rtl/>
        </w:rPr>
        <w:lastRenderedPageBreak/>
        <w:t xml:space="preserve">(4) </w:t>
      </w:r>
      <w:r w:rsidR="006D0351" w:rsidRPr="008220F3">
        <w:rPr>
          <w:rFonts w:ascii="Simplified Arabic" w:hAnsi="Simplified Arabic" w:cs="Simplified Arabic"/>
          <w:b/>
          <w:bCs/>
          <w:sz w:val="32"/>
          <w:szCs w:val="32"/>
          <w:rtl/>
        </w:rPr>
        <w:t>أهمية الدراسة</w:t>
      </w:r>
    </w:p>
    <w:p w14:paraId="0F596420" w14:textId="77777777" w:rsidR="00710D6C" w:rsidRPr="00F96C5F" w:rsidRDefault="00710D6C" w:rsidP="00F96C5F">
      <w:pPr>
        <w:spacing w:after="0" w:line="240" w:lineRule="auto"/>
        <w:ind w:firstLine="720"/>
        <w:jc w:val="both"/>
        <w:rPr>
          <w:rFonts w:ascii="Simplified Arabic" w:eastAsia="Times New Roman" w:hAnsi="Simplified Arabic" w:cs="Simplified Arabic"/>
          <w:sz w:val="28"/>
          <w:szCs w:val="28"/>
        </w:rPr>
      </w:pPr>
      <w:r w:rsidRPr="00F96C5F">
        <w:rPr>
          <w:rFonts w:ascii="Simplified Arabic" w:eastAsia="Times New Roman" w:hAnsi="Simplified Arabic" w:cs="Simplified Arabic"/>
          <w:sz w:val="28"/>
          <w:szCs w:val="28"/>
          <w:rtl/>
        </w:rPr>
        <w:t>تنبع أهمية الدراسة من تناولها العلاقة بين حوكمة المعلومات والرشاقة الاستراتيجية وتوظيف نماذج اللغة الضخمة ضمن إطار تفسيري واحد، بدلًا من تناول هذه المتغيرات في مسارات بحثية منفصلة. وبذلك تسهم الدراسة في سد فجوة معرفية تتعلق بضعف التفسير الذي يوضح كيف تنتقل جودة المعلومات الناتجة عن حوكمة المعلومات إلى تعزيز الرشاقة الاستراتيجية من خلال توظيف نماذج اللغة الضخمة بوصفها آلية معرفية وتقنية وسيطة</w:t>
      </w:r>
      <w:r w:rsidRPr="00F96C5F">
        <w:rPr>
          <w:rFonts w:ascii="Simplified Arabic" w:eastAsia="Times New Roman" w:hAnsi="Simplified Arabic" w:cs="Simplified Arabic"/>
          <w:sz w:val="28"/>
          <w:szCs w:val="28"/>
        </w:rPr>
        <w:t>.</w:t>
      </w:r>
    </w:p>
    <w:p w14:paraId="7362EB13"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b/>
          <w:bCs/>
          <w:sz w:val="28"/>
          <w:szCs w:val="28"/>
          <w:rtl/>
        </w:rPr>
        <w:t xml:space="preserve">وتتجلى الأهمية </w:t>
      </w:r>
      <w:r w:rsidRPr="00710D6C">
        <w:rPr>
          <w:rFonts w:ascii="Simplified Arabic" w:hAnsi="Simplified Arabic" w:cs="Simplified Arabic" w:hint="cs"/>
          <w:b/>
          <w:bCs/>
          <w:sz w:val="28"/>
          <w:szCs w:val="28"/>
          <w:rtl/>
        </w:rPr>
        <w:t>العلمية</w:t>
      </w:r>
      <w:r w:rsidRPr="00710D6C">
        <w:rPr>
          <w:rFonts w:ascii="Simplified Arabic" w:hAnsi="Simplified Arabic" w:cs="Simplified Arabic"/>
          <w:sz w:val="28"/>
          <w:szCs w:val="28"/>
          <w:rtl/>
        </w:rPr>
        <w:t xml:space="preserve"> للدراسة في أنها تقدم نموذجًا مفاهيميًا يدمج بين المتغيرات الثلاثة في بناء تفسيري متكامل، بما يوسع فهم العلاقة بين جودة المعلومات والرشاقة الاستراتيجية، وينقلها من مستوى التأثير المباشر إلى مستوى تفسير الآليات الوسيطة التي تحول المعلومات المنظمة إلى استجابة تنظيمية أكثر سرعة ومرونة. كما تسهم الدراسة في إثراء الأدبيات المرتبطة بحوكمة المعلومات، وإدارة المعرفة، والذكاء الاصطناعي التوليدي في البيئات التنظيمية المعاصرة</w:t>
      </w:r>
      <w:r w:rsidRPr="00710D6C">
        <w:rPr>
          <w:rFonts w:ascii="Simplified Arabic" w:hAnsi="Simplified Arabic" w:cs="Simplified Arabic"/>
          <w:sz w:val="28"/>
          <w:szCs w:val="28"/>
        </w:rPr>
        <w:t>.</w:t>
      </w:r>
    </w:p>
    <w:p w14:paraId="34E134BC"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b/>
          <w:bCs/>
          <w:sz w:val="28"/>
          <w:szCs w:val="28"/>
          <w:u w:val="single"/>
          <w:rtl/>
        </w:rPr>
        <w:t>أما الأهمية التطبيقية</w:t>
      </w:r>
      <w:r w:rsidRPr="00710D6C">
        <w:rPr>
          <w:rFonts w:ascii="Simplified Arabic" w:hAnsi="Simplified Arabic" w:cs="Simplified Arabic"/>
          <w:sz w:val="28"/>
          <w:szCs w:val="28"/>
          <w:rtl/>
        </w:rPr>
        <w:t xml:space="preserve"> فتبرز من خلال اختيار شركات الاستشارة السعودية مجالًا للدراسة، بوصفها من أكثر القطاعات اعتمادًا على المعرفة والتحليل وتوظيف المعلومات في إنتاج القيمة. ومن المتوقع أن تسهم نتائج الدراسة في تقديم مؤشرات عملية تساعد هذه الشركات على تطوير ممارسات حوكمة المعلومات، وتعزيز توظيف نماذج اللغة الضخمة في دعم القرار، بما ينعكس على رفع مستوى الرشاقة الاستراتيجية وتحسين القدرة على الاستجابة للتغيرات البيئية والتنافسية</w:t>
      </w:r>
      <w:r w:rsidRPr="00710D6C">
        <w:rPr>
          <w:rFonts w:ascii="Simplified Arabic" w:hAnsi="Simplified Arabic" w:cs="Simplified Arabic"/>
          <w:sz w:val="28"/>
          <w:szCs w:val="28"/>
        </w:rPr>
        <w:t>.</w:t>
      </w:r>
    </w:p>
    <w:p w14:paraId="3EB0DB73" w14:textId="77777777" w:rsidR="00A316D6" w:rsidRPr="00A316D6"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b/>
          <w:bCs/>
          <w:sz w:val="28"/>
          <w:szCs w:val="28"/>
          <w:u w:val="single"/>
          <w:rtl/>
        </w:rPr>
        <w:t>وتتمثل الأهمية المنهجية</w:t>
      </w:r>
      <w:r w:rsidRPr="00710D6C">
        <w:rPr>
          <w:rFonts w:ascii="Simplified Arabic" w:hAnsi="Simplified Arabic" w:cs="Simplified Arabic"/>
          <w:sz w:val="28"/>
          <w:szCs w:val="28"/>
          <w:rtl/>
        </w:rPr>
        <w:t xml:space="preserve"> في اختبار نموذج يتضمن متغيرًا وسيطًا، بما يتيح تحليل العلاقات المباشرة وغير المباشرة في إطار واحد أكثر تكاملًا. ويسهم هذا التوجه في دعم البحوث التي تتناول آليات التأثير بين المتغيرات التنظيمية، ويفتح المجال أمام دراسات لاحقة تبحث في الأدوار الوسيطة أو المعدلة لتطبيقات الذكاء الاصطناعي في البيئات المؤسسية المختلفة</w:t>
      </w:r>
      <w:r w:rsidR="00A316D6" w:rsidRPr="00A316D6">
        <w:rPr>
          <w:rFonts w:ascii="Simplified Arabic" w:hAnsi="Simplified Arabic" w:cs="Simplified Arabic"/>
          <w:sz w:val="28"/>
          <w:szCs w:val="28"/>
        </w:rPr>
        <w:t>.</w:t>
      </w:r>
    </w:p>
    <w:p w14:paraId="21DFABBD" w14:textId="77777777" w:rsidR="003734F6" w:rsidRPr="008220F3" w:rsidRDefault="00710D6C" w:rsidP="008574AD">
      <w:pPr>
        <w:spacing w:line="240" w:lineRule="auto"/>
        <w:jc w:val="both"/>
        <w:rPr>
          <w:rFonts w:ascii="Simplified Arabic" w:hAnsi="Simplified Arabic" w:cs="Simplified Arabic"/>
          <w:b/>
          <w:bCs/>
          <w:sz w:val="32"/>
          <w:szCs w:val="32"/>
        </w:rPr>
      </w:pPr>
      <w:r w:rsidRPr="008220F3">
        <w:rPr>
          <w:rFonts w:ascii="Simplified Arabic" w:hAnsi="Simplified Arabic" w:cs="Simplified Arabic" w:hint="cs"/>
          <w:b/>
          <w:bCs/>
          <w:sz w:val="32"/>
          <w:szCs w:val="32"/>
          <w:rtl/>
        </w:rPr>
        <w:t xml:space="preserve">(5) </w:t>
      </w:r>
      <w:r w:rsidR="003734F6" w:rsidRPr="008220F3">
        <w:rPr>
          <w:rFonts w:ascii="Simplified Arabic" w:hAnsi="Simplified Arabic" w:cs="Simplified Arabic"/>
          <w:b/>
          <w:bCs/>
          <w:sz w:val="32"/>
          <w:szCs w:val="32"/>
          <w:rtl/>
        </w:rPr>
        <w:t>الإطار النظري للدراسة وتطوير النموذج المفاهيمي المقترح</w:t>
      </w:r>
    </w:p>
    <w:p w14:paraId="1CCC26C9" w14:textId="77777777" w:rsidR="00436C8D" w:rsidRPr="008220F3" w:rsidRDefault="00710D6C" w:rsidP="008574AD">
      <w:pPr>
        <w:spacing w:line="240" w:lineRule="auto"/>
        <w:jc w:val="both"/>
        <w:rPr>
          <w:rFonts w:ascii="Simplified Arabic" w:hAnsi="Simplified Arabic" w:cs="Simplified Arabic"/>
          <w:b/>
          <w:bCs/>
          <w:sz w:val="30"/>
          <w:szCs w:val="30"/>
          <w:lang w:bidi="ar-EG"/>
        </w:rPr>
      </w:pPr>
      <w:r w:rsidRPr="008220F3">
        <w:rPr>
          <w:rFonts w:ascii="Simplified Arabic" w:hAnsi="Simplified Arabic" w:cs="Simplified Arabic" w:hint="cs"/>
          <w:b/>
          <w:bCs/>
          <w:sz w:val="30"/>
          <w:szCs w:val="30"/>
          <w:rtl/>
          <w:lang w:bidi="ar-EG"/>
        </w:rPr>
        <w:t xml:space="preserve">(5-1) </w:t>
      </w:r>
      <w:r w:rsidR="00436C8D" w:rsidRPr="008220F3">
        <w:rPr>
          <w:rFonts w:ascii="Simplified Arabic" w:hAnsi="Simplified Arabic" w:cs="Simplified Arabic"/>
          <w:b/>
          <w:bCs/>
          <w:sz w:val="30"/>
          <w:szCs w:val="30"/>
          <w:rtl/>
          <w:lang w:bidi="ar-EG"/>
        </w:rPr>
        <w:t>الأطر النظرية المفسرة للعلاقة بين متغيرات الدراسة</w:t>
      </w:r>
    </w:p>
    <w:p w14:paraId="5EF8BE8A"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 xml:space="preserve">تستند هذه الدراسة إلى إطار نظري تكاملي يجمع بين </w:t>
      </w:r>
      <w:r w:rsidRPr="00710D6C">
        <w:rPr>
          <w:rFonts w:ascii="Simplified Arabic" w:hAnsi="Simplified Arabic" w:cs="Simplified Arabic"/>
          <w:b/>
          <w:bCs/>
          <w:sz w:val="28"/>
          <w:szCs w:val="28"/>
          <w:rtl/>
        </w:rPr>
        <w:t>نظرية القدرات الديناميكية</w:t>
      </w:r>
      <w:r w:rsidRPr="00710D6C">
        <w:rPr>
          <w:rFonts w:ascii="Simplified Arabic" w:hAnsi="Simplified Arabic" w:cs="Simplified Arabic"/>
          <w:sz w:val="28"/>
          <w:szCs w:val="28"/>
          <w:rtl/>
        </w:rPr>
        <w:t xml:space="preserve"> و</w:t>
      </w:r>
      <w:r w:rsidRPr="00710D6C">
        <w:rPr>
          <w:rFonts w:ascii="Simplified Arabic" w:hAnsi="Simplified Arabic" w:cs="Simplified Arabic"/>
          <w:b/>
          <w:bCs/>
          <w:sz w:val="28"/>
          <w:szCs w:val="28"/>
          <w:rtl/>
        </w:rPr>
        <w:t>نظرية معالجة المعلومات التنظيمية</w:t>
      </w:r>
      <w:r w:rsidRPr="00710D6C">
        <w:rPr>
          <w:rFonts w:ascii="Simplified Arabic" w:hAnsi="Simplified Arabic" w:cs="Simplified Arabic"/>
          <w:sz w:val="28"/>
          <w:szCs w:val="28"/>
          <w:rtl/>
        </w:rPr>
        <w:t xml:space="preserve">، وذلك لأن أيًا منهما بمفردها لا يبدو كافيًا لتفسير البنية المركبة للعلاقة بين حوكمة المعلومات، وتوظيف نماذج اللغة الضخمة، والرشاقة الاستراتيجية. فالأولى تفسر الكيفية </w:t>
      </w:r>
      <w:r w:rsidRPr="00710D6C">
        <w:rPr>
          <w:rFonts w:ascii="Simplified Arabic" w:hAnsi="Simplified Arabic" w:cs="Simplified Arabic"/>
          <w:sz w:val="28"/>
          <w:szCs w:val="28"/>
          <w:rtl/>
        </w:rPr>
        <w:lastRenderedPageBreak/>
        <w:t>التي تعيد بها المنظمة تشكيل مواردها وقدراتها بما يدعم التكيف والاستجابة والمرونة الاستراتيجية، في حين تقدم الثانية تفسيرًا أكثر دقة لكيفية تعامل المنظمة مع التعقيد وعدم التأكد عبر رفع قدرتها على جمع المعلومات ومعالجتها وتوظيفها في القرار</w:t>
      </w:r>
      <w:r w:rsidRPr="00710D6C">
        <w:rPr>
          <w:rFonts w:ascii="Simplified Arabic" w:hAnsi="Simplified Arabic" w:cs="Simplified Arabic"/>
          <w:sz w:val="28"/>
          <w:szCs w:val="28"/>
        </w:rPr>
        <w:t xml:space="preserve"> (Galbraith, 1974; Te</w:t>
      </w:r>
      <w:r w:rsidR="00F96C5F">
        <w:rPr>
          <w:rFonts w:ascii="Simplified Arabic" w:hAnsi="Simplified Arabic" w:cs="Simplified Arabic"/>
          <w:sz w:val="28"/>
          <w:szCs w:val="28"/>
        </w:rPr>
        <w:t>ece et al., 1997; Teece, 2007)</w:t>
      </w:r>
      <w:r w:rsidR="00F96C5F">
        <w:rPr>
          <w:rFonts w:ascii="Simplified Arabic" w:hAnsi="Simplified Arabic" w:cs="Simplified Arabic" w:hint="cs"/>
          <w:sz w:val="28"/>
          <w:szCs w:val="28"/>
          <w:rtl/>
          <w:lang w:bidi="ar-EG"/>
        </w:rPr>
        <w:t xml:space="preserve">. </w:t>
      </w:r>
      <w:r w:rsidRPr="00710D6C">
        <w:rPr>
          <w:rFonts w:ascii="Simplified Arabic" w:hAnsi="Simplified Arabic" w:cs="Simplified Arabic"/>
          <w:sz w:val="28"/>
          <w:szCs w:val="28"/>
          <w:rtl/>
        </w:rPr>
        <w:t>ومن ثم، فإن الجمع بين النظريتين لا يمثل مجرد إضافة تفسيرية، بل يتيح بناء فهم أشمل للمسار الذي تنتقل عبره المعلومات المحكومة إلى معرفة قابلة للتوظيف، ثم إلى استجابة تنظيمية أكثر رشاقة وفاعلية</w:t>
      </w:r>
      <w:r w:rsidRPr="00710D6C">
        <w:rPr>
          <w:rFonts w:ascii="Simplified Arabic" w:hAnsi="Simplified Arabic" w:cs="Simplified Arabic"/>
          <w:sz w:val="28"/>
          <w:szCs w:val="28"/>
        </w:rPr>
        <w:t xml:space="preserve"> (Teece, 2018; Dwivedi et al., 2023; Teubner et al., 2023).</w:t>
      </w:r>
    </w:p>
    <w:p w14:paraId="07B2A5F4" w14:textId="77777777" w:rsidR="00710D6C" w:rsidRPr="00710D6C" w:rsidRDefault="00F96C5F"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(5-1-1) </w:t>
      </w:r>
      <w:r w:rsidR="00710D6C" w:rsidRPr="00710D6C">
        <w:rPr>
          <w:rFonts w:ascii="Simplified Arabic" w:hAnsi="Simplified Arabic" w:cs="Simplified Arabic"/>
          <w:b/>
          <w:bCs/>
          <w:sz w:val="28"/>
          <w:szCs w:val="28"/>
          <w:rtl/>
        </w:rPr>
        <w:t>نظرية القدرات الديناميكية</w:t>
      </w:r>
    </w:p>
    <w:p w14:paraId="6B9531BE"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نشأت نظرية القدرات الديناميكية بوصفها امتدادًا ونقدًا للمدخل القائم على الموارد، الذي ركز على امتلاك الموارد النادرة وغير القابلة للتقليد باعتبارها مصدرًا للميزة التنافسية. غير أن هذا المدخل لم يكن كافيًا لتفسير كيف تحافظ المنظمات على تفوقها في بيئات تتسم بالتغير السريع والتقلب وعدم اليقين، إذ إن مجرد امتلاك الموارد لا يضمن القدرة على استثمارها أو إعادة توظيفها عندما تتبدل الشروط البيئية</w:t>
      </w:r>
      <w:r w:rsidR="00F96C5F">
        <w:rPr>
          <w:rFonts w:ascii="Simplified Arabic" w:hAnsi="Simplified Arabic" w:cs="Simplified Arabic" w:hint="cs"/>
          <w:sz w:val="28"/>
          <w:szCs w:val="28"/>
          <w:rtl/>
        </w:rPr>
        <w:t xml:space="preserve"> </w:t>
      </w:r>
      <w:r w:rsidRPr="00710D6C">
        <w:rPr>
          <w:rFonts w:ascii="Simplified Arabic" w:hAnsi="Simplified Arabic" w:cs="Simplified Arabic"/>
          <w:sz w:val="28"/>
          <w:szCs w:val="28"/>
        </w:rPr>
        <w:t xml:space="preserve">(Teece et al., </w:t>
      </w:r>
      <w:r w:rsidR="00F96C5F">
        <w:rPr>
          <w:rFonts w:ascii="Simplified Arabic" w:hAnsi="Simplified Arabic" w:cs="Simplified Arabic"/>
          <w:sz w:val="28"/>
          <w:szCs w:val="28"/>
        </w:rPr>
        <w:t>1997; Teece, 2007; Teece, 2018)</w:t>
      </w:r>
      <w:r w:rsidR="00F96C5F">
        <w:rPr>
          <w:rFonts w:ascii="Simplified Arabic" w:hAnsi="Simplified Arabic" w:cs="Simplified Arabic" w:hint="cs"/>
          <w:sz w:val="28"/>
          <w:szCs w:val="28"/>
          <w:rtl/>
          <w:lang w:bidi="ar-EG"/>
        </w:rPr>
        <w:t>.</w:t>
      </w:r>
      <w:r w:rsidRPr="00710D6C">
        <w:rPr>
          <w:rFonts w:ascii="Simplified Arabic" w:hAnsi="Simplified Arabic" w:cs="Simplified Arabic"/>
          <w:sz w:val="28"/>
          <w:szCs w:val="28"/>
        </w:rPr>
        <w:t xml:space="preserve"> </w:t>
      </w:r>
      <w:r w:rsidRPr="00710D6C">
        <w:rPr>
          <w:rFonts w:ascii="Simplified Arabic" w:hAnsi="Simplified Arabic" w:cs="Simplified Arabic"/>
          <w:sz w:val="28"/>
          <w:szCs w:val="28"/>
          <w:rtl/>
        </w:rPr>
        <w:t>ومن هنا، جاءت القدرات الديناميكية لتؤكد أن الميزة التنافسية المستدامة لا تنبع من الموارد في ذاتها، بل من قدرة المنظمة على دمج تلك الموارد، وإعادة تشكيلها، وتوجيهها بصورة مستمرة بما يتلاءم مع المتغيرات الداخلية والخارجية</w:t>
      </w:r>
      <w:r w:rsidRPr="00710D6C">
        <w:rPr>
          <w:rFonts w:ascii="Simplified Arabic" w:hAnsi="Simplified Arabic" w:cs="Simplified Arabic"/>
          <w:sz w:val="28"/>
          <w:szCs w:val="28"/>
        </w:rPr>
        <w:t>.</w:t>
      </w:r>
    </w:p>
    <w:p w14:paraId="55A23764"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وفي تطوره المفاهيمي، أوضح</w:t>
      </w:r>
      <w:r w:rsidRPr="00710D6C">
        <w:rPr>
          <w:rFonts w:ascii="Simplified Arabic" w:hAnsi="Simplified Arabic" w:cs="Simplified Arabic"/>
          <w:sz w:val="28"/>
          <w:szCs w:val="28"/>
        </w:rPr>
        <w:t xml:space="preserve"> Teece </w:t>
      </w:r>
      <w:r w:rsidRPr="00710D6C">
        <w:rPr>
          <w:rFonts w:ascii="Simplified Arabic" w:hAnsi="Simplified Arabic" w:cs="Simplified Arabic"/>
          <w:sz w:val="28"/>
          <w:szCs w:val="28"/>
          <w:rtl/>
        </w:rPr>
        <w:t>أن هذه القدرات تتجسد في ثلاث عمليات مترابطة: الاستشعار، والاستحواذ، وإعادة التشكيل. فعملية الاستشعار تمكّن المنظمة من اكتشاف الفرص والتهديدات في البيئة المحيطة، بينما تتيح عملية الاستحواذ تعبئة الموارد نحو الفرص الأكثر وعدًا، في حين تعكس إعادة التشكيل قدرة المنظمة على تعديل بنيتها وعملياتها بما يتلاءم مع التحول البيئي المستمر</w:t>
      </w:r>
      <w:r w:rsidR="00F96C5F">
        <w:rPr>
          <w:rFonts w:ascii="Simplified Arabic" w:hAnsi="Simplified Arabic" w:cs="Simplified Arabic" w:hint="cs"/>
          <w:sz w:val="28"/>
          <w:szCs w:val="28"/>
          <w:rtl/>
        </w:rPr>
        <w:t xml:space="preserve"> </w:t>
      </w:r>
      <w:r w:rsidRPr="00710D6C">
        <w:rPr>
          <w:rFonts w:ascii="Simplified Arabic" w:hAnsi="Simplified Arabic" w:cs="Simplified Arabic"/>
          <w:sz w:val="28"/>
          <w:szCs w:val="28"/>
        </w:rPr>
        <w:t xml:space="preserve">(Teece, 2007; Teece, 2018; Wilke </w:t>
      </w:r>
      <w:r w:rsidR="00F96C5F">
        <w:rPr>
          <w:rFonts w:ascii="Simplified Arabic" w:hAnsi="Simplified Arabic" w:cs="Simplified Arabic"/>
          <w:sz w:val="28"/>
          <w:szCs w:val="28"/>
        </w:rPr>
        <w:t xml:space="preserve">&amp; </w:t>
      </w:r>
      <w:proofErr w:type="spellStart"/>
      <w:r w:rsidR="00F96C5F">
        <w:rPr>
          <w:rFonts w:ascii="Simplified Arabic" w:hAnsi="Simplified Arabic" w:cs="Simplified Arabic"/>
          <w:sz w:val="28"/>
          <w:szCs w:val="28"/>
        </w:rPr>
        <w:t>Kanbach</w:t>
      </w:r>
      <w:proofErr w:type="spellEnd"/>
      <w:r w:rsidR="00F96C5F">
        <w:rPr>
          <w:rFonts w:ascii="Simplified Arabic" w:hAnsi="Simplified Arabic" w:cs="Simplified Arabic"/>
          <w:sz w:val="28"/>
          <w:szCs w:val="28"/>
        </w:rPr>
        <w:t>, 2026)</w:t>
      </w:r>
      <w:r w:rsidR="00F96C5F">
        <w:rPr>
          <w:rFonts w:ascii="Simplified Arabic" w:hAnsi="Simplified Arabic" w:cs="Simplified Arabic" w:hint="cs"/>
          <w:sz w:val="28"/>
          <w:szCs w:val="28"/>
          <w:rtl/>
          <w:lang w:bidi="ar-EG"/>
        </w:rPr>
        <w:t>.</w:t>
      </w:r>
      <w:r w:rsidRPr="00710D6C">
        <w:rPr>
          <w:rFonts w:ascii="Simplified Arabic" w:hAnsi="Simplified Arabic" w:cs="Simplified Arabic"/>
          <w:sz w:val="28"/>
          <w:szCs w:val="28"/>
        </w:rPr>
        <w:t xml:space="preserve"> </w:t>
      </w:r>
      <w:r w:rsidRPr="00710D6C">
        <w:rPr>
          <w:rFonts w:ascii="Simplified Arabic" w:hAnsi="Simplified Arabic" w:cs="Simplified Arabic"/>
          <w:sz w:val="28"/>
          <w:szCs w:val="28"/>
          <w:rtl/>
        </w:rPr>
        <w:t>وقد أصبح هذا التصور من أكثر الأطر استخدامًا في تفسير الرشاقة الاستراتيجية، لأنه ينقل التحليل من مستوى امتلاك القدرة إلى مستوى توظيفها واستثمارها وإعادة بنائها بصورة متجددة</w:t>
      </w:r>
      <w:r w:rsidRPr="00710D6C">
        <w:rPr>
          <w:rFonts w:ascii="Simplified Arabic" w:hAnsi="Simplified Arabic" w:cs="Simplified Arabic"/>
          <w:sz w:val="28"/>
          <w:szCs w:val="28"/>
        </w:rPr>
        <w:t>.</w:t>
      </w:r>
    </w:p>
    <w:p w14:paraId="4B33CA6C" w14:textId="77777777" w:rsidR="00710D6C" w:rsidRPr="00710D6C" w:rsidRDefault="00710D6C" w:rsidP="00F96C5F">
      <w:pPr>
        <w:spacing w:after="0" w:line="240" w:lineRule="auto"/>
        <w:ind w:firstLine="720"/>
        <w:jc w:val="both"/>
        <w:rPr>
          <w:rFonts w:ascii="Simplified Arabic" w:hAnsi="Simplified Arabic" w:cs="Simplified Arabic"/>
          <w:sz w:val="28"/>
          <w:szCs w:val="28"/>
          <w:rtl/>
          <w:lang w:bidi="ar-EG"/>
        </w:rPr>
      </w:pPr>
      <w:r w:rsidRPr="00710D6C">
        <w:rPr>
          <w:rFonts w:ascii="Simplified Arabic" w:hAnsi="Simplified Arabic" w:cs="Simplified Arabic"/>
          <w:sz w:val="28"/>
          <w:szCs w:val="28"/>
          <w:rtl/>
        </w:rPr>
        <w:t xml:space="preserve">وفي ضوء هذه النظرية، يمكن النظر إلى الرشاقة الاستراتيجية بوصفها </w:t>
      </w:r>
      <w:r w:rsidRPr="00710D6C">
        <w:rPr>
          <w:rFonts w:ascii="Simplified Arabic" w:hAnsi="Simplified Arabic" w:cs="Simplified Arabic"/>
          <w:b/>
          <w:bCs/>
          <w:sz w:val="28"/>
          <w:szCs w:val="28"/>
          <w:rtl/>
        </w:rPr>
        <w:t>تجسيدًا تطبيقيًا</w:t>
      </w:r>
      <w:r w:rsidRPr="00710D6C">
        <w:rPr>
          <w:rFonts w:ascii="Simplified Arabic" w:hAnsi="Simplified Arabic" w:cs="Simplified Arabic"/>
          <w:sz w:val="28"/>
          <w:szCs w:val="28"/>
          <w:rtl/>
        </w:rPr>
        <w:t xml:space="preserve"> للقدرات الديناميكية داخل المنظمات؛ فهي لا تعني مجرد السرعة في الاستجابة، بل القدرة على قراءة البيئة، وإعادة ترتيب الموارد، واتخاذ قرارات مرنة تحافظ على القدرة التنافسية في ظروف عدم الاستقرار</w:t>
      </w:r>
      <w:r w:rsidR="00F96C5F">
        <w:rPr>
          <w:rFonts w:ascii="Simplified Arabic" w:hAnsi="Simplified Arabic" w:cs="Simplified Arabic" w:hint="cs"/>
          <w:sz w:val="28"/>
          <w:szCs w:val="28"/>
          <w:rtl/>
        </w:rPr>
        <w:t xml:space="preserve"> </w:t>
      </w:r>
      <w:r w:rsidRPr="00710D6C">
        <w:rPr>
          <w:rFonts w:ascii="Simplified Arabic" w:hAnsi="Simplified Arabic" w:cs="Simplified Arabic"/>
          <w:sz w:val="28"/>
          <w:szCs w:val="28"/>
        </w:rPr>
        <w:lastRenderedPageBreak/>
        <w:t>(Teece, 2007; Teece, 2018; Mueller-</w:t>
      </w:r>
      <w:proofErr w:type="spellStart"/>
      <w:r w:rsidRPr="00710D6C">
        <w:rPr>
          <w:rFonts w:ascii="Simplified Arabic" w:hAnsi="Simplified Arabic" w:cs="Simplified Arabic"/>
          <w:sz w:val="28"/>
          <w:szCs w:val="28"/>
        </w:rPr>
        <w:t>Saegebrecht</w:t>
      </w:r>
      <w:proofErr w:type="spellEnd"/>
      <w:r w:rsidRPr="00710D6C">
        <w:rPr>
          <w:rFonts w:ascii="Simplified Arabic" w:hAnsi="Simplified Arabic" w:cs="Simplified Arabic"/>
          <w:sz w:val="28"/>
          <w:szCs w:val="28"/>
        </w:rPr>
        <w:t xml:space="preserve"> &amp; </w:t>
      </w:r>
      <w:r w:rsidR="00F96C5F">
        <w:rPr>
          <w:rFonts w:ascii="Simplified Arabic" w:hAnsi="Simplified Arabic" w:cs="Simplified Arabic"/>
          <w:sz w:val="28"/>
          <w:szCs w:val="28"/>
        </w:rPr>
        <w:t>Walter, 2025)</w:t>
      </w:r>
      <w:r w:rsidR="00F96C5F">
        <w:rPr>
          <w:rFonts w:ascii="Simplified Arabic" w:hAnsi="Simplified Arabic" w:cs="Simplified Arabic" w:hint="cs"/>
          <w:sz w:val="28"/>
          <w:szCs w:val="28"/>
          <w:rtl/>
          <w:lang w:bidi="ar-EG"/>
        </w:rPr>
        <w:t>.</w:t>
      </w:r>
      <w:r w:rsidRPr="00710D6C">
        <w:rPr>
          <w:rFonts w:ascii="Simplified Arabic" w:hAnsi="Simplified Arabic" w:cs="Simplified Arabic"/>
          <w:sz w:val="28"/>
          <w:szCs w:val="28"/>
        </w:rPr>
        <w:t xml:space="preserve"> </w:t>
      </w:r>
      <w:r w:rsidRPr="00710D6C">
        <w:rPr>
          <w:rFonts w:ascii="Simplified Arabic" w:hAnsi="Simplified Arabic" w:cs="Simplified Arabic"/>
          <w:sz w:val="28"/>
          <w:szCs w:val="28"/>
          <w:rtl/>
        </w:rPr>
        <w:t>غير أن هذه الرشاقة لا يمكن أن تتحقق بكفاءة في غياب معلومات موثوقة ودقيقة وحديثة. ومن هنا، تبدو حوكمة المعلومات عاملًا تأسيسيًا في بناء هذه القدرات، لأنها تضمن جودة الموارد المعلوماتية التي تقوم عليها عمليات الاستشعار والتحليل واتخاذ القرار. كما أن توظيف نماذج اللغة الضخمة يمثل امتدادًا حديثًا لهذه القدرة، إذ يرفع كفاءة تحليل المعرفة، ويعيد تنظيمها، ويجعلها أكثر قابلية للتفسير والاستثمار في السياق التنظيمي</w:t>
      </w:r>
      <w:r w:rsidRPr="00710D6C">
        <w:rPr>
          <w:rFonts w:ascii="Simplified Arabic" w:hAnsi="Simplified Arabic" w:cs="Simplified Arabic"/>
          <w:sz w:val="28"/>
          <w:szCs w:val="28"/>
        </w:rPr>
        <w:t xml:space="preserve"> (Aghaei et al., 2025; Burton et a</w:t>
      </w:r>
      <w:r w:rsidR="00F96C5F">
        <w:rPr>
          <w:rFonts w:ascii="Simplified Arabic" w:hAnsi="Simplified Arabic" w:cs="Simplified Arabic"/>
          <w:sz w:val="28"/>
          <w:szCs w:val="28"/>
        </w:rPr>
        <w:t>l., 2024; Handler et al., 2024)</w:t>
      </w:r>
      <w:r w:rsidR="00F96C5F">
        <w:rPr>
          <w:rFonts w:ascii="Simplified Arabic" w:hAnsi="Simplified Arabic" w:cs="Simplified Arabic" w:hint="cs"/>
          <w:sz w:val="28"/>
          <w:szCs w:val="28"/>
          <w:rtl/>
          <w:lang w:bidi="ar-EG"/>
        </w:rPr>
        <w:t>.</w:t>
      </w:r>
    </w:p>
    <w:p w14:paraId="1CE97BEF" w14:textId="77777777" w:rsidR="00710D6C" w:rsidRPr="00710D6C" w:rsidRDefault="00F96C5F"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(5-1-2) </w:t>
      </w:r>
      <w:r w:rsidR="00710D6C" w:rsidRPr="00710D6C">
        <w:rPr>
          <w:rFonts w:ascii="Simplified Arabic" w:hAnsi="Simplified Arabic" w:cs="Simplified Arabic"/>
          <w:b/>
          <w:bCs/>
          <w:sz w:val="28"/>
          <w:szCs w:val="28"/>
          <w:rtl/>
        </w:rPr>
        <w:t>نظرية معالجة المعلومات التنظيمية</w:t>
      </w:r>
    </w:p>
    <w:p w14:paraId="44444C7A"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في المقابل، تقدم نظرية معالجة المعلومات التنظيمية تفسيرًا مكملًا وأكثر اتصالًا بالبعد المعلوماتي المباشر للعلاقات محل الدراسة. فقد أسس</w:t>
      </w:r>
      <w:r w:rsidRPr="00710D6C">
        <w:rPr>
          <w:rFonts w:ascii="Simplified Arabic" w:hAnsi="Simplified Arabic" w:cs="Simplified Arabic"/>
          <w:sz w:val="28"/>
          <w:szCs w:val="28"/>
        </w:rPr>
        <w:t xml:space="preserve"> Galbraith </w:t>
      </w:r>
      <w:r w:rsidRPr="00710D6C">
        <w:rPr>
          <w:rFonts w:ascii="Simplified Arabic" w:hAnsi="Simplified Arabic" w:cs="Simplified Arabic"/>
          <w:sz w:val="28"/>
          <w:szCs w:val="28"/>
          <w:rtl/>
        </w:rPr>
        <w:t>لهذه النظرية انطلاقًا من افتراض رئيس مؤداه أن المنظمة تمثل نظامًا لمعالجة المعلومات، وأن تصميمها التنظيمي الفعال يعتمد على قدرتها على التعامل مع مستويات عدم التأكد التي تفرضها البيئة</w:t>
      </w:r>
      <w:r w:rsidR="00F96C5F">
        <w:rPr>
          <w:rFonts w:ascii="Simplified Arabic" w:hAnsi="Simplified Arabic" w:cs="Simplified Arabic" w:hint="cs"/>
          <w:sz w:val="28"/>
          <w:szCs w:val="28"/>
          <w:rtl/>
        </w:rPr>
        <w:t xml:space="preserve"> </w:t>
      </w:r>
      <w:r w:rsidR="00F96C5F">
        <w:rPr>
          <w:rFonts w:ascii="Simplified Arabic" w:hAnsi="Simplified Arabic" w:cs="Simplified Arabic"/>
          <w:sz w:val="28"/>
          <w:szCs w:val="28"/>
        </w:rPr>
        <w:t>(Galbraith, 1974)</w:t>
      </w:r>
      <w:r w:rsidR="00F96C5F">
        <w:rPr>
          <w:rFonts w:ascii="Simplified Arabic" w:hAnsi="Simplified Arabic" w:cs="Simplified Arabic" w:hint="cs"/>
          <w:sz w:val="28"/>
          <w:szCs w:val="28"/>
          <w:rtl/>
          <w:lang w:bidi="ar-EG"/>
        </w:rPr>
        <w:t>.</w:t>
      </w:r>
      <w:r w:rsidRPr="00710D6C">
        <w:rPr>
          <w:rFonts w:ascii="Simplified Arabic" w:hAnsi="Simplified Arabic" w:cs="Simplified Arabic"/>
          <w:sz w:val="28"/>
          <w:szCs w:val="28"/>
        </w:rPr>
        <w:t xml:space="preserve"> </w:t>
      </w:r>
      <w:r w:rsidRPr="00710D6C">
        <w:rPr>
          <w:rFonts w:ascii="Simplified Arabic" w:hAnsi="Simplified Arabic" w:cs="Simplified Arabic"/>
          <w:sz w:val="28"/>
          <w:szCs w:val="28"/>
          <w:rtl/>
        </w:rPr>
        <w:t>وكلما ارتفعت درجة التعقيد البيئي، ازدادت الحاجة إلى معلومات أكثر دقة، وإلى آليات أكثر كفاءة في جمعها وتحليلها وتبادلها، لأن القرار في البيئات المعقدة لا يستند إلى الوفرة المعلوماتية فحسب، بل إلى القدرة على تحويل تلك الوفرة إلى معرفة قابلة للاستخدام</w:t>
      </w:r>
      <w:r w:rsidRPr="00710D6C">
        <w:rPr>
          <w:rFonts w:ascii="Simplified Arabic" w:hAnsi="Simplified Arabic" w:cs="Simplified Arabic"/>
          <w:sz w:val="28"/>
          <w:szCs w:val="28"/>
        </w:rPr>
        <w:t>.</w:t>
      </w:r>
    </w:p>
    <w:p w14:paraId="0B36B732"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وتفترض النظرية أن أمام المنظمة مسارين رئيسين لمواجهة عدم التأكد: الأول هو تقليل الحاجة إلى المعلومات عبر تبسيط المهام وتقليل الاعتماد المتبادل بين الوحدات، أما الثاني فهو زيادة القدرة على معالجة المعلومات من خلال تطوير نظم الاتصال، وتحسين بنية المعلومات، وتبني أدوات وتقنيات ترفع من كفاءة المعالجة والتحليل</w:t>
      </w:r>
      <w:r w:rsidRPr="00710D6C">
        <w:rPr>
          <w:rFonts w:ascii="Simplified Arabic" w:hAnsi="Simplified Arabic" w:cs="Simplified Arabic"/>
          <w:sz w:val="28"/>
          <w:szCs w:val="28"/>
        </w:rPr>
        <w:t xml:space="preserve"> (Galbraith, 1974; Menzies et al</w:t>
      </w:r>
      <w:r w:rsidR="00F96C5F">
        <w:rPr>
          <w:rFonts w:ascii="Simplified Arabic" w:hAnsi="Simplified Arabic" w:cs="Simplified Arabic"/>
          <w:sz w:val="28"/>
          <w:szCs w:val="28"/>
        </w:rPr>
        <w:t>., 2024; Teubner et al., 2023)</w:t>
      </w:r>
      <w:r w:rsidR="00F96C5F">
        <w:rPr>
          <w:rFonts w:ascii="Simplified Arabic" w:hAnsi="Simplified Arabic" w:cs="Simplified Arabic" w:hint="cs"/>
          <w:sz w:val="28"/>
          <w:szCs w:val="28"/>
          <w:rtl/>
          <w:lang w:bidi="ar-EG"/>
        </w:rPr>
        <w:t xml:space="preserve">. </w:t>
      </w:r>
      <w:r w:rsidRPr="00710D6C">
        <w:rPr>
          <w:rFonts w:ascii="Simplified Arabic" w:hAnsi="Simplified Arabic" w:cs="Simplified Arabic"/>
          <w:sz w:val="28"/>
          <w:szCs w:val="28"/>
          <w:rtl/>
        </w:rPr>
        <w:t>ويبدو المسار الثاني أكثر ملاءمة للمنظمات المعاصرة التي تعمل في بيئات رقمية كثيفة المعرفة، حيث لم يعد الحل في تقليل التعقيد فقط، بل في تطوير القدرة على التعامل معه بكفاءة أعلى</w:t>
      </w:r>
      <w:r w:rsidRPr="00710D6C">
        <w:rPr>
          <w:rFonts w:ascii="Simplified Arabic" w:hAnsi="Simplified Arabic" w:cs="Simplified Arabic"/>
          <w:sz w:val="28"/>
          <w:szCs w:val="28"/>
        </w:rPr>
        <w:t>.</w:t>
      </w:r>
    </w:p>
    <w:p w14:paraId="4D1EA898"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 xml:space="preserve">ومن هذا المنظور، يمكن تفسير </w:t>
      </w:r>
      <w:r w:rsidRPr="00710D6C">
        <w:rPr>
          <w:rFonts w:ascii="Simplified Arabic" w:hAnsi="Simplified Arabic" w:cs="Simplified Arabic"/>
          <w:b/>
          <w:bCs/>
          <w:sz w:val="28"/>
          <w:szCs w:val="28"/>
          <w:rtl/>
        </w:rPr>
        <w:t>حوكمة المعلومات</w:t>
      </w:r>
      <w:r w:rsidRPr="00710D6C">
        <w:rPr>
          <w:rFonts w:ascii="Simplified Arabic" w:hAnsi="Simplified Arabic" w:cs="Simplified Arabic"/>
          <w:sz w:val="28"/>
          <w:szCs w:val="28"/>
          <w:rtl/>
        </w:rPr>
        <w:t xml:space="preserve"> باعتبارها آلية تنظيمية تسهم في رفع جودة المدخلات المعلوماتية عبر تحديد المسؤوليات، وضبط الصلاحيات، وتعزيز الاتساق والموثوقية، وتقليل التباين والضوضاء المعلوماتية. وفي الوقت نفسه، يمكن فهم </w:t>
      </w:r>
      <w:r w:rsidRPr="00710D6C">
        <w:rPr>
          <w:rFonts w:ascii="Simplified Arabic" w:hAnsi="Simplified Arabic" w:cs="Simplified Arabic"/>
          <w:b/>
          <w:bCs/>
          <w:sz w:val="28"/>
          <w:szCs w:val="28"/>
          <w:rtl/>
        </w:rPr>
        <w:t>توظيف نماذج اللغة الضخمة</w:t>
      </w:r>
      <w:r w:rsidRPr="00710D6C">
        <w:rPr>
          <w:rFonts w:ascii="Simplified Arabic" w:hAnsi="Simplified Arabic" w:cs="Simplified Arabic"/>
          <w:sz w:val="28"/>
          <w:szCs w:val="28"/>
          <w:rtl/>
        </w:rPr>
        <w:t xml:space="preserve"> بوصفه امتدادًا متقدمًا لقدرة المنظمة على معالجة المعلومات؛ إذ تسمح هذه النماذج بتحليل </w:t>
      </w:r>
      <w:r w:rsidRPr="00710D6C">
        <w:rPr>
          <w:rFonts w:ascii="Simplified Arabic" w:hAnsi="Simplified Arabic" w:cs="Simplified Arabic"/>
          <w:sz w:val="28"/>
          <w:szCs w:val="28"/>
          <w:rtl/>
        </w:rPr>
        <w:lastRenderedPageBreak/>
        <w:t>كميات كبيرة من البيانات غير المهيكلة، وتلخيصها، وتصنيفها، واستخلاص الأنماط والعلاقات الكامنة فيها، بما يخفف العبء المعرفي عن متخذي القرار ويرفع مستوى جاهزية المنظمة للاستجابة</w:t>
      </w:r>
      <w:r w:rsidRPr="00710D6C">
        <w:rPr>
          <w:rFonts w:ascii="Simplified Arabic" w:hAnsi="Simplified Arabic" w:cs="Simplified Arabic"/>
          <w:sz w:val="28"/>
          <w:szCs w:val="28"/>
        </w:rPr>
        <w:t xml:space="preserve"> (Dwivedi et al., 2023; Teubner et al., 2</w:t>
      </w:r>
      <w:r w:rsidR="00F96C5F">
        <w:rPr>
          <w:rFonts w:ascii="Simplified Arabic" w:hAnsi="Simplified Arabic" w:cs="Simplified Arabic"/>
          <w:sz w:val="28"/>
          <w:szCs w:val="28"/>
        </w:rPr>
        <w:t>023; Caballero &amp; Jenkins, 2025)</w:t>
      </w:r>
      <w:r w:rsidR="00F96C5F">
        <w:rPr>
          <w:rFonts w:ascii="Simplified Arabic" w:hAnsi="Simplified Arabic" w:cs="Simplified Arabic" w:hint="cs"/>
          <w:sz w:val="28"/>
          <w:szCs w:val="28"/>
          <w:rtl/>
          <w:lang w:bidi="ar-EG"/>
        </w:rPr>
        <w:t>.</w:t>
      </w:r>
      <w:r w:rsidRPr="00710D6C">
        <w:rPr>
          <w:rFonts w:ascii="Simplified Arabic" w:hAnsi="Simplified Arabic" w:cs="Simplified Arabic"/>
          <w:sz w:val="28"/>
          <w:szCs w:val="28"/>
        </w:rPr>
        <w:t xml:space="preserve"> </w:t>
      </w:r>
      <w:r w:rsidRPr="00710D6C">
        <w:rPr>
          <w:rFonts w:ascii="Simplified Arabic" w:hAnsi="Simplified Arabic" w:cs="Simplified Arabic"/>
          <w:sz w:val="28"/>
          <w:szCs w:val="28"/>
          <w:rtl/>
        </w:rPr>
        <w:t>وتزداد أهمية هذا التفسير في شركات الاستشارة، لأنها تتعامل مع تدفقات كثيفة من المعلومات النصية والتقارير والملفات، وتحتاج في الوقت نفسه إلى قرارات سريعة ودقيقة، وهو ما يجعل جودة المعلومات وقدرة معالجتها عنصرين متكاملين لا يمكن فصلهما في تفسير الأداء</w:t>
      </w:r>
      <w:r w:rsidRPr="00710D6C">
        <w:rPr>
          <w:rFonts w:ascii="Simplified Arabic" w:hAnsi="Simplified Arabic" w:cs="Simplified Arabic"/>
          <w:sz w:val="28"/>
          <w:szCs w:val="28"/>
        </w:rPr>
        <w:t>.</w:t>
      </w:r>
    </w:p>
    <w:p w14:paraId="2C36A83C" w14:textId="77777777" w:rsidR="00710D6C" w:rsidRPr="00710D6C"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EG"/>
        </w:rPr>
        <w:t xml:space="preserve">(5-1-3) </w:t>
      </w:r>
      <w:r w:rsidR="00710D6C" w:rsidRPr="00710D6C">
        <w:rPr>
          <w:rFonts w:ascii="Simplified Arabic" w:hAnsi="Simplified Arabic" w:cs="Simplified Arabic"/>
          <w:b/>
          <w:bCs/>
          <w:sz w:val="28"/>
          <w:szCs w:val="28"/>
          <w:rtl/>
        </w:rPr>
        <w:t>التكامل النظري للنموذج</w:t>
      </w:r>
    </w:p>
    <w:p w14:paraId="47E0D78B" w14:textId="77777777" w:rsidR="00710D6C" w:rsidRPr="00710D6C" w:rsidRDefault="00710D6C" w:rsidP="00F96C5F">
      <w:pPr>
        <w:spacing w:after="0" w:line="240" w:lineRule="auto"/>
        <w:ind w:firstLine="720"/>
        <w:jc w:val="both"/>
        <w:rPr>
          <w:rFonts w:ascii="Simplified Arabic" w:hAnsi="Simplified Arabic" w:cs="Simplified Arabic"/>
          <w:sz w:val="28"/>
          <w:szCs w:val="28"/>
        </w:rPr>
      </w:pPr>
      <w:r w:rsidRPr="00710D6C">
        <w:rPr>
          <w:rFonts w:ascii="Simplified Arabic" w:hAnsi="Simplified Arabic" w:cs="Simplified Arabic"/>
          <w:sz w:val="28"/>
          <w:szCs w:val="28"/>
          <w:rtl/>
        </w:rPr>
        <w:t>يتضح من العرض السابق أن النظريتين لا تعملان بوصفهما تفسيرين متنافسين، بل يفسر كل منهما جانبًا مختلفًا من البنية التي يقوم عليها النموذج المفاهيمي المقترح. فنظرية القدرات الديناميكية تفسر الكيفية التي تتحول بها الموارد والقدرات التنظيمية إلى رشاقة استراتيجية عبر عمليات الاستشعار والاستحواذ وإعادة التشكيل، بينما تفسر نظرية معالجة المعلومات التنظيمية الكيفية التي تُرفع بها قدرة المنظمة على التعامل مع المعلومات في بيئات تتسم بالتعقيد وعدم التأكد</w:t>
      </w:r>
      <w:r w:rsidRPr="00710D6C">
        <w:rPr>
          <w:rFonts w:ascii="Simplified Arabic" w:hAnsi="Simplified Arabic" w:cs="Simplified Arabic"/>
          <w:sz w:val="28"/>
          <w:szCs w:val="28"/>
        </w:rPr>
        <w:t xml:space="preserve"> (Galbraith, 1974; Te</w:t>
      </w:r>
      <w:r w:rsidR="00F96C5F">
        <w:rPr>
          <w:rFonts w:ascii="Simplified Arabic" w:hAnsi="Simplified Arabic" w:cs="Simplified Arabic"/>
          <w:sz w:val="28"/>
          <w:szCs w:val="28"/>
        </w:rPr>
        <w:t>ece et al., 1997; Teece, 2007)</w:t>
      </w:r>
      <w:r w:rsidR="00F96C5F">
        <w:rPr>
          <w:rFonts w:ascii="Simplified Arabic" w:hAnsi="Simplified Arabic" w:cs="Simplified Arabic" w:hint="cs"/>
          <w:sz w:val="28"/>
          <w:szCs w:val="28"/>
          <w:rtl/>
          <w:lang w:bidi="ar-EG"/>
        </w:rPr>
        <w:t xml:space="preserve">. </w:t>
      </w:r>
      <w:r w:rsidRPr="00710D6C">
        <w:rPr>
          <w:rFonts w:ascii="Simplified Arabic" w:hAnsi="Simplified Arabic" w:cs="Simplified Arabic"/>
          <w:sz w:val="28"/>
          <w:szCs w:val="28"/>
          <w:rtl/>
        </w:rPr>
        <w:t>ومن هنا، يصبح تكامل النظريتين ضروريًا لفهم العلاقة بين حوكمة المعلومات وتوظيف نماذج اللغة الضخمة والرشاقة الاستراتيجية بوصفها سلسلة مترابطة من المدخلات والآليات والمخرجات</w:t>
      </w:r>
      <w:r w:rsidRPr="00710D6C">
        <w:rPr>
          <w:rFonts w:ascii="Simplified Arabic" w:hAnsi="Simplified Arabic" w:cs="Simplified Arabic"/>
          <w:sz w:val="28"/>
          <w:szCs w:val="28"/>
        </w:rPr>
        <w:t>.</w:t>
      </w:r>
    </w:p>
    <w:p w14:paraId="17B9CFDB" w14:textId="77777777" w:rsidR="00710D6C" w:rsidRDefault="00710D6C" w:rsidP="00F96C5F">
      <w:pPr>
        <w:spacing w:after="0" w:line="240" w:lineRule="auto"/>
        <w:ind w:firstLine="720"/>
        <w:jc w:val="both"/>
        <w:rPr>
          <w:rFonts w:ascii="Simplified Arabic" w:hAnsi="Simplified Arabic" w:cs="Simplified Arabic"/>
          <w:sz w:val="28"/>
          <w:szCs w:val="28"/>
          <w:rtl/>
        </w:rPr>
      </w:pPr>
      <w:r w:rsidRPr="00710D6C">
        <w:rPr>
          <w:rFonts w:ascii="Simplified Arabic" w:hAnsi="Simplified Arabic" w:cs="Simplified Arabic"/>
          <w:sz w:val="28"/>
          <w:szCs w:val="28"/>
          <w:rtl/>
        </w:rPr>
        <w:t xml:space="preserve">وبناءً على ذلك، يمكن تفسير النموذج المفاهيمي للدراسة على أساس أن </w:t>
      </w:r>
      <w:r w:rsidRPr="00710D6C">
        <w:rPr>
          <w:rFonts w:ascii="Simplified Arabic" w:hAnsi="Simplified Arabic" w:cs="Simplified Arabic"/>
          <w:b/>
          <w:bCs/>
          <w:sz w:val="28"/>
          <w:szCs w:val="28"/>
          <w:rtl/>
        </w:rPr>
        <w:t>حوكمة المعلومات</w:t>
      </w:r>
      <w:r w:rsidRPr="00710D6C">
        <w:rPr>
          <w:rFonts w:ascii="Simplified Arabic" w:hAnsi="Simplified Arabic" w:cs="Simplified Arabic"/>
          <w:sz w:val="28"/>
          <w:szCs w:val="28"/>
          <w:rtl/>
        </w:rPr>
        <w:t xml:space="preserve"> تمثل المصدر الذي يعزز جودة الموارد المعلوماتية داخل المنظمة، في حين يمثل </w:t>
      </w:r>
      <w:r w:rsidRPr="00710D6C">
        <w:rPr>
          <w:rFonts w:ascii="Simplified Arabic" w:hAnsi="Simplified Arabic" w:cs="Simplified Arabic"/>
          <w:b/>
          <w:bCs/>
          <w:sz w:val="28"/>
          <w:szCs w:val="28"/>
          <w:rtl/>
        </w:rPr>
        <w:t>توظيف نماذج اللغة الضخمة</w:t>
      </w:r>
      <w:r w:rsidRPr="00710D6C">
        <w:rPr>
          <w:rFonts w:ascii="Simplified Arabic" w:hAnsi="Simplified Arabic" w:cs="Simplified Arabic"/>
          <w:sz w:val="28"/>
          <w:szCs w:val="28"/>
          <w:rtl/>
        </w:rPr>
        <w:t xml:space="preserve"> القدرة التقنية–المعرفية التي تحول هذه الموارد إلى معرفة قابلة للتحليل والتفسير والاستثمار في القرار. أما </w:t>
      </w:r>
      <w:r w:rsidRPr="00710D6C">
        <w:rPr>
          <w:rFonts w:ascii="Simplified Arabic" w:hAnsi="Simplified Arabic" w:cs="Simplified Arabic"/>
          <w:b/>
          <w:bCs/>
          <w:sz w:val="28"/>
          <w:szCs w:val="28"/>
          <w:rtl/>
        </w:rPr>
        <w:t>الرشاقة الاستراتيجية</w:t>
      </w:r>
      <w:r w:rsidRPr="00710D6C">
        <w:rPr>
          <w:rFonts w:ascii="Simplified Arabic" w:hAnsi="Simplified Arabic" w:cs="Simplified Arabic"/>
          <w:sz w:val="28"/>
          <w:szCs w:val="28"/>
          <w:rtl/>
        </w:rPr>
        <w:t xml:space="preserve"> فهي المخرج التنظيمي المتوقع لهذا التكامل، لأنها تعكس قدرة المنظمة على الاستجابة السريعة والمرنة والمدروسة للمتغيرات البيئية</w:t>
      </w:r>
      <w:r w:rsidRPr="00710D6C">
        <w:rPr>
          <w:rFonts w:ascii="Simplified Arabic" w:hAnsi="Simplified Arabic" w:cs="Simplified Arabic"/>
          <w:sz w:val="28"/>
          <w:szCs w:val="28"/>
        </w:rPr>
        <w:t xml:space="preserve"> (Aghaei et al., 2025; Burton et al</w:t>
      </w:r>
      <w:r w:rsidR="00F96C5F">
        <w:rPr>
          <w:rFonts w:ascii="Simplified Arabic" w:hAnsi="Simplified Arabic" w:cs="Simplified Arabic"/>
          <w:sz w:val="28"/>
          <w:szCs w:val="28"/>
        </w:rPr>
        <w:t>., 2024; Teubner et al., 2023)</w:t>
      </w:r>
      <w:r w:rsidR="00F96C5F">
        <w:rPr>
          <w:rFonts w:ascii="Simplified Arabic" w:hAnsi="Simplified Arabic" w:cs="Simplified Arabic" w:hint="cs"/>
          <w:sz w:val="28"/>
          <w:szCs w:val="28"/>
          <w:rtl/>
          <w:lang w:bidi="ar-EG"/>
        </w:rPr>
        <w:t xml:space="preserve">. </w:t>
      </w:r>
      <w:r w:rsidRPr="00710D6C">
        <w:rPr>
          <w:rFonts w:ascii="Simplified Arabic" w:hAnsi="Simplified Arabic" w:cs="Simplified Arabic"/>
          <w:sz w:val="28"/>
          <w:szCs w:val="28"/>
          <w:rtl/>
        </w:rPr>
        <w:t>ومن ثم، فإن العلاقة بين المتغيرات الثلاثة لا تقوم على انتقال مباشر وبسيط للأثر، بل على مسار تفسيري مركب تتكامل فيه جودة المعلومات مع القدرة على معالجتها وإعادة توظيفها في سياق القرار، وهو ما يوفر الأساس النظري اللازم لصياغة النموذج المفاهيمي واستخلاص فروضه البحثية</w:t>
      </w:r>
      <w:r w:rsidRPr="00710D6C">
        <w:rPr>
          <w:rFonts w:ascii="Simplified Arabic" w:hAnsi="Simplified Arabic" w:cs="Simplified Arabic"/>
          <w:sz w:val="28"/>
          <w:szCs w:val="28"/>
        </w:rPr>
        <w:t xml:space="preserve"> (Galbraith, 1974; Teece, 2018; Dwivedi et al., 2023; Caballero &amp; Jenkins, 2025).</w:t>
      </w:r>
    </w:p>
    <w:p w14:paraId="4E67CEAA" w14:textId="77777777" w:rsidR="00F96C5F" w:rsidRPr="00710D6C" w:rsidRDefault="00F96C5F" w:rsidP="00F96C5F">
      <w:pPr>
        <w:spacing w:after="0" w:line="240" w:lineRule="auto"/>
        <w:ind w:firstLine="720"/>
        <w:jc w:val="both"/>
        <w:rPr>
          <w:rFonts w:ascii="Simplified Arabic" w:hAnsi="Simplified Arabic" w:cs="Simplified Arabic"/>
          <w:sz w:val="28"/>
          <w:szCs w:val="28"/>
        </w:rPr>
      </w:pPr>
    </w:p>
    <w:p w14:paraId="7F701BE2" w14:textId="77777777" w:rsidR="001F752B" w:rsidRPr="008220F3" w:rsidRDefault="00710D6C" w:rsidP="008574AD">
      <w:pPr>
        <w:spacing w:line="240" w:lineRule="auto"/>
        <w:jc w:val="both"/>
        <w:rPr>
          <w:rFonts w:ascii="Simplified Arabic" w:hAnsi="Simplified Arabic" w:cs="Simplified Arabic"/>
          <w:b/>
          <w:bCs/>
          <w:sz w:val="30"/>
          <w:szCs w:val="30"/>
          <w:rtl/>
        </w:rPr>
      </w:pPr>
      <w:r w:rsidRPr="008220F3">
        <w:rPr>
          <w:rFonts w:ascii="Simplified Arabic" w:hAnsi="Simplified Arabic" w:cs="Simplified Arabic" w:hint="cs"/>
          <w:b/>
          <w:bCs/>
          <w:sz w:val="30"/>
          <w:szCs w:val="30"/>
          <w:rtl/>
          <w:lang w:bidi="ar-EG"/>
        </w:rPr>
        <w:lastRenderedPageBreak/>
        <w:t xml:space="preserve"> (5-2) </w:t>
      </w:r>
      <w:r w:rsidR="001F752B" w:rsidRPr="008220F3">
        <w:rPr>
          <w:rFonts w:ascii="Simplified Arabic" w:hAnsi="Simplified Arabic" w:cs="Simplified Arabic"/>
          <w:b/>
          <w:bCs/>
          <w:sz w:val="30"/>
          <w:szCs w:val="30"/>
          <w:rtl/>
        </w:rPr>
        <w:t>حوكمة المعلومات</w:t>
      </w:r>
    </w:p>
    <w:p w14:paraId="0AEA9BED" w14:textId="77777777" w:rsidR="00CC18BD" w:rsidRPr="00CC18BD" w:rsidRDefault="00CC18BD" w:rsidP="00F96C5F">
      <w:pPr>
        <w:spacing w:after="0" w:line="240" w:lineRule="auto"/>
        <w:ind w:firstLine="720"/>
        <w:jc w:val="both"/>
        <w:rPr>
          <w:rFonts w:ascii="Simplified Arabic" w:hAnsi="Simplified Arabic" w:cs="Simplified Arabic"/>
          <w:sz w:val="28"/>
          <w:szCs w:val="28"/>
          <w:rtl/>
          <w:lang w:bidi="ar-EG"/>
        </w:rPr>
      </w:pPr>
      <w:r w:rsidRPr="00CC18BD">
        <w:rPr>
          <w:rFonts w:ascii="Simplified Arabic" w:hAnsi="Simplified Arabic" w:cs="Simplified Arabic"/>
          <w:sz w:val="28"/>
          <w:szCs w:val="28"/>
          <w:rtl/>
        </w:rPr>
        <w:t>تزايدت أهمية حوكمة المعلومات في ظل التحول الرقمي واتساع الاعتماد على البيئات المعرفية كثيفة البيانات، إذ لم تعد قيمة المعلومات مرتبطة بتوافرها فقط، بل بمدى قدرتها على دعم القرار، وتعزيز الامتثال، ورفع كفاءة الاستخدام التنظيمي. وفي هذا السياق، أصبحت الحوكمة إطارًا ضروريًا لضبط جودة المعلومات وتوجيهها نحو الاستخدام الاستراتيجي، لا سيما مع تصاعد تطبيقات الذكاء الاصطناعي ونماذج اللغة الضخمة في المنظمات المعاصرة</w:t>
      </w:r>
      <w:r w:rsidRPr="00CC18BD">
        <w:rPr>
          <w:rFonts w:ascii="Simplified Arabic" w:hAnsi="Simplified Arabic" w:cs="Simplified Arabic"/>
          <w:sz w:val="28"/>
          <w:szCs w:val="28"/>
        </w:rPr>
        <w:t xml:space="preserve">(AIIM, 2025; </w:t>
      </w:r>
      <w:proofErr w:type="spellStart"/>
      <w:r w:rsidRPr="00CC18BD">
        <w:rPr>
          <w:rFonts w:ascii="Simplified Arabic" w:hAnsi="Simplified Arabic" w:cs="Simplified Arabic"/>
          <w:sz w:val="28"/>
          <w:szCs w:val="28"/>
        </w:rPr>
        <w:t>DataGalaxy</w:t>
      </w:r>
      <w:proofErr w:type="spellEnd"/>
      <w:r w:rsidRPr="00CC18BD">
        <w:rPr>
          <w:rFonts w:ascii="Simplified Arabic" w:hAnsi="Simplified Arabic" w:cs="Simplified Arabic"/>
          <w:sz w:val="28"/>
          <w:szCs w:val="28"/>
        </w:rPr>
        <w:t xml:space="preserve">, 2025; </w:t>
      </w:r>
      <w:r w:rsidR="00F96C5F">
        <w:rPr>
          <w:rFonts w:ascii="Simplified Arabic" w:hAnsi="Simplified Arabic" w:cs="Simplified Arabic"/>
          <w:sz w:val="28"/>
          <w:szCs w:val="28"/>
        </w:rPr>
        <w:t xml:space="preserve">IBM, 2024; </w:t>
      </w:r>
      <w:proofErr w:type="spellStart"/>
      <w:r w:rsidR="00F96C5F">
        <w:rPr>
          <w:rFonts w:ascii="Simplified Arabic" w:hAnsi="Simplified Arabic" w:cs="Simplified Arabic"/>
          <w:sz w:val="28"/>
          <w:szCs w:val="28"/>
        </w:rPr>
        <w:t>Pahune</w:t>
      </w:r>
      <w:proofErr w:type="spellEnd"/>
      <w:r w:rsidR="00F96C5F">
        <w:rPr>
          <w:rFonts w:ascii="Simplified Arabic" w:hAnsi="Simplified Arabic" w:cs="Simplified Arabic"/>
          <w:sz w:val="28"/>
          <w:szCs w:val="28"/>
        </w:rPr>
        <w:t xml:space="preserve"> et al., 2025)</w:t>
      </w:r>
      <w:r w:rsidR="00F96C5F">
        <w:rPr>
          <w:rFonts w:ascii="Simplified Arabic" w:hAnsi="Simplified Arabic" w:cs="Simplified Arabic" w:hint="cs"/>
          <w:sz w:val="28"/>
          <w:szCs w:val="28"/>
          <w:rtl/>
          <w:lang w:bidi="ar-EG"/>
        </w:rPr>
        <w:t xml:space="preserve">. </w:t>
      </w:r>
    </w:p>
    <w:p w14:paraId="656C7916" w14:textId="77777777" w:rsidR="001F752B" w:rsidRPr="001F752B"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(5-2-1) </w:t>
      </w:r>
      <w:r>
        <w:rPr>
          <w:rFonts w:ascii="Simplified Arabic" w:hAnsi="Simplified Arabic" w:cs="Simplified Arabic"/>
          <w:b/>
          <w:bCs/>
          <w:sz w:val="28"/>
          <w:szCs w:val="28"/>
          <w:rtl/>
        </w:rPr>
        <w:t>مف</w:t>
      </w:r>
      <w:r>
        <w:rPr>
          <w:rFonts w:ascii="Simplified Arabic" w:hAnsi="Simplified Arabic" w:cs="Simplified Arabic" w:hint="cs"/>
          <w:b/>
          <w:bCs/>
          <w:sz w:val="28"/>
          <w:szCs w:val="28"/>
          <w:rtl/>
        </w:rPr>
        <w:t>هوم</w:t>
      </w:r>
      <w:r>
        <w:rPr>
          <w:rFonts w:ascii="Simplified Arabic" w:hAnsi="Simplified Arabic" w:cs="Simplified Arabic"/>
          <w:b/>
          <w:bCs/>
          <w:sz w:val="28"/>
          <w:szCs w:val="28"/>
          <w:rtl/>
        </w:rPr>
        <w:t xml:space="preserve"> </w:t>
      </w:r>
      <w:r w:rsidR="001F752B" w:rsidRPr="001F752B">
        <w:rPr>
          <w:rFonts w:ascii="Simplified Arabic" w:hAnsi="Simplified Arabic" w:cs="Simplified Arabic"/>
          <w:b/>
          <w:bCs/>
          <w:sz w:val="28"/>
          <w:szCs w:val="28"/>
          <w:rtl/>
        </w:rPr>
        <w:t>حوكمة المعلومات</w:t>
      </w:r>
    </w:p>
    <w:p w14:paraId="0D6E1E5B" w14:textId="77777777" w:rsidR="002F77AA" w:rsidRPr="002F77AA" w:rsidRDefault="002F77AA" w:rsidP="00F96C5F">
      <w:pPr>
        <w:spacing w:after="0" w:line="240" w:lineRule="auto"/>
        <w:ind w:firstLine="720"/>
        <w:jc w:val="both"/>
        <w:rPr>
          <w:rFonts w:ascii="Simplified Arabic" w:hAnsi="Simplified Arabic" w:cs="Simplified Arabic"/>
          <w:sz w:val="28"/>
          <w:szCs w:val="28"/>
          <w:rtl/>
          <w:lang w:bidi="ar-EG"/>
        </w:rPr>
      </w:pPr>
      <w:r w:rsidRPr="002F77AA">
        <w:rPr>
          <w:rFonts w:ascii="Simplified Arabic" w:hAnsi="Simplified Arabic" w:cs="Simplified Arabic"/>
          <w:sz w:val="28"/>
          <w:szCs w:val="28"/>
          <w:rtl/>
        </w:rPr>
        <w:t>تمثل المعلومات في البيئات التنظيمية المعاصرة أحد أهم الموارد الاستراتيجية التي يتوقف عليها مستوى الفاعلية التنظيمية وجودة اتخاذ القرار، غير أن القيمة الحقيقية لهذه المعلومات لا تنبع من مجرد توافرها أو تراكمها، وإنما من قدرة المنظمة على تنظيمها، وضبط جودتها، وإحكام آليات استخدامها بما يضمن اتساقها مع الأهداف الاستراتيجية. وفي هذا السياق، تبرز حوكمة المعلومات بوصفها إطارًا مؤسسيًا يضبط المسؤوليات وحقوق اتخاذ القرار المتعلقة بالمعلومات، ويمنح المنظمة قدرة أفضل على تحويل البيانات إلى معرفة قابلة للتوظيف في القرار والأداء</w:t>
      </w:r>
      <w:r w:rsidRPr="002F77AA">
        <w:rPr>
          <w:rFonts w:ascii="Simplified Arabic" w:hAnsi="Simplified Arabic" w:cs="Simplified Arabic"/>
          <w:sz w:val="28"/>
          <w:szCs w:val="28"/>
        </w:rPr>
        <w:t xml:space="preserve">(Kooper </w:t>
      </w:r>
      <w:r w:rsidR="00F96C5F">
        <w:rPr>
          <w:rFonts w:ascii="Simplified Arabic" w:hAnsi="Simplified Arabic" w:cs="Simplified Arabic"/>
          <w:sz w:val="28"/>
          <w:szCs w:val="28"/>
        </w:rPr>
        <w:t>et al., 2011; Smallwood, 2020)</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tl/>
        </w:rPr>
        <w:t>وتزداد أهمية هذا المنظور في البيئات الرقمية الراهنة، حيث تتسع تطبيقات الذكاء الاصطناعي التوليدي ونماذج اللغة الضخمة، ويصبح ضبط المعلومات شرطًا سابقًا على حسن توظيفها وحماية قيمتها التنظيمية</w:t>
      </w:r>
      <w:r w:rsidR="00F96C5F">
        <w:rPr>
          <w:rFonts w:ascii="Simplified Arabic" w:hAnsi="Simplified Arabic" w:cs="Simplified Arabic" w:hint="cs"/>
          <w:sz w:val="28"/>
          <w:szCs w:val="28"/>
          <w:rtl/>
        </w:rPr>
        <w:t xml:space="preserve"> </w:t>
      </w:r>
      <w:r w:rsidR="00F96C5F">
        <w:rPr>
          <w:rFonts w:ascii="Simplified Arabic" w:hAnsi="Simplified Arabic" w:cs="Simplified Arabic"/>
          <w:sz w:val="28"/>
          <w:szCs w:val="28"/>
        </w:rPr>
        <w:t>(AIIM, 2025; IBM, 2024)</w:t>
      </w:r>
      <w:r w:rsidR="00F96C5F">
        <w:rPr>
          <w:rFonts w:ascii="Simplified Arabic" w:hAnsi="Simplified Arabic" w:cs="Simplified Arabic" w:hint="cs"/>
          <w:sz w:val="28"/>
          <w:szCs w:val="28"/>
          <w:rtl/>
          <w:lang w:bidi="ar-EG"/>
        </w:rPr>
        <w:t xml:space="preserve">. </w:t>
      </w:r>
    </w:p>
    <w:p w14:paraId="548F48F9" w14:textId="77777777" w:rsidR="002F77AA" w:rsidRPr="002F77AA"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t>وقد اختلفت الأدبيات في تحديد ماهية حوكمة المعلومات تبعًا للزاوية التي يُتناول منها المفهوم؛ فبينما تركز بعض الطروحات على البعد التقني المرتبط بجودة البيانات وإدارتها، تنظر طروحات أخرى إلى الحوكمة بوصفها إطارًا مؤسسيًا يحدد حقوق اتخاذ القرار والمسؤوليات المتعلقة بالمعلومات. وفي المقابل، تتبنى الاتجاهات الأحدث منظورًا أكثر تكاملًا يرى أن حوكمة المعلومات تمثل نظامًا حاكمًا يربط بين البنية التنظيمية والعمليات التشغيلية ومتطلبات الامتثال والأخلاقيات في إدارة المعلومات، خصوصًا في ظل تصاعد استخدام الذكاء الاصطناعي في بيئات العمل</w:t>
      </w:r>
      <w:r w:rsidRPr="002F77AA">
        <w:rPr>
          <w:rFonts w:ascii="Simplified Arabic" w:hAnsi="Simplified Arabic" w:cs="Simplified Arabic"/>
          <w:sz w:val="28"/>
          <w:szCs w:val="28"/>
        </w:rPr>
        <w:t>(Otto, 2011; Alhassan et al., 2018; Aghaei et al., 2</w:t>
      </w:r>
      <w:r w:rsidR="00F96C5F">
        <w:rPr>
          <w:rFonts w:ascii="Simplified Arabic" w:hAnsi="Simplified Arabic" w:cs="Simplified Arabic"/>
          <w:sz w:val="28"/>
          <w:szCs w:val="28"/>
        </w:rPr>
        <w:t>025; Responsible AI Labs, 2025)</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Pr>
        <w:t xml:space="preserve"> </w:t>
      </w:r>
      <w:r w:rsidRPr="002F77AA">
        <w:rPr>
          <w:rFonts w:ascii="Simplified Arabic" w:hAnsi="Simplified Arabic" w:cs="Simplified Arabic"/>
          <w:sz w:val="28"/>
          <w:szCs w:val="28"/>
          <w:rtl/>
        </w:rPr>
        <w:t>ويكشف هذا التنوع في التناول عن أن الحوكمة لم تعد مفهومًا تقنيًا محضًا، بل أصبحت بنية تنظيمية تتقاطع فيها الأبعاد المؤسسية والتشغيلية والمعيارية</w:t>
      </w:r>
      <w:r w:rsidRPr="002F77AA">
        <w:rPr>
          <w:rFonts w:ascii="Simplified Arabic" w:hAnsi="Simplified Arabic" w:cs="Simplified Arabic"/>
          <w:sz w:val="28"/>
          <w:szCs w:val="28"/>
        </w:rPr>
        <w:t>.</w:t>
      </w:r>
    </w:p>
    <w:p w14:paraId="17EF4FFA" w14:textId="77777777" w:rsidR="002F77AA" w:rsidRPr="002F77AA"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lastRenderedPageBreak/>
        <w:t xml:space="preserve">وفي ضوء هذا التباين، يمكن القول إن جوهر حوكمة المعلومات لا يتمثل في تعريف أحادي، وإنما في كونها بنية تنظيمية متعددة المستويات تهدف إلى تحويل المعلومات من مورد مشتت إلى أصل منظم يخضع لمنطق </w:t>
      </w:r>
      <w:proofErr w:type="spellStart"/>
      <w:r w:rsidRPr="002F77AA">
        <w:rPr>
          <w:rFonts w:ascii="Simplified Arabic" w:hAnsi="Simplified Arabic" w:cs="Simplified Arabic"/>
          <w:sz w:val="28"/>
          <w:szCs w:val="28"/>
          <w:rtl/>
        </w:rPr>
        <w:t>حوكمي</w:t>
      </w:r>
      <w:proofErr w:type="spellEnd"/>
      <w:r w:rsidRPr="002F77AA">
        <w:rPr>
          <w:rFonts w:ascii="Simplified Arabic" w:hAnsi="Simplified Arabic" w:cs="Simplified Arabic"/>
          <w:sz w:val="28"/>
          <w:szCs w:val="28"/>
          <w:rtl/>
        </w:rPr>
        <w:t xml:space="preserve"> يضمن قابليته للاستخدام في دعم القرار الاستراتيجي، وهو ما يعكس الانتقال من منظور الإدارة التشغيلية إلى منظور الحوكمة المؤسسية للمعلومات</w:t>
      </w:r>
      <w:r w:rsidRPr="002F77AA">
        <w:rPr>
          <w:rFonts w:ascii="Simplified Arabic" w:hAnsi="Simplified Arabic" w:cs="Simplified Arabic"/>
          <w:sz w:val="28"/>
          <w:szCs w:val="28"/>
        </w:rPr>
        <w:t xml:space="preserve"> (Kooper et al., 2011; Smal</w:t>
      </w:r>
      <w:r w:rsidR="00F96C5F">
        <w:rPr>
          <w:rFonts w:ascii="Simplified Arabic" w:hAnsi="Simplified Arabic" w:cs="Simplified Arabic"/>
          <w:sz w:val="28"/>
          <w:szCs w:val="28"/>
        </w:rPr>
        <w:t xml:space="preserve">lwood, 2020; </w:t>
      </w:r>
      <w:proofErr w:type="spellStart"/>
      <w:r w:rsidR="00F96C5F">
        <w:rPr>
          <w:rFonts w:ascii="Simplified Arabic" w:hAnsi="Simplified Arabic" w:cs="Simplified Arabic"/>
          <w:sz w:val="28"/>
          <w:szCs w:val="28"/>
        </w:rPr>
        <w:t>DataGalaxy</w:t>
      </w:r>
      <w:proofErr w:type="spellEnd"/>
      <w:r w:rsidR="00F96C5F">
        <w:rPr>
          <w:rFonts w:ascii="Simplified Arabic" w:hAnsi="Simplified Arabic" w:cs="Simplified Arabic"/>
          <w:sz w:val="28"/>
          <w:szCs w:val="28"/>
        </w:rPr>
        <w:t>, 2025)</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tl/>
        </w:rPr>
        <w:t>وبذلك تصبح حوكمة المعلومات في هذه الدراسة مدخلًا تأسيسيًا لفهم كيفية تعزيز جودة المدخلات المعلوماتية قبل توظيفها في نماذج اللغة الضخمة، بما يمهد لاحقًا لتفسير علاقتها بالرشاقة الاستراتيجية</w:t>
      </w:r>
      <w:r w:rsidRPr="002F77AA">
        <w:rPr>
          <w:rFonts w:ascii="Simplified Arabic" w:hAnsi="Simplified Arabic" w:cs="Simplified Arabic"/>
          <w:sz w:val="28"/>
          <w:szCs w:val="28"/>
        </w:rPr>
        <w:t>.</w:t>
      </w:r>
    </w:p>
    <w:p w14:paraId="52DBE34A" w14:textId="77777777" w:rsidR="001F752B" w:rsidRPr="001F752B"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(5-2-2) </w:t>
      </w:r>
      <w:r w:rsidR="001F752B" w:rsidRPr="001F752B">
        <w:rPr>
          <w:rFonts w:ascii="Simplified Arabic" w:hAnsi="Simplified Arabic" w:cs="Simplified Arabic"/>
          <w:b/>
          <w:bCs/>
          <w:sz w:val="28"/>
          <w:szCs w:val="28"/>
          <w:rtl/>
        </w:rPr>
        <w:t>التطور الفكري لمفهوم حوكمة المعلومات</w:t>
      </w:r>
    </w:p>
    <w:p w14:paraId="58AB73EF" w14:textId="77777777" w:rsidR="00F96C5F" w:rsidRDefault="002F77AA" w:rsidP="00F96C5F">
      <w:pPr>
        <w:spacing w:after="0" w:line="240" w:lineRule="auto"/>
        <w:ind w:firstLine="720"/>
        <w:jc w:val="both"/>
        <w:rPr>
          <w:rFonts w:ascii="Simplified Arabic" w:hAnsi="Simplified Arabic" w:cs="Simplified Arabic"/>
          <w:sz w:val="28"/>
          <w:szCs w:val="28"/>
          <w:rtl/>
          <w:lang w:bidi="ar-EG"/>
        </w:rPr>
      </w:pPr>
      <w:r w:rsidRPr="002F77AA">
        <w:rPr>
          <w:rFonts w:ascii="Simplified Arabic" w:hAnsi="Simplified Arabic" w:cs="Simplified Arabic"/>
          <w:sz w:val="28"/>
          <w:szCs w:val="28"/>
          <w:rtl/>
        </w:rPr>
        <w:t>يعكس التطور الفكري لمفهوم حوكمة المعلومات انتقالًا تدريجيًا من منطق الإدارة التقنية للبيانات إلى منطق الحوكمة المؤسسية الشاملة، وهو انتقال ارتبط بتغير طبيعة البيئة التنظيمية نفسها. ففي المراحل الأولى، كان التركيز منصبًا على قواعد البيانات بوصفها وحدات تقنية ينبغي ضبط جودتها، وتأمينها، وتنظيم استخدامها، غير أن هذا المنظور ظل محدودًا في تفسير الطريقة التي تُدار بها المعلومات داخل المنظمات باعتبارها موردًا يرتبط بالقرار والأداء والمسؤولية، لا مجرد مخزون تقني قابل للمعالجة</w:t>
      </w:r>
      <w:r w:rsidR="00F96C5F">
        <w:rPr>
          <w:rFonts w:ascii="Simplified Arabic" w:hAnsi="Simplified Arabic" w:cs="Simplified Arabic" w:hint="cs"/>
          <w:sz w:val="28"/>
          <w:szCs w:val="28"/>
          <w:rtl/>
        </w:rPr>
        <w:t xml:space="preserve"> </w:t>
      </w:r>
      <w:r w:rsidRPr="002F77AA">
        <w:rPr>
          <w:rFonts w:ascii="Simplified Arabic" w:hAnsi="Simplified Arabic" w:cs="Simplified Arabic"/>
          <w:sz w:val="28"/>
          <w:szCs w:val="28"/>
        </w:rPr>
        <w:t>(Kooper et al., 2011; Otto, 201</w:t>
      </w:r>
      <w:r w:rsidR="00F96C5F">
        <w:rPr>
          <w:rFonts w:ascii="Simplified Arabic" w:hAnsi="Simplified Arabic" w:cs="Simplified Arabic"/>
          <w:sz w:val="28"/>
          <w:szCs w:val="28"/>
        </w:rPr>
        <w:t>1; Smallwood, 2020)</w:t>
      </w:r>
      <w:r w:rsidR="00F96C5F">
        <w:rPr>
          <w:rFonts w:ascii="Simplified Arabic" w:hAnsi="Simplified Arabic" w:cs="Simplified Arabic" w:hint="cs"/>
          <w:sz w:val="28"/>
          <w:szCs w:val="28"/>
          <w:rtl/>
          <w:lang w:bidi="ar-EG"/>
        </w:rPr>
        <w:t xml:space="preserve">. </w:t>
      </w:r>
    </w:p>
    <w:p w14:paraId="448B80CC" w14:textId="77777777" w:rsidR="00F96C5F" w:rsidRDefault="002F77AA" w:rsidP="00F96C5F">
      <w:pPr>
        <w:spacing w:after="0" w:line="240" w:lineRule="auto"/>
        <w:ind w:firstLine="720"/>
        <w:jc w:val="both"/>
        <w:rPr>
          <w:rFonts w:ascii="Simplified Arabic" w:hAnsi="Simplified Arabic" w:cs="Simplified Arabic"/>
          <w:sz w:val="28"/>
          <w:szCs w:val="28"/>
          <w:rtl/>
          <w:lang w:bidi="ar-EG"/>
        </w:rPr>
      </w:pPr>
      <w:r w:rsidRPr="002F77AA">
        <w:rPr>
          <w:rFonts w:ascii="Simplified Arabic" w:hAnsi="Simplified Arabic" w:cs="Simplified Arabic"/>
          <w:sz w:val="28"/>
          <w:szCs w:val="28"/>
          <w:rtl/>
        </w:rPr>
        <w:t>ومع اتساع أدبيات الحوكمة المؤسسية، أخذ المفهوم بعدًا أكثر شمولًا، إذ لم يعد مقتصرًا على إدارة البيانات من حيث التنظيم الفني، بل أصبح يشمل توزيع الأدوار والمسؤوليات، وآليات الرقابة، وضبط الاستخدام، وربط المعلومات بالأهداف الاستراتيجية للمنظمة. وقد أسهم هذا التحول في إعادة صياغة حوكمة المعلومات بوصفها إطارًا يخلق القيمة من خلال تنظيم العلاقة بين البنية المؤسسية والمعلومة والقرار، لا بوصفها مجرد أداة للامتثال أو الرقابة الشكلية</w:t>
      </w:r>
      <w:r w:rsidRPr="002F77AA">
        <w:rPr>
          <w:rFonts w:ascii="Simplified Arabic" w:hAnsi="Simplified Arabic" w:cs="Simplified Arabic"/>
          <w:sz w:val="28"/>
          <w:szCs w:val="28"/>
        </w:rPr>
        <w:t>(Otto, 2011; Alhassan et a</w:t>
      </w:r>
      <w:r w:rsidR="00F96C5F">
        <w:rPr>
          <w:rFonts w:ascii="Simplified Arabic" w:hAnsi="Simplified Arabic" w:cs="Simplified Arabic"/>
          <w:sz w:val="28"/>
          <w:szCs w:val="28"/>
        </w:rPr>
        <w:t>l., 2018; Abraham et al., 2019)</w:t>
      </w:r>
      <w:r w:rsidR="00F96C5F">
        <w:rPr>
          <w:rFonts w:ascii="Simplified Arabic" w:hAnsi="Simplified Arabic" w:cs="Simplified Arabic" w:hint="cs"/>
          <w:sz w:val="28"/>
          <w:szCs w:val="28"/>
          <w:rtl/>
          <w:lang w:bidi="ar-EG"/>
        </w:rPr>
        <w:t xml:space="preserve">. </w:t>
      </w:r>
    </w:p>
    <w:p w14:paraId="36D8FE4F" w14:textId="77777777" w:rsidR="00F96C5F" w:rsidRDefault="002F77AA" w:rsidP="00F96C5F">
      <w:pPr>
        <w:spacing w:after="0" w:line="240" w:lineRule="auto"/>
        <w:ind w:firstLine="720"/>
        <w:jc w:val="both"/>
        <w:rPr>
          <w:rFonts w:ascii="Simplified Arabic" w:hAnsi="Simplified Arabic" w:cs="Simplified Arabic"/>
          <w:sz w:val="28"/>
          <w:szCs w:val="28"/>
          <w:rtl/>
          <w:lang w:bidi="ar-EG"/>
        </w:rPr>
      </w:pPr>
      <w:r w:rsidRPr="002F77AA">
        <w:rPr>
          <w:rFonts w:ascii="Simplified Arabic" w:hAnsi="Simplified Arabic" w:cs="Simplified Arabic"/>
          <w:sz w:val="28"/>
          <w:szCs w:val="28"/>
          <w:rtl/>
        </w:rPr>
        <w:t xml:space="preserve">وفي المرحلة الأحدث، ومع تصاعد التحول الرقمي وتنامي الاعتماد على البيانات غير المهيكلة والأنظمة الذكية ونماذج التعلم الآلي، اتسع المفهوم أكثر ليشمل دورة الحياة الكاملة للمعلومة داخل البيئات الرقمية المعقدة، بما في ذلك جمعها، وتصنيفها، وتداولها، وتحليلها، والاحتفاظ بها أو التخلص منها وفق ضوابط واضحة. وبهذا المعنى، أصبحت حوكمة المعلومات جزءًا من البنية التي تنظم التفاعل بين الإنسان والنظام والقرار، خصوصًا في البيئات التي تتسارع فيها تطبيقات الذكاء </w:t>
      </w:r>
      <w:r w:rsidRPr="002F77AA">
        <w:rPr>
          <w:rFonts w:ascii="Simplified Arabic" w:hAnsi="Simplified Arabic" w:cs="Simplified Arabic"/>
          <w:sz w:val="28"/>
          <w:szCs w:val="28"/>
          <w:rtl/>
        </w:rPr>
        <w:lastRenderedPageBreak/>
        <w:t>الاصطناعي وتتزايد فيها الحاجة إلى بيانات موثوقة وقابلة للتوظيف</w:t>
      </w:r>
      <w:r w:rsidRPr="002F77AA">
        <w:rPr>
          <w:rFonts w:ascii="Simplified Arabic" w:hAnsi="Simplified Arabic" w:cs="Simplified Arabic"/>
          <w:sz w:val="28"/>
          <w:szCs w:val="28"/>
        </w:rPr>
        <w:t xml:space="preserve"> (DAMA International, 2017; Ab</w:t>
      </w:r>
      <w:r w:rsidR="00F96C5F">
        <w:rPr>
          <w:rFonts w:ascii="Simplified Arabic" w:hAnsi="Simplified Arabic" w:cs="Simplified Arabic"/>
          <w:sz w:val="28"/>
          <w:szCs w:val="28"/>
        </w:rPr>
        <w:t>raham et al., 2019; AIIM, 2025)</w:t>
      </w:r>
      <w:r w:rsidR="00F96C5F">
        <w:rPr>
          <w:rFonts w:ascii="Simplified Arabic" w:hAnsi="Simplified Arabic" w:cs="Simplified Arabic" w:hint="cs"/>
          <w:sz w:val="28"/>
          <w:szCs w:val="28"/>
          <w:rtl/>
          <w:lang w:bidi="ar-EG"/>
        </w:rPr>
        <w:t xml:space="preserve">. </w:t>
      </w:r>
    </w:p>
    <w:p w14:paraId="3DA0DB44" w14:textId="77777777" w:rsidR="001F752B" w:rsidRPr="001F752B"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t>وعلى هذا الأساس، يمكن القول إن التطور الفكري لحوكمة المعلومات لم يكن مجرد توسع في المصطلح، بل تحول في زاوية النظر إلى المعلومات ذاتها؛ من كونها موردًا تقنيًا إلى كونها أصلًا تنظيميًا واستراتيجيًا يستلزم إطارًا حاكمًا يضمن قيمته، ويحد من مخاطره، ويعزز قابلية توظيفه في دعم القرار. ولذلك، فإن المفهوم في صيغته المعاصرة لم يعد منفصلًا عن الحوكمة المؤسسية أو التحول الرقمي، بل أصبح أحد مداخل فهم كيفية بناء منظمات أكثر قدرة على التعامل مع التعقيد المعلوماتي ورفع كفاءة استجابتها التنظيمية</w:t>
      </w:r>
      <w:r w:rsidRPr="002F77AA">
        <w:rPr>
          <w:rFonts w:ascii="Simplified Arabic" w:hAnsi="Simplified Arabic" w:cs="Simplified Arabic"/>
          <w:sz w:val="28"/>
          <w:szCs w:val="28"/>
        </w:rPr>
        <w:t xml:space="preserve"> (Smallwood, 2020; Teubner e</w:t>
      </w:r>
      <w:r>
        <w:rPr>
          <w:rFonts w:ascii="Simplified Arabic" w:hAnsi="Simplified Arabic" w:cs="Simplified Arabic"/>
          <w:sz w:val="28"/>
          <w:szCs w:val="28"/>
        </w:rPr>
        <w:t>t al., 2023; IBM, 2024)</w:t>
      </w:r>
      <w:r w:rsidR="001F752B" w:rsidRPr="001F752B">
        <w:rPr>
          <w:rFonts w:ascii="Simplified Arabic" w:hAnsi="Simplified Arabic" w:cs="Simplified Arabic"/>
          <w:sz w:val="28"/>
          <w:szCs w:val="28"/>
        </w:rPr>
        <w:t>.</w:t>
      </w:r>
    </w:p>
    <w:p w14:paraId="5F088CE1" w14:textId="77777777" w:rsidR="001F752B" w:rsidRPr="001F752B"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(5-2-3) </w:t>
      </w:r>
      <w:r w:rsidR="001F752B" w:rsidRPr="001F752B">
        <w:rPr>
          <w:rFonts w:ascii="Simplified Arabic" w:hAnsi="Simplified Arabic" w:cs="Simplified Arabic"/>
          <w:b/>
          <w:bCs/>
          <w:sz w:val="28"/>
          <w:szCs w:val="28"/>
          <w:rtl/>
        </w:rPr>
        <w:t>أبعاد حوكمة المعلومات</w:t>
      </w:r>
    </w:p>
    <w:p w14:paraId="66117106" w14:textId="77777777" w:rsidR="002F77AA" w:rsidRPr="002F77AA"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t xml:space="preserve">تتسم حوكمة المعلومات بطبيعة متعددة الأبعاد، وهو ما يعكس اختلاف مستويات تناولها في </w:t>
      </w:r>
      <w:r w:rsidRPr="002F77AA">
        <w:rPr>
          <w:rFonts w:ascii="Simplified Arabic" w:hAnsi="Simplified Arabic" w:cs="Simplified Arabic"/>
          <w:b/>
          <w:bCs/>
          <w:sz w:val="28"/>
          <w:szCs w:val="28"/>
          <w:rtl/>
        </w:rPr>
        <w:t>الدراسات الأكاديمية</w:t>
      </w:r>
      <w:r w:rsidRPr="002F77AA">
        <w:rPr>
          <w:rFonts w:ascii="Simplified Arabic" w:hAnsi="Simplified Arabic" w:cs="Simplified Arabic"/>
          <w:sz w:val="28"/>
          <w:szCs w:val="28"/>
        </w:rPr>
        <w:t xml:space="preserve">. </w:t>
      </w:r>
      <w:r w:rsidRPr="002F77AA">
        <w:rPr>
          <w:rFonts w:ascii="Simplified Arabic" w:hAnsi="Simplified Arabic" w:cs="Simplified Arabic"/>
          <w:sz w:val="28"/>
          <w:szCs w:val="28"/>
          <w:rtl/>
        </w:rPr>
        <w:t>فمن جهة، يرتبط البعد التنظيمي بوضوح حقوق اتخاذ القرار وتوزيع المسؤوليات المتعلقة بالمعلومات داخل المنظمة، وهو ما يجعل الحوكمة إطارًا مؤسسيًا قبل أن تكون ممارسة تقنية بحتة</w:t>
      </w:r>
      <w:r w:rsidR="00F96C5F">
        <w:rPr>
          <w:rFonts w:ascii="Simplified Arabic" w:hAnsi="Simplified Arabic" w:cs="Simplified Arabic" w:hint="cs"/>
          <w:sz w:val="28"/>
          <w:szCs w:val="28"/>
          <w:rtl/>
        </w:rPr>
        <w:t xml:space="preserve"> </w:t>
      </w:r>
      <w:r w:rsidRPr="002F77AA">
        <w:rPr>
          <w:rFonts w:ascii="Simplified Arabic" w:hAnsi="Simplified Arabic" w:cs="Simplified Arabic"/>
          <w:sz w:val="28"/>
          <w:szCs w:val="28"/>
        </w:rPr>
        <w:t>(K</w:t>
      </w:r>
      <w:r w:rsidR="00F96C5F">
        <w:rPr>
          <w:rFonts w:ascii="Simplified Arabic" w:hAnsi="Simplified Arabic" w:cs="Simplified Arabic"/>
          <w:sz w:val="28"/>
          <w:szCs w:val="28"/>
        </w:rPr>
        <w:t>ooper et al., 2011; Otto, 2011)</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Pr>
        <w:t xml:space="preserve"> </w:t>
      </w:r>
      <w:r w:rsidRPr="002F77AA">
        <w:rPr>
          <w:rFonts w:ascii="Simplified Arabic" w:hAnsi="Simplified Arabic" w:cs="Simplified Arabic"/>
          <w:sz w:val="28"/>
          <w:szCs w:val="28"/>
          <w:rtl/>
        </w:rPr>
        <w:t>ومن جهة أخرى، يبرز البعد الإجرائي بوصفه امتدادًا عمليًا لإدارة دورة حياة المعلومات، بما يشمل الإنشاء والمعالجة والتخزين والتداول والأرشفة أو الإتلاف وفق ضوابط منظمة، وهو اتجاه تؤكده الأدبيات التي تنظر إلى الحوكمة باعتبارها آلية لضبط العلاقة بين المعلومات والتنظيم والقرار</w:t>
      </w:r>
      <w:r w:rsidRPr="002F77AA">
        <w:rPr>
          <w:rFonts w:ascii="Simplified Arabic" w:hAnsi="Simplified Arabic" w:cs="Simplified Arabic"/>
          <w:sz w:val="28"/>
          <w:szCs w:val="28"/>
        </w:rPr>
        <w:t xml:space="preserve"> (Abraham et al., 2019; Smallwood, 2020).</w:t>
      </w:r>
    </w:p>
    <w:p w14:paraId="4629D27D" w14:textId="77777777" w:rsidR="002F77AA" w:rsidRPr="002F77AA"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t>وفي المقابل، يظل البعد التقني عنصرًا جوهريًا في ضمان جودة البيانات وأمنها وإتاحتها، خصوصًا في المنظمات التي تتعامل مع كميات متزايدة من البيانات المهيكلة وغير المهيكلة، حيث لم يعد ضبط الجودة مسألة تشغيلية داخلية فحسب، بل أصبح مرتبطًا بقدرة المنظمة على إدارة المخاطر المعلوماتية وتوظيف التقنيات الذكية في المعالجة والتحليل</w:t>
      </w:r>
      <w:r w:rsidRPr="002F77AA">
        <w:rPr>
          <w:rFonts w:ascii="Simplified Arabic" w:hAnsi="Simplified Arabic" w:cs="Simplified Arabic"/>
          <w:sz w:val="28"/>
          <w:szCs w:val="28"/>
        </w:rPr>
        <w:t xml:space="preserve"> (Aghaei et al., 2025; Burton et al., 2024; Teubner et a</w:t>
      </w:r>
      <w:r w:rsidR="00F96C5F">
        <w:rPr>
          <w:rFonts w:ascii="Simplified Arabic" w:hAnsi="Simplified Arabic" w:cs="Simplified Arabic"/>
          <w:sz w:val="28"/>
          <w:szCs w:val="28"/>
        </w:rPr>
        <w:t>l., 2023)</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tl/>
        </w:rPr>
        <w:t>كما يبرز البعد الأخلاقي والقانوني بوصفه بعدًا مكمّلًا يتعلق بالخصوصية، والشفافية، وحماية البيانات، وهي قضايا أصبحت أكثر إلحاحًا مع اتساع الاستخدام المؤسسي للذكاء الاصطناعي وما يرتبط به من متطلبات حوكمة ومسؤولية</w:t>
      </w:r>
      <w:r w:rsidRPr="002F77AA">
        <w:rPr>
          <w:rFonts w:ascii="Simplified Arabic" w:hAnsi="Simplified Arabic" w:cs="Simplified Arabic"/>
          <w:sz w:val="28"/>
          <w:szCs w:val="28"/>
        </w:rPr>
        <w:t xml:space="preserve"> (ISO, 2023; OECD, 2026; UNCTAD, 2024).</w:t>
      </w:r>
    </w:p>
    <w:p w14:paraId="4D7CE10C" w14:textId="77777777" w:rsidR="001F752B" w:rsidRPr="001F752B" w:rsidRDefault="002F77AA" w:rsidP="00F96C5F">
      <w:pPr>
        <w:spacing w:after="0" w:line="240" w:lineRule="auto"/>
        <w:ind w:firstLine="720"/>
        <w:jc w:val="both"/>
        <w:rPr>
          <w:rFonts w:ascii="Simplified Arabic" w:hAnsi="Simplified Arabic" w:cs="Simplified Arabic"/>
          <w:sz w:val="28"/>
          <w:szCs w:val="28"/>
        </w:rPr>
      </w:pPr>
      <w:r w:rsidRPr="002F77AA">
        <w:rPr>
          <w:rFonts w:ascii="Simplified Arabic" w:hAnsi="Simplified Arabic" w:cs="Simplified Arabic"/>
          <w:sz w:val="28"/>
          <w:szCs w:val="28"/>
          <w:rtl/>
        </w:rPr>
        <w:lastRenderedPageBreak/>
        <w:t xml:space="preserve">ويشير هذا التعدد إلى أن حوكمة المعلومات ليست مفهومًا تقنيًا محضًا، بل نظامًا تكامليًا يجمع بين البنية المؤسسية والتنظيمية والتقنية ضمن إطار واحد. ومن ثم، فإن اختلاف الأدبيات في تحديد الأبعاد لا يعكس تباينًا مفاهيميًا بقدر ما يعكس تعدد مستويات التحليل، حيث يركز كل اتجاه على زاوية معينة من النظام </w:t>
      </w:r>
      <w:proofErr w:type="spellStart"/>
      <w:r w:rsidRPr="002F77AA">
        <w:rPr>
          <w:rFonts w:ascii="Simplified Arabic" w:hAnsi="Simplified Arabic" w:cs="Simplified Arabic"/>
          <w:sz w:val="28"/>
          <w:szCs w:val="28"/>
          <w:rtl/>
        </w:rPr>
        <w:t>الحوكمي</w:t>
      </w:r>
      <w:proofErr w:type="spellEnd"/>
      <w:r w:rsidRPr="002F77AA">
        <w:rPr>
          <w:rFonts w:ascii="Simplified Arabic" w:hAnsi="Simplified Arabic" w:cs="Simplified Arabic"/>
          <w:sz w:val="28"/>
          <w:szCs w:val="28"/>
          <w:rtl/>
        </w:rPr>
        <w:t>، بينما يظل التكامل بين هذه الأبعاد شرطًا لفهم شامل لطبيعة الحوكمة داخل المنظمات المعاصرة</w:t>
      </w:r>
      <w:r w:rsidRPr="002F77AA">
        <w:rPr>
          <w:rFonts w:ascii="Simplified Arabic" w:hAnsi="Simplified Arabic" w:cs="Simplified Arabic"/>
          <w:sz w:val="28"/>
          <w:szCs w:val="28"/>
        </w:rPr>
        <w:t xml:space="preserve"> (Kooper et al., 2011; Smallwoo</w:t>
      </w:r>
      <w:r>
        <w:rPr>
          <w:rFonts w:ascii="Simplified Arabic" w:hAnsi="Simplified Arabic" w:cs="Simplified Arabic"/>
          <w:sz w:val="28"/>
          <w:szCs w:val="28"/>
        </w:rPr>
        <w:t>d, 2020; Alhassan et al., 2018)</w:t>
      </w:r>
      <w:r w:rsidR="001F752B" w:rsidRPr="001F752B">
        <w:rPr>
          <w:rFonts w:ascii="Simplified Arabic" w:hAnsi="Simplified Arabic" w:cs="Simplified Arabic"/>
          <w:sz w:val="28"/>
          <w:szCs w:val="28"/>
        </w:rPr>
        <w:t>.</w:t>
      </w:r>
    </w:p>
    <w:p w14:paraId="4AD268D1" w14:textId="77777777" w:rsidR="001F752B" w:rsidRPr="001F752B"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(5-2-4) </w:t>
      </w:r>
      <w:r w:rsidR="001F752B" w:rsidRPr="001F752B">
        <w:rPr>
          <w:rFonts w:ascii="Simplified Arabic" w:hAnsi="Simplified Arabic" w:cs="Simplified Arabic"/>
          <w:b/>
          <w:bCs/>
          <w:sz w:val="28"/>
          <w:szCs w:val="28"/>
          <w:rtl/>
        </w:rPr>
        <w:t>النماذج والأطر النظرية لحوكمة المعلومات</w:t>
      </w:r>
    </w:p>
    <w:p w14:paraId="050C0381" w14:textId="77777777" w:rsidR="002F77AA" w:rsidRPr="002F77AA" w:rsidRDefault="00D3643E" w:rsidP="00F96C5F">
      <w:pPr>
        <w:spacing w:after="0"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ولقد </w:t>
      </w:r>
      <w:r w:rsidR="002F77AA" w:rsidRPr="002F77AA">
        <w:rPr>
          <w:rFonts w:ascii="Simplified Arabic" w:hAnsi="Simplified Arabic" w:cs="Simplified Arabic"/>
          <w:sz w:val="28"/>
          <w:szCs w:val="28"/>
          <w:rtl/>
        </w:rPr>
        <w:t xml:space="preserve">تطورت الأطر النظرية لحوكمة المعلومات عبر مسارات متعددة، إلا أن الأطر الأكثر رسوخًا في الأدبيات هي تلك التي تربط بين الحوكمة والقرار والمواءمة الاستراتيجية داخل المنظمة. ويُعد إطار </w:t>
      </w:r>
      <w:r w:rsidR="002F77AA" w:rsidRPr="002F77AA">
        <w:rPr>
          <w:rFonts w:ascii="Simplified Arabic" w:hAnsi="Simplified Arabic" w:cs="Simplified Arabic"/>
          <w:b/>
          <w:bCs/>
          <w:sz w:val="28"/>
          <w:szCs w:val="28"/>
        </w:rPr>
        <w:t>COBIT</w:t>
      </w:r>
      <w:r>
        <w:rPr>
          <w:rFonts w:ascii="Simplified Arabic" w:hAnsi="Simplified Arabic" w:cs="Simplified Arabic" w:hint="cs"/>
          <w:sz w:val="28"/>
          <w:szCs w:val="28"/>
          <w:rtl/>
          <w:lang w:bidi="ar-EG"/>
        </w:rPr>
        <w:t xml:space="preserve"> </w:t>
      </w:r>
      <w:r w:rsidR="002F77AA" w:rsidRPr="002F77AA">
        <w:rPr>
          <w:rFonts w:ascii="Simplified Arabic" w:hAnsi="Simplified Arabic" w:cs="Simplified Arabic"/>
          <w:sz w:val="28"/>
          <w:szCs w:val="28"/>
          <w:rtl/>
        </w:rPr>
        <w:t xml:space="preserve">من أبرز هذه الأطر، إذ ينظر إلى حوكمة تقنية المعلومات بوصفها آلية تدعم الرقابة المؤسسية وتضمن اتساق نظم المعلومات مع الأهداف الاستراتيجية، بينما يقدم </w:t>
      </w:r>
      <w:r w:rsidR="002F77AA" w:rsidRPr="002F77AA">
        <w:rPr>
          <w:rFonts w:ascii="Simplified Arabic" w:hAnsi="Simplified Arabic" w:cs="Simplified Arabic"/>
          <w:b/>
          <w:bCs/>
          <w:sz w:val="28"/>
          <w:szCs w:val="28"/>
        </w:rPr>
        <w:t>DAMA-DMBOK</w:t>
      </w:r>
      <w:r>
        <w:rPr>
          <w:rFonts w:ascii="Simplified Arabic" w:hAnsi="Simplified Arabic" w:cs="Simplified Arabic" w:hint="cs"/>
          <w:sz w:val="28"/>
          <w:szCs w:val="28"/>
          <w:rtl/>
          <w:lang w:bidi="ar-EG"/>
        </w:rPr>
        <w:t xml:space="preserve"> </w:t>
      </w:r>
      <w:r w:rsidR="002F77AA" w:rsidRPr="002F77AA">
        <w:rPr>
          <w:rFonts w:ascii="Simplified Arabic" w:hAnsi="Simplified Arabic" w:cs="Simplified Arabic"/>
          <w:sz w:val="28"/>
          <w:szCs w:val="28"/>
          <w:rtl/>
        </w:rPr>
        <w:t>تصورًا أكثر شمولًا لإدارة البيانات باعتبارها مجالًا معرفيًا متكاملًا يشمل الجودة والأمن والامتثال والتكامل</w:t>
      </w:r>
      <w:r w:rsidR="00F96C5F">
        <w:rPr>
          <w:rFonts w:ascii="Simplified Arabic" w:hAnsi="Simplified Arabic" w:cs="Simplified Arabic" w:hint="cs"/>
          <w:sz w:val="28"/>
          <w:szCs w:val="28"/>
          <w:rtl/>
        </w:rPr>
        <w:t xml:space="preserve"> </w:t>
      </w:r>
      <w:r w:rsidR="002F77AA" w:rsidRPr="002F77AA">
        <w:rPr>
          <w:rFonts w:ascii="Simplified Arabic" w:hAnsi="Simplified Arabic" w:cs="Simplified Arabic"/>
          <w:sz w:val="28"/>
          <w:szCs w:val="28"/>
        </w:rPr>
        <w:t>(DAMA Internationa</w:t>
      </w:r>
      <w:r w:rsidR="00F96C5F">
        <w:rPr>
          <w:rFonts w:ascii="Simplified Arabic" w:hAnsi="Simplified Arabic" w:cs="Simplified Arabic"/>
          <w:sz w:val="28"/>
          <w:szCs w:val="28"/>
        </w:rPr>
        <w:t>l, 2017; ISACA COBIT Framework)</w:t>
      </w:r>
      <w:r w:rsidR="00F96C5F">
        <w:rPr>
          <w:rFonts w:ascii="Simplified Arabic" w:hAnsi="Simplified Arabic" w:cs="Simplified Arabic" w:hint="cs"/>
          <w:sz w:val="28"/>
          <w:szCs w:val="28"/>
          <w:rtl/>
          <w:lang w:bidi="ar-EG"/>
        </w:rPr>
        <w:t>.</w:t>
      </w:r>
    </w:p>
    <w:p w14:paraId="38EF1CB8" w14:textId="77777777" w:rsidR="00F96C5F" w:rsidRDefault="002F77AA" w:rsidP="00F96C5F">
      <w:pPr>
        <w:spacing w:after="0" w:line="240" w:lineRule="auto"/>
        <w:ind w:firstLine="720"/>
        <w:jc w:val="both"/>
        <w:rPr>
          <w:rFonts w:ascii="Simplified Arabic" w:hAnsi="Simplified Arabic" w:cs="Simplified Arabic"/>
          <w:sz w:val="28"/>
          <w:szCs w:val="28"/>
          <w:rtl/>
          <w:lang w:bidi="ar-EG"/>
        </w:rPr>
      </w:pPr>
      <w:r w:rsidRPr="002F77AA">
        <w:rPr>
          <w:rFonts w:ascii="Simplified Arabic" w:hAnsi="Simplified Arabic" w:cs="Simplified Arabic"/>
          <w:sz w:val="28"/>
          <w:szCs w:val="28"/>
          <w:rtl/>
        </w:rPr>
        <w:t xml:space="preserve">وفي الاتجاه نفسه، يقدّم </w:t>
      </w:r>
      <w:r w:rsidRPr="002F77AA">
        <w:rPr>
          <w:rFonts w:ascii="Simplified Arabic" w:hAnsi="Simplified Arabic" w:cs="Simplified Arabic"/>
          <w:b/>
          <w:bCs/>
          <w:sz w:val="28"/>
          <w:szCs w:val="28"/>
        </w:rPr>
        <w:t>ISO 38505</w:t>
      </w:r>
      <w:r w:rsidR="00D3643E">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tl/>
        </w:rPr>
        <w:t>إطارًا معياريًا لحوكمة البيانات على المستوى المؤسسي، مع تأكيد واضح على دور الإدارة العليا في الإشراف على الأصول المعلوماتية باعتبارها أصلًا استراتيجيًا لا مجرد مورد تشغيلي، وهو ما ينسجم مع التصور المؤسسي لحوكمة المعلومات بوصفها جزءًا من منظومة اتخاذ القرار والرقابة والمسؤولية</w:t>
      </w:r>
      <w:r w:rsidRPr="002F77AA">
        <w:rPr>
          <w:rFonts w:ascii="Simplified Arabic" w:hAnsi="Simplified Arabic" w:cs="Simplified Arabic"/>
          <w:sz w:val="28"/>
          <w:szCs w:val="28"/>
        </w:rPr>
        <w:t xml:space="preserve"> (IS</w:t>
      </w:r>
      <w:r w:rsidR="00F96C5F">
        <w:rPr>
          <w:rFonts w:ascii="Simplified Arabic" w:hAnsi="Simplified Arabic" w:cs="Simplified Arabic"/>
          <w:sz w:val="28"/>
          <w:szCs w:val="28"/>
        </w:rPr>
        <w:t>O 38505; Kooper et al., 2011)</w:t>
      </w:r>
      <w:r w:rsidR="00F96C5F">
        <w:rPr>
          <w:rFonts w:ascii="Simplified Arabic" w:hAnsi="Simplified Arabic" w:cs="Simplified Arabic" w:hint="cs"/>
          <w:sz w:val="28"/>
          <w:szCs w:val="28"/>
          <w:rtl/>
          <w:lang w:bidi="ar-EG"/>
        </w:rPr>
        <w:t xml:space="preserve">. </w:t>
      </w:r>
      <w:r w:rsidRPr="002F77AA">
        <w:rPr>
          <w:rFonts w:ascii="Simplified Arabic" w:hAnsi="Simplified Arabic" w:cs="Simplified Arabic"/>
          <w:sz w:val="28"/>
          <w:szCs w:val="28"/>
          <w:rtl/>
        </w:rPr>
        <w:t>ويكشف هذا التوجه عن انتقال الحوكمة من مستوى الضبط التقني إلى مستوى التوجيه المؤسسي، حيث تتداخل الأبعاد التنظيمية والمعلوماتية في إطار واحد أكثر شمولًا</w:t>
      </w:r>
      <w:r w:rsidRPr="002F77AA">
        <w:rPr>
          <w:rFonts w:ascii="Simplified Arabic" w:hAnsi="Simplified Arabic" w:cs="Simplified Arabic"/>
          <w:sz w:val="28"/>
          <w:szCs w:val="28"/>
        </w:rPr>
        <w:t>.</w:t>
      </w:r>
    </w:p>
    <w:p w14:paraId="482D82CE" w14:textId="77777777" w:rsidR="001F752B" w:rsidRDefault="002F77AA" w:rsidP="00F96C5F">
      <w:pPr>
        <w:spacing w:after="0" w:line="240" w:lineRule="auto"/>
        <w:ind w:firstLine="720"/>
        <w:jc w:val="both"/>
        <w:rPr>
          <w:rFonts w:ascii="Simplified Arabic" w:hAnsi="Simplified Arabic" w:cs="Simplified Arabic"/>
          <w:sz w:val="28"/>
          <w:szCs w:val="28"/>
          <w:rtl/>
        </w:rPr>
      </w:pPr>
      <w:r w:rsidRPr="002F77AA">
        <w:rPr>
          <w:rFonts w:ascii="Simplified Arabic" w:hAnsi="Simplified Arabic" w:cs="Simplified Arabic"/>
          <w:sz w:val="28"/>
          <w:szCs w:val="28"/>
          <w:rtl/>
        </w:rPr>
        <w:t>ومع التحول الرقمي، ظهرت امتدادات تطبيقية لهذه الأطر التقليدية تركز على دمج الحوكمة مع الذكاء الاصطناعي، إلا أن هذه الامتدادات لا تمثل بدائل نظرية بقدر ما تعكس اتساع المجال التطبيقي للحوكمة داخل البيئات الرقمية المعقدة، دون أن تغيّر من بنيتها المفاهيمية الأساسية. ويؤكد ذلك أن الحوكمة باتت مطالبة بالتعامل مع البيانات غير المهيكلة، والتطبيقات الذكية، وسلاسل المعالجة الآلية بوصفها مكونات جديدة داخل المنظومة المعلوماتية المعاصرة</w:t>
      </w:r>
      <w:r w:rsidRPr="002F77AA">
        <w:rPr>
          <w:rFonts w:ascii="Simplified Arabic" w:hAnsi="Simplified Arabic" w:cs="Simplified Arabic"/>
          <w:sz w:val="28"/>
          <w:szCs w:val="28"/>
        </w:rPr>
        <w:t xml:space="preserve"> (Abraham et al</w:t>
      </w:r>
      <w:r>
        <w:rPr>
          <w:rFonts w:ascii="Simplified Arabic" w:hAnsi="Simplified Arabic" w:cs="Simplified Arabic"/>
          <w:sz w:val="28"/>
          <w:szCs w:val="28"/>
        </w:rPr>
        <w:t>., 2019; Alhassan et al., 2018)</w:t>
      </w:r>
      <w:r w:rsidR="001F752B" w:rsidRPr="001F752B">
        <w:rPr>
          <w:rFonts w:ascii="Simplified Arabic" w:hAnsi="Simplified Arabic" w:cs="Simplified Arabic"/>
          <w:sz w:val="28"/>
          <w:szCs w:val="28"/>
        </w:rPr>
        <w:t>.</w:t>
      </w:r>
    </w:p>
    <w:p w14:paraId="14FFE903" w14:textId="77777777" w:rsidR="00F96C5F" w:rsidRPr="001F752B" w:rsidRDefault="00F96C5F" w:rsidP="00F96C5F">
      <w:pPr>
        <w:spacing w:after="0" w:line="240" w:lineRule="auto"/>
        <w:ind w:firstLine="720"/>
        <w:jc w:val="both"/>
        <w:rPr>
          <w:rFonts w:ascii="Simplified Arabic" w:hAnsi="Simplified Arabic" w:cs="Simplified Arabic"/>
          <w:sz w:val="28"/>
          <w:szCs w:val="28"/>
        </w:rPr>
      </w:pPr>
    </w:p>
    <w:p w14:paraId="389AD934" w14:textId="77777777" w:rsidR="001F752B" w:rsidRPr="001F752B" w:rsidRDefault="005F2BA1"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(5-2-5) </w:t>
      </w:r>
      <w:r w:rsidR="001F752B" w:rsidRPr="001F752B">
        <w:rPr>
          <w:rFonts w:ascii="Simplified Arabic" w:hAnsi="Simplified Arabic" w:cs="Simplified Arabic"/>
          <w:b/>
          <w:bCs/>
          <w:sz w:val="28"/>
          <w:szCs w:val="28"/>
          <w:rtl/>
        </w:rPr>
        <w:t>قياس حوكمة المعلومات في الأدبيات</w:t>
      </w:r>
    </w:p>
    <w:p w14:paraId="278B73D0"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 xml:space="preserve">يشير تحليل المراجع إلى أن قياس حوكمة المعلومات لا يزال من الموضوعات التي تتعدد فيها المقاربات نتيجة الطبيعة المركبة للمفهوم وتداخل أبعاده التنظيمية والتقنية. ومع ذلك، يمكن ملاحظة ثلاثة مسارات رئيسية للقياس؛ يتمثل الأول في قياس جودة المعلومات بوصفها مؤشّرًا أساسيًا على فاعلية الحوكمة، من حيث الدقة، والاكتمال، والاتساق، والحداثة، وهو مسار يتسق مع الاتجاهات التي تنظر إلى القيمة التنظيمية للمعلومة بوصفها ناتجًا مباشرًا لجودة الضبط </w:t>
      </w:r>
      <w:proofErr w:type="spellStart"/>
      <w:r w:rsidRPr="00D3643E">
        <w:rPr>
          <w:rFonts w:ascii="Simplified Arabic" w:hAnsi="Simplified Arabic" w:cs="Simplified Arabic"/>
          <w:sz w:val="28"/>
          <w:szCs w:val="28"/>
          <w:rtl/>
        </w:rPr>
        <w:t>الحوكمي</w:t>
      </w:r>
      <w:proofErr w:type="spellEnd"/>
      <w:r w:rsidRPr="00D3643E">
        <w:rPr>
          <w:rFonts w:ascii="Simplified Arabic" w:hAnsi="Simplified Arabic" w:cs="Simplified Arabic"/>
          <w:sz w:val="28"/>
          <w:szCs w:val="28"/>
        </w:rPr>
        <w:t xml:space="preserve"> (Kooper et al., 2011; Smallwood, 2020).</w:t>
      </w:r>
    </w:p>
    <w:p w14:paraId="2BE6B6D3"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أما المسار الثاني فيرتبط بالامتثال المؤسسي، إذ يُقاس من خلال مدى التزام المنظمة بالسياسات والمعايير والضوابط التنظيمية ذات الصلة، وهو ما يعكس البعد الإجرائي للحوكمة بوصفها آلية لضبط السلوك المعلوماتي وتقليل المخاطر المرتبطة بسوء الاستخدام أو ضعف الرقابة</w:t>
      </w:r>
      <w:r w:rsidRPr="00D3643E">
        <w:rPr>
          <w:rFonts w:ascii="Simplified Arabic" w:hAnsi="Simplified Arabic" w:cs="Simplified Arabic"/>
          <w:sz w:val="28"/>
          <w:szCs w:val="28"/>
        </w:rPr>
        <w:t xml:space="preserve"> (Otto, 2011; Abraham et al., 2019). </w:t>
      </w:r>
      <w:r w:rsidRPr="00D3643E">
        <w:rPr>
          <w:rFonts w:ascii="Simplified Arabic" w:hAnsi="Simplified Arabic" w:cs="Simplified Arabic"/>
          <w:sz w:val="28"/>
          <w:szCs w:val="28"/>
          <w:rtl/>
        </w:rPr>
        <w:t>ويعكس المسار الثالث بعدًا مؤسسيًا أكثر اتساعًا يتمثل في المساءلة والشفافية، أي وضوح المسؤوليات وإمكانية تتبع القرارات المتعلقة بالمعلومات داخل المنظمة، بما يجعل الحوكمة أداة لتنظيم السلطة المعلوماتية بقدر ما هي أداة لضبط الجودة</w:t>
      </w:r>
      <w:r w:rsidRPr="00D3643E">
        <w:rPr>
          <w:rFonts w:ascii="Simplified Arabic" w:hAnsi="Simplified Arabic" w:cs="Simplified Arabic"/>
          <w:sz w:val="28"/>
          <w:szCs w:val="28"/>
        </w:rPr>
        <w:t xml:space="preserve"> (Alhassan et al., 2018; Smallwood, 2020).</w:t>
      </w:r>
    </w:p>
    <w:p w14:paraId="4D008256" w14:textId="77777777" w:rsidR="001F752B" w:rsidRDefault="00D3643E" w:rsidP="00F96C5F">
      <w:pPr>
        <w:spacing w:after="0" w:line="240" w:lineRule="auto"/>
        <w:ind w:firstLine="720"/>
        <w:jc w:val="both"/>
        <w:rPr>
          <w:rFonts w:ascii="Simplified Arabic" w:hAnsi="Simplified Arabic" w:cs="Simplified Arabic"/>
          <w:sz w:val="28"/>
          <w:szCs w:val="28"/>
          <w:rtl/>
        </w:rPr>
      </w:pPr>
      <w:r w:rsidRPr="00D3643E">
        <w:rPr>
          <w:rFonts w:ascii="Simplified Arabic" w:hAnsi="Simplified Arabic" w:cs="Simplified Arabic"/>
          <w:sz w:val="28"/>
          <w:szCs w:val="28"/>
          <w:rtl/>
        </w:rPr>
        <w:t>ومن ثم، فإن قياس حوكمة المعلومات لا ينبغي أن يُختزل في مؤشر واحد، بل يتطلب بناء أداة مركبة تعكس طبيعتها النظامية وتلتقط تداخل أبعادها المختلفة. كما أن أي تحديث حديث لهذا القياس ينبغي أن يستند إلى أدبيات أكاديمية حديثة حول الحوكمة الرقمية وحوكمة البيانات والذكاء الاصطناعي، لا إلى المواد التعريفية أو الإرشادية العامة، حتى يظل التوثيق متسقًا مع المنهج العلمي للبحث</w:t>
      </w:r>
      <w:r w:rsidR="001F752B" w:rsidRPr="001F752B">
        <w:rPr>
          <w:rFonts w:ascii="Simplified Arabic" w:hAnsi="Simplified Arabic" w:cs="Simplified Arabic"/>
          <w:sz w:val="28"/>
          <w:szCs w:val="28"/>
        </w:rPr>
        <w:t>.</w:t>
      </w:r>
    </w:p>
    <w:p w14:paraId="2794F43C" w14:textId="77777777" w:rsidR="00D3643E" w:rsidRPr="00D3643E"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(5-2-6) </w:t>
      </w:r>
      <w:r w:rsidRPr="00D3643E">
        <w:rPr>
          <w:rFonts w:ascii="Simplified Arabic" w:hAnsi="Simplified Arabic" w:cs="Simplified Arabic"/>
          <w:b/>
          <w:bCs/>
          <w:sz w:val="28"/>
          <w:szCs w:val="28"/>
          <w:rtl/>
        </w:rPr>
        <w:t>موقع حوكمة المعلومات في النموذج المفاهيمي للدراسة</w:t>
      </w:r>
    </w:p>
    <w:p w14:paraId="186A7738" w14:textId="77777777" w:rsidR="00D3643E" w:rsidRPr="00D3643E" w:rsidRDefault="00D3643E" w:rsidP="00F96C5F">
      <w:pPr>
        <w:spacing w:after="0" w:line="240" w:lineRule="auto"/>
        <w:ind w:firstLine="720"/>
        <w:jc w:val="both"/>
        <w:rPr>
          <w:rFonts w:ascii="Simplified Arabic" w:hAnsi="Simplified Arabic" w:cs="Simplified Arabic"/>
          <w:sz w:val="28"/>
          <w:szCs w:val="28"/>
          <w:rtl/>
          <w:lang w:bidi="ar-EG"/>
        </w:rPr>
      </w:pPr>
      <w:r w:rsidRPr="00D3643E">
        <w:rPr>
          <w:rFonts w:ascii="Simplified Arabic" w:hAnsi="Simplified Arabic" w:cs="Simplified Arabic"/>
          <w:sz w:val="28"/>
          <w:szCs w:val="28"/>
          <w:rtl/>
        </w:rPr>
        <w:t>في ضوء ما سبق، يمكن النظر إلى حوكمة المعلومات بوصفها بنية تنظيمية ومعرفية تؤسس لجودة البيئة المعلوماتية داخل المنظمة، لأنها تضبط المسؤوليات، وتحدد قواعد الاستخدام، وترفع موثوقية المعلومات المتاحة لصنع القرار. وكلما ارتفعت فاعلية هذه الحوكمة، ازدادت قدرة المنظمة على إنتاج معلومات أكثر اتساقًا وملاءمة، بما ينعكس على تحسين جودة التحليل واتخاذ القرار في البيئات المتغيرة وغير المستقرة</w:t>
      </w:r>
      <w:r w:rsidR="00F96C5F">
        <w:rPr>
          <w:rFonts w:ascii="Simplified Arabic" w:hAnsi="Simplified Arabic" w:cs="Simplified Arabic" w:hint="cs"/>
          <w:sz w:val="28"/>
          <w:szCs w:val="28"/>
          <w:rtl/>
        </w:rPr>
        <w:t xml:space="preserve"> </w:t>
      </w:r>
      <w:r w:rsidRPr="00D3643E">
        <w:rPr>
          <w:rFonts w:ascii="Simplified Arabic" w:hAnsi="Simplified Arabic" w:cs="Simplified Arabic"/>
          <w:sz w:val="28"/>
          <w:szCs w:val="28"/>
        </w:rPr>
        <w:t>(Kooper</w:t>
      </w:r>
      <w:r w:rsidR="00F96C5F">
        <w:rPr>
          <w:rFonts w:ascii="Simplified Arabic" w:hAnsi="Simplified Arabic" w:cs="Simplified Arabic"/>
          <w:sz w:val="28"/>
          <w:szCs w:val="28"/>
        </w:rPr>
        <w:t xml:space="preserve"> et al., 2011; Smallwood, 2020)</w:t>
      </w:r>
      <w:r w:rsidR="00F96C5F">
        <w:rPr>
          <w:rFonts w:ascii="Simplified Arabic" w:hAnsi="Simplified Arabic" w:cs="Simplified Arabic" w:hint="cs"/>
          <w:sz w:val="28"/>
          <w:szCs w:val="28"/>
          <w:rtl/>
          <w:lang w:bidi="ar-EG"/>
        </w:rPr>
        <w:t>.</w:t>
      </w:r>
    </w:p>
    <w:p w14:paraId="476C5584"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lastRenderedPageBreak/>
        <w:t>وبناءً على ذلك، تمثل حوكمة المعلومات في هذه الدراسة المتغير البنيوي المؤسس الذي يهيئ البيئة المناسبة لتوظيف التقنيات الذكية، بما في ذلك نماذج اللغة الضخمة، بوصفها أدوات تعزز معالجة المعلومات وتحويلها إلى معرفة قابلة للتطبيق. ويتعزز هذا المنظور في الأدبيات الحديثة التي تربط بين الحوكمة الرقمية، وإدارة البيانات، وتنامي تطبيقات الذكاء الاصطناعي في التنظيمات المعاصرة، حيث لا يعود أثر الحوكمة مباشرًا فحسب، بل يمتد ليشكل القاعدة التي تُبنى عليها الكفاءة التحليلية والتنظيمية داخل المنظمة</w:t>
      </w:r>
      <w:r w:rsidRPr="00D3643E">
        <w:rPr>
          <w:rFonts w:ascii="Simplified Arabic" w:hAnsi="Simplified Arabic" w:cs="Simplified Arabic"/>
          <w:sz w:val="28"/>
          <w:szCs w:val="28"/>
        </w:rPr>
        <w:t xml:space="preserve"> (Teubner et al., 2023; Burton et al., 2024; Aghaei et al., 2025).</w:t>
      </w:r>
    </w:p>
    <w:p w14:paraId="22198F4F" w14:textId="77777777" w:rsidR="00D3643E" w:rsidRPr="00D3643E" w:rsidRDefault="00D3643E" w:rsidP="00F96C5F">
      <w:pPr>
        <w:spacing w:after="0" w:line="240" w:lineRule="auto"/>
        <w:ind w:firstLine="720"/>
        <w:jc w:val="both"/>
        <w:rPr>
          <w:rFonts w:ascii="Simplified Arabic" w:hAnsi="Simplified Arabic" w:cs="Simplified Arabic"/>
          <w:sz w:val="28"/>
          <w:szCs w:val="28"/>
          <w:rtl/>
          <w:lang w:bidi="ar-EG"/>
        </w:rPr>
      </w:pPr>
      <w:r w:rsidRPr="00D3643E">
        <w:rPr>
          <w:rFonts w:ascii="Simplified Arabic" w:hAnsi="Simplified Arabic" w:cs="Simplified Arabic"/>
          <w:sz w:val="28"/>
          <w:szCs w:val="28"/>
          <w:rtl/>
        </w:rPr>
        <w:t xml:space="preserve">وعليه، فإن حوكمة المعلومات تمثل في النموذج المفاهيمي للدراسة المتغير المستقل البنيوي الذي يُتوقع أن يؤثر في الرشاقة الاستراتيجية بصورة غير مباشرة من خلال تحسين جودة المدخلات المعلوماتية، وتعزيز فعالية توظيف نماذج اللغة الضخمة في دعم عمليات الاستشعار والتحليل واتخاذ القرار. ويبرر هذا </w:t>
      </w:r>
      <w:proofErr w:type="spellStart"/>
      <w:r w:rsidRPr="00D3643E">
        <w:rPr>
          <w:rFonts w:ascii="Simplified Arabic" w:hAnsi="Simplified Arabic" w:cs="Simplified Arabic"/>
          <w:sz w:val="28"/>
          <w:szCs w:val="28"/>
          <w:rtl/>
        </w:rPr>
        <w:t>التموقع</w:t>
      </w:r>
      <w:proofErr w:type="spellEnd"/>
      <w:r w:rsidRPr="00D3643E">
        <w:rPr>
          <w:rFonts w:ascii="Simplified Arabic" w:hAnsi="Simplified Arabic" w:cs="Simplified Arabic"/>
          <w:sz w:val="28"/>
          <w:szCs w:val="28"/>
          <w:rtl/>
        </w:rPr>
        <w:t xml:space="preserve"> النظري بناء الفروض البحثية على أساس أن الحوكمة لا تعمل فقط كإطار ضابط، بل كآلية تمكينية ترفع قدرة المنظمة على تحويل المعلومات المنظمة إلى استجابة استراتيجية أكثر سرعة ومرونة</w:t>
      </w:r>
      <w:r w:rsidRPr="00D3643E">
        <w:rPr>
          <w:rFonts w:ascii="Simplified Arabic" w:hAnsi="Simplified Arabic" w:cs="Simplified Arabic"/>
          <w:sz w:val="28"/>
          <w:szCs w:val="28"/>
        </w:rPr>
        <w:t>(Teece, 2018; Teubner et a</w:t>
      </w:r>
      <w:r w:rsidR="00F96C5F">
        <w:rPr>
          <w:rFonts w:ascii="Simplified Arabic" w:hAnsi="Simplified Arabic" w:cs="Simplified Arabic"/>
          <w:sz w:val="28"/>
          <w:szCs w:val="28"/>
        </w:rPr>
        <w:t>l., 2023; Handler et al., 2024)</w:t>
      </w:r>
      <w:r w:rsidR="00F96C5F">
        <w:rPr>
          <w:rFonts w:ascii="Simplified Arabic" w:hAnsi="Simplified Arabic" w:cs="Simplified Arabic" w:hint="cs"/>
          <w:sz w:val="28"/>
          <w:szCs w:val="28"/>
          <w:rtl/>
          <w:lang w:bidi="ar-EG"/>
        </w:rPr>
        <w:t>.</w:t>
      </w:r>
    </w:p>
    <w:p w14:paraId="499B81D2" w14:textId="77777777" w:rsidR="001F752B" w:rsidRPr="008220F3" w:rsidRDefault="00D3643E" w:rsidP="00F96C5F">
      <w:pPr>
        <w:spacing w:before="240" w:after="0" w:line="240" w:lineRule="auto"/>
        <w:jc w:val="both"/>
        <w:rPr>
          <w:rFonts w:ascii="Simplified Arabic" w:hAnsi="Simplified Arabic" w:cs="Simplified Arabic"/>
          <w:b/>
          <w:bCs/>
          <w:sz w:val="30"/>
          <w:szCs w:val="30"/>
          <w:rtl/>
        </w:rPr>
      </w:pPr>
      <w:r w:rsidRPr="008220F3">
        <w:rPr>
          <w:rFonts w:ascii="Simplified Arabic" w:hAnsi="Simplified Arabic" w:cs="Simplified Arabic" w:hint="cs"/>
          <w:b/>
          <w:bCs/>
          <w:sz w:val="30"/>
          <w:szCs w:val="30"/>
          <w:rtl/>
        </w:rPr>
        <w:t xml:space="preserve"> </w:t>
      </w:r>
      <w:r w:rsidR="005F2BA1" w:rsidRPr="008220F3">
        <w:rPr>
          <w:rFonts w:ascii="Simplified Arabic" w:hAnsi="Simplified Arabic" w:cs="Simplified Arabic" w:hint="cs"/>
          <w:b/>
          <w:bCs/>
          <w:sz w:val="30"/>
          <w:szCs w:val="30"/>
          <w:rtl/>
        </w:rPr>
        <w:t xml:space="preserve">(5-3) </w:t>
      </w:r>
      <w:r w:rsidR="001F752B" w:rsidRPr="008220F3">
        <w:rPr>
          <w:rFonts w:ascii="Simplified Arabic" w:hAnsi="Simplified Arabic" w:cs="Simplified Arabic"/>
          <w:b/>
          <w:bCs/>
          <w:sz w:val="30"/>
          <w:szCs w:val="30"/>
          <w:rtl/>
        </w:rPr>
        <w:t>نماذج اللغة الضخمة في المنظمات</w:t>
      </w:r>
    </w:p>
    <w:p w14:paraId="6DD03100"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تحتل نماذج اللغة الضخمة موقعًا متقدمًا في النقاشات المعاصرة حول التحول الرقمي، لأنها لم تعد تُستخدم بوصفها أدوات توليد نصي فحسب، بل بوصفها بنية معرفية قادرة على دعم الفهم والتحليل والتوليد ضمن البيئات التنظيمية المعقدة. ويكتسب هذا التحول أهمية خاصة في المنظمات التي تعتمد على تدفقات كثيفة من البيانات النصية وغير المهيكلة، حيث تتجه هذه النماذج إلى إعادة تشكيل العلاقة بين الإنسان والنظام المعلوماتي من مجرد التفاعل التشغيلي إلى المشاركة في إنتاج المعنى ودعم القرار</w:t>
      </w:r>
      <w:r w:rsidRPr="00D3643E">
        <w:rPr>
          <w:rFonts w:ascii="Simplified Arabic" w:hAnsi="Simplified Arabic" w:cs="Simplified Arabic"/>
          <w:sz w:val="28"/>
          <w:szCs w:val="28"/>
        </w:rPr>
        <w:t xml:space="preserve"> (Teubner et al., 2023; Burton et al., 2024; Handler et al., 2024).</w:t>
      </w:r>
    </w:p>
    <w:p w14:paraId="66F4B36D" w14:textId="77777777" w:rsidR="001F752B" w:rsidRPr="001F752B"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(5-3-1) مفهوم </w:t>
      </w:r>
      <w:r w:rsidR="001F752B" w:rsidRPr="001F752B">
        <w:rPr>
          <w:rFonts w:ascii="Simplified Arabic" w:hAnsi="Simplified Arabic" w:cs="Simplified Arabic"/>
          <w:b/>
          <w:bCs/>
          <w:sz w:val="28"/>
          <w:szCs w:val="28"/>
          <w:rtl/>
        </w:rPr>
        <w:t>نماذج اللغة الضخمة في السياق التنظيمي</w:t>
      </w:r>
    </w:p>
    <w:p w14:paraId="54944220"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 xml:space="preserve">تمثل نماذج اللغة الضخمة امتدادًا متقدمًا لنماذج التعلم العميق القائمة على معمارية المحولات، والتي أُسست لمعالجة اللغة الطبيعية من خلال التعلم من كميات ضخمة من البيانات النصية غير المهيكلة. وقد أسهم هذا التطور في نقل هذه النماذج من مستوى الفهم اللغوي التقليدي </w:t>
      </w:r>
      <w:r w:rsidRPr="00D3643E">
        <w:rPr>
          <w:rFonts w:ascii="Simplified Arabic" w:hAnsi="Simplified Arabic" w:cs="Simplified Arabic"/>
          <w:sz w:val="28"/>
          <w:szCs w:val="28"/>
          <w:rtl/>
        </w:rPr>
        <w:lastRenderedPageBreak/>
        <w:t>إلى مستوى أكثر اتساعًا يتضمن التوليد والتحليل والاستدلال والتلخيص، بما يجعلها ذات قيمة متزايدة في البيئات التنظيمية التي تتطلب معالجة معرفية سريعة ومرنة</w:t>
      </w:r>
      <w:r w:rsidRPr="00D3643E">
        <w:rPr>
          <w:rFonts w:ascii="Simplified Arabic" w:hAnsi="Simplified Arabic" w:cs="Simplified Arabic"/>
          <w:sz w:val="28"/>
          <w:szCs w:val="28"/>
        </w:rPr>
        <w:t>(Teubner et al., 2023; IBM, 2023; SAP, 2024; MIT Sloan Management Review, 2024).</w:t>
      </w:r>
    </w:p>
    <w:p w14:paraId="56B9A42F"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 xml:space="preserve">وفي السياق التنظيمي، لا تُفهم هذه النماذج باعتبارها أدوات تقنية منعزلة، بل بوصفها مكونات ضمن منظومة أوسع لإدارة المعرفة ودعم القرار. فهي قادرة على تحويل النصوص غير المهيكلة إلى معرفة قابلة للاستخدام، وتوليد ملخصات وتحليلات واستجابات تتسم بدرجة عالية من الاتساق </w:t>
      </w:r>
      <w:proofErr w:type="spellStart"/>
      <w:r w:rsidRPr="00D3643E">
        <w:rPr>
          <w:rFonts w:ascii="Simplified Arabic" w:hAnsi="Simplified Arabic" w:cs="Simplified Arabic"/>
          <w:sz w:val="28"/>
          <w:szCs w:val="28"/>
          <w:rtl/>
        </w:rPr>
        <w:t>السياقي</w:t>
      </w:r>
      <w:proofErr w:type="spellEnd"/>
      <w:r w:rsidRPr="00D3643E">
        <w:rPr>
          <w:rFonts w:ascii="Simplified Arabic" w:hAnsi="Simplified Arabic" w:cs="Simplified Arabic"/>
          <w:sz w:val="28"/>
          <w:szCs w:val="28"/>
          <w:rtl/>
        </w:rPr>
        <w:t>، الأمر الذي يعيد تشكيل بنية التفاعل بين المستخدم والمنظمة والبيئة المعلوماتية المحيطة بها</w:t>
      </w:r>
      <w:r w:rsidR="00F96C5F">
        <w:rPr>
          <w:rFonts w:ascii="Simplified Arabic" w:hAnsi="Simplified Arabic" w:cs="Simplified Arabic" w:hint="cs"/>
          <w:sz w:val="28"/>
          <w:szCs w:val="28"/>
          <w:rtl/>
        </w:rPr>
        <w:t xml:space="preserve"> </w:t>
      </w:r>
      <w:r w:rsidRPr="00D3643E">
        <w:rPr>
          <w:rFonts w:ascii="Simplified Arabic" w:hAnsi="Simplified Arabic" w:cs="Simplified Arabic"/>
          <w:sz w:val="28"/>
          <w:szCs w:val="28"/>
        </w:rPr>
        <w:t>(IBM, 2023; S</w:t>
      </w:r>
      <w:r w:rsidR="00F96C5F">
        <w:rPr>
          <w:rFonts w:ascii="Simplified Arabic" w:hAnsi="Simplified Arabic" w:cs="Simplified Arabic"/>
          <w:sz w:val="28"/>
          <w:szCs w:val="28"/>
        </w:rPr>
        <w:t>AP, 2024; Handler et al., 2024)</w:t>
      </w:r>
      <w:r w:rsidR="00F96C5F">
        <w:rPr>
          <w:rFonts w:ascii="Simplified Arabic" w:hAnsi="Simplified Arabic" w:cs="Simplified Arabic" w:hint="cs"/>
          <w:sz w:val="28"/>
          <w:szCs w:val="28"/>
          <w:rtl/>
          <w:lang w:bidi="ar-EG"/>
        </w:rPr>
        <w:t>.</w:t>
      </w:r>
      <w:r w:rsidRPr="00D3643E">
        <w:rPr>
          <w:rFonts w:ascii="Simplified Arabic" w:hAnsi="Simplified Arabic" w:cs="Simplified Arabic"/>
          <w:sz w:val="28"/>
          <w:szCs w:val="28"/>
        </w:rPr>
        <w:t xml:space="preserve"> </w:t>
      </w:r>
      <w:r w:rsidRPr="00D3643E">
        <w:rPr>
          <w:rFonts w:ascii="Simplified Arabic" w:hAnsi="Simplified Arabic" w:cs="Simplified Arabic"/>
          <w:sz w:val="28"/>
          <w:szCs w:val="28"/>
          <w:rtl/>
        </w:rPr>
        <w:t>ومن ثم، فإن القيمة التنظيمية لهذه النماذج لا تكمن في قدرتها على إنتاج اللغة فقط، بل في قدرتها على تقليل العبء المعرفي، وتوسيع نطاق الاستفادة من البيانات، وتعزيز السرعة في الوصول إلى المعلومة ذات الصلة</w:t>
      </w:r>
      <w:r w:rsidRPr="00D3643E">
        <w:rPr>
          <w:rFonts w:ascii="Simplified Arabic" w:hAnsi="Simplified Arabic" w:cs="Simplified Arabic"/>
          <w:sz w:val="28"/>
          <w:szCs w:val="28"/>
        </w:rPr>
        <w:t>.</w:t>
      </w:r>
    </w:p>
    <w:p w14:paraId="2ADC81C2" w14:textId="77777777" w:rsidR="001F752B" w:rsidRPr="001F752B"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ويعكس هذا التحول انتقالًا من الأنظمة القائمة على الاسترجاع إلى الأنظمة التوليدية، حيث أصبحت النماذج قادرة على التفاعل مع الأسئلة والسياقات المتغيرة، وصياغة إجابات تتجاوز التكرار الآلي للمحتوى إلى بناء مخرجات ذات بعد تحليلي ومعرفي. وبهذا المعنى، أصبحت نماذج اللغة الضخمة أداة تنظيمية ومعرفية في آن واحد، لأنها تسهم في إعادة تشكيل كيفية إنتاج المعرفة وتداولها داخل المنظمات الحديثة، خاصة في القطاعات التي تعتمد على كثافة المعلومات وسرعة القرار</w:t>
      </w:r>
      <w:r w:rsidRPr="00D3643E">
        <w:rPr>
          <w:rFonts w:ascii="Simplified Arabic" w:hAnsi="Simplified Arabic" w:cs="Simplified Arabic"/>
          <w:sz w:val="28"/>
          <w:szCs w:val="28"/>
        </w:rPr>
        <w:t>(Burton et al., 2024; Teubner et al., 2023; MIT</w:t>
      </w:r>
      <w:r>
        <w:rPr>
          <w:rFonts w:ascii="Simplified Arabic" w:hAnsi="Simplified Arabic" w:cs="Simplified Arabic"/>
          <w:sz w:val="28"/>
          <w:szCs w:val="28"/>
        </w:rPr>
        <w:t xml:space="preserve"> Sloan Management Review, 2024)</w:t>
      </w:r>
      <w:r w:rsidR="001F752B" w:rsidRPr="001F752B">
        <w:rPr>
          <w:rFonts w:ascii="Simplified Arabic" w:hAnsi="Simplified Arabic" w:cs="Simplified Arabic"/>
          <w:sz w:val="28"/>
          <w:szCs w:val="28"/>
        </w:rPr>
        <w:t>.</w:t>
      </w:r>
    </w:p>
    <w:p w14:paraId="686AAB6B" w14:textId="77777777" w:rsidR="001F752B" w:rsidRPr="001F752B"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(5-3-2) علاقة </w:t>
      </w:r>
      <w:r w:rsidR="001F752B" w:rsidRPr="001F752B">
        <w:rPr>
          <w:rFonts w:ascii="Simplified Arabic" w:hAnsi="Simplified Arabic" w:cs="Simplified Arabic"/>
          <w:b/>
          <w:bCs/>
          <w:sz w:val="28"/>
          <w:szCs w:val="28"/>
          <w:rtl/>
        </w:rPr>
        <w:t xml:space="preserve">نماذج اللغة الضخمة </w:t>
      </w:r>
      <w:r>
        <w:rPr>
          <w:rFonts w:ascii="Simplified Arabic" w:hAnsi="Simplified Arabic" w:cs="Simplified Arabic" w:hint="cs"/>
          <w:b/>
          <w:bCs/>
          <w:sz w:val="28"/>
          <w:szCs w:val="28"/>
          <w:rtl/>
        </w:rPr>
        <w:t>ب</w:t>
      </w:r>
      <w:r w:rsidR="001F752B" w:rsidRPr="001F752B">
        <w:rPr>
          <w:rFonts w:ascii="Simplified Arabic" w:hAnsi="Simplified Arabic" w:cs="Simplified Arabic"/>
          <w:b/>
          <w:bCs/>
          <w:sz w:val="28"/>
          <w:szCs w:val="28"/>
          <w:rtl/>
        </w:rPr>
        <w:t>دعم القرار التنظيمي</w:t>
      </w:r>
    </w:p>
    <w:p w14:paraId="5F3F0DB2" w14:textId="77777777" w:rsidR="00D3643E" w:rsidRPr="00D3643E" w:rsidRDefault="00F96C5F" w:rsidP="00F96C5F">
      <w:pPr>
        <w:spacing w:after="0"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ي</w:t>
      </w:r>
      <w:r w:rsidR="00D3643E" w:rsidRPr="00D3643E">
        <w:rPr>
          <w:rFonts w:ascii="Simplified Arabic" w:hAnsi="Simplified Arabic" w:cs="Simplified Arabic"/>
          <w:sz w:val="28"/>
          <w:szCs w:val="28"/>
          <w:rtl/>
        </w:rPr>
        <w:t>ؤدي توظيف نماذج اللغة الضخمة</w:t>
      </w:r>
      <w:r w:rsidR="00D3643E" w:rsidRPr="00D3643E">
        <w:rPr>
          <w:rFonts w:ascii="Simplified Arabic" w:hAnsi="Simplified Arabic" w:cs="Simplified Arabic"/>
          <w:sz w:val="28"/>
          <w:szCs w:val="28"/>
        </w:rPr>
        <w:t xml:space="preserve"> (Large Language Models) </w:t>
      </w:r>
      <w:r w:rsidR="00D3643E" w:rsidRPr="00D3643E">
        <w:rPr>
          <w:rFonts w:ascii="Simplified Arabic" w:hAnsi="Simplified Arabic" w:cs="Simplified Arabic"/>
          <w:sz w:val="28"/>
          <w:szCs w:val="28"/>
          <w:rtl/>
        </w:rPr>
        <w:t>داخل البيئات التنظيمية إلى إعادة تشكيل جوهرية لمراحل عملية اتخاذ القرار؛ إذ تتدخل هذه الأدوات التوليدية كمحركات متقدمة لمعالجة البيانات غير المهيكلة وتلخيصها، مما يرفد مرحلة الاستخلاص المعلوماتي بمدخلات عالية الكثافة، فضلاً عن دورها في توليد البدائل وصياغة السيناريوهات الاحتمالية المقارنة لتوضيح الآثار المستقبلية للقرارات</w:t>
      </w:r>
      <w:r>
        <w:rPr>
          <w:rFonts w:ascii="Simplified Arabic" w:hAnsi="Simplified Arabic" w:cs="Simplified Arabic" w:hint="cs"/>
          <w:sz w:val="28"/>
          <w:szCs w:val="28"/>
          <w:rtl/>
        </w:rPr>
        <w:t xml:space="preserve"> </w:t>
      </w:r>
      <w:r w:rsidR="00D3643E" w:rsidRPr="00D3643E">
        <w:rPr>
          <w:rFonts w:ascii="Simplified Arabic" w:hAnsi="Simplified Arabic" w:cs="Simplified Arabic"/>
          <w:sz w:val="28"/>
          <w:szCs w:val="28"/>
        </w:rPr>
        <w:t>(Burton et a</w:t>
      </w:r>
      <w:r>
        <w:rPr>
          <w:rFonts w:ascii="Simplified Arabic" w:hAnsi="Simplified Arabic" w:cs="Simplified Arabic"/>
          <w:sz w:val="28"/>
          <w:szCs w:val="28"/>
        </w:rPr>
        <w:t>l., 2024; Handler et al., 2024)</w:t>
      </w:r>
      <w:r>
        <w:rPr>
          <w:rFonts w:ascii="Simplified Arabic" w:hAnsi="Simplified Arabic" w:cs="Simplified Arabic" w:hint="cs"/>
          <w:sz w:val="28"/>
          <w:szCs w:val="28"/>
          <w:rtl/>
          <w:lang w:bidi="ar-EG"/>
        </w:rPr>
        <w:t>.</w:t>
      </w:r>
      <w:r w:rsidR="00D3643E" w:rsidRPr="00D3643E">
        <w:rPr>
          <w:rFonts w:ascii="Simplified Arabic" w:hAnsi="Simplified Arabic" w:cs="Simplified Arabic"/>
          <w:sz w:val="28"/>
          <w:szCs w:val="28"/>
        </w:rPr>
        <w:t xml:space="preserve"> </w:t>
      </w:r>
      <w:r w:rsidR="00D3643E" w:rsidRPr="00D3643E">
        <w:rPr>
          <w:rFonts w:ascii="Simplified Arabic" w:hAnsi="Simplified Arabic" w:cs="Simplified Arabic"/>
          <w:sz w:val="28"/>
          <w:szCs w:val="28"/>
          <w:rtl/>
        </w:rPr>
        <w:t xml:space="preserve">ومع ذلك، فإن هذا الدور المعرفي المتنامي لا يشير بالضرورة إلى إحلالٍ كامل للقرار البشري، بل يعبر عن إعادة توزيع وظيفي لعمليات معالجة المعلومات داخل النظام التنظيمي؛ حيث تُظهر الأبحاث </w:t>
      </w:r>
      <w:r w:rsidR="00D3643E" w:rsidRPr="00D3643E">
        <w:rPr>
          <w:rFonts w:ascii="Simplified Arabic" w:hAnsi="Simplified Arabic" w:cs="Simplified Arabic"/>
          <w:sz w:val="28"/>
          <w:szCs w:val="28"/>
          <w:rtl/>
        </w:rPr>
        <w:lastRenderedPageBreak/>
        <w:t>المحكمة أن القيمة التحليلية الفائقة لهذه النماذج تظل رهينة طبيعة التكامل الديناميكي بين قدرات الذكاء الاصطناعي والخبرة الإنسانية السياقية، فالأخيرة هي التي تمنح المخرجات شرعيتها التفسيرية والتقويمية</w:t>
      </w:r>
      <w:r w:rsidR="00D3643E" w:rsidRPr="00D3643E">
        <w:rPr>
          <w:rFonts w:ascii="Simplified Arabic" w:hAnsi="Simplified Arabic" w:cs="Simplified Arabic"/>
          <w:sz w:val="28"/>
          <w:szCs w:val="28"/>
        </w:rPr>
        <w:t>(</w:t>
      </w:r>
      <w:proofErr w:type="spellStart"/>
      <w:r w:rsidR="00D3643E" w:rsidRPr="00D3643E">
        <w:rPr>
          <w:rFonts w:ascii="Simplified Arabic" w:hAnsi="Simplified Arabic" w:cs="Simplified Arabic"/>
          <w:sz w:val="28"/>
          <w:szCs w:val="28"/>
        </w:rPr>
        <w:t>Kytainyk</w:t>
      </w:r>
      <w:proofErr w:type="spellEnd"/>
      <w:r>
        <w:rPr>
          <w:rFonts w:ascii="Simplified Arabic" w:hAnsi="Simplified Arabic" w:cs="Simplified Arabic"/>
          <w:sz w:val="28"/>
          <w:szCs w:val="28"/>
        </w:rPr>
        <w:t xml:space="preserve"> et al., 2025; Li et al., 2025)</w:t>
      </w:r>
      <w:r>
        <w:rPr>
          <w:rFonts w:ascii="Simplified Arabic" w:hAnsi="Simplified Arabic" w:cs="Simplified Arabic" w:hint="cs"/>
          <w:sz w:val="28"/>
          <w:szCs w:val="28"/>
          <w:rtl/>
          <w:lang w:bidi="ar-EG"/>
        </w:rPr>
        <w:t>.</w:t>
      </w:r>
    </w:p>
    <w:p w14:paraId="10FD601A" w14:textId="77777777" w:rsidR="001F752B" w:rsidRPr="001F752B" w:rsidRDefault="00D3643E" w:rsidP="00F96C5F">
      <w:pPr>
        <w:spacing w:after="0" w:line="240" w:lineRule="auto"/>
        <w:ind w:firstLine="720"/>
        <w:jc w:val="both"/>
        <w:rPr>
          <w:rFonts w:ascii="Simplified Arabic" w:hAnsi="Simplified Arabic" w:cs="Simplified Arabic"/>
          <w:sz w:val="28"/>
          <w:szCs w:val="28"/>
          <w:rtl/>
          <w:lang w:bidi="ar-EG"/>
        </w:rPr>
      </w:pPr>
      <w:r w:rsidRPr="00D3643E">
        <w:rPr>
          <w:rFonts w:ascii="Simplified Arabic" w:hAnsi="Simplified Arabic" w:cs="Simplified Arabic"/>
          <w:sz w:val="28"/>
          <w:szCs w:val="28"/>
          <w:rtl/>
        </w:rPr>
        <w:t xml:space="preserve">بناءً على ذلك، يتحدد موقع نماذج اللغة الضخمة في هيكل القرار بوصفها آلية تعزيز وتوسيع للقدرة الاستيعابية للمنظمة، وليس كبديل مستقل عنها؛ فهي تعمل على رفع كفاءة معالجة التدفقات المعلوماتية المعقدة، مما يساهم مباشرة في خفض مستويات العبء المعرفي الملقى على عاتق القادة </w:t>
      </w:r>
      <w:proofErr w:type="spellStart"/>
      <w:r w:rsidRPr="00D3643E">
        <w:rPr>
          <w:rFonts w:ascii="Simplified Arabic" w:hAnsi="Simplified Arabic" w:cs="Simplified Arabic"/>
          <w:sz w:val="28"/>
          <w:szCs w:val="28"/>
          <w:rtl/>
        </w:rPr>
        <w:t>التنفذيين</w:t>
      </w:r>
      <w:proofErr w:type="spellEnd"/>
      <w:r w:rsidRPr="00D3643E">
        <w:rPr>
          <w:rFonts w:ascii="Simplified Arabic" w:hAnsi="Simplified Arabic" w:cs="Simplified Arabic"/>
          <w:sz w:val="28"/>
          <w:szCs w:val="28"/>
          <w:rtl/>
        </w:rPr>
        <w:t xml:space="preserve"> عند مواجهة البيئات سريعة التغير</w:t>
      </w:r>
      <w:r w:rsidRPr="00D3643E">
        <w:rPr>
          <w:rFonts w:ascii="Simplified Arabic" w:hAnsi="Simplified Arabic" w:cs="Simplified Arabic"/>
          <w:sz w:val="28"/>
          <w:szCs w:val="28"/>
        </w:rPr>
        <w:t xml:space="preserve"> (Galbrai</w:t>
      </w:r>
      <w:r>
        <w:rPr>
          <w:rFonts w:ascii="Simplified Arabic" w:hAnsi="Simplified Arabic" w:cs="Simplified Arabic"/>
          <w:sz w:val="28"/>
          <w:szCs w:val="28"/>
        </w:rPr>
        <w:t>th, 1974; Handler et al., 2024)</w:t>
      </w:r>
      <w:r w:rsidR="001F752B" w:rsidRPr="001F752B">
        <w:rPr>
          <w:rFonts w:ascii="Simplified Arabic" w:hAnsi="Simplified Arabic" w:cs="Simplified Arabic"/>
          <w:sz w:val="28"/>
          <w:szCs w:val="28"/>
        </w:rPr>
        <w:t>.</w:t>
      </w:r>
    </w:p>
    <w:p w14:paraId="635C7147" w14:textId="77777777" w:rsidR="001F752B" w:rsidRPr="001F752B"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(5-3-3) </w:t>
      </w:r>
      <w:r w:rsidR="001F752B" w:rsidRPr="001F752B">
        <w:rPr>
          <w:rFonts w:ascii="Simplified Arabic" w:hAnsi="Simplified Arabic" w:cs="Simplified Arabic"/>
          <w:b/>
          <w:bCs/>
          <w:sz w:val="28"/>
          <w:szCs w:val="28"/>
          <w:rtl/>
        </w:rPr>
        <w:t>الأثر التنظيمي والاستراتيجي لنماذج اللغة الضخمة</w:t>
      </w:r>
    </w:p>
    <w:p w14:paraId="6C729498" w14:textId="77777777" w:rsidR="00D3643E" w:rsidRPr="00D3643E" w:rsidRDefault="00D3643E" w:rsidP="00F96C5F">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يتجاوز دمج نماذج اللغة الضخمة</w:t>
      </w:r>
      <w:r w:rsidRPr="00D3643E">
        <w:rPr>
          <w:rFonts w:ascii="Simplified Arabic" w:hAnsi="Simplified Arabic" w:cs="Simplified Arabic"/>
          <w:sz w:val="28"/>
          <w:szCs w:val="28"/>
        </w:rPr>
        <w:t xml:space="preserve"> (LLMs) </w:t>
      </w:r>
      <w:r w:rsidRPr="00D3643E">
        <w:rPr>
          <w:rFonts w:ascii="Simplified Arabic" w:hAnsi="Simplified Arabic" w:cs="Simplified Arabic"/>
          <w:sz w:val="28"/>
          <w:szCs w:val="28"/>
          <w:rtl/>
        </w:rPr>
        <w:t>في العمليات التنظيمية حدود النظرة التقليدية لأتمتة المهام، ليمتد نحو تعزيز البنى المعرفية وإعادة تشكيل القدرات الديناميكية للمنظمة. وتسهم هذه الأدوات التوليدية في تسريع آليات استشعار المتغيرات البيئية، وتوسيع آفاق التحليل الاستراتيجي، فضلاً عن رفع مرونة المنظمة في توليد البدائل وتقليص زمن الاستجابة، مما ينعكس إيجاباً على مستوى الرشاقة الاستراتيجية والتنظيمية</w:t>
      </w:r>
      <w:r w:rsidRPr="00D3643E">
        <w:rPr>
          <w:rFonts w:ascii="Simplified Arabic" w:hAnsi="Simplified Arabic" w:cs="Simplified Arabic"/>
          <w:sz w:val="28"/>
          <w:szCs w:val="28"/>
        </w:rPr>
        <w:t xml:space="preserve"> (</w:t>
      </w:r>
      <w:proofErr w:type="spellStart"/>
      <w:r w:rsidRPr="00D3643E">
        <w:rPr>
          <w:rFonts w:ascii="Simplified Arabic" w:hAnsi="Simplified Arabic" w:cs="Simplified Arabic"/>
          <w:sz w:val="28"/>
          <w:szCs w:val="28"/>
        </w:rPr>
        <w:t>Almelhes</w:t>
      </w:r>
      <w:proofErr w:type="spellEnd"/>
      <w:r w:rsidRPr="00D3643E">
        <w:rPr>
          <w:rFonts w:ascii="Simplified Arabic" w:hAnsi="Simplified Arabic" w:cs="Simplified Arabic"/>
          <w:sz w:val="28"/>
          <w:szCs w:val="28"/>
        </w:rPr>
        <w:t>, 2025; Atienza-Ba</w:t>
      </w:r>
      <w:r w:rsidR="00BD0786">
        <w:rPr>
          <w:rFonts w:ascii="Simplified Arabic" w:hAnsi="Simplified Arabic" w:cs="Simplified Arabic"/>
          <w:sz w:val="28"/>
          <w:szCs w:val="28"/>
        </w:rPr>
        <w:t>rba et al., 2024; Teece, 2007)</w:t>
      </w:r>
      <w:r w:rsidR="00BD0786">
        <w:rPr>
          <w:rFonts w:ascii="Simplified Arabic" w:hAnsi="Simplified Arabic" w:cs="Simplified Arabic" w:hint="cs"/>
          <w:sz w:val="28"/>
          <w:szCs w:val="28"/>
          <w:rtl/>
          <w:lang w:bidi="ar-EG"/>
        </w:rPr>
        <w:t xml:space="preserve">. </w:t>
      </w:r>
      <w:r w:rsidRPr="00D3643E">
        <w:rPr>
          <w:rFonts w:ascii="Simplified Arabic" w:hAnsi="Simplified Arabic" w:cs="Simplified Arabic"/>
          <w:sz w:val="28"/>
          <w:szCs w:val="28"/>
          <w:rtl/>
        </w:rPr>
        <w:t>وتتلاقى هذه التحولات الرقمية مع ركائز مدرسة القدرات الديناميكية المعاصرة</w:t>
      </w:r>
      <w:r w:rsidRPr="00D3643E">
        <w:rPr>
          <w:rFonts w:ascii="Simplified Arabic" w:hAnsi="Simplified Arabic" w:cs="Simplified Arabic"/>
          <w:sz w:val="28"/>
          <w:szCs w:val="28"/>
        </w:rPr>
        <w:t xml:space="preserve"> (Teece, 2025)</w:t>
      </w:r>
      <w:r w:rsidRPr="00D3643E">
        <w:rPr>
          <w:rFonts w:ascii="Simplified Arabic" w:hAnsi="Simplified Arabic" w:cs="Simplified Arabic"/>
          <w:sz w:val="28"/>
          <w:szCs w:val="28"/>
          <w:rtl/>
        </w:rPr>
        <w:t>، والتي ترى في التقنيات الذكية رافعة أساسية لتمكين المنظمات من التكيف المستمر وإعادة تخصيص مواردها المعرفية لمواجهة الاضطرابات البيئية</w:t>
      </w:r>
      <w:r w:rsidRPr="00D3643E">
        <w:rPr>
          <w:rFonts w:ascii="Simplified Arabic" w:hAnsi="Simplified Arabic" w:cs="Simplified Arabic"/>
          <w:sz w:val="28"/>
          <w:szCs w:val="28"/>
        </w:rPr>
        <w:t>.</w:t>
      </w:r>
    </w:p>
    <w:p w14:paraId="02BB8954" w14:textId="77777777" w:rsidR="008220F3" w:rsidRDefault="00D3643E" w:rsidP="008220F3">
      <w:pPr>
        <w:spacing w:after="0" w:line="240" w:lineRule="auto"/>
        <w:ind w:firstLine="720"/>
        <w:jc w:val="both"/>
        <w:rPr>
          <w:rFonts w:ascii="Simplified Arabic" w:hAnsi="Simplified Arabic" w:cs="Simplified Arabic"/>
          <w:sz w:val="28"/>
          <w:szCs w:val="28"/>
          <w:rtl/>
        </w:rPr>
      </w:pPr>
      <w:r w:rsidRPr="00D3643E">
        <w:rPr>
          <w:rFonts w:ascii="Simplified Arabic" w:hAnsi="Simplified Arabic" w:cs="Simplified Arabic"/>
          <w:sz w:val="28"/>
          <w:szCs w:val="28"/>
          <w:rtl/>
        </w:rPr>
        <w:t xml:space="preserve">يرتبط تعظيم الأثر الاستراتيجي لهذه النماذج التوليدية بارتباط شرطي وثيق بمجموعة من المحددات الهيكلية، تتبلور في جودة البنية المعلوماتية ودرجة نضج البيئة </w:t>
      </w:r>
      <w:proofErr w:type="spellStart"/>
      <w:r w:rsidRPr="00D3643E">
        <w:rPr>
          <w:rFonts w:ascii="Simplified Arabic" w:hAnsi="Simplified Arabic" w:cs="Simplified Arabic"/>
          <w:sz w:val="28"/>
          <w:szCs w:val="28"/>
          <w:rtl/>
        </w:rPr>
        <w:t>الحوكمية</w:t>
      </w:r>
      <w:proofErr w:type="spellEnd"/>
      <w:r w:rsidRPr="00D3643E">
        <w:rPr>
          <w:rFonts w:ascii="Simplified Arabic" w:hAnsi="Simplified Arabic" w:cs="Simplified Arabic"/>
          <w:sz w:val="28"/>
          <w:szCs w:val="28"/>
          <w:rtl/>
        </w:rPr>
        <w:t xml:space="preserve"> داخل المنظمة. وتكشف الأبحاث النقدية أن غياب الأطر الضابطة لحركة المخرجات قد يؤدي إلى تضخيم </w:t>
      </w:r>
      <w:proofErr w:type="spellStart"/>
      <w:r w:rsidRPr="00D3643E">
        <w:rPr>
          <w:rFonts w:ascii="Simplified Arabic" w:hAnsi="Simplified Arabic" w:cs="Simplified Arabic"/>
          <w:sz w:val="28"/>
          <w:szCs w:val="28"/>
          <w:rtl/>
        </w:rPr>
        <w:t>الانحيازات</w:t>
      </w:r>
      <w:proofErr w:type="spellEnd"/>
      <w:r w:rsidRPr="00D3643E">
        <w:rPr>
          <w:rFonts w:ascii="Simplified Arabic" w:hAnsi="Simplified Arabic" w:cs="Simplified Arabic"/>
          <w:sz w:val="28"/>
          <w:szCs w:val="28"/>
          <w:rtl/>
        </w:rPr>
        <w:t xml:space="preserve"> الكامنة في البيانات أو توليد معلومات مضللة، مما يهدد دقة القرارات الاستراتيجية</w:t>
      </w:r>
      <w:r w:rsidRPr="00D3643E">
        <w:rPr>
          <w:rFonts w:ascii="Simplified Arabic" w:hAnsi="Simplified Arabic" w:cs="Simplified Arabic"/>
          <w:sz w:val="28"/>
          <w:szCs w:val="28"/>
        </w:rPr>
        <w:t xml:space="preserve"> (Handler et a</w:t>
      </w:r>
      <w:r w:rsidR="00BD0786">
        <w:rPr>
          <w:rFonts w:ascii="Simplified Arabic" w:hAnsi="Simplified Arabic" w:cs="Simplified Arabic"/>
          <w:sz w:val="28"/>
          <w:szCs w:val="28"/>
        </w:rPr>
        <w:t xml:space="preserve">l., 2024; </w:t>
      </w:r>
      <w:proofErr w:type="spellStart"/>
      <w:r w:rsidR="00BD0786">
        <w:rPr>
          <w:rFonts w:ascii="Simplified Arabic" w:hAnsi="Simplified Arabic" w:cs="Simplified Arabic"/>
          <w:sz w:val="28"/>
          <w:szCs w:val="28"/>
        </w:rPr>
        <w:t>Pahune</w:t>
      </w:r>
      <w:proofErr w:type="spellEnd"/>
      <w:r w:rsidR="00BD0786">
        <w:rPr>
          <w:rFonts w:ascii="Simplified Arabic" w:hAnsi="Simplified Arabic" w:cs="Simplified Arabic"/>
          <w:sz w:val="28"/>
          <w:szCs w:val="28"/>
        </w:rPr>
        <w:t xml:space="preserve"> et al., 2025)</w:t>
      </w:r>
      <w:r w:rsidR="00BD0786">
        <w:rPr>
          <w:rFonts w:ascii="Simplified Arabic" w:hAnsi="Simplified Arabic" w:cs="Simplified Arabic" w:hint="cs"/>
          <w:sz w:val="28"/>
          <w:szCs w:val="28"/>
          <w:rtl/>
          <w:lang w:bidi="ar-EG"/>
        </w:rPr>
        <w:t xml:space="preserve">. </w:t>
      </w:r>
      <w:r w:rsidRPr="00D3643E">
        <w:rPr>
          <w:rFonts w:ascii="Simplified Arabic" w:hAnsi="Simplified Arabic" w:cs="Simplified Arabic"/>
          <w:sz w:val="28"/>
          <w:szCs w:val="28"/>
          <w:rtl/>
        </w:rPr>
        <w:t>ومن ثم، يتطلب المشهد التنظيمي صياغة حوكمة صارمة للمعلومات تتخطى الأنماط التقليدية، بهدف ضمان موثوقية النماذج اللغوية وتحويلها إلى ميزة تنافسية مستدامة تحمي الهوية المعرفية للمؤسسة</w:t>
      </w:r>
      <w:r w:rsidR="008220F3">
        <w:rPr>
          <w:rFonts w:ascii="Simplified Arabic" w:hAnsi="Simplified Arabic" w:cs="Simplified Arabic"/>
          <w:sz w:val="28"/>
          <w:szCs w:val="28"/>
        </w:rPr>
        <w:t>.</w:t>
      </w:r>
    </w:p>
    <w:p w14:paraId="6F90039A" w14:textId="77777777" w:rsidR="001F752B" w:rsidRPr="008220F3" w:rsidRDefault="00D3643E" w:rsidP="008220F3">
      <w:pPr>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(5-3-4) </w:t>
      </w:r>
      <w:r w:rsidR="001F752B" w:rsidRPr="001F752B">
        <w:rPr>
          <w:rFonts w:ascii="Simplified Arabic" w:hAnsi="Simplified Arabic" w:cs="Simplified Arabic"/>
          <w:b/>
          <w:bCs/>
          <w:sz w:val="28"/>
          <w:szCs w:val="28"/>
          <w:rtl/>
        </w:rPr>
        <w:t>حوكمة نماذج اللغة الضخمة داخل المنظمات</w:t>
      </w:r>
    </w:p>
    <w:p w14:paraId="02E70B9C" w14:textId="77777777" w:rsidR="00D3643E" w:rsidRPr="00D3643E" w:rsidRDefault="00D3643E" w:rsidP="00BD0786">
      <w:pPr>
        <w:spacing w:after="0" w:line="240" w:lineRule="auto"/>
        <w:ind w:firstLine="720"/>
        <w:jc w:val="both"/>
        <w:rPr>
          <w:rFonts w:ascii="Simplified Arabic" w:hAnsi="Simplified Arabic" w:cs="Simplified Arabic"/>
          <w:sz w:val="28"/>
          <w:szCs w:val="28"/>
        </w:rPr>
      </w:pPr>
      <w:r w:rsidRPr="00D3643E">
        <w:rPr>
          <w:rFonts w:ascii="Simplified Arabic" w:hAnsi="Simplified Arabic" w:cs="Simplified Arabic"/>
          <w:sz w:val="28"/>
          <w:szCs w:val="28"/>
          <w:rtl/>
        </w:rPr>
        <w:t xml:space="preserve">تؤكد أدبيات الإدارة الرقمية أن إدماج نماذج اللغة الضخمة في النسيج المؤسسي لا يمكن أن يحقق كفاءته القصوى دون تأسيس إطار </w:t>
      </w:r>
      <w:proofErr w:type="spellStart"/>
      <w:r w:rsidRPr="00D3643E">
        <w:rPr>
          <w:rFonts w:ascii="Simplified Arabic" w:hAnsi="Simplified Arabic" w:cs="Simplified Arabic"/>
          <w:sz w:val="28"/>
          <w:szCs w:val="28"/>
          <w:rtl/>
        </w:rPr>
        <w:t>حوكمي</w:t>
      </w:r>
      <w:proofErr w:type="spellEnd"/>
      <w:r w:rsidRPr="00D3643E">
        <w:rPr>
          <w:rFonts w:ascii="Simplified Arabic" w:hAnsi="Simplified Arabic" w:cs="Simplified Arabic"/>
          <w:sz w:val="28"/>
          <w:szCs w:val="28"/>
          <w:rtl/>
        </w:rPr>
        <w:t xml:space="preserve"> شامل ينظم عمليات الاستخدام، والرقابة، </w:t>
      </w:r>
      <w:r w:rsidRPr="00D3643E">
        <w:rPr>
          <w:rFonts w:ascii="Simplified Arabic" w:hAnsi="Simplified Arabic" w:cs="Simplified Arabic"/>
          <w:sz w:val="28"/>
          <w:szCs w:val="28"/>
          <w:rtl/>
        </w:rPr>
        <w:lastRenderedPageBreak/>
        <w:t xml:space="preserve">والمساءلة الأخلاقية والتقنية. ويتضمن هذا الإطار المعياري صياغة سياسات واضحة لإدارة المخاطر </w:t>
      </w:r>
      <w:proofErr w:type="spellStart"/>
      <w:r w:rsidRPr="00D3643E">
        <w:rPr>
          <w:rFonts w:ascii="Simplified Arabic" w:hAnsi="Simplified Arabic" w:cs="Simplified Arabic"/>
          <w:sz w:val="28"/>
          <w:szCs w:val="28"/>
          <w:rtl/>
        </w:rPr>
        <w:t>الحوسبية</w:t>
      </w:r>
      <w:proofErr w:type="spellEnd"/>
      <w:r w:rsidRPr="00D3643E">
        <w:rPr>
          <w:rFonts w:ascii="Simplified Arabic" w:hAnsi="Simplified Arabic" w:cs="Simplified Arabic"/>
          <w:sz w:val="28"/>
          <w:szCs w:val="28"/>
          <w:rtl/>
        </w:rPr>
        <w:t>، ومحددات أمن البيانات، بالإضافة إلى معايير مستمرة لتقييم كفاءة النماذج التوليدية لضمان اتساق مخرجاتها مع التوجهات الاستراتيجية للمنظمة</w:t>
      </w:r>
      <w:r w:rsidRPr="00D3643E">
        <w:rPr>
          <w:rFonts w:ascii="Simplified Arabic" w:hAnsi="Simplified Arabic" w:cs="Simplified Arabic"/>
          <w:sz w:val="28"/>
          <w:szCs w:val="28"/>
        </w:rPr>
        <w:t xml:space="preserve"> (Aghaei et al., 202</w:t>
      </w:r>
      <w:r w:rsidR="00BD0786">
        <w:rPr>
          <w:rFonts w:ascii="Simplified Arabic" w:hAnsi="Simplified Arabic" w:cs="Simplified Arabic"/>
          <w:sz w:val="28"/>
          <w:szCs w:val="28"/>
        </w:rPr>
        <w:t>5; Atienza-Barba et al., 2024)</w:t>
      </w:r>
      <w:r w:rsidR="00BD0786">
        <w:rPr>
          <w:rFonts w:ascii="Simplified Arabic" w:hAnsi="Simplified Arabic" w:cs="Simplified Arabic" w:hint="cs"/>
          <w:sz w:val="28"/>
          <w:szCs w:val="28"/>
          <w:rtl/>
          <w:lang w:bidi="ar-EG"/>
        </w:rPr>
        <w:t xml:space="preserve">. </w:t>
      </w:r>
      <w:r w:rsidRPr="00D3643E">
        <w:rPr>
          <w:rFonts w:ascii="Simplified Arabic" w:hAnsi="Simplified Arabic" w:cs="Simplified Arabic"/>
          <w:sz w:val="28"/>
          <w:szCs w:val="28"/>
          <w:rtl/>
        </w:rPr>
        <w:t>ويأتي هذا التوجه متوافقاً مع النظم المعيارية لإدارة الذكاء الاصطناعي التي تسعى إلى ضبط العلاقة بين الامتثال التنظيمي والابتكار الاستراتيجي</w:t>
      </w:r>
      <w:r w:rsidRPr="00D3643E">
        <w:rPr>
          <w:rFonts w:ascii="Simplified Arabic" w:hAnsi="Simplified Arabic" w:cs="Simplified Arabic"/>
          <w:sz w:val="28"/>
          <w:szCs w:val="28"/>
        </w:rPr>
        <w:t xml:space="preserve"> (International Organization for Standardization, 2023).</w:t>
      </w:r>
    </w:p>
    <w:p w14:paraId="74B50FFF" w14:textId="77777777" w:rsidR="00BB6D2F" w:rsidRPr="00BB6D2F"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يتطلب التعامل مع النماذج اللغوية الكبيرة كأصول معرفية ديناميكية بناء نظام حوكمة يتجاوز حوكمة البيانات الساكنة ليتلاءم مع الطبيعة المتغيرة للمخرجات التوليدية. وتبرز في هذا الصدد الأهمية الاستراتيجية لتطوير بنى تقنية وسيطة تُعرف بـ "مراكز النماذج المؤسسية</w:t>
      </w:r>
      <w:r w:rsidRPr="00BB6D2F">
        <w:rPr>
          <w:rFonts w:ascii="Simplified Arabic" w:hAnsi="Simplified Arabic" w:cs="Simplified Arabic"/>
          <w:sz w:val="28"/>
          <w:szCs w:val="28"/>
        </w:rPr>
        <w:t>" (LLM Hubs)</w:t>
      </w:r>
      <w:r w:rsidRPr="00BB6D2F">
        <w:rPr>
          <w:rFonts w:ascii="Simplified Arabic" w:hAnsi="Simplified Arabic" w:cs="Simplified Arabic"/>
          <w:sz w:val="28"/>
          <w:szCs w:val="28"/>
          <w:rtl/>
        </w:rPr>
        <w:t xml:space="preserve">، والتي تمثل منصة مركزية للتحكم في صلاحيات الوصول، وضمان خصوصية البيانات، وربط العمليات </w:t>
      </w:r>
      <w:proofErr w:type="spellStart"/>
      <w:r w:rsidRPr="00BB6D2F">
        <w:rPr>
          <w:rFonts w:ascii="Simplified Arabic" w:hAnsi="Simplified Arabic" w:cs="Simplified Arabic"/>
          <w:sz w:val="28"/>
          <w:szCs w:val="28"/>
          <w:rtl/>
        </w:rPr>
        <w:t>الحوسبية</w:t>
      </w:r>
      <w:proofErr w:type="spellEnd"/>
      <w:r w:rsidRPr="00BB6D2F">
        <w:rPr>
          <w:rFonts w:ascii="Simplified Arabic" w:hAnsi="Simplified Arabic" w:cs="Simplified Arabic"/>
          <w:sz w:val="28"/>
          <w:szCs w:val="28"/>
          <w:rtl/>
        </w:rPr>
        <w:t xml:space="preserve"> بالسياسات والأهداف العليا للمنظمة</w:t>
      </w:r>
      <w:r w:rsidRPr="00BB6D2F">
        <w:rPr>
          <w:rFonts w:ascii="Simplified Arabic" w:hAnsi="Simplified Arabic" w:cs="Simplified Arabic"/>
          <w:sz w:val="28"/>
          <w:szCs w:val="28"/>
        </w:rPr>
        <w:t xml:space="preserve"> (Aghaei et a</w:t>
      </w:r>
      <w:r w:rsidR="00BD0786">
        <w:rPr>
          <w:rFonts w:ascii="Simplified Arabic" w:hAnsi="Simplified Arabic" w:cs="Simplified Arabic"/>
          <w:sz w:val="28"/>
          <w:szCs w:val="28"/>
        </w:rPr>
        <w:t xml:space="preserve">l., 2025; </w:t>
      </w:r>
      <w:proofErr w:type="spellStart"/>
      <w:r w:rsidR="00BD0786">
        <w:rPr>
          <w:rFonts w:ascii="Simplified Arabic" w:hAnsi="Simplified Arabic" w:cs="Simplified Arabic"/>
          <w:sz w:val="28"/>
          <w:szCs w:val="28"/>
        </w:rPr>
        <w:t>Pahune</w:t>
      </w:r>
      <w:proofErr w:type="spellEnd"/>
      <w:r w:rsidR="00BD0786">
        <w:rPr>
          <w:rFonts w:ascii="Simplified Arabic" w:hAnsi="Simplified Arabic" w:cs="Simplified Arabic"/>
          <w:sz w:val="28"/>
          <w:szCs w:val="28"/>
        </w:rPr>
        <w:t xml:space="preserve"> et al.,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وتساعد هذه الأطر التنظيمية الوسيطة في سد الفجوة بين التعقيد التقني المتسارع والقدرة الاستيعابية والتنظيمية للإدارة</w:t>
      </w:r>
      <w:r w:rsidRPr="00BB6D2F">
        <w:rPr>
          <w:rFonts w:ascii="Simplified Arabic" w:hAnsi="Simplified Arabic" w:cs="Simplified Arabic"/>
          <w:sz w:val="28"/>
          <w:szCs w:val="28"/>
        </w:rPr>
        <w:t>.</w:t>
      </w:r>
    </w:p>
    <w:p w14:paraId="6133AFE9" w14:textId="77777777" w:rsidR="001F752B" w:rsidRPr="001F752B"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(5-3-5) </w:t>
      </w:r>
      <w:r w:rsidR="001F752B" w:rsidRPr="001F752B">
        <w:rPr>
          <w:rFonts w:ascii="Simplified Arabic" w:hAnsi="Simplified Arabic" w:cs="Simplified Arabic"/>
          <w:b/>
          <w:bCs/>
          <w:sz w:val="28"/>
          <w:szCs w:val="28"/>
          <w:rtl/>
        </w:rPr>
        <w:t>نماذج اللغة الضخمة كآلية وسيطة في القيمة التنظيمية</w:t>
      </w:r>
    </w:p>
    <w:p w14:paraId="16F05B62"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تؤكد الرؤى الأكاديمية المعاصرة أن القيمة التنظيمية لنماذج اللغة الضخمة</w:t>
      </w:r>
      <w:r w:rsidRPr="00BB6D2F">
        <w:rPr>
          <w:rFonts w:ascii="Simplified Arabic" w:hAnsi="Simplified Arabic" w:cs="Simplified Arabic"/>
          <w:sz w:val="28"/>
          <w:szCs w:val="28"/>
        </w:rPr>
        <w:t xml:space="preserve"> (LLMs) </w:t>
      </w:r>
      <w:r w:rsidRPr="00BB6D2F">
        <w:rPr>
          <w:rFonts w:ascii="Simplified Arabic" w:hAnsi="Simplified Arabic" w:cs="Simplified Arabic"/>
          <w:sz w:val="28"/>
          <w:szCs w:val="28"/>
          <w:rtl/>
        </w:rPr>
        <w:t xml:space="preserve">لا تتولد بمعزل عن البنية المؤسسية، بل تنشأ من تفاعلها الديناميكي مع بنية حوكمة المعلومات داخل المنظمة. فبينما تمثل حوكمة المعلومات الطبقة البنيوية الضامنة لجودة واتساق المدخلات </w:t>
      </w:r>
      <w:proofErr w:type="spellStart"/>
      <w:r w:rsidRPr="00BB6D2F">
        <w:rPr>
          <w:rFonts w:ascii="Simplified Arabic" w:hAnsi="Simplified Arabic" w:cs="Simplified Arabic"/>
          <w:sz w:val="28"/>
          <w:szCs w:val="28"/>
          <w:rtl/>
        </w:rPr>
        <w:t>البياناتية</w:t>
      </w:r>
      <w:proofErr w:type="spellEnd"/>
      <w:r w:rsidRPr="00BB6D2F">
        <w:rPr>
          <w:rFonts w:ascii="Simplified Arabic" w:hAnsi="Simplified Arabic" w:cs="Simplified Arabic"/>
          <w:sz w:val="28"/>
          <w:szCs w:val="28"/>
          <w:rtl/>
        </w:rPr>
        <w:t>، تعمل نماذج اللغة الضخمة كطبقة تشغيلية متقدمة تتولى معالجة هذه المدخلات وتحويلها إلى معرفة تطبيقية تدعم عمليات القرار</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(Jahanbak</w:t>
      </w:r>
      <w:r w:rsidR="00BD0786">
        <w:rPr>
          <w:rFonts w:ascii="Simplified Arabic" w:hAnsi="Simplified Arabic" w:cs="Simplified Arabic"/>
          <w:sz w:val="28"/>
          <w:szCs w:val="28"/>
        </w:rPr>
        <w:t>hsh, 2025; Malik et al.,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ومن ثم، تبرز هذه النماذج في صورة آلية تحويل معرفي</w:t>
      </w:r>
      <w:r w:rsidRPr="00BB6D2F">
        <w:rPr>
          <w:rFonts w:ascii="Simplified Arabic" w:hAnsi="Simplified Arabic" w:cs="Simplified Arabic"/>
          <w:sz w:val="28"/>
          <w:szCs w:val="28"/>
        </w:rPr>
        <w:t xml:space="preserve"> (Knowledge Transformation Mechanism) </w:t>
      </w:r>
      <w:r w:rsidRPr="00BB6D2F">
        <w:rPr>
          <w:rFonts w:ascii="Simplified Arabic" w:hAnsi="Simplified Arabic" w:cs="Simplified Arabic"/>
          <w:sz w:val="28"/>
          <w:szCs w:val="28"/>
          <w:rtl/>
        </w:rPr>
        <w:t>محورية تسد الفجوة بين البيانات الضخمة والمعرفة القابلة للاستخدام الاستراتيجي، بما يتسق مع منظور معالجة المعلومات التنظيمية في مواجهة تعقد البيئة الخارجية</w:t>
      </w:r>
      <w:r w:rsidR="00BD0786">
        <w:rPr>
          <w:rFonts w:ascii="Simplified Arabic" w:hAnsi="Simplified Arabic" w:cs="Simplified Arabic"/>
          <w:sz w:val="28"/>
          <w:szCs w:val="28"/>
        </w:rPr>
        <w:t>(Galbraith, 1974)</w:t>
      </w:r>
      <w:r w:rsidR="00BD0786">
        <w:rPr>
          <w:rFonts w:ascii="Simplified Arabic" w:hAnsi="Simplified Arabic" w:cs="Simplified Arabic" w:hint="cs"/>
          <w:sz w:val="28"/>
          <w:szCs w:val="28"/>
          <w:rtl/>
          <w:lang w:bidi="ar-EG"/>
        </w:rPr>
        <w:t>.</w:t>
      </w:r>
    </w:p>
    <w:p w14:paraId="1DEE7AFF"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 xml:space="preserve">إن فاعلية هذه الآلية التحويلية تظل محكومة وارتباطية بدرجة نضج الحوكمة المعلوماتية والمؤسسية، والتي تحدد أطر تدفق البيانات ومستويات الاستخدام الآمن للنماذج التوليدية. ويُعزى ذلك إلى أن غياب البيئة </w:t>
      </w:r>
      <w:proofErr w:type="spellStart"/>
      <w:r w:rsidRPr="00BB6D2F">
        <w:rPr>
          <w:rFonts w:ascii="Simplified Arabic" w:hAnsi="Simplified Arabic" w:cs="Simplified Arabic"/>
          <w:sz w:val="28"/>
          <w:szCs w:val="28"/>
          <w:rtl/>
        </w:rPr>
        <w:t>الحوكمية</w:t>
      </w:r>
      <w:proofErr w:type="spellEnd"/>
      <w:r w:rsidRPr="00BB6D2F">
        <w:rPr>
          <w:rFonts w:ascii="Simplified Arabic" w:hAnsi="Simplified Arabic" w:cs="Simplified Arabic"/>
          <w:sz w:val="28"/>
          <w:szCs w:val="28"/>
          <w:rtl/>
        </w:rPr>
        <w:t xml:space="preserve"> الناضجة يعرض المنظمة لمخاطر "الانحراف المعرفي" المتمثل في هلوسة النماذج أو تضخيم تحيزاتها؛ مما يستلزم ربط القدرات التكنولوجية بأطر رقابية متطورة</w:t>
      </w:r>
      <w:r w:rsidRPr="00BB6D2F">
        <w:rPr>
          <w:rFonts w:ascii="Simplified Arabic" w:hAnsi="Simplified Arabic" w:cs="Simplified Arabic"/>
          <w:sz w:val="28"/>
          <w:szCs w:val="28"/>
        </w:rPr>
        <w:t xml:space="preserve"> </w:t>
      </w:r>
      <w:r w:rsidR="00BD0786">
        <w:rPr>
          <w:rFonts w:ascii="Simplified Arabic" w:hAnsi="Simplified Arabic" w:cs="Simplified Arabic"/>
          <w:sz w:val="28"/>
          <w:szCs w:val="28"/>
        </w:rPr>
        <w:lastRenderedPageBreak/>
        <w:t>(</w:t>
      </w:r>
      <w:proofErr w:type="spellStart"/>
      <w:r w:rsidR="00BD0786">
        <w:rPr>
          <w:rFonts w:ascii="Simplified Arabic" w:hAnsi="Simplified Arabic" w:cs="Simplified Arabic"/>
          <w:sz w:val="28"/>
          <w:szCs w:val="28"/>
        </w:rPr>
        <w:t>Pahune</w:t>
      </w:r>
      <w:proofErr w:type="spellEnd"/>
      <w:r w:rsidR="00BD0786">
        <w:rPr>
          <w:rFonts w:ascii="Simplified Arabic" w:hAnsi="Simplified Arabic" w:cs="Simplified Arabic"/>
          <w:sz w:val="28"/>
          <w:szCs w:val="28"/>
        </w:rPr>
        <w:t xml:space="preserve"> et al.,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وبناءً على ذلك، يصبح توجيه القدرات الديناميكية للمنظمة نحو بناء بيئة معلوماتية رصينة شرطاً أساسياً لضمان سلامة المخرجات التوليدية وتوجيهها نحو تحقيق الكفاءة الاستراتيجية</w:t>
      </w:r>
      <w:r w:rsidR="00BD0786">
        <w:rPr>
          <w:rFonts w:ascii="Simplified Arabic" w:hAnsi="Simplified Arabic" w:cs="Simplified Arabic" w:hint="cs"/>
          <w:sz w:val="28"/>
          <w:szCs w:val="28"/>
          <w:rtl/>
        </w:rPr>
        <w:t xml:space="preserve"> </w:t>
      </w:r>
      <w:r w:rsidR="00BD0786">
        <w:rPr>
          <w:rFonts w:ascii="Simplified Arabic" w:hAnsi="Simplified Arabic" w:cs="Simplified Arabic"/>
          <w:sz w:val="28"/>
          <w:szCs w:val="28"/>
        </w:rPr>
        <w:t>(Steiber &amp; Teece, 2026)</w:t>
      </w:r>
      <w:r w:rsidR="00BD0786">
        <w:rPr>
          <w:rFonts w:ascii="Simplified Arabic" w:hAnsi="Simplified Arabic" w:cs="Simplified Arabic" w:hint="cs"/>
          <w:sz w:val="28"/>
          <w:szCs w:val="28"/>
          <w:rtl/>
          <w:lang w:bidi="ar-EG"/>
        </w:rPr>
        <w:t>.</w:t>
      </w:r>
    </w:p>
    <w:p w14:paraId="60F14B8C" w14:textId="77777777" w:rsidR="001F752B" w:rsidRPr="001F752B"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(5-3-6) </w:t>
      </w:r>
      <w:r w:rsidR="001F752B" w:rsidRPr="001F752B">
        <w:rPr>
          <w:rFonts w:ascii="Simplified Arabic" w:hAnsi="Simplified Arabic" w:cs="Simplified Arabic"/>
          <w:b/>
          <w:bCs/>
          <w:sz w:val="28"/>
          <w:szCs w:val="28"/>
          <w:rtl/>
        </w:rPr>
        <w:t>موقع نماذج اللغة الضخمة في النموذج المفاهيمي للدراسة</w:t>
      </w:r>
    </w:p>
    <w:p w14:paraId="23EC1B91" w14:textId="77777777" w:rsidR="00BD0786" w:rsidRDefault="00BB6D2F" w:rsidP="00BD0786">
      <w:pPr>
        <w:spacing w:after="0" w:line="240" w:lineRule="auto"/>
        <w:ind w:firstLine="720"/>
        <w:jc w:val="both"/>
        <w:rPr>
          <w:rFonts w:ascii="Simplified Arabic" w:hAnsi="Simplified Arabic" w:cs="Simplified Arabic"/>
          <w:sz w:val="28"/>
          <w:szCs w:val="28"/>
          <w:rtl/>
        </w:rPr>
      </w:pPr>
      <w:r w:rsidRPr="00BB6D2F">
        <w:rPr>
          <w:rFonts w:ascii="Simplified Arabic" w:hAnsi="Simplified Arabic" w:cs="Simplified Arabic"/>
          <w:sz w:val="28"/>
          <w:szCs w:val="28"/>
          <w:rtl/>
        </w:rPr>
        <w:t>تأسيساً على المقاربات النظرية المتقدمة، يتحدد موقع نماذج اللغة الضخمة في النموذج المفاهيمي لهذه الدراسة بوصفها قدرة معرفية–تقنية وسيطة، تعمل على نقل أثر جودة المعلومات المتولدة عن حوكمة المعلومات وتحويله إلى مخرجات معرفية قابلة للتوظيف الاستراتيجي. فهي لا تعمل كمتغير مستقل تكنولوجي معزول، بل كآلية وسيطة تمكن المنظمة من استيعاب البيانات وتطوير كفاءتها التشغيلية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w:t>
      </w:r>
      <w:proofErr w:type="spellStart"/>
      <w:r w:rsidRPr="00BB6D2F">
        <w:rPr>
          <w:rFonts w:ascii="Simplified Arabic" w:hAnsi="Simplified Arabic" w:cs="Simplified Arabic"/>
          <w:sz w:val="28"/>
          <w:szCs w:val="28"/>
        </w:rPr>
        <w:t>Almelhes</w:t>
      </w:r>
      <w:proofErr w:type="spellEnd"/>
      <w:r w:rsidRPr="00BB6D2F">
        <w:rPr>
          <w:rFonts w:ascii="Simplified Arabic" w:hAnsi="Simplified Arabic" w:cs="Simplified Arabic"/>
          <w:sz w:val="28"/>
          <w:szCs w:val="28"/>
        </w:rPr>
        <w:t>, 20</w:t>
      </w:r>
      <w:r w:rsidR="00BD0786">
        <w:rPr>
          <w:rFonts w:ascii="Simplified Arabic" w:hAnsi="Simplified Arabic" w:cs="Simplified Arabic"/>
          <w:sz w:val="28"/>
          <w:szCs w:val="28"/>
        </w:rPr>
        <w:t>25; Atienza-Barba et al., 2024)</w:t>
      </w:r>
      <w:r w:rsidR="00BD0786">
        <w:rPr>
          <w:rFonts w:ascii="Simplified Arabic" w:hAnsi="Simplified Arabic" w:cs="Simplified Arabic" w:hint="cs"/>
          <w:sz w:val="28"/>
          <w:szCs w:val="28"/>
          <w:rtl/>
          <w:lang w:bidi="ar-EG"/>
        </w:rPr>
        <w:t>.</w:t>
      </w:r>
      <w:r w:rsidRPr="00BB6D2F">
        <w:rPr>
          <w:rFonts w:ascii="Simplified Arabic" w:hAnsi="Simplified Arabic" w:cs="Simplified Arabic"/>
          <w:sz w:val="28"/>
          <w:szCs w:val="28"/>
        </w:rPr>
        <w:t xml:space="preserve"> </w:t>
      </w:r>
      <w:r w:rsidRPr="00BB6D2F">
        <w:rPr>
          <w:rFonts w:ascii="Simplified Arabic" w:hAnsi="Simplified Arabic" w:cs="Simplified Arabic"/>
          <w:sz w:val="28"/>
          <w:szCs w:val="28"/>
          <w:rtl/>
        </w:rPr>
        <w:t xml:space="preserve">ويضمن هذا التموضع العلمي تفسير الكيفية التي تترجم بها المنظمات أصولها المعلوماتية </w:t>
      </w:r>
      <w:proofErr w:type="spellStart"/>
      <w:r w:rsidRPr="00BB6D2F">
        <w:rPr>
          <w:rFonts w:ascii="Simplified Arabic" w:hAnsi="Simplified Arabic" w:cs="Simplified Arabic"/>
          <w:sz w:val="28"/>
          <w:szCs w:val="28"/>
          <w:rtl/>
        </w:rPr>
        <w:t>المحوكمة</w:t>
      </w:r>
      <w:proofErr w:type="spellEnd"/>
      <w:r w:rsidRPr="00BB6D2F">
        <w:rPr>
          <w:rFonts w:ascii="Simplified Arabic" w:hAnsi="Simplified Arabic" w:cs="Simplified Arabic"/>
          <w:sz w:val="28"/>
          <w:szCs w:val="28"/>
          <w:rtl/>
        </w:rPr>
        <w:t xml:space="preserve"> إلى قيم مضافة تعزز من مرونتها المعرفية والتنظيمية</w:t>
      </w:r>
      <w:r w:rsidRPr="00BB6D2F">
        <w:rPr>
          <w:rFonts w:ascii="Simplified Arabic" w:hAnsi="Simplified Arabic" w:cs="Simplified Arabic"/>
          <w:sz w:val="28"/>
          <w:szCs w:val="28"/>
        </w:rPr>
        <w:t>.</w:t>
      </w:r>
    </w:p>
    <w:p w14:paraId="33EA5E1F" w14:textId="77777777" w:rsidR="00BB6D2F" w:rsidRPr="00BB6D2F"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بناءً على ذلك، تتبلور العلاقة التفاعلية بين المتغيرات الثلاثة للدراسة (حوكمة المعلومات – نماذج اللغة الضخمة – الرشاقة الاستراتيجية) في سياق منظومي متكامل وغير خطي؛ حيث تمثل حوكمة المعلومات المدخل البنيوي والأساس المعياري للبيئة الرقمية، وتتدخل نماذج اللغة كقدرة وسيطة للمعالجة والتوليد، وصولاً إلى الرشاقة الاستراتيجية كمخرج تنظيمي وغاية نهائية</w:t>
      </w:r>
      <w:r w:rsidRPr="00BB6D2F">
        <w:rPr>
          <w:rFonts w:ascii="Simplified Arabic" w:hAnsi="Simplified Arabic" w:cs="Simplified Arabic"/>
          <w:sz w:val="28"/>
          <w:szCs w:val="28"/>
        </w:rPr>
        <w:t xml:space="preserve"> (Malik et al</w:t>
      </w:r>
      <w:r w:rsidR="00BD0786">
        <w:rPr>
          <w:rFonts w:ascii="Simplified Arabic" w:hAnsi="Simplified Arabic" w:cs="Simplified Arabic"/>
          <w:sz w:val="28"/>
          <w:szCs w:val="28"/>
        </w:rPr>
        <w:t>., 2025; Nugroho et al., 2026)</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ويعكس هذا الترابط العضوي امتداداً لمدرسة القدرات الديناميكية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(Teece, 2007)</w:t>
      </w:r>
      <w:r w:rsidRPr="00BB6D2F">
        <w:rPr>
          <w:rFonts w:ascii="Simplified Arabic" w:hAnsi="Simplified Arabic" w:cs="Simplified Arabic"/>
          <w:sz w:val="28"/>
          <w:szCs w:val="28"/>
          <w:rtl/>
        </w:rPr>
        <w:t xml:space="preserve">، حيث لا تنفصل القيمة الاستراتيجية للتكنولوجيا الحديثة عن جودة البيئة المعلوماتية التي تحتضنها وعن الأطر </w:t>
      </w:r>
      <w:proofErr w:type="spellStart"/>
      <w:r w:rsidRPr="00BB6D2F">
        <w:rPr>
          <w:rFonts w:ascii="Simplified Arabic" w:hAnsi="Simplified Arabic" w:cs="Simplified Arabic"/>
          <w:sz w:val="28"/>
          <w:szCs w:val="28"/>
          <w:rtl/>
        </w:rPr>
        <w:t>الحوكمية</w:t>
      </w:r>
      <w:proofErr w:type="spellEnd"/>
      <w:r w:rsidRPr="00BB6D2F">
        <w:rPr>
          <w:rFonts w:ascii="Simplified Arabic" w:hAnsi="Simplified Arabic" w:cs="Simplified Arabic"/>
          <w:sz w:val="28"/>
          <w:szCs w:val="28"/>
          <w:rtl/>
        </w:rPr>
        <w:t xml:space="preserve"> والرقابية التي تضبط مساراتها </w:t>
      </w:r>
      <w:proofErr w:type="spellStart"/>
      <w:r w:rsidRPr="00BB6D2F">
        <w:rPr>
          <w:rFonts w:ascii="Simplified Arabic" w:hAnsi="Simplified Arabic" w:cs="Simplified Arabic"/>
          <w:sz w:val="28"/>
          <w:szCs w:val="28"/>
          <w:rtl/>
        </w:rPr>
        <w:t>الحوسبية</w:t>
      </w:r>
      <w:proofErr w:type="spellEnd"/>
      <w:r w:rsidRPr="00BB6D2F">
        <w:rPr>
          <w:rFonts w:ascii="Simplified Arabic" w:hAnsi="Simplified Arabic" w:cs="Simplified Arabic"/>
          <w:sz w:val="28"/>
          <w:szCs w:val="28"/>
        </w:rPr>
        <w:t>.</w:t>
      </w:r>
    </w:p>
    <w:p w14:paraId="412999F0" w14:textId="77777777" w:rsidR="00DD47DA" w:rsidRPr="008220F3" w:rsidRDefault="00D3643E" w:rsidP="008220F3">
      <w:pPr>
        <w:spacing w:before="240"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 xml:space="preserve">(5-4) </w:t>
      </w:r>
      <w:r w:rsidR="00DD47DA" w:rsidRPr="008220F3">
        <w:rPr>
          <w:rFonts w:ascii="Simplified Arabic" w:hAnsi="Simplified Arabic" w:cs="Simplified Arabic"/>
          <w:b/>
          <w:bCs/>
          <w:sz w:val="30"/>
          <w:szCs w:val="30"/>
          <w:rtl/>
        </w:rPr>
        <w:t>التأصيل النظري للرشاقة الاستراتيجية</w:t>
      </w:r>
    </w:p>
    <w:p w14:paraId="74035B62" w14:textId="77777777" w:rsidR="00DD47DA" w:rsidRPr="00DD47DA"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(5-4-1) مفهوم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w:t>
      </w:r>
      <w:r w:rsidR="00DD47DA" w:rsidRPr="00DD47DA">
        <w:rPr>
          <w:rFonts w:ascii="Simplified Arabic" w:hAnsi="Simplified Arabic" w:cs="Simplified Arabic"/>
          <w:b/>
          <w:bCs/>
          <w:sz w:val="28"/>
          <w:szCs w:val="28"/>
          <w:rtl/>
        </w:rPr>
        <w:t>لرشاقة الاستراتيجية</w:t>
      </w:r>
    </w:p>
    <w:p w14:paraId="3FD5BE94" w14:textId="77777777" w:rsidR="00BB6D2F" w:rsidRPr="00BB6D2F"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تمثل الرشاقة الاستراتيجية</w:t>
      </w:r>
      <w:r w:rsidRPr="00BB6D2F">
        <w:rPr>
          <w:rFonts w:ascii="Simplified Arabic" w:hAnsi="Simplified Arabic" w:cs="Simplified Arabic"/>
          <w:sz w:val="28"/>
          <w:szCs w:val="28"/>
        </w:rPr>
        <w:t xml:space="preserve"> (Strategic Agility) </w:t>
      </w:r>
      <w:r w:rsidRPr="00BB6D2F">
        <w:rPr>
          <w:rFonts w:ascii="Simplified Arabic" w:hAnsi="Simplified Arabic" w:cs="Simplified Arabic"/>
          <w:sz w:val="28"/>
          <w:szCs w:val="28"/>
          <w:rtl/>
        </w:rPr>
        <w:t>أحد المفاهيم المركزية والمحورية في الفكر الإداري المعاصر، حيث تشير إلى قدرة المنظمة النظامية على الاستشعار اللحظي للمتغيرات البيئية العنيفة، وتفسير دلالاتها بدقة، ومن ثم إعادة توجيه مواردها وقدراتها الجوهرية بما يضمن حماية مركزها التنافسي في بيئات تتسم بالتعقيد وعدم اليقين</w:t>
      </w:r>
      <w:r w:rsidRPr="00BB6D2F">
        <w:rPr>
          <w:rFonts w:ascii="Simplified Arabic" w:hAnsi="Simplified Arabic" w:cs="Simplified Arabic"/>
          <w:sz w:val="28"/>
          <w:szCs w:val="28"/>
        </w:rPr>
        <w:t xml:space="preserve"> (Ahmed, 2025; Mueller</w:t>
      </w:r>
      <w:r w:rsidRPr="00BB6D2F">
        <w:rPr>
          <w:rFonts w:ascii="Times New Roman" w:hAnsi="Times New Roman" w:cs="Times New Roman"/>
          <w:sz w:val="28"/>
          <w:szCs w:val="28"/>
        </w:rPr>
        <w:t>‐</w:t>
      </w:r>
      <w:proofErr w:type="spellStart"/>
      <w:r w:rsidR="00BD0786">
        <w:rPr>
          <w:rFonts w:ascii="Simplified Arabic" w:hAnsi="Simplified Arabic" w:cs="Simplified Arabic"/>
          <w:sz w:val="28"/>
          <w:szCs w:val="28"/>
        </w:rPr>
        <w:t>Saegebrecht</w:t>
      </w:r>
      <w:proofErr w:type="spellEnd"/>
      <w:r w:rsidR="00BD0786">
        <w:rPr>
          <w:rFonts w:ascii="Simplified Arabic" w:hAnsi="Simplified Arabic" w:cs="Simplified Arabic"/>
          <w:sz w:val="28"/>
          <w:szCs w:val="28"/>
        </w:rPr>
        <w:t xml:space="preserve"> &amp; Walter,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 xml:space="preserve">ولا يقتصر هذا المنظور على مجرد رد الفعل السريع </w:t>
      </w:r>
      <w:r w:rsidRPr="00BB6D2F">
        <w:rPr>
          <w:rFonts w:ascii="Simplified Arabic" w:hAnsi="Simplified Arabic" w:cs="Simplified Arabic"/>
          <w:sz w:val="28"/>
          <w:szCs w:val="28"/>
          <w:rtl/>
        </w:rPr>
        <w:lastRenderedPageBreak/>
        <w:t>للمستجدات السوقية، بل يمتد ليعبر عن كفاءة استباقية تمكن المؤسسة من التنبؤ بالتحولات الهيكلية واقتناص الفرص الناشئة قبل المنافسين</w:t>
      </w:r>
      <w:r w:rsidRPr="00BB6D2F">
        <w:rPr>
          <w:rFonts w:ascii="Simplified Arabic" w:hAnsi="Simplified Arabic" w:cs="Simplified Arabic"/>
          <w:sz w:val="28"/>
          <w:szCs w:val="28"/>
        </w:rPr>
        <w:t>.</w:t>
      </w:r>
    </w:p>
    <w:p w14:paraId="05FD16E6"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 xml:space="preserve">بناءً على ذلك، يتجاوز الفهم الأكاديمي للرشاقة الاستراتيجية حدود المرونة المؤقتة، </w:t>
      </w:r>
      <w:proofErr w:type="spellStart"/>
      <w:r w:rsidRPr="00BB6D2F">
        <w:rPr>
          <w:rFonts w:ascii="Simplified Arabic" w:hAnsi="Simplified Arabic" w:cs="Simplified Arabic"/>
          <w:sz w:val="28"/>
          <w:szCs w:val="28"/>
          <w:rtl/>
        </w:rPr>
        <w:t>ليتموضع</w:t>
      </w:r>
      <w:proofErr w:type="spellEnd"/>
      <w:r w:rsidRPr="00BB6D2F">
        <w:rPr>
          <w:rFonts w:ascii="Simplified Arabic" w:hAnsi="Simplified Arabic" w:cs="Simplified Arabic"/>
          <w:sz w:val="28"/>
          <w:szCs w:val="28"/>
          <w:rtl/>
        </w:rPr>
        <w:t xml:space="preserve"> بوصفه قدرة مركبة تدمج بين الإدراك الاستراتيجي، وسرعة اتخاذ القرار، وإعادة صياغة البنية التنظيمية. ويمثل هذا المفهوم امتداداً فكرياً مباشراً لمنظور القدرات الديناميكية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(Teece, 2007)</w:t>
      </w:r>
      <w:r w:rsidRPr="00BB6D2F">
        <w:rPr>
          <w:rFonts w:ascii="Simplified Arabic" w:hAnsi="Simplified Arabic" w:cs="Simplified Arabic"/>
          <w:sz w:val="28"/>
          <w:szCs w:val="28"/>
          <w:rtl/>
        </w:rPr>
        <w:t>، والذي يفترض أن استدامة التميز التنافسي لا تنبع من مجرد حيازة الموارد الساكنة، بل من القدرة على إعادة تشكيلها، وتوليفها، وتحديثها باستمرار لتتوافق مع تقلبات البيئة الرقمية والتكنولوجية</w:t>
      </w:r>
      <w:r w:rsidRPr="00BB6D2F">
        <w:rPr>
          <w:rFonts w:ascii="Simplified Arabic" w:hAnsi="Simplified Arabic" w:cs="Simplified Arabic"/>
          <w:sz w:val="28"/>
          <w:szCs w:val="28"/>
        </w:rPr>
        <w:t xml:space="preserve"> (Nugroho et al</w:t>
      </w:r>
      <w:r w:rsidR="00BD0786">
        <w:rPr>
          <w:rFonts w:ascii="Simplified Arabic" w:hAnsi="Simplified Arabic" w:cs="Simplified Arabic"/>
          <w:sz w:val="28"/>
          <w:szCs w:val="28"/>
        </w:rPr>
        <w:t xml:space="preserve">., 2026; Wilke &amp; </w:t>
      </w:r>
      <w:proofErr w:type="spellStart"/>
      <w:r w:rsidR="00BD0786">
        <w:rPr>
          <w:rFonts w:ascii="Simplified Arabic" w:hAnsi="Simplified Arabic" w:cs="Simplified Arabic"/>
          <w:sz w:val="28"/>
          <w:szCs w:val="28"/>
        </w:rPr>
        <w:t>Kanbach</w:t>
      </w:r>
      <w:proofErr w:type="spellEnd"/>
      <w:r w:rsidR="00BD0786">
        <w:rPr>
          <w:rFonts w:ascii="Simplified Arabic" w:hAnsi="Simplified Arabic" w:cs="Simplified Arabic"/>
          <w:sz w:val="28"/>
          <w:szCs w:val="28"/>
        </w:rPr>
        <w:t>, 2026)</w:t>
      </w:r>
      <w:r w:rsidR="00BD0786">
        <w:rPr>
          <w:rFonts w:ascii="Simplified Arabic" w:hAnsi="Simplified Arabic" w:cs="Simplified Arabic" w:hint="cs"/>
          <w:sz w:val="28"/>
          <w:szCs w:val="28"/>
          <w:rtl/>
          <w:lang w:bidi="ar-EG"/>
        </w:rPr>
        <w:t>.</w:t>
      </w:r>
    </w:p>
    <w:p w14:paraId="596434F1" w14:textId="77777777" w:rsidR="00DD47DA" w:rsidRPr="00DD47DA" w:rsidRDefault="00BB6D2F" w:rsidP="008574AD">
      <w:pPr>
        <w:spacing w:line="240" w:lineRule="auto"/>
        <w:jc w:val="both"/>
        <w:rPr>
          <w:rFonts w:ascii="Simplified Arabic" w:hAnsi="Simplified Arabic" w:cs="Simplified Arabic"/>
          <w:b/>
          <w:bCs/>
          <w:sz w:val="28"/>
          <w:szCs w:val="28"/>
        </w:rPr>
      </w:pPr>
      <w:r w:rsidRPr="00BB6D2F">
        <w:rPr>
          <w:rFonts w:ascii="Simplified Arabic" w:hAnsi="Simplified Arabic" w:cs="Simplified Arabic" w:hint="cs"/>
          <w:b/>
          <w:bCs/>
          <w:sz w:val="28"/>
          <w:szCs w:val="28"/>
          <w:rtl/>
        </w:rPr>
        <w:t xml:space="preserve"> </w:t>
      </w:r>
      <w:r w:rsidR="00D3643E">
        <w:rPr>
          <w:rFonts w:ascii="Simplified Arabic" w:hAnsi="Simplified Arabic" w:cs="Simplified Arabic" w:hint="cs"/>
          <w:b/>
          <w:bCs/>
          <w:sz w:val="28"/>
          <w:szCs w:val="28"/>
          <w:rtl/>
        </w:rPr>
        <w:t xml:space="preserve">(5-4-2) </w:t>
      </w:r>
      <w:r w:rsidR="00DD47DA" w:rsidRPr="00DD47DA">
        <w:rPr>
          <w:rFonts w:ascii="Simplified Arabic" w:hAnsi="Simplified Arabic" w:cs="Simplified Arabic"/>
          <w:b/>
          <w:bCs/>
          <w:sz w:val="28"/>
          <w:szCs w:val="28"/>
          <w:rtl/>
        </w:rPr>
        <w:t>التطور المفاهيمي للرشاقة الاستراتيجية</w:t>
      </w:r>
    </w:p>
    <w:p w14:paraId="744FF503" w14:textId="77777777" w:rsidR="00BD0786"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يعكس التطور الفكري لمفهوم الرشاقة الاستراتيجية تحولاً تدريجياً من التركيز على "المرونة التشغيلية</w:t>
      </w:r>
      <w:r w:rsidRPr="00BB6D2F">
        <w:rPr>
          <w:rFonts w:ascii="Simplified Arabic" w:hAnsi="Simplified Arabic" w:cs="Simplified Arabic"/>
          <w:sz w:val="28"/>
          <w:szCs w:val="28"/>
        </w:rPr>
        <w:t xml:space="preserve">" (Operational Flexibility) </w:t>
      </w:r>
      <w:r w:rsidRPr="00BB6D2F">
        <w:rPr>
          <w:rFonts w:ascii="Simplified Arabic" w:hAnsi="Simplified Arabic" w:cs="Simplified Arabic"/>
          <w:sz w:val="28"/>
          <w:szCs w:val="28"/>
          <w:rtl/>
        </w:rPr>
        <w:t>القائمة على تعديل خطوط الإنتاج أو العمليات قصيرة الأجل، إلى التركيز على "القدرة الاستراتيجية الشاملة</w:t>
      </w:r>
      <w:r w:rsidRPr="00BB6D2F">
        <w:rPr>
          <w:rFonts w:ascii="Simplified Arabic" w:hAnsi="Simplified Arabic" w:cs="Simplified Arabic"/>
          <w:sz w:val="28"/>
          <w:szCs w:val="28"/>
        </w:rPr>
        <w:t xml:space="preserve">" (Comprehensive Strategic Capability). </w:t>
      </w:r>
      <w:r w:rsidRPr="00BB6D2F">
        <w:rPr>
          <w:rFonts w:ascii="Simplified Arabic" w:hAnsi="Simplified Arabic" w:cs="Simplified Arabic"/>
          <w:sz w:val="28"/>
          <w:szCs w:val="28"/>
          <w:rtl/>
        </w:rPr>
        <w:t>ورغم أن الطروح المبكرة ربطت المفهوم بالاستجابة السريعة لطلبات السوق، إلا أن ذلك التصور ظل قاصراً عن تفسير كيفية إعادة بناء الرؤية الاستراتيجية ونموذج الأعمال ذاته في الفترات المضطربة؛ مما دفع الباحثين نحو تأصيل أبعاد أكثر عمقاً تتعلق بالمرونة الهيكلية والقدرة على التكيف الكلي</w:t>
      </w:r>
      <w:r w:rsidRPr="00BB6D2F">
        <w:rPr>
          <w:rFonts w:ascii="Simplified Arabic" w:hAnsi="Simplified Arabic" w:cs="Simplified Arabic"/>
          <w:sz w:val="28"/>
          <w:szCs w:val="28"/>
        </w:rPr>
        <w:t>(</w:t>
      </w:r>
      <w:proofErr w:type="spellStart"/>
      <w:r w:rsidRPr="00BB6D2F">
        <w:rPr>
          <w:rFonts w:ascii="Simplified Arabic" w:hAnsi="Simplified Arabic" w:cs="Simplified Arabic"/>
          <w:sz w:val="28"/>
          <w:szCs w:val="28"/>
        </w:rPr>
        <w:t>Ak</w:t>
      </w:r>
      <w:r w:rsidR="00BD0786">
        <w:rPr>
          <w:rFonts w:ascii="Simplified Arabic" w:hAnsi="Simplified Arabic" w:cs="Simplified Arabic"/>
          <w:sz w:val="28"/>
          <w:szCs w:val="28"/>
        </w:rPr>
        <w:t>one</w:t>
      </w:r>
      <w:proofErr w:type="spellEnd"/>
      <w:r w:rsidR="00BD0786">
        <w:rPr>
          <w:rFonts w:ascii="Simplified Arabic" w:hAnsi="Simplified Arabic" w:cs="Simplified Arabic"/>
          <w:sz w:val="28"/>
          <w:szCs w:val="28"/>
        </w:rPr>
        <w:t xml:space="preserve"> &amp; Kinyua, 2025; Reed, 2020)</w:t>
      </w:r>
      <w:r w:rsidR="00BD0786">
        <w:rPr>
          <w:rFonts w:ascii="Simplified Arabic" w:hAnsi="Simplified Arabic" w:cs="Simplified Arabic" w:hint="cs"/>
          <w:sz w:val="28"/>
          <w:szCs w:val="28"/>
          <w:rtl/>
          <w:lang w:bidi="ar-EG"/>
        </w:rPr>
        <w:t>.</w:t>
      </w:r>
    </w:p>
    <w:p w14:paraId="3A7770C5" w14:textId="77777777" w:rsidR="00DD47DA" w:rsidRPr="00DD47DA"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وفي سياق أبحاث الإدارة المرتبطة بالتحول الرقمي والذكاء الاصطناعي، شهد المفهوم قفزة نوعية ليتسع نطاقه ويشمل القدرة على إعادة ابتكار نماذج الأعمال</w:t>
      </w:r>
      <w:r w:rsidR="00BD0786">
        <w:rPr>
          <w:rFonts w:ascii="Simplified Arabic" w:hAnsi="Simplified Arabic" w:cs="Simplified Arabic"/>
          <w:sz w:val="28"/>
          <w:szCs w:val="28"/>
        </w:rPr>
        <w:t xml:space="preserve"> (Business Model Innovation)</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استجابة للاختراقات التكنولوجية المتسارعة. ولم يعد التوجه منصباً على "الاستجابة للتغيير"، بل تحول نحو "إعادة خلق الاستراتيجية من رحم التغيير ذاته"، عبر توظيف التقنيات الذكية كأدوات استشعار وتوليد ديناميكية</w:t>
      </w:r>
      <w:r w:rsidRPr="00BB6D2F">
        <w:rPr>
          <w:rFonts w:ascii="Simplified Arabic" w:hAnsi="Simplified Arabic" w:cs="Simplified Arabic"/>
          <w:sz w:val="28"/>
          <w:szCs w:val="28"/>
        </w:rPr>
        <w:t>(Feng &amp; Abd Rani, 2024; Mueller</w:t>
      </w:r>
      <w:r w:rsidRPr="00BB6D2F">
        <w:rPr>
          <w:rFonts w:ascii="Times New Roman" w:hAnsi="Times New Roman" w:cs="Times New Roman"/>
          <w:sz w:val="28"/>
          <w:szCs w:val="28"/>
        </w:rPr>
        <w:t>‐</w:t>
      </w:r>
      <w:proofErr w:type="spellStart"/>
      <w:r w:rsidRPr="00BB6D2F">
        <w:rPr>
          <w:rFonts w:ascii="Simplified Arabic" w:hAnsi="Simplified Arabic" w:cs="Simplified Arabic"/>
          <w:sz w:val="28"/>
          <w:szCs w:val="28"/>
        </w:rPr>
        <w:t>Saegebrecht</w:t>
      </w:r>
      <w:proofErr w:type="spellEnd"/>
      <w:r w:rsidRPr="00BB6D2F">
        <w:rPr>
          <w:rFonts w:ascii="Simplified Arabic" w:hAnsi="Simplified Arabic" w:cs="Simplified Arabic"/>
          <w:sz w:val="28"/>
          <w:szCs w:val="28"/>
        </w:rPr>
        <w:t xml:space="preserve"> &amp; Walter, 2025; Nugroho et</w:t>
      </w:r>
      <w:r w:rsidR="00BD0786">
        <w:rPr>
          <w:rFonts w:ascii="Simplified Arabic" w:hAnsi="Simplified Arabic" w:cs="Simplified Arabic"/>
          <w:sz w:val="28"/>
          <w:szCs w:val="28"/>
        </w:rPr>
        <w:t xml:space="preserve"> al., 2026)</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ويسمح هذا النضج المفاهيمي للمنظمات بتجاوز الدفاع التنافسي إلى صناعة أسواق جديدة وتوجيه دفة المنافسة لصالحها</w:t>
      </w:r>
      <w:r w:rsidR="00DD47DA" w:rsidRPr="00DD47DA">
        <w:rPr>
          <w:rFonts w:ascii="Simplified Arabic" w:hAnsi="Simplified Arabic" w:cs="Simplified Arabic"/>
          <w:sz w:val="28"/>
          <w:szCs w:val="28"/>
        </w:rPr>
        <w:t>.</w:t>
      </w:r>
    </w:p>
    <w:p w14:paraId="132E1900" w14:textId="77777777" w:rsidR="00DD47DA" w:rsidRPr="00DD47DA"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(5-4-3) </w:t>
      </w:r>
      <w:r w:rsidR="00DD47DA" w:rsidRPr="00DD47DA">
        <w:rPr>
          <w:rFonts w:ascii="Simplified Arabic" w:hAnsi="Simplified Arabic" w:cs="Simplified Arabic"/>
          <w:b/>
          <w:bCs/>
          <w:sz w:val="28"/>
          <w:szCs w:val="28"/>
          <w:rtl/>
        </w:rPr>
        <w:t>أبعاد الرشاقة الاستراتيجية</w:t>
      </w:r>
    </w:p>
    <w:p w14:paraId="6A81C9E6"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 xml:space="preserve">تتحدد الرشاقة الاستراتيجية بوصفها بناءً متعدّد الأبعاد يتطلب تكاملاً بنيوياً بين القدرات الإدراكية والتنفيذية للمنظمة، ويتجلى هذا التعدد في ثلاثة أبعاد رئيسة مترابطة: الحساسية </w:t>
      </w:r>
      <w:r w:rsidRPr="00BB6D2F">
        <w:rPr>
          <w:rFonts w:ascii="Simplified Arabic" w:hAnsi="Simplified Arabic" w:cs="Simplified Arabic"/>
          <w:sz w:val="28"/>
          <w:szCs w:val="28"/>
          <w:rtl/>
        </w:rPr>
        <w:lastRenderedPageBreak/>
        <w:t>الاستراتيجية</w:t>
      </w:r>
      <w:r>
        <w:rPr>
          <w:rFonts w:ascii="Simplified Arabic" w:hAnsi="Simplified Arabic" w:cs="Simplified Arabic"/>
          <w:sz w:val="28"/>
          <w:szCs w:val="28"/>
        </w:rPr>
        <w:t xml:space="preserve"> (Strategic Sensitivity)</w:t>
      </w:r>
      <w:r w:rsidRPr="00BB6D2F">
        <w:rPr>
          <w:rFonts w:ascii="Simplified Arabic" w:hAnsi="Simplified Arabic" w:cs="Simplified Arabic"/>
          <w:sz w:val="28"/>
          <w:szCs w:val="28"/>
          <w:rtl/>
        </w:rPr>
        <w:t>التي تقيس كفاءة المنظمة في الرصد المبكر للإشارات البيئية الضعيفة وتحليلها، ووحدة القيادة</w:t>
      </w:r>
      <w:r w:rsidRPr="00BB6D2F">
        <w:rPr>
          <w:rFonts w:ascii="Simplified Arabic" w:hAnsi="Simplified Arabic" w:cs="Simplified Arabic"/>
          <w:sz w:val="28"/>
          <w:szCs w:val="28"/>
        </w:rPr>
        <w:t xml:space="preserve"> (Leadership Unity) </w:t>
      </w:r>
      <w:r w:rsidRPr="00BB6D2F">
        <w:rPr>
          <w:rFonts w:ascii="Simplified Arabic" w:hAnsi="Simplified Arabic" w:cs="Simplified Arabic"/>
          <w:sz w:val="28"/>
          <w:szCs w:val="28"/>
          <w:rtl/>
        </w:rPr>
        <w:t xml:space="preserve">التي تعبر عن قدرة الإدارة العليا على صياغة قرارات سريعة ومتسقة للتغلب على التعارض الداخلي، </w:t>
      </w:r>
      <w:r>
        <w:rPr>
          <w:rFonts w:ascii="Simplified Arabic" w:hAnsi="Simplified Arabic" w:cs="Simplified Arabic" w:hint="cs"/>
          <w:sz w:val="28"/>
          <w:szCs w:val="28"/>
          <w:rtl/>
        </w:rPr>
        <w:t>وتدفق</w:t>
      </w:r>
      <w:r w:rsidRPr="00BB6D2F">
        <w:rPr>
          <w:rFonts w:ascii="Simplified Arabic" w:hAnsi="Simplified Arabic" w:cs="Simplified Arabic"/>
          <w:sz w:val="28"/>
          <w:szCs w:val="28"/>
          <w:rtl/>
        </w:rPr>
        <w:t xml:space="preserve"> الموارد</w:t>
      </w:r>
      <w:r w:rsidR="00BD0786">
        <w:rPr>
          <w:rFonts w:ascii="Simplified Arabic" w:hAnsi="Simplified Arabic" w:cs="Simplified Arabic"/>
          <w:sz w:val="28"/>
          <w:szCs w:val="28"/>
        </w:rPr>
        <w:t xml:space="preserve"> (Resource Fluidity)</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الذي يمثل المرونة الهيكلية في إعادة تخصيص الأصول البشرية والمالية والتقنية وتوجيهها نحو الأولويات المستجدة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w:t>
      </w:r>
      <w:proofErr w:type="spellStart"/>
      <w:r w:rsidRPr="00BB6D2F">
        <w:rPr>
          <w:rFonts w:ascii="Simplified Arabic" w:hAnsi="Simplified Arabic" w:cs="Simplified Arabic"/>
          <w:sz w:val="28"/>
          <w:szCs w:val="28"/>
        </w:rPr>
        <w:t>Ak</w:t>
      </w:r>
      <w:r w:rsidR="00BD0786">
        <w:rPr>
          <w:rFonts w:ascii="Simplified Arabic" w:hAnsi="Simplified Arabic" w:cs="Simplified Arabic"/>
          <w:sz w:val="28"/>
          <w:szCs w:val="28"/>
        </w:rPr>
        <w:t>one</w:t>
      </w:r>
      <w:proofErr w:type="spellEnd"/>
      <w:r w:rsidR="00BD0786">
        <w:rPr>
          <w:rFonts w:ascii="Simplified Arabic" w:hAnsi="Simplified Arabic" w:cs="Simplified Arabic"/>
          <w:sz w:val="28"/>
          <w:szCs w:val="28"/>
        </w:rPr>
        <w:t xml:space="preserve"> &amp; Kinyua, 2025; Reed, 2020)</w:t>
      </w:r>
      <w:r w:rsidR="00BD0786">
        <w:rPr>
          <w:rFonts w:ascii="Simplified Arabic" w:hAnsi="Simplified Arabic" w:cs="Simplified Arabic" w:hint="cs"/>
          <w:sz w:val="28"/>
          <w:szCs w:val="28"/>
          <w:rtl/>
          <w:lang w:bidi="ar-EG"/>
        </w:rPr>
        <w:t>.</w:t>
      </w:r>
    </w:p>
    <w:p w14:paraId="102B5F8A"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لا تعمل هذه الأبعاد الاستراتيجية كمسارات مستقلة، بل تمثل نظاماً تفاعلياً متكاملاً يتأثر ارتباطياً بكفاءة مكوناته كافة؛ حيث يؤدي خلل أي بُعد هيكلي منها إلى تآكل الكفاءة الكلية للرشاقة الاستراتيجية وتقويض القدرة على التكيف</w:t>
      </w:r>
      <w:r w:rsidRPr="00BB6D2F">
        <w:rPr>
          <w:rFonts w:ascii="Simplified Arabic" w:hAnsi="Simplified Arabic" w:cs="Simplified Arabic"/>
          <w:sz w:val="28"/>
          <w:szCs w:val="28"/>
        </w:rPr>
        <w:t xml:space="preserve"> (Feng &amp; Abd Rani, 2024; Mueller</w:t>
      </w:r>
      <w:r w:rsidRPr="00BB6D2F">
        <w:rPr>
          <w:rFonts w:ascii="Times New Roman" w:hAnsi="Times New Roman" w:cs="Times New Roman"/>
          <w:sz w:val="28"/>
          <w:szCs w:val="28"/>
        </w:rPr>
        <w:t>‐</w:t>
      </w:r>
      <w:proofErr w:type="spellStart"/>
      <w:r w:rsidRPr="00BB6D2F">
        <w:rPr>
          <w:rFonts w:ascii="Simplified Arabic" w:hAnsi="Simplified Arabic" w:cs="Simplified Arabic"/>
          <w:sz w:val="28"/>
          <w:szCs w:val="28"/>
        </w:rPr>
        <w:t>Saegebrecht</w:t>
      </w:r>
      <w:proofErr w:type="spellEnd"/>
      <w:r w:rsidRPr="00BB6D2F">
        <w:rPr>
          <w:rFonts w:ascii="Simplified Arabic" w:hAnsi="Simplified Arabic" w:cs="Simplified Arabic"/>
          <w:sz w:val="28"/>
          <w:szCs w:val="28"/>
        </w:rPr>
        <w:t xml:space="preserve"> &amp; Walter, 2025</w:t>
      </w:r>
      <w:r w:rsidR="00BD0786">
        <w:rPr>
          <w:rFonts w:ascii="Simplified Arabic" w:hAnsi="Simplified Arabic" w:cs="Simplified Arabic"/>
          <w:sz w:val="28"/>
          <w:szCs w:val="28"/>
        </w:rPr>
        <w:t>)</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وبناءً عليه، فإن جودة المدخلات المعرفية المتأتية من البيئة الرقمية تشكل الوقود الأساسي لتمكين هذا النظام التفاعلي من الاستجابة بكفاءة وتجنب الجمود التنظيمي الجوهري</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Pr>
        <w:t>(Jahanba</w:t>
      </w:r>
      <w:r w:rsidR="00BD0786">
        <w:rPr>
          <w:rFonts w:ascii="Simplified Arabic" w:hAnsi="Simplified Arabic" w:cs="Simplified Arabic"/>
          <w:sz w:val="28"/>
          <w:szCs w:val="28"/>
        </w:rPr>
        <w:t>khsh, 2025; Malik et al., 2025)</w:t>
      </w:r>
      <w:r w:rsidR="00BD0786">
        <w:rPr>
          <w:rFonts w:ascii="Simplified Arabic" w:hAnsi="Simplified Arabic" w:cs="Simplified Arabic" w:hint="cs"/>
          <w:sz w:val="28"/>
          <w:szCs w:val="28"/>
          <w:rtl/>
          <w:lang w:bidi="ar-EG"/>
        </w:rPr>
        <w:t>.</w:t>
      </w:r>
    </w:p>
    <w:p w14:paraId="6AFCE295" w14:textId="77777777" w:rsidR="00DD47DA" w:rsidRPr="00DD47DA" w:rsidRDefault="00BB6D2F" w:rsidP="008574AD">
      <w:pPr>
        <w:spacing w:line="240" w:lineRule="auto"/>
        <w:jc w:val="both"/>
        <w:rPr>
          <w:rFonts w:ascii="Simplified Arabic" w:hAnsi="Simplified Arabic" w:cs="Simplified Arabic"/>
          <w:b/>
          <w:bCs/>
          <w:sz w:val="28"/>
          <w:szCs w:val="28"/>
        </w:rPr>
      </w:pPr>
      <w:r w:rsidRPr="00BB6D2F">
        <w:rPr>
          <w:rFonts w:ascii="Simplified Arabic" w:hAnsi="Simplified Arabic" w:cs="Simplified Arabic" w:hint="cs"/>
          <w:b/>
          <w:bCs/>
          <w:sz w:val="28"/>
          <w:szCs w:val="28"/>
          <w:rtl/>
        </w:rPr>
        <w:t xml:space="preserve"> </w:t>
      </w:r>
      <w:r w:rsidR="00D3643E">
        <w:rPr>
          <w:rFonts w:ascii="Simplified Arabic" w:hAnsi="Simplified Arabic" w:cs="Simplified Arabic" w:hint="cs"/>
          <w:b/>
          <w:bCs/>
          <w:sz w:val="28"/>
          <w:szCs w:val="28"/>
          <w:rtl/>
        </w:rPr>
        <w:t xml:space="preserve">(5-4-4) </w:t>
      </w:r>
      <w:r w:rsidR="00DD47DA" w:rsidRPr="00DD47DA">
        <w:rPr>
          <w:rFonts w:ascii="Simplified Arabic" w:hAnsi="Simplified Arabic" w:cs="Simplified Arabic"/>
          <w:b/>
          <w:bCs/>
          <w:sz w:val="28"/>
          <w:szCs w:val="28"/>
          <w:rtl/>
        </w:rPr>
        <w:t>قياس الرشاقة الاستراتيجية في الأدبيات</w:t>
      </w:r>
    </w:p>
    <w:p w14:paraId="028D69D7"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 xml:space="preserve">يستلزم قياس الرشاقة الاستراتيجية اعتماد مقاربات منهجية دقيقة نظراً لطبيعتها التجريدية وبنائها المركب غير الملموس. وترتكز </w:t>
      </w:r>
      <w:r w:rsidRPr="00BB6D2F">
        <w:rPr>
          <w:rFonts w:ascii="Simplified Arabic" w:hAnsi="Simplified Arabic" w:cs="Simplified Arabic"/>
          <w:sz w:val="28"/>
          <w:szCs w:val="28"/>
          <w:rtl/>
          <w:lang w:bidi="ar-EG"/>
        </w:rPr>
        <w:t>المقاربة</w:t>
      </w:r>
      <w:r w:rsidRPr="00BB6D2F">
        <w:rPr>
          <w:rFonts w:ascii="Simplified Arabic" w:hAnsi="Simplified Arabic" w:cs="Simplified Arabic"/>
          <w:sz w:val="28"/>
          <w:szCs w:val="28"/>
          <w:rtl/>
        </w:rPr>
        <w:t xml:space="preserve"> الأولى على المقاييس الإدراكية</w:t>
      </w:r>
      <w:r w:rsidRPr="00BB6D2F">
        <w:rPr>
          <w:rFonts w:ascii="Simplified Arabic" w:hAnsi="Simplified Arabic" w:cs="Simplified Arabic"/>
          <w:sz w:val="28"/>
          <w:szCs w:val="28"/>
        </w:rPr>
        <w:t xml:space="preserve"> (Perceptual Measures)</w:t>
      </w:r>
      <w:r w:rsidRPr="00BB6D2F">
        <w:rPr>
          <w:rFonts w:ascii="Simplified Arabic" w:hAnsi="Simplified Arabic" w:cs="Simplified Arabic"/>
          <w:sz w:val="28"/>
          <w:szCs w:val="28"/>
          <w:rtl/>
        </w:rPr>
        <w:t>، وتعتمد بشكل رئيس على تطوير استبيانات موجهة للمستويات الإدارية العليا لتقييم مستويات استشعار البيئة، وسرعة القرار، وسيلان الأصول التنظيمية، وهي المقاربة المنهجية التي تتيح فحص القدرات المعرفية للمنظمة واختبار درجة استجابتها لمتغيرات التحول الرقمي</w:t>
      </w:r>
      <w:r w:rsidR="00BD0786">
        <w:rPr>
          <w:rFonts w:ascii="Simplified Arabic" w:hAnsi="Simplified Arabic" w:cs="Simplified Arabic"/>
          <w:sz w:val="28"/>
          <w:szCs w:val="28"/>
        </w:rPr>
        <w:t xml:space="preserve"> (</w:t>
      </w:r>
      <w:proofErr w:type="spellStart"/>
      <w:r w:rsidR="00BD0786">
        <w:rPr>
          <w:rFonts w:ascii="Simplified Arabic" w:hAnsi="Simplified Arabic" w:cs="Simplified Arabic"/>
          <w:sz w:val="28"/>
          <w:szCs w:val="28"/>
        </w:rPr>
        <w:t>Almelhes</w:t>
      </w:r>
      <w:proofErr w:type="spellEnd"/>
      <w:r w:rsidR="00BD0786">
        <w:rPr>
          <w:rFonts w:ascii="Simplified Arabic" w:hAnsi="Simplified Arabic" w:cs="Simplified Arabic"/>
          <w:sz w:val="28"/>
          <w:szCs w:val="28"/>
        </w:rPr>
        <w:t>, 2025; Reed, 2020)</w:t>
      </w:r>
      <w:r w:rsidR="00BD0786">
        <w:rPr>
          <w:rFonts w:ascii="Simplified Arabic" w:hAnsi="Simplified Arabic" w:cs="Simplified Arabic" w:hint="cs"/>
          <w:sz w:val="28"/>
          <w:szCs w:val="28"/>
          <w:rtl/>
          <w:lang w:bidi="ar-EG"/>
        </w:rPr>
        <w:t>.</w:t>
      </w:r>
    </w:p>
    <w:p w14:paraId="06220C64" w14:textId="77777777" w:rsidR="00DD47DA"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في المقابل، تركز المقاربة الثانية على المؤشرات السلوكية والتنظيمية الملموسة، مثل قياس عدد المبادرات الاستراتيجية الجديدة، وزمن تعديل الخطط المؤسسية، ومعدلات الاستجابة للاختراقات التكنولوجية في السوق</w:t>
      </w:r>
      <w:r w:rsidRPr="00BB6D2F">
        <w:rPr>
          <w:rFonts w:ascii="Simplified Arabic" w:hAnsi="Simplified Arabic" w:cs="Simplified Arabic"/>
          <w:sz w:val="28"/>
          <w:szCs w:val="28"/>
        </w:rPr>
        <w:t xml:space="preserve"> (Atienza-Barba et al., 2024; Nugroho et al., 2026). </w:t>
      </w:r>
      <w:r w:rsidRPr="00BB6D2F">
        <w:rPr>
          <w:rFonts w:ascii="Simplified Arabic" w:hAnsi="Simplified Arabic" w:cs="Simplified Arabic"/>
          <w:sz w:val="28"/>
          <w:szCs w:val="28"/>
          <w:rtl/>
        </w:rPr>
        <w:t xml:space="preserve">وتؤكد الدراسات المنهجية أن المقاربة </w:t>
      </w:r>
      <w:r w:rsidRPr="00BB6D2F">
        <w:rPr>
          <w:rFonts w:ascii="Simplified Arabic" w:hAnsi="Simplified Arabic" w:cs="Simplified Arabic"/>
          <w:sz w:val="28"/>
          <w:szCs w:val="28"/>
          <w:rtl/>
          <w:lang w:bidi="ar-EG"/>
        </w:rPr>
        <w:t>الأكثر</w:t>
      </w:r>
      <w:r w:rsidRPr="00BB6D2F">
        <w:rPr>
          <w:rFonts w:ascii="Simplified Arabic" w:hAnsi="Simplified Arabic" w:cs="Simplified Arabic"/>
          <w:sz w:val="28"/>
          <w:szCs w:val="28"/>
          <w:rtl/>
        </w:rPr>
        <w:t xml:space="preserve"> صدقاً وثباتاً هي التي تجمع بين الأبعاد الإدراكية والظواهر السلوكية، نظراً لأن الفصل بينهما يقلل من القدرة التفسيرية للنموذج ويحد من ميزته التنافسية</w:t>
      </w:r>
      <w:r w:rsidRPr="00BB6D2F">
        <w:rPr>
          <w:rFonts w:ascii="Simplified Arabic" w:hAnsi="Simplified Arabic" w:cs="Simplified Arabic"/>
          <w:sz w:val="28"/>
          <w:szCs w:val="28"/>
        </w:rPr>
        <w:t xml:space="preserve"> (Mueller</w:t>
      </w:r>
      <w:r w:rsidRPr="00BB6D2F">
        <w:rPr>
          <w:rFonts w:ascii="Times New Roman" w:hAnsi="Times New Roman" w:cs="Times New Roman"/>
          <w:sz w:val="28"/>
          <w:szCs w:val="28"/>
        </w:rPr>
        <w:t>‐</w:t>
      </w:r>
      <w:proofErr w:type="spellStart"/>
      <w:r w:rsidRPr="00BB6D2F">
        <w:rPr>
          <w:rFonts w:ascii="Simplified Arabic" w:hAnsi="Simplified Arabic" w:cs="Simplified Arabic"/>
          <w:sz w:val="28"/>
          <w:szCs w:val="28"/>
        </w:rPr>
        <w:t>Saegebrecht</w:t>
      </w:r>
      <w:proofErr w:type="spellEnd"/>
      <w:r w:rsidRPr="00BB6D2F">
        <w:rPr>
          <w:rFonts w:ascii="Simplified Arabic" w:hAnsi="Simplified Arabic" w:cs="Simplified Arabic"/>
          <w:sz w:val="28"/>
          <w:szCs w:val="28"/>
        </w:rPr>
        <w:t xml:space="preserve"> &amp; Walte</w:t>
      </w:r>
      <w:r>
        <w:rPr>
          <w:rFonts w:ascii="Simplified Arabic" w:hAnsi="Simplified Arabic" w:cs="Simplified Arabic"/>
          <w:sz w:val="28"/>
          <w:szCs w:val="28"/>
        </w:rPr>
        <w:t xml:space="preserve">r, 2025; Wilke &amp; </w:t>
      </w:r>
      <w:proofErr w:type="spellStart"/>
      <w:r>
        <w:rPr>
          <w:rFonts w:ascii="Simplified Arabic" w:hAnsi="Simplified Arabic" w:cs="Simplified Arabic"/>
          <w:sz w:val="28"/>
          <w:szCs w:val="28"/>
        </w:rPr>
        <w:t>Kanbach</w:t>
      </w:r>
      <w:proofErr w:type="spellEnd"/>
      <w:r>
        <w:rPr>
          <w:rFonts w:ascii="Simplified Arabic" w:hAnsi="Simplified Arabic" w:cs="Simplified Arabic"/>
          <w:sz w:val="28"/>
          <w:szCs w:val="28"/>
        </w:rPr>
        <w:t>, 2026)</w:t>
      </w:r>
      <w:r w:rsidR="00BD0786">
        <w:rPr>
          <w:rFonts w:ascii="Simplified Arabic" w:hAnsi="Simplified Arabic" w:cs="Simplified Arabic" w:hint="cs"/>
          <w:sz w:val="28"/>
          <w:szCs w:val="28"/>
          <w:rtl/>
          <w:lang w:bidi="ar-EG"/>
        </w:rPr>
        <w:t xml:space="preserve">. </w:t>
      </w:r>
    </w:p>
    <w:p w14:paraId="6341FD0B" w14:textId="77777777" w:rsidR="00BD0786" w:rsidRDefault="00BD0786" w:rsidP="00BD0786">
      <w:pPr>
        <w:spacing w:after="0" w:line="240" w:lineRule="auto"/>
        <w:ind w:firstLine="720"/>
        <w:jc w:val="both"/>
        <w:rPr>
          <w:rFonts w:ascii="Simplified Arabic" w:hAnsi="Simplified Arabic" w:cs="Simplified Arabic"/>
          <w:sz w:val="28"/>
          <w:szCs w:val="28"/>
          <w:rtl/>
          <w:lang w:bidi="ar-EG"/>
        </w:rPr>
      </w:pPr>
    </w:p>
    <w:p w14:paraId="75957FFA" w14:textId="77777777" w:rsidR="00BD0786" w:rsidRPr="00DD47DA" w:rsidRDefault="00BD0786" w:rsidP="00BD0786">
      <w:pPr>
        <w:spacing w:after="0" w:line="240" w:lineRule="auto"/>
        <w:ind w:firstLine="720"/>
        <w:jc w:val="both"/>
        <w:rPr>
          <w:rFonts w:ascii="Simplified Arabic" w:hAnsi="Simplified Arabic" w:cs="Simplified Arabic"/>
          <w:sz w:val="28"/>
          <w:szCs w:val="28"/>
          <w:rtl/>
          <w:lang w:bidi="ar-EG"/>
        </w:rPr>
      </w:pPr>
    </w:p>
    <w:p w14:paraId="035B8772" w14:textId="77777777" w:rsidR="00DD47DA" w:rsidRPr="00DD47DA"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(5-4-5) </w:t>
      </w:r>
      <w:r w:rsidR="00DD47DA" w:rsidRPr="00DD47DA">
        <w:rPr>
          <w:rFonts w:ascii="Simplified Arabic" w:hAnsi="Simplified Arabic" w:cs="Simplified Arabic"/>
          <w:b/>
          <w:bCs/>
          <w:sz w:val="28"/>
          <w:szCs w:val="28"/>
          <w:rtl/>
        </w:rPr>
        <w:t>الرشاقة الاستراتيجية في ضوء القدرات الديناميكية والذكاء الاصطناعي</w:t>
      </w:r>
    </w:p>
    <w:p w14:paraId="6967C9FF" w14:textId="77777777" w:rsidR="00BD0786"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ترتبط الرشاقة الاستراتيجية بنيوياً بنظرية القدرات الديناميكية، حيث تمثل التعبير التطبيقي لثلاثية العمليات الجوهرية: الاستشعار</w:t>
      </w:r>
      <w:r w:rsidRPr="00BB6D2F">
        <w:rPr>
          <w:rFonts w:ascii="Simplified Arabic" w:hAnsi="Simplified Arabic" w:cs="Simplified Arabic"/>
          <w:sz w:val="28"/>
          <w:szCs w:val="28"/>
        </w:rPr>
        <w:t xml:space="preserve"> (Sensing)</w:t>
      </w:r>
      <w:r w:rsidRPr="00BB6D2F">
        <w:rPr>
          <w:rFonts w:ascii="Simplified Arabic" w:hAnsi="Simplified Arabic" w:cs="Simplified Arabic"/>
          <w:sz w:val="28"/>
          <w:szCs w:val="28"/>
          <w:rtl/>
        </w:rPr>
        <w:t>، والاستحواذ</w:t>
      </w:r>
      <w:r w:rsidRPr="00BB6D2F">
        <w:rPr>
          <w:rFonts w:ascii="Simplified Arabic" w:hAnsi="Simplified Arabic" w:cs="Simplified Arabic"/>
          <w:sz w:val="28"/>
          <w:szCs w:val="28"/>
        </w:rPr>
        <w:t xml:space="preserve"> (Seizing)</w:t>
      </w:r>
      <w:r w:rsidRPr="00BB6D2F">
        <w:rPr>
          <w:rFonts w:ascii="Simplified Arabic" w:hAnsi="Simplified Arabic" w:cs="Simplified Arabic"/>
          <w:sz w:val="28"/>
          <w:szCs w:val="28"/>
          <w:rtl/>
        </w:rPr>
        <w:t>، وإعادة التشكيل التحويلي</w:t>
      </w:r>
      <w:r w:rsidRPr="00BB6D2F">
        <w:rPr>
          <w:rFonts w:ascii="Simplified Arabic" w:hAnsi="Simplified Arabic" w:cs="Simplified Arabic"/>
          <w:sz w:val="28"/>
          <w:szCs w:val="28"/>
        </w:rPr>
        <w:t xml:space="preserve"> (Transforming). </w:t>
      </w:r>
      <w:r w:rsidRPr="00BB6D2F">
        <w:rPr>
          <w:rFonts w:ascii="Simplified Arabic" w:hAnsi="Simplified Arabic" w:cs="Simplified Arabic"/>
          <w:sz w:val="28"/>
          <w:szCs w:val="28"/>
          <w:rtl/>
        </w:rPr>
        <w:t>وبناءً عليه، لا تُصنف الرشاقة كمفهوم إداري معزول، وإنما هي نتاج تشغيلي مباشر لتفعيل هذه القدرات الثلاث داخل النسيج المؤسسي لتمكينه من التكيف مع تقلبات البيئة</w:t>
      </w:r>
      <w:r w:rsidR="00BD0786">
        <w:rPr>
          <w:rFonts w:ascii="Simplified Arabic" w:hAnsi="Simplified Arabic" w:cs="Simplified Arabic" w:hint="cs"/>
          <w:sz w:val="28"/>
          <w:szCs w:val="28"/>
          <w:rtl/>
        </w:rPr>
        <w:t xml:space="preserve"> </w:t>
      </w:r>
      <w:r w:rsidR="00BD0786">
        <w:rPr>
          <w:rFonts w:ascii="Simplified Arabic" w:hAnsi="Simplified Arabic" w:cs="Simplified Arabic"/>
          <w:sz w:val="28"/>
          <w:szCs w:val="28"/>
        </w:rPr>
        <w:t>(Teece, 2007; Teece, 2025)</w:t>
      </w:r>
      <w:r w:rsidR="00BD0786">
        <w:rPr>
          <w:rFonts w:ascii="Simplified Arabic" w:hAnsi="Simplified Arabic" w:cs="Simplified Arabic" w:hint="cs"/>
          <w:sz w:val="28"/>
          <w:szCs w:val="28"/>
          <w:rtl/>
          <w:lang w:bidi="ar-EG"/>
        </w:rPr>
        <w:t>.</w:t>
      </w:r>
      <w:r w:rsidRPr="00BB6D2F">
        <w:rPr>
          <w:rFonts w:ascii="Simplified Arabic" w:hAnsi="Simplified Arabic" w:cs="Simplified Arabic"/>
          <w:sz w:val="28"/>
          <w:szCs w:val="28"/>
        </w:rPr>
        <w:t xml:space="preserve"> </w:t>
      </w:r>
      <w:r w:rsidRPr="00BB6D2F">
        <w:rPr>
          <w:rFonts w:ascii="Simplified Arabic" w:hAnsi="Simplified Arabic" w:cs="Simplified Arabic"/>
          <w:sz w:val="28"/>
          <w:szCs w:val="28"/>
          <w:rtl/>
        </w:rPr>
        <w:t>ويتطلب هذا التأصيل انتقال المنظمة من إدارة الموارد الساكنة إلى التحديث المستمر للكفاءات المحورية بما يتسق مع متطلبات الابتكار المربك في بيئات الأعمال الحديثة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(Steiber &amp; Teec</w:t>
      </w:r>
      <w:r w:rsidR="00BD0786">
        <w:rPr>
          <w:rFonts w:ascii="Simplified Arabic" w:hAnsi="Simplified Arabic" w:cs="Simplified Arabic"/>
          <w:sz w:val="28"/>
          <w:szCs w:val="28"/>
        </w:rPr>
        <w:t xml:space="preserve">e, 2026; Wilke &amp; </w:t>
      </w:r>
      <w:proofErr w:type="spellStart"/>
      <w:r w:rsidR="00BD0786">
        <w:rPr>
          <w:rFonts w:ascii="Simplified Arabic" w:hAnsi="Simplified Arabic" w:cs="Simplified Arabic"/>
          <w:sz w:val="28"/>
          <w:szCs w:val="28"/>
        </w:rPr>
        <w:t>Kanbach</w:t>
      </w:r>
      <w:proofErr w:type="spellEnd"/>
      <w:r w:rsidR="00BD0786">
        <w:rPr>
          <w:rFonts w:ascii="Simplified Arabic" w:hAnsi="Simplified Arabic" w:cs="Simplified Arabic"/>
          <w:sz w:val="28"/>
          <w:szCs w:val="28"/>
        </w:rPr>
        <w:t>, 2026)</w:t>
      </w:r>
      <w:r w:rsidR="00BD0786">
        <w:rPr>
          <w:rFonts w:ascii="Simplified Arabic" w:hAnsi="Simplified Arabic" w:cs="Simplified Arabic" w:hint="cs"/>
          <w:sz w:val="28"/>
          <w:szCs w:val="28"/>
          <w:rtl/>
          <w:lang w:bidi="ar-EG"/>
        </w:rPr>
        <w:t>.</w:t>
      </w:r>
    </w:p>
    <w:p w14:paraId="4DBD3492" w14:textId="77777777" w:rsidR="00DD47DA" w:rsidRPr="00DD47DA"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يسهم دمج تقنيات الذكاء الاصطناعي في تسريع وتيرة الرشاقة الاستراتيجية عبر تعزيز كفاءة المنظمة في معالجة تدفقات البيانات الضخمة في الزمن الحقيقي</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(Real-Time)</w:t>
      </w:r>
      <w:r w:rsidRPr="00BB6D2F">
        <w:rPr>
          <w:rFonts w:ascii="Simplified Arabic" w:hAnsi="Simplified Arabic" w:cs="Simplified Arabic"/>
          <w:sz w:val="28"/>
          <w:szCs w:val="28"/>
          <w:rtl/>
        </w:rPr>
        <w:t xml:space="preserve">، ورفد آليات الاستشعار والتحليل الاستراتيجي بمخرجات تنبؤية دقيقة. ومع ذلك، فإن هذا الأثر الإيجابي مشروط تنظيمياً بوجود قيادة رقمية ناضجة وبنية معلوماتية </w:t>
      </w:r>
      <w:proofErr w:type="spellStart"/>
      <w:r w:rsidRPr="00BB6D2F">
        <w:rPr>
          <w:rFonts w:ascii="Simplified Arabic" w:hAnsi="Simplified Arabic" w:cs="Simplified Arabic"/>
          <w:sz w:val="28"/>
          <w:szCs w:val="28"/>
          <w:rtl/>
        </w:rPr>
        <w:t>محوكمة</w:t>
      </w:r>
      <w:proofErr w:type="spellEnd"/>
      <w:r w:rsidRPr="00BB6D2F">
        <w:rPr>
          <w:rFonts w:ascii="Simplified Arabic" w:hAnsi="Simplified Arabic" w:cs="Simplified Arabic"/>
          <w:sz w:val="28"/>
          <w:szCs w:val="28"/>
          <w:rtl/>
        </w:rPr>
        <w:t xml:space="preserve"> تمنع عشوائية الأتمتة</w:t>
      </w:r>
      <w:r w:rsidRPr="00BB6D2F">
        <w:rPr>
          <w:rFonts w:ascii="Simplified Arabic" w:hAnsi="Simplified Arabic" w:cs="Simplified Arabic"/>
          <w:sz w:val="28"/>
          <w:szCs w:val="28"/>
        </w:rPr>
        <w:t>(Atienza-Barba et al.</w:t>
      </w:r>
      <w:r w:rsidR="00BD0786">
        <w:rPr>
          <w:rFonts w:ascii="Simplified Arabic" w:hAnsi="Simplified Arabic" w:cs="Simplified Arabic"/>
          <w:sz w:val="28"/>
          <w:szCs w:val="28"/>
        </w:rPr>
        <w:t>, 2024; Feng &amp; Abd Rani, 2024)</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وتتحدد الرشاقة الاستراتيجية في هذا السياق بوصفها متغيراً تابعاً</w:t>
      </w:r>
      <w:r w:rsidRPr="00BB6D2F">
        <w:rPr>
          <w:rFonts w:ascii="Simplified Arabic" w:hAnsi="Simplified Arabic" w:cs="Simplified Arabic"/>
          <w:sz w:val="28"/>
          <w:szCs w:val="28"/>
        </w:rPr>
        <w:t xml:space="preserve"> (Outcome Variable) </w:t>
      </w:r>
      <w:r w:rsidRPr="00BB6D2F">
        <w:rPr>
          <w:rFonts w:ascii="Simplified Arabic" w:hAnsi="Simplified Arabic" w:cs="Simplified Arabic"/>
          <w:sz w:val="28"/>
          <w:szCs w:val="28"/>
          <w:rtl/>
        </w:rPr>
        <w:t xml:space="preserve">يتولد عن التكامل بين حوكمة المعلومات التي تضمن موثوقية المدخلات </w:t>
      </w:r>
      <w:proofErr w:type="spellStart"/>
      <w:r w:rsidRPr="00BB6D2F">
        <w:rPr>
          <w:rFonts w:ascii="Simplified Arabic" w:hAnsi="Simplified Arabic" w:cs="Simplified Arabic"/>
          <w:sz w:val="28"/>
          <w:szCs w:val="28"/>
          <w:rtl/>
        </w:rPr>
        <w:t>البياناتية</w:t>
      </w:r>
      <w:proofErr w:type="spellEnd"/>
      <w:r w:rsidRPr="00BB6D2F">
        <w:rPr>
          <w:rFonts w:ascii="Simplified Arabic" w:hAnsi="Simplified Arabic" w:cs="Simplified Arabic"/>
          <w:sz w:val="28"/>
          <w:szCs w:val="28"/>
          <w:rtl/>
        </w:rPr>
        <w:t>، ونماذج اللغة الضخمة التي تعزز القدرة الاستيعابية والتوليدية لتحويل هذه المدخلات إلى قرارات تشغيلية واستراتيجية نافذة</w:t>
      </w:r>
      <w:r w:rsidRPr="00BB6D2F">
        <w:rPr>
          <w:rFonts w:ascii="Simplified Arabic" w:hAnsi="Simplified Arabic" w:cs="Simplified Arabic"/>
          <w:sz w:val="28"/>
          <w:szCs w:val="28"/>
        </w:rPr>
        <w:t>(</w:t>
      </w:r>
      <w:proofErr w:type="spellStart"/>
      <w:r w:rsidRPr="00BB6D2F">
        <w:rPr>
          <w:rFonts w:ascii="Simplified Arabic" w:hAnsi="Simplified Arabic" w:cs="Simplified Arabic"/>
          <w:sz w:val="28"/>
          <w:szCs w:val="28"/>
        </w:rPr>
        <w:t>Almelhes</w:t>
      </w:r>
      <w:proofErr w:type="spellEnd"/>
      <w:r w:rsidRPr="00BB6D2F">
        <w:rPr>
          <w:rFonts w:ascii="Simplified Arabic" w:hAnsi="Simplified Arabic" w:cs="Simplified Arabic"/>
          <w:sz w:val="28"/>
          <w:szCs w:val="28"/>
        </w:rPr>
        <w:t>, 2025; Jahanbakhsh, 2025)</w:t>
      </w:r>
      <w:r>
        <w:rPr>
          <w:rFonts w:ascii="Simplified Arabic" w:hAnsi="Simplified Arabic" w:cs="Simplified Arabic" w:hint="cs"/>
          <w:sz w:val="28"/>
          <w:szCs w:val="28"/>
          <w:rtl/>
          <w:lang w:bidi="ar-EG"/>
        </w:rPr>
        <w:t>.</w:t>
      </w:r>
    </w:p>
    <w:p w14:paraId="6E96A552" w14:textId="77777777" w:rsidR="00DD47DA" w:rsidRPr="00DD47DA"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(5-4-6) </w:t>
      </w:r>
      <w:r w:rsidR="00DD47DA" w:rsidRPr="00DD47DA">
        <w:rPr>
          <w:rFonts w:ascii="Simplified Arabic" w:hAnsi="Simplified Arabic" w:cs="Simplified Arabic"/>
          <w:b/>
          <w:bCs/>
          <w:sz w:val="28"/>
          <w:szCs w:val="28"/>
          <w:rtl/>
        </w:rPr>
        <w:t>موقع الرشاقة الاستراتيجية في النموذج المفاهيمي للدراسة</w:t>
      </w:r>
    </w:p>
    <w:p w14:paraId="2451244A" w14:textId="77777777" w:rsidR="00BB6D2F" w:rsidRPr="00BB6D2F"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تتموضع الرشاقة الاستراتيجية في النموذج المفاهيمي لهذه الدراسة بوصفها المخرج النهائي والمآل التنظيمي لمنظومة معرفية–تقنية متكاملة؛ حيث تبدأ هذه المنظومة من جودة المعلومات كمدخل بنيوي تؤسسه حوكمة المعلومات، مروراً بالقدرة التحليلية والتوليدية الوسيطة التي تدعمها نماذج اللغة الضخمة، وصولاً إلى كفاءة التكيف السريع وإعادة تشكيل الأصول</w:t>
      </w:r>
      <w:r w:rsidRPr="00BB6D2F">
        <w:rPr>
          <w:rFonts w:ascii="Simplified Arabic" w:hAnsi="Simplified Arabic" w:cs="Simplified Arabic"/>
          <w:sz w:val="28"/>
          <w:szCs w:val="28"/>
        </w:rPr>
        <w:t>(Malik et al</w:t>
      </w:r>
      <w:r w:rsidR="00BD0786">
        <w:rPr>
          <w:rFonts w:ascii="Simplified Arabic" w:hAnsi="Simplified Arabic" w:cs="Simplified Arabic"/>
          <w:sz w:val="28"/>
          <w:szCs w:val="28"/>
        </w:rPr>
        <w:t>., 2025; Nugroho et al., 2026)</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 xml:space="preserve">ويضمن هذا البناء المتسلسل تفسير الآلية </w:t>
      </w:r>
      <w:proofErr w:type="spellStart"/>
      <w:r w:rsidRPr="00BB6D2F">
        <w:rPr>
          <w:rFonts w:ascii="Simplified Arabic" w:hAnsi="Simplified Arabic" w:cs="Simplified Arabic"/>
          <w:sz w:val="28"/>
          <w:szCs w:val="28"/>
          <w:rtl/>
        </w:rPr>
        <w:t>المنظومية</w:t>
      </w:r>
      <w:proofErr w:type="spellEnd"/>
      <w:r w:rsidRPr="00BB6D2F">
        <w:rPr>
          <w:rFonts w:ascii="Simplified Arabic" w:hAnsi="Simplified Arabic" w:cs="Simplified Arabic"/>
          <w:sz w:val="28"/>
          <w:szCs w:val="28"/>
          <w:rtl/>
        </w:rPr>
        <w:t xml:space="preserve"> التي تتحول من خلالها الاستثمارات التقنية والمعيارية للمنظمة إلى عوائد تنافسية ملموسة تعزز من مرونتها الكلية</w:t>
      </w:r>
      <w:r w:rsidRPr="00BB6D2F">
        <w:rPr>
          <w:rFonts w:ascii="Simplified Arabic" w:hAnsi="Simplified Arabic" w:cs="Simplified Arabic"/>
          <w:sz w:val="28"/>
          <w:szCs w:val="28"/>
        </w:rPr>
        <w:t>.</w:t>
      </w:r>
    </w:p>
    <w:p w14:paraId="57E9FB21" w14:textId="77777777" w:rsidR="00D3643E"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lastRenderedPageBreak/>
        <w:t>تأسيساً على ما سبق، لا تُفسر الرشاقة الاستراتيجية كاستجابة ظرفية مؤقتة للتغيرات البيئية، بل هي نتاج بنيوي مستدام لتكامل القدرات المعلوماتية والمعرفية داخل المؤسسة. ويفترض النموذج المفاهيمي للدراسة أن إحكام حوكمة المعلومات يرفع من درجة موثوقية المدخلات التنظيمية، وأن توظيف نماذج اللغة الضخمة كقدرة وسيطة يضاعف من فاعلية معالجة تلك المدخلات وتوظيفها، مما يؤدي في النهاية إلى تعظيم مستويات الرشاقة الاستراتيجية</w:t>
      </w:r>
      <w:r w:rsidRPr="00BB6D2F">
        <w:rPr>
          <w:rFonts w:ascii="Simplified Arabic" w:hAnsi="Simplified Arabic" w:cs="Simplified Arabic"/>
          <w:sz w:val="28"/>
          <w:szCs w:val="28"/>
        </w:rPr>
        <w:t>(Mueller</w:t>
      </w:r>
      <w:r w:rsidRPr="00BB6D2F">
        <w:rPr>
          <w:rFonts w:ascii="Times New Roman" w:hAnsi="Times New Roman" w:cs="Times New Roman"/>
          <w:sz w:val="28"/>
          <w:szCs w:val="28"/>
        </w:rPr>
        <w:t>‐</w:t>
      </w:r>
      <w:proofErr w:type="spellStart"/>
      <w:r w:rsidR="00BD0786">
        <w:rPr>
          <w:rFonts w:ascii="Simplified Arabic" w:hAnsi="Simplified Arabic" w:cs="Simplified Arabic"/>
          <w:sz w:val="28"/>
          <w:szCs w:val="28"/>
        </w:rPr>
        <w:t>Saegebrecht</w:t>
      </w:r>
      <w:proofErr w:type="spellEnd"/>
      <w:r w:rsidR="00BD0786">
        <w:rPr>
          <w:rFonts w:ascii="Simplified Arabic" w:hAnsi="Simplified Arabic" w:cs="Simplified Arabic"/>
          <w:sz w:val="28"/>
          <w:szCs w:val="28"/>
        </w:rPr>
        <w:t xml:space="preserve"> &amp; Walter,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ويكتسب هذا الترابط أهمية بالغة عند تطبيقه على بيئات الشركات الاستشارية المعقدة، نظراً لاعتماد قيمتها السوقية الأساسية على سرعة إدارة المعرفة وتوظيف الذكاء الاستراتيجي لمواجهة تحديات عدم اليقين</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(Aghaei et al., 2025</w:t>
      </w:r>
      <w:r w:rsidR="00BD0786">
        <w:rPr>
          <w:rFonts w:ascii="Simplified Arabic" w:hAnsi="Simplified Arabic" w:cs="Simplified Arabic"/>
          <w:sz w:val="28"/>
          <w:szCs w:val="28"/>
        </w:rPr>
        <w:t xml:space="preserve">; </w:t>
      </w:r>
      <w:proofErr w:type="spellStart"/>
      <w:r w:rsidR="00BD0786">
        <w:rPr>
          <w:rFonts w:ascii="Simplified Arabic" w:hAnsi="Simplified Arabic" w:cs="Simplified Arabic"/>
          <w:sz w:val="28"/>
          <w:szCs w:val="28"/>
        </w:rPr>
        <w:t>Nyamboga</w:t>
      </w:r>
      <w:proofErr w:type="spellEnd"/>
      <w:r w:rsidR="00BD0786">
        <w:rPr>
          <w:rFonts w:ascii="Simplified Arabic" w:hAnsi="Simplified Arabic" w:cs="Simplified Arabic"/>
          <w:sz w:val="28"/>
          <w:szCs w:val="28"/>
        </w:rPr>
        <w:t>, 2025)</w:t>
      </w:r>
      <w:r w:rsidR="00BD0786">
        <w:rPr>
          <w:rFonts w:ascii="Simplified Arabic" w:hAnsi="Simplified Arabic" w:cs="Simplified Arabic" w:hint="cs"/>
          <w:sz w:val="28"/>
          <w:szCs w:val="28"/>
          <w:rtl/>
          <w:lang w:bidi="ar-EG"/>
        </w:rPr>
        <w:t xml:space="preserve">. </w:t>
      </w:r>
    </w:p>
    <w:p w14:paraId="46540F6F" w14:textId="77777777" w:rsidR="00DD47DA" w:rsidRPr="008220F3" w:rsidRDefault="00D3643E" w:rsidP="008220F3">
      <w:pPr>
        <w:spacing w:before="240"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 xml:space="preserve">(5-5) </w:t>
      </w:r>
      <w:r w:rsidR="00DD47DA" w:rsidRPr="008220F3">
        <w:rPr>
          <w:rFonts w:ascii="Simplified Arabic" w:hAnsi="Simplified Arabic" w:cs="Simplified Arabic"/>
          <w:b/>
          <w:bCs/>
          <w:sz w:val="30"/>
          <w:szCs w:val="30"/>
          <w:rtl/>
        </w:rPr>
        <w:t>تطوير النموذج المفاهيمي المقترح وفروض الدراسة</w:t>
      </w:r>
    </w:p>
    <w:p w14:paraId="21E0E520" w14:textId="77777777" w:rsidR="00BB6D2F" w:rsidRPr="00BB6D2F" w:rsidRDefault="00BB6D2F" w:rsidP="00BD0786">
      <w:pPr>
        <w:spacing w:after="0" w:line="240" w:lineRule="auto"/>
        <w:ind w:firstLine="720"/>
        <w:jc w:val="both"/>
        <w:rPr>
          <w:rFonts w:ascii="Simplified Arabic" w:hAnsi="Simplified Arabic" w:cs="Simplified Arabic"/>
          <w:sz w:val="28"/>
          <w:szCs w:val="28"/>
          <w:rtl/>
          <w:lang w:bidi="ar-EG"/>
        </w:rPr>
      </w:pPr>
      <w:r w:rsidRPr="00BB6D2F">
        <w:rPr>
          <w:rFonts w:ascii="Simplified Arabic" w:hAnsi="Simplified Arabic" w:cs="Simplified Arabic"/>
          <w:sz w:val="28"/>
          <w:szCs w:val="28"/>
          <w:rtl/>
        </w:rPr>
        <w:t>ينطلق تطوير النموذج المفاهيمي في هذه الدراسة من منظور تكاملي يدمج بين نظرية القدرات الديناميكية ونظرية معالجة المعلومات التنظيمية، بوصفهما إطارين تفسيريين لفهم آليات تشكّل الرشاقة الاستراتيجية داخل المنظمات المعرفية في البيئات عالية التعقيد وعدم التيقن</w:t>
      </w:r>
      <w:r w:rsidR="00BD0786">
        <w:rPr>
          <w:rFonts w:ascii="Simplified Arabic" w:hAnsi="Simplified Arabic" w:cs="Simplified Arabic"/>
          <w:sz w:val="28"/>
          <w:szCs w:val="28"/>
        </w:rPr>
        <w:t xml:space="preserve"> (Teece, 2007; Teece, 2025)</w:t>
      </w:r>
      <w:r w:rsidR="00BD0786">
        <w:rPr>
          <w:rFonts w:ascii="Simplified Arabic" w:hAnsi="Simplified Arabic" w:cs="Simplified Arabic" w:hint="cs"/>
          <w:sz w:val="28"/>
          <w:szCs w:val="28"/>
          <w:rtl/>
          <w:lang w:bidi="ar-EG"/>
        </w:rPr>
        <w:t xml:space="preserve">. </w:t>
      </w:r>
      <w:r w:rsidRPr="00BB6D2F">
        <w:rPr>
          <w:rFonts w:ascii="Simplified Arabic" w:hAnsi="Simplified Arabic" w:cs="Simplified Arabic"/>
          <w:sz w:val="28"/>
          <w:szCs w:val="28"/>
          <w:rtl/>
        </w:rPr>
        <w:t>ويُضاف إلى هذا التكامل البعد التكنولوجي المعاصر المتمثل في توظيف نماذج اللغة الضخمة، باعتبارها امتداداً متقدماً وممكناً لقدرات معالجة البيانات، والتحليل التنبؤي، ودعم اتخاذ القرار الذكي داخل المنظمات الرقمية</w:t>
      </w:r>
      <w:r w:rsidR="00BD0786">
        <w:rPr>
          <w:rFonts w:ascii="Simplified Arabic" w:hAnsi="Simplified Arabic" w:cs="Simplified Arabic" w:hint="cs"/>
          <w:sz w:val="28"/>
          <w:szCs w:val="28"/>
          <w:rtl/>
        </w:rPr>
        <w:t xml:space="preserve"> </w:t>
      </w:r>
      <w:r w:rsidRPr="00BB6D2F">
        <w:rPr>
          <w:rFonts w:ascii="Simplified Arabic" w:hAnsi="Simplified Arabic" w:cs="Simplified Arabic"/>
          <w:sz w:val="28"/>
          <w:szCs w:val="28"/>
        </w:rPr>
        <w:t>(</w:t>
      </w:r>
      <w:proofErr w:type="spellStart"/>
      <w:r w:rsidRPr="00BB6D2F">
        <w:rPr>
          <w:rFonts w:ascii="Simplified Arabic" w:hAnsi="Simplified Arabic" w:cs="Simplified Arabic"/>
          <w:sz w:val="28"/>
          <w:szCs w:val="28"/>
        </w:rPr>
        <w:t>Alme</w:t>
      </w:r>
      <w:r w:rsidR="00BD0786">
        <w:rPr>
          <w:rFonts w:ascii="Simplified Arabic" w:hAnsi="Simplified Arabic" w:cs="Simplified Arabic"/>
          <w:sz w:val="28"/>
          <w:szCs w:val="28"/>
        </w:rPr>
        <w:t>lhes</w:t>
      </w:r>
      <w:proofErr w:type="spellEnd"/>
      <w:r w:rsidR="00BD0786">
        <w:rPr>
          <w:rFonts w:ascii="Simplified Arabic" w:hAnsi="Simplified Arabic" w:cs="Simplified Arabic"/>
          <w:sz w:val="28"/>
          <w:szCs w:val="28"/>
        </w:rPr>
        <w:t>, 2025; Malik et al., 2025)</w:t>
      </w:r>
      <w:r w:rsidR="00BD0786">
        <w:rPr>
          <w:rFonts w:ascii="Simplified Arabic" w:hAnsi="Simplified Arabic" w:cs="Simplified Arabic" w:hint="cs"/>
          <w:sz w:val="28"/>
          <w:szCs w:val="28"/>
          <w:rtl/>
          <w:lang w:bidi="ar-EG"/>
        </w:rPr>
        <w:t>.</w:t>
      </w:r>
    </w:p>
    <w:p w14:paraId="4BC2C142" w14:textId="77777777" w:rsidR="00DD47DA" w:rsidRPr="00DD47DA" w:rsidRDefault="00BB6D2F" w:rsidP="00BD0786">
      <w:pPr>
        <w:spacing w:after="0" w:line="240" w:lineRule="auto"/>
        <w:ind w:firstLine="720"/>
        <w:jc w:val="both"/>
        <w:rPr>
          <w:rFonts w:ascii="Simplified Arabic" w:hAnsi="Simplified Arabic" w:cs="Simplified Arabic"/>
          <w:sz w:val="28"/>
          <w:szCs w:val="28"/>
        </w:rPr>
      </w:pPr>
      <w:r w:rsidRPr="00BB6D2F">
        <w:rPr>
          <w:rFonts w:ascii="Simplified Arabic" w:hAnsi="Simplified Arabic" w:cs="Simplified Arabic"/>
          <w:sz w:val="28"/>
          <w:szCs w:val="28"/>
          <w:rtl/>
        </w:rPr>
        <w:t xml:space="preserve">تتحدد العلاقة بين متغيرات الدراسة عبر منظومة تفاعلية تتداخل فيها جودة الحوكمة المعلوماتية كمدخل بنيوي مع القدرة التنظيمية على معالجة المعرفة، وصولاً إلى بناء الاستجابة الاستراتيجية المرنة. ويعكس النموذج المقترح انتقالاً بنيوياً من منطق امتلاك الموارد </w:t>
      </w:r>
      <w:proofErr w:type="spellStart"/>
      <w:r w:rsidRPr="00BB6D2F">
        <w:rPr>
          <w:rFonts w:ascii="Simplified Arabic" w:hAnsi="Simplified Arabic" w:cs="Simplified Arabic"/>
          <w:sz w:val="28"/>
          <w:szCs w:val="28"/>
          <w:rtl/>
        </w:rPr>
        <w:t>البياناتية</w:t>
      </w:r>
      <w:proofErr w:type="spellEnd"/>
      <w:r w:rsidRPr="00BB6D2F">
        <w:rPr>
          <w:rFonts w:ascii="Simplified Arabic" w:hAnsi="Simplified Arabic" w:cs="Simplified Arabic"/>
          <w:sz w:val="28"/>
          <w:szCs w:val="28"/>
          <w:rtl/>
        </w:rPr>
        <w:t xml:space="preserve"> الساكنة إلى منطق تحويلها الديناميكي إلى قرارات استراتيجية نافذة في ظل بيئات الأعمال المعتمدة على الذكاء الاصطناعي التوليدي</w:t>
      </w:r>
      <w:r w:rsidRPr="00BB6D2F">
        <w:rPr>
          <w:rFonts w:ascii="Simplified Arabic" w:hAnsi="Simplified Arabic" w:cs="Simplified Arabic"/>
          <w:sz w:val="28"/>
          <w:szCs w:val="28"/>
        </w:rPr>
        <w:t xml:space="preserve"> (Aghaei et al., 2025; Mueller</w:t>
      </w:r>
      <w:r w:rsidRPr="00BB6D2F">
        <w:rPr>
          <w:rFonts w:ascii="Times New Roman" w:hAnsi="Times New Roman" w:cs="Times New Roman"/>
          <w:sz w:val="28"/>
          <w:szCs w:val="28"/>
        </w:rPr>
        <w:t>‐</w:t>
      </w:r>
      <w:proofErr w:type="spellStart"/>
      <w:r w:rsidRPr="00BB6D2F">
        <w:rPr>
          <w:rFonts w:ascii="Simplified Arabic" w:hAnsi="Simplified Arabic" w:cs="Simplified Arabic"/>
          <w:sz w:val="28"/>
          <w:szCs w:val="28"/>
        </w:rPr>
        <w:t>Saegebrecht</w:t>
      </w:r>
      <w:proofErr w:type="spellEnd"/>
      <w:r w:rsidRPr="00BB6D2F">
        <w:rPr>
          <w:rFonts w:ascii="Simplified Arabic" w:hAnsi="Simplified Arabic" w:cs="Simplified Arabic"/>
          <w:sz w:val="28"/>
          <w:szCs w:val="28"/>
        </w:rPr>
        <w:t xml:space="preserve"> &amp; Walter, 2025)</w:t>
      </w:r>
      <w:r w:rsidR="0021576E">
        <w:rPr>
          <w:rFonts w:ascii="Simplified Arabic" w:hAnsi="Simplified Arabic" w:cs="Simplified Arabic"/>
          <w:sz w:val="28"/>
          <w:szCs w:val="28"/>
        </w:rPr>
        <w:t>.</w:t>
      </w:r>
    </w:p>
    <w:p w14:paraId="097CE981" w14:textId="77777777" w:rsidR="00DD47DA" w:rsidRPr="0021576E"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(5-5-1)  </w:t>
      </w:r>
      <w:r w:rsidR="00DD47DA" w:rsidRPr="0021576E">
        <w:rPr>
          <w:rFonts w:ascii="Simplified Arabic" w:hAnsi="Simplified Arabic" w:cs="Simplified Arabic"/>
          <w:b/>
          <w:bCs/>
          <w:sz w:val="28"/>
          <w:szCs w:val="28"/>
          <w:rtl/>
        </w:rPr>
        <w:t>العلاقة بين حوكمة المعلومات والرشاقة الاستراتيجية</w:t>
      </w:r>
    </w:p>
    <w:p w14:paraId="1816BC41" w14:textId="77777777" w:rsidR="00550DBF" w:rsidRPr="00550DBF" w:rsidRDefault="00550DBF" w:rsidP="00BD0786">
      <w:pPr>
        <w:spacing w:after="0" w:line="240" w:lineRule="auto"/>
        <w:ind w:firstLine="720"/>
        <w:jc w:val="both"/>
        <w:rPr>
          <w:rFonts w:ascii="Simplified Arabic" w:hAnsi="Simplified Arabic" w:cs="Simplified Arabic"/>
          <w:sz w:val="28"/>
          <w:szCs w:val="28"/>
        </w:rPr>
      </w:pPr>
      <w:r w:rsidRPr="00550DBF">
        <w:rPr>
          <w:rFonts w:ascii="Simplified Arabic" w:hAnsi="Simplified Arabic" w:cs="Simplified Arabic"/>
          <w:sz w:val="28"/>
          <w:szCs w:val="28"/>
          <w:rtl/>
        </w:rPr>
        <w:t>ترتكز الرشاقة الاستراتيجية، بوصفها امتداداً تطبيقياً للقدرات الديناميكية، على جودة البنية التحتية للمعلومات داخل المنظمة وموثوقيتها؛ حيث ترتبط فاعلية عمليات الاستشعار والتفسير وإعادة التشكيل مباشرة بمدى دقة البيانات، واتساقها، وإمكانية الوصول السريع إليها</w:t>
      </w:r>
      <w:r w:rsidRPr="00550DBF">
        <w:rPr>
          <w:rFonts w:ascii="Simplified Arabic" w:hAnsi="Simplified Arabic" w:cs="Simplified Arabic"/>
          <w:sz w:val="28"/>
          <w:szCs w:val="28"/>
        </w:rPr>
        <w:t xml:space="preserve">(Nugroho et al., </w:t>
      </w:r>
      <w:r w:rsidR="00BD0786">
        <w:rPr>
          <w:rFonts w:ascii="Simplified Arabic" w:hAnsi="Simplified Arabic" w:cs="Simplified Arabic"/>
          <w:sz w:val="28"/>
          <w:szCs w:val="28"/>
        </w:rPr>
        <w:lastRenderedPageBreak/>
        <w:t xml:space="preserve">2026; Wilke &amp; </w:t>
      </w:r>
      <w:proofErr w:type="spellStart"/>
      <w:r w:rsidR="00BD0786">
        <w:rPr>
          <w:rFonts w:ascii="Simplified Arabic" w:hAnsi="Simplified Arabic" w:cs="Simplified Arabic"/>
          <w:sz w:val="28"/>
          <w:szCs w:val="28"/>
        </w:rPr>
        <w:t>Kanbach</w:t>
      </w:r>
      <w:proofErr w:type="spellEnd"/>
      <w:r w:rsidR="00BD0786">
        <w:rPr>
          <w:rFonts w:ascii="Simplified Arabic" w:hAnsi="Simplified Arabic" w:cs="Simplified Arabic"/>
          <w:sz w:val="28"/>
          <w:szCs w:val="28"/>
        </w:rPr>
        <w:t>, 2026)</w:t>
      </w:r>
      <w:r w:rsidR="00BD0786">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وتتحدد هذه المحدّدات البنيوية عن طريق أطر حوكمة المعلومات التي تحول دون تشتت الأصول المعرفية للمنظمة أو تقادمها</w:t>
      </w:r>
      <w:r w:rsidRPr="00550DBF">
        <w:rPr>
          <w:rFonts w:ascii="Simplified Arabic" w:hAnsi="Simplified Arabic" w:cs="Simplified Arabic"/>
          <w:sz w:val="28"/>
          <w:szCs w:val="28"/>
        </w:rPr>
        <w:t>.</w:t>
      </w:r>
    </w:p>
    <w:p w14:paraId="3B40BA8B" w14:textId="77777777" w:rsidR="00DD47DA" w:rsidRPr="00BD0786" w:rsidRDefault="00550DBF" w:rsidP="00BD0786">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تعمل حوكمة المعلومات كآلية تنظيمية لضبط دورة حياة البيانات، وتحديد المسؤوليات، ورفع مستويات الامتثال والجودة، مما يسهم مباشرة في خفض معدلات عدم اليقين المعلوماتي الذي يواجه الإدارة العليا عند صياغة التوجهات الاستراتيجية</w:t>
      </w:r>
      <w:r w:rsidRPr="00550DBF">
        <w:rPr>
          <w:rFonts w:ascii="Simplified Arabic" w:hAnsi="Simplified Arabic" w:cs="Simplified Arabic"/>
          <w:sz w:val="28"/>
          <w:szCs w:val="28"/>
        </w:rPr>
        <w:t xml:space="preserve"> (Feng &amp; Abd </w:t>
      </w:r>
      <w:r w:rsidR="00BD0786">
        <w:rPr>
          <w:rFonts w:ascii="Simplified Arabic" w:hAnsi="Simplified Arabic" w:cs="Simplified Arabic"/>
          <w:sz w:val="28"/>
          <w:szCs w:val="28"/>
        </w:rPr>
        <w:t>Rani, 2024; Jahanbakhsh, 2025)</w:t>
      </w:r>
      <w:r w:rsidR="00BD0786">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وبناءً عليه، تمثل الحوكمة بنية تمكينية</w:t>
      </w:r>
      <w:r w:rsidRPr="00550DBF">
        <w:rPr>
          <w:rFonts w:ascii="Simplified Arabic" w:hAnsi="Simplified Arabic" w:cs="Simplified Arabic"/>
          <w:sz w:val="28"/>
          <w:szCs w:val="28"/>
        </w:rPr>
        <w:t xml:space="preserve"> (Enabling Structure) </w:t>
      </w:r>
      <w:r w:rsidRPr="00550DBF">
        <w:rPr>
          <w:rFonts w:ascii="Simplified Arabic" w:hAnsi="Simplified Arabic" w:cs="Simplified Arabic"/>
          <w:sz w:val="28"/>
          <w:szCs w:val="28"/>
          <w:rtl/>
        </w:rPr>
        <w:t>للرشاقة الاستراتيجية، من خلال تحسين كفاءة الاستشعار البيئي وتقليل الفجوات المعرفية، مما يسمح بتحويل البيانات إلى رؤى استراتيجية قابلة للتنفيذ الفوري في بيئات الأعمال المضطربة</w:t>
      </w:r>
      <w:r w:rsidRPr="00550DBF">
        <w:rPr>
          <w:rFonts w:ascii="Simplified Arabic" w:hAnsi="Simplified Arabic" w:cs="Simplified Arabic"/>
          <w:sz w:val="28"/>
          <w:szCs w:val="28"/>
        </w:rPr>
        <w:t xml:space="preserve"> (Ahmed, 2025; Atienza-Barba et al., 2024)</w:t>
      </w:r>
      <w:r w:rsidR="00BD0786">
        <w:rPr>
          <w:rFonts w:ascii="Simplified Arabic" w:hAnsi="Simplified Arabic" w:cs="Simplified Arabic" w:hint="cs"/>
          <w:sz w:val="28"/>
          <w:szCs w:val="28"/>
          <w:rtl/>
          <w:lang w:bidi="ar-EG"/>
        </w:rPr>
        <w:t xml:space="preserve">. </w:t>
      </w:r>
    </w:p>
    <w:p w14:paraId="3D41316D" w14:textId="77777777" w:rsidR="00DD47DA" w:rsidRPr="0021576E" w:rsidRDefault="00D3643E" w:rsidP="008574AD">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(5-5-</w:t>
      </w:r>
      <w:r w:rsidR="00550DBF">
        <w:rPr>
          <w:rFonts w:ascii="Simplified Arabic" w:hAnsi="Simplified Arabic" w:cs="Simplified Arabic"/>
          <w:b/>
          <w:bCs/>
          <w:sz w:val="28"/>
          <w:szCs w:val="28"/>
        </w:rPr>
        <w:t>2</w:t>
      </w:r>
      <w:r>
        <w:rPr>
          <w:rFonts w:ascii="Simplified Arabic" w:hAnsi="Simplified Arabic" w:cs="Simplified Arabic" w:hint="cs"/>
          <w:b/>
          <w:bCs/>
          <w:sz w:val="28"/>
          <w:szCs w:val="28"/>
          <w:rtl/>
        </w:rPr>
        <w:t xml:space="preserve">)  </w:t>
      </w:r>
      <w:r w:rsidR="00DD47DA" w:rsidRPr="0021576E">
        <w:rPr>
          <w:rFonts w:ascii="Simplified Arabic" w:hAnsi="Simplified Arabic" w:cs="Simplified Arabic"/>
          <w:b/>
          <w:bCs/>
          <w:sz w:val="28"/>
          <w:szCs w:val="28"/>
          <w:rtl/>
        </w:rPr>
        <w:t>العلاقة بين حوكمة المعلومات وتوظيف نماذج اللغة الضخمة</w:t>
      </w:r>
    </w:p>
    <w:p w14:paraId="0911EEA7" w14:textId="77777777" w:rsidR="00550DBF" w:rsidRPr="00550DBF" w:rsidRDefault="00550DBF" w:rsidP="00BD0786">
      <w:pPr>
        <w:spacing w:after="0" w:line="240" w:lineRule="auto"/>
        <w:ind w:firstLine="720"/>
        <w:jc w:val="both"/>
        <w:rPr>
          <w:rFonts w:ascii="Simplified Arabic" w:hAnsi="Simplified Arabic" w:cs="Simplified Arabic"/>
          <w:sz w:val="28"/>
          <w:szCs w:val="28"/>
        </w:rPr>
      </w:pPr>
      <w:r w:rsidRPr="00550DBF">
        <w:rPr>
          <w:rFonts w:ascii="Simplified Arabic" w:hAnsi="Simplified Arabic" w:cs="Simplified Arabic"/>
          <w:sz w:val="28"/>
          <w:szCs w:val="28"/>
          <w:rtl/>
        </w:rPr>
        <w:t>يمتد الأثر التنظيمي لحوكمة المعلومات ليشمل كفاءة المنظمة في تبني وتوظيف نماذج اللغة الضخمة</w:t>
      </w:r>
      <w:r w:rsidRPr="00550DBF">
        <w:rPr>
          <w:rFonts w:ascii="Simplified Arabic" w:hAnsi="Simplified Arabic" w:cs="Simplified Arabic"/>
          <w:sz w:val="28"/>
          <w:szCs w:val="28"/>
        </w:rPr>
        <w:t xml:space="preserve"> (LLMs)</w:t>
      </w:r>
      <w:r w:rsidRPr="00550DBF">
        <w:rPr>
          <w:rFonts w:ascii="Simplified Arabic" w:hAnsi="Simplified Arabic" w:cs="Simplified Arabic"/>
          <w:sz w:val="28"/>
          <w:szCs w:val="28"/>
          <w:rtl/>
        </w:rPr>
        <w:t xml:space="preserve">؛ حيث يتوقف نجاح البنى التقنية المعتمدة على الذكاء الاصطناعي التوليدي مباشرة على درجة نضج الأطر </w:t>
      </w:r>
      <w:proofErr w:type="spellStart"/>
      <w:r w:rsidRPr="00550DBF">
        <w:rPr>
          <w:rFonts w:ascii="Simplified Arabic" w:hAnsi="Simplified Arabic" w:cs="Simplified Arabic"/>
          <w:sz w:val="28"/>
          <w:szCs w:val="28"/>
          <w:rtl/>
        </w:rPr>
        <w:t>الحوكمية</w:t>
      </w:r>
      <w:proofErr w:type="spellEnd"/>
      <w:r w:rsidRPr="00550DBF">
        <w:rPr>
          <w:rFonts w:ascii="Simplified Arabic" w:hAnsi="Simplified Arabic" w:cs="Simplified Arabic"/>
          <w:sz w:val="28"/>
          <w:szCs w:val="28"/>
          <w:rtl/>
        </w:rPr>
        <w:t xml:space="preserve"> الضابطة للأصول </w:t>
      </w:r>
      <w:proofErr w:type="spellStart"/>
      <w:r w:rsidRPr="00550DBF">
        <w:rPr>
          <w:rFonts w:ascii="Simplified Arabic" w:hAnsi="Simplified Arabic" w:cs="Simplified Arabic"/>
          <w:sz w:val="28"/>
          <w:szCs w:val="28"/>
          <w:rtl/>
        </w:rPr>
        <w:t>البياناتية</w:t>
      </w:r>
      <w:proofErr w:type="spellEnd"/>
      <w:r w:rsidRPr="00550DBF">
        <w:rPr>
          <w:rFonts w:ascii="Simplified Arabic" w:hAnsi="Simplified Arabic" w:cs="Simplified Arabic"/>
          <w:sz w:val="28"/>
          <w:szCs w:val="28"/>
        </w:rPr>
        <w:t>(International Organization for Standardizati</w:t>
      </w:r>
      <w:r w:rsidR="00BD0786">
        <w:rPr>
          <w:rFonts w:ascii="Simplified Arabic" w:hAnsi="Simplified Arabic" w:cs="Simplified Arabic"/>
          <w:sz w:val="28"/>
          <w:szCs w:val="28"/>
        </w:rPr>
        <w:t xml:space="preserve">on, 2023; </w:t>
      </w:r>
      <w:proofErr w:type="spellStart"/>
      <w:r w:rsidR="00BD0786">
        <w:rPr>
          <w:rFonts w:ascii="Simplified Arabic" w:hAnsi="Simplified Arabic" w:cs="Simplified Arabic"/>
          <w:sz w:val="28"/>
          <w:szCs w:val="28"/>
        </w:rPr>
        <w:t>Pahune</w:t>
      </w:r>
      <w:proofErr w:type="spellEnd"/>
      <w:r w:rsidR="00BD0786">
        <w:rPr>
          <w:rFonts w:ascii="Simplified Arabic" w:hAnsi="Simplified Arabic" w:cs="Simplified Arabic"/>
          <w:sz w:val="28"/>
          <w:szCs w:val="28"/>
        </w:rPr>
        <w:t xml:space="preserve"> et al., 2025)</w:t>
      </w:r>
      <w:r w:rsidR="00BD0786">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 xml:space="preserve">ورغم القدرات </w:t>
      </w:r>
      <w:proofErr w:type="spellStart"/>
      <w:r w:rsidRPr="00550DBF">
        <w:rPr>
          <w:rFonts w:ascii="Simplified Arabic" w:hAnsi="Simplified Arabic" w:cs="Simplified Arabic"/>
          <w:sz w:val="28"/>
          <w:szCs w:val="28"/>
          <w:rtl/>
        </w:rPr>
        <w:t>الحوسبية</w:t>
      </w:r>
      <w:proofErr w:type="spellEnd"/>
      <w:r w:rsidRPr="00550DBF">
        <w:rPr>
          <w:rFonts w:ascii="Simplified Arabic" w:hAnsi="Simplified Arabic" w:cs="Simplified Arabic"/>
          <w:sz w:val="28"/>
          <w:szCs w:val="28"/>
          <w:rtl/>
        </w:rPr>
        <w:t xml:space="preserve"> الفائقة لهذه النماذج في معالجة البيانات غير المهيكلة وتوليد المعرفة، إلا أنها تظل شديدة الحساسية والارتباط بجودة البيانات وموثوقية قنوات الاسترجاع، مما يجعل الحوكمة شرطاً بنيوياً مسبقاً لمنع الاختلالات المعرفية وضمان اتساق المخرجات المؤسسية</w:t>
      </w:r>
      <w:r w:rsidRPr="00550DBF">
        <w:rPr>
          <w:rFonts w:ascii="Simplified Arabic" w:hAnsi="Simplified Arabic" w:cs="Simplified Arabic"/>
          <w:sz w:val="28"/>
          <w:szCs w:val="28"/>
        </w:rPr>
        <w:t xml:space="preserve"> (Aghaei et al., 2025; Teubner et al., 2023).</w:t>
      </w:r>
    </w:p>
    <w:p w14:paraId="0FFD3E29" w14:textId="77777777" w:rsidR="00550DBF" w:rsidRDefault="00550DBF" w:rsidP="00BD0786">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بناءً على ذلك، تعود حوكمة المعلومات لتشكل آلية تمكين</w:t>
      </w:r>
      <w:r w:rsidRPr="00550DBF">
        <w:rPr>
          <w:rFonts w:ascii="Simplified Arabic" w:hAnsi="Simplified Arabic" w:cs="Simplified Arabic"/>
          <w:sz w:val="28"/>
          <w:szCs w:val="28"/>
        </w:rPr>
        <w:t xml:space="preserve"> (Enabler) </w:t>
      </w:r>
      <w:r w:rsidRPr="00550DBF">
        <w:rPr>
          <w:rFonts w:ascii="Simplified Arabic" w:hAnsi="Simplified Arabic" w:cs="Simplified Arabic"/>
          <w:sz w:val="28"/>
          <w:szCs w:val="28"/>
          <w:rtl/>
        </w:rPr>
        <w:t xml:space="preserve">جوهرية لإدماج النماذج اللغوية داخل النسيج العملياتي للمنظمة عبر ثلاثة محاور تنظيمية: توحيد اتساق البيانات وتكاملها عبر الوحدات الإدارية، وصياغة سياسات واضحة لصلاحيات الاستخدام والوصول الآمن، وضبط أمن البيانات لتقليص مخاطر التحيز </w:t>
      </w:r>
      <w:proofErr w:type="spellStart"/>
      <w:r w:rsidRPr="00550DBF">
        <w:rPr>
          <w:rFonts w:ascii="Simplified Arabic" w:hAnsi="Simplified Arabic" w:cs="Simplified Arabic"/>
          <w:sz w:val="28"/>
          <w:szCs w:val="28"/>
          <w:rtl/>
        </w:rPr>
        <w:t>والهلوتة</w:t>
      </w:r>
      <w:proofErr w:type="spellEnd"/>
      <w:r w:rsidRPr="00550DBF">
        <w:rPr>
          <w:rFonts w:ascii="Simplified Arabic" w:hAnsi="Simplified Arabic" w:cs="Simplified Arabic"/>
          <w:sz w:val="28"/>
          <w:szCs w:val="28"/>
          <w:rtl/>
        </w:rPr>
        <w:t xml:space="preserve"> في المخرجات التوليدية</w:t>
      </w:r>
      <w:r w:rsidRPr="00550DBF">
        <w:rPr>
          <w:rFonts w:ascii="Simplified Arabic" w:hAnsi="Simplified Arabic" w:cs="Simplified Arabic"/>
          <w:sz w:val="28"/>
          <w:szCs w:val="28"/>
        </w:rPr>
        <w:t>(</w:t>
      </w:r>
      <w:proofErr w:type="spellStart"/>
      <w:r w:rsidRPr="00550DBF">
        <w:rPr>
          <w:rFonts w:ascii="Simplified Arabic" w:hAnsi="Simplified Arabic" w:cs="Simplified Arabic"/>
          <w:sz w:val="28"/>
          <w:szCs w:val="28"/>
        </w:rPr>
        <w:t>Pahune</w:t>
      </w:r>
      <w:proofErr w:type="spellEnd"/>
      <w:r w:rsidRPr="00550DBF">
        <w:rPr>
          <w:rFonts w:ascii="Simplified Arabic" w:hAnsi="Simplified Arabic" w:cs="Simplified Arabic"/>
          <w:sz w:val="28"/>
          <w:szCs w:val="28"/>
        </w:rPr>
        <w:t xml:space="preserve"> et al.,</w:t>
      </w:r>
      <w:r w:rsidR="00D23DE5">
        <w:rPr>
          <w:rFonts w:ascii="Simplified Arabic" w:hAnsi="Simplified Arabic" w:cs="Simplified Arabic"/>
          <w:sz w:val="28"/>
          <w:szCs w:val="28"/>
        </w:rPr>
        <w:t xml:space="preserve"> 2025)</w:t>
      </w:r>
      <w:r w:rsidR="00D23DE5">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وتتحدد هذه العلاقة في كونها ارتباطاً شرطياً تملك فيه الحوكمة المعيارية القوة التفسيرية لمدى فاعلية واستدامة التوظيف الاستراتيجي للذكاء الاصطناعي</w:t>
      </w:r>
      <w:r w:rsidR="00D23DE5">
        <w:rPr>
          <w:rFonts w:ascii="Simplified Arabic" w:hAnsi="Simplified Arabic" w:cs="Simplified Arabic" w:hint="cs"/>
          <w:sz w:val="28"/>
          <w:szCs w:val="28"/>
          <w:rtl/>
        </w:rPr>
        <w:t xml:space="preserve"> </w:t>
      </w:r>
      <w:r w:rsidR="00D23DE5">
        <w:rPr>
          <w:rFonts w:ascii="Simplified Arabic" w:hAnsi="Simplified Arabic" w:cs="Simplified Arabic"/>
          <w:sz w:val="28"/>
          <w:szCs w:val="28"/>
        </w:rPr>
        <w:t>(IBM, 2024)</w:t>
      </w:r>
      <w:r w:rsidR="00D23DE5">
        <w:rPr>
          <w:rFonts w:ascii="Simplified Arabic" w:hAnsi="Simplified Arabic" w:cs="Simplified Arabic" w:hint="cs"/>
          <w:sz w:val="28"/>
          <w:szCs w:val="28"/>
          <w:rtl/>
          <w:lang w:bidi="ar-EG"/>
        </w:rPr>
        <w:t xml:space="preserve">. </w:t>
      </w:r>
    </w:p>
    <w:p w14:paraId="014654EF" w14:textId="77777777" w:rsidR="00D23DE5" w:rsidRDefault="00D23DE5" w:rsidP="00BD0786">
      <w:pPr>
        <w:spacing w:after="0" w:line="240" w:lineRule="auto"/>
        <w:ind w:firstLine="720"/>
        <w:jc w:val="both"/>
        <w:rPr>
          <w:rFonts w:ascii="Simplified Arabic" w:hAnsi="Simplified Arabic" w:cs="Simplified Arabic"/>
          <w:sz w:val="28"/>
          <w:szCs w:val="28"/>
          <w:rtl/>
          <w:lang w:bidi="ar-EG"/>
        </w:rPr>
      </w:pPr>
    </w:p>
    <w:p w14:paraId="0235047C" w14:textId="77777777" w:rsidR="00D23DE5" w:rsidRPr="00550DBF" w:rsidRDefault="00D23DE5" w:rsidP="00BD0786">
      <w:pPr>
        <w:spacing w:after="0" w:line="240" w:lineRule="auto"/>
        <w:ind w:firstLine="720"/>
        <w:jc w:val="both"/>
        <w:rPr>
          <w:rFonts w:ascii="Simplified Arabic" w:hAnsi="Simplified Arabic" w:cs="Simplified Arabic"/>
          <w:sz w:val="28"/>
          <w:szCs w:val="28"/>
          <w:rtl/>
          <w:lang w:bidi="ar-EG"/>
        </w:rPr>
      </w:pPr>
    </w:p>
    <w:p w14:paraId="46F9AA3E" w14:textId="77777777" w:rsidR="00DD47DA" w:rsidRPr="00550DBF" w:rsidRDefault="00D3643E" w:rsidP="008574AD">
      <w:pPr>
        <w:spacing w:line="240" w:lineRule="auto"/>
        <w:jc w:val="both"/>
        <w:rPr>
          <w:rFonts w:ascii="Simplified Arabic" w:hAnsi="Simplified Arabic" w:cs="Simplified Arabic"/>
          <w:b/>
          <w:bCs/>
          <w:sz w:val="28"/>
          <w:szCs w:val="28"/>
        </w:rPr>
      </w:pPr>
      <w:r w:rsidRPr="00550DBF">
        <w:rPr>
          <w:rFonts w:ascii="Simplified Arabic" w:hAnsi="Simplified Arabic" w:cs="Simplified Arabic" w:hint="cs"/>
          <w:b/>
          <w:bCs/>
          <w:sz w:val="28"/>
          <w:szCs w:val="28"/>
          <w:rtl/>
        </w:rPr>
        <w:lastRenderedPageBreak/>
        <w:t xml:space="preserve">(5-5-3)  </w:t>
      </w:r>
      <w:r w:rsidR="00DD47DA" w:rsidRPr="00550DBF">
        <w:rPr>
          <w:rFonts w:ascii="Simplified Arabic" w:hAnsi="Simplified Arabic" w:cs="Simplified Arabic"/>
          <w:b/>
          <w:bCs/>
          <w:sz w:val="28"/>
          <w:szCs w:val="28"/>
          <w:rtl/>
        </w:rPr>
        <w:t>العلاقة بين توظيف نماذج اللغة الضخمة والرشاقة الاستراتيجية</w:t>
      </w:r>
    </w:p>
    <w:p w14:paraId="7304DD67" w14:textId="77777777" w:rsidR="00550DBF" w:rsidRPr="00550DBF" w:rsidRDefault="00550DBF" w:rsidP="00D23DE5">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يمثل توظيف نماذج اللغة الضخمة تحولاً هيكلياً في القدرات المعرفية للمنظمات المعاصرة، من خلال مضاعفة "سعة المعالجة المعلوماتية" واختزال الزمن اللازم لتحويل تدفقات البيانات الضخمة وغير المهيكلة إلى رؤى تنبؤية في الزمن الحقيقي</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(Real-Time)</w:t>
      </w:r>
      <w:r w:rsidRPr="00550DBF">
        <w:rPr>
          <w:rFonts w:ascii="Simplified Arabic" w:hAnsi="Simplified Arabic" w:cs="Simplified Arabic"/>
          <w:sz w:val="28"/>
          <w:szCs w:val="28"/>
          <w:rtl/>
        </w:rPr>
        <w:t>، وهو ما ينعكس ارتباطياً على كفاءة الاستجابة الاستراتيجية وسرعتها</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(Handler</w:t>
      </w:r>
      <w:r w:rsidR="00D23DE5">
        <w:rPr>
          <w:rFonts w:ascii="Simplified Arabic" w:hAnsi="Simplified Arabic" w:cs="Simplified Arabic"/>
          <w:sz w:val="28"/>
          <w:szCs w:val="28"/>
        </w:rPr>
        <w:t xml:space="preserve"> et al., 2024; </w:t>
      </w:r>
      <w:proofErr w:type="spellStart"/>
      <w:r w:rsidR="00D23DE5">
        <w:rPr>
          <w:rFonts w:ascii="Simplified Arabic" w:hAnsi="Simplified Arabic" w:cs="Simplified Arabic"/>
          <w:sz w:val="28"/>
          <w:szCs w:val="28"/>
        </w:rPr>
        <w:t>Nyamboga</w:t>
      </w:r>
      <w:proofErr w:type="spellEnd"/>
      <w:r w:rsidR="00D23DE5">
        <w:rPr>
          <w:rFonts w:ascii="Simplified Arabic" w:hAnsi="Simplified Arabic" w:cs="Simplified Arabic"/>
          <w:sz w:val="28"/>
          <w:szCs w:val="28"/>
        </w:rPr>
        <w:t>, 2025)</w:t>
      </w:r>
      <w:r w:rsidR="00D23DE5">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 xml:space="preserve">ولا يقتصر هذا الأثر </w:t>
      </w:r>
      <w:proofErr w:type="spellStart"/>
      <w:r w:rsidRPr="00550DBF">
        <w:rPr>
          <w:rFonts w:ascii="Simplified Arabic" w:hAnsi="Simplified Arabic" w:cs="Simplified Arabic"/>
          <w:sz w:val="28"/>
          <w:szCs w:val="28"/>
          <w:rtl/>
        </w:rPr>
        <w:t>التمكيني</w:t>
      </w:r>
      <w:proofErr w:type="spellEnd"/>
      <w:r w:rsidRPr="00550DBF">
        <w:rPr>
          <w:rFonts w:ascii="Simplified Arabic" w:hAnsi="Simplified Arabic" w:cs="Simplified Arabic"/>
          <w:sz w:val="28"/>
          <w:szCs w:val="28"/>
          <w:rtl/>
        </w:rPr>
        <w:t xml:space="preserve"> على البعد التقني الصرف، بل يمتد ليعبر عن آلية إدراكية وتنظيمية تسد الفجوة المعرفية للإدارة العليا وتدعم </w:t>
      </w:r>
      <w:proofErr w:type="spellStart"/>
      <w:r w:rsidRPr="00550DBF">
        <w:rPr>
          <w:rFonts w:ascii="Simplified Arabic" w:hAnsi="Simplified Arabic" w:cs="Simplified Arabic"/>
          <w:sz w:val="28"/>
          <w:szCs w:val="28"/>
          <w:rtl/>
        </w:rPr>
        <w:t>عقلانيتها</w:t>
      </w:r>
      <w:proofErr w:type="spellEnd"/>
      <w:r w:rsidRPr="00550DBF">
        <w:rPr>
          <w:rFonts w:ascii="Simplified Arabic" w:hAnsi="Simplified Arabic" w:cs="Simplified Arabic"/>
          <w:sz w:val="28"/>
          <w:szCs w:val="28"/>
          <w:rtl/>
        </w:rPr>
        <w:t xml:space="preserve"> المحدودة في مواجهة اضطرابات الأسواق</w:t>
      </w:r>
      <w:r w:rsidRPr="00550DBF">
        <w:rPr>
          <w:rFonts w:ascii="Simplified Arabic" w:hAnsi="Simplified Arabic" w:cs="Simplified Arabic"/>
          <w:sz w:val="28"/>
          <w:szCs w:val="28"/>
        </w:rPr>
        <w:t>(Burton et al., 202</w:t>
      </w:r>
      <w:r w:rsidR="00D23DE5">
        <w:rPr>
          <w:rFonts w:ascii="Simplified Arabic" w:hAnsi="Simplified Arabic" w:cs="Simplified Arabic"/>
          <w:sz w:val="28"/>
          <w:szCs w:val="28"/>
        </w:rPr>
        <w:t xml:space="preserve">4; </w:t>
      </w:r>
      <w:proofErr w:type="spellStart"/>
      <w:r w:rsidR="00D23DE5">
        <w:rPr>
          <w:rFonts w:ascii="Simplified Arabic" w:hAnsi="Simplified Arabic" w:cs="Simplified Arabic"/>
          <w:sz w:val="28"/>
          <w:szCs w:val="28"/>
        </w:rPr>
        <w:t>Yurdasever</w:t>
      </w:r>
      <w:proofErr w:type="spellEnd"/>
      <w:r w:rsidR="00D23DE5">
        <w:rPr>
          <w:rFonts w:ascii="Simplified Arabic" w:hAnsi="Simplified Arabic" w:cs="Simplified Arabic"/>
          <w:sz w:val="28"/>
          <w:szCs w:val="28"/>
        </w:rPr>
        <w:t xml:space="preserve"> &amp; </w:t>
      </w:r>
      <w:proofErr w:type="spellStart"/>
      <w:r w:rsidR="00D23DE5">
        <w:rPr>
          <w:rFonts w:ascii="Simplified Arabic" w:hAnsi="Simplified Arabic" w:cs="Simplified Arabic"/>
          <w:sz w:val="28"/>
          <w:szCs w:val="28"/>
        </w:rPr>
        <w:t>Yıldıran</w:t>
      </w:r>
      <w:proofErr w:type="spellEnd"/>
      <w:r w:rsidR="00D23DE5">
        <w:rPr>
          <w:rFonts w:ascii="Simplified Arabic" w:hAnsi="Simplified Arabic" w:cs="Simplified Arabic"/>
          <w:sz w:val="28"/>
          <w:szCs w:val="28"/>
        </w:rPr>
        <w:t>, 2026)</w:t>
      </w:r>
      <w:r w:rsidR="00D23DE5">
        <w:rPr>
          <w:rFonts w:ascii="Simplified Arabic" w:hAnsi="Simplified Arabic" w:cs="Simplified Arabic" w:hint="cs"/>
          <w:sz w:val="28"/>
          <w:szCs w:val="28"/>
          <w:rtl/>
          <w:lang w:bidi="ar-EG"/>
        </w:rPr>
        <w:t xml:space="preserve">. </w:t>
      </w:r>
    </w:p>
    <w:p w14:paraId="1CAEB7F3" w14:textId="77777777" w:rsidR="00DD47DA" w:rsidRPr="00DD47DA" w:rsidRDefault="00550DBF" w:rsidP="00D23DE5">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يسهم رفع القدرة الاستيعابية للبيانات بواسطة النماذج اللغوية في خفض مستويات عدم التيقن التنظيمي، مما يتيح دعماً مباشراً للأبعاد الثلاثة للرشاقة الاستراتيجية: الحساسية الاستراتيجية عبر تعزيز آليات الرصد والاستشعار المبكر للبيئة، ووحدة القيادة من خلال توفير ركائز معلوماتية موحدة تدعم اتساق القرار وسرعته، وسيلان الموارد عبر تزويد المنظمة بمرونة معرفية لإعادة تخصيص الأصول وتوجيهها نحو الفرص الناشئة</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w:t>
      </w:r>
      <w:proofErr w:type="spellStart"/>
      <w:r w:rsidRPr="00550DBF">
        <w:rPr>
          <w:rFonts w:ascii="Simplified Arabic" w:hAnsi="Simplified Arabic" w:cs="Simplified Arabic"/>
          <w:sz w:val="28"/>
          <w:szCs w:val="28"/>
        </w:rPr>
        <w:t>Alme</w:t>
      </w:r>
      <w:r w:rsidR="00D23DE5">
        <w:rPr>
          <w:rFonts w:ascii="Simplified Arabic" w:hAnsi="Simplified Arabic" w:cs="Simplified Arabic"/>
          <w:sz w:val="28"/>
          <w:szCs w:val="28"/>
        </w:rPr>
        <w:t>lhes</w:t>
      </w:r>
      <w:proofErr w:type="spellEnd"/>
      <w:r w:rsidR="00D23DE5">
        <w:rPr>
          <w:rFonts w:ascii="Simplified Arabic" w:hAnsi="Simplified Arabic" w:cs="Simplified Arabic"/>
          <w:sz w:val="28"/>
          <w:szCs w:val="28"/>
        </w:rPr>
        <w:t>, 2025; Malik et al., 2025)</w:t>
      </w:r>
      <w:r w:rsidR="00D23DE5">
        <w:rPr>
          <w:rFonts w:ascii="Simplified Arabic" w:hAnsi="Simplified Arabic" w:cs="Simplified Arabic" w:hint="cs"/>
          <w:sz w:val="28"/>
          <w:szCs w:val="28"/>
          <w:rtl/>
          <w:lang w:bidi="ar-EG"/>
        </w:rPr>
        <w:t>.</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 xml:space="preserve">وتؤصل هذه العلاقة </w:t>
      </w:r>
      <w:proofErr w:type="spellStart"/>
      <w:r w:rsidRPr="00550DBF">
        <w:rPr>
          <w:rFonts w:ascii="Simplified Arabic" w:hAnsi="Simplified Arabic" w:cs="Simplified Arabic"/>
          <w:sz w:val="28"/>
          <w:szCs w:val="28"/>
          <w:rtl/>
        </w:rPr>
        <w:t>المنظومية</w:t>
      </w:r>
      <w:proofErr w:type="spellEnd"/>
      <w:r w:rsidRPr="00550DBF">
        <w:rPr>
          <w:rFonts w:ascii="Simplified Arabic" w:hAnsi="Simplified Arabic" w:cs="Simplified Arabic"/>
          <w:sz w:val="28"/>
          <w:szCs w:val="28"/>
          <w:rtl/>
        </w:rPr>
        <w:t xml:space="preserve"> لكيفية تحول القدرة التكنولوجية الوسيطة إلى عوائد تكيفية هيكلية ترفع من مستوى الرشاقة الاستراتيجية الكلية للمؤسسة</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(Nugroho et al., 2026; Teece, 2007)</w:t>
      </w:r>
      <w:r w:rsidR="00D23DE5">
        <w:rPr>
          <w:rFonts w:ascii="Simplified Arabic" w:hAnsi="Simplified Arabic" w:cs="Simplified Arabic" w:hint="cs"/>
          <w:sz w:val="28"/>
          <w:szCs w:val="28"/>
          <w:rtl/>
          <w:lang w:bidi="ar-EG"/>
        </w:rPr>
        <w:t xml:space="preserve">. </w:t>
      </w:r>
    </w:p>
    <w:p w14:paraId="75D39EBF" w14:textId="77777777" w:rsidR="00DD47DA" w:rsidRPr="00D23DE5" w:rsidRDefault="00D3643E" w:rsidP="008574AD">
      <w:pPr>
        <w:spacing w:line="240" w:lineRule="auto"/>
        <w:jc w:val="both"/>
        <w:rPr>
          <w:rFonts w:ascii="Simplified Arabic" w:hAnsi="Simplified Arabic" w:cs="Simplified Arabic"/>
          <w:b/>
          <w:bCs/>
          <w:sz w:val="28"/>
          <w:szCs w:val="28"/>
        </w:rPr>
      </w:pPr>
      <w:r w:rsidRPr="00D23DE5">
        <w:rPr>
          <w:rFonts w:ascii="Simplified Arabic" w:hAnsi="Simplified Arabic" w:cs="Simplified Arabic" w:hint="cs"/>
          <w:b/>
          <w:bCs/>
          <w:sz w:val="28"/>
          <w:szCs w:val="28"/>
          <w:rtl/>
        </w:rPr>
        <w:t xml:space="preserve">(5-5-4) </w:t>
      </w:r>
      <w:r w:rsidR="00DD47DA" w:rsidRPr="00D23DE5">
        <w:rPr>
          <w:rFonts w:ascii="Simplified Arabic" w:hAnsi="Simplified Arabic" w:cs="Simplified Arabic"/>
          <w:b/>
          <w:bCs/>
          <w:sz w:val="28"/>
          <w:szCs w:val="28"/>
          <w:rtl/>
        </w:rPr>
        <w:t>الدور الوسيط لنماذج اللغة الضخمة في العلاقة بين حوكمة المعلومات والرشاقة الاستراتيجية</w:t>
      </w:r>
    </w:p>
    <w:p w14:paraId="527DEB70" w14:textId="77777777" w:rsidR="00550DBF" w:rsidRPr="00550DBF" w:rsidRDefault="00550DBF" w:rsidP="00D23DE5">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 xml:space="preserve">يمثل المسار </w:t>
      </w:r>
      <w:proofErr w:type="spellStart"/>
      <w:r w:rsidRPr="00550DBF">
        <w:rPr>
          <w:rFonts w:ascii="Simplified Arabic" w:hAnsi="Simplified Arabic" w:cs="Simplified Arabic"/>
          <w:sz w:val="28"/>
          <w:szCs w:val="28"/>
          <w:rtl/>
        </w:rPr>
        <w:t>التوسطي</w:t>
      </w:r>
      <w:proofErr w:type="spellEnd"/>
      <w:r w:rsidRPr="00550DBF">
        <w:rPr>
          <w:rFonts w:ascii="Simplified Arabic" w:hAnsi="Simplified Arabic" w:cs="Simplified Arabic"/>
          <w:sz w:val="28"/>
          <w:szCs w:val="28"/>
          <w:rtl/>
        </w:rPr>
        <w:t xml:space="preserve"> لنماذج اللغة الضخمة الآلية التفسيرية الجوهرية للنموذج المفاهيمي في هذه الدراسة؛ فبينما تعمل حوكمة المعلومات على إرساء الدعائم البنيوية لرفع جودة البيانات وتقليص فجوات عدم التيقن، تتولى نماذج اللغة الضخمة تحويل هذه المدخلات </w:t>
      </w:r>
      <w:proofErr w:type="spellStart"/>
      <w:r w:rsidRPr="00550DBF">
        <w:rPr>
          <w:rFonts w:ascii="Simplified Arabic" w:hAnsi="Simplified Arabic" w:cs="Simplified Arabic"/>
          <w:sz w:val="28"/>
          <w:szCs w:val="28"/>
          <w:rtl/>
        </w:rPr>
        <w:t>المحوكمة</w:t>
      </w:r>
      <w:proofErr w:type="spellEnd"/>
      <w:r w:rsidRPr="00550DBF">
        <w:rPr>
          <w:rFonts w:ascii="Simplified Arabic" w:hAnsi="Simplified Arabic" w:cs="Simplified Arabic"/>
          <w:sz w:val="28"/>
          <w:szCs w:val="28"/>
          <w:rtl/>
        </w:rPr>
        <w:t xml:space="preserve"> إلى معرفة تحليلية وتنبؤية قابلة للاستخدام الفوري، مما يفضي في النهاية إلى تعظيم مستويات الرشاقة الاستراتيجية</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w:t>
      </w:r>
      <w:proofErr w:type="spellStart"/>
      <w:r w:rsidRPr="00550DBF">
        <w:rPr>
          <w:rFonts w:ascii="Simplified Arabic" w:hAnsi="Simplified Arabic" w:cs="Simplified Arabic"/>
          <w:sz w:val="28"/>
          <w:szCs w:val="28"/>
        </w:rPr>
        <w:t>Alme</w:t>
      </w:r>
      <w:r w:rsidR="00D23DE5">
        <w:rPr>
          <w:rFonts w:ascii="Simplified Arabic" w:hAnsi="Simplified Arabic" w:cs="Simplified Arabic"/>
          <w:sz w:val="28"/>
          <w:szCs w:val="28"/>
        </w:rPr>
        <w:t>lhes</w:t>
      </w:r>
      <w:proofErr w:type="spellEnd"/>
      <w:r w:rsidR="00D23DE5">
        <w:rPr>
          <w:rFonts w:ascii="Simplified Arabic" w:hAnsi="Simplified Arabic" w:cs="Simplified Arabic"/>
          <w:sz w:val="28"/>
          <w:szCs w:val="28"/>
        </w:rPr>
        <w:t>, 2025; Malik et al., 2025)</w:t>
      </w:r>
      <w:r w:rsidR="00D23DE5">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 xml:space="preserve">ويستند هذا التصور </w:t>
      </w:r>
      <w:proofErr w:type="spellStart"/>
      <w:r w:rsidRPr="00550DBF">
        <w:rPr>
          <w:rFonts w:ascii="Simplified Arabic" w:hAnsi="Simplified Arabic" w:cs="Simplified Arabic"/>
          <w:sz w:val="28"/>
          <w:szCs w:val="28"/>
          <w:rtl/>
        </w:rPr>
        <w:t>المنظومي</w:t>
      </w:r>
      <w:proofErr w:type="spellEnd"/>
      <w:r w:rsidRPr="00550DBF">
        <w:rPr>
          <w:rFonts w:ascii="Simplified Arabic" w:hAnsi="Simplified Arabic" w:cs="Simplified Arabic"/>
          <w:sz w:val="28"/>
          <w:szCs w:val="28"/>
          <w:rtl/>
        </w:rPr>
        <w:t xml:space="preserve"> إلى دمج أبعاد القدرات الديناميكية ومعالجة المعلومات، حيث تُحكِم الحوكمة جودة "مدخلات المعرفة"، بينما ترفع النماذج اللغوية "سعة المعالجة الاستيعابية"، لتترجم الرشاقة الاستراتيجية هذا التفاعل إلى "استجابة تنظيمية نافذة</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(Mueller</w:t>
      </w:r>
      <w:r w:rsidRPr="00550DBF">
        <w:rPr>
          <w:rFonts w:ascii="Times New Roman" w:hAnsi="Times New Roman" w:cs="Times New Roman"/>
          <w:sz w:val="28"/>
          <w:szCs w:val="28"/>
        </w:rPr>
        <w:t>‐</w:t>
      </w:r>
      <w:proofErr w:type="spellStart"/>
      <w:r w:rsidRPr="00550DBF">
        <w:rPr>
          <w:rFonts w:ascii="Simplified Arabic" w:hAnsi="Simplified Arabic" w:cs="Simplified Arabic"/>
          <w:sz w:val="28"/>
          <w:szCs w:val="28"/>
        </w:rPr>
        <w:t>Saegebrec</w:t>
      </w:r>
      <w:r w:rsidR="00D23DE5">
        <w:rPr>
          <w:rFonts w:ascii="Simplified Arabic" w:hAnsi="Simplified Arabic" w:cs="Simplified Arabic"/>
          <w:sz w:val="28"/>
          <w:szCs w:val="28"/>
        </w:rPr>
        <w:t>ht</w:t>
      </w:r>
      <w:proofErr w:type="spellEnd"/>
      <w:r w:rsidR="00D23DE5">
        <w:rPr>
          <w:rFonts w:ascii="Simplified Arabic" w:hAnsi="Simplified Arabic" w:cs="Simplified Arabic"/>
          <w:sz w:val="28"/>
          <w:szCs w:val="28"/>
        </w:rPr>
        <w:t xml:space="preserve"> &amp; Walter, 2025; Teece, 2007)</w:t>
      </w:r>
      <w:r w:rsidR="00D23DE5">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lastRenderedPageBreak/>
        <w:t>وبناءً عليه، يتحدد الأثر الكلي لحوكمة المعلومات عبر مسار غير مباشر يتوسطه التوظيف التقني المعرفي للذكاء الاصطناعي التوليدي</w:t>
      </w:r>
      <w:r w:rsidR="00D23DE5">
        <w:rPr>
          <w:rFonts w:ascii="Simplified Arabic" w:hAnsi="Simplified Arabic" w:cs="Simplified Arabic" w:hint="cs"/>
          <w:sz w:val="28"/>
          <w:szCs w:val="28"/>
          <w:rtl/>
        </w:rPr>
        <w:t xml:space="preserve"> </w:t>
      </w:r>
      <w:r w:rsidR="00D23DE5">
        <w:rPr>
          <w:rFonts w:ascii="Simplified Arabic" w:hAnsi="Simplified Arabic" w:cs="Simplified Arabic"/>
          <w:sz w:val="28"/>
          <w:szCs w:val="28"/>
        </w:rPr>
        <w:t>(Nugroho et al., 2026)</w:t>
      </w:r>
      <w:r w:rsidR="00D23DE5">
        <w:rPr>
          <w:rFonts w:ascii="Simplified Arabic" w:hAnsi="Simplified Arabic" w:cs="Simplified Arabic" w:hint="cs"/>
          <w:sz w:val="28"/>
          <w:szCs w:val="28"/>
          <w:rtl/>
          <w:lang w:bidi="ar-EG"/>
        </w:rPr>
        <w:t xml:space="preserve">. </w:t>
      </w:r>
    </w:p>
    <w:p w14:paraId="43BE10D0" w14:textId="77777777" w:rsidR="00550DBF" w:rsidRPr="008220F3" w:rsidRDefault="008220F3" w:rsidP="008220F3">
      <w:pPr>
        <w:spacing w:before="240"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 xml:space="preserve">(5-6) </w:t>
      </w:r>
      <w:r w:rsidR="00550DBF" w:rsidRPr="008220F3">
        <w:rPr>
          <w:rFonts w:ascii="Simplified Arabic" w:hAnsi="Simplified Arabic" w:cs="Simplified Arabic"/>
          <w:b/>
          <w:bCs/>
          <w:sz w:val="30"/>
          <w:szCs w:val="30"/>
          <w:rtl/>
        </w:rPr>
        <w:t>بناء النموذج المفاهيمي وتبرير المسارات الهيكلية</w:t>
      </w:r>
    </w:p>
    <w:p w14:paraId="6D97CF54" w14:textId="77777777" w:rsidR="00550DBF" w:rsidRDefault="00550DBF" w:rsidP="00D23DE5">
      <w:pPr>
        <w:spacing w:after="0" w:line="240" w:lineRule="auto"/>
        <w:ind w:firstLine="720"/>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يتشكل البناء الهيكلي للنموذج المفاهيمي المقترح من ثلاثة متغيرات رئيسة مترابطة: حوكمة المعلومات</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 xml:space="preserve">بوصفها متغيراً مستقلاً يمثل البنية التنظيمية والمعيارية لضبط جودة الأصول </w:t>
      </w:r>
      <w:proofErr w:type="spellStart"/>
      <w:r w:rsidRPr="00550DBF">
        <w:rPr>
          <w:rFonts w:ascii="Simplified Arabic" w:hAnsi="Simplified Arabic" w:cs="Simplified Arabic"/>
          <w:sz w:val="28"/>
          <w:szCs w:val="28"/>
          <w:rtl/>
        </w:rPr>
        <w:t>البياناتية</w:t>
      </w:r>
      <w:proofErr w:type="spellEnd"/>
      <w:r w:rsidRPr="00550DBF">
        <w:rPr>
          <w:rFonts w:ascii="Simplified Arabic" w:hAnsi="Simplified Arabic" w:cs="Simplified Arabic"/>
          <w:sz w:val="28"/>
          <w:szCs w:val="28"/>
          <w:rtl/>
        </w:rPr>
        <w:t>، وتوظيف نماذج اللغة الضخمة</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بوصفه متغيراً وسيطاً يعبر عن القدرة التحليلية والمعرفية للمنظمة، والرشاقة الاستراتيجية</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بوصفها متغيراً تابعاً ومخرجاً نهائياً يعكس الكفاءة التكيفية للمؤسسة</w:t>
      </w:r>
      <w:r w:rsidRPr="00550DBF">
        <w:rPr>
          <w:rFonts w:ascii="Simplified Arabic" w:hAnsi="Simplified Arabic" w:cs="Simplified Arabic"/>
          <w:sz w:val="28"/>
          <w:szCs w:val="28"/>
        </w:rPr>
        <w:t xml:space="preserve"> (Aghaei et al., 2025; Atienza-Barba et al., 2024).</w:t>
      </w:r>
    </w:p>
    <w:p w14:paraId="73F9CC90" w14:textId="77777777" w:rsidR="00550DBF" w:rsidRPr="00550DBF" w:rsidRDefault="00550DBF" w:rsidP="008574AD">
      <w:pPr>
        <w:spacing w:line="240" w:lineRule="auto"/>
        <w:jc w:val="both"/>
        <w:rPr>
          <w:rFonts w:ascii="Simplified Arabic" w:hAnsi="Simplified Arabic" w:cs="Simplified Arabic"/>
          <w:sz w:val="28"/>
          <w:szCs w:val="28"/>
          <w:rtl/>
          <w:lang w:bidi="ar-EG"/>
        </w:rPr>
      </w:pPr>
      <w:r w:rsidRPr="00550DBF">
        <w:rPr>
          <w:rFonts w:ascii="Simplified Arabic" w:hAnsi="Simplified Arabic" w:cs="Simplified Arabic"/>
          <w:noProof/>
          <w:sz w:val="28"/>
          <w:szCs w:val="28"/>
          <w:rtl/>
        </w:rPr>
        <w:drawing>
          <wp:inline distT="0" distB="0" distL="0" distR="0" wp14:anchorId="4FE42E7F" wp14:editId="7FD8AE3A">
            <wp:extent cx="5400040" cy="2800235"/>
            <wp:effectExtent l="0" t="0" r="0" b="635"/>
            <wp:docPr id="1" name="Picture 1" descr="C:\Users\mega\Downloads\نموذج الدراس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C:\Users\mega\Downloads\نموذج الدراسة.png"/>
                    <pic:cNvPicPr>
                      <a:picLocks noChangeAspect="1" noChangeArrowheads="1"/>
                    </pic:cNvPicPr>
                  </pic:nvPicPr>
                  <pic:blipFill rotWithShape="1">
                    <a:blip r:embed="rId9">
                      <a:extLst>
                        <a:ext uri="{28A0092B-C50C-407E-A947-70E740481C1C}">
                          <a14:useLocalDpi xmlns:a14="http://schemas.microsoft.com/office/drawing/2010/main" val="0"/>
                        </a:ext>
                      </a:extLst>
                    </a:blip>
                    <a:srcRect b="28282"/>
                    <a:stretch/>
                  </pic:blipFill>
                  <pic:spPr bwMode="auto">
                    <a:xfrm>
                      <a:off x="0" y="0"/>
                      <a:ext cx="5415671" cy="2808341"/>
                    </a:xfrm>
                    <a:prstGeom prst="rect">
                      <a:avLst/>
                    </a:prstGeom>
                    <a:noFill/>
                    <a:ln>
                      <a:noFill/>
                    </a:ln>
                    <a:extLst>
                      <a:ext uri="{53640926-AAD7-44D8-BBD7-CCE9431645EC}">
                        <a14:shadowObscured xmlns:a14="http://schemas.microsoft.com/office/drawing/2010/main"/>
                      </a:ext>
                    </a:extLst>
                  </pic:spPr>
                </pic:pic>
              </a:graphicData>
            </a:graphic>
          </wp:inline>
        </w:drawing>
      </w:r>
    </w:p>
    <w:p w14:paraId="5129A4AD" w14:textId="77777777" w:rsidR="00550DBF" w:rsidRDefault="00550DBF" w:rsidP="008574AD">
      <w:pPr>
        <w:spacing w:line="240" w:lineRule="auto"/>
        <w:jc w:val="both"/>
        <w:rPr>
          <w:rFonts w:ascii="Simplified Arabic" w:hAnsi="Simplified Arabic" w:cs="Simplified Arabic"/>
          <w:sz w:val="28"/>
          <w:szCs w:val="28"/>
          <w:rtl/>
        </w:rPr>
      </w:pPr>
      <w:r w:rsidRPr="00550DBF">
        <w:rPr>
          <w:rFonts w:ascii="Simplified Arabic" w:hAnsi="Simplified Arabic" w:cs="Simplified Arabic"/>
          <w:sz w:val="28"/>
          <w:szCs w:val="28"/>
          <w:rtl/>
        </w:rPr>
        <w:t xml:space="preserve">بناءً على هذا التصميم، يفترض النموذج أربعة مسارات تفسيرية محددة: </w:t>
      </w:r>
    </w:p>
    <w:p w14:paraId="459F5E22" w14:textId="77777777" w:rsidR="00550DBF" w:rsidRPr="00550DBF" w:rsidRDefault="00550DBF" w:rsidP="009D7AA8">
      <w:pPr>
        <w:pStyle w:val="ListParagraph"/>
        <w:numPr>
          <w:ilvl w:val="0"/>
          <w:numId w:val="3"/>
        </w:numPr>
        <w:spacing w:line="240" w:lineRule="auto"/>
        <w:jc w:val="both"/>
        <w:rPr>
          <w:rFonts w:ascii="Simplified Arabic" w:hAnsi="Simplified Arabic" w:cs="Simplified Arabic"/>
          <w:sz w:val="28"/>
          <w:szCs w:val="28"/>
          <w:rtl/>
        </w:rPr>
      </w:pPr>
      <w:r w:rsidRPr="00550DBF">
        <w:rPr>
          <w:rFonts w:ascii="Simplified Arabic" w:hAnsi="Simplified Arabic" w:cs="Simplified Arabic"/>
          <w:sz w:val="28"/>
          <w:szCs w:val="28"/>
          <w:rtl/>
        </w:rPr>
        <w:t>أثراً مباشراً لحوكمة المعلومات على الرشاقة الاستراتيجية</w:t>
      </w:r>
    </w:p>
    <w:p w14:paraId="0DEB1DAA" w14:textId="77777777" w:rsidR="00550DBF" w:rsidRPr="00550DBF" w:rsidRDefault="00550DBF" w:rsidP="009D7AA8">
      <w:pPr>
        <w:pStyle w:val="ListParagraph"/>
        <w:numPr>
          <w:ilvl w:val="0"/>
          <w:numId w:val="3"/>
        </w:numPr>
        <w:spacing w:line="240" w:lineRule="auto"/>
        <w:jc w:val="both"/>
        <w:rPr>
          <w:rFonts w:ascii="Simplified Arabic" w:hAnsi="Simplified Arabic" w:cs="Simplified Arabic"/>
          <w:sz w:val="28"/>
          <w:szCs w:val="28"/>
          <w:rtl/>
        </w:rPr>
      </w:pPr>
      <w:r w:rsidRPr="00550DBF">
        <w:rPr>
          <w:rFonts w:ascii="Simplified Arabic" w:hAnsi="Simplified Arabic" w:cs="Simplified Arabic"/>
          <w:sz w:val="28"/>
          <w:szCs w:val="28"/>
          <w:rtl/>
        </w:rPr>
        <w:t>أثراً مباشراً لحوكمة المعلومات على توظيف نماذج اللغة الضخمة</w:t>
      </w:r>
    </w:p>
    <w:p w14:paraId="0FDDB809" w14:textId="77777777" w:rsidR="00550DBF" w:rsidRPr="00550DBF" w:rsidRDefault="00550DBF" w:rsidP="009D7AA8">
      <w:pPr>
        <w:pStyle w:val="ListParagraph"/>
        <w:numPr>
          <w:ilvl w:val="0"/>
          <w:numId w:val="3"/>
        </w:numPr>
        <w:spacing w:line="240" w:lineRule="auto"/>
        <w:jc w:val="both"/>
        <w:rPr>
          <w:rFonts w:ascii="Simplified Arabic" w:hAnsi="Simplified Arabic" w:cs="Simplified Arabic"/>
          <w:sz w:val="28"/>
          <w:szCs w:val="28"/>
          <w:rtl/>
        </w:rPr>
      </w:pPr>
      <w:r w:rsidRPr="00550DBF">
        <w:rPr>
          <w:rFonts w:ascii="Simplified Arabic" w:hAnsi="Simplified Arabic" w:cs="Simplified Arabic"/>
          <w:sz w:val="28"/>
          <w:szCs w:val="28"/>
          <w:rtl/>
        </w:rPr>
        <w:t>أثراً مباشراً لتوظيف نماذج اللغة الضخمة على الرشاقة الاستراتيجية</w:t>
      </w:r>
    </w:p>
    <w:p w14:paraId="47E9EA5D" w14:textId="77777777" w:rsidR="00550DBF" w:rsidRPr="00550DBF" w:rsidRDefault="00550DBF" w:rsidP="009D7AA8">
      <w:pPr>
        <w:pStyle w:val="ListParagraph"/>
        <w:numPr>
          <w:ilvl w:val="0"/>
          <w:numId w:val="3"/>
        </w:numPr>
        <w:spacing w:line="240" w:lineRule="auto"/>
        <w:jc w:val="both"/>
        <w:rPr>
          <w:rFonts w:ascii="Simplified Arabic" w:hAnsi="Simplified Arabic" w:cs="Simplified Arabic"/>
          <w:sz w:val="28"/>
          <w:szCs w:val="28"/>
          <w:rtl/>
          <w:lang w:bidi="ar-EG"/>
        </w:rPr>
      </w:pPr>
      <w:r w:rsidRPr="00550DBF">
        <w:rPr>
          <w:rFonts w:ascii="Simplified Arabic" w:hAnsi="Simplified Arabic" w:cs="Simplified Arabic"/>
          <w:sz w:val="28"/>
          <w:szCs w:val="28"/>
          <w:rtl/>
        </w:rPr>
        <w:t>أثراً غير مباشر (توسطي) لحوكمة المعلومات على الرشاقة الاستراتيجية عبر المتغير الوسيط</w:t>
      </w:r>
      <w:r w:rsidRPr="00550DBF">
        <w:rPr>
          <w:rFonts w:ascii="Simplified Arabic" w:hAnsi="Simplified Arabic" w:cs="Simplified Arabic"/>
          <w:sz w:val="28"/>
          <w:szCs w:val="28"/>
        </w:rPr>
        <w:t xml:space="preserve"> (LLMs)</w:t>
      </w:r>
    </w:p>
    <w:p w14:paraId="73D0DB5B" w14:textId="77777777" w:rsidR="00550DBF" w:rsidRPr="00550DBF" w:rsidRDefault="00550DBF" w:rsidP="00D23DE5">
      <w:pPr>
        <w:spacing w:after="0" w:line="240" w:lineRule="auto"/>
        <w:ind w:firstLine="720"/>
        <w:jc w:val="both"/>
        <w:rPr>
          <w:rFonts w:ascii="Simplified Arabic" w:hAnsi="Simplified Arabic" w:cs="Simplified Arabic"/>
          <w:sz w:val="28"/>
          <w:szCs w:val="28"/>
        </w:rPr>
      </w:pPr>
      <w:r w:rsidRPr="00550DBF">
        <w:rPr>
          <w:rFonts w:ascii="Simplified Arabic" w:hAnsi="Simplified Arabic" w:cs="Simplified Arabic"/>
          <w:sz w:val="28"/>
          <w:szCs w:val="28"/>
          <w:rtl/>
        </w:rPr>
        <w:lastRenderedPageBreak/>
        <w:t>ويعكس هذا البناء انتقالاً منهجياً من منطق العلاقات الثنائية البسيطة إلى منطق المسارات التفسيرية المركبة والمتقاطعة، وهو ما يتسق مع متطلبات التحليل الإحصائي المتقدم باستخدام نمذجة المعادلات الهيكلية بالمربعات الصغرى الجزئية</w:t>
      </w:r>
      <w:r w:rsidRPr="00550DBF">
        <w:rPr>
          <w:rFonts w:ascii="Simplified Arabic" w:hAnsi="Simplified Arabic" w:cs="Simplified Arabic"/>
          <w:sz w:val="28"/>
          <w:szCs w:val="28"/>
        </w:rPr>
        <w:t xml:space="preserve"> (PLS-SEM) </w:t>
      </w:r>
      <w:r w:rsidRPr="00550DBF">
        <w:rPr>
          <w:rFonts w:ascii="Simplified Arabic" w:hAnsi="Simplified Arabic" w:cs="Simplified Arabic"/>
          <w:sz w:val="28"/>
          <w:szCs w:val="28"/>
          <w:rtl/>
        </w:rPr>
        <w:t>لفحص شبكات العلاقات المعقدة داخل قطاع الاستشارات</w:t>
      </w:r>
      <w:r w:rsidR="00D23DE5">
        <w:rPr>
          <w:rFonts w:ascii="Simplified Arabic" w:hAnsi="Simplified Arabic" w:cs="Simplified Arabic" w:hint="cs"/>
          <w:sz w:val="28"/>
          <w:szCs w:val="28"/>
          <w:rtl/>
        </w:rPr>
        <w:t xml:space="preserve"> </w:t>
      </w:r>
      <w:r w:rsidRPr="00550DBF">
        <w:rPr>
          <w:rFonts w:ascii="Simplified Arabic" w:hAnsi="Simplified Arabic" w:cs="Simplified Arabic"/>
          <w:sz w:val="28"/>
          <w:szCs w:val="28"/>
        </w:rPr>
        <w:t>(Feng &amp; Abd Rani, 2024; Hair et al., 2024)</w:t>
      </w:r>
      <w:r w:rsidR="00D23DE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550DBF">
        <w:rPr>
          <w:rFonts w:ascii="Simplified Arabic" w:hAnsi="Simplified Arabic" w:cs="Simplified Arabic"/>
          <w:sz w:val="28"/>
          <w:szCs w:val="28"/>
          <w:rtl/>
        </w:rPr>
        <w:t xml:space="preserve">استناداً إلى المبررات النظرية والمسارات </w:t>
      </w:r>
      <w:proofErr w:type="spellStart"/>
      <w:r w:rsidRPr="00550DBF">
        <w:rPr>
          <w:rFonts w:ascii="Simplified Arabic" w:hAnsi="Simplified Arabic" w:cs="Simplified Arabic"/>
          <w:sz w:val="28"/>
          <w:szCs w:val="28"/>
          <w:rtl/>
        </w:rPr>
        <w:t>المنظومية</w:t>
      </w:r>
      <w:proofErr w:type="spellEnd"/>
      <w:r w:rsidRPr="00550DBF">
        <w:rPr>
          <w:rFonts w:ascii="Simplified Arabic" w:hAnsi="Simplified Arabic" w:cs="Simplified Arabic"/>
          <w:sz w:val="28"/>
          <w:szCs w:val="28"/>
          <w:rtl/>
        </w:rPr>
        <w:t xml:space="preserve"> للنموذج المفاهيمي المقترح، تتحدد فروض الدراسة البحثية على النحو الآتي</w:t>
      </w:r>
      <w:r w:rsidRPr="00550DBF">
        <w:rPr>
          <w:rFonts w:ascii="Simplified Arabic" w:hAnsi="Simplified Arabic" w:cs="Simplified Arabic"/>
          <w:sz w:val="28"/>
          <w:szCs w:val="28"/>
        </w:rPr>
        <w:t>:</w:t>
      </w:r>
    </w:p>
    <w:p w14:paraId="2E7C2FA4" w14:textId="77777777" w:rsidR="00550DBF" w:rsidRPr="00550DBF" w:rsidRDefault="00550DBF" w:rsidP="009D7AA8">
      <w:pPr>
        <w:numPr>
          <w:ilvl w:val="0"/>
          <w:numId w:val="4"/>
        </w:numPr>
        <w:tabs>
          <w:tab w:val="num" w:pos="720"/>
        </w:tabs>
        <w:spacing w:line="240" w:lineRule="auto"/>
        <w:jc w:val="both"/>
        <w:rPr>
          <w:rFonts w:ascii="Simplified Arabic" w:hAnsi="Simplified Arabic" w:cs="Simplified Arabic"/>
          <w:sz w:val="28"/>
          <w:szCs w:val="28"/>
        </w:rPr>
      </w:pPr>
      <w:r w:rsidRPr="00550DBF">
        <w:rPr>
          <w:rFonts w:ascii="Simplified Arabic" w:hAnsi="Simplified Arabic" w:cs="Simplified Arabic"/>
          <w:b/>
          <w:bCs/>
          <w:sz w:val="28"/>
          <w:szCs w:val="28"/>
          <w:rtl/>
        </w:rPr>
        <w:t>الفرض الرئيس الأول</w:t>
      </w:r>
      <w:r>
        <w:rPr>
          <w:rFonts w:ascii="Simplified Arabic" w:hAnsi="Simplified Arabic" w:cs="Simplified Arabic" w:hint="cs"/>
          <w:b/>
          <w:bCs/>
          <w:sz w:val="28"/>
          <w:szCs w:val="28"/>
          <w:rtl/>
        </w:rPr>
        <w:t>:</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توجد علاقة تأثير إيجابية ذات دلالة إحصائية لحوكمة المعلومات في الرشاقة الاستراتيجية</w:t>
      </w:r>
      <w:r w:rsidRPr="00550DBF">
        <w:rPr>
          <w:rFonts w:ascii="Simplified Arabic" w:hAnsi="Simplified Arabic" w:cs="Simplified Arabic"/>
          <w:sz w:val="28"/>
          <w:szCs w:val="28"/>
        </w:rPr>
        <w:t>.</w:t>
      </w:r>
    </w:p>
    <w:p w14:paraId="6D3C6A89" w14:textId="77777777" w:rsidR="00550DBF" w:rsidRPr="00550DBF" w:rsidRDefault="00550DBF" w:rsidP="009D7AA8">
      <w:pPr>
        <w:numPr>
          <w:ilvl w:val="0"/>
          <w:numId w:val="4"/>
        </w:numPr>
        <w:tabs>
          <w:tab w:val="num" w:pos="720"/>
        </w:tabs>
        <w:spacing w:line="240" w:lineRule="auto"/>
        <w:jc w:val="both"/>
        <w:rPr>
          <w:rFonts w:ascii="Simplified Arabic" w:hAnsi="Simplified Arabic" w:cs="Simplified Arabic"/>
          <w:sz w:val="28"/>
          <w:szCs w:val="28"/>
        </w:rPr>
      </w:pPr>
      <w:r w:rsidRPr="00550DBF">
        <w:rPr>
          <w:rFonts w:ascii="Simplified Arabic" w:hAnsi="Simplified Arabic" w:cs="Simplified Arabic"/>
          <w:b/>
          <w:bCs/>
          <w:sz w:val="28"/>
          <w:szCs w:val="28"/>
          <w:rtl/>
        </w:rPr>
        <w:t>الفرض الرئيس الثاني</w:t>
      </w:r>
      <w:r>
        <w:rPr>
          <w:rFonts w:ascii="Simplified Arabic" w:hAnsi="Simplified Arabic" w:cs="Simplified Arabic" w:hint="cs"/>
          <w:b/>
          <w:bCs/>
          <w:sz w:val="28"/>
          <w:szCs w:val="28"/>
          <w:rtl/>
        </w:rPr>
        <w:t>:</w:t>
      </w:r>
      <w:r w:rsidRPr="00550DBF">
        <w:rPr>
          <w:rFonts w:ascii="Simplified Arabic" w:hAnsi="Simplified Arabic" w:cs="Simplified Arabic"/>
          <w:sz w:val="28"/>
          <w:szCs w:val="28"/>
        </w:rPr>
        <w:t xml:space="preserve"> </w:t>
      </w:r>
      <w:r w:rsidRPr="00550DBF">
        <w:rPr>
          <w:rFonts w:ascii="Simplified Arabic" w:hAnsi="Simplified Arabic" w:cs="Simplified Arabic"/>
          <w:sz w:val="28"/>
          <w:szCs w:val="28"/>
          <w:rtl/>
        </w:rPr>
        <w:t>توجد علاقة تأثير إيجابية ذات دلالة إحصائية لحوكمة المعلومات في توظيف نماذج اللغة الضخمة</w:t>
      </w:r>
      <w:r w:rsidRPr="00550DBF">
        <w:rPr>
          <w:rFonts w:ascii="Simplified Arabic" w:hAnsi="Simplified Arabic" w:cs="Simplified Arabic"/>
          <w:sz w:val="28"/>
          <w:szCs w:val="28"/>
        </w:rPr>
        <w:t>.</w:t>
      </w:r>
    </w:p>
    <w:p w14:paraId="41D0004E" w14:textId="77777777" w:rsidR="00550DBF" w:rsidRPr="00550DBF" w:rsidRDefault="00550DBF" w:rsidP="009D7AA8">
      <w:pPr>
        <w:numPr>
          <w:ilvl w:val="0"/>
          <w:numId w:val="4"/>
        </w:numPr>
        <w:tabs>
          <w:tab w:val="num" w:pos="720"/>
        </w:tabs>
        <w:spacing w:line="240" w:lineRule="auto"/>
        <w:jc w:val="both"/>
        <w:rPr>
          <w:rFonts w:ascii="Simplified Arabic" w:hAnsi="Simplified Arabic" w:cs="Simplified Arabic"/>
          <w:sz w:val="28"/>
          <w:szCs w:val="28"/>
        </w:rPr>
      </w:pPr>
      <w:r w:rsidRPr="00550DBF">
        <w:rPr>
          <w:rFonts w:ascii="Simplified Arabic" w:hAnsi="Simplified Arabic" w:cs="Simplified Arabic"/>
          <w:b/>
          <w:bCs/>
          <w:sz w:val="28"/>
          <w:szCs w:val="28"/>
          <w:rtl/>
        </w:rPr>
        <w:t>الفرض الرئيس الثالث</w:t>
      </w:r>
      <w:r>
        <w:rPr>
          <w:rFonts w:ascii="Simplified Arabic" w:hAnsi="Simplified Arabic" w:cs="Simplified Arabic"/>
          <w:b/>
          <w:bCs/>
          <w:sz w:val="28"/>
          <w:szCs w:val="28"/>
        </w:rPr>
        <w:t>:</w:t>
      </w:r>
      <w:r w:rsidRPr="00550DBF">
        <w:rPr>
          <w:rFonts w:ascii="Simplified Arabic" w:hAnsi="Simplified Arabic" w:cs="Simplified Arabic"/>
          <w:sz w:val="28"/>
          <w:szCs w:val="28"/>
        </w:rPr>
        <w:t xml:space="preserve"> </w:t>
      </w:r>
      <w:r w:rsidR="008574AD">
        <w:rPr>
          <w:rFonts w:ascii="Simplified Arabic" w:hAnsi="Simplified Arabic" w:cs="Simplified Arabic" w:hint="cs"/>
          <w:sz w:val="28"/>
          <w:szCs w:val="28"/>
          <w:rtl/>
          <w:lang w:bidi="ar-EG"/>
        </w:rPr>
        <w:t xml:space="preserve"> </w:t>
      </w:r>
      <w:r w:rsidRPr="00550DBF">
        <w:rPr>
          <w:rFonts w:ascii="Simplified Arabic" w:hAnsi="Simplified Arabic" w:cs="Simplified Arabic"/>
          <w:sz w:val="28"/>
          <w:szCs w:val="28"/>
          <w:rtl/>
        </w:rPr>
        <w:t>توجد علاقة تأثير إيجابية ذات دلالة إحصائية لتوظيف نماذج اللغة الضخمة في الرشاقة الاستراتيجية</w:t>
      </w:r>
      <w:r w:rsidRPr="00550DBF">
        <w:rPr>
          <w:rFonts w:ascii="Simplified Arabic" w:hAnsi="Simplified Arabic" w:cs="Simplified Arabic"/>
          <w:sz w:val="28"/>
          <w:szCs w:val="28"/>
        </w:rPr>
        <w:t>.</w:t>
      </w:r>
    </w:p>
    <w:p w14:paraId="63A897F6" w14:textId="77777777" w:rsidR="00550DBF" w:rsidRPr="00550DBF" w:rsidRDefault="00550DBF" w:rsidP="009D7AA8">
      <w:pPr>
        <w:numPr>
          <w:ilvl w:val="0"/>
          <w:numId w:val="4"/>
        </w:numPr>
        <w:tabs>
          <w:tab w:val="num" w:pos="720"/>
        </w:tabs>
        <w:spacing w:line="240" w:lineRule="auto"/>
        <w:jc w:val="both"/>
        <w:rPr>
          <w:rFonts w:ascii="Simplified Arabic" w:hAnsi="Simplified Arabic" w:cs="Simplified Arabic"/>
          <w:sz w:val="28"/>
          <w:szCs w:val="28"/>
        </w:rPr>
      </w:pPr>
      <w:r w:rsidRPr="00550DBF">
        <w:rPr>
          <w:rFonts w:ascii="Simplified Arabic" w:hAnsi="Simplified Arabic" w:cs="Simplified Arabic"/>
          <w:b/>
          <w:bCs/>
          <w:sz w:val="28"/>
          <w:szCs w:val="28"/>
          <w:rtl/>
        </w:rPr>
        <w:t>الفرض الرئيس الرابع</w:t>
      </w:r>
      <w:r w:rsidR="008574AD">
        <w:rPr>
          <w:rFonts w:ascii="Simplified Arabic" w:hAnsi="Simplified Arabic" w:cs="Simplified Arabic"/>
          <w:b/>
          <w:bCs/>
          <w:sz w:val="28"/>
          <w:szCs w:val="28"/>
        </w:rPr>
        <w:t>:</w:t>
      </w:r>
      <w:r w:rsidR="008574AD">
        <w:rPr>
          <w:rFonts w:ascii="Simplified Arabic" w:hAnsi="Simplified Arabic" w:cs="Simplified Arabic" w:hint="cs"/>
          <w:sz w:val="28"/>
          <w:szCs w:val="28"/>
          <w:rtl/>
        </w:rPr>
        <w:t xml:space="preserve"> </w:t>
      </w:r>
      <w:r w:rsidRPr="00550DBF">
        <w:rPr>
          <w:rFonts w:ascii="Simplified Arabic" w:hAnsi="Simplified Arabic" w:cs="Simplified Arabic"/>
          <w:sz w:val="28"/>
          <w:szCs w:val="28"/>
          <w:rtl/>
        </w:rPr>
        <w:t>يوجد أثر غير مباشر (توسطي) ذو دلالة إحصائية لحوكمة المعلومات في الرشاقة الاستراتيجية من خلال توظيف نماذج اللغة الضخمة كمتغير وسيط</w:t>
      </w:r>
      <w:r w:rsidRPr="00550DBF">
        <w:rPr>
          <w:rFonts w:ascii="Simplified Arabic" w:hAnsi="Simplified Arabic" w:cs="Simplified Arabic"/>
          <w:sz w:val="28"/>
          <w:szCs w:val="28"/>
        </w:rPr>
        <w:t>.</w:t>
      </w:r>
    </w:p>
    <w:p w14:paraId="55DA9A39" w14:textId="77777777" w:rsidR="005D6D66" w:rsidRPr="008220F3" w:rsidRDefault="00D23DE5" w:rsidP="008574AD">
      <w:pPr>
        <w:spacing w:line="240" w:lineRule="auto"/>
        <w:jc w:val="both"/>
        <w:rPr>
          <w:rFonts w:ascii="Simplified Arabic" w:hAnsi="Simplified Arabic" w:cs="Simplified Arabic"/>
          <w:b/>
          <w:bCs/>
          <w:sz w:val="32"/>
          <w:szCs w:val="32"/>
          <w:rtl/>
          <w:lang w:bidi="ar-EG"/>
        </w:rPr>
      </w:pPr>
      <w:r w:rsidRPr="008220F3">
        <w:rPr>
          <w:rFonts w:ascii="Simplified Arabic" w:hAnsi="Simplified Arabic" w:cs="Simplified Arabic" w:hint="cs"/>
          <w:b/>
          <w:bCs/>
          <w:sz w:val="32"/>
          <w:szCs w:val="32"/>
          <w:rtl/>
        </w:rPr>
        <w:t>(6)</w:t>
      </w:r>
      <w:r w:rsidR="005D6D66" w:rsidRPr="008220F3">
        <w:rPr>
          <w:rFonts w:ascii="Simplified Arabic" w:hAnsi="Simplified Arabic" w:cs="Simplified Arabic"/>
          <w:b/>
          <w:bCs/>
          <w:sz w:val="32"/>
          <w:szCs w:val="32"/>
          <w:rtl/>
        </w:rPr>
        <w:t xml:space="preserve"> منهجية الدراسة</w:t>
      </w:r>
    </w:p>
    <w:p w14:paraId="3E5B5F17" w14:textId="77777777" w:rsidR="005D6D66" w:rsidRPr="008220F3" w:rsidRDefault="00D23DE5" w:rsidP="00D23DE5">
      <w:pPr>
        <w:spacing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 xml:space="preserve">(6-1) </w:t>
      </w:r>
      <w:r w:rsidR="005D6D66" w:rsidRPr="008220F3">
        <w:rPr>
          <w:rFonts w:ascii="Simplified Arabic" w:hAnsi="Simplified Arabic" w:cs="Simplified Arabic"/>
          <w:b/>
          <w:bCs/>
          <w:sz w:val="30"/>
          <w:szCs w:val="30"/>
          <w:rtl/>
        </w:rPr>
        <w:t>منهج الدراسة</w:t>
      </w:r>
    </w:p>
    <w:p w14:paraId="525BBBCA" w14:textId="77777777" w:rsidR="005D6D66" w:rsidRPr="005D6D66" w:rsidRDefault="005D6D66" w:rsidP="00D23DE5">
      <w:pPr>
        <w:spacing w:after="0" w:line="240" w:lineRule="auto"/>
        <w:ind w:firstLine="720"/>
        <w:jc w:val="both"/>
        <w:rPr>
          <w:rFonts w:ascii="Simplified Arabic" w:hAnsi="Simplified Arabic" w:cs="Simplified Arabic"/>
          <w:sz w:val="28"/>
          <w:szCs w:val="28"/>
        </w:rPr>
      </w:pPr>
      <w:r w:rsidRPr="005D6D66">
        <w:rPr>
          <w:rFonts w:ascii="Simplified Arabic" w:hAnsi="Simplified Arabic" w:cs="Simplified Arabic"/>
          <w:sz w:val="28"/>
          <w:szCs w:val="28"/>
          <w:rtl/>
        </w:rPr>
        <w:t xml:space="preserve">تعتمد هذه الدراسة على </w:t>
      </w:r>
      <w:r w:rsidRPr="005D6D66">
        <w:rPr>
          <w:rFonts w:ascii="Simplified Arabic" w:hAnsi="Simplified Arabic" w:cs="Simplified Arabic"/>
          <w:b/>
          <w:bCs/>
          <w:sz w:val="28"/>
          <w:szCs w:val="28"/>
          <w:rtl/>
        </w:rPr>
        <w:t>المنهج الوصفي التحليلي</w:t>
      </w:r>
      <w:r w:rsidRPr="005D6D66">
        <w:rPr>
          <w:rFonts w:ascii="Simplified Arabic" w:hAnsi="Simplified Arabic" w:cs="Simplified Arabic"/>
          <w:sz w:val="28"/>
          <w:szCs w:val="28"/>
          <w:rtl/>
        </w:rPr>
        <w:t xml:space="preserve"> باستخدام أسلوب </w:t>
      </w:r>
      <w:r w:rsidRPr="005D6D66">
        <w:rPr>
          <w:rFonts w:ascii="Simplified Arabic" w:hAnsi="Simplified Arabic" w:cs="Simplified Arabic"/>
          <w:b/>
          <w:bCs/>
          <w:sz w:val="28"/>
          <w:szCs w:val="28"/>
          <w:rtl/>
        </w:rPr>
        <w:t>المسح الميداني</w:t>
      </w:r>
      <w:r w:rsidRPr="005D6D66">
        <w:rPr>
          <w:rFonts w:ascii="Simplified Arabic" w:hAnsi="Simplified Arabic" w:cs="Simplified Arabic"/>
          <w:b/>
          <w:bCs/>
          <w:sz w:val="28"/>
          <w:szCs w:val="28"/>
        </w:rPr>
        <w:t xml:space="preserve"> (Survey Research)</w:t>
      </w:r>
      <w:r w:rsidRPr="005D6D66">
        <w:rPr>
          <w:rFonts w:ascii="Simplified Arabic" w:hAnsi="Simplified Arabic" w:cs="Simplified Arabic"/>
          <w:sz w:val="28"/>
          <w:szCs w:val="28"/>
          <w:rtl/>
        </w:rPr>
        <w:t>، لملاءمته لطبيعة الدراسة وأهدافها المتمثلة في تحليل العلاقات بين حوكمة المعلومات، وتوظيف نماذج اللغة الضخمة، والرشاقة الاستراتيجية داخل شركات الاستشارة في المملكة العربية السعودية. ويُعد هذا المنهج من أكثر المناهج استخدامًا في الدراسات الإدارية والتنظيمية التي تستهدف قياس المتغيرات الكامنة واختبار العلاقات السببية بينها بالاعتماد على البيانات الميدانية المستمدة من استجابات أفراد العينة</w:t>
      </w:r>
      <w:r w:rsidRPr="005D6D66">
        <w:rPr>
          <w:rFonts w:ascii="Simplified Arabic" w:hAnsi="Simplified Arabic" w:cs="Simplified Arabic"/>
          <w:sz w:val="28"/>
          <w:szCs w:val="28"/>
        </w:rPr>
        <w:t>.</w:t>
      </w:r>
    </w:p>
    <w:p w14:paraId="24400455" w14:textId="77777777" w:rsidR="005D6D66" w:rsidRPr="005D6D66" w:rsidRDefault="005D6D66" w:rsidP="00D23DE5">
      <w:pPr>
        <w:spacing w:after="0" w:line="240" w:lineRule="auto"/>
        <w:ind w:firstLine="720"/>
        <w:jc w:val="both"/>
        <w:rPr>
          <w:rFonts w:ascii="Simplified Arabic" w:hAnsi="Simplified Arabic" w:cs="Simplified Arabic"/>
          <w:sz w:val="28"/>
          <w:szCs w:val="28"/>
          <w:rtl/>
          <w:lang w:bidi="ar-EG"/>
        </w:rPr>
      </w:pPr>
      <w:r w:rsidRPr="005D6D66">
        <w:rPr>
          <w:rFonts w:ascii="Simplified Arabic" w:hAnsi="Simplified Arabic" w:cs="Simplified Arabic"/>
          <w:sz w:val="28"/>
          <w:szCs w:val="28"/>
          <w:rtl/>
        </w:rPr>
        <w:t>وتعتمد الدراسة على تصميم بحثي كمي</w:t>
      </w:r>
      <w:r w:rsidRPr="005D6D66">
        <w:rPr>
          <w:rFonts w:ascii="Simplified Arabic" w:hAnsi="Simplified Arabic" w:cs="Simplified Arabic"/>
          <w:sz w:val="28"/>
          <w:szCs w:val="28"/>
        </w:rPr>
        <w:t xml:space="preserve"> (Quantitative Research Design)</w:t>
      </w:r>
      <w:r w:rsidRPr="005D6D66">
        <w:rPr>
          <w:rFonts w:ascii="Simplified Arabic" w:hAnsi="Simplified Arabic" w:cs="Simplified Arabic"/>
          <w:sz w:val="28"/>
          <w:szCs w:val="28"/>
          <w:rtl/>
        </w:rPr>
        <w:t xml:space="preserve">، حيث تُجمع البيانات باستخدام الاستبيان بوصفه أداة رئيسة للقياس، ثم تُحلل إحصائيًا لاختبار فروض </w:t>
      </w:r>
      <w:r w:rsidRPr="005D6D66">
        <w:rPr>
          <w:rFonts w:ascii="Simplified Arabic" w:hAnsi="Simplified Arabic" w:cs="Simplified Arabic"/>
          <w:sz w:val="28"/>
          <w:szCs w:val="28"/>
          <w:rtl/>
        </w:rPr>
        <w:lastRenderedPageBreak/>
        <w:t xml:space="preserve">الدراسة والتحقق من النموذج المفاهيمي المقترح. كما سيُستخدم أسلوب </w:t>
      </w:r>
      <w:r w:rsidRPr="005D6D66">
        <w:rPr>
          <w:rFonts w:ascii="Simplified Arabic" w:hAnsi="Simplified Arabic" w:cs="Simplified Arabic"/>
          <w:b/>
          <w:bCs/>
          <w:sz w:val="28"/>
          <w:szCs w:val="28"/>
          <w:rtl/>
        </w:rPr>
        <w:t>نمذجة المعادلات الهيكلية</w:t>
      </w:r>
      <w:r w:rsidRPr="005D6D66">
        <w:rPr>
          <w:rFonts w:ascii="Simplified Arabic" w:hAnsi="Simplified Arabic" w:cs="Simplified Arabic"/>
          <w:b/>
          <w:bCs/>
          <w:sz w:val="28"/>
          <w:szCs w:val="28"/>
        </w:rPr>
        <w:t xml:space="preserve"> (Structural Equation Modeling: SEM)</w:t>
      </w:r>
      <w:r w:rsidR="00D23DE5">
        <w:rPr>
          <w:rFonts w:ascii="Simplified Arabic" w:hAnsi="Simplified Arabic" w:cs="Simplified Arabic" w:hint="cs"/>
          <w:sz w:val="28"/>
          <w:szCs w:val="28"/>
          <w:rtl/>
          <w:lang w:bidi="ar-EG"/>
        </w:rPr>
        <w:t xml:space="preserve"> </w:t>
      </w:r>
      <w:r w:rsidRPr="005D6D66">
        <w:rPr>
          <w:rFonts w:ascii="Simplified Arabic" w:hAnsi="Simplified Arabic" w:cs="Simplified Arabic"/>
          <w:sz w:val="28"/>
          <w:szCs w:val="28"/>
          <w:rtl/>
        </w:rPr>
        <w:t>لتحليل العلاقات المباشرة وغير المباشرة بين متغيرات الدراسة، واختبار الدور الوسيط لتوظيف نماذج اللغة الضخمة في العلاقة بين حوكمة المعلومات والرشاقة الاستراتيجية، لما يوفره هذا الأسلوب من قدرة على تحليل النماذج متعددة المتغيرات وتقدير علاقات التأثير بصورة متزامنة</w:t>
      </w:r>
      <w:r w:rsidR="00D23DE5">
        <w:rPr>
          <w:rFonts w:ascii="Simplified Arabic" w:hAnsi="Simplified Arabic" w:cs="Simplified Arabic" w:hint="cs"/>
          <w:sz w:val="28"/>
          <w:szCs w:val="28"/>
          <w:rtl/>
        </w:rPr>
        <w:t xml:space="preserve"> </w:t>
      </w:r>
      <w:r w:rsidRPr="005D6D66">
        <w:rPr>
          <w:rFonts w:ascii="Simplified Arabic" w:hAnsi="Simplified Arabic" w:cs="Simplified Arabic"/>
          <w:sz w:val="28"/>
          <w:szCs w:val="28"/>
        </w:rPr>
        <w:t>(</w:t>
      </w:r>
      <w:r w:rsidR="00D23DE5">
        <w:rPr>
          <w:rFonts w:ascii="Simplified Arabic" w:hAnsi="Simplified Arabic" w:cs="Simplified Arabic"/>
          <w:sz w:val="28"/>
          <w:szCs w:val="28"/>
        </w:rPr>
        <w:t>Hair et al., 2022; Kline, 2023)</w:t>
      </w:r>
      <w:r w:rsidR="00D23DE5">
        <w:rPr>
          <w:rFonts w:ascii="Simplified Arabic" w:hAnsi="Simplified Arabic" w:cs="Simplified Arabic" w:hint="cs"/>
          <w:sz w:val="28"/>
          <w:szCs w:val="28"/>
          <w:rtl/>
          <w:lang w:bidi="ar-EG"/>
        </w:rPr>
        <w:t xml:space="preserve">. </w:t>
      </w:r>
    </w:p>
    <w:p w14:paraId="46F30373" w14:textId="77777777" w:rsidR="005D6D66" w:rsidRPr="008220F3" w:rsidRDefault="00D23DE5" w:rsidP="00D23DE5">
      <w:pPr>
        <w:spacing w:before="240" w:after="0"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(6-2)</w:t>
      </w:r>
      <w:r w:rsidRPr="008220F3">
        <w:rPr>
          <w:rFonts w:ascii="Simplified Arabic" w:hAnsi="Simplified Arabic" w:cs="Simplified Arabic"/>
          <w:b/>
          <w:bCs/>
          <w:sz w:val="30"/>
          <w:szCs w:val="30"/>
        </w:rPr>
        <w:t xml:space="preserve"> </w:t>
      </w:r>
      <w:r w:rsidR="005D6D66" w:rsidRPr="008220F3">
        <w:rPr>
          <w:rFonts w:ascii="Simplified Arabic" w:hAnsi="Simplified Arabic" w:cs="Simplified Arabic"/>
          <w:b/>
          <w:bCs/>
          <w:sz w:val="30"/>
          <w:szCs w:val="30"/>
          <w:rtl/>
        </w:rPr>
        <w:t>مجتمع الدراسة</w:t>
      </w:r>
      <w:r w:rsidRPr="008220F3">
        <w:rPr>
          <w:rFonts w:ascii="Simplified Arabic" w:hAnsi="Simplified Arabic" w:cs="Simplified Arabic" w:hint="cs"/>
          <w:b/>
          <w:bCs/>
          <w:sz w:val="30"/>
          <w:szCs w:val="30"/>
          <w:rtl/>
        </w:rPr>
        <w:t xml:space="preserve"> وعينة </w:t>
      </w:r>
    </w:p>
    <w:p w14:paraId="73D8330F" w14:textId="77777777" w:rsidR="005D6D66" w:rsidRPr="005D6D66" w:rsidRDefault="005D6D66" w:rsidP="00D23DE5">
      <w:pPr>
        <w:spacing w:after="0" w:line="240" w:lineRule="auto"/>
        <w:ind w:firstLine="720"/>
        <w:jc w:val="both"/>
        <w:rPr>
          <w:rFonts w:ascii="Simplified Arabic" w:hAnsi="Simplified Arabic" w:cs="Simplified Arabic"/>
          <w:sz w:val="28"/>
          <w:szCs w:val="28"/>
        </w:rPr>
      </w:pPr>
      <w:r w:rsidRPr="005D6D66">
        <w:rPr>
          <w:rFonts w:ascii="Simplified Arabic" w:hAnsi="Simplified Arabic" w:cs="Simplified Arabic"/>
          <w:sz w:val="28"/>
          <w:szCs w:val="28"/>
          <w:rtl/>
        </w:rPr>
        <w:t xml:space="preserve">يتمثل مجتمع الدراسة في جميع </w:t>
      </w:r>
      <w:r w:rsidRPr="00D23DE5">
        <w:rPr>
          <w:rFonts w:ascii="Simplified Arabic" w:hAnsi="Simplified Arabic" w:cs="Simplified Arabic"/>
          <w:sz w:val="28"/>
          <w:szCs w:val="28"/>
          <w:rtl/>
        </w:rPr>
        <w:t>شركات</w:t>
      </w:r>
      <w:r w:rsidRPr="005D6D66">
        <w:rPr>
          <w:rFonts w:ascii="Simplified Arabic" w:hAnsi="Simplified Arabic" w:cs="Simplified Arabic"/>
          <w:b/>
          <w:bCs/>
          <w:sz w:val="28"/>
          <w:szCs w:val="28"/>
          <w:rtl/>
        </w:rPr>
        <w:t xml:space="preserve"> الاستشارة العاملة في المملكة العربية السعودية</w:t>
      </w:r>
      <w:r w:rsidRPr="005D6D66">
        <w:rPr>
          <w:rFonts w:ascii="Simplified Arabic" w:hAnsi="Simplified Arabic" w:cs="Simplified Arabic"/>
          <w:sz w:val="28"/>
          <w:szCs w:val="28"/>
          <w:rtl/>
        </w:rPr>
        <w:t>، سواء كانت شركات وطنية أو فروعًا لشركات استشارية دولية، وتمارس أنشطة استشارية في مجالات الإدارة، والاستشارات المالية، والتحول الرقمي، وتقنية المعلومات، والموارد البشرية، وغيرها من المجالات التي تعتمد بصورة رئيسة على إدارة المعلومات والمعرفة في تقديم خدماتها</w:t>
      </w:r>
      <w:r w:rsidRPr="005D6D66">
        <w:rPr>
          <w:rFonts w:ascii="Simplified Arabic" w:hAnsi="Simplified Arabic" w:cs="Simplified Arabic"/>
          <w:sz w:val="28"/>
          <w:szCs w:val="28"/>
        </w:rPr>
        <w:t>.</w:t>
      </w:r>
    </w:p>
    <w:p w14:paraId="482BAFF3" w14:textId="77777777" w:rsidR="00D23DE5" w:rsidRDefault="005D6D66" w:rsidP="00D23DE5">
      <w:pPr>
        <w:spacing w:after="0" w:line="240" w:lineRule="auto"/>
        <w:ind w:firstLine="720"/>
        <w:jc w:val="both"/>
        <w:rPr>
          <w:rFonts w:ascii="Simplified Arabic" w:hAnsi="Simplified Arabic" w:cs="Simplified Arabic"/>
          <w:sz w:val="28"/>
          <w:szCs w:val="28"/>
          <w:lang w:bidi="ar-EG"/>
        </w:rPr>
      </w:pPr>
      <w:r w:rsidRPr="005D6D66">
        <w:rPr>
          <w:rFonts w:ascii="Simplified Arabic" w:hAnsi="Simplified Arabic" w:cs="Simplified Arabic"/>
          <w:sz w:val="28"/>
          <w:szCs w:val="28"/>
          <w:rtl/>
        </w:rPr>
        <w:t>ويرجع اختيار هذا المجتمع إلى أن شركات الاستشارة تُعد من أكثر المنظمات اعتمادًا على المعلومات بوصفها موردًا استراتيجيًا، كما يشكل توظيف التقنيات الرقمية المتقدمة، وعلى رأسها نماذج اللغة الضخمة، أحد العوامل المؤثرة في تطوير عملياتها وتعزيز قدرتها على الاستجابة للتغيرات المتسارعة في بيئة الأعمال. ومن ثم، يمثل هذا المجتمع بيئة تطبيقية ملائمة لاختبار العلاقات بين متغيرات الدراسة وتحقيق أهدافها</w:t>
      </w:r>
      <w:r w:rsidRPr="005D6D66">
        <w:rPr>
          <w:rFonts w:ascii="Simplified Arabic" w:hAnsi="Simplified Arabic" w:cs="Simplified Arabic"/>
          <w:sz w:val="28"/>
          <w:szCs w:val="28"/>
        </w:rPr>
        <w:t>.</w:t>
      </w:r>
    </w:p>
    <w:p w14:paraId="4F09CD86" w14:textId="77777777" w:rsidR="00D23DE5" w:rsidRDefault="00FA1ABC" w:rsidP="00D23DE5">
      <w:pPr>
        <w:spacing w:after="0" w:line="240" w:lineRule="auto"/>
        <w:ind w:firstLine="720"/>
        <w:jc w:val="both"/>
        <w:rPr>
          <w:rFonts w:ascii="Simplified Arabic" w:hAnsi="Simplified Arabic" w:cs="Simplified Arabic"/>
          <w:sz w:val="28"/>
          <w:szCs w:val="28"/>
          <w:rtl/>
          <w:lang w:bidi="ar-EG"/>
        </w:rPr>
      </w:pPr>
      <w:r w:rsidRPr="00FA1ABC">
        <w:rPr>
          <w:rFonts w:ascii="Simplified Arabic" w:hAnsi="Simplified Arabic" w:cs="Simplified Arabic"/>
          <w:b/>
          <w:bCs/>
          <w:sz w:val="28"/>
          <w:szCs w:val="28"/>
          <w:lang w:bidi="ar-EG"/>
        </w:rPr>
        <w:t xml:space="preserve"> </w:t>
      </w:r>
      <w:r w:rsidRPr="00FA1ABC">
        <w:rPr>
          <w:rFonts w:ascii="Simplified Arabic" w:hAnsi="Simplified Arabic" w:cs="Simplified Arabic"/>
          <w:sz w:val="28"/>
          <w:szCs w:val="28"/>
          <w:rtl/>
        </w:rPr>
        <w:t xml:space="preserve">تعتمد الدراسة على أسلوب </w:t>
      </w:r>
      <w:r w:rsidRPr="00FA1ABC">
        <w:rPr>
          <w:rFonts w:ascii="Simplified Arabic" w:hAnsi="Simplified Arabic" w:cs="Simplified Arabic"/>
          <w:b/>
          <w:bCs/>
          <w:sz w:val="28"/>
          <w:szCs w:val="28"/>
          <w:rtl/>
        </w:rPr>
        <w:t>العينة الطبقية العشوائية</w:t>
      </w:r>
      <w:r w:rsidRPr="00FA1ABC">
        <w:rPr>
          <w:rFonts w:ascii="Simplified Arabic" w:hAnsi="Simplified Arabic" w:cs="Simplified Arabic"/>
          <w:sz w:val="28"/>
          <w:szCs w:val="28"/>
          <w:rtl/>
        </w:rPr>
        <w:t xml:space="preserve"> </w:t>
      </w:r>
      <w:r w:rsidRPr="00FA1ABC">
        <w:rPr>
          <w:rFonts w:ascii="Simplified Arabic" w:hAnsi="Simplified Arabic" w:cs="Simplified Arabic"/>
          <w:sz w:val="28"/>
          <w:szCs w:val="28"/>
          <w:lang w:bidi="ar-EG"/>
        </w:rPr>
        <w:t>(Stratified Random Sampling)</w:t>
      </w:r>
      <w:r w:rsidRPr="00FA1ABC">
        <w:rPr>
          <w:rFonts w:ascii="Simplified Arabic" w:hAnsi="Simplified Arabic" w:cs="Simplified Arabic"/>
          <w:sz w:val="28"/>
          <w:szCs w:val="28"/>
          <w:rtl/>
        </w:rPr>
        <w:t>، لملاءمته لطبيعة مجتمع الدراسة الذي يضم شركات استشارية تختلف في الحجم ومجالات التخصص، بما يضمن تمثيلًا مناسبًا للفئات المختلفة داخل المجتمع ويقلل من احتمالات التحيز في الاختيار، وهو ما يتسق مع التوصيات المنهجية المعاصرة التي تؤكد أن التقسيم الطبقي يرفع دقة التقدير ويحسن قابلية التعميم عندما يكون المجتمع غير متجانس</w:t>
      </w:r>
      <w:r w:rsidRPr="00FA1ABC">
        <w:rPr>
          <w:rFonts w:ascii="Simplified Arabic" w:hAnsi="Simplified Arabic" w:cs="Simplified Arabic"/>
          <w:sz w:val="28"/>
          <w:szCs w:val="28"/>
          <w:lang w:bidi="ar-EG"/>
        </w:rPr>
        <w:t xml:space="preserve"> (Bujang et al., 2024; Repke et al., 2024).</w:t>
      </w:r>
    </w:p>
    <w:p w14:paraId="461E7C20" w14:textId="77777777" w:rsidR="00D23DE5" w:rsidRDefault="00FA1ABC" w:rsidP="00D23DE5">
      <w:pPr>
        <w:spacing w:after="0" w:line="240" w:lineRule="auto"/>
        <w:ind w:firstLine="720"/>
        <w:jc w:val="both"/>
        <w:rPr>
          <w:rFonts w:ascii="Simplified Arabic" w:hAnsi="Simplified Arabic" w:cs="Simplified Arabic"/>
          <w:sz w:val="28"/>
          <w:szCs w:val="28"/>
          <w:rtl/>
          <w:lang w:bidi="ar-EG"/>
        </w:rPr>
      </w:pPr>
      <w:r w:rsidRPr="00FA1ABC">
        <w:rPr>
          <w:rFonts w:ascii="Simplified Arabic" w:hAnsi="Simplified Arabic" w:cs="Simplified Arabic"/>
          <w:sz w:val="28"/>
          <w:szCs w:val="28"/>
          <w:rtl/>
        </w:rPr>
        <w:t xml:space="preserve">وتتمثل وحدة التحليل في العاملين بشركات الاستشارة الذين ترتبط طبيعة أعمالهم بإدارة المعلومات، أو توظيف التقنيات الرقمية، أو المشاركة في تقديم الخدمات الاستشارية وصنع القرار، ومنهم المديرون، ومديرو المشروعات، والاستشاريون، ومحللو البيانات، وغيرهم من العاملين ذوي الصلة المباشرة بمتغيرات الدراسة. ويُعد هذا الاختيار مناسبًا في الدراسات المسحية التنظيمية التي </w:t>
      </w:r>
      <w:r w:rsidRPr="00FA1ABC">
        <w:rPr>
          <w:rFonts w:ascii="Simplified Arabic" w:hAnsi="Simplified Arabic" w:cs="Simplified Arabic"/>
          <w:sz w:val="28"/>
          <w:szCs w:val="28"/>
          <w:rtl/>
        </w:rPr>
        <w:lastRenderedPageBreak/>
        <w:t>تستهدف قياس إدراكات العاملين وممارساتهم المرتبطة بالحوكمة والتقنيات الرقمية والرشاقة التنظيمية</w:t>
      </w:r>
      <w:r w:rsidRPr="00FA1ABC">
        <w:rPr>
          <w:rFonts w:ascii="Simplified Arabic" w:hAnsi="Simplified Arabic" w:cs="Simplified Arabic"/>
          <w:sz w:val="28"/>
          <w:szCs w:val="28"/>
          <w:lang w:bidi="ar-EG"/>
        </w:rPr>
        <w:t xml:space="preserve"> (Concordia University,</w:t>
      </w:r>
      <w:r w:rsidR="00D23DE5">
        <w:rPr>
          <w:rFonts w:ascii="Simplified Arabic" w:hAnsi="Simplified Arabic" w:cs="Simplified Arabic"/>
          <w:sz w:val="28"/>
          <w:szCs w:val="28"/>
          <w:lang w:bidi="ar-EG"/>
        </w:rPr>
        <w:t xml:space="preserve"> 2024; Monash University, 2022)</w:t>
      </w:r>
      <w:r w:rsidR="00D23DE5">
        <w:rPr>
          <w:rFonts w:ascii="Simplified Arabic" w:hAnsi="Simplified Arabic" w:cs="Simplified Arabic" w:hint="cs"/>
          <w:sz w:val="28"/>
          <w:szCs w:val="28"/>
          <w:rtl/>
          <w:lang w:bidi="ar-EG"/>
        </w:rPr>
        <w:t xml:space="preserve">. </w:t>
      </w:r>
    </w:p>
    <w:p w14:paraId="1A8CA76D" w14:textId="77777777" w:rsidR="00FA1ABC" w:rsidRPr="00FA1ABC" w:rsidRDefault="00FA1ABC" w:rsidP="00D23DE5">
      <w:pPr>
        <w:spacing w:after="0" w:line="240" w:lineRule="auto"/>
        <w:ind w:firstLine="720"/>
        <w:jc w:val="both"/>
        <w:rPr>
          <w:rFonts w:ascii="Simplified Arabic" w:hAnsi="Simplified Arabic" w:cs="Simplified Arabic"/>
          <w:sz w:val="28"/>
          <w:szCs w:val="28"/>
          <w:lang w:bidi="ar-EG"/>
        </w:rPr>
      </w:pPr>
      <w:r w:rsidRPr="00FA1ABC">
        <w:rPr>
          <w:rFonts w:ascii="Simplified Arabic" w:hAnsi="Simplified Arabic" w:cs="Simplified Arabic"/>
          <w:sz w:val="28"/>
          <w:szCs w:val="28"/>
          <w:rtl/>
        </w:rPr>
        <w:t>وسيُحدد الحجم المناسب للعينة في ضوء الأساليب الإحصائية المعتمدة في نمذجة المعادلات الهيكلية</w:t>
      </w:r>
      <w:r w:rsidRPr="00FA1ABC">
        <w:rPr>
          <w:rFonts w:ascii="Simplified Arabic" w:hAnsi="Simplified Arabic" w:cs="Simplified Arabic"/>
          <w:sz w:val="28"/>
          <w:szCs w:val="28"/>
          <w:lang w:bidi="ar-EG"/>
        </w:rPr>
        <w:t xml:space="preserve"> (Structural Equation Modeling: SEM)</w:t>
      </w:r>
      <w:r w:rsidRPr="00FA1ABC">
        <w:rPr>
          <w:rFonts w:ascii="Simplified Arabic" w:hAnsi="Simplified Arabic" w:cs="Simplified Arabic"/>
          <w:sz w:val="28"/>
          <w:szCs w:val="28"/>
          <w:rtl/>
        </w:rPr>
        <w:t>، بما يضمن كفاية حجم العينة لاختبار نموذج الدراسة وتحقيق مستوى مناسب من القوة الإحصائية، وفقًا للتوصيات المنهجية الواردة في الأدبيات ذات الصلة. كما أن دراسات النمذجة البنيوية تؤكد ضرورة مواءمة حجم العينة مع عدد البنود والمتغيرات والمسارات في النموذج، خاصة عندما يكون الهدف اختبار علاقات مباشرة وغير مباشرة في نموذج وساطة</w:t>
      </w:r>
      <w:r w:rsidRPr="00FA1ABC">
        <w:rPr>
          <w:rFonts w:ascii="Simplified Arabic" w:hAnsi="Simplified Arabic" w:cs="Simplified Arabic"/>
          <w:sz w:val="28"/>
          <w:szCs w:val="28"/>
          <w:lang w:bidi="ar-EG"/>
        </w:rPr>
        <w:t xml:space="preserve"> (Hair et al., 2019; Shi et al., 2018).</w:t>
      </w:r>
    </w:p>
    <w:p w14:paraId="20FFC53C" w14:textId="77777777" w:rsidR="00FA1ABC" w:rsidRPr="008220F3" w:rsidRDefault="00D23DE5" w:rsidP="00D23DE5">
      <w:pPr>
        <w:spacing w:before="240" w:line="240" w:lineRule="auto"/>
        <w:jc w:val="both"/>
        <w:rPr>
          <w:rFonts w:ascii="Simplified Arabic" w:hAnsi="Simplified Arabic" w:cs="Simplified Arabic"/>
          <w:b/>
          <w:bCs/>
          <w:sz w:val="30"/>
          <w:szCs w:val="30"/>
          <w:lang w:bidi="ar-EG"/>
        </w:rPr>
      </w:pPr>
      <w:r w:rsidRPr="008220F3">
        <w:rPr>
          <w:rFonts w:ascii="Simplified Arabic" w:hAnsi="Simplified Arabic" w:cs="Simplified Arabic" w:hint="cs"/>
          <w:b/>
          <w:bCs/>
          <w:sz w:val="30"/>
          <w:szCs w:val="30"/>
          <w:rtl/>
        </w:rPr>
        <w:t xml:space="preserve">(6-3) توصيف وقياس </w:t>
      </w:r>
      <w:r w:rsidR="00FA1ABC" w:rsidRPr="008220F3">
        <w:rPr>
          <w:rFonts w:ascii="Simplified Arabic" w:hAnsi="Simplified Arabic" w:cs="Simplified Arabic"/>
          <w:b/>
          <w:bCs/>
          <w:sz w:val="30"/>
          <w:szCs w:val="30"/>
          <w:rtl/>
        </w:rPr>
        <w:t xml:space="preserve">متغيرات الدراسة </w:t>
      </w:r>
    </w:p>
    <w:p w14:paraId="0F3E50F6" w14:textId="77777777" w:rsidR="008574AD" w:rsidRPr="008574AD" w:rsidRDefault="008574AD" w:rsidP="00D23DE5">
      <w:pPr>
        <w:spacing w:after="0" w:line="240" w:lineRule="auto"/>
        <w:ind w:firstLine="720"/>
        <w:jc w:val="both"/>
        <w:rPr>
          <w:rFonts w:ascii="Simplified Arabic" w:hAnsi="Simplified Arabic" w:cs="Simplified Arabic"/>
          <w:sz w:val="28"/>
          <w:szCs w:val="28"/>
        </w:rPr>
      </w:pPr>
      <w:r w:rsidRPr="008574AD">
        <w:rPr>
          <w:rFonts w:ascii="Simplified Arabic" w:hAnsi="Simplified Arabic" w:cs="Simplified Arabic"/>
          <w:sz w:val="28"/>
          <w:szCs w:val="28"/>
          <w:rtl/>
        </w:rPr>
        <w:t>يرتكز النموذج الهيكلي لهذه الدراسة على ثلاثة متغيرات رئيسة محد</w:t>
      </w:r>
      <w:r>
        <w:rPr>
          <w:rFonts w:ascii="Simplified Arabic" w:hAnsi="Simplified Arabic" w:cs="Simplified Arabic"/>
          <w:sz w:val="28"/>
          <w:szCs w:val="28"/>
          <w:rtl/>
        </w:rPr>
        <w:t>دة: حوكمة المعلومات كمتغير مستق</w:t>
      </w:r>
      <w:r>
        <w:rPr>
          <w:rFonts w:ascii="Simplified Arabic" w:hAnsi="Simplified Arabic" w:cs="Simplified Arabic" w:hint="cs"/>
          <w:sz w:val="28"/>
          <w:szCs w:val="28"/>
          <w:rtl/>
          <w:lang w:bidi="ar-EG"/>
        </w:rPr>
        <w:t>ل،</w:t>
      </w:r>
      <w:r w:rsidRPr="008574AD">
        <w:rPr>
          <w:rFonts w:ascii="Simplified Arabic" w:hAnsi="Simplified Arabic" w:cs="Simplified Arabic"/>
          <w:sz w:val="28"/>
          <w:szCs w:val="28"/>
          <w:rtl/>
        </w:rPr>
        <w:t xml:space="preserve"> وتوظيف نماذج اللغة الض</w:t>
      </w:r>
      <w:r>
        <w:rPr>
          <w:rFonts w:ascii="Simplified Arabic" w:hAnsi="Simplified Arabic" w:cs="Simplified Arabic"/>
          <w:sz w:val="28"/>
          <w:szCs w:val="28"/>
          <w:rtl/>
        </w:rPr>
        <w:t>خمة كمتغير وسي</w:t>
      </w:r>
      <w:r>
        <w:rPr>
          <w:rFonts w:ascii="Simplified Arabic" w:hAnsi="Simplified Arabic" w:cs="Simplified Arabic" w:hint="cs"/>
          <w:sz w:val="28"/>
          <w:szCs w:val="28"/>
          <w:rtl/>
          <w:lang w:bidi="ar-EG"/>
        </w:rPr>
        <w:t xml:space="preserve">ط، </w:t>
      </w:r>
      <w:r w:rsidRPr="008574AD">
        <w:rPr>
          <w:rFonts w:ascii="Simplified Arabic" w:hAnsi="Simplified Arabic" w:cs="Simplified Arabic"/>
          <w:sz w:val="28"/>
          <w:szCs w:val="28"/>
          <w:rtl/>
        </w:rPr>
        <w:t>والرشاقة الاستراتيجي</w:t>
      </w:r>
      <w:r>
        <w:rPr>
          <w:rFonts w:ascii="Simplified Arabic" w:hAnsi="Simplified Arabic" w:cs="Simplified Arabic"/>
          <w:sz w:val="28"/>
          <w:szCs w:val="28"/>
          <w:rtl/>
        </w:rPr>
        <w:t xml:space="preserve">ة كمتغير تابع ومخرج تنظيمي </w:t>
      </w:r>
      <w:proofErr w:type="spellStart"/>
      <w:r>
        <w:rPr>
          <w:rFonts w:ascii="Simplified Arabic" w:hAnsi="Simplified Arabic" w:cs="Simplified Arabic"/>
          <w:sz w:val="28"/>
          <w:szCs w:val="28"/>
          <w:rtl/>
        </w:rPr>
        <w:t>نهائ</w:t>
      </w:r>
      <w:proofErr w:type="spellEnd"/>
      <w:r>
        <w:rPr>
          <w:rFonts w:ascii="Simplified Arabic" w:hAnsi="Simplified Arabic" w:cs="Simplified Arabic" w:hint="cs"/>
          <w:sz w:val="28"/>
          <w:szCs w:val="28"/>
          <w:rtl/>
          <w:lang w:bidi="ar-EG"/>
        </w:rPr>
        <w:t>ي.</w:t>
      </w:r>
      <w:r w:rsidRPr="008574AD">
        <w:rPr>
          <w:rFonts w:ascii="Simplified Arabic" w:hAnsi="Simplified Arabic" w:cs="Simplified Arabic"/>
          <w:sz w:val="28"/>
          <w:szCs w:val="28"/>
        </w:rPr>
        <w:t xml:space="preserve"> </w:t>
      </w:r>
      <w:r w:rsidRPr="008574AD">
        <w:rPr>
          <w:rFonts w:ascii="Simplified Arabic" w:hAnsi="Simplified Arabic" w:cs="Simplified Arabic"/>
          <w:sz w:val="28"/>
          <w:szCs w:val="28"/>
          <w:rtl/>
        </w:rPr>
        <w:t>وجرى اشتقاق الأبعاد الفرعية والمؤشرات القياسية لكل متغير استناداً إلى الأطر المعرفية والأبحاث التجريبية المعاصرة لضمان الصدق الظاهري والبنيوي لأداة الدراسة</w:t>
      </w:r>
      <w:r w:rsidRPr="008574AD">
        <w:rPr>
          <w:rFonts w:ascii="Simplified Arabic" w:hAnsi="Simplified Arabic" w:cs="Simplified Arabic"/>
          <w:sz w:val="28"/>
          <w:szCs w:val="28"/>
        </w:rPr>
        <w:t>(</w:t>
      </w:r>
      <w:proofErr w:type="spellStart"/>
      <w:r w:rsidRPr="008574AD">
        <w:rPr>
          <w:rFonts w:ascii="Simplified Arabic" w:hAnsi="Simplified Arabic" w:cs="Simplified Arabic"/>
          <w:sz w:val="28"/>
          <w:szCs w:val="28"/>
        </w:rPr>
        <w:t>Almelhes</w:t>
      </w:r>
      <w:proofErr w:type="spellEnd"/>
      <w:r w:rsidRPr="008574AD">
        <w:rPr>
          <w:rFonts w:ascii="Simplified Arabic" w:hAnsi="Simplified Arabic" w:cs="Simplified Arabic"/>
          <w:sz w:val="28"/>
          <w:szCs w:val="28"/>
        </w:rPr>
        <w:t>, 2025; Malik et al., 2025; Mueller</w:t>
      </w:r>
      <w:r w:rsidRPr="008574AD">
        <w:rPr>
          <w:rFonts w:ascii="Times New Roman" w:hAnsi="Times New Roman" w:cs="Times New Roman"/>
          <w:sz w:val="28"/>
          <w:szCs w:val="28"/>
        </w:rPr>
        <w:t>‐</w:t>
      </w:r>
      <w:proofErr w:type="spellStart"/>
      <w:r w:rsidRPr="008574AD">
        <w:rPr>
          <w:rFonts w:ascii="Simplified Arabic" w:hAnsi="Simplified Arabic" w:cs="Simplified Arabic"/>
          <w:sz w:val="28"/>
          <w:szCs w:val="28"/>
        </w:rPr>
        <w:t>Saegebrecht</w:t>
      </w:r>
      <w:proofErr w:type="spellEnd"/>
      <w:r w:rsidRPr="008574AD">
        <w:rPr>
          <w:rFonts w:ascii="Simplified Arabic" w:hAnsi="Simplified Arabic" w:cs="Simplified Arabic"/>
          <w:sz w:val="28"/>
          <w:szCs w:val="28"/>
        </w:rPr>
        <w:t xml:space="preserve"> &amp; Walter, 2025).</w:t>
      </w:r>
    </w:p>
    <w:p w14:paraId="64B4AFC0" w14:textId="77777777" w:rsidR="008574AD" w:rsidRPr="008574AD" w:rsidRDefault="008574AD" w:rsidP="00D23DE5">
      <w:pPr>
        <w:spacing w:after="0" w:line="240" w:lineRule="auto"/>
        <w:ind w:firstLine="720"/>
        <w:jc w:val="both"/>
        <w:rPr>
          <w:rFonts w:ascii="Simplified Arabic" w:hAnsi="Simplified Arabic" w:cs="Simplified Arabic"/>
          <w:sz w:val="28"/>
          <w:szCs w:val="28"/>
        </w:rPr>
      </w:pPr>
      <w:r w:rsidRPr="008574AD">
        <w:rPr>
          <w:rFonts w:ascii="Simplified Arabic" w:hAnsi="Simplified Arabic" w:cs="Simplified Arabic"/>
          <w:sz w:val="28"/>
          <w:szCs w:val="28"/>
          <w:rtl/>
        </w:rPr>
        <w:t>استندت عملية بناء المقاييس إلى تكييف وتطوير مؤشرات سبق اختبار صدقها وثباتها المنهجي في البيئات الرقمية، مع ملاءمتها التنظيمية لسياق قطاع شركات الاستشارات في المملكة العربية السعودية</w:t>
      </w:r>
      <w:r w:rsidRPr="008574AD">
        <w:rPr>
          <w:rFonts w:ascii="Simplified Arabic" w:hAnsi="Simplified Arabic" w:cs="Simplified Arabic"/>
          <w:sz w:val="28"/>
          <w:szCs w:val="28"/>
        </w:rPr>
        <w:t xml:space="preserve"> (Hair et al., 2024). </w:t>
      </w:r>
      <w:r w:rsidRPr="008574AD">
        <w:rPr>
          <w:rFonts w:ascii="Simplified Arabic" w:hAnsi="Simplified Arabic" w:cs="Simplified Arabic"/>
          <w:sz w:val="28"/>
          <w:szCs w:val="28"/>
          <w:rtl/>
        </w:rPr>
        <w:t xml:space="preserve">وتُقاس هذه الأبعاد كافة عبر أداة الاستبيان الموجهة للمستويات الإدارية العليا، بالاعتماد على مقياس </w:t>
      </w:r>
      <w:proofErr w:type="spellStart"/>
      <w:r w:rsidRPr="008574AD">
        <w:rPr>
          <w:rFonts w:ascii="Simplified Arabic" w:hAnsi="Simplified Arabic" w:cs="Simplified Arabic"/>
          <w:sz w:val="28"/>
          <w:szCs w:val="28"/>
          <w:rtl/>
        </w:rPr>
        <w:t>ليكرت</w:t>
      </w:r>
      <w:proofErr w:type="spellEnd"/>
      <w:r w:rsidRPr="008574AD">
        <w:rPr>
          <w:rFonts w:ascii="Simplified Arabic" w:hAnsi="Simplified Arabic" w:cs="Simplified Arabic"/>
          <w:sz w:val="28"/>
          <w:szCs w:val="28"/>
          <w:rtl/>
        </w:rPr>
        <w:t xml:space="preserve"> الخماسي المتدرج (خمس درجات: من غير موافق بشدة إلى موافق بشدة) لجمع البيانات الأولية تمهيداً لتحليلها عبر نمذجة المعادلات الهيكلية</w:t>
      </w:r>
      <w:r w:rsidRPr="008574AD">
        <w:rPr>
          <w:rFonts w:ascii="Simplified Arabic" w:hAnsi="Simplified Arabic" w:cs="Simplified Arabic"/>
          <w:sz w:val="28"/>
          <w:szCs w:val="28"/>
        </w:rPr>
        <w:t xml:space="preserve"> (Atienza-Barba et al</w:t>
      </w:r>
      <w:r w:rsidR="00D23DE5">
        <w:rPr>
          <w:rFonts w:ascii="Simplified Arabic" w:hAnsi="Simplified Arabic" w:cs="Simplified Arabic"/>
          <w:sz w:val="28"/>
          <w:szCs w:val="28"/>
        </w:rPr>
        <w:t>., 2024; Feng &amp; Abd Rani, 2024)</w:t>
      </w:r>
      <w:r w:rsidR="00D23DE5">
        <w:rPr>
          <w:rFonts w:ascii="Simplified Arabic" w:hAnsi="Simplified Arabic" w:cs="Simplified Arabic" w:hint="cs"/>
          <w:sz w:val="28"/>
          <w:szCs w:val="28"/>
          <w:rtl/>
          <w:lang w:bidi="ar-EG"/>
        </w:rPr>
        <w:t>.</w:t>
      </w:r>
      <w:r w:rsidR="00D23DE5" w:rsidRPr="008574AD">
        <w:rPr>
          <w:rFonts w:ascii="Simplified Arabic" w:hAnsi="Simplified Arabic" w:cs="Simplified Arabic"/>
          <w:sz w:val="28"/>
          <w:szCs w:val="28"/>
          <w:rtl/>
        </w:rPr>
        <w:t xml:space="preserve"> </w:t>
      </w:r>
      <w:r w:rsidRPr="008574AD">
        <w:rPr>
          <w:rFonts w:ascii="Simplified Arabic" w:hAnsi="Simplified Arabic" w:cs="Simplified Arabic"/>
          <w:sz w:val="28"/>
          <w:szCs w:val="28"/>
          <w:rtl/>
        </w:rPr>
        <w:t>ويوضح الجدول التالي التوصيف البنيوي للمتغيرات، أبعادها الفرعية، ومصادر اشتقاقها المعتمدة في القائمة</w:t>
      </w:r>
      <w:r w:rsidRPr="008574AD">
        <w:rPr>
          <w:rFonts w:ascii="Simplified Arabic" w:hAnsi="Simplified Arabic" w:cs="Simplified Arabic"/>
          <w:sz w:val="28"/>
          <w:szCs w:val="28"/>
        </w:rPr>
        <w:t>:</w:t>
      </w:r>
    </w:p>
    <w:p w14:paraId="02C75669" w14:textId="77777777" w:rsidR="00D23DE5" w:rsidRDefault="00D23DE5" w:rsidP="008574AD">
      <w:pPr>
        <w:spacing w:line="240" w:lineRule="auto"/>
        <w:jc w:val="both"/>
        <w:rPr>
          <w:rFonts w:ascii="Simplified Arabic" w:hAnsi="Simplified Arabic" w:cs="Simplified Arabic"/>
          <w:b/>
          <w:bCs/>
          <w:sz w:val="28"/>
          <w:szCs w:val="28"/>
          <w:rtl/>
        </w:rPr>
      </w:pPr>
    </w:p>
    <w:p w14:paraId="344A9EB6" w14:textId="77777777" w:rsidR="00D23DE5" w:rsidRDefault="00D23DE5" w:rsidP="008574AD">
      <w:pPr>
        <w:spacing w:line="240" w:lineRule="auto"/>
        <w:jc w:val="both"/>
        <w:rPr>
          <w:rFonts w:ascii="Simplified Arabic" w:hAnsi="Simplified Arabic" w:cs="Simplified Arabic"/>
          <w:b/>
          <w:bCs/>
          <w:sz w:val="28"/>
          <w:szCs w:val="28"/>
          <w:rtl/>
        </w:rPr>
      </w:pPr>
    </w:p>
    <w:p w14:paraId="2DB7782C" w14:textId="77777777" w:rsidR="00D23DE5" w:rsidRDefault="00D23DE5" w:rsidP="008574AD">
      <w:pPr>
        <w:spacing w:line="240" w:lineRule="auto"/>
        <w:jc w:val="both"/>
        <w:rPr>
          <w:rFonts w:ascii="Simplified Arabic" w:hAnsi="Simplified Arabic" w:cs="Simplified Arabic"/>
          <w:b/>
          <w:bCs/>
          <w:sz w:val="28"/>
          <w:szCs w:val="28"/>
          <w:rtl/>
        </w:rPr>
      </w:pPr>
    </w:p>
    <w:p w14:paraId="728A0879" w14:textId="77777777" w:rsidR="008574AD" w:rsidRPr="00D23DE5" w:rsidRDefault="008574AD" w:rsidP="00D23DE5">
      <w:pPr>
        <w:spacing w:line="240" w:lineRule="auto"/>
        <w:jc w:val="center"/>
        <w:rPr>
          <w:rFonts w:asciiTheme="majorBidi" w:hAnsiTheme="majorBidi" w:cstheme="majorBidi"/>
          <w:b/>
          <w:bCs/>
          <w:sz w:val="28"/>
          <w:szCs w:val="28"/>
          <w:rtl/>
        </w:rPr>
      </w:pPr>
      <w:r w:rsidRPr="00D23DE5">
        <w:rPr>
          <w:rFonts w:asciiTheme="majorBidi" w:hAnsiTheme="majorBidi" w:cstheme="majorBidi"/>
          <w:b/>
          <w:bCs/>
          <w:sz w:val="28"/>
          <w:szCs w:val="28"/>
          <w:rtl/>
        </w:rPr>
        <w:lastRenderedPageBreak/>
        <w:t>جدول (5-1) التوصيف البنيوي والمصدر العلمي لمتغيرات الدراسة وأبعادها</w:t>
      </w:r>
    </w:p>
    <w:tbl>
      <w:tblPr>
        <w:tblStyle w:val="TableGrid"/>
        <w:bidiVisual/>
        <w:tblW w:w="0" w:type="auto"/>
        <w:tblLook w:val="04A0" w:firstRow="1" w:lastRow="0" w:firstColumn="1" w:lastColumn="0" w:noHBand="0" w:noVBand="1"/>
      </w:tblPr>
      <w:tblGrid>
        <w:gridCol w:w="1546"/>
        <w:gridCol w:w="899"/>
        <w:gridCol w:w="3218"/>
        <w:gridCol w:w="2832"/>
      </w:tblGrid>
      <w:tr w:rsidR="008574AD" w:rsidRPr="008574AD" w14:paraId="6F974D07" w14:textId="77777777" w:rsidTr="00D23DE5">
        <w:tc>
          <w:tcPr>
            <w:tcW w:w="0" w:type="auto"/>
            <w:hideMark/>
          </w:tcPr>
          <w:p w14:paraId="3473F7A7" w14:textId="77777777" w:rsidR="008574AD" w:rsidRPr="008574AD" w:rsidRDefault="008574AD" w:rsidP="00D23DE5">
            <w:pPr>
              <w:jc w:val="center"/>
              <w:rPr>
                <w:rFonts w:ascii="Times New Roman" w:eastAsia="Times New Roman" w:hAnsi="Times New Roman" w:cs="Times New Roman"/>
                <w:b/>
                <w:bCs/>
                <w:color w:val="1F1F1F"/>
                <w:sz w:val="28"/>
                <w:szCs w:val="28"/>
              </w:rPr>
            </w:pPr>
            <w:r w:rsidRPr="008574AD">
              <w:rPr>
                <w:rFonts w:ascii="Times New Roman" w:eastAsia="Times New Roman" w:hAnsi="Times New Roman" w:cs="Times New Roman"/>
                <w:b/>
                <w:bCs/>
                <w:color w:val="1F1F1F"/>
                <w:sz w:val="28"/>
                <w:szCs w:val="28"/>
                <w:bdr w:val="none" w:sz="0" w:space="0" w:color="auto" w:frame="1"/>
                <w:rtl/>
              </w:rPr>
              <w:t>المتغير</w:t>
            </w:r>
          </w:p>
        </w:tc>
        <w:tc>
          <w:tcPr>
            <w:tcW w:w="0" w:type="auto"/>
            <w:hideMark/>
          </w:tcPr>
          <w:p w14:paraId="5FF09882" w14:textId="77777777" w:rsidR="008574AD" w:rsidRPr="008574AD" w:rsidRDefault="008574AD" w:rsidP="00D23DE5">
            <w:pPr>
              <w:jc w:val="cente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نوع المتغير</w:t>
            </w:r>
          </w:p>
        </w:tc>
        <w:tc>
          <w:tcPr>
            <w:tcW w:w="3218" w:type="dxa"/>
            <w:hideMark/>
          </w:tcPr>
          <w:p w14:paraId="2C17A113" w14:textId="77777777" w:rsidR="008574AD" w:rsidRPr="008574AD" w:rsidRDefault="008574AD" w:rsidP="00D23DE5">
            <w:pPr>
              <w:jc w:val="cente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الأبعاد الرئيسة</w:t>
            </w:r>
          </w:p>
        </w:tc>
        <w:tc>
          <w:tcPr>
            <w:tcW w:w="2832" w:type="dxa"/>
            <w:hideMark/>
          </w:tcPr>
          <w:p w14:paraId="218B1452" w14:textId="77777777" w:rsidR="008574AD" w:rsidRPr="008574AD" w:rsidRDefault="008574AD" w:rsidP="00D23DE5">
            <w:pPr>
              <w:jc w:val="cente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المصدر</w:t>
            </w:r>
          </w:p>
        </w:tc>
      </w:tr>
      <w:tr w:rsidR="008574AD" w:rsidRPr="008574AD" w14:paraId="13EDDE9B" w14:textId="77777777" w:rsidTr="00D23DE5">
        <w:tc>
          <w:tcPr>
            <w:tcW w:w="0" w:type="auto"/>
            <w:hideMark/>
          </w:tcPr>
          <w:p w14:paraId="1A72EB13"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حوكمة المعلومات</w:t>
            </w:r>
          </w:p>
        </w:tc>
        <w:tc>
          <w:tcPr>
            <w:tcW w:w="0" w:type="auto"/>
            <w:hideMark/>
          </w:tcPr>
          <w:p w14:paraId="45B0F02C"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 xml:space="preserve">مستقل </w:t>
            </w:r>
          </w:p>
        </w:tc>
        <w:tc>
          <w:tcPr>
            <w:tcW w:w="3218" w:type="dxa"/>
            <w:hideMark/>
          </w:tcPr>
          <w:p w14:paraId="2FFAB1A2"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xml:space="preserve">• الأطر </w:t>
            </w:r>
            <w:proofErr w:type="spellStart"/>
            <w:r w:rsidRPr="00D23DE5">
              <w:rPr>
                <w:rFonts w:ascii="Times New Roman" w:eastAsia="Times New Roman" w:hAnsi="Times New Roman" w:cs="Times New Roman"/>
                <w:color w:val="1F1F1F"/>
                <w:sz w:val="28"/>
                <w:szCs w:val="28"/>
                <w:rtl/>
              </w:rPr>
              <w:t>السياساتية</w:t>
            </w:r>
            <w:proofErr w:type="spellEnd"/>
            <w:r w:rsidRPr="00D23DE5">
              <w:rPr>
                <w:rFonts w:ascii="Times New Roman" w:eastAsia="Times New Roman" w:hAnsi="Times New Roman" w:cs="Times New Roman"/>
                <w:color w:val="1F1F1F"/>
                <w:sz w:val="28"/>
                <w:szCs w:val="28"/>
                <w:rtl/>
              </w:rPr>
              <w:t xml:space="preserve"> والتنظيمية</w:t>
            </w:r>
          </w:p>
          <w:p w14:paraId="3F7D7209"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جودة وموثوقية المعلومات</w:t>
            </w:r>
          </w:p>
          <w:p w14:paraId="4A8CA979"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أمن المعلومات والخصوصية</w:t>
            </w:r>
          </w:p>
          <w:p w14:paraId="114E5782"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الامتثال والرقابة المعيارية</w:t>
            </w:r>
          </w:p>
        </w:tc>
        <w:tc>
          <w:tcPr>
            <w:tcW w:w="2832" w:type="dxa"/>
            <w:hideMark/>
          </w:tcPr>
          <w:p w14:paraId="057FD3D2" w14:textId="77777777" w:rsidR="008574AD" w:rsidRPr="008574AD" w:rsidRDefault="008574AD" w:rsidP="00D23DE5">
            <w:pPr>
              <w:bidi w:val="0"/>
              <w:rPr>
                <w:rFonts w:ascii="Times New Roman" w:eastAsia="Times New Roman" w:hAnsi="Times New Roman" w:cs="Times New Roman"/>
                <w:color w:val="1F1F1F"/>
                <w:sz w:val="28"/>
                <w:szCs w:val="28"/>
                <w:rtl/>
              </w:rPr>
            </w:pPr>
            <w:r w:rsidRPr="008574AD">
              <w:rPr>
                <w:rFonts w:ascii="Times New Roman" w:eastAsia="Times New Roman" w:hAnsi="Times New Roman" w:cs="Times New Roman"/>
                <w:color w:val="1F1F1F"/>
                <w:sz w:val="28"/>
                <w:szCs w:val="28"/>
                <w:bdr w:val="none" w:sz="0" w:space="0" w:color="auto" w:frame="1"/>
              </w:rPr>
              <w:t xml:space="preserve">Aghaei et al. (2025); International Organization for Standardization (2023); </w:t>
            </w:r>
            <w:proofErr w:type="spellStart"/>
            <w:r w:rsidRPr="008574AD">
              <w:rPr>
                <w:rFonts w:ascii="Times New Roman" w:eastAsia="Times New Roman" w:hAnsi="Times New Roman" w:cs="Times New Roman"/>
                <w:color w:val="1F1F1F"/>
                <w:sz w:val="28"/>
                <w:szCs w:val="28"/>
                <w:bdr w:val="none" w:sz="0" w:space="0" w:color="auto" w:frame="1"/>
              </w:rPr>
              <w:t>Pahune</w:t>
            </w:r>
            <w:proofErr w:type="spellEnd"/>
            <w:r w:rsidRPr="008574AD">
              <w:rPr>
                <w:rFonts w:ascii="Times New Roman" w:eastAsia="Times New Roman" w:hAnsi="Times New Roman" w:cs="Times New Roman"/>
                <w:color w:val="1F1F1F"/>
                <w:sz w:val="28"/>
                <w:szCs w:val="28"/>
                <w:bdr w:val="none" w:sz="0" w:space="0" w:color="auto" w:frame="1"/>
              </w:rPr>
              <w:t xml:space="preserve"> et al</w:t>
            </w:r>
            <w:r w:rsidRPr="008574AD">
              <w:rPr>
                <w:rFonts w:ascii="Times New Roman" w:eastAsia="Times New Roman" w:hAnsi="Times New Roman" w:cs="Times New Roman"/>
                <w:color w:val="1F1F1F"/>
                <w:sz w:val="28"/>
                <w:szCs w:val="28"/>
                <w:bdr w:val="none" w:sz="0" w:space="0" w:color="auto" w:frame="1"/>
                <w:rtl/>
              </w:rPr>
              <w:t>. (2025)</w:t>
            </w:r>
          </w:p>
        </w:tc>
      </w:tr>
      <w:tr w:rsidR="008574AD" w:rsidRPr="008574AD" w14:paraId="2F37D607" w14:textId="77777777" w:rsidTr="00D23DE5">
        <w:tc>
          <w:tcPr>
            <w:tcW w:w="0" w:type="auto"/>
            <w:hideMark/>
          </w:tcPr>
          <w:p w14:paraId="2781A671"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توظيف نماذج اللغة الضخمة</w:t>
            </w:r>
          </w:p>
        </w:tc>
        <w:tc>
          <w:tcPr>
            <w:tcW w:w="0" w:type="auto"/>
            <w:hideMark/>
          </w:tcPr>
          <w:p w14:paraId="33DB177E"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 xml:space="preserve">وسيط </w:t>
            </w:r>
          </w:p>
        </w:tc>
        <w:tc>
          <w:tcPr>
            <w:tcW w:w="3218" w:type="dxa"/>
            <w:hideMark/>
          </w:tcPr>
          <w:p w14:paraId="7720F976"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القدرة الاستيعابية والتشغيلية</w:t>
            </w:r>
          </w:p>
          <w:p w14:paraId="470F2904"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دعم اتخاذ القرار الذكي</w:t>
            </w:r>
          </w:p>
          <w:p w14:paraId="2BA54FC0"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إدارة المعرفة والتوليد</w:t>
            </w:r>
          </w:p>
          <w:p w14:paraId="7FF155A8"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xml:space="preserve">• الاستخدام </w:t>
            </w:r>
            <w:proofErr w:type="spellStart"/>
            <w:r w:rsidRPr="00D23DE5">
              <w:rPr>
                <w:rFonts w:ascii="Times New Roman" w:eastAsia="Times New Roman" w:hAnsi="Times New Roman" w:cs="Times New Roman"/>
                <w:color w:val="1F1F1F"/>
                <w:sz w:val="28"/>
                <w:szCs w:val="28"/>
                <w:rtl/>
              </w:rPr>
              <w:t>الحوسبي</w:t>
            </w:r>
            <w:proofErr w:type="spellEnd"/>
            <w:r w:rsidRPr="00D23DE5">
              <w:rPr>
                <w:rFonts w:ascii="Times New Roman" w:eastAsia="Times New Roman" w:hAnsi="Times New Roman" w:cs="Times New Roman"/>
                <w:color w:val="1F1F1F"/>
                <w:sz w:val="28"/>
                <w:szCs w:val="28"/>
                <w:rtl/>
              </w:rPr>
              <w:t xml:space="preserve"> المسؤول</w:t>
            </w:r>
          </w:p>
        </w:tc>
        <w:tc>
          <w:tcPr>
            <w:tcW w:w="2832" w:type="dxa"/>
            <w:hideMark/>
          </w:tcPr>
          <w:p w14:paraId="68701739" w14:textId="77777777" w:rsidR="008574AD" w:rsidRPr="008574AD" w:rsidRDefault="008574AD" w:rsidP="00D23DE5">
            <w:pPr>
              <w:bidi w:val="0"/>
              <w:rPr>
                <w:rFonts w:ascii="Times New Roman" w:eastAsia="Times New Roman" w:hAnsi="Times New Roman" w:cs="Times New Roman"/>
                <w:color w:val="1F1F1F"/>
                <w:sz w:val="28"/>
                <w:szCs w:val="28"/>
                <w:rtl/>
              </w:rPr>
            </w:pPr>
            <w:proofErr w:type="spellStart"/>
            <w:r w:rsidRPr="008574AD">
              <w:rPr>
                <w:rFonts w:ascii="Times New Roman" w:eastAsia="Times New Roman" w:hAnsi="Times New Roman" w:cs="Times New Roman"/>
                <w:color w:val="1F1F1F"/>
                <w:sz w:val="28"/>
                <w:szCs w:val="28"/>
                <w:bdr w:val="none" w:sz="0" w:space="0" w:color="auto" w:frame="1"/>
              </w:rPr>
              <w:t>Burhany</w:t>
            </w:r>
            <w:proofErr w:type="spellEnd"/>
            <w:r w:rsidRPr="008574AD">
              <w:rPr>
                <w:rFonts w:ascii="Times New Roman" w:eastAsia="Times New Roman" w:hAnsi="Times New Roman" w:cs="Times New Roman"/>
                <w:color w:val="1F1F1F"/>
                <w:sz w:val="28"/>
                <w:szCs w:val="28"/>
                <w:bdr w:val="none" w:sz="0" w:space="0" w:color="auto" w:frame="1"/>
              </w:rPr>
              <w:t xml:space="preserve"> et al. (2026); Handler et al. (2024); Jahanbakhsh</w:t>
            </w:r>
            <w:r w:rsidRPr="008574AD">
              <w:rPr>
                <w:rFonts w:ascii="Times New Roman" w:eastAsia="Times New Roman" w:hAnsi="Times New Roman" w:cs="Times New Roman"/>
                <w:color w:val="1F1F1F"/>
                <w:sz w:val="28"/>
                <w:szCs w:val="28"/>
                <w:bdr w:val="none" w:sz="0" w:space="0" w:color="auto" w:frame="1"/>
                <w:rtl/>
              </w:rPr>
              <w:t xml:space="preserve"> (2025)</w:t>
            </w:r>
          </w:p>
        </w:tc>
      </w:tr>
      <w:tr w:rsidR="008574AD" w:rsidRPr="008574AD" w14:paraId="4241A6D2" w14:textId="77777777" w:rsidTr="00D23DE5">
        <w:tc>
          <w:tcPr>
            <w:tcW w:w="0" w:type="auto"/>
            <w:hideMark/>
          </w:tcPr>
          <w:p w14:paraId="0C1A88BD"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الرشاقة الاستراتيجية</w:t>
            </w:r>
          </w:p>
        </w:tc>
        <w:tc>
          <w:tcPr>
            <w:tcW w:w="0" w:type="auto"/>
            <w:hideMark/>
          </w:tcPr>
          <w:p w14:paraId="70FC64FE" w14:textId="77777777" w:rsidR="008574AD" w:rsidRPr="008574AD" w:rsidRDefault="008574AD" w:rsidP="00D23DE5">
            <w:pPr>
              <w:rPr>
                <w:rFonts w:ascii="Times New Roman" w:eastAsia="Times New Roman" w:hAnsi="Times New Roman" w:cs="Times New Roman"/>
                <w:b/>
                <w:bCs/>
                <w:color w:val="1F1F1F"/>
                <w:sz w:val="28"/>
                <w:szCs w:val="28"/>
                <w:rtl/>
              </w:rPr>
            </w:pPr>
            <w:r w:rsidRPr="008574AD">
              <w:rPr>
                <w:rFonts w:ascii="Times New Roman" w:eastAsia="Times New Roman" w:hAnsi="Times New Roman" w:cs="Times New Roman"/>
                <w:b/>
                <w:bCs/>
                <w:color w:val="1F1F1F"/>
                <w:sz w:val="28"/>
                <w:szCs w:val="28"/>
                <w:bdr w:val="none" w:sz="0" w:space="0" w:color="auto" w:frame="1"/>
                <w:rtl/>
              </w:rPr>
              <w:t xml:space="preserve">تابع </w:t>
            </w:r>
          </w:p>
        </w:tc>
        <w:tc>
          <w:tcPr>
            <w:tcW w:w="3218" w:type="dxa"/>
            <w:hideMark/>
          </w:tcPr>
          <w:p w14:paraId="1DBB562B"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الاستشعار الاستراتيجي</w:t>
            </w:r>
          </w:p>
          <w:p w14:paraId="36E566B2"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سرعة الاستجابة واتخاذ القرار</w:t>
            </w:r>
          </w:p>
          <w:p w14:paraId="19A1818D"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سيلان ومرونة الموارد</w:t>
            </w:r>
          </w:p>
          <w:p w14:paraId="63F3AB41" w14:textId="77777777" w:rsidR="008574AD" w:rsidRPr="00D23DE5" w:rsidRDefault="008574AD" w:rsidP="00D23DE5">
            <w:pPr>
              <w:spacing w:line="276" w:lineRule="auto"/>
              <w:jc w:val="both"/>
              <w:rPr>
                <w:rFonts w:ascii="Times New Roman" w:eastAsia="Times New Roman" w:hAnsi="Times New Roman" w:cs="Times New Roman"/>
                <w:color w:val="1F1F1F"/>
                <w:sz w:val="28"/>
                <w:szCs w:val="28"/>
                <w:rtl/>
              </w:rPr>
            </w:pPr>
            <w:r w:rsidRPr="00D23DE5">
              <w:rPr>
                <w:rFonts w:ascii="Times New Roman" w:eastAsia="Times New Roman" w:hAnsi="Times New Roman" w:cs="Times New Roman"/>
                <w:color w:val="1F1F1F"/>
                <w:sz w:val="28"/>
                <w:szCs w:val="28"/>
                <w:rtl/>
              </w:rPr>
              <w:t>• التكيف وإعادة التشكيل</w:t>
            </w:r>
          </w:p>
        </w:tc>
        <w:tc>
          <w:tcPr>
            <w:tcW w:w="2832" w:type="dxa"/>
            <w:hideMark/>
          </w:tcPr>
          <w:p w14:paraId="15FDBCD3" w14:textId="77777777" w:rsidR="008574AD" w:rsidRPr="008574AD" w:rsidRDefault="008574AD" w:rsidP="00D23DE5">
            <w:pPr>
              <w:bidi w:val="0"/>
              <w:rPr>
                <w:rFonts w:ascii="Times New Roman" w:eastAsia="Times New Roman" w:hAnsi="Times New Roman" w:cs="Times New Roman"/>
                <w:color w:val="1F1F1F"/>
                <w:sz w:val="28"/>
                <w:szCs w:val="28"/>
                <w:rtl/>
              </w:rPr>
            </w:pPr>
            <w:r w:rsidRPr="008574AD">
              <w:rPr>
                <w:rFonts w:ascii="Times New Roman" w:eastAsia="Times New Roman" w:hAnsi="Times New Roman" w:cs="Times New Roman"/>
                <w:color w:val="1F1F1F"/>
                <w:sz w:val="28"/>
                <w:szCs w:val="28"/>
                <w:bdr w:val="none" w:sz="0" w:space="0" w:color="auto" w:frame="1"/>
              </w:rPr>
              <w:t>Ahmed (2025); Atienza-Barba et al. (2024); Nugroho et al. (2026); Reed</w:t>
            </w:r>
            <w:r w:rsidRPr="008574AD">
              <w:rPr>
                <w:rFonts w:ascii="Times New Roman" w:eastAsia="Times New Roman" w:hAnsi="Times New Roman" w:cs="Times New Roman"/>
                <w:color w:val="1F1F1F"/>
                <w:sz w:val="28"/>
                <w:szCs w:val="28"/>
                <w:bdr w:val="none" w:sz="0" w:space="0" w:color="auto" w:frame="1"/>
                <w:rtl/>
              </w:rPr>
              <w:t xml:space="preserve"> (2020)</w:t>
            </w:r>
          </w:p>
        </w:tc>
      </w:tr>
    </w:tbl>
    <w:p w14:paraId="6BA99AA8" w14:textId="77777777" w:rsidR="00FA1ABC" w:rsidRPr="008220F3" w:rsidRDefault="00D23DE5" w:rsidP="008220F3">
      <w:pPr>
        <w:spacing w:before="240" w:line="240" w:lineRule="auto"/>
        <w:jc w:val="both"/>
        <w:rPr>
          <w:rFonts w:ascii="Simplified Arabic" w:hAnsi="Simplified Arabic" w:cs="Simplified Arabic"/>
          <w:b/>
          <w:bCs/>
          <w:sz w:val="30"/>
          <w:szCs w:val="30"/>
          <w:lang w:bidi="ar-EG"/>
        </w:rPr>
      </w:pPr>
      <w:r w:rsidRPr="008220F3">
        <w:rPr>
          <w:rFonts w:ascii="Simplified Arabic" w:hAnsi="Simplified Arabic" w:cs="Simplified Arabic" w:hint="cs"/>
          <w:b/>
          <w:bCs/>
          <w:sz w:val="30"/>
          <w:szCs w:val="30"/>
          <w:rtl/>
        </w:rPr>
        <w:t>(6-</w:t>
      </w:r>
      <w:r w:rsidR="008220F3" w:rsidRPr="008220F3">
        <w:rPr>
          <w:rFonts w:ascii="Simplified Arabic" w:hAnsi="Simplified Arabic" w:cs="Simplified Arabic" w:hint="cs"/>
          <w:b/>
          <w:bCs/>
          <w:sz w:val="30"/>
          <w:szCs w:val="30"/>
          <w:rtl/>
        </w:rPr>
        <w:t>4</w:t>
      </w:r>
      <w:r w:rsidRPr="008220F3">
        <w:rPr>
          <w:rFonts w:ascii="Simplified Arabic" w:hAnsi="Simplified Arabic" w:cs="Simplified Arabic" w:hint="cs"/>
          <w:b/>
          <w:bCs/>
          <w:sz w:val="30"/>
          <w:szCs w:val="30"/>
          <w:rtl/>
        </w:rPr>
        <w:t xml:space="preserve">) </w:t>
      </w:r>
      <w:r w:rsidR="00FA1ABC" w:rsidRPr="008220F3">
        <w:rPr>
          <w:rFonts w:ascii="Simplified Arabic" w:hAnsi="Simplified Arabic" w:cs="Simplified Arabic"/>
          <w:b/>
          <w:bCs/>
          <w:sz w:val="30"/>
          <w:szCs w:val="30"/>
          <w:rtl/>
        </w:rPr>
        <w:t>تصميم الاستبيان</w:t>
      </w:r>
    </w:p>
    <w:p w14:paraId="649F0D19" w14:textId="77777777" w:rsidR="008574AD" w:rsidRPr="008574AD" w:rsidRDefault="008574AD" w:rsidP="00D23DE5">
      <w:pPr>
        <w:spacing w:line="240" w:lineRule="auto"/>
        <w:ind w:firstLine="720"/>
        <w:jc w:val="both"/>
        <w:rPr>
          <w:rFonts w:ascii="Simplified Arabic" w:hAnsi="Simplified Arabic" w:cs="Simplified Arabic"/>
          <w:sz w:val="28"/>
          <w:szCs w:val="28"/>
        </w:rPr>
      </w:pPr>
      <w:r w:rsidRPr="008574AD">
        <w:rPr>
          <w:rFonts w:ascii="Simplified Arabic" w:hAnsi="Simplified Arabic" w:cs="Simplified Arabic"/>
          <w:sz w:val="28"/>
          <w:szCs w:val="28"/>
          <w:rtl/>
        </w:rPr>
        <w:t>تعتمد هذه الدراسة على الاستبيان كأداة رئيسة لجمع البيانات الأولية، نظراً لكفاءته المنهجية في قياس المتغيرات الكامنة</w:t>
      </w:r>
      <w:r w:rsidRPr="008574AD">
        <w:rPr>
          <w:rFonts w:ascii="Simplified Arabic" w:hAnsi="Simplified Arabic" w:cs="Simplified Arabic"/>
          <w:sz w:val="28"/>
          <w:szCs w:val="28"/>
        </w:rPr>
        <w:t xml:space="preserve"> (Latent Variables) </w:t>
      </w:r>
      <w:r w:rsidRPr="008574AD">
        <w:rPr>
          <w:rFonts w:ascii="Simplified Arabic" w:hAnsi="Simplified Arabic" w:cs="Simplified Arabic"/>
          <w:sz w:val="28"/>
          <w:szCs w:val="28"/>
          <w:rtl/>
        </w:rPr>
        <w:t>المرتبطة بالممارسات التنظيمية والإدراكات الإدارية لدى أفراد العينة</w:t>
      </w:r>
      <w:r w:rsidR="00D23DE5">
        <w:rPr>
          <w:rFonts w:ascii="Simplified Arabic" w:hAnsi="Simplified Arabic" w:cs="Simplified Arabic" w:hint="cs"/>
          <w:sz w:val="28"/>
          <w:szCs w:val="28"/>
          <w:rtl/>
        </w:rPr>
        <w:t xml:space="preserve"> </w:t>
      </w:r>
      <w:r w:rsidRPr="008574AD">
        <w:rPr>
          <w:rFonts w:ascii="Simplified Arabic" w:hAnsi="Simplified Arabic" w:cs="Simplified Arabic"/>
          <w:sz w:val="28"/>
          <w:szCs w:val="28"/>
        </w:rPr>
        <w:t>(</w:t>
      </w:r>
      <w:proofErr w:type="spellStart"/>
      <w:r w:rsidRPr="008574AD">
        <w:rPr>
          <w:rFonts w:ascii="Simplified Arabic" w:hAnsi="Simplified Arabic" w:cs="Simplified Arabic"/>
          <w:sz w:val="28"/>
          <w:szCs w:val="28"/>
        </w:rPr>
        <w:t>Abulela</w:t>
      </w:r>
      <w:proofErr w:type="spellEnd"/>
      <w:r w:rsidRPr="008574AD">
        <w:rPr>
          <w:rFonts w:ascii="Simplified Arabic" w:hAnsi="Simplified Arabic" w:cs="Simplified Arabic"/>
          <w:sz w:val="28"/>
          <w:szCs w:val="28"/>
        </w:rPr>
        <w:t>, 2024</w:t>
      </w:r>
      <w:r w:rsidR="00D23DE5">
        <w:rPr>
          <w:rFonts w:ascii="Simplified Arabic" w:hAnsi="Simplified Arabic" w:cs="Simplified Arabic"/>
          <w:sz w:val="28"/>
          <w:szCs w:val="28"/>
        </w:rPr>
        <w:t>)</w:t>
      </w:r>
      <w:r w:rsidR="00D23DE5">
        <w:rPr>
          <w:rFonts w:ascii="Simplified Arabic" w:hAnsi="Simplified Arabic" w:cs="Simplified Arabic" w:hint="cs"/>
          <w:sz w:val="28"/>
          <w:szCs w:val="28"/>
          <w:rtl/>
          <w:lang w:bidi="ar-EG"/>
        </w:rPr>
        <w:t>.</w:t>
      </w:r>
      <w:r w:rsidRPr="008574AD">
        <w:rPr>
          <w:rFonts w:ascii="Simplified Arabic" w:hAnsi="Simplified Arabic" w:cs="Simplified Arabic"/>
          <w:sz w:val="28"/>
          <w:szCs w:val="28"/>
        </w:rPr>
        <w:t xml:space="preserve"> </w:t>
      </w:r>
      <w:r w:rsidRPr="008574AD">
        <w:rPr>
          <w:rFonts w:ascii="Simplified Arabic" w:hAnsi="Simplified Arabic" w:cs="Simplified Arabic"/>
          <w:sz w:val="28"/>
          <w:szCs w:val="28"/>
          <w:rtl/>
        </w:rPr>
        <w:t>وجرى تصميم الأداة عبر تكييف مقاييس علمية محكمة، لضمان ملاءمتها التنظيمية لسياق شركات الاستشارات الإدارية في المملكة العربية السعودية مع الحفاظ على الصدق البنيوي للمتغيرات</w:t>
      </w:r>
      <w:r w:rsidRPr="008574AD">
        <w:rPr>
          <w:rFonts w:ascii="Simplified Arabic" w:hAnsi="Simplified Arabic" w:cs="Simplified Arabic"/>
          <w:sz w:val="28"/>
          <w:szCs w:val="28"/>
        </w:rPr>
        <w:t>(Handler et al., 2024; Malik et al., 2025; Mueller</w:t>
      </w:r>
      <w:r w:rsidRPr="008574AD">
        <w:rPr>
          <w:rFonts w:ascii="Times New Roman" w:hAnsi="Times New Roman" w:cs="Times New Roman"/>
          <w:sz w:val="28"/>
          <w:szCs w:val="28"/>
        </w:rPr>
        <w:t>‐</w:t>
      </w:r>
      <w:proofErr w:type="spellStart"/>
      <w:r w:rsidR="00D23DE5">
        <w:rPr>
          <w:rFonts w:ascii="Simplified Arabic" w:hAnsi="Simplified Arabic" w:cs="Simplified Arabic"/>
          <w:sz w:val="28"/>
          <w:szCs w:val="28"/>
        </w:rPr>
        <w:t>Saegebrecht</w:t>
      </w:r>
      <w:proofErr w:type="spellEnd"/>
      <w:r w:rsidR="00D23DE5">
        <w:rPr>
          <w:rFonts w:ascii="Simplified Arabic" w:hAnsi="Simplified Arabic" w:cs="Simplified Arabic"/>
          <w:sz w:val="28"/>
          <w:szCs w:val="28"/>
        </w:rPr>
        <w:t xml:space="preserve"> &amp; Walter, 2025)</w:t>
      </w:r>
      <w:r w:rsidR="00D23DE5">
        <w:rPr>
          <w:rFonts w:ascii="Simplified Arabic" w:hAnsi="Simplified Arabic" w:cs="Simplified Arabic" w:hint="cs"/>
          <w:sz w:val="28"/>
          <w:szCs w:val="28"/>
          <w:rtl/>
          <w:lang w:bidi="ar-EG"/>
        </w:rPr>
        <w:t xml:space="preserve">. </w:t>
      </w:r>
      <w:r w:rsidRPr="008574AD">
        <w:rPr>
          <w:rFonts w:ascii="Simplified Arabic" w:hAnsi="Simplified Arabic" w:cs="Simplified Arabic"/>
          <w:sz w:val="28"/>
          <w:szCs w:val="28"/>
          <w:rtl/>
        </w:rPr>
        <w:t>ويتكون الاستبيان في صيغته النهائية المرفقة بالملحق (أ) من أربعة أقسام رئيسة محددة</w:t>
      </w:r>
      <w:r w:rsidRPr="008574AD">
        <w:rPr>
          <w:rFonts w:ascii="Simplified Arabic" w:hAnsi="Simplified Arabic" w:cs="Simplified Arabic"/>
          <w:sz w:val="28"/>
          <w:szCs w:val="28"/>
        </w:rPr>
        <w:t>:</w:t>
      </w:r>
    </w:p>
    <w:p w14:paraId="44C671D7" w14:textId="77777777" w:rsidR="008574AD" w:rsidRPr="008574AD" w:rsidRDefault="008574AD" w:rsidP="009D7AA8">
      <w:pPr>
        <w:numPr>
          <w:ilvl w:val="0"/>
          <w:numId w:val="5"/>
        </w:numPr>
        <w:spacing w:after="0" w:line="240" w:lineRule="auto"/>
        <w:jc w:val="both"/>
        <w:rPr>
          <w:rFonts w:ascii="Simplified Arabic" w:hAnsi="Simplified Arabic" w:cs="Simplified Arabic"/>
          <w:sz w:val="28"/>
          <w:szCs w:val="28"/>
        </w:rPr>
      </w:pPr>
      <w:r w:rsidRPr="008574AD">
        <w:rPr>
          <w:rFonts w:ascii="Simplified Arabic" w:hAnsi="Simplified Arabic" w:cs="Simplified Arabic"/>
          <w:sz w:val="28"/>
          <w:szCs w:val="28"/>
          <w:rtl/>
        </w:rPr>
        <w:t>البيانات الديموغرافية والعامة للمشاركين</w:t>
      </w:r>
      <w:r w:rsidRPr="008574AD">
        <w:rPr>
          <w:rFonts w:ascii="Simplified Arabic" w:hAnsi="Simplified Arabic" w:cs="Simplified Arabic"/>
          <w:sz w:val="28"/>
          <w:szCs w:val="28"/>
        </w:rPr>
        <w:t>.</w:t>
      </w:r>
    </w:p>
    <w:p w14:paraId="0C0A2551" w14:textId="77777777" w:rsidR="008574AD" w:rsidRPr="008574AD" w:rsidRDefault="008574AD" w:rsidP="009D7AA8">
      <w:pPr>
        <w:numPr>
          <w:ilvl w:val="0"/>
          <w:numId w:val="5"/>
        </w:numPr>
        <w:spacing w:after="0" w:line="240" w:lineRule="auto"/>
        <w:jc w:val="both"/>
        <w:rPr>
          <w:rFonts w:ascii="Simplified Arabic" w:hAnsi="Simplified Arabic" w:cs="Simplified Arabic"/>
          <w:sz w:val="28"/>
          <w:szCs w:val="28"/>
        </w:rPr>
      </w:pPr>
      <w:r w:rsidRPr="008574AD">
        <w:rPr>
          <w:rFonts w:ascii="Simplified Arabic" w:hAnsi="Simplified Arabic" w:cs="Simplified Arabic"/>
          <w:sz w:val="28"/>
          <w:szCs w:val="28"/>
          <w:rtl/>
        </w:rPr>
        <w:t>المحاور والعبارات الخاصة بقياس حوكمة المعلومات</w:t>
      </w:r>
      <w:r w:rsidRPr="008574AD">
        <w:rPr>
          <w:rFonts w:ascii="Simplified Arabic" w:hAnsi="Simplified Arabic" w:cs="Simplified Arabic"/>
          <w:sz w:val="28"/>
          <w:szCs w:val="28"/>
        </w:rPr>
        <w:t>.</w:t>
      </w:r>
    </w:p>
    <w:p w14:paraId="7C465097" w14:textId="77777777" w:rsidR="008574AD" w:rsidRPr="008574AD" w:rsidRDefault="008574AD" w:rsidP="009D7AA8">
      <w:pPr>
        <w:numPr>
          <w:ilvl w:val="0"/>
          <w:numId w:val="5"/>
        </w:numPr>
        <w:spacing w:after="0" w:line="240" w:lineRule="auto"/>
        <w:jc w:val="both"/>
        <w:rPr>
          <w:rFonts w:ascii="Simplified Arabic" w:hAnsi="Simplified Arabic" w:cs="Simplified Arabic"/>
          <w:sz w:val="28"/>
          <w:szCs w:val="28"/>
        </w:rPr>
      </w:pPr>
      <w:r w:rsidRPr="008574AD">
        <w:rPr>
          <w:rFonts w:ascii="Simplified Arabic" w:hAnsi="Simplified Arabic" w:cs="Simplified Arabic"/>
          <w:sz w:val="28"/>
          <w:szCs w:val="28"/>
          <w:rtl/>
        </w:rPr>
        <w:t>المحاور والعبارات الخاصة بقياس توظيف نماذج اللغة الضخمة</w:t>
      </w:r>
      <w:r w:rsidRPr="008574AD">
        <w:rPr>
          <w:rFonts w:ascii="Simplified Arabic" w:hAnsi="Simplified Arabic" w:cs="Simplified Arabic"/>
          <w:sz w:val="28"/>
          <w:szCs w:val="28"/>
        </w:rPr>
        <w:t>.</w:t>
      </w:r>
    </w:p>
    <w:p w14:paraId="308EAB97" w14:textId="77777777" w:rsidR="008574AD" w:rsidRPr="008574AD" w:rsidRDefault="008574AD" w:rsidP="009D7AA8">
      <w:pPr>
        <w:numPr>
          <w:ilvl w:val="0"/>
          <w:numId w:val="5"/>
        </w:numPr>
        <w:spacing w:after="0" w:line="240" w:lineRule="auto"/>
        <w:jc w:val="both"/>
        <w:rPr>
          <w:rFonts w:ascii="Simplified Arabic" w:hAnsi="Simplified Arabic" w:cs="Simplified Arabic"/>
          <w:sz w:val="28"/>
          <w:szCs w:val="28"/>
        </w:rPr>
      </w:pPr>
      <w:r w:rsidRPr="008574AD">
        <w:rPr>
          <w:rFonts w:ascii="Simplified Arabic" w:hAnsi="Simplified Arabic" w:cs="Simplified Arabic"/>
          <w:sz w:val="28"/>
          <w:szCs w:val="28"/>
          <w:rtl/>
        </w:rPr>
        <w:t>المحاور والعبارات الخاصة بقياس الرشاقة الاستراتيجية</w:t>
      </w:r>
      <w:r w:rsidRPr="008574AD">
        <w:rPr>
          <w:rFonts w:ascii="Simplified Arabic" w:hAnsi="Simplified Arabic" w:cs="Simplified Arabic"/>
          <w:sz w:val="28"/>
          <w:szCs w:val="28"/>
        </w:rPr>
        <w:t>.</w:t>
      </w:r>
    </w:p>
    <w:p w14:paraId="6C5987B6" w14:textId="77777777" w:rsidR="008574AD" w:rsidRPr="008574AD" w:rsidRDefault="008574AD" w:rsidP="00D23DE5">
      <w:pPr>
        <w:spacing w:line="240" w:lineRule="auto"/>
        <w:ind w:firstLine="720"/>
        <w:jc w:val="both"/>
        <w:rPr>
          <w:rFonts w:ascii="Simplified Arabic" w:hAnsi="Simplified Arabic" w:cs="Simplified Arabic"/>
          <w:sz w:val="28"/>
          <w:szCs w:val="28"/>
        </w:rPr>
      </w:pPr>
      <w:r w:rsidRPr="008574AD">
        <w:rPr>
          <w:rFonts w:ascii="Simplified Arabic" w:hAnsi="Simplified Arabic" w:cs="Simplified Arabic"/>
          <w:sz w:val="28"/>
          <w:szCs w:val="28"/>
          <w:rtl/>
        </w:rPr>
        <w:lastRenderedPageBreak/>
        <w:t xml:space="preserve">تُقاس عبارات الاستبيان كافة بالاعتماد على مقياس </w:t>
      </w:r>
      <w:proofErr w:type="spellStart"/>
      <w:r w:rsidRPr="008574AD">
        <w:rPr>
          <w:rFonts w:ascii="Simplified Arabic" w:hAnsi="Simplified Arabic" w:cs="Simplified Arabic"/>
          <w:sz w:val="28"/>
          <w:szCs w:val="28"/>
          <w:rtl/>
        </w:rPr>
        <w:t>ليكرت</w:t>
      </w:r>
      <w:proofErr w:type="spellEnd"/>
      <w:r w:rsidRPr="008574AD">
        <w:rPr>
          <w:rFonts w:ascii="Simplified Arabic" w:hAnsi="Simplified Arabic" w:cs="Simplified Arabic"/>
          <w:sz w:val="28"/>
          <w:szCs w:val="28"/>
          <w:rtl/>
        </w:rPr>
        <w:t xml:space="preserve"> الخماسي المتدرج (خمس درجات: من 1 وتساوي غير موافق بشدة، إلى 5 وتساوي موافق بشدة) لتحديد اتجاهات أفراد عينة الدراسة نحو الأبعاد المقاسة. ويحقق الاعتماد على خمس فئات استجابة توازناً إحصائياً بين سهولة استجابة الممارسين ودقة التباين المستخلص للبيانات، مما يدعم شروط الصدق والثبات وملاءمة الهيكل العام للبيانات لمتطلبات التحليل الإحصائي المتقدم باستخدام نمذجة المعادلات الهيكلية</w:t>
      </w:r>
      <w:r w:rsidRPr="008574AD">
        <w:rPr>
          <w:rFonts w:ascii="Simplified Arabic" w:hAnsi="Simplified Arabic" w:cs="Simplified Arabic"/>
          <w:sz w:val="28"/>
          <w:szCs w:val="28"/>
        </w:rPr>
        <w:t>(</w:t>
      </w:r>
      <w:proofErr w:type="spellStart"/>
      <w:r w:rsidRPr="008574AD">
        <w:rPr>
          <w:rFonts w:ascii="Simplified Arabic" w:hAnsi="Simplified Arabic" w:cs="Simplified Arabic"/>
          <w:sz w:val="28"/>
          <w:szCs w:val="28"/>
        </w:rPr>
        <w:t>Abulela</w:t>
      </w:r>
      <w:proofErr w:type="spellEnd"/>
      <w:r w:rsidRPr="008574AD">
        <w:rPr>
          <w:rFonts w:ascii="Simplified Arabic" w:hAnsi="Simplified Arabic" w:cs="Simplified Arabic"/>
          <w:sz w:val="28"/>
          <w:szCs w:val="28"/>
        </w:rPr>
        <w:t>, 2024; Hair et al., 2024; Rahmani, 2024).</w:t>
      </w:r>
    </w:p>
    <w:p w14:paraId="41B83260" w14:textId="77777777" w:rsidR="00FA1ABC" w:rsidRPr="008220F3" w:rsidRDefault="00D23DE5" w:rsidP="008220F3">
      <w:pPr>
        <w:spacing w:line="240" w:lineRule="auto"/>
        <w:jc w:val="both"/>
        <w:rPr>
          <w:rFonts w:ascii="Simplified Arabic" w:hAnsi="Simplified Arabic" w:cs="Simplified Arabic"/>
          <w:b/>
          <w:bCs/>
          <w:sz w:val="30"/>
          <w:szCs w:val="30"/>
          <w:lang w:bidi="ar-EG"/>
        </w:rPr>
      </w:pPr>
      <w:r w:rsidRPr="008220F3">
        <w:rPr>
          <w:rFonts w:ascii="Simplified Arabic" w:hAnsi="Simplified Arabic" w:cs="Simplified Arabic" w:hint="cs"/>
          <w:b/>
          <w:bCs/>
          <w:sz w:val="30"/>
          <w:szCs w:val="30"/>
          <w:rtl/>
        </w:rPr>
        <w:t>(6-</w:t>
      </w:r>
      <w:r w:rsidR="008220F3" w:rsidRPr="008220F3">
        <w:rPr>
          <w:rFonts w:ascii="Simplified Arabic" w:hAnsi="Simplified Arabic" w:cs="Simplified Arabic" w:hint="cs"/>
          <w:b/>
          <w:bCs/>
          <w:sz w:val="30"/>
          <w:szCs w:val="30"/>
          <w:rtl/>
        </w:rPr>
        <w:t>5</w:t>
      </w:r>
      <w:r w:rsidRPr="008220F3">
        <w:rPr>
          <w:rFonts w:ascii="Simplified Arabic" w:hAnsi="Simplified Arabic" w:cs="Simplified Arabic" w:hint="cs"/>
          <w:b/>
          <w:bCs/>
          <w:sz w:val="30"/>
          <w:szCs w:val="30"/>
          <w:rtl/>
        </w:rPr>
        <w:t xml:space="preserve">) </w:t>
      </w:r>
      <w:r w:rsidR="00FA1ABC" w:rsidRPr="008220F3">
        <w:rPr>
          <w:rFonts w:ascii="Simplified Arabic" w:hAnsi="Simplified Arabic" w:cs="Simplified Arabic"/>
          <w:b/>
          <w:bCs/>
          <w:sz w:val="30"/>
          <w:szCs w:val="30"/>
          <w:rtl/>
        </w:rPr>
        <w:t>الأساليب الإحصائية</w:t>
      </w:r>
    </w:p>
    <w:p w14:paraId="52715E06" w14:textId="77777777" w:rsidR="00FA1ABC" w:rsidRPr="00FA1ABC" w:rsidRDefault="00FA1ABC" w:rsidP="00D23DE5">
      <w:pPr>
        <w:spacing w:line="240" w:lineRule="auto"/>
        <w:ind w:firstLine="720"/>
        <w:jc w:val="both"/>
        <w:rPr>
          <w:rFonts w:ascii="Simplified Arabic" w:hAnsi="Simplified Arabic" w:cs="Simplified Arabic"/>
          <w:sz w:val="28"/>
          <w:szCs w:val="28"/>
        </w:rPr>
      </w:pPr>
      <w:r w:rsidRPr="00FA1ABC">
        <w:rPr>
          <w:rFonts w:ascii="Simplified Arabic" w:hAnsi="Simplified Arabic" w:cs="Simplified Arabic"/>
          <w:sz w:val="28"/>
          <w:szCs w:val="28"/>
          <w:rtl/>
        </w:rPr>
        <w:t>ستُحلل البيانات باستخدام البرامج الإحصائية المناسبة، بما يتوافق مع طبيعة متغيرات الدراسة وأهدافها. وسيبدأ التحليل بإجراء الإحصاءات الوصفية؛ لتوصيف خصائص أفراد العينة، وبيان المتوسطات الحسابية، والانحرافات المعيارية، والتكرارات، والنسب المئوية</w:t>
      </w:r>
      <w:r w:rsidRPr="00FA1ABC">
        <w:rPr>
          <w:rFonts w:ascii="Simplified Arabic" w:hAnsi="Simplified Arabic" w:cs="Simplified Arabic"/>
          <w:sz w:val="28"/>
          <w:szCs w:val="28"/>
        </w:rPr>
        <w:t>.</w:t>
      </w:r>
      <w:r w:rsidR="00D23DE5" w:rsidRPr="00FA1ABC">
        <w:rPr>
          <w:rFonts w:ascii="Simplified Arabic" w:hAnsi="Simplified Arabic" w:cs="Simplified Arabic"/>
          <w:sz w:val="28"/>
          <w:szCs w:val="28"/>
          <w:rtl/>
        </w:rPr>
        <w:t xml:space="preserve"> </w:t>
      </w:r>
      <w:r w:rsidRPr="00FA1ABC">
        <w:rPr>
          <w:rFonts w:ascii="Simplified Arabic" w:hAnsi="Simplified Arabic" w:cs="Simplified Arabic"/>
          <w:sz w:val="28"/>
          <w:szCs w:val="28"/>
          <w:rtl/>
        </w:rPr>
        <w:t xml:space="preserve">وفي مرحلة تقييم نموذج القياس، سيتم اختبار ثبات وصدق المقاييس باستخدام معامل ألفا </w:t>
      </w:r>
      <w:proofErr w:type="spellStart"/>
      <w:r w:rsidRPr="00FA1ABC">
        <w:rPr>
          <w:rFonts w:ascii="Simplified Arabic" w:hAnsi="Simplified Arabic" w:cs="Simplified Arabic"/>
          <w:sz w:val="28"/>
          <w:szCs w:val="28"/>
          <w:rtl/>
        </w:rPr>
        <w:t>كرونباخ</w:t>
      </w:r>
      <w:proofErr w:type="spellEnd"/>
      <w:r w:rsidRPr="00FA1ABC">
        <w:rPr>
          <w:rFonts w:ascii="Simplified Arabic" w:hAnsi="Simplified Arabic" w:cs="Simplified Arabic"/>
          <w:sz w:val="28"/>
          <w:szCs w:val="28"/>
          <w:rtl/>
        </w:rPr>
        <w:t>، والثبات المركب</w:t>
      </w:r>
      <w:r w:rsidRPr="00FA1ABC">
        <w:rPr>
          <w:rFonts w:ascii="Simplified Arabic" w:hAnsi="Simplified Arabic" w:cs="Simplified Arabic"/>
          <w:sz w:val="28"/>
          <w:szCs w:val="28"/>
        </w:rPr>
        <w:t xml:space="preserve"> (CR)</w:t>
      </w:r>
      <w:r w:rsidRPr="00FA1ABC">
        <w:rPr>
          <w:rFonts w:ascii="Simplified Arabic" w:hAnsi="Simplified Arabic" w:cs="Simplified Arabic"/>
          <w:sz w:val="28"/>
          <w:szCs w:val="28"/>
          <w:rtl/>
        </w:rPr>
        <w:t>، ومتوسط التباين المستخرج</w:t>
      </w:r>
      <w:r w:rsidRPr="00FA1ABC">
        <w:rPr>
          <w:rFonts w:ascii="Simplified Arabic" w:hAnsi="Simplified Arabic" w:cs="Simplified Arabic"/>
          <w:sz w:val="28"/>
          <w:szCs w:val="28"/>
        </w:rPr>
        <w:t xml:space="preserve"> (AVE)</w:t>
      </w:r>
      <w:r w:rsidRPr="00FA1ABC">
        <w:rPr>
          <w:rFonts w:ascii="Simplified Arabic" w:hAnsi="Simplified Arabic" w:cs="Simplified Arabic"/>
          <w:sz w:val="28"/>
          <w:szCs w:val="28"/>
          <w:rtl/>
        </w:rPr>
        <w:t>، ومعيار</w:t>
      </w:r>
      <w:r w:rsidRPr="00FA1ABC">
        <w:rPr>
          <w:rFonts w:ascii="Simplified Arabic" w:hAnsi="Simplified Arabic" w:cs="Simplified Arabic"/>
          <w:sz w:val="28"/>
          <w:szCs w:val="28"/>
        </w:rPr>
        <w:t xml:space="preserve"> (HTMT)</w:t>
      </w:r>
      <w:r w:rsidRPr="00FA1ABC">
        <w:rPr>
          <w:rFonts w:ascii="Simplified Arabic" w:hAnsi="Simplified Arabic" w:cs="Simplified Arabic"/>
          <w:sz w:val="28"/>
          <w:szCs w:val="28"/>
          <w:rtl/>
        </w:rPr>
        <w:t>، للتحقق من ملاءمة المقاييس المستخدمة لقياس المتغيرات الكامنة</w:t>
      </w:r>
      <w:r w:rsidRPr="00FA1ABC">
        <w:rPr>
          <w:rFonts w:ascii="Simplified Arabic" w:hAnsi="Simplified Arabic" w:cs="Simplified Arabic"/>
          <w:sz w:val="28"/>
          <w:szCs w:val="28"/>
        </w:rPr>
        <w:t>.</w:t>
      </w:r>
    </w:p>
    <w:p w14:paraId="6230DB27" w14:textId="77777777" w:rsidR="00FA1ABC" w:rsidRPr="00FA1ABC" w:rsidRDefault="00FA1ABC" w:rsidP="00D23DE5">
      <w:pPr>
        <w:spacing w:line="240" w:lineRule="auto"/>
        <w:ind w:firstLine="720"/>
        <w:jc w:val="both"/>
        <w:rPr>
          <w:rFonts w:ascii="Simplified Arabic" w:hAnsi="Simplified Arabic" w:cs="Simplified Arabic"/>
          <w:sz w:val="28"/>
          <w:szCs w:val="28"/>
        </w:rPr>
      </w:pPr>
      <w:r w:rsidRPr="00FA1ABC">
        <w:rPr>
          <w:rFonts w:ascii="Simplified Arabic" w:hAnsi="Simplified Arabic" w:cs="Simplified Arabic"/>
          <w:sz w:val="28"/>
          <w:szCs w:val="28"/>
          <w:rtl/>
        </w:rPr>
        <w:t xml:space="preserve">أما لاختبار فروض الدراسة، فسيُستخدم أسلوب </w:t>
      </w:r>
      <w:r w:rsidRPr="00D23DE5">
        <w:rPr>
          <w:rFonts w:ascii="Simplified Arabic" w:hAnsi="Simplified Arabic" w:cs="Simplified Arabic"/>
          <w:sz w:val="28"/>
          <w:szCs w:val="28"/>
          <w:rtl/>
        </w:rPr>
        <w:t>نمذجة المعادلات الهيكلية</w:t>
      </w:r>
      <w:r w:rsidRPr="00D23DE5">
        <w:rPr>
          <w:rFonts w:ascii="Simplified Arabic" w:hAnsi="Simplified Arabic" w:cs="Simplified Arabic"/>
          <w:sz w:val="28"/>
          <w:szCs w:val="28"/>
        </w:rPr>
        <w:t xml:space="preserve"> (Structural Equation Modeling: SEM)</w:t>
      </w:r>
      <w:r w:rsidRPr="00FA1ABC">
        <w:rPr>
          <w:rFonts w:ascii="Simplified Arabic" w:hAnsi="Simplified Arabic" w:cs="Simplified Arabic"/>
          <w:sz w:val="28"/>
          <w:szCs w:val="28"/>
          <w:rtl/>
        </w:rPr>
        <w:t>، لما يتميز به من قدرة على تحليل العلاقات المتزامنة بين المتغيرات الكامنة واختبار التأثيرات المباشرة وغير المباشرة في إطار نموذج واحد. كما سيُستخدم تحليل الوساطة لاختبار الدور الوسيط لتوظيف نماذج اللغة الضخمة في العلاقة بين حوكمة المعلومات والرشاقة الاستراتيجية، مع تقييم جودة النموذج استنادًا إلى مؤشرات المطابقة ومعاملات التفسير وحجوم التأثير، وفقًا للإجراءات المنهجية المعتمدة في الأدبيات الحديثة</w:t>
      </w:r>
      <w:r w:rsidRPr="00FA1ABC">
        <w:rPr>
          <w:rFonts w:ascii="Simplified Arabic" w:hAnsi="Simplified Arabic" w:cs="Simplified Arabic"/>
          <w:sz w:val="28"/>
          <w:szCs w:val="28"/>
        </w:rPr>
        <w:t xml:space="preserve"> (Hair et al., 2022; Hayes, 2022; Kline, 2023).</w:t>
      </w:r>
    </w:p>
    <w:p w14:paraId="0754523F" w14:textId="77777777" w:rsidR="00FA1ABC" w:rsidRPr="008220F3" w:rsidRDefault="00D23DE5" w:rsidP="008220F3">
      <w:pPr>
        <w:spacing w:line="240" w:lineRule="auto"/>
        <w:jc w:val="both"/>
        <w:rPr>
          <w:rFonts w:ascii="Simplified Arabic" w:hAnsi="Simplified Arabic" w:cs="Simplified Arabic"/>
          <w:b/>
          <w:bCs/>
          <w:sz w:val="30"/>
          <w:szCs w:val="30"/>
        </w:rPr>
      </w:pPr>
      <w:r w:rsidRPr="008220F3">
        <w:rPr>
          <w:rFonts w:ascii="Simplified Arabic" w:hAnsi="Simplified Arabic" w:cs="Simplified Arabic" w:hint="cs"/>
          <w:b/>
          <w:bCs/>
          <w:sz w:val="30"/>
          <w:szCs w:val="30"/>
          <w:rtl/>
        </w:rPr>
        <w:t>(6-</w:t>
      </w:r>
      <w:r w:rsidR="008220F3" w:rsidRPr="008220F3">
        <w:rPr>
          <w:rFonts w:ascii="Simplified Arabic" w:hAnsi="Simplified Arabic" w:cs="Simplified Arabic" w:hint="cs"/>
          <w:b/>
          <w:bCs/>
          <w:sz w:val="30"/>
          <w:szCs w:val="30"/>
          <w:rtl/>
        </w:rPr>
        <w:t>6</w:t>
      </w:r>
      <w:r w:rsidRPr="008220F3">
        <w:rPr>
          <w:rFonts w:ascii="Simplified Arabic" w:hAnsi="Simplified Arabic" w:cs="Simplified Arabic" w:hint="cs"/>
          <w:b/>
          <w:bCs/>
          <w:sz w:val="30"/>
          <w:szCs w:val="30"/>
          <w:rtl/>
        </w:rPr>
        <w:t xml:space="preserve">) </w:t>
      </w:r>
      <w:r w:rsidR="00FA1ABC" w:rsidRPr="008220F3">
        <w:rPr>
          <w:rFonts w:ascii="Simplified Arabic" w:hAnsi="Simplified Arabic" w:cs="Simplified Arabic"/>
          <w:b/>
          <w:bCs/>
          <w:sz w:val="30"/>
          <w:szCs w:val="30"/>
          <w:rtl/>
        </w:rPr>
        <w:t>الاعتبارات الأخلاقية للدراسة</w:t>
      </w:r>
    </w:p>
    <w:p w14:paraId="48E3DDA7" w14:textId="77777777" w:rsidR="00FA1ABC" w:rsidRPr="00FA1ABC" w:rsidRDefault="00FA1ABC" w:rsidP="00D23DE5">
      <w:pPr>
        <w:spacing w:line="240" w:lineRule="auto"/>
        <w:ind w:firstLine="720"/>
        <w:jc w:val="both"/>
        <w:rPr>
          <w:rFonts w:ascii="Simplified Arabic" w:hAnsi="Simplified Arabic" w:cs="Simplified Arabic"/>
          <w:sz w:val="28"/>
          <w:szCs w:val="28"/>
        </w:rPr>
      </w:pPr>
      <w:r w:rsidRPr="00FA1ABC">
        <w:rPr>
          <w:rFonts w:ascii="Simplified Arabic" w:hAnsi="Simplified Arabic" w:cs="Simplified Arabic"/>
          <w:sz w:val="28"/>
          <w:szCs w:val="28"/>
          <w:rtl/>
        </w:rPr>
        <w:t>تلتزم الدراسة بالمبادئ الأخلاقية المنظمة للبحوث العلمية في جميع مراحلها، حيث ستُجمع البيانات بعد إبلاغ المشاركين بأهداف الدراسة وطبيعة مشاركتهم، مع التأكيد على أن المشاركة اختيارية، وأن للمشارك الحق في الامتناع عن المشاركة أو الانسحاب في أي وقت دون أي تبعات</w:t>
      </w:r>
      <w:r w:rsidRPr="00FA1ABC">
        <w:rPr>
          <w:rFonts w:ascii="Simplified Arabic" w:hAnsi="Simplified Arabic" w:cs="Simplified Arabic"/>
          <w:sz w:val="28"/>
          <w:szCs w:val="28"/>
        </w:rPr>
        <w:t>.</w:t>
      </w:r>
    </w:p>
    <w:p w14:paraId="68BB344B" w14:textId="77777777" w:rsidR="008220F3" w:rsidRDefault="00FA1ABC" w:rsidP="008220F3">
      <w:pPr>
        <w:spacing w:line="240" w:lineRule="auto"/>
        <w:jc w:val="both"/>
        <w:rPr>
          <w:rFonts w:ascii="Simplified Arabic" w:hAnsi="Simplified Arabic" w:cs="Simplified Arabic"/>
          <w:sz w:val="28"/>
          <w:szCs w:val="28"/>
        </w:rPr>
      </w:pPr>
      <w:r w:rsidRPr="00FA1ABC">
        <w:rPr>
          <w:rFonts w:ascii="Simplified Arabic" w:hAnsi="Simplified Arabic" w:cs="Simplified Arabic"/>
          <w:sz w:val="28"/>
          <w:szCs w:val="28"/>
          <w:rtl/>
        </w:rPr>
        <w:lastRenderedPageBreak/>
        <w:t>كما يلتزم الباحث بالحفاظ على سرية البيانات وعدم استخدامها إلا لأغراض البحث العلمي، مع عرض النتائج في صورة إجمالية دون الإفصاح عن أية بيانات يمكن أن تؤدي إلى التعرف على هوية المشاركين أو الجهات التي يعملون بها، وذلك بما يتوافق مع المبادئ الأخلاقية للبحث العلمي والمعايير الدولية للنزاهة البحثية</w:t>
      </w:r>
      <w:r w:rsidR="008220F3">
        <w:rPr>
          <w:rFonts w:ascii="Simplified Arabic" w:hAnsi="Simplified Arabic" w:cs="Simplified Arabic"/>
          <w:sz w:val="28"/>
          <w:szCs w:val="28"/>
        </w:rPr>
        <w:t>.</w:t>
      </w:r>
    </w:p>
    <w:p w14:paraId="70D21F46" w14:textId="77777777" w:rsidR="00FA1ABC" w:rsidRPr="008220F3" w:rsidRDefault="00D23DE5" w:rsidP="008220F3">
      <w:pPr>
        <w:spacing w:line="240" w:lineRule="auto"/>
        <w:jc w:val="both"/>
        <w:rPr>
          <w:rFonts w:ascii="Simplified Arabic" w:hAnsi="Simplified Arabic" w:cs="Simplified Arabic"/>
          <w:sz w:val="28"/>
          <w:szCs w:val="28"/>
        </w:rPr>
      </w:pPr>
      <w:r w:rsidRPr="008220F3">
        <w:rPr>
          <w:rFonts w:ascii="Simplified Arabic" w:hAnsi="Simplified Arabic" w:cs="Simplified Arabic" w:hint="cs"/>
          <w:b/>
          <w:bCs/>
          <w:sz w:val="32"/>
          <w:szCs w:val="32"/>
          <w:rtl/>
        </w:rPr>
        <w:t xml:space="preserve">(7) </w:t>
      </w:r>
      <w:r w:rsidR="00FA1ABC" w:rsidRPr="008220F3">
        <w:rPr>
          <w:rFonts w:ascii="Simplified Arabic" w:hAnsi="Simplified Arabic" w:cs="Simplified Arabic"/>
          <w:b/>
          <w:bCs/>
          <w:sz w:val="32"/>
          <w:szCs w:val="32"/>
          <w:rtl/>
        </w:rPr>
        <w:t>حدود الدراسة</w:t>
      </w:r>
    </w:p>
    <w:p w14:paraId="4806AE33" w14:textId="77777777" w:rsidR="00FA1ABC" w:rsidRPr="00FA1ABC" w:rsidRDefault="00FA1ABC" w:rsidP="00D23DE5">
      <w:pPr>
        <w:spacing w:line="240" w:lineRule="auto"/>
        <w:ind w:firstLine="720"/>
        <w:jc w:val="both"/>
        <w:rPr>
          <w:rFonts w:ascii="Simplified Arabic" w:hAnsi="Simplified Arabic" w:cs="Simplified Arabic"/>
          <w:sz w:val="28"/>
          <w:szCs w:val="28"/>
        </w:rPr>
      </w:pPr>
      <w:r w:rsidRPr="00FA1ABC">
        <w:rPr>
          <w:rFonts w:ascii="Simplified Arabic" w:hAnsi="Simplified Arabic" w:cs="Simplified Arabic"/>
          <w:sz w:val="28"/>
          <w:szCs w:val="28"/>
          <w:rtl/>
        </w:rPr>
        <w:t>تتحدد نتائج الدراسة في ضوء مجموعة من الحدود التي تشكل الإطار الذي تُفسر في نطاقه النتائج، ويمكن عرضها على النحو الآتي</w:t>
      </w:r>
      <w:r w:rsidRPr="00FA1ABC">
        <w:rPr>
          <w:rFonts w:ascii="Simplified Arabic" w:hAnsi="Simplified Arabic" w:cs="Simplified Arabic"/>
          <w:sz w:val="28"/>
          <w:szCs w:val="28"/>
        </w:rPr>
        <w:t>:</w:t>
      </w:r>
    </w:p>
    <w:p w14:paraId="4355B86A" w14:textId="77777777" w:rsidR="00FA1ABC" w:rsidRPr="00D23DE5" w:rsidRDefault="00FA1ABC" w:rsidP="009D7AA8">
      <w:pPr>
        <w:pStyle w:val="ListParagraph"/>
        <w:numPr>
          <w:ilvl w:val="0"/>
          <w:numId w:val="6"/>
        </w:numPr>
        <w:spacing w:after="0" w:line="240" w:lineRule="auto"/>
        <w:jc w:val="both"/>
        <w:rPr>
          <w:rFonts w:ascii="Simplified Arabic" w:hAnsi="Simplified Arabic" w:cs="Simplified Arabic"/>
          <w:sz w:val="28"/>
          <w:szCs w:val="28"/>
        </w:rPr>
      </w:pPr>
      <w:r w:rsidRPr="00D23DE5">
        <w:rPr>
          <w:rFonts w:ascii="Simplified Arabic" w:hAnsi="Simplified Arabic" w:cs="Simplified Arabic"/>
          <w:b/>
          <w:bCs/>
          <w:sz w:val="28"/>
          <w:szCs w:val="28"/>
          <w:rtl/>
        </w:rPr>
        <w:t>الحدود الموضوعية</w:t>
      </w:r>
      <w:r w:rsidR="00D23DE5" w:rsidRPr="00D23DE5">
        <w:rPr>
          <w:rFonts w:ascii="Simplified Arabic" w:hAnsi="Simplified Arabic" w:cs="Simplified Arabic"/>
          <w:b/>
          <w:bCs/>
          <w:sz w:val="28"/>
          <w:szCs w:val="28"/>
        </w:rPr>
        <w:t xml:space="preserve"> </w:t>
      </w:r>
      <w:r w:rsidRPr="00D23DE5">
        <w:rPr>
          <w:rFonts w:ascii="Simplified Arabic" w:hAnsi="Simplified Arabic" w:cs="Simplified Arabic"/>
          <w:b/>
          <w:bCs/>
          <w:sz w:val="28"/>
          <w:szCs w:val="28"/>
        </w:rPr>
        <w:t>:</w:t>
      </w:r>
      <w:r w:rsidRPr="00D23DE5">
        <w:rPr>
          <w:rFonts w:ascii="Simplified Arabic" w:hAnsi="Simplified Arabic" w:cs="Simplified Arabic"/>
          <w:sz w:val="28"/>
          <w:szCs w:val="28"/>
        </w:rPr>
        <w:t xml:space="preserve"> </w:t>
      </w:r>
      <w:r w:rsidRPr="00D23DE5">
        <w:rPr>
          <w:rFonts w:ascii="Simplified Arabic" w:hAnsi="Simplified Arabic" w:cs="Simplified Arabic"/>
          <w:sz w:val="28"/>
          <w:szCs w:val="28"/>
          <w:rtl/>
        </w:rPr>
        <w:t>تقتصر الدراسة على تحليل أثر حوكمة المعلومات في الرشاقة الاستراتيجية، مع اختبار الدور الوسيط لتوظيف نماذج اللغة الضخمة، من خلال الأبعاد التي اعتمدها النموذج المفاهيمي للدراسة</w:t>
      </w:r>
      <w:r w:rsidRPr="00D23DE5">
        <w:rPr>
          <w:rFonts w:ascii="Simplified Arabic" w:hAnsi="Simplified Arabic" w:cs="Simplified Arabic"/>
          <w:sz w:val="28"/>
          <w:szCs w:val="28"/>
        </w:rPr>
        <w:t>.</w:t>
      </w:r>
    </w:p>
    <w:p w14:paraId="4A9084D6" w14:textId="77777777" w:rsidR="00FA1ABC" w:rsidRPr="00D23DE5" w:rsidRDefault="00FA1ABC" w:rsidP="009D7AA8">
      <w:pPr>
        <w:pStyle w:val="ListParagraph"/>
        <w:numPr>
          <w:ilvl w:val="0"/>
          <w:numId w:val="6"/>
        </w:numPr>
        <w:spacing w:after="0" w:line="240" w:lineRule="auto"/>
        <w:jc w:val="both"/>
        <w:rPr>
          <w:rFonts w:ascii="Simplified Arabic" w:hAnsi="Simplified Arabic" w:cs="Simplified Arabic"/>
          <w:sz w:val="28"/>
          <w:szCs w:val="28"/>
        </w:rPr>
      </w:pPr>
      <w:r w:rsidRPr="00D23DE5">
        <w:rPr>
          <w:rFonts w:ascii="Simplified Arabic" w:hAnsi="Simplified Arabic" w:cs="Simplified Arabic"/>
          <w:b/>
          <w:bCs/>
          <w:sz w:val="28"/>
          <w:szCs w:val="28"/>
          <w:rtl/>
        </w:rPr>
        <w:t>الحدود المكانية</w:t>
      </w:r>
      <w:r w:rsidR="00D23DE5" w:rsidRPr="00D23DE5">
        <w:rPr>
          <w:rFonts w:ascii="Simplified Arabic" w:hAnsi="Simplified Arabic" w:cs="Simplified Arabic"/>
          <w:b/>
          <w:bCs/>
          <w:sz w:val="28"/>
          <w:szCs w:val="28"/>
        </w:rPr>
        <w:t xml:space="preserve"> </w:t>
      </w:r>
      <w:r w:rsidRPr="00D23DE5">
        <w:rPr>
          <w:rFonts w:ascii="Simplified Arabic" w:hAnsi="Simplified Arabic" w:cs="Simplified Arabic"/>
          <w:b/>
          <w:bCs/>
          <w:sz w:val="28"/>
          <w:szCs w:val="28"/>
        </w:rPr>
        <w:t>:</w:t>
      </w:r>
      <w:r w:rsidRPr="00D23DE5">
        <w:rPr>
          <w:rFonts w:ascii="Simplified Arabic" w:hAnsi="Simplified Arabic" w:cs="Simplified Arabic"/>
          <w:sz w:val="28"/>
          <w:szCs w:val="28"/>
        </w:rPr>
        <w:t xml:space="preserve"> </w:t>
      </w:r>
      <w:r w:rsidRPr="00D23DE5">
        <w:rPr>
          <w:rFonts w:ascii="Simplified Arabic" w:hAnsi="Simplified Arabic" w:cs="Simplified Arabic"/>
          <w:sz w:val="28"/>
          <w:szCs w:val="28"/>
          <w:rtl/>
        </w:rPr>
        <w:t>تقتصر الدراسة التطبيقية على شركات الاستشارة العاملة في المملكة العربية السعودية</w:t>
      </w:r>
      <w:r w:rsidRPr="00D23DE5">
        <w:rPr>
          <w:rFonts w:ascii="Simplified Arabic" w:hAnsi="Simplified Arabic" w:cs="Simplified Arabic"/>
          <w:sz w:val="28"/>
          <w:szCs w:val="28"/>
        </w:rPr>
        <w:t>.</w:t>
      </w:r>
    </w:p>
    <w:p w14:paraId="2544E6C7" w14:textId="77777777" w:rsidR="00FA1ABC" w:rsidRPr="00D23DE5" w:rsidRDefault="00FA1ABC" w:rsidP="009D7AA8">
      <w:pPr>
        <w:pStyle w:val="ListParagraph"/>
        <w:numPr>
          <w:ilvl w:val="0"/>
          <w:numId w:val="6"/>
        </w:numPr>
        <w:spacing w:after="0" w:line="240" w:lineRule="auto"/>
        <w:jc w:val="both"/>
        <w:rPr>
          <w:rFonts w:ascii="Simplified Arabic" w:hAnsi="Simplified Arabic" w:cs="Simplified Arabic"/>
          <w:sz w:val="28"/>
          <w:szCs w:val="28"/>
        </w:rPr>
      </w:pPr>
      <w:r w:rsidRPr="00D23DE5">
        <w:rPr>
          <w:rFonts w:ascii="Simplified Arabic" w:hAnsi="Simplified Arabic" w:cs="Simplified Arabic"/>
          <w:b/>
          <w:bCs/>
          <w:sz w:val="28"/>
          <w:szCs w:val="28"/>
          <w:rtl/>
        </w:rPr>
        <w:t>الحدود البشرية</w:t>
      </w:r>
      <w:r w:rsidR="00D23DE5" w:rsidRPr="00D23DE5">
        <w:rPr>
          <w:rFonts w:ascii="Simplified Arabic" w:hAnsi="Simplified Arabic" w:cs="Simplified Arabic"/>
          <w:b/>
          <w:bCs/>
          <w:sz w:val="28"/>
          <w:szCs w:val="28"/>
        </w:rPr>
        <w:t xml:space="preserve"> </w:t>
      </w:r>
      <w:r w:rsidRPr="00D23DE5">
        <w:rPr>
          <w:rFonts w:ascii="Simplified Arabic" w:hAnsi="Simplified Arabic" w:cs="Simplified Arabic"/>
          <w:b/>
          <w:bCs/>
          <w:sz w:val="28"/>
          <w:szCs w:val="28"/>
        </w:rPr>
        <w:t>:</w:t>
      </w:r>
      <w:r w:rsidRPr="00D23DE5">
        <w:rPr>
          <w:rFonts w:ascii="Simplified Arabic" w:hAnsi="Simplified Arabic" w:cs="Simplified Arabic"/>
          <w:sz w:val="28"/>
          <w:szCs w:val="28"/>
        </w:rPr>
        <w:t xml:space="preserve"> </w:t>
      </w:r>
      <w:r w:rsidRPr="00D23DE5">
        <w:rPr>
          <w:rFonts w:ascii="Simplified Arabic" w:hAnsi="Simplified Arabic" w:cs="Simplified Arabic"/>
          <w:sz w:val="28"/>
          <w:szCs w:val="28"/>
          <w:rtl/>
        </w:rPr>
        <w:t>تقتصر الدراسة على العاملين الذين ترتبط طبيعة أعمالهم بإدارة المعلومات، أو استخدام التقنيات الرقمية، أو تقديم الخدمات الاستشارية، أو المشاركة في اتخاذ القرارات داخل شركات الاستشارة</w:t>
      </w:r>
      <w:r w:rsidRPr="00D23DE5">
        <w:rPr>
          <w:rFonts w:ascii="Simplified Arabic" w:hAnsi="Simplified Arabic" w:cs="Simplified Arabic"/>
          <w:sz w:val="28"/>
          <w:szCs w:val="28"/>
        </w:rPr>
        <w:t>.</w:t>
      </w:r>
    </w:p>
    <w:p w14:paraId="5F561C62" w14:textId="77777777" w:rsidR="00FA1ABC" w:rsidRPr="00D23DE5" w:rsidRDefault="00FA1ABC" w:rsidP="009D7AA8">
      <w:pPr>
        <w:pStyle w:val="ListParagraph"/>
        <w:numPr>
          <w:ilvl w:val="0"/>
          <w:numId w:val="6"/>
        </w:numPr>
        <w:spacing w:after="0" w:line="240" w:lineRule="auto"/>
        <w:jc w:val="both"/>
        <w:rPr>
          <w:rFonts w:ascii="Simplified Arabic" w:hAnsi="Simplified Arabic" w:cs="Simplified Arabic"/>
          <w:sz w:val="28"/>
          <w:szCs w:val="28"/>
        </w:rPr>
      </w:pPr>
      <w:r w:rsidRPr="00D23DE5">
        <w:rPr>
          <w:rFonts w:ascii="Simplified Arabic" w:hAnsi="Simplified Arabic" w:cs="Simplified Arabic"/>
          <w:b/>
          <w:bCs/>
          <w:sz w:val="28"/>
          <w:szCs w:val="28"/>
          <w:rtl/>
        </w:rPr>
        <w:t>الحدود الزمنية</w:t>
      </w:r>
      <w:r w:rsidRPr="00D23DE5">
        <w:rPr>
          <w:rFonts w:ascii="Simplified Arabic" w:hAnsi="Simplified Arabic" w:cs="Simplified Arabic"/>
          <w:b/>
          <w:bCs/>
          <w:sz w:val="28"/>
          <w:szCs w:val="28"/>
        </w:rPr>
        <w:t>:</w:t>
      </w:r>
      <w:r w:rsidRPr="00D23DE5">
        <w:rPr>
          <w:rFonts w:ascii="Simplified Arabic" w:hAnsi="Simplified Arabic" w:cs="Simplified Arabic"/>
          <w:sz w:val="28"/>
          <w:szCs w:val="28"/>
        </w:rPr>
        <w:t xml:space="preserve"> </w:t>
      </w:r>
      <w:r w:rsidRPr="00D23DE5">
        <w:rPr>
          <w:rFonts w:ascii="Simplified Arabic" w:hAnsi="Simplified Arabic" w:cs="Simplified Arabic"/>
          <w:sz w:val="28"/>
          <w:szCs w:val="28"/>
          <w:rtl/>
        </w:rPr>
        <w:t>ت</w:t>
      </w:r>
      <w:r w:rsidR="00D23DE5" w:rsidRPr="00D23DE5">
        <w:rPr>
          <w:rFonts w:ascii="Simplified Arabic" w:hAnsi="Simplified Arabic" w:cs="Simplified Arabic" w:hint="cs"/>
          <w:sz w:val="28"/>
          <w:szCs w:val="28"/>
          <w:rtl/>
          <w:lang w:bidi="ar-EG"/>
        </w:rPr>
        <w:t xml:space="preserve"> </w:t>
      </w:r>
      <w:r w:rsidRPr="00D23DE5">
        <w:rPr>
          <w:rFonts w:ascii="Simplified Arabic" w:hAnsi="Simplified Arabic" w:cs="Simplified Arabic"/>
          <w:sz w:val="28"/>
          <w:szCs w:val="28"/>
          <w:rtl/>
        </w:rPr>
        <w:t>ُجرى الدراسة خلال فترة جمع البيانات الميدانية وتحليلها، وتعبر النتائج عن واقع مجتمع الدراسة خلال تلك الفترة</w:t>
      </w:r>
      <w:r w:rsidRPr="00D23DE5">
        <w:rPr>
          <w:rFonts w:ascii="Simplified Arabic" w:hAnsi="Simplified Arabic" w:cs="Simplified Arabic"/>
          <w:sz w:val="28"/>
          <w:szCs w:val="28"/>
        </w:rPr>
        <w:t>.</w:t>
      </w:r>
    </w:p>
    <w:p w14:paraId="058BCF5F" w14:textId="77777777" w:rsidR="006625AA" w:rsidRPr="008220F3" w:rsidRDefault="00D23DE5" w:rsidP="008574AD">
      <w:pPr>
        <w:spacing w:line="240" w:lineRule="auto"/>
        <w:jc w:val="both"/>
        <w:rPr>
          <w:rFonts w:ascii="Simplified Arabic" w:hAnsi="Simplified Arabic" w:cs="Simplified Arabic"/>
          <w:b/>
          <w:bCs/>
          <w:sz w:val="32"/>
          <w:szCs w:val="32"/>
          <w:lang w:bidi="ar-EG"/>
        </w:rPr>
      </w:pPr>
      <w:r w:rsidRPr="008220F3">
        <w:rPr>
          <w:rFonts w:ascii="Simplified Arabic" w:hAnsi="Simplified Arabic" w:cs="Simplified Arabic" w:hint="cs"/>
          <w:b/>
          <w:bCs/>
          <w:sz w:val="32"/>
          <w:szCs w:val="32"/>
          <w:rtl/>
        </w:rPr>
        <w:t xml:space="preserve">(8) </w:t>
      </w:r>
      <w:r w:rsidR="006625AA" w:rsidRPr="008220F3">
        <w:rPr>
          <w:rFonts w:ascii="Simplified Arabic" w:hAnsi="Simplified Arabic" w:cs="Simplified Arabic"/>
          <w:b/>
          <w:bCs/>
          <w:sz w:val="32"/>
          <w:szCs w:val="32"/>
          <w:rtl/>
        </w:rPr>
        <w:t>الخطة المقترحة للرسالة</w:t>
      </w:r>
    </w:p>
    <w:p w14:paraId="5F9F14F9" w14:textId="77777777" w:rsidR="006625AA" w:rsidRPr="00D23DE5" w:rsidRDefault="006625AA" w:rsidP="009D7AA8">
      <w:pPr>
        <w:pStyle w:val="ListParagraph"/>
        <w:numPr>
          <w:ilvl w:val="0"/>
          <w:numId w:val="7"/>
        </w:numPr>
        <w:spacing w:line="240" w:lineRule="auto"/>
        <w:jc w:val="both"/>
        <w:rPr>
          <w:rFonts w:ascii="Simplified Arabic" w:hAnsi="Simplified Arabic" w:cs="Simplified Arabic"/>
          <w:sz w:val="28"/>
          <w:szCs w:val="28"/>
          <w:lang w:bidi="ar-EG"/>
        </w:rPr>
      </w:pPr>
      <w:r w:rsidRPr="00D23DE5">
        <w:rPr>
          <w:rFonts w:ascii="Simplified Arabic" w:hAnsi="Simplified Arabic" w:cs="Simplified Arabic"/>
          <w:b/>
          <w:bCs/>
          <w:sz w:val="28"/>
          <w:szCs w:val="28"/>
          <w:rtl/>
        </w:rPr>
        <w:t>الفصل الأول</w:t>
      </w:r>
      <w:r w:rsidR="00FA1ABC" w:rsidRPr="00D23DE5">
        <w:rPr>
          <w:rFonts w:ascii="Simplified Arabic" w:hAnsi="Simplified Arabic" w:cs="Simplified Arabic"/>
          <w:b/>
          <w:bCs/>
          <w:sz w:val="28"/>
          <w:szCs w:val="28"/>
          <w:lang w:bidi="ar-EG"/>
        </w:rPr>
        <w:t xml:space="preserve"> </w:t>
      </w:r>
      <w:r w:rsidRPr="00D23DE5">
        <w:rPr>
          <w:rFonts w:ascii="Simplified Arabic" w:hAnsi="Simplified Arabic" w:cs="Simplified Arabic"/>
          <w:b/>
          <w:bCs/>
          <w:sz w:val="28"/>
          <w:szCs w:val="28"/>
          <w:lang w:bidi="ar-EG"/>
        </w:rPr>
        <w:t>:</w:t>
      </w:r>
      <w:r w:rsidRPr="00D23DE5">
        <w:rPr>
          <w:rFonts w:ascii="Simplified Arabic" w:hAnsi="Simplified Arabic" w:cs="Simplified Arabic"/>
          <w:sz w:val="28"/>
          <w:szCs w:val="28"/>
          <w:lang w:bidi="ar-EG"/>
        </w:rPr>
        <w:t xml:space="preserve"> </w:t>
      </w:r>
      <w:r w:rsidRPr="00D23DE5">
        <w:rPr>
          <w:rFonts w:ascii="Simplified Arabic" w:hAnsi="Simplified Arabic" w:cs="Simplified Arabic"/>
          <w:sz w:val="28"/>
          <w:szCs w:val="28"/>
          <w:rtl/>
        </w:rPr>
        <w:t>الإطار العام للدراسة</w:t>
      </w:r>
      <w:r w:rsidRPr="00D23DE5">
        <w:rPr>
          <w:rFonts w:ascii="Simplified Arabic" w:hAnsi="Simplified Arabic" w:cs="Simplified Arabic"/>
          <w:sz w:val="28"/>
          <w:szCs w:val="28"/>
          <w:lang w:bidi="ar-EG"/>
        </w:rPr>
        <w:t>.</w:t>
      </w:r>
    </w:p>
    <w:p w14:paraId="74F48DC3" w14:textId="77777777" w:rsidR="006625AA" w:rsidRPr="00D23DE5" w:rsidRDefault="006625AA" w:rsidP="009D7AA8">
      <w:pPr>
        <w:pStyle w:val="ListParagraph"/>
        <w:numPr>
          <w:ilvl w:val="0"/>
          <w:numId w:val="7"/>
        </w:numPr>
        <w:spacing w:line="240" w:lineRule="auto"/>
        <w:jc w:val="both"/>
        <w:rPr>
          <w:rFonts w:ascii="Simplified Arabic" w:hAnsi="Simplified Arabic" w:cs="Simplified Arabic"/>
          <w:sz w:val="28"/>
          <w:szCs w:val="28"/>
          <w:lang w:bidi="ar-EG"/>
        </w:rPr>
      </w:pPr>
      <w:r w:rsidRPr="00D23DE5">
        <w:rPr>
          <w:rFonts w:ascii="Simplified Arabic" w:hAnsi="Simplified Arabic" w:cs="Simplified Arabic"/>
          <w:b/>
          <w:bCs/>
          <w:sz w:val="28"/>
          <w:szCs w:val="28"/>
          <w:rtl/>
        </w:rPr>
        <w:t>الفصل الثاني</w:t>
      </w:r>
      <w:r w:rsidR="00FA1ABC" w:rsidRPr="00D23DE5">
        <w:rPr>
          <w:rFonts w:ascii="Simplified Arabic" w:hAnsi="Simplified Arabic" w:cs="Simplified Arabic"/>
          <w:b/>
          <w:bCs/>
          <w:sz w:val="28"/>
          <w:szCs w:val="28"/>
          <w:lang w:bidi="ar-EG"/>
        </w:rPr>
        <w:t xml:space="preserve"> </w:t>
      </w:r>
      <w:r w:rsidRPr="00D23DE5">
        <w:rPr>
          <w:rFonts w:ascii="Simplified Arabic" w:hAnsi="Simplified Arabic" w:cs="Simplified Arabic"/>
          <w:b/>
          <w:bCs/>
          <w:sz w:val="28"/>
          <w:szCs w:val="28"/>
          <w:lang w:bidi="ar-EG"/>
        </w:rPr>
        <w:t>:</w:t>
      </w:r>
      <w:r w:rsidRPr="00D23DE5">
        <w:rPr>
          <w:rFonts w:ascii="Simplified Arabic" w:hAnsi="Simplified Arabic" w:cs="Simplified Arabic"/>
          <w:sz w:val="28"/>
          <w:szCs w:val="28"/>
          <w:lang w:bidi="ar-EG"/>
        </w:rPr>
        <w:t xml:space="preserve"> </w:t>
      </w:r>
      <w:r w:rsidRPr="00D23DE5">
        <w:rPr>
          <w:rFonts w:ascii="Simplified Arabic" w:hAnsi="Simplified Arabic" w:cs="Simplified Arabic"/>
          <w:sz w:val="28"/>
          <w:szCs w:val="28"/>
          <w:rtl/>
        </w:rPr>
        <w:t>الإطار النظري وتطوير النموذج المقترح</w:t>
      </w:r>
      <w:r w:rsidRPr="00D23DE5">
        <w:rPr>
          <w:rFonts w:ascii="Simplified Arabic" w:hAnsi="Simplified Arabic" w:cs="Simplified Arabic"/>
          <w:sz w:val="28"/>
          <w:szCs w:val="28"/>
          <w:lang w:bidi="ar-EG"/>
        </w:rPr>
        <w:t>.</w:t>
      </w:r>
    </w:p>
    <w:p w14:paraId="64EF74F6" w14:textId="77777777" w:rsidR="006625AA" w:rsidRPr="00D23DE5" w:rsidRDefault="006625AA" w:rsidP="009D7AA8">
      <w:pPr>
        <w:pStyle w:val="ListParagraph"/>
        <w:numPr>
          <w:ilvl w:val="0"/>
          <w:numId w:val="7"/>
        </w:numPr>
        <w:spacing w:line="240" w:lineRule="auto"/>
        <w:jc w:val="both"/>
        <w:rPr>
          <w:rFonts w:ascii="Simplified Arabic" w:hAnsi="Simplified Arabic" w:cs="Simplified Arabic"/>
          <w:sz w:val="28"/>
          <w:szCs w:val="28"/>
          <w:lang w:bidi="ar-EG"/>
        </w:rPr>
      </w:pPr>
      <w:r w:rsidRPr="00D23DE5">
        <w:rPr>
          <w:rFonts w:ascii="Simplified Arabic" w:hAnsi="Simplified Arabic" w:cs="Simplified Arabic"/>
          <w:b/>
          <w:bCs/>
          <w:sz w:val="28"/>
          <w:szCs w:val="28"/>
          <w:rtl/>
        </w:rPr>
        <w:t>الفصل الثالث</w:t>
      </w:r>
      <w:r w:rsidR="00FA1ABC" w:rsidRPr="00D23DE5">
        <w:rPr>
          <w:rFonts w:ascii="Simplified Arabic" w:hAnsi="Simplified Arabic" w:cs="Simplified Arabic"/>
          <w:b/>
          <w:bCs/>
          <w:sz w:val="28"/>
          <w:szCs w:val="28"/>
          <w:lang w:bidi="ar-EG"/>
        </w:rPr>
        <w:t xml:space="preserve"> </w:t>
      </w:r>
      <w:r w:rsidRPr="00D23DE5">
        <w:rPr>
          <w:rFonts w:ascii="Simplified Arabic" w:hAnsi="Simplified Arabic" w:cs="Simplified Arabic"/>
          <w:b/>
          <w:bCs/>
          <w:sz w:val="28"/>
          <w:szCs w:val="28"/>
          <w:lang w:bidi="ar-EG"/>
        </w:rPr>
        <w:t>:</w:t>
      </w:r>
      <w:r w:rsidRPr="00D23DE5">
        <w:rPr>
          <w:rFonts w:ascii="Simplified Arabic" w:hAnsi="Simplified Arabic" w:cs="Simplified Arabic"/>
          <w:sz w:val="28"/>
          <w:szCs w:val="28"/>
          <w:lang w:bidi="ar-EG"/>
        </w:rPr>
        <w:t xml:space="preserve"> </w:t>
      </w:r>
      <w:r w:rsidRPr="00D23DE5">
        <w:rPr>
          <w:rFonts w:ascii="Simplified Arabic" w:hAnsi="Simplified Arabic" w:cs="Simplified Arabic"/>
          <w:sz w:val="28"/>
          <w:szCs w:val="28"/>
          <w:rtl/>
        </w:rPr>
        <w:t>منهجية الدراسة</w:t>
      </w:r>
      <w:r w:rsidRPr="00D23DE5">
        <w:rPr>
          <w:rFonts w:ascii="Simplified Arabic" w:hAnsi="Simplified Arabic" w:cs="Simplified Arabic"/>
          <w:sz w:val="28"/>
          <w:szCs w:val="28"/>
          <w:lang w:bidi="ar-EG"/>
        </w:rPr>
        <w:t>.</w:t>
      </w:r>
    </w:p>
    <w:p w14:paraId="5166FCC6" w14:textId="77777777" w:rsidR="006625AA" w:rsidRPr="00D23DE5" w:rsidRDefault="006625AA" w:rsidP="009D7AA8">
      <w:pPr>
        <w:pStyle w:val="ListParagraph"/>
        <w:numPr>
          <w:ilvl w:val="0"/>
          <w:numId w:val="7"/>
        </w:numPr>
        <w:spacing w:line="240" w:lineRule="auto"/>
        <w:jc w:val="both"/>
        <w:rPr>
          <w:rFonts w:ascii="Simplified Arabic" w:hAnsi="Simplified Arabic" w:cs="Simplified Arabic"/>
          <w:sz w:val="28"/>
          <w:szCs w:val="28"/>
          <w:lang w:bidi="ar-EG"/>
        </w:rPr>
      </w:pPr>
      <w:r w:rsidRPr="00D23DE5">
        <w:rPr>
          <w:rFonts w:ascii="Simplified Arabic" w:hAnsi="Simplified Arabic" w:cs="Simplified Arabic"/>
          <w:b/>
          <w:bCs/>
          <w:sz w:val="28"/>
          <w:szCs w:val="28"/>
          <w:rtl/>
        </w:rPr>
        <w:t>الفصل الرابع</w:t>
      </w:r>
      <w:r w:rsidR="00FA1ABC" w:rsidRPr="00D23DE5">
        <w:rPr>
          <w:rFonts w:ascii="Simplified Arabic" w:hAnsi="Simplified Arabic" w:cs="Simplified Arabic"/>
          <w:b/>
          <w:bCs/>
          <w:sz w:val="28"/>
          <w:szCs w:val="28"/>
          <w:lang w:bidi="ar-EG"/>
        </w:rPr>
        <w:t xml:space="preserve"> </w:t>
      </w:r>
      <w:r w:rsidRPr="00D23DE5">
        <w:rPr>
          <w:rFonts w:ascii="Simplified Arabic" w:hAnsi="Simplified Arabic" w:cs="Simplified Arabic"/>
          <w:b/>
          <w:bCs/>
          <w:sz w:val="28"/>
          <w:szCs w:val="28"/>
          <w:lang w:bidi="ar-EG"/>
        </w:rPr>
        <w:t>:</w:t>
      </w:r>
      <w:r w:rsidRPr="00D23DE5">
        <w:rPr>
          <w:rFonts w:ascii="Simplified Arabic" w:hAnsi="Simplified Arabic" w:cs="Simplified Arabic"/>
          <w:sz w:val="28"/>
          <w:szCs w:val="28"/>
          <w:lang w:bidi="ar-EG"/>
        </w:rPr>
        <w:t xml:space="preserve"> </w:t>
      </w:r>
      <w:r w:rsidRPr="00D23DE5">
        <w:rPr>
          <w:rFonts w:ascii="Simplified Arabic" w:hAnsi="Simplified Arabic" w:cs="Simplified Arabic"/>
          <w:b/>
          <w:bCs/>
          <w:sz w:val="28"/>
          <w:szCs w:val="28"/>
          <w:rtl/>
        </w:rPr>
        <w:t>تحليل البيانات واختبار نموذج الدراسة ومناقشة نتائج الفروض</w:t>
      </w:r>
      <w:r w:rsidRPr="00D23DE5">
        <w:rPr>
          <w:rFonts w:ascii="Simplified Arabic" w:hAnsi="Simplified Arabic" w:cs="Simplified Arabic"/>
          <w:b/>
          <w:bCs/>
          <w:sz w:val="28"/>
          <w:szCs w:val="28"/>
          <w:lang w:bidi="ar-EG"/>
        </w:rPr>
        <w:t>.</w:t>
      </w:r>
    </w:p>
    <w:p w14:paraId="76FC17FC" w14:textId="77777777" w:rsidR="0078059F" w:rsidRPr="00D23DE5" w:rsidRDefault="006625AA" w:rsidP="009D7AA8">
      <w:pPr>
        <w:pStyle w:val="ListParagraph"/>
        <w:numPr>
          <w:ilvl w:val="0"/>
          <w:numId w:val="7"/>
        </w:numPr>
        <w:spacing w:line="240" w:lineRule="auto"/>
        <w:jc w:val="both"/>
        <w:rPr>
          <w:rFonts w:ascii="Simplified Arabic" w:hAnsi="Simplified Arabic" w:cs="Simplified Arabic"/>
          <w:sz w:val="28"/>
          <w:szCs w:val="28"/>
          <w:rtl/>
          <w:lang w:bidi="ar-EG"/>
        </w:rPr>
      </w:pPr>
      <w:r w:rsidRPr="00D23DE5">
        <w:rPr>
          <w:rFonts w:ascii="Simplified Arabic" w:hAnsi="Simplified Arabic" w:cs="Simplified Arabic"/>
          <w:b/>
          <w:bCs/>
          <w:sz w:val="28"/>
          <w:szCs w:val="28"/>
          <w:rtl/>
        </w:rPr>
        <w:t>الفصل الخامس</w:t>
      </w:r>
      <w:r w:rsidRPr="00D23DE5">
        <w:rPr>
          <w:rFonts w:ascii="Simplified Arabic" w:hAnsi="Simplified Arabic" w:cs="Simplified Arabic"/>
          <w:b/>
          <w:bCs/>
          <w:sz w:val="28"/>
          <w:szCs w:val="28"/>
          <w:lang w:bidi="ar-EG"/>
        </w:rPr>
        <w:t>:</w:t>
      </w:r>
      <w:r w:rsidRPr="00D23DE5">
        <w:rPr>
          <w:rFonts w:ascii="Simplified Arabic" w:hAnsi="Simplified Arabic" w:cs="Simplified Arabic"/>
          <w:sz w:val="28"/>
          <w:szCs w:val="28"/>
          <w:lang w:bidi="ar-EG"/>
        </w:rPr>
        <w:t xml:space="preserve"> </w:t>
      </w:r>
      <w:r w:rsidR="00FA1ABC" w:rsidRPr="00D23DE5">
        <w:rPr>
          <w:rFonts w:ascii="Simplified Arabic" w:hAnsi="Simplified Arabic" w:cs="Simplified Arabic" w:hint="cs"/>
          <w:sz w:val="28"/>
          <w:szCs w:val="28"/>
          <w:rtl/>
          <w:lang w:bidi="ar-EG"/>
        </w:rPr>
        <w:t xml:space="preserve"> </w:t>
      </w:r>
      <w:r w:rsidRPr="00D23DE5">
        <w:rPr>
          <w:rFonts w:ascii="Simplified Arabic" w:hAnsi="Simplified Arabic" w:cs="Simplified Arabic"/>
          <w:sz w:val="28"/>
          <w:szCs w:val="28"/>
          <w:rtl/>
        </w:rPr>
        <w:t>الاستنتاجات، والإسهامات النظرية والتطبيقية، والتوصيات، وآفاق البحوث المستقبلية</w:t>
      </w:r>
      <w:r w:rsidRPr="00D23DE5">
        <w:rPr>
          <w:rFonts w:ascii="Simplified Arabic" w:hAnsi="Simplified Arabic" w:cs="Simplified Arabic"/>
          <w:sz w:val="28"/>
          <w:szCs w:val="28"/>
          <w:lang w:bidi="ar-EG"/>
        </w:rPr>
        <w:t>.</w:t>
      </w:r>
    </w:p>
    <w:p w14:paraId="40311981" w14:textId="77777777" w:rsidR="00D23DE5" w:rsidRDefault="00D23DE5" w:rsidP="00D53EFA">
      <w:pPr>
        <w:spacing w:line="240" w:lineRule="auto"/>
        <w:rPr>
          <w:rFonts w:cs="Arial"/>
          <w:b/>
          <w:bCs/>
          <w:sz w:val="28"/>
          <w:szCs w:val="28"/>
          <w:rtl/>
        </w:rPr>
      </w:pPr>
    </w:p>
    <w:p w14:paraId="36AC468D" w14:textId="77777777" w:rsidR="0078059F" w:rsidRPr="00D23DE5" w:rsidRDefault="00D53EFA" w:rsidP="00D53EFA">
      <w:pPr>
        <w:spacing w:line="240" w:lineRule="auto"/>
        <w:rPr>
          <w:rFonts w:cs="Arial"/>
          <w:b/>
          <w:bCs/>
          <w:sz w:val="32"/>
          <w:szCs w:val="32"/>
          <w:rtl/>
        </w:rPr>
      </w:pPr>
      <w:r w:rsidRPr="00D23DE5">
        <w:rPr>
          <w:rFonts w:cs="Arial" w:hint="cs"/>
          <w:b/>
          <w:bCs/>
          <w:sz w:val="32"/>
          <w:szCs w:val="32"/>
          <w:rtl/>
        </w:rPr>
        <w:lastRenderedPageBreak/>
        <w:t xml:space="preserve">قائمة </w:t>
      </w:r>
      <w:r w:rsidR="0078059F" w:rsidRPr="00D23DE5">
        <w:rPr>
          <w:rFonts w:cs="Arial"/>
          <w:b/>
          <w:bCs/>
          <w:sz w:val="32"/>
          <w:szCs w:val="32"/>
          <w:rtl/>
        </w:rPr>
        <w:t xml:space="preserve">المراجع </w:t>
      </w:r>
    </w:p>
    <w:p w14:paraId="0A1B5D27"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Abulela</w:t>
      </w:r>
      <w:proofErr w:type="spellEnd"/>
      <w:r w:rsidRPr="00D53EFA">
        <w:rPr>
          <w:rFonts w:asciiTheme="majorBidi" w:hAnsiTheme="majorBidi" w:cstheme="majorBidi"/>
          <w:sz w:val="26"/>
          <w:szCs w:val="26"/>
          <w:lang w:bidi="ar-EG"/>
        </w:rPr>
        <w:t>, M. A., &amp; Khalaf, M. A. (2024). Does the number of response categories impact validity evidence in self-report measures? A scoping review. Sage Open, 14(1), 21582440241230363.</w:t>
      </w:r>
      <w:r w:rsidRPr="00D53EFA">
        <w:rPr>
          <w:rFonts w:asciiTheme="majorBidi" w:hAnsiTheme="majorBidi" w:cstheme="majorBidi"/>
          <w:sz w:val="26"/>
          <w:szCs w:val="26"/>
          <w:rtl/>
        </w:rPr>
        <w:t>‏</w:t>
      </w:r>
    </w:p>
    <w:p w14:paraId="56D1510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Aghaei, R., Kiaei, A. A., Boush, M., Rofoosheh, M., &amp; </w:t>
      </w:r>
      <w:proofErr w:type="spellStart"/>
      <w:r w:rsidRPr="00D53EFA">
        <w:rPr>
          <w:rFonts w:asciiTheme="majorBidi" w:hAnsiTheme="majorBidi" w:cstheme="majorBidi"/>
          <w:sz w:val="26"/>
          <w:szCs w:val="26"/>
          <w:lang w:bidi="ar-EG"/>
        </w:rPr>
        <w:t>Zavvar</w:t>
      </w:r>
      <w:proofErr w:type="spellEnd"/>
      <w:r w:rsidRPr="00D53EFA">
        <w:rPr>
          <w:rFonts w:asciiTheme="majorBidi" w:hAnsiTheme="majorBidi" w:cstheme="majorBidi"/>
          <w:sz w:val="26"/>
          <w:szCs w:val="26"/>
          <w:lang w:bidi="ar-EG"/>
        </w:rPr>
        <w:t xml:space="preserve">, M. (2025). Strategic Innovation Management in the Age of Large Language Models Market Intelligence, Adaptive R&amp;D, and Ethical Governance. </w:t>
      </w:r>
      <w:proofErr w:type="spellStart"/>
      <w:r w:rsidRPr="00D53EFA">
        <w:rPr>
          <w:rFonts w:asciiTheme="majorBidi" w:hAnsiTheme="majorBidi" w:cstheme="majorBidi"/>
          <w:sz w:val="26"/>
          <w:szCs w:val="26"/>
          <w:lang w:bidi="ar-EG"/>
        </w:rPr>
        <w:t>arXiv</w:t>
      </w:r>
      <w:proofErr w:type="spellEnd"/>
      <w:r w:rsidRPr="00D53EFA">
        <w:rPr>
          <w:rFonts w:asciiTheme="majorBidi" w:hAnsiTheme="majorBidi" w:cstheme="majorBidi"/>
          <w:sz w:val="26"/>
          <w:szCs w:val="26"/>
          <w:lang w:bidi="ar-EG"/>
        </w:rPr>
        <w:t xml:space="preserve"> preprint arXiv:2511.14709.</w:t>
      </w:r>
      <w:r w:rsidRPr="00D53EFA">
        <w:rPr>
          <w:rFonts w:asciiTheme="majorBidi" w:hAnsiTheme="majorBidi" w:cstheme="majorBidi"/>
          <w:sz w:val="26"/>
          <w:szCs w:val="26"/>
          <w:rtl/>
        </w:rPr>
        <w:t>‏</w:t>
      </w:r>
    </w:p>
    <w:p w14:paraId="371F15D2"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Ahmad, N., Alias, F. A., Hamat, M., &amp; Mohamed, S. A. (2024). Reliability analysis: application of </w:t>
      </w:r>
      <w:proofErr w:type="spellStart"/>
      <w:r w:rsidRPr="00D53EFA">
        <w:rPr>
          <w:rFonts w:asciiTheme="majorBidi" w:hAnsiTheme="majorBidi" w:cstheme="majorBidi"/>
          <w:sz w:val="26"/>
          <w:szCs w:val="26"/>
          <w:lang w:bidi="ar-EG"/>
        </w:rPr>
        <w:t>cronbach's</w:t>
      </w:r>
      <w:proofErr w:type="spellEnd"/>
      <w:r w:rsidRPr="00D53EFA">
        <w:rPr>
          <w:rFonts w:asciiTheme="majorBidi" w:hAnsiTheme="majorBidi" w:cstheme="majorBidi"/>
          <w:sz w:val="26"/>
          <w:szCs w:val="26"/>
          <w:lang w:bidi="ar-EG"/>
        </w:rPr>
        <w:t xml:space="preserve"> alpha in research instruments. Pioneering the Future: Delving Into E‐Learning's Landscape, 114-119.</w:t>
      </w:r>
      <w:r w:rsidRPr="00D53EFA">
        <w:rPr>
          <w:rFonts w:asciiTheme="majorBidi" w:hAnsiTheme="majorBidi" w:cstheme="majorBidi"/>
          <w:sz w:val="26"/>
          <w:szCs w:val="26"/>
          <w:rtl/>
        </w:rPr>
        <w:t>‏</w:t>
      </w:r>
    </w:p>
    <w:p w14:paraId="3E94F8A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Ahmed, R. (2025). The impact of strategic agility on achieving competitive advantage. </w:t>
      </w:r>
      <w:r w:rsidRPr="00D53EFA">
        <w:rPr>
          <w:rFonts w:asciiTheme="majorBidi" w:hAnsiTheme="majorBidi" w:cstheme="majorBidi"/>
          <w:sz w:val="26"/>
          <w:szCs w:val="26"/>
          <w:rtl/>
        </w:rPr>
        <w:t>المجلة العربية للإدارة, 1–18</w:t>
      </w:r>
      <w:r w:rsidRPr="00D53EFA">
        <w:rPr>
          <w:rFonts w:asciiTheme="majorBidi" w:hAnsiTheme="majorBidi" w:cstheme="majorBidi"/>
          <w:sz w:val="26"/>
          <w:szCs w:val="26"/>
          <w:lang w:bidi="ar-EG"/>
        </w:rPr>
        <w:t>.</w:t>
      </w:r>
    </w:p>
    <w:p w14:paraId="7414C116"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AI Strategy Path. (2025). Large language models: Strategic guide to capabilities &amp; value. https://aistrategypath.com/llm-executive-guide/</w:t>
      </w:r>
    </w:p>
    <w:p w14:paraId="5B406AB1"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b/>
          <w:bCs/>
          <w:sz w:val="26"/>
          <w:szCs w:val="26"/>
          <w:lang w:bidi="ar-EG"/>
        </w:rPr>
        <w:t>AIIM. (2025).</w:t>
      </w:r>
      <w:r w:rsidRPr="00D53EFA">
        <w:rPr>
          <w:rFonts w:asciiTheme="majorBidi" w:hAnsiTheme="majorBidi" w:cstheme="majorBidi"/>
          <w:sz w:val="26"/>
          <w:szCs w:val="26"/>
          <w:lang w:bidi="ar-EG"/>
        </w:rPr>
        <w:t xml:space="preserve"> The convergence of AI, data privacy, and information governance. https://info.aiim.org/aiim-blog/the-convergence-of-ai-data-privacy-and-information-governance </w:t>
      </w:r>
    </w:p>
    <w:p w14:paraId="5149F253"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Akone</w:t>
      </w:r>
      <w:proofErr w:type="spellEnd"/>
      <w:r w:rsidRPr="00D53EFA">
        <w:rPr>
          <w:rFonts w:asciiTheme="majorBidi" w:hAnsiTheme="majorBidi" w:cstheme="majorBidi"/>
          <w:sz w:val="26"/>
          <w:szCs w:val="26"/>
          <w:lang w:bidi="ar-EG"/>
        </w:rPr>
        <w:t>, B. K., &amp; Kinyua, G. M. (2025). Strategic agility as an antecedent of operational performance: Evidence from review of literature. International Journal of Education and Research, 13(2), 139–153. https://ijern.com/journal/2025/February-2025/10.pdf</w:t>
      </w:r>
    </w:p>
    <w:p w14:paraId="1CE234D1"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Almelhes</w:t>
      </w:r>
      <w:proofErr w:type="spellEnd"/>
      <w:r w:rsidRPr="00D53EFA">
        <w:rPr>
          <w:rFonts w:asciiTheme="majorBidi" w:hAnsiTheme="majorBidi" w:cstheme="majorBidi"/>
          <w:sz w:val="26"/>
          <w:szCs w:val="26"/>
          <w:lang w:bidi="ar-EG"/>
        </w:rPr>
        <w:t>, S. A. (2025). Big Data Analytical Capability and Strategic Agility; A Perspective of Online Academies Institutions Teaching Arabic as Second Language. SAGE Open, 15(3), 21582440251381591.</w:t>
      </w:r>
      <w:r w:rsidRPr="00D53EFA">
        <w:rPr>
          <w:rFonts w:asciiTheme="majorBidi" w:hAnsiTheme="majorBidi" w:cstheme="majorBidi"/>
          <w:sz w:val="26"/>
          <w:szCs w:val="26"/>
          <w:rtl/>
        </w:rPr>
        <w:t>‏</w:t>
      </w:r>
    </w:p>
    <w:p w14:paraId="2D110786"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Atienza-Barba, M., del Río, M. D. L. C., Meseguer-Martínez, Á., &amp; Barba-Sanchez, V. (2024). Artificial intelligence and organizational agility: An analysis of scientific production and future trends. European Research on Management and Business Economics, 30(2), 100253.</w:t>
      </w:r>
      <w:r w:rsidRPr="00D53EFA">
        <w:rPr>
          <w:rFonts w:asciiTheme="majorBidi" w:hAnsiTheme="majorBidi" w:cstheme="majorBidi"/>
          <w:sz w:val="26"/>
          <w:szCs w:val="26"/>
          <w:rtl/>
        </w:rPr>
        <w:t>‏</w:t>
      </w:r>
    </w:p>
    <w:p w14:paraId="015A721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Awang, Z. (2012). Structural equation modeling using Amos graphic (Reprinted ed.). UiTM Press.</w:t>
      </w:r>
    </w:p>
    <w:p w14:paraId="05D821C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Benitez, J., Arenas, A., Castillo, A., &amp; Esteves, J. (2022). Impact of digital leadership capability on innovation performance: The role of platform digitization capability. </w:t>
      </w:r>
      <w:r w:rsidRPr="00D53EFA">
        <w:rPr>
          <w:rFonts w:asciiTheme="majorBidi" w:hAnsiTheme="majorBidi" w:cstheme="majorBidi"/>
          <w:i/>
          <w:iCs/>
          <w:sz w:val="26"/>
          <w:szCs w:val="26"/>
          <w:lang w:bidi="ar-EG"/>
        </w:rPr>
        <w:t>Information &amp; Management</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59</w:t>
      </w:r>
      <w:r w:rsidRPr="00D53EFA">
        <w:rPr>
          <w:rFonts w:asciiTheme="majorBidi" w:hAnsiTheme="majorBidi" w:cstheme="majorBidi"/>
          <w:sz w:val="26"/>
          <w:szCs w:val="26"/>
          <w:lang w:bidi="ar-EG"/>
        </w:rPr>
        <w:t>(2), 103590.</w:t>
      </w:r>
      <w:r w:rsidRPr="00D53EFA">
        <w:rPr>
          <w:rFonts w:asciiTheme="majorBidi" w:hAnsiTheme="majorBidi" w:cstheme="majorBidi"/>
          <w:sz w:val="26"/>
          <w:szCs w:val="26"/>
          <w:rtl/>
        </w:rPr>
        <w:t>‏</w:t>
      </w:r>
      <w:r w:rsidRPr="00D53EFA">
        <w:rPr>
          <w:rFonts w:asciiTheme="majorBidi" w:hAnsiTheme="majorBidi" w:cstheme="majorBidi"/>
          <w:sz w:val="26"/>
          <w:szCs w:val="26"/>
          <w:lang w:bidi="ar-EG"/>
        </w:rPr>
        <w:t xml:space="preserve"> </w:t>
      </w:r>
    </w:p>
    <w:p w14:paraId="4F953420"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Bentler, P. M. (1990). Comparative fit indexes in structural models. Psychological bulletin, 107(2), 238.</w:t>
      </w:r>
      <w:r w:rsidRPr="00D53EFA">
        <w:rPr>
          <w:rFonts w:asciiTheme="majorBidi" w:hAnsiTheme="majorBidi" w:cstheme="majorBidi"/>
          <w:sz w:val="26"/>
          <w:szCs w:val="26"/>
          <w:rtl/>
        </w:rPr>
        <w:t>‏</w:t>
      </w:r>
    </w:p>
    <w:p w14:paraId="29FD8A9F"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BTS Academy. (2016). Preparation of the methodology chapter of master’s and PhD theses. </w:t>
      </w:r>
      <w:hyperlink r:id="rId10" w:history="1">
        <w:r w:rsidRPr="00D53EFA">
          <w:rPr>
            <w:rFonts w:asciiTheme="majorBidi" w:hAnsiTheme="majorBidi" w:cstheme="majorBidi"/>
            <w:color w:val="0563C1" w:themeColor="hyperlink"/>
            <w:sz w:val="26"/>
            <w:szCs w:val="26"/>
            <w:u w:val="single"/>
            <w:lang w:bidi="ar-EG"/>
          </w:rPr>
          <w:t>https://bts-academy.com/</w:t>
        </w:r>
      </w:hyperlink>
    </w:p>
    <w:p w14:paraId="7EBBCBE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lastRenderedPageBreak/>
        <w:t>Bujang, M. A., Omar, E. D., Foo, D. H. P., &amp; Hon, Y. K. (2024). Sample size determination for conducting a pilot study to assess reliability of a questionnaire. Restorative dentistry &amp; endodontics, 49(1).</w:t>
      </w:r>
      <w:r w:rsidRPr="00D53EFA">
        <w:rPr>
          <w:rFonts w:asciiTheme="majorBidi" w:hAnsiTheme="majorBidi" w:cstheme="majorBidi"/>
          <w:sz w:val="26"/>
          <w:szCs w:val="26"/>
          <w:rtl/>
        </w:rPr>
        <w:t>‏</w:t>
      </w:r>
    </w:p>
    <w:p w14:paraId="058B3EF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Burton, J. W., Lopez-Lopez, E., Hechtlinger, S., Rahwan, Z., </w:t>
      </w:r>
      <w:proofErr w:type="spellStart"/>
      <w:r w:rsidRPr="00D53EFA">
        <w:rPr>
          <w:rFonts w:asciiTheme="majorBidi" w:hAnsiTheme="majorBidi" w:cstheme="majorBidi"/>
          <w:sz w:val="26"/>
          <w:szCs w:val="26"/>
          <w:lang w:bidi="ar-EG"/>
        </w:rPr>
        <w:t>Aeschbach</w:t>
      </w:r>
      <w:proofErr w:type="spellEnd"/>
      <w:r w:rsidRPr="00D53EFA">
        <w:rPr>
          <w:rFonts w:asciiTheme="majorBidi" w:hAnsiTheme="majorBidi" w:cstheme="majorBidi"/>
          <w:sz w:val="26"/>
          <w:szCs w:val="26"/>
          <w:lang w:bidi="ar-EG"/>
        </w:rPr>
        <w:t xml:space="preserve">, S., Bakker, M. A., ... &amp; Hertwig, R. (2024). How large language models can reshape collective intelligence. Nature human </w:t>
      </w:r>
      <w:proofErr w:type="spellStart"/>
      <w:r w:rsidRPr="00D53EFA">
        <w:rPr>
          <w:rFonts w:asciiTheme="majorBidi" w:hAnsiTheme="majorBidi" w:cstheme="majorBidi"/>
          <w:sz w:val="26"/>
          <w:szCs w:val="26"/>
          <w:lang w:bidi="ar-EG"/>
        </w:rPr>
        <w:t>behaviour</w:t>
      </w:r>
      <w:proofErr w:type="spellEnd"/>
      <w:r w:rsidRPr="00D53EFA">
        <w:rPr>
          <w:rFonts w:asciiTheme="majorBidi" w:hAnsiTheme="majorBidi" w:cstheme="majorBidi"/>
          <w:sz w:val="26"/>
          <w:szCs w:val="26"/>
          <w:lang w:bidi="ar-EG"/>
        </w:rPr>
        <w:t>, 8(9), 1643-1655.</w:t>
      </w:r>
      <w:r w:rsidRPr="00D53EFA">
        <w:rPr>
          <w:rFonts w:asciiTheme="majorBidi" w:hAnsiTheme="majorBidi" w:cstheme="majorBidi"/>
          <w:sz w:val="26"/>
          <w:szCs w:val="26"/>
          <w:rtl/>
        </w:rPr>
        <w:t>‏</w:t>
      </w:r>
    </w:p>
    <w:p w14:paraId="49FAFA38"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Caballero, W. N., &amp; Jenkins, P. R. (2025). On large language models in national security applications. Stat, 14(2), e70057.</w:t>
      </w:r>
      <w:r w:rsidRPr="00D53EFA">
        <w:rPr>
          <w:rFonts w:asciiTheme="majorBidi" w:hAnsiTheme="majorBidi" w:cstheme="majorBidi"/>
          <w:sz w:val="26"/>
          <w:szCs w:val="26"/>
          <w:rtl/>
        </w:rPr>
        <w:t>‏</w:t>
      </w:r>
    </w:p>
    <w:p w14:paraId="3C5E1F8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Cambridge University Press. (2025). Dynamic capabilities and related paradigms. </w:t>
      </w:r>
      <w:hyperlink r:id="rId11" w:history="1">
        <w:r w:rsidRPr="00D53EFA">
          <w:rPr>
            <w:rFonts w:asciiTheme="majorBidi" w:hAnsiTheme="majorBidi" w:cstheme="majorBidi"/>
            <w:color w:val="0563C1" w:themeColor="hyperlink"/>
            <w:sz w:val="26"/>
            <w:szCs w:val="26"/>
            <w:u w:val="single"/>
            <w:lang w:bidi="ar-EG"/>
          </w:rPr>
          <w:t>https://www.cambridge.org/core/elements/dynamic-capabilities-and-related-paradigms/50501CF71C6118316FC74C28A1B61DEE</w:t>
        </w:r>
      </w:hyperlink>
    </w:p>
    <w:p w14:paraId="01ECF23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CDW. (2023, September 20). Data governance, large language models and a quest to avoid bias. </w:t>
      </w:r>
      <w:hyperlink r:id="rId12" w:history="1">
        <w:r w:rsidRPr="00D53EFA">
          <w:rPr>
            <w:rFonts w:asciiTheme="majorBidi" w:hAnsiTheme="majorBidi" w:cstheme="majorBidi"/>
            <w:color w:val="0563C1" w:themeColor="hyperlink"/>
            <w:sz w:val="26"/>
            <w:szCs w:val="26"/>
            <w:u w:val="single"/>
            <w:lang w:bidi="ar-EG"/>
          </w:rPr>
          <w:t>https://www.cdw.com/content/cdw/en/articles/dataanalytics/data-governance-large-language-models.html</w:t>
        </w:r>
      </w:hyperlink>
    </w:p>
    <w:p w14:paraId="7A15C05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Consultancy-ME. (2026). How AI is reshaping the consulting profession in Saudi Arabia. </w:t>
      </w:r>
      <w:hyperlink r:id="rId13" w:history="1">
        <w:r w:rsidRPr="00D53EFA">
          <w:rPr>
            <w:rFonts w:asciiTheme="majorBidi" w:hAnsiTheme="majorBidi" w:cstheme="majorBidi"/>
            <w:color w:val="0563C1" w:themeColor="hyperlink"/>
            <w:sz w:val="26"/>
            <w:szCs w:val="26"/>
            <w:u w:val="single"/>
            <w:lang w:bidi="ar-EG"/>
          </w:rPr>
          <w:t>https://www.consultancy-me.com/news/7970/how-ai-is-reshaping-the-consulting-profession-in-saudi-arabia</w:t>
        </w:r>
      </w:hyperlink>
    </w:p>
    <w:p w14:paraId="2F817E17"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Cranium. (2024). How to handle the use of large language models in your </w:t>
      </w:r>
      <w:proofErr w:type="spellStart"/>
      <w:r w:rsidRPr="00D53EFA">
        <w:rPr>
          <w:rFonts w:asciiTheme="majorBidi" w:hAnsiTheme="majorBidi" w:cstheme="majorBidi"/>
          <w:sz w:val="26"/>
          <w:szCs w:val="26"/>
          <w:lang w:bidi="ar-EG"/>
        </w:rPr>
        <w:t>organisation</w:t>
      </w:r>
      <w:proofErr w:type="spellEnd"/>
      <w:r w:rsidRPr="00D53EFA">
        <w:rPr>
          <w:rFonts w:asciiTheme="majorBidi" w:hAnsiTheme="majorBidi" w:cstheme="majorBidi"/>
          <w:sz w:val="26"/>
          <w:szCs w:val="26"/>
          <w:lang w:bidi="ar-EG"/>
        </w:rPr>
        <w:t xml:space="preserve">. </w:t>
      </w:r>
      <w:hyperlink r:id="rId14" w:history="1">
        <w:r w:rsidRPr="00D53EFA">
          <w:rPr>
            <w:rFonts w:asciiTheme="majorBidi" w:hAnsiTheme="majorBidi" w:cstheme="majorBidi"/>
            <w:color w:val="0563C1" w:themeColor="hyperlink"/>
            <w:sz w:val="26"/>
            <w:szCs w:val="26"/>
            <w:u w:val="single"/>
            <w:lang w:bidi="ar-EG"/>
          </w:rPr>
          <w:t>https://cranium.ai/blog/how-to-handle-the-use-of-large-language-models-in-your-organisation/</w:t>
        </w:r>
      </w:hyperlink>
    </w:p>
    <w:p w14:paraId="15CEFBB8"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Cranium. (2024). How to handle the use of large language models in your </w:t>
      </w:r>
      <w:proofErr w:type="spellStart"/>
      <w:r w:rsidRPr="00D53EFA">
        <w:rPr>
          <w:rFonts w:asciiTheme="majorBidi" w:hAnsiTheme="majorBidi" w:cstheme="majorBidi"/>
          <w:sz w:val="26"/>
          <w:szCs w:val="26"/>
          <w:lang w:bidi="ar-EG"/>
        </w:rPr>
        <w:t>organisation</w:t>
      </w:r>
      <w:proofErr w:type="spellEnd"/>
      <w:r w:rsidRPr="00D53EFA">
        <w:rPr>
          <w:rFonts w:asciiTheme="majorBidi" w:hAnsiTheme="majorBidi" w:cstheme="majorBidi"/>
          <w:sz w:val="26"/>
          <w:szCs w:val="26"/>
          <w:lang w:bidi="ar-EG"/>
        </w:rPr>
        <w:t xml:space="preserve">. </w:t>
      </w:r>
      <w:hyperlink r:id="rId15" w:history="1">
        <w:r w:rsidRPr="00D53EFA">
          <w:rPr>
            <w:rFonts w:asciiTheme="majorBidi" w:hAnsiTheme="majorBidi" w:cstheme="majorBidi"/>
            <w:color w:val="0563C1" w:themeColor="hyperlink"/>
            <w:sz w:val="26"/>
            <w:szCs w:val="26"/>
            <w:u w:val="single"/>
            <w:lang w:bidi="ar-EG"/>
          </w:rPr>
          <w:t>https://www.cranium.eu/how-to-handle-the-use-of-large-language-models-in-your-organisation/</w:t>
        </w:r>
      </w:hyperlink>
    </w:p>
    <w:p w14:paraId="409B80A2"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Dal Molin, L. (2024). Notes towards infrastructure governance for large language models. First Monday.</w:t>
      </w:r>
      <w:r w:rsidRPr="00D53EFA">
        <w:rPr>
          <w:rFonts w:asciiTheme="majorBidi" w:hAnsiTheme="majorBidi" w:cstheme="majorBidi"/>
          <w:sz w:val="26"/>
          <w:szCs w:val="26"/>
          <w:rtl/>
        </w:rPr>
        <w:t>‏</w:t>
      </w:r>
    </w:p>
    <w:p w14:paraId="28A2A8EF"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DataGalaxy</w:t>
      </w:r>
      <w:proofErr w:type="spellEnd"/>
      <w:r w:rsidRPr="00D53EFA">
        <w:rPr>
          <w:rFonts w:asciiTheme="majorBidi" w:hAnsiTheme="majorBidi" w:cstheme="majorBidi"/>
          <w:sz w:val="26"/>
          <w:szCs w:val="26"/>
          <w:lang w:bidi="ar-EG"/>
        </w:rPr>
        <w:t xml:space="preserve">. (2025). Why is data governance important in an AI-first </w:t>
      </w:r>
      <w:proofErr w:type="gramStart"/>
      <w:r w:rsidRPr="00D53EFA">
        <w:rPr>
          <w:rFonts w:asciiTheme="majorBidi" w:hAnsiTheme="majorBidi" w:cstheme="majorBidi"/>
          <w:sz w:val="26"/>
          <w:szCs w:val="26"/>
          <w:lang w:bidi="ar-EG"/>
        </w:rPr>
        <w:t>world?.</w:t>
      </w:r>
      <w:proofErr w:type="gramEnd"/>
      <w:r w:rsidRPr="00D53EFA">
        <w:rPr>
          <w:rFonts w:asciiTheme="majorBidi" w:hAnsiTheme="majorBidi" w:cstheme="majorBidi"/>
          <w:sz w:val="26"/>
          <w:szCs w:val="26"/>
          <w:lang w:bidi="ar-EG"/>
        </w:rPr>
        <w:t xml:space="preserve"> </w:t>
      </w:r>
      <w:hyperlink r:id="rId16" w:history="1">
        <w:r w:rsidRPr="00D53EFA">
          <w:rPr>
            <w:rFonts w:asciiTheme="majorBidi" w:hAnsiTheme="majorBidi" w:cstheme="majorBidi"/>
            <w:color w:val="0563C1" w:themeColor="hyperlink"/>
            <w:sz w:val="26"/>
            <w:szCs w:val="26"/>
            <w:u w:val="single"/>
            <w:lang w:bidi="ar-EG"/>
          </w:rPr>
          <w:t>https://www.datagalaxy.com/en/blog/data-governance-in-2026-benefits-business-alignment-and-essential-need/</w:t>
        </w:r>
      </w:hyperlink>
    </w:p>
    <w:p w14:paraId="0337A9C0"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color w:val="222222"/>
          <w:sz w:val="26"/>
          <w:szCs w:val="26"/>
          <w:shd w:val="clear" w:color="auto" w:fill="FFFFFF"/>
        </w:rPr>
        <w:t>Di Vaio, A., Palladino, R., Hassan, R., &amp; Escobar, O. (2020). Artificial intelligence and business models in the sustainable development goals perspective: A systematic literature review. </w:t>
      </w:r>
      <w:r w:rsidRPr="00D53EFA">
        <w:rPr>
          <w:rFonts w:asciiTheme="majorBidi" w:hAnsiTheme="majorBidi" w:cstheme="majorBidi"/>
          <w:i/>
          <w:iCs/>
          <w:color w:val="222222"/>
          <w:sz w:val="26"/>
          <w:szCs w:val="26"/>
          <w:shd w:val="clear" w:color="auto" w:fill="FFFFFF"/>
        </w:rPr>
        <w:t>Journal of Business Research</w:t>
      </w:r>
      <w:r w:rsidRPr="00D53EFA">
        <w:rPr>
          <w:rFonts w:asciiTheme="majorBidi" w:hAnsiTheme="majorBidi" w:cstheme="majorBidi"/>
          <w:color w:val="222222"/>
          <w:sz w:val="26"/>
          <w:szCs w:val="26"/>
          <w:shd w:val="clear" w:color="auto" w:fill="FFFFFF"/>
        </w:rPr>
        <w:t>, </w:t>
      </w:r>
      <w:r w:rsidRPr="00D53EFA">
        <w:rPr>
          <w:rFonts w:asciiTheme="majorBidi" w:hAnsiTheme="majorBidi" w:cstheme="majorBidi"/>
          <w:i/>
          <w:iCs/>
          <w:color w:val="222222"/>
          <w:sz w:val="26"/>
          <w:szCs w:val="26"/>
          <w:shd w:val="clear" w:color="auto" w:fill="FFFFFF"/>
        </w:rPr>
        <w:t>121</w:t>
      </w:r>
      <w:r w:rsidRPr="00D53EFA">
        <w:rPr>
          <w:rFonts w:asciiTheme="majorBidi" w:hAnsiTheme="majorBidi" w:cstheme="majorBidi"/>
          <w:color w:val="222222"/>
          <w:sz w:val="26"/>
          <w:szCs w:val="26"/>
          <w:shd w:val="clear" w:color="auto" w:fill="FFFFFF"/>
        </w:rPr>
        <w:t>, 283-314.</w:t>
      </w:r>
      <w:r w:rsidRPr="00D53EFA">
        <w:rPr>
          <w:rFonts w:asciiTheme="majorBidi" w:hAnsiTheme="majorBidi" w:cstheme="majorBidi"/>
          <w:color w:val="222222"/>
          <w:sz w:val="26"/>
          <w:szCs w:val="26"/>
          <w:shd w:val="clear" w:color="auto" w:fill="FFFFFF"/>
          <w:rtl/>
        </w:rPr>
        <w:t>‏</w:t>
      </w:r>
    </w:p>
    <w:p w14:paraId="0977E4D3"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Dorsah, P. (2026). The Use of Cronbach's Alpha Reliability in Educational Research: A Systematic Review. European Journal of Contemporary Education and E-Learning, 4(2), 39-50.</w:t>
      </w:r>
      <w:r w:rsidRPr="00D53EFA">
        <w:rPr>
          <w:rFonts w:asciiTheme="majorBidi" w:hAnsiTheme="majorBidi" w:cstheme="majorBidi"/>
          <w:sz w:val="26"/>
          <w:szCs w:val="26"/>
          <w:rtl/>
        </w:rPr>
        <w:t>‏</w:t>
      </w:r>
    </w:p>
    <w:p w14:paraId="57921D5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Elbaz, A. M., &amp; </w:t>
      </w:r>
      <w:proofErr w:type="spellStart"/>
      <w:r w:rsidRPr="00D53EFA">
        <w:rPr>
          <w:rFonts w:asciiTheme="majorBidi" w:hAnsiTheme="majorBidi" w:cstheme="majorBidi"/>
          <w:sz w:val="26"/>
          <w:szCs w:val="26"/>
          <w:lang w:bidi="ar-EG"/>
        </w:rPr>
        <w:t>Haddoud</w:t>
      </w:r>
      <w:proofErr w:type="spellEnd"/>
      <w:r w:rsidRPr="00D53EFA">
        <w:rPr>
          <w:rFonts w:asciiTheme="majorBidi" w:hAnsiTheme="majorBidi" w:cstheme="majorBidi"/>
          <w:sz w:val="26"/>
          <w:szCs w:val="26"/>
          <w:lang w:bidi="ar-EG"/>
        </w:rPr>
        <w:t xml:space="preserve">, M. Y. (2023). Transformational leadership, knowledge management and organizational learning in public sector agencies. </w:t>
      </w:r>
      <w:r w:rsidRPr="00D53EFA">
        <w:rPr>
          <w:rFonts w:asciiTheme="majorBidi" w:hAnsiTheme="majorBidi" w:cstheme="majorBidi"/>
          <w:i/>
          <w:iCs/>
          <w:sz w:val="26"/>
          <w:szCs w:val="26"/>
          <w:lang w:bidi="ar-EG"/>
        </w:rPr>
        <w:t>Current Psychology, 42</w:t>
      </w:r>
      <w:r w:rsidRPr="00D53EFA">
        <w:rPr>
          <w:rFonts w:asciiTheme="majorBidi" w:hAnsiTheme="majorBidi" w:cstheme="majorBidi"/>
          <w:sz w:val="26"/>
          <w:szCs w:val="26"/>
          <w:lang w:bidi="ar-EG"/>
        </w:rPr>
        <w:t>(14), 11820–11835.</w:t>
      </w:r>
    </w:p>
    <w:p w14:paraId="1B7D57C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Eller, R., Alford, P., </w:t>
      </w:r>
      <w:proofErr w:type="spellStart"/>
      <w:r w:rsidRPr="00D53EFA">
        <w:rPr>
          <w:rFonts w:asciiTheme="majorBidi" w:hAnsiTheme="majorBidi" w:cstheme="majorBidi"/>
          <w:sz w:val="26"/>
          <w:szCs w:val="26"/>
          <w:lang w:bidi="ar-EG"/>
        </w:rPr>
        <w:t>Kallmünzer</w:t>
      </w:r>
      <w:proofErr w:type="spellEnd"/>
      <w:r w:rsidRPr="00D53EFA">
        <w:rPr>
          <w:rFonts w:asciiTheme="majorBidi" w:hAnsiTheme="majorBidi" w:cstheme="majorBidi"/>
          <w:sz w:val="26"/>
          <w:szCs w:val="26"/>
          <w:lang w:bidi="ar-EG"/>
        </w:rPr>
        <w:t>, A., &amp; Peters, M. (2020). Antecedents, consequences, and challenges of small and medium-sized enterprise digitalization. </w:t>
      </w:r>
      <w:r w:rsidRPr="00D53EFA">
        <w:rPr>
          <w:rFonts w:asciiTheme="majorBidi" w:hAnsiTheme="majorBidi" w:cstheme="majorBidi"/>
          <w:i/>
          <w:iCs/>
          <w:sz w:val="26"/>
          <w:szCs w:val="26"/>
          <w:lang w:bidi="ar-EG"/>
        </w:rPr>
        <w:t>Journal of Business Research</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112</w:t>
      </w:r>
      <w:r w:rsidRPr="00D53EFA">
        <w:rPr>
          <w:rFonts w:asciiTheme="majorBidi" w:hAnsiTheme="majorBidi" w:cstheme="majorBidi"/>
          <w:sz w:val="26"/>
          <w:szCs w:val="26"/>
          <w:lang w:bidi="ar-EG"/>
        </w:rPr>
        <w:t>, 119-127.</w:t>
      </w:r>
      <w:r w:rsidRPr="00D53EFA">
        <w:rPr>
          <w:rFonts w:asciiTheme="majorBidi" w:hAnsiTheme="majorBidi" w:cstheme="majorBidi"/>
          <w:sz w:val="26"/>
          <w:szCs w:val="26"/>
          <w:rtl/>
        </w:rPr>
        <w:t>‏</w:t>
      </w:r>
    </w:p>
    <w:p w14:paraId="329D90D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lastRenderedPageBreak/>
        <w:t xml:space="preserve">European Union. (2026). AI Act – regulatory framework for AI in Europe. </w:t>
      </w:r>
      <w:hyperlink r:id="rId17" w:history="1">
        <w:r w:rsidRPr="00D53EFA">
          <w:rPr>
            <w:rFonts w:asciiTheme="majorBidi" w:hAnsiTheme="majorBidi" w:cstheme="majorBidi"/>
            <w:color w:val="0563C1" w:themeColor="hyperlink"/>
            <w:sz w:val="26"/>
            <w:szCs w:val="26"/>
            <w:u w:val="single"/>
            <w:lang w:bidi="ar-EG"/>
          </w:rPr>
          <w:t>https://digital-strategy.ec.europa.eu/en/policies/ai-act</w:t>
        </w:r>
      </w:hyperlink>
    </w:p>
    <w:p w14:paraId="61CB35C4"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Feng, X., &amp; Abd Rani, N. S. (2024). Strategic agility in a digital age: Exploring the role of dynamic capabilities in </w:t>
      </w:r>
      <w:proofErr w:type="spellStart"/>
      <w:r w:rsidRPr="00D53EFA">
        <w:rPr>
          <w:rFonts w:asciiTheme="majorBidi" w:hAnsiTheme="majorBidi" w:cstheme="majorBidi"/>
          <w:sz w:val="26"/>
          <w:szCs w:val="26"/>
          <w:lang w:bidi="ar-EG"/>
        </w:rPr>
        <w:t>organisational</w:t>
      </w:r>
      <w:proofErr w:type="spellEnd"/>
      <w:r w:rsidRPr="00D53EFA">
        <w:rPr>
          <w:rFonts w:asciiTheme="majorBidi" w:hAnsiTheme="majorBidi" w:cstheme="majorBidi"/>
          <w:sz w:val="26"/>
          <w:szCs w:val="26"/>
          <w:lang w:bidi="ar-EG"/>
        </w:rPr>
        <w:t xml:space="preserve"> adaptation. </w:t>
      </w:r>
      <w:proofErr w:type="spellStart"/>
      <w:r w:rsidRPr="00D53EFA">
        <w:rPr>
          <w:rFonts w:asciiTheme="majorBidi" w:hAnsiTheme="majorBidi" w:cstheme="majorBidi"/>
          <w:sz w:val="26"/>
          <w:szCs w:val="26"/>
          <w:lang w:bidi="ar-EG"/>
        </w:rPr>
        <w:t>Uniglobal</w:t>
      </w:r>
      <w:proofErr w:type="spellEnd"/>
      <w:r w:rsidRPr="00D53EFA">
        <w:rPr>
          <w:rFonts w:asciiTheme="majorBidi" w:hAnsiTheme="majorBidi" w:cstheme="majorBidi"/>
          <w:sz w:val="26"/>
          <w:szCs w:val="26"/>
          <w:lang w:bidi="ar-EG"/>
        </w:rPr>
        <w:t xml:space="preserve"> Journal of Social Sciences and Humanities, 3(2), 274-280.</w:t>
      </w:r>
      <w:r w:rsidRPr="00D53EFA">
        <w:rPr>
          <w:rFonts w:asciiTheme="majorBidi" w:hAnsiTheme="majorBidi" w:cstheme="majorBidi"/>
          <w:sz w:val="26"/>
          <w:szCs w:val="26"/>
          <w:rtl/>
        </w:rPr>
        <w:t>‏</w:t>
      </w:r>
    </w:p>
    <w:p w14:paraId="4BDA84F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FS-Consulting. (2025). The importance of business consulting firms in Saudi Arabia: Your guide to achieving business goals. </w:t>
      </w:r>
      <w:hyperlink r:id="rId18" w:history="1">
        <w:r w:rsidRPr="00D53EFA">
          <w:rPr>
            <w:rFonts w:asciiTheme="majorBidi" w:hAnsiTheme="majorBidi" w:cstheme="majorBidi"/>
            <w:color w:val="0563C1" w:themeColor="hyperlink"/>
            <w:sz w:val="26"/>
            <w:szCs w:val="26"/>
            <w:u w:val="single"/>
            <w:lang w:bidi="ar-EG"/>
          </w:rPr>
          <w:t>https://www.fs-consulting.com/the-importance-of-business-consulting-firms-in-saudi-arabia</w:t>
        </w:r>
      </w:hyperlink>
    </w:p>
    <w:p w14:paraId="192C76C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Galbraith, J. R. (1974). Organization design: An information processing view. Interfaces, 4(3), 28–36. </w:t>
      </w:r>
      <w:hyperlink r:id="rId19" w:history="1">
        <w:r w:rsidRPr="00D53EFA">
          <w:rPr>
            <w:rFonts w:asciiTheme="majorBidi" w:hAnsiTheme="majorBidi" w:cstheme="majorBidi"/>
            <w:color w:val="0563C1" w:themeColor="hyperlink"/>
            <w:sz w:val="26"/>
            <w:szCs w:val="26"/>
            <w:u w:val="single"/>
            <w:lang w:bidi="ar-EG"/>
          </w:rPr>
          <w:t>https://doi.org/10.1287/inte.4.3.28</w:t>
        </w:r>
      </w:hyperlink>
    </w:p>
    <w:p w14:paraId="59D5E28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Galbraith, M. (2026, June 25). Data governance as competitive advantage for AI success. LinkedIn. </w:t>
      </w:r>
      <w:hyperlink r:id="rId20" w:history="1">
        <w:r w:rsidRPr="00D53EFA">
          <w:rPr>
            <w:rFonts w:asciiTheme="majorBidi" w:hAnsiTheme="majorBidi" w:cstheme="majorBidi"/>
            <w:color w:val="0563C1" w:themeColor="hyperlink"/>
            <w:sz w:val="26"/>
            <w:szCs w:val="26"/>
            <w:u w:val="single"/>
            <w:lang w:bidi="ar-EG"/>
          </w:rPr>
          <w:t>https://www.linkedin.com/pulse/data-governance-competitive-advantage-ai-success-m-galbraith</w:t>
        </w:r>
      </w:hyperlink>
    </w:p>
    <w:p w14:paraId="7D60F36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George, G., &amp; </w:t>
      </w:r>
      <w:proofErr w:type="spellStart"/>
      <w:r w:rsidRPr="00D53EFA">
        <w:rPr>
          <w:rFonts w:asciiTheme="majorBidi" w:hAnsiTheme="majorBidi" w:cstheme="majorBidi"/>
          <w:sz w:val="26"/>
          <w:szCs w:val="26"/>
          <w:lang w:bidi="ar-EG"/>
        </w:rPr>
        <w:t>Schillebeeckx</w:t>
      </w:r>
      <w:proofErr w:type="spellEnd"/>
      <w:r w:rsidRPr="00D53EFA">
        <w:rPr>
          <w:rFonts w:asciiTheme="majorBidi" w:hAnsiTheme="majorBidi" w:cstheme="majorBidi"/>
          <w:sz w:val="26"/>
          <w:szCs w:val="26"/>
          <w:lang w:bidi="ar-EG"/>
        </w:rPr>
        <w:t>, S. J. (2022). Digital transformation, sustainability, and purpose in the multinational enterprise. </w:t>
      </w:r>
      <w:r w:rsidRPr="00D53EFA">
        <w:rPr>
          <w:rFonts w:asciiTheme="majorBidi" w:hAnsiTheme="majorBidi" w:cstheme="majorBidi"/>
          <w:i/>
          <w:iCs/>
          <w:sz w:val="26"/>
          <w:szCs w:val="26"/>
          <w:lang w:bidi="ar-EG"/>
        </w:rPr>
        <w:t>Journal of World Business</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57</w:t>
      </w:r>
      <w:r w:rsidRPr="00D53EFA">
        <w:rPr>
          <w:rFonts w:asciiTheme="majorBidi" w:hAnsiTheme="majorBidi" w:cstheme="majorBidi"/>
          <w:sz w:val="26"/>
          <w:szCs w:val="26"/>
          <w:lang w:bidi="ar-EG"/>
        </w:rPr>
        <w:t>(3), 101326</w:t>
      </w:r>
      <w:r w:rsidRPr="00D53EFA">
        <w:rPr>
          <w:rFonts w:asciiTheme="majorBidi" w:hAnsiTheme="majorBidi" w:cstheme="majorBidi"/>
          <w:sz w:val="26"/>
          <w:szCs w:val="26"/>
        </w:rPr>
        <w:t>.</w:t>
      </w:r>
    </w:p>
    <w:p w14:paraId="0B67328E"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GrapeUp</w:t>
      </w:r>
      <w:proofErr w:type="spellEnd"/>
      <w:r w:rsidRPr="00D53EFA">
        <w:rPr>
          <w:rFonts w:asciiTheme="majorBidi" w:hAnsiTheme="majorBidi" w:cstheme="majorBidi"/>
          <w:sz w:val="26"/>
          <w:szCs w:val="26"/>
          <w:lang w:bidi="ar-EG"/>
        </w:rPr>
        <w:t xml:space="preserve">. (2024). Addressing data governance challenges in enterprises through the use of LLM hubs. </w:t>
      </w:r>
      <w:hyperlink r:id="rId21" w:history="1">
        <w:r w:rsidRPr="00D53EFA">
          <w:rPr>
            <w:rFonts w:asciiTheme="majorBidi" w:hAnsiTheme="majorBidi" w:cstheme="majorBidi"/>
            <w:color w:val="0563C1" w:themeColor="hyperlink"/>
            <w:sz w:val="26"/>
            <w:szCs w:val="26"/>
            <w:u w:val="single"/>
            <w:lang w:bidi="ar-EG"/>
          </w:rPr>
          <w:t>https://grapeup.com/blog/addressing-data-governance-challenges-in-enterprises-through-the-use-of-llm-hubs/</w:t>
        </w:r>
      </w:hyperlink>
    </w:p>
    <w:p w14:paraId="110B2D9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Hair, J. F., Hult, G. T. M., Ringle, C. M., Sarstedt, M., Danks, N. P., &amp; Ray, S. (2021). Partial least squares structural equation modeling (PLS-SEM) using R: A workbook. Springer international publishing.</w:t>
      </w:r>
      <w:r w:rsidRPr="00D53EFA">
        <w:rPr>
          <w:rFonts w:asciiTheme="majorBidi" w:hAnsiTheme="majorBidi" w:cstheme="majorBidi"/>
          <w:sz w:val="26"/>
          <w:szCs w:val="26"/>
          <w:rtl/>
        </w:rPr>
        <w:t>‏</w:t>
      </w:r>
    </w:p>
    <w:p w14:paraId="74E159B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Handler, A., Larsen, K. R., &amp; Hackathorn, R. (2024). Large language models present new questions for decision support. </w:t>
      </w:r>
      <w:r w:rsidRPr="00D53EFA">
        <w:rPr>
          <w:rFonts w:asciiTheme="majorBidi" w:hAnsiTheme="majorBidi" w:cstheme="majorBidi"/>
          <w:i/>
          <w:iCs/>
          <w:sz w:val="26"/>
          <w:szCs w:val="26"/>
          <w:lang w:bidi="ar-EG"/>
        </w:rPr>
        <w:t>International Journal of Information Management</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79</w:t>
      </w:r>
      <w:r w:rsidRPr="00D53EFA">
        <w:rPr>
          <w:rFonts w:asciiTheme="majorBidi" w:hAnsiTheme="majorBidi" w:cstheme="majorBidi"/>
          <w:sz w:val="26"/>
          <w:szCs w:val="26"/>
          <w:lang w:bidi="ar-EG"/>
        </w:rPr>
        <w:t>, 102811.</w:t>
      </w:r>
      <w:r w:rsidRPr="00D53EFA">
        <w:rPr>
          <w:rFonts w:asciiTheme="majorBidi" w:hAnsiTheme="majorBidi" w:cstheme="majorBidi"/>
          <w:sz w:val="26"/>
          <w:szCs w:val="26"/>
          <w:rtl/>
        </w:rPr>
        <w:t>‏</w:t>
      </w:r>
      <w:r w:rsidRPr="00D53EFA">
        <w:rPr>
          <w:rFonts w:asciiTheme="majorBidi" w:hAnsiTheme="majorBidi" w:cstheme="majorBidi"/>
          <w:sz w:val="26"/>
          <w:szCs w:val="26"/>
          <w:lang w:bidi="ar-EG"/>
        </w:rPr>
        <w:br/>
        <w:t>Galbraith, J. R. (1974). Organization design: An information processing view. Interfaces, 4(3), 28-36.</w:t>
      </w:r>
      <w:r w:rsidRPr="00D53EFA">
        <w:rPr>
          <w:rFonts w:asciiTheme="majorBidi" w:hAnsiTheme="majorBidi" w:cstheme="majorBidi"/>
          <w:sz w:val="26"/>
          <w:szCs w:val="26"/>
          <w:rtl/>
        </w:rPr>
        <w:t>‏</w:t>
      </w:r>
    </w:p>
    <w:p w14:paraId="043C9DF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Henseler, J., Ringle, C. M., &amp; Sarstedt, M. (2015). A new criterion for assessing discriminant validity in variance-based structural equation modeling. Journal of the academy of marketing science, 43(1), 115-135.</w:t>
      </w:r>
      <w:r w:rsidRPr="00D53EFA">
        <w:rPr>
          <w:rFonts w:asciiTheme="majorBidi" w:hAnsiTheme="majorBidi" w:cstheme="majorBidi"/>
          <w:sz w:val="26"/>
          <w:szCs w:val="26"/>
          <w:rtl/>
        </w:rPr>
        <w:t>‏</w:t>
      </w:r>
    </w:p>
    <w:p w14:paraId="24852C1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Heredia, J., Castillo-Vergara, M., </w:t>
      </w:r>
      <w:proofErr w:type="spellStart"/>
      <w:r w:rsidRPr="00D53EFA">
        <w:rPr>
          <w:rFonts w:asciiTheme="majorBidi" w:hAnsiTheme="majorBidi" w:cstheme="majorBidi"/>
          <w:sz w:val="26"/>
          <w:szCs w:val="26"/>
          <w:lang w:bidi="ar-EG"/>
        </w:rPr>
        <w:t>Geldes</w:t>
      </w:r>
      <w:proofErr w:type="spellEnd"/>
      <w:r w:rsidRPr="00D53EFA">
        <w:rPr>
          <w:rFonts w:asciiTheme="majorBidi" w:hAnsiTheme="majorBidi" w:cstheme="majorBidi"/>
          <w:sz w:val="26"/>
          <w:szCs w:val="26"/>
          <w:lang w:bidi="ar-EG"/>
        </w:rPr>
        <w:t>, C., Gamarra, F. M. C., Flores, A., &amp; Heredia, W. (2022). How do digital capabilities affect firm performance? The mediating role of technological capabilities in the “new normal”. </w:t>
      </w:r>
      <w:r w:rsidRPr="00D53EFA">
        <w:rPr>
          <w:rFonts w:asciiTheme="majorBidi" w:hAnsiTheme="majorBidi" w:cstheme="majorBidi"/>
          <w:i/>
          <w:iCs/>
          <w:sz w:val="26"/>
          <w:szCs w:val="26"/>
          <w:lang w:bidi="ar-EG"/>
        </w:rPr>
        <w:t>Journal of innovation &amp; knowledge</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7</w:t>
      </w:r>
      <w:r w:rsidRPr="00D53EFA">
        <w:rPr>
          <w:rFonts w:asciiTheme="majorBidi" w:hAnsiTheme="majorBidi" w:cstheme="majorBidi"/>
          <w:sz w:val="26"/>
          <w:szCs w:val="26"/>
          <w:lang w:bidi="ar-EG"/>
        </w:rPr>
        <w:t>(2), 100171.</w:t>
      </w:r>
      <w:r w:rsidRPr="00D53EFA">
        <w:rPr>
          <w:rFonts w:asciiTheme="majorBidi" w:hAnsiTheme="majorBidi" w:cstheme="majorBidi"/>
          <w:sz w:val="26"/>
          <w:szCs w:val="26"/>
          <w:rtl/>
        </w:rPr>
        <w:t>‏</w:t>
      </w:r>
    </w:p>
    <w:p w14:paraId="23F9C8B3"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Hilty, L. M., &amp; Aebischer, B. (2015). ICT for sustainability: An emerging research field. </w:t>
      </w:r>
      <w:r w:rsidRPr="00D53EFA">
        <w:rPr>
          <w:rFonts w:asciiTheme="majorBidi" w:hAnsiTheme="majorBidi" w:cstheme="majorBidi"/>
          <w:i/>
          <w:iCs/>
          <w:sz w:val="26"/>
          <w:szCs w:val="26"/>
          <w:lang w:bidi="ar-EG"/>
        </w:rPr>
        <w:t>Sustainability, 7</w:t>
      </w:r>
      <w:r w:rsidRPr="00D53EFA">
        <w:rPr>
          <w:rFonts w:asciiTheme="majorBidi" w:hAnsiTheme="majorBidi" w:cstheme="majorBidi"/>
          <w:sz w:val="26"/>
          <w:szCs w:val="26"/>
          <w:lang w:bidi="ar-EG"/>
        </w:rPr>
        <w:t>(6), 6666–6681.</w:t>
      </w:r>
    </w:p>
    <w:p w14:paraId="40953A0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IBM. (2024, November 4). Impact on data governance with generative AI – Part two. </w:t>
      </w:r>
      <w:hyperlink r:id="rId22" w:history="1">
        <w:r w:rsidRPr="00D53EFA">
          <w:rPr>
            <w:rFonts w:asciiTheme="majorBidi" w:hAnsiTheme="majorBidi" w:cstheme="majorBidi"/>
            <w:color w:val="0563C1" w:themeColor="hyperlink"/>
            <w:sz w:val="26"/>
            <w:szCs w:val="26"/>
            <w:u w:val="single"/>
            <w:lang w:bidi="ar-EG"/>
          </w:rPr>
          <w:t>https://www.ibm.com/think/news/impact-on-data-governance-with-generative-ai-part-two</w:t>
        </w:r>
      </w:hyperlink>
    </w:p>
    <w:p w14:paraId="37E0889F"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IBM. (2024, October 27). Impact on data governance with generative AI – Part one. IBM Think. </w:t>
      </w:r>
      <w:hyperlink r:id="rId23" w:history="1">
        <w:r w:rsidRPr="00D53EFA">
          <w:rPr>
            <w:rFonts w:asciiTheme="majorBidi" w:hAnsiTheme="majorBidi" w:cstheme="majorBidi"/>
            <w:color w:val="0563C1" w:themeColor="hyperlink"/>
            <w:sz w:val="26"/>
            <w:szCs w:val="26"/>
            <w:u w:val="single"/>
            <w:lang w:bidi="ar-EG"/>
          </w:rPr>
          <w:t>https://www.ibm.com/blog/impact-on-data-governance-with-generative-ai-part-one/</w:t>
        </w:r>
      </w:hyperlink>
    </w:p>
    <w:p w14:paraId="3BE60052"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lastRenderedPageBreak/>
        <w:t xml:space="preserve">Idris, M. D., Feng, X., &amp; </w:t>
      </w:r>
      <w:proofErr w:type="spellStart"/>
      <w:r w:rsidRPr="00D53EFA">
        <w:rPr>
          <w:rFonts w:asciiTheme="majorBidi" w:hAnsiTheme="majorBidi" w:cstheme="majorBidi"/>
          <w:sz w:val="26"/>
          <w:szCs w:val="26"/>
          <w:lang w:bidi="ar-EG"/>
        </w:rPr>
        <w:t>Dyo</w:t>
      </w:r>
      <w:proofErr w:type="spellEnd"/>
      <w:r w:rsidRPr="00D53EFA">
        <w:rPr>
          <w:rFonts w:asciiTheme="majorBidi" w:hAnsiTheme="majorBidi" w:cstheme="majorBidi"/>
          <w:sz w:val="26"/>
          <w:szCs w:val="26"/>
          <w:lang w:bidi="ar-EG"/>
        </w:rPr>
        <w:t xml:space="preserve">, V. (2024). Revolutionizing higher education: Unleashing the potential of large language models for strategic transformation. </w:t>
      </w:r>
      <w:proofErr w:type="spellStart"/>
      <w:r w:rsidRPr="00D53EFA">
        <w:rPr>
          <w:rFonts w:asciiTheme="majorBidi" w:hAnsiTheme="majorBidi" w:cstheme="majorBidi"/>
          <w:sz w:val="26"/>
          <w:szCs w:val="26"/>
          <w:lang w:bidi="ar-EG"/>
        </w:rPr>
        <w:t>IEEe</w:t>
      </w:r>
      <w:proofErr w:type="spellEnd"/>
      <w:r w:rsidRPr="00D53EFA">
        <w:rPr>
          <w:rFonts w:asciiTheme="majorBidi" w:hAnsiTheme="majorBidi" w:cstheme="majorBidi"/>
          <w:sz w:val="26"/>
          <w:szCs w:val="26"/>
          <w:lang w:bidi="ar-EG"/>
        </w:rPr>
        <w:t xml:space="preserve"> Access, 12, 67738-67757.</w:t>
      </w:r>
      <w:r w:rsidRPr="00D53EFA">
        <w:rPr>
          <w:rFonts w:asciiTheme="majorBidi" w:hAnsiTheme="majorBidi" w:cstheme="majorBidi"/>
          <w:sz w:val="26"/>
          <w:szCs w:val="26"/>
          <w:rtl/>
        </w:rPr>
        <w:t>‏</w:t>
      </w:r>
    </w:p>
    <w:p w14:paraId="01A72B5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Imai, K. (2010). Structural equation modeling: Lecture notes. Department of Government, Harvard University. </w:t>
      </w:r>
      <w:hyperlink r:id="rId24" w:history="1">
        <w:r w:rsidRPr="00D53EFA">
          <w:rPr>
            <w:rFonts w:asciiTheme="majorBidi" w:hAnsiTheme="majorBidi" w:cstheme="majorBidi"/>
            <w:color w:val="0563C1" w:themeColor="hyperlink"/>
            <w:sz w:val="26"/>
            <w:szCs w:val="26"/>
            <w:u w:val="single"/>
            <w:lang w:bidi="ar-EG"/>
          </w:rPr>
          <w:t>https://imai.fas.harvard.edu/teaching-files/sem.pdf</w:t>
        </w:r>
      </w:hyperlink>
    </w:p>
    <w:p w14:paraId="0536BBD8" w14:textId="77777777" w:rsidR="00D53EFA" w:rsidRPr="00D53EFA" w:rsidRDefault="00D53EFA" w:rsidP="00D53EFA">
      <w:pPr>
        <w:bidi w:val="0"/>
        <w:spacing w:after="0" w:line="240" w:lineRule="auto"/>
        <w:ind w:hanging="720"/>
        <w:jc w:val="both"/>
        <w:rPr>
          <w:rFonts w:asciiTheme="majorBidi" w:eastAsia="Times New Roman" w:hAnsiTheme="majorBidi" w:cstheme="majorBidi"/>
          <w:sz w:val="26"/>
          <w:szCs w:val="26"/>
        </w:rPr>
      </w:pPr>
      <w:r w:rsidRPr="00D53EFA">
        <w:rPr>
          <w:rFonts w:asciiTheme="majorBidi" w:eastAsia="Times New Roman" w:hAnsiTheme="majorBidi" w:cstheme="majorBidi"/>
          <w:sz w:val="26"/>
          <w:szCs w:val="26"/>
        </w:rPr>
        <w:t>International Organization for Standardization. (2023). ISO/IEC 42001:2023 Artificial Intelligence Management System. ISO.</w:t>
      </w:r>
    </w:p>
    <w:p w14:paraId="1FD0FE07"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Izah, S. C., Sylva, L., &amp; Hait, M. (2023). Cronbach's alpha: A cornerstone in ensuring reliability and validity in environmental health assessment. ES Energy and Environment, 23, 1057.</w:t>
      </w:r>
      <w:r w:rsidRPr="00D53EFA">
        <w:rPr>
          <w:rFonts w:asciiTheme="majorBidi" w:hAnsiTheme="majorBidi" w:cstheme="majorBidi"/>
          <w:sz w:val="26"/>
          <w:szCs w:val="26"/>
          <w:rtl/>
        </w:rPr>
        <w:t>‏</w:t>
      </w:r>
    </w:p>
    <w:p w14:paraId="2FAE0621"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Jahanbakhsh, E. (2025). AI Capabilities and Strategic Agility in Emerging Markets: A Systematic Review and Integrative Framework. Available at SSRN 5407302.</w:t>
      </w:r>
      <w:r w:rsidRPr="00D53EFA">
        <w:rPr>
          <w:rFonts w:asciiTheme="majorBidi" w:hAnsiTheme="majorBidi" w:cstheme="majorBidi"/>
          <w:sz w:val="26"/>
          <w:szCs w:val="26"/>
          <w:rtl/>
        </w:rPr>
        <w:t>‏</w:t>
      </w:r>
    </w:p>
    <w:p w14:paraId="422DE14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Kytainyk, V. V., Yushchenko, A. G., &amp; </w:t>
      </w:r>
      <w:proofErr w:type="spellStart"/>
      <w:r w:rsidRPr="00D53EFA">
        <w:rPr>
          <w:rFonts w:asciiTheme="majorBidi" w:hAnsiTheme="majorBidi" w:cstheme="majorBidi"/>
          <w:sz w:val="26"/>
          <w:szCs w:val="26"/>
          <w:lang w:bidi="ar-EG"/>
        </w:rPr>
        <w:t>Lyalin</w:t>
      </w:r>
      <w:proofErr w:type="spellEnd"/>
      <w:r w:rsidRPr="00D53EFA">
        <w:rPr>
          <w:rFonts w:asciiTheme="majorBidi" w:hAnsiTheme="majorBidi" w:cstheme="majorBidi"/>
          <w:sz w:val="26"/>
          <w:szCs w:val="26"/>
          <w:lang w:bidi="ar-EG"/>
        </w:rPr>
        <w:t>, D. Y. (2025, May). AI-human cooperation in" Second Brain" Technology, as a modern implementation of general evolution in human-machine interaction. In 2025 7th International Congress on Human-Computer Interaction, Optimization and Robotic Applications (ICHORA) (pp. 1-9). IEEE.</w:t>
      </w:r>
      <w:r w:rsidRPr="00D53EFA">
        <w:rPr>
          <w:rFonts w:asciiTheme="majorBidi" w:hAnsiTheme="majorBidi" w:cstheme="majorBidi"/>
          <w:sz w:val="26"/>
          <w:szCs w:val="26"/>
          <w:rtl/>
        </w:rPr>
        <w:t>‏</w:t>
      </w:r>
    </w:p>
    <w:p w14:paraId="7528A60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Lee, C. H., Wang, D., Lyu, S., Evans, R. D., &amp; Li, L. (2023). A digital transformation-enabled framework and strategies for public health risk response and governance: China's experience. Industrial Management &amp; Data Systems, 123(1), 133–154.</w:t>
      </w:r>
    </w:p>
    <w:p w14:paraId="3376C12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Lee, J., &amp; </w:t>
      </w:r>
      <w:proofErr w:type="spellStart"/>
      <w:r w:rsidRPr="00D53EFA">
        <w:rPr>
          <w:rFonts w:asciiTheme="majorBidi" w:hAnsiTheme="majorBidi" w:cstheme="majorBidi"/>
          <w:sz w:val="26"/>
          <w:szCs w:val="26"/>
          <w:lang w:bidi="ar-EG"/>
        </w:rPr>
        <w:t>Darbellay</w:t>
      </w:r>
      <w:proofErr w:type="spellEnd"/>
      <w:r w:rsidRPr="00D53EFA">
        <w:rPr>
          <w:rFonts w:asciiTheme="majorBidi" w:hAnsiTheme="majorBidi" w:cstheme="majorBidi"/>
          <w:sz w:val="26"/>
          <w:szCs w:val="26"/>
          <w:lang w:bidi="ar-EG"/>
        </w:rPr>
        <w:t>, A. (Eds.). (2022). Data Governance in AI, FinTech and LegalTech: law and regulation in the financial sector. Edward Elgar Publishing.</w:t>
      </w:r>
      <w:r w:rsidRPr="00D53EFA">
        <w:rPr>
          <w:rFonts w:asciiTheme="majorBidi" w:hAnsiTheme="majorBidi" w:cstheme="majorBidi"/>
          <w:sz w:val="26"/>
          <w:szCs w:val="26"/>
          <w:rtl/>
        </w:rPr>
        <w:t>‏</w:t>
      </w:r>
    </w:p>
    <w:p w14:paraId="6DDD926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Lee, J., &amp; </w:t>
      </w:r>
      <w:proofErr w:type="spellStart"/>
      <w:r w:rsidRPr="00D53EFA">
        <w:rPr>
          <w:rFonts w:asciiTheme="majorBidi" w:hAnsiTheme="majorBidi" w:cstheme="majorBidi"/>
          <w:sz w:val="26"/>
          <w:szCs w:val="26"/>
          <w:lang w:bidi="ar-EG"/>
        </w:rPr>
        <w:t>Darbellay</w:t>
      </w:r>
      <w:proofErr w:type="spellEnd"/>
      <w:r w:rsidRPr="00D53EFA">
        <w:rPr>
          <w:rFonts w:asciiTheme="majorBidi" w:hAnsiTheme="majorBidi" w:cstheme="majorBidi"/>
          <w:sz w:val="26"/>
          <w:szCs w:val="26"/>
          <w:lang w:bidi="ar-EG"/>
        </w:rPr>
        <w:t>, A. (Eds.). (2022). Data governance in AI, FinTech and LegalTech: Law and regulation in the financial sector. Edward Elgar Publishing.</w:t>
      </w:r>
    </w:p>
    <w:p w14:paraId="6847001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Li, J., Zhou, Z., Lyu, H., &amp; Wang, Z. (2025). Large language models-powered clinical decision support: enhancing or replacing human </w:t>
      </w:r>
      <w:proofErr w:type="gramStart"/>
      <w:r w:rsidRPr="00D53EFA">
        <w:rPr>
          <w:rFonts w:asciiTheme="majorBidi" w:hAnsiTheme="majorBidi" w:cstheme="majorBidi"/>
          <w:sz w:val="26"/>
          <w:szCs w:val="26"/>
          <w:lang w:bidi="ar-EG"/>
        </w:rPr>
        <w:t>expertise?.</w:t>
      </w:r>
      <w:proofErr w:type="gramEnd"/>
      <w:r w:rsidRPr="00D53EFA">
        <w:rPr>
          <w:rFonts w:asciiTheme="majorBidi" w:hAnsiTheme="majorBidi" w:cstheme="majorBidi"/>
          <w:sz w:val="26"/>
          <w:szCs w:val="26"/>
          <w:lang w:bidi="ar-EG"/>
        </w:rPr>
        <w:t xml:space="preserve"> Intelligent Medicine, 5(1), 1-4.</w:t>
      </w:r>
      <w:r w:rsidRPr="00D53EFA">
        <w:rPr>
          <w:rFonts w:asciiTheme="majorBidi" w:hAnsiTheme="majorBidi" w:cstheme="majorBidi"/>
          <w:sz w:val="26"/>
          <w:szCs w:val="26"/>
          <w:rtl/>
        </w:rPr>
        <w:t>‏</w:t>
      </w:r>
    </w:p>
    <w:p w14:paraId="06DC5273"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Lorè</w:t>
      </w:r>
      <w:proofErr w:type="spellEnd"/>
      <w:r w:rsidRPr="00D53EFA">
        <w:rPr>
          <w:rFonts w:asciiTheme="majorBidi" w:hAnsiTheme="majorBidi" w:cstheme="majorBidi"/>
          <w:sz w:val="26"/>
          <w:szCs w:val="26"/>
          <w:lang w:bidi="ar-EG"/>
        </w:rPr>
        <w:t>, N., &amp; Heydari, B. (2024). Strategic behavior of large language models and the role of game structure versus contextual framing. Scientific Reports, 14(1), 18490.</w:t>
      </w:r>
      <w:r w:rsidRPr="00D53EFA">
        <w:rPr>
          <w:rFonts w:asciiTheme="majorBidi" w:hAnsiTheme="majorBidi" w:cstheme="majorBidi"/>
          <w:sz w:val="26"/>
          <w:szCs w:val="26"/>
          <w:rtl/>
        </w:rPr>
        <w:t>‏</w:t>
      </w:r>
    </w:p>
    <w:p w14:paraId="4D53A732"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Malander Advisory. (2025, November 11). Strategic agility in 2026: Building a flexible, measurable strategy that works. </w:t>
      </w:r>
      <w:hyperlink r:id="rId25" w:history="1">
        <w:r w:rsidRPr="00D53EFA">
          <w:rPr>
            <w:rFonts w:asciiTheme="majorBidi" w:hAnsiTheme="majorBidi" w:cstheme="majorBidi"/>
            <w:color w:val="0563C1" w:themeColor="hyperlink"/>
            <w:sz w:val="26"/>
            <w:szCs w:val="26"/>
            <w:u w:val="single"/>
            <w:lang w:bidi="ar-EG"/>
          </w:rPr>
          <w:t>https://malanderadvisory.com/strategic-agility-in-2026-building-a-flexible-measurable-strategy-that-works/</w:t>
        </w:r>
      </w:hyperlink>
    </w:p>
    <w:p w14:paraId="1D42037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Malik, M., </w:t>
      </w:r>
      <w:proofErr w:type="spellStart"/>
      <w:r w:rsidRPr="00D53EFA">
        <w:rPr>
          <w:rFonts w:asciiTheme="majorBidi" w:hAnsiTheme="majorBidi" w:cstheme="majorBidi"/>
          <w:sz w:val="26"/>
          <w:szCs w:val="26"/>
          <w:lang w:bidi="ar-EG"/>
        </w:rPr>
        <w:t>Andargoli</w:t>
      </w:r>
      <w:proofErr w:type="spellEnd"/>
      <w:r w:rsidRPr="00D53EFA">
        <w:rPr>
          <w:rFonts w:asciiTheme="majorBidi" w:hAnsiTheme="majorBidi" w:cstheme="majorBidi"/>
          <w:sz w:val="26"/>
          <w:szCs w:val="26"/>
          <w:lang w:bidi="ar-EG"/>
        </w:rPr>
        <w:t>, A., Tallon, P., &amp; Wickramasinghe, N. (2025). An organizational sensemaking theorizing of how firms construct digitally enabled strategic agility. Information &amp; Management, 62(4), 104130.</w:t>
      </w:r>
      <w:r w:rsidRPr="00D53EFA">
        <w:rPr>
          <w:rFonts w:asciiTheme="majorBidi" w:hAnsiTheme="majorBidi" w:cstheme="majorBidi"/>
          <w:sz w:val="26"/>
          <w:szCs w:val="26"/>
          <w:rtl/>
        </w:rPr>
        <w:t>‏</w:t>
      </w:r>
    </w:p>
    <w:p w14:paraId="088B4E43"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Maroufkhani</w:t>
      </w:r>
      <w:proofErr w:type="spellEnd"/>
      <w:r w:rsidRPr="00D53EFA">
        <w:rPr>
          <w:rFonts w:asciiTheme="majorBidi" w:hAnsiTheme="majorBidi" w:cstheme="majorBidi"/>
          <w:sz w:val="26"/>
          <w:szCs w:val="26"/>
          <w:lang w:bidi="ar-EG"/>
        </w:rPr>
        <w:t xml:space="preserve">, P., Wagner, R., Wan Ismail, W. K., </w:t>
      </w:r>
      <w:proofErr w:type="spellStart"/>
      <w:r w:rsidRPr="00D53EFA">
        <w:rPr>
          <w:rFonts w:asciiTheme="majorBidi" w:hAnsiTheme="majorBidi" w:cstheme="majorBidi"/>
          <w:sz w:val="26"/>
          <w:szCs w:val="26"/>
          <w:lang w:bidi="ar-EG"/>
        </w:rPr>
        <w:t>Baroto</w:t>
      </w:r>
      <w:proofErr w:type="spellEnd"/>
      <w:r w:rsidRPr="00D53EFA">
        <w:rPr>
          <w:rFonts w:asciiTheme="majorBidi" w:hAnsiTheme="majorBidi" w:cstheme="majorBidi"/>
          <w:sz w:val="26"/>
          <w:szCs w:val="26"/>
          <w:lang w:bidi="ar-EG"/>
        </w:rPr>
        <w:t>, M. B., &amp; Nourani, M. (2019). Big data analytics and firm performance: A systematic review. </w:t>
      </w:r>
      <w:r w:rsidRPr="00D53EFA">
        <w:rPr>
          <w:rFonts w:asciiTheme="majorBidi" w:hAnsiTheme="majorBidi" w:cstheme="majorBidi"/>
          <w:i/>
          <w:iCs/>
          <w:sz w:val="26"/>
          <w:szCs w:val="26"/>
          <w:lang w:bidi="ar-EG"/>
        </w:rPr>
        <w:t>Information</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10</w:t>
      </w:r>
      <w:r w:rsidRPr="00D53EFA">
        <w:rPr>
          <w:rFonts w:asciiTheme="majorBidi" w:hAnsiTheme="majorBidi" w:cstheme="majorBidi"/>
          <w:sz w:val="26"/>
          <w:szCs w:val="26"/>
          <w:lang w:bidi="ar-EG"/>
        </w:rPr>
        <w:t>(7), 226.</w:t>
      </w:r>
      <w:r w:rsidRPr="00D53EFA">
        <w:rPr>
          <w:rFonts w:asciiTheme="majorBidi" w:hAnsiTheme="majorBidi" w:cstheme="majorBidi"/>
          <w:sz w:val="26"/>
          <w:szCs w:val="26"/>
          <w:rtl/>
        </w:rPr>
        <w:t>‏</w:t>
      </w:r>
    </w:p>
    <w:p w14:paraId="63462100"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Mergel, I., Edelmann, N., &amp; Haug, N. (2019). Defining digital transformation: Results from expert interviews. </w:t>
      </w:r>
      <w:r w:rsidRPr="00D53EFA">
        <w:rPr>
          <w:rFonts w:asciiTheme="majorBidi" w:hAnsiTheme="majorBidi" w:cstheme="majorBidi"/>
          <w:i/>
          <w:iCs/>
          <w:sz w:val="26"/>
          <w:szCs w:val="26"/>
          <w:lang w:bidi="ar-EG"/>
        </w:rPr>
        <w:t>Government Information Quarterly, 36</w:t>
      </w:r>
      <w:r w:rsidRPr="00D53EFA">
        <w:rPr>
          <w:rFonts w:asciiTheme="majorBidi" w:hAnsiTheme="majorBidi" w:cstheme="majorBidi"/>
          <w:sz w:val="26"/>
          <w:szCs w:val="26"/>
          <w:lang w:bidi="ar-EG"/>
        </w:rPr>
        <w:t>(4), 101385.</w:t>
      </w:r>
    </w:p>
    <w:p w14:paraId="146CF3D7"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lastRenderedPageBreak/>
        <w:t xml:space="preserve">MIT Sloan Management Review. (2024). Will large language models really change how work is </w:t>
      </w:r>
      <w:proofErr w:type="gramStart"/>
      <w:r w:rsidRPr="00D53EFA">
        <w:rPr>
          <w:rFonts w:asciiTheme="majorBidi" w:hAnsiTheme="majorBidi" w:cstheme="majorBidi"/>
          <w:sz w:val="26"/>
          <w:szCs w:val="26"/>
          <w:lang w:bidi="ar-EG"/>
        </w:rPr>
        <w:t>done?.</w:t>
      </w:r>
      <w:proofErr w:type="gramEnd"/>
      <w:r w:rsidRPr="00D53EFA">
        <w:rPr>
          <w:rFonts w:asciiTheme="majorBidi" w:hAnsiTheme="majorBidi" w:cstheme="majorBidi"/>
          <w:sz w:val="26"/>
          <w:szCs w:val="26"/>
          <w:lang w:bidi="ar-EG"/>
        </w:rPr>
        <w:t xml:space="preserve"> </w:t>
      </w:r>
      <w:hyperlink r:id="rId26" w:history="1">
        <w:r w:rsidRPr="00D53EFA">
          <w:rPr>
            <w:rFonts w:asciiTheme="majorBidi" w:hAnsiTheme="majorBidi" w:cstheme="majorBidi"/>
            <w:color w:val="0563C1" w:themeColor="hyperlink"/>
            <w:sz w:val="26"/>
            <w:szCs w:val="26"/>
            <w:u w:val="single"/>
            <w:lang w:bidi="ar-EG"/>
          </w:rPr>
          <w:t>https://sloanreview.mit.edu/article/will-large-language-models-really-change-how-work-is-done/</w:t>
        </w:r>
      </w:hyperlink>
    </w:p>
    <w:p w14:paraId="32D335B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Mueller‐</w:t>
      </w:r>
      <w:proofErr w:type="spellStart"/>
      <w:r w:rsidRPr="00D53EFA">
        <w:rPr>
          <w:rFonts w:asciiTheme="majorBidi" w:hAnsiTheme="majorBidi" w:cstheme="majorBidi"/>
          <w:sz w:val="26"/>
          <w:szCs w:val="26"/>
          <w:lang w:bidi="ar-EG"/>
        </w:rPr>
        <w:t>Saegebrecht</w:t>
      </w:r>
      <w:proofErr w:type="spellEnd"/>
      <w:r w:rsidRPr="00D53EFA">
        <w:rPr>
          <w:rFonts w:asciiTheme="majorBidi" w:hAnsiTheme="majorBidi" w:cstheme="majorBidi"/>
          <w:sz w:val="26"/>
          <w:szCs w:val="26"/>
          <w:lang w:bidi="ar-EG"/>
        </w:rPr>
        <w:t>, S., &amp; Walter, A. T. (2025). Strategic agility—an urgent capability for successful business model innovation? A conceptual process model and theoretical framework. Strategic Change, 34(3), 407-428.</w:t>
      </w:r>
      <w:r w:rsidRPr="00D53EFA">
        <w:rPr>
          <w:rFonts w:asciiTheme="majorBidi" w:hAnsiTheme="majorBidi" w:cstheme="majorBidi"/>
          <w:sz w:val="26"/>
          <w:szCs w:val="26"/>
          <w:rtl/>
        </w:rPr>
        <w:t>‏</w:t>
      </w:r>
    </w:p>
    <w:p w14:paraId="6BC10A5E"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Nugroho, W., Hussein, A. S., </w:t>
      </w:r>
      <w:proofErr w:type="spellStart"/>
      <w:r w:rsidRPr="00D53EFA">
        <w:rPr>
          <w:rFonts w:asciiTheme="majorBidi" w:hAnsiTheme="majorBidi" w:cstheme="majorBidi"/>
          <w:sz w:val="26"/>
          <w:szCs w:val="26"/>
          <w:lang w:bidi="ar-EG"/>
        </w:rPr>
        <w:t>Prabandari</w:t>
      </w:r>
      <w:proofErr w:type="spellEnd"/>
      <w:r w:rsidRPr="00D53EFA">
        <w:rPr>
          <w:rFonts w:asciiTheme="majorBidi" w:hAnsiTheme="majorBidi" w:cstheme="majorBidi"/>
          <w:sz w:val="26"/>
          <w:szCs w:val="26"/>
          <w:lang w:bidi="ar-EG"/>
        </w:rPr>
        <w:t xml:space="preserve">, P., &amp; </w:t>
      </w:r>
      <w:proofErr w:type="spellStart"/>
      <w:r w:rsidRPr="00D53EFA">
        <w:rPr>
          <w:rFonts w:asciiTheme="majorBidi" w:hAnsiTheme="majorBidi" w:cstheme="majorBidi"/>
          <w:sz w:val="26"/>
          <w:szCs w:val="26"/>
          <w:lang w:bidi="ar-EG"/>
        </w:rPr>
        <w:t>Kurniawati</w:t>
      </w:r>
      <w:proofErr w:type="spellEnd"/>
      <w:r w:rsidRPr="00D53EFA">
        <w:rPr>
          <w:rFonts w:asciiTheme="majorBidi" w:hAnsiTheme="majorBidi" w:cstheme="majorBidi"/>
          <w:sz w:val="26"/>
          <w:szCs w:val="26"/>
          <w:lang w:bidi="ar-EG"/>
        </w:rPr>
        <w:t>, D. T. (2026, March). Strategic Agility as a Dynamic Capability for Corporate Sustainability in the Digital Age: A Systematic Literature Review. In International Conference on Multidisciplinary Issues (INCOMI 2025) (pp. 279-312). Atlantis Press.</w:t>
      </w:r>
      <w:r w:rsidRPr="00D53EFA">
        <w:rPr>
          <w:rFonts w:asciiTheme="majorBidi" w:hAnsiTheme="majorBidi" w:cstheme="majorBidi"/>
          <w:sz w:val="26"/>
          <w:szCs w:val="26"/>
          <w:rtl/>
        </w:rPr>
        <w:t>‏</w:t>
      </w:r>
    </w:p>
    <w:p w14:paraId="67B7A44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Nyamboga</w:t>
      </w:r>
      <w:proofErr w:type="spellEnd"/>
      <w:r w:rsidRPr="00D53EFA">
        <w:rPr>
          <w:rFonts w:asciiTheme="majorBidi" w:hAnsiTheme="majorBidi" w:cstheme="majorBidi"/>
          <w:sz w:val="26"/>
          <w:szCs w:val="26"/>
          <w:lang w:bidi="ar-EG"/>
        </w:rPr>
        <w:t>, T. O. (2025). Enhancing Strategic Agility and Real Time Decision-Making in the Technology Sector: Exploring the Role of AI and e-HRM Systems. F1000Research, 14, 1238.</w:t>
      </w:r>
      <w:r w:rsidRPr="00D53EFA">
        <w:rPr>
          <w:rFonts w:asciiTheme="majorBidi" w:hAnsiTheme="majorBidi" w:cstheme="majorBidi"/>
          <w:sz w:val="26"/>
          <w:szCs w:val="26"/>
          <w:rtl/>
        </w:rPr>
        <w:t>‏</w:t>
      </w:r>
    </w:p>
    <w:p w14:paraId="0B25C91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OECD. (2025). Tools for agility: Actionable strategic intelligence and policy responsiveness. </w:t>
      </w:r>
      <w:hyperlink r:id="rId27" w:history="1">
        <w:r w:rsidRPr="00D53EFA">
          <w:rPr>
            <w:rFonts w:asciiTheme="majorBidi" w:hAnsiTheme="majorBidi" w:cstheme="majorBidi"/>
            <w:color w:val="0563C1" w:themeColor="hyperlink"/>
            <w:sz w:val="26"/>
            <w:szCs w:val="26"/>
            <w:u w:val="single"/>
            <w:lang w:bidi="ar-EG"/>
          </w:rPr>
          <w:t>https://www.oecd.org/en/topics/policy-issues/tools-for-agility.html</w:t>
        </w:r>
      </w:hyperlink>
    </w:p>
    <w:p w14:paraId="43A0C2B6"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OECD. (2026). Digital Government Outlook 2026. https://www.oecd.org/en/publications/oecd-digital-government-outlook-2026_d2c8f8b8-en.html</w:t>
      </w:r>
    </w:p>
    <w:p w14:paraId="095A98E9" w14:textId="77777777" w:rsidR="00D53EFA" w:rsidRPr="00D53EFA" w:rsidRDefault="00D53EFA" w:rsidP="00D53EFA">
      <w:pPr>
        <w:bidi w:val="0"/>
        <w:spacing w:after="0" w:line="240" w:lineRule="auto"/>
        <w:ind w:hanging="720"/>
        <w:jc w:val="both"/>
        <w:rPr>
          <w:rFonts w:asciiTheme="majorBidi" w:eastAsia="Times New Roman" w:hAnsiTheme="majorBidi" w:cstheme="majorBidi"/>
          <w:sz w:val="26"/>
          <w:szCs w:val="26"/>
          <w:lang w:bidi="ar-EG"/>
        </w:rPr>
      </w:pPr>
      <w:r w:rsidRPr="00D53EFA">
        <w:rPr>
          <w:rFonts w:asciiTheme="majorBidi" w:eastAsia="Times New Roman" w:hAnsiTheme="majorBidi" w:cstheme="majorBidi"/>
          <w:sz w:val="26"/>
          <w:szCs w:val="26"/>
        </w:rPr>
        <w:t xml:space="preserve">OECD. (2026). Digital Government Outlook 2026: From Foundations to Transformational </w:t>
      </w:r>
    </w:p>
    <w:p w14:paraId="73A8DF7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Open Data Policy Lab. (2024). Data governance innovations. </w:t>
      </w:r>
      <w:hyperlink r:id="rId28" w:history="1">
        <w:r w:rsidRPr="00D53EFA">
          <w:rPr>
            <w:rFonts w:asciiTheme="majorBidi" w:hAnsiTheme="majorBidi" w:cstheme="majorBidi"/>
            <w:color w:val="0563C1" w:themeColor="hyperlink"/>
            <w:sz w:val="26"/>
            <w:szCs w:val="26"/>
            <w:u w:val="single"/>
            <w:lang w:bidi="ar-EG"/>
          </w:rPr>
          <w:t>https://opendatapolicylab.org/</w:t>
        </w:r>
      </w:hyperlink>
    </w:p>
    <w:p w14:paraId="309284C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Pahune</w:t>
      </w:r>
      <w:proofErr w:type="spellEnd"/>
      <w:r w:rsidRPr="00D53EFA">
        <w:rPr>
          <w:rFonts w:asciiTheme="majorBidi" w:hAnsiTheme="majorBidi" w:cstheme="majorBidi"/>
          <w:sz w:val="26"/>
          <w:szCs w:val="26"/>
          <w:lang w:bidi="ar-EG"/>
        </w:rPr>
        <w:t xml:space="preserve">, S., Akhtar, Z., </w:t>
      </w:r>
      <w:proofErr w:type="spellStart"/>
      <w:r w:rsidRPr="00D53EFA">
        <w:rPr>
          <w:rFonts w:asciiTheme="majorBidi" w:hAnsiTheme="majorBidi" w:cstheme="majorBidi"/>
          <w:sz w:val="26"/>
          <w:szCs w:val="26"/>
          <w:lang w:bidi="ar-EG"/>
        </w:rPr>
        <w:t>Mandapati</w:t>
      </w:r>
      <w:proofErr w:type="spellEnd"/>
      <w:r w:rsidRPr="00D53EFA">
        <w:rPr>
          <w:rFonts w:asciiTheme="majorBidi" w:hAnsiTheme="majorBidi" w:cstheme="majorBidi"/>
          <w:sz w:val="26"/>
          <w:szCs w:val="26"/>
          <w:lang w:bidi="ar-EG"/>
        </w:rPr>
        <w:t>, V., &amp; Siddique, K. (2025). The importance of AI data governance in large language models. Big Data and Cognitive Computing, 9(6), 147.</w:t>
      </w:r>
      <w:r w:rsidRPr="00D53EFA">
        <w:rPr>
          <w:rFonts w:asciiTheme="majorBidi" w:hAnsiTheme="majorBidi" w:cstheme="majorBidi"/>
          <w:sz w:val="26"/>
          <w:szCs w:val="26"/>
          <w:rtl/>
        </w:rPr>
        <w:t>‏</w:t>
      </w:r>
    </w:p>
    <w:p w14:paraId="7FFC429E"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Parry, S. (2016). Fit indices commonly reported for CFA and SEM. Cornell Statistical Consulting Unit, Cornell University. </w:t>
      </w:r>
      <w:hyperlink r:id="rId29" w:history="1">
        <w:r w:rsidRPr="00D53EFA">
          <w:rPr>
            <w:rFonts w:asciiTheme="majorBidi" w:hAnsiTheme="majorBidi" w:cstheme="majorBidi"/>
            <w:color w:val="0563C1" w:themeColor="hyperlink"/>
            <w:sz w:val="26"/>
            <w:szCs w:val="26"/>
            <w:u w:val="single"/>
            <w:lang w:bidi="ar-EG"/>
          </w:rPr>
          <w:t>https://cscu.cornell.edu/wp-content/uploads/128_fitindices.pdf</w:t>
        </w:r>
      </w:hyperlink>
    </w:p>
    <w:p w14:paraId="0B94AB6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Payne, K., &amp; </w:t>
      </w:r>
      <w:proofErr w:type="spellStart"/>
      <w:r w:rsidRPr="00D53EFA">
        <w:rPr>
          <w:rFonts w:asciiTheme="majorBidi" w:hAnsiTheme="majorBidi" w:cstheme="majorBidi"/>
          <w:sz w:val="26"/>
          <w:szCs w:val="26"/>
          <w:lang w:bidi="ar-EG"/>
        </w:rPr>
        <w:t>Alloui</w:t>
      </w:r>
      <w:proofErr w:type="spellEnd"/>
      <w:r w:rsidRPr="00D53EFA">
        <w:rPr>
          <w:rFonts w:asciiTheme="majorBidi" w:hAnsiTheme="majorBidi" w:cstheme="majorBidi"/>
          <w:sz w:val="26"/>
          <w:szCs w:val="26"/>
          <w:lang w:bidi="ar-EG"/>
        </w:rPr>
        <w:t xml:space="preserve">-Cros, B. (2025). Strategic intelligence in large language models: Evidence from evolutionary game theory. </w:t>
      </w:r>
      <w:proofErr w:type="spellStart"/>
      <w:r w:rsidRPr="00D53EFA">
        <w:rPr>
          <w:rFonts w:asciiTheme="majorBidi" w:hAnsiTheme="majorBidi" w:cstheme="majorBidi"/>
          <w:sz w:val="26"/>
          <w:szCs w:val="26"/>
          <w:lang w:bidi="ar-EG"/>
        </w:rPr>
        <w:t>arXiv</w:t>
      </w:r>
      <w:proofErr w:type="spellEnd"/>
      <w:r w:rsidRPr="00D53EFA">
        <w:rPr>
          <w:rFonts w:asciiTheme="majorBidi" w:hAnsiTheme="majorBidi" w:cstheme="majorBidi"/>
          <w:sz w:val="26"/>
          <w:szCs w:val="26"/>
          <w:lang w:bidi="ar-EG"/>
        </w:rPr>
        <w:t xml:space="preserve"> preprint arXiv:2507.02618.</w:t>
      </w:r>
      <w:r w:rsidRPr="00D53EFA">
        <w:rPr>
          <w:rFonts w:asciiTheme="majorBidi" w:hAnsiTheme="majorBidi" w:cstheme="majorBidi"/>
          <w:sz w:val="26"/>
          <w:szCs w:val="26"/>
          <w:rtl/>
        </w:rPr>
        <w:t>‏</w:t>
      </w:r>
    </w:p>
    <w:p w14:paraId="61812A2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Prosci</w:t>
      </w:r>
      <w:proofErr w:type="spellEnd"/>
      <w:r w:rsidRPr="00D53EFA">
        <w:rPr>
          <w:rFonts w:asciiTheme="majorBidi" w:hAnsiTheme="majorBidi" w:cstheme="majorBidi"/>
          <w:sz w:val="26"/>
          <w:szCs w:val="26"/>
          <w:lang w:bidi="ar-EG"/>
        </w:rPr>
        <w:t xml:space="preserve">. (2026, April 13). Organizational agility in the age of AI. </w:t>
      </w:r>
      <w:proofErr w:type="spellStart"/>
      <w:r w:rsidRPr="00D53EFA">
        <w:rPr>
          <w:rFonts w:asciiTheme="majorBidi" w:hAnsiTheme="majorBidi" w:cstheme="majorBidi"/>
          <w:sz w:val="26"/>
          <w:szCs w:val="26"/>
          <w:lang w:bidi="ar-EG"/>
        </w:rPr>
        <w:t>Prosci</w:t>
      </w:r>
      <w:proofErr w:type="spellEnd"/>
      <w:r w:rsidRPr="00D53EFA">
        <w:rPr>
          <w:rFonts w:asciiTheme="majorBidi" w:hAnsiTheme="majorBidi" w:cstheme="majorBidi"/>
          <w:sz w:val="26"/>
          <w:szCs w:val="26"/>
          <w:lang w:bidi="ar-EG"/>
        </w:rPr>
        <w:t xml:space="preserve"> Blog. </w:t>
      </w:r>
      <w:hyperlink r:id="rId30" w:history="1">
        <w:r w:rsidRPr="00D53EFA">
          <w:rPr>
            <w:rFonts w:asciiTheme="majorBidi" w:hAnsiTheme="majorBidi" w:cstheme="majorBidi"/>
            <w:color w:val="0563C1" w:themeColor="hyperlink"/>
            <w:sz w:val="26"/>
            <w:szCs w:val="26"/>
            <w:u w:val="single"/>
            <w:lang w:bidi="ar-EG"/>
          </w:rPr>
          <w:t>https://www.prosci.com/blog/organizational-agility-in-the-age-of-ai</w:t>
        </w:r>
      </w:hyperlink>
    </w:p>
    <w:p w14:paraId="333BAEF4"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Reed, J. H. (2020). The effects of firm age and firm size on strategic agility and performance. Florida Institute of Technology.</w:t>
      </w:r>
      <w:r w:rsidRPr="00D53EFA">
        <w:rPr>
          <w:rFonts w:asciiTheme="majorBidi" w:hAnsiTheme="majorBidi" w:cstheme="majorBidi"/>
          <w:sz w:val="26"/>
          <w:szCs w:val="26"/>
          <w:rtl/>
        </w:rPr>
        <w:t>‏</w:t>
      </w:r>
    </w:p>
    <w:p w14:paraId="13B39FB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Repke, L., </w:t>
      </w:r>
      <w:proofErr w:type="spellStart"/>
      <w:r w:rsidRPr="00D53EFA">
        <w:rPr>
          <w:rFonts w:asciiTheme="majorBidi" w:hAnsiTheme="majorBidi" w:cstheme="majorBidi"/>
          <w:sz w:val="26"/>
          <w:szCs w:val="26"/>
          <w:lang w:bidi="ar-EG"/>
        </w:rPr>
        <w:t>Birkenmaier</w:t>
      </w:r>
      <w:proofErr w:type="spellEnd"/>
      <w:r w:rsidRPr="00D53EFA">
        <w:rPr>
          <w:rFonts w:asciiTheme="majorBidi" w:hAnsiTheme="majorBidi" w:cstheme="majorBidi"/>
          <w:sz w:val="26"/>
          <w:szCs w:val="26"/>
          <w:lang w:bidi="ar-EG"/>
        </w:rPr>
        <w:t>, L., &amp; Lechner, C. (2024). Validity in survey research-from research design to measurement instruments.</w:t>
      </w:r>
      <w:r w:rsidRPr="00D53EFA">
        <w:rPr>
          <w:rFonts w:asciiTheme="majorBidi" w:hAnsiTheme="majorBidi" w:cstheme="majorBidi"/>
          <w:sz w:val="26"/>
          <w:szCs w:val="26"/>
          <w:rtl/>
        </w:rPr>
        <w:t>‏</w:t>
      </w:r>
    </w:p>
    <w:p w14:paraId="6D03A1A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Responsible AI Labs. (2025, November 5). Enterprise AI governance: Implementation guide for 2025. </w:t>
      </w:r>
      <w:hyperlink r:id="rId31" w:history="1">
        <w:r w:rsidRPr="00D53EFA">
          <w:rPr>
            <w:rFonts w:asciiTheme="majorBidi" w:hAnsiTheme="majorBidi" w:cstheme="majorBidi"/>
            <w:color w:val="0563C1" w:themeColor="hyperlink"/>
            <w:sz w:val="26"/>
            <w:szCs w:val="26"/>
            <w:u w:val="single"/>
            <w:lang w:bidi="ar-EG"/>
          </w:rPr>
          <w:t>https://responsibleailabs.ai/enterprise-ai-governance-implementation-guide-2025</w:t>
        </w:r>
      </w:hyperlink>
    </w:p>
    <w:p w14:paraId="3F5D398B"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lastRenderedPageBreak/>
        <w:t>Shatila, K. (2025). Artificial intelligence and organizational resilience: the mediating role of agility, innovation, and digital leadership. Strategy &amp; Leadership, 1-25.</w:t>
      </w:r>
      <w:r w:rsidRPr="00D53EFA">
        <w:rPr>
          <w:rFonts w:asciiTheme="majorBidi" w:hAnsiTheme="majorBidi" w:cstheme="majorBidi"/>
          <w:sz w:val="26"/>
          <w:szCs w:val="26"/>
          <w:rtl/>
        </w:rPr>
        <w:t>‏</w:t>
      </w:r>
    </w:p>
    <w:p w14:paraId="7675540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Shi, D., Lee, T., &amp; </w:t>
      </w:r>
      <w:proofErr w:type="spellStart"/>
      <w:r w:rsidRPr="00D53EFA">
        <w:rPr>
          <w:rFonts w:asciiTheme="majorBidi" w:hAnsiTheme="majorBidi" w:cstheme="majorBidi"/>
          <w:sz w:val="26"/>
          <w:szCs w:val="26"/>
          <w:lang w:bidi="ar-EG"/>
        </w:rPr>
        <w:t>Maydeu</w:t>
      </w:r>
      <w:proofErr w:type="spellEnd"/>
      <w:r w:rsidRPr="00D53EFA">
        <w:rPr>
          <w:rFonts w:asciiTheme="majorBidi" w:hAnsiTheme="majorBidi" w:cstheme="majorBidi"/>
          <w:sz w:val="26"/>
          <w:szCs w:val="26"/>
          <w:lang w:bidi="ar-EG"/>
        </w:rPr>
        <w:t>-Olivares, A. (2019). Understanding the model size effect on SEM fit indices. Educational and psychological measurement, 79(2), 310-334.</w:t>
      </w:r>
      <w:r w:rsidRPr="00D53EFA">
        <w:rPr>
          <w:rFonts w:asciiTheme="majorBidi" w:hAnsiTheme="majorBidi" w:cstheme="majorBidi"/>
          <w:sz w:val="26"/>
          <w:szCs w:val="26"/>
          <w:rtl/>
        </w:rPr>
        <w:t>‏</w:t>
      </w:r>
    </w:p>
    <w:p w14:paraId="0E26464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SiliconFlow</w:t>
      </w:r>
      <w:proofErr w:type="spellEnd"/>
      <w:r w:rsidRPr="00D53EFA">
        <w:rPr>
          <w:rFonts w:asciiTheme="majorBidi" w:hAnsiTheme="majorBidi" w:cstheme="majorBidi"/>
          <w:sz w:val="26"/>
          <w:szCs w:val="26"/>
          <w:lang w:bidi="ar-EG"/>
        </w:rPr>
        <w:t xml:space="preserve">. (2026). Ultimate guide: Best open source LLM for strategizing in 2026. </w:t>
      </w:r>
      <w:hyperlink r:id="rId32" w:history="1">
        <w:r w:rsidRPr="00D53EFA">
          <w:rPr>
            <w:rFonts w:asciiTheme="majorBidi" w:hAnsiTheme="majorBidi" w:cstheme="majorBidi"/>
            <w:color w:val="0563C1" w:themeColor="hyperlink"/>
            <w:sz w:val="26"/>
            <w:szCs w:val="26"/>
            <w:u w:val="single"/>
            <w:lang w:bidi="ar-EG"/>
          </w:rPr>
          <w:t>https://siliconflow.com/blog/best-open-source-llm-for-strategizing-2026</w:t>
        </w:r>
      </w:hyperlink>
    </w:p>
    <w:p w14:paraId="6D63A7D9"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Steiber, A., &amp; Teece, D. J. (2026). The Dynamic Capabilities of Chinese Companies: Leadership in an Age of Disruptive Innovation. California Management Review, 68(2), 141-154.</w:t>
      </w:r>
      <w:r w:rsidRPr="00D53EFA">
        <w:rPr>
          <w:rFonts w:asciiTheme="majorBidi" w:hAnsiTheme="majorBidi" w:cstheme="majorBidi"/>
          <w:sz w:val="26"/>
          <w:szCs w:val="26"/>
          <w:rtl/>
        </w:rPr>
        <w:t>‏</w:t>
      </w:r>
    </w:p>
    <w:p w14:paraId="232B32A9"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Tallon, P. P., Queiroz, M., Coltman, T., &amp; Sharma, R. (2019). Information technology and the search for organizational agility: A systematic review with future research possibilities. The Journal of Strategic Information Systems, 28(2), 218-237.</w:t>
      </w:r>
      <w:r w:rsidRPr="00D53EFA">
        <w:rPr>
          <w:rFonts w:asciiTheme="majorBidi" w:hAnsiTheme="majorBidi" w:cstheme="majorBidi"/>
          <w:sz w:val="26"/>
          <w:szCs w:val="26"/>
          <w:rtl/>
        </w:rPr>
        <w:t>‏</w:t>
      </w:r>
    </w:p>
    <w:p w14:paraId="4B433691"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TASO. (2025). Designing Likert scales. </w:t>
      </w:r>
      <w:hyperlink r:id="rId33" w:history="1">
        <w:r w:rsidRPr="00D53EFA">
          <w:rPr>
            <w:rFonts w:asciiTheme="majorBidi" w:hAnsiTheme="majorBidi" w:cstheme="majorBidi"/>
            <w:color w:val="0563C1" w:themeColor="hyperlink"/>
            <w:sz w:val="26"/>
            <w:szCs w:val="26"/>
            <w:u w:val="single"/>
            <w:lang w:bidi="ar-EG"/>
          </w:rPr>
          <w:t>https://taso.org.uk/resources/guidance/designing-likert-scales/</w:t>
        </w:r>
      </w:hyperlink>
    </w:p>
    <w:p w14:paraId="6C9122DA"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Teece, D. J. (2007). Explicating dynamic capabilities: the nature and </w:t>
      </w:r>
      <w:proofErr w:type="spellStart"/>
      <w:r w:rsidRPr="00D53EFA">
        <w:rPr>
          <w:rFonts w:asciiTheme="majorBidi" w:hAnsiTheme="majorBidi" w:cstheme="majorBidi"/>
          <w:sz w:val="26"/>
          <w:szCs w:val="26"/>
          <w:lang w:bidi="ar-EG"/>
        </w:rPr>
        <w:t>microfoundations</w:t>
      </w:r>
      <w:proofErr w:type="spellEnd"/>
      <w:r w:rsidRPr="00D53EFA">
        <w:rPr>
          <w:rFonts w:asciiTheme="majorBidi" w:hAnsiTheme="majorBidi" w:cstheme="majorBidi"/>
          <w:sz w:val="26"/>
          <w:szCs w:val="26"/>
          <w:lang w:bidi="ar-EG"/>
        </w:rPr>
        <w:t xml:space="preserve"> of (sustainable) enterprise performance. Strategic management journal, 28(13), 1319-1350.</w:t>
      </w:r>
      <w:r w:rsidRPr="00D53EFA">
        <w:rPr>
          <w:rFonts w:asciiTheme="majorBidi" w:hAnsiTheme="majorBidi" w:cstheme="majorBidi"/>
          <w:sz w:val="26"/>
          <w:szCs w:val="26"/>
          <w:rtl/>
        </w:rPr>
        <w:t>‏</w:t>
      </w:r>
    </w:p>
    <w:p w14:paraId="16F2FEA8"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Teece, D. J. (2018). Business models and dynamic capabilities. Long range planning, 51(1), 40-49.</w:t>
      </w:r>
      <w:r w:rsidRPr="00D53EFA">
        <w:rPr>
          <w:rFonts w:asciiTheme="majorBidi" w:hAnsiTheme="majorBidi" w:cstheme="majorBidi"/>
          <w:sz w:val="26"/>
          <w:szCs w:val="26"/>
          <w:rtl/>
        </w:rPr>
        <w:t>‏</w:t>
      </w:r>
    </w:p>
    <w:p w14:paraId="03203772"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Teece, D. J. (2025). Dynamic Capabilities: Foundational Concepts. Cambridge University Press.</w:t>
      </w:r>
      <w:r w:rsidRPr="00D53EFA">
        <w:rPr>
          <w:rFonts w:asciiTheme="majorBidi" w:hAnsiTheme="majorBidi" w:cstheme="majorBidi"/>
          <w:sz w:val="26"/>
          <w:szCs w:val="26"/>
          <w:rtl/>
        </w:rPr>
        <w:t>‏</w:t>
      </w:r>
    </w:p>
    <w:p w14:paraId="05FBBDA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Teece, D. J., Pisano, G., &amp; </w:t>
      </w:r>
      <w:proofErr w:type="spellStart"/>
      <w:r w:rsidRPr="00D53EFA">
        <w:rPr>
          <w:rFonts w:asciiTheme="majorBidi" w:hAnsiTheme="majorBidi" w:cstheme="majorBidi"/>
          <w:sz w:val="26"/>
          <w:szCs w:val="26"/>
          <w:lang w:bidi="ar-EG"/>
        </w:rPr>
        <w:t>Shuen</w:t>
      </w:r>
      <w:proofErr w:type="spellEnd"/>
      <w:r w:rsidRPr="00D53EFA">
        <w:rPr>
          <w:rFonts w:asciiTheme="majorBidi" w:hAnsiTheme="majorBidi" w:cstheme="majorBidi"/>
          <w:sz w:val="26"/>
          <w:szCs w:val="26"/>
          <w:lang w:bidi="ar-EG"/>
        </w:rPr>
        <w:t>, A. (1997). Dynamic capabilities and strategic management. Strategic management journal, 18(7), 509-533.</w:t>
      </w:r>
      <w:r w:rsidRPr="00D53EFA">
        <w:rPr>
          <w:rFonts w:asciiTheme="majorBidi" w:hAnsiTheme="majorBidi" w:cstheme="majorBidi"/>
          <w:sz w:val="26"/>
          <w:szCs w:val="26"/>
          <w:rtl/>
        </w:rPr>
        <w:t>‏</w:t>
      </w:r>
    </w:p>
    <w:p w14:paraId="25A83E3D"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Teubner, T., Flath, C. M., Weinhardt, C., Van Der Aalst, W., &amp; Hinz, O. (2023). Welcome to the Era of ChatGPT et al. Business &amp; information systems engineering, 65(2), 95-101.</w:t>
      </w:r>
      <w:r w:rsidRPr="00D53EFA">
        <w:rPr>
          <w:rFonts w:asciiTheme="majorBidi" w:hAnsiTheme="majorBidi" w:cstheme="majorBidi"/>
          <w:sz w:val="26"/>
          <w:szCs w:val="26"/>
          <w:rtl/>
        </w:rPr>
        <w:t>‏</w:t>
      </w:r>
    </w:p>
    <w:p w14:paraId="426870F5" w14:textId="77777777" w:rsidR="00D53EFA" w:rsidRPr="00D53EFA" w:rsidRDefault="00D53EFA" w:rsidP="00D53EFA">
      <w:pPr>
        <w:bidi w:val="0"/>
        <w:spacing w:after="0" w:line="240" w:lineRule="auto"/>
        <w:ind w:hanging="720"/>
        <w:jc w:val="both"/>
        <w:rPr>
          <w:rFonts w:asciiTheme="majorBidi" w:eastAsia="Times New Roman" w:hAnsiTheme="majorBidi" w:cstheme="majorBidi"/>
          <w:sz w:val="26"/>
          <w:szCs w:val="26"/>
        </w:rPr>
      </w:pPr>
      <w:r w:rsidRPr="00D53EFA">
        <w:rPr>
          <w:rFonts w:asciiTheme="majorBidi" w:eastAsia="Times New Roman" w:hAnsiTheme="majorBidi" w:cstheme="majorBidi"/>
          <w:sz w:val="26"/>
          <w:szCs w:val="26"/>
        </w:rPr>
        <w:t>United Nations Conference on Trade and Development (UNCTAD). (2024). Digital Economy Report 2024: Shaping an Inclusive and Sustainable Digital Future. United Nations.</w:t>
      </w:r>
    </w:p>
    <w:p w14:paraId="3BC24A8C"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Utility Analytics Institute. (2025, October 13). Strengthening AI governance for LLMs with semantic context. </w:t>
      </w:r>
      <w:hyperlink r:id="rId34" w:history="1">
        <w:r w:rsidRPr="00D53EFA">
          <w:rPr>
            <w:rFonts w:asciiTheme="majorBidi" w:hAnsiTheme="majorBidi" w:cstheme="majorBidi"/>
            <w:color w:val="0563C1" w:themeColor="hyperlink"/>
            <w:sz w:val="26"/>
            <w:szCs w:val="26"/>
            <w:u w:val="single"/>
            <w:lang w:bidi="ar-EG"/>
          </w:rPr>
          <w:t>https://utilityanalytics.com/news/strengthening-ai-governance-for-llms-with-semantic-context/</w:t>
        </w:r>
      </w:hyperlink>
    </w:p>
    <w:p w14:paraId="27B2AF6F"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Wilke, B., &amp; </w:t>
      </w:r>
      <w:proofErr w:type="spellStart"/>
      <w:r w:rsidRPr="00D53EFA">
        <w:rPr>
          <w:rFonts w:asciiTheme="majorBidi" w:hAnsiTheme="majorBidi" w:cstheme="majorBidi"/>
          <w:sz w:val="26"/>
          <w:szCs w:val="26"/>
          <w:lang w:bidi="ar-EG"/>
        </w:rPr>
        <w:t>Kanbach</w:t>
      </w:r>
      <w:proofErr w:type="spellEnd"/>
      <w:r w:rsidRPr="00D53EFA">
        <w:rPr>
          <w:rFonts w:asciiTheme="majorBidi" w:hAnsiTheme="majorBidi" w:cstheme="majorBidi"/>
          <w:sz w:val="26"/>
          <w:szCs w:val="26"/>
          <w:lang w:bidi="ar-EG"/>
        </w:rPr>
        <w:t>, D. K. (2026). IT-enabled dynamic capabilities: classification and evolution of key concepts in the literature. Journal of Organizational Change Management, 1-17.</w:t>
      </w:r>
      <w:r w:rsidRPr="00D53EFA">
        <w:rPr>
          <w:rFonts w:asciiTheme="majorBidi" w:hAnsiTheme="majorBidi" w:cstheme="majorBidi"/>
          <w:sz w:val="26"/>
          <w:szCs w:val="26"/>
          <w:rtl/>
        </w:rPr>
        <w:t>‏</w:t>
      </w:r>
    </w:p>
    <w:p w14:paraId="0D00EF3F"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r w:rsidRPr="00D53EFA">
        <w:rPr>
          <w:rFonts w:asciiTheme="majorBidi" w:hAnsiTheme="majorBidi" w:cstheme="majorBidi"/>
          <w:sz w:val="26"/>
          <w:szCs w:val="26"/>
          <w:lang w:bidi="ar-EG"/>
        </w:rPr>
        <w:t xml:space="preserve">World Bank. (2025). </w:t>
      </w:r>
      <w:r w:rsidRPr="00D53EFA">
        <w:rPr>
          <w:rFonts w:asciiTheme="majorBidi" w:hAnsiTheme="majorBidi" w:cstheme="majorBidi"/>
          <w:i/>
          <w:iCs/>
          <w:sz w:val="26"/>
          <w:szCs w:val="26"/>
          <w:lang w:bidi="ar-EG"/>
        </w:rPr>
        <w:t>Digital Public Infrastructure and Development: A World Bank Group Approach</w:t>
      </w:r>
      <w:r w:rsidRPr="00D53EFA">
        <w:rPr>
          <w:rFonts w:asciiTheme="majorBidi" w:hAnsiTheme="majorBidi" w:cstheme="majorBidi"/>
          <w:sz w:val="26"/>
          <w:szCs w:val="26"/>
          <w:lang w:bidi="ar-EG"/>
        </w:rPr>
        <w:t xml:space="preserve"> (Digital Transformation White Paper, Vol. 1). World Bank.</w:t>
      </w:r>
    </w:p>
    <w:p w14:paraId="77E70705" w14:textId="77777777" w:rsidR="00D53EFA" w:rsidRPr="00D53EFA" w:rsidRDefault="00D53EFA" w:rsidP="00D53EFA">
      <w:pPr>
        <w:bidi w:val="0"/>
        <w:spacing w:after="0" w:line="240" w:lineRule="auto"/>
        <w:ind w:hanging="720"/>
        <w:jc w:val="both"/>
        <w:rPr>
          <w:rFonts w:asciiTheme="majorBidi" w:hAnsiTheme="majorBidi" w:cstheme="majorBidi"/>
          <w:sz w:val="26"/>
          <w:szCs w:val="26"/>
          <w:lang w:bidi="ar-EG"/>
        </w:rPr>
      </w:pPr>
      <w:proofErr w:type="spellStart"/>
      <w:r w:rsidRPr="00D53EFA">
        <w:rPr>
          <w:rFonts w:asciiTheme="majorBidi" w:hAnsiTheme="majorBidi" w:cstheme="majorBidi"/>
          <w:sz w:val="26"/>
          <w:szCs w:val="26"/>
          <w:lang w:bidi="ar-EG"/>
        </w:rPr>
        <w:t>Yurdasever</w:t>
      </w:r>
      <w:proofErr w:type="spellEnd"/>
      <w:r w:rsidRPr="00D53EFA">
        <w:rPr>
          <w:rFonts w:asciiTheme="majorBidi" w:hAnsiTheme="majorBidi" w:cstheme="majorBidi"/>
          <w:sz w:val="26"/>
          <w:szCs w:val="26"/>
          <w:lang w:bidi="ar-EG"/>
        </w:rPr>
        <w:t xml:space="preserve">, E., &amp; </w:t>
      </w:r>
      <w:proofErr w:type="spellStart"/>
      <w:r w:rsidRPr="00D53EFA">
        <w:rPr>
          <w:rFonts w:asciiTheme="majorBidi" w:hAnsiTheme="majorBidi" w:cstheme="majorBidi"/>
          <w:sz w:val="26"/>
          <w:szCs w:val="26"/>
          <w:lang w:bidi="ar-EG"/>
        </w:rPr>
        <w:t>Yıldıran</w:t>
      </w:r>
      <w:proofErr w:type="spellEnd"/>
      <w:r w:rsidRPr="00D53EFA">
        <w:rPr>
          <w:rFonts w:asciiTheme="majorBidi" w:hAnsiTheme="majorBidi" w:cstheme="majorBidi"/>
          <w:sz w:val="26"/>
          <w:szCs w:val="26"/>
          <w:lang w:bidi="ar-EG"/>
        </w:rPr>
        <w:t>, C. (2026). GenAI-Supported strategy development in VUCA scenarios and Multi-GenAI evaluation. </w:t>
      </w:r>
      <w:r w:rsidRPr="00D53EFA">
        <w:rPr>
          <w:rFonts w:asciiTheme="majorBidi" w:hAnsiTheme="majorBidi" w:cstheme="majorBidi"/>
          <w:i/>
          <w:iCs/>
          <w:sz w:val="26"/>
          <w:szCs w:val="26"/>
          <w:lang w:bidi="ar-EG"/>
        </w:rPr>
        <w:t>Management</w:t>
      </w:r>
      <w:r w:rsidRPr="00D53EFA">
        <w:rPr>
          <w:rFonts w:asciiTheme="majorBidi" w:hAnsiTheme="majorBidi" w:cstheme="majorBidi"/>
          <w:sz w:val="26"/>
          <w:szCs w:val="26"/>
          <w:lang w:bidi="ar-EG"/>
        </w:rPr>
        <w:t>, </w:t>
      </w:r>
      <w:r w:rsidRPr="00D53EFA">
        <w:rPr>
          <w:rFonts w:asciiTheme="majorBidi" w:hAnsiTheme="majorBidi" w:cstheme="majorBidi"/>
          <w:i/>
          <w:iCs/>
          <w:sz w:val="26"/>
          <w:szCs w:val="26"/>
          <w:lang w:bidi="ar-EG"/>
        </w:rPr>
        <w:t>2026</w:t>
      </w:r>
      <w:r w:rsidRPr="00D53EFA">
        <w:rPr>
          <w:rFonts w:asciiTheme="majorBidi" w:hAnsiTheme="majorBidi" w:cstheme="majorBidi"/>
          <w:sz w:val="26"/>
          <w:szCs w:val="26"/>
          <w:lang w:bidi="ar-EG"/>
        </w:rPr>
        <w:t>(1), 561-585.</w:t>
      </w:r>
      <w:r w:rsidRPr="00D53EFA">
        <w:rPr>
          <w:rFonts w:asciiTheme="majorBidi" w:hAnsiTheme="majorBidi" w:cstheme="majorBidi"/>
          <w:sz w:val="26"/>
          <w:szCs w:val="26"/>
          <w:rtl/>
        </w:rPr>
        <w:t>‏</w:t>
      </w:r>
    </w:p>
    <w:p w14:paraId="7505416D" w14:textId="77777777" w:rsidR="00E72963" w:rsidRDefault="00E72963" w:rsidP="008574AD">
      <w:pPr>
        <w:spacing w:line="240" w:lineRule="auto"/>
        <w:jc w:val="both"/>
        <w:rPr>
          <w:rFonts w:ascii="Simplified Arabic" w:hAnsi="Simplified Arabic" w:cs="Simplified Arabic"/>
          <w:sz w:val="28"/>
          <w:szCs w:val="28"/>
          <w:rtl/>
          <w:lang w:bidi="ar-EG"/>
        </w:rPr>
      </w:pPr>
    </w:p>
    <w:p w14:paraId="65ABE11D" w14:textId="77777777" w:rsidR="00E72963" w:rsidRPr="00E72963" w:rsidRDefault="00E72963" w:rsidP="00E72963">
      <w:pPr>
        <w:keepNext/>
        <w:keepLines/>
        <w:spacing w:after="0" w:line="240" w:lineRule="auto"/>
        <w:jc w:val="center"/>
        <w:outlineLvl w:val="0"/>
        <w:rPr>
          <w:rFonts w:ascii="Calibri" w:eastAsia="MS Gothic" w:hAnsi="Calibri" w:cs="Times New Roman"/>
          <w:b/>
          <w:bCs/>
          <w:color w:val="365F91"/>
          <w:sz w:val="28"/>
          <w:szCs w:val="28"/>
        </w:rPr>
      </w:pPr>
      <w:r w:rsidRPr="00E72963">
        <w:rPr>
          <w:rFonts w:ascii="Calibri" w:eastAsia="MS Gothic" w:hAnsi="Calibri" w:cs="Calibri"/>
          <w:b/>
          <w:bCs/>
          <w:color w:val="365F91"/>
          <w:sz w:val="28"/>
          <w:szCs w:val="28"/>
          <w:rtl/>
        </w:rPr>
        <w:lastRenderedPageBreak/>
        <w:t>الملحق</w:t>
      </w:r>
      <w:r w:rsidRPr="00E72963">
        <w:rPr>
          <w:rFonts w:ascii="Calibri" w:eastAsia="MS Gothic" w:hAnsi="Calibri" w:cs="Times New Roman"/>
          <w:b/>
          <w:bCs/>
          <w:color w:val="365F91"/>
          <w:sz w:val="28"/>
          <w:szCs w:val="28"/>
        </w:rPr>
        <w:t xml:space="preserve"> </w:t>
      </w:r>
      <w:r w:rsidRPr="00E72963">
        <w:rPr>
          <w:rFonts w:ascii="Calibri" w:eastAsia="MS Gothic" w:hAnsi="Calibri" w:cs="Times New Roman"/>
          <w:b/>
          <w:bCs/>
          <w:color w:val="365F91"/>
          <w:sz w:val="28"/>
          <w:szCs w:val="28"/>
        </w:rPr>
        <w:br/>
      </w:r>
      <w:r w:rsidRPr="00E72963">
        <w:rPr>
          <w:rFonts w:ascii="Calibri" w:eastAsia="MS Gothic" w:hAnsi="Calibri" w:cs="Calibri"/>
          <w:b/>
          <w:bCs/>
          <w:color w:val="365F91"/>
          <w:sz w:val="28"/>
          <w:szCs w:val="28"/>
          <w:rtl/>
        </w:rPr>
        <w:t>قائمة</w:t>
      </w:r>
      <w:r w:rsidRPr="00E72963">
        <w:rPr>
          <w:rFonts w:ascii="Calibri" w:eastAsia="MS Gothic" w:hAnsi="Calibri" w:cs="Times New Roman"/>
          <w:b/>
          <w:bCs/>
          <w:color w:val="365F91"/>
          <w:sz w:val="28"/>
          <w:szCs w:val="28"/>
        </w:rPr>
        <w:t xml:space="preserve"> </w:t>
      </w:r>
      <w:r w:rsidRPr="00E72963">
        <w:rPr>
          <w:rFonts w:ascii="Calibri" w:eastAsia="MS Gothic" w:hAnsi="Calibri" w:cs="Calibri"/>
          <w:b/>
          <w:bCs/>
          <w:color w:val="365F91"/>
          <w:sz w:val="28"/>
          <w:szCs w:val="28"/>
          <w:rtl/>
        </w:rPr>
        <w:t>الاستقصاء</w:t>
      </w:r>
    </w:p>
    <w:p w14:paraId="0DE812BE" w14:textId="77777777" w:rsidR="00E72963" w:rsidRPr="00E72963" w:rsidRDefault="00E72963" w:rsidP="00E72963">
      <w:pPr>
        <w:spacing w:after="200" w:line="240" w:lineRule="auto"/>
        <w:jc w:val="both"/>
        <w:rPr>
          <w:rFonts w:ascii="Cambria" w:eastAsia="MS Mincho" w:hAnsi="Cambria" w:cs="Arial"/>
          <w:b/>
          <w:rtl/>
        </w:rPr>
      </w:pPr>
      <w:r w:rsidRPr="00E72963">
        <w:rPr>
          <w:rFonts w:ascii="Cambria" w:eastAsia="MS Mincho" w:hAnsi="Cambria" w:cs="Times New Roman"/>
          <w:b/>
          <w:bCs/>
          <w:rtl/>
        </w:rPr>
        <w:t>الموجهة</w:t>
      </w:r>
      <w:r w:rsidRPr="00E72963">
        <w:rPr>
          <w:rFonts w:ascii="Cambria" w:eastAsia="MS Mincho" w:hAnsi="Cambria" w:cs="Arial"/>
          <w:b/>
        </w:rPr>
        <w:t xml:space="preserve"> </w:t>
      </w:r>
      <w:r w:rsidRPr="00E72963">
        <w:rPr>
          <w:rFonts w:ascii="Cambria" w:eastAsia="MS Mincho" w:hAnsi="Cambria" w:cs="Times New Roman"/>
          <w:b/>
          <w:bCs/>
          <w:rtl/>
        </w:rPr>
        <w:t>للعاملين</w:t>
      </w:r>
      <w:r w:rsidRPr="00E72963">
        <w:rPr>
          <w:rFonts w:ascii="Cambria" w:eastAsia="MS Mincho" w:hAnsi="Cambria" w:cs="Arial"/>
          <w:b/>
        </w:rPr>
        <w:t xml:space="preserve"> </w:t>
      </w:r>
      <w:r w:rsidRPr="00E72963">
        <w:rPr>
          <w:rFonts w:ascii="Cambria" w:eastAsia="MS Mincho" w:hAnsi="Cambria" w:cs="Times New Roman"/>
          <w:b/>
          <w:bCs/>
          <w:rtl/>
        </w:rPr>
        <w:t>بشركات</w:t>
      </w:r>
      <w:r w:rsidRPr="00E72963">
        <w:rPr>
          <w:rFonts w:ascii="Cambria" w:eastAsia="MS Mincho" w:hAnsi="Cambria" w:cs="Arial"/>
          <w:b/>
        </w:rPr>
        <w:t xml:space="preserve"> </w:t>
      </w:r>
      <w:r w:rsidRPr="00E72963">
        <w:rPr>
          <w:rFonts w:ascii="Cambria" w:eastAsia="MS Mincho" w:hAnsi="Cambria" w:cs="Times New Roman"/>
          <w:b/>
          <w:bCs/>
          <w:rtl/>
        </w:rPr>
        <w:t>الاستشارة</w:t>
      </w:r>
      <w:r w:rsidRPr="00E72963">
        <w:rPr>
          <w:rFonts w:ascii="Cambria" w:eastAsia="MS Mincho" w:hAnsi="Cambria" w:cs="Arial"/>
          <w:b/>
        </w:rPr>
        <w:t xml:space="preserve"> </w:t>
      </w:r>
      <w:r w:rsidRPr="00E72963">
        <w:rPr>
          <w:rFonts w:ascii="Cambria" w:eastAsia="MS Mincho" w:hAnsi="Cambria" w:cs="Times New Roman"/>
          <w:b/>
          <w:bCs/>
          <w:rtl/>
        </w:rPr>
        <w:t>في</w:t>
      </w:r>
      <w:r w:rsidRPr="00E72963">
        <w:rPr>
          <w:rFonts w:ascii="Cambria" w:eastAsia="MS Mincho" w:hAnsi="Cambria" w:cs="Arial"/>
          <w:b/>
        </w:rPr>
        <w:t xml:space="preserve"> </w:t>
      </w:r>
      <w:r w:rsidRPr="00E72963">
        <w:rPr>
          <w:rFonts w:ascii="Cambria" w:eastAsia="MS Mincho" w:hAnsi="Cambria" w:cs="Times New Roman"/>
          <w:b/>
          <w:bCs/>
          <w:rtl/>
        </w:rPr>
        <w:t>المملكة</w:t>
      </w:r>
      <w:r w:rsidRPr="00E72963">
        <w:rPr>
          <w:rFonts w:ascii="Cambria" w:eastAsia="MS Mincho" w:hAnsi="Cambria" w:cs="Arial"/>
          <w:b/>
        </w:rPr>
        <w:t xml:space="preserve"> </w:t>
      </w:r>
      <w:r w:rsidRPr="00E72963">
        <w:rPr>
          <w:rFonts w:ascii="Cambria" w:eastAsia="MS Mincho" w:hAnsi="Cambria" w:cs="Times New Roman"/>
          <w:b/>
          <w:bCs/>
          <w:rtl/>
        </w:rPr>
        <w:t>العربية</w:t>
      </w:r>
      <w:r w:rsidRPr="00E72963">
        <w:rPr>
          <w:rFonts w:ascii="Cambria" w:eastAsia="MS Mincho" w:hAnsi="Cambria" w:cs="Arial"/>
          <w:b/>
        </w:rPr>
        <w:t xml:space="preserve"> </w:t>
      </w:r>
      <w:r w:rsidRPr="00E72963">
        <w:rPr>
          <w:rFonts w:ascii="Cambria" w:eastAsia="MS Mincho" w:hAnsi="Cambria" w:cs="Times New Roman"/>
          <w:b/>
          <w:bCs/>
          <w:rtl/>
        </w:rPr>
        <w:t>السعودية</w:t>
      </w:r>
    </w:p>
    <w:p w14:paraId="1B23CA82" w14:textId="77777777" w:rsidR="00E72963" w:rsidRPr="00E72963" w:rsidRDefault="00E72963" w:rsidP="00E72963">
      <w:pPr>
        <w:keepNext/>
        <w:keepLines/>
        <w:spacing w:after="0" w:line="240" w:lineRule="auto"/>
        <w:jc w:val="both"/>
        <w:outlineLvl w:val="1"/>
        <w:rPr>
          <w:rFonts w:ascii="Calibri" w:eastAsia="MS Gothic" w:hAnsi="Calibri" w:cs="Times New Roman"/>
          <w:b/>
          <w:bCs/>
          <w:color w:val="4F81BD"/>
          <w:sz w:val="26"/>
          <w:szCs w:val="26"/>
        </w:rPr>
      </w:pPr>
      <w:r w:rsidRPr="00E72963">
        <w:rPr>
          <w:rFonts w:ascii="Calibri" w:eastAsia="MS Gothic" w:hAnsi="Calibri" w:cs="Calibri"/>
          <w:b/>
          <w:bCs/>
          <w:color w:val="4F81BD"/>
          <w:sz w:val="26"/>
          <w:szCs w:val="26"/>
          <w:rtl/>
        </w:rPr>
        <w:t>القسم</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الأول</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البيانات</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العامة</w:t>
      </w:r>
    </w:p>
    <w:tbl>
      <w:tblPr>
        <w:tblStyle w:val="TableGrid1"/>
        <w:bidiVisual/>
        <w:tblW w:w="0" w:type="auto"/>
        <w:tblLook w:val="04A0" w:firstRow="1" w:lastRow="0" w:firstColumn="1" w:lastColumn="0" w:noHBand="0" w:noVBand="1"/>
      </w:tblPr>
      <w:tblGrid>
        <w:gridCol w:w="336"/>
        <w:gridCol w:w="1308"/>
        <w:gridCol w:w="6851"/>
      </w:tblGrid>
      <w:tr w:rsidR="00E72963" w:rsidRPr="00E72963" w14:paraId="20AA6CB9" w14:textId="77777777" w:rsidTr="00E72963">
        <w:tc>
          <w:tcPr>
            <w:tcW w:w="0" w:type="auto"/>
            <w:hideMark/>
          </w:tcPr>
          <w:p w14:paraId="471C9BA4" w14:textId="77777777" w:rsidR="00E72963" w:rsidRPr="00E72963" w:rsidRDefault="00E72963" w:rsidP="00E72963">
            <w:pPr>
              <w:bidi w:val="0"/>
              <w:jc w:val="center"/>
              <w:rPr>
                <w:rFonts w:ascii="Times New Roman" w:eastAsia="Times New Roman" w:hAnsi="Times New Roman" w:cs="Times New Roman"/>
                <w:b/>
                <w:bCs/>
                <w:sz w:val="24"/>
                <w:szCs w:val="24"/>
              </w:rPr>
            </w:pPr>
            <w:r w:rsidRPr="00E72963">
              <w:rPr>
                <w:rFonts w:ascii="Times New Roman" w:eastAsia="Times New Roman" w:hAnsi="Times New Roman" w:cs="Times New Roman"/>
                <w:b/>
                <w:bCs/>
                <w:sz w:val="24"/>
                <w:szCs w:val="24"/>
                <w:rtl/>
              </w:rPr>
              <w:t>م</w:t>
            </w:r>
          </w:p>
        </w:tc>
        <w:tc>
          <w:tcPr>
            <w:tcW w:w="0" w:type="auto"/>
            <w:hideMark/>
          </w:tcPr>
          <w:p w14:paraId="2F8BC82F" w14:textId="77777777" w:rsidR="00E72963" w:rsidRPr="00E72963" w:rsidRDefault="00E72963" w:rsidP="00E72963">
            <w:pPr>
              <w:bidi w:val="0"/>
              <w:jc w:val="center"/>
              <w:rPr>
                <w:rFonts w:ascii="Times New Roman" w:eastAsia="Times New Roman" w:hAnsi="Times New Roman" w:cs="Times New Roman"/>
                <w:b/>
                <w:bCs/>
                <w:sz w:val="24"/>
                <w:szCs w:val="24"/>
              </w:rPr>
            </w:pPr>
            <w:r w:rsidRPr="00E72963">
              <w:rPr>
                <w:rFonts w:ascii="Times New Roman" w:eastAsia="Times New Roman" w:hAnsi="Times New Roman" w:cs="Times New Roman"/>
                <w:b/>
                <w:bCs/>
                <w:sz w:val="24"/>
                <w:szCs w:val="24"/>
                <w:rtl/>
              </w:rPr>
              <w:t>البيان</w:t>
            </w:r>
          </w:p>
        </w:tc>
        <w:tc>
          <w:tcPr>
            <w:tcW w:w="0" w:type="auto"/>
            <w:hideMark/>
          </w:tcPr>
          <w:p w14:paraId="208B723E" w14:textId="77777777" w:rsidR="00E72963" w:rsidRPr="00E72963" w:rsidRDefault="00E72963" w:rsidP="00E72963">
            <w:pPr>
              <w:bidi w:val="0"/>
              <w:jc w:val="center"/>
              <w:rPr>
                <w:rFonts w:ascii="Times New Roman" w:eastAsia="Times New Roman" w:hAnsi="Times New Roman" w:cs="Times New Roman"/>
                <w:b/>
                <w:bCs/>
                <w:sz w:val="24"/>
                <w:szCs w:val="24"/>
              </w:rPr>
            </w:pPr>
            <w:r w:rsidRPr="00E72963">
              <w:rPr>
                <w:rFonts w:ascii="Times New Roman" w:eastAsia="Times New Roman" w:hAnsi="Times New Roman" w:cs="Times New Roman"/>
                <w:b/>
                <w:bCs/>
                <w:sz w:val="24"/>
                <w:szCs w:val="24"/>
                <w:rtl/>
              </w:rPr>
              <w:t>الخيارات</w:t>
            </w:r>
          </w:p>
        </w:tc>
      </w:tr>
      <w:tr w:rsidR="00E72963" w:rsidRPr="00E72963" w14:paraId="7CE036F1" w14:textId="77777777" w:rsidTr="00E72963">
        <w:tc>
          <w:tcPr>
            <w:tcW w:w="0" w:type="auto"/>
            <w:hideMark/>
          </w:tcPr>
          <w:p w14:paraId="4519B186"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1</w:t>
            </w:r>
          </w:p>
        </w:tc>
        <w:tc>
          <w:tcPr>
            <w:tcW w:w="0" w:type="auto"/>
            <w:hideMark/>
          </w:tcPr>
          <w:p w14:paraId="05BC43FD"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الجنس</w:t>
            </w:r>
          </w:p>
        </w:tc>
        <w:tc>
          <w:tcPr>
            <w:tcW w:w="0" w:type="auto"/>
            <w:hideMark/>
          </w:tcPr>
          <w:p w14:paraId="22890060"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ذكر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أنثى</w:t>
            </w:r>
          </w:p>
        </w:tc>
      </w:tr>
      <w:tr w:rsidR="00E72963" w:rsidRPr="00E72963" w14:paraId="56192394" w14:textId="77777777" w:rsidTr="00E72963">
        <w:tc>
          <w:tcPr>
            <w:tcW w:w="0" w:type="auto"/>
            <w:hideMark/>
          </w:tcPr>
          <w:p w14:paraId="40A8B41C"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2</w:t>
            </w:r>
          </w:p>
        </w:tc>
        <w:tc>
          <w:tcPr>
            <w:tcW w:w="0" w:type="auto"/>
            <w:hideMark/>
          </w:tcPr>
          <w:p w14:paraId="23127A0E"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الفئة العمرية</w:t>
            </w:r>
          </w:p>
        </w:tc>
        <w:tc>
          <w:tcPr>
            <w:tcW w:w="0" w:type="auto"/>
            <w:hideMark/>
          </w:tcPr>
          <w:p w14:paraId="16E1236F"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أقل من 30 سنة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من 30 إلى أقل من 40 سنة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من 40 إلى أقل من 50 سنة     </w:t>
            </w:r>
            <w:r w:rsidRPr="00E72963">
              <w:rPr>
                <w:rFonts w:ascii="Times New Roman" w:eastAsia="Times New Roman" w:hAnsi="Times New Roman" w:cs="Times New Roman"/>
                <w:sz w:val="24"/>
                <w:szCs w:val="24"/>
              </w:rPr>
              <w:t xml:space="preserve">□ 50 </w:t>
            </w:r>
            <w:r w:rsidRPr="00E72963">
              <w:rPr>
                <w:rFonts w:ascii="Times New Roman" w:eastAsia="Times New Roman" w:hAnsi="Times New Roman" w:cs="Times New Roman"/>
                <w:sz w:val="24"/>
                <w:szCs w:val="24"/>
                <w:rtl/>
              </w:rPr>
              <w:t>سنة فأكثر</w:t>
            </w:r>
          </w:p>
        </w:tc>
      </w:tr>
      <w:tr w:rsidR="00E72963" w:rsidRPr="00E72963" w14:paraId="160DFD3D" w14:textId="77777777" w:rsidTr="00E72963">
        <w:tc>
          <w:tcPr>
            <w:tcW w:w="0" w:type="auto"/>
            <w:hideMark/>
          </w:tcPr>
          <w:p w14:paraId="1D76BED5"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3</w:t>
            </w:r>
          </w:p>
        </w:tc>
        <w:tc>
          <w:tcPr>
            <w:tcW w:w="0" w:type="auto"/>
            <w:hideMark/>
          </w:tcPr>
          <w:p w14:paraId="6F83B197"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المؤهل العلمي</w:t>
            </w:r>
          </w:p>
        </w:tc>
        <w:tc>
          <w:tcPr>
            <w:tcW w:w="0" w:type="auto"/>
            <w:hideMark/>
          </w:tcPr>
          <w:p w14:paraId="2A40E13F"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بكالوريوس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دبلوم عالٍ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ماجستير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دكتوراه</w:t>
            </w:r>
          </w:p>
        </w:tc>
      </w:tr>
      <w:tr w:rsidR="00E72963" w:rsidRPr="00E72963" w14:paraId="6B2EABE3" w14:textId="77777777" w:rsidTr="00E72963">
        <w:tc>
          <w:tcPr>
            <w:tcW w:w="0" w:type="auto"/>
            <w:hideMark/>
          </w:tcPr>
          <w:p w14:paraId="31B8CE59"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4</w:t>
            </w:r>
          </w:p>
        </w:tc>
        <w:tc>
          <w:tcPr>
            <w:tcW w:w="0" w:type="auto"/>
            <w:hideMark/>
          </w:tcPr>
          <w:p w14:paraId="19D10739"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المسمى الوظيفي</w:t>
            </w:r>
          </w:p>
        </w:tc>
        <w:tc>
          <w:tcPr>
            <w:tcW w:w="0" w:type="auto"/>
            <w:hideMark/>
          </w:tcPr>
          <w:p w14:paraId="030ED5DA"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مدير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مدير مشروع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استشاري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محلل بيانات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أخرى (يرجى التحديد: ____________)</w:t>
            </w:r>
          </w:p>
        </w:tc>
      </w:tr>
      <w:tr w:rsidR="00E72963" w:rsidRPr="00E72963" w14:paraId="32F92AE7" w14:textId="77777777" w:rsidTr="00E72963">
        <w:tc>
          <w:tcPr>
            <w:tcW w:w="0" w:type="auto"/>
            <w:hideMark/>
          </w:tcPr>
          <w:p w14:paraId="78851D4C"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5</w:t>
            </w:r>
          </w:p>
        </w:tc>
        <w:tc>
          <w:tcPr>
            <w:tcW w:w="0" w:type="auto"/>
            <w:hideMark/>
          </w:tcPr>
          <w:p w14:paraId="25C1EADE"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سنوات الخبرة</w:t>
            </w:r>
          </w:p>
        </w:tc>
        <w:tc>
          <w:tcPr>
            <w:tcW w:w="0" w:type="auto"/>
            <w:hideMark/>
          </w:tcPr>
          <w:p w14:paraId="1B5BFCAD"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أقل من 5 سنوات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من 5 إلى أقل من 10 سنوات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من 10 إلى أقل من 15 سنة     </w:t>
            </w:r>
            <w:r w:rsidRPr="00E72963">
              <w:rPr>
                <w:rFonts w:ascii="Times New Roman" w:eastAsia="Times New Roman" w:hAnsi="Times New Roman" w:cs="Times New Roman"/>
                <w:sz w:val="24"/>
                <w:szCs w:val="24"/>
              </w:rPr>
              <w:t xml:space="preserve">□ 15 </w:t>
            </w:r>
            <w:r w:rsidRPr="00E72963">
              <w:rPr>
                <w:rFonts w:ascii="Times New Roman" w:eastAsia="Times New Roman" w:hAnsi="Times New Roman" w:cs="Times New Roman"/>
                <w:sz w:val="24"/>
                <w:szCs w:val="24"/>
                <w:rtl/>
              </w:rPr>
              <w:t>سنة فأكثر</w:t>
            </w:r>
          </w:p>
        </w:tc>
      </w:tr>
      <w:tr w:rsidR="00E72963" w:rsidRPr="00E72963" w14:paraId="7C86E772" w14:textId="77777777" w:rsidTr="00E72963">
        <w:tc>
          <w:tcPr>
            <w:tcW w:w="0" w:type="auto"/>
            <w:hideMark/>
          </w:tcPr>
          <w:p w14:paraId="1BEFA049"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6</w:t>
            </w:r>
          </w:p>
        </w:tc>
        <w:tc>
          <w:tcPr>
            <w:tcW w:w="0" w:type="auto"/>
            <w:hideMark/>
          </w:tcPr>
          <w:p w14:paraId="52E4C51E"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حجم الشركة</w:t>
            </w:r>
          </w:p>
        </w:tc>
        <w:tc>
          <w:tcPr>
            <w:tcW w:w="0" w:type="auto"/>
            <w:hideMark/>
          </w:tcPr>
          <w:p w14:paraId="2D6AFD5F"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شركة صغيرة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شركة متوسطة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شركة كبيرة</w:t>
            </w:r>
          </w:p>
        </w:tc>
      </w:tr>
      <w:tr w:rsidR="00E72963" w:rsidRPr="00E72963" w14:paraId="4F62085B" w14:textId="77777777" w:rsidTr="00E72963">
        <w:tc>
          <w:tcPr>
            <w:tcW w:w="0" w:type="auto"/>
            <w:hideMark/>
          </w:tcPr>
          <w:p w14:paraId="5E69FA9F"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7</w:t>
            </w:r>
          </w:p>
        </w:tc>
        <w:tc>
          <w:tcPr>
            <w:tcW w:w="0" w:type="auto"/>
            <w:hideMark/>
          </w:tcPr>
          <w:p w14:paraId="22C0897E" w14:textId="77777777" w:rsidR="00E72963" w:rsidRPr="00E72963" w:rsidRDefault="00E72963" w:rsidP="00E72963">
            <w:pPr>
              <w:bidi w:val="0"/>
              <w:rPr>
                <w:rFonts w:ascii="Times New Roman" w:eastAsia="Times New Roman" w:hAnsi="Times New Roman" w:cs="Times New Roman"/>
                <w:sz w:val="24"/>
                <w:szCs w:val="24"/>
              </w:rPr>
            </w:pPr>
            <w:r w:rsidRPr="00E72963">
              <w:rPr>
                <w:rFonts w:ascii="Times New Roman" w:eastAsia="Times New Roman" w:hAnsi="Times New Roman" w:cs="Times New Roman"/>
                <w:b/>
                <w:bCs/>
                <w:sz w:val="24"/>
                <w:szCs w:val="24"/>
                <w:rtl/>
              </w:rPr>
              <w:t>مجال نشاط الشركة</w:t>
            </w:r>
          </w:p>
        </w:tc>
        <w:tc>
          <w:tcPr>
            <w:tcW w:w="0" w:type="auto"/>
            <w:hideMark/>
          </w:tcPr>
          <w:p w14:paraId="4F67778C" w14:textId="77777777" w:rsidR="00E72963" w:rsidRPr="00E72963" w:rsidRDefault="00E72963" w:rsidP="00E72963">
            <w:pPr>
              <w:rPr>
                <w:rFonts w:ascii="Times New Roman" w:eastAsia="Times New Roman" w:hAnsi="Times New Roman" w:cs="Times New Roman"/>
                <w:sz w:val="24"/>
                <w:szCs w:val="24"/>
              </w:rPr>
            </w:pP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الاستشارات الإدارية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الاستشارات المالية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الاستشارات التقنية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 xml:space="preserve">استشارات الموارد البشرية     </w:t>
            </w:r>
            <w:r w:rsidRPr="00E72963">
              <w:rPr>
                <w:rFonts w:ascii="Times New Roman" w:eastAsia="Times New Roman" w:hAnsi="Times New Roman" w:cs="Times New Roman"/>
                <w:sz w:val="24"/>
                <w:szCs w:val="24"/>
              </w:rPr>
              <w:t xml:space="preserve">□ </w:t>
            </w:r>
            <w:r w:rsidRPr="00E72963">
              <w:rPr>
                <w:rFonts w:ascii="Times New Roman" w:eastAsia="Times New Roman" w:hAnsi="Times New Roman" w:cs="Times New Roman"/>
                <w:sz w:val="24"/>
                <w:szCs w:val="24"/>
                <w:rtl/>
              </w:rPr>
              <w:t>استشارات متعددة المجالات</w:t>
            </w:r>
          </w:p>
        </w:tc>
      </w:tr>
    </w:tbl>
    <w:p w14:paraId="7EE7645F" w14:textId="77777777" w:rsidR="00E72963" w:rsidRPr="00E72963" w:rsidRDefault="00E72963" w:rsidP="00E72963">
      <w:pPr>
        <w:keepNext/>
        <w:keepLines/>
        <w:spacing w:after="0" w:line="240" w:lineRule="auto"/>
        <w:jc w:val="center"/>
        <w:outlineLvl w:val="1"/>
        <w:rPr>
          <w:rFonts w:ascii="Calibri" w:eastAsia="MS Gothic" w:hAnsi="Calibri" w:cs="Times New Roman"/>
          <w:b/>
          <w:bCs/>
          <w:color w:val="4F81BD"/>
          <w:sz w:val="26"/>
          <w:szCs w:val="26"/>
        </w:rPr>
      </w:pPr>
      <w:r w:rsidRPr="00E72963">
        <w:rPr>
          <w:rFonts w:ascii="Calibri" w:eastAsia="MS Gothic" w:hAnsi="Calibri" w:cs="Calibri"/>
          <w:b/>
          <w:bCs/>
          <w:color w:val="4F81BD"/>
          <w:sz w:val="26"/>
          <w:szCs w:val="26"/>
          <w:rtl/>
        </w:rPr>
        <w:t>أولاً</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حوكمة</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المعلومات</w:t>
      </w:r>
    </w:p>
    <w:p w14:paraId="0E027E23" w14:textId="77777777" w:rsidR="00E72963" w:rsidRPr="00E72963" w:rsidRDefault="00E72963" w:rsidP="00E72963">
      <w:pPr>
        <w:spacing w:after="200" w:line="240" w:lineRule="auto"/>
        <w:jc w:val="both"/>
        <w:rPr>
          <w:rFonts w:ascii="Cambria" w:eastAsia="MS Mincho" w:hAnsi="Cambria" w:cs="Arial"/>
        </w:rPr>
      </w:pPr>
      <w:r w:rsidRPr="00E72963">
        <w:rPr>
          <w:rFonts w:ascii="Cambria" w:eastAsia="MS Mincho" w:hAnsi="Cambria" w:cs="Times New Roman"/>
          <w:rtl/>
        </w:rPr>
        <w:t>مفهوم</w:t>
      </w:r>
      <w:r w:rsidRPr="00E72963">
        <w:rPr>
          <w:rFonts w:ascii="Cambria" w:eastAsia="MS Mincho" w:hAnsi="Cambria" w:cs="Arial"/>
        </w:rPr>
        <w:t xml:space="preserve"> </w:t>
      </w:r>
      <w:r w:rsidRPr="00E72963">
        <w:rPr>
          <w:rFonts w:ascii="Cambria" w:eastAsia="MS Mincho" w:hAnsi="Cambria" w:cs="Times New Roman"/>
          <w:rtl/>
        </w:rPr>
        <w:t>المتغير</w:t>
      </w:r>
      <w:r w:rsidRPr="00E72963">
        <w:rPr>
          <w:rFonts w:ascii="Cambria" w:eastAsia="MS Mincho" w:hAnsi="Cambria" w:cs="Arial"/>
        </w:rPr>
        <w:t xml:space="preserve">: </w:t>
      </w:r>
      <w:r w:rsidRPr="00E72963">
        <w:rPr>
          <w:rFonts w:ascii="Cambria" w:eastAsia="MS Mincho" w:hAnsi="Cambria" w:cs="Times New Roman"/>
          <w:rtl/>
        </w:rPr>
        <w:t>درجة</w:t>
      </w:r>
      <w:r w:rsidRPr="00E72963">
        <w:rPr>
          <w:rFonts w:ascii="Cambria" w:eastAsia="MS Mincho" w:hAnsi="Cambria" w:cs="Arial"/>
        </w:rPr>
        <w:t xml:space="preserve"> </w:t>
      </w:r>
      <w:r w:rsidRPr="00E72963">
        <w:rPr>
          <w:rFonts w:ascii="Cambria" w:eastAsia="MS Mincho" w:hAnsi="Cambria" w:cs="Times New Roman"/>
          <w:rtl/>
        </w:rPr>
        <w:t>تطبيق</w:t>
      </w:r>
      <w:r w:rsidRPr="00E72963">
        <w:rPr>
          <w:rFonts w:ascii="Cambria" w:eastAsia="MS Mincho" w:hAnsi="Cambria" w:cs="Arial"/>
        </w:rPr>
        <w:t xml:space="preserve"> </w:t>
      </w:r>
      <w:r w:rsidRPr="00E72963">
        <w:rPr>
          <w:rFonts w:ascii="Cambria" w:eastAsia="MS Mincho" w:hAnsi="Cambria" w:cs="Times New Roman"/>
          <w:rtl/>
        </w:rPr>
        <w:t>الأطر</w:t>
      </w:r>
      <w:r w:rsidRPr="00E72963">
        <w:rPr>
          <w:rFonts w:ascii="Cambria" w:eastAsia="MS Mincho" w:hAnsi="Cambria" w:cs="Arial"/>
        </w:rPr>
        <w:t xml:space="preserve"> </w:t>
      </w:r>
      <w:r w:rsidRPr="00E72963">
        <w:rPr>
          <w:rFonts w:ascii="Cambria" w:eastAsia="MS Mincho" w:hAnsi="Cambria" w:cs="Times New Roman"/>
          <w:rtl/>
        </w:rPr>
        <w:t>والسياسات</w:t>
      </w:r>
      <w:r w:rsidRPr="00E72963">
        <w:rPr>
          <w:rFonts w:ascii="Cambria" w:eastAsia="MS Mincho" w:hAnsi="Cambria" w:cs="Arial"/>
        </w:rPr>
        <w:t xml:space="preserve"> </w:t>
      </w:r>
      <w:r w:rsidRPr="00E72963">
        <w:rPr>
          <w:rFonts w:ascii="Cambria" w:eastAsia="MS Mincho" w:hAnsi="Cambria" w:cs="Times New Roman"/>
          <w:rtl/>
        </w:rPr>
        <w:t>المنظمة</w:t>
      </w:r>
      <w:r w:rsidRPr="00E72963">
        <w:rPr>
          <w:rFonts w:ascii="Cambria" w:eastAsia="MS Mincho" w:hAnsi="Cambria" w:cs="Arial"/>
        </w:rPr>
        <w:t xml:space="preserve"> </w:t>
      </w:r>
      <w:r w:rsidRPr="00E72963">
        <w:rPr>
          <w:rFonts w:ascii="Cambria" w:eastAsia="MS Mincho" w:hAnsi="Cambria" w:cs="Times New Roman"/>
          <w:rtl/>
        </w:rPr>
        <w:t>لإدارة</w:t>
      </w:r>
      <w:r w:rsidRPr="00E72963">
        <w:rPr>
          <w:rFonts w:ascii="Cambria" w:eastAsia="MS Mincho" w:hAnsi="Cambria" w:cs="Arial"/>
        </w:rPr>
        <w:t xml:space="preserve"> </w:t>
      </w:r>
      <w:r w:rsidRPr="00E72963">
        <w:rPr>
          <w:rFonts w:ascii="Cambria" w:eastAsia="MS Mincho" w:hAnsi="Cambria" w:cs="Times New Roman"/>
          <w:rtl/>
        </w:rPr>
        <w:t>المعلومات</w:t>
      </w:r>
      <w:r w:rsidRPr="00E72963">
        <w:rPr>
          <w:rFonts w:ascii="Cambria" w:eastAsia="MS Mincho" w:hAnsi="Cambria" w:cs="Arial"/>
        </w:rPr>
        <w:t xml:space="preserve"> </w:t>
      </w:r>
      <w:r w:rsidRPr="00E72963">
        <w:rPr>
          <w:rFonts w:ascii="Cambria" w:eastAsia="MS Mincho" w:hAnsi="Cambria" w:cs="Times New Roman"/>
          <w:rtl/>
        </w:rPr>
        <w:t>داخل</w:t>
      </w:r>
      <w:r w:rsidRPr="00E72963">
        <w:rPr>
          <w:rFonts w:ascii="Cambria" w:eastAsia="MS Mincho" w:hAnsi="Cambria" w:cs="Arial"/>
        </w:rPr>
        <w:t xml:space="preserve"> </w:t>
      </w:r>
      <w:r w:rsidRPr="00E72963">
        <w:rPr>
          <w:rFonts w:ascii="Cambria" w:eastAsia="MS Mincho" w:hAnsi="Cambria" w:cs="Times New Roman"/>
          <w:rtl/>
        </w:rPr>
        <w:t>الشركة</w:t>
      </w:r>
      <w:r w:rsidRPr="00E72963">
        <w:rPr>
          <w:rFonts w:ascii="Cambria" w:eastAsia="MS Mincho" w:hAnsi="Cambria" w:cs="Arial"/>
        </w:rPr>
        <w:t>.</w:t>
      </w:r>
    </w:p>
    <w:tbl>
      <w:tblPr>
        <w:tblStyle w:val="TableGrid1"/>
        <w:bidiVisual/>
        <w:tblW w:w="5000" w:type="pct"/>
        <w:tblLook w:val="04A0" w:firstRow="1" w:lastRow="0" w:firstColumn="1" w:lastColumn="0" w:noHBand="0" w:noVBand="1"/>
      </w:tblPr>
      <w:tblGrid>
        <w:gridCol w:w="1197"/>
        <w:gridCol w:w="3654"/>
        <w:gridCol w:w="705"/>
        <w:gridCol w:w="676"/>
        <w:gridCol w:w="676"/>
        <w:gridCol w:w="813"/>
        <w:gridCol w:w="774"/>
      </w:tblGrid>
      <w:tr w:rsidR="00E72963" w:rsidRPr="00E72963" w14:paraId="1815F5D1" w14:textId="77777777" w:rsidTr="00E72963">
        <w:tc>
          <w:tcPr>
            <w:tcW w:w="707" w:type="pct"/>
          </w:tcPr>
          <w:p w14:paraId="10ADAE4E" w14:textId="77777777" w:rsidR="00E72963" w:rsidRPr="00E72963" w:rsidRDefault="00E72963" w:rsidP="00E72963">
            <w:pPr>
              <w:jc w:val="center"/>
              <w:rPr>
                <w:rFonts w:ascii="Cambria" w:hAnsi="Cambria" w:cs="Arial"/>
                <w:b/>
                <w:bCs/>
              </w:rPr>
            </w:pPr>
            <w:r w:rsidRPr="00E72963">
              <w:rPr>
                <w:rFonts w:ascii="Cambria" w:hAnsi="Cambria" w:cs="Times New Roman"/>
                <w:b/>
                <w:bCs/>
                <w:rtl/>
              </w:rPr>
              <w:t>م</w:t>
            </w:r>
          </w:p>
        </w:tc>
        <w:tc>
          <w:tcPr>
            <w:tcW w:w="2153" w:type="pct"/>
          </w:tcPr>
          <w:p w14:paraId="7204928A" w14:textId="77777777" w:rsidR="00E72963" w:rsidRPr="00E72963" w:rsidRDefault="00E72963" w:rsidP="00E72963">
            <w:pPr>
              <w:jc w:val="center"/>
              <w:rPr>
                <w:rFonts w:ascii="Cambria" w:hAnsi="Cambria" w:cs="Arial"/>
                <w:b/>
                <w:bCs/>
              </w:rPr>
            </w:pPr>
            <w:r w:rsidRPr="00E72963">
              <w:rPr>
                <w:rFonts w:ascii="Cambria" w:hAnsi="Cambria" w:cs="Times New Roman"/>
                <w:b/>
                <w:bCs/>
                <w:rtl/>
              </w:rPr>
              <w:t>العبارة</w:t>
            </w:r>
          </w:p>
        </w:tc>
        <w:tc>
          <w:tcPr>
            <w:tcW w:w="401" w:type="pct"/>
          </w:tcPr>
          <w:p w14:paraId="3476BEC8" w14:textId="77777777" w:rsidR="00E72963" w:rsidRPr="00E72963" w:rsidRDefault="00E72963" w:rsidP="00E72963">
            <w:pPr>
              <w:jc w:val="center"/>
              <w:rPr>
                <w:rFonts w:ascii="Cambria" w:hAnsi="Cambria" w:cs="Arial"/>
                <w:b/>
                <w:bCs/>
              </w:rPr>
            </w:pPr>
            <w:r w:rsidRPr="00E72963">
              <w:rPr>
                <w:rFonts w:ascii="Cambria" w:hAnsi="Cambria" w:cs="Times New Roman"/>
                <w:b/>
                <w:bCs/>
                <w:rtl/>
              </w:rPr>
              <w:t>موافق</w:t>
            </w:r>
            <w:r w:rsidRPr="00E72963">
              <w:rPr>
                <w:rFonts w:ascii="Cambria" w:hAnsi="Cambria" w:cs="Arial"/>
                <w:b/>
                <w:bCs/>
              </w:rPr>
              <w:t xml:space="preserve"> </w:t>
            </w:r>
            <w:r w:rsidRPr="00E72963">
              <w:rPr>
                <w:rFonts w:ascii="Cambria" w:hAnsi="Cambria" w:cs="Times New Roman"/>
                <w:b/>
                <w:bCs/>
                <w:rtl/>
              </w:rPr>
              <w:t>بشدة</w:t>
            </w:r>
          </w:p>
        </w:tc>
        <w:tc>
          <w:tcPr>
            <w:tcW w:w="400" w:type="pct"/>
          </w:tcPr>
          <w:p w14:paraId="4A81C1DE" w14:textId="77777777" w:rsidR="00E72963" w:rsidRPr="00E72963" w:rsidRDefault="00E72963" w:rsidP="00E72963">
            <w:pPr>
              <w:jc w:val="center"/>
              <w:rPr>
                <w:rFonts w:ascii="Cambria" w:hAnsi="Cambria" w:cs="Arial"/>
                <w:b/>
                <w:bCs/>
              </w:rPr>
            </w:pPr>
            <w:r w:rsidRPr="00E72963">
              <w:rPr>
                <w:rFonts w:ascii="Cambria" w:hAnsi="Cambria" w:cs="Times New Roman"/>
                <w:b/>
                <w:bCs/>
                <w:rtl/>
              </w:rPr>
              <w:t>موافق</w:t>
            </w:r>
          </w:p>
        </w:tc>
        <w:tc>
          <w:tcPr>
            <w:tcW w:w="400" w:type="pct"/>
          </w:tcPr>
          <w:p w14:paraId="6EF738DD" w14:textId="77777777" w:rsidR="00E72963" w:rsidRPr="00E72963" w:rsidRDefault="00E72963" w:rsidP="00E72963">
            <w:pPr>
              <w:jc w:val="center"/>
              <w:rPr>
                <w:rFonts w:ascii="Cambria" w:hAnsi="Cambria" w:cs="Arial"/>
                <w:b/>
                <w:bCs/>
              </w:rPr>
            </w:pPr>
            <w:r w:rsidRPr="00E72963">
              <w:rPr>
                <w:rFonts w:ascii="Cambria" w:hAnsi="Cambria" w:cs="Times New Roman"/>
                <w:b/>
                <w:bCs/>
                <w:rtl/>
              </w:rPr>
              <w:t>محايد</w:t>
            </w:r>
          </w:p>
        </w:tc>
        <w:tc>
          <w:tcPr>
            <w:tcW w:w="481" w:type="pct"/>
          </w:tcPr>
          <w:p w14:paraId="1D4D609C" w14:textId="77777777" w:rsidR="00E72963" w:rsidRPr="00E72963" w:rsidRDefault="00E72963" w:rsidP="00E72963">
            <w:pPr>
              <w:jc w:val="center"/>
              <w:rPr>
                <w:rFonts w:ascii="Cambria" w:hAnsi="Cambria" w:cs="Arial"/>
                <w:b/>
                <w:bCs/>
              </w:rPr>
            </w:pPr>
            <w:r w:rsidRPr="00E72963">
              <w:rPr>
                <w:rFonts w:ascii="Cambria" w:hAnsi="Cambria" w:cs="Times New Roman"/>
                <w:b/>
                <w:bCs/>
                <w:rtl/>
              </w:rPr>
              <w:t>غير</w:t>
            </w:r>
            <w:r w:rsidRPr="00E72963">
              <w:rPr>
                <w:rFonts w:ascii="Cambria" w:hAnsi="Cambria" w:cs="Arial"/>
                <w:b/>
                <w:bCs/>
              </w:rPr>
              <w:t xml:space="preserve"> </w:t>
            </w:r>
            <w:r w:rsidRPr="00E72963">
              <w:rPr>
                <w:rFonts w:ascii="Cambria" w:hAnsi="Cambria" w:cs="Times New Roman"/>
                <w:b/>
                <w:bCs/>
                <w:rtl/>
              </w:rPr>
              <w:t>موافق</w:t>
            </w:r>
          </w:p>
        </w:tc>
        <w:tc>
          <w:tcPr>
            <w:tcW w:w="458" w:type="pct"/>
          </w:tcPr>
          <w:p w14:paraId="3C8010EC" w14:textId="77777777" w:rsidR="00E72963" w:rsidRPr="00E72963" w:rsidRDefault="00E72963" w:rsidP="00E72963">
            <w:pPr>
              <w:jc w:val="center"/>
              <w:rPr>
                <w:rFonts w:ascii="Cambria" w:hAnsi="Cambria" w:cs="Arial"/>
                <w:b/>
                <w:bCs/>
              </w:rPr>
            </w:pPr>
            <w:r w:rsidRPr="00E72963">
              <w:rPr>
                <w:rFonts w:ascii="Cambria" w:hAnsi="Cambria" w:cs="Times New Roman"/>
                <w:b/>
                <w:bCs/>
                <w:rtl/>
              </w:rPr>
              <w:t>غير</w:t>
            </w:r>
            <w:r w:rsidRPr="00E72963">
              <w:rPr>
                <w:rFonts w:ascii="Cambria" w:hAnsi="Cambria" w:cs="Arial"/>
                <w:b/>
                <w:bCs/>
              </w:rPr>
              <w:t xml:space="preserve"> </w:t>
            </w:r>
            <w:r w:rsidRPr="00E72963">
              <w:rPr>
                <w:rFonts w:ascii="Cambria" w:hAnsi="Cambria" w:cs="Times New Roman"/>
                <w:b/>
                <w:bCs/>
                <w:rtl/>
              </w:rPr>
              <w:t>موافق</w:t>
            </w:r>
            <w:r w:rsidRPr="00E72963">
              <w:rPr>
                <w:rFonts w:ascii="Cambria" w:hAnsi="Cambria" w:cs="Arial"/>
                <w:b/>
                <w:bCs/>
              </w:rPr>
              <w:t xml:space="preserve"> </w:t>
            </w:r>
            <w:r w:rsidRPr="00E72963">
              <w:rPr>
                <w:rFonts w:ascii="Cambria" w:hAnsi="Cambria" w:cs="Times New Roman"/>
                <w:b/>
                <w:bCs/>
                <w:rtl/>
              </w:rPr>
              <w:t>بشدة</w:t>
            </w:r>
          </w:p>
        </w:tc>
      </w:tr>
      <w:tr w:rsidR="00E72963" w:rsidRPr="00E72963" w14:paraId="7134FE34" w14:textId="77777777" w:rsidTr="00E72963">
        <w:tc>
          <w:tcPr>
            <w:tcW w:w="5000" w:type="pct"/>
            <w:gridSpan w:val="7"/>
          </w:tcPr>
          <w:p w14:paraId="1D8422BA" w14:textId="77777777" w:rsidR="00E72963" w:rsidRPr="00E72963" w:rsidRDefault="00E72963" w:rsidP="00E72963">
            <w:pPr>
              <w:jc w:val="center"/>
              <w:rPr>
                <w:rFonts w:ascii="Cambria" w:hAnsi="Cambria" w:cs="Arial"/>
                <w:sz w:val="24"/>
                <w:szCs w:val="24"/>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الأول</w:t>
            </w:r>
            <w:r w:rsidRPr="00E72963">
              <w:rPr>
                <w:rFonts w:ascii="Cambria" w:hAnsi="Cambria" w:cs="Arial"/>
                <w:sz w:val="24"/>
                <w:szCs w:val="24"/>
              </w:rPr>
              <w:t xml:space="preserve">: </w:t>
            </w:r>
            <w:r w:rsidRPr="00E72963">
              <w:rPr>
                <w:rFonts w:ascii="Cambria" w:hAnsi="Cambria" w:cs="Times New Roman"/>
                <w:sz w:val="24"/>
                <w:szCs w:val="24"/>
                <w:rtl/>
              </w:rPr>
              <w:t>السياسات</w:t>
            </w:r>
            <w:r w:rsidRPr="00E72963">
              <w:rPr>
                <w:rFonts w:ascii="Cambria" w:hAnsi="Cambria" w:cs="Arial"/>
                <w:sz w:val="24"/>
                <w:szCs w:val="24"/>
              </w:rPr>
              <w:t xml:space="preserve"> </w:t>
            </w:r>
            <w:r w:rsidRPr="00E72963">
              <w:rPr>
                <w:rFonts w:ascii="Cambria" w:hAnsi="Cambria" w:cs="Times New Roman"/>
                <w:sz w:val="24"/>
                <w:szCs w:val="24"/>
                <w:rtl/>
              </w:rPr>
              <w:t>والإجراءات</w:t>
            </w:r>
          </w:p>
        </w:tc>
      </w:tr>
      <w:tr w:rsidR="00E72963" w:rsidRPr="00E72963" w14:paraId="6BB328B2" w14:textId="77777777" w:rsidTr="00E72963">
        <w:tc>
          <w:tcPr>
            <w:tcW w:w="707" w:type="pct"/>
          </w:tcPr>
          <w:p w14:paraId="1908F96B" w14:textId="77777777" w:rsidR="00E72963" w:rsidRPr="00E72963" w:rsidRDefault="00E72963" w:rsidP="00E72963">
            <w:pPr>
              <w:jc w:val="both"/>
              <w:rPr>
                <w:rFonts w:ascii="Cambria" w:hAnsi="Cambria" w:cs="Arial"/>
              </w:rPr>
            </w:pPr>
            <w:r w:rsidRPr="00E72963">
              <w:rPr>
                <w:rFonts w:ascii="Cambria" w:hAnsi="Cambria" w:cs="Arial"/>
              </w:rPr>
              <w:t>1</w:t>
            </w:r>
          </w:p>
        </w:tc>
        <w:tc>
          <w:tcPr>
            <w:tcW w:w="2153" w:type="pct"/>
          </w:tcPr>
          <w:p w14:paraId="08554056" w14:textId="77777777" w:rsidR="00E72963" w:rsidRPr="00E72963" w:rsidRDefault="00E72963" w:rsidP="00E72963">
            <w:pPr>
              <w:jc w:val="both"/>
              <w:rPr>
                <w:rFonts w:ascii="Cambria" w:hAnsi="Cambria" w:cs="Times New Roman"/>
              </w:rPr>
            </w:pPr>
            <w:r w:rsidRPr="00E72963">
              <w:rPr>
                <w:rFonts w:ascii="Cambria" w:hAnsi="Cambria" w:cs="Times New Roman" w:hint="cs"/>
                <w:rtl/>
              </w:rPr>
              <w:t>تعتمد</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سياسات</w:t>
            </w:r>
            <w:r w:rsidRPr="00E72963">
              <w:rPr>
                <w:rFonts w:ascii="Cambria" w:hAnsi="Cambria" w:cs="Times New Roman"/>
                <w:rtl/>
              </w:rPr>
              <w:t xml:space="preserve"> </w:t>
            </w:r>
            <w:r w:rsidRPr="00E72963">
              <w:rPr>
                <w:rFonts w:ascii="Cambria" w:hAnsi="Cambria" w:cs="Times New Roman" w:hint="cs"/>
                <w:rtl/>
              </w:rPr>
              <w:t>مكتوبة</w:t>
            </w:r>
            <w:r w:rsidRPr="00E72963">
              <w:rPr>
                <w:rFonts w:ascii="Cambria" w:hAnsi="Cambria" w:cs="Times New Roman"/>
                <w:rtl/>
              </w:rPr>
              <w:t xml:space="preserve"> </w:t>
            </w:r>
            <w:r w:rsidRPr="00E72963">
              <w:rPr>
                <w:rFonts w:ascii="Cambria" w:hAnsi="Cambria" w:cs="Times New Roman" w:hint="cs"/>
                <w:rtl/>
              </w:rPr>
              <w:t>وواضحة</w:t>
            </w:r>
            <w:r w:rsidRPr="00E72963">
              <w:rPr>
                <w:rFonts w:ascii="Cambria" w:hAnsi="Cambria" w:cs="Times New Roman"/>
                <w:rtl/>
              </w:rPr>
              <w:t xml:space="preserve"> </w:t>
            </w:r>
            <w:r w:rsidRPr="00E72963">
              <w:rPr>
                <w:rFonts w:ascii="Cambria" w:hAnsi="Cambria" w:cs="Times New Roman" w:hint="cs"/>
                <w:rtl/>
              </w:rPr>
              <w:t>لتنظيم</w:t>
            </w:r>
            <w:r w:rsidRPr="00E72963">
              <w:rPr>
                <w:rFonts w:ascii="Cambria" w:hAnsi="Cambria" w:cs="Times New Roman"/>
                <w:rtl/>
              </w:rPr>
              <w:t xml:space="preserve"> </w:t>
            </w:r>
            <w:r w:rsidRPr="00E72963">
              <w:rPr>
                <w:rFonts w:ascii="Cambria" w:hAnsi="Cambria" w:cs="Times New Roman" w:hint="cs"/>
                <w:rtl/>
              </w:rPr>
              <w:t>إدارة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4991DB23" w14:textId="77777777" w:rsidR="00E72963" w:rsidRPr="00E72963" w:rsidRDefault="00E72963" w:rsidP="00E72963">
            <w:pPr>
              <w:jc w:val="both"/>
              <w:rPr>
                <w:rFonts w:ascii="Cambria" w:hAnsi="Cambria" w:cs="Arial"/>
              </w:rPr>
            </w:pPr>
          </w:p>
        </w:tc>
        <w:tc>
          <w:tcPr>
            <w:tcW w:w="400" w:type="pct"/>
          </w:tcPr>
          <w:p w14:paraId="7B90BAE2" w14:textId="77777777" w:rsidR="00E72963" w:rsidRPr="00E72963" w:rsidRDefault="00E72963" w:rsidP="00E72963">
            <w:pPr>
              <w:jc w:val="both"/>
              <w:rPr>
                <w:rFonts w:ascii="Cambria" w:hAnsi="Cambria" w:cs="Arial"/>
              </w:rPr>
            </w:pPr>
          </w:p>
        </w:tc>
        <w:tc>
          <w:tcPr>
            <w:tcW w:w="400" w:type="pct"/>
          </w:tcPr>
          <w:p w14:paraId="7A5E62E3" w14:textId="77777777" w:rsidR="00E72963" w:rsidRPr="00E72963" w:rsidRDefault="00E72963" w:rsidP="00E72963">
            <w:pPr>
              <w:jc w:val="both"/>
              <w:rPr>
                <w:rFonts w:ascii="Cambria" w:hAnsi="Cambria" w:cs="Arial"/>
              </w:rPr>
            </w:pPr>
          </w:p>
        </w:tc>
        <w:tc>
          <w:tcPr>
            <w:tcW w:w="481" w:type="pct"/>
          </w:tcPr>
          <w:p w14:paraId="1204A929" w14:textId="77777777" w:rsidR="00E72963" w:rsidRPr="00E72963" w:rsidRDefault="00E72963" w:rsidP="00E72963">
            <w:pPr>
              <w:jc w:val="both"/>
              <w:rPr>
                <w:rFonts w:ascii="Cambria" w:hAnsi="Cambria" w:cs="Arial"/>
              </w:rPr>
            </w:pPr>
          </w:p>
        </w:tc>
        <w:tc>
          <w:tcPr>
            <w:tcW w:w="458" w:type="pct"/>
          </w:tcPr>
          <w:p w14:paraId="57DA45C3" w14:textId="77777777" w:rsidR="00E72963" w:rsidRPr="00E72963" w:rsidRDefault="00E72963" w:rsidP="00E72963">
            <w:pPr>
              <w:jc w:val="both"/>
              <w:rPr>
                <w:rFonts w:ascii="Cambria" w:hAnsi="Cambria" w:cs="Arial"/>
              </w:rPr>
            </w:pPr>
          </w:p>
        </w:tc>
      </w:tr>
      <w:tr w:rsidR="00E72963" w:rsidRPr="00E72963" w14:paraId="24B1E977" w14:textId="77777777" w:rsidTr="00E72963">
        <w:tc>
          <w:tcPr>
            <w:tcW w:w="707" w:type="pct"/>
          </w:tcPr>
          <w:p w14:paraId="532D3338" w14:textId="77777777" w:rsidR="00E72963" w:rsidRPr="00E72963" w:rsidRDefault="00E72963" w:rsidP="00E72963">
            <w:pPr>
              <w:jc w:val="both"/>
              <w:rPr>
                <w:rFonts w:ascii="Cambria" w:hAnsi="Cambria" w:cs="Arial"/>
              </w:rPr>
            </w:pPr>
            <w:r w:rsidRPr="00E72963">
              <w:rPr>
                <w:rFonts w:ascii="Cambria" w:hAnsi="Cambria" w:cs="Arial"/>
              </w:rPr>
              <w:t>2</w:t>
            </w:r>
          </w:p>
        </w:tc>
        <w:tc>
          <w:tcPr>
            <w:tcW w:w="2153" w:type="pct"/>
          </w:tcPr>
          <w:p w14:paraId="0812BD3E" w14:textId="77777777" w:rsidR="00E72963" w:rsidRPr="00E72963" w:rsidRDefault="00E72963" w:rsidP="00E72963">
            <w:pPr>
              <w:jc w:val="both"/>
              <w:rPr>
                <w:rFonts w:ascii="Cambria" w:hAnsi="Cambria" w:cs="Times New Roman"/>
              </w:rPr>
            </w:pPr>
            <w:r w:rsidRPr="00E72963">
              <w:rPr>
                <w:rFonts w:ascii="Cambria" w:hAnsi="Cambria" w:cs="Times New Roman" w:hint="cs"/>
                <w:rtl/>
              </w:rPr>
              <w:t>تتم</w:t>
            </w:r>
            <w:r w:rsidRPr="00E72963">
              <w:rPr>
                <w:rFonts w:ascii="Cambria" w:hAnsi="Cambria" w:cs="Times New Roman"/>
                <w:rtl/>
              </w:rPr>
              <w:t xml:space="preserve"> </w:t>
            </w:r>
            <w:r w:rsidRPr="00E72963">
              <w:rPr>
                <w:rFonts w:ascii="Cambria" w:hAnsi="Cambria" w:cs="Times New Roman" w:hint="cs"/>
                <w:rtl/>
              </w:rPr>
              <w:t>مراجعة</w:t>
            </w:r>
            <w:r w:rsidRPr="00E72963">
              <w:rPr>
                <w:rFonts w:ascii="Cambria" w:hAnsi="Cambria" w:cs="Times New Roman"/>
                <w:rtl/>
              </w:rPr>
              <w:t xml:space="preserve"> </w:t>
            </w:r>
            <w:r w:rsidRPr="00E72963">
              <w:rPr>
                <w:rFonts w:ascii="Cambria" w:hAnsi="Cambria" w:cs="Times New Roman" w:hint="cs"/>
                <w:rtl/>
              </w:rPr>
              <w:t>وتحديث</w:t>
            </w:r>
            <w:r w:rsidRPr="00E72963">
              <w:rPr>
                <w:rFonts w:ascii="Cambria" w:hAnsi="Cambria" w:cs="Times New Roman"/>
                <w:rtl/>
              </w:rPr>
              <w:t xml:space="preserve"> </w:t>
            </w:r>
            <w:r w:rsidRPr="00E72963">
              <w:rPr>
                <w:rFonts w:ascii="Cambria" w:hAnsi="Cambria" w:cs="Times New Roman" w:hint="cs"/>
                <w:rtl/>
              </w:rPr>
              <w:t>سياسات</w:t>
            </w:r>
            <w:r w:rsidRPr="00E72963">
              <w:rPr>
                <w:rFonts w:ascii="Cambria" w:hAnsi="Cambria" w:cs="Times New Roman"/>
                <w:rtl/>
              </w:rPr>
              <w:t xml:space="preserve"> </w:t>
            </w:r>
            <w:r w:rsidRPr="00E72963">
              <w:rPr>
                <w:rFonts w:ascii="Cambria" w:hAnsi="Cambria" w:cs="Times New Roman" w:hint="cs"/>
                <w:rtl/>
              </w:rPr>
              <w:t>حوكمة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بصورة</w:t>
            </w:r>
            <w:r w:rsidRPr="00E72963">
              <w:rPr>
                <w:rFonts w:ascii="Cambria" w:hAnsi="Cambria" w:cs="Times New Roman"/>
                <w:rtl/>
              </w:rPr>
              <w:t xml:space="preserve"> </w:t>
            </w:r>
            <w:r w:rsidRPr="00E72963">
              <w:rPr>
                <w:rFonts w:ascii="Cambria" w:hAnsi="Cambria" w:cs="Times New Roman" w:hint="cs"/>
                <w:rtl/>
              </w:rPr>
              <w:t>دورية</w:t>
            </w:r>
            <w:r w:rsidRPr="00E72963">
              <w:rPr>
                <w:rFonts w:ascii="Cambria" w:hAnsi="Cambria" w:cs="Times New Roman"/>
              </w:rPr>
              <w:t>.</w:t>
            </w:r>
          </w:p>
        </w:tc>
        <w:tc>
          <w:tcPr>
            <w:tcW w:w="401" w:type="pct"/>
          </w:tcPr>
          <w:p w14:paraId="51F2BB74" w14:textId="77777777" w:rsidR="00E72963" w:rsidRPr="00E72963" w:rsidRDefault="00E72963" w:rsidP="00E72963">
            <w:pPr>
              <w:jc w:val="both"/>
              <w:rPr>
                <w:rFonts w:ascii="Cambria" w:hAnsi="Cambria" w:cs="Arial"/>
              </w:rPr>
            </w:pPr>
          </w:p>
        </w:tc>
        <w:tc>
          <w:tcPr>
            <w:tcW w:w="400" w:type="pct"/>
          </w:tcPr>
          <w:p w14:paraId="680E395D" w14:textId="77777777" w:rsidR="00E72963" w:rsidRPr="00E72963" w:rsidRDefault="00E72963" w:rsidP="00E72963">
            <w:pPr>
              <w:jc w:val="both"/>
              <w:rPr>
                <w:rFonts w:ascii="Cambria" w:hAnsi="Cambria" w:cs="Arial"/>
              </w:rPr>
            </w:pPr>
          </w:p>
        </w:tc>
        <w:tc>
          <w:tcPr>
            <w:tcW w:w="400" w:type="pct"/>
          </w:tcPr>
          <w:p w14:paraId="04BB9807" w14:textId="77777777" w:rsidR="00E72963" w:rsidRPr="00E72963" w:rsidRDefault="00E72963" w:rsidP="00E72963">
            <w:pPr>
              <w:jc w:val="both"/>
              <w:rPr>
                <w:rFonts w:ascii="Cambria" w:hAnsi="Cambria" w:cs="Arial"/>
              </w:rPr>
            </w:pPr>
          </w:p>
        </w:tc>
        <w:tc>
          <w:tcPr>
            <w:tcW w:w="481" w:type="pct"/>
          </w:tcPr>
          <w:p w14:paraId="2BC405F5" w14:textId="77777777" w:rsidR="00E72963" w:rsidRPr="00E72963" w:rsidRDefault="00E72963" w:rsidP="00E72963">
            <w:pPr>
              <w:jc w:val="both"/>
              <w:rPr>
                <w:rFonts w:ascii="Cambria" w:hAnsi="Cambria" w:cs="Arial"/>
              </w:rPr>
            </w:pPr>
          </w:p>
        </w:tc>
        <w:tc>
          <w:tcPr>
            <w:tcW w:w="458" w:type="pct"/>
          </w:tcPr>
          <w:p w14:paraId="1A255170" w14:textId="77777777" w:rsidR="00E72963" w:rsidRPr="00E72963" w:rsidRDefault="00E72963" w:rsidP="00E72963">
            <w:pPr>
              <w:jc w:val="both"/>
              <w:rPr>
                <w:rFonts w:ascii="Cambria" w:hAnsi="Cambria" w:cs="Arial"/>
              </w:rPr>
            </w:pPr>
          </w:p>
        </w:tc>
      </w:tr>
      <w:tr w:rsidR="00E72963" w:rsidRPr="00E72963" w14:paraId="7DF873EE" w14:textId="77777777" w:rsidTr="00E72963">
        <w:tc>
          <w:tcPr>
            <w:tcW w:w="707" w:type="pct"/>
          </w:tcPr>
          <w:p w14:paraId="58564169" w14:textId="77777777" w:rsidR="00E72963" w:rsidRPr="00E72963" w:rsidRDefault="00E72963" w:rsidP="00E72963">
            <w:pPr>
              <w:jc w:val="both"/>
              <w:rPr>
                <w:rFonts w:ascii="Cambria" w:hAnsi="Cambria" w:cs="Arial"/>
              </w:rPr>
            </w:pPr>
            <w:r w:rsidRPr="00E72963">
              <w:rPr>
                <w:rFonts w:ascii="Cambria" w:hAnsi="Cambria" w:cs="Arial"/>
              </w:rPr>
              <w:t>3</w:t>
            </w:r>
          </w:p>
        </w:tc>
        <w:tc>
          <w:tcPr>
            <w:tcW w:w="2153" w:type="pct"/>
          </w:tcPr>
          <w:p w14:paraId="0018486B" w14:textId="77777777" w:rsidR="00E72963" w:rsidRPr="00E72963" w:rsidRDefault="00E72963" w:rsidP="00E72963">
            <w:pPr>
              <w:jc w:val="both"/>
              <w:rPr>
                <w:rFonts w:ascii="Cambria" w:hAnsi="Cambria" w:cs="Times New Roman"/>
              </w:rPr>
            </w:pPr>
            <w:r w:rsidRPr="00E72963">
              <w:rPr>
                <w:rFonts w:ascii="Cambria" w:hAnsi="Cambria" w:cs="Times New Roman" w:hint="cs"/>
                <w:rtl/>
              </w:rPr>
              <w:t>تحدد</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بوضوح</w:t>
            </w:r>
            <w:r w:rsidRPr="00E72963">
              <w:rPr>
                <w:rFonts w:ascii="Cambria" w:hAnsi="Cambria" w:cs="Times New Roman"/>
                <w:rtl/>
              </w:rPr>
              <w:t xml:space="preserve"> </w:t>
            </w:r>
            <w:r w:rsidRPr="00E72963">
              <w:rPr>
                <w:rFonts w:ascii="Cambria" w:hAnsi="Cambria" w:cs="Times New Roman" w:hint="cs"/>
                <w:rtl/>
              </w:rPr>
              <w:t>الأدوار</w:t>
            </w:r>
            <w:r w:rsidRPr="00E72963">
              <w:rPr>
                <w:rFonts w:ascii="Cambria" w:hAnsi="Cambria" w:cs="Times New Roman"/>
                <w:rtl/>
              </w:rPr>
              <w:t xml:space="preserve"> </w:t>
            </w:r>
            <w:r w:rsidRPr="00E72963">
              <w:rPr>
                <w:rFonts w:ascii="Cambria" w:hAnsi="Cambria" w:cs="Times New Roman" w:hint="cs"/>
                <w:rtl/>
              </w:rPr>
              <w:t>والمسؤوليات</w:t>
            </w:r>
            <w:r w:rsidRPr="00E72963">
              <w:rPr>
                <w:rFonts w:ascii="Cambria" w:hAnsi="Cambria" w:cs="Times New Roman"/>
                <w:rtl/>
              </w:rPr>
              <w:t xml:space="preserve"> </w:t>
            </w:r>
            <w:r w:rsidRPr="00E72963">
              <w:rPr>
                <w:rFonts w:ascii="Cambria" w:hAnsi="Cambria" w:cs="Times New Roman" w:hint="cs"/>
                <w:rtl/>
              </w:rPr>
              <w:t>المتعلقة</w:t>
            </w:r>
            <w:r w:rsidRPr="00E72963">
              <w:rPr>
                <w:rFonts w:ascii="Cambria" w:hAnsi="Cambria" w:cs="Times New Roman"/>
                <w:rtl/>
              </w:rPr>
              <w:t xml:space="preserve"> </w:t>
            </w:r>
            <w:r w:rsidRPr="00E72963">
              <w:rPr>
                <w:rFonts w:ascii="Cambria" w:hAnsi="Cambria" w:cs="Times New Roman" w:hint="cs"/>
                <w:rtl/>
              </w:rPr>
              <w:t>بإدارة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3E9EDA3B" w14:textId="77777777" w:rsidR="00E72963" w:rsidRPr="00E72963" w:rsidRDefault="00E72963" w:rsidP="00E72963">
            <w:pPr>
              <w:jc w:val="both"/>
              <w:rPr>
                <w:rFonts w:ascii="Cambria" w:hAnsi="Cambria" w:cs="Arial"/>
              </w:rPr>
            </w:pPr>
          </w:p>
        </w:tc>
        <w:tc>
          <w:tcPr>
            <w:tcW w:w="400" w:type="pct"/>
          </w:tcPr>
          <w:p w14:paraId="6F26ED76" w14:textId="77777777" w:rsidR="00E72963" w:rsidRPr="00E72963" w:rsidRDefault="00E72963" w:rsidP="00E72963">
            <w:pPr>
              <w:jc w:val="both"/>
              <w:rPr>
                <w:rFonts w:ascii="Cambria" w:hAnsi="Cambria" w:cs="Arial"/>
              </w:rPr>
            </w:pPr>
          </w:p>
        </w:tc>
        <w:tc>
          <w:tcPr>
            <w:tcW w:w="400" w:type="pct"/>
          </w:tcPr>
          <w:p w14:paraId="4370C226" w14:textId="77777777" w:rsidR="00E72963" w:rsidRPr="00E72963" w:rsidRDefault="00E72963" w:rsidP="00E72963">
            <w:pPr>
              <w:jc w:val="both"/>
              <w:rPr>
                <w:rFonts w:ascii="Cambria" w:hAnsi="Cambria" w:cs="Arial"/>
              </w:rPr>
            </w:pPr>
          </w:p>
        </w:tc>
        <w:tc>
          <w:tcPr>
            <w:tcW w:w="481" w:type="pct"/>
          </w:tcPr>
          <w:p w14:paraId="57D5166D" w14:textId="77777777" w:rsidR="00E72963" w:rsidRPr="00E72963" w:rsidRDefault="00E72963" w:rsidP="00E72963">
            <w:pPr>
              <w:jc w:val="both"/>
              <w:rPr>
                <w:rFonts w:ascii="Cambria" w:hAnsi="Cambria" w:cs="Arial"/>
              </w:rPr>
            </w:pPr>
          </w:p>
        </w:tc>
        <w:tc>
          <w:tcPr>
            <w:tcW w:w="458" w:type="pct"/>
          </w:tcPr>
          <w:p w14:paraId="24CA3FA5" w14:textId="77777777" w:rsidR="00E72963" w:rsidRPr="00E72963" w:rsidRDefault="00E72963" w:rsidP="00E72963">
            <w:pPr>
              <w:jc w:val="both"/>
              <w:rPr>
                <w:rFonts w:ascii="Cambria" w:hAnsi="Cambria" w:cs="Arial"/>
              </w:rPr>
            </w:pPr>
          </w:p>
        </w:tc>
      </w:tr>
      <w:tr w:rsidR="00E72963" w:rsidRPr="00E72963" w14:paraId="31441BE4" w14:textId="77777777" w:rsidTr="00E72963">
        <w:tc>
          <w:tcPr>
            <w:tcW w:w="707" w:type="pct"/>
          </w:tcPr>
          <w:p w14:paraId="3F846D3E" w14:textId="77777777" w:rsidR="00E72963" w:rsidRPr="00E72963" w:rsidRDefault="00E72963" w:rsidP="00E72963">
            <w:pPr>
              <w:jc w:val="both"/>
              <w:rPr>
                <w:rFonts w:ascii="Cambria" w:hAnsi="Cambria" w:cs="Arial"/>
              </w:rPr>
            </w:pPr>
            <w:r w:rsidRPr="00E72963">
              <w:rPr>
                <w:rFonts w:ascii="Cambria" w:hAnsi="Cambria" w:cs="Arial"/>
              </w:rPr>
              <w:t>4</w:t>
            </w:r>
          </w:p>
        </w:tc>
        <w:tc>
          <w:tcPr>
            <w:tcW w:w="2153" w:type="pct"/>
          </w:tcPr>
          <w:p w14:paraId="565FC00F" w14:textId="77777777" w:rsidR="00E72963" w:rsidRPr="00E72963" w:rsidRDefault="00E72963" w:rsidP="00E72963">
            <w:pPr>
              <w:jc w:val="both"/>
              <w:rPr>
                <w:rFonts w:ascii="Cambria" w:hAnsi="Cambria" w:cs="Times New Roman"/>
              </w:rPr>
            </w:pPr>
            <w:r w:rsidRPr="00E72963">
              <w:rPr>
                <w:rFonts w:ascii="Cambria" w:hAnsi="Cambria" w:cs="Times New Roman" w:hint="cs"/>
                <w:rtl/>
              </w:rPr>
              <w:t>تتابع</w:t>
            </w:r>
            <w:r w:rsidRPr="00E72963">
              <w:rPr>
                <w:rFonts w:ascii="Cambria" w:hAnsi="Cambria" w:cs="Times New Roman"/>
                <w:rtl/>
              </w:rPr>
              <w:t xml:space="preserve"> </w:t>
            </w:r>
            <w:r w:rsidRPr="00E72963">
              <w:rPr>
                <w:rFonts w:ascii="Cambria" w:hAnsi="Cambria" w:cs="Times New Roman" w:hint="cs"/>
                <w:rtl/>
              </w:rPr>
              <w:t>الإدارة</w:t>
            </w:r>
            <w:r w:rsidRPr="00E72963">
              <w:rPr>
                <w:rFonts w:ascii="Cambria" w:hAnsi="Cambria" w:cs="Times New Roman"/>
                <w:rtl/>
              </w:rPr>
              <w:t xml:space="preserve"> </w:t>
            </w:r>
            <w:r w:rsidRPr="00E72963">
              <w:rPr>
                <w:rFonts w:ascii="Cambria" w:hAnsi="Cambria" w:cs="Times New Roman" w:hint="cs"/>
                <w:rtl/>
              </w:rPr>
              <w:t>مدى</w:t>
            </w:r>
            <w:r w:rsidRPr="00E72963">
              <w:rPr>
                <w:rFonts w:ascii="Cambria" w:hAnsi="Cambria" w:cs="Times New Roman"/>
                <w:rtl/>
              </w:rPr>
              <w:t xml:space="preserve"> </w:t>
            </w:r>
            <w:r w:rsidRPr="00E72963">
              <w:rPr>
                <w:rFonts w:ascii="Cambria" w:hAnsi="Cambria" w:cs="Times New Roman" w:hint="cs"/>
                <w:rtl/>
              </w:rPr>
              <w:t>التزام</w:t>
            </w:r>
            <w:r w:rsidRPr="00E72963">
              <w:rPr>
                <w:rFonts w:ascii="Cambria" w:hAnsi="Cambria" w:cs="Times New Roman"/>
                <w:rtl/>
              </w:rPr>
              <w:t xml:space="preserve"> </w:t>
            </w:r>
            <w:r w:rsidRPr="00E72963">
              <w:rPr>
                <w:rFonts w:ascii="Cambria" w:hAnsi="Cambria" w:cs="Times New Roman" w:hint="cs"/>
                <w:rtl/>
              </w:rPr>
              <w:t>العاملين</w:t>
            </w:r>
            <w:r w:rsidRPr="00E72963">
              <w:rPr>
                <w:rFonts w:ascii="Cambria" w:hAnsi="Cambria" w:cs="Times New Roman"/>
                <w:rtl/>
              </w:rPr>
              <w:t xml:space="preserve"> </w:t>
            </w:r>
            <w:r w:rsidRPr="00E72963">
              <w:rPr>
                <w:rFonts w:ascii="Cambria" w:hAnsi="Cambria" w:cs="Times New Roman" w:hint="cs"/>
                <w:rtl/>
              </w:rPr>
              <w:t>بسياسات</w:t>
            </w:r>
            <w:r w:rsidRPr="00E72963">
              <w:rPr>
                <w:rFonts w:ascii="Cambria" w:hAnsi="Cambria" w:cs="Times New Roman"/>
                <w:rtl/>
              </w:rPr>
              <w:t xml:space="preserve"> </w:t>
            </w:r>
            <w:r w:rsidRPr="00E72963">
              <w:rPr>
                <w:rFonts w:ascii="Cambria" w:hAnsi="Cambria" w:cs="Times New Roman" w:hint="cs"/>
                <w:rtl/>
              </w:rPr>
              <w:t>وإجراءات</w:t>
            </w:r>
            <w:r w:rsidRPr="00E72963">
              <w:rPr>
                <w:rFonts w:ascii="Cambria" w:hAnsi="Cambria" w:cs="Times New Roman"/>
                <w:rtl/>
              </w:rPr>
              <w:t xml:space="preserve"> </w:t>
            </w:r>
            <w:r w:rsidRPr="00E72963">
              <w:rPr>
                <w:rFonts w:ascii="Cambria" w:hAnsi="Cambria" w:cs="Times New Roman" w:hint="cs"/>
                <w:rtl/>
              </w:rPr>
              <w:t>إدارة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3257E5CD" w14:textId="77777777" w:rsidR="00E72963" w:rsidRPr="00E72963" w:rsidRDefault="00E72963" w:rsidP="00E72963">
            <w:pPr>
              <w:jc w:val="both"/>
              <w:rPr>
                <w:rFonts w:ascii="Cambria" w:hAnsi="Cambria" w:cs="Arial"/>
              </w:rPr>
            </w:pPr>
          </w:p>
        </w:tc>
        <w:tc>
          <w:tcPr>
            <w:tcW w:w="400" w:type="pct"/>
          </w:tcPr>
          <w:p w14:paraId="7117C7F4" w14:textId="77777777" w:rsidR="00E72963" w:rsidRPr="00E72963" w:rsidRDefault="00E72963" w:rsidP="00E72963">
            <w:pPr>
              <w:jc w:val="both"/>
              <w:rPr>
                <w:rFonts w:ascii="Cambria" w:hAnsi="Cambria" w:cs="Arial"/>
              </w:rPr>
            </w:pPr>
          </w:p>
        </w:tc>
        <w:tc>
          <w:tcPr>
            <w:tcW w:w="400" w:type="pct"/>
          </w:tcPr>
          <w:p w14:paraId="385EDDB8" w14:textId="77777777" w:rsidR="00E72963" w:rsidRPr="00E72963" w:rsidRDefault="00E72963" w:rsidP="00E72963">
            <w:pPr>
              <w:jc w:val="both"/>
              <w:rPr>
                <w:rFonts w:ascii="Cambria" w:hAnsi="Cambria" w:cs="Arial"/>
              </w:rPr>
            </w:pPr>
          </w:p>
        </w:tc>
        <w:tc>
          <w:tcPr>
            <w:tcW w:w="481" w:type="pct"/>
          </w:tcPr>
          <w:p w14:paraId="2A6C9BE9" w14:textId="77777777" w:rsidR="00E72963" w:rsidRPr="00E72963" w:rsidRDefault="00E72963" w:rsidP="00E72963">
            <w:pPr>
              <w:jc w:val="both"/>
              <w:rPr>
                <w:rFonts w:ascii="Cambria" w:hAnsi="Cambria" w:cs="Arial"/>
              </w:rPr>
            </w:pPr>
          </w:p>
        </w:tc>
        <w:tc>
          <w:tcPr>
            <w:tcW w:w="458" w:type="pct"/>
          </w:tcPr>
          <w:p w14:paraId="23A5F8BC" w14:textId="77777777" w:rsidR="00E72963" w:rsidRPr="00E72963" w:rsidRDefault="00E72963" w:rsidP="00E72963">
            <w:pPr>
              <w:jc w:val="both"/>
              <w:rPr>
                <w:rFonts w:ascii="Cambria" w:hAnsi="Cambria" w:cs="Arial"/>
              </w:rPr>
            </w:pPr>
          </w:p>
        </w:tc>
      </w:tr>
      <w:tr w:rsidR="00E72963" w:rsidRPr="00E72963" w14:paraId="0D6CA4A3" w14:textId="77777777" w:rsidTr="00E72963">
        <w:tc>
          <w:tcPr>
            <w:tcW w:w="5000" w:type="pct"/>
            <w:gridSpan w:val="7"/>
          </w:tcPr>
          <w:p w14:paraId="1CEEBA45" w14:textId="77777777" w:rsidR="00E72963" w:rsidRPr="00E72963" w:rsidRDefault="00E72963" w:rsidP="00E72963">
            <w:pPr>
              <w:jc w:val="center"/>
              <w:rPr>
                <w:rFonts w:ascii="Cambria" w:hAnsi="Cambria" w:cs="Arial"/>
                <w:b/>
                <w:bCs/>
              </w:rPr>
            </w:pPr>
            <w:r w:rsidRPr="00E72963">
              <w:rPr>
                <w:rFonts w:ascii="Cambria" w:hAnsi="Cambria" w:cs="Times New Roman"/>
                <w:b/>
                <w:bCs/>
                <w:rtl/>
              </w:rPr>
              <w:t>البعد</w:t>
            </w:r>
            <w:r w:rsidRPr="00E72963">
              <w:rPr>
                <w:rFonts w:ascii="Cambria" w:hAnsi="Cambria" w:cs="Arial"/>
                <w:b/>
                <w:bCs/>
              </w:rPr>
              <w:t xml:space="preserve"> </w:t>
            </w:r>
            <w:r w:rsidRPr="00E72963">
              <w:rPr>
                <w:rFonts w:ascii="Cambria" w:hAnsi="Cambria" w:cs="Times New Roman"/>
                <w:b/>
                <w:bCs/>
                <w:rtl/>
              </w:rPr>
              <w:t>الثاني</w:t>
            </w:r>
            <w:r w:rsidRPr="00E72963">
              <w:rPr>
                <w:rFonts w:ascii="Cambria" w:hAnsi="Cambria" w:cs="Arial"/>
                <w:b/>
                <w:bCs/>
              </w:rPr>
              <w:t xml:space="preserve">: </w:t>
            </w:r>
            <w:r w:rsidRPr="00E72963">
              <w:rPr>
                <w:rFonts w:ascii="Cambria" w:hAnsi="Cambria" w:cs="Times New Roman"/>
                <w:b/>
                <w:bCs/>
                <w:rtl/>
              </w:rPr>
              <w:t>جودة</w:t>
            </w:r>
            <w:r w:rsidRPr="00E72963">
              <w:rPr>
                <w:rFonts w:ascii="Cambria" w:hAnsi="Cambria" w:cs="Arial"/>
                <w:b/>
                <w:bCs/>
              </w:rPr>
              <w:t xml:space="preserve"> </w:t>
            </w:r>
            <w:r w:rsidRPr="00E72963">
              <w:rPr>
                <w:rFonts w:ascii="Cambria" w:hAnsi="Cambria" w:cs="Times New Roman"/>
                <w:b/>
                <w:bCs/>
                <w:rtl/>
              </w:rPr>
              <w:t>المعلومات</w:t>
            </w:r>
          </w:p>
        </w:tc>
      </w:tr>
      <w:tr w:rsidR="00E72963" w:rsidRPr="00E72963" w14:paraId="687F45C9" w14:textId="77777777" w:rsidTr="00E72963">
        <w:tc>
          <w:tcPr>
            <w:tcW w:w="707" w:type="pct"/>
          </w:tcPr>
          <w:p w14:paraId="1BF4C434" w14:textId="77777777" w:rsidR="00E72963" w:rsidRPr="00E72963" w:rsidRDefault="00E72963" w:rsidP="00E72963">
            <w:pPr>
              <w:jc w:val="both"/>
              <w:rPr>
                <w:rFonts w:ascii="Cambria" w:hAnsi="Cambria" w:cs="Arial"/>
              </w:rPr>
            </w:pPr>
            <w:r w:rsidRPr="00E72963">
              <w:rPr>
                <w:rFonts w:ascii="Cambria" w:hAnsi="Cambria" w:cs="Arial"/>
              </w:rPr>
              <w:t>5</w:t>
            </w:r>
          </w:p>
        </w:tc>
        <w:tc>
          <w:tcPr>
            <w:tcW w:w="2153" w:type="pct"/>
          </w:tcPr>
          <w:p w14:paraId="1817C134" w14:textId="77777777" w:rsidR="00E72963" w:rsidRPr="00E72963" w:rsidRDefault="00E72963" w:rsidP="00E72963">
            <w:pPr>
              <w:jc w:val="both"/>
              <w:rPr>
                <w:rFonts w:ascii="Cambria" w:hAnsi="Cambria" w:cs="Times New Roman"/>
              </w:rPr>
            </w:pPr>
            <w:r w:rsidRPr="00E72963">
              <w:rPr>
                <w:rFonts w:ascii="Cambria" w:hAnsi="Cambria" w:cs="Times New Roman" w:hint="cs"/>
                <w:rtl/>
              </w:rPr>
              <w:t>تتسم</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المستخدمة</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العمل</w:t>
            </w:r>
            <w:r w:rsidRPr="00E72963">
              <w:rPr>
                <w:rFonts w:ascii="Cambria" w:hAnsi="Cambria" w:cs="Times New Roman"/>
                <w:rtl/>
              </w:rPr>
              <w:t xml:space="preserve"> </w:t>
            </w:r>
            <w:r w:rsidRPr="00E72963">
              <w:rPr>
                <w:rFonts w:ascii="Cambria" w:hAnsi="Cambria" w:cs="Times New Roman" w:hint="cs"/>
                <w:rtl/>
              </w:rPr>
              <w:t>بالدقة</w:t>
            </w:r>
            <w:r w:rsidRPr="00E72963">
              <w:rPr>
                <w:rFonts w:ascii="Cambria" w:hAnsi="Cambria" w:cs="Times New Roman"/>
                <w:rtl/>
              </w:rPr>
              <w:t xml:space="preserve"> </w:t>
            </w:r>
            <w:r w:rsidRPr="00E72963">
              <w:rPr>
                <w:rFonts w:ascii="Cambria" w:hAnsi="Cambria" w:cs="Times New Roman" w:hint="cs"/>
                <w:rtl/>
              </w:rPr>
              <w:t>والموثوقية</w:t>
            </w:r>
            <w:r w:rsidRPr="00E72963">
              <w:rPr>
                <w:rFonts w:ascii="Cambria" w:hAnsi="Cambria" w:cs="Times New Roman"/>
              </w:rPr>
              <w:t>.</w:t>
            </w:r>
          </w:p>
        </w:tc>
        <w:tc>
          <w:tcPr>
            <w:tcW w:w="401" w:type="pct"/>
          </w:tcPr>
          <w:p w14:paraId="625BB836" w14:textId="77777777" w:rsidR="00E72963" w:rsidRPr="00E72963" w:rsidRDefault="00E72963" w:rsidP="00E72963">
            <w:pPr>
              <w:jc w:val="both"/>
              <w:rPr>
                <w:rFonts w:ascii="Cambria" w:hAnsi="Cambria" w:cs="Arial"/>
              </w:rPr>
            </w:pPr>
          </w:p>
        </w:tc>
        <w:tc>
          <w:tcPr>
            <w:tcW w:w="400" w:type="pct"/>
          </w:tcPr>
          <w:p w14:paraId="73B6E507" w14:textId="77777777" w:rsidR="00E72963" w:rsidRPr="00E72963" w:rsidRDefault="00E72963" w:rsidP="00E72963">
            <w:pPr>
              <w:jc w:val="both"/>
              <w:rPr>
                <w:rFonts w:ascii="Cambria" w:hAnsi="Cambria" w:cs="Arial"/>
              </w:rPr>
            </w:pPr>
          </w:p>
        </w:tc>
        <w:tc>
          <w:tcPr>
            <w:tcW w:w="400" w:type="pct"/>
          </w:tcPr>
          <w:p w14:paraId="4A7D2F95" w14:textId="77777777" w:rsidR="00E72963" w:rsidRPr="00E72963" w:rsidRDefault="00E72963" w:rsidP="00E72963">
            <w:pPr>
              <w:jc w:val="both"/>
              <w:rPr>
                <w:rFonts w:ascii="Cambria" w:hAnsi="Cambria" w:cs="Arial"/>
              </w:rPr>
            </w:pPr>
          </w:p>
        </w:tc>
        <w:tc>
          <w:tcPr>
            <w:tcW w:w="481" w:type="pct"/>
          </w:tcPr>
          <w:p w14:paraId="3F9752A7" w14:textId="77777777" w:rsidR="00E72963" w:rsidRPr="00E72963" w:rsidRDefault="00E72963" w:rsidP="00E72963">
            <w:pPr>
              <w:jc w:val="both"/>
              <w:rPr>
                <w:rFonts w:ascii="Cambria" w:hAnsi="Cambria" w:cs="Arial"/>
              </w:rPr>
            </w:pPr>
          </w:p>
        </w:tc>
        <w:tc>
          <w:tcPr>
            <w:tcW w:w="458" w:type="pct"/>
          </w:tcPr>
          <w:p w14:paraId="2B4A9D3F" w14:textId="77777777" w:rsidR="00E72963" w:rsidRPr="00E72963" w:rsidRDefault="00E72963" w:rsidP="00E72963">
            <w:pPr>
              <w:jc w:val="both"/>
              <w:rPr>
                <w:rFonts w:ascii="Cambria" w:hAnsi="Cambria" w:cs="Arial"/>
              </w:rPr>
            </w:pPr>
          </w:p>
        </w:tc>
      </w:tr>
      <w:tr w:rsidR="00E72963" w:rsidRPr="00E72963" w14:paraId="4B54A8E9" w14:textId="77777777" w:rsidTr="00E72963">
        <w:tc>
          <w:tcPr>
            <w:tcW w:w="707" w:type="pct"/>
          </w:tcPr>
          <w:p w14:paraId="75A5304B" w14:textId="77777777" w:rsidR="00E72963" w:rsidRPr="00E72963" w:rsidRDefault="00E72963" w:rsidP="00E72963">
            <w:pPr>
              <w:jc w:val="both"/>
              <w:rPr>
                <w:rFonts w:ascii="Cambria" w:hAnsi="Cambria" w:cs="Arial"/>
              </w:rPr>
            </w:pPr>
            <w:r w:rsidRPr="00E72963">
              <w:rPr>
                <w:rFonts w:ascii="Cambria" w:hAnsi="Cambria" w:cs="Arial"/>
              </w:rPr>
              <w:t>6</w:t>
            </w:r>
          </w:p>
        </w:tc>
        <w:tc>
          <w:tcPr>
            <w:tcW w:w="2153" w:type="pct"/>
          </w:tcPr>
          <w:p w14:paraId="5D3AAC40" w14:textId="77777777" w:rsidR="00E72963" w:rsidRPr="00E72963" w:rsidRDefault="00E72963" w:rsidP="00E72963">
            <w:pPr>
              <w:jc w:val="both"/>
              <w:rPr>
                <w:rFonts w:ascii="Cambria" w:hAnsi="Cambria" w:cs="Times New Roman"/>
              </w:rPr>
            </w:pPr>
            <w:r w:rsidRPr="00E72963">
              <w:rPr>
                <w:rFonts w:ascii="Cambria" w:hAnsi="Cambria" w:cs="Times New Roman" w:hint="cs"/>
                <w:rtl/>
              </w:rPr>
              <w:t>تطبق</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إجراءات</w:t>
            </w:r>
            <w:r w:rsidRPr="00E72963">
              <w:rPr>
                <w:rFonts w:ascii="Cambria" w:hAnsi="Cambria" w:cs="Times New Roman"/>
                <w:rtl/>
              </w:rPr>
              <w:t xml:space="preserve"> </w:t>
            </w:r>
            <w:r w:rsidRPr="00E72963">
              <w:rPr>
                <w:rFonts w:ascii="Cambria" w:hAnsi="Cambria" w:cs="Times New Roman" w:hint="cs"/>
                <w:rtl/>
              </w:rPr>
              <w:t>للتحقق</w:t>
            </w:r>
            <w:r w:rsidRPr="00E72963">
              <w:rPr>
                <w:rFonts w:ascii="Cambria" w:hAnsi="Cambria" w:cs="Times New Roman"/>
                <w:rtl/>
              </w:rPr>
              <w:t xml:space="preserve"> </w:t>
            </w:r>
            <w:r w:rsidRPr="00E72963">
              <w:rPr>
                <w:rFonts w:ascii="Cambria" w:hAnsi="Cambria" w:cs="Times New Roman" w:hint="cs"/>
                <w:rtl/>
              </w:rPr>
              <w:t>من</w:t>
            </w:r>
            <w:r w:rsidRPr="00E72963">
              <w:rPr>
                <w:rFonts w:ascii="Cambria" w:hAnsi="Cambria" w:cs="Times New Roman"/>
                <w:rtl/>
              </w:rPr>
              <w:t xml:space="preserve"> </w:t>
            </w:r>
            <w:r w:rsidRPr="00E72963">
              <w:rPr>
                <w:rFonts w:ascii="Cambria" w:hAnsi="Cambria" w:cs="Times New Roman" w:hint="cs"/>
                <w:rtl/>
              </w:rPr>
              <w:t>جودة</w:t>
            </w:r>
            <w:r w:rsidRPr="00E72963">
              <w:rPr>
                <w:rFonts w:ascii="Cambria" w:hAnsi="Cambria" w:cs="Times New Roman"/>
                <w:rtl/>
              </w:rPr>
              <w:t xml:space="preserve"> </w:t>
            </w:r>
            <w:r w:rsidRPr="00E72963">
              <w:rPr>
                <w:rFonts w:ascii="Cambria" w:hAnsi="Cambria" w:cs="Times New Roman" w:hint="cs"/>
                <w:rtl/>
              </w:rPr>
              <w:t>البيانات</w:t>
            </w:r>
            <w:r w:rsidRPr="00E72963">
              <w:rPr>
                <w:rFonts w:ascii="Cambria" w:hAnsi="Cambria" w:cs="Times New Roman"/>
                <w:rtl/>
              </w:rPr>
              <w:t xml:space="preserve"> </w:t>
            </w:r>
            <w:r w:rsidRPr="00E72963">
              <w:rPr>
                <w:rFonts w:ascii="Cambria" w:hAnsi="Cambria" w:cs="Times New Roman" w:hint="cs"/>
                <w:rtl/>
              </w:rPr>
              <w:t>قبل</w:t>
            </w:r>
            <w:r w:rsidRPr="00E72963">
              <w:rPr>
                <w:rFonts w:ascii="Cambria" w:hAnsi="Cambria" w:cs="Times New Roman"/>
                <w:rtl/>
              </w:rPr>
              <w:t xml:space="preserve"> </w:t>
            </w:r>
            <w:r w:rsidRPr="00E72963">
              <w:rPr>
                <w:rFonts w:ascii="Cambria" w:hAnsi="Cambria" w:cs="Times New Roman" w:hint="cs"/>
                <w:rtl/>
              </w:rPr>
              <w:t>استخدامها</w:t>
            </w:r>
            <w:r w:rsidRPr="00E72963">
              <w:rPr>
                <w:rFonts w:ascii="Cambria" w:hAnsi="Cambria" w:cs="Times New Roman"/>
              </w:rPr>
              <w:t>.</w:t>
            </w:r>
          </w:p>
        </w:tc>
        <w:tc>
          <w:tcPr>
            <w:tcW w:w="401" w:type="pct"/>
          </w:tcPr>
          <w:p w14:paraId="2EEEE898" w14:textId="77777777" w:rsidR="00E72963" w:rsidRPr="00E72963" w:rsidRDefault="00E72963" w:rsidP="00E72963">
            <w:pPr>
              <w:jc w:val="both"/>
              <w:rPr>
                <w:rFonts w:ascii="Cambria" w:hAnsi="Cambria" w:cs="Arial"/>
              </w:rPr>
            </w:pPr>
          </w:p>
        </w:tc>
        <w:tc>
          <w:tcPr>
            <w:tcW w:w="400" w:type="pct"/>
          </w:tcPr>
          <w:p w14:paraId="1E5DE4CA" w14:textId="77777777" w:rsidR="00E72963" w:rsidRPr="00E72963" w:rsidRDefault="00E72963" w:rsidP="00E72963">
            <w:pPr>
              <w:jc w:val="both"/>
              <w:rPr>
                <w:rFonts w:ascii="Cambria" w:hAnsi="Cambria" w:cs="Arial"/>
              </w:rPr>
            </w:pPr>
          </w:p>
        </w:tc>
        <w:tc>
          <w:tcPr>
            <w:tcW w:w="400" w:type="pct"/>
          </w:tcPr>
          <w:p w14:paraId="131EDD7F" w14:textId="77777777" w:rsidR="00E72963" w:rsidRPr="00E72963" w:rsidRDefault="00E72963" w:rsidP="00E72963">
            <w:pPr>
              <w:jc w:val="both"/>
              <w:rPr>
                <w:rFonts w:ascii="Cambria" w:hAnsi="Cambria" w:cs="Arial"/>
              </w:rPr>
            </w:pPr>
          </w:p>
        </w:tc>
        <w:tc>
          <w:tcPr>
            <w:tcW w:w="481" w:type="pct"/>
          </w:tcPr>
          <w:p w14:paraId="222408E3" w14:textId="77777777" w:rsidR="00E72963" w:rsidRPr="00E72963" w:rsidRDefault="00E72963" w:rsidP="00E72963">
            <w:pPr>
              <w:jc w:val="both"/>
              <w:rPr>
                <w:rFonts w:ascii="Cambria" w:hAnsi="Cambria" w:cs="Arial"/>
              </w:rPr>
            </w:pPr>
          </w:p>
        </w:tc>
        <w:tc>
          <w:tcPr>
            <w:tcW w:w="458" w:type="pct"/>
          </w:tcPr>
          <w:p w14:paraId="5B75A556" w14:textId="77777777" w:rsidR="00E72963" w:rsidRPr="00E72963" w:rsidRDefault="00E72963" w:rsidP="00E72963">
            <w:pPr>
              <w:jc w:val="both"/>
              <w:rPr>
                <w:rFonts w:ascii="Cambria" w:hAnsi="Cambria" w:cs="Arial"/>
              </w:rPr>
            </w:pPr>
          </w:p>
        </w:tc>
      </w:tr>
      <w:tr w:rsidR="00E72963" w:rsidRPr="00E72963" w14:paraId="40710795" w14:textId="77777777" w:rsidTr="00E72963">
        <w:tc>
          <w:tcPr>
            <w:tcW w:w="707" w:type="pct"/>
          </w:tcPr>
          <w:p w14:paraId="09E0D63A" w14:textId="77777777" w:rsidR="00E72963" w:rsidRPr="00E72963" w:rsidRDefault="00E72963" w:rsidP="00E72963">
            <w:pPr>
              <w:jc w:val="both"/>
              <w:rPr>
                <w:rFonts w:ascii="Cambria" w:hAnsi="Cambria" w:cs="Arial"/>
              </w:rPr>
            </w:pPr>
            <w:r w:rsidRPr="00E72963">
              <w:rPr>
                <w:rFonts w:ascii="Cambria" w:hAnsi="Cambria" w:cs="Arial"/>
              </w:rPr>
              <w:t>7</w:t>
            </w:r>
          </w:p>
        </w:tc>
        <w:tc>
          <w:tcPr>
            <w:tcW w:w="2153" w:type="pct"/>
          </w:tcPr>
          <w:p w14:paraId="118731E9" w14:textId="77777777" w:rsidR="00E72963" w:rsidRPr="00E72963" w:rsidRDefault="00E72963" w:rsidP="00E72963">
            <w:pPr>
              <w:jc w:val="both"/>
              <w:rPr>
                <w:rFonts w:ascii="Cambria" w:hAnsi="Cambria" w:cs="Times New Roman"/>
              </w:rPr>
            </w:pPr>
            <w:r w:rsidRPr="00E72963">
              <w:rPr>
                <w:rFonts w:ascii="Cambria" w:hAnsi="Cambria" w:cs="Times New Roman" w:hint="cs"/>
                <w:rtl/>
              </w:rPr>
              <w:t>تتكامل</w:t>
            </w:r>
            <w:r w:rsidRPr="00E72963">
              <w:rPr>
                <w:rFonts w:ascii="Cambria" w:hAnsi="Cambria" w:cs="Times New Roman"/>
                <w:rtl/>
              </w:rPr>
              <w:t xml:space="preserve"> </w:t>
            </w:r>
            <w:r w:rsidRPr="00E72963">
              <w:rPr>
                <w:rFonts w:ascii="Cambria" w:hAnsi="Cambria" w:cs="Times New Roman" w:hint="cs"/>
                <w:rtl/>
              </w:rPr>
              <w:t>البيانات</w:t>
            </w:r>
            <w:r w:rsidRPr="00E72963">
              <w:rPr>
                <w:rFonts w:ascii="Cambria" w:hAnsi="Cambria" w:cs="Times New Roman"/>
                <w:rtl/>
              </w:rPr>
              <w:t xml:space="preserve"> </w:t>
            </w:r>
            <w:r w:rsidRPr="00E72963">
              <w:rPr>
                <w:rFonts w:ascii="Cambria" w:hAnsi="Cambria" w:cs="Times New Roman" w:hint="cs"/>
                <w:rtl/>
              </w:rPr>
              <w:t>بين</w:t>
            </w:r>
            <w:r w:rsidRPr="00E72963">
              <w:rPr>
                <w:rFonts w:ascii="Cambria" w:hAnsi="Cambria" w:cs="Times New Roman"/>
                <w:rtl/>
              </w:rPr>
              <w:t xml:space="preserve"> </w:t>
            </w:r>
            <w:r w:rsidRPr="00E72963">
              <w:rPr>
                <w:rFonts w:ascii="Cambria" w:hAnsi="Cambria" w:cs="Times New Roman" w:hint="cs"/>
                <w:rtl/>
              </w:rPr>
              <w:t>الأنظمة</w:t>
            </w:r>
            <w:r w:rsidRPr="00E72963">
              <w:rPr>
                <w:rFonts w:ascii="Cambria" w:hAnsi="Cambria" w:cs="Times New Roman"/>
                <w:rtl/>
              </w:rPr>
              <w:t xml:space="preserve"> </w:t>
            </w:r>
            <w:r w:rsidRPr="00E72963">
              <w:rPr>
                <w:rFonts w:ascii="Cambria" w:hAnsi="Cambria" w:cs="Times New Roman" w:hint="cs"/>
                <w:rtl/>
              </w:rPr>
              <w:t>المختلفة</w:t>
            </w:r>
            <w:r w:rsidRPr="00E72963">
              <w:rPr>
                <w:rFonts w:ascii="Cambria" w:hAnsi="Cambria" w:cs="Times New Roman"/>
                <w:rtl/>
              </w:rPr>
              <w:t xml:space="preserve"> </w:t>
            </w:r>
            <w:r w:rsidRPr="00E72963">
              <w:rPr>
                <w:rFonts w:ascii="Cambria" w:hAnsi="Cambria" w:cs="Times New Roman" w:hint="cs"/>
                <w:rtl/>
              </w:rPr>
              <w:t>بما</w:t>
            </w:r>
            <w:r w:rsidRPr="00E72963">
              <w:rPr>
                <w:rFonts w:ascii="Cambria" w:hAnsi="Cambria" w:cs="Times New Roman"/>
                <w:rtl/>
              </w:rPr>
              <w:t xml:space="preserve"> </w:t>
            </w:r>
            <w:r w:rsidRPr="00E72963">
              <w:rPr>
                <w:rFonts w:ascii="Cambria" w:hAnsi="Cambria" w:cs="Times New Roman" w:hint="cs"/>
                <w:rtl/>
              </w:rPr>
              <w:t>يسهل</w:t>
            </w:r>
            <w:r w:rsidRPr="00E72963">
              <w:rPr>
                <w:rFonts w:ascii="Cambria" w:hAnsi="Cambria" w:cs="Times New Roman"/>
                <w:rtl/>
              </w:rPr>
              <w:t xml:space="preserve"> </w:t>
            </w:r>
            <w:r w:rsidRPr="00E72963">
              <w:rPr>
                <w:rFonts w:ascii="Cambria" w:hAnsi="Cambria" w:cs="Times New Roman" w:hint="cs"/>
                <w:rtl/>
              </w:rPr>
              <w:t>الاستفادة</w:t>
            </w:r>
            <w:r w:rsidRPr="00E72963">
              <w:rPr>
                <w:rFonts w:ascii="Cambria" w:hAnsi="Cambria" w:cs="Times New Roman"/>
                <w:rtl/>
              </w:rPr>
              <w:t xml:space="preserve"> </w:t>
            </w:r>
            <w:r w:rsidRPr="00E72963">
              <w:rPr>
                <w:rFonts w:ascii="Cambria" w:hAnsi="Cambria" w:cs="Times New Roman" w:hint="cs"/>
                <w:rtl/>
              </w:rPr>
              <w:t>منها</w:t>
            </w:r>
            <w:r w:rsidRPr="00E72963">
              <w:rPr>
                <w:rFonts w:ascii="Cambria" w:hAnsi="Cambria" w:cs="Times New Roman"/>
              </w:rPr>
              <w:t>.</w:t>
            </w:r>
          </w:p>
        </w:tc>
        <w:tc>
          <w:tcPr>
            <w:tcW w:w="401" w:type="pct"/>
          </w:tcPr>
          <w:p w14:paraId="0A926C06" w14:textId="77777777" w:rsidR="00E72963" w:rsidRPr="00E72963" w:rsidRDefault="00E72963" w:rsidP="00E72963">
            <w:pPr>
              <w:jc w:val="both"/>
              <w:rPr>
                <w:rFonts w:ascii="Cambria" w:hAnsi="Cambria" w:cs="Arial"/>
              </w:rPr>
            </w:pPr>
          </w:p>
        </w:tc>
        <w:tc>
          <w:tcPr>
            <w:tcW w:w="400" w:type="pct"/>
          </w:tcPr>
          <w:p w14:paraId="2E46D462" w14:textId="77777777" w:rsidR="00E72963" w:rsidRPr="00E72963" w:rsidRDefault="00E72963" w:rsidP="00E72963">
            <w:pPr>
              <w:jc w:val="both"/>
              <w:rPr>
                <w:rFonts w:ascii="Cambria" w:hAnsi="Cambria" w:cs="Arial"/>
              </w:rPr>
            </w:pPr>
          </w:p>
        </w:tc>
        <w:tc>
          <w:tcPr>
            <w:tcW w:w="400" w:type="pct"/>
          </w:tcPr>
          <w:p w14:paraId="6E4E81E6" w14:textId="77777777" w:rsidR="00E72963" w:rsidRPr="00E72963" w:rsidRDefault="00E72963" w:rsidP="00E72963">
            <w:pPr>
              <w:jc w:val="both"/>
              <w:rPr>
                <w:rFonts w:ascii="Cambria" w:hAnsi="Cambria" w:cs="Arial"/>
              </w:rPr>
            </w:pPr>
          </w:p>
        </w:tc>
        <w:tc>
          <w:tcPr>
            <w:tcW w:w="481" w:type="pct"/>
          </w:tcPr>
          <w:p w14:paraId="54DA4DA3" w14:textId="77777777" w:rsidR="00E72963" w:rsidRPr="00E72963" w:rsidRDefault="00E72963" w:rsidP="00E72963">
            <w:pPr>
              <w:jc w:val="both"/>
              <w:rPr>
                <w:rFonts w:ascii="Cambria" w:hAnsi="Cambria" w:cs="Arial"/>
              </w:rPr>
            </w:pPr>
          </w:p>
        </w:tc>
        <w:tc>
          <w:tcPr>
            <w:tcW w:w="458" w:type="pct"/>
          </w:tcPr>
          <w:p w14:paraId="55E1546F" w14:textId="77777777" w:rsidR="00E72963" w:rsidRPr="00E72963" w:rsidRDefault="00E72963" w:rsidP="00E72963">
            <w:pPr>
              <w:jc w:val="both"/>
              <w:rPr>
                <w:rFonts w:ascii="Cambria" w:hAnsi="Cambria" w:cs="Arial"/>
              </w:rPr>
            </w:pPr>
          </w:p>
        </w:tc>
      </w:tr>
      <w:tr w:rsidR="00E72963" w:rsidRPr="00E72963" w14:paraId="64670431" w14:textId="77777777" w:rsidTr="00E72963">
        <w:tc>
          <w:tcPr>
            <w:tcW w:w="707" w:type="pct"/>
          </w:tcPr>
          <w:p w14:paraId="4B3CB020" w14:textId="77777777" w:rsidR="00E72963" w:rsidRPr="00E72963" w:rsidRDefault="00E72963" w:rsidP="00E72963">
            <w:pPr>
              <w:jc w:val="both"/>
              <w:rPr>
                <w:rFonts w:ascii="Cambria" w:hAnsi="Cambria" w:cs="Arial"/>
              </w:rPr>
            </w:pPr>
            <w:r w:rsidRPr="00E72963">
              <w:rPr>
                <w:rFonts w:ascii="Cambria" w:hAnsi="Cambria" w:cs="Arial"/>
              </w:rPr>
              <w:t>8</w:t>
            </w:r>
          </w:p>
        </w:tc>
        <w:tc>
          <w:tcPr>
            <w:tcW w:w="2153" w:type="pct"/>
          </w:tcPr>
          <w:p w14:paraId="723DA306" w14:textId="77777777" w:rsidR="00E72963" w:rsidRPr="00E72963" w:rsidRDefault="00E72963" w:rsidP="00E72963">
            <w:pPr>
              <w:jc w:val="both"/>
              <w:rPr>
                <w:rFonts w:ascii="Cambria" w:hAnsi="Cambria" w:cs="Times New Roman"/>
                <w:rtl/>
                <w:lang w:bidi="ar-EG"/>
              </w:rPr>
            </w:pPr>
            <w:r w:rsidRPr="00E72963">
              <w:rPr>
                <w:rFonts w:ascii="Cambria" w:hAnsi="Cambria" w:cs="Times New Roman" w:hint="cs"/>
                <w:rtl/>
              </w:rPr>
              <w:t>تتم</w:t>
            </w:r>
            <w:r w:rsidRPr="00E72963">
              <w:rPr>
                <w:rFonts w:ascii="Cambria" w:hAnsi="Cambria" w:cs="Times New Roman"/>
                <w:rtl/>
              </w:rPr>
              <w:t xml:space="preserve"> </w:t>
            </w:r>
            <w:r w:rsidRPr="00E72963">
              <w:rPr>
                <w:rFonts w:ascii="Cambria" w:hAnsi="Cambria" w:cs="Times New Roman" w:hint="cs"/>
                <w:rtl/>
              </w:rPr>
              <w:t>معالجة</w:t>
            </w:r>
            <w:r w:rsidRPr="00E72963">
              <w:rPr>
                <w:rFonts w:ascii="Cambria" w:hAnsi="Cambria" w:cs="Times New Roman"/>
                <w:rtl/>
              </w:rPr>
              <w:t xml:space="preserve"> </w:t>
            </w:r>
            <w:r w:rsidRPr="00E72963">
              <w:rPr>
                <w:rFonts w:ascii="Cambria" w:hAnsi="Cambria" w:cs="Times New Roman" w:hint="cs"/>
                <w:rtl/>
              </w:rPr>
              <w:t>أخطاء</w:t>
            </w:r>
            <w:r w:rsidRPr="00E72963">
              <w:rPr>
                <w:rFonts w:ascii="Cambria" w:hAnsi="Cambria" w:cs="Times New Roman"/>
                <w:rtl/>
              </w:rPr>
              <w:t xml:space="preserve"> </w:t>
            </w:r>
            <w:r w:rsidRPr="00E72963">
              <w:rPr>
                <w:rFonts w:ascii="Cambria" w:hAnsi="Cambria" w:cs="Times New Roman" w:hint="cs"/>
                <w:rtl/>
              </w:rPr>
              <w:t>البيانات</w:t>
            </w:r>
            <w:r w:rsidRPr="00E72963">
              <w:rPr>
                <w:rFonts w:ascii="Cambria" w:hAnsi="Cambria" w:cs="Times New Roman"/>
                <w:rtl/>
              </w:rPr>
              <w:t xml:space="preserve"> </w:t>
            </w:r>
            <w:r w:rsidRPr="00E72963">
              <w:rPr>
                <w:rFonts w:ascii="Cambria" w:hAnsi="Cambria" w:cs="Times New Roman" w:hint="cs"/>
                <w:rtl/>
              </w:rPr>
              <w:t>وتصحيحها</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الوقت</w:t>
            </w:r>
            <w:r w:rsidRPr="00E72963">
              <w:rPr>
                <w:rFonts w:ascii="Cambria" w:hAnsi="Cambria" w:cs="Times New Roman"/>
                <w:rtl/>
              </w:rPr>
              <w:t xml:space="preserve"> </w:t>
            </w:r>
            <w:r w:rsidRPr="00E72963">
              <w:rPr>
                <w:rFonts w:ascii="Cambria" w:hAnsi="Cambria" w:cs="Times New Roman" w:hint="cs"/>
                <w:rtl/>
              </w:rPr>
              <w:t>المناسب</w:t>
            </w:r>
            <w:r w:rsidRPr="00E72963">
              <w:rPr>
                <w:rFonts w:ascii="Cambria" w:hAnsi="Cambria" w:cs="Times New Roman"/>
              </w:rPr>
              <w:t>.</w:t>
            </w:r>
          </w:p>
        </w:tc>
        <w:tc>
          <w:tcPr>
            <w:tcW w:w="401" w:type="pct"/>
          </w:tcPr>
          <w:p w14:paraId="41A4107F" w14:textId="77777777" w:rsidR="00E72963" w:rsidRPr="00E72963" w:rsidRDefault="00E72963" w:rsidP="00E72963">
            <w:pPr>
              <w:jc w:val="both"/>
              <w:rPr>
                <w:rFonts w:ascii="Cambria" w:hAnsi="Cambria" w:cs="Arial"/>
              </w:rPr>
            </w:pPr>
          </w:p>
        </w:tc>
        <w:tc>
          <w:tcPr>
            <w:tcW w:w="400" w:type="pct"/>
          </w:tcPr>
          <w:p w14:paraId="4E19A098" w14:textId="77777777" w:rsidR="00E72963" w:rsidRPr="00E72963" w:rsidRDefault="00E72963" w:rsidP="00E72963">
            <w:pPr>
              <w:jc w:val="both"/>
              <w:rPr>
                <w:rFonts w:ascii="Cambria" w:hAnsi="Cambria" w:cs="Arial"/>
              </w:rPr>
            </w:pPr>
          </w:p>
        </w:tc>
        <w:tc>
          <w:tcPr>
            <w:tcW w:w="400" w:type="pct"/>
          </w:tcPr>
          <w:p w14:paraId="4832B37F" w14:textId="77777777" w:rsidR="00E72963" w:rsidRPr="00E72963" w:rsidRDefault="00E72963" w:rsidP="00E72963">
            <w:pPr>
              <w:jc w:val="both"/>
              <w:rPr>
                <w:rFonts w:ascii="Cambria" w:hAnsi="Cambria" w:cs="Arial"/>
              </w:rPr>
            </w:pPr>
          </w:p>
        </w:tc>
        <w:tc>
          <w:tcPr>
            <w:tcW w:w="481" w:type="pct"/>
          </w:tcPr>
          <w:p w14:paraId="5C1CE587" w14:textId="77777777" w:rsidR="00E72963" w:rsidRPr="00E72963" w:rsidRDefault="00E72963" w:rsidP="00E72963">
            <w:pPr>
              <w:jc w:val="both"/>
              <w:rPr>
                <w:rFonts w:ascii="Cambria" w:hAnsi="Cambria" w:cs="Arial"/>
              </w:rPr>
            </w:pPr>
          </w:p>
        </w:tc>
        <w:tc>
          <w:tcPr>
            <w:tcW w:w="458" w:type="pct"/>
          </w:tcPr>
          <w:p w14:paraId="5B9E5671" w14:textId="77777777" w:rsidR="00E72963" w:rsidRPr="00E72963" w:rsidRDefault="00E72963" w:rsidP="00E72963">
            <w:pPr>
              <w:jc w:val="both"/>
              <w:rPr>
                <w:rFonts w:ascii="Cambria" w:hAnsi="Cambria" w:cs="Arial"/>
              </w:rPr>
            </w:pPr>
          </w:p>
        </w:tc>
      </w:tr>
      <w:tr w:rsidR="00E72963" w:rsidRPr="00E72963" w14:paraId="510465D3" w14:textId="77777777" w:rsidTr="00E72963">
        <w:tc>
          <w:tcPr>
            <w:tcW w:w="5000" w:type="pct"/>
            <w:gridSpan w:val="7"/>
          </w:tcPr>
          <w:p w14:paraId="5F18AF27" w14:textId="77777777" w:rsidR="00E72963" w:rsidRPr="00E72963" w:rsidRDefault="00E72963" w:rsidP="00E72963">
            <w:pPr>
              <w:jc w:val="center"/>
              <w:rPr>
                <w:rFonts w:ascii="Cambria" w:hAnsi="Cambria" w:cs="Arial"/>
                <w:b/>
                <w:bCs/>
              </w:rPr>
            </w:pPr>
            <w:r w:rsidRPr="00E72963">
              <w:rPr>
                <w:rFonts w:ascii="Cambria" w:hAnsi="Cambria" w:cs="Times New Roman"/>
                <w:b/>
                <w:bCs/>
                <w:rtl/>
              </w:rPr>
              <w:t>البعد</w:t>
            </w:r>
            <w:r w:rsidRPr="00E72963">
              <w:rPr>
                <w:rFonts w:ascii="Cambria" w:hAnsi="Cambria" w:cs="Arial"/>
                <w:b/>
                <w:bCs/>
              </w:rPr>
              <w:t xml:space="preserve"> </w:t>
            </w:r>
            <w:r w:rsidRPr="00E72963">
              <w:rPr>
                <w:rFonts w:ascii="Cambria" w:hAnsi="Cambria" w:cs="Times New Roman"/>
                <w:b/>
                <w:bCs/>
                <w:rtl/>
              </w:rPr>
              <w:t>الثالث</w:t>
            </w:r>
            <w:r w:rsidRPr="00E72963">
              <w:rPr>
                <w:rFonts w:ascii="Cambria" w:hAnsi="Cambria" w:cs="Arial"/>
                <w:b/>
                <w:bCs/>
              </w:rPr>
              <w:t xml:space="preserve">: </w:t>
            </w:r>
            <w:r w:rsidRPr="00E72963">
              <w:rPr>
                <w:rFonts w:ascii="Cambria" w:hAnsi="Cambria" w:cs="Times New Roman"/>
                <w:b/>
                <w:bCs/>
                <w:rtl/>
              </w:rPr>
              <w:t>أمن</w:t>
            </w:r>
            <w:r w:rsidRPr="00E72963">
              <w:rPr>
                <w:rFonts w:ascii="Cambria" w:hAnsi="Cambria" w:cs="Arial"/>
                <w:b/>
                <w:bCs/>
              </w:rPr>
              <w:t xml:space="preserve"> </w:t>
            </w:r>
            <w:r w:rsidRPr="00E72963">
              <w:rPr>
                <w:rFonts w:ascii="Cambria" w:hAnsi="Cambria" w:cs="Times New Roman"/>
                <w:b/>
                <w:bCs/>
                <w:rtl/>
              </w:rPr>
              <w:t>المعلومات</w:t>
            </w:r>
          </w:p>
        </w:tc>
      </w:tr>
      <w:tr w:rsidR="00E72963" w:rsidRPr="00E72963" w14:paraId="66970621" w14:textId="77777777" w:rsidTr="00E72963">
        <w:tc>
          <w:tcPr>
            <w:tcW w:w="707" w:type="pct"/>
          </w:tcPr>
          <w:p w14:paraId="30C336C1" w14:textId="77777777" w:rsidR="00E72963" w:rsidRPr="00E72963" w:rsidRDefault="00E72963" w:rsidP="00E72963">
            <w:pPr>
              <w:jc w:val="both"/>
              <w:rPr>
                <w:rFonts w:ascii="Cambria" w:hAnsi="Cambria" w:cs="Arial"/>
              </w:rPr>
            </w:pPr>
            <w:r w:rsidRPr="00E72963">
              <w:rPr>
                <w:rFonts w:ascii="Cambria" w:hAnsi="Cambria" w:cs="Arial"/>
              </w:rPr>
              <w:t>9</w:t>
            </w:r>
          </w:p>
        </w:tc>
        <w:tc>
          <w:tcPr>
            <w:tcW w:w="2153" w:type="pct"/>
          </w:tcPr>
          <w:p w14:paraId="4C18618E" w14:textId="77777777" w:rsidR="00E72963" w:rsidRPr="00E72963" w:rsidRDefault="00E72963" w:rsidP="00E72963">
            <w:pPr>
              <w:jc w:val="both"/>
              <w:rPr>
                <w:rFonts w:ascii="Cambria" w:hAnsi="Cambria" w:cs="Times New Roman"/>
              </w:rPr>
            </w:pPr>
            <w:r w:rsidRPr="00E72963">
              <w:rPr>
                <w:rFonts w:ascii="Cambria" w:hAnsi="Cambria" w:cs="Times New Roman" w:hint="cs"/>
                <w:rtl/>
              </w:rPr>
              <w:t>تطبق</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ضوابط</w:t>
            </w:r>
            <w:r w:rsidRPr="00E72963">
              <w:rPr>
                <w:rFonts w:ascii="Cambria" w:hAnsi="Cambria" w:cs="Times New Roman"/>
                <w:rtl/>
              </w:rPr>
              <w:t xml:space="preserve"> </w:t>
            </w:r>
            <w:r w:rsidRPr="00E72963">
              <w:rPr>
                <w:rFonts w:ascii="Cambria" w:hAnsi="Cambria" w:cs="Times New Roman" w:hint="cs"/>
                <w:rtl/>
              </w:rPr>
              <w:t>فعالة</w:t>
            </w:r>
            <w:r w:rsidRPr="00E72963">
              <w:rPr>
                <w:rFonts w:ascii="Cambria" w:hAnsi="Cambria" w:cs="Times New Roman"/>
                <w:rtl/>
              </w:rPr>
              <w:t xml:space="preserve"> </w:t>
            </w:r>
            <w:r w:rsidRPr="00E72963">
              <w:rPr>
                <w:rFonts w:ascii="Cambria" w:hAnsi="Cambria" w:cs="Times New Roman" w:hint="cs"/>
                <w:rtl/>
              </w:rPr>
              <w:t>لحماية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من</w:t>
            </w:r>
            <w:r w:rsidRPr="00E72963">
              <w:rPr>
                <w:rFonts w:ascii="Cambria" w:hAnsi="Cambria" w:cs="Times New Roman"/>
                <w:rtl/>
              </w:rPr>
              <w:t xml:space="preserve"> </w:t>
            </w:r>
            <w:r w:rsidRPr="00E72963">
              <w:rPr>
                <w:rFonts w:ascii="Cambria" w:hAnsi="Cambria" w:cs="Times New Roman" w:hint="cs"/>
                <w:rtl/>
              </w:rPr>
              <w:t>الوصول</w:t>
            </w:r>
            <w:r w:rsidRPr="00E72963">
              <w:rPr>
                <w:rFonts w:ascii="Cambria" w:hAnsi="Cambria" w:cs="Times New Roman"/>
                <w:rtl/>
              </w:rPr>
              <w:t xml:space="preserve"> </w:t>
            </w:r>
            <w:r w:rsidRPr="00E72963">
              <w:rPr>
                <w:rFonts w:ascii="Cambria" w:hAnsi="Cambria" w:cs="Times New Roman" w:hint="cs"/>
                <w:rtl/>
              </w:rPr>
              <w:t>غير</w:t>
            </w:r>
            <w:r w:rsidRPr="00E72963">
              <w:rPr>
                <w:rFonts w:ascii="Cambria" w:hAnsi="Cambria" w:cs="Times New Roman"/>
                <w:rtl/>
              </w:rPr>
              <w:t xml:space="preserve"> </w:t>
            </w:r>
            <w:r w:rsidRPr="00E72963">
              <w:rPr>
                <w:rFonts w:ascii="Cambria" w:hAnsi="Cambria" w:cs="Times New Roman" w:hint="cs"/>
                <w:rtl/>
              </w:rPr>
              <w:t>المصرح</w:t>
            </w:r>
            <w:r w:rsidRPr="00E72963">
              <w:rPr>
                <w:rFonts w:ascii="Cambria" w:hAnsi="Cambria" w:cs="Times New Roman"/>
                <w:rtl/>
              </w:rPr>
              <w:t xml:space="preserve"> </w:t>
            </w:r>
            <w:r w:rsidRPr="00E72963">
              <w:rPr>
                <w:rFonts w:ascii="Cambria" w:hAnsi="Cambria" w:cs="Times New Roman" w:hint="cs"/>
                <w:rtl/>
              </w:rPr>
              <w:t>به</w:t>
            </w:r>
            <w:r w:rsidRPr="00E72963">
              <w:rPr>
                <w:rFonts w:ascii="Cambria" w:hAnsi="Cambria" w:cs="Times New Roman"/>
              </w:rPr>
              <w:t>.</w:t>
            </w:r>
          </w:p>
        </w:tc>
        <w:tc>
          <w:tcPr>
            <w:tcW w:w="401" w:type="pct"/>
          </w:tcPr>
          <w:p w14:paraId="5E635D73" w14:textId="77777777" w:rsidR="00E72963" w:rsidRPr="00E72963" w:rsidRDefault="00E72963" w:rsidP="00E72963">
            <w:pPr>
              <w:jc w:val="both"/>
              <w:rPr>
                <w:rFonts w:ascii="Cambria" w:hAnsi="Cambria" w:cs="Arial"/>
              </w:rPr>
            </w:pPr>
          </w:p>
        </w:tc>
        <w:tc>
          <w:tcPr>
            <w:tcW w:w="400" w:type="pct"/>
          </w:tcPr>
          <w:p w14:paraId="2504EEF4" w14:textId="77777777" w:rsidR="00E72963" w:rsidRPr="00E72963" w:rsidRDefault="00E72963" w:rsidP="00E72963">
            <w:pPr>
              <w:jc w:val="both"/>
              <w:rPr>
                <w:rFonts w:ascii="Cambria" w:hAnsi="Cambria" w:cs="Arial"/>
              </w:rPr>
            </w:pPr>
          </w:p>
        </w:tc>
        <w:tc>
          <w:tcPr>
            <w:tcW w:w="400" w:type="pct"/>
          </w:tcPr>
          <w:p w14:paraId="494FC8E1" w14:textId="77777777" w:rsidR="00E72963" w:rsidRPr="00E72963" w:rsidRDefault="00E72963" w:rsidP="00E72963">
            <w:pPr>
              <w:jc w:val="both"/>
              <w:rPr>
                <w:rFonts w:ascii="Cambria" w:hAnsi="Cambria" w:cs="Arial"/>
              </w:rPr>
            </w:pPr>
          </w:p>
        </w:tc>
        <w:tc>
          <w:tcPr>
            <w:tcW w:w="481" w:type="pct"/>
          </w:tcPr>
          <w:p w14:paraId="14DA2919" w14:textId="77777777" w:rsidR="00E72963" w:rsidRPr="00E72963" w:rsidRDefault="00E72963" w:rsidP="00E72963">
            <w:pPr>
              <w:jc w:val="both"/>
              <w:rPr>
                <w:rFonts w:ascii="Cambria" w:hAnsi="Cambria" w:cs="Arial"/>
              </w:rPr>
            </w:pPr>
          </w:p>
        </w:tc>
        <w:tc>
          <w:tcPr>
            <w:tcW w:w="458" w:type="pct"/>
          </w:tcPr>
          <w:p w14:paraId="106750E4" w14:textId="77777777" w:rsidR="00E72963" w:rsidRPr="00E72963" w:rsidRDefault="00E72963" w:rsidP="00E72963">
            <w:pPr>
              <w:jc w:val="both"/>
              <w:rPr>
                <w:rFonts w:ascii="Cambria" w:hAnsi="Cambria" w:cs="Arial"/>
              </w:rPr>
            </w:pPr>
          </w:p>
        </w:tc>
      </w:tr>
      <w:tr w:rsidR="00E72963" w:rsidRPr="00E72963" w14:paraId="5DD83764" w14:textId="77777777" w:rsidTr="00E72963">
        <w:tc>
          <w:tcPr>
            <w:tcW w:w="707" w:type="pct"/>
          </w:tcPr>
          <w:p w14:paraId="4AD30EE2" w14:textId="77777777" w:rsidR="00E72963" w:rsidRPr="00E72963" w:rsidRDefault="00E72963" w:rsidP="00E72963">
            <w:pPr>
              <w:jc w:val="both"/>
              <w:rPr>
                <w:rFonts w:ascii="Cambria" w:hAnsi="Cambria" w:cs="Arial"/>
              </w:rPr>
            </w:pPr>
            <w:r w:rsidRPr="00E72963">
              <w:rPr>
                <w:rFonts w:ascii="Cambria" w:hAnsi="Cambria" w:cs="Arial"/>
              </w:rPr>
              <w:t>10</w:t>
            </w:r>
          </w:p>
        </w:tc>
        <w:tc>
          <w:tcPr>
            <w:tcW w:w="2153" w:type="pct"/>
          </w:tcPr>
          <w:p w14:paraId="1DEEC759" w14:textId="77777777" w:rsidR="00E72963" w:rsidRPr="00E72963" w:rsidRDefault="00E72963" w:rsidP="00E72963">
            <w:pPr>
              <w:jc w:val="both"/>
              <w:rPr>
                <w:rFonts w:ascii="Cambria" w:hAnsi="Cambria" w:cs="Times New Roman"/>
              </w:rPr>
            </w:pPr>
            <w:r w:rsidRPr="00E72963">
              <w:rPr>
                <w:rFonts w:ascii="Cambria" w:hAnsi="Cambria" w:cs="Times New Roman" w:hint="cs"/>
                <w:rtl/>
              </w:rPr>
              <w:t>تدار</w:t>
            </w:r>
            <w:r w:rsidRPr="00E72963">
              <w:rPr>
                <w:rFonts w:ascii="Cambria" w:hAnsi="Cambria" w:cs="Times New Roman"/>
                <w:rtl/>
              </w:rPr>
              <w:t xml:space="preserve"> </w:t>
            </w:r>
            <w:r w:rsidRPr="00E72963">
              <w:rPr>
                <w:rFonts w:ascii="Cambria" w:hAnsi="Cambria" w:cs="Times New Roman" w:hint="cs"/>
                <w:rtl/>
              </w:rPr>
              <w:t>صلاحيات</w:t>
            </w:r>
            <w:r w:rsidRPr="00E72963">
              <w:rPr>
                <w:rFonts w:ascii="Cambria" w:hAnsi="Cambria" w:cs="Times New Roman"/>
                <w:rtl/>
              </w:rPr>
              <w:t xml:space="preserve"> </w:t>
            </w:r>
            <w:r w:rsidRPr="00E72963">
              <w:rPr>
                <w:rFonts w:ascii="Cambria" w:hAnsi="Cambria" w:cs="Times New Roman" w:hint="cs"/>
                <w:rtl/>
              </w:rPr>
              <w:t>الوصول</w:t>
            </w:r>
            <w:r w:rsidRPr="00E72963">
              <w:rPr>
                <w:rFonts w:ascii="Cambria" w:hAnsi="Cambria" w:cs="Times New Roman"/>
                <w:rtl/>
              </w:rPr>
              <w:t xml:space="preserve"> </w:t>
            </w:r>
            <w:r w:rsidRPr="00E72963">
              <w:rPr>
                <w:rFonts w:ascii="Cambria" w:hAnsi="Cambria" w:cs="Times New Roman" w:hint="cs"/>
                <w:rtl/>
              </w:rPr>
              <w:t>إلى</w:t>
            </w:r>
            <w:r w:rsidRPr="00E72963">
              <w:rPr>
                <w:rFonts w:ascii="Cambria" w:hAnsi="Cambria" w:cs="Times New Roman"/>
                <w:rtl/>
              </w:rPr>
              <w:t xml:space="preserve"> </w:t>
            </w:r>
            <w:r w:rsidRPr="00E72963">
              <w:rPr>
                <w:rFonts w:ascii="Cambria" w:hAnsi="Cambria" w:cs="Times New Roman" w:hint="cs"/>
                <w:rtl/>
              </w:rPr>
              <w:t>البيانات</w:t>
            </w:r>
            <w:r w:rsidRPr="00E72963">
              <w:rPr>
                <w:rFonts w:ascii="Cambria" w:hAnsi="Cambria" w:cs="Times New Roman"/>
                <w:rtl/>
              </w:rPr>
              <w:t xml:space="preserve"> </w:t>
            </w:r>
            <w:r w:rsidRPr="00E72963">
              <w:rPr>
                <w:rFonts w:ascii="Cambria" w:hAnsi="Cambria" w:cs="Times New Roman" w:hint="cs"/>
                <w:rtl/>
              </w:rPr>
              <w:t>وفقاً</w:t>
            </w:r>
            <w:r w:rsidRPr="00E72963">
              <w:rPr>
                <w:rFonts w:ascii="Cambria" w:hAnsi="Cambria" w:cs="Times New Roman"/>
                <w:rtl/>
              </w:rPr>
              <w:t xml:space="preserve"> </w:t>
            </w:r>
            <w:r w:rsidRPr="00E72963">
              <w:rPr>
                <w:rFonts w:ascii="Cambria" w:hAnsi="Cambria" w:cs="Times New Roman" w:hint="cs"/>
                <w:rtl/>
              </w:rPr>
              <w:t>لمستويات</w:t>
            </w:r>
            <w:r w:rsidRPr="00E72963">
              <w:rPr>
                <w:rFonts w:ascii="Cambria" w:hAnsi="Cambria" w:cs="Times New Roman"/>
                <w:rtl/>
              </w:rPr>
              <w:t xml:space="preserve"> </w:t>
            </w:r>
            <w:r w:rsidRPr="00E72963">
              <w:rPr>
                <w:rFonts w:ascii="Cambria" w:hAnsi="Cambria" w:cs="Times New Roman" w:hint="cs"/>
                <w:rtl/>
              </w:rPr>
              <w:t>المسؤولية</w:t>
            </w:r>
            <w:r w:rsidRPr="00E72963">
              <w:rPr>
                <w:rFonts w:ascii="Cambria" w:hAnsi="Cambria" w:cs="Times New Roman"/>
                <w:rtl/>
              </w:rPr>
              <w:t xml:space="preserve"> </w:t>
            </w:r>
            <w:r w:rsidRPr="00E72963">
              <w:rPr>
                <w:rFonts w:ascii="Cambria" w:hAnsi="Cambria" w:cs="Times New Roman" w:hint="cs"/>
                <w:rtl/>
              </w:rPr>
              <w:t>الوظيفية</w:t>
            </w:r>
            <w:r w:rsidRPr="00E72963">
              <w:rPr>
                <w:rFonts w:ascii="Cambria" w:hAnsi="Cambria" w:cs="Times New Roman"/>
              </w:rPr>
              <w:t>.</w:t>
            </w:r>
          </w:p>
        </w:tc>
        <w:tc>
          <w:tcPr>
            <w:tcW w:w="401" w:type="pct"/>
          </w:tcPr>
          <w:p w14:paraId="6C62739A" w14:textId="77777777" w:rsidR="00E72963" w:rsidRPr="00E72963" w:rsidRDefault="00E72963" w:rsidP="00E72963">
            <w:pPr>
              <w:jc w:val="both"/>
              <w:rPr>
                <w:rFonts w:ascii="Cambria" w:hAnsi="Cambria" w:cs="Arial"/>
              </w:rPr>
            </w:pPr>
          </w:p>
        </w:tc>
        <w:tc>
          <w:tcPr>
            <w:tcW w:w="400" w:type="pct"/>
          </w:tcPr>
          <w:p w14:paraId="17F9C5B9" w14:textId="77777777" w:rsidR="00E72963" w:rsidRPr="00E72963" w:rsidRDefault="00E72963" w:rsidP="00E72963">
            <w:pPr>
              <w:jc w:val="both"/>
              <w:rPr>
                <w:rFonts w:ascii="Cambria" w:hAnsi="Cambria" w:cs="Arial"/>
              </w:rPr>
            </w:pPr>
          </w:p>
        </w:tc>
        <w:tc>
          <w:tcPr>
            <w:tcW w:w="400" w:type="pct"/>
          </w:tcPr>
          <w:p w14:paraId="6422F789" w14:textId="77777777" w:rsidR="00E72963" w:rsidRPr="00E72963" w:rsidRDefault="00E72963" w:rsidP="00E72963">
            <w:pPr>
              <w:jc w:val="both"/>
              <w:rPr>
                <w:rFonts w:ascii="Cambria" w:hAnsi="Cambria" w:cs="Arial"/>
              </w:rPr>
            </w:pPr>
          </w:p>
        </w:tc>
        <w:tc>
          <w:tcPr>
            <w:tcW w:w="481" w:type="pct"/>
          </w:tcPr>
          <w:p w14:paraId="2C7F3EDA" w14:textId="77777777" w:rsidR="00E72963" w:rsidRPr="00E72963" w:rsidRDefault="00E72963" w:rsidP="00E72963">
            <w:pPr>
              <w:jc w:val="both"/>
              <w:rPr>
                <w:rFonts w:ascii="Cambria" w:hAnsi="Cambria" w:cs="Arial"/>
              </w:rPr>
            </w:pPr>
          </w:p>
        </w:tc>
        <w:tc>
          <w:tcPr>
            <w:tcW w:w="458" w:type="pct"/>
          </w:tcPr>
          <w:p w14:paraId="289B033E" w14:textId="77777777" w:rsidR="00E72963" w:rsidRPr="00E72963" w:rsidRDefault="00E72963" w:rsidP="00E72963">
            <w:pPr>
              <w:jc w:val="both"/>
              <w:rPr>
                <w:rFonts w:ascii="Cambria" w:hAnsi="Cambria" w:cs="Arial"/>
              </w:rPr>
            </w:pPr>
          </w:p>
        </w:tc>
      </w:tr>
      <w:tr w:rsidR="00E72963" w:rsidRPr="00E72963" w14:paraId="46D8ED13" w14:textId="77777777" w:rsidTr="00E72963">
        <w:tc>
          <w:tcPr>
            <w:tcW w:w="707" w:type="pct"/>
          </w:tcPr>
          <w:p w14:paraId="4AD1D750" w14:textId="77777777" w:rsidR="00E72963" w:rsidRPr="00E72963" w:rsidRDefault="00E72963" w:rsidP="00E72963">
            <w:pPr>
              <w:jc w:val="both"/>
              <w:rPr>
                <w:rFonts w:ascii="Cambria" w:hAnsi="Cambria" w:cs="Arial"/>
              </w:rPr>
            </w:pPr>
            <w:r w:rsidRPr="00E72963">
              <w:rPr>
                <w:rFonts w:ascii="Cambria" w:hAnsi="Cambria" w:cs="Arial"/>
              </w:rPr>
              <w:lastRenderedPageBreak/>
              <w:t>11</w:t>
            </w:r>
          </w:p>
        </w:tc>
        <w:tc>
          <w:tcPr>
            <w:tcW w:w="2153" w:type="pct"/>
          </w:tcPr>
          <w:p w14:paraId="6F3DE5B0" w14:textId="77777777" w:rsidR="00E72963" w:rsidRPr="00E72963" w:rsidRDefault="00E72963" w:rsidP="00E72963">
            <w:pPr>
              <w:jc w:val="both"/>
              <w:rPr>
                <w:rFonts w:ascii="Cambria" w:hAnsi="Cambria" w:cs="Times New Roman"/>
              </w:rPr>
            </w:pPr>
            <w:r w:rsidRPr="00E72963">
              <w:rPr>
                <w:rFonts w:ascii="Cambria" w:hAnsi="Cambria" w:cs="Times New Roman" w:hint="cs"/>
                <w:rtl/>
              </w:rPr>
              <w:t>تحظى</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الحساسة</w:t>
            </w:r>
            <w:r w:rsidRPr="00E72963">
              <w:rPr>
                <w:rFonts w:ascii="Cambria" w:hAnsi="Cambria" w:cs="Times New Roman"/>
                <w:rtl/>
              </w:rPr>
              <w:t xml:space="preserve"> </w:t>
            </w:r>
            <w:r w:rsidRPr="00E72963">
              <w:rPr>
                <w:rFonts w:ascii="Cambria" w:hAnsi="Cambria" w:cs="Times New Roman" w:hint="cs"/>
                <w:rtl/>
              </w:rPr>
              <w:t>بإجراءات</w:t>
            </w:r>
            <w:r w:rsidRPr="00E72963">
              <w:rPr>
                <w:rFonts w:ascii="Cambria" w:hAnsi="Cambria" w:cs="Times New Roman"/>
                <w:rtl/>
              </w:rPr>
              <w:t xml:space="preserve"> </w:t>
            </w:r>
            <w:r w:rsidRPr="00E72963">
              <w:rPr>
                <w:rFonts w:ascii="Cambria" w:hAnsi="Cambria" w:cs="Times New Roman" w:hint="cs"/>
                <w:rtl/>
              </w:rPr>
              <w:t>حماية</w:t>
            </w:r>
            <w:r w:rsidRPr="00E72963">
              <w:rPr>
                <w:rFonts w:ascii="Cambria" w:hAnsi="Cambria" w:cs="Times New Roman"/>
                <w:rtl/>
              </w:rPr>
              <w:t xml:space="preserve"> </w:t>
            </w:r>
            <w:r w:rsidRPr="00E72963">
              <w:rPr>
                <w:rFonts w:ascii="Cambria" w:hAnsi="Cambria" w:cs="Times New Roman" w:hint="cs"/>
                <w:rtl/>
              </w:rPr>
              <w:t>تتناسب</w:t>
            </w:r>
            <w:r w:rsidRPr="00E72963">
              <w:rPr>
                <w:rFonts w:ascii="Cambria" w:hAnsi="Cambria" w:cs="Times New Roman"/>
                <w:rtl/>
              </w:rPr>
              <w:t xml:space="preserve"> </w:t>
            </w:r>
            <w:r w:rsidRPr="00E72963">
              <w:rPr>
                <w:rFonts w:ascii="Cambria" w:hAnsi="Cambria" w:cs="Times New Roman" w:hint="cs"/>
                <w:rtl/>
              </w:rPr>
              <w:t>مع</w:t>
            </w:r>
            <w:r w:rsidRPr="00E72963">
              <w:rPr>
                <w:rFonts w:ascii="Cambria" w:hAnsi="Cambria" w:cs="Times New Roman"/>
                <w:rtl/>
              </w:rPr>
              <w:t xml:space="preserve"> </w:t>
            </w:r>
            <w:r w:rsidRPr="00E72963">
              <w:rPr>
                <w:rFonts w:ascii="Cambria" w:hAnsi="Cambria" w:cs="Times New Roman" w:hint="cs"/>
                <w:rtl/>
              </w:rPr>
              <w:t>درجة</w:t>
            </w:r>
            <w:r w:rsidRPr="00E72963">
              <w:rPr>
                <w:rFonts w:ascii="Cambria" w:hAnsi="Cambria" w:cs="Times New Roman"/>
                <w:rtl/>
              </w:rPr>
              <w:t xml:space="preserve"> </w:t>
            </w:r>
            <w:r w:rsidRPr="00E72963">
              <w:rPr>
                <w:rFonts w:ascii="Cambria" w:hAnsi="Cambria" w:cs="Times New Roman" w:hint="cs"/>
                <w:rtl/>
              </w:rPr>
              <w:t>سريتها</w:t>
            </w:r>
            <w:r w:rsidRPr="00E72963">
              <w:rPr>
                <w:rFonts w:ascii="Cambria" w:hAnsi="Cambria" w:cs="Times New Roman"/>
              </w:rPr>
              <w:t>.</w:t>
            </w:r>
          </w:p>
        </w:tc>
        <w:tc>
          <w:tcPr>
            <w:tcW w:w="401" w:type="pct"/>
          </w:tcPr>
          <w:p w14:paraId="34A171AC" w14:textId="77777777" w:rsidR="00E72963" w:rsidRPr="00E72963" w:rsidRDefault="00E72963" w:rsidP="00E72963">
            <w:pPr>
              <w:jc w:val="both"/>
              <w:rPr>
                <w:rFonts w:ascii="Cambria" w:hAnsi="Cambria" w:cs="Arial"/>
              </w:rPr>
            </w:pPr>
          </w:p>
        </w:tc>
        <w:tc>
          <w:tcPr>
            <w:tcW w:w="400" w:type="pct"/>
          </w:tcPr>
          <w:p w14:paraId="30929A25" w14:textId="77777777" w:rsidR="00E72963" w:rsidRPr="00E72963" w:rsidRDefault="00E72963" w:rsidP="00E72963">
            <w:pPr>
              <w:jc w:val="both"/>
              <w:rPr>
                <w:rFonts w:ascii="Cambria" w:hAnsi="Cambria" w:cs="Arial"/>
              </w:rPr>
            </w:pPr>
          </w:p>
        </w:tc>
        <w:tc>
          <w:tcPr>
            <w:tcW w:w="400" w:type="pct"/>
          </w:tcPr>
          <w:p w14:paraId="03303BF0" w14:textId="77777777" w:rsidR="00E72963" w:rsidRPr="00E72963" w:rsidRDefault="00E72963" w:rsidP="00E72963">
            <w:pPr>
              <w:jc w:val="both"/>
              <w:rPr>
                <w:rFonts w:ascii="Cambria" w:hAnsi="Cambria" w:cs="Arial"/>
              </w:rPr>
            </w:pPr>
          </w:p>
        </w:tc>
        <w:tc>
          <w:tcPr>
            <w:tcW w:w="481" w:type="pct"/>
          </w:tcPr>
          <w:p w14:paraId="6C780608" w14:textId="77777777" w:rsidR="00E72963" w:rsidRPr="00E72963" w:rsidRDefault="00E72963" w:rsidP="00E72963">
            <w:pPr>
              <w:jc w:val="both"/>
              <w:rPr>
                <w:rFonts w:ascii="Cambria" w:hAnsi="Cambria" w:cs="Arial"/>
              </w:rPr>
            </w:pPr>
          </w:p>
        </w:tc>
        <w:tc>
          <w:tcPr>
            <w:tcW w:w="458" w:type="pct"/>
          </w:tcPr>
          <w:p w14:paraId="538C4251" w14:textId="77777777" w:rsidR="00E72963" w:rsidRPr="00E72963" w:rsidRDefault="00E72963" w:rsidP="00E72963">
            <w:pPr>
              <w:jc w:val="both"/>
              <w:rPr>
                <w:rFonts w:ascii="Cambria" w:hAnsi="Cambria" w:cs="Arial"/>
              </w:rPr>
            </w:pPr>
          </w:p>
        </w:tc>
      </w:tr>
      <w:tr w:rsidR="00E72963" w:rsidRPr="00E72963" w14:paraId="51B5E1E3" w14:textId="77777777" w:rsidTr="00E72963">
        <w:tc>
          <w:tcPr>
            <w:tcW w:w="707" w:type="pct"/>
          </w:tcPr>
          <w:p w14:paraId="0B0BCEF8" w14:textId="77777777" w:rsidR="00E72963" w:rsidRPr="00E72963" w:rsidRDefault="00E72963" w:rsidP="00E72963">
            <w:pPr>
              <w:jc w:val="both"/>
              <w:rPr>
                <w:rFonts w:ascii="Cambria" w:hAnsi="Cambria" w:cs="Arial"/>
              </w:rPr>
            </w:pPr>
            <w:r w:rsidRPr="00E72963">
              <w:rPr>
                <w:rFonts w:ascii="Cambria" w:hAnsi="Cambria" w:cs="Arial"/>
              </w:rPr>
              <w:t>12</w:t>
            </w:r>
          </w:p>
        </w:tc>
        <w:tc>
          <w:tcPr>
            <w:tcW w:w="2153" w:type="pct"/>
          </w:tcPr>
          <w:p w14:paraId="5F0FA422" w14:textId="77777777" w:rsidR="00E72963" w:rsidRPr="00E72963" w:rsidRDefault="00E72963" w:rsidP="00E72963">
            <w:pPr>
              <w:jc w:val="both"/>
              <w:rPr>
                <w:rFonts w:ascii="Cambria" w:hAnsi="Cambria" w:cs="Times New Roman"/>
              </w:rPr>
            </w:pPr>
            <w:r w:rsidRPr="00E72963">
              <w:rPr>
                <w:rFonts w:ascii="Cambria" w:hAnsi="Cambria" w:cs="Times New Roman" w:hint="cs"/>
                <w:rtl/>
              </w:rPr>
              <w:t>تجري</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مراجعات</w:t>
            </w:r>
            <w:r w:rsidRPr="00E72963">
              <w:rPr>
                <w:rFonts w:ascii="Cambria" w:hAnsi="Cambria" w:cs="Times New Roman"/>
                <w:rtl/>
              </w:rPr>
              <w:t xml:space="preserve"> </w:t>
            </w:r>
            <w:r w:rsidRPr="00E72963">
              <w:rPr>
                <w:rFonts w:ascii="Cambria" w:hAnsi="Cambria" w:cs="Times New Roman" w:hint="cs"/>
                <w:rtl/>
              </w:rPr>
              <w:t>دورية</w:t>
            </w:r>
            <w:r w:rsidRPr="00E72963">
              <w:rPr>
                <w:rFonts w:ascii="Cambria" w:hAnsi="Cambria" w:cs="Times New Roman"/>
                <w:rtl/>
              </w:rPr>
              <w:t xml:space="preserve"> </w:t>
            </w:r>
            <w:r w:rsidRPr="00E72963">
              <w:rPr>
                <w:rFonts w:ascii="Cambria" w:hAnsi="Cambria" w:cs="Times New Roman" w:hint="cs"/>
                <w:rtl/>
              </w:rPr>
              <w:t>لمخاطر</w:t>
            </w:r>
            <w:r w:rsidRPr="00E72963">
              <w:rPr>
                <w:rFonts w:ascii="Cambria" w:hAnsi="Cambria" w:cs="Times New Roman"/>
                <w:rtl/>
              </w:rPr>
              <w:t xml:space="preserve"> </w:t>
            </w:r>
            <w:r w:rsidRPr="00E72963">
              <w:rPr>
                <w:rFonts w:ascii="Cambria" w:hAnsi="Cambria" w:cs="Times New Roman" w:hint="cs"/>
                <w:rtl/>
              </w:rPr>
              <w:t>أمن</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واتخاذ</w:t>
            </w:r>
            <w:r w:rsidRPr="00E72963">
              <w:rPr>
                <w:rFonts w:ascii="Cambria" w:hAnsi="Cambria" w:cs="Times New Roman"/>
                <w:rtl/>
              </w:rPr>
              <w:t xml:space="preserve"> </w:t>
            </w:r>
            <w:r w:rsidRPr="00E72963">
              <w:rPr>
                <w:rFonts w:ascii="Cambria" w:hAnsi="Cambria" w:cs="Times New Roman" w:hint="cs"/>
                <w:rtl/>
              </w:rPr>
              <w:t>الإجراءات</w:t>
            </w:r>
            <w:r w:rsidRPr="00E72963">
              <w:rPr>
                <w:rFonts w:ascii="Cambria" w:hAnsi="Cambria" w:cs="Times New Roman"/>
                <w:rtl/>
              </w:rPr>
              <w:t xml:space="preserve"> </w:t>
            </w:r>
            <w:r w:rsidRPr="00E72963">
              <w:rPr>
                <w:rFonts w:ascii="Cambria" w:hAnsi="Cambria" w:cs="Times New Roman" w:hint="cs"/>
                <w:rtl/>
              </w:rPr>
              <w:t>المناسبة</w:t>
            </w:r>
            <w:r w:rsidRPr="00E72963">
              <w:rPr>
                <w:rFonts w:ascii="Cambria" w:hAnsi="Cambria" w:cs="Times New Roman"/>
                <w:rtl/>
              </w:rPr>
              <w:t xml:space="preserve"> </w:t>
            </w:r>
            <w:r w:rsidRPr="00E72963">
              <w:rPr>
                <w:rFonts w:ascii="Cambria" w:hAnsi="Cambria" w:cs="Times New Roman" w:hint="cs"/>
                <w:rtl/>
              </w:rPr>
              <w:t>لمعالجتها</w:t>
            </w:r>
            <w:r w:rsidRPr="00E72963">
              <w:rPr>
                <w:rFonts w:ascii="Cambria" w:hAnsi="Cambria" w:cs="Times New Roman"/>
              </w:rPr>
              <w:t>.</w:t>
            </w:r>
          </w:p>
        </w:tc>
        <w:tc>
          <w:tcPr>
            <w:tcW w:w="401" w:type="pct"/>
          </w:tcPr>
          <w:p w14:paraId="76189459" w14:textId="77777777" w:rsidR="00E72963" w:rsidRPr="00E72963" w:rsidRDefault="00E72963" w:rsidP="00E72963">
            <w:pPr>
              <w:jc w:val="both"/>
              <w:rPr>
                <w:rFonts w:ascii="Cambria" w:hAnsi="Cambria" w:cs="Arial"/>
              </w:rPr>
            </w:pPr>
          </w:p>
        </w:tc>
        <w:tc>
          <w:tcPr>
            <w:tcW w:w="400" w:type="pct"/>
          </w:tcPr>
          <w:p w14:paraId="28001F08" w14:textId="77777777" w:rsidR="00E72963" w:rsidRPr="00E72963" w:rsidRDefault="00E72963" w:rsidP="00E72963">
            <w:pPr>
              <w:jc w:val="both"/>
              <w:rPr>
                <w:rFonts w:ascii="Cambria" w:hAnsi="Cambria" w:cs="Arial"/>
              </w:rPr>
            </w:pPr>
          </w:p>
        </w:tc>
        <w:tc>
          <w:tcPr>
            <w:tcW w:w="400" w:type="pct"/>
          </w:tcPr>
          <w:p w14:paraId="27B343C2" w14:textId="77777777" w:rsidR="00E72963" w:rsidRPr="00E72963" w:rsidRDefault="00E72963" w:rsidP="00E72963">
            <w:pPr>
              <w:jc w:val="both"/>
              <w:rPr>
                <w:rFonts w:ascii="Cambria" w:hAnsi="Cambria" w:cs="Arial"/>
              </w:rPr>
            </w:pPr>
          </w:p>
        </w:tc>
        <w:tc>
          <w:tcPr>
            <w:tcW w:w="481" w:type="pct"/>
          </w:tcPr>
          <w:p w14:paraId="233B38C1" w14:textId="77777777" w:rsidR="00E72963" w:rsidRPr="00E72963" w:rsidRDefault="00E72963" w:rsidP="00E72963">
            <w:pPr>
              <w:jc w:val="both"/>
              <w:rPr>
                <w:rFonts w:ascii="Cambria" w:hAnsi="Cambria" w:cs="Arial"/>
              </w:rPr>
            </w:pPr>
          </w:p>
        </w:tc>
        <w:tc>
          <w:tcPr>
            <w:tcW w:w="458" w:type="pct"/>
          </w:tcPr>
          <w:p w14:paraId="31FCFE55" w14:textId="77777777" w:rsidR="00E72963" w:rsidRPr="00E72963" w:rsidRDefault="00E72963" w:rsidP="00E72963">
            <w:pPr>
              <w:jc w:val="both"/>
              <w:rPr>
                <w:rFonts w:ascii="Cambria" w:hAnsi="Cambria" w:cs="Arial"/>
              </w:rPr>
            </w:pPr>
          </w:p>
        </w:tc>
      </w:tr>
      <w:tr w:rsidR="00E72963" w:rsidRPr="00E72963" w14:paraId="3FD53BCC" w14:textId="77777777" w:rsidTr="00E72963">
        <w:tc>
          <w:tcPr>
            <w:tcW w:w="5000" w:type="pct"/>
            <w:gridSpan w:val="7"/>
          </w:tcPr>
          <w:p w14:paraId="49A7A798" w14:textId="77777777" w:rsidR="00E72963" w:rsidRPr="00E72963" w:rsidRDefault="00E72963" w:rsidP="00E72963">
            <w:pPr>
              <w:jc w:val="center"/>
              <w:rPr>
                <w:rFonts w:ascii="Cambria" w:hAnsi="Cambria" w:cs="Arial"/>
                <w:b/>
                <w:bCs/>
              </w:rPr>
            </w:pPr>
            <w:r w:rsidRPr="00E72963">
              <w:rPr>
                <w:rFonts w:ascii="Cambria" w:hAnsi="Cambria" w:cs="Times New Roman"/>
                <w:b/>
                <w:bCs/>
                <w:rtl/>
              </w:rPr>
              <w:t>البعد</w:t>
            </w:r>
            <w:r w:rsidRPr="00E72963">
              <w:rPr>
                <w:rFonts w:ascii="Cambria" w:hAnsi="Cambria" w:cs="Arial"/>
                <w:b/>
                <w:bCs/>
              </w:rPr>
              <w:t xml:space="preserve"> </w:t>
            </w:r>
            <w:r w:rsidRPr="00E72963">
              <w:rPr>
                <w:rFonts w:ascii="Cambria" w:hAnsi="Cambria" w:cs="Times New Roman"/>
                <w:b/>
                <w:bCs/>
                <w:rtl/>
              </w:rPr>
              <w:t>الرابع</w:t>
            </w:r>
            <w:r w:rsidRPr="00E72963">
              <w:rPr>
                <w:rFonts w:ascii="Cambria" w:hAnsi="Cambria" w:cs="Arial"/>
                <w:b/>
                <w:bCs/>
              </w:rPr>
              <w:t xml:space="preserve">: </w:t>
            </w:r>
            <w:r w:rsidRPr="00E72963">
              <w:rPr>
                <w:rFonts w:ascii="Cambria" w:hAnsi="Cambria" w:cs="Times New Roman"/>
                <w:b/>
                <w:bCs/>
                <w:rtl/>
              </w:rPr>
              <w:t>الامتثال</w:t>
            </w:r>
            <w:r w:rsidRPr="00E72963">
              <w:rPr>
                <w:rFonts w:ascii="Cambria" w:hAnsi="Cambria" w:cs="Arial"/>
                <w:b/>
                <w:bCs/>
              </w:rPr>
              <w:t xml:space="preserve"> </w:t>
            </w:r>
            <w:r w:rsidRPr="00E72963">
              <w:rPr>
                <w:rFonts w:ascii="Cambria" w:hAnsi="Cambria" w:cs="Times New Roman"/>
                <w:b/>
                <w:bCs/>
                <w:rtl/>
              </w:rPr>
              <w:t>والرقابة</w:t>
            </w:r>
          </w:p>
        </w:tc>
      </w:tr>
      <w:tr w:rsidR="00E72963" w:rsidRPr="00E72963" w14:paraId="2D754F19" w14:textId="77777777" w:rsidTr="00E72963">
        <w:tc>
          <w:tcPr>
            <w:tcW w:w="707" w:type="pct"/>
          </w:tcPr>
          <w:p w14:paraId="7263E92F" w14:textId="77777777" w:rsidR="00E72963" w:rsidRPr="00E72963" w:rsidRDefault="00E72963" w:rsidP="00E72963">
            <w:pPr>
              <w:jc w:val="both"/>
              <w:rPr>
                <w:rFonts w:ascii="Cambria" w:hAnsi="Cambria" w:cs="Arial"/>
              </w:rPr>
            </w:pPr>
            <w:r w:rsidRPr="00E72963">
              <w:rPr>
                <w:rFonts w:ascii="Cambria" w:hAnsi="Cambria" w:cs="Arial"/>
              </w:rPr>
              <w:t>13</w:t>
            </w:r>
          </w:p>
        </w:tc>
        <w:tc>
          <w:tcPr>
            <w:tcW w:w="2153" w:type="pct"/>
          </w:tcPr>
          <w:p w14:paraId="7DF59560" w14:textId="77777777" w:rsidR="00E72963" w:rsidRPr="00E72963" w:rsidRDefault="00E72963" w:rsidP="00E72963">
            <w:pPr>
              <w:jc w:val="both"/>
              <w:rPr>
                <w:rFonts w:ascii="Cambria" w:hAnsi="Cambria" w:cs="Times New Roman"/>
              </w:rPr>
            </w:pPr>
            <w:r w:rsidRPr="00E72963">
              <w:rPr>
                <w:rFonts w:ascii="Cambria" w:hAnsi="Cambria" w:cs="Times New Roman" w:hint="cs"/>
                <w:rtl/>
              </w:rPr>
              <w:t>تلتزم</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بالأنظمة</w:t>
            </w:r>
            <w:r w:rsidRPr="00E72963">
              <w:rPr>
                <w:rFonts w:ascii="Cambria" w:hAnsi="Cambria" w:cs="Times New Roman"/>
                <w:rtl/>
              </w:rPr>
              <w:t xml:space="preserve"> </w:t>
            </w:r>
            <w:r w:rsidRPr="00E72963">
              <w:rPr>
                <w:rFonts w:ascii="Cambria" w:hAnsi="Cambria" w:cs="Times New Roman" w:hint="cs"/>
                <w:rtl/>
              </w:rPr>
              <w:t>واللوائح</w:t>
            </w:r>
            <w:r w:rsidRPr="00E72963">
              <w:rPr>
                <w:rFonts w:ascii="Cambria" w:hAnsi="Cambria" w:cs="Times New Roman"/>
                <w:rtl/>
              </w:rPr>
              <w:t xml:space="preserve"> </w:t>
            </w:r>
            <w:r w:rsidRPr="00E72963">
              <w:rPr>
                <w:rFonts w:ascii="Cambria" w:hAnsi="Cambria" w:cs="Times New Roman" w:hint="cs"/>
                <w:rtl/>
              </w:rPr>
              <w:t>المنظمة</w:t>
            </w:r>
            <w:r w:rsidRPr="00E72963">
              <w:rPr>
                <w:rFonts w:ascii="Cambria" w:hAnsi="Cambria" w:cs="Times New Roman"/>
                <w:rtl/>
              </w:rPr>
              <w:t xml:space="preserve"> </w:t>
            </w:r>
            <w:r w:rsidRPr="00E72963">
              <w:rPr>
                <w:rFonts w:ascii="Cambria" w:hAnsi="Cambria" w:cs="Times New Roman" w:hint="cs"/>
                <w:rtl/>
              </w:rPr>
              <w:t>لإدارة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وحمايتها</w:t>
            </w:r>
            <w:r w:rsidRPr="00E72963">
              <w:rPr>
                <w:rFonts w:ascii="Cambria" w:hAnsi="Cambria" w:cs="Times New Roman"/>
              </w:rPr>
              <w:t>.</w:t>
            </w:r>
          </w:p>
        </w:tc>
        <w:tc>
          <w:tcPr>
            <w:tcW w:w="401" w:type="pct"/>
          </w:tcPr>
          <w:p w14:paraId="517073E4" w14:textId="77777777" w:rsidR="00E72963" w:rsidRPr="00E72963" w:rsidRDefault="00E72963" w:rsidP="00E72963">
            <w:pPr>
              <w:jc w:val="both"/>
              <w:rPr>
                <w:rFonts w:ascii="Cambria" w:hAnsi="Cambria" w:cs="Arial"/>
              </w:rPr>
            </w:pPr>
          </w:p>
        </w:tc>
        <w:tc>
          <w:tcPr>
            <w:tcW w:w="400" w:type="pct"/>
          </w:tcPr>
          <w:p w14:paraId="621AE0F2" w14:textId="77777777" w:rsidR="00E72963" w:rsidRPr="00E72963" w:rsidRDefault="00E72963" w:rsidP="00E72963">
            <w:pPr>
              <w:jc w:val="both"/>
              <w:rPr>
                <w:rFonts w:ascii="Cambria" w:hAnsi="Cambria" w:cs="Arial"/>
              </w:rPr>
            </w:pPr>
          </w:p>
        </w:tc>
        <w:tc>
          <w:tcPr>
            <w:tcW w:w="400" w:type="pct"/>
          </w:tcPr>
          <w:p w14:paraId="3C348C11" w14:textId="77777777" w:rsidR="00E72963" w:rsidRPr="00E72963" w:rsidRDefault="00E72963" w:rsidP="00E72963">
            <w:pPr>
              <w:jc w:val="both"/>
              <w:rPr>
                <w:rFonts w:ascii="Cambria" w:hAnsi="Cambria" w:cs="Arial"/>
              </w:rPr>
            </w:pPr>
          </w:p>
        </w:tc>
        <w:tc>
          <w:tcPr>
            <w:tcW w:w="481" w:type="pct"/>
          </w:tcPr>
          <w:p w14:paraId="46EE2E15" w14:textId="77777777" w:rsidR="00E72963" w:rsidRPr="00E72963" w:rsidRDefault="00E72963" w:rsidP="00E72963">
            <w:pPr>
              <w:jc w:val="both"/>
              <w:rPr>
                <w:rFonts w:ascii="Cambria" w:hAnsi="Cambria" w:cs="Arial"/>
              </w:rPr>
            </w:pPr>
          </w:p>
        </w:tc>
        <w:tc>
          <w:tcPr>
            <w:tcW w:w="458" w:type="pct"/>
          </w:tcPr>
          <w:p w14:paraId="3A6AC787" w14:textId="77777777" w:rsidR="00E72963" w:rsidRPr="00E72963" w:rsidRDefault="00E72963" w:rsidP="00E72963">
            <w:pPr>
              <w:jc w:val="both"/>
              <w:rPr>
                <w:rFonts w:ascii="Cambria" w:hAnsi="Cambria" w:cs="Arial"/>
              </w:rPr>
            </w:pPr>
          </w:p>
        </w:tc>
      </w:tr>
      <w:tr w:rsidR="00E72963" w:rsidRPr="00E72963" w14:paraId="700BAED7" w14:textId="77777777" w:rsidTr="00E72963">
        <w:tc>
          <w:tcPr>
            <w:tcW w:w="707" w:type="pct"/>
          </w:tcPr>
          <w:p w14:paraId="08684FBF" w14:textId="77777777" w:rsidR="00E72963" w:rsidRPr="00E72963" w:rsidRDefault="00E72963" w:rsidP="00E72963">
            <w:pPr>
              <w:jc w:val="both"/>
              <w:rPr>
                <w:rFonts w:ascii="Cambria" w:hAnsi="Cambria" w:cs="Arial"/>
              </w:rPr>
            </w:pPr>
            <w:r w:rsidRPr="00E72963">
              <w:rPr>
                <w:rFonts w:ascii="Cambria" w:hAnsi="Cambria" w:cs="Arial"/>
              </w:rPr>
              <w:t>14</w:t>
            </w:r>
          </w:p>
        </w:tc>
        <w:tc>
          <w:tcPr>
            <w:tcW w:w="2153" w:type="pct"/>
          </w:tcPr>
          <w:p w14:paraId="24C807D0" w14:textId="77777777" w:rsidR="00E72963" w:rsidRPr="00E72963" w:rsidRDefault="00E72963" w:rsidP="00E72963">
            <w:pPr>
              <w:jc w:val="both"/>
              <w:rPr>
                <w:rFonts w:ascii="Cambria" w:hAnsi="Cambria" w:cs="Times New Roman"/>
              </w:rPr>
            </w:pPr>
            <w:r w:rsidRPr="00E72963">
              <w:rPr>
                <w:rFonts w:ascii="Cambria" w:hAnsi="Cambria" w:cs="Times New Roman" w:hint="cs"/>
                <w:rtl/>
              </w:rPr>
              <w:t>تُنفذ</w:t>
            </w:r>
            <w:r w:rsidRPr="00E72963">
              <w:rPr>
                <w:rFonts w:ascii="Cambria" w:hAnsi="Cambria" w:cs="Times New Roman"/>
                <w:rtl/>
              </w:rPr>
              <w:t xml:space="preserve"> </w:t>
            </w:r>
            <w:r w:rsidRPr="00E72963">
              <w:rPr>
                <w:rFonts w:ascii="Cambria" w:hAnsi="Cambria" w:cs="Times New Roman" w:hint="cs"/>
                <w:rtl/>
              </w:rPr>
              <w:t>مراجعات</w:t>
            </w:r>
            <w:r w:rsidRPr="00E72963">
              <w:rPr>
                <w:rFonts w:ascii="Cambria" w:hAnsi="Cambria" w:cs="Times New Roman"/>
                <w:rtl/>
              </w:rPr>
              <w:t xml:space="preserve"> </w:t>
            </w:r>
            <w:r w:rsidRPr="00E72963">
              <w:rPr>
                <w:rFonts w:ascii="Cambria" w:hAnsi="Cambria" w:cs="Times New Roman" w:hint="cs"/>
                <w:rtl/>
              </w:rPr>
              <w:t>دورية</w:t>
            </w:r>
            <w:r w:rsidRPr="00E72963">
              <w:rPr>
                <w:rFonts w:ascii="Cambria" w:hAnsi="Cambria" w:cs="Times New Roman"/>
                <w:rtl/>
              </w:rPr>
              <w:t xml:space="preserve"> </w:t>
            </w:r>
            <w:r w:rsidRPr="00E72963">
              <w:rPr>
                <w:rFonts w:ascii="Cambria" w:hAnsi="Cambria" w:cs="Times New Roman" w:hint="cs"/>
                <w:rtl/>
              </w:rPr>
              <w:t>للتأكد</w:t>
            </w:r>
            <w:r w:rsidRPr="00E72963">
              <w:rPr>
                <w:rFonts w:ascii="Cambria" w:hAnsi="Cambria" w:cs="Times New Roman"/>
                <w:rtl/>
              </w:rPr>
              <w:t xml:space="preserve"> </w:t>
            </w:r>
            <w:r w:rsidRPr="00E72963">
              <w:rPr>
                <w:rFonts w:ascii="Cambria" w:hAnsi="Cambria" w:cs="Times New Roman" w:hint="cs"/>
                <w:rtl/>
              </w:rPr>
              <w:t>من</w:t>
            </w:r>
            <w:r w:rsidRPr="00E72963">
              <w:rPr>
                <w:rFonts w:ascii="Cambria" w:hAnsi="Cambria" w:cs="Times New Roman"/>
                <w:rtl/>
              </w:rPr>
              <w:t xml:space="preserve"> </w:t>
            </w:r>
            <w:r w:rsidRPr="00E72963">
              <w:rPr>
                <w:rFonts w:ascii="Cambria" w:hAnsi="Cambria" w:cs="Times New Roman" w:hint="cs"/>
                <w:rtl/>
              </w:rPr>
              <w:t>الالتزام</w:t>
            </w:r>
            <w:r w:rsidRPr="00E72963">
              <w:rPr>
                <w:rFonts w:ascii="Cambria" w:hAnsi="Cambria" w:cs="Times New Roman"/>
                <w:rtl/>
              </w:rPr>
              <w:t xml:space="preserve"> </w:t>
            </w:r>
            <w:r w:rsidRPr="00E72963">
              <w:rPr>
                <w:rFonts w:ascii="Cambria" w:hAnsi="Cambria" w:cs="Times New Roman" w:hint="cs"/>
                <w:rtl/>
              </w:rPr>
              <w:t>بسياسات</w:t>
            </w:r>
            <w:r w:rsidRPr="00E72963">
              <w:rPr>
                <w:rFonts w:ascii="Cambria" w:hAnsi="Cambria" w:cs="Times New Roman"/>
                <w:rtl/>
              </w:rPr>
              <w:t xml:space="preserve"> </w:t>
            </w:r>
            <w:r w:rsidRPr="00E72963">
              <w:rPr>
                <w:rFonts w:ascii="Cambria" w:hAnsi="Cambria" w:cs="Times New Roman" w:hint="cs"/>
                <w:rtl/>
              </w:rPr>
              <w:t>حوكمة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28E07D99" w14:textId="77777777" w:rsidR="00E72963" w:rsidRPr="00E72963" w:rsidRDefault="00E72963" w:rsidP="00E72963">
            <w:pPr>
              <w:jc w:val="both"/>
              <w:rPr>
                <w:rFonts w:ascii="Cambria" w:hAnsi="Cambria" w:cs="Arial"/>
              </w:rPr>
            </w:pPr>
          </w:p>
        </w:tc>
        <w:tc>
          <w:tcPr>
            <w:tcW w:w="400" w:type="pct"/>
          </w:tcPr>
          <w:p w14:paraId="473F118D" w14:textId="77777777" w:rsidR="00E72963" w:rsidRPr="00E72963" w:rsidRDefault="00E72963" w:rsidP="00E72963">
            <w:pPr>
              <w:jc w:val="both"/>
              <w:rPr>
                <w:rFonts w:ascii="Cambria" w:hAnsi="Cambria" w:cs="Arial"/>
              </w:rPr>
            </w:pPr>
          </w:p>
        </w:tc>
        <w:tc>
          <w:tcPr>
            <w:tcW w:w="400" w:type="pct"/>
          </w:tcPr>
          <w:p w14:paraId="59912630" w14:textId="77777777" w:rsidR="00E72963" w:rsidRPr="00E72963" w:rsidRDefault="00E72963" w:rsidP="00E72963">
            <w:pPr>
              <w:jc w:val="both"/>
              <w:rPr>
                <w:rFonts w:ascii="Cambria" w:hAnsi="Cambria" w:cs="Arial"/>
              </w:rPr>
            </w:pPr>
          </w:p>
        </w:tc>
        <w:tc>
          <w:tcPr>
            <w:tcW w:w="481" w:type="pct"/>
          </w:tcPr>
          <w:p w14:paraId="3072E2B8" w14:textId="77777777" w:rsidR="00E72963" w:rsidRPr="00E72963" w:rsidRDefault="00E72963" w:rsidP="00E72963">
            <w:pPr>
              <w:jc w:val="both"/>
              <w:rPr>
                <w:rFonts w:ascii="Cambria" w:hAnsi="Cambria" w:cs="Arial"/>
              </w:rPr>
            </w:pPr>
          </w:p>
        </w:tc>
        <w:tc>
          <w:tcPr>
            <w:tcW w:w="458" w:type="pct"/>
          </w:tcPr>
          <w:p w14:paraId="42707A2C" w14:textId="77777777" w:rsidR="00E72963" w:rsidRPr="00E72963" w:rsidRDefault="00E72963" w:rsidP="00E72963">
            <w:pPr>
              <w:jc w:val="both"/>
              <w:rPr>
                <w:rFonts w:ascii="Cambria" w:hAnsi="Cambria" w:cs="Arial"/>
              </w:rPr>
            </w:pPr>
          </w:p>
        </w:tc>
      </w:tr>
      <w:tr w:rsidR="00E72963" w:rsidRPr="00E72963" w14:paraId="44941D31" w14:textId="77777777" w:rsidTr="00E72963">
        <w:tc>
          <w:tcPr>
            <w:tcW w:w="707" w:type="pct"/>
          </w:tcPr>
          <w:p w14:paraId="0B3F6B8A" w14:textId="77777777" w:rsidR="00E72963" w:rsidRPr="00E72963" w:rsidRDefault="00E72963" w:rsidP="00E72963">
            <w:pPr>
              <w:jc w:val="both"/>
              <w:rPr>
                <w:rFonts w:ascii="Cambria" w:hAnsi="Cambria" w:cs="Arial"/>
              </w:rPr>
            </w:pPr>
            <w:r w:rsidRPr="00E72963">
              <w:rPr>
                <w:rFonts w:ascii="Cambria" w:hAnsi="Cambria" w:cs="Arial"/>
              </w:rPr>
              <w:t>15</w:t>
            </w:r>
          </w:p>
        </w:tc>
        <w:tc>
          <w:tcPr>
            <w:tcW w:w="2153" w:type="pct"/>
          </w:tcPr>
          <w:p w14:paraId="1B0D434F" w14:textId="77777777" w:rsidR="00E72963" w:rsidRPr="00E72963" w:rsidRDefault="00E72963" w:rsidP="00E72963">
            <w:pPr>
              <w:jc w:val="both"/>
              <w:rPr>
                <w:rFonts w:ascii="Cambria" w:hAnsi="Cambria" w:cs="Times New Roman"/>
              </w:rPr>
            </w:pPr>
            <w:r w:rsidRPr="00E72963">
              <w:rPr>
                <w:rFonts w:ascii="Cambria" w:hAnsi="Cambria" w:cs="Times New Roman" w:hint="cs"/>
                <w:rtl/>
              </w:rPr>
              <w:t>تُستخدم</w:t>
            </w:r>
            <w:r w:rsidRPr="00E72963">
              <w:rPr>
                <w:rFonts w:ascii="Cambria" w:hAnsi="Cambria" w:cs="Times New Roman"/>
                <w:rtl/>
              </w:rPr>
              <w:t xml:space="preserve"> </w:t>
            </w:r>
            <w:r w:rsidRPr="00E72963">
              <w:rPr>
                <w:rFonts w:ascii="Cambria" w:hAnsi="Cambria" w:cs="Times New Roman" w:hint="cs"/>
                <w:rtl/>
              </w:rPr>
              <w:t>نتائج</w:t>
            </w:r>
            <w:r w:rsidRPr="00E72963">
              <w:rPr>
                <w:rFonts w:ascii="Cambria" w:hAnsi="Cambria" w:cs="Times New Roman"/>
                <w:rtl/>
              </w:rPr>
              <w:t xml:space="preserve"> </w:t>
            </w:r>
            <w:r w:rsidRPr="00E72963">
              <w:rPr>
                <w:rFonts w:ascii="Cambria" w:hAnsi="Cambria" w:cs="Times New Roman" w:hint="cs"/>
                <w:rtl/>
              </w:rPr>
              <w:t>المراجعات</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تطوير</w:t>
            </w:r>
            <w:r w:rsidRPr="00E72963">
              <w:rPr>
                <w:rFonts w:ascii="Cambria" w:hAnsi="Cambria" w:cs="Times New Roman"/>
                <w:rtl/>
              </w:rPr>
              <w:t xml:space="preserve"> </w:t>
            </w:r>
            <w:r w:rsidRPr="00E72963">
              <w:rPr>
                <w:rFonts w:ascii="Cambria" w:hAnsi="Cambria" w:cs="Times New Roman" w:hint="cs"/>
                <w:rtl/>
              </w:rPr>
              <w:t>ممارسات</w:t>
            </w:r>
            <w:r w:rsidRPr="00E72963">
              <w:rPr>
                <w:rFonts w:ascii="Cambria" w:hAnsi="Cambria" w:cs="Times New Roman"/>
                <w:rtl/>
              </w:rPr>
              <w:t xml:space="preserve"> </w:t>
            </w:r>
            <w:r w:rsidRPr="00E72963">
              <w:rPr>
                <w:rFonts w:ascii="Cambria" w:hAnsi="Cambria" w:cs="Times New Roman" w:hint="cs"/>
                <w:rtl/>
              </w:rPr>
              <w:t>حوكمة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66DBEDB0" w14:textId="77777777" w:rsidR="00E72963" w:rsidRPr="00E72963" w:rsidRDefault="00E72963" w:rsidP="00E72963">
            <w:pPr>
              <w:jc w:val="both"/>
              <w:rPr>
                <w:rFonts w:ascii="Cambria" w:hAnsi="Cambria" w:cs="Arial"/>
              </w:rPr>
            </w:pPr>
          </w:p>
        </w:tc>
        <w:tc>
          <w:tcPr>
            <w:tcW w:w="400" w:type="pct"/>
          </w:tcPr>
          <w:p w14:paraId="1E3A576D" w14:textId="77777777" w:rsidR="00E72963" w:rsidRPr="00E72963" w:rsidRDefault="00E72963" w:rsidP="00E72963">
            <w:pPr>
              <w:jc w:val="both"/>
              <w:rPr>
                <w:rFonts w:ascii="Cambria" w:hAnsi="Cambria" w:cs="Arial"/>
              </w:rPr>
            </w:pPr>
          </w:p>
        </w:tc>
        <w:tc>
          <w:tcPr>
            <w:tcW w:w="400" w:type="pct"/>
          </w:tcPr>
          <w:p w14:paraId="3F38A5F2" w14:textId="77777777" w:rsidR="00E72963" w:rsidRPr="00E72963" w:rsidRDefault="00E72963" w:rsidP="00E72963">
            <w:pPr>
              <w:jc w:val="both"/>
              <w:rPr>
                <w:rFonts w:ascii="Cambria" w:hAnsi="Cambria" w:cs="Arial"/>
              </w:rPr>
            </w:pPr>
          </w:p>
        </w:tc>
        <w:tc>
          <w:tcPr>
            <w:tcW w:w="481" w:type="pct"/>
          </w:tcPr>
          <w:p w14:paraId="7B431B56" w14:textId="77777777" w:rsidR="00E72963" w:rsidRPr="00E72963" w:rsidRDefault="00E72963" w:rsidP="00E72963">
            <w:pPr>
              <w:jc w:val="both"/>
              <w:rPr>
                <w:rFonts w:ascii="Cambria" w:hAnsi="Cambria" w:cs="Arial"/>
              </w:rPr>
            </w:pPr>
          </w:p>
        </w:tc>
        <w:tc>
          <w:tcPr>
            <w:tcW w:w="458" w:type="pct"/>
          </w:tcPr>
          <w:p w14:paraId="587CBE0F" w14:textId="77777777" w:rsidR="00E72963" w:rsidRPr="00E72963" w:rsidRDefault="00E72963" w:rsidP="00E72963">
            <w:pPr>
              <w:jc w:val="both"/>
              <w:rPr>
                <w:rFonts w:ascii="Cambria" w:hAnsi="Cambria" w:cs="Arial"/>
              </w:rPr>
            </w:pPr>
          </w:p>
        </w:tc>
      </w:tr>
      <w:tr w:rsidR="00E72963" w:rsidRPr="00E72963" w14:paraId="1A90E0F9" w14:textId="77777777" w:rsidTr="00E72963">
        <w:tc>
          <w:tcPr>
            <w:tcW w:w="707" w:type="pct"/>
          </w:tcPr>
          <w:p w14:paraId="0130AF2E" w14:textId="77777777" w:rsidR="00E72963" w:rsidRPr="00E72963" w:rsidRDefault="00E72963" w:rsidP="00E72963">
            <w:pPr>
              <w:jc w:val="both"/>
              <w:rPr>
                <w:rFonts w:ascii="Cambria" w:hAnsi="Cambria" w:cs="Arial"/>
              </w:rPr>
            </w:pPr>
            <w:r w:rsidRPr="00E72963">
              <w:rPr>
                <w:rFonts w:ascii="Cambria" w:hAnsi="Cambria" w:cs="Arial"/>
              </w:rPr>
              <w:t>16</w:t>
            </w:r>
          </w:p>
        </w:tc>
        <w:tc>
          <w:tcPr>
            <w:tcW w:w="2153" w:type="pct"/>
          </w:tcPr>
          <w:p w14:paraId="43BD2B09" w14:textId="77777777" w:rsidR="00E72963" w:rsidRPr="00E72963" w:rsidRDefault="00E72963" w:rsidP="00E72963">
            <w:pPr>
              <w:jc w:val="both"/>
              <w:rPr>
                <w:rFonts w:ascii="Cambria" w:hAnsi="Cambria" w:cs="Times New Roman"/>
              </w:rPr>
            </w:pPr>
            <w:r w:rsidRPr="00E72963">
              <w:rPr>
                <w:rFonts w:ascii="Cambria" w:hAnsi="Cambria" w:cs="Times New Roman" w:hint="cs"/>
                <w:rtl/>
              </w:rPr>
              <w:t>تطبق</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إجراءات</w:t>
            </w:r>
            <w:r w:rsidRPr="00E72963">
              <w:rPr>
                <w:rFonts w:ascii="Cambria" w:hAnsi="Cambria" w:cs="Times New Roman"/>
                <w:rtl/>
              </w:rPr>
              <w:t xml:space="preserve"> </w:t>
            </w:r>
            <w:r w:rsidRPr="00E72963">
              <w:rPr>
                <w:rFonts w:ascii="Cambria" w:hAnsi="Cambria" w:cs="Times New Roman" w:hint="cs"/>
                <w:rtl/>
              </w:rPr>
              <w:t>مساءلة</w:t>
            </w:r>
            <w:r w:rsidRPr="00E72963">
              <w:rPr>
                <w:rFonts w:ascii="Cambria" w:hAnsi="Cambria" w:cs="Times New Roman"/>
                <w:rtl/>
              </w:rPr>
              <w:t xml:space="preserve"> </w:t>
            </w:r>
            <w:r w:rsidRPr="00E72963">
              <w:rPr>
                <w:rFonts w:ascii="Cambria" w:hAnsi="Cambria" w:cs="Times New Roman" w:hint="cs"/>
                <w:rtl/>
              </w:rPr>
              <w:t>واضحة</w:t>
            </w:r>
            <w:r w:rsidRPr="00E72963">
              <w:rPr>
                <w:rFonts w:ascii="Cambria" w:hAnsi="Cambria" w:cs="Times New Roman"/>
                <w:rtl/>
              </w:rPr>
              <w:t xml:space="preserve"> </w:t>
            </w:r>
            <w:r w:rsidRPr="00E72963">
              <w:rPr>
                <w:rFonts w:ascii="Cambria" w:hAnsi="Cambria" w:cs="Times New Roman" w:hint="cs"/>
                <w:rtl/>
              </w:rPr>
              <w:t>عند</w:t>
            </w:r>
            <w:r w:rsidRPr="00E72963">
              <w:rPr>
                <w:rFonts w:ascii="Cambria" w:hAnsi="Cambria" w:cs="Times New Roman"/>
                <w:rtl/>
              </w:rPr>
              <w:t xml:space="preserve"> </w:t>
            </w:r>
            <w:r w:rsidRPr="00E72963">
              <w:rPr>
                <w:rFonts w:ascii="Cambria" w:hAnsi="Cambria" w:cs="Times New Roman" w:hint="cs"/>
                <w:rtl/>
              </w:rPr>
              <w:t>مخالفة</w:t>
            </w:r>
            <w:r w:rsidRPr="00E72963">
              <w:rPr>
                <w:rFonts w:ascii="Cambria" w:hAnsi="Cambria" w:cs="Times New Roman"/>
                <w:rtl/>
              </w:rPr>
              <w:t xml:space="preserve"> </w:t>
            </w:r>
            <w:r w:rsidRPr="00E72963">
              <w:rPr>
                <w:rFonts w:ascii="Cambria" w:hAnsi="Cambria" w:cs="Times New Roman" w:hint="cs"/>
                <w:rtl/>
              </w:rPr>
              <w:t>سياسات</w:t>
            </w:r>
            <w:r w:rsidRPr="00E72963">
              <w:rPr>
                <w:rFonts w:ascii="Cambria" w:hAnsi="Cambria" w:cs="Times New Roman"/>
                <w:rtl/>
              </w:rPr>
              <w:t xml:space="preserve"> </w:t>
            </w:r>
            <w:r w:rsidRPr="00E72963">
              <w:rPr>
                <w:rFonts w:ascii="Cambria" w:hAnsi="Cambria" w:cs="Times New Roman" w:hint="cs"/>
                <w:rtl/>
              </w:rPr>
              <w:t>إدارة</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Pr>
              <w:t>.</w:t>
            </w:r>
          </w:p>
        </w:tc>
        <w:tc>
          <w:tcPr>
            <w:tcW w:w="401" w:type="pct"/>
          </w:tcPr>
          <w:p w14:paraId="4B28E25E" w14:textId="77777777" w:rsidR="00E72963" w:rsidRPr="00E72963" w:rsidRDefault="00E72963" w:rsidP="00E72963">
            <w:pPr>
              <w:jc w:val="both"/>
              <w:rPr>
                <w:rFonts w:ascii="Cambria" w:hAnsi="Cambria" w:cs="Arial"/>
              </w:rPr>
            </w:pPr>
          </w:p>
        </w:tc>
        <w:tc>
          <w:tcPr>
            <w:tcW w:w="400" w:type="pct"/>
          </w:tcPr>
          <w:p w14:paraId="7A811D3E" w14:textId="77777777" w:rsidR="00E72963" w:rsidRPr="00E72963" w:rsidRDefault="00E72963" w:rsidP="00E72963">
            <w:pPr>
              <w:jc w:val="both"/>
              <w:rPr>
                <w:rFonts w:ascii="Cambria" w:hAnsi="Cambria" w:cs="Arial"/>
              </w:rPr>
            </w:pPr>
          </w:p>
        </w:tc>
        <w:tc>
          <w:tcPr>
            <w:tcW w:w="400" w:type="pct"/>
          </w:tcPr>
          <w:p w14:paraId="464BBF58" w14:textId="77777777" w:rsidR="00E72963" w:rsidRPr="00E72963" w:rsidRDefault="00E72963" w:rsidP="00E72963">
            <w:pPr>
              <w:jc w:val="both"/>
              <w:rPr>
                <w:rFonts w:ascii="Cambria" w:hAnsi="Cambria" w:cs="Arial"/>
              </w:rPr>
            </w:pPr>
          </w:p>
        </w:tc>
        <w:tc>
          <w:tcPr>
            <w:tcW w:w="481" w:type="pct"/>
          </w:tcPr>
          <w:p w14:paraId="62F87B7E" w14:textId="77777777" w:rsidR="00E72963" w:rsidRPr="00E72963" w:rsidRDefault="00E72963" w:rsidP="00E72963">
            <w:pPr>
              <w:jc w:val="both"/>
              <w:rPr>
                <w:rFonts w:ascii="Cambria" w:hAnsi="Cambria" w:cs="Arial"/>
              </w:rPr>
            </w:pPr>
          </w:p>
        </w:tc>
        <w:tc>
          <w:tcPr>
            <w:tcW w:w="458" w:type="pct"/>
          </w:tcPr>
          <w:p w14:paraId="71A67985" w14:textId="77777777" w:rsidR="00E72963" w:rsidRPr="00E72963" w:rsidRDefault="00E72963" w:rsidP="00E72963">
            <w:pPr>
              <w:jc w:val="both"/>
              <w:rPr>
                <w:rFonts w:ascii="Cambria" w:hAnsi="Cambria" w:cs="Arial"/>
              </w:rPr>
            </w:pPr>
          </w:p>
        </w:tc>
      </w:tr>
    </w:tbl>
    <w:p w14:paraId="43137B76" w14:textId="77777777" w:rsidR="00E72963" w:rsidRPr="00E72963" w:rsidRDefault="00E72963" w:rsidP="00E72963">
      <w:pPr>
        <w:keepNext/>
        <w:keepLines/>
        <w:spacing w:after="0" w:line="240" w:lineRule="auto"/>
        <w:jc w:val="both"/>
        <w:outlineLvl w:val="1"/>
        <w:rPr>
          <w:rFonts w:ascii="Calibri" w:eastAsia="MS Gothic" w:hAnsi="Calibri" w:cs="Times New Roman"/>
          <w:b/>
          <w:bCs/>
          <w:color w:val="4F81BD"/>
          <w:sz w:val="26"/>
          <w:szCs w:val="26"/>
        </w:rPr>
      </w:pPr>
      <w:r w:rsidRPr="00E72963">
        <w:rPr>
          <w:rFonts w:ascii="Calibri" w:eastAsia="MS Gothic" w:hAnsi="Calibri" w:cs="Calibri"/>
          <w:b/>
          <w:bCs/>
          <w:color w:val="4F81BD"/>
          <w:sz w:val="26"/>
          <w:szCs w:val="26"/>
          <w:rtl/>
        </w:rPr>
        <w:t>ثانياً</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توظيف</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نماذج</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اللغة</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الضخمة</w:t>
      </w:r>
    </w:p>
    <w:p w14:paraId="5D7430E3" w14:textId="77777777" w:rsidR="00E72963" w:rsidRPr="00E72963" w:rsidRDefault="00E72963" w:rsidP="00E72963">
      <w:pPr>
        <w:spacing w:after="200" w:line="240" w:lineRule="auto"/>
        <w:jc w:val="both"/>
        <w:rPr>
          <w:rFonts w:ascii="Cambria" w:eastAsia="MS Mincho" w:hAnsi="Cambria" w:cs="Arial"/>
        </w:rPr>
      </w:pPr>
      <w:r w:rsidRPr="00E72963">
        <w:rPr>
          <w:rFonts w:ascii="Cambria" w:eastAsia="MS Mincho" w:hAnsi="Cambria" w:cs="Times New Roman"/>
          <w:rtl/>
        </w:rPr>
        <w:t>مفهوم</w:t>
      </w:r>
      <w:r w:rsidRPr="00E72963">
        <w:rPr>
          <w:rFonts w:ascii="Cambria" w:eastAsia="MS Mincho" w:hAnsi="Cambria" w:cs="Arial"/>
        </w:rPr>
        <w:t xml:space="preserve"> </w:t>
      </w:r>
      <w:r w:rsidRPr="00E72963">
        <w:rPr>
          <w:rFonts w:ascii="Cambria" w:eastAsia="MS Mincho" w:hAnsi="Cambria" w:cs="Times New Roman"/>
          <w:rtl/>
        </w:rPr>
        <w:t>المتغير</w:t>
      </w:r>
      <w:r w:rsidRPr="00E72963">
        <w:rPr>
          <w:rFonts w:ascii="Cambria" w:eastAsia="MS Mincho" w:hAnsi="Cambria" w:cs="Arial"/>
        </w:rPr>
        <w:t xml:space="preserve">: </w:t>
      </w:r>
      <w:r w:rsidRPr="00E72963">
        <w:rPr>
          <w:rFonts w:ascii="Cambria" w:eastAsia="MS Mincho" w:hAnsi="Cambria" w:cs="Times New Roman"/>
          <w:rtl/>
        </w:rPr>
        <w:t>درجة</w:t>
      </w:r>
      <w:r w:rsidRPr="00E72963">
        <w:rPr>
          <w:rFonts w:ascii="Cambria" w:eastAsia="MS Mincho" w:hAnsi="Cambria" w:cs="Arial"/>
        </w:rPr>
        <w:t xml:space="preserve"> </w:t>
      </w:r>
      <w:r w:rsidRPr="00E72963">
        <w:rPr>
          <w:rFonts w:ascii="Cambria" w:eastAsia="MS Mincho" w:hAnsi="Cambria" w:cs="Times New Roman"/>
          <w:rtl/>
        </w:rPr>
        <w:t>استخدام</w:t>
      </w:r>
      <w:r w:rsidRPr="00E72963">
        <w:rPr>
          <w:rFonts w:ascii="Cambria" w:eastAsia="MS Mincho" w:hAnsi="Cambria" w:cs="Arial"/>
        </w:rPr>
        <w:t xml:space="preserve"> </w:t>
      </w:r>
      <w:r w:rsidRPr="00E72963">
        <w:rPr>
          <w:rFonts w:ascii="Cambria" w:eastAsia="MS Mincho" w:hAnsi="Cambria" w:cs="Times New Roman"/>
          <w:rtl/>
        </w:rPr>
        <w:t>نماذج</w:t>
      </w:r>
      <w:r w:rsidRPr="00E72963">
        <w:rPr>
          <w:rFonts w:ascii="Cambria" w:eastAsia="MS Mincho" w:hAnsi="Cambria" w:cs="Arial"/>
        </w:rPr>
        <w:t xml:space="preserve"> </w:t>
      </w:r>
      <w:r w:rsidRPr="00E72963">
        <w:rPr>
          <w:rFonts w:ascii="Cambria" w:eastAsia="MS Mincho" w:hAnsi="Cambria" w:cs="Times New Roman"/>
          <w:rtl/>
        </w:rPr>
        <w:t>اللغة</w:t>
      </w:r>
      <w:r w:rsidRPr="00E72963">
        <w:rPr>
          <w:rFonts w:ascii="Cambria" w:eastAsia="MS Mincho" w:hAnsi="Cambria" w:cs="Arial"/>
        </w:rPr>
        <w:t xml:space="preserve"> </w:t>
      </w:r>
      <w:r w:rsidRPr="00E72963">
        <w:rPr>
          <w:rFonts w:ascii="Cambria" w:eastAsia="MS Mincho" w:hAnsi="Cambria" w:cs="Times New Roman"/>
          <w:rtl/>
        </w:rPr>
        <w:t>الضخمة</w:t>
      </w:r>
      <w:r w:rsidRPr="00E72963">
        <w:rPr>
          <w:rFonts w:ascii="Cambria" w:eastAsia="MS Mincho" w:hAnsi="Cambria" w:cs="Arial"/>
        </w:rPr>
        <w:t xml:space="preserve"> </w:t>
      </w:r>
      <w:r w:rsidRPr="00E72963">
        <w:rPr>
          <w:rFonts w:ascii="Cambria" w:eastAsia="MS Mincho" w:hAnsi="Cambria" w:cs="Times New Roman"/>
          <w:rtl/>
        </w:rPr>
        <w:t>في</w:t>
      </w:r>
      <w:r w:rsidRPr="00E72963">
        <w:rPr>
          <w:rFonts w:ascii="Cambria" w:eastAsia="MS Mincho" w:hAnsi="Cambria" w:cs="Arial"/>
        </w:rPr>
        <w:t xml:space="preserve"> </w:t>
      </w:r>
      <w:r w:rsidRPr="00E72963">
        <w:rPr>
          <w:rFonts w:ascii="Cambria" w:eastAsia="MS Mincho" w:hAnsi="Cambria" w:cs="Times New Roman"/>
          <w:rtl/>
        </w:rPr>
        <w:t>الأنشطة</w:t>
      </w:r>
      <w:r w:rsidRPr="00E72963">
        <w:rPr>
          <w:rFonts w:ascii="Cambria" w:eastAsia="MS Mincho" w:hAnsi="Cambria" w:cs="Arial"/>
        </w:rPr>
        <w:t xml:space="preserve"> </w:t>
      </w:r>
      <w:r w:rsidRPr="00E72963">
        <w:rPr>
          <w:rFonts w:ascii="Cambria" w:eastAsia="MS Mincho" w:hAnsi="Cambria" w:cs="Times New Roman"/>
          <w:rtl/>
        </w:rPr>
        <w:t>الاستشارية</w:t>
      </w:r>
      <w:r w:rsidRPr="00E72963">
        <w:rPr>
          <w:rFonts w:ascii="Cambria" w:eastAsia="MS Mincho" w:hAnsi="Cambria" w:cs="Arial"/>
        </w:rPr>
        <w:t>.</w:t>
      </w:r>
    </w:p>
    <w:tbl>
      <w:tblPr>
        <w:tblStyle w:val="TableGrid1"/>
        <w:bidiVisual/>
        <w:tblW w:w="0" w:type="auto"/>
        <w:tblLook w:val="04A0" w:firstRow="1" w:lastRow="0" w:firstColumn="1" w:lastColumn="0" w:noHBand="0" w:noVBand="1"/>
      </w:tblPr>
      <w:tblGrid>
        <w:gridCol w:w="1097"/>
        <w:gridCol w:w="4046"/>
        <w:gridCol w:w="705"/>
        <w:gridCol w:w="656"/>
        <w:gridCol w:w="630"/>
        <w:gridCol w:w="656"/>
        <w:gridCol w:w="705"/>
      </w:tblGrid>
      <w:tr w:rsidR="00E72963" w:rsidRPr="00E72963" w14:paraId="6309D5A7" w14:textId="77777777" w:rsidTr="00E72963">
        <w:tc>
          <w:tcPr>
            <w:tcW w:w="1160" w:type="dxa"/>
          </w:tcPr>
          <w:p w14:paraId="4D845832" w14:textId="77777777" w:rsidR="00E72963" w:rsidRPr="00E72963" w:rsidRDefault="00E72963" w:rsidP="00E72963">
            <w:pPr>
              <w:jc w:val="center"/>
              <w:rPr>
                <w:rFonts w:ascii="Cambria" w:hAnsi="Cambria" w:cs="Arial"/>
                <w:b/>
                <w:bCs/>
              </w:rPr>
            </w:pPr>
            <w:r w:rsidRPr="00E72963">
              <w:rPr>
                <w:rFonts w:ascii="Cambria" w:hAnsi="Cambria" w:cs="Times New Roman"/>
                <w:b/>
                <w:bCs/>
                <w:rtl/>
              </w:rPr>
              <w:t>م</w:t>
            </w:r>
          </w:p>
        </w:tc>
        <w:tc>
          <w:tcPr>
            <w:tcW w:w="4342" w:type="dxa"/>
          </w:tcPr>
          <w:p w14:paraId="693846EF" w14:textId="77777777" w:rsidR="00E72963" w:rsidRPr="00E72963" w:rsidRDefault="00E72963" w:rsidP="00E72963">
            <w:pPr>
              <w:jc w:val="center"/>
              <w:rPr>
                <w:rFonts w:ascii="Cambria" w:hAnsi="Cambria" w:cs="Arial"/>
                <w:b/>
                <w:bCs/>
              </w:rPr>
            </w:pPr>
            <w:r w:rsidRPr="00E72963">
              <w:rPr>
                <w:rFonts w:ascii="Cambria" w:hAnsi="Cambria" w:cs="Times New Roman"/>
                <w:b/>
                <w:bCs/>
                <w:rtl/>
              </w:rPr>
              <w:t>العبارة</w:t>
            </w:r>
          </w:p>
        </w:tc>
        <w:tc>
          <w:tcPr>
            <w:tcW w:w="705" w:type="dxa"/>
          </w:tcPr>
          <w:p w14:paraId="2F0637AF" w14:textId="77777777" w:rsidR="00E72963" w:rsidRPr="00E72963" w:rsidRDefault="00E72963" w:rsidP="00E72963">
            <w:pPr>
              <w:jc w:val="center"/>
              <w:rPr>
                <w:rFonts w:ascii="Cambria" w:hAnsi="Cambria" w:cs="Arial"/>
                <w:b/>
                <w:bCs/>
              </w:rPr>
            </w:pPr>
            <w:r w:rsidRPr="00E72963">
              <w:rPr>
                <w:rFonts w:ascii="Cambria" w:hAnsi="Cambria" w:cs="Times New Roman"/>
                <w:b/>
                <w:bCs/>
                <w:rtl/>
              </w:rPr>
              <w:t>موافق</w:t>
            </w:r>
            <w:r w:rsidRPr="00E72963">
              <w:rPr>
                <w:rFonts w:ascii="Cambria" w:hAnsi="Cambria" w:cs="Arial"/>
                <w:b/>
                <w:bCs/>
              </w:rPr>
              <w:t xml:space="preserve"> </w:t>
            </w:r>
            <w:r w:rsidRPr="00E72963">
              <w:rPr>
                <w:rFonts w:ascii="Cambria" w:hAnsi="Cambria" w:cs="Times New Roman"/>
                <w:b/>
                <w:bCs/>
                <w:rtl/>
              </w:rPr>
              <w:t>بشدة</w:t>
            </w:r>
          </w:p>
        </w:tc>
        <w:tc>
          <w:tcPr>
            <w:tcW w:w="656" w:type="dxa"/>
          </w:tcPr>
          <w:p w14:paraId="1C930DE4" w14:textId="77777777" w:rsidR="00E72963" w:rsidRPr="00E72963" w:rsidRDefault="00E72963" w:rsidP="00E72963">
            <w:pPr>
              <w:jc w:val="center"/>
              <w:rPr>
                <w:rFonts w:ascii="Cambria" w:hAnsi="Cambria" w:cs="Arial"/>
                <w:b/>
                <w:bCs/>
              </w:rPr>
            </w:pPr>
            <w:r w:rsidRPr="00E72963">
              <w:rPr>
                <w:rFonts w:ascii="Cambria" w:hAnsi="Cambria" w:cs="Times New Roman"/>
                <w:b/>
                <w:bCs/>
                <w:rtl/>
              </w:rPr>
              <w:t>موافق</w:t>
            </w:r>
          </w:p>
        </w:tc>
        <w:tc>
          <w:tcPr>
            <w:tcW w:w="632" w:type="dxa"/>
          </w:tcPr>
          <w:p w14:paraId="5088AB16" w14:textId="77777777" w:rsidR="00E72963" w:rsidRPr="00E72963" w:rsidRDefault="00E72963" w:rsidP="00E72963">
            <w:pPr>
              <w:jc w:val="center"/>
              <w:rPr>
                <w:rFonts w:ascii="Cambria" w:hAnsi="Cambria" w:cs="Arial"/>
                <w:b/>
                <w:bCs/>
              </w:rPr>
            </w:pPr>
            <w:r w:rsidRPr="00E72963">
              <w:rPr>
                <w:rFonts w:ascii="Cambria" w:hAnsi="Cambria" w:cs="Times New Roman"/>
                <w:b/>
                <w:bCs/>
                <w:rtl/>
              </w:rPr>
              <w:t>محايد</w:t>
            </w:r>
          </w:p>
        </w:tc>
        <w:tc>
          <w:tcPr>
            <w:tcW w:w="656" w:type="dxa"/>
          </w:tcPr>
          <w:p w14:paraId="26183ADE" w14:textId="77777777" w:rsidR="00E72963" w:rsidRPr="00E72963" w:rsidRDefault="00E72963" w:rsidP="00E72963">
            <w:pPr>
              <w:jc w:val="center"/>
              <w:rPr>
                <w:rFonts w:ascii="Cambria" w:hAnsi="Cambria" w:cs="Arial"/>
                <w:b/>
                <w:bCs/>
              </w:rPr>
            </w:pPr>
            <w:r w:rsidRPr="00E72963">
              <w:rPr>
                <w:rFonts w:ascii="Cambria" w:hAnsi="Cambria" w:cs="Times New Roman"/>
                <w:b/>
                <w:bCs/>
                <w:rtl/>
              </w:rPr>
              <w:t>غير</w:t>
            </w:r>
            <w:r w:rsidRPr="00E72963">
              <w:rPr>
                <w:rFonts w:ascii="Cambria" w:hAnsi="Cambria" w:cs="Arial"/>
                <w:b/>
                <w:bCs/>
              </w:rPr>
              <w:t xml:space="preserve"> </w:t>
            </w:r>
            <w:r w:rsidRPr="00E72963">
              <w:rPr>
                <w:rFonts w:ascii="Cambria" w:hAnsi="Cambria" w:cs="Times New Roman"/>
                <w:b/>
                <w:bCs/>
                <w:rtl/>
              </w:rPr>
              <w:t>موافق</w:t>
            </w:r>
          </w:p>
        </w:tc>
        <w:tc>
          <w:tcPr>
            <w:tcW w:w="705" w:type="dxa"/>
          </w:tcPr>
          <w:p w14:paraId="0A972241" w14:textId="77777777" w:rsidR="00E72963" w:rsidRPr="00E72963" w:rsidRDefault="00E72963" w:rsidP="00E72963">
            <w:pPr>
              <w:jc w:val="center"/>
              <w:rPr>
                <w:rFonts w:ascii="Cambria" w:hAnsi="Cambria" w:cs="Arial"/>
                <w:b/>
                <w:bCs/>
              </w:rPr>
            </w:pPr>
            <w:r w:rsidRPr="00E72963">
              <w:rPr>
                <w:rFonts w:ascii="Cambria" w:hAnsi="Cambria" w:cs="Times New Roman"/>
                <w:b/>
                <w:bCs/>
                <w:rtl/>
              </w:rPr>
              <w:t>غير</w:t>
            </w:r>
            <w:r w:rsidRPr="00E72963">
              <w:rPr>
                <w:rFonts w:ascii="Cambria" w:hAnsi="Cambria" w:cs="Arial"/>
                <w:b/>
                <w:bCs/>
              </w:rPr>
              <w:t xml:space="preserve"> </w:t>
            </w:r>
            <w:r w:rsidRPr="00E72963">
              <w:rPr>
                <w:rFonts w:ascii="Cambria" w:hAnsi="Cambria" w:cs="Times New Roman"/>
                <w:b/>
                <w:bCs/>
                <w:rtl/>
              </w:rPr>
              <w:t>موافق</w:t>
            </w:r>
            <w:r w:rsidRPr="00E72963">
              <w:rPr>
                <w:rFonts w:ascii="Cambria" w:hAnsi="Cambria" w:cs="Arial"/>
                <w:b/>
                <w:bCs/>
              </w:rPr>
              <w:t xml:space="preserve"> </w:t>
            </w:r>
            <w:r w:rsidRPr="00E72963">
              <w:rPr>
                <w:rFonts w:ascii="Cambria" w:hAnsi="Cambria" w:cs="Times New Roman"/>
                <w:b/>
                <w:bCs/>
                <w:rtl/>
              </w:rPr>
              <w:t>بشدة</w:t>
            </w:r>
          </w:p>
        </w:tc>
      </w:tr>
      <w:tr w:rsidR="00E72963" w:rsidRPr="00E72963" w14:paraId="09664F85" w14:textId="77777777" w:rsidTr="00E72963">
        <w:tc>
          <w:tcPr>
            <w:tcW w:w="8856" w:type="dxa"/>
            <w:gridSpan w:val="7"/>
          </w:tcPr>
          <w:p w14:paraId="0B5650CC"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الأول</w:t>
            </w:r>
            <w:r w:rsidRPr="00E72963">
              <w:rPr>
                <w:rFonts w:ascii="Cambria" w:hAnsi="Cambria" w:cs="Arial"/>
                <w:sz w:val="24"/>
                <w:szCs w:val="24"/>
              </w:rPr>
              <w:t xml:space="preserve">: </w:t>
            </w:r>
            <w:r w:rsidRPr="00E72963">
              <w:rPr>
                <w:rFonts w:ascii="Cambria" w:hAnsi="Cambria" w:cs="Times New Roman" w:hint="cs"/>
                <w:b/>
                <w:bCs/>
                <w:rtl/>
              </w:rPr>
              <w:t xml:space="preserve"> </w:t>
            </w:r>
            <w:r w:rsidRPr="00E72963">
              <w:rPr>
                <w:rFonts w:ascii="Cambria" w:hAnsi="Cambria" w:cs="Times New Roman"/>
                <w:b/>
                <w:bCs/>
                <w:rtl/>
              </w:rPr>
              <w:t>الاستخدام</w:t>
            </w:r>
            <w:r w:rsidRPr="00E72963">
              <w:rPr>
                <w:rFonts w:ascii="Cambria" w:hAnsi="Cambria" w:cs="Arial"/>
                <w:b/>
                <w:bCs/>
              </w:rPr>
              <w:t xml:space="preserve"> </w:t>
            </w:r>
            <w:r w:rsidRPr="00E72963">
              <w:rPr>
                <w:rFonts w:ascii="Cambria" w:hAnsi="Cambria" w:cs="Times New Roman"/>
                <w:b/>
                <w:bCs/>
                <w:rtl/>
              </w:rPr>
              <w:t>التشغيلي</w:t>
            </w:r>
          </w:p>
        </w:tc>
      </w:tr>
      <w:tr w:rsidR="00E72963" w:rsidRPr="00E72963" w14:paraId="5A3D7C6E" w14:textId="77777777" w:rsidTr="00E72963">
        <w:tc>
          <w:tcPr>
            <w:tcW w:w="1160" w:type="dxa"/>
          </w:tcPr>
          <w:p w14:paraId="350557A4" w14:textId="77777777" w:rsidR="00E72963" w:rsidRPr="00E72963" w:rsidRDefault="00E72963" w:rsidP="00E72963">
            <w:pPr>
              <w:jc w:val="both"/>
              <w:rPr>
                <w:rFonts w:ascii="Cambria" w:hAnsi="Cambria" w:cs="Arial"/>
              </w:rPr>
            </w:pPr>
            <w:r w:rsidRPr="00E72963">
              <w:rPr>
                <w:rFonts w:ascii="Cambria" w:hAnsi="Cambria" w:cs="Arial"/>
              </w:rPr>
              <w:t>1</w:t>
            </w:r>
          </w:p>
        </w:tc>
        <w:tc>
          <w:tcPr>
            <w:tcW w:w="4342" w:type="dxa"/>
          </w:tcPr>
          <w:p w14:paraId="28FFFC81" w14:textId="77777777" w:rsidR="00E72963" w:rsidRPr="00E72963" w:rsidRDefault="00E72963" w:rsidP="00E72963">
            <w:pPr>
              <w:jc w:val="both"/>
              <w:rPr>
                <w:rFonts w:ascii="Cambria" w:hAnsi="Cambria" w:cs="Times New Roman"/>
                <w:rtl/>
              </w:rPr>
            </w:pPr>
            <w:r w:rsidRPr="00E72963">
              <w:rPr>
                <w:rFonts w:ascii="Cambria" w:hAnsi="Cambria" w:cs="Times New Roman" w:hint="cs"/>
                <w:rtl/>
              </w:rPr>
              <w:t>تستخدم</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نماذج</w:t>
            </w:r>
            <w:r w:rsidRPr="00E72963">
              <w:rPr>
                <w:rFonts w:ascii="Cambria" w:hAnsi="Cambria" w:cs="Times New Roman"/>
                <w:rtl/>
              </w:rPr>
              <w:t xml:space="preserve"> </w:t>
            </w:r>
            <w:r w:rsidRPr="00E72963">
              <w:rPr>
                <w:rFonts w:ascii="Cambria" w:hAnsi="Cambria" w:cs="Times New Roman" w:hint="cs"/>
                <w:rtl/>
              </w:rPr>
              <w:t>اللغة</w:t>
            </w:r>
            <w:r w:rsidRPr="00E72963">
              <w:rPr>
                <w:rFonts w:ascii="Cambria" w:hAnsi="Cambria" w:cs="Times New Roman"/>
                <w:rtl/>
              </w:rPr>
              <w:t xml:space="preserve"> </w:t>
            </w:r>
            <w:r w:rsidRPr="00E72963">
              <w:rPr>
                <w:rFonts w:ascii="Cambria" w:hAnsi="Cambria" w:cs="Times New Roman" w:hint="cs"/>
                <w:rtl/>
              </w:rPr>
              <w:t>الضخمة</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إعداد</w:t>
            </w:r>
            <w:r w:rsidRPr="00E72963">
              <w:rPr>
                <w:rFonts w:ascii="Cambria" w:hAnsi="Cambria" w:cs="Times New Roman"/>
                <w:rtl/>
              </w:rPr>
              <w:t xml:space="preserve"> </w:t>
            </w:r>
            <w:r w:rsidRPr="00E72963">
              <w:rPr>
                <w:rFonts w:ascii="Cambria" w:hAnsi="Cambria" w:cs="Times New Roman" w:hint="cs"/>
                <w:rtl/>
              </w:rPr>
              <w:t>التقارير</w:t>
            </w:r>
            <w:r w:rsidRPr="00E72963">
              <w:rPr>
                <w:rFonts w:ascii="Cambria" w:hAnsi="Cambria" w:cs="Times New Roman"/>
                <w:rtl/>
              </w:rPr>
              <w:t xml:space="preserve"> </w:t>
            </w:r>
            <w:r w:rsidRPr="00E72963">
              <w:rPr>
                <w:rFonts w:ascii="Cambria" w:hAnsi="Cambria" w:cs="Times New Roman" w:hint="cs"/>
                <w:rtl/>
              </w:rPr>
              <w:t>والمستندات</w:t>
            </w:r>
            <w:r w:rsidRPr="00E72963">
              <w:rPr>
                <w:rFonts w:ascii="Cambria" w:hAnsi="Cambria" w:cs="Times New Roman"/>
                <w:rtl/>
              </w:rPr>
              <w:t xml:space="preserve"> </w:t>
            </w:r>
            <w:r w:rsidRPr="00E72963">
              <w:rPr>
                <w:rFonts w:ascii="Cambria" w:hAnsi="Cambria" w:cs="Times New Roman" w:hint="cs"/>
                <w:rtl/>
              </w:rPr>
              <w:t>المهنية</w:t>
            </w:r>
            <w:r w:rsidRPr="00E72963">
              <w:rPr>
                <w:rFonts w:ascii="Cambria" w:hAnsi="Cambria" w:cs="Times New Roman"/>
                <w:rtl/>
              </w:rPr>
              <w:t>.</w:t>
            </w:r>
          </w:p>
        </w:tc>
        <w:tc>
          <w:tcPr>
            <w:tcW w:w="705" w:type="dxa"/>
          </w:tcPr>
          <w:p w14:paraId="7F86B71A" w14:textId="77777777" w:rsidR="00E72963" w:rsidRPr="00E72963" w:rsidRDefault="00E72963" w:rsidP="00E72963">
            <w:pPr>
              <w:jc w:val="both"/>
              <w:rPr>
                <w:rFonts w:ascii="Cambria" w:hAnsi="Cambria" w:cs="Arial"/>
              </w:rPr>
            </w:pPr>
          </w:p>
        </w:tc>
        <w:tc>
          <w:tcPr>
            <w:tcW w:w="656" w:type="dxa"/>
          </w:tcPr>
          <w:p w14:paraId="6E2B6345" w14:textId="77777777" w:rsidR="00E72963" w:rsidRPr="00E72963" w:rsidRDefault="00E72963" w:rsidP="00E72963">
            <w:pPr>
              <w:jc w:val="both"/>
              <w:rPr>
                <w:rFonts w:ascii="Cambria" w:hAnsi="Cambria" w:cs="Arial"/>
              </w:rPr>
            </w:pPr>
          </w:p>
        </w:tc>
        <w:tc>
          <w:tcPr>
            <w:tcW w:w="632" w:type="dxa"/>
          </w:tcPr>
          <w:p w14:paraId="118C2D9A" w14:textId="77777777" w:rsidR="00E72963" w:rsidRPr="00E72963" w:rsidRDefault="00E72963" w:rsidP="00E72963">
            <w:pPr>
              <w:jc w:val="both"/>
              <w:rPr>
                <w:rFonts w:ascii="Cambria" w:hAnsi="Cambria" w:cs="Arial"/>
              </w:rPr>
            </w:pPr>
          </w:p>
        </w:tc>
        <w:tc>
          <w:tcPr>
            <w:tcW w:w="656" w:type="dxa"/>
          </w:tcPr>
          <w:p w14:paraId="49BE3733" w14:textId="77777777" w:rsidR="00E72963" w:rsidRPr="00E72963" w:rsidRDefault="00E72963" w:rsidP="00E72963">
            <w:pPr>
              <w:jc w:val="both"/>
              <w:rPr>
                <w:rFonts w:ascii="Cambria" w:hAnsi="Cambria" w:cs="Arial"/>
              </w:rPr>
            </w:pPr>
          </w:p>
        </w:tc>
        <w:tc>
          <w:tcPr>
            <w:tcW w:w="705" w:type="dxa"/>
          </w:tcPr>
          <w:p w14:paraId="21587998" w14:textId="77777777" w:rsidR="00E72963" w:rsidRPr="00E72963" w:rsidRDefault="00E72963" w:rsidP="00E72963">
            <w:pPr>
              <w:jc w:val="both"/>
              <w:rPr>
                <w:rFonts w:ascii="Cambria" w:hAnsi="Cambria" w:cs="Arial"/>
              </w:rPr>
            </w:pPr>
          </w:p>
        </w:tc>
      </w:tr>
      <w:tr w:rsidR="00E72963" w:rsidRPr="00E72963" w14:paraId="157ECD01" w14:textId="77777777" w:rsidTr="00E72963">
        <w:tc>
          <w:tcPr>
            <w:tcW w:w="1160" w:type="dxa"/>
          </w:tcPr>
          <w:p w14:paraId="03DB7B5B" w14:textId="77777777" w:rsidR="00E72963" w:rsidRPr="00E72963" w:rsidRDefault="00E72963" w:rsidP="00E72963">
            <w:pPr>
              <w:jc w:val="both"/>
              <w:rPr>
                <w:rFonts w:ascii="Cambria" w:hAnsi="Cambria" w:cs="Arial"/>
              </w:rPr>
            </w:pPr>
            <w:r w:rsidRPr="00E72963">
              <w:rPr>
                <w:rFonts w:ascii="Cambria" w:hAnsi="Cambria" w:cs="Arial"/>
              </w:rPr>
              <w:t>2</w:t>
            </w:r>
          </w:p>
        </w:tc>
        <w:tc>
          <w:tcPr>
            <w:tcW w:w="4342" w:type="dxa"/>
          </w:tcPr>
          <w:p w14:paraId="1617FB0C" w14:textId="77777777" w:rsidR="00E72963" w:rsidRPr="00E72963" w:rsidRDefault="00E72963" w:rsidP="00E72963">
            <w:pPr>
              <w:jc w:val="both"/>
              <w:rPr>
                <w:rFonts w:ascii="Cambria" w:hAnsi="Cambria" w:cs="Times New Roman"/>
                <w:rtl/>
              </w:rPr>
            </w:pPr>
            <w:r w:rsidRPr="00E72963">
              <w:rPr>
                <w:rFonts w:ascii="Cambria" w:hAnsi="Cambria" w:cs="Times New Roman" w:hint="cs"/>
                <w:rtl/>
              </w:rPr>
              <w:t>تستخدم</w:t>
            </w:r>
            <w:r w:rsidRPr="00E72963">
              <w:rPr>
                <w:rFonts w:ascii="Cambria" w:hAnsi="Cambria" w:cs="Times New Roman"/>
                <w:rtl/>
              </w:rPr>
              <w:t xml:space="preserve"> </w:t>
            </w:r>
            <w:r w:rsidRPr="00E72963">
              <w:rPr>
                <w:rFonts w:ascii="Cambria" w:hAnsi="Cambria" w:cs="Times New Roman" w:hint="cs"/>
                <w:rtl/>
              </w:rPr>
              <w:t>نماذج</w:t>
            </w:r>
            <w:r w:rsidRPr="00E72963">
              <w:rPr>
                <w:rFonts w:ascii="Cambria" w:hAnsi="Cambria" w:cs="Times New Roman"/>
                <w:rtl/>
              </w:rPr>
              <w:t xml:space="preserve"> </w:t>
            </w:r>
            <w:r w:rsidRPr="00E72963">
              <w:rPr>
                <w:rFonts w:ascii="Cambria" w:hAnsi="Cambria" w:cs="Times New Roman" w:hint="cs"/>
                <w:rtl/>
              </w:rPr>
              <w:t>اللغة</w:t>
            </w:r>
            <w:r w:rsidRPr="00E72963">
              <w:rPr>
                <w:rFonts w:ascii="Cambria" w:hAnsi="Cambria" w:cs="Times New Roman"/>
                <w:rtl/>
              </w:rPr>
              <w:t xml:space="preserve"> </w:t>
            </w:r>
            <w:r w:rsidRPr="00E72963">
              <w:rPr>
                <w:rFonts w:ascii="Cambria" w:hAnsi="Cambria" w:cs="Times New Roman" w:hint="cs"/>
                <w:rtl/>
              </w:rPr>
              <w:t>الضخمة</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تلخيص</w:t>
            </w:r>
            <w:r w:rsidRPr="00E72963">
              <w:rPr>
                <w:rFonts w:ascii="Cambria" w:hAnsi="Cambria" w:cs="Times New Roman"/>
                <w:rtl/>
              </w:rPr>
              <w:t xml:space="preserve"> </w:t>
            </w:r>
            <w:r w:rsidRPr="00E72963">
              <w:rPr>
                <w:rFonts w:ascii="Cambria" w:hAnsi="Cambria" w:cs="Times New Roman" w:hint="cs"/>
                <w:rtl/>
              </w:rPr>
              <w:t>الوثائق</w:t>
            </w:r>
            <w:r w:rsidRPr="00E72963">
              <w:rPr>
                <w:rFonts w:ascii="Cambria" w:hAnsi="Cambria" w:cs="Times New Roman"/>
                <w:rtl/>
              </w:rPr>
              <w:t xml:space="preserve"> </w:t>
            </w:r>
            <w:r w:rsidRPr="00E72963">
              <w:rPr>
                <w:rFonts w:ascii="Cambria" w:hAnsi="Cambria" w:cs="Times New Roman" w:hint="cs"/>
                <w:rtl/>
              </w:rPr>
              <w:t>والمعلومات</w:t>
            </w:r>
            <w:r w:rsidRPr="00E72963">
              <w:rPr>
                <w:rFonts w:ascii="Cambria" w:hAnsi="Cambria" w:cs="Times New Roman"/>
                <w:rtl/>
              </w:rPr>
              <w:t xml:space="preserve"> </w:t>
            </w:r>
            <w:r w:rsidRPr="00E72963">
              <w:rPr>
                <w:rFonts w:ascii="Cambria" w:hAnsi="Cambria" w:cs="Times New Roman" w:hint="cs"/>
                <w:rtl/>
              </w:rPr>
              <w:t>ذات</w:t>
            </w:r>
            <w:r w:rsidRPr="00E72963">
              <w:rPr>
                <w:rFonts w:ascii="Cambria" w:hAnsi="Cambria" w:cs="Times New Roman"/>
                <w:rtl/>
              </w:rPr>
              <w:t xml:space="preserve"> </w:t>
            </w:r>
            <w:r w:rsidRPr="00E72963">
              <w:rPr>
                <w:rFonts w:ascii="Cambria" w:hAnsi="Cambria" w:cs="Times New Roman" w:hint="cs"/>
                <w:rtl/>
              </w:rPr>
              <w:t>الصلة</w:t>
            </w:r>
            <w:r w:rsidRPr="00E72963">
              <w:rPr>
                <w:rFonts w:ascii="Cambria" w:hAnsi="Cambria" w:cs="Times New Roman"/>
                <w:rtl/>
              </w:rPr>
              <w:t xml:space="preserve"> </w:t>
            </w:r>
            <w:r w:rsidRPr="00E72963">
              <w:rPr>
                <w:rFonts w:ascii="Cambria" w:hAnsi="Cambria" w:cs="Times New Roman" w:hint="cs"/>
                <w:rtl/>
              </w:rPr>
              <w:t>بالعمل</w:t>
            </w:r>
            <w:r w:rsidRPr="00E72963">
              <w:rPr>
                <w:rFonts w:ascii="Cambria" w:hAnsi="Cambria" w:cs="Times New Roman"/>
                <w:rtl/>
              </w:rPr>
              <w:t>.</w:t>
            </w:r>
          </w:p>
        </w:tc>
        <w:tc>
          <w:tcPr>
            <w:tcW w:w="705" w:type="dxa"/>
          </w:tcPr>
          <w:p w14:paraId="3106BC8C" w14:textId="77777777" w:rsidR="00E72963" w:rsidRPr="00E72963" w:rsidRDefault="00E72963" w:rsidP="00E72963">
            <w:pPr>
              <w:jc w:val="both"/>
              <w:rPr>
                <w:rFonts w:ascii="Cambria" w:hAnsi="Cambria" w:cs="Arial"/>
              </w:rPr>
            </w:pPr>
          </w:p>
        </w:tc>
        <w:tc>
          <w:tcPr>
            <w:tcW w:w="656" w:type="dxa"/>
          </w:tcPr>
          <w:p w14:paraId="6A7C21BF" w14:textId="77777777" w:rsidR="00E72963" w:rsidRPr="00E72963" w:rsidRDefault="00E72963" w:rsidP="00E72963">
            <w:pPr>
              <w:jc w:val="both"/>
              <w:rPr>
                <w:rFonts w:ascii="Cambria" w:hAnsi="Cambria" w:cs="Arial"/>
              </w:rPr>
            </w:pPr>
          </w:p>
        </w:tc>
        <w:tc>
          <w:tcPr>
            <w:tcW w:w="632" w:type="dxa"/>
          </w:tcPr>
          <w:p w14:paraId="372782E4" w14:textId="77777777" w:rsidR="00E72963" w:rsidRPr="00E72963" w:rsidRDefault="00E72963" w:rsidP="00E72963">
            <w:pPr>
              <w:jc w:val="both"/>
              <w:rPr>
                <w:rFonts w:ascii="Cambria" w:hAnsi="Cambria" w:cs="Arial"/>
              </w:rPr>
            </w:pPr>
          </w:p>
        </w:tc>
        <w:tc>
          <w:tcPr>
            <w:tcW w:w="656" w:type="dxa"/>
          </w:tcPr>
          <w:p w14:paraId="01D52AE4" w14:textId="77777777" w:rsidR="00E72963" w:rsidRPr="00E72963" w:rsidRDefault="00E72963" w:rsidP="00E72963">
            <w:pPr>
              <w:jc w:val="both"/>
              <w:rPr>
                <w:rFonts w:ascii="Cambria" w:hAnsi="Cambria" w:cs="Arial"/>
              </w:rPr>
            </w:pPr>
          </w:p>
        </w:tc>
        <w:tc>
          <w:tcPr>
            <w:tcW w:w="705" w:type="dxa"/>
          </w:tcPr>
          <w:p w14:paraId="69DB19EF" w14:textId="77777777" w:rsidR="00E72963" w:rsidRPr="00E72963" w:rsidRDefault="00E72963" w:rsidP="00E72963">
            <w:pPr>
              <w:jc w:val="both"/>
              <w:rPr>
                <w:rFonts w:ascii="Cambria" w:hAnsi="Cambria" w:cs="Arial"/>
              </w:rPr>
            </w:pPr>
          </w:p>
        </w:tc>
      </w:tr>
      <w:tr w:rsidR="00E72963" w:rsidRPr="00E72963" w14:paraId="7F3D4FA2" w14:textId="77777777" w:rsidTr="00E72963">
        <w:tc>
          <w:tcPr>
            <w:tcW w:w="1160" w:type="dxa"/>
          </w:tcPr>
          <w:p w14:paraId="3C8B6E6A" w14:textId="77777777" w:rsidR="00E72963" w:rsidRPr="00E72963" w:rsidRDefault="00E72963" w:rsidP="00E72963">
            <w:pPr>
              <w:jc w:val="both"/>
              <w:rPr>
                <w:rFonts w:ascii="Cambria" w:hAnsi="Cambria" w:cs="Arial"/>
              </w:rPr>
            </w:pPr>
            <w:r w:rsidRPr="00E72963">
              <w:rPr>
                <w:rFonts w:ascii="Cambria" w:hAnsi="Cambria" w:cs="Arial"/>
              </w:rPr>
              <w:t>3</w:t>
            </w:r>
          </w:p>
        </w:tc>
        <w:tc>
          <w:tcPr>
            <w:tcW w:w="4342" w:type="dxa"/>
          </w:tcPr>
          <w:p w14:paraId="4C17A42F" w14:textId="77777777" w:rsidR="00E72963" w:rsidRPr="00E72963" w:rsidRDefault="00E72963" w:rsidP="00E72963">
            <w:pPr>
              <w:jc w:val="both"/>
              <w:rPr>
                <w:rFonts w:ascii="Cambria" w:hAnsi="Cambria" w:cs="Times New Roman"/>
                <w:rtl/>
              </w:rPr>
            </w:pPr>
            <w:r w:rsidRPr="00E72963">
              <w:rPr>
                <w:rFonts w:ascii="Cambria" w:hAnsi="Cambria" w:cs="Times New Roman" w:hint="cs"/>
                <w:rtl/>
              </w:rPr>
              <w:t>توظف</w:t>
            </w:r>
            <w:r w:rsidRPr="00E72963">
              <w:rPr>
                <w:rFonts w:ascii="Cambria" w:hAnsi="Cambria" w:cs="Times New Roman"/>
                <w:rtl/>
              </w:rPr>
              <w:t xml:space="preserve"> </w:t>
            </w:r>
            <w:r w:rsidRPr="00E72963">
              <w:rPr>
                <w:rFonts w:ascii="Cambria" w:hAnsi="Cambria" w:cs="Times New Roman" w:hint="cs"/>
                <w:rtl/>
              </w:rPr>
              <w:t>الشركة</w:t>
            </w:r>
            <w:r w:rsidRPr="00E72963">
              <w:rPr>
                <w:rFonts w:ascii="Cambria" w:hAnsi="Cambria" w:cs="Times New Roman"/>
                <w:rtl/>
              </w:rPr>
              <w:t xml:space="preserve"> </w:t>
            </w:r>
            <w:r w:rsidRPr="00E72963">
              <w:rPr>
                <w:rFonts w:ascii="Cambria" w:hAnsi="Cambria" w:cs="Times New Roman" w:hint="cs"/>
                <w:rtl/>
              </w:rPr>
              <w:t>نماذج</w:t>
            </w:r>
            <w:r w:rsidRPr="00E72963">
              <w:rPr>
                <w:rFonts w:ascii="Cambria" w:hAnsi="Cambria" w:cs="Times New Roman"/>
                <w:rtl/>
              </w:rPr>
              <w:t xml:space="preserve"> </w:t>
            </w:r>
            <w:r w:rsidRPr="00E72963">
              <w:rPr>
                <w:rFonts w:ascii="Cambria" w:hAnsi="Cambria" w:cs="Times New Roman" w:hint="cs"/>
                <w:rtl/>
              </w:rPr>
              <w:t>اللغة</w:t>
            </w:r>
            <w:r w:rsidRPr="00E72963">
              <w:rPr>
                <w:rFonts w:ascii="Cambria" w:hAnsi="Cambria" w:cs="Times New Roman"/>
                <w:rtl/>
              </w:rPr>
              <w:t xml:space="preserve"> </w:t>
            </w:r>
            <w:r w:rsidRPr="00E72963">
              <w:rPr>
                <w:rFonts w:ascii="Cambria" w:hAnsi="Cambria" w:cs="Times New Roman" w:hint="cs"/>
                <w:rtl/>
              </w:rPr>
              <w:t>الضخمة</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تحليل</w:t>
            </w:r>
            <w:r w:rsidRPr="00E72963">
              <w:rPr>
                <w:rFonts w:ascii="Cambria" w:hAnsi="Cambria" w:cs="Times New Roman"/>
                <w:rtl/>
              </w:rPr>
              <w:t xml:space="preserve"> </w:t>
            </w:r>
            <w:r w:rsidRPr="00E72963">
              <w:rPr>
                <w:rFonts w:ascii="Cambria" w:hAnsi="Cambria" w:cs="Times New Roman" w:hint="cs"/>
                <w:rtl/>
              </w:rPr>
              <w:t>المحتوى</w:t>
            </w:r>
            <w:r w:rsidRPr="00E72963">
              <w:rPr>
                <w:rFonts w:ascii="Cambria" w:hAnsi="Cambria" w:cs="Times New Roman"/>
                <w:rtl/>
              </w:rPr>
              <w:t xml:space="preserve"> </w:t>
            </w:r>
            <w:r w:rsidRPr="00E72963">
              <w:rPr>
                <w:rFonts w:ascii="Cambria" w:hAnsi="Cambria" w:cs="Times New Roman" w:hint="cs"/>
                <w:rtl/>
              </w:rPr>
              <w:t>النصي</w:t>
            </w:r>
            <w:r w:rsidRPr="00E72963">
              <w:rPr>
                <w:rFonts w:ascii="Cambria" w:hAnsi="Cambria" w:cs="Times New Roman"/>
                <w:rtl/>
              </w:rPr>
              <w:t xml:space="preserve"> </w:t>
            </w:r>
            <w:r w:rsidRPr="00E72963">
              <w:rPr>
                <w:rFonts w:ascii="Cambria" w:hAnsi="Cambria" w:cs="Times New Roman" w:hint="cs"/>
                <w:rtl/>
              </w:rPr>
              <w:t>واستخلاص</w:t>
            </w:r>
            <w:r w:rsidRPr="00E72963">
              <w:rPr>
                <w:rFonts w:ascii="Cambria" w:hAnsi="Cambria" w:cs="Times New Roman"/>
                <w:rtl/>
              </w:rPr>
              <w:t xml:space="preserve"> </w:t>
            </w:r>
            <w:r w:rsidRPr="00E72963">
              <w:rPr>
                <w:rFonts w:ascii="Cambria" w:hAnsi="Cambria" w:cs="Times New Roman" w:hint="cs"/>
                <w:rtl/>
              </w:rPr>
              <w:t>المعلومات</w:t>
            </w:r>
            <w:r w:rsidRPr="00E72963">
              <w:rPr>
                <w:rFonts w:ascii="Cambria" w:hAnsi="Cambria" w:cs="Times New Roman"/>
                <w:rtl/>
              </w:rPr>
              <w:t xml:space="preserve"> </w:t>
            </w:r>
            <w:r w:rsidRPr="00E72963">
              <w:rPr>
                <w:rFonts w:ascii="Cambria" w:hAnsi="Cambria" w:cs="Times New Roman" w:hint="cs"/>
                <w:rtl/>
              </w:rPr>
              <w:t>المهمة</w:t>
            </w:r>
            <w:r w:rsidRPr="00E72963">
              <w:rPr>
                <w:rFonts w:ascii="Cambria" w:hAnsi="Cambria" w:cs="Times New Roman"/>
                <w:rtl/>
              </w:rPr>
              <w:t>.</w:t>
            </w:r>
          </w:p>
        </w:tc>
        <w:tc>
          <w:tcPr>
            <w:tcW w:w="705" w:type="dxa"/>
          </w:tcPr>
          <w:p w14:paraId="42028A72" w14:textId="77777777" w:rsidR="00E72963" w:rsidRPr="00E72963" w:rsidRDefault="00E72963" w:rsidP="00E72963">
            <w:pPr>
              <w:jc w:val="both"/>
              <w:rPr>
                <w:rFonts w:ascii="Cambria" w:hAnsi="Cambria" w:cs="Arial"/>
              </w:rPr>
            </w:pPr>
          </w:p>
        </w:tc>
        <w:tc>
          <w:tcPr>
            <w:tcW w:w="656" w:type="dxa"/>
          </w:tcPr>
          <w:p w14:paraId="76861C6A" w14:textId="77777777" w:rsidR="00E72963" w:rsidRPr="00E72963" w:rsidRDefault="00E72963" w:rsidP="00E72963">
            <w:pPr>
              <w:jc w:val="both"/>
              <w:rPr>
                <w:rFonts w:ascii="Cambria" w:hAnsi="Cambria" w:cs="Arial"/>
              </w:rPr>
            </w:pPr>
          </w:p>
        </w:tc>
        <w:tc>
          <w:tcPr>
            <w:tcW w:w="632" w:type="dxa"/>
          </w:tcPr>
          <w:p w14:paraId="11FD0905" w14:textId="77777777" w:rsidR="00E72963" w:rsidRPr="00E72963" w:rsidRDefault="00E72963" w:rsidP="00E72963">
            <w:pPr>
              <w:jc w:val="both"/>
              <w:rPr>
                <w:rFonts w:ascii="Cambria" w:hAnsi="Cambria" w:cs="Arial"/>
              </w:rPr>
            </w:pPr>
          </w:p>
        </w:tc>
        <w:tc>
          <w:tcPr>
            <w:tcW w:w="656" w:type="dxa"/>
          </w:tcPr>
          <w:p w14:paraId="334FB7B2" w14:textId="77777777" w:rsidR="00E72963" w:rsidRPr="00E72963" w:rsidRDefault="00E72963" w:rsidP="00E72963">
            <w:pPr>
              <w:jc w:val="both"/>
              <w:rPr>
                <w:rFonts w:ascii="Cambria" w:hAnsi="Cambria" w:cs="Arial"/>
              </w:rPr>
            </w:pPr>
          </w:p>
        </w:tc>
        <w:tc>
          <w:tcPr>
            <w:tcW w:w="705" w:type="dxa"/>
          </w:tcPr>
          <w:p w14:paraId="1446E7F5" w14:textId="77777777" w:rsidR="00E72963" w:rsidRPr="00E72963" w:rsidRDefault="00E72963" w:rsidP="00E72963">
            <w:pPr>
              <w:jc w:val="both"/>
              <w:rPr>
                <w:rFonts w:ascii="Cambria" w:hAnsi="Cambria" w:cs="Arial"/>
              </w:rPr>
            </w:pPr>
          </w:p>
        </w:tc>
      </w:tr>
      <w:tr w:rsidR="00E72963" w:rsidRPr="00E72963" w14:paraId="33312DDD" w14:textId="77777777" w:rsidTr="00E72963">
        <w:tc>
          <w:tcPr>
            <w:tcW w:w="1160" w:type="dxa"/>
          </w:tcPr>
          <w:p w14:paraId="6E24EB71" w14:textId="77777777" w:rsidR="00E72963" w:rsidRPr="00E72963" w:rsidRDefault="00E72963" w:rsidP="00E72963">
            <w:pPr>
              <w:jc w:val="both"/>
              <w:rPr>
                <w:rFonts w:ascii="Cambria" w:hAnsi="Cambria" w:cs="Arial"/>
              </w:rPr>
            </w:pPr>
            <w:r w:rsidRPr="00E72963">
              <w:rPr>
                <w:rFonts w:ascii="Cambria" w:hAnsi="Cambria" w:cs="Arial"/>
              </w:rPr>
              <w:t>4</w:t>
            </w:r>
          </w:p>
        </w:tc>
        <w:tc>
          <w:tcPr>
            <w:tcW w:w="4342" w:type="dxa"/>
          </w:tcPr>
          <w:p w14:paraId="196935FB" w14:textId="77777777" w:rsidR="00E72963" w:rsidRPr="00E72963" w:rsidRDefault="00E72963" w:rsidP="00E72963">
            <w:pPr>
              <w:jc w:val="both"/>
              <w:rPr>
                <w:rFonts w:ascii="Cambria" w:hAnsi="Cambria" w:cs="Times New Roman"/>
              </w:rPr>
            </w:pPr>
            <w:r w:rsidRPr="00E72963">
              <w:rPr>
                <w:rFonts w:ascii="Cambria" w:hAnsi="Cambria" w:cs="Times New Roman" w:hint="cs"/>
                <w:rtl/>
              </w:rPr>
              <w:t>تستخدم</w:t>
            </w:r>
            <w:r w:rsidRPr="00E72963">
              <w:rPr>
                <w:rFonts w:ascii="Cambria" w:hAnsi="Cambria" w:cs="Times New Roman"/>
                <w:rtl/>
              </w:rPr>
              <w:t xml:space="preserve"> </w:t>
            </w:r>
            <w:r w:rsidRPr="00E72963">
              <w:rPr>
                <w:rFonts w:ascii="Cambria" w:hAnsi="Cambria" w:cs="Times New Roman" w:hint="cs"/>
                <w:rtl/>
              </w:rPr>
              <w:t>نماذج</w:t>
            </w:r>
            <w:r w:rsidRPr="00E72963">
              <w:rPr>
                <w:rFonts w:ascii="Cambria" w:hAnsi="Cambria" w:cs="Times New Roman"/>
                <w:rtl/>
              </w:rPr>
              <w:t xml:space="preserve"> </w:t>
            </w:r>
            <w:r w:rsidRPr="00E72963">
              <w:rPr>
                <w:rFonts w:ascii="Cambria" w:hAnsi="Cambria" w:cs="Times New Roman" w:hint="cs"/>
                <w:rtl/>
              </w:rPr>
              <w:t>اللغة</w:t>
            </w:r>
            <w:r w:rsidRPr="00E72963">
              <w:rPr>
                <w:rFonts w:ascii="Cambria" w:hAnsi="Cambria" w:cs="Times New Roman"/>
                <w:rtl/>
              </w:rPr>
              <w:t xml:space="preserve"> </w:t>
            </w:r>
            <w:r w:rsidRPr="00E72963">
              <w:rPr>
                <w:rFonts w:ascii="Cambria" w:hAnsi="Cambria" w:cs="Times New Roman" w:hint="cs"/>
                <w:rtl/>
              </w:rPr>
              <w:t>الضخمة</w:t>
            </w:r>
            <w:r w:rsidRPr="00E72963">
              <w:rPr>
                <w:rFonts w:ascii="Cambria" w:hAnsi="Cambria" w:cs="Times New Roman"/>
                <w:rtl/>
              </w:rPr>
              <w:t xml:space="preserve"> </w:t>
            </w:r>
            <w:r w:rsidRPr="00E72963">
              <w:rPr>
                <w:rFonts w:ascii="Cambria" w:hAnsi="Cambria" w:cs="Times New Roman" w:hint="cs"/>
                <w:rtl/>
              </w:rPr>
              <w:t>في</w:t>
            </w:r>
            <w:r w:rsidRPr="00E72963">
              <w:rPr>
                <w:rFonts w:ascii="Cambria" w:hAnsi="Cambria" w:cs="Times New Roman"/>
                <w:rtl/>
              </w:rPr>
              <w:t xml:space="preserve"> </w:t>
            </w:r>
            <w:r w:rsidRPr="00E72963">
              <w:rPr>
                <w:rFonts w:ascii="Cambria" w:hAnsi="Cambria" w:cs="Times New Roman" w:hint="cs"/>
                <w:rtl/>
              </w:rPr>
              <w:t>إعداد</w:t>
            </w:r>
            <w:r w:rsidRPr="00E72963">
              <w:rPr>
                <w:rFonts w:ascii="Cambria" w:hAnsi="Cambria" w:cs="Times New Roman"/>
                <w:rtl/>
              </w:rPr>
              <w:t xml:space="preserve"> </w:t>
            </w:r>
            <w:r w:rsidRPr="00E72963">
              <w:rPr>
                <w:rFonts w:ascii="Cambria" w:hAnsi="Cambria" w:cs="Times New Roman" w:hint="cs"/>
                <w:rtl/>
              </w:rPr>
              <w:t>المسودات</w:t>
            </w:r>
            <w:r w:rsidRPr="00E72963">
              <w:rPr>
                <w:rFonts w:ascii="Cambria" w:hAnsi="Cambria" w:cs="Times New Roman"/>
                <w:rtl/>
              </w:rPr>
              <w:t xml:space="preserve"> </w:t>
            </w:r>
            <w:r w:rsidRPr="00E72963">
              <w:rPr>
                <w:rFonts w:ascii="Cambria" w:hAnsi="Cambria" w:cs="Times New Roman" w:hint="cs"/>
                <w:rtl/>
              </w:rPr>
              <w:t>الأولية</w:t>
            </w:r>
            <w:r w:rsidRPr="00E72963">
              <w:rPr>
                <w:rFonts w:ascii="Cambria" w:hAnsi="Cambria" w:cs="Times New Roman"/>
                <w:rtl/>
              </w:rPr>
              <w:t xml:space="preserve"> </w:t>
            </w:r>
            <w:r w:rsidRPr="00E72963">
              <w:rPr>
                <w:rFonts w:ascii="Cambria" w:hAnsi="Cambria" w:cs="Times New Roman" w:hint="cs"/>
                <w:rtl/>
              </w:rPr>
              <w:t>للمخرجات</w:t>
            </w:r>
            <w:r w:rsidRPr="00E72963">
              <w:rPr>
                <w:rFonts w:ascii="Cambria" w:hAnsi="Cambria" w:cs="Times New Roman"/>
                <w:rtl/>
              </w:rPr>
              <w:t xml:space="preserve"> </w:t>
            </w:r>
            <w:r w:rsidRPr="00E72963">
              <w:rPr>
                <w:rFonts w:ascii="Cambria" w:hAnsi="Cambria" w:cs="Times New Roman" w:hint="cs"/>
                <w:rtl/>
              </w:rPr>
              <w:t>الاستشارية</w:t>
            </w:r>
            <w:r w:rsidRPr="00E72963">
              <w:rPr>
                <w:rFonts w:ascii="Cambria" w:hAnsi="Cambria" w:cs="Times New Roman"/>
                <w:rtl/>
              </w:rPr>
              <w:t>.</w:t>
            </w:r>
          </w:p>
        </w:tc>
        <w:tc>
          <w:tcPr>
            <w:tcW w:w="705" w:type="dxa"/>
          </w:tcPr>
          <w:p w14:paraId="74488F42" w14:textId="77777777" w:rsidR="00E72963" w:rsidRPr="00E72963" w:rsidRDefault="00E72963" w:rsidP="00E72963">
            <w:pPr>
              <w:jc w:val="both"/>
              <w:rPr>
                <w:rFonts w:ascii="Cambria" w:hAnsi="Cambria" w:cs="Arial"/>
              </w:rPr>
            </w:pPr>
          </w:p>
        </w:tc>
        <w:tc>
          <w:tcPr>
            <w:tcW w:w="656" w:type="dxa"/>
          </w:tcPr>
          <w:p w14:paraId="1EACD635" w14:textId="77777777" w:rsidR="00E72963" w:rsidRPr="00E72963" w:rsidRDefault="00E72963" w:rsidP="00E72963">
            <w:pPr>
              <w:jc w:val="both"/>
              <w:rPr>
                <w:rFonts w:ascii="Cambria" w:hAnsi="Cambria" w:cs="Arial"/>
              </w:rPr>
            </w:pPr>
          </w:p>
        </w:tc>
        <w:tc>
          <w:tcPr>
            <w:tcW w:w="632" w:type="dxa"/>
          </w:tcPr>
          <w:p w14:paraId="67A27336" w14:textId="77777777" w:rsidR="00E72963" w:rsidRPr="00E72963" w:rsidRDefault="00E72963" w:rsidP="00E72963">
            <w:pPr>
              <w:jc w:val="both"/>
              <w:rPr>
                <w:rFonts w:ascii="Cambria" w:hAnsi="Cambria" w:cs="Arial"/>
              </w:rPr>
            </w:pPr>
          </w:p>
        </w:tc>
        <w:tc>
          <w:tcPr>
            <w:tcW w:w="656" w:type="dxa"/>
          </w:tcPr>
          <w:p w14:paraId="5E2AD527" w14:textId="77777777" w:rsidR="00E72963" w:rsidRPr="00E72963" w:rsidRDefault="00E72963" w:rsidP="00E72963">
            <w:pPr>
              <w:jc w:val="both"/>
              <w:rPr>
                <w:rFonts w:ascii="Cambria" w:hAnsi="Cambria" w:cs="Arial"/>
              </w:rPr>
            </w:pPr>
          </w:p>
        </w:tc>
        <w:tc>
          <w:tcPr>
            <w:tcW w:w="705" w:type="dxa"/>
          </w:tcPr>
          <w:p w14:paraId="2C4020A5" w14:textId="77777777" w:rsidR="00E72963" w:rsidRPr="00E72963" w:rsidRDefault="00E72963" w:rsidP="00E72963">
            <w:pPr>
              <w:jc w:val="both"/>
              <w:rPr>
                <w:rFonts w:ascii="Cambria" w:hAnsi="Cambria" w:cs="Arial"/>
              </w:rPr>
            </w:pPr>
          </w:p>
        </w:tc>
      </w:tr>
      <w:tr w:rsidR="00E72963" w:rsidRPr="00E72963" w14:paraId="5D2E2F8B" w14:textId="77777777" w:rsidTr="00E72963">
        <w:tc>
          <w:tcPr>
            <w:tcW w:w="8856" w:type="dxa"/>
            <w:gridSpan w:val="7"/>
          </w:tcPr>
          <w:p w14:paraId="00B93B8D"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w:t>
            </w:r>
            <w:r w:rsidRPr="00E72963">
              <w:rPr>
                <w:rFonts w:ascii="Cambria" w:hAnsi="Cambria" w:cs="Times New Roman" w:hint="cs"/>
                <w:sz w:val="24"/>
                <w:szCs w:val="24"/>
                <w:rtl/>
              </w:rPr>
              <w:t xml:space="preserve">ثاني: </w:t>
            </w:r>
            <w:r w:rsidRPr="00E72963">
              <w:rPr>
                <w:rFonts w:ascii="Cambria" w:hAnsi="Cambria" w:cs="Times New Roman"/>
                <w:b/>
                <w:bCs/>
                <w:rtl/>
              </w:rPr>
              <w:t>دعم</w:t>
            </w:r>
            <w:r w:rsidRPr="00E72963">
              <w:rPr>
                <w:rFonts w:ascii="Cambria" w:hAnsi="Cambria" w:cs="Arial"/>
                <w:b/>
                <w:bCs/>
              </w:rPr>
              <w:t xml:space="preserve"> </w:t>
            </w:r>
            <w:r w:rsidRPr="00E72963">
              <w:rPr>
                <w:rFonts w:ascii="Cambria" w:hAnsi="Cambria" w:cs="Times New Roman"/>
                <w:b/>
                <w:bCs/>
                <w:rtl/>
              </w:rPr>
              <w:t>القرار</w:t>
            </w:r>
          </w:p>
        </w:tc>
      </w:tr>
      <w:tr w:rsidR="00E72963" w:rsidRPr="00E72963" w14:paraId="3D499FE3" w14:textId="77777777" w:rsidTr="00E72963">
        <w:tc>
          <w:tcPr>
            <w:tcW w:w="1160" w:type="dxa"/>
          </w:tcPr>
          <w:p w14:paraId="4FE2BE7D" w14:textId="77777777" w:rsidR="00E72963" w:rsidRPr="00E72963" w:rsidRDefault="00E72963" w:rsidP="00E72963">
            <w:pPr>
              <w:jc w:val="both"/>
              <w:rPr>
                <w:rFonts w:ascii="Cambria" w:hAnsi="Cambria" w:cs="Arial"/>
              </w:rPr>
            </w:pPr>
            <w:r w:rsidRPr="00E72963">
              <w:rPr>
                <w:rFonts w:ascii="Cambria" w:hAnsi="Cambria" w:cs="Arial"/>
              </w:rPr>
              <w:t>5</w:t>
            </w:r>
          </w:p>
        </w:tc>
        <w:tc>
          <w:tcPr>
            <w:tcW w:w="4342" w:type="dxa"/>
          </w:tcPr>
          <w:p w14:paraId="48B2A24B" w14:textId="77777777" w:rsidR="00E72963" w:rsidRPr="00E72963" w:rsidRDefault="00E72963" w:rsidP="00E72963">
            <w:pPr>
              <w:jc w:val="both"/>
              <w:rPr>
                <w:rFonts w:ascii="Cambria" w:hAnsi="Cambria" w:cs="Times New Roman"/>
              </w:rPr>
            </w:pPr>
            <w:r w:rsidRPr="00E72963">
              <w:rPr>
                <w:rFonts w:ascii="Cambria" w:hAnsi="Cambria" w:cs="Times New Roman"/>
                <w:rtl/>
              </w:rPr>
              <w:t>تسهم نماذج اللغة الضخمة في تحسين جودة المعلومات المستخدمة في اتخاذ القرارات</w:t>
            </w:r>
            <w:r w:rsidRPr="00E72963">
              <w:rPr>
                <w:rFonts w:ascii="Cambria" w:hAnsi="Cambria" w:cs="Times New Roman"/>
              </w:rPr>
              <w:t>.</w:t>
            </w:r>
          </w:p>
        </w:tc>
        <w:tc>
          <w:tcPr>
            <w:tcW w:w="705" w:type="dxa"/>
          </w:tcPr>
          <w:p w14:paraId="0808EBC5" w14:textId="77777777" w:rsidR="00E72963" w:rsidRPr="00E72963" w:rsidRDefault="00E72963" w:rsidP="00E72963">
            <w:pPr>
              <w:jc w:val="both"/>
              <w:rPr>
                <w:rFonts w:ascii="Cambria" w:hAnsi="Cambria" w:cs="Arial"/>
              </w:rPr>
            </w:pPr>
          </w:p>
        </w:tc>
        <w:tc>
          <w:tcPr>
            <w:tcW w:w="656" w:type="dxa"/>
          </w:tcPr>
          <w:p w14:paraId="594993D8" w14:textId="77777777" w:rsidR="00E72963" w:rsidRPr="00E72963" w:rsidRDefault="00E72963" w:rsidP="00E72963">
            <w:pPr>
              <w:jc w:val="both"/>
              <w:rPr>
                <w:rFonts w:ascii="Cambria" w:hAnsi="Cambria" w:cs="Arial"/>
              </w:rPr>
            </w:pPr>
          </w:p>
        </w:tc>
        <w:tc>
          <w:tcPr>
            <w:tcW w:w="632" w:type="dxa"/>
          </w:tcPr>
          <w:p w14:paraId="76B9B6E8" w14:textId="77777777" w:rsidR="00E72963" w:rsidRPr="00E72963" w:rsidRDefault="00E72963" w:rsidP="00E72963">
            <w:pPr>
              <w:jc w:val="both"/>
              <w:rPr>
                <w:rFonts w:ascii="Cambria" w:hAnsi="Cambria" w:cs="Arial"/>
              </w:rPr>
            </w:pPr>
          </w:p>
        </w:tc>
        <w:tc>
          <w:tcPr>
            <w:tcW w:w="656" w:type="dxa"/>
          </w:tcPr>
          <w:p w14:paraId="4DAAE2A2" w14:textId="77777777" w:rsidR="00E72963" w:rsidRPr="00E72963" w:rsidRDefault="00E72963" w:rsidP="00E72963">
            <w:pPr>
              <w:jc w:val="both"/>
              <w:rPr>
                <w:rFonts w:ascii="Cambria" w:hAnsi="Cambria" w:cs="Arial"/>
              </w:rPr>
            </w:pPr>
          </w:p>
        </w:tc>
        <w:tc>
          <w:tcPr>
            <w:tcW w:w="705" w:type="dxa"/>
          </w:tcPr>
          <w:p w14:paraId="2FC54089" w14:textId="77777777" w:rsidR="00E72963" w:rsidRPr="00E72963" w:rsidRDefault="00E72963" w:rsidP="00E72963">
            <w:pPr>
              <w:jc w:val="both"/>
              <w:rPr>
                <w:rFonts w:ascii="Cambria" w:hAnsi="Cambria" w:cs="Arial"/>
              </w:rPr>
            </w:pPr>
          </w:p>
        </w:tc>
      </w:tr>
      <w:tr w:rsidR="00E72963" w:rsidRPr="00E72963" w14:paraId="7C98622E" w14:textId="77777777" w:rsidTr="00E72963">
        <w:tc>
          <w:tcPr>
            <w:tcW w:w="1160" w:type="dxa"/>
          </w:tcPr>
          <w:p w14:paraId="4C879251" w14:textId="77777777" w:rsidR="00E72963" w:rsidRPr="00E72963" w:rsidRDefault="00E72963" w:rsidP="00E72963">
            <w:pPr>
              <w:jc w:val="both"/>
              <w:rPr>
                <w:rFonts w:ascii="Cambria" w:hAnsi="Cambria" w:cs="Arial"/>
              </w:rPr>
            </w:pPr>
            <w:r w:rsidRPr="00E72963">
              <w:rPr>
                <w:rFonts w:ascii="Cambria" w:hAnsi="Cambria" w:cs="Arial"/>
              </w:rPr>
              <w:t>6</w:t>
            </w:r>
          </w:p>
        </w:tc>
        <w:tc>
          <w:tcPr>
            <w:tcW w:w="4342" w:type="dxa"/>
          </w:tcPr>
          <w:p w14:paraId="080518E0" w14:textId="77777777" w:rsidR="00E72963" w:rsidRPr="00E72963" w:rsidRDefault="00E72963" w:rsidP="00E72963">
            <w:pPr>
              <w:jc w:val="both"/>
              <w:rPr>
                <w:rFonts w:ascii="Cambria" w:hAnsi="Cambria" w:cs="Times New Roman"/>
              </w:rPr>
            </w:pPr>
            <w:r w:rsidRPr="00E72963">
              <w:rPr>
                <w:rFonts w:ascii="Cambria" w:hAnsi="Cambria" w:cs="Times New Roman"/>
                <w:rtl/>
              </w:rPr>
              <w:t>تساعد نماذج اللغة الضخمة في توليد بدائل متعددة لمعالجة المشكلات</w:t>
            </w:r>
            <w:r w:rsidRPr="00E72963">
              <w:rPr>
                <w:rFonts w:ascii="Cambria" w:hAnsi="Cambria" w:cs="Times New Roman"/>
              </w:rPr>
              <w:t>.</w:t>
            </w:r>
          </w:p>
        </w:tc>
        <w:tc>
          <w:tcPr>
            <w:tcW w:w="705" w:type="dxa"/>
          </w:tcPr>
          <w:p w14:paraId="46980EFC" w14:textId="77777777" w:rsidR="00E72963" w:rsidRPr="00E72963" w:rsidRDefault="00E72963" w:rsidP="00E72963">
            <w:pPr>
              <w:jc w:val="both"/>
              <w:rPr>
                <w:rFonts w:ascii="Cambria" w:hAnsi="Cambria" w:cs="Arial"/>
              </w:rPr>
            </w:pPr>
          </w:p>
        </w:tc>
        <w:tc>
          <w:tcPr>
            <w:tcW w:w="656" w:type="dxa"/>
          </w:tcPr>
          <w:p w14:paraId="5283A992" w14:textId="77777777" w:rsidR="00E72963" w:rsidRPr="00E72963" w:rsidRDefault="00E72963" w:rsidP="00E72963">
            <w:pPr>
              <w:jc w:val="both"/>
              <w:rPr>
                <w:rFonts w:ascii="Cambria" w:hAnsi="Cambria" w:cs="Arial"/>
              </w:rPr>
            </w:pPr>
          </w:p>
        </w:tc>
        <w:tc>
          <w:tcPr>
            <w:tcW w:w="632" w:type="dxa"/>
          </w:tcPr>
          <w:p w14:paraId="200D1F95" w14:textId="77777777" w:rsidR="00E72963" w:rsidRPr="00E72963" w:rsidRDefault="00E72963" w:rsidP="00E72963">
            <w:pPr>
              <w:jc w:val="both"/>
              <w:rPr>
                <w:rFonts w:ascii="Cambria" w:hAnsi="Cambria" w:cs="Arial"/>
              </w:rPr>
            </w:pPr>
          </w:p>
        </w:tc>
        <w:tc>
          <w:tcPr>
            <w:tcW w:w="656" w:type="dxa"/>
          </w:tcPr>
          <w:p w14:paraId="32814CEE" w14:textId="77777777" w:rsidR="00E72963" w:rsidRPr="00E72963" w:rsidRDefault="00E72963" w:rsidP="00E72963">
            <w:pPr>
              <w:jc w:val="both"/>
              <w:rPr>
                <w:rFonts w:ascii="Cambria" w:hAnsi="Cambria" w:cs="Arial"/>
              </w:rPr>
            </w:pPr>
          </w:p>
        </w:tc>
        <w:tc>
          <w:tcPr>
            <w:tcW w:w="705" w:type="dxa"/>
          </w:tcPr>
          <w:p w14:paraId="257109F9" w14:textId="77777777" w:rsidR="00E72963" w:rsidRPr="00E72963" w:rsidRDefault="00E72963" w:rsidP="00E72963">
            <w:pPr>
              <w:jc w:val="both"/>
              <w:rPr>
                <w:rFonts w:ascii="Cambria" w:hAnsi="Cambria" w:cs="Arial"/>
              </w:rPr>
            </w:pPr>
          </w:p>
        </w:tc>
      </w:tr>
      <w:tr w:rsidR="00E72963" w:rsidRPr="00E72963" w14:paraId="6936CFBC" w14:textId="77777777" w:rsidTr="00E72963">
        <w:tc>
          <w:tcPr>
            <w:tcW w:w="1160" w:type="dxa"/>
          </w:tcPr>
          <w:p w14:paraId="7CFB7EE9" w14:textId="77777777" w:rsidR="00E72963" w:rsidRPr="00E72963" w:rsidRDefault="00E72963" w:rsidP="00E72963">
            <w:pPr>
              <w:jc w:val="both"/>
              <w:rPr>
                <w:rFonts w:ascii="Cambria" w:hAnsi="Cambria" w:cs="Arial"/>
              </w:rPr>
            </w:pPr>
            <w:r w:rsidRPr="00E72963">
              <w:rPr>
                <w:rFonts w:ascii="Cambria" w:hAnsi="Cambria" w:cs="Arial"/>
              </w:rPr>
              <w:t>7</w:t>
            </w:r>
          </w:p>
        </w:tc>
        <w:tc>
          <w:tcPr>
            <w:tcW w:w="4342" w:type="dxa"/>
          </w:tcPr>
          <w:p w14:paraId="5740A8C1" w14:textId="77777777" w:rsidR="00E72963" w:rsidRPr="00E72963" w:rsidRDefault="00E72963" w:rsidP="00E72963">
            <w:pPr>
              <w:jc w:val="both"/>
              <w:rPr>
                <w:rFonts w:ascii="Cambria" w:hAnsi="Cambria" w:cs="Times New Roman"/>
              </w:rPr>
            </w:pPr>
            <w:r w:rsidRPr="00E72963">
              <w:rPr>
                <w:rFonts w:ascii="Cambria" w:hAnsi="Cambria" w:cs="Times New Roman"/>
                <w:rtl/>
              </w:rPr>
              <w:t>تسهم نماذج اللغة الضخمة في تسريع الوصول إلى المعلومات المطلوبة</w:t>
            </w:r>
            <w:r w:rsidRPr="00E72963">
              <w:rPr>
                <w:rFonts w:ascii="Cambria" w:hAnsi="Cambria" w:cs="Times New Roman"/>
              </w:rPr>
              <w:t>.</w:t>
            </w:r>
          </w:p>
        </w:tc>
        <w:tc>
          <w:tcPr>
            <w:tcW w:w="705" w:type="dxa"/>
          </w:tcPr>
          <w:p w14:paraId="6696D48B" w14:textId="77777777" w:rsidR="00E72963" w:rsidRPr="00E72963" w:rsidRDefault="00E72963" w:rsidP="00E72963">
            <w:pPr>
              <w:jc w:val="both"/>
              <w:rPr>
                <w:rFonts w:ascii="Cambria" w:hAnsi="Cambria" w:cs="Arial"/>
              </w:rPr>
            </w:pPr>
          </w:p>
        </w:tc>
        <w:tc>
          <w:tcPr>
            <w:tcW w:w="656" w:type="dxa"/>
          </w:tcPr>
          <w:p w14:paraId="4364CFEF" w14:textId="77777777" w:rsidR="00E72963" w:rsidRPr="00E72963" w:rsidRDefault="00E72963" w:rsidP="00E72963">
            <w:pPr>
              <w:jc w:val="both"/>
              <w:rPr>
                <w:rFonts w:ascii="Cambria" w:hAnsi="Cambria" w:cs="Arial"/>
              </w:rPr>
            </w:pPr>
          </w:p>
        </w:tc>
        <w:tc>
          <w:tcPr>
            <w:tcW w:w="632" w:type="dxa"/>
          </w:tcPr>
          <w:p w14:paraId="0D89CBD5" w14:textId="77777777" w:rsidR="00E72963" w:rsidRPr="00E72963" w:rsidRDefault="00E72963" w:rsidP="00E72963">
            <w:pPr>
              <w:jc w:val="both"/>
              <w:rPr>
                <w:rFonts w:ascii="Cambria" w:hAnsi="Cambria" w:cs="Arial"/>
              </w:rPr>
            </w:pPr>
          </w:p>
        </w:tc>
        <w:tc>
          <w:tcPr>
            <w:tcW w:w="656" w:type="dxa"/>
          </w:tcPr>
          <w:p w14:paraId="7A5D7335" w14:textId="77777777" w:rsidR="00E72963" w:rsidRPr="00E72963" w:rsidRDefault="00E72963" w:rsidP="00E72963">
            <w:pPr>
              <w:jc w:val="both"/>
              <w:rPr>
                <w:rFonts w:ascii="Cambria" w:hAnsi="Cambria" w:cs="Arial"/>
              </w:rPr>
            </w:pPr>
          </w:p>
        </w:tc>
        <w:tc>
          <w:tcPr>
            <w:tcW w:w="705" w:type="dxa"/>
          </w:tcPr>
          <w:p w14:paraId="6E19A75F" w14:textId="77777777" w:rsidR="00E72963" w:rsidRPr="00E72963" w:rsidRDefault="00E72963" w:rsidP="00E72963">
            <w:pPr>
              <w:jc w:val="both"/>
              <w:rPr>
                <w:rFonts w:ascii="Cambria" w:hAnsi="Cambria" w:cs="Arial"/>
              </w:rPr>
            </w:pPr>
          </w:p>
        </w:tc>
      </w:tr>
      <w:tr w:rsidR="00E72963" w:rsidRPr="00E72963" w14:paraId="0C70D9F3" w14:textId="77777777" w:rsidTr="00E72963">
        <w:tc>
          <w:tcPr>
            <w:tcW w:w="1160" w:type="dxa"/>
          </w:tcPr>
          <w:p w14:paraId="76CC529C" w14:textId="77777777" w:rsidR="00E72963" w:rsidRPr="00E72963" w:rsidRDefault="00E72963" w:rsidP="00E72963">
            <w:pPr>
              <w:jc w:val="both"/>
              <w:rPr>
                <w:rFonts w:ascii="Cambria" w:hAnsi="Cambria" w:cs="Arial"/>
              </w:rPr>
            </w:pPr>
            <w:r w:rsidRPr="00E72963">
              <w:rPr>
                <w:rFonts w:ascii="Cambria" w:hAnsi="Cambria" w:cs="Arial"/>
              </w:rPr>
              <w:t>8</w:t>
            </w:r>
          </w:p>
        </w:tc>
        <w:tc>
          <w:tcPr>
            <w:tcW w:w="4342" w:type="dxa"/>
          </w:tcPr>
          <w:p w14:paraId="178A196B" w14:textId="77777777" w:rsidR="00E72963" w:rsidRPr="00E72963" w:rsidRDefault="00E72963" w:rsidP="00E72963">
            <w:pPr>
              <w:jc w:val="both"/>
              <w:rPr>
                <w:rFonts w:ascii="Cambria" w:hAnsi="Cambria" w:cs="Times New Roman"/>
              </w:rPr>
            </w:pPr>
            <w:r w:rsidRPr="00E72963">
              <w:rPr>
                <w:rFonts w:ascii="Cambria" w:hAnsi="Cambria" w:cs="Times New Roman"/>
                <w:rtl/>
              </w:rPr>
              <w:t>تدعم نماذج اللغة الضخمة تحليل المشكلات وتقييم البدائل المتاحة</w:t>
            </w:r>
            <w:r w:rsidRPr="00E72963">
              <w:rPr>
                <w:rFonts w:ascii="Cambria" w:hAnsi="Cambria" w:cs="Times New Roman"/>
              </w:rPr>
              <w:t>.</w:t>
            </w:r>
          </w:p>
        </w:tc>
        <w:tc>
          <w:tcPr>
            <w:tcW w:w="705" w:type="dxa"/>
          </w:tcPr>
          <w:p w14:paraId="27FDE355" w14:textId="77777777" w:rsidR="00E72963" w:rsidRPr="00E72963" w:rsidRDefault="00E72963" w:rsidP="00E72963">
            <w:pPr>
              <w:jc w:val="both"/>
              <w:rPr>
                <w:rFonts w:ascii="Cambria" w:hAnsi="Cambria" w:cs="Arial"/>
              </w:rPr>
            </w:pPr>
          </w:p>
        </w:tc>
        <w:tc>
          <w:tcPr>
            <w:tcW w:w="656" w:type="dxa"/>
          </w:tcPr>
          <w:p w14:paraId="5206F5F7" w14:textId="77777777" w:rsidR="00E72963" w:rsidRPr="00E72963" w:rsidRDefault="00E72963" w:rsidP="00E72963">
            <w:pPr>
              <w:jc w:val="both"/>
              <w:rPr>
                <w:rFonts w:ascii="Cambria" w:hAnsi="Cambria" w:cs="Arial"/>
              </w:rPr>
            </w:pPr>
          </w:p>
        </w:tc>
        <w:tc>
          <w:tcPr>
            <w:tcW w:w="632" w:type="dxa"/>
          </w:tcPr>
          <w:p w14:paraId="7016E682" w14:textId="77777777" w:rsidR="00E72963" w:rsidRPr="00E72963" w:rsidRDefault="00E72963" w:rsidP="00E72963">
            <w:pPr>
              <w:jc w:val="both"/>
              <w:rPr>
                <w:rFonts w:ascii="Cambria" w:hAnsi="Cambria" w:cs="Arial"/>
              </w:rPr>
            </w:pPr>
          </w:p>
        </w:tc>
        <w:tc>
          <w:tcPr>
            <w:tcW w:w="656" w:type="dxa"/>
          </w:tcPr>
          <w:p w14:paraId="39960B01" w14:textId="77777777" w:rsidR="00E72963" w:rsidRPr="00E72963" w:rsidRDefault="00E72963" w:rsidP="00E72963">
            <w:pPr>
              <w:jc w:val="both"/>
              <w:rPr>
                <w:rFonts w:ascii="Cambria" w:hAnsi="Cambria" w:cs="Arial"/>
              </w:rPr>
            </w:pPr>
          </w:p>
        </w:tc>
        <w:tc>
          <w:tcPr>
            <w:tcW w:w="705" w:type="dxa"/>
          </w:tcPr>
          <w:p w14:paraId="4C30EFEB" w14:textId="77777777" w:rsidR="00E72963" w:rsidRPr="00E72963" w:rsidRDefault="00E72963" w:rsidP="00E72963">
            <w:pPr>
              <w:jc w:val="both"/>
              <w:rPr>
                <w:rFonts w:ascii="Cambria" w:hAnsi="Cambria" w:cs="Arial"/>
              </w:rPr>
            </w:pPr>
          </w:p>
        </w:tc>
      </w:tr>
      <w:tr w:rsidR="00E72963" w:rsidRPr="00E72963" w14:paraId="418EEE40" w14:textId="77777777" w:rsidTr="00E72963">
        <w:tc>
          <w:tcPr>
            <w:tcW w:w="8856" w:type="dxa"/>
            <w:gridSpan w:val="7"/>
          </w:tcPr>
          <w:p w14:paraId="6065EF01" w14:textId="77777777" w:rsidR="00E72963" w:rsidRPr="00E72963" w:rsidRDefault="00E72963" w:rsidP="00E72963">
            <w:pPr>
              <w:jc w:val="center"/>
              <w:rPr>
                <w:rFonts w:ascii="Cambria" w:hAnsi="Cambria" w:cs="Arial"/>
                <w:b/>
                <w:bCs/>
              </w:rPr>
            </w:pPr>
            <w:r w:rsidRPr="00E72963">
              <w:rPr>
                <w:rFonts w:ascii="Cambria" w:hAnsi="Cambria" w:cs="Times New Roman" w:hint="cs"/>
                <w:b/>
                <w:bCs/>
                <w:rtl/>
              </w:rPr>
              <w:t xml:space="preserve">البعد الثالث: </w:t>
            </w:r>
            <w:r w:rsidRPr="00E72963">
              <w:rPr>
                <w:rFonts w:ascii="Cambria" w:hAnsi="Cambria" w:cs="Times New Roman"/>
                <w:b/>
                <w:bCs/>
                <w:rtl/>
              </w:rPr>
              <w:t>إدارة</w:t>
            </w:r>
            <w:r w:rsidRPr="00E72963">
              <w:rPr>
                <w:rFonts w:ascii="Cambria" w:hAnsi="Cambria" w:cs="Arial"/>
                <w:b/>
                <w:bCs/>
              </w:rPr>
              <w:t xml:space="preserve"> </w:t>
            </w:r>
            <w:r w:rsidRPr="00E72963">
              <w:rPr>
                <w:rFonts w:ascii="Cambria" w:hAnsi="Cambria" w:cs="Times New Roman"/>
                <w:b/>
                <w:bCs/>
                <w:rtl/>
              </w:rPr>
              <w:t>المعرفة</w:t>
            </w:r>
          </w:p>
        </w:tc>
      </w:tr>
      <w:tr w:rsidR="00E72963" w:rsidRPr="00E72963" w14:paraId="3F258525" w14:textId="77777777" w:rsidTr="00E72963">
        <w:tc>
          <w:tcPr>
            <w:tcW w:w="1160" w:type="dxa"/>
          </w:tcPr>
          <w:p w14:paraId="2356F4E1" w14:textId="77777777" w:rsidR="00E72963" w:rsidRPr="00E72963" w:rsidRDefault="00E72963" w:rsidP="00E72963">
            <w:pPr>
              <w:jc w:val="both"/>
              <w:rPr>
                <w:rFonts w:ascii="Cambria" w:hAnsi="Cambria" w:cs="Arial"/>
              </w:rPr>
            </w:pPr>
            <w:r w:rsidRPr="00E72963">
              <w:rPr>
                <w:rFonts w:ascii="Cambria" w:hAnsi="Cambria" w:cs="Arial"/>
              </w:rPr>
              <w:t>9</w:t>
            </w:r>
          </w:p>
        </w:tc>
        <w:tc>
          <w:tcPr>
            <w:tcW w:w="4342" w:type="dxa"/>
          </w:tcPr>
          <w:p w14:paraId="59FD173B" w14:textId="77777777" w:rsidR="00E72963" w:rsidRPr="00E72963" w:rsidRDefault="00E72963" w:rsidP="00E72963">
            <w:pPr>
              <w:jc w:val="both"/>
              <w:rPr>
                <w:rFonts w:ascii="Cambria" w:hAnsi="Cambria" w:cs="Times New Roman"/>
              </w:rPr>
            </w:pPr>
            <w:r w:rsidRPr="00E72963">
              <w:rPr>
                <w:rFonts w:ascii="Cambria" w:hAnsi="Cambria" w:cs="Times New Roman"/>
                <w:rtl/>
              </w:rPr>
              <w:t>تدعم نماذج اللغة الضخمة حفظ المعرفة المؤسسية والاستفادة منها</w:t>
            </w:r>
            <w:r w:rsidRPr="00E72963">
              <w:rPr>
                <w:rFonts w:ascii="Cambria" w:hAnsi="Cambria" w:cs="Times New Roman"/>
              </w:rPr>
              <w:t>.</w:t>
            </w:r>
          </w:p>
        </w:tc>
        <w:tc>
          <w:tcPr>
            <w:tcW w:w="705" w:type="dxa"/>
          </w:tcPr>
          <w:p w14:paraId="5D7114D0" w14:textId="77777777" w:rsidR="00E72963" w:rsidRPr="00E72963" w:rsidRDefault="00E72963" w:rsidP="00E72963">
            <w:pPr>
              <w:jc w:val="both"/>
              <w:rPr>
                <w:rFonts w:ascii="Cambria" w:hAnsi="Cambria" w:cs="Arial"/>
              </w:rPr>
            </w:pPr>
          </w:p>
        </w:tc>
        <w:tc>
          <w:tcPr>
            <w:tcW w:w="656" w:type="dxa"/>
          </w:tcPr>
          <w:p w14:paraId="56385C5B" w14:textId="77777777" w:rsidR="00E72963" w:rsidRPr="00E72963" w:rsidRDefault="00E72963" w:rsidP="00E72963">
            <w:pPr>
              <w:jc w:val="both"/>
              <w:rPr>
                <w:rFonts w:ascii="Cambria" w:hAnsi="Cambria" w:cs="Arial"/>
              </w:rPr>
            </w:pPr>
          </w:p>
        </w:tc>
        <w:tc>
          <w:tcPr>
            <w:tcW w:w="632" w:type="dxa"/>
          </w:tcPr>
          <w:p w14:paraId="4B3C055F" w14:textId="77777777" w:rsidR="00E72963" w:rsidRPr="00E72963" w:rsidRDefault="00E72963" w:rsidP="00E72963">
            <w:pPr>
              <w:jc w:val="both"/>
              <w:rPr>
                <w:rFonts w:ascii="Cambria" w:hAnsi="Cambria" w:cs="Arial"/>
              </w:rPr>
            </w:pPr>
          </w:p>
        </w:tc>
        <w:tc>
          <w:tcPr>
            <w:tcW w:w="656" w:type="dxa"/>
          </w:tcPr>
          <w:p w14:paraId="58A6E015" w14:textId="77777777" w:rsidR="00E72963" w:rsidRPr="00E72963" w:rsidRDefault="00E72963" w:rsidP="00E72963">
            <w:pPr>
              <w:jc w:val="both"/>
              <w:rPr>
                <w:rFonts w:ascii="Cambria" w:hAnsi="Cambria" w:cs="Arial"/>
              </w:rPr>
            </w:pPr>
          </w:p>
        </w:tc>
        <w:tc>
          <w:tcPr>
            <w:tcW w:w="705" w:type="dxa"/>
          </w:tcPr>
          <w:p w14:paraId="14EF65EA" w14:textId="77777777" w:rsidR="00E72963" w:rsidRPr="00E72963" w:rsidRDefault="00E72963" w:rsidP="00E72963">
            <w:pPr>
              <w:jc w:val="both"/>
              <w:rPr>
                <w:rFonts w:ascii="Cambria" w:hAnsi="Cambria" w:cs="Arial"/>
              </w:rPr>
            </w:pPr>
          </w:p>
        </w:tc>
      </w:tr>
      <w:tr w:rsidR="00E72963" w:rsidRPr="00E72963" w14:paraId="7FADE327" w14:textId="77777777" w:rsidTr="00E72963">
        <w:tc>
          <w:tcPr>
            <w:tcW w:w="1160" w:type="dxa"/>
          </w:tcPr>
          <w:p w14:paraId="1D71ACB1" w14:textId="77777777" w:rsidR="00E72963" w:rsidRPr="00E72963" w:rsidRDefault="00E72963" w:rsidP="00E72963">
            <w:pPr>
              <w:jc w:val="both"/>
              <w:rPr>
                <w:rFonts w:ascii="Cambria" w:hAnsi="Cambria" w:cs="Arial"/>
              </w:rPr>
            </w:pPr>
            <w:r w:rsidRPr="00E72963">
              <w:rPr>
                <w:rFonts w:ascii="Cambria" w:hAnsi="Cambria" w:cs="Arial"/>
              </w:rPr>
              <w:t>10</w:t>
            </w:r>
          </w:p>
        </w:tc>
        <w:tc>
          <w:tcPr>
            <w:tcW w:w="4342" w:type="dxa"/>
          </w:tcPr>
          <w:p w14:paraId="2CFACA62" w14:textId="77777777" w:rsidR="00E72963" w:rsidRPr="00E72963" w:rsidRDefault="00E72963" w:rsidP="00E72963">
            <w:pPr>
              <w:jc w:val="both"/>
              <w:rPr>
                <w:rFonts w:ascii="Cambria" w:hAnsi="Cambria" w:cs="Times New Roman"/>
              </w:rPr>
            </w:pPr>
            <w:r w:rsidRPr="00E72963">
              <w:rPr>
                <w:rFonts w:ascii="Cambria" w:hAnsi="Cambria" w:cs="Times New Roman"/>
                <w:rtl/>
              </w:rPr>
              <w:t>تسهل نماذج اللغة الضخمة الوصول إلى الخبرات والممارسات السابقة داخل الشركة</w:t>
            </w:r>
            <w:r w:rsidRPr="00E72963">
              <w:rPr>
                <w:rFonts w:ascii="Cambria" w:hAnsi="Cambria" w:cs="Times New Roman"/>
              </w:rPr>
              <w:t>.</w:t>
            </w:r>
          </w:p>
        </w:tc>
        <w:tc>
          <w:tcPr>
            <w:tcW w:w="705" w:type="dxa"/>
          </w:tcPr>
          <w:p w14:paraId="2C32E167" w14:textId="77777777" w:rsidR="00E72963" w:rsidRPr="00E72963" w:rsidRDefault="00E72963" w:rsidP="00E72963">
            <w:pPr>
              <w:jc w:val="both"/>
              <w:rPr>
                <w:rFonts w:ascii="Cambria" w:hAnsi="Cambria" w:cs="Arial"/>
              </w:rPr>
            </w:pPr>
          </w:p>
        </w:tc>
        <w:tc>
          <w:tcPr>
            <w:tcW w:w="656" w:type="dxa"/>
          </w:tcPr>
          <w:p w14:paraId="36FDF10E" w14:textId="77777777" w:rsidR="00E72963" w:rsidRPr="00E72963" w:rsidRDefault="00E72963" w:rsidP="00E72963">
            <w:pPr>
              <w:jc w:val="both"/>
              <w:rPr>
                <w:rFonts w:ascii="Cambria" w:hAnsi="Cambria" w:cs="Arial"/>
              </w:rPr>
            </w:pPr>
          </w:p>
        </w:tc>
        <w:tc>
          <w:tcPr>
            <w:tcW w:w="632" w:type="dxa"/>
          </w:tcPr>
          <w:p w14:paraId="4715683F" w14:textId="77777777" w:rsidR="00E72963" w:rsidRPr="00E72963" w:rsidRDefault="00E72963" w:rsidP="00E72963">
            <w:pPr>
              <w:jc w:val="both"/>
              <w:rPr>
                <w:rFonts w:ascii="Cambria" w:hAnsi="Cambria" w:cs="Arial"/>
              </w:rPr>
            </w:pPr>
          </w:p>
        </w:tc>
        <w:tc>
          <w:tcPr>
            <w:tcW w:w="656" w:type="dxa"/>
          </w:tcPr>
          <w:p w14:paraId="1B4D21A4" w14:textId="77777777" w:rsidR="00E72963" w:rsidRPr="00E72963" w:rsidRDefault="00E72963" w:rsidP="00E72963">
            <w:pPr>
              <w:jc w:val="both"/>
              <w:rPr>
                <w:rFonts w:ascii="Cambria" w:hAnsi="Cambria" w:cs="Arial"/>
              </w:rPr>
            </w:pPr>
          </w:p>
        </w:tc>
        <w:tc>
          <w:tcPr>
            <w:tcW w:w="705" w:type="dxa"/>
          </w:tcPr>
          <w:p w14:paraId="79104181" w14:textId="77777777" w:rsidR="00E72963" w:rsidRPr="00E72963" w:rsidRDefault="00E72963" w:rsidP="00E72963">
            <w:pPr>
              <w:jc w:val="both"/>
              <w:rPr>
                <w:rFonts w:ascii="Cambria" w:hAnsi="Cambria" w:cs="Arial"/>
              </w:rPr>
            </w:pPr>
          </w:p>
        </w:tc>
      </w:tr>
      <w:tr w:rsidR="00E72963" w:rsidRPr="00E72963" w14:paraId="43C1C7B5" w14:textId="77777777" w:rsidTr="00E72963">
        <w:tc>
          <w:tcPr>
            <w:tcW w:w="1160" w:type="dxa"/>
          </w:tcPr>
          <w:p w14:paraId="4CF04195" w14:textId="77777777" w:rsidR="00E72963" w:rsidRPr="00E72963" w:rsidRDefault="00E72963" w:rsidP="00E72963">
            <w:pPr>
              <w:jc w:val="both"/>
              <w:rPr>
                <w:rFonts w:ascii="Cambria" w:hAnsi="Cambria" w:cs="Arial"/>
              </w:rPr>
            </w:pPr>
            <w:r w:rsidRPr="00E72963">
              <w:rPr>
                <w:rFonts w:ascii="Cambria" w:hAnsi="Cambria" w:cs="Arial"/>
              </w:rPr>
              <w:t>11</w:t>
            </w:r>
          </w:p>
        </w:tc>
        <w:tc>
          <w:tcPr>
            <w:tcW w:w="4342" w:type="dxa"/>
          </w:tcPr>
          <w:p w14:paraId="3810D90E" w14:textId="77777777" w:rsidR="00E72963" w:rsidRPr="00E72963" w:rsidRDefault="00E72963" w:rsidP="00E72963">
            <w:pPr>
              <w:jc w:val="both"/>
              <w:rPr>
                <w:rFonts w:ascii="Cambria" w:hAnsi="Cambria" w:cs="Times New Roman"/>
              </w:rPr>
            </w:pPr>
            <w:r w:rsidRPr="00E72963">
              <w:rPr>
                <w:rFonts w:ascii="Cambria" w:hAnsi="Cambria" w:cs="Times New Roman"/>
                <w:rtl/>
              </w:rPr>
              <w:t>تسهم نماذج اللغة الضخمة في تعزيز مشاركة المعرفة بين العاملين</w:t>
            </w:r>
            <w:r w:rsidRPr="00E72963">
              <w:rPr>
                <w:rFonts w:ascii="Cambria" w:hAnsi="Cambria" w:cs="Times New Roman"/>
              </w:rPr>
              <w:t>.</w:t>
            </w:r>
          </w:p>
        </w:tc>
        <w:tc>
          <w:tcPr>
            <w:tcW w:w="705" w:type="dxa"/>
          </w:tcPr>
          <w:p w14:paraId="7963C573" w14:textId="77777777" w:rsidR="00E72963" w:rsidRPr="00E72963" w:rsidRDefault="00E72963" w:rsidP="00E72963">
            <w:pPr>
              <w:jc w:val="both"/>
              <w:rPr>
                <w:rFonts w:ascii="Cambria" w:hAnsi="Cambria" w:cs="Arial"/>
              </w:rPr>
            </w:pPr>
          </w:p>
        </w:tc>
        <w:tc>
          <w:tcPr>
            <w:tcW w:w="656" w:type="dxa"/>
          </w:tcPr>
          <w:p w14:paraId="039AC50B" w14:textId="77777777" w:rsidR="00E72963" w:rsidRPr="00E72963" w:rsidRDefault="00E72963" w:rsidP="00E72963">
            <w:pPr>
              <w:jc w:val="both"/>
              <w:rPr>
                <w:rFonts w:ascii="Cambria" w:hAnsi="Cambria" w:cs="Arial"/>
              </w:rPr>
            </w:pPr>
          </w:p>
        </w:tc>
        <w:tc>
          <w:tcPr>
            <w:tcW w:w="632" w:type="dxa"/>
          </w:tcPr>
          <w:p w14:paraId="6385D8A3" w14:textId="77777777" w:rsidR="00E72963" w:rsidRPr="00E72963" w:rsidRDefault="00E72963" w:rsidP="00E72963">
            <w:pPr>
              <w:jc w:val="both"/>
              <w:rPr>
                <w:rFonts w:ascii="Cambria" w:hAnsi="Cambria" w:cs="Arial"/>
              </w:rPr>
            </w:pPr>
          </w:p>
        </w:tc>
        <w:tc>
          <w:tcPr>
            <w:tcW w:w="656" w:type="dxa"/>
          </w:tcPr>
          <w:p w14:paraId="20D4D469" w14:textId="77777777" w:rsidR="00E72963" w:rsidRPr="00E72963" w:rsidRDefault="00E72963" w:rsidP="00E72963">
            <w:pPr>
              <w:jc w:val="both"/>
              <w:rPr>
                <w:rFonts w:ascii="Cambria" w:hAnsi="Cambria" w:cs="Arial"/>
              </w:rPr>
            </w:pPr>
          </w:p>
        </w:tc>
        <w:tc>
          <w:tcPr>
            <w:tcW w:w="705" w:type="dxa"/>
          </w:tcPr>
          <w:p w14:paraId="1FE588E7" w14:textId="77777777" w:rsidR="00E72963" w:rsidRPr="00E72963" w:rsidRDefault="00E72963" w:rsidP="00E72963">
            <w:pPr>
              <w:jc w:val="both"/>
              <w:rPr>
                <w:rFonts w:ascii="Cambria" w:hAnsi="Cambria" w:cs="Arial"/>
              </w:rPr>
            </w:pPr>
          </w:p>
        </w:tc>
      </w:tr>
      <w:tr w:rsidR="00E72963" w:rsidRPr="00E72963" w14:paraId="1A2B04C4" w14:textId="77777777" w:rsidTr="00E72963">
        <w:tc>
          <w:tcPr>
            <w:tcW w:w="1160" w:type="dxa"/>
          </w:tcPr>
          <w:p w14:paraId="7C1730A9" w14:textId="77777777" w:rsidR="00E72963" w:rsidRPr="00E72963" w:rsidRDefault="00E72963" w:rsidP="00E72963">
            <w:pPr>
              <w:jc w:val="both"/>
              <w:rPr>
                <w:rFonts w:ascii="Cambria" w:hAnsi="Cambria" w:cs="Arial"/>
              </w:rPr>
            </w:pPr>
            <w:r w:rsidRPr="00E72963">
              <w:rPr>
                <w:rFonts w:ascii="Cambria" w:hAnsi="Cambria" w:cs="Arial"/>
              </w:rPr>
              <w:t>12</w:t>
            </w:r>
          </w:p>
        </w:tc>
        <w:tc>
          <w:tcPr>
            <w:tcW w:w="4342" w:type="dxa"/>
          </w:tcPr>
          <w:p w14:paraId="20B2AF4B" w14:textId="77777777" w:rsidR="00E72963" w:rsidRPr="00E72963" w:rsidRDefault="00E72963" w:rsidP="00E72963">
            <w:pPr>
              <w:jc w:val="both"/>
              <w:rPr>
                <w:rFonts w:ascii="Cambria" w:hAnsi="Cambria" w:cs="Times New Roman"/>
              </w:rPr>
            </w:pPr>
            <w:r w:rsidRPr="00E72963">
              <w:rPr>
                <w:rFonts w:ascii="Cambria" w:hAnsi="Cambria" w:cs="Times New Roman"/>
                <w:rtl/>
              </w:rPr>
              <w:t>تتكامل نماذج اللغة الضخمة مع أنظمة إدارة المعرفة المستخدمة في الشركة</w:t>
            </w:r>
            <w:r w:rsidRPr="00E72963">
              <w:rPr>
                <w:rFonts w:ascii="Cambria" w:hAnsi="Cambria" w:cs="Times New Roman"/>
              </w:rPr>
              <w:t>.</w:t>
            </w:r>
          </w:p>
        </w:tc>
        <w:tc>
          <w:tcPr>
            <w:tcW w:w="705" w:type="dxa"/>
          </w:tcPr>
          <w:p w14:paraId="01FB994E" w14:textId="77777777" w:rsidR="00E72963" w:rsidRPr="00E72963" w:rsidRDefault="00E72963" w:rsidP="00E72963">
            <w:pPr>
              <w:jc w:val="both"/>
              <w:rPr>
                <w:rFonts w:ascii="Cambria" w:hAnsi="Cambria" w:cs="Arial"/>
              </w:rPr>
            </w:pPr>
          </w:p>
        </w:tc>
        <w:tc>
          <w:tcPr>
            <w:tcW w:w="656" w:type="dxa"/>
          </w:tcPr>
          <w:p w14:paraId="2C34FCA2" w14:textId="77777777" w:rsidR="00E72963" w:rsidRPr="00E72963" w:rsidRDefault="00E72963" w:rsidP="00E72963">
            <w:pPr>
              <w:jc w:val="both"/>
              <w:rPr>
                <w:rFonts w:ascii="Cambria" w:hAnsi="Cambria" w:cs="Arial"/>
              </w:rPr>
            </w:pPr>
          </w:p>
        </w:tc>
        <w:tc>
          <w:tcPr>
            <w:tcW w:w="632" w:type="dxa"/>
          </w:tcPr>
          <w:p w14:paraId="07CCAEA5" w14:textId="77777777" w:rsidR="00E72963" w:rsidRPr="00E72963" w:rsidRDefault="00E72963" w:rsidP="00E72963">
            <w:pPr>
              <w:jc w:val="both"/>
              <w:rPr>
                <w:rFonts w:ascii="Cambria" w:hAnsi="Cambria" w:cs="Arial"/>
              </w:rPr>
            </w:pPr>
          </w:p>
        </w:tc>
        <w:tc>
          <w:tcPr>
            <w:tcW w:w="656" w:type="dxa"/>
          </w:tcPr>
          <w:p w14:paraId="5254A79D" w14:textId="77777777" w:rsidR="00E72963" w:rsidRPr="00E72963" w:rsidRDefault="00E72963" w:rsidP="00E72963">
            <w:pPr>
              <w:jc w:val="both"/>
              <w:rPr>
                <w:rFonts w:ascii="Cambria" w:hAnsi="Cambria" w:cs="Arial"/>
              </w:rPr>
            </w:pPr>
          </w:p>
        </w:tc>
        <w:tc>
          <w:tcPr>
            <w:tcW w:w="705" w:type="dxa"/>
          </w:tcPr>
          <w:p w14:paraId="14AF0A4E" w14:textId="77777777" w:rsidR="00E72963" w:rsidRPr="00E72963" w:rsidRDefault="00E72963" w:rsidP="00E72963">
            <w:pPr>
              <w:jc w:val="both"/>
              <w:rPr>
                <w:rFonts w:ascii="Cambria" w:hAnsi="Cambria" w:cs="Arial"/>
              </w:rPr>
            </w:pPr>
          </w:p>
        </w:tc>
      </w:tr>
      <w:tr w:rsidR="00E72963" w:rsidRPr="00E72963" w14:paraId="033CE2B9" w14:textId="77777777" w:rsidTr="00E72963">
        <w:tc>
          <w:tcPr>
            <w:tcW w:w="8856" w:type="dxa"/>
            <w:gridSpan w:val="7"/>
          </w:tcPr>
          <w:p w14:paraId="7F62900B"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w:t>
            </w:r>
            <w:r w:rsidRPr="00E72963">
              <w:rPr>
                <w:rFonts w:ascii="Cambria" w:hAnsi="Cambria" w:cs="Times New Roman" w:hint="cs"/>
                <w:sz w:val="24"/>
                <w:szCs w:val="24"/>
                <w:rtl/>
              </w:rPr>
              <w:t xml:space="preserve">رابع: </w:t>
            </w:r>
            <w:r w:rsidRPr="00E72963">
              <w:rPr>
                <w:rFonts w:ascii="Cambria" w:hAnsi="Cambria" w:cs="Times New Roman"/>
                <w:b/>
                <w:bCs/>
                <w:rtl/>
              </w:rPr>
              <w:t>الحوكمة</w:t>
            </w:r>
            <w:r w:rsidRPr="00E72963">
              <w:rPr>
                <w:rFonts w:ascii="Cambria" w:hAnsi="Cambria" w:cs="Arial"/>
                <w:b/>
                <w:bCs/>
              </w:rPr>
              <w:t xml:space="preserve"> </w:t>
            </w:r>
            <w:r w:rsidRPr="00E72963">
              <w:rPr>
                <w:rFonts w:ascii="Cambria" w:hAnsi="Cambria" w:cs="Times New Roman"/>
                <w:b/>
                <w:bCs/>
                <w:rtl/>
              </w:rPr>
              <w:t>والاستخدام</w:t>
            </w:r>
            <w:r w:rsidRPr="00E72963">
              <w:rPr>
                <w:rFonts w:ascii="Cambria" w:hAnsi="Cambria" w:cs="Arial"/>
                <w:b/>
                <w:bCs/>
              </w:rPr>
              <w:t xml:space="preserve"> </w:t>
            </w:r>
            <w:r w:rsidRPr="00E72963">
              <w:rPr>
                <w:rFonts w:ascii="Cambria" w:hAnsi="Cambria" w:cs="Times New Roman"/>
                <w:b/>
                <w:bCs/>
                <w:rtl/>
              </w:rPr>
              <w:t>المسؤول</w:t>
            </w:r>
          </w:p>
        </w:tc>
      </w:tr>
      <w:tr w:rsidR="00E72963" w:rsidRPr="00E72963" w14:paraId="0E7C7878" w14:textId="77777777" w:rsidTr="00E72963">
        <w:tc>
          <w:tcPr>
            <w:tcW w:w="1160" w:type="dxa"/>
          </w:tcPr>
          <w:p w14:paraId="51D275E6" w14:textId="77777777" w:rsidR="00E72963" w:rsidRPr="00E72963" w:rsidRDefault="00E72963" w:rsidP="00E72963">
            <w:pPr>
              <w:jc w:val="both"/>
              <w:rPr>
                <w:rFonts w:ascii="Cambria" w:hAnsi="Cambria" w:cs="Arial"/>
              </w:rPr>
            </w:pPr>
            <w:r w:rsidRPr="00E72963">
              <w:rPr>
                <w:rFonts w:ascii="Cambria" w:hAnsi="Cambria" w:cs="Arial"/>
              </w:rPr>
              <w:lastRenderedPageBreak/>
              <w:t>13</w:t>
            </w:r>
          </w:p>
        </w:tc>
        <w:tc>
          <w:tcPr>
            <w:tcW w:w="4342" w:type="dxa"/>
          </w:tcPr>
          <w:p w14:paraId="1201D638" w14:textId="77777777" w:rsidR="00E72963" w:rsidRPr="00E72963" w:rsidRDefault="00E72963" w:rsidP="00E72963">
            <w:pPr>
              <w:jc w:val="both"/>
              <w:rPr>
                <w:rFonts w:ascii="Cambria" w:hAnsi="Cambria" w:cs="Times New Roman"/>
              </w:rPr>
            </w:pPr>
            <w:r w:rsidRPr="00E72963">
              <w:rPr>
                <w:rFonts w:ascii="Cambria" w:hAnsi="Cambria" w:cs="Times New Roman"/>
                <w:rtl/>
              </w:rPr>
              <w:t>تعتمد الشركة سياسات وإرشادات واضحة لاستخدام نماذج اللغة الضخمة</w:t>
            </w:r>
            <w:r w:rsidRPr="00E72963">
              <w:rPr>
                <w:rFonts w:ascii="Cambria" w:hAnsi="Cambria" w:cs="Times New Roman"/>
              </w:rPr>
              <w:t>.</w:t>
            </w:r>
          </w:p>
        </w:tc>
        <w:tc>
          <w:tcPr>
            <w:tcW w:w="705" w:type="dxa"/>
          </w:tcPr>
          <w:p w14:paraId="6B83EEC5" w14:textId="77777777" w:rsidR="00E72963" w:rsidRPr="00E72963" w:rsidRDefault="00E72963" w:rsidP="00E72963">
            <w:pPr>
              <w:jc w:val="both"/>
              <w:rPr>
                <w:rFonts w:ascii="Cambria" w:hAnsi="Cambria" w:cs="Arial"/>
              </w:rPr>
            </w:pPr>
          </w:p>
        </w:tc>
        <w:tc>
          <w:tcPr>
            <w:tcW w:w="656" w:type="dxa"/>
          </w:tcPr>
          <w:p w14:paraId="3F6BDFE5" w14:textId="77777777" w:rsidR="00E72963" w:rsidRPr="00E72963" w:rsidRDefault="00E72963" w:rsidP="00E72963">
            <w:pPr>
              <w:jc w:val="both"/>
              <w:rPr>
                <w:rFonts w:ascii="Cambria" w:hAnsi="Cambria" w:cs="Arial"/>
              </w:rPr>
            </w:pPr>
          </w:p>
        </w:tc>
        <w:tc>
          <w:tcPr>
            <w:tcW w:w="632" w:type="dxa"/>
          </w:tcPr>
          <w:p w14:paraId="2879366D" w14:textId="77777777" w:rsidR="00E72963" w:rsidRPr="00E72963" w:rsidRDefault="00E72963" w:rsidP="00E72963">
            <w:pPr>
              <w:jc w:val="both"/>
              <w:rPr>
                <w:rFonts w:ascii="Cambria" w:hAnsi="Cambria" w:cs="Arial"/>
              </w:rPr>
            </w:pPr>
          </w:p>
        </w:tc>
        <w:tc>
          <w:tcPr>
            <w:tcW w:w="656" w:type="dxa"/>
          </w:tcPr>
          <w:p w14:paraId="4D29AC18" w14:textId="77777777" w:rsidR="00E72963" w:rsidRPr="00E72963" w:rsidRDefault="00E72963" w:rsidP="00E72963">
            <w:pPr>
              <w:jc w:val="both"/>
              <w:rPr>
                <w:rFonts w:ascii="Cambria" w:hAnsi="Cambria" w:cs="Arial"/>
              </w:rPr>
            </w:pPr>
          </w:p>
        </w:tc>
        <w:tc>
          <w:tcPr>
            <w:tcW w:w="705" w:type="dxa"/>
          </w:tcPr>
          <w:p w14:paraId="52BBECE9" w14:textId="77777777" w:rsidR="00E72963" w:rsidRPr="00E72963" w:rsidRDefault="00E72963" w:rsidP="00E72963">
            <w:pPr>
              <w:jc w:val="both"/>
              <w:rPr>
                <w:rFonts w:ascii="Cambria" w:hAnsi="Cambria" w:cs="Arial"/>
              </w:rPr>
            </w:pPr>
          </w:p>
        </w:tc>
      </w:tr>
      <w:tr w:rsidR="00E72963" w:rsidRPr="00E72963" w14:paraId="1708260B" w14:textId="77777777" w:rsidTr="00E72963">
        <w:tc>
          <w:tcPr>
            <w:tcW w:w="1160" w:type="dxa"/>
          </w:tcPr>
          <w:p w14:paraId="5826548E" w14:textId="77777777" w:rsidR="00E72963" w:rsidRPr="00E72963" w:rsidRDefault="00E72963" w:rsidP="00E72963">
            <w:pPr>
              <w:jc w:val="both"/>
              <w:rPr>
                <w:rFonts w:ascii="Cambria" w:hAnsi="Cambria" w:cs="Arial"/>
              </w:rPr>
            </w:pPr>
            <w:r w:rsidRPr="00E72963">
              <w:rPr>
                <w:rFonts w:ascii="Cambria" w:hAnsi="Cambria" w:cs="Arial"/>
              </w:rPr>
              <w:t>14</w:t>
            </w:r>
          </w:p>
        </w:tc>
        <w:tc>
          <w:tcPr>
            <w:tcW w:w="4342" w:type="dxa"/>
          </w:tcPr>
          <w:p w14:paraId="5186B7EE" w14:textId="77777777" w:rsidR="00E72963" w:rsidRPr="00E72963" w:rsidRDefault="00E72963" w:rsidP="00E72963">
            <w:pPr>
              <w:jc w:val="both"/>
              <w:rPr>
                <w:rFonts w:ascii="Cambria" w:hAnsi="Cambria" w:cs="Times New Roman"/>
              </w:rPr>
            </w:pPr>
            <w:r w:rsidRPr="00E72963">
              <w:rPr>
                <w:rFonts w:ascii="Cambria" w:hAnsi="Cambria" w:cs="Times New Roman"/>
                <w:rtl/>
              </w:rPr>
              <w:t>توفر الشركة التدريب اللازم للعاملين على الاستخدام الفعال لنماذج اللغة الضخمة</w:t>
            </w:r>
            <w:r w:rsidRPr="00E72963">
              <w:rPr>
                <w:rFonts w:ascii="Cambria" w:hAnsi="Cambria" w:cs="Times New Roman"/>
              </w:rPr>
              <w:t>.</w:t>
            </w:r>
          </w:p>
        </w:tc>
        <w:tc>
          <w:tcPr>
            <w:tcW w:w="705" w:type="dxa"/>
          </w:tcPr>
          <w:p w14:paraId="384B1854" w14:textId="77777777" w:rsidR="00E72963" w:rsidRPr="00E72963" w:rsidRDefault="00E72963" w:rsidP="00E72963">
            <w:pPr>
              <w:jc w:val="both"/>
              <w:rPr>
                <w:rFonts w:ascii="Cambria" w:hAnsi="Cambria" w:cs="Arial"/>
              </w:rPr>
            </w:pPr>
          </w:p>
        </w:tc>
        <w:tc>
          <w:tcPr>
            <w:tcW w:w="656" w:type="dxa"/>
          </w:tcPr>
          <w:p w14:paraId="33F11373" w14:textId="77777777" w:rsidR="00E72963" w:rsidRPr="00E72963" w:rsidRDefault="00E72963" w:rsidP="00E72963">
            <w:pPr>
              <w:jc w:val="both"/>
              <w:rPr>
                <w:rFonts w:ascii="Cambria" w:hAnsi="Cambria" w:cs="Arial"/>
              </w:rPr>
            </w:pPr>
          </w:p>
        </w:tc>
        <w:tc>
          <w:tcPr>
            <w:tcW w:w="632" w:type="dxa"/>
          </w:tcPr>
          <w:p w14:paraId="428400D0" w14:textId="77777777" w:rsidR="00E72963" w:rsidRPr="00E72963" w:rsidRDefault="00E72963" w:rsidP="00E72963">
            <w:pPr>
              <w:jc w:val="both"/>
              <w:rPr>
                <w:rFonts w:ascii="Cambria" w:hAnsi="Cambria" w:cs="Arial"/>
              </w:rPr>
            </w:pPr>
          </w:p>
        </w:tc>
        <w:tc>
          <w:tcPr>
            <w:tcW w:w="656" w:type="dxa"/>
          </w:tcPr>
          <w:p w14:paraId="5D2003D4" w14:textId="77777777" w:rsidR="00E72963" w:rsidRPr="00E72963" w:rsidRDefault="00E72963" w:rsidP="00E72963">
            <w:pPr>
              <w:jc w:val="both"/>
              <w:rPr>
                <w:rFonts w:ascii="Cambria" w:hAnsi="Cambria" w:cs="Arial"/>
              </w:rPr>
            </w:pPr>
          </w:p>
        </w:tc>
        <w:tc>
          <w:tcPr>
            <w:tcW w:w="705" w:type="dxa"/>
          </w:tcPr>
          <w:p w14:paraId="303FB4CF" w14:textId="77777777" w:rsidR="00E72963" w:rsidRPr="00E72963" w:rsidRDefault="00E72963" w:rsidP="00E72963">
            <w:pPr>
              <w:jc w:val="both"/>
              <w:rPr>
                <w:rFonts w:ascii="Cambria" w:hAnsi="Cambria" w:cs="Arial"/>
              </w:rPr>
            </w:pPr>
          </w:p>
        </w:tc>
      </w:tr>
      <w:tr w:rsidR="00E72963" w:rsidRPr="00E72963" w14:paraId="12D7F9F5" w14:textId="77777777" w:rsidTr="00E72963">
        <w:tc>
          <w:tcPr>
            <w:tcW w:w="1160" w:type="dxa"/>
          </w:tcPr>
          <w:p w14:paraId="2EA83A5B" w14:textId="77777777" w:rsidR="00E72963" w:rsidRPr="00E72963" w:rsidRDefault="00E72963" w:rsidP="00E72963">
            <w:pPr>
              <w:jc w:val="both"/>
              <w:rPr>
                <w:rFonts w:ascii="Cambria" w:hAnsi="Cambria" w:cs="Arial"/>
              </w:rPr>
            </w:pPr>
            <w:r w:rsidRPr="00E72963">
              <w:rPr>
                <w:rFonts w:ascii="Cambria" w:hAnsi="Cambria" w:cs="Arial"/>
              </w:rPr>
              <w:t>15</w:t>
            </w:r>
          </w:p>
        </w:tc>
        <w:tc>
          <w:tcPr>
            <w:tcW w:w="4342" w:type="dxa"/>
          </w:tcPr>
          <w:p w14:paraId="06D37E0B" w14:textId="77777777" w:rsidR="00E72963" w:rsidRPr="00E72963" w:rsidRDefault="00E72963" w:rsidP="00E72963">
            <w:pPr>
              <w:jc w:val="both"/>
              <w:rPr>
                <w:rFonts w:ascii="Cambria" w:hAnsi="Cambria" w:cs="Times New Roman"/>
              </w:rPr>
            </w:pPr>
            <w:r w:rsidRPr="00E72963">
              <w:rPr>
                <w:rFonts w:ascii="Cambria" w:hAnsi="Cambria" w:cs="Times New Roman"/>
                <w:rtl/>
              </w:rPr>
              <w:t>تخضع مخرجات نماذج اللغة الضخمة للمراجعة البشرية قبل الاعتماد عليها</w:t>
            </w:r>
            <w:r w:rsidRPr="00E72963">
              <w:rPr>
                <w:rFonts w:ascii="Cambria" w:hAnsi="Cambria" w:cs="Times New Roman"/>
              </w:rPr>
              <w:t>.</w:t>
            </w:r>
          </w:p>
        </w:tc>
        <w:tc>
          <w:tcPr>
            <w:tcW w:w="705" w:type="dxa"/>
          </w:tcPr>
          <w:p w14:paraId="7A971C52" w14:textId="77777777" w:rsidR="00E72963" w:rsidRPr="00E72963" w:rsidRDefault="00E72963" w:rsidP="00E72963">
            <w:pPr>
              <w:jc w:val="both"/>
              <w:rPr>
                <w:rFonts w:ascii="Cambria" w:hAnsi="Cambria" w:cs="Arial"/>
              </w:rPr>
            </w:pPr>
          </w:p>
        </w:tc>
        <w:tc>
          <w:tcPr>
            <w:tcW w:w="656" w:type="dxa"/>
          </w:tcPr>
          <w:p w14:paraId="12267C10" w14:textId="77777777" w:rsidR="00E72963" w:rsidRPr="00E72963" w:rsidRDefault="00E72963" w:rsidP="00E72963">
            <w:pPr>
              <w:jc w:val="both"/>
              <w:rPr>
                <w:rFonts w:ascii="Cambria" w:hAnsi="Cambria" w:cs="Arial"/>
              </w:rPr>
            </w:pPr>
          </w:p>
        </w:tc>
        <w:tc>
          <w:tcPr>
            <w:tcW w:w="632" w:type="dxa"/>
          </w:tcPr>
          <w:p w14:paraId="69723878" w14:textId="77777777" w:rsidR="00E72963" w:rsidRPr="00E72963" w:rsidRDefault="00E72963" w:rsidP="00E72963">
            <w:pPr>
              <w:jc w:val="both"/>
              <w:rPr>
                <w:rFonts w:ascii="Cambria" w:hAnsi="Cambria" w:cs="Arial"/>
              </w:rPr>
            </w:pPr>
          </w:p>
        </w:tc>
        <w:tc>
          <w:tcPr>
            <w:tcW w:w="656" w:type="dxa"/>
          </w:tcPr>
          <w:p w14:paraId="5DED3872" w14:textId="77777777" w:rsidR="00E72963" w:rsidRPr="00E72963" w:rsidRDefault="00E72963" w:rsidP="00E72963">
            <w:pPr>
              <w:jc w:val="both"/>
              <w:rPr>
                <w:rFonts w:ascii="Cambria" w:hAnsi="Cambria" w:cs="Arial"/>
              </w:rPr>
            </w:pPr>
          </w:p>
        </w:tc>
        <w:tc>
          <w:tcPr>
            <w:tcW w:w="705" w:type="dxa"/>
          </w:tcPr>
          <w:p w14:paraId="709B59FC" w14:textId="77777777" w:rsidR="00E72963" w:rsidRPr="00E72963" w:rsidRDefault="00E72963" w:rsidP="00E72963">
            <w:pPr>
              <w:jc w:val="both"/>
              <w:rPr>
                <w:rFonts w:ascii="Cambria" w:hAnsi="Cambria" w:cs="Arial"/>
              </w:rPr>
            </w:pPr>
          </w:p>
        </w:tc>
      </w:tr>
      <w:tr w:rsidR="00E72963" w:rsidRPr="00E72963" w14:paraId="4D51AC8C" w14:textId="77777777" w:rsidTr="00E72963">
        <w:tc>
          <w:tcPr>
            <w:tcW w:w="1160" w:type="dxa"/>
          </w:tcPr>
          <w:p w14:paraId="029CE494" w14:textId="77777777" w:rsidR="00E72963" w:rsidRPr="00E72963" w:rsidRDefault="00E72963" w:rsidP="00E72963">
            <w:pPr>
              <w:jc w:val="both"/>
              <w:rPr>
                <w:rFonts w:ascii="Cambria" w:hAnsi="Cambria" w:cs="Arial"/>
              </w:rPr>
            </w:pPr>
            <w:r w:rsidRPr="00E72963">
              <w:rPr>
                <w:rFonts w:ascii="Cambria" w:hAnsi="Cambria" w:cs="Arial"/>
              </w:rPr>
              <w:t>16</w:t>
            </w:r>
          </w:p>
        </w:tc>
        <w:tc>
          <w:tcPr>
            <w:tcW w:w="4342" w:type="dxa"/>
          </w:tcPr>
          <w:p w14:paraId="57F9BA8F" w14:textId="77777777" w:rsidR="00E72963" w:rsidRPr="00E72963" w:rsidRDefault="00E72963" w:rsidP="00E72963">
            <w:pPr>
              <w:jc w:val="both"/>
              <w:rPr>
                <w:rFonts w:ascii="Cambria" w:hAnsi="Cambria" w:cs="Times New Roman"/>
              </w:rPr>
            </w:pPr>
            <w:r w:rsidRPr="00E72963">
              <w:rPr>
                <w:rFonts w:ascii="Cambria" w:hAnsi="Cambria" w:cs="Times New Roman"/>
                <w:rtl/>
              </w:rPr>
              <w:t>تلتزم الشركة بالاعتبارات الأخلاقية والتنظيمية عند استخدام نماذج اللغة الضخمة</w:t>
            </w:r>
            <w:r w:rsidRPr="00E72963">
              <w:rPr>
                <w:rFonts w:ascii="Cambria" w:hAnsi="Cambria" w:cs="Times New Roman"/>
              </w:rPr>
              <w:t>.</w:t>
            </w:r>
          </w:p>
        </w:tc>
        <w:tc>
          <w:tcPr>
            <w:tcW w:w="705" w:type="dxa"/>
          </w:tcPr>
          <w:p w14:paraId="2276F405" w14:textId="77777777" w:rsidR="00E72963" w:rsidRPr="00E72963" w:rsidRDefault="00E72963" w:rsidP="00E72963">
            <w:pPr>
              <w:jc w:val="both"/>
              <w:rPr>
                <w:rFonts w:ascii="Cambria" w:hAnsi="Cambria" w:cs="Arial"/>
              </w:rPr>
            </w:pPr>
          </w:p>
        </w:tc>
        <w:tc>
          <w:tcPr>
            <w:tcW w:w="656" w:type="dxa"/>
          </w:tcPr>
          <w:p w14:paraId="487C15CB" w14:textId="77777777" w:rsidR="00E72963" w:rsidRPr="00E72963" w:rsidRDefault="00E72963" w:rsidP="00E72963">
            <w:pPr>
              <w:jc w:val="both"/>
              <w:rPr>
                <w:rFonts w:ascii="Cambria" w:hAnsi="Cambria" w:cs="Arial"/>
              </w:rPr>
            </w:pPr>
          </w:p>
        </w:tc>
        <w:tc>
          <w:tcPr>
            <w:tcW w:w="632" w:type="dxa"/>
          </w:tcPr>
          <w:p w14:paraId="5B5CEC81" w14:textId="77777777" w:rsidR="00E72963" w:rsidRPr="00E72963" w:rsidRDefault="00E72963" w:rsidP="00E72963">
            <w:pPr>
              <w:jc w:val="both"/>
              <w:rPr>
                <w:rFonts w:ascii="Cambria" w:hAnsi="Cambria" w:cs="Arial"/>
              </w:rPr>
            </w:pPr>
          </w:p>
        </w:tc>
        <w:tc>
          <w:tcPr>
            <w:tcW w:w="656" w:type="dxa"/>
          </w:tcPr>
          <w:p w14:paraId="16E9EFF3" w14:textId="77777777" w:rsidR="00E72963" w:rsidRPr="00E72963" w:rsidRDefault="00E72963" w:rsidP="00E72963">
            <w:pPr>
              <w:jc w:val="both"/>
              <w:rPr>
                <w:rFonts w:ascii="Cambria" w:hAnsi="Cambria" w:cs="Arial"/>
              </w:rPr>
            </w:pPr>
          </w:p>
        </w:tc>
        <w:tc>
          <w:tcPr>
            <w:tcW w:w="705" w:type="dxa"/>
          </w:tcPr>
          <w:p w14:paraId="27A70403" w14:textId="77777777" w:rsidR="00E72963" w:rsidRPr="00E72963" w:rsidRDefault="00E72963" w:rsidP="00E72963">
            <w:pPr>
              <w:jc w:val="both"/>
              <w:rPr>
                <w:rFonts w:ascii="Cambria" w:hAnsi="Cambria" w:cs="Arial"/>
              </w:rPr>
            </w:pPr>
          </w:p>
        </w:tc>
      </w:tr>
    </w:tbl>
    <w:p w14:paraId="51555F4F" w14:textId="77777777" w:rsidR="00E72963" w:rsidRPr="00E72963" w:rsidRDefault="00E72963" w:rsidP="00E72963">
      <w:pPr>
        <w:keepNext/>
        <w:keepLines/>
        <w:spacing w:after="0" w:line="240" w:lineRule="auto"/>
        <w:jc w:val="both"/>
        <w:outlineLvl w:val="1"/>
        <w:rPr>
          <w:rFonts w:ascii="Calibri" w:eastAsia="MS Gothic" w:hAnsi="Calibri" w:cs="Times New Roman"/>
          <w:b/>
          <w:bCs/>
          <w:color w:val="4F81BD"/>
          <w:sz w:val="26"/>
          <w:szCs w:val="26"/>
        </w:rPr>
      </w:pPr>
      <w:r w:rsidRPr="00E72963">
        <w:rPr>
          <w:rFonts w:ascii="Calibri" w:eastAsia="MS Gothic" w:hAnsi="Calibri" w:cs="Calibri"/>
          <w:b/>
          <w:bCs/>
          <w:color w:val="4F81BD"/>
          <w:sz w:val="26"/>
          <w:szCs w:val="26"/>
          <w:rtl/>
        </w:rPr>
        <w:t>ثالثاً</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الرشاقة</w:t>
      </w:r>
      <w:r w:rsidRPr="00E72963">
        <w:rPr>
          <w:rFonts w:ascii="Calibri" w:eastAsia="MS Gothic" w:hAnsi="Calibri" w:cs="Times New Roman"/>
          <w:b/>
          <w:bCs/>
          <w:color w:val="4F81BD"/>
          <w:sz w:val="26"/>
          <w:szCs w:val="26"/>
        </w:rPr>
        <w:t xml:space="preserve"> </w:t>
      </w:r>
      <w:r w:rsidRPr="00E72963">
        <w:rPr>
          <w:rFonts w:ascii="Calibri" w:eastAsia="MS Gothic" w:hAnsi="Calibri" w:cs="Calibri"/>
          <w:b/>
          <w:bCs/>
          <w:color w:val="4F81BD"/>
          <w:sz w:val="26"/>
          <w:szCs w:val="26"/>
          <w:rtl/>
        </w:rPr>
        <w:t>الاستراتيجية</w:t>
      </w:r>
    </w:p>
    <w:p w14:paraId="53363B7B" w14:textId="77777777" w:rsidR="00E72963" w:rsidRPr="00E72963" w:rsidRDefault="00E72963" w:rsidP="00E72963">
      <w:pPr>
        <w:spacing w:after="200" w:line="240" w:lineRule="auto"/>
        <w:jc w:val="both"/>
        <w:rPr>
          <w:rFonts w:ascii="Cambria" w:eastAsia="MS Mincho" w:hAnsi="Cambria" w:cs="Arial"/>
        </w:rPr>
      </w:pPr>
      <w:r w:rsidRPr="00E72963">
        <w:rPr>
          <w:rFonts w:ascii="Cambria" w:eastAsia="MS Mincho" w:hAnsi="Cambria" w:cs="Times New Roman"/>
          <w:rtl/>
        </w:rPr>
        <w:t>مفهوم</w:t>
      </w:r>
      <w:r w:rsidRPr="00E72963">
        <w:rPr>
          <w:rFonts w:ascii="Cambria" w:eastAsia="MS Mincho" w:hAnsi="Cambria" w:cs="Arial"/>
        </w:rPr>
        <w:t xml:space="preserve"> </w:t>
      </w:r>
      <w:r w:rsidRPr="00E72963">
        <w:rPr>
          <w:rFonts w:ascii="Cambria" w:eastAsia="MS Mincho" w:hAnsi="Cambria" w:cs="Times New Roman"/>
          <w:rtl/>
        </w:rPr>
        <w:t>المتغير</w:t>
      </w:r>
      <w:r w:rsidRPr="00E72963">
        <w:rPr>
          <w:rFonts w:ascii="Cambria" w:eastAsia="MS Mincho" w:hAnsi="Cambria" w:cs="Arial"/>
        </w:rPr>
        <w:t xml:space="preserve">: </w:t>
      </w:r>
      <w:r w:rsidRPr="00E72963">
        <w:rPr>
          <w:rFonts w:ascii="Cambria" w:eastAsia="MS Mincho" w:hAnsi="Cambria" w:cs="Times New Roman"/>
          <w:rtl/>
        </w:rPr>
        <w:t>قدرة</w:t>
      </w:r>
      <w:r w:rsidRPr="00E72963">
        <w:rPr>
          <w:rFonts w:ascii="Cambria" w:eastAsia="MS Mincho" w:hAnsi="Cambria" w:cs="Arial"/>
        </w:rPr>
        <w:t xml:space="preserve"> </w:t>
      </w:r>
      <w:r w:rsidRPr="00E72963">
        <w:rPr>
          <w:rFonts w:ascii="Cambria" w:eastAsia="MS Mincho" w:hAnsi="Cambria" w:cs="Times New Roman"/>
          <w:rtl/>
        </w:rPr>
        <w:t>الشركة</w:t>
      </w:r>
      <w:r w:rsidRPr="00E72963">
        <w:rPr>
          <w:rFonts w:ascii="Cambria" w:eastAsia="MS Mincho" w:hAnsi="Cambria" w:cs="Arial"/>
        </w:rPr>
        <w:t xml:space="preserve"> </w:t>
      </w:r>
      <w:r w:rsidRPr="00E72963">
        <w:rPr>
          <w:rFonts w:ascii="Cambria" w:eastAsia="MS Mincho" w:hAnsi="Cambria" w:cs="Times New Roman"/>
          <w:rtl/>
        </w:rPr>
        <w:t>على</w:t>
      </w:r>
      <w:r w:rsidRPr="00E72963">
        <w:rPr>
          <w:rFonts w:ascii="Cambria" w:eastAsia="MS Mincho" w:hAnsi="Cambria" w:cs="Arial"/>
        </w:rPr>
        <w:t xml:space="preserve"> </w:t>
      </w:r>
      <w:r w:rsidRPr="00E72963">
        <w:rPr>
          <w:rFonts w:ascii="Cambria" w:eastAsia="MS Mincho" w:hAnsi="Cambria" w:cs="Times New Roman"/>
          <w:rtl/>
        </w:rPr>
        <w:t>الاستجابة</w:t>
      </w:r>
      <w:r w:rsidRPr="00E72963">
        <w:rPr>
          <w:rFonts w:ascii="Cambria" w:eastAsia="MS Mincho" w:hAnsi="Cambria" w:cs="Arial"/>
        </w:rPr>
        <w:t xml:space="preserve"> </w:t>
      </w:r>
      <w:r w:rsidRPr="00E72963">
        <w:rPr>
          <w:rFonts w:ascii="Cambria" w:eastAsia="MS Mincho" w:hAnsi="Cambria" w:cs="Times New Roman"/>
          <w:rtl/>
        </w:rPr>
        <w:t>السريعة</w:t>
      </w:r>
      <w:r w:rsidRPr="00E72963">
        <w:rPr>
          <w:rFonts w:ascii="Cambria" w:eastAsia="MS Mincho" w:hAnsi="Cambria" w:cs="Arial"/>
        </w:rPr>
        <w:t xml:space="preserve"> </w:t>
      </w:r>
      <w:r w:rsidRPr="00E72963">
        <w:rPr>
          <w:rFonts w:ascii="Cambria" w:eastAsia="MS Mincho" w:hAnsi="Cambria" w:cs="Times New Roman"/>
          <w:rtl/>
        </w:rPr>
        <w:t>للتغيرات</w:t>
      </w:r>
      <w:r w:rsidRPr="00E72963">
        <w:rPr>
          <w:rFonts w:ascii="Cambria" w:eastAsia="MS Mincho" w:hAnsi="Cambria" w:cs="Arial"/>
        </w:rPr>
        <w:t>.</w:t>
      </w:r>
    </w:p>
    <w:tbl>
      <w:tblPr>
        <w:tblStyle w:val="TableGrid1"/>
        <w:bidiVisual/>
        <w:tblW w:w="0" w:type="auto"/>
        <w:tblLook w:val="04A0" w:firstRow="1" w:lastRow="0" w:firstColumn="1" w:lastColumn="0" w:noHBand="0" w:noVBand="1"/>
      </w:tblPr>
      <w:tblGrid>
        <w:gridCol w:w="1123"/>
        <w:gridCol w:w="4121"/>
        <w:gridCol w:w="679"/>
        <w:gridCol w:w="631"/>
        <w:gridCol w:w="630"/>
        <w:gridCol w:w="632"/>
        <w:gridCol w:w="679"/>
      </w:tblGrid>
      <w:tr w:rsidR="00E72963" w:rsidRPr="00E72963" w14:paraId="43507385" w14:textId="77777777" w:rsidTr="00E72963">
        <w:tc>
          <w:tcPr>
            <w:tcW w:w="1190" w:type="dxa"/>
          </w:tcPr>
          <w:p w14:paraId="6294B918" w14:textId="77777777" w:rsidR="00E72963" w:rsidRPr="00E72963" w:rsidRDefault="00E72963" w:rsidP="00E72963">
            <w:pPr>
              <w:jc w:val="both"/>
              <w:rPr>
                <w:rFonts w:ascii="Cambria" w:hAnsi="Cambria" w:cs="Arial"/>
              </w:rPr>
            </w:pPr>
            <w:r w:rsidRPr="00E72963">
              <w:rPr>
                <w:rFonts w:ascii="Cambria" w:hAnsi="Cambria" w:cs="Times New Roman"/>
                <w:rtl/>
              </w:rPr>
              <w:t>م</w:t>
            </w:r>
          </w:p>
        </w:tc>
        <w:tc>
          <w:tcPr>
            <w:tcW w:w="4412" w:type="dxa"/>
          </w:tcPr>
          <w:p w14:paraId="7E8DBEA2" w14:textId="77777777" w:rsidR="00E72963" w:rsidRPr="00E72963" w:rsidRDefault="00E72963" w:rsidP="00E72963">
            <w:pPr>
              <w:jc w:val="both"/>
              <w:rPr>
                <w:rFonts w:ascii="Cambria" w:hAnsi="Cambria" w:cs="Arial"/>
              </w:rPr>
            </w:pPr>
            <w:r w:rsidRPr="00E72963">
              <w:rPr>
                <w:rFonts w:ascii="Cambria" w:hAnsi="Cambria" w:cs="Times New Roman"/>
                <w:rtl/>
              </w:rPr>
              <w:t>العبارة</w:t>
            </w:r>
          </w:p>
        </w:tc>
        <w:tc>
          <w:tcPr>
            <w:tcW w:w="679" w:type="dxa"/>
          </w:tcPr>
          <w:p w14:paraId="1ED742CB" w14:textId="77777777" w:rsidR="00E72963" w:rsidRPr="00E72963" w:rsidRDefault="00E72963" w:rsidP="00E72963">
            <w:pPr>
              <w:jc w:val="both"/>
              <w:rPr>
                <w:rFonts w:ascii="Cambria" w:hAnsi="Cambria" w:cs="Arial"/>
              </w:rPr>
            </w:pPr>
            <w:r w:rsidRPr="00E72963">
              <w:rPr>
                <w:rFonts w:ascii="Cambria" w:hAnsi="Cambria" w:cs="Times New Roman"/>
                <w:rtl/>
              </w:rPr>
              <w:t>موافق</w:t>
            </w:r>
            <w:r w:rsidRPr="00E72963">
              <w:rPr>
                <w:rFonts w:ascii="Cambria" w:hAnsi="Cambria" w:cs="Arial"/>
              </w:rPr>
              <w:t xml:space="preserve"> </w:t>
            </w:r>
            <w:r w:rsidRPr="00E72963">
              <w:rPr>
                <w:rFonts w:ascii="Cambria" w:hAnsi="Cambria" w:cs="Times New Roman"/>
                <w:rtl/>
              </w:rPr>
              <w:t>بشدة</w:t>
            </w:r>
          </w:p>
        </w:tc>
        <w:tc>
          <w:tcPr>
            <w:tcW w:w="631" w:type="dxa"/>
          </w:tcPr>
          <w:p w14:paraId="432A15A0" w14:textId="77777777" w:rsidR="00E72963" w:rsidRPr="00E72963" w:rsidRDefault="00E72963" w:rsidP="00E72963">
            <w:pPr>
              <w:jc w:val="both"/>
              <w:rPr>
                <w:rFonts w:ascii="Cambria" w:hAnsi="Cambria" w:cs="Arial"/>
              </w:rPr>
            </w:pPr>
            <w:r w:rsidRPr="00E72963">
              <w:rPr>
                <w:rFonts w:ascii="Cambria" w:hAnsi="Cambria" w:cs="Times New Roman"/>
                <w:rtl/>
              </w:rPr>
              <w:t>موافق</w:t>
            </w:r>
          </w:p>
        </w:tc>
        <w:tc>
          <w:tcPr>
            <w:tcW w:w="633" w:type="dxa"/>
          </w:tcPr>
          <w:p w14:paraId="408C7796" w14:textId="77777777" w:rsidR="00E72963" w:rsidRPr="00E72963" w:rsidRDefault="00E72963" w:rsidP="00E72963">
            <w:pPr>
              <w:jc w:val="both"/>
              <w:rPr>
                <w:rFonts w:ascii="Cambria" w:hAnsi="Cambria" w:cs="Arial"/>
              </w:rPr>
            </w:pPr>
            <w:r w:rsidRPr="00E72963">
              <w:rPr>
                <w:rFonts w:ascii="Cambria" w:hAnsi="Cambria" w:cs="Times New Roman"/>
                <w:rtl/>
              </w:rPr>
              <w:t>محايد</w:t>
            </w:r>
          </w:p>
        </w:tc>
        <w:tc>
          <w:tcPr>
            <w:tcW w:w="632" w:type="dxa"/>
          </w:tcPr>
          <w:p w14:paraId="67D494E0" w14:textId="77777777" w:rsidR="00E72963" w:rsidRPr="00E72963" w:rsidRDefault="00E72963" w:rsidP="00E72963">
            <w:pPr>
              <w:jc w:val="both"/>
              <w:rPr>
                <w:rFonts w:ascii="Cambria" w:hAnsi="Cambria" w:cs="Arial"/>
              </w:rPr>
            </w:pPr>
            <w:r w:rsidRPr="00E72963">
              <w:rPr>
                <w:rFonts w:ascii="Cambria" w:hAnsi="Cambria" w:cs="Times New Roman"/>
                <w:rtl/>
              </w:rPr>
              <w:t>غير</w:t>
            </w:r>
            <w:r w:rsidRPr="00E72963">
              <w:rPr>
                <w:rFonts w:ascii="Cambria" w:hAnsi="Cambria" w:cs="Arial"/>
              </w:rPr>
              <w:t xml:space="preserve"> </w:t>
            </w:r>
            <w:r w:rsidRPr="00E72963">
              <w:rPr>
                <w:rFonts w:ascii="Cambria" w:hAnsi="Cambria" w:cs="Times New Roman"/>
                <w:rtl/>
              </w:rPr>
              <w:t>موافق</w:t>
            </w:r>
          </w:p>
        </w:tc>
        <w:tc>
          <w:tcPr>
            <w:tcW w:w="679" w:type="dxa"/>
          </w:tcPr>
          <w:p w14:paraId="616037FB" w14:textId="77777777" w:rsidR="00E72963" w:rsidRPr="00E72963" w:rsidRDefault="00E72963" w:rsidP="00E72963">
            <w:pPr>
              <w:jc w:val="both"/>
              <w:rPr>
                <w:rFonts w:ascii="Cambria" w:hAnsi="Cambria" w:cs="Arial"/>
              </w:rPr>
            </w:pPr>
            <w:r w:rsidRPr="00E72963">
              <w:rPr>
                <w:rFonts w:ascii="Cambria" w:hAnsi="Cambria" w:cs="Times New Roman"/>
                <w:rtl/>
              </w:rPr>
              <w:t>غير</w:t>
            </w:r>
            <w:r w:rsidRPr="00E72963">
              <w:rPr>
                <w:rFonts w:ascii="Cambria" w:hAnsi="Cambria" w:cs="Arial"/>
              </w:rPr>
              <w:t xml:space="preserve"> </w:t>
            </w:r>
            <w:r w:rsidRPr="00E72963">
              <w:rPr>
                <w:rFonts w:ascii="Cambria" w:hAnsi="Cambria" w:cs="Times New Roman"/>
                <w:rtl/>
              </w:rPr>
              <w:t>موافق</w:t>
            </w:r>
            <w:r w:rsidRPr="00E72963">
              <w:rPr>
                <w:rFonts w:ascii="Cambria" w:hAnsi="Cambria" w:cs="Arial"/>
              </w:rPr>
              <w:t xml:space="preserve"> </w:t>
            </w:r>
            <w:r w:rsidRPr="00E72963">
              <w:rPr>
                <w:rFonts w:ascii="Cambria" w:hAnsi="Cambria" w:cs="Times New Roman"/>
                <w:rtl/>
              </w:rPr>
              <w:t>بشدة</w:t>
            </w:r>
          </w:p>
        </w:tc>
      </w:tr>
      <w:tr w:rsidR="00E72963" w:rsidRPr="00E72963" w14:paraId="6226C765" w14:textId="77777777" w:rsidTr="00E72963">
        <w:tc>
          <w:tcPr>
            <w:tcW w:w="8856" w:type="dxa"/>
            <w:gridSpan w:val="7"/>
          </w:tcPr>
          <w:p w14:paraId="006C9F45"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الأول</w:t>
            </w:r>
            <w:r w:rsidRPr="00E72963">
              <w:rPr>
                <w:rFonts w:ascii="Cambria" w:hAnsi="Cambria" w:cs="Arial"/>
                <w:sz w:val="24"/>
                <w:szCs w:val="24"/>
              </w:rPr>
              <w:t xml:space="preserve">: </w:t>
            </w:r>
            <w:r w:rsidRPr="00E72963">
              <w:rPr>
                <w:rFonts w:ascii="Cambria" w:hAnsi="Cambria" w:cs="Times New Roman" w:hint="cs"/>
                <w:b/>
                <w:bCs/>
                <w:rtl/>
              </w:rPr>
              <w:t xml:space="preserve"> </w:t>
            </w:r>
            <w:r w:rsidRPr="00E72963">
              <w:rPr>
                <w:rFonts w:ascii="Cambria" w:hAnsi="Cambria" w:cs="Times New Roman"/>
                <w:b/>
                <w:bCs/>
                <w:rtl/>
              </w:rPr>
              <w:t>الاستشعار</w:t>
            </w:r>
          </w:p>
        </w:tc>
      </w:tr>
      <w:tr w:rsidR="00E72963" w:rsidRPr="00E72963" w14:paraId="787038EB" w14:textId="77777777" w:rsidTr="00E72963">
        <w:tc>
          <w:tcPr>
            <w:tcW w:w="1190" w:type="dxa"/>
          </w:tcPr>
          <w:p w14:paraId="04BC69C7" w14:textId="77777777" w:rsidR="00E72963" w:rsidRPr="00E72963" w:rsidRDefault="00E72963" w:rsidP="00E72963">
            <w:pPr>
              <w:jc w:val="both"/>
              <w:rPr>
                <w:rFonts w:ascii="Cambria" w:hAnsi="Cambria" w:cs="Arial"/>
              </w:rPr>
            </w:pPr>
            <w:r w:rsidRPr="00E72963">
              <w:rPr>
                <w:rFonts w:ascii="Cambria" w:hAnsi="Cambria" w:cs="Arial"/>
              </w:rPr>
              <w:t>1</w:t>
            </w:r>
          </w:p>
        </w:tc>
        <w:tc>
          <w:tcPr>
            <w:tcW w:w="4412" w:type="dxa"/>
          </w:tcPr>
          <w:p w14:paraId="4B32AE71" w14:textId="77777777" w:rsidR="00E72963" w:rsidRPr="00E72963" w:rsidRDefault="00E72963" w:rsidP="00E72963">
            <w:pPr>
              <w:jc w:val="both"/>
              <w:rPr>
                <w:rFonts w:ascii="Cambria" w:hAnsi="Cambria" w:cs="Times New Roman"/>
              </w:rPr>
            </w:pPr>
            <w:r w:rsidRPr="00E72963">
              <w:rPr>
                <w:rFonts w:ascii="Cambria" w:hAnsi="Cambria" w:cs="Times New Roman"/>
                <w:rtl/>
              </w:rPr>
              <w:t>ترصد الشركة بصورة مستمرة التغيرات في بيئة الأعمال والسوق</w:t>
            </w:r>
            <w:r w:rsidRPr="00E72963">
              <w:rPr>
                <w:rFonts w:ascii="Cambria" w:hAnsi="Cambria" w:cs="Times New Roman"/>
              </w:rPr>
              <w:t>.</w:t>
            </w:r>
          </w:p>
        </w:tc>
        <w:tc>
          <w:tcPr>
            <w:tcW w:w="679" w:type="dxa"/>
          </w:tcPr>
          <w:p w14:paraId="725AF2E6" w14:textId="77777777" w:rsidR="00E72963" w:rsidRPr="00E72963" w:rsidRDefault="00E72963" w:rsidP="00E72963">
            <w:pPr>
              <w:jc w:val="both"/>
              <w:rPr>
                <w:rFonts w:ascii="Cambria" w:hAnsi="Cambria" w:cs="Arial"/>
              </w:rPr>
            </w:pPr>
          </w:p>
        </w:tc>
        <w:tc>
          <w:tcPr>
            <w:tcW w:w="631" w:type="dxa"/>
          </w:tcPr>
          <w:p w14:paraId="26255732" w14:textId="77777777" w:rsidR="00E72963" w:rsidRPr="00E72963" w:rsidRDefault="00E72963" w:rsidP="00E72963">
            <w:pPr>
              <w:jc w:val="both"/>
              <w:rPr>
                <w:rFonts w:ascii="Cambria" w:hAnsi="Cambria" w:cs="Arial"/>
              </w:rPr>
            </w:pPr>
          </w:p>
        </w:tc>
        <w:tc>
          <w:tcPr>
            <w:tcW w:w="633" w:type="dxa"/>
          </w:tcPr>
          <w:p w14:paraId="018ED38A" w14:textId="77777777" w:rsidR="00E72963" w:rsidRPr="00E72963" w:rsidRDefault="00E72963" w:rsidP="00E72963">
            <w:pPr>
              <w:jc w:val="both"/>
              <w:rPr>
                <w:rFonts w:ascii="Cambria" w:hAnsi="Cambria" w:cs="Arial"/>
              </w:rPr>
            </w:pPr>
          </w:p>
        </w:tc>
        <w:tc>
          <w:tcPr>
            <w:tcW w:w="632" w:type="dxa"/>
          </w:tcPr>
          <w:p w14:paraId="5F55F55A" w14:textId="77777777" w:rsidR="00E72963" w:rsidRPr="00E72963" w:rsidRDefault="00E72963" w:rsidP="00E72963">
            <w:pPr>
              <w:jc w:val="both"/>
              <w:rPr>
                <w:rFonts w:ascii="Cambria" w:hAnsi="Cambria" w:cs="Arial"/>
              </w:rPr>
            </w:pPr>
          </w:p>
        </w:tc>
        <w:tc>
          <w:tcPr>
            <w:tcW w:w="679" w:type="dxa"/>
          </w:tcPr>
          <w:p w14:paraId="7FB25B94" w14:textId="77777777" w:rsidR="00E72963" w:rsidRPr="00E72963" w:rsidRDefault="00E72963" w:rsidP="00E72963">
            <w:pPr>
              <w:jc w:val="both"/>
              <w:rPr>
                <w:rFonts w:ascii="Cambria" w:hAnsi="Cambria" w:cs="Arial"/>
              </w:rPr>
            </w:pPr>
          </w:p>
        </w:tc>
      </w:tr>
      <w:tr w:rsidR="00E72963" w:rsidRPr="00E72963" w14:paraId="4397F8C2" w14:textId="77777777" w:rsidTr="00E72963">
        <w:tc>
          <w:tcPr>
            <w:tcW w:w="1190" w:type="dxa"/>
          </w:tcPr>
          <w:p w14:paraId="04448ED4" w14:textId="77777777" w:rsidR="00E72963" w:rsidRPr="00E72963" w:rsidRDefault="00E72963" w:rsidP="00E72963">
            <w:pPr>
              <w:jc w:val="both"/>
              <w:rPr>
                <w:rFonts w:ascii="Cambria" w:hAnsi="Cambria" w:cs="Arial"/>
              </w:rPr>
            </w:pPr>
            <w:r w:rsidRPr="00E72963">
              <w:rPr>
                <w:rFonts w:ascii="Cambria" w:hAnsi="Cambria" w:cs="Arial"/>
              </w:rPr>
              <w:t>2</w:t>
            </w:r>
          </w:p>
        </w:tc>
        <w:tc>
          <w:tcPr>
            <w:tcW w:w="4412" w:type="dxa"/>
          </w:tcPr>
          <w:p w14:paraId="55280D71" w14:textId="77777777" w:rsidR="00E72963" w:rsidRPr="00E72963" w:rsidRDefault="00E72963" w:rsidP="00E72963">
            <w:pPr>
              <w:jc w:val="both"/>
              <w:rPr>
                <w:rFonts w:ascii="Cambria" w:hAnsi="Cambria" w:cs="Times New Roman"/>
              </w:rPr>
            </w:pPr>
            <w:r w:rsidRPr="00E72963">
              <w:rPr>
                <w:rFonts w:ascii="Cambria" w:hAnsi="Cambria" w:cs="Times New Roman"/>
                <w:rtl/>
              </w:rPr>
              <w:t>تتابع الشركة احتياجات العملاء وتوقعاتهم بشكل مستمر</w:t>
            </w:r>
            <w:r w:rsidRPr="00E72963">
              <w:rPr>
                <w:rFonts w:ascii="Cambria" w:hAnsi="Cambria" w:cs="Times New Roman"/>
              </w:rPr>
              <w:t>.</w:t>
            </w:r>
          </w:p>
        </w:tc>
        <w:tc>
          <w:tcPr>
            <w:tcW w:w="679" w:type="dxa"/>
          </w:tcPr>
          <w:p w14:paraId="7C988B41" w14:textId="77777777" w:rsidR="00E72963" w:rsidRPr="00E72963" w:rsidRDefault="00E72963" w:rsidP="00E72963">
            <w:pPr>
              <w:jc w:val="both"/>
              <w:rPr>
                <w:rFonts w:ascii="Cambria" w:hAnsi="Cambria" w:cs="Arial"/>
              </w:rPr>
            </w:pPr>
          </w:p>
        </w:tc>
        <w:tc>
          <w:tcPr>
            <w:tcW w:w="631" w:type="dxa"/>
          </w:tcPr>
          <w:p w14:paraId="03232957" w14:textId="77777777" w:rsidR="00E72963" w:rsidRPr="00E72963" w:rsidRDefault="00E72963" w:rsidP="00E72963">
            <w:pPr>
              <w:jc w:val="both"/>
              <w:rPr>
                <w:rFonts w:ascii="Cambria" w:hAnsi="Cambria" w:cs="Arial"/>
              </w:rPr>
            </w:pPr>
          </w:p>
        </w:tc>
        <w:tc>
          <w:tcPr>
            <w:tcW w:w="633" w:type="dxa"/>
          </w:tcPr>
          <w:p w14:paraId="76F5914B" w14:textId="77777777" w:rsidR="00E72963" w:rsidRPr="00E72963" w:rsidRDefault="00E72963" w:rsidP="00E72963">
            <w:pPr>
              <w:jc w:val="both"/>
              <w:rPr>
                <w:rFonts w:ascii="Cambria" w:hAnsi="Cambria" w:cs="Arial"/>
              </w:rPr>
            </w:pPr>
          </w:p>
        </w:tc>
        <w:tc>
          <w:tcPr>
            <w:tcW w:w="632" w:type="dxa"/>
          </w:tcPr>
          <w:p w14:paraId="45D3EE46" w14:textId="77777777" w:rsidR="00E72963" w:rsidRPr="00E72963" w:rsidRDefault="00E72963" w:rsidP="00E72963">
            <w:pPr>
              <w:jc w:val="both"/>
              <w:rPr>
                <w:rFonts w:ascii="Cambria" w:hAnsi="Cambria" w:cs="Arial"/>
              </w:rPr>
            </w:pPr>
          </w:p>
        </w:tc>
        <w:tc>
          <w:tcPr>
            <w:tcW w:w="679" w:type="dxa"/>
          </w:tcPr>
          <w:p w14:paraId="6E68BFEE" w14:textId="77777777" w:rsidR="00E72963" w:rsidRPr="00E72963" w:rsidRDefault="00E72963" w:rsidP="00E72963">
            <w:pPr>
              <w:jc w:val="both"/>
              <w:rPr>
                <w:rFonts w:ascii="Cambria" w:hAnsi="Cambria" w:cs="Arial"/>
              </w:rPr>
            </w:pPr>
          </w:p>
        </w:tc>
      </w:tr>
      <w:tr w:rsidR="00E72963" w:rsidRPr="00E72963" w14:paraId="0BAF321E" w14:textId="77777777" w:rsidTr="00E72963">
        <w:tc>
          <w:tcPr>
            <w:tcW w:w="1190" w:type="dxa"/>
          </w:tcPr>
          <w:p w14:paraId="382F0883" w14:textId="77777777" w:rsidR="00E72963" w:rsidRPr="00E72963" w:rsidRDefault="00E72963" w:rsidP="00E72963">
            <w:pPr>
              <w:jc w:val="both"/>
              <w:rPr>
                <w:rFonts w:ascii="Cambria" w:hAnsi="Cambria" w:cs="Arial"/>
              </w:rPr>
            </w:pPr>
            <w:r w:rsidRPr="00E72963">
              <w:rPr>
                <w:rFonts w:ascii="Cambria" w:hAnsi="Cambria" w:cs="Arial"/>
              </w:rPr>
              <w:t>3</w:t>
            </w:r>
          </w:p>
        </w:tc>
        <w:tc>
          <w:tcPr>
            <w:tcW w:w="4412" w:type="dxa"/>
          </w:tcPr>
          <w:p w14:paraId="7F6661DA" w14:textId="77777777" w:rsidR="00E72963" w:rsidRPr="00E72963" w:rsidRDefault="00E72963" w:rsidP="00E72963">
            <w:pPr>
              <w:jc w:val="both"/>
              <w:rPr>
                <w:rFonts w:ascii="Cambria" w:hAnsi="Cambria" w:cs="Times New Roman"/>
              </w:rPr>
            </w:pPr>
            <w:r w:rsidRPr="00E72963">
              <w:rPr>
                <w:rFonts w:ascii="Cambria" w:hAnsi="Cambria" w:cs="Times New Roman"/>
                <w:rtl/>
              </w:rPr>
              <w:t>تراقب الشركة التطورات التقنية ذات الصلة بمجال عملها</w:t>
            </w:r>
            <w:r w:rsidRPr="00E72963">
              <w:rPr>
                <w:rFonts w:ascii="Cambria" w:hAnsi="Cambria" w:cs="Times New Roman"/>
              </w:rPr>
              <w:t>.</w:t>
            </w:r>
          </w:p>
        </w:tc>
        <w:tc>
          <w:tcPr>
            <w:tcW w:w="679" w:type="dxa"/>
          </w:tcPr>
          <w:p w14:paraId="15C4E75A" w14:textId="77777777" w:rsidR="00E72963" w:rsidRPr="00E72963" w:rsidRDefault="00E72963" w:rsidP="00E72963">
            <w:pPr>
              <w:jc w:val="both"/>
              <w:rPr>
                <w:rFonts w:ascii="Cambria" w:hAnsi="Cambria" w:cs="Arial"/>
              </w:rPr>
            </w:pPr>
          </w:p>
        </w:tc>
        <w:tc>
          <w:tcPr>
            <w:tcW w:w="631" w:type="dxa"/>
          </w:tcPr>
          <w:p w14:paraId="3DEC249D" w14:textId="77777777" w:rsidR="00E72963" w:rsidRPr="00E72963" w:rsidRDefault="00E72963" w:rsidP="00E72963">
            <w:pPr>
              <w:jc w:val="both"/>
              <w:rPr>
                <w:rFonts w:ascii="Cambria" w:hAnsi="Cambria" w:cs="Arial"/>
              </w:rPr>
            </w:pPr>
          </w:p>
        </w:tc>
        <w:tc>
          <w:tcPr>
            <w:tcW w:w="633" w:type="dxa"/>
          </w:tcPr>
          <w:p w14:paraId="2745685D" w14:textId="77777777" w:rsidR="00E72963" w:rsidRPr="00E72963" w:rsidRDefault="00E72963" w:rsidP="00E72963">
            <w:pPr>
              <w:jc w:val="both"/>
              <w:rPr>
                <w:rFonts w:ascii="Cambria" w:hAnsi="Cambria" w:cs="Arial"/>
              </w:rPr>
            </w:pPr>
          </w:p>
        </w:tc>
        <w:tc>
          <w:tcPr>
            <w:tcW w:w="632" w:type="dxa"/>
          </w:tcPr>
          <w:p w14:paraId="2CC17CA5" w14:textId="77777777" w:rsidR="00E72963" w:rsidRPr="00E72963" w:rsidRDefault="00E72963" w:rsidP="00E72963">
            <w:pPr>
              <w:jc w:val="both"/>
              <w:rPr>
                <w:rFonts w:ascii="Cambria" w:hAnsi="Cambria" w:cs="Arial"/>
              </w:rPr>
            </w:pPr>
          </w:p>
        </w:tc>
        <w:tc>
          <w:tcPr>
            <w:tcW w:w="679" w:type="dxa"/>
          </w:tcPr>
          <w:p w14:paraId="15D79D03" w14:textId="77777777" w:rsidR="00E72963" w:rsidRPr="00E72963" w:rsidRDefault="00E72963" w:rsidP="00E72963">
            <w:pPr>
              <w:jc w:val="both"/>
              <w:rPr>
                <w:rFonts w:ascii="Cambria" w:hAnsi="Cambria" w:cs="Arial"/>
              </w:rPr>
            </w:pPr>
          </w:p>
        </w:tc>
      </w:tr>
      <w:tr w:rsidR="00E72963" w:rsidRPr="00E72963" w14:paraId="6C198BBD" w14:textId="77777777" w:rsidTr="00E72963">
        <w:tc>
          <w:tcPr>
            <w:tcW w:w="1190" w:type="dxa"/>
          </w:tcPr>
          <w:p w14:paraId="5B225AF3" w14:textId="77777777" w:rsidR="00E72963" w:rsidRPr="00E72963" w:rsidRDefault="00E72963" w:rsidP="00E72963">
            <w:pPr>
              <w:jc w:val="both"/>
              <w:rPr>
                <w:rFonts w:ascii="Cambria" w:hAnsi="Cambria" w:cs="Arial"/>
              </w:rPr>
            </w:pPr>
            <w:r w:rsidRPr="00E72963">
              <w:rPr>
                <w:rFonts w:ascii="Cambria" w:hAnsi="Cambria" w:cs="Arial"/>
              </w:rPr>
              <w:t>4</w:t>
            </w:r>
          </w:p>
        </w:tc>
        <w:tc>
          <w:tcPr>
            <w:tcW w:w="4412" w:type="dxa"/>
          </w:tcPr>
          <w:p w14:paraId="50080301" w14:textId="77777777" w:rsidR="00E72963" w:rsidRPr="00E72963" w:rsidRDefault="00E72963" w:rsidP="00E72963">
            <w:pPr>
              <w:jc w:val="both"/>
              <w:rPr>
                <w:rFonts w:ascii="Cambria" w:hAnsi="Cambria" w:cs="Times New Roman"/>
              </w:rPr>
            </w:pPr>
            <w:r w:rsidRPr="00E72963">
              <w:rPr>
                <w:rFonts w:ascii="Cambria" w:hAnsi="Cambria" w:cs="Times New Roman"/>
                <w:rtl/>
              </w:rPr>
              <w:t>تتمكن الشركة من اكتشاف الفرص والتحديات الناشئة في وقت مبكر</w:t>
            </w:r>
            <w:r w:rsidRPr="00E72963">
              <w:rPr>
                <w:rFonts w:ascii="Cambria" w:hAnsi="Cambria" w:cs="Times New Roman"/>
              </w:rPr>
              <w:t>.</w:t>
            </w:r>
          </w:p>
        </w:tc>
        <w:tc>
          <w:tcPr>
            <w:tcW w:w="679" w:type="dxa"/>
          </w:tcPr>
          <w:p w14:paraId="5E681853" w14:textId="77777777" w:rsidR="00E72963" w:rsidRPr="00E72963" w:rsidRDefault="00E72963" w:rsidP="00E72963">
            <w:pPr>
              <w:jc w:val="both"/>
              <w:rPr>
                <w:rFonts w:ascii="Cambria" w:hAnsi="Cambria" w:cs="Arial"/>
              </w:rPr>
            </w:pPr>
          </w:p>
        </w:tc>
        <w:tc>
          <w:tcPr>
            <w:tcW w:w="631" w:type="dxa"/>
          </w:tcPr>
          <w:p w14:paraId="5A7A159F" w14:textId="77777777" w:rsidR="00E72963" w:rsidRPr="00E72963" w:rsidRDefault="00E72963" w:rsidP="00E72963">
            <w:pPr>
              <w:jc w:val="both"/>
              <w:rPr>
                <w:rFonts w:ascii="Cambria" w:hAnsi="Cambria" w:cs="Arial"/>
              </w:rPr>
            </w:pPr>
          </w:p>
        </w:tc>
        <w:tc>
          <w:tcPr>
            <w:tcW w:w="633" w:type="dxa"/>
          </w:tcPr>
          <w:p w14:paraId="189C5D11" w14:textId="77777777" w:rsidR="00E72963" w:rsidRPr="00E72963" w:rsidRDefault="00E72963" w:rsidP="00E72963">
            <w:pPr>
              <w:jc w:val="both"/>
              <w:rPr>
                <w:rFonts w:ascii="Cambria" w:hAnsi="Cambria" w:cs="Arial"/>
              </w:rPr>
            </w:pPr>
          </w:p>
        </w:tc>
        <w:tc>
          <w:tcPr>
            <w:tcW w:w="632" w:type="dxa"/>
          </w:tcPr>
          <w:p w14:paraId="41AB02A8" w14:textId="77777777" w:rsidR="00E72963" w:rsidRPr="00E72963" w:rsidRDefault="00E72963" w:rsidP="00E72963">
            <w:pPr>
              <w:jc w:val="both"/>
              <w:rPr>
                <w:rFonts w:ascii="Cambria" w:hAnsi="Cambria" w:cs="Arial"/>
              </w:rPr>
            </w:pPr>
          </w:p>
        </w:tc>
        <w:tc>
          <w:tcPr>
            <w:tcW w:w="679" w:type="dxa"/>
          </w:tcPr>
          <w:p w14:paraId="5891CAAF" w14:textId="77777777" w:rsidR="00E72963" w:rsidRPr="00E72963" w:rsidRDefault="00E72963" w:rsidP="00E72963">
            <w:pPr>
              <w:jc w:val="both"/>
              <w:rPr>
                <w:rFonts w:ascii="Cambria" w:hAnsi="Cambria" w:cs="Arial"/>
              </w:rPr>
            </w:pPr>
          </w:p>
        </w:tc>
      </w:tr>
      <w:tr w:rsidR="00E72963" w:rsidRPr="00E72963" w14:paraId="0B8E4286" w14:textId="77777777" w:rsidTr="00E72963">
        <w:tc>
          <w:tcPr>
            <w:tcW w:w="8856" w:type="dxa"/>
            <w:gridSpan w:val="7"/>
          </w:tcPr>
          <w:p w14:paraId="2B12CEA4"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w:t>
            </w:r>
            <w:r w:rsidRPr="00E72963">
              <w:rPr>
                <w:rFonts w:ascii="Cambria" w:hAnsi="Cambria" w:cs="Times New Roman" w:hint="cs"/>
                <w:sz w:val="24"/>
                <w:szCs w:val="24"/>
                <w:rtl/>
              </w:rPr>
              <w:t xml:space="preserve">ثاني: </w:t>
            </w:r>
            <w:r w:rsidRPr="00E72963">
              <w:rPr>
                <w:rFonts w:ascii="Cambria" w:hAnsi="Cambria" w:cs="Times New Roman"/>
                <w:b/>
                <w:bCs/>
                <w:rtl/>
              </w:rPr>
              <w:t>سرعة</w:t>
            </w:r>
            <w:r w:rsidRPr="00E72963">
              <w:rPr>
                <w:rFonts w:ascii="Cambria" w:hAnsi="Cambria" w:cs="Arial"/>
                <w:b/>
                <w:bCs/>
              </w:rPr>
              <w:t xml:space="preserve"> </w:t>
            </w:r>
            <w:r w:rsidRPr="00E72963">
              <w:rPr>
                <w:rFonts w:ascii="Cambria" w:hAnsi="Cambria" w:cs="Times New Roman"/>
                <w:b/>
                <w:bCs/>
                <w:rtl/>
              </w:rPr>
              <w:t>الاستجابة</w:t>
            </w:r>
          </w:p>
        </w:tc>
      </w:tr>
      <w:tr w:rsidR="00E72963" w:rsidRPr="00E72963" w14:paraId="44A3F020" w14:textId="77777777" w:rsidTr="00E72963">
        <w:tc>
          <w:tcPr>
            <w:tcW w:w="1190" w:type="dxa"/>
          </w:tcPr>
          <w:p w14:paraId="6B9AB318" w14:textId="77777777" w:rsidR="00E72963" w:rsidRPr="00E72963" w:rsidRDefault="00E72963" w:rsidP="00E72963">
            <w:pPr>
              <w:jc w:val="both"/>
              <w:rPr>
                <w:rFonts w:ascii="Cambria" w:hAnsi="Cambria" w:cs="Arial"/>
              </w:rPr>
            </w:pPr>
            <w:r w:rsidRPr="00E72963">
              <w:rPr>
                <w:rFonts w:ascii="Cambria" w:hAnsi="Cambria" w:cs="Arial"/>
              </w:rPr>
              <w:t>5</w:t>
            </w:r>
          </w:p>
        </w:tc>
        <w:tc>
          <w:tcPr>
            <w:tcW w:w="4412" w:type="dxa"/>
          </w:tcPr>
          <w:p w14:paraId="28D58433" w14:textId="77777777" w:rsidR="00E72963" w:rsidRPr="00E72963" w:rsidRDefault="00E72963" w:rsidP="00E72963">
            <w:pPr>
              <w:jc w:val="both"/>
              <w:rPr>
                <w:rFonts w:ascii="Cambria" w:hAnsi="Cambria" w:cs="Times New Roman"/>
              </w:rPr>
            </w:pPr>
            <w:r w:rsidRPr="00E72963">
              <w:rPr>
                <w:rFonts w:ascii="Cambria" w:hAnsi="Cambria" w:cs="Times New Roman"/>
                <w:rtl/>
              </w:rPr>
              <w:t>تتمكن الشركة من تعديل خططها واستراتيجياتها بما يتناسب مع المتغيرات</w:t>
            </w:r>
            <w:r w:rsidRPr="00E72963">
              <w:rPr>
                <w:rFonts w:ascii="Cambria" w:hAnsi="Cambria" w:cs="Times New Roman"/>
              </w:rPr>
              <w:t>.</w:t>
            </w:r>
          </w:p>
        </w:tc>
        <w:tc>
          <w:tcPr>
            <w:tcW w:w="679" w:type="dxa"/>
          </w:tcPr>
          <w:p w14:paraId="223D6255" w14:textId="77777777" w:rsidR="00E72963" w:rsidRPr="00E72963" w:rsidRDefault="00E72963" w:rsidP="00E72963">
            <w:pPr>
              <w:jc w:val="both"/>
              <w:rPr>
                <w:rFonts w:ascii="Cambria" w:hAnsi="Cambria" w:cs="Arial"/>
              </w:rPr>
            </w:pPr>
          </w:p>
        </w:tc>
        <w:tc>
          <w:tcPr>
            <w:tcW w:w="631" w:type="dxa"/>
          </w:tcPr>
          <w:p w14:paraId="27F22D7F" w14:textId="77777777" w:rsidR="00E72963" w:rsidRPr="00E72963" w:rsidRDefault="00E72963" w:rsidP="00E72963">
            <w:pPr>
              <w:jc w:val="both"/>
              <w:rPr>
                <w:rFonts w:ascii="Cambria" w:hAnsi="Cambria" w:cs="Arial"/>
              </w:rPr>
            </w:pPr>
          </w:p>
        </w:tc>
        <w:tc>
          <w:tcPr>
            <w:tcW w:w="633" w:type="dxa"/>
          </w:tcPr>
          <w:p w14:paraId="10C83A14" w14:textId="77777777" w:rsidR="00E72963" w:rsidRPr="00E72963" w:rsidRDefault="00E72963" w:rsidP="00E72963">
            <w:pPr>
              <w:jc w:val="both"/>
              <w:rPr>
                <w:rFonts w:ascii="Cambria" w:hAnsi="Cambria" w:cs="Arial"/>
              </w:rPr>
            </w:pPr>
          </w:p>
        </w:tc>
        <w:tc>
          <w:tcPr>
            <w:tcW w:w="632" w:type="dxa"/>
          </w:tcPr>
          <w:p w14:paraId="6C68DC0B" w14:textId="77777777" w:rsidR="00E72963" w:rsidRPr="00E72963" w:rsidRDefault="00E72963" w:rsidP="00E72963">
            <w:pPr>
              <w:jc w:val="both"/>
              <w:rPr>
                <w:rFonts w:ascii="Cambria" w:hAnsi="Cambria" w:cs="Arial"/>
              </w:rPr>
            </w:pPr>
          </w:p>
        </w:tc>
        <w:tc>
          <w:tcPr>
            <w:tcW w:w="679" w:type="dxa"/>
          </w:tcPr>
          <w:p w14:paraId="0DCE767A" w14:textId="77777777" w:rsidR="00E72963" w:rsidRPr="00E72963" w:rsidRDefault="00E72963" w:rsidP="00E72963">
            <w:pPr>
              <w:jc w:val="both"/>
              <w:rPr>
                <w:rFonts w:ascii="Cambria" w:hAnsi="Cambria" w:cs="Arial"/>
              </w:rPr>
            </w:pPr>
          </w:p>
        </w:tc>
      </w:tr>
      <w:tr w:rsidR="00E72963" w:rsidRPr="00E72963" w14:paraId="20EA5DA0" w14:textId="77777777" w:rsidTr="00E72963">
        <w:tc>
          <w:tcPr>
            <w:tcW w:w="1190" w:type="dxa"/>
          </w:tcPr>
          <w:p w14:paraId="603FD23E" w14:textId="77777777" w:rsidR="00E72963" w:rsidRPr="00E72963" w:rsidRDefault="00E72963" w:rsidP="00E72963">
            <w:pPr>
              <w:jc w:val="both"/>
              <w:rPr>
                <w:rFonts w:ascii="Cambria" w:hAnsi="Cambria" w:cs="Arial"/>
              </w:rPr>
            </w:pPr>
            <w:r w:rsidRPr="00E72963">
              <w:rPr>
                <w:rFonts w:ascii="Cambria" w:hAnsi="Cambria" w:cs="Arial"/>
              </w:rPr>
              <w:t>6</w:t>
            </w:r>
          </w:p>
        </w:tc>
        <w:tc>
          <w:tcPr>
            <w:tcW w:w="4412" w:type="dxa"/>
          </w:tcPr>
          <w:p w14:paraId="0B716D78" w14:textId="77777777" w:rsidR="00E72963" w:rsidRPr="00E72963" w:rsidRDefault="00E72963" w:rsidP="00E72963">
            <w:pPr>
              <w:jc w:val="both"/>
              <w:rPr>
                <w:rFonts w:ascii="Cambria" w:hAnsi="Cambria" w:cs="Times New Roman"/>
              </w:rPr>
            </w:pPr>
            <w:r w:rsidRPr="00E72963">
              <w:rPr>
                <w:rFonts w:ascii="Cambria" w:hAnsi="Cambria" w:cs="Times New Roman"/>
                <w:rtl/>
              </w:rPr>
              <w:t>تتخذ الشركة القرارات اللازمة في الوقت المناسب لمواجهة التغيرات</w:t>
            </w:r>
            <w:r w:rsidRPr="00E72963">
              <w:rPr>
                <w:rFonts w:ascii="Cambria" w:hAnsi="Cambria" w:cs="Times New Roman"/>
              </w:rPr>
              <w:t>.</w:t>
            </w:r>
          </w:p>
        </w:tc>
        <w:tc>
          <w:tcPr>
            <w:tcW w:w="679" w:type="dxa"/>
          </w:tcPr>
          <w:p w14:paraId="19813903" w14:textId="77777777" w:rsidR="00E72963" w:rsidRPr="00E72963" w:rsidRDefault="00E72963" w:rsidP="00E72963">
            <w:pPr>
              <w:jc w:val="both"/>
              <w:rPr>
                <w:rFonts w:ascii="Cambria" w:hAnsi="Cambria" w:cs="Arial"/>
              </w:rPr>
            </w:pPr>
          </w:p>
        </w:tc>
        <w:tc>
          <w:tcPr>
            <w:tcW w:w="631" w:type="dxa"/>
          </w:tcPr>
          <w:p w14:paraId="0D74E635" w14:textId="77777777" w:rsidR="00E72963" w:rsidRPr="00E72963" w:rsidRDefault="00E72963" w:rsidP="00E72963">
            <w:pPr>
              <w:jc w:val="both"/>
              <w:rPr>
                <w:rFonts w:ascii="Cambria" w:hAnsi="Cambria" w:cs="Arial"/>
              </w:rPr>
            </w:pPr>
          </w:p>
        </w:tc>
        <w:tc>
          <w:tcPr>
            <w:tcW w:w="633" w:type="dxa"/>
          </w:tcPr>
          <w:p w14:paraId="58B048FB" w14:textId="77777777" w:rsidR="00E72963" w:rsidRPr="00E72963" w:rsidRDefault="00E72963" w:rsidP="00E72963">
            <w:pPr>
              <w:jc w:val="both"/>
              <w:rPr>
                <w:rFonts w:ascii="Cambria" w:hAnsi="Cambria" w:cs="Arial"/>
              </w:rPr>
            </w:pPr>
          </w:p>
        </w:tc>
        <w:tc>
          <w:tcPr>
            <w:tcW w:w="632" w:type="dxa"/>
          </w:tcPr>
          <w:p w14:paraId="7DECBB31" w14:textId="77777777" w:rsidR="00E72963" w:rsidRPr="00E72963" w:rsidRDefault="00E72963" w:rsidP="00E72963">
            <w:pPr>
              <w:jc w:val="both"/>
              <w:rPr>
                <w:rFonts w:ascii="Cambria" w:hAnsi="Cambria" w:cs="Arial"/>
              </w:rPr>
            </w:pPr>
          </w:p>
        </w:tc>
        <w:tc>
          <w:tcPr>
            <w:tcW w:w="679" w:type="dxa"/>
          </w:tcPr>
          <w:p w14:paraId="7DD64A39" w14:textId="77777777" w:rsidR="00E72963" w:rsidRPr="00E72963" w:rsidRDefault="00E72963" w:rsidP="00E72963">
            <w:pPr>
              <w:jc w:val="both"/>
              <w:rPr>
                <w:rFonts w:ascii="Cambria" w:hAnsi="Cambria" w:cs="Arial"/>
              </w:rPr>
            </w:pPr>
          </w:p>
        </w:tc>
      </w:tr>
      <w:tr w:rsidR="00E72963" w:rsidRPr="00E72963" w14:paraId="50ADEA05" w14:textId="77777777" w:rsidTr="00E72963">
        <w:tc>
          <w:tcPr>
            <w:tcW w:w="1190" w:type="dxa"/>
          </w:tcPr>
          <w:p w14:paraId="5A1692C6" w14:textId="77777777" w:rsidR="00E72963" w:rsidRPr="00E72963" w:rsidRDefault="00E72963" w:rsidP="00E72963">
            <w:pPr>
              <w:jc w:val="both"/>
              <w:rPr>
                <w:rFonts w:ascii="Cambria" w:hAnsi="Cambria" w:cs="Arial"/>
              </w:rPr>
            </w:pPr>
            <w:r w:rsidRPr="00E72963">
              <w:rPr>
                <w:rFonts w:ascii="Cambria" w:hAnsi="Cambria" w:cs="Arial"/>
              </w:rPr>
              <w:t>7</w:t>
            </w:r>
          </w:p>
        </w:tc>
        <w:tc>
          <w:tcPr>
            <w:tcW w:w="4412" w:type="dxa"/>
          </w:tcPr>
          <w:p w14:paraId="2F0992FE" w14:textId="77777777" w:rsidR="00E72963" w:rsidRPr="00E72963" w:rsidRDefault="00E72963" w:rsidP="00E72963">
            <w:pPr>
              <w:jc w:val="both"/>
              <w:rPr>
                <w:rFonts w:ascii="Cambria" w:hAnsi="Cambria" w:cs="Times New Roman"/>
              </w:rPr>
            </w:pPr>
            <w:r w:rsidRPr="00E72963">
              <w:rPr>
                <w:rFonts w:ascii="Cambria" w:hAnsi="Cambria" w:cs="Times New Roman"/>
                <w:rtl/>
              </w:rPr>
              <w:t>تستجيب الشركة بسرعة للتغيرات في بيئة الأعمال</w:t>
            </w:r>
            <w:r w:rsidRPr="00E72963">
              <w:rPr>
                <w:rFonts w:ascii="Cambria" w:hAnsi="Cambria" w:cs="Times New Roman"/>
              </w:rPr>
              <w:t>.</w:t>
            </w:r>
          </w:p>
        </w:tc>
        <w:tc>
          <w:tcPr>
            <w:tcW w:w="679" w:type="dxa"/>
          </w:tcPr>
          <w:p w14:paraId="1D58E4AE" w14:textId="77777777" w:rsidR="00E72963" w:rsidRPr="00E72963" w:rsidRDefault="00E72963" w:rsidP="00E72963">
            <w:pPr>
              <w:jc w:val="both"/>
              <w:rPr>
                <w:rFonts w:ascii="Cambria" w:hAnsi="Cambria" w:cs="Arial"/>
              </w:rPr>
            </w:pPr>
          </w:p>
        </w:tc>
        <w:tc>
          <w:tcPr>
            <w:tcW w:w="631" w:type="dxa"/>
          </w:tcPr>
          <w:p w14:paraId="7649A8D8" w14:textId="77777777" w:rsidR="00E72963" w:rsidRPr="00E72963" w:rsidRDefault="00E72963" w:rsidP="00E72963">
            <w:pPr>
              <w:jc w:val="both"/>
              <w:rPr>
                <w:rFonts w:ascii="Cambria" w:hAnsi="Cambria" w:cs="Arial"/>
              </w:rPr>
            </w:pPr>
          </w:p>
        </w:tc>
        <w:tc>
          <w:tcPr>
            <w:tcW w:w="633" w:type="dxa"/>
          </w:tcPr>
          <w:p w14:paraId="02DF6B2C" w14:textId="77777777" w:rsidR="00E72963" w:rsidRPr="00E72963" w:rsidRDefault="00E72963" w:rsidP="00E72963">
            <w:pPr>
              <w:jc w:val="both"/>
              <w:rPr>
                <w:rFonts w:ascii="Cambria" w:hAnsi="Cambria" w:cs="Arial"/>
              </w:rPr>
            </w:pPr>
          </w:p>
        </w:tc>
        <w:tc>
          <w:tcPr>
            <w:tcW w:w="632" w:type="dxa"/>
          </w:tcPr>
          <w:p w14:paraId="501F1E79" w14:textId="77777777" w:rsidR="00E72963" w:rsidRPr="00E72963" w:rsidRDefault="00E72963" w:rsidP="00E72963">
            <w:pPr>
              <w:jc w:val="both"/>
              <w:rPr>
                <w:rFonts w:ascii="Cambria" w:hAnsi="Cambria" w:cs="Arial"/>
              </w:rPr>
            </w:pPr>
          </w:p>
        </w:tc>
        <w:tc>
          <w:tcPr>
            <w:tcW w:w="679" w:type="dxa"/>
          </w:tcPr>
          <w:p w14:paraId="54E0D73C" w14:textId="77777777" w:rsidR="00E72963" w:rsidRPr="00E72963" w:rsidRDefault="00E72963" w:rsidP="00E72963">
            <w:pPr>
              <w:jc w:val="both"/>
              <w:rPr>
                <w:rFonts w:ascii="Cambria" w:hAnsi="Cambria" w:cs="Arial"/>
              </w:rPr>
            </w:pPr>
          </w:p>
        </w:tc>
      </w:tr>
      <w:tr w:rsidR="00E72963" w:rsidRPr="00E72963" w14:paraId="04601415" w14:textId="77777777" w:rsidTr="00E72963">
        <w:trPr>
          <w:trHeight w:val="70"/>
        </w:trPr>
        <w:tc>
          <w:tcPr>
            <w:tcW w:w="1190" w:type="dxa"/>
          </w:tcPr>
          <w:p w14:paraId="3AF797C3" w14:textId="77777777" w:rsidR="00E72963" w:rsidRPr="00E72963" w:rsidRDefault="00E72963" w:rsidP="00E72963">
            <w:pPr>
              <w:jc w:val="both"/>
              <w:rPr>
                <w:rFonts w:ascii="Cambria" w:hAnsi="Cambria" w:cs="Arial"/>
              </w:rPr>
            </w:pPr>
            <w:r w:rsidRPr="00E72963">
              <w:rPr>
                <w:rFonts w:ascii="Cambria" w:hAnsi="Cambria" w:cs="Arial"/>
              </w:rPr>
              <w:t>8</w:t>
            </w:r>
          </w:p>
        </w:tc>
        <w:tc>
          <w:tcPr>
            <w:tcW w:w="4412" w:type="dxa"/>
          </w:tcPr>
          <w:p w14:paraId="4785D46E" w14:textId="77777777" w:rsidR="00E72963" w:rsidRPr="00E72963" w:rsidRDefault="00E72963" w:rsidP="00E72963">
            <w:pPr>
              <w:jc w:val="both"/>
              <w:rPr>
                <w:rFonts w:ascii="Cambria" w:hAnsi="Cambria" w:cs="Times New Roman"/>
              </w:rPr>
            </w:pPr>
            <w:r w:rsidRPr="00E72963">
              <w:rPr>
                <w:rFonts w:ascii="Cambria" w:hAnsi="Cambria" w:cs="Times New Roman"/>
                <w:rtl/>
              </w:rPr>
              <w:t>تتعامل الشركة بمرونة مع المشكلات والتحديات غير المتوقعة</w:t>
            </w:r>
            <w:r w:rsidRPr="00E72963">
              <w:rPr>
                <w:rFonts w:ascii="Cambria" w:hAnsi="Cambria" w:cs="Times New Roman"/>
              </w:rPr>
              <w:t>.</w:t>
            </w:r>
          </w:p>
        </w:tc>
        <w:tc>
          <w:tcPr>
            <w:tcW w:w="679" w:type="dxa"/>
          </w:tcPr>
          <w:p w14:paraId="74334976" w14:textId="77777777" w:rsidR="00E72963" w:rsidRPr="00E72963" w:rsidRDefault="00E72963" w:rsidP="00E72963">
            <w:pPr>
              <w:jc w:val="both"/>
              <w:rPr>
                <w:rFonts w:ascii="Cambria" w:hAnsi="Cambria" w:cs="Arial"/>
              </w:rPr>
            </w:pPr>
          </w:p>
        </w:tc>
        <w:tc>
          <w:tcPr>
            <w:tcW w:w="631" w:type="dxa"/>
          </w:tcPr>
          <w:p w14:paraId="6E963B56" w14:textId="77777777" w:rsidR="00E72963" w:rsidRPr="00E72963" w:rsidRDefault="00E72963" w:rsidP="00E72963">
            <w:pPr>
              <w:jc w:val="both"/>
              <w:rPr>
                <w:rFonts w:ascii="Cambria" w:hAnsi="Cambria" w:cs="Arial"/>
              </w:rPr>
            </w:pPr>
          </w:p>
        </w:tc>
        <w:tc>
          <w:tcPr>
            <w:tcW w:w="633" w:type="dxa"/>
          </w:tcPr>
          <w:p w14:paraId="146F3BAB" w14:textId="77777777" w:rsidR="00E72963" w:rsidRPr="00E72963" w:rsidRDefault="00E72963" w:rsidP="00E72963">
            <w:pPr>
              <w:jc w:val="both"/>
              <w:rPr>
                <w:rFonts w:ascii="Cambria" w:hAnsi="Cambria" w:cs="Arial"/>
              </w:rPr>
            </w:pPr>
          </w:p>
        </w:tc>
        <w:tc>
          <w:tcPr>
            <w:tcW w:w="632" w:type="dxa"/>
          </w:tcPr>
          <w:p w14:paraId="0A50D87B" w14:textId="77777777" w:rsidR="00E72963" w:rsidRPr="00E72963" w:rsidRDefault="00E72963" w:rsidP="00E72963">
            <w:pPr>
              <w:jc w:val="both"/>
              <w:rPr>
                <w:rFonts w:ascii="Cambria" w:hAnsi="Cambria" w:cs="Arial"/>
              </w:rPr>
            </w:pPr>
          </w:p>
        </w:tc>
        <w:tc>
          <w:tcPr>
            <w:tcW w:w="679" w:type="dxa"/>
          </w:tcPr>
          <w:p w14:paraId="5A8D937D" w14:textId="77777777" w:rsidR="00E72963" w:rsidRPr="00E72963" w:rsidRDefault="00E72963" w:rsidP="00E72963">
            <w:pPr>
              <w:jc w:val="both"/>
              <w:rPr>
                <w:rFonts w:ascii="Cambria" w:hAnsi="Cambria" w:cs="Arial"/>
              </w:rPr>
            </w:pPr>
          </w:p>
        </w:tc>
      </w:tr>
      <w:tr w:rsidR="00E72963" w:rsidRPr="00E72963" w14:paraId="11A4645C" w14:textId="77777777" w:rsidTr="00E72963">
        <w:tc>
          <w:tcPr>
            <w:tcW w:w="8856" w:type="dxa"/>
            <w:gridSpan w:val="7"/>
          </w:tcPr>
          <w:p w14:paraId="74EF0BCB" w14:textId="77777777" w:rsidR="00E72963" w:rsidRPr="00E72963" w:rsidRDefault="00E72963" w:rsidP="00E72963">
            <w:pPr>
              <w:jc w:val="center"/>
              <w:rPr>
                <w:rFonts w:ascii="Cambria" w:hAnsi="Cambria" w:cs="Arial"/>
                <w:b/>
                <w:bCs/>
              </w:rPr>
            </w:pPr>
            <w:r w:rsidRPr="00E72963">
              <w:rPr>
                <w:rFonts w:ascii="Cambria" w:hAnsi="Cambria" w:cs="Times New Roman" w:hint="cs"/>
                <w:b/>
                <w:bCs/>
                <w:rtl/>
              </w:rPr>
              <w:t xml:space="preserve">البعد الثالث:  </w:t>
            </w:r>
            <w:r w:rsidRPr="00E72963">
              <w:rPr>
                <w:rFonts w:ascii="Cambria" w:hAnsi="Cambria" w:cs="Times New Roman"/>
                <w:b/>
                <w:bCs/>
                <w:rtl/>
              </w:rPr>
              <w:t>مرونة</w:t>
            </w:r>
            <w:r w:rsidRPr="00E72963">
              <w:rPr>
                <w:rFonts w:ascii="Cambria" w:hAnsi="Cambria" w:cs="Arial"/>
                <w:b/>
                <w:bCs/>
              </w:rPr>
              <w:t xml:space="preserve"> </w:t>
            </w:r>
            <w:r w:rsidRPr="00E72963">
              <w:rPr>
                <w:rFonts w:ascii="Cambria" w:hAnsi="Cambria" w:cs="Times New Roman"/>
                <w:b/>
                <w:bCs/>
                <w:rtl/>
              </w:rPr>
              <w:t>الموارد</w:t>
            </w:r>
          </w:p>
        </w:tc>
      </w:tr>
      <w:tr w:rsidR="00E72963" w:rsidRPr="00E72963" w14:paraId="47507DB4" w14:textId="77777777" w:rsidTr="00E72963">
        <w:tc>
          <w:tcPr>
            <w:tcW w:w="1190" w:type="dxa"/>
          </w:tcPr>
          <w:p w14:paraId="6AAAC967" w14:textId="77777777" w:rsidR="00E72963" w:rsidRPr="00E72963" w:rsidRDefault="00E72963" w:rsidP="00E72963">
            <w:pPr>
              <w:jc w:val="both"/>
              <w:rPr>
                <w:rFonts w:ascii="Cambria" w:hAnsi="Cambria" w:cs="Arial"/>
              </w:rPr>
            </w:pPr>
            <w:r w:rsidRPr="00E72963">
              <w:rPr>
                <w:rFonts w:ascii="Cambria" w:hAnsi="Cambria" w:cs="Arial"/>
              </w:rPr>
              <w:t>9</w:t>
            </w:r>
          </w:p>
        </w:tc>
        <w:tc>
          <w:tcPr>
            <w:tcW w:w="4412" w:type="dxa"/>
          </w:tcPr>
          <w:p w14:paraId="34FD6629" w14:textId="77777777" w:rsidR="00E72963" w:rsidRPr="00E72963" w:rsidRDefault="00E72963" w:rsidP="00E72963">
            <w:pPr>
              <w:jc w:val="both"/>
              <w:rPr>
                <w:rFonts w:ascii="Cambria" w:hAnsi="Cambria" w:cs="Times New Roman"/>
              </w:rPr>
            </w:pPr>
            <w:r w:rsidRPr="00E72963">
              <w:rPr>
                <w:rFonts w:ascii="Cambria" w:hAnsi="Cambria" w:cs="Times New Roman"/>
                <w:rtl/>
              </w:rPr>
              <w:t>تستطيع الشركة إعادة توزيع مواردها بما يتناسب مع متطلبات العمل</w:t>
            </w:r>
            <w:r w:rsidRPr="00E72963">
              <w:rPr>
                <w:rFonts w:ascii="Cambria" w:hAnsi="Cambria" w:cs="Times New Roman"/>
              </w:rPr>
              <w:t>.</w:t>
            </w:r>
          </w:p>
        </w:tc>
        <w:tc>
          <w:tcPr>
            <w:tcW w:w="679" w:type="dxa"/>
          </w:tcPr>
          <w:p w14:paraId="78450264" w14:textId="77777777" w:rsidR="00E72963" w:rsidRPr="00E72963" w:rsidRDefault="00E72963" w:rsidP="00E72963">
            <w:pPr>
              <w:jc w:val="both"/>
              <w:rPr>
                <w:rFonts w:ascii="Cambria" w:hAnsi="Cambria" w:cs="Arial"/>
              </w:rPr>
            </w:pPr>
          </w:p>
        </w:tc>
        <w:tc>
          <w:tcPr>
            <w:tcW w:w="631" w:type="dxa"/>
          </w:tcPr>
          <w:p w14:paraId="0A79ABD2" w14:textId="77777777" w:rsidR="00E72963" w:rsidRPr="00E72963" w:rsidRDefault="00E72963" w:rsidP="00E72963">
            <w:pPr>
              <w:jc w:val="both"/>
              <w:rPr>
                <w:rFonts w:ascii="Cambria" w:hAnsi="Cambria" w:cs="Arial"/>
              </w:rPr>
            </w:pPr>
          </w:p>
        </w:tc>
        <w:tc>
          <w:tcPr>
            <w:tcW w:w="633" w:type="dxa"/>
          </w:tcPr>
          <w:p w14:paraId="78C14392" w14:textId="77777777" w:rsidR="00E72963" w:rsidRPr="00E72963" w:rsidRDefault="00E72963" w:rsidP="00E72963">
            <w:pPr>
              <w:jc w:val="both"/>
              <w:rPr>
                <w:rFonts w:ascii="Cambria" w:hAnsi="Cambria" w:cs="Arial"/>
              </w:rPr>
            </w:pPr>
          </w:p>
        </w:tc>
        <w:tc>
          <w:tcPr>
            <w:tcW w:w="632" w:type="dxa"/>
          </w:tcPr>
          <w:p w14:paraId="294A1F4B" w14:textId="77777777" w:rsidR="00E72963" w:rsidRPr="00E72963" w:rsidRDefault="00E72963" w:rsidP="00E72963">
            <w:pPr>
              <w:jc w:val="both"/>
              <w:rPr>
                <w:rFonts w:ascii="Cambria" w:hAnsi="Cambria" w:cs="Arial"/>
              </w:rPr>
            </w:pPr>
          </w:p>
        </w:tc>
        <w:tc>
          <w:tcPr>
            <w:tcW w:w="679" w:type="dxa"/>
          </w:tcPr>
          <w:p w14:paraId="1B9F3F6A" w14:textId="77777777" w:rsidR="00E72963" w:rsidRPr="00E72963" w:rsidRDefault="00E72963" w:rsidP="00E72963">
            <w:pPr>
              <w:jc w:val="both"/>
              <w:rPr>
                <w:rFonts w:ascii="Cambria" w:hAnsi="Cambria" w:cs="Arial"/>
              </w:rPr>
            </w:pPr>
          </w:p>
        </w:tc>
      </w:tr>
      <w:tr w:rsidR="00E72963" w:rsidRPr="00E72963" w14:paraId="46CCA8A7" w14:textId="77777777" w:rsidTr="00E72963">
        <w:tc>
          <w:tcPr>
            <w:tcW w:w="1190" w:type="dxa"/>
          </w:tcPr>
          <w:p w14:paraId="75F34511" w14:textId="77777777" w:rsidR="00E72963" w:rsidRPr="00E72963" w:rsidRDefault="00E72963" w:rsidP="00E72963">
            <w:pPr>
              <w:jc w:val="both"/>
              <w:rPr>
                <w:rFonts w:ascii="Cambria" w:hAnsi="Cambria" w:cs="Arial"/>
              </w:rPr>
            </w:pPr>
            <w:r w:rsidRPr="00E72963">
              <w:rPr>
                <w:rFonts w:ascii="Cambria" w:hAnsi="Cambria" w:cs="Arial"/>
              </w:rPr>
              <w:t>10</w:t>
            </w:r>
          </w:p>
        </w:tc>
        <w:tc>
          <w:tcPr>
            <w:tcW w:w="4412" w:type="dxa"/>
          </w:tcPr>
          <w:p w14:paraId="10ADA5D9" w14:textId="77777777" w:rsidR="00E72963" w:rsidRPr="00E72963" w:rsidRDefault="00E72963" w:rsidP="00E72963">
            <w:pPr>
              <w:jc w:val="both"/>
              <w:rPr>
                <w:rFonts w:ascii="Cambria" w:hAnsi="Cambria" w:cs="Times New Roman"/>
              </w:rPr>
            </w:pPr>
            <w:r w:rsidRPr="00E72963">
              <w:rPr>
                <w:rFonts w:ascii="Cambria" w:hAnsi="Cambria" w:cs="Times New Roman"/>
                <w:rtl/>
              </w:rPr>
              <w:t>تتمكن الشركة من إعادة تشكيل فرق العمل وفقاً لاحتياجات المشروعات</w:t>
            </w:r>
            <w:r w:rsidRPr="00E72963">
              <w:rPr>
                <w:rFonts w:ascii="Cambria" w:hAnsi="Cambria" w:cs="Times New Roman"/>
              </w:rPr>
              <w:t>.</w:t>
            </w:r>
          </w:p>
        </w:tc>
        <w:tc>
          <w:tcPr>
            <w:tcW w:w="679" w:type="dxa"/>
          </w:tcPr>
          <w:p w14:paraId="70C0354B" w14:textId="77777777" w:rsidR="00E72963" w:rsidRPr="00E72963" w:rsidRDefault="00E72963" w:rsidP="00E72963">
            <w:pPr>
              <w:jc w:val="both"/>
              <w:rPr>
                <w:rFonts w:ascii="Cambria" w:hAnsi="Cambria" w:cs="Arial"/>
              </w:rPr>
            </w:pPr>
          </w:p>
        </w:tc>
        <w:tc>
          <w:tcPr>
            <w:tcW w:w="631" w:type="dxa"/>
          </w:tcPr>
          <w:p w14:paraId="18C978AF" w14:textId="77777777" w:rsidR="00E72963" w:rsidRPr="00E72963" w:rsidRDefault="00E72963" w:rsidP="00E72963">
            <w:pPr>
              <w:jc w:val="both"/>
              <w:rPr>
                <w:rFonts w:ascii="Cambria" w:hAnsi="Cambria" w:cs="Arial"/>
              </w:rPr>
            </w:pPr>
          </w:p>
        </w:tc>
        <w:tc>
          <w:tcPr>
            <w:tcW w:w="633" w:type="dxa"/>
          </w:tcPr>
          <w:p w14:paraId="04277D90" w14:textId="77777777" w:rsidR="00E72963" w:rsidRPr="00E72963" w:rsidRDefault="00E72963" w:rsidP="00E72963">
            <w:pPr>
              <w:jc w:val="both"/>
              <w:rPr>
                <w:rFonts w:ascii="Cambria" w:hAnsi="Cambria" w:cs="Arial"/>
              </w:rPr>
            </w:pPr>
          </w:p>
        </w:tc>
        <w:tc>
          <w:tcPr>
            <w:tcW w:w="632" w:type="dxa"/>
          </w:tcPr>
          <w:p w14:paraId="7A08A253" w14:textId="77777777" w:rsidR="00E72963" w:rsidRPr="00E72963" w:rsidRDefault="00E72963" w:rsidP="00E72963">
            <w:pPr>
              <w:jc w:val="both"/>
              <w:rPr>
                <w:rFonts w:ascii="Cambria" w:hAnsi="Cambria" w:cs="Arial"/>
              </w:rPr>
            </w:pPr>
          </w:p>
        </w:tc>
        <w:tc>
          <w:tcPr>
            <w:tcW w:w="679" w:type="dxa"/>
          </w:tcPr>
          <w:p w14:paraId="38484004" w14:textId="77777777" w:rsidR="00E72963" w:rsidRPr="00E72963" w:rsidRDefault="00E72963" w:rsidP="00E72963">
            <w:pPr>
              <w:jc w:val="both"/>
              <w:rPr>
                <w:rFonts w:ascii="Cambria" w:hAnsi="Cambria" w:cs="Arial"/>
              </w:rPr>
            </w:pPr>
          </w:p>
        </w:tc>
      </w:tr>
      <w:tr w:rsidR="00E72963" w:rsidRPr="00E72963" w14:paraId="129D372D" w14:textId="77777777" w:rsidTr="00E72963">
        <w:tc>
          <w:tcPr>
            <w:tcW w:w="1190" w:type="dxa"/>
          </w:tcPr>
          <w:p w14:paraId="346EE849" w14:textId="77777777" w:rsidR="00E72963" w:rsidRPr="00E72963" w:rsidRDefault="00E72963" w:rsidP="00E72963">
            <w:pPr>
              <w:jc w:val="both"/>
              <w:rPr>
                <w:rFonts w:ascii="Cambria" w:hAnsi="Cambria" w:cs="Arial"/>
              </w:rPr>
            </w:pPr>
            <w:r w:rsidRPr="00E72963">
              <w:rPr>
                <w:rFonts w:ascii="Cambria" w:hAnsi="Cambria" w:cs="Arial"/>
              </w:rPr>
              <w:t>11</w:t>
            </w:r>
          </w:p>
        </w:tc>
        <w:tc>
          <w:tcPr>
            <w:tcW w:w="4412" w:type="dxa"/>
          </w:tcPr>
          <w:p w14:paraId="1DD1F54A" w14:textId="77777777" w:rsidR="00E72963" w:rsidRPr="00E72963" w:rsidRDefault="00E72963" w:rsidP="00E72963">
            <w:pPr>
              <w:jc w:val="both"/>
              <w:rPr>
                <w:rFonts w:ascii="Cambria" w:hAnsi="Cambria" w:cs="Times New Roman"/>
              </w:rPr>
            </w:pPr>
            <w:r w:rsidRPr="00E72963">
              <w:rPr>
                <w:rFonts w:ascii="Cambria" w:hAnsi="Cambria" w:cs="Times New Roman"/>
                <w:rtl/>
              </w:rPr>
              <w:t>تتكيف الموارد البشرية والتقنية مع المتطلبات الجديدة بكفاءة</w:t>
            </w:r>
            <w:r w:rsidRPr="00E72963">
              <w:rPr>
                <w:rFonts w:ascii="Cambria" w:hAnsi="Cambria" w:cs="Times New Roman"/>
              </w:rPr>
              <w:t>.</w:t>
            </w:r>
          </w:p>
        </w:tc>
        <w:tc>
          <w:tcPr>
            <w:tcW w:w="679" w:type="dxa"/>
          </w:tcPr>
          <w:p w14:paraId="1ABBD746" w14:textId="77777777" w:rsidR="00E72963" w:rsidRPr="00E72963" w:rsidRDefault="00E72963" w:rsidP="00E72963">
            <w:pPr>
              <w:jc w:val="both"/>
              <w:rPr>
                <w:rFonts w:ascii="Cambria" w:hAnsi="Cambria" w:cs="Arial"/>
              </w:rPr>
            </w:pPr>
          </w:p>
        </w:tc>
        <w:tc>
          <w:tcPr>
            <w:tcW w:w="631" w:type="dxa"/>
          </w:tcPr>
          <w:p w14:paraId="333E6588" w14:textId="77777777" w:rsidR="00E72963" w:rsidRPr="00E72963" w:rsidRDefault="00E72963" w:rsidP="00E72963">
            <w:pPr>
              <w:jc w:val="both"/>
              <w:rPr>
                <w:rFonts w:ascii="Cambria" w:hAnsi="Cambria" w:cs="Arial"/>
              </w:rPr>
            </w:pPr>
          </w:p>
        </w:tc>
        <w:tc>
          <w:tcPr>
            <w:tcW w:w="633" w:type="dxa"/>
          </w:tcPr>
          <w:p w14:paraId="7BC9E8B8" w14:textId="77777777" w:rsidR="00E72963" w:rsidRPr="00E72963" w:rsidRDefault="00E72963" w:rsidP="00E72963">
            <w:pPr>
              <w:jc w:val="both"/>
              <w:rPr>
                <w:rFonts w:ascii="Cambria" w:hAnsi="Cambria" w:cs="Arial"/>
              </w:rPr>
            </w:pPr>
          </w:p>
        </w:tc>
        <w:tc>
          <w:tcPr>
            <w:tcW w:w="632" w:type="dxa"/>
          </w:tcPr>
          <w:p w14:paraId="0BF1E4A4" w14:textId="77777777" w:rsidR="00E72963" w:rsidRPr="00E72963" w:rsidRDefault="00E72963" w:rsidP="00E72963">
            <w:pPr>
              <w:jc w:val="both"/>
              <w:rPr>
                <w:rFonts w:ascii="Cambria" w:hAnsi="Cambria" w:cs="Arial"/>
              </w:rPr>
            </w:pPr>
          </w:p>
        </w:tc>
        <w:tc>
          <w:tcPr>
            <w:tcW w:w="679" w:type="dxa"/>
          </w:tcPr>
          <w:p w14:paraId="59DD1C8D" w14:textId="77777777" w:rsidR="00E72963" w:rsidRPr="00E72963" w:rsidRDefault="00E72963" w:rsidP="00E72963">
            <w:pPr>
              <w:jc w:val="both"/>
              <w:rPr>
                <w:rFonts w:ascii="Cambria" w:hAnsi="Cambria" w:cs="Arial"/>
              </w:rPr>
            </w:pPr>
          </w:p>
        </w:tc>
      </w:tr>
      <w:tr w:rsidR="00E72963" w:rsidRPr="00E72963" w14:paraId="366AD405" w14:textId="77777777" w:rsidTr="00E72963">
        <w:tc>
          <w:tcPr>
            <w:tcW w:w="1190" w:type="dxa"/>
          </w:tcPr>
          <w:p w14:paraId="345A66AE" w14:textId="77777777" w:rsidR="00E72963" w:rsidRPr="00E72963" w:rsidRDefault="00E72963" w:rsidP="00E72963">
            <w:pPr>
              <w:jc w:val="both"/>
              <w:rPr>
                <w:rFonts w:ascii="Cambria" w:hAnsi="Cambria" w:cs="Arial"/>
              </w:rPr>
            </w:pPr>
            <w:r w:rsidRPr="00E72963">
              <w:rPr>
                <w:rFonts w:ascii="Cambria" w:hAnsi="Cambria" w:cs="Arial"/>
              </w:rPr>
              <w:t>12</w:t>
            </w:r>
          </w:p>
        </w:tc>
        <w:tc>
          <w:tcPr>
            <w:tcW w:w="4412" w:type="dxa"/>
          </w:tcPr>
          <w:p w14:paraId="0B21F6EF" w14:textId="77777777" w:rsidR="00E72963" w:rsidRPr="00E72963" w:rsidRDefault="00E72963" w:rsidP="00E72963">
            <w:pPr>
              <w:jc w:val="both"/>
              <w:rPr>
                <w:rFonts w:ascii="Cambria" w:hAnsi="Cambria" w:cs="Times New Roman"/>
              </w:rPr>
            </w:pPr>
            <w:r w:rsidRPr="00E72963">
              <w:rPr>
                <w:rFonts w:ascii="Cambria" w:hAnsi="Cambria" w:cs="Times New Roman"/>
                <w:rtl/>
              </w:rPr>
              <w:t>تتسم العمليات التشغيلية في الشركة بالمرونة وسهولة التكيف مع التغيرات</w:t>
            </w:r>
            <w:r w:rsidRPr="00E72963">
              <w:rPr>
                <w:rFonts w:ascii="Cambria" w:hAnsi="Cambria" w:cs="Times New Roman"/>
              </w:rPr>
              <w:t>.</w:t>
            </w:r>
          </w:p>
        </w:tc>
        <w:tc>
          <w:tcPr>
            <w:tcW w:w="679" w:type="dxa"/>
          </w:tcPr>
          <w:p w14:paraId="310ADA82" w14:textId="77777777" w:rsidR="00E72963" w:rsidRPr="00E72963" w:rsidRDefault="00E72963" w:rsidP="00E72963">
            <w:pPr>
              <w:jc w:val="both"/>
              <w:rPr>
                <w:rFonts w:ascii="Cambria" w:hAnsi="Cambria" w:cs="Arial"/>
              </w:rPr>
            </w:pPr>
          </w:p>
        </w:tc>
        <w:tc>
          <w:tcPr>
            <w:tcW w:w="631" w:type="dxa"/>
          </w:tcPr>
          <w:p w14:paraId="086D8319" w14:textId="77777777" w:rsidR="00E72963" w:rsidRPr="00E72963" w:rsidRDefault="00E72963" w:rsidP="00E72963">
            <w:pPr>
              <w:jc w:val="both"/>
              <w:rPr>
                <w:rFonts w:ascii="Cambria" w:hAnsi="Cambria" w:cs="Arial"/>
              </w:rPr>
            </w:pPr>
          </w:p>
        </w:tc>
        <w:tc>
          <w:tcPr>
            <w:tcW w:w="633" w:type="dxa"/>
          </w:tcPr>
          <w:p w14:paraId="6C4B0FB3" w14:textId="77777777" w:rsidR="00E72963" w:rsidRPr="00E72963" w:rsidRDefault="00E72963" w:rsidP="00E72963">
            <w:pPr>
              <w:jc w:val="both"/>
              <w:rPr>
                <w:rFonts w:ascii="Cambria" w:hAnsi="Cambria" w:cs="Arial"/>
              </w:rPr>
            </w:pPr>
          </w:p>
        </w:tc>
        <w:tc>
          <w:tcPr>
            <w:tcW w:w="632" w:type="dxa"/>
          </w:tcPr>
          <w:p w14:paraId="16A63A05" w14:textId="77777777" w:rsidR="00E72963" w:rsidRPr="00E72963" w:rsidRDefault="00E72963" w:rsidP="00E72963">
            <w:pPr>
              <w:jc w:val="both"/>
              <w:rPr>
                <w:rFonts w:ascii="Cambria" w:hAnsi="Cambria" w:cs="Arial"/>
              </w:rPr>
            </w:pPr>
          </w:p>
        </w:tc>
        <w:tc>
          <w:tcPr>
            <w:tcW w:w="679" w:type="dxa"/>
          </w:tcPr>
          <w:p w14:paraId="020C8C31" w14:textId="77777777" w:rsidR="00E72963" w:rsidRPr="00E72963" w:rsidRDefault="00E72963" w:rsidP="00E72963">
            <w:pPr>
              <w:jc w:val="both"/>
              <w:rPr>
                <w:rFonts w:ascii="Cambria" w:hAnsi="Cambria" w:cs="Arial"/>
              </w:rPr>
            </w:pPr>
          </w:p>
        </w:tc>
      </w:tr>
      <w:tr w:rsidR="00E72963" w:rsidRPr="00E72963" w14:paraId="38CC57B9" w14:textId="77777777" w:rsidTr="00E72963">
        <w:tc>
          <w:tcPr>
            <w:tcW w:w="8856" w:type="dxa"/>
            <w:gridSpan w:val="7"/>
          </w:tcPr>
          <w:p w14:paraId="3B54A1B4" w14:textId="77777777" w:rsidR="00E72963" w:rsidRPr="00E72963" w:rsidRDefault="00E72963" w:rsidP="00E72963">
            <w:pPr>
              <w:jc w:val="center"/>
              <w:rPr>
                <w:rFonts w:ascii="Cambria" w:hAnsi="Cambria" w:cs="Arial"/>
                <w:b/>
                <w:bCs/>
              </w:rPr>
            </w:pPr>
            <w:r w:rsidRPr="00E72963">
              <w:rPr>
                <w:rFonts w:ascii="Cambria" w:hAnsi="Cambria" w:cs="Times New Roman"/>
                <w:sz w:val="24"/>
                <w:szCs w:val="24"/>
                <w:rtl/>
              </w:rPr>
              <w:t>البعد</w:t>
            </w:r>
            <w:r w:rsidRPr="00E72963">
              <w:rPr>
                <w:rFonts w:ascii="Cambria" w:hAnsi="Cambria" w:cs="Arial"/>
                <w:sz w:val="24"/>
                <w:szCs w:val="24"/>
              </w:rPr>
              <w:t xml:space="preserve"> </w:t>
            </w:r>
            <w:r w:rsidRPr="00E72963">
              <w:rPr>
                <w:rFonts w:ascii="Cambria" w:hAnsi="Cambria" w:cs="Times New Roman"/>
                <w:sz w:val="24"/>
                <w:szCs w:val="24"/>
                <w:rtl/>
              </w:rPr>
              <w:t>ال</w:t>
            </w:r>
            <w:r w:rsidRPr="00E72963">
              <w:rPr>
                <w:rFonts w:ascii="Cambria" w:hAnsi="Cambria" w:cs="Times New Roman" w:hint="cs"/>
                <w:sz w:val="24"/>
                <w:szCs w:val="24"/>
                <w:rtl/>
              </w:rPr>
              <w:t xml:space="preserve">رابع: </w:t>
            </w:r>
            <w:r w:rsidRPr="00E72963">
              <w:rPr>
                <w:rFonts w:ascii="Cambria" w:hAnsi="Cambria" w:cs="Times New Roman"/>
                <w:b/>
                <w:bCs/>
                <w:rtl/>
              </w:rPr>
              <w:t>إعادة</w:t>
            </w:r>
            <w:r w:rsidRPr="00E72963">
              <w:rPr>
                <w:rFonts w:ascii="Cambria" w:hAnsi="Cambria" w:cs="Arial"/>
                <w:b/>
                <w:bCs/>
              </w:rPr>
              <w:t xml:space="preserve"> </w:t>
            </w:r>
            <w:r w:rsidRPr="00E72963">
              <w:rPr>
                <w:rFonts w:ascii="Cambria" w:hAnsi="Cambria" w:cs="Times New Roman"/>
                <w:b/>
                <w:bCs/>
                <w:rtl/>
              </w:rPr>
              <w:t>التشكيل</w:t>
            </w:r>
          </w:p>
        </w:tc>
      </w:tr>
      <w:tr w:rsidR="00E72963" w:rsidRPr="00E72963" w14:paraId="7494993E" w14:textId="77777777" w:rsidTr="00E72963">
        <w:tc>
          <w:tcPr>
            <w:tcW w:w="1190" w:type="dxa"/>
          </w:tcPr>
          <w:p w14:paraId="124E2C2D" w14:textId="77777777" w:rsidR="00E72963" w:rsidRPr="00E72963" w:rsidRDefault="00E72963" w:rsidP="00E72963">
            <w:pPr>
              <w:jc w:val="both"/>
              <w:rPr>
                <w:rFonts w:ascii="Cambria" w:hAnsi="Cambria" w:cs="Arial"/>
              </w:rPr>
            </w:pPr>
            <w:r w:rsidRPr="00E72963">
              <w:rPr>
                <w:rFonts w:ascii="Cambria" w:hAnsi="Cambria" w:cs="Arial"/>
              </w:rPr>
              <w:t>13</w:t>
            </w:r>
          </w:p>
        </w:tc>
        <w:tc>
          <w:tcPr>
            <w:tcW w:w="4412" w:type="dxa"/>
          </w:tcPr>
          <w:p w14:paraId="5C017743" w14:textId="77777777" w:rsidR="00E72963" w:rsidRPr="00E72963" w:rsidRDefault="00E72963" w:rsidP="00E72963">
            <w:pPr>
              <w:jc w:val="both"/>
              <w:rPr>
                <w:rFonts w:ascii="Cambria" w:hAnsi="Cambria" w:cs="Times New Roman"/>
              </w:rPr>
            </w:pPr>
            <w:r w:rsidRPr="00E72963">
              <w:rPr>
                <w:rFonts w:ascii="Cambria" w:hAnsi="Cambria" w:cs="Times New Roman"/>
                <w:rtl/>
              </w:rPr>
              <w:t>تعمل الشركة على تطوير نماذج أعمالها بما يتلاءم مع التغيرات في البيئة المحيطة</w:t>
            </w:r>
            <w:r w:rsidRPr="00E72963">
              <w:rPr>
                <w:rFonts w:ascii="Cambria" w:hAnsi="Cambria" w:cs="Times New Roman"/>
              </w:rPr>
              <w:t>.</w:t>
            </w:r>
          </w:p>
        </w:tc>
        <w:tc>
          <w:tcPr>
            <w:tcW w:w="679" w:type="dxa"/>
          </w:tcPr>
          <w:p w14:paraId="3F493908" w14:textId="77777777" w:rsidR="00E72963" w:rsidRPr="00E72963" w:rsidRDefault="00E72963" w:rsidP="00E72963">
            <w:pPr>
              <w:jc w:val="both"/>
              <w:rPr>
                <w:rFonts w:ascii="Cambria" w:hAnsi="Cambria" w:cs="Arial"/>
              </w:rPr>
            </w:pPr>
          </w:p>
        </w:tc>
        <w:tc>
          <w:tcPr>
            <w:tcW w:w="631" w:type="dxa"/>
          </w:tcPr>
          <w:p w14:paraId="771DACC3" w14:textId="77777777" w:rsidR="00E72963" w:rsidRPr="00E72963" w:rsidRDefault="00E72963" w:rsidP="00E72963">
            <w:pPr>
              <w:jc w:val="both"/>
              <w:rPr>
                <w:rFonts w:ascii="Cambria" w:hAnsi="Cambria" w:cs="Arial"/>
              </w:rPr>
            </w:pPr>
          </w:p>
        </w:tc>
        <w:tc>
          <w:tcPr>
            <w:tcW w:w="633" w:type="dxa"/>
          </w:tcPr>
          <w:p w14:paraId="4879B245" w14:textId="77777777" w:rsidR="00E72963" w:rsidRPr="00E72963" w:rsidRDefault="00E72963" w:rsidP="00E72963">
            <w:pPr>
              <w:jc w:val="both"/>
              <w:rPr>
                <w:rFonts w:ascii="Cambria" w:hAnsi="Cambria" w:cs="Arial"/>
              </w:rPr>
            </w:pPr>
          </w:p>
        </w:tc>
        <w:tc>
          <w:tcPr>
            <w:tcW w:w="632" w:type="dxa"/>
          </w:tcPr>
          <w:p w14:paraId="7FB8DD99" w14:textId="77777777" w:rsidR="00E72963" w:rsidRPr="00E72963" w:rsidRDefault="00E72963" w:rsidP="00E72963">
            <w:pPr>
              <w:jc w:val="both"/>
              <w:rPr>
                <w:rFonts w:ascii="Cambria" w:hAnsi="Cambria" w:cs="Arial"/>
              </w:rPr>
            </w:pPr>
          </w:p>
        </w:tc>
        <w:tc>
          <w:tcPr>
            <w:tcW w:w="679" w:type="dxa"/>
          </w:tcPr>
          <w:p w14:paraId="721A434B" w14:textId="77777777" w:rsidR="00E72963" w:rsidRPr="00E72963" w:rsidRDefault="00E72963" w:rsidP="00E72963">
            <w:pPr>
              <w:jc w:val="both"/>
              <w:rPr>
                <w:rFonts w:ascii="Cambria" w:hAnsi="Cambria" w:cs="Arial"/>
              </w:rPr>
            </w:pPr>
          </w:p>
        </w:tc>
      </w:tr>
      <w:tr w:rsidR="00E72963" w:rsidRPr="00E72963" w14:paraId="031608E4" w14:textId="77777777" w:rsidTr="00E72963">
        <w:tc>
          <w:tcPr>
            <w:tcW w:w="1190" w:type="dxa"/>
          </w:tcPr>
          <w:p w14:paraId="03C7C940" w14:textId="77777777" w:rsidR="00E72963" w:rsidRPr="00E72963" w:rsidRDefault="00E72963" w:rsidP="00E72963">
            <w:pPr>
              <w:jc w:val="both"/>
              <w:rPr>
                <w:rFonts w:ascii="Cambria" w:hAnsi="Cambria" w:cs="Arial"/>
              </w:rPr>
            </w:pPr>
            <w:r w:rsidRPr="00E72963">
              <w:rPr>
                <w:rFonts w:ascii="Cambria" w:hAnsi="Cambria" w:cs="Arial"/>
              </w:rPr>
              <w:t>14</w:t>
            </w:r>
          </w:p>
        </w:tc>
        <w:tc>
          <w:tcPr>
            <w:tcW w:w="4412" w:type="dxa"/>
          </w:tcPr>
          <w:p w14:paraId="22805B1E" w14:textId="77777777" w:rsidR="00E72963" w:rsidRPr="00E72963" w:rsidRDefault="00E72963" w:rsidP="00E72963">
            <w:pPr>
              <w:jc w:val="both"/>
              <w:rPr>
                <w:rFonts w:ascii="Cambria" w:hAnsi="Cambria" w:cs="Times New Roman"/>
              </w:rPr>
            </w:pPr>
            <w:r w:rsidRPr="00E72963">
              <w:rPr>
                <w:rFonts w:ascii="Cambria" w:hAnsi="Cambria" w:cs="Times New Roman"/>
                <w:rtl/>
              </w:rPr>
              <w:t>تعيد الشركة تصميم عملياتها وإجراءاتها عند الحاجة</w:t>
            </w:r>
            <w:r w:rsidRPr="00E72963">
              <w:rPr>
                <w:rFonts w:ascii="Cambria" w:hAnsi="Cambria" w:cs="Times New Roman"/>
              </w:rPr>
              <w:t>.</w:t>
            </w:r>
          </w:p>
        </w:tc>
        <w:tc>
          <w:tcPr>
            <w:tcW w:w="679" w:type="dxa"/>
          </w:tcPr>
          <w:p w14:paraId="31345096" w14:textId="77777777" w:rsidR="00E72963" w:rsidRPr="00E72963" w:rsidRDefault="00E72963" w:rsidP="00E72963">
            <w:pPr>
              <w:jc w:val="both"/>
              <w:rPr>
                <w:rFonts w:ascii="Cambria" w:hAnsi="Cambria" w:cs="Arial"/>
              </w:rPr>
            </w:pPr>
          </w:p>
        </w:tc>
        <w:tc>
          <w:tcPr>
            <w:tcW w:w="631" w:type="dxa"/>
          </w:tcPr>
          <w:p w14:paraId="3F04574B" w14:textId="77777777" w:rsidR="00E72963" w:rsidRPr="00E72963" w:rsidRDefault="00E72963" w:rsidP="00E72963">
            <w:pPr>
              <w:jc w:val="both"/>
              <w:rPr>
                <w:rFonts w:ascii="Cambria" w:hAnsi="Cambria" w:cs="Arial"/>
              </w:rPr>
            </w:pPr>
          </w:p>
        </w:tc>
        <w:tc>
          <w:tcPr>
            <w:tcW w:w="633" w:type="dxa"/>
          </w:tcPr>
          <w:p w14:paraId="2495B90E" w14:textId="77777777" w:rsidR="00E72963" w:rsidRPr="00E72963" w:rsidRDefault="00E72963" w:rsidP="00E72963">
            <w:pPr>
              <w:jc w:val="both"/>
              <w:rPr>
                <w:rFonts w:ascii="Cambria" w:hAnsi="Cambria" w:cs="Arial"/>
              </w:rPr>
            </w:pPr>
          </w:p>
        </w:tc>
        <w:tc>
          <w:tcPr>
            <w:tcW w:w="632" w:type="dxa"/>
          </w:tcPr>
          <w:p w14:paraId="1EE91BA4" w14:textId="77777777" w:rsidR="00E72963" w:rsidRPr="00E72963" w:rsidRDefault="00E72963" w:rsidP="00E72963">
            <w:pPr>
              <w:jc w:val="both"/>
              <w:rPr>
                <w:rFonts w:ascii="Cambria" w:hAnsi="Cambria" w:cs="Arial"/>
              </w:rPr>
            </w:pPr>
          </w:p>
        </w:tc>
        <w:tc>
          <w:tcPr>
            <w:tcW w:w="679" w:type="dxa"/>
          </w:tcPr>
          <w:p w14:paraId="6FD615FA" w14:textId="77777777" w:rsidR="00E72963" w:rsidRPr="00E72963" w:rsidRDefault="00E72963" w:rsidP="00E72963">
            <w:pPr>
              <w:jc w:val="both"/>
              <w:rPr>
                <w:rFonts w:ascii="Cambria" w:hAnsi="Cambria" w:cs="Arial"/>
              </w:rPr>
            </w:pPr>
          </w:p>
        </w:tc>
      </w:tr>
      <w:tr w:rsidR="00E72963" w:rsidRPr="00E72963" w14:paraId="4415C925" w14:textId="77777777" w:rsidTr="00E72963">
        <w:tc>
          <w:tcPr>
            <w:tcW w:w="1190" w:type="dxa"/>
          </w:tcPr>
          <w:p w14:paraId="7F5FCA0C" w14:textId="77777777" w:rsidR="00E72963" w:rsidRPr="00E72963" w:rsidRDefault="00E72963" w:rsidP="00E72963">
            <w:pPr>
              <w:jc w:val="both"/>
              <w:rPr>
                <w:rFonts w:ascii="Cambria" w:hAnsi="Cambria" w:cs="Arial"/>
              </w:rPr>
            </w:pPr>
            <w:r w:rsidRPr="00E72963">
              <w:rPr>
                <w:rFonts w:ascii="Cambria" w:hAnsi="Cambria" w:cs="Arial"/>
              </w:rPr>
              <w:t>15</w:t>
            </w:r>
          </w:p>
        </w:tc>
        <w:tc>
          <w:tcPr>
            <w:tcW w:w="4412" w:type="dxa"/>
          </w:tcPr>
          <w:p w14:paraId="18D7298C" w14:textId="77777777" w:rsidR="00E72963" w:rsidRPr="00E72963" w:rsidRDefault="00E72963" w:rsidP="00E72963">
            <w:pPr>
              <w:jc w:val="both"/>
              <w:rPr>
                <w:rFonts w:ascii="Cambria" w:hAnsi="Cambria" w:cs="Times New Roman"/>
              </w:rPr>
            </w:pPr>
            <w:r w:rsidRPr="00E72963">
              <w:rPr>
                <w:rFonts w:ascii="Cambria" w:hAnsi="Cambria" w:cs="Times New Roman"/>
                <w:rtl/>
              </w:rPr>
              <w:t>تتبنى الشركة أساليب عمل جديدة لدعم قدرتها التنافسية</w:t>
            </w:r>
            <w:r w:rsidRPr="00E72963">
              <w:rPr>
                <w:rFonts w:ascii="Cambria" w:hAnsi="Cambria" w:cs="Times New Roman"/>
              </w:rPr>
              <w:t>.</w:t>
            </w:r>
          </w:p>
        </w:tc>
        <w:tc>
          <w:tcPr>
            <w:tcW w:w="679" w:type="dxa"/>
          </w:tcPr>
          <w:p w14:paraId="11619BBB" w14:textId="77777777" w:rsidR="00E72963" w:rsidRPr="00E72963" w:rsidRDefault="00E72963" w:rsidP="00E72963">
            <w:pPr>
              <w:jc w:val="both"/>
              <w:rPr>
                <w:rFonts w:ascii="Cambria" w:hAnsi="Cambria" w:cs="Arial"/>
              </w:rPr>
            </w:pPr>
          </w:p>
        </w:tc>
        <w:tc>
          <w:tcPr>
            <w:tcW w:w="631" w:type="dxa"/>
          </w:tcPr>
          <w:p w14:paraId="68A00D6D" w14:textId="77777777" w:rsidR="00E72963" w:rsidRPr="00E72963" w:rsidRDefault="00E72963" w:rsidP="00E72963">
            <w:pPr>
              <w:jc w:val="both"/>
              <w:rPr>
                <w:rFonts w:ascii="Cambria" w:hAnsi="Cambria" w:cs="Arial"/>
              </w:rPr>
            </w:pPr>
          </w:p>
        </w:tc>
        <w:tc>
          <w:tcPr>
            <w:tcW w:w="633" w:type="dxa"/>
          </w:tcPr>
          <w:p w14:paraId="5F300D26" w14:textId="77777777" w:rsidR="00E72963" w:rsidRPr="00E72963" w:rsidRDefault="00E72963" w:rsidP="00E72963">
            <w:pPr>
              <w:jc w:val="both"/>
              <w:rPr>
                <w:rFonts w:ascii="Cambria" w:hAnsi="Cambria" w:cs="Arial"/>
              </w:rPr>
            </w:pPr>
          </w:p>
        </w:tc>
        <w:tc>
          <w:tcPr>
            <w:tcW w:w="632" w:type="dxa"/>
          </w:tcPr>
          <w:p w14:paraId="517562FD" w14:textId="77777777" w:rsidR="00E72963" w:rsidRPr="00E72963" w:rsidRDefault="00E72963" w:rsidP="00E72963">
            <w:pPr>
              <w:jc w:val="both"/>
              <w:rPr>
                <w:rFonts w:ascii="Cambria" w:hAnsi="Cambria" w:cs="Arial"/>
              </w:rPr>
            </w:pPr>
          </w:p>
        </w:tc>
        <w:tc>
          <w:tcPr>
            <w:tcW w:w="679" w:type="dxa"/>
          </w:tcPr>
          <w:p w14:paraId="1F636B3D" w14:textId="77777777" w:rsidR="00E72963" w:rsidRPr="00E72963" w:rsidRDefault="00E72963" w:rsidP="00E72963">
            <w:pPr>
              <w:jc w:val="both"/>
              <w:rPr>
                <w:rFonts w:ascii="Cambria" w:hAnsi="Cambria" w:cs="Arial"/>
              </w:rPr>
            </w:pPr>
          </w:p>
        </w:tc>
      </w:tr>
      <w:tr w:rsidR="00E72963" w:rsidRPr="00E72963" w14:paraId="55B1817B" w14:textId="77777777" w:rsidTr="00E72963">
        <w:tc>
          <w:tcPr>
            <w:tcW w:w="1190" w:type="dxa"/>
          </w:tcPr>
          <w:p w14:paraId="12D25CF2" w14:textId="77777777" w:rsidR="00E72963" w:rsidRPr="00E72963" w:rsidRDefault="00E72963" w:rsidP="00E72963">
            <w:pPr>
              <w:jc w:val="both"/>
              <w:rPr>
                <w:rFonts w:ascii="Cambria" w:hAnsi="Cambria" w:cs="Arial"/>
              </w:rPr>
            </w:pPr>
            <w:r w:rsidRPr="00E72963">
              <w:rPr>
                <w:rFonts w:ascii="Cambria" w:hAnsi="Cambria" w:cs="Arial"/>
              </w:rPr>
              <w:t>16</w:t>
            </w:r>
          </w:p>
        </w:tc>
        <w:tc>
          <w:tcPr>
            <w:tcW w:w="4412" w:type="dxa"/>
          </w:tcPr>
          <w:p w14:paraId="2B4474DA" w14:textId="77777777" w:rsidR="00E72963" w:rsidRPr="00E72963" w:rsidRDefault="00E72963" w:rsidP="00E72963">
            <w:pPr>
              <w:jc w:val="both"/>
              <w:rPr>
                <w:rFonts w:ascii="Cambria" w:hAnsi="Cambria" w:cs="Times New Roman"/>
              </w:rPr>
            </w:pPr>
            <w:r w:rsidRPr="00E72963">
              <w:rPr>
                <w:rFonts w:ascii="Cambria" w:hAnsi="Cambria" w:cs="Times New Roman"/>
                <w:rtl/>
              </w:rPr>
              <w:t>تشجع الشركة الابتكار التنظيمي بما يدعم تحقيق أهدافها الاستراتيجية</w:t>
            </w:r>
            <w:r w:rsidRPr="00E72963">
              <w:rPr>
                <w:rFonts w:ascii="Cambria" w:hAnsi="Cambria" w:cs="Times New Roman"/>
              </w:rPr>
              <w:t>.</w:t>
            </w:r>
          </w:p>
        </w:tc>
        <w:tc>
          <w:tcPr>
            <w:tcW w:w="679" w:type="dxa"/>
          </w:tcPr>
          <w:p w14:paraId="7C4386DD" w14:textId="77777777" w:rsidR="00E72963" w:rsidRPr="00E72963" w:rsidRDefault="00E72963" w:rsidP="00E72963">
            <w:pPr>
              <w:jc w:val="both"/>
              <w:rPr>
                <w:rFonts w:ascii="Cambria" w:hAnsi="Cambria" w:cs="Arial"/>
              </w:rPr>
            </w:pPr>
          </w:p>
        </w:tc>
        <w:tc>
          <w:tcPr>
            <w:tcW w:w="631" w:type="dxa"/>
          </w:tcPr>
          <w:p w14:paraId="4599CAEA" w14:textId="77777777" w:rsidR="00E72963" w:rsidRPr="00E72963" w:rsidRDefault="00E72963" w:rsidP="00E72963">
            <w:pPr>
              <w:jc w:val="both"/>
              <w:rPr>
                <w:rFonts w:ascii="Cambria" w:hAnsi="Cambria" w:cs="Arial"/>
              </w:rPr>
            </w:pPr>
          </w:p>
        </w:tc>
        <w:tc>
          <w:tcPr>
            <w:tcW w:w="633" w:type="dxa"/>
          </w:tcPr>
          <w:p w14:paraId="380A4BF3" w14:textId="77777777" w:rsidR="00E72963" w:rsidRPr="00E72963" w:rsidRDefault="00E72963" w:rsidP="00E72963">
            <w:pPr>
              <w:jc w:val="both"/>
              <w:rPr>
                <w:rFonts w:ascii="Cambria" w:hAnsi="Cambria" w:cs="Arial"/>
              </w:rPr>
            </w:pPr>
          </w:p>
        </w:tc>
        <w:tc>
          <w:tcPr>
            <w:tcW w:w="632" w:type="dxa"/>
          </w:tcPr>
          <w:p w14:paraId="7E10740D" w14:textId="77777777" w:rsidR="00E72963" w:rsidRPr="00E72963" w:rsidRDefault="00E72963" w:rsidP="00E72963">
            <w:pPr>
              <w:jc w:val="both"/>
              <w:rPr>
                <w:rFonts w:ascii="Cambria" w:hAnsi="Cambria" w:cs="Arial"/>
              </w:rPr>
            </w:pPr>
          </w:p>
        </w:tc>
        <w:tc>
          <w:tcPr>
            <w:tcW w:w="679" w:type="dxa"/>
          </w:tcPr>
          <w:p w14:paraId="58412190" w14:textId="77777777" w:rsidR="00E72963" w:rsidRPr="00E72963" w:rsidRDefault="00E72963" w:rsidP="00E72963">
            <w:pPr>
              <w:jc w:val="both"/>
              <w:rPr>
                <w:rFonts w:ascii="Cambria" w:hAnsi="Cambria" w:cs="Arial"/>
              </w:rPr>
            </w:pPr>
          </w:p>
        </w:tc>
      </w:tr>
    </w:tbl>
    <w:p w14:paraId="15C1224E" w14:textId="77777777" w:rsidR="00E72963" w:rsidRPr="00E72963" w:rsidRDefault="00E72963" w:rsidP="008574AD">
      <w:pPr>
        <w:spacing w:line="240" w:lineRule="auto"/>
        <w:jc w:val="both"/>
        <w:rPr>
          <w:rFonts w:ascii="Simplified Arabic" w:hAnsi="Simplified Arabic" w:cs="Simplified Arabic"/>
          <w:sz w:val="28"/>
          <w:szCs w:val="28"/>
          <w:rtl/>
          <w:lang w:bidi="ar-EG"/>
        </w:rPr>
      </w:pPr>
    </w:p>
    <w:sectPr w:rsidR="00E72963" w:rsidRPr="00E72963" w:rsidSect="00D778D8">
      <w:headerReference w:type="even" r:id="rId35"/>
      <w:headerReference w:type="default" r:id="rId36"/>
      <w:footerReference w:type="even" r:id="rId37"/>
      <w:footerReference w:type="default" r:id="rId38"/>
      <w:headerReference w:type="first" r:id="rId39"/>
      <w:footerReference w:type="first" r:id="rId40"/>
      <w:pgSz w:w="11907" w:h="16443" w:code="9"/>
      <w:pgMar w:top="2268" w:right="1701" w:bottom="1701" w:left="170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DAC14" w14:textId="77777777" w:rsidR="00973BE5" w:rsidRDefault="00973BE5" w:rsidP="00D23DE5">
      <w:pPr>
        <w:spacing w:after="0" w:line="240" w:lineRule="auto"/>
      </w:pPr>
      <w:r>
        <w:separator/>
      </w:r>
    </w:p>
  </w:endnote>
  <w:endnote w:type="continuationSeparator" w:id="0">
    <w:p w14:paraId="77A30D2A" w14:textId="77777777" w:rsidR="00973BE5" w:rsidRDefault="00973BE5" w:rsidP="00D23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E2917" w14:textId="77777777" w:rsidR="00D778D8" w:rsidRDefault="00D778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1763349"/>
      <w:docPartObj>
        <w:docPartGallery w:val="Page Numbers (Bottom of Page)"/>
        <w:docPartUnique/>
      </w:docPartObj>
    </w:sdtPr>
    <w:sdtEndPr>
      <w:rPr>
        <w:noProof/>
      </w:rPr>
    </w:sdtEndPr>
    <w:sdtContent>
      <w:p w14:paraId="4646C7D4" w14:textId="77777777" w:rsidR="00D778D8" w:rsidRDefault="00D778D8">
        <w:pPr>
          <w:pStyle w:val="Footer"/>
          <w:jc w:val="center"/>
        </w:pPr>
        <w:r>
          <w:fldChar w:fldCharType="begin"/>
        </w:r>
        <w:r>
          <w:instrText xml:space="preserve"> PAGE   \* MERGEFORMAT </w:instrText>
        </w:r>
        <w:r>
          <w:fldChar w:fldCharType="separate"/>
        </w:r>
        <w:r w:rsidR="008220F3">
          <w:rPr>
            <w:noProof/>
            <w:rtl/>
          </w:rPr>
          <w:t>38</w:t>
        </w:r>
        <w:r>
          <w:rPr>
            <w:noProof/>
          </w:rPr>
          <w:fldChar w:fldCharType="end"/>
        </w:r>
      </w:p>
    </w:sdtContent>
  </w:sdt>
  <w:p w14:paraId="246CEE81" w14:textId="77777777" w:rsidR="00D778D8" w:rsidRDefault="00D778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A975E" w14:textId="77777777" w:rsidR="00D778D8" w:rsidRDefault="00D77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6CA9" w14:textId="77777777" w:rsidR="00973BE5" w:rsidRDefault="00973BE5" w:rsidP="00D23DE5">
      <w:pPr>
        <w:spacing w:after="0" w:line="240" w:lineRule="auto"/>
      </w:pPr>
      <w:r>
        <w:separator/>
      </w:r>
    </w:p>
  </w:footnote>
  <w:footnote w:type="continuationSeparator" w:id="0">
    <w:p w14:paraId="4CDFDA6F" w14:textId="77777777" w:rsidR="00973BE5" w:rsidRDefault="00973BE5" w:rsidP="00D23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16FF" w14:textId="77777777" w:rsidR="00D778D8" w:rsidRDefault="00D778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3853" w14:textId="77777777" w:rsidR="00D778D8" w:rsidRDefault="00D778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7E0B" w14:textId="77777777" w:rsidR="00D778D8" w:rsidRDefault="00D77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10566"/>
    <w:multiLevelType w:val="multilevel"/>
    <w:tmpl w:val="B666F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E0E54"/>
    <w:multiLevelType w:val="multilevel"/>
    <w:tmpl w:val="AC8AC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905ED3"/>
    <w:multiLevelType w:val="multilevel"/>
    <w:tmpl w:val="199C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9C18C2"/>
    <w:multiLevelType w:val="multilevel"/>
    <w:tmpl w:val="109EF3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1F29AA"/>
    <w:multiLevelType w:val="hybridMultilevel"/>
    <w:tmpl w:val="2804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E8237F"/>
    <w:multiLevelType w:val="hybridMultilevel"/>
    <w:tmpl w:val="CA826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1A44E6"/>
    <w:multiLevelType w:val="hybridMultilevel"/>
    <w:tmpl w:val="CE6EF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3717845">
    <w:abstractNumId w:val="2"/>
  </w:num>
  <w:num w:numId="2" w16cid:durableId="1009868382">
    <w:abstractNumId w:val="0"/>
  </w:num>
  <w:num w:numId="3" w16cid:durableId="1571188768">
    <w:abstractNumId w:val="6"/>
  </w:num>
  <w:num w:numId="4" w16cid:durableId="2079089313">
    <w:abstractNumId w:val="3"/>
  </w:num>
  <w:num w:numId="5" w16cid:durableId="1008601189">
    <w:abstractNumId w:val="1"/>
  </w:num>
  <w:num w:numId="6" w16cid:durableId="52893601">
    <w:abstractNumId w:val="4"/>
  </w:num>
  <w:num w:numId="7" w16cid:durableId="179648424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5F5"/>
    <w:rsid w:val="00080ADE"/>
    <w:rsid w:val="0015196A"/>
    <w:rsid w:val="001672C9"/>
    <w:rsid w:val="001F752B"/>
    <w:rsid w:val="0021373B"/>
    <w:rsid w:val="0021576E"/>
    <w:rsid w:val="00257EDD"/>
    <w:rsid w:val="002715C1"/>
    <w:rsid w:val="00294D92"/>
    <w:rsid w:val="002B7718"/>
    <w:rsid w:val="002F77AA"/>
    <w:rsid w:val="003734F6"/>
    <w:rsid w:val="003A4CBF"/>
    <w:rsid w:val="003F0730"/>
    <w:rsid w:val="004172E9"/>
    <w:rsid w:val="00436C8D"/>
    <w:rsid w:val="00450AB7"/>
    <w:rsid w:val="004976F5"/>
    <w:rsid w:val="00526BE2"/>
    <w:rsid w:val="00550DBF"/>
    <w:rsid w:val="005D6D66"/>
    <w:rsid w:val="005F2B54"/>
    <w:rsid w:val="005F2BA1"/>
    <w:rsid w:val="00621982"/>
    <w:rsid w:val="006625AA"/>
    <w:rsid w:val="006D0351"/>
    <w:rsid w:val="00710D6C"/>
    <w:rsid w:val="00715BAD"/>
    <w:rsid w:val="0078059F"/>
    <w:rsid w:val="007A27D6"/>
    <w:rsid w:val="007D7C3A"/>
    <w:rsid w:val="007F42C4"/>
    <w:rsid w:val="008220F3"/>
    <w:rsid w:val="008574AD"/>
    <w:rsid w:val="00874C20"/>
    <w:rsid w:val="0092157D"/>
    <w:rsid w:val="009559F0"/>
    <w:rsid w:val="00973BE5"/>
    <w:rsid w:val="009965F5"/>
    <w:rsid w:val="009A46CC"/>
    <w:rsid w:val="009D7AA8"/>
    <w:rsid w:val="00A316D6"/>
    <w:rsid w:val="00A55632"/>
    <w:rsid w:val="00A676C2"/>
    <w:rsid w:val="00A835D3"/>
    <w:rsid w:val="00AC73AF"/>
    <w:rsid w:val="00B32136"/>
    <w:rsid w:val="00B75509"/>
    <w:rsid w:val="00B85D4C"/>
    <w:rsid w:val="00BB6D2F"/>
    <w:rsid w:val="00BD0786"/>
    <w:rsid w:val="00C53C3A"/>
    <w:rsid w:val="00CC18BD"/>
    <w:rsid w:val="00CC487D"/>
    <w:rsid w:val="00D23DE5"/>
    <w:rsid w:val="00D3643E"/>
    <w:rsid w:val="00D53EFA"/>
    <w:rsid w:val="00D778D8"/>
    <w:rsid w:val="00DD47DA"/>
    <w:rsid w:val="00E72963"/>
    <w:rsid w:val="00E74589"/>
    <w:rsid w:val="00F0481D"/>
    <w:rsid w:val="00F37B06"/>
    <w:rsid w:val="00F96C5F"/>
    <w:rsid w:val="00FA1A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F6CB"/>
  <w15:chartTrackingRefBased/>
  <w15:docId w15:val="{55E8E672-9CB8-409E-B7D3-DC26548BC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57D"/>
    <w:pPr>
      <w:ind w:left="720"/>
      <w:contextualSpacing/>
    </w:pPr>
  </w:style>
  <w:style w:type="paragraph" w:customStyle="1" w:styleId="my-2">
    <w:name w:val="my-2"/>
    <w:basedOn w:val="Normal"/>
    <w:rsid w:val="00080AD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0ADE"/>
    <w:rPr>
      <w:b/>
      <w:bCs/>
    </w:rPr>
  </w:style>
  <w:style w:type="character" w:styleId="Hyperlink">
    <w:name w:val="Hyperlink"/>
    <w:basedOn w:val="DefaultParagraphFont"/>
    <w:uiPriority w:val="99"/>
    <w:unhideWhenUsed/>
    <w:rsid w:val="00080ADE"/>
    <w:rPr>
      <w:color w:val="0000FF"/>
      <w:u w:val="single"/>
    </w:rPr>
  </w:style>
  <w:style w:type="character" w:styleId="Emphasis">
    <w:name w:val="Emphasis"/>
    <w:basedOn w:val="DefaultParagraphFont"/>
    <w:uiPriority w:val="20"/>
    <w:qFormat/>
    <w:rsid w:val="00080ADE"/>
    <w:rPr>
      <w:i/>
      <w:iCs/>
    </w:rPr>
  </w:style>
  <w:style w:type="paragraph" w:styleId="NormalWeb">
    <w:name w:val="Normal (Web)"/>
    <w:basedOn w:val="Normal"/>
    <w:uiPriority w:val="99"/>
    <w:semiHidden/>
    <w:unhideWhenUsed/>
    <w:rsid w:val="0021373B"/>
    <w:rPr>
      <w:rFonts w:ascii="Times New Roman" w:hAnsi="Times New Roman" w:cs="Times New Roman"/>
      <w:sz w:val="24"/>
      <w:szCs w:val="24"/>
    </w:rPr>
  </w:style>
  <w:style w:type="table" w:styleId="TableGrid">
    <w:name w:val="Table Grid"/>
    <w:basedOn w:val="TableNormal"/>
    <w:uiPriority w:val="39"/>
    <w:rsid w:val="00FA1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
    <w:name w:val="citation"/>
    <w:basedOn w:val="DefaultParagraphFont"/>
    <w:rsid w:val="00A676C2"/>
  </w:style>
  <w:style w:type="character" w:customStyle="1" w:styleId="inline-block">
    <w:name w:val="inline-block"/>
    <w:basedOn w:val="DefaultParagraphFont"/>
    <w:rsid w:val="00A676C2"/>
  </w:style>
  <w:style w:type="character" w:customStyle="1" w:styleId="opacity-50">
    <w:name w:val="opacity-50"/>
    <w:basedOn w:val="DefaultParagraphFont"/>
    <w:rsid w:val="00A676C2"/>
  </w:style>
  <w:style w:type="character" w:styleId="FollowedHyperlink">
    <w:name w:val="FollowedHyperlink"/>
    <w:basedOn w:val="DefaultParagraphFont"/>
    <w:uiPriority w:val="99"/>
    <w:semiHidden/>
    <w:unhideWhenUsed/>
    <w:rsid w:val="007A27D6"/>
    <w:rPr>
      <w:color w:val="954F72" w:themeColor="followedHyperlink"/>
      <w:u w:val="single"/>
    </w:rPr>
  </w:style>
  <w:style w:type="paragraph" w:styleId="Header">
    <w:name w:val="header"/>
    <w:basedOn w:val="Normal"/>
    <w:link w:val="HeaderChar"/>
    <w:uiPriority w:val="99"/>
    <w:unhideWhenUsed/>
    <w:rsid w:val="00D23DE5"/>
    <w:pPr>
      <w:tabs>
        <w:tab w:val="center" w:pos="4153"/>
        <w:tab w:val="right" w:pos="8306"/>
      </w:tabs>
      <w:spacing w:after="0" w:line="240" w:lineRule="auto"/>
    </w:pPr>
  </w:style>
  <w:style w:type="character" w:customStyle="1" w:styleId="HeaderChar">
    <w:name w:val="Header Char"/>
    <w:basedOn w:val="DefaultParagraphFont"/>
    <w:link w:val="Header"/>
    <w:uiPriority w:val="99"/>
    <w:rsid w:val="00D23DE5"/>
  </w:style>
  <w:style w:type="paragraph" w:styleId="Footer">
    <w:name w:val="footer"/>
    <w:basedOn w:val="Normal"/>
    <w:link w:val="FooterChar"/>
    <w:uiPriority w:val="99"/>
    <w:unhideWhenUsed/>
    <w:rsid w:val="00D23D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D23DE5"/>
  </w:style>
  <w:style w:type="table" w:customStyle="1" w:styleId="TableGrid1">
    <w:name w:val="Table Grid1"/>
    <w:basedOn w:val="TableNormal"/>
    <w:next w:val="TableGrid"/>
    <w:uiPriority w:val="59"/>
    <w:rsid w:val="00E7296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78D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6443">
      <w:bodyDiv w:val="1"/>
      <w:marLeft w:val="0"/>
      <w:marRight w:val="0"/>
      <w:marTop w:val="0"/>
      <w:marBottom w:val="0"/>
      <w:divBdr>
        <w:top w:val="none" w:sz="0" w:space="0" w:color="auto"/>
        <w:left w:val="none" w:sz="0" w:space="0" w:color="auto"/>
        <w:bottom w:val="none" w:sz="0" w:space="0" w:color="auto"/>
        <w:right w:val="none" w:sz="0" w:space="0" w:color="auto"/>
      </w:divBdr>
    </w:div>
    <w:div w:id="50353825">
      <w:bodyDiv w:val="1"/>
      <w:marLeft w:val="0"/>
      <w:marRight w:val="0"/>
      <w:marTop w:val="0"/>
      <w:marBottom w:val="0"/>
      <w:divBdr>
        <w:top w:val="none" w:sz="0" w:space="0" w:color="auto"/>
        <w:left w:val="none" w:sz="0" w:space="0" w:color="auto"/>
        <w:bottom w:val="none" w:sz="0" w:space="0" w:color="auto"/>
        <w:right w:val="none" w:sz="0" w:space="0" w:color="auto"/>
      </w:divBdr>
    </w:div>
    <w:div w:id="57439593">
      <w:bodyDiv w:val="1"/>
      <w:marLeft w:val="0"/>
      <w:marRight w:val="0"/>
      <w:marTop w:val="0"/>
      <w:marBottom w:val="0"/>
      <w:divBdr>
        <w:top w:val="none" w:sz="0" w:space="0" w:color="auto"/>
        <w:left w:val="none" w:sz="0" w:space="0" w:color="auto"/>
        <w:bottom w:val="none" w:sz="0" w:space="0" w:color="auto"/>
        <w:right w:val="none" w:sz="0" w:space="0" w:color="auto"/>
      </w:divBdr>
    </w:div>
    <w:div w:id="66613023">
      <w:bodyDiv w:val="1"/>
      <w:marLeft w:val="0"/>
      <w:marRight w:val="0"/>
      <w:marTop w:val="0"/>
      <w:marBottom w:val="0"/>
      <w:divBdr>
        <w:top w:val="none" w:sz="0" w:space="0" w:color="auto"/>
        <w:left w:val="none" w:sz="0" w:space="0" w:color="auto"/>
        <w:bottom w:val="none" w:sz="0" w:space="0" w:color="auto"/>
        <w:right w:val="none" w:sz="0" w:space="0" w:color="auto"/>
      </w:divBdr>
    </w:div>
    <w:div w:id="67383666">
      <w:bodyDiv w:val="1"/>
      <w:marLeft w:val="0"/>
      <w:marRight w:val="0"/>
      <w:marTop w:val="0"/>
      <w:marBottom w:val="0"/>
      <w:divBdr>
        <w:top w:val="none" w:sz="0" w:space="0" w:color="auto"/>
        <w:left w:val="none" w:sz="0" w:space="0" w:color="auto"/>
        <w:bottom w:val="none" w:sz="0" w:space="0" w:color="auto"/>
        <w:right w:val="none" w:sz="0" w:space="0" w:color="auto"/>
      </w:divBdr>
    </w:div>
    <w:div w:id="68239638">
      <w:bodyDiv w:val="1"/>
      <w:marLeft w:val="0"/>
      <w:marRight w:val="0"/>
      <w:marTop w:val="0"/>
      <w:marBottom w:val="0"/>
      <w:divBdr>
        <w:top w:val="none" w:sz="0" w:space="0" w:color="auto"/>
        <w:left w:val="none" w:sz="0" w:space="0" w:color="auto"/>
        <w:bottom w:val="none" w:sz="0" w:space="0" w:color="auto"/>
        <w:right w:val="none" w:sz="0" w:space="0" w:color="auto"/>
      </w:divBdr>
    </w:div>
    <w:div w:id="92362596">
      <w:bodyDiv w:val="1"/>
      <w:marLeft w:val="0"/>
      <w:marRight w:val="0"/>
      <w:marTop w:val="0"/>
      <w:marBottom w:val="0"/>
      <w:divBdr>
        <w:top w:val="none" w:sz="0" w:space="0" w:color="auto"/>
        <w:left w:val="none" w:sz="0" w:space="0" w:color="auto"/>
        <w:bottom w:val="none" w:sz="0" w:space="0" w:color="auto"/>
        <w:right w:val="none" w:sz="0" w:space="0" w:color="auto"/>
      </w:divBdr>
    </w:div>
    <w:div w:id="116291243">
      <w:bodyDiv w:val="1"/>
      <w:marLeft w:val="0"/>
      <w:marRight w:val="0"/>
      <w:marTop w:val="0"/>
      <w:marBottom w:val="0"/>
      <w:divBdr>
        <w:top w:val="none" w:sz="0" w:space="0" w:color="auto"/>
        <w:left w:val="none" w:sz="0" w:space="0" w:color="auto"/>
        <w:bottom w:val="none" w:sz="0" w:space="0" w:color="auto"/>
        <w:right w:val="none" w:sz="0" w:space="0" w:color="auto"/>
      </w:divBdr>
    </w:div>
    <w:div w:id="135605093">
      <w:bodyDiv w:val="1"/>
      <w:marLeft w:val="0"/>
      <w:marRight w:val="0"/>
      <w:marTop w:val="0"/>
      <w:marBottom w:val="0"/>
      <w:divBdr>
        <w:top w:val="none" w:sz="0" w:space="0" w:color="auto"/>
        <w:left w:val="none" w:sz="0" w:space="0" w:color="auto"/>
        <w:bottom w:val="none" w:sz="0" w:space="0" w:color="auto"/>
        <w:right w:val="none" w:sz="0" w:space="0" w:color="auto"/>
      </w:divBdr>
    </w:div>
    <w:div w:id="149098567">
      <w:bodyDiv w:val="1"/>
      <w:marLeft w:val="0"/>
      <w:marRight w:val="0"/>
      <w:marTop w:val="0"/>
      <w:marBottom w:val="0"/>
      <w:divBdr>
        <w:top w:val="none" w:sz="0" w:space="0" w:color="auto"/>
        <w:left w:val="none" w:sz="0" w:space="0" w:color="auto"/>
        <w:bottom w:val="none" w:sz="0" w:space="0" w:color="auto"/>
        <w:right w:val="none" w:sz="0" w:space="0" w:color="auto"/>
      </w:divBdr>
    </w:div>
    <w:div w:id="156504111">
      <w:bodyDiv w:val="1"/>
      <w:marLeft w:val="0"/>
      <w:marRight w:val="0"/>
      <w:marTop w:val="0"/>
      <w:marBottom w:val="0"/>
      <w:divBdr>
        <w:top w:val="none" w:sz="0" w:space="0" w:color="auto"/>
        <w:left w:val="none" w:sz="0" w:space="0" w:color="auto"/>
        <w:bottom w:val="none" w:sz="0" w:space="0" w:color="auto"/>
        <w:right w:val="none" w:sz="0" w:space="0" w:color="auto"/>
      </w:divBdr>
    </w:div>
    <w:div w:id="176701417">
      <w:bodyDiv w:val="1"/>
      <w:marLeft w:val="0"/>
      <w:marRight w:val="0"/>
      <w:marTop w:val="0"/>
      <w:marBottom w:val="0"/>
      <w:divBdr>
        <w:top w:val="none" w:sz="0" w:space="0" w:color="auto"/>
        <w:left w:val="none" w:sz="0" w:space="0" w:color="auto"/>
        <w:bottom w:val="none" w:sz="0" w:space="0" w:color="auto"/>
        <w:right w:val="none" w:sz="0" w:space="0" w:color="auto"/>
      </w:divBdr>
    </w:div>
    <w:div w:id="181286020">
      <w:bodyDiv w:val="1"/>
      <w:marLeft w:val="0"/>
      <w:marRight w:val="0"/>
      <w:marTop w:val="0"/>
      <w:marBottom w:val="0"/>
      <w:divBdr>
        <w:top w:val="none" w:sz="0" w:space="0" w:color="auto"/>
        <w:left w:val="none" w:sz="0" w:space="0" w:color="auto"/>
        <w:bottom w:val="none" w:sz="0" w:space="0" w:color="auto"/>
        <w:right w:val="none" w:sz="0" w:space="0" w:color="auto"/>
      </w:divBdr>
    </w:div>
    <w:div w:id="183788553">
      <w:bodyDiv w:val="1"/>
      <w:marLeft w:val="0"/>
      <w:marRight w:val="0"/>
      <w:marTop w:val="0"/>
      <w:marBottom w:val="0"/>
      <w:divBdr>
        <w:top w:val="none" w:sz="0" w:space="0" w:color="auto"/>
        <w:left w:val="none" w:sz="0" w:space="0" w:color="auto"/>
        <w:bottom w:val="none" w:sz="0" w:space="0" w:color="auto"/>
        <w:right w:val="none" w:sz="0" w:space="0" w:color="auto"/>
      </w:divBdr>
    </w:div>
    <w:div w:id="185289156">
      <w:bodyDiv w:val="1"/>
      <w:marLeft w:val="0"/>
      <w:marRight w:val="0"/>
      <w:marTop w:val="0"/>
      <w:marBottom w:val="0"/>
      <w:divBdr>
        <w:top w:val="none" w:sz="0" w:space="0" w:color="auto"/>
        <w:left w:val="none" w:sz="0" w:space="0" w:color="auto"/>
        <w:bottom w:val="none" w:sz="0" w:space="0" w:color="auto"/>
        <w:right w:val="none" w:sz="0" w:space="0" w:color="auto"/>
      </w:divBdr>
    </w:div>
    <w:div w:id="187258042">
      <w:bodyDiv w:val="1"/>
      <w:marLeft w:val="0"/>
      <w:marRight w:val="0"/>
      <w:marTop w:val="0"/>
      <w:marBottom w:val="0"/>
      <w:divBdr>
        <w:top w:val="none" w:sz="0" w:space="0" w:color="auto"/>
        <w:left w:val="none" w:sz="0" w:space="0" w:color="auto"/>
        <w:bottom w:val="none" w:sz="0" w:space="0" w:color="auto"/>
        <w:right w:val="none" w:sz="0" w:space="0" w:color="auto"/>
      </w:divBdr>
    </w:div>
    <w:div w:id="189150750">
      <w:bodyDiv w:val="1"/>
      <w:marLeft w:val="0"/>
      <w:marRight w:val="0"/>
      <w:marTop w:val="0"/>
      <w:marBottom w:val="0"/>
      <w:divBdr>
        <w:top w:val="none" w:sz="0" w:space="0" w:color="auto"/>
        <w:left w:val="none" w:sz="0" w:space="0" w:color="auto"/>
        <w:bottom w:val="none" w:sz="0" w:space="0" w:color="auto"/>
        <w:right w:val="none" w:sz="0" w:space="0" w:color="auto"/>
      </w:divBdr>
    </w:div>
    <w:div w:id="190799080">
      <w:bodyDiv w:val="1"/>
      <w:marLeft w:val="0"/>
      <w:marRight w:val="0"/>
      <w:marTop w:val="0"/>
      <w:marBottom w:val="0"/>
      <w:divBdr>
        <w:top w:val="none" w:sz="0" w:space="0" w:color="auto"/>
        <w:left w:val="none" w:sz="0" w:space="0" w:color="auto"/>
        <w:bottom w:val="none" w:sz="0" w:space="0" w:color="auto"/>
        <w:right w:val="none" w:sz="0" w:space="0" w:color="auto"/>
      </w:divBdr>
    </w:div>
    <w:div w:id="191767341">
      <w:bodyDiv w:val="1"/>
      <w:marLeft w:val="0"/>
      <w:marRight w:val="0"/>
      <w:marTop w:val="0"/>
      <w:marBottom w:val="0"/>
      <w:divBdr>
        <w:top w:val="none" w:sz="0" w:space="0" w:color="auto"/>
        <w:left w:val="none" w:sz="0" w:space="0" w:color="auto"/>
        <w:bottom w:val="none" w:sz="0" w:space="0" w:color="auto"/>
        <w:right w:val="none" w:sz="0" w:space="0" w:color="auto"/>
      </w:divBdr>
    </w:div>
    <w:div w:id="222983269">
      <w:bodyDiv w:val="1"/>
      <w:marLeft w:val="0"/>
      <w:marRight w:val="0"/>
      <w:marTop w:val="0"/>
      <w:marBottom w:val="0"/>
      <w:divBdr>
        <w:top w:val="none" w:sz="0" w:space="0" w:color="auto"/>
        <w:left w:val="none" w:sz="0" w:space="0" w:color="auto"/>
        <w:bottom w:val="none" w:sz="0" w:space="0" w:color="auto"/>
        <w:right w:val="none" w:sz="0" w:space="0" w:color="auto"/>
      </w:divBdr>
    </w:div>
    <w:div w:id="234509121">
      <w:bodyDiv w:val="1"/>
      <w:marLeft w:val="0"/>
      <w:marRight w:val="0"/>
      <w:marTop w:val="0"/>
      <w:marBottom w:val="0"/>
      <w:divBdr>
        <w:top w:val="none" w:sz="0" w:space="0" w:color="auto"/>
        <w:left w:val="none" w:sz="0" w:space="0" w:color="auto"/>
        <w:bottom w:val="none" w:sz="0" w:space="0" w:color="auto"/>
        <w:right w:val="none" w:sz="0" w:space="0" w:color="auto"/>
      </w:divBdr>
    </w:div>
    <w:div w:id="245773638">
      <w:bodyDiv w:val="1"/>
      <w:marLeft w:val="0"/>
      <w:marRight w:val="0"/>
      <w:marTop w:val="0"/>
      <w:marBottom w:val="0"/>
      <w:divBdr>
        <w:top w:val="none" w:sz="0" w:space="0" w:color="auto"/>
        <w:left w:val="none" w:sz="0" w:space="0" w:color="auto"/>
        <w:bottom w:val="none" w:sz="0" w:space="0" w:color="auto"/>
        <w:right w:val="none" w:sz="0" w:space="0" w:color="auto"/>
      </w:divBdr>
    </w:div>
    <w:div w:id="255209043">
      <w:bodyDiv w:val="1"/>
      <w:marLeft w:val="0"/>
      <w:marRight w:val="0"/>
      <w:marTop w:val="0"/>
      <w:marBottom w:val="0"/>
      <w:divBdr>
        <w:top w:val="none" w:sz="0" w:space="0" w:color="auto"/>
        <w:left w:val="none" w:sz="0" w:space="0" w:color="auto"/>
        <w:bottom w:val="none" w:sz="0" w:space="0" w:color="auto"/>
        <w:right w:val="none" w:sz="0" w:space="0" w:color="auto"/>
      </w:divBdr>
    </w:div>
    <w:div w:id="256058651">
      <w:bodyDiv w:val="1"/>
      <w:marLeft w:val="0"/>
      <w:marRight w:val="0"/>
      <w:marTop w:val="0"/>
      <w:marBottom w:val="0"/>
      <w:divBdr>
        <w:top w:val="none" w:sz="0" w:space="0" w:color="auto"/>
        <w:left w:val="none" w:sz="0" w:space="0" w:color="auto"/>
        <w:bottom w:val="none" w:sz="0" w:space="0" w:color="auto"/>
        <w:right w:val="none" w:sz="0" w:space="0" w:color="auto"/>
      </w:divBdr>
    </w:div>
    <w:div w:id="263657877">
      <w:bodyDiv w:val="1"/>
      <w:marLeft w:val="0"/>
      <w:marRight w:val="0"/>
      <w:marTop w:val="0"/>
      <w:marBottom w:val="0"/>
      <w:divBdr>
        <w:top w:val="none" w:sz="0" w:space="0" w:color="auto"/>
        <w:left w:val="none" w:sz="0" w:space="0" w:color="auto"/>
        <w:bottom w:val="none" w:sz="0" w:space="0" w:color="auto"/>
        <w:right w:val="none" w:sz="0" w:space="0" w:color="auto"/>
      </w:divBdr>
      <w:divsChild>
        <w:div w:id="104691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439833">
          <w:blockQuote w:val="1"/>
          <w:marLeft w:val="720"/>
          <w:marRight w:val="720"/>
          <w:marTop w:val="100"/>
          <w:marBottom w:val="100"/>
          <w:divBdr>
            <w:top w:val="none" w:sz="0" w:space="0" w:color="auto"/>
            <w:left w:val="none" w:sz="0" w:space="0" w:color="auto"/>
            <w:bottom w:val="none" w:sz="0" w:space="0" w:color="auto"/>
            <w:right w:val="none" w:sz="0" w:space="0" w:color="auto"/>
          </w:divBdr>
        </w:div>
        <w:div w:id="545799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76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135679">
      <w:bodyDiv w:val="1"/>
      <w:marLeft w:val="0"/>
      <w:marRight w:val="0"/>
      <w:marTop w:val="0"/>
      <w:marBottom w:val="0"/>
      <w:divBdr>
        <w:top w:val="none" w:sz="0" w:space="0" w:color="auto"/>
        <w:left w:val="none" w:sz="0" w:space="0" w:color="auto"/>
        <w:bottom w:val="none" w:sz="0" w:space="0" w:color="auto"/>
        <w:right w:val="none" w:sz="0" w:space="0" w:color="auto"/>
      </w:divBdr>
    </w:div>
    <w:div w:id="333799010">
      <w:bodyDiv w:val="1"/>
      <w:marLeft w:val="0"/>
      <w:marRight w:val="0"/>
      <w:marTop w:val="0"/>
      <w:marBottom w:val="0"/>
      <w:divBdr>
        <w:top w:val="none" w:sz="0" w:space="0" w:color="auto"/>
        <w:left w:val="none" w:sz="0" w:space="0" w:color="auto"/>
        <w:bottom w:val="none" w:sz="0" w:space="0" w:color="auto"/>
        <w:right w:val="none" w:sz="0" w:space="0" w:color="auto"/>
      </w:divBdr>
    </w:div>
    <w:div w:id="342561517">
      <w:bodyDiv w:val="1"/>
      <w:marLeft w:val="0"/>
      <w:marRight w:val="0"/>
      <w:marTop w:val="0"/>
      <w:marBottom w:val="0"/>
      <w:divBdr>
        <w:top w:val="none" w:sz="0" w:space="0" w:color="auto"/>
        <w:left w:val="none" w:sz="0" w:space="0" w:color="auto"/>
        <w:bottom w:val="none" w:sz="0" w:space="0" w:color="auto"/>
        <w:right w:val="none" w:sz="0" w:space="0" w:color="auto"/>
      </w:divBdr>
    </w:div>
    <w:div w:id="346102906">
      <w:bodyDiv w:val="1"/>
      <w:marLeft w:val="0"/>
      <w:marRight w:val="0"/>
      <w:marTop w:val="0"/>
      <w:marBottom w:val="0"/>
      <w:divBdr>
        <w:top w:val="none" w:sz="0" w:space="0" w:color="auto"/>
        <w:left w:val="none" w:sz="0" w:space="0" w:color="auto"/>
        <w:bottom w:val="none" w:sz="0" w:space="0" w:color="auto"/>
        <w:right w:val="none" w:sz="0" w:space="0" w:color="auto"/>
      </w:divBdr>
    </w:div>
    <w:div w:id="350692430">
      <w:bodyDiv w:val="1"/>
      <w:marLeft w:val="0"/>
      <w:marRight w:val="0"/>
      <w:marTop w:val="0"/>
      <w:marBottom w:val="0"/>
      <w:divBdr>
        <w:top w:val="none" w:sz="0" w:space="0" w:color="auto"/>
        <w:left w:val="none" w:sz="0" w:space="0" w:color="auto"/>
        <w:bottom w:val="none" w:sz="0" w:space="0" w:color="auto"/>
        <w:right w:val="none" w:sz="0" w:space="0" w:color="auto"/>
      </w:divBdr>
    </w:div>
    <w:div w:id="356657906">
      <w:bodyDiv w:val="1"/>
      <w:marLeft w:val="0"/>
      <w:marRight w:val="0"/>
      <w:marTop w:val="0"/>
      <w:marBottom w:val="0"/>
      <w:divBdr>
        <w:top w:val="none" w:sz="0" w:space="0" w:color="auto"/>
        <w:left w:val="none" w:sz="0" w:space="0" w:color="auto"/>
        <w:bottom w:val="none" w:sz="0" w:space="0" w:color="auto"/>
        <w:right w:val="none" w:sz="0" w:space="0" w:color="auto"/>
      </w:divBdr>
      <w:divsChild>
        <w:div w:id="148894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410615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37707">
          <w:blockQuote w:val="1"/>
          <w:marLeft w:val="720"/>
          <w:marRight w:val="720"/>
          <w:marTop w:val="100"/>
          <w:marBottom w:val="100"/>
          <w:divBdr>
            <w:top w:val="none" w:sz="0" w:space="0" w:color="auto"/>
            <w:left w:val="none" w:sz="0" w:space="0" w:color="auto"/>
            <w:bottom w:val="none" w:sz="0" w:space="0" w:color="auto"/>
            <w:right w:val="none" w:sz="0" w:space="0" w:color="auto"/>
          </w:divBdr>
        </w:div>
        <w:div w:id="78256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235666">
      <w:bodyDiv w:val="1"/>
      <w:marLeft w:val="0"/>
      <w:marRight w:val="0"/>
      <w:marTop w:val="0"/>
      <w:marBottom w:val="0"/>
      <w:divBdr>
        <w:top w:val="none" w:sz="0" w:space="0" w:color="auto"/>
        <w:left w:val="none" w:sz="0" w:space="0" w:color="auto"/>
        <w:bottom w:val="none" w:sz="0" w:space="0" w:color="auto"/>
        <w:right w:val="none" w:sz="0" w:space="0" w:color="auto"/>
      </w:divBdr>
    </w:div>
    <w:div w:id="413359943">
      <w:bodyDiv w:val="1"/>
      <w:marLeft w:val="0"/>
      <w:marRight w:val="0"/>
      <w:marTop w:val="0"/>
      <w:marBottom w:val="0"/>
      <w:divBdr>
        <w:top w:val="none" w:sz="0" w:space="0" w:color="auto"/>
        <w:left w:val="none" w:sz="0" w:space="0" w:color="auto"/>
        <w:bottom w:val="none" w:sz="0" w:space="0" w:color="auto"/>
        <w:right w:val="none" w:sz="0" w:space="0" w:color="auto"/>
      </w:divBdr>
    </w:div>
    <w:div w:id="421532366">
      <w:bodyDiv w:val="1"/>
      <w:marLeft w:val="0"/>
      <w:marRight w:val="0"/>
      <w:marTop w:val="0"/>
      <w:marBottom w:val="0"/>
      <w:divBdr>
        <w:top w:val="none" w:sz="0" w:space="0" w:color="auto"/>
        <w:left w:val="none" w:sz="0" w:space="0" w:color="auto"/>
        <w:bottom w:val="none" w:sz="0" w:space="0" w:color="auto"/>
        <w:right w:val="none" w:sz="0" w:space="0" w:color="auto"/>
      </w:divBdr>
    </w:div>
    <w:div w:id="437144101">
      <w:bodyDiv w:val="1"/>
      <w:marLeft w:val="0"/>
      <w:marRight w:val="0"/>
      <w:marTop w:val="0"/>
      <w:marBottom w:val="0"/>
      <w:divBdr>
        <w:top w:val="none" w:sz="0" w:space="0" w:color="auto"/>
        <w:left w:val="none" w:sz="0" w:space="0" w:color="auto"/>
        <w:bottom w:val="none" w:sz="0" w:space="0" w:color="auto"/>
        <w:right w:val="none" w:sz="0" w:space="0" w:color="auto"/>
      </w:divBdr>
    </w:div>
    <w:div w:id="445151164">
      <w:bodyDiv w:val="1"/>
      <w:marLeft w:val="0"/>
      <w:marRight w:val="0"/>
      <w:marTop w:val="0"/>
      <w:marBottom w:val="0"/>
      <w:divBdr>
        <w:top w:val="none" w:sz="0" w:space="0" w:color="auto"/>
        <w:left w:val="none" w:sz="0" w:space="0" w:color="auto"/>
        <w:bottom w:val="none" w:sz="0" w:space="0" w:color="auto"/>
        <w:right w:val="none" w:sz="0" w:space="0" w:color="auto"/>
      </w:divBdr>
    </w:div>
    <w:div w:id="448665114">
      <w:bodyDiv w:val="1"/>
      <w:marLeft w:val="0"/>
      <w:marRight w:val="0"/>
      <w:marTop w:val="0"/>
      <w:marBottom w:val="0"/>
      <w:divBdr>
        <w:top w:val="none" w:sz="0" w:space="0" w:color="auto"/>
        <w:left w:val="none" w:sz="0" w:space="0" w:color="auto"/>
        <w:bottom w:val="none" w:sz="0" w:space="0" w:color="auto"/>
        <w:right w:val="none" w:sz="0" w:space="0" w:color="auto"/>
      </w:divBdr>
    </w:div>
    <w:div w:id="460002472">
      <w:bodyDiv w:val="1"/>
      <w:marLeft w:val="0"/>
      <w:marRight w:val="0"/>
      <w:marTop w:val="0"/>
      <w:marBottom w:val="0"/>
      <w:divBdr>
        <w:top w:val="none" w:sz="0" w:space="0" w:color="auto"/>
        <w:left w:val="none" w:sz="0" w:space="0" w:color="auto"/>
        <w:bottom w:val="none" w:sz="0" w:space="0" w:color="auto"/>
        <w:right w:val="none" w:sz="0" w:space="0" w:color="auto"/>
      </w:divBdr>
    </w:div>
    <w:div w:id="468594180">
      <w:bodyDiv w:val="1"/>
      <w:marLeft w:val="0"/>
      <w:marRight w:val="0"/>
      <w:marTop w:val="0"/>
      <w:marBottom w:val="0"/>
      <w:divBdr>
        <w:top w:val="none" w:sz="0" w:space="0" w:color="auto"/>
        <w:left w:val="none" w:sz="0" w:space="0" w:color="auto"/>
        <w:bottom w:val="none" w:sz="0" w:space="0" w:color="auto"/>
        <w:right w:val="none" w:sz="0" w:space="0" w:color="auto"/>
      </w:divBdr>
    </w:div>
    <w:div w:id="497814399">
      <w:bodyDiv w:val="1"/>
      <w:marLeft w:val="0"/>
      <w:marRight w:val="0"/>
      <w:marTop w:val="0"/>
      <w:marBottom w:val="0"/>
      <w:divBdr>
        <w:top w:val="none" w:sz="0" w:space="0" w:color="auto"/>
        <w:left w:val="none" w:sz="0" w:space="0" w:color="auto"/>
        <w:bottom w:val="none" w:sz="0" w:space="0" w:color="auto"/>
        <w:right w:val="none" w:sz="0" w:space="0" w:color="auto"/>
      </w:divBdr>
    </w:div>
    <w:div w:id="534537281">
      <w:bodyDiv w:val="1"/>
      <w:marLeft w:val="0"/>
      <w:marRight w:val="0"/>
      <w:marTop w:val="0"/>
      <w:marBottom w:val="0"/>
      <w:divBdr>
        <w:top w:val="none" w:sz="0" w:space="0" w:color="auto"/>
        <w:left w:val="none" w:sz="0" w:space="0" w:color="auto"/>
        <w:bottom w:val="none" w:sz="0" w:space="0" w:color="auto"/>
        <w:right w:val="none" w:sz="0" w:space="0" w:color="auto"/>
      </w:divBdr>
    </w:div>
    <w:div w:id="543098328">
      <w:bodyDiv w:val="1"/>
      <w:marLeft w:val="0"/>
      <w:marRight w:val="0"/>
      <w:marTop w:val="0"/>
      <w:marBottom w:val="0"/>
      <w:divBdr>
        <w:top w:val="none" w:sz="0" w:space="0" w:color="auto"/>
        <w:left w:val="none" w:sz="0" w:space="0" w:color="auto"/>
        <w:bottom w:val="none" w:sz="0" w:space="0" w:color="auto"/>
        <w:right w:val="none" w:sz="0" w:space="0" w:color="auto"/>
      </w:divBdr>
    </w:div>
    <w:div w:id="544487829">
      <w:bodyDiv w:val="1"/>
      <w:marLeft w:val="0"/>
      <w:marRight w:val="0"/>
      <w:marTop w:val="0"/>
      <w:marBottom w:val="0"/>
      <w:divBdr>
        <w:top w:val="none" w:sz="0" w:space="0" w:color="auto"/>
        <w:left w:val="none" w:sz="0" w:space="0" w:color="auto"/>
        <w:bottom w:val="none" w:sz="0" w:space="0" w:color="auto"/>
        <w:right w:val="none" w:sz="0" w:space="0" w:color="auto"/>
      </w:divBdr>
      <w:divsChild>
        <w:div w:id="293754457">
          <w:marLeft w:val="0"/>
          <w:marRight w:val="0"/>
          <w:marTop w:val="0"/>
          <w:marBottom w:val="0"/>
          <w:divBdr>
            <w:top w:val="none" w:sz="0" w:space="0" w:color="auto"/>
            <w:left w:val="none" w:sz="0" w:space="0" w:color="auto"/>
            <w:bottom w:val="none" w:sz="0" w:space="0" w:color="auto"/>
            <w:right w:val="none" w:sz="0" w:space="0" w:color="auto"/>
          </w:divBdr>
          <w:divsChild>
            <w:div w:id="48373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92631">
      <w:bodyDiv w:val="1"/>
      <w:marLeft w:val="0"/>
      <w:marRight w:val="0"/>
      <w:marTop w:val="0"/>
      <w:marBottom w:val="0"/>
      <w:divBdr>
        <w:top w:val="none" w:sz="0" w:space="0" w:color="auto"/>
        <w:left w:val="none" w:sz="0" w:space="0" w:color="auto"/>
        <w:bottom w:val="none" w:sz="0" w:space="0" w:color="auto"/>
        <w:right w:val="none" w:sz="0" w:space="0" w:color="auto"/>
      </w:divBdr>
    </w:div>
    <w:div w:id="557908908">
      <w:bodyDiv w:val="1"/>
      <w:marLeft w:val="0"/>
      <w:marRight w:val="0"/>
      <w:marTop w:val="0"/>
      <w:marBottom w:val="0"/>
      <w:divBdr>
        <w:top w:val="none" w:sz="0" w:space="0" w:color="auto"/>
        <w:left w:val="none" w:sz="0" w:space="0" w:color="auto"/>
        <w:bottom w:val="none" w:sz="0" w:space="0" w:color="auto"/>
        <w:right w:val="none" w:sz="0" w:space="0" w:color="auto"/>
      </w:divBdr>
    </w:div>
    <w:div w:id="567306195">
      <w:bodyDiv w:val="1"/>
      <w:marLeft w:val="0"/>
      <w:marRight w:val="0"/>
      <w:marTop w:val="0"/>
      <w:marBottom w:val="0"/>
      <w:divBdr>
        <w:top w:val="none" w:sz="0" w:space="0" w:color="auto"/>
        <w:left w:val="none" w:sz="0" w:space="0" w:color="auto"/>
        <w:bottom w:val="none" w:sz="0" w:space="0" w:color="auto"/>
        <w:right w:val="none" w:sz="0" w:space="0" w:color="auto"/>
      </w:divBdr>
    </w:div>
    <w:div w:id="588657577">
      <w:bodyDiv w:val="1"/>
      <w:marLeft w:val="0"/>
      <w:marRight w:val="0"/>
      <w:marTop w:val="0"/>
      <w:marBottom w:val="0"/>
      <w:divBdr>
        <w:top w:val="none" w:sz="0" w:space="0" w:color="auto"/>
        <w:left w:val="none" w:sz="0" w:space="0" w:color="auto"/>
        <w:bottom w:val="none" w:sz="0" w:space="0" w:color="auto"/>
        <w:right w:val="none" w:sz="0" w:space="0" w:color="auto"/>
      </w:divBdr>
    </w:div>
    <w:div w:id="590819240">
      <w:bodyDiv w:val="1"/>
      <w:marLeft w:val="0"/>
      <w:marRight w:val="0"/>
      <w:marTop w:val="0"/>
      <w:marBottom w:val="0"/>
      <w:divBdr>
        <w:top w:val="none" w:sz="0" w:space="0" w:color="auto"/>
        <w:left w:val="none" w:sz="0" w:space="0" w:color="auto"/>
        <w:bottom w:val="none" w:sz="0" w:space="0" w:color="auto"/>
        <w:right w:val="none" w:sz="0" w:space="0" w:color="auto"/>
      </w:divBdr>
    </w:div>
    <w:div w:id="669214207">
      <w:bodyDiv w:val="1"/>
      <w:marLeft w:val="0"/>
      <w:marRight w:val="0"/>
      <w:marTop w:val="0"/>
      <w:marBottom w:val="0"/>
      <w:divBdr>
        <w:top w:val="none" w:sz="0" w:space="0" w:color="auto"/>
        <w:left w:val="none" w:sz="0" w:space="0" w:color="auto"/>
        <w:bottom w:val="none" w:sz="0" w:space="0" w:color="auto"/>
        <w:right w:val="none" w:sz="0" w:space="0" w:color="auto"/>
      </w:divBdr>
    </w:div>
    <w:div w:id="672025264">
      <w:bodyDiv w:val="1"/>
      <w:marLeft w:val="0"/>
      <w:marRight w:val="0"/>
      <w:marTop w:val="0"/>
      <w:marBottom w:val="0"/>
      <w:divBdr>
        <w:top w:val="none" w:sz="0" w:space="0" w:color="auto"/>
        <w:left w:val="none" w:sz="0" w:space="0" w:color="auto"/>
        <w:bottom w:val="none" w:sz="0" w:space="0" w:color="auto"/>
        <w:right w:val="none" w:sz="0" w:space="0" w:color="auto"/>
      </w:divBdr>
    </w:div>
    <w:div w:id="672416241">
      <w:bodyDiv w:val="1"/>
      <w:marLeft w:val="0"/>
      <w:marRight w:val="0"/>
      <w:marTop w:val="0"/>
      <w:marBottom w:val="0"/>
      <w:divBdr>
        <w:top w:val="none" w:sz="0" w:space="0" w:color="auto"/>
        <w:left w:val="none" w:sz="0" w:space="0" w:color="auto"/>
        <w:bottom w:val="none" w:sz="0" w:space="0" w:color="auto"/>
        <w:right w:val="none" w:sz="0" w:space="0" w:color="auto"/>
      </w:divBdr>
    </w:div>
    <w:div w:id="674846919">
      <w:bodyDiv w:val="1"/>
      <w:marLeft w:val="0"/>
      <w:marRight w:val="0"/>
      <w:marTop w:val="0"/>
      <w:marBottom w:val="0"/>
      <w:divBdr>
        <w:top w:val="none" w:sz="0" w:space="0" w:color="auto"/>
        <w:left w:val="none" w:sz="0" w:space="0" w:color="auto"/>
        <w:bottom w:val="none" w:sz="0" w:space="0" w:color="auto"/>
        <w:right w:val="none" w:sz="0" w:space="0" w:color="auto"/>
      </w:divBdr>
    </w:div>
    <w:div w:id="677000407">
      <w:bodyDiv w:val="1"/>
      <w:marLeft w:val="0"/>
      <w:marRight w:val="0"/>
      <w:marTop w:val="0"/>
      <w:marBottom w:val="0"/>
      <w:divBdr>
        <w:top w:val="none" w:sz="0" w:space="0" w:color="auto"/>
        <w:left w:val="none" w:sz="0" w:space="0" w:color="auto"/>
        <w:bottom w:val="none" w:sz="0" w:space="0" w:color="auto"/>
        <w:right w:val="none" w:sz="0" w:space="0" w:color="auto"/>
      </w:divBdr>
    </w:div>
    <w:div w:id="704791364">
      <w:bodyDiv w:val="1"/>
      <w:marLeft w:val="0"/>
      <w:marRight w:val="0"/>
      <w:marTop w:val="0"/>
      <w:marBottom w:val="0"/>
      <w:divBdr>
        <w:top w:val="none" w:sz="0" w:space="0" w:color="auto"/>
        <w:left w:val="none" w:sz="0" w:space="0" w:color="auto"/>
        <w:bottom w:val="none" w:sz="0" w:space="0" w:color="auto"/>
        <w:right w:val="none" w:sz="0" w:space="0" w:color="auto"/>
      </w:divBdr>
    </w:div>
    <w:div w:id="750271019">
      <w:bodyDiv w:val="1"/>
      <w:marLeft w:val="0"/>
      <w:marRight w:val="0"/>
      <w:marTop w:val="0"/>
      <w:marBottom w:val="0"/>
      <w:divBdr>
        <w:top w:val="none" w:sz="0" w:space="0" w:color="auto"/>
        <w:left w:val="none" w:sz="0" w:space="0" w:color="auto"/>
        <w:bottom w:val="none" w:sz="0" w:space="0" w:color="auto"/>
        <w:right w:val="none" w:sz="0" w:space="0" w:color="auto"/>
      </w:divBdr>
    </w:div>
    <w:div w:id="789512213">
      <w:bodyDiv w:val="1"/>
      <w:marLeft w:val="0"/>
      <w:marRight w:val="0"/>
      <w:marTop w:val="0"/>
      <w:marBottom w:val="0"/>
      <w:divBdr>
        <w:top w:val="none" w:sz="0" w:space="0" w:color="auto"/>
        <w:left w:val="none" w:sz="0" w:space="0" w:color="auto"/>
        <w:bottom w:val="none" w:sz="0" w:space="0" w:color="auto"/>
        <w:right w:val="none" w:sz="0" w:space="0" w:color="auto"/>
      </w:divBdr>
    </w:div>
    <w:div w:id="790125712">
      <w:bodyDiv w:val="1"/>
      <w:marLeft w:val="0"/>
      <w:marRight w:val="0"/>
      <w:marTop w:val="0"/>
      <w:marBottom w:val="0"/>
      <w:divBdr>
        <w:top w:val="none" w:sz="0" w:space="0" w:color="auto"/>
        <w:left w:val="none" w:sz="0" w:space="0" w:color="auto"/>
        <w:bottom w:val="none" w:sz="0" w:space="0" w:color="auto"/>
        <w:right w:val="none" w:sz="0" w:space="0" w:color="auto"/>
      </w:divBdr>
    </w:div>
    <w:div w:id="794177749">
      <w:bodyDiv w:val="1"/>
      <w:marLeft w:val="0"/>
      <w:marRight w:val="0"/>
      <w:marTop w:val="0"/>
      <w:marBottom w:val="0"/>
      <w:divBdr>
        <w:top w:val="none" w:sz="0" w:space="0" w:color="auto"/>
        <w:left w:val="none" w:sz="0" w:space="0" w:color="auto"/>
        <w:bottom w:val="none" w:sz="0" w:space="0" w:color="auto"/>
        <w:right w:val="none" w:sz="0" w:space="0" w:color="auto"/>
      </w:divBdr>
    </w:div>
    <w:div w:id="824200599">
      <w:bodyDiv w:val="1"/>
      <w:marLeft w:val="0"/>
      <w:marRight w:val="0"/>
      <w:marTop w:val="0"/>
      <w:marBottom w:val="0"/>
      <w:divBdr>
        <w:top w:val="none" w:sz="0" w:space="0" w:color="auto"/>
        <w:left w:val="none" w:sz="0" w:space="0" w:color="auto"/>
        <w:bottom w:val="none" w:sz="0" w:space="0" w:color="auto"/>
        <w:right w:val="none" w:sz="0" w:space="0" w:color="auto"/>
      </w:divBdr>
    </w:div>
    <w:div w:id="834614784">
      <w:bodyDiv w:val="1"/>
      <w:marLeft w:val="0"/>
      <w:marRight w:val="0"/>
      <w:marTop w:val="0"/>
      <w:marBottom w:val="0"/>
      <w:divBdr>
        <w:top w:val="none" w:sz="0" w:space="0" w:color="auto"/>
        <w:left w:val="none" w:sz="0" w:space="0" w:color="auto"/>
        <w:bottom w:val="none" w:sz="0" w:space="0" w:color="auto"/>
        <w:right w:val="none" w:sz="0" w:space="0" w:color="auto"/>
      </w:divBdr>
    </w:div>
    <w:div w:id="842428311">
      <w:bodyDiv w:val="1"/>
      <w:marLeft w:val="0"/>
      <w:marRight w:val="0"/>
      <w:marTop w:val="0"/>
      <w:marBottom w:val="0"/>
      <w:divBdr>
        <w:top w:val="none" w:sz="0" w:space="0" w:color="auto"/>
        <w:left w:val="none" w:sz="0" w:space="0" w:color="auto"/>
        <w:bottom w:val="none" w:sz="0" w:space="0" w:color="auto"/>
        <w:right w:val="none" w:sz="0" w:space="0" w:color="auto"/>
      </w:divBdr>
    </w:div>
    <w:div w:id="865142925">
      <w:bodyDiv w:val="1"/>
      <w:marLeft w:val="0"/>
      <w:marRight w:val="0"/>
      <w:marTop w:val="0"/>
      <w:marBottom w:val="0"/>
      <w:divBdr>
        <w:top w:val="none" w:sz="0" w:space="0" w:color="auto"/>
        <w:left w:val="none" w:sz="0" w:space="0" w:color="auto"/>
        <w:bottom w:val="none" w:sz="0" w:space="0" w:color="auto"/>
        <w:right w:val="none" w:sz="0" w:space="0" w:color="auto"/>
      </w:divBdr>
    </w:div>
    <w:div w:id="866024921">
      <w:bodyDiv w:val="1"/>
      <w:marLeft w:val="0"/>
      <w:marRight w:val="0"/>
      <w:marTop w:val="0"/>
      <w:marBottom w:val="0"/>
      <w:divBdr>
        <w:top w:val="none" w:sz="0" w:space="0" w:color="auto"/>
        <w:left w:val="none" w:sz="0" w:space="0" w:color="auto"/>
        <w:bottom w:val="none" w:sz="0" w:space="0" w:color="auto"/>
        <w:right w:val="none" w:sz="0" w:space="0" w:color="auto"/>
      </w:divBdr>
    </w:div>
    <w:div w:id="883365547">
      <w:bodyDiv w:val="1"/>
      <w:marLeft w:val="0"/>
      <w:marRight w:val="0"/>
      <w:marTop w:val="0"/>
      <w:marBottom w:val="0"/>
      <w:divBdr>
        <w:top w:val="none" w:sz="0" w:space="0" w:color="auto"/>
        <w:left w:val="none" w:sz="0" w:space="0" w:color="auto"/>
        <w:bottom w:val="none" w:sz="0" w:space="0" w:color="auto"/>
        <w:right w:val="none" w:sz="0" w:space="0" w:color="auto"/>
      </w:divBdr>
    </w:div>
    <w:div w:id="921108576">
      <w:bodyDiv w:val="1"/>
      <w:marLeft w:val="0"/>
      <w:marRight w:val="0"/>
      <w:marTop w:val="0"/>
      <w:marBottom w:val="0"/>
      <w:divBdr>
        <w:top w:val="none" w:sz="0" w:space="0" w:color="auto"/>
        <w:left w:val="none" w:sz="0" w:space="0" w:color="auto"/>
        <w:bottom w:val="none" w:sz="0" w:space="0" w:color="auto"/>
        <w:right w:val="none" w:sz="0" w:space="0" w:color="auto"/>
      </w:divBdr>
      <w:divsChild>
        <w:div w:id="176774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756262">
      <w:bodyDiv w:val="1"/>
      <w:marLeft w:val="0"/>
      <w:marRight w:val="0"/>
      <w:marTop w:val="0"/>
      <w:marBottom w:val="0"/>
      <w:divBdr>
        <w:top w:val="none" w:sz="0" w:space="0" w:color="auto"/>
        <w:left w:val="none" w:sz="0" w:space="0" w:color="auto"/>
        <w:bottom w:val="none" w:sz="0" w:space="0" w:color="auto"/>
        <w:right w:val="none" w:sz="0" w:space="0" w:color="auto"/>
      </w:divBdr>
    </w:div>
    <w:div w:id="970019051">
      <w:bodyDiv w:val="1"/>
      <w:marLeft w:val="0"/>
      <w:marRight w:val="0"/>
      <w:marTop w:val="0"/>
      <w:marBottom w:val="0"/>
      <w:divBdr>
        <w:top w:val="none" w:sz="0" w:space="0" w:color="auto"/>
        <w:left w:val="none" w:sz="0" w:space="0" w:color="auto"/>
        <w:bottom w:val="none" w:sz="0" w:space="0" w:color="auto"/>
        <w:right w:val="none" w:sz="0" w:space="0" w:color="auto"/>
      </w:divBdr>
    </w:div>
    <w:div w:id="978073312">
      <w:bodyDiv w:val="1"/>
      <w:marLeft w:val="0"/>
      <w:marRight w:val="0"/>
      <w:marTop w:val="0"/>
      <w:marBottom w:val="0"/>
      <w:divBdr>
        <w:top w:val="none" w:sz="0" w:space="0" w:color="auto"/>
        <w:left w:val="none" w:sz="0" w:space="0" w:color="auto"/>
        <w:bottom w:val="none" w:sz="0" w:space="0" w:color="auto"/>
        <w:right w:val="none" w:sz="0" w:space="0" w:color="auto"/>
      </w:divBdr>
    </w:div>
    <w:div w:id="984167085">
      <w:bodyDiv w:val="1"/>
      <w:marLeft w:val="0"/>
      <w:marRight w:val="0"/>
      <w:marTop w:val="0"/>
      <w:marBottom w:val="0"/>
      <w:divBdr>
        <w:top w:val="none" w:sz="0" w:space="0" w:color="auto"/>
        <w:left w:val="none" w:sz="0" w:space="0" w:color="auto"/>
        <w:bottom w:val="none" w:sz="0" w:space="0" w:color="auto"/>
        <w:right w:val="none" w:sz="0" w:space="0" w:color="auto"/>
      </w:divBdr>
    </w:div>
    <w:div w:id="984312320">
      <w:bodyDiv w:val="1"/>
      <w:marLeft w:val="0"/>
      <w:marRight w:val="0"/>
      <w:marTop w:val="0"/>
      <w:marBottom w:val="0"/>
      <w:divBdr>
        <w:top w:val="none" w:sz="0" w:space="0" w:color="auto"/>
        <w:left w:val="none" w:sz="0" w:space="0" w:color="auto"/>
        <w:bottom w:val="none" w:sz="0" w:space="0" w:color="auto"/>
        <w:right w:val="none" w:sz="0" w:space="0" w:color="auto"/>
      </w:divBdr>
    </w:div>
    <w:div w:id="1023745068">
      <w:bodyDiv w:val="1"/>
      <w:marLeft w:val="0"/>
      <w:marRight w:val="0"/>
      <w:marTop w:val="0"/>
      <w:marBottom w:val="0"/>
      <w:divBdr>
        <w:top w:val="none" w:sz="0" w:space="0" w:color="auto"/>
        <w:left w:val="none" w:sz="0" w:space="0" w:color="auto"/>
        <w:bottom w:val="none" w:sz="0" w:space="0" w:color="auto"/>
        <w:right w:val="none" w:sz="0" w:space="0" w:color="auto"/>
      </w:divBdr>
      <w:divsChild>
        <w:div w:id="621423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3065325">
      <w:bodyDiv w:val="1"/>
      <w:marLeft w:val="0"/>
      <w:marRight w:val="0"/>
      <w:marTop w:val="0"/>
      <w:marBottom w:val="0"/>
      <w:divBdr>
        <w:top w:val="none" w:sz="0" w:space="0" w:color="auto"/>
        <w:left w:val="none" w:sz="0" w:space="0" w:color="auto"/>
        <w:bottom w:val="none" w:sz="0" w:space="0" w:color="auto"/>
        <w:right w:val="none" w:sz="0" w:space="0" w:color="auto"/>
      </w:divBdr>
    </w:div>
    <w:div w:id="1131363397">
      <w:bodyDiv w:val="1"/>
      <w:marLeft w:val="0"/>
      <w:marRight w:val="0"/>
      <w:marTop w:val="0"/>
      <w:marBottom w:val="0"/>
      <w:divBdr>
        <w:top w:val="none" w:sz="0" w:space="0" w:color="auto"/>
        <w:left w:val="none" w:sz="0" w:space="0" w:color="auto"/>
        <w:bottom w:val="none" w:sz="0" w:space="0" w:color="auto"/>
        <w:right w:val="none" w:sz="0" w:space="0" w:color="auto"/>
      </w:divBdr>
    </w:div>
    <w:div w:id="1157694850">
      <w:bodyDiv w:val="1"/>
      <w:marLeft w:val="0"/>
      <w:marRight w:val="0"/>
      <w:marTop w:val="0"/>
      <w:marBottom w:val="0"/>
      <w:divBdr>
        <w:top w:val="none" w:sz="0" w:space="0" w:color="auto"/>
        <w:left w:val="none" w:sz="0" w:space="0" w:color="auto"/>
        <w:bottom w:val="none" w:sz="0" w:space="0" w:color="auto"/>
        <w:right w:val="none" w:sz="0" w:space="0" w:color="auto"/>
      </w:divBdr>
    </w:div>
    <w:div w:id="1195197728">
      <w:bodyDiv w:val="1"/>
      <w:marLeft w:val="0"/>
      <w:marRight w:val="0"/>
      <w:marTop w:val="0"/>
      <w:marBottom w:val="0"/>
      <w:divBdr>
        <w:top w:val="none" w:sz="0" w:space="0" w:color="auto"/>
        <w:left w:val="none" w:sz="0" w:space="0" w:color="auto"/>
        <w:bottom w:val="none" w:sz="0" w:space="0" w:color="auto"/>
        <w:right w:val="none" w:sz="0" w:space="0" w:color="auto"/>
      </w:divBdr>
    </w:div>
    <w:div w:id="1220484695">
      <w:bodyDiv w:val="1"/>
      <w:marLeft w:val="0"/>
      <w:marRight w:val="0"/>
      <w:marTop w:val="0"/>
      <w:marBottom w:val="0"/>
      <w:divBdr>
        <w:top w:val="none" w:sz="0" w:space="0" w:color="auto"/>
        <w:left w:val="none" w:sz="0" w:space="0" w:color="auto"/>
        <w:bottom w:val="none" w:sz="0" w:space="0" w:color="auto"/>
        <w:right w:val="none" w:sz="0" w:space="0" w:color="auto"/>
      </w:divBdr>
    </w:div>
    <w:div w:id="1277953348">
      <w:bodyDiv w:val="1"/>
      <w:marLeft w:val="0"/>
      <w:marRight w:val="0"/>
      <w:marTop w:val="0"/>
      <w:marBottom w:val="0"/>
      <w:divBdr>
        <w:top w:val="none" w:sz="0" w:space="0" w:color="auto"/>
        <w:left w:val="none" w:sz="0" w:space="0" w:color="auto"/>
        <w:bottom w:val="none" w:sz="0" w:space="0" w:color="auto"/>
        <w:right w:val="none" w:sz="0" w:space="0" w:color="auto"/>
      </w:divBdr>
    </w:div>
    <w:div w:id="1293098669">
      <w:bodyDiv w:val="1"/>
      <w:marLeft w:val="0"/>
      <w:marRight w:val="0"/>
      <w:marTop w:val="0"/>
      <w:marBottom w:val="0"/>
      <w:divBdr>
        <w:top w:val="none" w:sz="0" w:space="0" w:color="auto"/>
        <w:left w:val="none" w:sz="0" w:space="0" w:color="auto"/>
        <w:bottom w:val="none" w:sz="0" w:space="0" w:color="auto"/>
        <w:right w:val="none" w:sz="0" w:space="0" w:color="auto"/>
      </w:divBdr>
      <w:divsChild>
        <w:div w:id="28208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77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460127">
      <w:bodyDiv w:val="1"/>
      <w:marLeft w:val="0"/>
      <w:marRight w:val="0"/>
      <w:marTop w:val="0"/>
      <w:marBottom w:val="0"/>
      <w:divBdr>
        <w:top w:val="none" w:sz="0" w:space="0" w:color="auto"/>
        <w:left w:val="none" w:sz="0" w:space="0" w:color="auto"/>
        <w:bottom w:val="none" w:sz="0" w:space="0" w:color="auto"/>
        <w:right w:val="none" w:sz="0" w:space="0" w:color="auto"/>
      </w:divBdr>
    </w:div>
    <w:div w:id="1326203838">
      <w:bodyDiv w:val="1"/>
      <w:marLeft w:val="0"/>
      <w:marRight w:val="0"/>
      <w:marTop w:val="0"/>
      <w:marBottom w:val="0"/>
      <w:divBdr>
        <w:top w:val="none" w:sz="0" w:space="0" w:color="auto"/>
        <w:left w:val="none" w:sz="0" w:space="0" w:color="auto"/>
        <w:bottom w:val="none" w:sz="0" w:space="0" w:color="auto"/>
        <w:right w:val="none" w:sz="0" w:space="0" w:color="auto"/>
      </w:divBdr>
    </w:div>
    <w:div w:id="1391421419">
      <w:bodyDiv w:val="1"/>
      <w:marLeft w:val="0"/>
      <w:marRight w:val="0"/>
      <w:marTop w:val="0"/>
      <w:marBottom w:val="0"/>
      <w:divBdr>
        <w:top w:val="none" w:sz="0" w:space="0" w:color="auto"/>
        <w:left w:val="none" w:sz="0" w:space="0" w:color="auto"/>
        <w:bottom w:val="none" w:sz="0" w:space="0" w:color="auto"/>
        <w:right w:val="none" w:sz="0" w:space="0" w:color="auto"/>
      </w:divBdr>
      <w:divsChild>
        <w:div w:id="980888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99773849">
          <w:blockQuote w:val="1"/>
          <w:marLeft w:val="720"/>
          <w:marRight w:val="720"/>
          <w:marTop w:val="100"/>
          <w:marBottom w:val="100"/>
          <w:divBdr>
            <w:top w:val="none" w:sz="0" w:space="0" w:color="auto"/>
            <w:left w:val="none" w:sz="0" w:space="0" w:color="auto"/>
            <w:bottom w:val="none" w:sz="0" w:space="0" w:color="auto"/>
            <w:right w:val="none" w:sz="0" w:space="0" w:color="auto"/>
          </w:divBdr>
        </w:div>
        <w:div w:id="979840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814662">
      <w:bodyDiv w:val="1"/>
      <w:marLeft w:val="0"/>
      <w:marRight w:val="0"/>
      <w:marTop w:val="0"/>
      <w:marBottom w:val="0"/>
      <w:divBdr>
        <w:top w:val="none" w:sz="0" w:space="0" w:color="auto"/>
        <w:left w:val="none" w:sz="0" w:space="0" w:color="auto"/>
        <w:bottom w:val="none" w:sz="0" w:space="0" w:color="auto"/>
        <w:right w:val="none" w:sz="0" w:space="0" w:color="auto"/>
      </w:divBdr>
    </w:div>
    <w:div w:id="1402291617">
      <w:bodyDiv w:val="1"/>
      <w:marLeft w:val="0"/>
      <w:marRight w:val="0"/>
      <w:marTop w:val="0"/>
      <w:marBottom w:val="0"/>
      <w:divBdr>
        <w:top w:val="none" w:sz="0" w:space="0" w:color="auto"/>
        <w:left w:val="none" w:sz="0" w:space="0" w:color="auto"/>
        <w:bottom w:val="none" w:sz="0" w:space="0" w:color="auto"/>
        <w:right w:val="none" w:sz="0" w:space="0" w:color="auto"/>
      </w:divBdr>
    </w:div>
    <w:div w:id="1447041578">
      <w:bodyDiv w:val="1"/>
      <w:marLeft w:val="0"/>
      <w:marRight w:val="0"/>
      <w:marTop w:val="0"/>
      <w:marBottom w:val="0"/>
      <w:divBdr>
        <w:top w:val="none" w:sz="0" w:space="0" w:color="auto"/>
        <w:left w:val="none" w:sz="0" w:space="0" w:color="auto"/>
        <w:bottom w:val="none" w:sz="0" w:space="0" w:color="auto"/>
        <w:right w:val="none" w:sz="0" w:space="0" w:color="auto"/>
      </w:divBdr>
    </w:div>
    <w:div w:id="1494639385">
      <w:bodyDiv w:val="1"/>
      <w:marLeft w:val="0"/>
      <w:marRight w:val="0"/>
      <w:marTop w:val="0"/>
      <w:marBottom w:val="0"/>
      <w:divBdr>
        <w:top w:val="none" w:sz="0" w:space="0" w:color="auto"/>
        <w:left w:val="none" w:sz="0" w:space="0" w:color="auto"/>
        <w:bottom w:val="none" w:sz="0" w:space="0" w:color="auto"/>
        <w:right w:val="none" w:sz="0" w:space="0" w:color="auto"/>
      </w:divBdr>
    </w:div>
    <w:div w:id="1509254747">
      <w:bodyDiv w:val="1"/>
      <w:marLeft w:val="0"/>
      <w:marRight w:val="0"/>
      <w:marTop w:val="0"/>
      <w:marBottom w:val="0"/>
      <w:divBdr>
        <w:top w:val="none" w:sz="0" w:space="0" w:color="auto"/>
        <w:left w:val="none" w:sz="0" w:space="0" w:color="auto"/>
        <w:bottom w:val="none" w:sz="0" w:space="0" w:color="auto"/>
        <w:right w:val="none" w:sz="0" w:space="0" w:color="auto"/>
      </w:divBdr>
    </w:div>
    <w:div w:id="1518108268">
      <w:bodyDiv w:val="1"/>
      <w:marLeft w:val="0"/>
      <w:marRight w:val="0"/>
      <w:marTop w:val="0"/>
      <w:marBottom w:val="0"/>
      <w:divBdr>
        <w:top w:val="none" w:sz="0" w:space="0" w:color="auto"/>
        <w:left w:val="none" w:sz="0" w:space="0" w:color="auto"/>
        <w:bottom w:val="none" w:sz="0" w:space="0" w:color="auto"/>
        <w:right w:val="none" w:sz="0" w:space="0" w:color="auto"/>
      </w:divBdr>
    </w:div>
    <w:div w:id="1536457591">
      <w:bodyDiv w:val="1"/>
      <w:marLeft w:val="0"/>
      <w:marRight w:val="0"/>
      <w:marTop w:val="0"/>
      <w:marBottom w:val="0"/>
      <w:divBdr>
        <w:top w:val="none" w:sz="0" w:space="0" w:color="auto"/>
        <w:left w:val="none" w:sz="0" w:space="0" w:color="auto"/>
        <w:bottom w:val="none" w:sz="0" w:space="0" w:color="auto"/>
        <w:right w:val="none" w:sz="0" w:space="0" w:color="auto"/>
      </w:divBdr>
    </w:div>
    <w:div w:id="1536653556">
      <w:bodyDiv w:val="1"/>
      <w:marLeft w:val="0"/>
      <w:marRight w:val="0"/>
      <w:marTop w:val="0"/>
      <w:marBottom w:val="0"/>
      <w:divBdr>
        <w:top w:val="none" w:sz="0" w:space="0" w:color="auto"/>
        <w:left w:val="none" w:sz="0" w:space="0" w:color="auto"/>
        <w:bottom w:val="none" w:sz="0" w:space="0" w:color="auto"/>
        <w:right w:val="none" w:sz="0" w:space="0" w:color="auto"/>
      </w:divBdr>
    </w:div>
    <w:div w:id="1581676289">
      <w:bodyDiv w:val="1"/>
      <w:marLeft w:val="0"/>
      <w:marRight w:val="0"/>
      <w:marTop w:val="0"/>
      <w:marBottom w:val="0"/>
      <w:divBdr>
        <w:top w:val="none" w:sz="0" w:space="0" w:color="auto"/>
        <w:left w:val="none" w:sz="0" w:space="0" w:color="auto"/>
        <w:bottom w:val="none" w:sz="0" w:space="0" w:color="auto"/>
        <w:right w:val="none" w:sz="0" w:space="0" w:color="auto"/>
      </w:divBdr>
    </w:div>
    <w:div w:id="1609047852">
      <w:bodyDiv w:val="1"/>
      <w:marLeft w:val="0"/>
      <w:marRight w:val="0"/>
      <w:marTop w:val="0"/>
      <w:marBottom w:val="0"/>
      <w:divBdr>
        <w:top w:val="none" w:sz="0" w:space="0" w:color="auto"/>
        <w:left w:val="none" w:sz="0" w:space="0" w:color="auto"/>
        <w:bottom w:val="none" w:sz="0" w:space="0" w:color="auto"/>
        <w:right w:val="none" w:sz="0" w:space="0" w:color="auto"/>
      </w:divBdr>
    </w:div>
    <w:div w:id="1618179822">
      <w:bodyDiv w:val="1"/>
      <w:marLeft w:val="0"/>
      <w:marRight w:val="0"/>
      <w:marTop w:val="0"/>
      <w:marBottom w:val="0"/>
      <w:divBdr>
        <w:top w:val="none" w:sz="0" w:space="0" w:color="auto"/>
        <w:left w:val="none" w:sz="0" w:space="0" w:color="auto"/>
        <w:bottom w:val="none" w:sz="0" w:space="0" w:color="auto"/>
        <w:right w:val="none" w:sz="0" w:space="0" w:color="auto"/>
      </w:divBdr>
    </w:div>
    <w:div w:id="1690133318">
      <w:bodyDiv w:val="1"/>
      <w:marLeft w:val="0"/>
      <w:marRight w:val="0"/>
      <w:marTop w:val="0"/>
      <w:marBottom w:val="0"/>
      <w:divBdr>
        <w:top w:val="none" w:sz="0" w:space="0" w:color="auto"/>
        <w:left w:val="none" w:sz="0" w:space="0" w:color="auto"/>
        <w:bottom w:val="none" w:sz="0" w:space="0" w:color="auto"/>
        <w:right w:val="none" w:sz="0" w:space="0" w:color="auto"/>
      </w:divBdr>
    </w:div>
    <w:div w:id="1696274140">
      <w:bodyDiv w:val="1"/>
      <w:marLeft w:val="0"/>
      <w:marRight w:val="0"/>
      <w:marTop w:val="0"/>
      <w:marBottom w:val="0"/>
      <w:divBdr>
        <w:top w:val="none" w:sz="0" w:space="0" w:color="auto"/>
        <w:left w:val="none" w:sz="0" w:space="0" w:color="auto"/>
        <w:bottom w:val="none" w:sz="0" w:space="0" w:color="auto"/>
        <w:right w:val="none" w:sz="0" w:space="0" w:color="auto"/>
      </w:divBdr>
    </w:div>
    <w:div w:id="1698504386">
      <w:bodyDiv w:val="1"/>
      <w:marLeft w:val="0"/>
      <w:marRight w:val="0"/>
      <w:marTop w:val="0"/>
      <w:marBottom w:val="0"/>
      <w:divBdr>
        <w:top w:val="none" w:sz="0" w:space="0" w:color="auto"/>
        <w:left w:val="none" w:sz="0" w:space="0" w:color="auto"/>
        <w:bottom w:val="none" w:sz="0" w:space="0" w:color="auto"/>
        <w:right w:val="none" w:sz="0" w:space="0" w:color="auto"/>
      </w:divBdr>
    </w:div>
    <w:div w:id="1706952025">
      <w:bodyDiv w:val="1"/>
      <w:marLeft w:val="0"/>
      <w:marRight w:val="0"/>
      <w:marTop w:val="0"/>
      <w:marBottom w:val="0"/>
      <w:divBdr>
        <w:top w:val="none" w:sz="0" w:space="0" w:color="auto"/>
        <w:left w:val="none" w:sz="0" w:space="0" w:color="auto"/>
        <w:bottom w:val="none" w:sz="0" w:space="0" w:color="auto"/>
        <w:right w:val="none" w:sz="0" w:space="0" w:color="auto"/>
      </w:divBdr>
    </w:div>
    <w:div w:id="1709379566">
      <w:bodyDiv w:val="1"/>
      <w:marLeft w:val="0"/>
      <w:marRight w:val="0"/>
      <w:marTop w:val="0"/>
      <w:marBottom w:val="0"/>
      <w:divBdr>
        <w:top w:val="none" w:sz="0" w:space="0" w:color="auto"/>
        <w:left w:val="none" w:sz="0" w:space="0" w:color="auto"/>
        <w:bottom w:val="none" w:sz="0" w:space="0" w:color="auto"/>
        <w:right w:val="none" w:sz="0" w:space="0" w:color="auto"/>
      </w:divBdr>
    </w:div>
    <w:div w:id="1711802840">
      <w:bodyDiv w:val="1"/>
      <w:marLeft w:val="0"/>
      <w:marRight w:val="0"/>
      <w:marTop w:val="0"/>
      <w:marBottom w:val="0"/>
      <w:divBdr>
        <w:top w:val="none" w:sz="0" w:space="0" w:color="auto"/>
        <w:left w:val="none" w:sz="0" w:space="0" w:color="auto"/>
        <w:bottom w:val="none" w:sz="0" w:space="0" w:color="auto"/>
        <w:right w:val="none" w:sz="0" w:space="0" w:color="auto"/>
      </w:divBdr>
    </w:div>
    <w:div w:id="1711880311">
      <w:bodyDiv w:val="1"/>
      <w:marLeft w:val="0"/>
      <w:marRight w:val="0"/>
      <w:marTop w:val="0"/>
      <w:marBottom w:val="0"/>
      <w:divBdr>
        <w:top w:val="none" w:sz="0" w:space="0" w:color="auto"/>
        <w:left w:val="none" w:sz="0" w:space="0" w:color="auto"/>
        <w:bottom w:val="none" w:sz="0" w:space="0" w:color="auto"/>
        <w:right w:val="none" w:sz="0" w:space="0" w:color="auto"/>
      </w:divBdr>
    </w:div>
    <w:div w:id="1714883929">
      <w:bodyDiv w:val="1"/>
      <w:marLeft w:val="0"/>
      <w:marRight w:val="0"/>
      <w:marTop w:val="0"/>
      <w:marBottom w:val="0"/>
      <w:divBdr>
        <w:top w:val="none" w:sz="0" w:space="0" w:color="auto"/>
        <w:left w:val="none" w:sz="0" w:space="0" w:color="auto"/>
        <w:bottom w:val="none" w:sz="0" w:space="0" w:color="auto"/>
        <w:right w:val="none" w:sz="0" w:space="0" w:color="auto"/>
      </w:divBdr>
    </w:div>
    <w:div w:id="1723555586">
      <w:bodyDiv w:val="1"/>
      <w:marLeft w:val="0"/>
      <w:marRight w:val="0"/>
      <w:marTop w:val="0"/>
      <w:marBottom w:val="0"/>
      <w:divBdr>
        <w:top w:val="none" w:sz="0" w:space="0" w:color="auto"/>
        <w:left w:val="none" w:sz="0" w:space="0" w:color="auto"/>
        <w:bottom w:val="none" w:sz="0" w:space="0" w:color="auto"/>
        <w:right w:val="none" w:sz="0" w:space="0" w:color="auto"/>
      </w:divBdr>
    </w:div>
    <w:div w:id="1748069859">
      <w:bodyDiv w:val="1"/>
      <w:marLeft w:val="0"/>
      <w:marRight w:val="0"/>
      <w:marTop w:val="0"/>
      <w:marBottom w:val="0"/>
      <w:divBdr>
        <w:top w:val="none" w:sz="0" w:space="0" w:color="auto"/>
        <w:left w:val="none" w:sz="0" w:space="0" w:color="auto"/>
        <w:bottom w:val="none" w:sz="0" w:space="0" w:color="auto"/>
        <w:right w:val="none" w:sz="0" w:space="0" w:color="auto"/>
      </w:divBdr>
    </w:div>
    <w:div w:id="1769931344">
      <w:bodyDiv w:val="1"/>
      <w:marLeft w:val="0"/>
      <w:marRight w:val="0"/>
      <w:marTop w:val="0"/>
      <w:marBottom w:val="0"/>
      <w:divBdr>
        <w:top w:val="none" w:sz="0" w:space="0" w:color="auto"/>
        <w:left w:val="none" w:sz="0" w:space="0" w:color="auto"/>
        <w:bottom w:val="none" w:sz="0" w:space="0" w:color="auto"/>
        <w:right w:val="none" w:sz="0" w:space="0" w:color="auto"/>
      </w:divBdr>
    </w:div>
    <w:div w:id="1793863442">
      <w:bodyDiv w:val="1"/>
      <w:marLeft w:val="0"/>
      <w:marRight w:val="0"/>
      <w:marTop w:val="0"/>
      <w:marBottom w:val="0"/>
      <w:divBdr>
        <w:top w:val="none" w:sz="0" w:space="0" w:color="auto"/>
        <w:left w:val="none" w:sz="0" w:space="0" w:color="auto"/>
        <w:bottom w:val="none" w:sz="0" w:space="0" w:color="auto"/>
        <w:right w:val="none" w:sz="0" w:space="0" w:color="auto"/>
      </w:divBdr>
    </w:div>
    <w:div w:id="1794253581">
      <w:bodyDiv w:val="1"/>
      <w:marLeft w:val="0"/>
      <w:marRight w:val="0"/>
      <w:marTop w:val="0"/>
      <w:marBottom w:val="0"/>
      <w:divBdr>
        <w:top w:val="none" w:sz="0" w:space="0" w:color="auto"/>
        <w:left w:val="none" w:sz="0" w:space="0" w:color="auto"/>
        <w:bottom w:val="none" w:sz="0" w:space="0" w:color="auto"/>
        <w:right w:val="none" w:sz="0" w:space="0" w:color="auto"/>
      </w:divBdr>
    </w:div>
    <w:div w:id="1798181413">
      <w:bodyDiv w:val="1"/>
      <w:marLeft w:val="0"/>
      <w:marRight w:val="0"/>
      <w:marTop w:val="0"/>
      <w:marBottom w:val="0"/>
      <w:divBdr>
        <w:top w:val="none" w:sz="0" w:space="0" w:color="auto"/>
        <w:left w:val="none" w:sz="0" w:space="0" w:color="auto"/>
        <w:bottom w:val="none" w:sz="0" w:space="0" w:color="auto"/>
        <w:right w:val="none" w:sz="0" w:space="0" w:color="auto"/>
      </w:divBdr>
    </w:div>
    <w:div w:id="1877811727">
      <w:bodyDiv w:val="1"/>
      <w:marLeft w:val="0"/>
      <w:marRight w:val="0"/>
      <w:marTop w:val="0"/>
      <w:marBottom w:val="0"/>
      <w:divBdr>
        <w:top w:val="none" w:sz="0" w:space="0" w:color="auto"/>
        <w:left w:val="none" w:sz="0" w:space="0" w:color="auto"/>
        <w:bottom w:val="none" w:sz="0" w:space="0" w:color="auto"/>
        <w:right w:val="none" w:sz="0" w:space="0" w:color="auto"/>
      </w:divBdr>
    </w:div>
    <w:div w:id="1878348698">
      <w:bodyDiv w:val="1"/>
      <w:marLeft w:val="0"/>
      <w:marRight w:val="0"/>
      <w:marTop w:val="0"/>
      <w:marBottom w:val="0"/>
      <w:divBdr>
        <w:top w:val="none" w:sz="0" w:space="0" w:color="auto"/>
        <w:left w:val="none" w:sz="0" w:space="0" w:color="auto"/>
        <w:bottom w:val="none" w:sz="0" w:space="0" w:color="auto"/>
        <w:right w:val="none" w:sz="0" w:space="0" w:color="auto"/>
      </w:divBdr>
    </w:div>
    <w:div w:id="1883710334">
      <w:bodyDiv w:val="1"/>
      <w:marLeft w:val="0"/>
      <w:marRight w:val="0"/>
      <w:marTop w:val="0"/>
      <w:marBottom w:val="0"/>
      <w:divBdr>
        <w:top w:val="none" w:sz="0" w:space="0" w:color="auto"/>
        <w:left w:val="none" w:sz="0" w:space="0" w:color="auto"/>
        <w:bottom w:val="none" w:sz="0" w:space="0" w:color="auto"/>
        <w:right w:val="none" w:sz="0" w:space="0" w:color="auto"/>
      </w:divBdr>
    </w:div>
    <w:div w:id="1900897619">
      <w:bodyDiv w:val="1"/>
      <w:marLeft w:val="0"/>
      <w:marRight w:val="0"/>
      <w:marTop w:val="0"/>
      <w:marBottom w:val="0"/>
      <w:divBdr>
        <w:top w:val="none" w:sz="0" w:space="0" w:color="auto"/>
        <w:left w:val="none" w:sz="0" w:space="0" w:color="auto"/>
        <w:bottom w:val="none" w:sz="0" w:space="0" w:color="auto"/>
        <w:right w:val="none" w:sz="0" w:space="0" w:color="auto"/>
      </w:divBdr>
    </w:div>
    <w:div w:id="1904481525">
      <w:bodyDiv w:val="1"/>
      <w:marLeft w:val="0"/>
      <w:marRight w:val="0"/>
      <w:marTop w:val="0"/>
      <w:marBottom w:val="0"/>
      <w:divBdr>
        <w:top w:val="none" w:sz="0" w:space="0" w:color="auto"/>
        <w:left w:val="none" w:sz="0" w:space="0" w:color="auto"/>
        <w:bottom w:val="none" w:sz="0" w:space="0" w:color="auto"/>
        <w:right w:val="none" w:sz="0" w:space="0" w:color="auto"/>
      </w:divBdr>
    </w:div>
    <w:div w:id="1939172189">
      <w:bodyDiv w:val="1"/>
      <w:marLeft w:val="0"/>
      <w:marRight w:val="0"/>
      <w:marTop w:val="0"/>
      <w:marBottom w:val="0"/>
      <w:divBdr>
        <w:top w:val="none" w:sz="0" w:space="0" w:color="auto"/>
        <w:left w:val="none" w:sz="0" w:space="0" w:color="auto"/>
        <w:bottom w:val="none" w:sz="0" w:space="0" w:color="auto"/>
        <w:right w:val="none" w:sz="0" w:space="0" w:color="auto"/>
      </w:divBdr>
    </w:div>
    <w:div w:id="1940018875">
      <w:bodyDiv w:val="1"/>
      <w:marLeft w:val="0"/>
      <w:marRight w:val="0"/>
      <w:marTop w:val="0"/>
      <w:marBottom w:val="0"/>
      <w:divBdr>
        <w:top w:val="none" w:sz="0" w:space="0" w:color="auto"/>
        <w:left w:val="none" w:sz="0" w:space="0" w:color="auto"/>
        <w:bottom w:val="none" w:sz="0" w:space="0" w:color="auto"/>
        <w:right w:val="none" w:sz="0" w:space="0" w:color="auto"/>
      </w:divBdr>
    </w:div>
    <w:div w:id="1954553817">
      <w:bodyDiv w:val="1"/>
      <w:marLeft w:val="0"/>
      <w:marRight w:val="0"/>
      <w:marTop w:val="0"/>
      <w:marBottom w:val="0"/>
      <w:divBdr>
        <w:top w:val="none" w:sz="0" w:space="0" w:color="auto"/>
        <w:left w:val="none" w:sz="0" w:space="0" w:color="auto"/>
        <w:bottom w:val="none" w:sz="0" w:space="0" w:color="auto"/>
        <w:right w:val="none" w:sz="0" w:space="0" w:color="auto"/>
      </w:divBdr>
    </w:div>
    <w:div w:id="1971545165">
      <w:bodyDiv w:val="1"/>
      <w:marLeft w:val="0"/>
      <w:marRight w:val="0"/>
      <w:marTop w:val="0"/>
      <w:marBottom w:val="0"/>
      <w:divBdr>
        <w:top w:val="none" w:sz="0" w:space="0" w:color="auto"/>
        <w:left w:val="none" w:sz="0" w:space="0" w:color="auto"/>
        <w:bottom w:val="none" w:sz="0" w:space="0" w:color="auto"/>
        <w:right w:val="none" w:sz="0" w:space="0" w:color="auto"/>
      </w:divBdr>
    </w:div>
    <w:div w:id="1979799723">
      <w:bodyDiv w:val="1"/>
      <w:marLeft w:val="0"/>
      <w:marRight w:val="0"/>
      <w:marTop w:val="0"/>
      <w:marBottom w:val="0"/>
      <w:divBdr>
        <w:top w:val="none" w:sz="0" w:space="0" w:color="auto"/>
        <w:left w:val="none" w:sz="0" w:space="0" w:color="auto"/>
        <w:bottom w:val="none" w:sz="0" w:space="0" w:color="auto"/>
        <w:right w:val="none" w:sz="0" w:space="0" w:color="auto"/>
      </w:divBdr>
    </w:div>
    <w:div w:id="1989742624">
      <w:bodyDiv w:val="1"/>
      <w:marLeft w:val="0"/>
      <w:marRight w:val="0"/>
      <w:marTop w:val="0"/>
      <w:marBottom w:val="0"/>
      <w:divBdr>
        <w:top w:val="none" w:sz="0" w:space="0" w:color="auto"/>
        <w:left w:val="none" w:sz="0" w:space="0" w:color="auto"/>
        <w:bottom w:val="none" w:sz="0" w:space="0" w:color="auto"/>
        <w:right w:val="none" w:sz="0" w:space="0" w:color="auto"/>
      </w:divBdr>
    </w:div>
    <w:div w:id="1995839831">
      <w:bodyDiv w:val="1"/>
      <w:marLeft w:val="0"/>
      <w:marRight w:val="0"/>
      <w:marTop w:val="0"/>
      <w:marBottom w:val="0"/>
      <w:divBdr>
        <w:top w:val="none" w:sz="0" w:space="0" w:color="auto"/>
        <w:left w:val="none" w:sz="0" w:space="0" w:color="auto"/>
        <w:bottom w:val="none" w:sz="0" w:space="0" w:color="auto"/>
        <w:right w:val="none" w:sz="0" w:space="0" w:color="auto"/>
      </w:divBdr>
    </w:div>
    <w:div w:id="2013218965">
      <w:bodyDiv w:val="1"/>
      <w:marLeft w:val="0"/>
      <w:marRight w:val="0"/>
      <w:marTop w:val="0"/>
      <w:marBottom w:val="0"/>
      <w:divBdr>
        <w:top w:val="none" w:sz="0" w:space="0" w:color="auto"/>
        <w:left w:val="none" w:sz="0" w:space="0" w:color="auto"/>
        <w:bottom w:val="none" w:sz="0" w:space="0" w:color="auto"/>
        <w:right w:val="none" w:sz="0" w:space="0" w:color="auto"/>
      </w:divBdr>
    </w:div>
    <w:div w:id="2031908159">
      <w:bodyDiv w:val="1"/>
      <w:marLeft w:val="0"/>
      <w:marRight w:val="0"/>
      <w:marTop w:val="0"/>
      <w:marBottom w:val="0"/>
      <w:divBdr>
        <w:top w:val="none" w:sz="0" w:space="0" w:color="auto"/>
        <w:left w:val="none" w:sz="0" w:space="0" w:color="auto"/>
        <w:bottom w:val="none" w:sz="0" w:space="0" w:color="auto"/>
        <w:right w:val="none" w:sz="0" w:space="0" w:color="auto"/>
      </w:divBdr>
    </w:div>
    <w:div w:id="2035187365">
      <w:bodyDiv w:val="1"/>
      <w:marLeft w:val="0"/>
      <w:marRight w:val="0"/>
      <w:marTop w:val="0"/>
      <w:marBottom w:val="0"/>
      <w:divBdr>
        <w:top w:val="none" w:sz="0" w:space="0" w:color="auto"/>
        <w:left w:val="none" w:sz="0" w:space="0" w:color="auto"/>
        <w:bottom w:val="none" w:sz="0" w:space="0" w:color="auto"/>
        <w:right w:val="none" w:sz="0" w:space="0" w:color="auto"/>
      </w:divBdr>
    </w:div>
    <w:div w:id="2066679910">
      <w:bodyDiv w:val="1"/>
      <w:marLeft w:val="0"/>
      <w:marRight w:val="0"/>
      <w:marTop w:val="0"/>
      <w:marBottom w:val="0"/>
      <w:divBdr>
        <w:top w:val="none" w:sz="0" w:space="0" w:color="auto"/>
        <w:left w:val="none" w:sz="0" w:space="0" w:color="auto"/>
        <w:bottom w:val="none" w:sz="0" w:space="0" w:color="auto"/>
        <w:right w:val="none" w:sz="0" w:space="0" w:color="auto"/>
      </w:divBdr>
    </w:div>
    <w:div w:id="2076856427">
      <w:bodyDiv w:val="1"/>
      <w:marLeft w:val="0"/>
      <w:marRight w:val="0"/>
      <w:marTop w:val="0"/>
      <w:marBottom w:val="0"/>
      <w:divBdr>
        <w:top w:val="none" w:sz="0" w:space="0" w:color="auto"/>
        <w:left w:val="none" w:sz="0" w:space="0" w:color="auto"/>
        <w:bottom w:val="none" w:sz="0" w:space="0" w:color="auto"/>
        <w:right w:val="none" w:sz="0" w:space="0" w:color="auto"/>
      </w:divBdr>
    </w:div>
    <w:div w:id="2102332870">
      <w:bodyDiv w:val="1"/>
      <w:marLeft w:val="0"/>
      <w:marRight w:val="0"/>
      <w:marTop w:val="0"/>
      <w:marBottom w:val="0"/>
      <w:divBdr>
        <w:top w:val="none" w:sz="0" w:space="0" w:color="auto"/>
        <w:left w:val="none" w:sz="0" w:space="0" w:color="auto"/>
        <w:bottom w:val="none" w:sz="0" w:space="0" w:color="auto"/>
        <w:right w:val="none" w:sz="0" w:space="0" w:color="auto"/>
      </w:divBdr>
    </w:div>
    <w:div w:id="2109814684">
      <w:bodyDiv w:val="1"/>
      <w:marLeft w:val="0"/>
      <w:marRight w:val="0"/>
      <w:marTop w:val="0"/>
      <w:marBottom w:val="0"/>
      <w:divBdr>
        <w:top w:val="none" w:sz="0" w:space="0" w:color="auto"/>
        <w:left w:val="none" w:sz="0" w:space="0" w:color="auto"/>
        <w:bottom w:val="none" w:sz="0" w:space="0" w:color="auto"/>
        <w:right w:val="none" w:sz="0" w:space="0" w:color="auto"/>
      </w:divBdr>
    </w:div>
    <w:div w:id="21255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sultancy-me.com/news/7970/how-ai-is-reshaping-the-consulting-profession-in-saudi-arabia" TargetMode="External"/><Relationship Id="rId18" Type="http://schemas.openxmlformats.org/officeDocument/2006/relationships/hyperlink" Target="https://www.fs-consulting.com/the-importance-of-business-consulting-firms-in-saudi-arabia" TargetMode="External"/><Relationship Id="rId26" Type="http://schemas.openxmlformats.org/officeDocument/2006/relationships/hyperlink" Target="https://sloanreview.mit.edu/article/will-large-language-models-really-change-how-work-is-done/" TargetMode="External"/><Relationship Id="rId39" Type="http://schemas.openxmlformats.org/officeDocument/2006/relationships/header" Target="header3.xml"/><Relationship Id="rId21" Type="http://schemas.openxmlformats.org/officeDocument/2006/relationships/hyperlink" Target="https://grapeup.com/blog/addressing-data-governance-challenges-in-enterprises-through-the-use-of-llm-hubs/" TargetMode="External"/><Relationship Id="rId34" Type="http://schemas.openxmlformats.org/officeDocument/2006/relationships/hyperlink" Target="https://utilityanalytics.com/news/strengthening-ai-governance-for-llms-with-semantic-context/"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atagalaxy.com/en/blog/data-governance-in-2026-benefits-business-alignment-and-essential-need/" TargetMode="External"/><Relationship Id="rId20" Type="http://schemas.openxmlformats.org/officeDocument/2006/relationships/hyperlink" Target="https://www.linkedin.com/pulse/data-governance-competitive-advantage-ai-success-m-galbraith" TargetMode="External"/><Relationship Id="rId29" Type="http://schemas.openxmlformats.org/officeDocument/2006/relationships/hyperlink" Target="https://cscu.cornell.edu/wp-content/uploads/128_fitindices.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elements/dynamic-capabilities-and-related-paradigms/50501CF71C6118316FC74C28A1B61DEE" TargetMode="External"/><Relationship Id="rId24" Type="http://schemas.openxmlformats.org/officeDocument/2006/relationships/hyperlink" Target="https://imai.fas.harvard.edu/teaching-files/sem.pdf" TargetMode="External"/><Relationship Id="rId32" Type="http://schemas.openxmlformats.org/officeDocument/2006/relationships/hyperlink" Target="https://siliconflow.com/blog/best-open-source-llm-for-strategizing-2026"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cranium.eu/how-to-handle-the-use-of-large-language-models-in-your-organisation/" TargetMode="External"/><Relationship Id="rId23" Type="http://schemas.openxmlformats.org/officeDocument/2006/relationships/hyperlink" Target="https://www.ibm.com/blog/impact-on-data-governance-with-generative-ai-part-one/" TargetMode="External"/><Relationship Id="rId28" Type="http://schemas.openxmlformats.org/officeDocument/2006/relationships/hyperlink" Target="https://opendatapolicylab.org/" TargetMode="External"/><Relationship Id="rId36" Type="http://schemas.openxmlformats.org/officeDocument/2006/relationships/header" Target="header2.xml"/><Relationship Id="rId10" Type="http://schemas.openxmlformats.org/officeDocument/2006/relationships/hyperlink" Target="https://bts-academy.com/" TargetMode="External"/><Relationship Id="rId19" Type="http://schemas.openxmlformats.org/officeDocument/2006/relationships/hyperlink" Target="https://doi.org/10.1287/inte.4.3.28" TargetMode="External"/><Relationship Id="rId31" Type="http://schemas.openxmlformats.org/officeDocument/2006/relationships/hyperlink" Target="https://responsibleailabs.ai/enterprise-ai-governance-implementation-guide-20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ranium.ai/blog/how-to-handle-the-use-of-large-language-models-in-your-organisation/" TargetMode="External"/><Relationship Id="rId22" Type="http://schemas.openxmlformats.org/officeDocument/2006/relationships/hyperlink" Target="https://www.ibm.com/think/news/impact-on-data-governance-with-generative-ai-part-two" TargetMode="External"/><Relationship Id="rId27" Type="http://schemas.openxmlformats.org/officeDocument/2006/relationships/hyperlink" Target="https://www.oecd.org/en/topics/policy-issues/tools-for-agility.html" TargetMode="External"/><Relationship Id="rId30" Type="http://schemas.openxmlformats.org/officeDocument/2006/relationships/hyperlink" Target="https://www.prosci.com/blog/organizational-agility-in-the-age-of-ai" TargetMode="External"/><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cdw.com/content/cdw/en/articles/dataanalytics/data-governance-large-language-models.html" TargetMode="External"/><Relationship Id="rId17" Type="http://schemas.openxmlformats.org/officeDocument/2006/relationships/hyperlink" Target="https://digital-strategy.ec.europa.eu/en/policies/ai-act" TargetMode="External"/><Relationship Id="rId25" Type="http://schemas.openxmlformats.org/officeDocument/2006/relationships/hyperlink" Target="https://malanderadvisory.com/strategic-agility-in-2026-building-a-flexible-measurable-strategy-that-works/" TargetMode="External"/><Relationship Id="rId33" Type="http://schemas.openxmlformats.org/officeDocument/2006/relationships/hyperlink" Target="https://taso.org.uk/resources/guidance/designing-likert-scale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13373</Words>
  <Characters>76231</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dc:creator>
  <cp:keywords/>
  <dc:description/>
  <cp:lastModifiedBy>Windows User</cp:lastModifiedBy>
  <cp:revision>2</cp:revision>
  <cp:lastPrinted>2026-07-03T01:20:00Z</cp:lastPrinted>
  <dcterms:created xsi:type="dcterms:W3CDTF">2026-07-04T13:14:00Z</dcterms:created>
  <dcterms:modified xsi:type="dcterms:W3CDTF">2026-07-04T13:14:00Z</dcterms:modified>
</cp:coreProperties>
</file>