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821778F" w:rsidR="009125CE" w:rsidRPr="009125CE" w:rsidRDefault="00D87C7B">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CA27E16" w:rsidR="009125CE" w:rsidRPr="001902DB" w:rsidRDefault="00D87C7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نموذج تمويلي : التمويل التأجيري للسيارات في المملكة العربية 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4D0D31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839DE">
        <w:rPr>
          <w:rFonts w:ascii="Sakkal Majalla" w:hAnsi="Sakkal Majalla" w:cs="Sakkal Majalla" w:hint="cs"/>
          <w:b/>
          <w:bCs/>
          <w:sz w:val="28"/>
          <w:szCs w:val="28"/>
          <w:rtl/>
          <w:lang w:bidi="ar-EG"/>
        </w:rPr>
        <w:t xml:space="preserve"> </w:t>
      </w:r>
      <w:r w:rsidR="009839DE" w:rsidRPr="009839DE">
        <w:rPr>
          <w:rFonts w:ascii="Sakkal Majalla" w:hAnsi="Sakkal Majalla" w:cs="Sakkal Majalla"/>
          <w:b/>
          <w:bCs/>
          <w:sz w:val="28"/>
          <w:szCs w:val="28"/>
          <w:rtl/>
          <w:lang w:bidi="ar-EG"/>
        </w:rPr>
        <w:t>باسم بخيت المالكي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7D3B74C" w:rsidR="009125CE" w:rsidRPr="001902DB" w:rsidRDefault="009839D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0838C19F"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 xml:space="preserve">المستخلص / </w:t>
      </w:r>
      <w:r w:rsidRPr="009839DE">
        <w:rPr>
          <w:rFonts w:ascii="Sakkal Majalla" w:hAnsi="Sakkal Majalla" w:cs="Sakkal Majalla"/>
          <w:sz w:val="28"/>
          <w:szCs w:val="28"/>
          <w:u w:val="single"/>
          <w:lang w:bidi="ar-EG"/>
        </w:rPr>
        <w:t>Abstract</w:t>
      </w:r>
    </w:p>
    <w:p w14:paraId="0468AB23"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الفصل الأول: المقدمة</w:t>
      </w:r>
    </w:p>
    <w:p w14:paraId="3E79FDEF"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الفصل الثاني: الدراسات السابقة</w:t>
      </w:r>
    </w:p>
    <w:p w14:paraId="690F97B5"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الفصل الثالث: منهجية الدراسة</w:t>
      </w:r>
    </w:p>
    <w:p w14:paraId="163BEB73"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الفصل الرابع: النتائج والتوصيات</w:t>
      </w:r>
    </w:p>
    <w:p w14:paraId="13C45573"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المراجع العربية</w:t>
      </w:r>
    </w:p>
    <w:p w14:paraId="6E0ED8DE"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المراجع الأجنبية</w:t>
      </w:r>
    </w:p>
    <w:p w14:paraId="0C1C64B8" w14:textId="3C07FC0F" w:rsidR="009125C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الملاحق</w:t>
      </w:r>
    </w:p>
    <w:p w14:paraId="14FAE9D5" w14:textId="77777777" w:rsidR="009125CE" w:rsidRDefault="009125CE" w:rsidP="009125CE">
      <w:pPr>
        <w:rPr>
          <w:rFonts w:ascii="Sakkal Majalla" w:hAnsi="Sakkal Majalla" w:cs="Sakkal Majalla"/>
          <w:sz w:val="28"/>
          <w:szCs w:val="28"/>
          <w:u w:val="single"/>
          <w:rtl/>
          <w:lang w:bidi="ar-EG"/>
        </w:rPr>
      </w:pPr>
    </w:p>
    <w:p w14:paraId="23949D37" w14:textId="77777777" w:rsidR="009839DE" w:rsidRDefault="009839D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280A3D61"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جدول (1): مصطلحات التمويل التأجيري العالمية المطبقة على النموذج المقترح - مركبة تقليدية</w:t>
      </w:r>
    </w:p>
    <w:p w14:paraId="2BE17A2C"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جدول (2): نتائج القسط الشهري - مركبة تقليدية</w:t>
      </w:r>
    </w:p>
    <w:p w14:paraId="0418ABDA"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 xml:space="preserve">جدول (3): مصطلحات التمويل التأجيري العالمية - </w:t>
      </w:r>
      <w:r w:rsidRPr="009839DE">
        <w:rPr>
          <w:rFonts w:ascii="Sakkal Majalla" w:hAnsi="Sakkal Majalla" w:cs="Sakkal Majalla"/>
          <w:sz w:val="28"/>
          <w:szCs w:val="28"/>
          <w:u w:val="single"/>
          <w:lang w:bidi="ar-EG"/>
        </w:rPr>
        <w:t>Lucid Air</w:t>
      </w:r>
      <w:r w:rsidRPr="009839DE">
        <w:rPr>
          <w:rFonts w:ascii="Sakkal Majalla" w:hAnsi="Sakkal Majalla" w:cs="Sakkal Majalla"/>
          <w:sz w:val="28"/>
          <w:szCs w:val="28"/>
          <w:u w:val="single"/>
          <w:rtl/>
          <w:lang w:bidi="ar-EG"/>
        </w:rPr>
        <w:t xml:space="preserve"> الكهربائية</w:t>
      </w:r>
    </w:p>
    <w:p w14:paraId="418570B5"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 xml:space="preserve">جدول (4): نتائج القسط الشهري - </w:t>
      </w:r>
      <w:r w:rsidRPr="009839DE">
        <w:rPr>
          <w:rFonts w:ascii="Sakkal Majalla" w:hAnsi="Sakkal Majalla" w:cs="Sakkal Majalla"/>
          <w:sz w:val="28"/>
          <w:szCs w:val="28"/>
          <w:u w:val="single"/>
          <w:lang w:bidi="ar-EG"/>
        </w:rPr>
        <w:t>Lucid Air</w:t>
      </w:r>
    </w:p>
    <w:p w14:paraId="3741B788"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جدول (5): مقارنة شاملة بين فئتي المركبات</w:t>
      </w:r>
    </w:p>
    <w:p w14:paraId="6F2AA5D5"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جدول (6): ملخص الدراسات السابقة</w:t>
      </w:r>
    </w:p>
    <w:p w14:paraId="5228DCE1" w14:textId="77777777" w:rsidR="009839DE" w:rsidRPr="009839DE" w:rsidRDefault="009839DE" w:rsidP="009839DE">
      <w:pPr>
        <w:rPr>
          <w:rFonts w:ascii="Sakkal Majalla" w:hAnsi="Sakkal Majalla" w:cs="Sakkal Majalla"/>
          <w:sz w:val="28"/>
          <w:szCs w:val="28"/>
          <w:u w:val="single"/>
          <w:lang w:bidi="ar-EG"/>
        </w:rPr>
      </w:pPr>
      <w:r w:rsidRPr="009839DE">
        <w:rPr>
          <w:rFonts w:ascii="Sakkal Majalla" w:hAnsi="Sakkal Majalla" w:cs="Sakkal Majalla"/>
          <w:sz w:val="28"/>
          <w:szCs w:val="28"/>
          <w:u w:val="single"/>
          <w:rtl/>
          <w:lang w:bidi="ar-EG"/>
        </w:rPr>
        <w:t>جدول (7): الخصائص الديموغرافية لعينة الدراسة الفعلية (ن = 283)</w:t>
      </w:r>
    </w:p>
    <w:p w14:paraId="5F02BB6D" w14:textId="17600506" w:rsidR="009125C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جدول (8): نتائج محاور الاستبانة الرئيسة (ن = 283)</w:t>
      </w:r>
    </w:p>
    <w:p w14:paraId="6F2BE651" w14:textId="77777777" w:rsidR="009839DE" w:rsidRDefault="009839DE" w:rsidP="009839D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5249095E"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شكل (1): مخطط توزيع عينة الدراسة حسب الجنس</w:t>
      </w:r>
    </w:p>
    <w:p w14:paraId="56F94F10"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شكل (2): مخطط توزيع عينة الدراسة حسب الفئة العمرية</w:t>
      </w:r>
    </w:p>
    <w:p w14:paraId="355AF294" w14:textId="77777777" w:rsidR="009839DE"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شكل (3): مخطط توزيع عينة الدراسة حسب الدخل الشهري</w:t>
      </w:r>
    </w:p>
    <w:p w14:paraId="1DAEEFEB" w14:textId="7D18E277" w:rsidR="00D52480" w:rsidRPr="009839DE" w:rsidRDefault="009839DE" w:rsidP="009839DE">
      <w:pPr>
        <w:rPr>
          <w:rFonts w:ascii="Sakkal Majalla" w:hAnsi="Sakkal Majalla" w:cs="Sakkal Majalla"/>
          <w:sz w:val="28"/>
          <w:szCs w:val="28"/>
          <w:u w:val="single"/>
          <w:rtl/>
          <w:lang w:bidi="ar-EG"/>
        </w:rPr>
      </w:pPr>
      <w:r w:rsidRPr="009839DE">
        <w:rPr>
          <w:rFonts w:ascii="Sakkal Majalla" w:hAnsi="Sakkal Majalla" w:cs="Sakkal Majalla"/>
          <w:sz w:val="28"/>
          <w:szCs w:val="28"/>
          <w:u w:val="single"/>
          <w:rtl/>
          <w:lang w:bidi="ar-EG"/>
        </w:rPr>
        <w:t>شكل (4): مخطط نتائج محاور الاستبانة الرئيسة</w:t>
      </w: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58AAB522" w14:textId="77777777" w:rsidR="009839DE" w:rsidRDefault="009839DE" w:rsidP="009839DE">
      <w:pPr>
        <w:rPr>
          <w:rFonts w:ascii="Sakkal Majalla" w:hAnsi="Sakkal Majalla" w:cs="Sakkal Majalla"/>
          <w:sz w:val="28"/>
          <w:szCs w:val="28"/>
          <w:u w:val="single"/>
          <w:rtl/>
          <w:lang w:bidi="ar-EG"/>
        </w:rPr>
      </w:pPr>
    </w:p>
    <w:p w14:paraId="32DDC605" w14:textId="63CD5E62" w:rsidR="009125CE" w:rsidRDefault="009125CE" w:rsidP="009839DE">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52341758" w14:textId="77777777" w:rsidR="009125CE" w:rsidRDefault="009125CE" w:rsidP="009125CE">
      <w:pPr>
        <w:rPr>
          <w:rFonts w:ascii="Sakkal Majalla" w:hAnsi="Sakkal Majalla" w:cs="Sakkal Majalla"/>
          <w:sz w:val="28"/>
          <w:szCs w:val="28"/>
          <w:u w:val="single"/>
        </w:rPr>
      </w:pPr>
    </w:p>
    <w:p w14:paraId="6E99E2B0"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تتناول هذه الدراسة إشكالية الفجوة بين التمويل التأجيري المنتهي بالتملك والتأجير التشغيلي في سوق تمويل المركبات بالمملكة العربية السعودية، حيث يوفر المنتج الأول كفاءة تكلفة نسبية دون مرونة كافية، بينما يوفر الثاني مرونة أعلى بتكلفة أعلى نسبيًا. وتهدف الدراسة إلى بناء تصور مقترح لنموذج تمويلي هجين يتيح للعميل خيار استبدال المركبة أثناء مدة العقد وفق شروط يتفق عليها البنك والوكيل، مقابل التزام العميل بالصيانة الدورية ومتابعة عداد المسافة، دون الإخلال بالضوابط الشرعية الحاكمة لعقد الإجارة المنتهية بالتملك.</w:t>
      </w:r>
    </w:p>
    <w:p w14:paraId="209A7832"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اعتمدت الدراسة المنهج المختلط، جامعة بين تحليل الوثائق والأنظمة، ومحاكاة مالية رقمية تطبيقية على فئتين من المركبات (تقليدية وكهربائية)، واستبانة ميدانية طُبقت فعليًا على عينة قوامها 283 عميلًا. وأظهرت النتائج الوصفية أن نسبة كبيرة من العينة (83.7%) توافق على أن ميزة الاستبدال ستزيد رضاها عن المنتج، وأن غالبية المشاركين (68.2% و84.5% على التوالي) أبدوا استعدادًا لتحمل مسؤولية الصيانة الدورية ومتابعة عداد المسافة مقابل الحصول على هذه الميزة، كما أيّد 88.3% من العينة فكرة طرح النموذج المقترح كمنتج فعلي في السوق. أما على المستوى الاستدلالي، فقد وجدت فرضية فرعية واحدة (</w:t>
      </w:r>
      <w:r w:rsidRPr="009839DE">
        <w:rPr>
          <w:rFonts w:ascii="Sakkal Majalla" w:hAnsi="Sakkal Majalla" w:cs="Sakkal Majalla"/>
          <w:sz w:val="28"/>
          <w:szCs w:val="28"/>
        </w:rPr>
        <w:t>H1b</w:t>
      </w:r>
      <w:r w:rsidRPr="009839DE">
        <w:rPr>
          <w:rFonts w:ascii="Sakkal Majalla" w:hAnsi="Sakkal Majalla" w:cs="Sakkal Majalla"/>
          <w:sz w:val="28"/>
          <w:szCs w:val="28"/>
          <w:rtl/>
        </w:rPr>
        <w:t>) دعمًا دالًا إحصائيًا (</w:t>
      </w:r>
      <w:r w:rsidRPr="009839DE">
        <w:rPr>
          <w:rFonts w:ascii="Sakkal Majalla" w:hAnsi="Sakkal Majalla" w:cs="Sakkal Majalla"/>
          <w:sz w:val="28"/>
          <w:szCs w:val="28"/>
        </w:rPr>
        <w:t>r = -0.152, p = 0.011</w:t>
      </w:r>
      <w:r w:rsidRPr="009839DE">
        <w:rPr>
          <w:rFonts w:ascii="Sakkal Majalla" w:hAnsi="Sakkal Majalla" w:cs="Sakkal Majalla"/>
          <w:sz w:val="28"/>
          <w:szCs w:val="28"/>
          <w:rtl/>
        </w:rPr>
        <w:t>)، بينما لم تجد الفرضية الرئيسية والفرضية الفرعية الأخرى دعمًا دالًا في هذه العينة، وهو ما عُزي إلى أثر السقف الناتج عن تركز الاستجابات الإيجابية. وأظهرت المحاكاة المالية أن جدوى النموذج تتفاوت جوهريًا حسب فئة المركبة، إذ تتطلب المركبات الكهربائية هامش مخاطرة أعلى ومدة عقد أطول نظرًا لسرعة استهلاكها الموثقة مقارنة بالمركبات التقليدية.</w:t>
      </w:r>
    </w:p>
    <w:p w14:paraId="7C92AB71" w14:textId="6101CC30" w:rsidR="009125C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الكلمات المفتاحية: التمويل التأجيري المنتهي بالتملك، التأجير التشغيلي، القيمة المتبقية، الابتكار المالي، الإجارة الإسلامية، السوق السعودي.</w:t>
      </w:r>
    </w:p>
    <w:p w14:paraId="5B416857" w14:textId="77777777" w:rsidR="00D87C7B" w:rsidRDefault="00D87C7B" w:rsidP="009839DE">
      <w:pPr>
        <w:rPr>
          <w:rFonts w:ascii="Sakkal Majalla" w:hAnsi="Sakkal Majalla" w:cs="Sakkal Majalla"/>
          <w:sz w:val="28"/>
          <w:szCs w:val="28"/>
          <w:rtl/>
        </w:rPr>
      </w:pPr>
    </w:p>
    <w:p w14:paraId="581CCF40" w14:textId="77777777" w:rsidR="00D87C7B" w:rsidRDefault="00D87C7B" w:rsidP="009839DE">
      <w:pPr>
        <w:rPr>
          <w:rFonts w:ascii="Sakkal Majalla" w:hAnsi="Sakkal Majalla" w:cs="Sakkal Majalla"/>
          <w:sz w:val="28"/>
          <w:szCs w:val="28"/>
          <w:rtl/>
        </w:rPr>
      </w:pPr>
    </w:p>
    <w:p w14:paraId="2DFE3A8B" w14:textId="77777777" w:rsidR="00D87C7B" w:rsidRDefault="00D87C7B" w:rsidP="009839DE">
      <w:pPr>
        <w:rPr>
          <w:rFonts w:ascii="Sakkal Majalla" w:hAnsi="Sakkal Majalla" w:cs="Sakkal Majalla"/>
          <w:sz w:val="28"/>
          <w:szCs w:val="28"/>
          <w:rtl/>
        </w:rPr>
      </w:pPr>
    </w:p>
    <w:p w14:paraId="06B1D649" w14:textId="77777777" w:rsidR="00D87C7B" w:rsidRDefault="00D87C7B" w:rsidP="009839DE">
      <w:pPr>
        <w:rPr>
          <w:rFonts w:ascii="Sakkal Majalla" w:hAnsi="Sakkal Majalla" w:cs="Sakkal Majalla"/>
          <w:sz w:val="28"/>
          <w:szCs w:val="28"/>
          <w:rtl/>
        </w:rPr>
      </w:pPr>
    </w:p>
    <w:p w14:paraId="29E558F8" w14:textId="77777777" w:rsidR="00D87C7B" w:rsidRDefault="00D87C7B" w:rsidP="009839DE">
      <w:pPr>
        <w:rPr>
          <w:rFonts w:ascii="Sakkal Majalla" w:hAnsi="Sakkal Majalla" w:cs="Sakkal Majalla"/>
          <w:sz w:val="28"/>
          <w:szCs w:val="28"/>
          <w:rtl/>
        </w:rPr>
      </w:pPr>
    </w:p>
    <w:p w14:paraId="43EF7E80" w14:textId="77777777" w:rsidR="00D87C7B" w:rsidRDefault="00D87C7B" w:rsidP="009839DE">
      <w:pPr>
        <w:rPr>
          <w:rFonts w:ascii="Sakkal Majalla" w:hAnsi="Sakkal Majalla" w:cs="Sakkal Majalla"/>
          <w:sz w:val="28"/>
          <w:szCs w:val="28"/>
          <w:rtl/>
        </w:rPr>
      </w:pPr>
    </w:p>
    <w:p w14:paraId="621ED8B4" w14:textId="77777777" w:rsidR="00D87C7B" w:rsidRDefault="00D87C7B" w:rsidP="009839DE">
      <w:pPr>
        <w:rPr>
          <w:rFonts w:ascii="Sakkal Majalla" w:hAnsi="Sakkal Majalla" w:cs="Sakkal Majalla"/>
          <w:sz w:val="28"/>
          <w:szCs w:val="28"/>
          <w:rtl/>
        </w:rPr>
      </w:pPr>
    </w:p>
    <w:p w14:paraId="5CE1C1D3" w14:textId="77777777" w:rsidR="00D87C7B" w:rsidRDefault="00D87C7B" w:rsidP="009839DE">
      <w:pPr>
        <w:rPr>
          <w:rFonts w:ascii="Sakkal Majalla" w:hAnsi="Sakkal Majalla" w:cs="Sakkal Majalla"/>
          <w:sz w:val="28"/>
          <w:szCs w:val="28"/>
          <w:rtl/>
        </w:rPr>
      </w:pPr>
    </w:p>
    <w:p w14:paraId="2CEE87C6" w14:textId="77777777" w:rsidR="00D87C7B" w:rsidRDefault="00D87C7B" w:rsidP="009839DE">
      <w:pPr>
        <w:rPr>
          <w:rFonts w:ascii="Sakkal Majalla" w:hAnsi="Sakkal Majalla" w:cs="Sakkal Majalla"/>
          <w:sz w:val="28"/>
          <w:szCs w:val="28"/>
          <w:rtl/>
        </w:rPr>
      </w:pPr>
    </w:p>
    <w:p w14:paraId="2353C0D8" w14:textId="7597CA4A" w:rsidR="00D87C7B" w:rsidRDefault="00AC10F2" w:rsidP="003009CB">
      <w:pPr>
        <w:jc w:val="center"/>
        <w:rPr>
          <w:rFonts w:ascii="Sakkal Majalla" w:hAnsi="Sakkal Majalla" w:cs="Sakkal Majalla"/>
          <w:sz w:val="28"/>
          <w:szCs w:val="28"/>
          <w:u w:val="single"/>
          <w:rtl/>
        </w:rPr>
      </w:pPr>
      <w:r w:rsidRPr="00AC10F2">
        <w:rPr>
          <w:rFonts w:ascii="Sakkal Majalla" w:hAnsi="Sakkal Majalla" w:cs="Sakkal Majalla" w:hint="cs"/>
          <w:sz w:val="28"/>
          <w:szCs w:val="28"/>
          <w:u w:val="single"/>
          <w:rtl/>
        </w:rPr>
        <w:lastRenderedPageBreak/>
        <w:t>الشكر والتقدير</w:t>
      </w:r>
    </w:p>
    <w:p w14:paraId="79D74E6C" w14:textId="77777777" w:rsidR="003009CB" w:rsidRPr="00AC10F2" w:rsidRDefault="003009CB" w:rsidP="003009CB">
      <w:pPr>
        <w:jc w:val="center"/>
        <w:rPr>
          <w:rFonts w:ascii="Sakkal Majalla" w:hAnsi="Sakkal Majalla" w:cs="Sakkal Majalla"/>
          <w:sz w:val="28"/>
          <w:szCs w:val="28"/>
          <w:u w:val="single"/>
          <w:rtl/>
        </w:rPr>
      </w:pPr>
    </w:p>
    <w:p w14:paraId="2EB50DF5" w14:textId="32AC1D97" w:rsidR="00AC10F2" w:rsidRPr="00AC10F2" w:rsidRDefault="00AC10F2" w:rsidP="00AC10F2">
      <w:pPr>
        <w:jc w:val="center"/>
        <w:rPr>
          <w:rFonts w:ascii="Sakkal Majalla" w:hAnsi="Sakkal Majalla" w:cs="Sakkal Majalla"/>
          <w:sz w:val="28"/>
          <w:szCs w:val="28"/>
          <w:rtl/>
        </w:rPr>
      </w:pPr>
      <w:r w:rsidRPr="00AC10F2">
        <w:rPr>
          <w:rFonts w:ascii="Sakkal Majalla" w:hAnsi="Sakkal Majalla" w:cs="Sakkal Majalla"/>
          <w:sz w:val="28"/>
          <w:szCs w:val="28"/>
          <w:rtl/>
        </w:rPr>
        <w:t>لا تُقاس الإنجازات بعدد صفحاتها، بل بمن كانوا خلف كل صفحة، يؤمنون بها قبل أن تكتمل، ويضيئون الطريق قبل أن تتضح معالمه.</w:t>
      </w:r>
    </w:p>
    <w:p w14:paraId="72E52D38" w14:textId="77777777" w:rsidR="00AC10F2" w:rsidRPr="00AC10F2" w:rsidRDefault="00AC10F2" w:rsidP="00AC10F2">
      <w:pPr>
        <w:jc w:val="center"/>
        <w:rPr>
          <w:rFonts w:ascii="Sakkal Majalla" w:hAnsi="Sakkal Majalla" w:cs="Sakkal Majalla"/>
          <w:b/>
          <w:bCs/>
          <w:sz w:val="28"/>
          <w:szCs w:val="28"/>
          <w:rtl/>
        </w:rPr>
      </w:pPr>
      <w:r w:rsidRPr="00AC10F2">
        <w:rPr>
          <w:rFonts w:ascii="Sakkal Majalla" w:hAnsi="Sakkal Majalla" w:cs="Sakkal Majalla"/>
          <w:b/>
          <w:bCs/>
          <w:sz w:val="28"/>
          <w:szCs w:val="28"/>
          <w:rtl/>
        </w:rPr>
        <w:t>إلى أبي...</w:t>
      </w:r>
    </w:p>
    <w:p w14:paraId="1675FD3D" w14:textId="0FF7ED85" w:rsidR="00AC10F2" w:rsidRPr="00AC10F2" w:rsidRDefault="00AC10F2" w:rsidP="00AC10F2">
      <w:pPr>
        <w:jc w:val="center"/>
        <w:rPr>
          <w:rFonts w:ascii="Sakkal Majalla" w:hAnsi="Sakkal Majalla" w:cs="Sakkal Majalla"/>
          <w:sz w:val="28"/>
          <w:szCs w:val="28"/>
          <w:rtl/>
        </w:rPr>
      </w:pPr>
      <w:r w:rsidRPr="00AC10F2">
        <w:rPr>
          <w:rFonts w:ascii="Sakkal Majalla" w:hAnsi="Sakkal Majalla" w:cs="Sakkal Majalla"/>
          <w:sz w:val="28"/>
          <w:szCs w:val="28"/>
          <w:rtl/>
        </w:rPr>
        <w:t>كنت أول من علّمني أن الالتزام هو رأس المال الحقيقي، وأن النجاح لا يُمنح لمن ينتظره، بل لمن يصنعه بصبرٍ وعمل. لم تكن حاضرًا في تفاصيل هذا البحث فحسب، بل كنت حاضرًا في المبادئ التي بُني عليها. أهديك هذا الإنجاز، فهو امتداد لما غرسته في داخلي منذ البدايات.</w:t>
      </w:r>
    </w:p>
    <w:p w14:paraId="4780BF5D" w14:textId="77777777" w:rsidR="00AC10F2" w:rsidRPr="00AC10F2" w:rsidRDefault="00AC10F2" w:rsidP="00AC10F2">
      <w:pPr>
        <w:jc w:val="center"/>
        <w:rPr>
          <w:rFonts w:ascii="Sakkal Majalla" w:hAnsi="Sakkal Majalla" w:cs="Sakkal Majalla"/>
          <w:b/>
          <w:bCs/>
          <w:sz w:val="28"/>
          <w:szCs w:val="28"/>
          <w:rtl/>
        </w:rPr>
      </w:pPr>
      <w:r w:rsidRPr="00AC10F2">
        <w:rPr>
          <w:rFonts w:ascii="Sakkal Majalla" w:hAnsi="Sakkal Majalla" w:cs="Sakkal Majalla"/>
          <w:b/>
          <w:bCs/>
          <w:sz w:val="28"/>
          <w:szCs w:val="28"/>
          <w:rtl/>
        </w:rPr>
        <w:t>إلى أمي...</w:t>
      </w:r>
    </w:p>
    <w:p w14:paraId="1E141BB7" w14:textId="355FBB9E" w:rsidR="00AC10F2" w:rsidRDefault="00AC10F2" w:rsidP="00AC10F2">
      <w:pPr>
        <w:jc w:val="center"/>
        <w:rPr>
          <w:rFonts w:ascii="Sakkal Majalla" w:hAnsi="Sakkal Majalla" w:cs="Sakkal Majalla"/>
          <w:sz w:val="28"/>
          <w:szCs w:val="28"/>
          <w:rtl/>
        </w:rPr>
      </w:pPr>
      <w:r w:rsidRPr="00AC10F2">
        <w:rPr>
          <w:rFonts w:ascii="Sakkal Majalla" w:hAnsi="Sakkal Majalla" w:cs="Sakkal Majalla"/>
          <w:sz w:val="28"/>
          <w:szCs w:val="28"/>
          <w:rtl/>
        </w:rPr>
        <w:t>كنتِ الدعاء الذي سبق كل خطوة، والطمأنينة التي رافقت كل تحدٍ، والقوة التي لم أكن أراها إلا بعد أن أتجاوز الصعاب. إن كان لهذا البحث قيمة، فإن أول قيمه أنكِ كنتِ سببًا في أن أصل إليه. لكِ مني ما تعجز الكلمات عن حمله من امتنان.</w:t>
      </w:r>
    </w:p>
    <w:p w14:paraId="3A8E250B" w14:textId="7A2FDC9A" w:rsidR="003009CB" w:rsidRPr="003009CB" w:rsidRDefault="003009CB" w:rsidP="003009CB">
      <w:pPr>
        <w:jc w:val="center"/>
        <w:rPr>
          <w:rFonts w:ascii="Sakkal Majalla" w:hAnsi="Sakkal Majalla" w:cs="Sakkal Majalla"/>
          <w:b/>
          <w:bCs/>
          <w:sz w:val="28"/>
          <w:szCs w:val="28"/>
          <w:rtl/>
        </w:rPr>
      </w:pPr>
      <w:r w:rsidRPr="003009CB">
        <w:rPr>
          <w:rFonts w:ascii="Sakkal Majalla" w:hAnsi="Sakkal Majalla" w:cs="Sakkal Majalla"/>
          <w:b/>
          <w:bCs/>
          <w:sz w:val="28"/>
          <w:szCs w:val="28"/>
          <w:rtl/>
        </w:rPr>
        <w:t xml:space="preserve">إلى أصدقائي... </w:t>
      </w:r>
    </w:p>
    <w:p w14:paraId="1A932897" w14:textId="1BFC5679" w:rsidR="003009CB" w:rsidRPr="00AC10F2" w:rsidRDefault="003009CB" w:rsidP="003009CB">
      <w:pPr>
        <w:jc w:val="center"/>
        <w:rPr>
          <w:rFonts w:ascii="Sakkal Majalla" w:hAnsi="Sakkal Majalla" w:cs="Sakkal Majalla"/>
          <w:sz w:val="28"/>
          <w:szCs w:val="28"/>
          <w:rtl/>
        </w:rPr>
      </w:pPr>
      <w:r w:rsidRPr="003009CB">
        <w:rPr>
          <w:rFonts w:ascii="Sakkal Majalla" w:hAnsi="Sakkal Majalla" w:cs="Sakkal Majalla"/>
          <w:sz w:val="28"/>
          <w:szCs w:val="28"/>
          <w:rtl/>
        </w:rPr>
        <w:t>شكرًا لأنكم كنتم الحضور الذي يخفف عناء الطريق، والدافع الذي ينعش العزيمة كلما أثقلتها التحديات. لم يكن دعمكم مجرد كلمات، بل كان أثرًا امتد إلى كل مرحلة من مراحل هذا البحث، وسيبقى موضع تقدير وامتنان ما حييت</w:t>
      </w:r>
      <w:r w:rsidRPr="003009CB">
        <w:rPr>
          <w:rFonts w:ascii="Sakkal Majalla" w:hAnsi="Sakkal Majalla" w:cs="Sakkal Majalla"/>
          <w:sz w:val="28"/>
          <w:szCs w:val="28"/>
        </w:rPr>
        <w:t>.</w:t>
      </w:r>
    </w:p>
    <w:p w14:paraId="04780357" w14:textId="68246C5F" w:rsidR="00AC10F2" w:rsidRPr="00AC10F2" w:rsidRDefault="00AC10F2" w:rsidP="00AC10F2">
      <w:pPr>
        <w:jc w:val="center"/>
        <w:rPr>
          <w:rFonts w:ascii="Sakkal Majalla" w:hAnsi="Sakkal Majalla" w:cs="Sakkal Majalla"/>
          <w:b/>
          <w:bCs/>
          <w:sz w:val="28"/>
          <w:szCs w:val="28"/>
          <w:rtl/>
        </w:rPr>
      </w:pPr>
      <w:r w:rsidRPr="00AC10F2">
        <w:rPr>
          <w:rFonts w:ascii="Sakkal Majalla" w:hAnsi="Sakkal Majalla" w:cs="Sakkal Majalla"/>
          <w:b/>
          <w:bCs/>
          <w:sz w:val="28"/>
          <w:szCs w:val="28"/>
          <w:rtl/>
        </w:rPr>
        <w:t xml:space="preserve">إلى زملائي في قطاع </w:t>
      </w:r>
      <w:r w:rsidRPr="00AC10F2">
        <w:rPr>
          <w:rFonts w:ascii="Sakkal Majalla" w:hAnsi="Sakkal Majalla" w:cs="Sakkal Majalla" w:hint="cs"/>
          <w:b/>
          <w:bCs/>
          <w:sz w:val="28"/>
          <w:szCs w:val="28"/>
          <w:rtl/>
        </w:rPr>
        <w:t>المصرفية الاسلامية وقطاع الالتزام للبنوك وقطاع الخدمات المالية</w:t>
      </w:r>
      <w:r w:rsidRPr="00AC10F2">
        <w:rPr>
          <w:rFonts w:ascii="Sakkal Majalla" w:hAnsi="Sakkal Majalla" w:cs="Sakkal Majalla"/>
          <w:b/>
          <w:bCs/>
          <w:sz w:val="28"/>
          <w:szCs w:val="28"/>
          <w:rtl/>
        </w:rPr>
        <w:t>...</w:t>
      </w:r>
    </w:p>
    <w:p w14:paraId="0B24DB81" w14:textId="7508F967" w:rsidR="00AC10F2" w:rsidRPr="00AC10F2" w:rsidRDefault="00AC10F2" w:rsidP="00AC10F2">
      <w:pPr>
        <w:jc w:val="center"/>
        <w:rPr>
          <w:rFonts w:ascii="Sakkal Majalla" w:hAnsi="Sakkal Majalla" w:cs="Sakkal Majalla"/>
          <w:sz w:val="28"/>
          <w:szCs w:val="28"/>
          <w:rtl/>
        </w:rPr>
      </w:pPr>
      <w:r w:rsidRPr="00AC10F2">
        <w:rPr>
          <w:rFonts w:ascii="Sakkal Majalla" w:hAnsi="Sakkal Majalla" w:cs="Sakkal Majalla"/>
          <w:sz w:val="28"/>
          <w:szCs w:val="28"/>
          <w:rtl/>
        </w:rPr>
        <w:t>أنتم لم تكونوا مجرد زملاء ، بل كنتم نافذةً أطللت منها على الواقع المهني بكل تفاصيله. من خلال نقاشاتكم، وخبرتكم، وآرائكم، أدركت أن المعرفة الحقيقية تُولد عندما يلتقي الجانب الأكاديمي بالتطبيق العملي. كان لكل ملاحظة منكم أثر، ولكل نقاش قيمة، ولكل دعم بصمة في هذا الإنجاز. فلكم خالص الشكر والتقدير.</w:t>
      </w:r>
    </w:p>
    <w:p w14:paraId="1038858A" w14:textId="34AD6DFF" w:rsidR="00AC10F2" w:rsidRPr="00AC10F2" w:rsidRDefault="00AC10F2" w:rsidP="00AC10F2">
      <w:pPr>
        <w:jc w:val="center"/>
        <w:rPr>
          <w:rFonts w:ascii="Sakkal Majalla" w:hAnsi="Sakkal Majalla" w:cs="Sakkal Majalla"/>
          <w:b/>
          <w:bCs/>
          <w:sz w:val="28"/>
          <w:szCs w:val="28"/>
          <w:rtl/>
        </w:rPr>
      </w:pPr>
      <w:r w:rsidRPr="00AC10F2">
        <w:rPr>
          <w:rFonts w:ascii="Sakkal Majalla" w:hAnsi="Sakkal Majalla" w:cs="Sakkal Majalla"/>
          <w:b/>
          <w:bCs/>
          <w:sz w:val="28"/>
          <w:szCs w:val="28"/>
          <w:rtl/>
        </w:rPr>
        <w:t>ختامًا...</w:t>
      </w:r>
    </w:p>
    <w:p w14:paraId="66D0D36A" w14:textId="7454C7FF" w:rsidR="00D87C7B" w:rsidRPr="00AC10F2" w:rsidRDefault="003009CB" w:rsidP="00AC10F2">
      <w:pPr>
        <w:jc w:val="center"/>
        <w:rPr>
          <w:rFonts w:ascii="Sakkal Majalla" w:hAnsi="Sakkal Majalla" w:cs="Sakkal Majalla"/>
          <w:sz w:val="28"/>
          <w:szCs w:val="28"/>
          <w:rtl/>
        </w:rPr>
      </w:pPr>
      <w:r>
        <w:rPr>
          <w:rFonts w:ascii="Sakkal Majalla" w:hAnsi="Sakkal Majalla" w:cs="Sakkal Majalla" w:hint="cs"/>
          <w:sz w:val="28"/>
          <w:szCs w:val="28"/>
          <w:rtl/>
        </w:rPr>
        <w:t>أ</w:t>
      </w:r>
      <w:r w:rsidR="00AC10F2" w:rsidRPr="00AC10F2">
        <w:rPr>
          <w:rFonts w:ascii="Sakkal Majalla" w:hAnsi="Sakkal Majalla" w:cs="Sakkal Majalla"/>
          <w:sz w:val="28"/>
          <w:szCs w:val="28"/>
          <w:rtl/>
        </w:rPr>
        <w:t>هدي هذا البحث لكل من يؤمن بأن تطوير المنتجات المالية يبدأ بفكرةٍ جريئة، ويكتمل بتعاون العلم والخبرة، على أمل أن يكون هذا العمل خطوةً تسهم في تطوير التمويل التأجيري، وتخدم القطاع المالي في المملكة العربية السعودية، وتنسجم مع مستهدفات رؤية المملكة 2030. كما أتقدم بخالص الشكر والتقدير إلى جامعة ميد أوشن، وإدارة الجامعة، وأعضاء هيئة التدريس، على ما قدموه من دعمٍ أكاديمي وتوجيهٍ علمي أسهم في إتمام هذا البحث، فكان لجهودهم أثرٌ بالغ في مسيرتي العلمية وإخراج هذا العمل بالصورة التي أطمح إليها.</w:t>
      </w:r>
    </w:p>
    <w:p w14:paraId="0CEF8AD5" w14:textId="77777777" w:rsidR="00D87C7B" w:rsidRDefault="00D87C7B" w:rsidP="009839DE">
      <w:pPr>
        <w:rPr>
          <w:rFonts w:ascii="Sakkal Majalla" w:hAnsi="Sakkal Majalla" w:cs="Sakkal Majalla"/>
          <w:sz w:val="28"/>
          <w:szCs w:val="28"/>
          <w:rtl/>
        </w:rPr>
      </w:pPr>
    </w:p>
    <w:p w14:paraId="7F500C50" w14:textId="77777777" w:rsidR="00AC10F2" w:rsidRDefault="00AC10F2" w:rsidP="009839DE">
      <w:pPr>
        <w:rPr>
          <w:rFonts w:ascii="Sakkal Majalla" w:hAnsi="Sakkal Majalla" w:cs="Sakkal Majalla"/>
          <w:sz w:val="28"/>
          <w:szCs w:val="28"/>
          <w:rtl/>
        </w:rPr>
      </w:pPr>
    </w:p>
    <w:p w14:paraId="37DBD649" w14:textId="77777777" w:rsidR="00AC10F2" w:rsidRPr="00AC10F2" w:rsidRDefault="00AC10F2" w:rsidP="00AC10F2">
      <w:pPr>
        <w:jc w:val="center"/>
        <w:rPr>
          <w:rFonts w:ascii="Sakkal Majalla" w:hAnsi="Sakkal Majalla" w:cs="Sakkal Majalla"/>
          <w:b/>
          <w:bCs/>
          <w:sz w:val="28"/>
          <w:szCs w:val="28"/>
        </w:rPr>
      </w:pPr>
      <w:r w:rsidRPr="00AC10F2">
        <w:rPr>
          <w:rFonts w:ascii="Sakkal Majalla" w:hAnsi="Sakkal Majalla" w:cs="Sakkal Majalla"/>
          <w:b/>
          <w:bCs/>
          <w:sz w:val="28"/>
          <w:szCs w:val="28"/>
        </w:rPr>
        <w:lastRenderedPageBreak/>
        <w:t>"</w:t>
      </w:r>
      <w:r w:rsidRPr="00AC10F2">
        <w:rPr>
          <w:rFonts w:ascii="Sakkal Majalla" w:hAnsi="Sakkal Majalla" w:cs="Sakkal Majalla"/>
          <w:b/>
          <w:bCs/>
          <w:sz w:val="28"/>
          <w:szCs w:val="28"/>
          <w:rtl/>
        </w:rPr>
        <w:t>قد تُنسى أسماء الباحثين مع مرور الزمن، لكن الأفكار التي تُحدث أثرًا تبقى شاهدةً على أصحابها</w:t>
      </w:r>
      <w:r w:rsidRPr="00AC10F2">
        <w:rPr>
          <w:rFonts w:ascii="Sakkal Majalla" w:hAnsi="Sakkal Majalla" w:cs="Sakkal Majalla"/>
          <w:b/>
          <w:bCs/>
          <w:sz w:val="28"/>
          <w:szCs w:val="28"/>
        </w:rPr>
        <w:t>."</w:t>
      </w:r>
    </w:p>
    <w:p w14:paraId="20667126" w14:textId="77777777" w:rsidR="009125CE" w:rsidRPr="00AC10F2" w:rsidRDefault="009125CE" w:rsidP="009125CE">
      <w:pPr>
        <w:rPr>
          <w:rFonts w:ascii="Sakkal Majalla" w:hAnsi="Sakkal Majalla" w:cs="Sakkal Majalla"/>
          <w:sz w:val="28"/>
          <w:szCs w:val="28"/>
          <w:rtl/>
        </w:rPr>
      </w:pPr>
    </w:p>
    <w:p w14:paraId="3505982F" w14:textId="77777777" w:rsidR="00AC10F2" w:rsidRDefault="00AC10F2"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Pr>
      </w:pPr>
    </w:p>
    <w:p w14:paraId="59C71656" w14:textId="77777777" w:rsidR="00A9518A" w:rsidRDefault="00A9518A" w:rsidP="009125CE">
      <w:pPr>
        <w:rPr>
          <w:rFonts w:ascii="Sakkal Majalla" w:hAnsi="Sakkal Majalla" w:cs="Sakkal Majalla"/>
          <w:sz w:val="28"/>
          <w:szCs w:val="28"/>
          <w:u w:val="single"/>
        </w:rPr>
      </w:pPr>
    </w:p>
    <w:p w14:paraId="27B849CB" w14:textId="77777777" w:rsidR="00A9518A" w:rsidRDefault="00A9518A" w:rsidP="009125CE">
      <w:pPr>
        <w:rPr>
          <w:rFonts w:ascii="Sakkal Majalla" w:hAnsi="Sakkal Majalla" w:cs="Sakkal Majalla"/>
          <w:sz w:val="28"/>
          <w:szCs w:val="28"/>
          <w:u w:val="single"/>
          <w:rtl/>
        </w:rPr>
      </w:pPr>
    </w:p>
    <w:p w14:paraId="39961E02" w14:textId="77777777" w:rsidR="00AC10F2" w:rsidRDefault="00AC10F2" w:rsidP="009125CE">
      <w:pPr>
        <w:rPr>
          <w:rFonts w:ascii="Sakkal Majalla" w:hAnsi="Sakkal Majalla" w:cs="Sakkal Majalla"/>
          <w:sz w:val="28"/>
          <w:szCs w:val="28"/>
          <w:u w:val="single"/>
          <w:rtl/>
        </w:rPr>
      </w:pPr>
    </w:p>
    <w:p w14:paraId="29718E6B" w14:textId="77777777" w:rsidR="00AC10F2" w:rsidRDefault="00AC10F2" w:rsidP="009125CE">
      <w:pPr>
        <w:rPr>
          <w:rFonts w:ascii="Sakkal Majalla" w:hAnsi="Sakkal Majalla" w:cs="Sakkal Majalla"/>
          <w:sz w:val="28"/>
          <w:szCs w:val="28"/>
          <w:u w:val="single"/>
        </w:rPr>
      </w:pPr>
    </w:p>
    <w:p w14:paraId="05D984FA" w14:textId="77777777" w:rsidR="00A9518A" w:rsidRDefault="00A9518A"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289887B6"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يشهد قطاع تمويل المركبات في المملكة العربية السعودية تطورًا متسارعًا في ظل التحولات الاقتصادية والتنظيمية التي تقودها رؤية المملكة 2030، وما ترتب عليها من توسع في الأدوات التمويلية الموجهة للأفراد، وارتفاع مستوى المنافسة بين البنوك وشركات التأجير، وتزايد الحاجة إلى منتجات أكثر مرونة وملاءمة لاحتياجات العملاء. وفي هذا السياق يبرز منتجان رئيسان في السوق هما التمويل التأجيري المنتهي بالتملك الذي تقدمه البنوك والمؤسسات التمويلية الخاضعة لإشراف البنك المركزي السعودي، والتأجير التشغيلي الذي تقدمه شركات التأجير المرخصة. ويختلف هذان المنتجان في البنية التعاقدية وآلية التسعير ودرجة المرونة وموقع المخاطر التشغيلية والائتمانية بين مقدم الخدمة والعميل.</w:t>
      </w:r>
    </w:p>
    <w:p w14:paraId="7E9B27F5"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وعلى مستوى التطبيق العملي، يُنظر إلى التمويل التأجيري المنتهي بالتملك بوصفه منتجًا يتيح للعميل تملك المركبة في نهاية العقد ضمن إطار نظامي وشرعي واضح، بينما يُنظر إلى التأجير التشغيلي بوصفه منتجًا يوفر مرونة أعلى في الاستخدام والاستبدال والإرجاع لكنه قد يرتبط بتكلفة شهرية أعلى ورسوم تشغيلية إضافية في بعض الحالات. ومن ثم يجد العميل نفسه أمام مفاضلة بين منتج أقل تكلفة نسبيًا لكنه أقل مرونة، ومنتج أكثر مرونة لكنه أعلى تكلفة.</w:t>
      </w:r>
    </w:p>
    <w:p w14:paraId="35DEB6AA" w14:textId="2158CFDA"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وتزداد أهمية هذه الإشكالية مع التحولات الجارية في سوق المركبات داخل المملكة، بما في ذلك اتساع الاهتمام بالمركبات الكهربائية وتنامي المبادرات الحكومية والصناعية المرتبطة بها، وظهور احتياج متزايد إلى منتجات تمويلية تستطيع استيعاب أنماط طلب جديدة تقوم على المرونة وانخفاض الالتزام طويل الأجل وتقليل عبء التكلفة الكلية على العميل. ومن هنا تنطلق هذه الدراسة من فجوة عملية وبحثية تتمثل في عدم توافر نموذج تمويلي يجمع بوضوح بين الكفاءة السعرية المرتبطة بالتمويل التأجيري المنتهي بالتملك وبين المرونة التعاقدية المرتبطة بالتأجير التشغيلي في السوق السعودي.</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5B33108" w14:textId="77777777" w:rsidR="00F925D0" w:rsidRDefault="00F925D0" w:rsidP="00D22171">
      <w:pPr>
        <w:rPr>
          <w:rFonts w:ascii="Sakkal Majalla" w:hAnsi="Sakkal Majalla" w:cs="Sakkal Majalla"/>
          <w:sz w:val="28"/>
          <w:szCs w:val="28"/>
          <w:u w:val="single"/>
          <w:rtl/>
        </w:rPr>
      </w:pPr>
    </w:p>
    <w:p w14:paraId="1E78C3FA"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تتمثل مشكلة الدراسة في وجود فجوة واضحة بين خصائص منتجَي تمويل المركبات الأكثر حضورًا في السوق السعودي؛ إذ يوفر التمويل التأجيري المنتهي بالتملك كفاءة تكلفة نسبية وإطارًا تعاقديًا أكثر استقرارًا، في حين يوفر التأجير التشغيلي مرونة أعلى من حيث الإرجاع والاستبدال وقصر الالتزام النسبي. وينعكس هذا التباين على قرار العميل الذي قد يضطر إلى المفاضلة بين انخفاض التكلفة من جهة، والمرونة التعاقدية من جهة أخرى.</w:t>
      </w:r>
    </w:p>
    <w:p w14:paraId="1A031408"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وتظهر هذه المشكلة بصورة أكبر لدى شرائح من العملاء الذين لا يرغبون في تحمل التزامات ملكية طويلة الأجل، أو الذين يفضلون تحديث المركبة بصورة دورية، أو الذين يبحثون عن بديل يحقق توازنًا بين الاستخدام العملي والتكلفة المقبولة. وتخلص الدراسة - بناءً على مراجعة الواقع السوقي والأدبيات ذات الصلة - إلى أن القائمة الحالية من المنتجات لا تقدم صيغة متكاملة تحقق هذا التوازن ضمن إطار مصرفي منظم.</w:t>
      </w:r>
    </w:p>
    <w:p w14:paraId="18FB8549" w14:textId="032431F4" w:rsidR="00F925D0"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وعليه، فإن الإشكالية الرئيسة لهذه الدراسة تتمثل في التساؤل حول إمكانية تصميم نموذج تمويلي هجين في السوق السعودي يجمع بين مزايا التمويل التأجيري المنتهي بالتملك ومزايا التأجير التشغيلي، دون الإخلال بالمتطلبات التنظيمية والشرعية، وبما يحقق قيمة أفضل للعميل ويفتح مجالًا لتطوير منتجات تمويل المركبات.</w:t>
      </w: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54543C56" w14:textId="77777777" w:rsidR="00F925D0" w:rsidRDefault="00F925D0" w:rsidP="00D22171">
      <w:pPr>
        <w:rPr>
          <w:rFonts w:ascii="Sakkal Majalla" w:hAnsi="Sakkal Majalla" w:cs="Sakkal Majalla"/>
          <w:sz w:val="28"/>
          <w:szCs w:val="28"/>
          <w:u w:val="single"/>
          <w:rtl/>
        </w:rPr>
      </w:pPr>
    </w:p>
    <w:p w14:paraId="153F011F" w14:textId="77777777" w:rsidR="009839DE" w:rsidRPr="009839DE" w:rsidRDefault="009839DE" w:rsidP="009839DE">
      <w:pPr>
        <w:pStyle w:val="ListParagraph"/>
        <w:numPr>
          <w:ilvl w:val="0"/>
          <w:numId w:val="2"/>
        </w:numPr>
        <w:rPr>
          <w:rFonts w:ascii="Sakkal Majalla" w:hAnsi="Sakkal Majalla" w:cs="Sakkal Majalla"/>
          <w:sz w:val="28"/>
          <w:szCs w:val="28"/>
          <w:rtl/>
        </w:rPr>
      </w:pPr>
      <w:r w:rsidRPr="009839DE">
        <w:rPr>
          <w:rFonts w:ascii="Sakkal Majalla" w:hAnsi="Sakkal Majalla" w:cs="Sakkal Majalla"/>
          <w:sz w:val="28"/>
          <w:szCs w:val="28"/>
          <w:rtl/>
        </w:rPr>
        <w:t>الأهمية العلمية</w:t>
      </w:r>
    </w:p>
    <w:p w14:paraId="2D1AC34D"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إثراء الأدبيات العربية في موضوع تمويل المركبات من خلال الربط بين التمويل التأجيري المنتهي بالتملك والتأجير التشغيلي ضمن إطار تحليلي واحد.</w:t>
      </w:r>
    </w:p>
    <w:p w14:paraId="76C32DEC"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تقديم معالجة بحثية لموضوع ذي طبيعة تطبيقية معاصرة يتقاطع فيه البعد المالي مع البعد التنظيمي والشرعي والسلوكي.</w:t>
      </w:r>
    </w:p>
    <w:p w14:paraId="38C5A57B"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المساهمة في سد فجوة بحثية تتعلق بندرة الدراسات - في حدود ما اطلع عليه الباحث - التي تناولت تصميم نموذج تمويلي هجين في البيئة السعودية يوازن بين الكلفة والمرونة، مدعمًا بمنهجية أصيلة لإدارة مخاطر القيمة المتبقية (الهامش المتدرج).</w:t>
      </w:r>
    </w:p>
    <w:p w14:paraId="116A2525" w14:textId="77777777" w:rsidR="009839DE" w:rsidRPr="009839DE" w:rsidRDefault="009839DE" w:rsidP="009839DE">
      <w:pPr>
        <w:pStyle w:val="ListParagraph"/>
        <w:numPr>
          <w:ilvl w:val="0"/>
          <w:numId w:val="1"/>
        </w:numPr>
        <w:rPr>
          <w:rFonts w:ascii="Sakkal Majalla" w:hAnsi="Sakkal Majalla" w:cs="Sakkal Majalla"/>
          <w:sz w:val="28"/>
          <w:szCs w:val="28"/>
          <w:rtl/>
        </w:rPr>
      </w:pPr>
      <w:r w:rsidRPr="009839DE">
        <w:rPr>
          <w:rFonts w:ascii="Sakkal Majalla" w:hAnsi="Sakkal Majalla" w:cs="Sakkal Majalla"/>
          <w:sz w:val="28"/>
          <w:szCs w:val="28"/>
          <w:rtl/>
        </w:rPr>
        <w:t>الأهمية التطبيقية</w:t>
      </w:r>
    </w:p>
    <w:p w14:paraId="301FBE88"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إفادة البنوك وشركات التمويل في فهم الفجوة بين ما هو معروض في السوق وما يبحث عنه العملاء من خصائص تمويلية أكثر مرونة.</w:t>
      </w:r>
    </w:p>
    <w:p w14:paraId="4CDD22D3"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دعم الجهات التنظيمية وصانعي السياسات بمخرجات علمية يمكن الاستفادة منها عند دراسة تطوير منتجات تمويل المركبات.</w:t>
      </w:r>
    </w:p>
    <w:p w14:paraId="4B542553" w14:textId="5A8DD410" w:rsidR="00F925D0"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المساهمة في تقديم تصور أولي لمنتج تمويلي قابل للدراسة والتطوير بما يتناسب مع خصوصية السوق السعودي، بما في ذلك فئة المركبات الكهربائية سريعة النمو.</w:t>
      </w: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097BC6A1"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الهدف العام: تحليل الفجوة بين التمويل التأجيري المنتهي بالتملك والتأجير التشغيلي في سوق تمويل المركبات السعودي، وبناء تصور مقترح لنموذج تمويلي هجين يجمع بين الكفاءة التمويلية والمرونة التعاقدية في ضوء الأطر النظامية والشرعية ذات الصلة.</w:t>
      </w:r>
    </w:p>
    <w:p w14:paraId="6C7FD478"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1.</w:t>
      </w:r>
      <w:r w:rsidRPr="009839DE">
        <w:rPr>
          <w:rFonts w:ascii="Sakkal Majalla" w:hAnsi="Sakkal Majalla" w:cs="Sakkal Majalla"/>
          <w:sz w:val="28"/>
          <w:szCs w:val="28"/>
          <w:rtl/>
        </w:rPr>
        <w:tab/>
        <w:t>تحليل الخصائص التسعيرية والتعاقدية للتمويل التأجيري المنتهي بالتملك في السوق السعودي.</w:t>
      </w:r>
    </w:p>
    <w:p w14:paraId="7F06F275"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2.</w:t>
      </w:r>
      <w:r w:rsidRPr="009839DE">
        <w:rPr>
          <w:rFonts w:ascii="Sakkal Majalla" w:hAnsi="Sakkal Majalla" w:cs="Sakkal Majalla"/>
          <w:sz w:val="28"/>
          <w:szCs w:val="28"/>
          <w:rtl/>
        </w:rPr>
        <w:tab/>
        <w:t>تحليل الخصائص التسعيرية والتعاقدية للتأجير التشغيلي في السوق السعودي.</w:t>
      </w:r>
    </w:p>
    <w:p w14:paraId="48905DE0"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3.</w:t>
      </w:r>
      <w:r w:rsidRPr="009839DE">
        <w:rPr>
          <w:rFonts w:ascii="Sakkal Majalla" w:hAnsi="Sakkal Majalla" w:cs="Sakkal Majalla"/>
          <w:sz w:val="28"/>
          <w:szCs w:val="28"/>
          <w:rtl/>
        </w:rPr>
        <w:tab/>
        <w:t>تحديد أبعاد الفجوة بين المنتجين من حيث التكلفة والمرونة.</w:t>
      </w:r>
    </w:p>
    <w:p w14:paraId="656E3F74"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4.</w:t>
      </w:r>
      <w:r w:rsidRPr="009839DE">
        <w:rPr>
          <w:rFonts w:ascii="Sakkal Majalla" w:hAnsi="Sakkal Majalla" w:cs="Sakkal Majalla"/>
          <w:sz w:val="28"/>
          <w:szCs w:val="28"/>
          <w:rtl/>
        </w:rPr>
        <w:tab/>
        <w:t>استكشاف أثر هذه الفجوة في تفضيلات العملاء واتجاهاتهم نحو أدوات تمويل المركبات.</w:t>
      </w:r>
    </w:p>
    <w:p w14:paraId="51852041"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5.</w:t>
      </w:r>
      <w:r w:rsidRPr="009839DE">
        <w:rPr>
          <w:rFonts w:ascii="Sakkal Majalla" w:hAnsi="Sakkal Majalla" w:cs="Sakkal Majalla"/>
          <w:sz w:val="28"/>
          <w:szCs w:val="28"/>
          <w:rtl/>
        </w:rPr>
        <w:tab/>
        <w:t>دراسة المتطلبات النظامية والشرعية اللازمة لتطوير نموذج تمويلي مقترح، بما في ذلك آلية إدارة مخاطر القيمة المتبقية.</w:t>
      </w:r>
    </w:p>
    <w:p w14:paraId="7B3332A7"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6.</w:t>
      </w:r>
      <w:r w:rsidRPr="009839DE">
        <w:rPr>
          <w:rFonts w:ascii="Sakkal Majalla" w:hAnsi="Sakkal Majalla" w:cs="Sakkal Majalla"/>
          <w:sz w:val="28"/>
          <w:szCs w:val="28"/>
          <w:rtl/>
        </w:rPr>
        <w:tab/>
        <w:t>تقديم تصور مقترح لنموذج تمويلي هجين قابل للدراسة من قبل الجهات التنظيمية والمؤسسات المالية، مدعم بمحاكاة رقمية تطبيقية.</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27487EE8" w14:textId="77777777" w:rsidR="009839DE" w:rsidRDefault="009839DE"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01E6437E" w14:textId="77777777" w:rsidR="00F925D0" w:rsidRDefault="00F925D0" w:rsidP="00D22171">
      <w:pPr>
        <w:rPr>
          <w:rFonts w:ascii="Sakkal Majalla" w:hAnsi="Sakkal Majalla" w:cs="Sakkal Majalla"/>
          <w:sz w:val="28"/>
          <w:szCs w:val="28"/>
          <w:u w:val="single"/>
          <w:rtl/>
        </w:rPr>
      </w:pPr>
    </w:p>
    <w:p w14:paraId="085CF1EC"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السؤال الرئيسي: ما إمكانية تصميم نموذج تمويلي هجين في السوق السعودي يجمع بين كفاءة التمويل التأجيري المنتهي بالتملك ومرونة التأجير التشغيلي؟</w:t>
      </w:r>
    </w:p>
    <w:p w14:paraId="70B99CB5"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الأسئلة الفرعية:</w:t>
      </w:r>
    </w:p>
    <w:p w14:paraId="1BBDD1E1"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ما أوجه الاختلاف بين التمويل التأجيري المنتهي بالتملك والتأجير التشغيلي من حيث التكلفة والمرونة في السوق السعودي؟</w:t>
      </w:r>
    </w:p>
    <w:p w14:paraId="5C295D9C"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كيف تؤثر هذه الاختلافات في رضا العملاء واتجاهاتهم نحو منتجات تمويل المركبات الحالية؟</w:t>
      </w:r>
    </w:p>
    <w:p w14:paraId="39F8FE57"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ما القيود والمتطلبات النظامية والشرعية المرتبطة بإدخال خيار مرونة الإرجاع أو الاستبدال ضمن نموذج تمويلي مصرفي؟</w:t>
      </w:r>
    </w:p>
    <w:p w14:paraId="20423330"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ما العناصر الرئيسة التي ينبغي أن يتضمنها النموذج التمويلي الهجين المقترح حتى يكون أكثر مواءمة لاحتياجات العملاء والسوق؟</w:t>
      </w:r>
    </w:p>
    <w:p w14:paraId="20A71CA6" w14:textId="26B27B47" w:rsidR="00F925D0"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t>كيف تختلف جدوى النموذج المقترح باختلاف فئة المركبة (تقليدية مقابل كهربائية) من حيث مخاطر القيمة المتبقية؟</w:t>
      </w: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D3B43EA" w14:textId="77777777" w:rsidR="00F925D0" w:rsidRDefault="00F925D0" w:rsidP="00D22171">
      <w:pPr>
        <w:rPr>
          <w:rFonts w:ascii="Sakkal Majalla" w:hAnsi="Sakkal Majalla" w:cs="Sakkal Majalla"/>
          <w:sz w:val="28"/>
          <w:szCs w:val="28"/>
          <w:u w:val="single"/>
          <w:rtl/>
        </w:rPr>
      </w:pPr>
    </w:p>
    <w:p w14:paraId="5B201457"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نظرًا لأن الدراسة تعتمد منهجًا مختلطًا يتضمن شقًا كميًا لقياس اتجاهات العملاء، فإن الفروض الآتية ترتبط بالجزء الكمي من الدراسة:</w:t>
      </w:r>
    </w:p>
    <w:p w14:paraId="78B92378"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الفرضية الصفرية: لا توجد علاقة ذات دلالة إحصائية بين إدراك العميل للفجوة بين التكلفة والمرونة في منتجات تمويل المركبات وبين اتجاهه نحو النموذج التمويلي الهجين المقترح.</w:t>
      </w:r>
    </w:p>
    <w:p w14:paraId="7192B8F0"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الفرضية الرئيسية </w:t>
      </w:r>
      <w:r w:rsidRPr="009839DE">
        <w:rPr>
          <w:rFonts w:ascii="Sakkal Majalla" w:hAnsi="Sakkal Majalla" w:cs="Sakkal Majalla"/>
          <w:sz w:val="28"/>
          <w:szCs w:val="28"/>
        </w:rPr>
        <w:t>H1</w:t>
      </w:r>
      <w:r w:rsidRPr="009839DE">
        <w:rPr>
          <w:rFonts w:ascii="Sakkal Majalla" w:hAnsi="Sakkal Majalla" w:cs="Sakkal Majalla"/>
          <w:sz w:val="28"/>
          <w:szCs w:val="28"/>
          <w:rtl/>
        </w:rPr>
        <w:t>: توجد علاقة ذات دلالة إحصائية بين إدراك العميل للفجوة بين التكلفة والمرونة في منتجات تمويل المركبات وبين اتجاهه نحو النموذج التمويلي الهجين المقترح.</w:t>
      </w:r>
    </w:p>
    <w:p w14:paraId="24CDC341"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r>
      <w:r w:rsidRPr="009839DE">
        <w:rPr>
          <w:rFonts w:ascii="Sakkal Majalla" w:hAnsi="Sakkal Majalla" w:cs="Sakkal Majalla"/>
          <w:sz w:val="28"/>
          <w:szCs w:val="28"/>
        </w:rPr>
        <w:t>H1a</w:t>
      </w:r>
      <w:r w:rsidRPr="009839DE">
        <w:rPr>
          <w:rFonts w:ascii="Sakkal Majalla" w:hAnsi="Sakkal Majalla" w:cs="Sakkal Majalla"/>
          <w:sz w:val="28"/>
          <w:szCs w:val="28"/>
          <w:rtl/>
        </w:rPr>
        <w:t>: توجد علاقة ذات دلالة إحصائية بين إدراك ارتفاع تكلفة التأجير التشغيلي واتجاه العميل للبحث عن بدائل أقل تكلفة.</w:t>
      </w:r>
    </w:p>
    <w:p w14:paraId="04C85608"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r>
      <w:r w:rsidRPr="009839DE">
        <w:rPr>
          <w:rFonts w:ascii="Sakkal Majalla" w:hAnsi="Sakkal Majalla" w:cs="Sakkal Majalla"/>
          <w:sz w:val="28"/>
          <w:szCs w:val="28"/>
        </w:rPr>
        <w:t>H1b</w:t>
      </w:r>
      <w:r w:rsidRPr="009839DE">
        <w:rPr>
          <w:rFonts w:ascii="Sakkal Majalla" w:hAnsi="Sakkal Majalla" w:cs="Sakkal Majalla"/>
          <w:sz w:val="28"/>
          <w:szCs w:val="28"/>
          <w:rtl/>
        </w:rPr>
        <w:t>: توجد علاقة ذات دلالة إحصائية بين إدراك انخفاض مرونة التمويل التأجيري المنتهي بالتملك ومستوى رضا العميل عن المنتج.</w:t>
      </w:r>
    </w:p>
    <w:p w14:paraId="67CBE4F6" w14:textId="149913FA" w:rsidR="00F925D0"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w:t>
      </w:r>
      <w:r w:rsidRPr="009839DE">
        <w:rPr>
          <w:rFonts w:ascii="Sakkal Majalla" w:hAnsi="Sakkal Majalla" w:cs="Sakkal Majalla"/>
          <w:sz w:val="28"/>
          <w:szCs w:val="28"/>
          <w:rtl/>
        </w:rPr>
        <w:tab/>
      </w:r>
      <w:r w:rsidRPr="009839DE">
        <w:rPr>
          <w:rFonts w:ascii="Sakkal Majalla" w:hAnsi="Sakkal Majalla" w:cs="Sakkal Majalla"/>
          <w:sz w:val="28"/>
          <w:szCs w:val="28"/>
        </w:rPr>
        <w:t>H1c</w:t>
      </w:r>
      <w:r w:rsidRPr="009839DE">
        <w:rPr>
          <w:rFonts w:ascii="Sakkal Majalla" w:hAnsi="Sakkal Majalla" w:cs="Sakkal Majalla"/>
          <w:sz w:val="28"/>
          <w:szCs w:val="28"/>
          <w:rtl/>
        </w:rPr>
        <w:t>: توجد علاقة ذات دلالة إحصائية بين تفضيل المرونة التعاقدية (ميزة الاستبدال) واستعداد العميل لتبني النموذج التمويلي المقترح.</w:t>
      </w: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3D346AF5" w14:textId="77777777" w:rsidR="00F925D0" w:rsidRPr="009839DE" w:rsidRDefault="00F925D0" w:rsidP="00D22171">
      <w:pPr>
        <w:rPr>
          <w:rFonts w:ascii="Sakkal Majalla" w:hAnsi="Sakkal Majalla" w:cs="Sakkal Majalla"/>
          <w:sz w:val="28"/>
          <w:szCs w:val="28"/>
          <w:rtl/>
        </w:rPr>
      </w:pPr>
    </w:p>
    <w:p w14:paraId="2AAD8009" w14:textId="07D32718" w:rsidR="00F925D0" w:rsidRPr="009839DE" w:rsidRDefault="009839DE" w:rsidP="00D22171">
      <w:pPr>
        <w:rPr>
          <w:rFonts w:ascii="Sakkal Majalla" w:hAnsi="Sakkal Majalla" w:cs="Sakkal Majalla"/>
          <w:sz w:val="28"/>
          <w:szCs w:val="28"/>
          <w:rtl/>
        </w:rPr>
      </w:pPr>
      <w:r w:rsidRPr="009839DE">
        <w:rPr>
          <w:rFonts w:ascii="Sakkal Majalla" w:hAnsi="Sakkal Majalla" w:cs="Sakkal Majalla"/>
          <w:sz w:val="28"/>
          <w:szCs w:val="28"/>
          <w:rtl/>
        </w:rPr>
        <w:t>يستند البحث إلى أربع نظريات رئيسة تُفصَّل معالجتها النظرية الكاملة في الفصل الثاني: نظرية المنفعة والتكلفة، ونظرية الاختيار العقلاني، ونظرية الابتكار المالي، ونظرية الوساطة المالية. وتشترك هذه النظريات في تفسير سلوك العميل عند المفاضلة بين منتجات تمويلية متباينة في التكلفة والمرونة، وفي تأطير عملية تطوير المنتج المالي الجديد المقترح في هذه الدراسة بوصفه استجابة لحاجة سوقية غير مخدومة بشكل كافٍ.</w:t>
      </w: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9839DE">
      <w:pPr>
        <w:rPr>
          <w:rFonts w:ascii="Sakkal Majalla" w:hAnsi="Sakkal Majalla" w:cs="Sakkal Majalla"/>
          <w:sz w:val="28"/>
          <w:szCs w:val="28"/>
          <w:u w:val="single"/>
          <w:rtl/>
        </w:rPr>
      </w:pPr>
    </w:p>
    <w:p w14:paraId="7DAB8185" w14:textId="77777777" w:rsidR="009839DE" w:rsidRDefault="009839DE" w:rsidP="009839DE">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1CEBCE6" w14:textId="56A9C12C" w:rsidR="00F925D0" w:rsidRDefault="00F925D0" w:rsidP="009839DE">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417D31E7" w14:textId="23C5D025" w:rsidR="00F925D0"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يستعرض هذا الفصل الإطار المفاهيمي للدراسة من خلال تحديد المتغيرين الرئيسين (التابع والمستقل)، ثم عرض أبرز الدراسات السابقة ذات الصلة بموضوعي الإجارة المنتهية بالتملك وتبني المنتجات المصرفية الإسلامية والابتكار المالي، مع توضيح الفجوة البحثية التي تسعى هذه الدراسة لمعالجتها، واختتامًا بعرض النظريات التي يُبنى عليها الإطار النظري للدراسة.</w:t>
      </w:r>
    </w:p>
    <w:p w14:paraId="2B2520CA" w14:textId="77777777" w:rsidR="00700134" w:rsidRPr="00700134" w:rsidRDefault="00700134" w:rsidP="00700134">
      <w:pPr>
        <w:pStyle w:val="ListParagraph"/>
        <w:numPr>
          <w:ilvl w:val="0"/>
          <w:numId w:val="1"/>
        </w:numPr>
        <w:rPr>
          <w:rFonts w:ascii="Sakkal Majalla" w:hAnsi="Sakkal Majalla" w:cs="Sakkal Majalla"/>
          <w:sz w:val="28"/>
          <w:szCs w:val="28"/>
          <w:rtl/>
        </w:rPr>
      </w:pPr>
      <w:r w:rsidRPr="00700134">
        <w:rPr>
          <w:rFonts w:ascii="Sakkal Majalla" w:hAnsi="Sakkal Majalla" w:cs="Sakkal Majalla"/>
          <w:sz w:val="28"/>
          <w:szCs w:val="28"/>
          <w:rtl/>
        </w:rPr>
        <w:t>المتغير المستقل</w:t>
      </w:r>
    </w:p>
    <w:p w14:paraId="4A67A3B9"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يتمثل المتغير المستقل في هذه الدراسة في: إدراك العميل للفجوة بين التكلفة والمرونة في منتجات تمويل المركبات الحالية (التمويل التأجيري المنتهي بالتملك والتأجير التشغيلي). ويُعرَّف إجرائيًا بأنه درجة وعي العميل بالفروق التسعيرية والتعاقدية بين المنتجين، وإدراكه لوجود مفاضلة بين انخفاض التكلفة من جهة والمرونة التعاقدية (كخيارات الإرجاع والاستبدال) من جهة أخرى، ويُقاس من خلال المحور الأول من أداة الدراسة (الاستبانة).</w:t>
      </w:r>
    </w:p>
    <w:p w14:paraId="0500CED8" w14:textId="77777777" w:rsidR="00700134" w:rsidRPr="00700134" w:rsidRDefault="00700134" w:rsidP="00700134">
      <w:pPr>
        <w:pStyle w:val="ListParagraph"/>
        <w:numPr>
          <w:ilvl w:val="0"/>
          <w:numId w:val="1"/>
        </w:numPr>
        <w:rPr>
          <w:rFonts w:ascii="Sakkal Majalla" w:hAnsi="Sakkal Majalla" w:cs="Sakkal Majalla"/>
          <w:sz w:val="28"/>
          <w:szCs w:val="28"/>
          <w:rtl/>
        </w:rPr>
      </w:pPr>
      <w:r w:rsidRPr="00700134">
        <w:rPr>
          <w:rFonts w:ascii="Sakkal Majalla" w:hAnsi="Sakkal Majalla" w:cs="Sakkal Majalla"/>
          <w:sz w:val="28"/>
          <w:szCs w:val="28"/>
          <w:rtl/>
        </w:rPr>
        <w:t>المتغير التابع</w:t>
      </w:r>
    </w:p>
    <w:p w14:paraId="0B0BF7C2"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يتمثل المتغير التابع في: اتجاه العميل نحو تبني النموذج التمويلي الهجين المقترح. ويُعرَّف إجرائيًا بأنه ميل العميل الإيجابي أو السلبي نحو قبول نموذج تمويلي يجمع بين خاصية التملك التدريجي وخاصية الاستبدال الدوري، مقابل تحمّل التزامات إضافية (كالصيانة الدورية ومتابعة عداد المسافة)، ويُقاس من خلال محوري الرضا عن المنتج الحالي وتقييم عناصر النموذج المقترح في أداة الدراسة.</w:t>
      </w:r>
    </w:p>
    <w:p w14:paraId="688AE532" w14:textId="652C854C"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وتفترض الدراسة أن مستوى الرضا عن المنتج الحالي يؤدي دورًا وسيطًا محتملًا بين إدراك الفجوة (المتغير المستقل) واتجاه التبني (المتغير التابع)، بحيث كلما انخفض الرضا عن المنتج الحالي، زاد احتمال الانفتاح على النموذج البديل المقترح.</w:t>
      </w:r>
    </w:p>
    <w:p w14:paraId="772E9D04" w14:textId="77777777" w:rsidR="00700134" w:rsidRDefault="00700134" w:rsidP="009839DE">
      <w:pPr>
        <w:rPr>
          <w:rFonts w:ascii="Sakkal Majalla" w:hAnsi="Sakkal Majalla" w:cs="Sakkal Majalla"/>
          <w:sz w:val="28"/>
          <w:szCs w:val="28"/>
          <w:rtl/>
        </w:rPr>
      </w:pPr>
    </w:p>
    <w:p w14:paraId="133DC4FE" w14:textId="77777777" w:rsidR="00700134" w:rsidRDefault="00700134" w:rsidP="009839DE">
      <w:pPr>
        <w:rPr>
          <w:rFonts w:ascii="Sakkal Majalla" w:hAnsi="Sakkal Majalla" w:cs="Sakkal Majalla"/>
          <w:sz w:val="28"/>
          <w:szCs w:val="28"/>
          <w:rtl/>
        </w:rPr>
      </w:pPr>
    </w:p>
    <w:p w14:paraId="77DBE59E" w14:textId="77777777" w:rsidR="00700134" w:rsidRDefault="00700134" w:rsidP="009839DE">
      <w:pPr>
        <w:rPr>
          <w:rFonts w:ascii="Sakkal Majalla" w:hAnsi="Sakkal Majalla" w:cs="Sakkal Majalla"/>
          <w:sz w:val="28"/>
          <w:szCs w:val="28"/>
          <w:rtl/>
        </w:rPr>
      </w:pPr>
    </w:p>
    <w:p w14:paraId="3425166D" w14:textId="77777777" w:rsidR="00700134" w:rsidRDefault="00700134" w:rsidP="009839DE">
      <w:pPr>
        <w:rPr>
          <w:rFonts w:ascii="Sakkal Majalla" w:hAnsi="Sakkal Majalla" w:cs="Sakkal Majalla"/>
          <w:sz w:val="28"/>
          <w:szCs w:val="28"/>
          <w:rtl/>
        </w:rPr>
      </w:pPr>
    </w:p>
    <w:p w14:paraId="0370317F" w14:textId="77777777" w:rsidR="00700134" w:rsidRDefault="00700134" w:rsidP="009839DE">
      <w:pPr>
        <w:rPr>
          <w:rFonts w:ascii="Sakkal Majalla" w:hAnsi="Sakkal Majalla" w:cs="Sakkal Majalla"/>
          <w:sz w:val="28"/>
          <w:szCs w:val="28"/>
          <w:rtl/>
        </w:rPr>
      </w:pPr>
    </w:p>
    <w:p w14:paraId="41CA9F8B" w14:textId="77777777" w:rsidR="00700134" w:rsidRDefault="00700134" w:rsidP="009839DE">
      <w:pPr>
        <w:rPr>
          <w:rFonts w:ascii="Sakkal Majalla" w:hAnsi="Sakkal Majalla" w:cs="Sakkal Majalla"/>
          <w:sz w:val="28"/>
          <w:szCs w:val="28"/>
          <w:rtl/>
        </w:rPr>
      </w:pPr>
    </w:p>
    <w:p w14:paraId="56C3777E" w14:textId="77777777" w:rsidR="00700134" w:rsidRDefault="00700134" w:rsidP="009839DE">
      <w:pPr>
        <w:rPr>
          <w:rFonts w:ascii="Sakkal Majalla" w:hAnsi="Sakkal Majalla" w:cs="Sakkal Majalla"/>
          <w:sz w:val="28"/>
          <w:szCs w:val="28"/>
          <w:rtl/>
        </w:rPr>
      </w:pPr>
    </w:p>
    <w:p w14:paraId="660810F1" w14:textId="77777777" w:rsidR="00700134" w:rsidRDefault="00700134" w:rsidP="009839DE">
      <w:pPr>
        <w:rPr>
          <w:rFonts w:ascii="Sakkal Majalla" w:hAnsi="Sakkal Majalla" w:cs="Sakkal Majalla"/>
          <w:sz w:val="28"/>
          <w:szCs w:val="28"/>
          <w:rtl/>
        </w:rPr>
      </w:pPr>
    </w:p>
    <w:p w14:paraId="791285F3" w14:textId="77777777" w:rsidR="009839DE" w:rsidRDefault="009839DE" w:rsidP="009839DE">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71B5CB8D"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اعتمد الباحث الترتيب الموضوعي في عرض الدراسات السابقة، لكونه الأنسب لطبيعة الموضوع، من خلال ثلاثة محاور: دراسات تتناول الإجارة المنتهية بالتملك، ودراسات تتناول تبني المنتجات المصرفية الإسلامية ورضا العملاء، ودراسات تتناول الابتكار في المنتجات المالية.</w:t>
      </w:r>
    </w:p>
    <w:p w14:paraId="664ECBD1" w14:textId="77777777" w:rsidR="009839DE" w:rsidRPr="009839DE" w:rsidRDefault="009839DE" w:rsidP="009839DE">
      <w:pPr>
        <w:pStyle w:val="ListParagraph"/>
        <w:numPr>
          <w:ilvl w:val="0"/>
          <w:numId w:val="1"/>
        </w:numPr>
        <w:rPr>
          <w:rFonts w:ascii="Sakkal Majalla" w:hAnsi="Sakkal Majalla" w:cs="Sakkal Majalla"/>
          <w:sz w:val="28"/>
          <w:szCs w:val="28"/>
          <w:rtl/>
        </w:rPr>
      </w:pPr>
      <w:r w:rsidRPr="009839DE">
        <w:rPr>
          <w:rFonts w:ascii="Sakkal Majalla" w:hAnsi="Sakkal Majalla" w:cs="Sakkal Majalla"/>
          <w:sz w:val="28"/>
          <w:szCs w:val="28"/>
          <w:rtl/>
        </w:rPr>
        <w:t>أولًا: دراسات الإجارة المنتهية بالتملك</w:t>
      </w:r>
    </w:p>
    <w:p w14:paraId="77EE0AD5"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تناولت دراسة </w:t>
      </w:r>
      <w:proofErr w:type="spellStart"/>
      <w:r w:rsidRPr="009839DE">
        <w:rPr>
          <w:rFonts w:ascii="Sakkal Majalla" w:hAnsi="Sakkal Majalla" w:cs="Sakkal Majalla"/>
          <w:sz w:val="28"/>
          <w:szCs w:val="28"/>
        </w:rPr>
        <w:t>Vejzagic</w:t>
      </w:r>
      <w:proofErr w:type="spellEnd"/>
      <w:r w:rsidRPr="009839DE">
        <w:rPr>
          <w:rFonts w:ascii="Sakkal Majalla" w:hAnsi="Sakkal Majalla" w:cs="Sakkal Majalla"/>
          <w:sz w:val="28"/>
          <w:szCs w:val="28"/>
          <w:rtl/>
        </w:rPr>
        <w:t xml:space="preserve"> (2014) منتج الإجارة المنتهية بالتملك من منظور إدارة المخاطر، وحددت أبرز المخاطر المرتبطة به وهي مخاطر التوريد والسعر والمخاطر التشغيلية والقانونية ومخاطر القيمة المتبقية (</w:t>
      </w:r>
      <w:r w:rsidRPr="009839DE">
        <w:rPr>
          <w:rFonts w:ascii="Sakkal Majalla" w:hAnsi="Sakkal Majalla" w:cs="Sakkal Majalla"/>
          <w:sz w:val="28"/>
          <w:szCs w:val="28"/>
        </w:rPr>
        <w:t>Residual Value Risk</w:t>
      </w:r>
      <w:r w:rsidRPr="009839DE">
        <w:rPr>
          <w:rFonts w:ascii="Sakkal Majalla" w:hAnsi="Sakkal Majalla" w:cs="Sakkal Majalla"/>
          <w:sz w:val="28"/>
          <w:szCs w:val="28"/>
          <w:rtl/>
        </w:rPr>
        <w:t>)، وناقشت آليات تخفيف هذه المخاطر ضمن الضوابط الشرعية، من أبرزها الضمانات من طرف ثالث (</w:t>
      </w:r>
      <w:r w:rsidRPr="009839DE">
        <w:rPr>
          <w:rFonts w:ascii="Sakkal Majalla" w:hAnsi="Sakkal Majalla" w:cs="Sakkal Majalla"/>
          <w:sz w:val="28"/>
          <w:szCs w:val="28"/>
        </w:rPr>
        <w:t>Third-party Guarantee</w:t>
      </w:r>
      <w:r w:rsidRPr="009839DE">
        <w:rPr>
          <w:rFonts w:ascii="Sakkal Majalla" w:hAnsi="Sakkal Majalla" w:cs="Sakkal Majalla"/>
          <w:sz w:val="28"/>
          <w:szCs w:val="28"/>
          <w:rtl/>
        </w:rPr>
        <w:t>) التي تُهيكل كخيار بيع مستقل (</w:t>
      </w:r>
      <w:r w:rsidRPr="009839DE">
        <w:rPr>
          <w:rFonts w:ascii="Sakkal Majalla" w:hAnsi="Sakkal Majalla" w:cs="Sakkal Majalla"/>
          <w:sz w:val="28"/>
          <w:szCs w:val="28"/>
        </w:rPr>
        <w:t>Put Option</w:t>
      </w:r>
      <w:r w:rsidRPr="009839DE">
        <w:rPr>
          <w:rFonts w:ascii="Sakkal Majalla" w:hAnsi="Sakkal Majalla" w:cs="Sakkal Majalla"/>
          <w:sz w:val="28"/>
          <w:szCs w:val="28"/>
          <w:rtl/>
        </w:rPr>
        <w:t>) لا كشرط ضمن عقد الإجارة نفسه. وتفيد هذه الدراسة البحث الحالي في تأصيل المنتج القائم وفي تصميم آلية إدارة مخاطر القيمة المتبقية للنموذج المقترح.</w:t>
      </w:r>
    </w:p>
    <w:p w14:paraId="02227B87"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وناقشت دراسة </w:t>
      </w:r>
      <w:r w:rsidRPr="009839DE">
        <w:rPr>
          <w:rFonts w:ascii="Sakkal Majalla" w:hAnsi="Sakkal Majalla" w:cs="Sakkal Majalla"/>
          <w:sz w:val="28"/>
          <w:szCs w:val="28"/>
        </w:rPr>
        <w:t>Kamali</w:t>
      </w:r>
      <w:r w:rsidRPr="009839DE">
        <w:rPr>
          <w:rFonts w:ascii="Sakkal Majalla" w:hAnsi="Sakkal Majalla" w:cs="Sakkal Majalla"/>
          <w:sz w:val="28"/>
          <w:szCs w:val="28"/>
          <w:rtl/>
        </w:rPr>
        <w:t xml:space="preserve"> (2007) عددًا من الإشكالات الشرعية المتعلقة بالإجارة الإسلامية، وبيّنت أهمية التمييز بين المنافع والملكية، وضرورة فصل أي وعد بنقل الملكية عن عقد الإجارة ذاته حتى لا يتحول العقد إلى بيع مقسط مقنّع. وتفيد هذه الدراسة البحث الحالي في الجانب الشرعي المتعلق بإمكانية تطوير بنية تعاقدية أكثر مرونة (كخيار الاستبدال) دون الإخلال بأحكام الإجارة.</w:t>
      </w:r>
    </w:p>
    <w:p w14:paraId="7FE99E1D"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وبحثت دراسة </w:t>
      </w:r>
      <w:r w:rsidRPr="009839DE">
        <w:rPr>
          <w:rFonts w:ascii="Sakkal Majalla" w:hAnsi="Sakkal Majalla" w:cs="Sakkal Majalla"/>
          <w:sz w:val="28"/>
          <w:szCs w:val="28"/>
        </w:rPr>
        <w:t>Saleem et al</w:t>
      </w:r>
      <w:r w:rsidRPr="009839DE">
        <w:rPr>
          <w:rFonts w:ascii="Sakkal Majalla" w:hAnsi="Sakkal Majalla" w:cs="Sakkal Majalla"/>
          <w:sz w:val="28"/>
          <w:szCs w:val="28"/>
          <w:rtl/>
        </w:rPr>
        <w:t xml:space="preserve">. (2020) مدى التزام ممارسات الإجارة لدى بعض المصارف الإسلامية بمعيار </w:t>
      </w:r>
      <w:r w:rsidRPr="009839DE">
        <w:rPr>
          <w:rFonts w:ascii="Sakkal Majalla" w:hAnsi="Sakkal Majalla" w:cs="Sakkal Majalla"/>
          <w:sz w:val="28"/>
          <w:szCs w:val="28"/>
        </w:rPr>
        <w:t>AAOIFI</w:t>
      </w:r>
      <w:r w:rsidRPr="009839DE">
        <w:rPr>
          <w:rFonts w:ascii="Sakkal Majalla" w:hAnsi="Sakkal Majalla" w:cs="Sakkal Majalla"/>
          <w:sz w:val="28"/>
          <w:szCs w:val="28"/>
          <w:rtl/>
        </w:rPr>
        <w:t xml:space="preserve"> الشرعي رقم 9، وأظهرت وجود فروق بين البناء المعياري والتطبيق العملي في بعض المؤسسات. وتفيد هذه النتيجة البحث الحالي في ضرورة المواءمة بين الابتكار المنتجي والامتثال الشرعي عند تصميم النموذج المقترح.</w:t>
      </w:r>
    </w:p>
    <w:p w14:paraId="4063C7F5" w14:textId="77777777" w:rsidR="009839DE" w:rsidRPr="009839DE" w:rsidRDefault="009839DE" w:rsidP="009839DE">
      <w:pPr>
        <w:pStyle w:val="ListParagraph"/>
        <w:numPr>
          <w:ilvl w:val="0"/>
          <w:numId w:val="1"/>
        </w:numPr>
        <w:rPr>
          <w:rFonts w:ascii="Sakkal Majalla" w:hAnsi="Sakkal Majalla" w:cs="Sakkal Majalla"/>
          <w:sz w:val="28"/>
          <w:szCs w:val="28"/>
          <w:rtl/>
        </w:rPr>
      </w:pPr>
      <w:r w:rsidRPr="009839DE">
        <w:rPr>
          <w:rFonts w:ascii="Sakkal Majalla" w:hAnsi="Sakkal Majalla" w:cs="Sakkal Majalla"/>
          <w:sz w:val="28"/>
          <w:szCs w:val="28"/>
          <w:rtl/>
        </w:rPr>
        <w:t>ثانيًا: دراسات تبني المنتجات المصرفية الإسلامية</w:t>
      </w:r>
    </w:p>
    <w:p w14:paraId="4EFAD181"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درست </w:t>
      </w:r>
      <w:proofErr w:type="spellStart"/>
      <w:r w:rsidRPr="009839DE">
        <w:rPr>
          <w:rFonts w:ascii="Sakkal Majalla" w:hAnsi="Sakkal Majalla" w:cs="Sakkal Majalla"/>
          <w:sz w:val="28"/>
          <w:szCs w:val="28"/>
        </w:rPr>
        <w:t>Charag</w:t>
      </w:r>
      <w:proofErr w:type="spellEnd"/>
      <w:r w:rsidRPr="009839DE">
        <w:rPr>
          <w:rFonts w:ascii="Sakkal Majalla" w:hAnsi="Sakkal Majalla" w:cs="Sakkal Majalla"/>
          <w:sz w:val="28"/>
          <w:szCs w:val="28"/>
        </w:rPr>
        <w:t>, Fazili, and Bashir</w:t>
      </w:r>
      <w:r w:rsidRPr="009839DE">
        <w:rPr>
          <w:rFonts w:ascii="Sakkal Majalla" w:hAnsi="Sakkal Majalla" w:cs="Sakkal Majalla"/>
          <w:sz w:val="28"/>
          <w:szCs w:val="28"/>
          <w:rtl/>
        </w:rPr>
        <w:t xml:space="preserve"> (2019) محددات استعداد المستهلكين لتبني الخدمات المصرفية الإسلامية، وخلصت إلى أن الاتجاهات المتصورة والإدراك بالمزايا والدعم التنظيمي تمثل عوامل مؤثرة في نية الاستخدام. وتفيد الدراسة الحالية في بناء الفروض المتعلقة بتقبل العملاء للنموذج المقترح.</w:t>
      </w:r>
    </w:p>
    <w:p w14:paraId="074410FE"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وناقشت </w:t>
      </w:r>
      <w:r w:rsidRPr="009839DE">
        <w:rPr>
          <w:rFonts w:ascii="Sakkal Majalla" w:hAnsi="Sakkal Majalla" w:cs="Sakkal Majalla"/>
          <w:sz w:val="28"/>
          <w:szCs w:val="28"/>
        </w:rPr>
        <w:t>Naveed, Akhtar, and Ahmed</w:t>
      </w:r>
      <w:r w:rsidRPr="009839DE">
        <w:rPr>
          <w:rFonts w:ascii="Sakkal Majalla" w:hAnsi="Sakkal Majalla" w:cs="Sakkal Majalla"/>
          <w:sz w:val="28"/>
          <w:szCs w:val="28"/>
          <w:rtl/>
        </w:rPr>
        <w:t xml:space="preserve"> (2020) أسباب انخفاض تبني الخدمات المصرفية الإسلامية في باكستان، وبيّنت أن التعقيد المدرك وضعف الوعي وعدم وضوح الميزة النسبية تؤثر في قرار العميل. ويُستفاد منها في فهم أثر الميزة النسبية للنموذج التمويلي المقترح، وضرورة تبسيط عرضه للعميل.</w:t>
      </w:r>
    </w:p>
    <w:p w14:paraId="594C8C8E"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ودرست </w:t>
      </w:r>
      <w:r w:rsidRPr="009839DE">
        <w:rPr>
          <w:rFonts w:ascii="Sakkal Majalla" w:hAnsi="Sakkal Majalla" w:cs="Sakkal Majalla"/>
          <w:sz w:val="28"/>
          <w:szCs w:val="28"/>
        </w:rPr>
        <w:t>Hamadou, Hamidi, and Yumna</w:t>
      </w:r>
      <w:r w:rsidRPr="009839DE">
        <w:rPr>
          <w:rFonts w:ascii="Sakkal Majalla" w:hAnsi="Sakkal Majalla" w:cs="Sakkal Majalla"/>
          <w:sz w:val="28"/>
          <w:szCs w:val="28"/>
          <w:rtl/>
        </w:rPr>
        <w:t xml:space="preserve"> (2024) العوامل المؤثرة في نية العملاء المحتملين لاستخدام المنتجات المصرفية الإسلامية، وأظهرت أهمية الاتجاهات والإدراك بالمنفعة والبيئة التنظيمية في تشكيل النية السلوكية. وتفيد هذه النتائج في صياغة الجزء الكمي من الدراسة الحالية، خصوصًا في تفسير العلاقة بين إدراك المنفعة واستعداد التبني.</w:t>
      </w:r>
    </w:p>
    <w:p w14:paraId="68B90AD6" w14:textId="77777777" w:rsidR="009839DE" w:rsidRPr="009839DE" w:rsidRDefault="009839DE" w:rsidP="009839DE">
      <w:pPr>
        <w:pStyle w:val="ListParagraph"/>
        <w:numPr>
          <w:ilvl w:val="0"/>
          <w:numId w:val="1"/>
        </w:numPr>
        <w:rPr>
          <w:rFonts w:ascii="Sakkal Majalla" w:hAnsi="Sakkal Majalla" w:cs="Sakkal Majalla"/>
          <w:sz w:val="28"/>
          <w:szCs w:val="28"/>
          <w:rtl/>
        </w:rPr>
      </w:pPr>
      <w:r w:rsidRPr="009839DE">
        <w:rPr>
          <w:rFonts w:ascii="Sakkal Majalla" w:hAnsi="Sakkal Majalla" w:cs="Sakkal Majalla"/>
          <w:sz w:val="28"/>
          <w:szCs w:val="28"/>
          <w:rtl/>
        </w:rPr>
        <w:lastRenderedPageBreak/>
        <w:t>ثالثًا: دراسات الابتكار في المنتجات المالية</w:t>
      </w:r>
    </w:p>
    <w:p w14:paraId="1DE1991F" w14:textId="77777777" w:rsidR="009839DE" w:rsidRPr="009839DE"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تناولت دراسة </w:t>
      </w:r>
      <w:proofErr w:type="spellStart"/>
      <w:r w:rsidRPr="009839DE">
        <w:rPr>
          <w:rFonts w:ascii="Sakkal Majalla" w:hAnsi="Sakkal Majalla" w:cs="Sakkal Majalla"/>
          <w:sz w:val="28"/>
          <w:szCs w:val="28"/>
        </w:rPr>
        <w:t>Laldin</w:t>
      </w:r>
      <w:proofErr w:type="spellEnd"/>
      <w:r w:rsidRPr="009839DE">
        <w:rPr>
          <w:rFonts w:ascii="Sakkal Majalla" w:hAnsi="Sakkal Majalla" w:cs="Sakkal Majalla"/>
          <w:sz w:val="28"/>
          <w:szCs w:val="28"/>
        </w:rPr>
        <w:t xml:space="preserve"> and </w:t>
      </w:r>
      <w:proofErr w:type="spellStart"/>
      <w:r w:rsidRPr="009839DE">
        <w:rPr>
          <w:rFonts w:ascii="Sakkal Majalla" w:hAnsi="Sakkal Majalla" w:cs="Sakkal Majalla"/>
          <w:sz w:val="28"/>
          <w:szCs w:val="28"/>
        </w:rPr>
        <w:t>Furqani</w:t>
      </w:r>
      <w:proofErr w:type="spellEnd"/>
      <w:r w:rsidRPr="009839DE">
        <w:rPr>
          <w:rFonts w:ascii="Sakkal Majalla" w:hAnsi="Sakkal Majalla" w:cs="Sakkal Majalla"/>
          <w:sz w:val="28"/>
          <w:szCs w:val="28"/>
          <w:rtl/>
        </w:rPr>
        <w:t xml:space="preserve"> (2019) مسار الابتكار المالي في البلدان الإسلامية، وناقشت العلاقة بين الابتكار والضبط الشرعي والمؤسسي. وتفيد الدراسة الحالية في تأطير فكرة تطوير منتج تمويلي جديد داخل بيئة إسلامية منظمة، وفي التأكيد على ضرورة أن يُقدَّم النموذج المقترح كتصور أولي قابل للدراسة من الجهات التنظيمية لا كمنتج جاهز للتطبيق الفوري.</w:t>
      </w:r>
    </w:p>
    <w:p w14:paraId="02586BC7" w14:textId="72BC0AE2" w:rsidR="00F925D0" w:rsidRDefault="009839DE" w:rsidP="009839DE">
      <w:pPr>
        <w:rPr>
          <w:rFonts w:ascii="Sakkal Majalla" w:hAnsi="Sakkal Majalla" w:cs="Sakkal Majalla"/>
          <w:sz w:val="28"/>
          <w:szCs w:val="28"/>
          <w:rtl/>
        </w:rPr>
      </w:pPr>
      <w:r w:rsidRPr="009839DE">
        <w:rPr>
          <w:rFonts w:ascii="Sakkal Majalla" w:hAnsi="Sakkal Majalla" w:cs="Sakkal Majalla"/>
          <w:sz w:val="28"/>
          <w:szCs w:val="28"/>
          <w:rtl/>
        </w:rPr>
        <w:t xml:space="preserve">وعلى صعيد الأدبيات الدولية غير الأكاديمية ذات الصلة، تجدر الإشارة إلى أن أقرب نموذج تجاري لفكرة الجمع بين كفاءة التكلفة ومرونة الاستبدال هو منتج </w:t>
      </w:r>
      <w:r w:rsidRPr="009839DE">
        <w:rPr>
          <w:rFonts w:ascii="Sakkal Majalla" w:hAnsi="Sakkal Majalla" w:cs="Sakkal Majalla"/>
          <w:sz w:val="28"/>
          <w:szCs w:val="28"/>
        </w:rPr>
        <w:t>Personal Contract Purchase (PCP)</w:t>
      </w:r>
      <w:r w:rsidRPr="009839DE">
        <w:rPr>
          <w:rFonts w:ascii="Sakkal Majalla" w:hAnsi="Sakkal Majalla" w:cs="Sakkal Majalla"/>
          <w:sz w:val="28"/>
          <w:szCs w:val="28"/>
          <w:rtl/>
        </w:rPr>
        <w:t xml:space="preserve"> البريطاني، الذي طورته شركة </w:t>
      </w:r>
      <w:r w:rsidRPr="009839DE">
        <w:rPr>
          <w:rFonts w:ascii="Sakkal Majalla" w:hAnsi="Sakkal Majalla" w:cs="Sakkal Majalla"/>
          <w:sz w:val="28"/>
          <w:szCs w:val="28"/>
        </w:rPr>
        <w:t>Ford</w:t>
      </w:r>
      <w:r w:rsidRPr="009839DE">
        <w:rPr>
          <w:rFonts w:ascii="Sakkal Majalla" w:hAnsi="Sakkal Majalla" w:cs="Sakkal Majalla"/>
          <w:sz w:val="28"/>
          <w:szCs w:val="28"/>
          <w:rtl/>
        </w:rPr>
        <w:t xml:space="preserve"> في التسعينيات، ويعتمد على آلية القيمة المستقبلية المضمونة (</w:t>
      </w:r>
      <w:r w:rsidRPr="009839DE">
        <w:rPr>
          <w:rFonts w:ascii="Sakkal Majalla" w:hAnsi="Sakkal Majalla" w:cs="Sakkal Majalla"/>
          <w:sz w:val="28"/>
          <w:szCs w:val="28"/>
        </w:rPr>
        <w:t>Guaranteed Future Value</w:t>
      </w:r>
      <w:r w:rsidRPr="009839DE">
        <w:rPr>
          <w:rFonts w:ascii="Sakkal Majalla" w:hAnsi="Sakkal Majalla" w:cs="Sakkal Majalla"/>
          <w:sz w:val="28"/>
          <w:szCs w:val="28"/>
          <w:rtl/>
        </w:rPr>
        <w:t xml:space="preserve">). غير أن هذا المنتج قائم على تمويل بفائدة صريحة، ما يجعله غير متوافق شرعيًا بصيغته الحالية. وتكشف مراجعة السوق الدولي عن عدم وجود نظير إسلامي كامل لهذا المنتج يجمع بين القيمة المتبقية المضمونة وخيار الاستبدال الفعلي ضمن عقد إجارة متوافق شرعيًا؛ فالنماذج الإسلامية القائمة مثل </w:t>
      </w:r>
      <w:r w:rsidRPr="009839DE">
        <w:rPr>
          <w:rFonts w:ascii="Sakkal Majalla" w:hAnsi="Sakkal Majalla" w:cs="Sakkal Majalla"/>
          <w:sz w:val="28"/>
          <w:szCs w:val="28"/>
        </w:rPr>
        <w:t>AITAB</w:t>
      </w:r>
      <w:r w:rsidRPr="009839DE">
        <w:rPr>
          <w:rFonts w:ascii="Sakkal Majalla" w:hAnsi="Sakkal Majalla" w:cs="Sakkal Majalla"/>
          <w:sz w:val="28"/>
          <w:szCs w:val="28"/>
          <w:rtl/>
        </w:rPr>
        <w:t xml:space="preserve"> الماليزي ومنتج </w:t>
      </w:r>
      <w:proofErr w:type="spellStart"/>
      <w:r w:rsidRPr="009839DE">
        <w:rPr>
          <w:rFonts w:ascii="Sakkal Majalla" w:hAnsi="Sakkal Majalla" w:cs="Sakkal Majalla"/>
          <w:sz w:val="28"/>
          <w:szCs w:val="28"/>
        </w:rPr>
        <w:t>Ijara</w:t>
      </w:r>
      <w:proofErr w:type="spellEnd"/>
      <w:r w:rsidRPr="009839DE">
        <w:rPr>
          <w:rFonts w:ascii="Sakkal Majalla" w:hAnsi="Sakkal Majalla" w:cs="Sakkal Majalla"/>
          <w:sz w:val="28"/>
          <w:szCs w:val="28"/>
        </w:rPr>
        <w:t xml:space="preserve"> </w:t>
      </w:r>
      <w:proofErr w:type="spellStart"/>
      <w:r w:rsidRPr="009839DE">
        <w:rPr>
          <w:rFonts w:ascii="Sakkal Majalla" w:hAnsi="Sakkal Majalla" w:cs="Sakkal Majalla"/>
          <w:sz w:val="28"/>
          <w:szCs w:val="28"/>
        </w:rPr>
        <w:t>wa</w:t>
      </w:r>
      <w:proofErr w:type="spellEnd"/>
      <w:r w:rsidRPr="009839DE">
        <w:rPr>
          <w:rFonts w:ascii="Sakkal Majalla" w:hAnsi="Sakkal Majalla" w:cs="Sakkal Majalla"/>
          <w:sz w:val="28"/>
          <w:szCs w:val="28"/>
        </w:rPr>
        <w:t xml:space="preserve"> </w:t>
      </w:r>
      <w:proofErr w:type="spellStart"/>
      <w:r w:rsidRPr="009839DE">
        <w:rPr>
          <w:rFonts w:ascii="Sakkal Majalla" w:hAnsi="Sakkal Majalla" w:cs="Sakkal Majalla"/>
          <w:sz w:val="28"/>
          <w:szCs w:val="28"/>
        </w:rPr>
        <w:t>Iqtina</w:t>
      </w:r>
      <w:proofErr w:type="spellEnd"/>
      <w:r w:rsidRPr="009839DE">
        <w:rPr>
          <w:rFonts w:ascii="Sakkal Majalla" w:hAnsi="Sakkal Majalla" w:cs="Sakkal Majalla"/>
          <w:sz w:val="28"/>
          <w:szCs w:val="28"/>
          <w:rtl/>
        </w:rPr>
        <w:t xml:space="preserve"> البريطاني (</w:t>
      </w:r>
      <w:r w:rsidRPr="009839DE">
        <w:rPr>
          <w:rFonts w:ascii="Sakkal Majalla" w:hAnsi="Sakkal Majalla" w:cs="Sakkal Majalla"/>
          <w:sz w:val="28"/>
          <w:szCs w:val="28"/>
        </w:rPr>
        <w:t>Ayan Capital</w:t>
      </w:r>
      <w:r w:rsidRPr="009839DE">
        <w:rPr>
          <w:rFonts w:ascii="Sakkal Majalla" w:hAnsi="Sakkal Majalla" w:cs="Sakkal Majalla"/>
          <w:sz w:val="28"/>
          <w:szCs w:val="28"/>
          <w:rtl/>
        </w:rPr>
        <w:t>) أقرب إلى صيغة التملك التدريجي الثابت (المعادل الإسلامي لـ</w:t>
      </w:r>
      <w:r w:rsidRPr="009839DE">
        <w:rPr>
          <w:rFonts w:ascii="Sakkal Majalla" w:hAnsi="Sakkal Majalla" w:cs="Sakkal Majalla"/>
          <w:sz w:val="28"/>
          <w:szCs w:val="28"/>
        </w:rPr>
        <w:t>Hire Purchase</w:t>
      </w:r>
      <w:r w:rsidRPr="009839DE">
        <w:rPr>
          <w:rFonts w:ascii="Sakkal Majalla" w:hAnsi="Sakkal Majalla" w:cs="Sakkal Majalla"/>
          <w:sz w:val="28"/>
          <w:szCs w:val="28"/>
          <w:rtl/>
        </w:rPr>
        <w:t xml:space="preserve">) منها إلى مرونة </w:t>
      </w:r>
      <w:r w:rsidRPr="009839DE">
        <w:rPr>
          <w:rFonts w:ascii="Sakkal Majalla" w:hAnsi="Sakkal Majalla" w:cs="Sakkal Majalla"/>
          <w:sz w:val="28"/>
          <w:szCs w:val="28"/>
        </w:rPr>
        <w:t>PCP</w:t>
      </w:r>
      <w:r w:rsidRPr="009839DE">
        <w:rPr>
          <w:rFonts w:ascii="Sakkal Majalla" w:hAnsi="Sakkal Majalla" w:cs="Sakkal Majalla"/>
          <w:sz w:val="28"/>
          <w:szCs w:val="28"/>
          <w:rtl/>
        </w:rPr>
        <w:t xml:space="preserve"> الكاملة. وهذا يعزز الفجوة البحثية التي تعالجها الدراسة الحالية ويمنحها طابع الأصالة.</w:t>
      </w:r>
    </w:p>
    <w:p w14:paraId="66C2C669" w14:textId="03710BC0" w:rsidR="00700134" w:rsidRPr="00700134" w:rsidRDefault="00700134" w:rsidP="00700134">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700134">
        <w:rPr>
          <w:rFonts w:ascii="Sakkal Majalla" w:hAnsi="Sakkal Majalla" w:cs="Sakkal Majalla"/>
          <w:sz w:val="28"/>
          <w:szCs w:val="28"/>
          <w:u w:val="single"/>
          <w:rtl/>
        </w:rPr>
        <w:t>الفجوة البحثية</w:t>
      </w:r>
    </w:p>
    <w:p w14:paraId="5942AAF2"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يتضح من مراجعة الدراسات السابقة أن الأدبيات تناولت التمويل التأجيري المنتهي بالتملك من زوايا فقهية أو مصرفية أو مرتبطة بإدارة المخاطر، كما تناولت أدبيات أخرى محددات تبني العملاء للمنتجات المصرفية الإسلامية والابتكار المالي في البيئات الإسلامية. غير أن هذه الأدبيات - في حدود ما اطلع عليه الباحث - لم تتناول بناء نموذج تمويلي هجين لتمويل المركبات في السوق السعودي يجمع بصورة صريحة بين انخفاض التكلفة النسبية في التمويل التأجيري المنتهي بالتملك ومرونة الإرجاع أو الاستبدال المرتبطة بالتأجير التشغيلي، مع آلية تطبيقية محددة لإدارة مخاطر القيمة المتبقية تراعي اختلاف فئات المركبات (التقليدية مقابل الكهربائية).</w:t>
      </w:r>
    </w:p>
    <w:p w14:paraId="275051EF" w14:textId="6DA4E8F8"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ومن هنا تتمثل الفجوة البحثية في الحاجة إلى دراسة تطبيقية تجمع بين التحليل التنظيمي والمقارنة السوقية وقياس اتجاهات العملاء ومحاكاة رقمية مالية، لتقديم تصور أولي شامل لنموذج تمويلي هجين ملائم للسوق السعودي.</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7CD53392" w14:textId="77777777" w:rsidR="00700134" w:rsidRDefault="00700134" w:rsidP="00D22171">
      <w:pPr>
        <w:rPr>
          <w:rFonts w:ascii="Sakkal Majalla" w:hAnsi="Sakkal Majalla" w:cs="Sakkal Majalla"/>
          <w:sz w:val="28"/>
          <w:szCs w:val="28"/>
          <w:u w:val="single"/>
          <w:rtl/>
        </w:rPr>
      </w:pPr>
    </w:p>
    <w:p w14:paraId="48610E68" w14:textId="22DC69D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62A6AEED"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نظرية المنفعة والتكلفة</w:t>
      </w:r>
    </w:p>
    <w:p w14:paraId="2F91A8C5"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تسهم هذه النظرية في تفسير قرار العميل عند المفاضلة بين منتج أقل تكلفة ومنتج أكثر مرونة، إذ يُفترض أن العميل يسعى إلى تعظيم المنفعة الكلية المتوقعة من العقد المالي.</w:t>
      </w:r>
    </w:p>
    <w:p w14:paraId="02044BE9"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نظرية الاختيار العقلاني</w:t>
      </w:r>
    </w:p>
    <w:p w14:paraId="79E0E1EA"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توضح أن سلوك العميل في اختيار أداة التمويل يتأثر بتقييمه الواعي للعوائد والتكاليف والقيود المحيطة، وهو ما يتسق مع جوهر الدراسة في تفسير اتجاهات العملاء نحو النموذج المقترح.</w:t>
      </w:r>
    </w:p>
    <w:p w14:paraId="4347B7A9"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نظرية الابتكار المالي</w:t>
      </w:r>
    </w:p>
    <w:p w14:paraId="315D9D4C"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تؤطر هذه النظرية عملية تطوير المنتجات المالية الجديدة باعتبارها استجابة لحاجة سوقية غير مخدومة أو غير مخدومة بشكل كافٍ، وهو ما ينطبق على فكرة الجمع بين الكفاءة السعرية والمرونة التعاقدية في منتج واحد.</w:t>
      </w:r>
    </w:p>
    <w:p w14:paraId="6F682A59"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نظرية الوساطة المالية</w:t>
      </w:r>
    </w:p>
    <w:p w14:paraId="0A2D8BF3"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تبرز دور المؤسسة المالية في تصميم عقود ومنتجات تقلل تكاليف المعاملات وتعيد توزيع المخاطر بما يحقق كفاءة أكبر للمقترضين والممولين في آن واحد.</w:t>
      </w:r>
    </w:p>
    <w:p w14:paraId="105EA73F"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نظرية انتشار الابتكار (إضافة نظرية للدراسة الحالية)</w:t>
      </w:r>
    </w:p>
    <w:p w14:paraId="1A42D7AF"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 xml:space="preserve">طوّر </w:t>
      </w:r>
      <w:r w:rsidRPr="00700134">
        <w:rPr>
          <w:rFonts w:ascii="Sakkal Majalla" w:hAnsi="Sakkal Majalla" w:cs="Sakkal Majalla"/>
          <w:b/>
          <w:bCs/>
          <w:sz w:val="28"/>
          <w:szCs w:val="28"/>
        </w:rPr>
        <w:t>Rogers</w:t>
      </w:r>
      <w:r w:rsidRPr="00700134">
        <w:rPr>
          <w:rFonts w:ascii="Sakkal Majalla" w:hAnsi="Sakkal Majalla" w:cs="Sakkal Majalla"/>
          <w:b/>
          <w:bCs/>
          <w:sz w:val="28"/>
          <w:szCs w:val="28"/>
          <w:rtl/>
        </w:rPr>
        <w:t xml:space="preserve"> (2003) نظرية انتشار الابتكار لتفسير كيفية تبني الأفراد للأفكار والمنتجات الجديدة عبر الزمن، محددًا خمس خصائص تؤثر في سرعة التبني: الميزة النسبية، والتوافق مع القيم والاحتياجات القائمة، ودرجة التعقيد، وإمكانية التجربة، وقابلية الملاحظة. وتعتمد هذه الدراسة على هذا الإطار في تفسير وقياس مدى استعداد عينة الدراسة لتبني النموذج المقترح بوصفه ابتكارًا ماليًا جديدًا نسبيًا على السوق السعودي.</w:t>
      </w:r>
    </w:p>
    <w:p w14:paraId="1159061B"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الإطار المقترح للدراسة: نموذج الربح الثلاثي والهامش المتدرج (مساهمة أصيلة)</w:t>
      </w:r>
    </w:p>
    <w:p w14:paraId="1F4BEFC2"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تقترح هذه الدراسة إطارين تحليليين خاصين بها لتفسير استدامة النموذج المقترح وتسعيره:</w:t>
      </w:r>
    </w:p>
    <w:p w14:paraId="3F39B6ED"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نموذج الربح الثلاثي (</w:t>
      </w:r>
      <w:r w:rsidRPr="00700134">
        <w:rPr>
          <w:rFonts w:ascii="Sakkal Majalla" w:hAnsi="Sakkal Majalla" w:cs="Sakkal Majalla"/>
          <w:sz w:val="28"/>
          <w:szCs w:val="28"/>
        </w:rPr>
        <w:t>Triple-Win Model</w:t>
      </w:r>
      <w:r w:rsidRPr="00700134">
        <w:rPr>
          <w:rFonts w:ascii="Sakkal Majalla" w:hAnsi="Sakkal Majalla" w:cs="Sakkal Majalla"/>
          <w:sz w:val="28"/>
          <w:szCs w:val="28"/>
          <w:rtl/>
        </w:rPr>
        <w:t>): يفترض أن استدامة النموذج المقترح تتطلب تحقق عائد حقيقي لثلاثة أطراف معًا هي البنك (عبر تكرار دورة التمويل وولاء العميل)، والعميل (عبر انخفاض القسط الشهري والمرونة)، والوكيل (عبر إيرادات الصيانة الدورية ومخزون مستعمل موثق).</w:t>
      </w:r>
    </w:p>
    <w:p w14:paraId="242B6696"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نموذج الهامش المتدرج لتغطية فجوة التقييم الزمنية: يقترح زيادة هامش أمان البنك تدريجيًا كلما اتسعت الفجوة الزمنية بين نقطة تقييم القيمة المتبقية ونقطة الاستحقاق الفعلي للعقد، بما يحمي البنك من مخاطر إضافية دون الحاجة لتضخيم افتراضات القيمة المتقبلية.</w:t>
      </w:r>
    </w:p>
    <w:p w14:paraId="35AAB320" w14:textId="300B3CB8" w:rsidR="00F925D0"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lastRenderedPageBreak/>
        <w:t>وبناءً على ما سبق، فإن الإطار النظري للدراسة يقوم على أن الفجوة بين التكلفة والمرونة تمثل متغيرًا مؤثرًا في اتجاهات العملاء وفي الحاجة إلى تطوير منتج تمويلي أكثر مواءمة، وأن نجاح النموذج المقترح يعتمد على تحقيق توازن بين القيمة الاقتصادية والالتزام النظامي والشرعي، مع إدارة رشيدة لمخاطر القيمة المتبقية تراعي فئة المركبة الممولة.</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7DD73CBF" w14:textId="77777777" w:rsidR="00700134" w:rsidRDefault="00700134"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05712225" w14:textId="034A88DE" w:rsidR="00BC094B" w:rsidRDefault="00D22171" w:rsidP="00700134">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w:t>
      </w:r>
      <w:r w:rsidR="00700134">
        <w:rPr>
          <w:rFonts w:ascii="Sakkal Majalla" w:hAnsi="Sakkal Majalla" w:cs="Sakkal Majalla" w:hint="cs"/>
          <w:sz w:val="28"/>
          <w:szCs w:val="28"/>
          <w:u w:val="single"/>
          <w:rtl/>
        </w:rPr>
        <w:t>ة</w:t>
      </w:r>
    </w:p>
    <w:p w14:paraId="5E7C4016" w14:textId="77777777" w:rsidR="00700134" w:rsidRDefault="00700134" w:rsidP="00700134">
      <w:pPr>
        <w:rPr>
          <w:rFonts w:ascii="Sakkal Majalla" w:hAnsi="Sakkal Majalla" w:cs="Sakkal Majalla"/>
          <w:sz w:val="28"/>
          <w:szCs w:val="28"/>
          <w:u w:val="single"/>
          <w:rtl/>
        </w:rPr>
      </w:pPr>
    </w:p>
    <w:p w14:paraId="04E69013"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يعرض هذا الفصل الإجراءات المنهجية التي اعتمدها الباحث لتحقيق أهداف الدراسة، متضمنًا تصميم البحث، ومجتمع الدراسة وخصائص العينة ومحددات حجمها، وأداة جمع البيانات وخطوات تطبيقها، وحدود الدراسة، والأساليب الإحصائية المستخدمة في تحليل البيانات.</w:t>
      </w:r>
    </w:p>
    <w:p w14:paraId="1C31EA18" w14:textId="77777777" w:rsidR="00700134" w:rsidRPr="00700134" w:rsidRDefault="00700134" w:rsidP="00700134">
      <w:pPr>
        <w:rPr>
          <w:rFonts w:ascii="Sakkal Majalla" w:hAnsi="Sakkal Majalla" w:cs="Sakkal Majalla"/>
          <w:sz w:val="28"/>
          <w:szCs w:val="28"/>
          <w:u w:val="single"/>
          <w:rtl/>
        </w:rPr>
      </w:pPr>
      <w:r w:rsidRPr="00700134">
        <w:rPr>
          <w:rFonts w:ascii="Sakkal Majalla" w:hAnsi="Sakkal Majalla" w:cs="Sakkal Majalla"/>
          <w:sz w:val="28"/>
          <w:szCs w:val="28"/>
          <w:u w:val="single"/>
          <w:rtl/>
        </w:rPr>
        <w:t>تصميم البحث</w:t>
      </w:r>
    </w:p>
    <w:p w14:paraId="41EE4F3E"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تعتمد الدراسة المنهج المختلط ذا التصميم التتابعي التفسيري (</w:t>
      </w:r>
      <w:r w:rsidRPr="00700134">
        <w:rPr>
          <w:rFonts w:ascii="Sakkal Majalla" w:hAnsi="Sakkal Majalla" w:cs="Sakkal Majalla"/>
          <w:sz w:val="28"/>
          <w:szCs w:val="28"/>
        </w:rPr>
        <w:t>Sequential Explanatory Mixed Methods Design</w:t>
      </w:r>
      <w:r w:rsidRPr="00700134">
        <w:rPr>
          <w:rFonts w:ascii="Sakkal Majalla" w:hAnsi="Sakkal Majalla" w:cs="Sakkal Majalla"/>
          <w:sz w:val="28"/>
          <w:szCs w:val="28"/>
          <w:rtl/>
        </w:rPr>
        <w:t>)، حيث يبدأ الباحث بالشق النوعي لتحليل الأطر التنظيمية والعقدية والتسعيرية ذات الصلة بمنتجَي التمويل التأجيري المنتهي بالتملك والتأجير التشغيلي، ثم ينتقل إلى الشق الكمي لقياس اتجاهات العملاء نحو الفجوة بين التكلفة والمرونة ومدى تقبلهم لفكرة النموذج التمويلي الهجين المقترح.</w:t>
      </w:r>
    </w:p>
    <w:p w14:paraId="6E62E406"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ويتضمن الشق النوعي تحليل الوثائق والأنظمة الرسمية ذات العلاقة، ومراجعة عروض السوق والعقود والنماذج المتاحة، وإجراء مقارنة وصفية منظمة بين خصائص المنتجين في السوق السعودي، إضافة إلى محاكاة رقمية مالية تطبيقية (تُعرض في الفصل الرابع) لاختبار جدوى النموذج المقترح على فئتين من المركبات. أما الشق الكمي فيعتمد على استبانة موجهة إلى عملاء سبق لهم التعامل مع أحد منتجي تمويل المركبات محل الدراسة.</w:t>
      </w:r>
    </w:p>
    <w:p w14:paraId="62D2A699" w14:textId="77777777" w:rsidR="00700134" w:rsidRPr="00700134" w:rsidRDefault="00700134" w:rsidP="00700134">
      <w:pPr>
        <w:rPr>
          <w:rFonts w:ascii="Sakkal Majalla" w:hAnsi="Sakkal Majalla" w:cs="Sakkal Majalla"/>
          <w:sz w:val="28"/>
          <w:szCs w:val="28"/>
          <w:u w:val="single"/>
          <w:rtl/>
        </w:rPr>
      </w:pPr>
      <w:r w:rsidRPr="00700134">
        <w:rPr>
          <w:rFonts w:ascii="Sakkal Majalla" w:hAnsi="Sakkal Majalla" w:cs="Sakkal Majalla"/>
          <w:sz w:val="28"/>
          <w:szCs w:val="28"/>
          <w:u w:val="single"/>
          <w:rtl/>
        </w:rPr>
        <w:t>مجتمع البحث</w:t>
      </w:r>
    </w:p>
    <w:p w14:paraId="464E357E"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يتمثل مجتمع الدراسة في العملاء الأفراد في المملكة العربية السعودية الذين سبق لهم التعامل مع تمويل المركبات من خلال التمويل التأجيري المنتهي بالتملك أو التأجير التشغيلي، إضافة إلى مختصين ذوي صلة من البنوك السعودية وشركات التأجير ووكلاء السيارات ضمن الشق النوعي التحليلي.</w:t>
      </w:r>
    </w:p>
    <w:p w14:paraId="4166EA8E" w14:textId="77777777" w:rsidR="00700134" w:rsidRPr="00700134" w:rsidRDefault="00700134" w:rsidP="00700134">
      <w:pPr>
        <w:rPr>
          <w:rFonts w:ascii="Sakkal Majalla" w:hAnsi="Sakkal Majalla" w:cs="Sakkal Majalla"/>
          <w:sz w:val="28"/>
          <w:szCs w:val="28"/>
          <w:u w:val="single"/>
          <w:rtl/>
        </w:rPr>
      </w:pPr>
      <w:r w:rsidRPr="00700134">
        <w:rPr>
          <w:rFonts w:ascii="Sakkal Majalla" w:hAnsi="Sakkal Majalla" w:cs="Sakkal Majalla"/>
          <w:sz w:val="28"/>
          <w:szCs w:val="28"/>
          <w:u w:val="single"/>
          <w:rtl/>
        </w:rPr>
        <w:t>خصائص العينة</w:t>
      </w:r>
    </w:p>
    <w:p w14:paraId="244123E0"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تستهدف الدراسة عينة من العملاء الأفراد الذين تتوافر فيهم خبرة تعامل فعلي مباشر مع أحد منتجي الدراسة، على أن تتنوع العينة من حيث الخصائص الديموغرافية التالية بما يعكس تنوع السوق السعودي:</w:t>
      </w:r>
    </w:p>
    <w:p w14:paraId="720A1D7E"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الجنس (ذكر / أنثى).</w:t>
      </w:r>
    </w:p>
    <w:p w14:paraId="091A51CE"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الفئة العمرية (أقل من 25 سنة وحتى 55 سنة فأكثر).</w:t>
      </w:r>
    </w:p>
    <w:p w14:paraId="51C0F605"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مستوى الدخل الشهري (أقل من 8,000 ريال وحتى 25,000 ريال فأكثر).</w:t>
      </w:r>
    </w:p>
    <w:p w14:paraId="72AB01C5"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مدة التعامل مع المنتج الحالي (أقل من سنة وحتى أكثر من 3 سنوات).</w:t>
      </w:r>
    </w:p>
    <w:p w14:paraId="3AF7AB35" w14:textId="4A6FF256" w:rsid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نوع المنتج المتعامَل معه (التمويل التأجيري المنتهي بالتملك أو التأجير التشغيلي).</w:t>
      </w:r>
    </w:p>
    <w:p w14:paraId="69B091B0" w14:textId="77777777" w:rsidR="00700134" w:rsidRPr="00700134" w:rsidRDefault="00700134" w:rsidP="00700134">
      <w:pPr>
        <w:rPr>
          <w:rFonts w:ascii="Sakkal Majalla" w:hAnsi="Sakkal Majalla" w:cs="Sakkal Majalla"/>
          <w:sz w:val="28"/>
          <w:szCs w:val="28"/>
          <w:rtl/>
        </w:rPr>
      </w:pPr>
    </w:p>
    <w:p w14:paraId="4C61DF18" w14:textId="77777777" w:rsidR="00700134" w:rsidRPr="00700134" w:rsidRDefault="00700134" w:rsidP="00700134">
      <w:pPr>
        <w:rPr>
          <w:rFonts w:ascii="Sakkal Majalla" w:hAnsi="Sakkal Majalla" w:cs="Sakkal Majalla"/>
          <w:sz w:val="28"/>
          <w:szCs w:val="28"/>
          <w:u w:val="single"/>
          <w:rtl/>
        </w:rPr>
      </w:pPr>
      <w:r w:rsidRPr="00700134">
        <w:rPr>
          <w:rFonts w:ascii="Sakkal Majalla" w:hAnsi="Sakkal Majalla" w:cs="Sakkal Majalla"/>
          <w:sz w:val="28"/>
          <w:szCs w:val="28"/>
          <w:u w:val="single"/>
          <w:rtl/>
        </w:rPr>
        <w:lastRenderedPageBreak/>
        <w:t>محددات حجم العينة</w:t>
      </w:r>
    </w:p>
    <w:p w14:paraId="61B87D20"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نظرًا لطبيعة الدراسة، سيعتمد الباحث في الشق الكمي أسلوب العينة غير الاحتمالية القصدية (</w:t>
      </w:r>
      <w:r w:rsidRPr="00700134">
        <w:rPr>
          <w:rFonts w:ascii="Sakkal Majalla" w:hAnsi="Sakkal Majalla" w:cs="Sakkal Majalla"/>
          <w:sz w:val="28"/>
          <w:szCs w:val="28"/>
        </w:rPr>
        <w:t>Purposive Non-probability Sampling</w:t>
      </w:r>
      <w:r w:rsidRPr="00700134">
        <w:rPr>
          <w:rFonts w:ascii="Sakkal Majalla" w:hAnsi="Sakkal Majalla" w:cs="Sakkal Majalla"/>
          <w:sz w:val="28"/>
          <w:szCs w:val="28"/>
          <w:rtl/>
        </w:rPr>
        <w:t>)، بحيث يتم اختيار أفراد تتوافر فيهم خبرة سابقة مباشرة بأحد المنتجين محل الدراسة. وبما أن حجم مجتمع الدراسة (عملاء تمويل المركبات في السوق السعودي) كبير وغير محدد بدقة إحصائية متاحة للباحث، فقد اعتمد الباحث على القاعدة الشائعة في الدراسات الاستكشافية ذات العينات القصدية والمعتمدة في جداول تحديد حجم العينة للمجتمعات الكبيرة أو غير المحددة (</w:t>
      </w:r>
      <w:proofErr w:type="spellStart"/>
      <w:r w:rsidRPr="00700134">
        <w:rPr>
          <w:rFonts w:ascii="Sakkal Majalla" w:hAnsi="Sakkal Majalla" w:cs="Sakkal Majalla"/>
          <w:sz w:val="28"/>
          <w:szCs w:val="28"/>
        </w:rPr>
        <w:t>Krejcie</w:t>
      </w:r>
      <w:proofErr w:type="spellEnd"/>
      <w:r w:rsidRPr="00700134">
        <w:rPr>
          <w:rFonts w:ascii="Sakkal Majalla" w:hAnsi="Sakkal Majalla" w:cs="Sakkal Majalla"/>
          <w:sz w:val="28"/>
          <w:szCs w:val="28"/>
        </w:rPr>
        <w:t xml:space="preserve"> &amp; Morgan, 1970</w:t>
      </w:r>
      <w:r w:rsidRPr="00700134">
        <w:rPr>
          <w:rFonts w:ascii="Sakkal Majalla" w:hAnsi="Sakkal Majalla" w:cs="Sakkal Majalla"/>
          <w:sz w:val="28"/>
          <w:szCs w:val="28"/>
          <w:rtl/>
        </w:rPr>
        <w:t>)، والتي توصي بحجم عينة يقارب 384 مفردة لتحقيق مستوى ثقة 95% وهامش خطأ لا يتجاوز 5% للمجتمعات الكبيرة. ونظرًا للقيود الزمنية والعملية المتاحة، حدد الباحث حجم العينة المستهدف بـ283 مفردة، وهو حجم يقع ضمن النطاق المقبول للدراسات الاستكشافية ذات العينة القصدية ويحقق مستوى ثقة مقبولًا (يقارب 95% بهامش خطأ نحو 5.8%) بما يتناسب مع طبيعة الدراسة وإمكانات الباحث.</w:t>
      </w:r>
    </w:p>
    <w:p w14:paraId="7DA5138E" w14:textId="77777777" w:rsidR="00700134" w:rsidRPr="00700134" w:rsidRDefault="00700134" w:rsidP="00700134">
      <w:pPr>
        <w:rPr>
          <w:rFonts w:ascii="Sakkal Majalla" w:hAnsi="Sakkal Majalla" w:cs="Sakkal Majalla"/>
          <w:sz w:val="28"/>
          <w:szCs w:val="28"/>
          <w:u w:val="single"/>
          <w:rtl/>
        </w:rPr>
      </w:pPr>
      <w:r w:rsidRPr="00700134">
        <w:rPr>
          <w:rFonts w:ascii="Sakkal Majalla" w:hAnsi="Sakkal Majalla" w:cs="Sakkal Majalla"/>
          <w:sz w:val="28"/>
          <w:szCs w:val="28"/>
          <w:u w:val="single"/>
          <w:rtl/>
        </w:rPr>
        <w:t>خطوات جمع البيانات / أداة جمع البيانات</w:t>
      </w:r>
    </w:p>
    <w:p w14:paraId="40EC341C"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تعتمد الدراسة على ثلاث أدوات رئيسة متكاملة:</w:t>
      </w:r>
    </w:p>
    <w:p w14:paraId="4097E406"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1.</w:t>
      </w:r>
      <w:r w:rsidRPr="00700134">
        <w:rPr>
          <w:rFonts w:ascii="Sakkal Majalla" w:hAnsi="Sakkal Majalla" w:cs="Sakkal Majalla"/>
          <w:sz w:val="28"/>
          <w:szCs w:val="28"/>
          <w:rtl/>
        </w:rPr>
        <w:tab/>
        <w:t xml:space="preserve">تحليل الوثائق والأنظمة الرسمية: ويشمل مراجعة نظام التمويل التأجيري السعودي ولائحته التنفيذية والمعايير الشرعية ذات الصلة بعقود الإجارة والإجارة المنتهية بالتملك (معيار </w:t>
      </w:r>
      <w:r w:rsidRPr="00700134">
        <w:rPr>
          <w:rFonts w:ascii="Sakkal Majalla" w:hAnsi="Sakkal Majalla" w:cs="Sakkal Majalla"/>
          <w:sz w:val="28"/>
          <w:szCs w:val="28"/>
        </w:rPr>
        <w:t>AAOIFI</w:t>
      </w:r>
      <w:r w:rsidRPr="00700134">
        <w:rPr>
          <w:rFonts w:ascii="Sakkal Majalla" w:hAnsi="Sakkal Majalla" w:cs="Sakkal Majalla"/>
          <w:sz w:val="28"/>
          <w:szCs w:val="28"/>
          <w:rtl/>
        </w:rPr>
        <w:t xml:space="preserve"> الشرعي رقم 9)، وذلك لتحديد الإطار النظامي والشرعي الحاكم للنموذج المقترح.</w:t>
      </w:r>
    </w:p>
    <w:p w14:paraId="1E138975"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2.</w:t>
      </w:r>
      <w:r w:rsidRPr="00700134">
        <w:rPr>
          <w:rFonts w:ascii="Sakkal Majalla" w:hAnsi="Sakkal Majalla" w:cs="Sakkal Majalla"/>
          <w:sz w:val="28"/>
          <w:szCs w:val="28"/>
          <w:rtl/>
        </w:rPr>
        <w:tab/>
        <w:t>المقارنة التسعيرية الميدانية: ويُقصد بها جمع عروض تمويلية وتشغيلية متقاربة من السوق السعودي من حيث نوع المركبة وسعرها ومدة العقد والدفعة المقدمة وحدود الاستخدام وشروط الإرجاع والرسوم الإضافية، بهدف بناء مقارنة عملية تساعد في تحديد حجم الفجوة بين المنتجين، مدعومة بمحاكاة رقمية تفصيلية (الفصل الرابع).</w:t>
      </w:r>
    </w:p>
    <w:p w14:paraId="6E8D07B8"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3.</w:t>
      </w:r>
      <w:r w:rsidRPr="00700134">
        <w:rPr>
          <w:rFonts w:ascii="Sakkal Majalla" w:hAnsi="Sakkal Majalla" w:cs="Sakkal Majalla"/>
          <w:sz w:val="28"/>
          <w:szCs w:val="28"/>
          <w:rtl/>
        </w:rPr>
        <w:tab/>
        <w:t>الاستبانة الإلكترونية: صُممت في صورتها الأولية لقياس أربعة محاور رئيسة هي: إدراك الفجوة بين التكلفة والمرونة، والرضا عن المنتج الحالي، وتقييم عناصر النموذج المقترح (ميزة الاستبدال، الالتزام بالصيانة الدورية، متابعة عداد المسافة)، والاستعداد لتبني النموذج التمويلي المتكامل المقترح. وتستخدم الاستبانة عبارات وفق مقياس ليكرت الخماسي، وتتضمن مقدمة توضح الموافقة المستنيرة للمشاركين وطوعية المشاركة، تماشيًا مع مبادئ أخلاقيات البحث العلمي المفصّلة في تقرير منفصل مرفق بمشروع التخرج.</w:t>
      </w:r>
    </w:p>
    <w:p w14:paraId="336E2338" w14:textId="77777777" w:rsid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وسيتم عرض الاستبانة على مجموعة من المحكمين المتخصصين للتحقق من صدقها الظاهري وصدق محتواها، كما سيجري اختبار ثباتها باستخدام معامل ألفا كرونباخ قبل التطبيق الميداني النهائي.</w:t>
      </w:r>
    </w:p>
    <w:p w14:paraId="54FE9EE1" w14:textId="77777777" w:rsidR="00700134" w:rsidRDefault="00700134" w:rsidP="00700134">
      <w:pPr>
        <w:rPr>
          <w:rFonts w:ascii="Sakkal Majalla" w:hAnsi="Sakkal Majalla" w:cs="Sakkal Majalla"/>
          <w:sz w:val="28"/>
          <w:szCs w:val="28"/>
          <w:rtl/>
        </w:rPr>
      </w:pPr>
    </w:p>
    <w:p w14:paraId="0056F595" w14:textId="77777777" w:rsidR="00700134" w:rsidRDefault="00700134" w:rsidP="00700134">
      <w:pPr>
        <w:rPr>
          <w:rFonts w:ascii="Sakkal Majalla" w:hAnsi="Sakkal Majalla" w:cs="Sakkal Majalla"/>
          <w:sz w:val="28"/>
          <w:szCs w:val="28"/>
          <w:rtl/>
        </w:rPr>
      </w:pPr>
    </w:p>
    <w:p w14:paraId="6E33FB47" w14:textId="77777777" w:rsidR="00700134" w:rsidRPr="00700134" w:rsidRDefault="00700134" w:rsidP="00700134">
      <w:pPr>
        <w:rPr>
          <w:rFonts w:ascii="Sakkal Majalla" w:hAnsi="Sakkal Majalla" w:cs="Sakkal Majalla"/>
          <w:sz w:val="28"/>
          <w:szCs w:val="28"/>
          <w:rtl/>
        </w:rPr>
      </w:pPr>
    </w:p>
    <w:p w14:paraId="2349DB1C" w14:textId="77777777" w:rsidR="00700134" w:rsidRPr="00700134" w:rsidRDefault="00700134" w:rsidP="00700134">
      <w:pPr>
        <w:rPr>
          <w:rFonts w:ascii="Sakkal Majalla" w:hAnsi="Sakkal Majalla" w:cs="Sakkal Majalla"/>
          <w:sz w:val="28"/>
          <w:szCs w:val="28"/>
          <w:u w:val="single"/>
          <w:rtl/>
        </w:rPr>
      </w:pPr>
      <w:r w:rsidRPr="00700134">
        <w:rPr>
          <w:rFonts w:ascii="Sakkal Majalla" w:hAnsi="Sakkal Majalla" w:cs="Sakkal Majalla"/>
          <w:sz w:val="28"/>
          <w:szCs w:val="28"/>
          <w:u w:val="single"/>
          <w:rtl/>
        </w:rPr>
        <w:lastRenderedPageBreak/>
        <w:t>حدود الدراسة</w:t>
      </w:r>
    </w:p>
    <w:p w14:paraId="63678AC0"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الحدود الموضوعية</w:t>
      </w:r>
    </w:p>
    <w:p w14:paraId="1642CFD4"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تقتصر الدراسة على تحليل الفجوة بين التمويل التأجيري المنتهي بالتملك والتأجير التشغيلي في سوق تمويل المركبات الشخصية (دون التمويل التجاري أو أساطيل الشركات)، وبناء تصور لنموذج تمويلي هجين يجمع بين الكفاءة التمويلية والمرونة التعاقدية.</w:t>
      </w:r>
    </w:p>
    <w:p w14:paraId="1C2BB6F5"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الحدود البشرية</w:t>
      </w:r>
    </w:p>
    <w:p w14:paraId="54169EA8"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تقتصر الدراسة الكمية على العملاء الأفراد الذين سبق لهم التعامل مع أحد منتجي الدراسة، مع الاستفادة في الشق النوعي من الوثائق الرسمية والمواد التنظيمية وعروض السوق ذات الصلة.</w:t>
      </w:r>
    </w:p>
    <w:p w14:paraId="02D18214"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الحدود المكانية</w:t>
      </w:r>
    </w:p>
    <w:p w14:paraId="3A77F416"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المملكة العربية السعودية.</w:t>
      </w:r>
    </w:p>
    <w:p w14:paraId="26DBBA07"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الحدود الزمنية</w:t>
      </w:r>
    </w:p>
    <w:p w14:paraId="567C5457"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تغطي الدراسة الفترة من 2022م إلى 2026م بوصفها فترة شهدت تطورات ملحوظة في سوق تمويل المركبات والتحول نحو حلول أكثر مرونة وتنوعًا، بما في ذلك دخول المركبات الكهربائية بوتيرة متسارعة.</w:t>
      </w:r>
    </w:p>
    <w:p w14:paraId="7ABC777A" w14:textId="77777777" w:rsidR="00700134" w:rsidRPr="00700134" w:rsidRDefault="00700134" w:rsidP="00700134">
      <w:pPr>
        <w:rPr>
          <w:rFonts w:ascii="Sakkal Majalla" w:hAnsi="Sakkal Majalla" w:cs="Sakkal Majalla"/>
          <w:b/>
          <w:bCs/>
          <w:sz w:val="28"/>
          <w:szCs w:val="28"/>
          <w:rtl/>
        </w:rPr>
      </w:pPr>
      <w:r w:rsidRPr="00700134">
        <w:rPr>
          <w:rFonts w:ascii="Sakkal Majalla" w:hAnsi="Sakkal Majalla" w:cs="Sakkal Majalla"/>
          <w:b/>
          <w:bCs/>
          <w:sz w:val="28"/>
          <w:szCs w:val="28"/>
          <w:rtl/>
        </w:rPr>
        <w:t>الأداة المستخدمة للتحليل الإحصائي</w:t>
      </w:r>
    </w:p>
    <w:p w14:paraId="2B407669"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التكرارات والنسب المئوية لوصف الخصائص الديموغرافية لعينة الدراسة.</w:t>
      </w:r>
    </w:p>
    <w:p w14:paraId="630B73FB"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المتوسطات الحسابية والانحرافات المعيارية لوصف استجابات المبحوثين على محاور الدراسة.</w:t>
      </w:r>
    </w:p>
    <w:p w14:paraId="496D5C38"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معامل ألفا كرونباخ لقياس ثبات الأداة.</w:t>
      </w:r>
    </w:p>
    <w:p w14:paraId="0377A9BD"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 xml:space="preserve">معامل ارتباط بيرسون لقياس العلاقة بين المتغيرات (اختبار </w:t>
      </w:r>
      <w:r w:rsidRPr="00700134">
        <w:rPr>
          <w:rFonts w:ascii="Sakkal Majalla" w:hAnsi="Sakkal Majalla" w:cs="Sakkal Majalla"/>
          <w:sz w:val="28"/>
          <w:szCs w:val="28"/>
        </w:rPr>
        <w:t>H1</w:t>
      </w:r>
      <w:r w:rsidRPr="00700134">
        <w:rPr>
          <w:rFonts w:ascii="Sakkal Majalla" w:hAnsi="Sakkal Majalla" w:cs="Sakkal Majalla"/>
          <w:sz w:val="28"/>
          <w:szCs w:val="28"/>
          <w:rtl/>
        </w:rPr>
        <w:t>).</w:t>
      </w:r>
    </w:p>
    <w:p w14:paraId="20B75F86" w14:textId="77777777" w:rsidR="00700134"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 xml:space="preserve">تحليل الانحدار البسيط أو المتعدد - بحسب ما تسمح به البيانات - لاختبار أثر المتغيرات المستقلة في المتغير التابع (اختبار </w:t>
      </w:r>
      <w:r w:rsidRPr="00700134">
        <w:rPr>
          <w:rFonts w:ascii="Sakkal Majalla" w:hAnsi="Sakkal Majalla" w:cs="Sakkal Majalla"/>
          <w:sz w:val="28"/>
          <w:szCs w:val="28"/>
        </w:rPr>
        <w:t>H1a</w:t>
      </w:r>
      <w:r w:rsidRPr="00700134">
        <w:rPr>
          <w:rFonts w:ascii="Sakkal Majalla" w:hAnsi="Sakkal Majalla" w:cs="Sakkal Majalla"/>
          <w:sz w:val="28"/>
          <w:szCs w:val="28"/>
          <w:rtl/>
        </w:rPr>
        <w:t xml:space="preserve"> و</w:t>
      </w:r>
      <w:r w:rsidRPr="00700134">
        <w:rPr>
          <w:rFonts w:ascii="Sakkal Majalla" w:hAnsi="Sakkal Majalla" w:cs="Sakkal Majalla"/>
          <w:sz w:val="28"/>
          <w:szCs w:val="28"/>
        </w:rPr>
        <w:t>H1b</w:t>
      </w:r>
      <w:r w:rsidRPr="00700134">
        <w:rPr>
          <w:rFonts w:ascii="Sakkal Majalla" w:hAnsi="Sakkal Majalla" w:cs="Sakkal Majalla"/>
          <w:sz w:val="28"/>
          <w:szCs w:val="28"/>
          <w:rtl/>
        </w:rPr>
        <w:t xml:space="preserve"> و</w:t>
      </w:r>
      <w:r w:rsidRPr="00700134">
        <w:rPr>
          <w:rFonts w:ascii="Sakkal Majalla" w:hAnsi="Sakkal Majalla" w:cs="Sakkal Majalla"/>
          <w:sz w:val="28"/>
          <w:szCs w:val="28"/>
        </w:rPr>
        <w:t>H1c</w:t>
      </w:r>
      <w:r w:rsidRPr="00700134">
        <w:rPr>
          <w:rFonts w:ascii="Sakkal Majalla" w:hAnsi="Sakkal Majalla" w:cs="Sakkal Majalla"/>
          <w:sz w:val="28"/>
          <w:szCs w:val="28"/>
          <w:rtl/>
        </w:rPr>
        <w:t>).</w:t>
      </w:r>
    </w:p>
    <w:p w14:paraId="66C2F675" w14:textId="35D8636F" w:rsidR="00BC094B" w:rsidRPr="00700134" w:rsidRDefault="00700134" w:rsidP="00700134">
      <w:pPr>
        <w:rPr>
          <w:rFonts w:ascii="Sakkal Majalla" w:hAnsi="Sakkal Majalla" w:cs="Sakkal Majalla"/>
          <w:sz w:val="28"/>
          <w:szCs w:val="28"/>
          <w:rtl/>
        </w:rPr>
      </w:pPr>
      <w:r w:rsidRPr="00700134">
        <w:rPr>
          <w:rFonts w:ascii="Sakkal Majalla" w:hAnsi="Sakkal Majalla" w:cs="Sakkal Majalla"/>
          <w:sz w:val="28"/>
          <w:szCs w:val="28"/>
          <w:rtl/>
        </w:rPr>
        <w:t>•</w:t>
      </w:r>
      <w:r w:rsidRPr="00700134">
        <w:rPr>
          <w:rFonts w:ascii="Sakkal Majalla" w:hAnsi="Sakkal Majalla" w:cs="Sakkal Majalla"/>
          <w:sz w:val="28"/>
          <w:szCs w:val="28"/>
          <w:rtl/>
        </w:rPr>
        <w:tab/>
        <w:t>التحليل الموضوعي للبيانات النوعية المستخرجة من الوثائق والأنظمة وعروض السوق.</w:t>
      </w: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0C8A79D3" w14:textId="77777777" w:rsidR="00AC10F2" w:rsidRDefault="00AC10F2" w:rsidP="00D22171">
      <w:pPr>
        <w:rPr>
          <w:rFonts w:ascii="Sakkal Majalla" w:hAnsi="Sakkal Majalla" w:cs="Sakkal Majalla"/>
          <w:sz w:val="28"/>
          <w:szCs w:val="28"/>
          <w:u w:val="single"/>
          <w:rtl/>
        </w:rPr>
      </w:pPr>
    </w:p>
    <w:p w14:paraId="68D2F541" w14:textId="77777777" w:rsidR="00AC10F2" w:rsidRDefault="00AC10F2" w:rsidP="00D22171">
      <w:pPr>
        <w:rPr>
          <w:rFonts w:ascii="Sakkal Majalla" w:hAnsi="Sakkal Majalla" w:cs="Sakkal Majalla"/>
          <w:sz w:val="28"/>
          <w:szCs w:val="28"/>
          <w:u w:val="single"/>
          <w:rtl/>
        </w:rPr>
      </w:pPr>
    </w:p>
    <w:p w14:paraId="5F0461A9" w14:textId="77777777" w:rsidR="00D87C7B" w:rsidRDefault="00D87C7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5B1F3E76" w14:textId="77777777" w:rsidR="00D87C7B" w:rsidRDefault="00D87C7B" w:rsidP="00D22171">
      <w:pPr>
        <w:rPr>
          <w:rFonts w:ascii="Sakkal Majalla" w:hAnsi="Sakkal Majalla" w:cs="Sakkal Majalla"/>
          <w:sz w:val="28"/>
          <w:szCs w:val="28"/>
          <w:u w:val="single"/>
          <w:rtl/>
        </w:rPr>
      </w:pPr>
    </w:p>
    <w:p w14:paraId="392FC313" w14:textId="77777777" w:rsidR="004163C7" w:rsidRDefault="004163C7" w:rsidP="00700134">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3113121" w14:textId="2C164D22" w:rsidR="004163C7" w:rsidRDefault="00BF6F2A" w:rsidP="00D22171">
      <w:pPr>
        <w:rPr>
          <w:rFonts w:ascii="Sakkal Majalla" w:hAnsi="Sakkal Majalla" w:cs="Sakkal Majalla"/>
          <w:sz w:val="28"/>
          <w:szCs w:val="28"/>
          <w:rtl/>
        </w:rPr>
      </w:pPr>
      <w:r w:rsidRPr="00BF6F2A">
        <w:rPr>
          <w:rFonts w:ascii="Sakkal Majalla" w:hAnsi="Sakkal Majalla" w:cs="Sakkal Majalla"/>
          <w:sz w:val="28"/>
          <w:szCs w:val="28"/>
          <w:rtl/>
        </w:rPr>
        <w:t>يعرض هذا الفصل الجانب التطبيقي للدراسة على مستويين: الأول محاكاة مالية رقمية تفصيلية لاختبار جدوى النموذج التمويلي المقترح على فئتين مختلفتين من المركبات (تقليدية وكهربائية)، باستخدام المصطلحات والمعايير المعتمدة عالميًا في صناعة التمويل التأجيري. أما المستوى الثاني فيتمثل في هيكل تحليل البيانات الإحصائية لأداة الدراسة (الاستبانة)، والذي يُستكمل بالنتائج الفعلية بعد إتمام التطبيق الميداني على العينة المستهدفة (283 عميلًا).</w:t>
      </w:r>
    </w:p>
    <w:p w14:paraId="153D6DF6" w14:textId="77777777" w:rsidR="00BF6F2A" w:rsidRPr="00BF6F2A" w:rsidRDefault="00BF6F2A" w:rsidP="00BF6F2A">
      <w:pPr>
        <w:rPr>
          <w:rFonts w:ascii="Sakkal Majalla" w:hAnsi="Sakkal Majalla" w:cs="Sakkal Majalla"/>
          <w:b/>
          <w:bCs/>
          <w:sz w:val="28"/>
          <w:szCs w:val="28"/>
          <w:rtl/>
        </w:rPr>
      </w:pPr>
      <w:r w:rsidRPr="00BF6F2A">
        <w:rPr>
          <w:rFonts w:ascii="Sakkal Majalla" w:hAnsi="Sakkal Majalla" w:cs="Sakkal Majalla"/>
          <w:b/>
          <w:bCs/>
          <w:sz w:val="28"/>
          <w:szCs w:val="28"/>
          <w:rtl/>
        </w:rPr>
        <w:t>أولًا: المحاكاة المالية التطبيقية للنموذج المقترح</w:t>
      </w:r>
    </w:p>
    <w:p w14:paraId="2028BC43" w14:textId="70B03621" w:rsidR="00BF6F2A" w:rsidRDefault="00BF6F2A" w:rsidP="00BF6F2A">
      <w:pPr>
        <w:rPr>
          <w:rFonts w:ascii="Sakkal Majalla" w:hAnsi="Sakkal Majalla" w:cs="Sakkal Majalla"/>
          <w:sz w:val="28"/>
          <w:szCs w:val="28"/>
          <w:rtl/>
        </w:rPr>
      </w:pPr>
      <w:r w:rsidRPr="00BF6F2A">
        <w:rPr>
          <w:rFonts w:ascii="Sakkal Majalla" w:hAnsi="Sakkal Majalla" w:cs="Sakkal Majalla"/>
          <w:sz w:val="28"/>
          <w:szCs w:val="28"/>
          <w:rtl/>
        </w:rPr>
        <w:t>تهدف هذه المحاكاة إلى اختبار جدوى النموذج المقترح رقميًا على فئتين متباينتين من المركبات من حيث سلوك الاستهلاك (</w:t>
      </w:r>
      <w:r w:rsidRPr="00BF6F2A">
        <w:rPr>
          <w:rFonts w:ascii="Sakkal Majalla" w:hAnsi="Sakkal Majalla" w:cs="Sakkal Majalla"/>
          <w:sz w:val="28"/>
          <w:szCs w:val="28"/>
        </w:rPr>
        <w:t>Depreciation Behavior</w:t>
      </w:r>
      <w:r w:rsidRPr="00BF6F2A">
        <w:rPr>
          <w:rFonts w:ascii="Sakkal Majalla" w:hAnsi="Sakkal Majalla" w:cs="Sakkal Majalla"/>
          <w:sz w:val="28"/>
          <w:szCs w:val="28"/>
          <w:rtl/>
        </w:rPr>
        <w:t>): مركبة تقليدية موثوقة القيمة (فئة تويوتا/هيونداي)، ومركبة كهربائية سريعة الاستهلاك (</w:t>
      </w:r>
      <w:r w:rsidRPr="00BF6F2A">
        <w:rPr>
          <w:rFonts w:ascii="Sakkal Majalla" w:hAnsi="Sakkal Majalla" w:cs="Sakkal Majalla"/>
          <w:sz w:val="28"/>
          <w:szCs w:val="28"/>
        </w:rPr>
        <w:t>Lucid Air</w:t>
      </w:r>
      <w:r w:rsidRPr="00BF6F2A">
        <w:rPr>
          <w:rFonts w:ascii="Sakkal Majalla" w:hAnsi="Sakkal Majalla" w:cs="Sakkal Majalla"/>
          <w:sz w:val="28"/>
          <w:szCs w:val="28"/>
          <w:rtl/>
        </w:rPr>
        <w:t>)، بالسعر النقدي نفسه (351,095 ريال) لضمان قابلية المقارنة.</w:t>
      </w:r>
    </w:p>
    <w:p w14:paraId="733BBA56" w14:textId="77777777" w:rsidR="00BF6F2A" w:rsidRPr="00BF6F2A" w:rsidRDefault="00BF6F2A" w:rsidP="00BF6F2A">
      <w:pPr>
        <w:rPr>
          <w:rFonts w:ascii="Sakkal Majalla" w:hAnsi="Sakkal Majalla" w:cs="Sakkal Majalla"/>
          <w:b/>
          <w:bCs/>
          <w:sz w:val="28"/>
          <w:szCs w:val="28"/>
          <w:rtl/>
        </w:rPr>
      </w:pPr>
      <w:r w:rsidRPr="00BF6F2A">
        <w:rPr>
          <w:rFonts w:ascii="Sakkal Majalla" w:hAnsi="Sakkal Majalla" w:cs="Sakkal Majalla"/>
          <w:b/>
          <w:bCs/>
          <w:sz w:val="28"/>
          <w:szCs w:val="28"/>
          <w:rtl/>
        </w:rPr>
        <w:t>منهجية تقدير القيمة المتبقية (</w:t>
      </w:r>
      <w:r w:rsidRPr="00BF6F2A">
        <w:rPr>
          <w:rFonts w:ascii="Sakkal Majalla" w:hAnsi="Sakkal Majalla" w:cs="Sakkal Majalla"/>
          <w:b/>
          <w:bCs/>
          <w:sz w:val="28"/>
          <w:szCs w:val="28"/>
        </w:rPr>
        <w:t>RV/GFV</w:t>
      </w:r>
      <w:r w:rsidRPr="00BF6F2A">
        <w:rPr>
          <w:rFonts w:ascii="Sakkal Majalla" w:hAnsi="Sakkal Majalla" w:cs="Sakkal Majalla"/>
          <w:b/>
          <w:bCs/>
          <w:sz w:val="28"/>
          <w:szCs w:val="28"/>
          <w:rtl/>
        </w:rPr>
        <w:t>)</w:t>
      </w:r>
    </w:p>
    <w:p w14:paraId="3E3F8D32" w14:textId="55686E40" w:rsidR="00BF6F2A" w:rsidRDefault="00BF6F2A" w:rsidP="00BF6F2A">
      <w:pPr>
        <w:rPr>
          <w:rFonts w:ascii="Sakkal Majalla" w:hAnsi="Sakkal Majalla" w:cs="Sakkal Majalla"/>
          <w:sz w:val="28"/>
          <w:szCs w:val="28"/>
          <w:rtl/>
        </w:rPr>
      </w:pPr>
      <w:r w:rsidRPr="00BF6F2A">
        <w:rPr>
          <w:rFonts w:ascii="Sakkal Majalla" w:hAnsi="Sakkal Majalla" w:cs="Sakkal Majalla"/>
          <w:sz w:val="28"/>
          <w:szCs w:val="28"/>
          <w:rtl/>
        </w:rPr>
        <w:t>اعتمد الباحث في تقدير معدلات الاستهلاك على بيانات سوقية فعلية موثقة بدلًا من افتراضات عشوائية: فقد أظهرت بيانات صناعة السيارات أن العلامات اليابانية والكورية الموثوقة (الأكثر تمويلًا في السوق السعودي) تفقد ما بين 35% و40% من قيمتها خلال ثلاث سنوات، وهو ما يقابل معدل استهلاك تناقصي (</w:t>
      </w:r>
      <w:r w:rsidRPr="00BF6F2A">
        <w:rPr>
          <w:rFonts w:ascii="Sakkal Majalla" w:hAnsi="Sakkal Majalla" w:cs="Sakkal Majalla"/>
          <w:sz w:val="28"/>
          <w:szCs w:val="28"/>
        </w:rPr>
        <w:t>Declining Balance</w:t>
      </w:r>
      <w:r w:rsidRPr="00BF6F2A">
        <w:rPr>
          <w:rFonts w:ascii="Sakkal Majalla" w:hAnsi="Sakkal Majalla" w:cs="Sakkal Majalla"/>
          <w:sz w:val="28"/>
          <w:szCs w:val="28"/>
          <w:rtl/>
        </w:rPr>
        <w:t>) يقارب 15% سنويًا. في المقابل، أظهرت بيانات موثقة من مصادر متخصصة (</w:t>
      </w:r>
      <w:proofErr w:type="spellStart"/>
      <w:r w:rsidRPr="00BF6F2A">
        <w:rPr>
          <w:rFonts w:ascii="Sakkal Majalla" w:hAnsi="Sakkal Majalla" w:cs="Sakkal Majalla"/>
          <w:sz w:val="28"/>
          <w:szCs w:val="28"/>
        </w:rPr>
        <w:t>iSeeCars</w:t>
      </w:r>
      <w:proofErr w:type="spellEnd"/>
      <w:r w:rsidRPr="00BF6F2A">
        <w:rPr>
          <w:rFonts w:ascii="Sakkal Majalla" w:hAnsi="Sakkal Majalla" w:cs="Sakkal Majalla"/>
          <w:sz w:val="28"/>
          <w:szCs w:val="28"/>
        </w:rPr>
        <w:t>, 2026</w:t>
      </w:r>
      <w:r w:rsidRPr="00BF6F2A">
        <w:rPr>
          <w:rFonts w:ascii="Sakkal Majalla" w:hAnsi="Sakkal Majalla" w:cs="Sakkal Majalla"/>
          <w:sz w:val="28"/>
          <w:szCs w:val="28"/>
          <w:rtl/>
        </w:rPr>
        <w:t xml:space="preserve">؛ </w:t>
      </w:r>
      <w:r w:rsidRPr="00BF6F2A">
        <w:rPr>
          <w:rFonts w:ascii="Sakkal Majalla" w:hAnsi="Sakkal Majalla" w:cs="Sakkal Majalla"/>
          <w:sz w:val="28"/>
          <w:szCs w:val="28"/>
        </w:rPr>
        <w:t>Recharged, 2026</w:t>
      </w:r>
      <w:r w:rsidRPr="00BF6F2A">
        <w:rPr>
          <w:rFonts w:ascii="Sakkal Majalla" w:hAnsi="Sakkal Majalla" w:cs="Sakkal Majalla"/>
          <w:sz w:val="28"/>
          <w:szCs w:val="28"/>
          <w:rtl/>
        </w:rPr>
        <w:t xml:space="preserve">؛ </w:t>
      </w:r>
      <w:proofErr w:type="spellStart"/>
      <w:r w:rsidRPr="00BF6F2A">
        <w:rPr>
          <w:rFonts w:ascii="Sakkal Majalla" w:hAnsi="Sakkal Majalla" w:cs="Sakkal Majalla"/>
          <w:sz w:val="28"/>
          <w:szCs w:val="28"/>
        </w:rPr>
        <w:t>TopSpeed</w:t>
      </w:r>
      <w:proofErr w:type="spellEnd"/>
      <w:r w:rsidRPr="00BF6F2A">
        <w:rPr>
          <w:rFonts w:ascii="Sakkal Majalla" w:hAnsi="Sakkal Majalla" w:cs="Sakkal Majalla"/>
          <w:sz w:val="28"/>
          <w:szCs w:val="28"/>
        </w:rPr>
        <w:t>, 2024</w:t>
      </w:r>
      <w:r w:rsidRPr="00BF6F2A">
        <w:rPr>
          <w:rFonts w:ascii="Sakkal Majalla" w:hAnsi="Sakkal Majalla" w:cs="Sakkal Majalla"/>
          <w:sz w:val="28"/>
          <w:szCs w:val="28"/>
          <w:rtl/>
        </w:rPr>
        <w:t xml:space="preserve">) أن مركبة </w:t>
      </w:r>
      <w:r w:rsidRPr="00BF6F2A">
        <w:rPr>
          <w:rFonts w:ascii="Sakkal Majalla" w:hAnsi="Sakkal Majalla" w:cs="Sakkal Majalla"/>
          <w:sz w:val="28"/>
          <w:szCs w:val="28"/>
        </w:rPr>
        <w:t>Lucid Air</w:t>
      </w:r>
      <w:r w:rsidRPr="00BF6F2A">
        <w:rPr>
          <w:rFonts w:ascii="Sakkal Majalla" w:hAnsi="Sakkal Majalla" w:cs="Sakkal Majalla"/>
          <w:sz w:val="28"/>
          <w:szCs w:val="28"/>
          <w:rtl/>
        </w:rPr>
        <w:t xml:space="preserve"> الكهربائية تفقد نحو 50% من قيمتها خلال سنتين فقط، وهو معدل استهلاك أكثر حدة بكثير، ما يستوجب تطبيق منهجية استهلاك ومنهجية هامش أمان مختلفتين تمامًا لكل فئة مركبة.</w:t>
      </w:r>
    </w:p>
    <w:p w14:paraId="7118C912" w14:textId="65DC2FA0" w:rsidR="00BF6F2A" w:rsidRPr="00BF6F2A" w:rsidRDefault="00BF6F2A" w:rsidP="00BF6F2A">
      <w:pPr>
        <w:rPr>
          <w:rFonts w:ascii="Sakkal Majalla" w:hAnsi="Sakkal Majalla" w:cs="Sakkal Majalla"/>
          <w:b/>
          <w:bCs/>
          <w:sz w:val="28"/>
          <w:szCs w:val="28"/>
          <w:rtl/>
        </w:rPr>
      </w:pPr>
      <w:r w:rsidRPr="00BF6F2A">
        <w:rPr>
          <w:rFonts w:ascii="Sakkal Majalla" w:hAnsi="Sakkal Majalla" w:cs="Sakkal Majalla"/>
          <w:b/>
          <w:bCs/>
          <w:sz w:val="28"/>
          <w:szCs w:val="28"/>
          <w:rtl/>
        </w:rPr>
        <w:t>جدول (1): المصطلحات العالمية المطبقة على النموذج (مركبة تقليدية)</w:t>
      </w:r>
    </w:p>
    <w:tbl>
      <w:tblPr>
        <w:bidiVisual/>
        <w:tblW w:w="8952" w:type="dxa"/>
        <w:jc w:val="center"/>
        <w:tblLook w:val="04A0" w:firstRow="1" w:lastRow="0" w:firstColumn="1" w:lastColumn="0" w:noHBand="0" w:noVBand="1"/>
      </w:tblPr>
      <w:tblGrid>
        <w:gridCol w:w="2500"/>
        <w:gridCol w:w="1793"/>
        <w:gridCol w:w="1350"/>
        <w:gridCol w:w="3309"/>
      </w:tblGrid>
      <w:tr w:rsidR="00BF6F2A" w:rsidRPr="00BF6F2A" w14:paraId="05318B56" w14:textId="77777777" w:rsidTr="00BF6F2A">
        <w:trPr>
          <w:trHeight w:val="315"/>
          <w:jc w:val="center"/>
        </w:trPr>
        <w:tc>
          <w:tcPr>
            <w:tcW w:w="2500"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630BE27B"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14:ligatures w14:val="none"/>
              </w:rPr>
            </w:pPr>
            <w:r w:rsidRPr="00BF6F2A">
              <w:rPr>
                <w:rFonts w:ascii="Arial" w:eastAsia="Times New Roman" w:hAnsi="Arial" w:cs="Arial"/>
                <w:b/>
                <w:bCs/>
                <w:color w:val="FFFFFF"/>
                <w:kern w:val="0"/>
                <w:sz w:val="21"/>
                <w:szCs w:val="21"/>
                <w:rtl/>
                <w14:ligatures w14:val="none"/>
              </w:rPr>
              <w:t>المصطلح</w:t>
            </w:r>
          </w:p>
        </w:tc>
        <w:tc>
          <w:tcPr>
            <w:tcW w:w="1793" w:type="dxa"/>
            <w:tcBorders>
              <w:top w:val="single" w:sz="8" w:space="0" w:color="auto"/>
              <w:left w:val="nil"/>
              <w:bottom w:val="single" w:sz="8" w:space="0" w:color="auto"/>
              <w:right w:val="single" w:sz="8" w:space="0" w:color="auto"/>
            </w:tcBorders>
            <w:shd w:val="clear" w:color="000000" w:fill="1F4E79"/>
            <w:vAlign w:val="center"/>
            <w:hideMark/>
          </w:tcPr>
          <w:p w14:paraId="59FC7B53"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rtl/>
                <w14:ligatures w14:val="none"/>
              </w:rPr>
              <w:t>الرمز</w:t>
            </w:r>
          </w:p>
        </w:tc>
        <w:tc>
          <w:tcPr>
            <w:tcW w:w="1350" w:type="dxa"/>
            <w:tcBorders>
              <w:top w:val="single" w:sz="8" w:space="0" w:color="auto"/>
              <w:left w:val="nil"/>
              <w:bottom w:val="single" w:sz="8" w:space="0" w:color="auto"/>
              <w:right w:val="single" w:sz="8" w:space="0" w:color="auto"/>
            </w:tcBorders>
            <w:shd w:val="clear" w:color="000000" w:fill="1F4E79"/>
            <w:vAlign w:val="center"/>
            <w:hideMark/>
          </w:tcPr>
          <w:p w14:paraId="4613F58B"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rtl/>
                <w14:ligatures w14:val="none"/>
              </w:rPr>
              <w:t>القيمة</w:t>
            </w:r>
            <w:r w:rsidRPr="00BF6F2A">
              <w:rPr>
                <w:rFonts w:ascii="Arial" w:eastAsia="Times New Roman" w:hAnsi="Arial" w:cs="Arial"/>
                <w:b/>
                <w:bCs/>
                <w:color w:val="FFFFFF"/>
                <w:kern w:val="0"/>
                <w:sz w:val="21"/>
                <w:szCs w:val="21"/>
                <w14:ligatures w14:val="none"/>
              </w:rPr>
              <w:t xml:space="preserve"> (</w:t>
            </w:r>
            <w:r w:rsidRPr="00BF6F2A">
              <w:rPr>
                <w:rFonts w:ascii="Arial" w:eastAsia="Times New Roman" w:hAnsi="Arial" w:cs="Arial"/>
                <w:b/>
                <w:bCs/>
                <w:color w:val="FFFFFF"/>
                <w:kern w:val="0"/>
                <w:sz w:val="21"/>
                <w:szCs w:val="21"/>
                <w:rtl/>
                <w14:ligatures w14:val="none"/>
              </w:rPr>
              <w:t>ريال</w:t>
            </w:r>
            <w:r w:rsidRPr="00BF6F2A">
              <w:rPr>
                <w:rFonts w:ascii="Arial" w:eastAsia="Times New Roman" w:hAnsi="Arial" w:cs="Arial"/>
                <w:b/>
                <w:bCs/>
                <w:color w:val="FFFFFF"/>
                <w:kern w:val="0"/>
                <w:sz w:val="21"/>
                <w:szCs w:val="21"/>
                <w14:ligatures w14:val="none"/>
              </w:rPr>
              <w:t>)</w:t>
            </w:r>
          </w:p>
        </w:tc>
        <w:tc>
          <w:tcPr>
            <w:tcW w:w="3309" w:type="dxa"/>
            <w:tcBorders>
              <w:top w:val="single" w:sz="8" w:space="0" w:color="auto"/>
              <w:left w:val="nil"/>
              <w:bottom w:val="single" w:sz="8" w:space="0" w:color="auto"/>
              <w:right w:val="single" w:sz="8" w:space="0" w:color="auto"/>
            </w:tcBorders>
            <w:shd w:val="clear" w:color="000000" w:fill="1F4E79"/>
            <w:vAlign w:val="center"/>
            <w:hideMark/>
          </w:tcPr>
          <w:p w14:paraId="06BFBFE6"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rtl/>
                <w14:ligatures w14:val="none"/>
              </w:rPr>
              <w:t>الشرح</w:t>
            </w:r>
          </w:p>
        </w:tc>
      </w:tr>
      <w:tr w:rsidR="00BF6F2A" w:rsidRPr="00BF6F2A" w14:paraId="7398E9C7" w14:textId="77777777" w:rsidTr="00BF6F2A">
        <w:trPr>
          <w:trHeight w:val="315"/>
          <w:jc w:val="center"/>
        </w:trPr>
        <w:tc>
          <w:tcPr>
            <w:tcW w:w="2500" w:type="dxa"/>
            <w:tcBorders>
              <w:top w:val="nil"/>
              <w:left w:val="single" w:sz="8" w:space="0" w:color="auto"/>
              <w:bottom w:val="single" w:sz="8" w:space="0" w:color="auto"/>
              <w:right w:val="single" w:sz="8" w:space="0" w:color="auto"/>
            </w:tcBorders>
            <w:vAlign w:val="center"/>
            <w:hideMark/>
          </w:tcPr>
          <w:p w14:paraId="58BB1F3C"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السعر المعلن/النقدي</w:t>
            </w:r>
          </w:p>
        </w:tc>
        <w:tc>
          <w:tcPr>
            <w:tcW w:w="1793" w:type="dxa"/>
            <w:tcBorders>
              <w:top w:val="nil"/>
              <w:left w:val="nil"/>
              <w:bottom w:val="single" w:sz="8" w:space="0" w:color="auto"/>
              <w:right w:val="single" w:sz="8" w:space="0" w:color="auto"/>
            </w:tcBorders>
            <w:vAlign w:val="center"/>
            <w:hideMark/>
          </w:tcPr>
          <w:p w14:paraId="1DAA1518"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MSRP</w:t>
            </w:r>
          </w:p>
        </w:tc>
        <w:tc>
          <w:tcPr>
            <w:tcW w:w="1350" w:type="dxa"/>
            <w:tcBorders>
              <w:top w:val="nil"/>
              <w:left w:val="nil"/>
              <w:bottom w:val="single" w:sz="8" w:space="0" w:color="auto"/>
              <w:right w:val="single" w:sz="8" w:space="0" w:color="auto"/>
            </w:tcBorders>
            <w:vAlign w:val="center"/>
            <w:hideMark/>
          </w:tcPr>
          <w:p w14:paraId="20F7FA76"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351,095</w:t>
            </w:r>
          </w:p>
        </w:tc>
        <w:tc>
          <w:tcPr>
            <w:tcW w:w="3309" w:type="dxa"/>
            <w:tcBorders>
              <w:top w:val="nil"/>
              <w:left w:val="nil"/>
              <w:bottom w:val="single" w:sz="8" w:space="0" w:color="auto"/>
              <w:right w:val="single" w:sz="8" w:space="0" w:color="auto"/>
            </w:tcBorders>
            <w:vAlign w:val="center"/>
            <w:hideMark/>
          </w:tcPr>
          <w:p w14:paraId="645031F1"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rtl/>
                <w14:ligatures w14:val="none"/>
              </w:rPr>
              <w:t>سعر السيارة الأصلي كاش</w:t>
            </w:r>
          </w:p>
        </w:tc>
      </w:tr>
      <w:tr w:rsidR="00BF6F2A" w:rsidRPr="00BF6F2A" w14:paraId="149BF02D" w14:textId="77777777" w:rsidTr="00BF6F2A">
        <w:trPr>
          <w:trHeight w:val="315"/>
          <w:jc w:val="center"/>
        </w:trPr>
        <w:tc>
          <w:tcPr>
            <w:tcW w:w="2500" w:type="dxa"/>
            <w:tcBorders>
              <w:top w:val="nil"/>
              <w:left w:val="single" w:sz="8" w:space="0" w:color="auto"/>
              <w:bottom w:val="single" w:sz="8" w:space="0" w:color="auto"/>
              <w:right w:val="single" w:sz="8" w:space="0" w:color="auto"/>
            </w:tcBorders>
            <w:vAlign w:val="center"/>
            <w:hideMark/>
          </w:tcPr>
          <w:p w14:paraId="4C4D6177"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التكلفة الرأسمالية</w:t>
            </w:r>
          </w:p>
        </w:tc>
        <w:tc>
          <w:tcPr>
            <w:tcW w:w="1793" w:type="dxa"/>
            <w:tcBorders>
              <w:top w:val="nil"/>
              <w:left w:val="nil"/>
              <w:bottom w:val="single" w:sz="8" w:space="0" w:color="auto"/>
              <w:right w:val="single" w:sz="8" w:space="0" w:color="auto"/>
            </w:tcBorders>
            <w:vAlign w:val="center"/>
            <w:hideMark/>
          </w:tcPr>
          <w:p w14:paraId="4FA0FAE8"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Cap Cost</w:t>
            </w:r>
          </w:p>
        </w:tc>
        <w:tc>
          <w:tcPr>
            <w:tcW w:w="1350" w:type="dxa"/>
            <w:tcBorders>
              <w:top w:val="nil"/>
              <w:left w:val="nil"/>
              <w:bottom w:val="single" w:sz="8" w:space="0" w:color="auto"/>
              <w:right w:val="single" w:sz="8" w:space="0" w:color="auto"/>
            </w:tcBorders>
            <w:vAlign w:val="center"/>
            <w:hideMark/>
          </w:tcPr>
          <w:p w14:paraId="6DC6669A"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351,095</w:t>
            </w:r>
          </w:p>
        </w:tc>
        <w:tc>
          <w:tcPr>
            <w:tcW w:w="3309" w:type="dxa"/>
            <w:tcBorders>
              <w:top w:val="nil"/>
              <w:left w:val="nil"/>
              <w:bottom w:val="single" w:sz="8" w:space="0" w:color="auto"/>
              <w:right w:val="single" w:sz="8" w:space="0" w:color="auto"/>
            </w:tcBorders>
            <w:vAlign w:val="center"/>
            <w:hideMark/>
          </w:tcPr>
          <w:p w14:paraId="6F5B175B"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rtl/>
                <w14:ligatures w14:val="none"/>
              </w:rPr>
              <w:t>الأساس المالي للعقد</w:t>
            </w:r>
          </w:p>
        </w:tc>
      </w:tr>
      <w:tr w:rsidR="00BF6F2A" w:rsidRPr="00BF6F2A" w14:paraId="309141FE" w14:textId="77777777" w:rsidTr="00BF6F2A">
        <w:trPr>
          <w:trHeight w:val="555"/>
          <w:jc w:val="center"/>
        </w:trPr>
        <w:tc>
          <w:tcPr>
            <w:tcW w:w="2500" w:type="dxa"/>
            <w:tcBorders>
              <w:top w:val="nil"/>
              <w:left w:val="single" w:sz="8" w:space="0" w:color="auto"/>
              <w:bottom w:val="single" w:sz="8" w:space="0" w:color="auto"/>
              <w:right w:val="single" w:sz="8" w:space="0" w:color="auto"/>
            </w:tcBorders>
            <w:vAlign w:val="center"/>
            <w:hideMark/>
          </w:tcPr>
          <w:p w14:paraId="3D59BA66"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تخفيض رأس المال (الدفعة الأولى 10%)</w:t>
            </w:r>
          </w:p>
        </w:tc>
        <w:tc>
          <w:tcPr>
            <w:tcW w:w="1793" w:type="dxa"/>
            <w:tcBorders>
              <w:top w:val="nil"/>
              <w:left w:val="nil"/>
              <w:bottom w:val="single" w:sz="8" w:space="0" w:color="auto"/>
              <w:right w:val="single" w:sz="8" w:space="0" w:color="auto"/>
            </w:tcBorders>
            <w:vAlign w:val="center"/>
            <w:hideMark/>
          </w:tcPr>
          <w:p w14:paraId="3650C2E8"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Cap Reduction</w:t>
            </w:r>
          </w:p>
        </w:tc>
        <w:tc>
          <w:tcPr>
            <w:tcW w:w="1350" w:type="dxa"/>
            <w:tcBorders>
              <w:top w:val="nil"/>
              <w:left w:val="nil"/>
              <w:bottom w:val="single" w:sz="8" w:space="0" w:color="auto"/>
              <w:right w:val="single" w:sz="8" w:space="0" w:color="auto"/>
            </w:tcBorders>
            <w:vAlign w:val="center"/>
            <w:hideMark/>
          </w:tcPr>
          <w:p w14:paraId="53520EAE"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35,110</w:t>
            </w:r>
          </w:p>
        </w:tc>
        <w:tc>
          <w:tcPr>
            <w:tcW w:w="3309" w:type="dxa"/>
            <w:tcBorders>
              <w:top w:val="nil"/>
              <w:left w:val="nil"/>
              <w:bottom w:val="single" w:sz="8" w:space="0" w:color="auto"/>
              <w:right w:val="single" w:sz="8" w:space="0" w:color="auto"/>
            </w:tcBorders>
            <w:vAlign w:val="center"/>
            <w:hideMark/>
          </w:tcPr>
          <w:p w14:paraId="0E09FF3B"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 xml:space="preserve">10% </w:t>
            </w:r>
            <w:r w:rsidRPr="00BF6F2A">
              <w:rPr>
                <w:rFonts w:ascii="Arial" w:eastAsia="Times New Roman" w:hAnsi="Arial" w:cs="Arial"/>
                <w:color w:val="000000"/>
                <w:kern w:val="0"/>
                <w:sz w:val="21"/>
                <w:szCs w:val="21"/>
                <w:rtl/>
                <w14:ligatures w14:val="none"/>
              </w:rPr>
              <w:t>من</w:t>
            </w:r>
            <w:r w:rsidRPr="00BF6F2A">
              <w:rPr>
                <w:rFonts w:ascii="Arial" w:eastAsia="Times New Roman" w:hAnsi="Arial" w:cs="Arial"/>
                <w:color w:val="000000"/>
                <w:kern w:val="0"/>
                <w:sz w:val="21"/>
                <w:szCs w:val="21"/>
                <w14:ligatures w14:val="none"/>
              </w:rPr>
              <w:t xml:space="preserve"> Cap Cost</w:t>
            </w:r>
          </w:p>
        </w:tc>
      </w:tr>
      <w:tr w:rsidR="00BF6F2A" w:rsidRPr="00BF6F2A" w14:paraId="19E69CB7" w14:textId="77777777" w:rsidTr="00BF6F2A">
        <w:trPr>
          <w:trHeight w:val="555"/>
          <w:jc w:val="center"/>
        </w:trPr>
        <w:tc>
          <w:tcPr>
            <w:tcW w:w="2500" w:type="dxa"/>
            <w:tcBorders>
              <w:top w:val="nil"/>
              <w:left w:val="single" w:sz="8" w:space="0" w:color="auto"/>
              <w:bottom w:val="single" w:sz="8" w:space="0" w:color="auto"/>
              <w:right w:val="single" w:sz="8" w:space="0" w:color="auto"/>
            </w:tcBorders>
            <w:vAlign w:val="center"/>
            <w:hideMark/>
          </w:tcPr>
          <w:p w14:paraId="4F9D72A8"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القيمة السوقية العادلة بعد سنتين</w:t>
            </w:r>
          </w:p>
        </w:tc>
        <w:tc>
          <w:tcPr>
            <w:tcW w:w="1793" w:type="dxa"/>
            <w:tcBorders>
              <w:top w:val="nil"/>
              <w:left w:val="nil"/>
              <w:bottom w:val="single" w:sz="8" w:space="0" w:color="auto"/>
              <w:right w:val="single" w:sz="8" w:space="0" w:color="auto"/>
            </w:tcBorders>
            <w:vAlign w:val="center"/>
            <w:hideMark/>
          </w:tcPr>
          <w:p w14:paraId="66447883"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FMV</w:t>
            </w:r>
          </w:p>
        </w:tc>
        <w:tc>
          <w:tcPr>
            <w:tcW w:w="1350" w:type="dxa"/>
            <w:tcBorders>
              <w:top w:val="nil"/>
              <w:left w:val="nil"/>
              <w:bottom w:val="single" w:sz="8" w:space="0" w:color="auto"/>
              <w:right w:val="single" w:sz="8" w:space="0" w:color="auto"/>
            </w:tcBorders>
            <w:vAlign w:val="center"/>
            <w:hideMark/>
          </w:tcPr>
          <w:p w14:paraId="6BD01F7D"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253,666</w:t>
            </w:r>
          </w:p>
        </w:tc>
        <w:tc>
          <w:tcPr>
            <w:tcW w:w="3309" w:type="dxa"/>
            <w:tcBorders>
              <w:top w:val="nil"/>
              <w:left w:val="nil"/>
              <w:bottom w:val="single" w:sz="8" w:space="0" w:color="auto"/>
              <w:right w:val="single" w:sz="8" w:space="0" w:color="auto"/>
            </w:tcBorders>
            <w:vAlign w:val="center"/>
            <w:hideMark/>
          </w:tcPr>
          <w:p w14:paraId="2A54FFD0"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rtl/>
                <w14:ligatures w14:val="none"/>
              </w:rPr>
              <w:t>منحنى استهلاك 15%/سنة (بيانات فعلية)</w:t>
            </w:r>
          </w:p>
        </w:tc>
      </w:tr>
      <w:tr w:rsidR="00BF6F2A" w:rsidRPr="00BF6F2A" w14:paraId="3A42BAF5" w14:textId="77777777" w:rsidTr="00BF6F2A">
        <w:trPr>
          <w:trHeight w:val="315"/>
          <w:jc w:val="center"/>
        </w:trPr>
        <w:tc>
          <w:tcPr>
            <w:tcW w:w="2500" w:type="dxa"/>
            <w:tcBorders>
              <w:top w:val="nil"/>
              <w:left w:val="single" w:sz="8" w:space="0" w:color="auto"/>
              <w:bottom w:val="single" w:sz="8" w:space="0" w:color="auto"/>
              <w:right w:val="single" w:sz="8" w:space="0" w:color="auto"/>
            </w:tcBorders>
            <w:vAlign w:val="center"/>
            <w:hideMark/>
          </w:tcPr>
          <w:p w14:paraId="3F16DD44"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القيمة المتبقية المضمونة</w:t>
            </w:r>
          </w:p>
        </w:tc>
        <w:tc>
          <w:tcPr>
            <w:tcW w:w="1793" w:type="dxa"/>
            <w:tcBorders>
              <w:top w:val="nil"/>
              <w:left w:val="nil"/>
              <w:bottom w:val="single" w:sz="8" w:space="0" w:color="auto"/>
              <w:right w:val="single" w:sz="8" w:space="0" w:color="auto"/>
            </w:tcBorders>
            <w:vAlign w:val="center"/>
            <w:hideMark/>
          </w:tcPr>
          <w:p w14:paraId="6B3349CD"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RV / GFV</w:t>
            </w:r>
          </w:p>
        </w:tc>
        <w:tc>
          <w:tcPr>
            <w:tcW w:w="1350" w:type="dxa"/>
            <w:tcBorders>
              <w:top w:val="nil"/>
              <w:left w:val="nil"/>
              <w:bottom w:val="single" w:sz="8" w:space="0" w:color="auto"/>
              <w:right w:val="single" w:sz="8" w:space="0" w:color="auto"/>
            </w:tcBorders>
            <w:vAlign w:val="center"/>
            <w:hideMark/>
          </w:tcPr>
          <w:p w14:paraId="29A31DFB"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228,300</w:t>
            </w:r>
          </w:p>
        </w:tc>
        <w:tc>
          <w:tcPr>
            <w:tcW w:w="3309" w:type="dxa"/>
            <w:tcBorders>
              <w:top w:val="nil"/>
              <w:left w:val="nil"/>
              <w:bottom w:val="single" w:sz="8" w:space="0" w:color="auto"/>
              <w:right w:val="single" w:sz="8" w:space="0" w:color="auto"/>
            </w:tcBorders>
            <w:vAlign w:val="center"/>
            <w:hideMark/>
          </w:tcPr>
          <w:p w14:paraId="71C1FE39"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 xml:space="preserve">FMV </w:t>
            </w:r>
            <w:r w:rsidRPr="00BF6F2A">
              <w:rPr>
                <w:rFonts w:ascii="Arial" w:eastAsia="Times New Roman" w:hAnsi="Arial" w:cs="Arial"/>
                <w:color w:val="000000"/>
                <w:kern w:val="0"/>
                <w:sz w:val="21"/>
                <w:szCs w:val="21"/>
                <w:rtl/>
                <w14:ligatures w14:val="none"/>
              </w:rPr>
              <w:t>بعد هامش أمان 10</w:t>
            </w:r>
            <w:r w:rsidRPr="00BF6F2A">
              <w:rPr>
                <w:rFonts w:ascii="Arial" w:eastAsia="Times New Roman" w:hAnsi="Arial" w:cs="Arial"/>
                <w:color w:val="000000"/>
                <w:kern w:val="0"/>
                <w:sz w:val="21"/>
                <w:szCs w:val="21"/>
                <w14:ligatures w14:val="none"/>
              </w:rPr>
              <w:t>%</w:t>
            </w:r>
          </w:p>
        </w:tc>
      </w:tr>
      <w:tr w:rsidR="00BF6F2A" w:rsidRPr="00BF6F2A" w14:paraId="363793DD" w14:textId="77777777" w:rsidTr="00BF6F2A">
        <w:trPr>
          <w:trHeight w:val="555"/>
          <w:jc w:val="center"/>
        </w:trPr>
        <w:tc>
          <w:tcPr>
            <w:tcW w:w="2500" w:type="dxa"/>
            <w:tcBorders>
              <w:top w:val="nil"/>
              <w:left w:val="single" w:sz="8" w:space="0" w:color="auto"/>
              <w:bottom w:val="single" w:sz="8" w:space="0" w:color="auto"/>
              <w:right w:val="single" w:sz="8" w:space="0" w:color="auto"/>
            </w:tcBorders>
            <w:vAlign w:val="center"/>
            <w:hideMark/>
          </w:tcPr>
          <w:p w14:paraId="2D0B125C"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الإهلاك الممول</w:t>
            </w:r>
          </w:p>
        </w:tc>
        <w:tc>
          <w:tcPr>
            <w:tcW w:w="1793" w:type="dxa"/>
            <w:tcBorders>
              <w:top w:val="nil"/>
              <w:left w:val="nil"/>
              <w:bottom w:val="single" w:sz="8" w:space="0" w:color="auto"/>
              <w:right w:val="single" w:sz="8" w:space="0" w:color="auto"/>
            </w:tcBorders>
            <w:vAlign w:val="center"/>
            <w:hideMark/>
          </w:tcPr>
          <w:p w14:paraId="1CCC2698"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Depreciation</w:t>
            </w:r>
          </w:p>
        </w:tc>
        <w:tc>
          <w:tcPr>
            <w:tcW w:w="1350" w:type="dxa"/>
            <w:tcBorders>
              <w:top w:val="nil"/>
              <w:left w:val="nil"/>
              <w:bottom w:val="single" w:sz="8" w:space="0" w:color="auto"/>
              <w:right w:val="single" w:sz="8" w:space="0" w:color="auto"/>
            </w:tcBorders>
            <w:vAlign w:val="center"/>
            <w:hideMark/>
          </w:tcPr>
          <w:p w14:paraId="5EF16085"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87,686</w:t>
            </w:r>
          </w:p>
        </w:tc>
        <w:tc>
          <w:tcPr>
            <w:tcW w:w="3309" w:type="dxa"/>
            <w:tcBorders>
              <w:top w:val="nil"/>
              <w:left w:val="nil"/>
              <w:bottom w:val="single" w:sz="8" w:space="0" w:color="auto"/>
              <w:right w:val="single" w:sz="8" w:space="0" w:color="auto"/>
            </w:tcBorders>
            <w:vAlign w:val="center"/>
            <w:hideMark/>
          </w:tcPr>
          <w:p w14:paraId="6D10BD35"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Arial" w:hAnsi="Arial" w:cs="Arial"/>
                <w:color w:val="000000"/>
                <w:kern w:val="0"/>
                <w:sz w:val="21"/>
                <w:szCs w:val="21"/>
                <w14:ligatures w14:val="none"/>
              </w:rPr>
              <w:t>Cap Cost − Cap Reduction − RV</w:t>
            </w:r>
          </w:p>
        </w:tc>
      </w:tr>
      <w:tr w:rsidR="00BF6F2A" w:rsidRPr="00BF6F2A" w14:paraId="3843B6ED" w14:textId="77777777" w:rsidTr="00BF6F2A">
        <w:trPr>
          <w:trHeight w:val="315"/>
          <w:jc w:val="center"/>
        </w:trPr>
        <w:tc>
          <w:tcPr>
            <w:tcW w:w="2500" w:type="dxa"/>
            <w:tcBorders>
              <w:top w:val="nil"/>
              <w:left w:val="single" w:sz="8" w:space="0" w:color="auto"/>
              <w:bottom w:val="single" w:sz="8" w:space="0" w:color="auto"/>
              <w:right w:val="single" w:sz="8" w:space="0" w:color="auto"/>
            </w:tcBorders>
            <w:vAlign w:val="center"/>
            <w:hideMark/>
          </w:tcPr>
          <w:p w14:paraId="0D3057A3"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مدة التمويل</w:t>
            </w:r>
          </w:p>
        </w:tc>
        <w:tc>
          <w:tcPr>
            <w:tcW w:w="1793" w:type="dxa"/>
            <w:tcBorders>
              <w:top w:val="nil"/>
              <w:left w:val="nil"/>
              <w:bottom w:val="single" w:sz="8" w:space="0" w:color="auto"/>
              <w:right w:val="single" w:sz="8" w:space="0" w:color="auto"/>
            </w:tcBorders>
            <w:vAlign w:val="center"/>
            <w:hideMark/>
          </w:tcPr>
          <w:p w14:paraId="129EAD3C"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Term</w:t>
            </w:r>
          </w:p>
        </w:tc>
        <w:tc>
          <w:tcPr>
            <w:tcW w:w="1350" w:type="dxa"/>
            <w:tcBorders>
              <w:top w:val="nil"/>
              <w:left w:val="nil"/>
              <w:bottom w:val="single" w:sz="8" w:space="0" w:color="auto"/>
              <w:right w:val="single" w:sz="8" w:space="0" w:color="auto"/>
            </w:tcBorders>
            <w:vAlign w:val="center"/>
            <w:hideMark/>
          </w:tcPr>
          <w:p w14:paraId="6C687FEE"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 xml:space="preserve">30 </w:t>
            </w:r>
            <w:r w:rsidRPr="00BF6F2A">
              <w:rPr>
                <w:rFonts w:ascii="Arial" w:eastAsia="Times New Roman" w:hAnsi="Arial" w:cs="Arial"/>
                <w:color w:val="000000"/>
                <w:kern w:val="0"/>
                <w:sz w:val="21"/>
                <w:szCs w:val="21"/>
                <w:rtl/>
                <w14:ligatures w14:val="none"/>
              </w:rPr>
              <w:t>شهرًا</w:t>
            </w:r>
          </w:p>
        </w:tc>
        <w:tc>
          <w:tcPr>
            <w:tcW w:w="3309" w:type="dxa"/>
            <w:tcBorders>
              <w:top w:val="nil"/>
              <w:left w:val="nil"/>
              <w:bottom w:val="single" w:sz="8" w:space="0" w:color="auto"/>
              <w:right w:val="single" w:sz="8" w:space="0" w:color="auto"/>
            </w:tcBorders>
            <w:vAlign w:val="center"/>
            <w:hideMark/>
          </w:tcPr>
          <w:p w14:paraId="0000C2F4"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rtl/>
                <w14:ligatures w14:val="none"/>
              </w:rPr>
              <w:t>سنتان ونصف</w:t>
            </w:r>
          </w:p>
        </w:tc>
      </w:tr>
    </w:tbl>
    <w:p w14:paraId="798A39AF" w14:textId="7B0BF2C0" w:rsidR="004163C7" w:rsidRPr="00BF6F2A" w:rsidRDefault="00BF6F2A" w:rsidP="00D22171">
      <w:pPr>
        <w:rPr>
          <w:rFonts w:ascii="Sakkal Majalla" w:hAnsi="Sakkal Majalla" w:cs="Sakkal Majalla"/>
          <w:b/>
          <w:bCs/>
          <w:sz w:val="28"/>
          <w:szCs w:val="28"/>
          <w:rtl/>
        </w:rPr>
      </w:pPr>
      <w:r w:rsidRPr="00BF6F2A">
        <w:rPr>
          <w:rFonts w:ascii="Sakkal Majalla" w:hAnsi="Sakkal Majalla" w:cs="Sakkal Majalla"/>
          <w:b/>
          <w:bCs/>
          <w:sz w:val="28"/>
          <w:szCs w:val="28"/>
          <w:rtl/>
        </w:rPr>
        <w:t>جدول (2): نتائج القسط الشهري - مركبة تقليدية</w:t>
      </w:r>
    </w:p>
    <w:tbl>
      <w:tblPr>
        <w:bidiVisual/>
        <w:tblW w:w="6930" w:type="dxa"/>
        <w:jc w:val="center"/>
        <w:tblLook w:val="04A0" w:firstRow="1" w:lastRow="0" w:firstColumn="1" w:lastColumn="0" w:noHBand="0" w:noVBand="1"/>
      </w:tblPr>
      <w:tblGrid>
        <w:gridCol w:w="1622"/>
        <w:gridCol w:w="1980"/>
        <w:gridCol w:w="3328"/>
      </w:tblGrid>
      <w:tr w:rsidR="00BF6F2A" w:rsidRPr="00BF6F2A" w14:paraId="7728CFA0" w14:textId="77777777" w:rsidTr="00BF6F2A">
        <w:trPr>
          <w:trHeight w:val="484"/>
          <w:jc w:val="center"/>
        </w:trPr>
        <w:tc>
          <w:tcPr>
            <w:tcW w:w="1622"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4C5D3C33"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14:ligatures w14:val="none"/>
              </w:rPr>
            </w:pPr>
            <w:r w:rsidRPr="00BF6F2A">
              <w:rPr>
                <w:rFonts w:ascii="Arial" w:eastAsia="Times New Roman" w:hAnsi="Arial" w:cs="Arial"/>
                <w:b/>
                <w:bCs/>
                <w:color w:val="FFFFFF"/>
                <w:kern w:val="0"/>
                <w:sz w:val="21"/>
                <w:szCs w:val="21"/>
                <w:rtl/>
                <w14:ligatures w14:val="none"/>
              </w:rPr>
              <w:t>معدل الربح السنوي</w:t>
            </w:r>
          </w:p>
        </w:tc>
        <w:tc>
          <w:tcPr>
            <w:tcW w:w="1980" w:type="dxa"/>
            <w:tcBorders>
              <w:top w:val="single" w:sz="8" w:space="0" w:color="auto"/>
              <w:left w:val="nil"/>
              <w:bottom w:val="single" w:sz="8" w:space="0" w:color="auto"/>
              <w:right w:val="single" w:sz="8" w:space="0" w:color="auto"/>
            </w:tcBorders>
            <w:shd w:val="clear" w:color="000000" w:fill="1F4E79"/>
            <w:vAlign w:val="center"/>
            <w:hideMark/>
          </w:tcPr>
          <w:p w14:paraId="2FDB5FA6"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14:ligatures w14:val="none"/>
              </w:rPr>
              <w:t>Money Factor</w:t>
            </w:r>
          </w:p>
        </w:tc>
        <w:tc>
          <w:tcPr>
            <w:tcW w:w="3328" w:type="dxa"/>
            <w:tcBorders>
              <w:top w:val="single" w:sz="8" w:space="0" w:color="auto"/>
              <w:left w:val="nil"/>
              <w:bottom w:val="single" w:sz="8" w:space="0" w:color="auto"/>
              <w:right w:val="single" w:sz="8" w:space="0" w:color="auto"/>
            </w:tcBorders>
            <w:shd w:val="clear" w:color="000000" w:fill="1F4E79"/>
            <w:vAlign w:val="center"/>
            <w:hideMark/>
          </w:tcPr>
          <w:p w14:paraId="0DF12518"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rtl/>
                <w14:ligatures w14:val="none"/>
              </w:rPr>
              <w:t>القسط</w:t>
            </w:r>
            <w:r w:rsidRPr="00BF6F2A">
              <w:rPr>
                <w:rFonts w:ascii="Arial" w:eastAsia="Times New Roman" w:hAnsi="Arial" w:cs="Arial"/>
                <w:b/>
                <w:bCs/>
                <w:color w:val="FFFFFF"/>
                <w:kern w:val="0"/>
                <w:sz w:val="21"/>
                <w:szCs w:val="21"/>
                <w14:ligatures w14:val="none"/>
              </w:rPr>
              <w:t xml:space="preserve"> </w:t>
            </w:r>
            <w:r w:rsidRPr="00BF6F2A">
              <w:rPr>
                <w:rFonts w:ascii="Arial" w:eastAsia="Times New Roman" w:hAnsi="Arial" w:cs="Arial"/>
                <w:b/>
                <w:bCs/>
                <w:color w:val="FFFFFF"/>
                <w:kern w:val="0"/>
                <w:sz w:val="21"/>
                <w:szCs w:val="21"/>
                <w:rtl/>
                <w14:ligatures w14:val="none"/>
              </w:rPr>
              <w:t>الأساسي</w:t>
            </w:r>
            <w:r w:rsidRPr="00BF6F2A">
              <w:rPr>
                <w:rFonts w:ascii="Arial" w:eastAsia="Times New Roman" w:hAnsi="Arial" w:cs="Arial"/>
                <w:b/>
                <w:bCs/>
                <w:color w:val="FFFFFF"/>
                <w:kern w:val="0"/>
                <w:sz w:val="21"/>
                <w:szCs w:val="21"/>
                <w14:ligatures w14:val="none"/>
              </w:rPr>
              <w:t xml:space="preserve"> (Base Payment)</w:t>
            </w:r>
          </w:p>
        </w:tc>
      </w:tr>
      <w:tr w:rsidR="00BF6F2A" w:rsidRPr="00BF6F2A" w14:paraId="1A87B72A" w14:textId="77777777" w:rsidTr="00BF6F2A">
        <w:trPr>
          <w:trHeight w:val="315"/>
          <w:jc w:val="center"/>
        </w:trPr>
        <w:tc>
          <w:tcPr>
            <w:tcW w:w="1622" w:type="dxa"/>
            <w:tcBorders>
              <w:top w:val="nil"/>
              <w:left w:val="single" w:sz="8" w:space="0" w:color="auto"/>
              <w:bottom w:val="single" w:sz="8" w:space="0" w:color="auto"/>
              <w:right w:val="single" w:sz="8" w:space="0" w:color="auto"/>
            </w:tcBorders>
            <w:vAlign w:val="center"/>
            <w:hideMark/>
          </w:tcPr>
          <w:p w14:paraId="73B21905"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14:ligatures w14:val="none"/>
              </w:rPr>
              <w:t>4%</w:t>
            </w:r>
          </w:p>
        </w:tc>
        <w:tc>
          <w:tcPr>
            <w:tcW w:w="1980" w:type="dxa"/>
            <w:tcBorders>
              <w:top w:val="nil"/>
              <w:left w:val="nil"/>
              <w:bottom w:val="single" w:sz="8" w:space="0" w:color="auto"/>
              <w:right w:val="single" w:sz="8" w:space="0" w:color="auto"/>
            </w:tcBorders>
            <w:vAlign w:val="center"/>
            <w:hideMark/>
          </w:tcPr>
          <w:p w14:paraId="1276C43D"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0.00333</w:t>
            </w:r>
          </w:p>
        </w:tc>
        <w:tc>
          <w:tcPr>
            <w:tcW w:w="3328" w:type="dxa"/>
            <w:tcBorders>
              <w:top w:val="nil"/>
              <w:left w:val="nil"/>
              <w:bottom w:val="single" w:sz="8" w:space="0" w:color="auto"/>
              <w:right w:val="single" w:sz="8" w:space="0" w:color="auto"/>
            </w:tcBorders>
            <w:vAlign w:val="center"/>
            <w:hideMark/>
          </w:tcPr>
          <w:p w14:paraId="71530F88"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 xml:space="preserve">3,076 </w:t>
            </w:r>
            <w:r w:rsidRPr="00BF6F2A">
              <w:rPr>
                <w:rFonts w:ascii="Arial" w:eastAsia="Times New Roman" w:hAnsi="Arial" w:cs="Arial"/>
                <w:color w:val="000000"/>
                <w:kern w:val="0"/>
                <w:sz w:val="21"/>
                <w:szCs w:val="21"/>
                <w:rtl/>
                <w14:ligatures w14:val="none"/>
              </w:rPr>
              <w:t>ريال</w:t>
            </w:r>
          </w:p>
        </w:tc>
      </w:tr>
      <w:tr w:rsidR="00BF6F2A" w:rsidRPr="00BF6F2A" w14:paraId="4AF1A672" w14:textId="77777777" w:rsidTr="00BF6F2A">
        <w:trPr>
          <w:trHeight w:val="315"/>
          <w:jc w:val="center"/>
        </w:trPr>
        <w:tc>
          <w:tcPr>
            <w:tcW w:w="1622" w:type="dxa"/>
            <w:tcBorders>
              <w:top w:val="nil"/>
              <w:left w:val="single" w:sz="8" w:space="0" w:color="auto"/>
              <w:bottom w:val="single" w:sz="8" w:space="0" w:color="auto"/>
              <w:right w:val="single" w:sz="8" w:space="0" w:color="auto"/>
            </w:tcBorders>
            <w:vAlign w:val="center"/>
            <w:hideMark/>
          </w:tcPr>
          <w:p w14:paraId="638A8951"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14:ligatures w14:val="none"/>
              </w:rPr>
              <w:t>2%</w:t>
            </w:r>
          </w:p>
        </w:tc>
        <w:tc>
          <w:tcPr>
            <w:tcW w:w="1980" w:type="dxa"/>
            <w:tcBorders>
              <w:top w:val="nil"/>
              <w:left w:val="nil"/>
              <w:bottom w:val="single" w:sz="8" w:space="0" w:color="auto"/>
              <w:right w:val="single" w:sz="8" w:space="0" w:color="auto"/>
            </w:tcBorders>
            <w:vAlign w:val="center"/>
            <w:hideMark/>
          </w:tcPr>
          <w:p w14:paraId="54C2D811"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0.00167</w:t>
            </w:r>
          </w:p>
        </w:tc>
        <w:tc>
          <w:tcPr>
            <w:tcW w:w="3328" w:type="dxa"/>
            <w:tcBorders>
              <w:top w:val="nil"/>
              <w:left w:val="nil"/>
              <w:bottom w:val="single" w:sz="8" w:space="0" w:color="auto"/>
              <w:right w:val="single" w:sz="8" w:space="0" w:color="auto"/>
            </w:tcBorders>
            <w:vAlign w:val="center"/>
            <w:hideMark/>
          </w:tcPr>
          <w:p w14:paraId="51E7F6BE"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 xml:space="preserve">2,999 </w:t>
            </w:r>
            <w:r w:rsidRPr="00BF6F2A">
              <w:rPr>
                <w:rFonts w:ascii="Arial" w:eastAsia="Times New Roman" w:hAnsi="Arial" w:cs="Arial"/>
                <w:color w:val="000000"/>
                <w:kern w:val="0"/>
                <w:sz w:val="21"/>
                <w:szCs w:val="21"/>
                <w:rtl/>
                <w14:ligatures w14:val="none"/>
              </w:rPr>
              <w:t>ريال</w:t>
            </w:r>
          </w:p>
        </w:tc>
      </w:tr>
    </w:tbl>
    <w:p w14:paraId="72DE30B4" w14:textId="117A2964" w:rsidR="004163C7" w:rsidRDefault="00BF6F2A" w:rsidP="00D22171">
      <w:pPr>
        <w:rPr>
          <w:rFonts w:ascii="Sakkal Majalla" w:hAnsi="Sakkal Majalla" w:cs="Sakkal Majalla"/>
          <w:b/>
          <w:bCs/>
          <w:sz w:val="28"/>
          <w:szCs w:val="28"/>
        </w:rPr>
      </w:pPr>
      <w:r w:rsidRPr="00BF6F2A">
        <w:rPr>
          <w:rFonts w:ascii="Sakkal Majalla" w:hAnsi="Sakkal Majalla" w:cs="Sakkal Majalla"/>
          <w:b/>
          <w:bCs/>
          <w:sz w:val="28"/>
          <w:szCs w:val="28"/>
          <w:rtl/>
        </w:rPr>
        <w:lastRenderedPageBreak/>
        <w:t>جدول (3): المصطلحات العالمية المطبقة على النموذج (</w:t>
      </w:r>
      <w:r w:rsidRPr="00BF6F2A">
        <w:rPr>
          <w:rFonts w:ascii="Sakkal Majalla" w:hAnsi="Sakkal Majalla" w:cs="Sakkal Majalla"/>
          <w:b/>
          <w:bCs/>
          <w:sz w:val="28"/>
          <w:szCs w:val="28"/>
        </w:rPr>
        <w:t>Lucid Air</w:t>
      </w:r>
      <w:r w:rsidRPr="00BF6F2A">
        <w:rPr>
          <w:rFonts w:ascii="Sakkal Majalla" w:hAnsi="Sakkal Majalla" w:cs="Sakkal Majalla"/>
          <w:b/>
          <w:bCs/>
          <w:sz w:val="28"/>
          <w:szCs w:val="28"/>
          <w:rtl/>
        </w:rPr>
        <w:t xml:space="preserve"> الكهربائية)</w:t>
      </w:r>
    </w:p>
    <w:tbl>
      <w:tblPr>
        <w:bidiVisual/>
        <w:tblW w:w="8269" w:type="dxa"/>
        <w:tblLook w:val="04A0" w:firstRow="1" w:lastRow="0" w:firstColumn="1" w:lastColumn="0" w:noHBand="0" w:noVBand="1"/>
      </w:tblPr>
      <w:tblGrid>
        <w:gridCol w:w="3527"/>
        <w:gridCol w:w="1491"/>
        <w:gridCol w:w="994"/>
        <w:gridCol w:w="2257"/>
      </w:tblGrid>
      <w:tr w:rsidR="003504BF" w:rsidRPr="003504BF" w14:paraId="7E7ECEAD" w14:textId="77777777" w:rsidTr="003504BF">
        <w:trPr>
          <w:trHeight w:val="346"/>
        </w:trPr>
        <w:tc>
          <w:tcPr>
            <w:tcW w:w="3527"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63CFD802"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14:ligatures w14:val="none"/>
              </w:rPr>
            </w:pPr>
            <w:r w:rsidRPr="003504BF">
              <w:rPr>
                <w:rFonts w:ascii="Arial" w:eastAsia="Times New Roman" w:hAnsi="Arial" w:cs="Arial"/>
                <w:b/>
                <w:bCs/>
                <w:color w:val="FFFFFF"/>
                <w:kern w:val="0"/>
                <w:sz w:val="21"/>
                <w:szCs w:val="21"/>
                <w:rtl/>
                <w14:ligatures w14:val="none"/>
              </w:rPr>
              <w:t>المصطلح</w:t>
            </w:r>
          </w:p>
        </w:tc>
        <w:tc>
          <w:tcPr>
            <w:tcW w:w="1491" w:type="dxa"/>
            <w:tcBorders>
              <w:top w:val="single" w:sz="8" w:space="0" w:color="auto"/>
              <w:left w:val="single" w:sz="8" w:space="0" w:color="auto"/>
              <w:bottom w:val="single" w:sz="8" w:space="0" w:color="auto"/>
              <w:right w:val="nil"/>
            </w:tcBorders>
            <w:shd w:val="clear" w:color="000000" w:fill="1F4E79"/>
            <w:vAlign w:val="center"/>
            <w:hideMark/>
          </w:tcPr>
          <w:p w14:paraId="379EA54F"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rtl/>
                <w14:ligatures w14:val="none"/>
              </w:rPr>
            </w:pPr>
            <w:r w:rsidRPr="003504BF">
              <w:rPr>
                <w:rFonts w:ascii="Arial" w:eastAsia="Times New Roman" w:hAnsi="Arial" w:cs="Arial"/>
                <w:b/>
                <w:bCs/>
                <w:color w:val="FFFFFF"/>
                <w:kern w:val="0"/>
                <w:sz w:val="21"/>
                <w:szCs w:val="21"/>
                <w:rtl/>
                <w14:ligatures w14:val="none"/>
              </w:rPr>
              <w:t>الرمز</w:t>
            </w:r>
          </w:p>
        </w:tc>
        <w:tc>
          <w:tcPr>
            <w:tcW w:w="994" w:type="dxa"/>
            <w:tcBorders>
              <w:top w:val="single" w:sz="8" w:space="0" w:color="auto"/>
              <w:left w:val="single" w:sz="8" w:space="0" w:color="auto"/>
              <w:bottom w:val="single" w:sz="8" w:space="0" w:color="auto"/>
              <w:right w:val="nil"/>
            </w:tcBorders>
            <w:shd w:val="clear" w:color="000000" w:fill="1F4E79"/>
            <w:vAlign w:val="center"/>
            <w:hideMark/>
          </w:tcPr>
          <w:p w14:paraId="5C38A6B5"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rtl/>
                <w14:ligatures w14:val="none"/>
              </w:rPr>
            </w:pPr>
            <w:r w:rsidRPr="003504BF">
              <w:rPr>
                <w:rFonts w:ascii="Arial" w:eastAsia="Times New Roman" w:hAnsi="Arial" w:cs="Arial"/>
                <w:b/>
                <w:bCs/>
                <w:color w:val="FFFFFF"/>
                <w:kern w:val="0"/>
                <w:sz w:val="21"/>
                <w:szCs w:val="21"/>
                <w:rtl/>
                <w14:ligatures w14:val="none"/>
              </w:rPr>
              <w:t>القيمة (ريال)</w:t>
            </w:r>
          </w:p>
        </w:tc>
        <w:tc>
          <w:tcPr>
            <w:tcW w:w="2257"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046053E3"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rtl/>
                <w14:ligatures w14:val="none"/>
              </w:rPr>
            </w:pPr>
            <w:r w:rsidRPr="003504BF">
              <w:rPr>
                <w:rFonts w:ascii="Arial" w:eastAsia="Times New Roman" w:hAnsi="Arial" w:cs="Arial"/>
                <w:b/>
                <w:bCs/>
                <w:color w:val="FFFFFF"/>
                <w:kern w:val="0"/>
                <w:sz w:val="21"/>
                <w:szCs w:val="21"/>
                <w:rtl/>
                <w14:ligatures w14:val="none"/>
              </w:rPr>
              <w:t>الشرح</w:t>
            </w:r>
          </w:p>
        </w:tc>
      </w:tr>
      <w:tr w:rsidR="003504BF" w:rsidRPr="003504BF" w14:paraId="01F4EFA1" w14:textId="77777777" w:rsidTr="003504BF">
        <w:trPr>
          <w:trHeight w:val="346"/>
        </w:trPr>
        <w:tc>
          <w:tcPr>
            <w:tcW w:w="3527" w:type="dxa"/>
            <w:tcBorders>
              <w:top w:val="nil"/>
              <w:left w:val="single" w:sz="8" w:space="0" w:color="auto"/>
              <w:bottom w:val="single" w:sz="8" w:space="0" w:color="auto"/>
              <w:right w:val="single" w:sz="8" w:space="0" w:color="auto"/>
            </w:tcBorders>
            <w:vAlign w:val="center"/>
            <w:hideMark/>
          </w:tcPr>
          <w:p w14:paraId="61CBD149"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السعر المعلن/النقدي</w:t>
            </w:r>
          </w:p>
        </w:tc>
        <w:tc>
          <w:tcPr>
            <w:tcW w:w="1491" w:type="dxa"/>
            <w:tcBorders>
              <w:top w:val="nil"/>
              <w:left w:val="single" w:sz="8" w:space="0" w:color="auto"/>
              <w:bottom w:val="single" w:sz="8" w:space="0" w:color="auto"/>
              <w:right w:val="nil"/>
            </w:tcBorders>
            <w:vAlign w:val="center"/>
            <w:hideMark/>
          </w:tcPr>
          <w:p w14:paraId="6328C2E5"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MSRP</w:t>
            </w:r>
          </w:p>
        </w:tc>
        <w:tc>
          <w:tcPr>
            <w:tcW w:w="994" w:type="dxa"/>
            <w:tcBorders>
              <w:top w:val="nil"/>
              <w:left w:val="single" w:sz="8" w:space="0" w:color="auto"/>
              <w:bottom w:val="single" w:sz="8" w:space="0" w:color="auto"/>
              <w:right w:val="nil"/>
            </w:tcBorders>
            <w:vAlign w:val="center"/>
            <w:hideMark/>
          </w:tcPr>
          <w:p w14:paraId="2DC9C22E"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351,095</w:t>
            </w:r>
          </w:p>
        </w:tc>
        <w:tc>
          <w:tcPr>
            <w:tcW w:w="2257" w:type="dxa"/>
            <w:tcBorders>
              <w:top w:val="nil"/>
              <w:left w:val="single" w:sz="8" w:space="0" w:color="auto"/>
              <w:bottom w:val="single" w:sz="8" w:space="0" w:color="auto"/>
              <w:right w:val="single" w:sz="8" w:space="0" w:color="auto"/>
            </w:tcBorders>
            <w:vAlign w:val="center"/>
            <w:hideMark/>
          </w:tcPr>
          <w:p w14:paraId="302B2346"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rtl/>
                <w14:ligatures w14:val="none"/>
              </w:rPr>
              <w:t>نفس سعر المركبة التقليدية للمقارنة</w:t>
            </w:r>
          </w:p>
        </w:tc>
      </w:tr>
      <w:tr w:rsidR="003504BF" w:rsidRPr="003504BF" w14:paraId="6EAAEE95" w14:textId="77777777" w:rsidTr="003504BF">
        <w:trPr>
          <w:trHeight w:val="609"/>
        </w:trPr>
        <w:tc>
          <w:tcPr>
            <w:tcW w:w="3527" w:type="dxa"/>
            <w:tcBorders>
              <w:top w:val="nil"/>
              <w:left w:val="single" w:sz="8" w:space="0" w:color="auto"/>
              <w:bottom w:val="single" w:sz="8" w:space="0" w:color="auto"/>
              <w:right w:val="single" w:sz="8" w:space="0" w:color="auto"/>
            </w:tcBorders>
            <w:vAlign w:val="center"/>
            <w:hideMark/>
          </w:tcPr>
          <w:p w14:paraId="2C9993A2"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تخفيض رأس المال (الدفعة الأولى 10%)</w:t>
            </w:r>
          </w:p>
        </w:tc>
        <w:tc>
          <w:tcPr>
            <w:tcW w:w="1491" w:type="dxa"/>
            <w:tcBorders>
              <w:top w:val="nil"/>
              <w:left w:val="single" w:sz="8" w:space="0" w:color="auto"/>
              <w:bottom w:val="single" w:sz="8" w:space="0" w:color="auto"/>
              <w:right w:val="nil"/>
            </w:tcBorders>
            <w:vAlign w:val="center"/>
            <w:hideMark/>
          </w:tcPr>
          <w:p w14:paraId="1AC184C6"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Cap Reduction</w:t>
            </w:r>
          </w:p>
        </w:tc>
        <w:tc>
          <w:tcPr>
            <w:tcW w:w="994" w:type="dxa"/>
            <w:tcBorders>
              <w:top w:val="nil"/>
              <w:left w:val="single" w:sz="8" w:space="0" w:color="auto"/>
              <w:bottom w:val="single" w:sz="8" w:space="0" w:color="auto"/>
              <w:right w:val="nil"/>
            </w:tcBorders>
            <w:vAlign w:val="center"/>
            <w:hideMark/>
          </w:tcPr>
          <w:p w14:paraId="0D0F5F06"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35,110</w:t>
            </w:r>
          </w:p>
        </w:tc>
        <w:tc>
          <w:tcPr>
            <w:tcW w:w="2257" w:type="dxa"/>
            <w:tcBorders>
              <w:top w:val="nil"/>
              <w:left w:val="single" w:sz="8" w:space="0" w:color="auto"/>
              <w:bottom w:val="single" w:sz="8" w:space="0" w:color="auto"/>
              <w:right w:val="single" w:sz="8" w:space="0" w:color="auto"/>
            </w:tcBorders>
            <w:vAlign w:val="center"/>
            <w:hideMark/>
          </w:tcPr>
          <w:p w14:paraId="21BD1A69"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10% </w:t>
            </w:r>
            <w:r w:rsidRPr="003504BF">
              <w:rPr>
                <w:rFonts w:ascii="Arial" w:eastAsia="Times New Roman" w:hAnsi="Arial" w:cs="Arial"/>
                <w:color w:val="000000"/>
                <w:kern w:val="0"/>
                <w:sz w:val="21"/>
                <w:szCs w:val="21"/>
                <w:rtl/>
                <w14:ligatures w14:val="none"/>
              </w:rPr>
              <w:t>من</w:t>
            </w:r>
            <w:r w:rsidRPr="003504BF">
              <w:rPr>
                <w:rFonts w:ascii="Arial" w:eastAsia="Times New Roman" w:hAnsi="Arial" w:cs="Arial"/>
                <w:color w:val="000000"/>
                <w:kern w:val="0"/>
                <w:sz w:val="21"/>
                <w:szCs w:val="21"/>
                <w14:ligatures w14:val="none"/>
              </w:rPr>
              <w:t xml:space="preserve"> MSRP</w:t>
            </w:r>
          </w:p>
        </w:tc>
      </w:tr>
      <w:tr w:rsidR="003504BF" w:rsidRPr="003504BF" w14:paraId="78B92038" w14:textId="77777777" w:rsidTr="003504BF">
        <w:trPr>
          <w:trHeight w:val="609"/>
        </w:trPr>
        <w:tc>
          <w:tcPr>
            <w:tcW w:w="3527" w:type="dxa"/>
            <w:tcBorders>
              <w:top w:val="nil"/>
              <w:left w:val="single" w:sz="8" w:space="0" w:color="auto"/>
              <w:bottom w:val="single" w:sz="8" w:space="0" w:color="auto"/>
              <w:right w:val="single" w:sz="8" w:space="0" w:color="auto"/>
            </w:tcBorders>
            <w:vAlign w:val="center"/>
            <w:hideMark/>
          </w:tcPr>
          <w:p w14:paraId="2E8FAC10"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القيمة السوقية العادلة بعد سنتين</w:t>
            </w:r>
          </w:p>
        </w:tc>
        <w:tc>
          <w:tcPr>
            <w:tcW w:w="1491" w:type="dxa"/>
            <w:tcBorders>
              <w:top w:val="nil"/>
              <w:left w:val="single" w:sz="8" w:space="0" w:color="auto"/>
              <w:bottom w:val="single" w:sz="8" w:space="0" w:color="auto"/>
              <w:right w:val="nil"/>
            </w:tcBorders>
            <w:vAlign w:val="center"/>
            <w:hideMark/>
          </w:tcPr>
          <w:p w14:paraId="58C8A4DF"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FMV</w:t>
            </w:r>
          </w:p>
        </w:tc>
        <w:tc>
          <w:tcPr>
            <w:tcW w:w="994" w:type="dxa"/>
            <w:tcBorders>
              <w:top w:val="nil"/>
              <w:left w:val="single" w:sz="8" w:space="0" w:color="auto"/>
              <w:bottom w:val="single" w:sz="8" w:space="0" w:color="auto"/>
              <w:right w:val="nil"/>
            </w:tcBorders>
            <w:vAlign w:val="center"/>
            <w:hideMark/>
          </w:tcPr>
          <w:p w14:paraId="2469EEA8"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175,548</w:t>
            </w:r>
          </w:p>
        </w:tc>
        <w:tc>
          <w:tcPr>
            <w:tcW w:w="2257" w:type="dxa"/>
            <w:tcBorders>
              <w:top w:val="nil"/>
              <w:left w:val="single" w:sz="8" w:space="0" w:color="auto"/>
              <w:bottom w:val="single" w:sz="8" w:space="0" w:color="auto"/>
              <w:right w:val="single" w:sz="8" w:space="0" w:color="auto"/>
            </w:tcBorders>
            <w:vAlign w:val="center"/>
            <w:hideMark/>
          </w:tcPr>
          <w:p w14:paraId="0EF56F3D"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−50% (</w:t>
            </w:r>
            <w:r w:rsidRPr="003504BF">
              <w:rPr>
                <w:rFonts w:ascii="Arial" w:eastAsia="Times New Roman" w:hAnsi="Arial" w:cs="Arial"/>
                <w:color w:val="000000"/>
                <w:kern w:val="0"/>
                <w:sz w:val="21"/>
                <w:szCs w:val="21"/>
                <w:rtl/>
                <w14:ligatures w14:val="none"/>
              </w:rPr>
              <w:t>بيانات فعلية موثقة لسوق لوسيد</w:t>
            </w:r>
            <w:r w:rsidRPr="003504BF">
              <w:rPr>
                <w:rFonts w:ascii="Arial" w:eastAsia="Times New Roman" w:hAnsi="Arial" w:cs="Arial"/>
                <w:color w:val="000000"/>
                <w:kern w:val="0"/>
                <w:sz w:val="21"/>
                <w:szCs w:val="21"/>
                <w14:ligatures w14:val="none"/>
              </w:rPr>
              <w:t>)</w:t>
            </w:r>
          </w:p>
        </w:tc>
      </w:tr>
      <w:tr w:rsidR="003504BF" w:rsidRPr="003504BF" w14:paraId="1BF167E1" w14:textId="77777777" w:rsidTr="003504BF">
        <w:trPr>
          <w:trHeight w:val="906"/>
        </w:trPr>
        <w:tc>
          <w:tcPr>
            <w:tcW w:w="3527" w:type="dxa"/>
            <w:tcBorders>
              <w:top w:val="nil"/>
              <w:left w:val="single" w:sz="8" w:space="0" w:color="auto"/>
              <w:bottom w:val="single" w:sz="8" w:space="0" w:color="auto"/>
              <w:right w:val="single" w:sz="8" w:space="0" w:color="auto"/>
            </w:tcBorders>
            <w:vAlign w:val="center"/>
            <w:hideMark/>
          </w:tcPr>
          <w:p w14:paraId="7115F2DC"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هامش المخاطرة المطبَّق</w:t>
            </w:r>
          </w:p>
        </w:tc>
        <w:tc>
          <w:tcPr>
            <w:tcW w:w="1491" w:type="dxa"/>
            <w:tcBorders>
              <w:top w:val="nil"/>
              <w:left w:val="single" w:sz="8" w:space="0" w:color="auto"/>
              <w:bottom w:val="single" w:sz="8" w:space="0" w:color="auto"/>
              <w:right w:val="nil"/>
            </w:tcBorders>
            <w:vAlign w:val="center"/>
            <w:hideMark/>
          </w:tcPr>
          <w:p w14:paraId="7212DF20"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Haircut</w:t>
            </w:r>
          </w:p>
        </w:tc>
        <w:tc>
          <w:tcPr>
            <w:tcW w:w="994" w:type="dxa"/>
            <w:tcBorders>
              <w:top w:val="nil"/>
              <w:left w:val="single" w:sz="8" w:space="0" w:color="auto"/>
              <w:bottom w:val="single" w:sz="8" w:space="0" w:color="auto"/>
              <w:right w:val="nil"/>
            </w:tcBorders>
            <w:vAlign w:val="center"/>
            <w:hideMark/>
          </w:tcPr>
          <w:p w14:paraId="5906BC8B"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30%</w:t>
            </w:r>
          </w:p>
        </w:tc>
        <w:tc>
          <w:tcPr>
            <w:tcW w:w="2257" w:type="dxa"/>
            <w:tcBorders>
              <w:top w:val="nil"/>
              <w:left w:val="single" w:sz="8" w:space="0" w:color="auto"/>
              <w:bottom w:val="single" w:sz="8" w:space="0" w:color="auto"/>
              <w:right w:val="single" w:sz="8" w:space="0" w:color="auto"/>
            </w:tcBorders>
            <w:vAlign w:val="center"/>
            <w:hideMark/>
          </w:tcPr>
          <w:p w14:paraId="727C0C51"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15% </w:t>
            </w:r>
            <w:r w:rsidRPr="003504BF">
              <w:rPr>
                <w:rFonts w:ascii="Arial" w:eastAsia="Times New Roman" w:hAnsi="Arial" w:cs="Arial"/>
                <w:color w:val="000000"/>
                <w:kern w:val="0"/>
                <w:sz w:val="21"/>
                <w:szCs w:val="21"/>
                <w:rtl/>
                <w14:ligatures w14:val="none"/>
              </w:rPr>
              <w:t>أساسي</w:t>
            </w:r>
            <w:r w:rsidRPr="003504BF">
              <w:rPr>
                <w:rFonts w:ascii="Arial" w:eastAsia="Times New Roman" w:hAnsi="Arial" w:cs="Arial"/>
                <w:color w:val="000000"/>
                <w:kern w:val="0"/>
                <w:sz w:val="21"/>
                <w:szCs w:val="21"/>
                <w14:ligatures w14:val="none"/>
              </w:rPr>
              <w:t xml:space="preserve"> </w:t>
            </w:r>
            <w:r w:rsidRPr="003504BF">
              <w:rPr>
                <w:rFonts w:ascii="Arial" w:eastAsia="Times New Roman" w:hAnsi="Arial" w:cs="Arial"/>
                <w:color w:val="000000"/>
                <w:kern w:val="0"/>
                <w:sz w:val="21"/>
                <w:szCs w:val="21"/>
                <w:rtl/>
                <w14:ligatures w14:val="none"/>
              </w:rPr>
              <w:t>للكهربائية + 15% لفجوة 1.5 سنة إضافية حتى الاستحقاق</w:t>
            </w:r>
          </w:p>
        </w:tc>
      </w:tr>
      <w:tr w:rsidR="003504BF" w:rsidRPr="003504BF" w14:paraId="1CB82E74" w14:textId="77777777" w:rsidTr="003504BF">
        <w:trPr>
          <w:trHeight w:val="346"/>
        </w:trPr>
        <w:tc>
          <w:tcPr>
            <w:tcW w:w="3527" w:type="dxa"/>
            <w:tcBorders>
              <w:top w:val="nil"/>
              <w:left w:val="single" w:sz="8" w:space="0" w:color="auto"/>
              <w:bottom w:val="single" w:sz="8" w:space="0" w:color="auto"/>
              <w:right w:val="single" w:sz="8" w:space="0" w:color="auto"/>
            </w:tcBorders>
            <w:vAlign w:val="center"/>
            <w:hideMark/>
          </w:tcPr>
          <w:p w14:paraId="172ADE4F"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القيمة المتبقية المضمونة</w:t>
            </w:r>
          </w:p>
        </w:tc>
        <w:tc>
          <w:tcPr>
            <w:tcW w:w="1491" w:type="dxa"/>
            <w:tcBorders>
              <w:top w:val="nil"/>
              <w:left w:val="single" w:sz="8" w:space="0" w:color="auto"/>
              <w:bottom w:val="single" w:sz="8" w:space="0" w:color="auto"/>
              <w:right w:val="nil"/>
            </w:tcBorders>
            <w:vAlign w:val="center"/>
            <w:hideMark/>
          </w:tcPr>
          <w:p w14:paraId="629F3FAF"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RV / GFV</w:t>
            </w:r>
          </w:p>
        </w:tc>
        <w:tc>
          <w:tcPr>
            <w:tcW w:w="994" w:type="dxa"/>
            <w:tcBorders>
              <w:top w:val="nil"/>
              <w:left w:val="single" w:sz="8" w:space="0" w:color="auto"/>
              <w:bottom w:val="single" w:sz="8" w:space="0" w:color="auto"/>
              <w:right w:val="nil"/>
            </w:tcBorders>
            <w:vAlign w:val="center"/>
            <w:hideMark/>
          </w:tcPr>
          <w:p w14:paraId="125B0541"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122,883</w:t>
            </w:r>
          </w:p>
        </w:tc>
        <w:tc>
          <w:tcPr>
            <w:tcW w:w="2257" w:type="dxa"/>
            <w:tcBorders>
              <w:top w:val="nil"/>
              <w:left w:val="single" w:sz="8" w:space="0" w:color="auto"/>
              <w:bottom w:val="single" w:sz="8" w:space="0" w:color="auto"/>
              <w:right w:val="single" w:sz="8" w:space="0" w:color="auto"/>
            </w:tcBorders>
            <w:vAlign w:val="center"/>
            <w:hideMark/>
          </w:tcPr>
          <w:p w14:paraId="48E53893"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FMV </w:t>
            </w:r>
            <w:r w:rsidRPr="003504BF">
              <w:rPr>
                <w:rFonts w:ascii="Arial" w:eastAsia="Times New Roman" w:hAnsi="Arial" w:cs="Arial"/>
                <w:color w:val="000000"/>
                <w:kern w:val="0"/>
                <w:sz w:val="21"/>
                <w:szCs w:val="21"/>
                <w:rtl/>
                <w14:ligatures w14:val="none"/>
              </w:rPr>
              <w:t>بعد</w:t>
            </w:r>
            <w:r w:rsidRPr="003504BF">
              <w:rPr>
                <w:rFonts w:ascii="Arial" w:eastAsia="Times New Roman" w:hAnsi="Arial" w:cs="Arial"/>
                <w:color w:val="000000"/>
                <w:kern w:val="0"/>
                <w:sz w:val="21"/>
                <w:szCs w:val="21"/>
                <w14:ligatures w14:val="none"/>
              </w:rPr>
              <w:t xml:space="preserve"> </w:t>
            </w:r>
            <w:r w:rsidRPr="003504BF">
              <w:rPr>
                <w:rFonts w:ascii="Arial" w:eastAsia="Times New Roman" w:hAnsi="Arial" w:cs="Arial"/>
                <w:color w:val="000000"/>
                <w:kern w:val="0"/>
                <w:sz w:val="21"/>
                <w:szCs w:val="21"/>
                <w:rtl/>
                <w14:ligatures w14:val="none"/>
              </w:rPr>
              <w:t>هامش المخاطرة</w:t>
            </w:r>
          </w:p>
        </w:tc>
      </w:tr>
      <w:tr w:rsidR="003504BF" w:rsidRPr="003504BF" w14:paraId="2A90D8E1" w14:textId="77777777" w:rsidTr="003504BF">
        <w:trPr>
          <w:trHeight w:val="609"/>
        </w:trPr>
        <w:tc>
          <w:tcPr>
            <w:tcW w:w="3527" w:type="dxa"/>
            <w:tcBorders>
              <w:top w:val="nil"/>
              <w:left w:val="single" w:sz="8" w:space="0" w:color="auto"/>
              <w:bottom w:val="single" w:sz="8" w:space="0" w:color="auto"/>
              <w:right w:val="single" w:sz="8" w:space="0" w:color="auto"/>
            </w:tcBorders>
            <w:vAlign w:val="center"/>
            <w:hideMark/>
          </w:tcPr>
          <w:p w14:paraId="60DAE3D1"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الإهلاك الممول</w:t>
            </w:r>
          </w:p>
        </w:tc>
        <w:tc>
          <w:tcPr>
            <w:tcW w:w="1491" w:type="dxa"/>
            <w:tcBorders>
              <w:top w:val="nil"/>
              <w:left w:val="single" w:sz="8" w:space="0" w:color="auto"/>
              <w:bottom w:val="single" w:sz="8" w:space="0" w:color="auto"/>
              <w:right w:val="nil"/>
            </w:tcBorders>
            <w:vAlign w:val="center"/>
            <w:hideMark/>
          </w:tcPr>
          <w:p w14:paraId="4862B44C"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Depreciation</w:t>
            </w:r>
          </w:p>
        </w:tc>
        <w:tc>
          <w:tcPr>
            <w:tcW w:w="994" w:type="dxa"/>
            <w:tcBorders>
              <w:top w:val="nil"/>
              <w:left w:val="single" w:sz="8" w:space="0" w:color="auto"/>
              <w:bottom w:val="single" w:sz="8" w:space="0" w:color="auto"/>
              <w:right w:val="nil"/>
            </w:tcBorders>
            <w:vAlign w:val="center"/>
            <w:hideMark/>
          </w:tcPr>
          <w:p w14:paraId="0DABAC9E"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193,102</w:t>
            </w:r>
          </w:p>
        </w:tc>
        <w:tc>
          <w:tcPr>
            <w:tcW w:w="2257" w:type="dxa"/>
            <w:tcBorders>
              <w:top w:val="nil"/>
              <w:left w:val="single" w:sz="8" w:space="0" w:color="auto"/>
              <w:bottom w:val="single" w:sz="8" w:space="0" w:color="auto"/>
              <w:right w:val="single" w:sz="8" w:space="0" w:color="auto"/>
            </w:tcBorders>
            <w:vAlign w:val="center"/>
            <w:hideMark/>
          </w:tcPr>
          <w:p w14:paraId="0E09D72F"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MSRP − Cap Reduction − RV</w:t>
            </w:r>
          </w:p>
        </w:tc>
      </w:tr>
      <w:tr w:rsidR="003504BF" w:rsidRPr="003504BF" w14:paraId="44768E62" w14:textId="77777777" w:rsidTr="003504BF">
        <w:trPr>
          <w:trHeight w:val="346"/>
        </w:trPr>
        <w:tc>
          <w:tcPr>
            <w:tcW w:w="3527" w:type="dxa"/>
            <w:tcBorders>
              <w:top w:val="nil"/>
              <w:left w:val="single" w:sz="8" w:space="0" w:color="auto"/>
              <w:bottom w:val="single" w:sz="8" w:space="0" w:color="auto"/>
              <w:right w:val="single" w:sz="8" w:space="0" w:color="auto"/>
            </w:tcBorders>
            <w:vAlign w:val="center"/>
            <w:hideMark/>
          </w:tcPr>
          <w:p w14:paraId="11DCE910"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rtl/>
                <w14:ligatures w14:val="none"/>
              </w:rPr>
              <w:t>مدة التمويل</w:t>
            </w:r>
          </w:p>
        </w:tc>
        <w:tc>
          <w:tcPr>
            <w:tcW w:w="1491" w:type="dxa"/>
            <w:tcBorders>
              <w:top w:val="nil"/>
              <w:left w:val="single" w:sz="8" w:space="0" w:color="auto"/>
              <w:bottom w:val="single" w:sz="8" w:space="0" w:color="auto"/>
              <w:right w:val="nil"/>
            </w:tcBorders>
            <w:vAlign w:val="center"/>
            <w:hideMark/>
          </w:tcPr>
          <w:p w14:paraId="62E5BC90"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Term</w:t>
            </w:r>
          </w:p>
        </w:tc>
        <w:tc>
          <w:tcPr>
            <w:tcW w:w="994" w:type="dxa"/>
            <w:tcBorders>
              <w:top w:val="nil"/>
              <w:left w:val="single" w:sz="8" w:space="0" w:color="auto"/>
              <w:bottom w:val="single" w:sz="8" w:space="0" w:color="auto"/>
              <w:right w:val="nil"/>
            </w:tcBorders>
            <w:vAlign w:val="center"/>
            <w:hideMark/>
          </w:tcPr>
          <w:p w14:paraId="227FD188"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42 </w:t>
            </w:r>
            <w:r w:rsidRPr="003504BF">
              <w:rPr>
                <w:rFonts w:ascii="Arial" w:eastAsia="Times New Roman" w:hAnsi="Arial" w:cs="Arial"/>
                <w:color w:val="000000"/>
                <w:kern w:val="0"/>
                <w:sz w:val="21"/>
                <w:szCs w:val="21"/>
                <w:rtl/>
                <w14:ligatures w14:val="none"/>
              </w:rPr>
              <w:t>شهرًا</w:t>
            </w:r>
          </w:p>
        </w:tc>
        <w:tc>
          <w:tcPr>
            <w:tcW w:w="2257" w:type="dxa"/>
            <w:tcBorders>
              <w:top w:val="nil"/>
              <w:left w:val="single" w:sz="8" w:space="0" w:color="auto"/>
              <w:bottom w:val="single" w:sz="8" w:space="0" w:color="auto"/>
              <w:right w:val="single" w:sz="8" w:space="0" w:color="auto"/>
            </w:tcBorders>
            <w:vAlign w:val="center"/>
            <w:hideMark/>
          </w:tcPr>
          <w:p w14:paraId="1C96137E"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3.5 </w:t>
            </w:r>
            <w:r w:rsidRPr="003504BF">
              <w:rPr>
                <w:rFonts w:ascii="Arial" w:eastAsia="Times New Roman" w:hAnsi="Arial" w:cs="Arial"/>
                <w:color w:val="000000"/>
                <w:kern w:val="0"/>
                <w:sz w:val="21"/>
                <w:szCs w:val="21"/>
                <w:rtl/>
                <w14:ligatures w14:val="none"/>
              </w:rPr>
              <w:t>سنة</w:t>
            </w:r>
            <w:r w:rsidRPr="003504BF">
              <w:rPr>
                <w:rFonts w:ascii="Arial" w:eastAsia="Times New Roman" w:hAnsi="Arial" w:cs="Arial"/>
                <w:color w:val="000000"/>
                <w:kern w:val="0"/>
                <w:sz w:val="21"/>
                <w:szCs w:val="21"/>
                <w14:ligatures w14:val="none"/>
              </w:rPr>
              <w:t xml:space="preserve"> (</w:t>
            </w:r>
            <w:r w:rsidRPr="003504BF">
              <w:rPr>
                <w:rFonts w:ascii="Arial" w:eastAsia="Times New Roman" w:hAnsi="Arial" w:cs="Arial"/>
                <w:color w:val="000000"/>
                <w:kern w:val="0"/>
                <w:sz w:val="21"/>
                <w:szCs w:val="21"/>
                <w:rtl/>
                <w14:ligatures w14:val="none"/>
              </w:rPr>
              <w:t>نموذج الهامش المتدرج</w:t>
            </w:r>
            <w:r w:rsidRPr="003504BF">
              <w:rPr>
                <w:rFonts w:ascii="Arial" w:eastAsia="Times New Roman" w:hAnsi="Arial" w:cs="Arial"/>
                <w:color w:val="000000"/>
                <w:kern w:val="0"/>
                <w:sz w:val="21"/>
                <w:szCs w:val="21"/>
                <w14:ligatures w14:val="none"/>
              </w:rPr>
              <w:t>)</w:t>
            </w:r>
          </w:p>
        </w:tc>
      </w:tr>
    </w:tbl>
    <w:p w14:paraId="5E2BAFCB" w14:textId="77777777" w:rsidR="00BF6F2A" w:rsidRDefault="00BF6F2A" w:rsidP="00D22171">
      <w:pPr>
        <w:rPr>
          <w:rFonts w:ascii="Sakkal Majalla" w:hAnsi="Sakkal Majalla" w:cs="Sakkal Majalla"/>
          <w:b/>
          <w:bCs/>
          <w:sz w:val="28"/>
          <w:szCs w:val="28"/>
        </w:rPr>
      </w:pPr>
    </w:p>
    <w:p w14:paraId="76A57EF1" w14:textId="2447198F" w:rsidR="003504BF" w:rsidRPr="00BF6F2A" w:rsidRDefault="003504BF" w:rsidP="003504BF">
      <w:pPr>
        <w:rPr>
          <w:rFonts w:ascii="Sakkal Majalla" w:hAnsi="Sakkal Majalla" w:cs="Sakkal Majalla"/>
          <w:b/>
          <w:bCs/>
          <w:sz w:val="28"/>
          <w:szCs w:val="28"/>
          <w:rtl/>
        </w:rPr>
      </w:pPr>
      <w:r w:rsidRPr="00BF6F2A">
        <w:rPr>
          <w:rFonts w:ascii="Sakkal Majalla" w:hAnsi="Sakkal Majalla" w:cs="Sakkal Majalla"/>
          <w:b/>
          <w:bCs/>
          <w:sz w:val="28"/>
          <w:szCs w:val="28"/>
          <w:rtl/>
        </w:rPr>
        <w:t>جدول (</w:t>
      </w:r>
      <w:r>
        <w:rPr>
          <w:rFonts w:ascii="Sakkal Majalla" w:hAnsi="Sakkal Majalla" w:cs="Sakkal Majalla"/>
          <w:b/>
          <w:bCs/>
          <w:sz w:val="28"/>
          <w:szCs w:val="28"/>
        </w:rPr>
        <w:t>4</w:t>
      </w:r>
      <w:r w:rsidRPr="00BF6F2A">
        <w:rPr>
          <w:rFonts w:ascii="Sakkal Majalla" w:hAnsi="Sakkal Majalla" w:cs="Sakkal Majalla"/>
          <w:b/>
          <w:bCs/>
          <w:sz w:val="28"/>
          <w:szCs w:val="28"/>
          <w:rtl/>
        </w:rPr>
        <w:t xml:space="preserve">): </w:t>
      </w:r>
      <w:r w:rsidRPr="003504BF">
        <w:rPr>
          <w:rFonts w:ascii="Sakkal Majalla" w:hAnsi="Sakkal Majalla" w:cs="Sakkal Majalla"/>
          <w:b/>
          <w:bCs/>
          <w:sz w:val="28"/>
          <w:szCs w:val="28"/>
          <w:rtl/>
        </w:rPr>
        <w:t xml:space="preserve">نتائج القسط الشهري - </w:t>
      </w:r>
      <w:r w:rsidRPr="003504BF">
        <w:rPr>
          <w:rFonts w:ascii="Sakkal Majalla" w:hAnsi="Sakkal Majalla" w:cs="Sakkal Majalla"/>
          <w:b/>
          <w:bCs/>
          <w:sz w:val="28"/>
          <w:szCs w:val="28"/>
        </w:rPr>
        <w:t>Lucid Air</w:t>
      </w:r>
    </w:p>
    <w:tbl>
      <w:tblPr>
        <w:bidiVisual/>
        <w:tblW w:w="8905" w:type="dxa"/>
        <w:jc w:val="center"/>
        <w:tblLook w:val="04A0" w:firstRow="1" w:lastRow="0" w:firstColumn="1" w:lastColumn="0" w:noHBand="0" w:noVBand="1"/>
      </w:tblPr>
      <w:tblGrid>
        <w:gridCol w:w="4034"/>
        <w:gridCol w:w="1815"/>
        <w:gridCol w:w="3056"/>
      </w:tblGrid>
      <w:tr w:rsidR="003504BF" w:rsidRPr="003504BF" w14:paraId="191E5224" w14:textId="77777777" w:rsidTr="003504BF">
        <w:trPr>
          <w:trHeight w:val="394"/>
          <w:jc w:val="center"/>
        </w:trPr>
        <w:tc>
          <w:tcPr>
            <w:tcW w:w="4034"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7C7B1BDD"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14:ligatures w14:val="none"/>
              </w:rPr>
            </w:pPr>
            <w:r w:rsidRPr="003504BF">
              <w:rPr>
                <w:rFonts w:ascii="Arial" w:eastAsia="Times New Roman" w:hAnsi="Arial" w:cs="Arial"/>
                <w:b/>
                <w:bCs/>
                <w:color w:val="FFFFFF"/>
                <w:kern w:val="0"/>
                <w:sz w:val="21"/>
                <w:szCs w:val="21"/>
                <w:rtl/>
                <w14:ligatures w14:val="none"/>
              </w:rPr>
              <w:t>معدل الربح السنوي</w:t>
            </w:r>
          </w:p>
        </w:tc>
        <w:tc>
          <w:tcPr>
            <w:tcW w:w="1815" w:type="dxa"/>
            <w:tcBorders>
              <w:top w:val="single" w:sz="8" w:space="0" w:color="auto"/>
              <w:left w:val="single" w:sz="8" w:space="0" w:color="auto"/>
              <w:bottom w:val="single" w:sz="8" w:space="0" w:color="auto"/>
              <w:right w:val="nil"/>
            </w:tcBorders>
            <w:shd w:val="clear" w:color="000000" w:fill="1F4E79"/>
            <w:vAlign w:val="center"/>
            <w:hideMark/>
          </w:tcPr>
          <w:p w14:paraId="19E8E9E5"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rtl/>
                <w14:ligatures w14:val="none"/>
              </w:rPr>
            </w:pPr>
            <w:r w:rsidRPr="003504BF">
              <w:rPr>
                <w:rFonts w:ascii="Arial" w:eastAsia="Times New Roman" w:hAnsi="Arial" w:cs="Arial"/>
                <w:b/>
                <w:bCs/>
                <w:color w:val="FFFFFF"/>
                <w:kern w:val="0"/>
                <w:sz w:val="21"/>
                <w:szCs w:val="21"/>
                <w14:ligatures w14:val="none"/>
              </w:rPr>
              <w:t>Money Factor</w:t>
            </w:r>
          </w:p>
        </w:tc>
        <w:tc>
          <w:tcPr>
            <w:tcW w:w="3056"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1761AC5E" w14:textId="77777777" w:rsidR="003504BF" w:rsidRPr="003504BF" w:rsidRDefault="003504BF" w:rsidP="003504BF">
            <w:pPr>
              <w:spacing w:after="0" w:line="240" w:lineRule="auto"/>
              <w:jc w:val="center"/>
              <w:rPr>
                <w:rFonts w:ascii="Arial" w:eastAsia="Times New Roman" w:hAnsi="Arial" w:cs="Arial"/>
                <w:b/>
                <w:bCs/>
                <w:color w:val="FFFFFF"/>
                <w:kern w:val="0"/>
                <w:sz w:val="21"/>
                <w:szCs w:val="21"/>
                <w:rtl/>
                <w14:ligatures w14:val="none"/>
              </w:rPr>
            </w:pPr>
            <w:r w:rsidRPr="003504BF">
              <w:rPr>
                <w:rFonts w:ascii="Arial" w:eastAsia="Times New Roman" w:hAnsi="Arial" w:cs="Arial"/>
                <w:b/>
                <w:bCs/>
                <w:color w:val="FFFFFF"/>
                <w:kern w:val="0"/>
                <w:sz w:val="21"/>
                <w:szCs w:val="21"/>
                <w:rtl/>
                <w14:ligatures w14:val="none"/>
              </w:rPr>
              <w:t>القسط الأساسي (</w:t>
            </w:r>
            <w:r w:rsidRPr="003504BF">
              <w:rPr>
                <w:rFonts w:ascii="Arial" w:eastAsia="Times New Roman" w:hAnsi="Arial" w:cs="Arial"/>
                <w:b/>
                <w:bCs/>
                <w:color w:val="FFFFFF"/>
                <w:kern w:val="0"/>
                <w:sz w:val="21"/>
                <w:szCs w:val="21"/>
                <w14:ligatures w14:val="none"/>
              </w:rPr>
              <w:t>Base Payment</w:t>
            </w:r>
            <w:r w:rsidRPr="003504BF">
              <w:rPr>
                <w:rFonts w:ascii="Arial" w:eastAsia="Times New Roman" w:hAnsi="Arial" w:cs="Arial"/>
                <w:b/>
                <w:bCs/>
                <w:color w:val="FFFFFF"/>
                <w:kern w:val="0"/>
                <w:sz w:val="21"/>
                <w:szCs w:val="21"/>
                <w:rtl/>
                <w14:ligatures w14:val="none"/>
              </w:rPr>
              <w:t>)</w:t>
            </w:r>
          </w:p>
        </w:tc>
      </w:tr>
      <w:tr w:rsidR="003504BF" w:rsidRPr="003504BF" w14:paraId="26FB04F2" w14:textId="77777777" w:rsidTr="003504BF">
        <w:trPr>
          <w:trHeight w:val="315"/>
          <w:jc w:val="center"/>
        </w:trPr>
        <w:tc>
          <w:tcPr>
            <w:tcW w:w="4034" w:type="dxa"/>
            <w:tcBorders>
              <w:top w:val="nil"/>
              <w:left w:val="single" w:sz="8" w:space="0" w:color="auto"/>
              <w:bottom w:val="single" w:sz="8" w:space="0" w:color="auto"/>
              <w:right w:val="single" w:sz="8" w:space="0" w:color="auto"/>
            </w:tcBorders>
            <w:vAlign w:val="center"/>
            <w:hideMark/>
          </w:tcPr>
          <w:p w14:paraId="3B41E733"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14:ligatures w14:val="none"/>
              </w:rPr>
              <w:t>4%</w:t>
            </w:r>
          </w:p>
        </w:tc>
        <w:tc>
          <w:tcPr>
            <w:tcW w:w="1815" w:type="dxa"/>
            <w:tcBorders>
              <w:top w:val="nil"/>
              <w:left w:val="single" w:sz="8" w:space="0" w:color="auto"/>
              <w:bottom w:val="single" w:sz="8" w:space="0" w:color="auto"/>
              <w:right w:val="nil"/>
            </w:tcBorders>
            <w:vAlign w:val="center"/>
            <w:hideMark/>
          </w:tcPr>
          <w:p w14:paraId="6A4F6B3D"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0.00333</w:t>
            </w:r>
          </w:p>
        </w:tc>
        <w:tc>
          <w:tcPr>
            <w:tcW w:w="3056" w:type="dxa"/>
            <w:tcBorders>
              <w:top w:val="nil"/>
              <w:left w:val="single" w:sz="8" w:space="0" w:color="auto"/>
              <w:bottom w:val="single" w:sz="8" w:space="0" w:color="auto"/>
              <w:right w:val="single" w:sz="8" w:space="0" w:color="auto"/>
            </w:tcBorders>
            <w:vAlign w:val="center"/>
            <w:hideMark/>
          </w:tcPr>
          <w:p w14:paraId="03D1E997"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4,935 </w:t>
            </w:r>
            <w:r w:rsidRPr="003504BF">
              <w:rPr>
                <w:rFonts w:ascii="Arial" w:eastAsia="Times New Roman" w:hAnsi="Arial" w:cs="Arial"/>
                <w:color w:val="000000"/>
                <w:kern w:val="0"/>
                <w:sz w:val="21"/>
                <w:szCs w:val="21"/>
                <w:rtl/>
                <w14:ligatures w14:val="none"/>
              </w:rPr>
              <w:t>ريال</w:t>
            </w:r>
          </w:p>
        </w:tc>
      </w:tr>
      <w:tr w:rsidR="003504BF" w:rsidRPr="003504BF" w14:paraId="3E0D764A" w14:textId="77777777" w:rsidTr="003504BF">
        <w:trPr>
          <w:trHeight w:val="315"/>
          <w:jc w:val="center"/>
        </w:trPr>
        <w:tc>
          <w:tcPr>
            <w:tcW w:w="4034" w:type="dxa"/>
            <w:tcBorders>
              <w:top w:val="nil"/>
              <w:left w:val="single" w:sz="8" w:space="0" w:color="auto"/>
              <w:bottom w:val="single" w:sz="8" w:space="0" w:color="auto"/>
              <w:right w:val="single" w:sz="8" w:space="0" w:color="auto"/>
            </w:tcBorders>
            <w:vAlign w:val="center"/>
            <w:hideMark/>
          </w:tcPr>
          <w:p w14:paraId="06F98F82" w14:textId="77777777" w:rsidR="003504BF" w:rsidRPr="003504BF" w:rsidRDefault="003504BF" w:rsidP="003504BF">
            <w:pPr>
              <w:spacing w:after="0" w:line="240" w:lineRule="auto"/>
              <w:jc w:val="center"/>
              <w:rPr>
                <w:rFonts w:ascii="Arial" w:eastAsia="Times New Roman" w:hAnsi="Arial" w:cs="Arial"/>
                <w:b/>
                <w:bCs/>
                <w:color w:val="000000"/>
                <w:kern w:val="0"/>
                <w:sz w:val="21"/>
                <w:szCs w:val="21"/>
                <w:rtl/>
                <w14:ligatures w14:val="none"/>
              </w:rPr>
            </w:pPr>
            <w:r w:rsidRPr="003504BF">
              <w:rPr>
                <w:rFonts w:ascii="Arial" w:eastAsia="Times New Roman" w:hAnsi="Arial" w:cs="Arial"/>
                <w:b/>
                <w:bCs/>
                <w:color w:val="000000"/>
                <w:kern w:val="0"/>
                <w:sz w:val="21"/>
                <w:szCs w:val="21"/>
                <w14:ligatures w14:val="none"/>
              </w:rPr>
              <w:t>2%</w:t>
            </w:r>
          </w:p>
        </w:tc>
        <w:tc>
          <w:tcPr>
            <w:tcW w:w="1815" w:type="dxa"/>
            <w:tcBorders>
              <w:top w:val="nil"/>
              <w:left w:val="single" w:sz="8" w:space="0" w:color="auto"/>
              <w:bottom w:val="single" w:sz="8" w:space="0" w:color="auto"/>
              <w:right w:val="nil"/>
            </w:tcBorders>
            <w:vAlign w:val="center"/>
            <w:hideMark/>
          </w:tcPr>
          <w:p w14:paraId="2F032EAB"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0.00167</w:t>
            </w:r>
          </w:p>
        </w:tc>
        <w:tc>
          <w:tcPr>
            <w:tcW w:w="3056" w:type="dxa"/>
            <w:tcBorders>
              <w:top w:val="nil"/>
              <w:left w:val="single" w:sz="8" w:space="0" w:color="auto"/>
              <w:bottom w:val="single" w:sz="8" w:space="0" w:color="auto"/>
              <w:right w:val="single" w:sz="8" w:space="0" w:color="auto"/>
            </w:tcBorders>
            <w:vAlign w:val="center"/>
            <w:hideMark/>
          </w:tcPr>
          <w:p w14:paraId="282211B1" w14:textId="77777777" w:rsidR="003504BF" w:rsidRPr="003504BF" w:rsidRDefault="003504BF" w:rsidP="003504BF">
            <w:pPr>
              <w:spacing w:after="0" w:line="240" w:lineRule="auto"/>
              <w:jc w:val="center"/>
              <w:rPr>
                <w:rFonts w:ascii="Arial" w:eastAsia="Times New Roman" w:hAnsi="Arial" w:cs="Arial"/>
                <w:color w:val="000000"/>
                <w:kern w:val="0"/>
                <w:sz w:val="21"/>
                <w:szCs w:val="21"/>
                <w:rtl/>
                <w14:ligatures w14:val="none"/>
              </w:rPr>
            </w:pPr>
            <w:r w:rsidRPr="003504BF">
              <w:rPr>
                <w:rFonts w:ascii="Arial" w:eastAsia="Times New Roman" w:hAnsi="Arial" w:cs="Arial"/>
                <w:color w:val="000000"/>
                <w:kern w:val="0"/>
                <w:sz w:val="21"/>
                <w:szCs w:val="21"/>
                <w14:ligatures w14:val="none"/>
              </w:rPr>
              <w:t xml:space="preserve">4,764 </w:t>
            </w:r>
            <w:r w:rsidRPr="003504BF">
              <w:rPr>
                <w:rFonts w:ascii="Arial" w:eastAsia="Times New Roman" w:hAnsi="Arial" w:cs="Arial"/>
                <w:color w:val="000000"/>
                <w:kern w:val="0"/>
                <w:sz w:val="21"/>
                <w:szCs w:val="21"/>
                <w:rtl/>
                <w14:ligatures w14:val="none"/>
              </w:rPr>
              <w:t>ريال</w:t>
            </w:r>
          </w:p>
        </w:tc>
      </w:tr>
    </w:tbl>
    <w:p w14:paraId="26F4D348" w14:textId="510030A0" w:rsidR="004163C7" w:rsidRPr="00BF6F2A" w:rsidRDefault="00BF6F2A" w:rsidP="00D22171">
      <w:pPr>
        <w:rPr>
          <w:rFonts w:ascii="Sakkal Majalla" w:hAnsi="Sakkal Majalla" w:cs="Sakkal Majalla"/>
          <w:b/>
          <w:bCs/>
          <w:sz w:val="28"/>
          <w:szCs w:val="28"/>
          <w:rtl/>
        </w:rPr>
      </w:pPr>
      <w:r w:rsidRPr="00BF6F2A">
        <w:rPr>
          <w:rFonts w:ascii="Sakkal Majalla" w:hAnsi="Sakkal Majalla" w:cs="Sakkal Majalla"/>
          <w:b/>
          <w:bCs/>
          <w:sz w:val="28"/>
          <w:szCs w:val="28"/>
          <w:rtl/>
        </w:rPr>
        <w:t>جدول (5): مقارنة شاملة بين الفئتين</w:t>
      </w:r>
    </w:p>
    <w:tbl>
      <w:tblPr>
        <w:bidiVisual/>
        <w:tblW w:w="7420" w:type="dxa"/>
        <w:jc w:val="center"/>
        <w:tblLook w:val="04A0" w:firstRow="1" w:lastRow="0" w:firstColumn="1" w:lastColumn="0" w:noHBand="0" w:noVBand="1"/>
      </w:tblPr>
      <w:tblGrid>
        <w:gridCol w:w="2980"/>
        <w:gridCol w:w="2286"/>
        <w:gridCol w:w="2154"/>
      </w:tblGrid>
      <w:tr w:rsidR="00BF6F2A" w:rsidRPr="00BF6F2A" w14:paraId="3A294074" w14:textId="77777777" w:rsidTr="00BF6F2A">
        <w:trPr>
          <w:trHeight w:val="555"/>
          <w:jc w:val="center"/>
        </w:trPr>
        <w:tc>
          <w:tcPr>
            <w:tcW w:w="2980"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54A8CB5D"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14:ligatures w14:val="none"/>
              </w:rPr>
            </w:pPr>
            <w:r w:rsidRPr="00BF6F2A">
              <w:rPr>
                <w:rFonts w:ascii="Arial" w:eastAsia="Times New Roman" w:hAnsi="Arial" w:cs="Arial"/>
                <w:b/>
                <w:bCs/>
                <w:color w:val="FFFFFF"/>
                <w:kern w:val="0"/>
                <w:sz w:val="21"/>
                <w:szCs w:val="21"/>
                <w:rtl/>
                <w14:ligatures w14:val="none"/>
              </w:rPr>
              <w:t>المؤشر</w:t>
            </w:r>
          </w:p>
        </w:tc>
        <w:tc>
          <w:tcPr>
            <w:tcW w:w="2286" w:type="dxa"/>
            <w:tcBorders>
              <w:top w:val="single" w:sz="8" w:space="0" w:color="auto"/>
              <w:left w:val="nil"/>
              <w:bottom w:val="single" w:sz="8" w:space="0" w:color="auto"/>
              <w:right w:val="single" w:sz="8" w:space="0" w:color="auto"/>
            </w:tcBorders>
            <w:shd w:val="clear" w:color="000000" w:fill="1F4E79"/>
            <w:vAlign w:val="center"/>
            <w:hideMark/>
          </w:tcPr>
          <w:p w14:paraId="6A8E8B65"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rtl/>
                <w14:ligatures w14:val="none"/>
              </w:rPr>
              <w:t>مركبة</w:t>
            </w:r>
            <w:r w:rsidRPr="00BF6F2A">
              <w:rPr>
                <w:rFonts w:ascii="Arial" w:eastAsia="Times New Roman" w:hAnsi="Arial" w:cs="Arial"/>
                <w:b/>
                <w:bCs/>
                <w:color w:val="FFFFFF"/>
                <w:kern w:val="0"/>
                <w:sz w:val="21"/>
                <w:szCs w:val="21"/>
                <w14:ligatures w14:val="none"/>
              </w:rPr>
              <w:t xml:space="preserve"> </w:t>
            </w:r>
            <w:r w:rsidRPr="00BF6F2A">
              <w:rPr>
                <w:rFonts w:ascii="Arial" w:eastAsia="Times New Roman" w:hAnsi="Arial" w:cs="Arial"/>
                <w:b/>
                <w:bCs/>
                <w:color w:val="FFFFFF"/>
                <w:kern w:val="0"/>
                <w:sz w:val="21"/>
                <w:szCs w:val="21"/>
                <w:rtl/>
                <w14:ligatures w14:val="none"/>
              </w:rPr>
              <w:t>تقليدية (2.5 سنة)</w:t>
            </w:r>
          </w:p>
        </w:tc>
        <w:tc>
          <w:tcPr>
            <w:tcW w:w="2154" w:type="dxa"/>
            <w:tcBorders>
              <w:top w:val="single" w:sz="8" w:space="0" w:color="auto"/>
              <w:left w:val="nil"/>
              <w:bottom w:val="single" w:sz="8" w:space="0" w:color="auto"/>
              <w:right w:val="single" w:sz="8" w:space="0" w:color="auto"/>
            </w:tcBorders>
            <w:shd w:val="clear" w:color="000000" w:fill="1F4E79"/>
            <w:vAlign w:val="center"/>
            <w:hideMark/>
          </w:tcPr>
          <w:p w14:paraId="79868F02" w14:textId="77777777" w:rsidR="00BF6F2A" w:rsidRPr="00BF6F2A" w:rsidRDefault="00BF6F2A" w:rsidP="00BF6F2A">
            <w:pPr>
              <w:spacing w:after="0" w:line="240" w:lineRule="auto"/>
              <w:jc w:val="center"/>
              <w:rPr>
                <w:rFonts w:ascii="Arial" w:eastAsia="Times New Roman" w:hAnsi="Arial" w:cs="Arial"/>
                <w:b/>
                <w:bCs/>
                <w:color w:val="FFFFFF"/>
                <w:kern w:val="0"/>
                <w:sz w:val="21"/>
                <w:szCs w:val="21"/>
                <w:rtl/>
                <w14:ligatures w14:val="none"/>
              </w:rPr>
            </w:pPr>
            <w:r w:rsidRPr="00BF6F2A">
              <w:rPr>
                <w:rFonts w:ascii="Arial" w:eastAsia="Times New Roman" w:hAnsi="Arial" w:cs="Arial"/>
                <w:b/>
                <w:bCs/>
                <w:color w:val="FFFFFF"/>
                <w:kern w:val="0"/>
                <w:sz w:val="21"/>
                <w:szCs w:val="21"/>
                <w14:ligatures w14:val="none"/>
              </w:rPr>
              <w:t xml:space="preserve">Lucid Air (3.5 </w:t>
            </w:r>
            <w:r w:rsidRPr="00BF6F2A">
              <w:rPr>
                <w:rFonts w:ascii="Arial" w:eastAsia="Times New Roman" w:hAnsi="Arial" w:cs="Arial"/>
                <w:b/>
                <w:bCs/>
                <w:color w:val="FFFFFF"/>
                <w:kern w:val="0"/>
                <w:sz w:val="21"/>
                <w:szCs w:val="21"/>
                <w:rtl/>
                <w14:ligatures w14:val="none"/>
              </w:rPr>
              <w:t>سنة</w:t>
            </w:r>
            <w:r w:rsidRPr="00BF6F2A">
              <w:rPr>
                <w:rFonts w:ascii="Arial" w:eastAsia="Times New Roman" w:hAnsi="Arial" w:cs="Arial"/>
                <w:b/>
                <w:bCs/>
                <w:color w:val="FFFFFF"/>
                <w:kern w:val="0"/>
                <w:sz w:val="21"/>
                <w:szCs w:val="21"/>
                <w14:ligatures w14:val="none"/>
              </w:rPr>
              <w:t>)</w:t>
            </w:r>
          </w:p>
        </w:tc>
      </w:tr>
      <w:tr w:rsidR="00BF6F2A" w:rsidRPr="00BF6F2A" w14:paraId="2E78C5FE" w14:textId="77777777" w:rsidTr="00BF6F2A">
        <w:trPr>
          <w:trHeight w:val="555"/>
          <w:jc w:val="center"/>
        </w:trPr>
        <w:tc>
          <w:tcPr>
            <w:tcW w:w="2980" w:type="dxa"/>
            <w:tcBorders>
              <w:top w:val="nil"/>
              <w:left w:val="single" w:sz="8" w:space="0" w:color="auto"/>
              <w:bottom w:val="single" w:sz="8" w:space="0" w:color="auto"/>
              <w:right w:val="single" w:sz="8" w:space="0" w:color="auto"/>
            </w:tcBorders>
            <w:vAlign w:val="center"/>
            <w:hideMark/>
          </w:tcPr>
          <w:p w14:paraId="5B9A7E60"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14:ligatures w14:val="none"/>
              </w:rPr>
              <w:t xml:space="preserve">FMV </w:t>
            </w:r>
            <w:r w:rsidRPr="00BF6F2A">
              <w:rPr>
                <w:rFonts w:ascii="Arial" w:eastAsia="Times New Roman" w:hAnsi="Arial" w:cs="Arial"/>
                <w:b/>
                <w:bCs/>
                <w:color w:val="000000"/>
                <w:kern w:val="0"/>
                <w:sz w:val="21"/>
                <w:szCs w:val="21"/>
                <w:rtl/>
                <w14:ligatures w14:val="none"/>
              </w:rPr>
              <w:t>بعد سنتين</w:t>
            </w:r>
          </w:p>
        </w:tc>
        <w:tc>
          <w:tcPr>
            <w:tcW w:w="2286" w:type="dxa"/>
            <w:tcBorders>
              <w:top w:val="nil"/>
              <w:left w:val="nil"/>
              <w:bottom w:val="single" w:sz="8" w:space="0" w:color="auto"/>
              <w:right w:val="single" w:sz="8" w:space="0" w:color="auto"/>
            </w:tcBorders>
            <w:vAlign w:val="center"/>
            <w:hideMark/>
          </w:tcPr>
          <w:p w14:paraId="50EF19B7"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253,666 (72.2%)</w:t>
            </w:r>
          </w:p>
        </w:tc>
        <w:tc>
          <w:tcPr>
            <w:tcW w:w="2154" w:type="dxa"/>
            <w:tcBorders>
              <w:top w:val="nil"/>
              <w:left w:val="nil"/>
              <w:bottom w:val="single" w:sz="8" w:space="0" w:color="auto"/>
              <w:right w:val="single" w:sz="8" w:space="0" w:color="auto"/>
            </w:tcBorders>
            <w:vAlign w:val="center"/>
            <w:hideMark/>
          </w:tcPr>
          <w:p w14:paraId="7FBA7072"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175,548 (50%)</w:t>
            </w:r>
          </w:p>
        </w:tc>
      </w:tr>
      <w:tr w:rsidR="00BF6F2A" w:rsidRPr="00BF6F2A" w14:paraId="1C546B8A" w14:textId="77777777" w:rsidTr="00BF6F2A">
        <w:trPr>
          <w:trHeight w:val="315"/>
          <w:jc w:val="center"/>
        </w:trPr>
        <w:tc>
          <w:tcPr>
            <w:tcW w:w="2980" w:type="dxa"/>
            <w:tcBorders>
              <w:top w:val="nil"/>
              <w:left w:val="single" w:sz="8" w:space="0" w:color="auto"/>
              <w:bottom w:val="single" w:sz="8" w:space="0" w:color="auto"/>
              <w:right w:val="single" w:sz="8" w:space="0" w:color="auto"/>
            </w:tcBorders>
            <w:vAlign w:val="center"/>
            <w:hideMark/>
          </w:tcPr>
          <w:p w14:paraId="6A506F6C"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هامش المخاطرة المطبَّق</w:t>
            </w:r>
          </w:p>
        </w:tc>
        <w:tc>
          <w:tcPr>
            <w:tcW w:w="2286" w:type="dxa"/>
            <w:tcBorders>
              <w:top w:val="nil"/>
              <w:left w:val="nil"/>
              <w:bottom w:val="single" w:sz="8" w:space="0" w:color="auto"/>
              <w:right w:val="single" w:sz="8" w:space="0" w:color="auto"/>
            </w:tcBorders>
            <w:vAlign w:val="center"/>
            <w:hideMark/>
          </w:tcPr>
          <w:p w14:paraId="2ACF6D62"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10%</w:t>
            </w:r>
          </w:p>
        </w:tc>
        <w:tc>
          <w:tcPr>
            <w:tcW w:w="2154" w:type="dxa"/>
            <w:tcBorders>
              <w:top w:val="nil"/>
              <w:left w:val="nil"/>
              <w:bottom w:val="single" w:sz="8" w:space="0" w:color="auto"/>
              <w:right w:val="single" w:sz="8" w:space="0" w:color="auto"/>
            </w:tcBorders>
            <w:vAlign w:val="center"/>
            <w:hideMark/>
          </w:tcPr>
          <w:p w14:paraId="72A418B2"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30%</w:t>
            </w:r>
          </w:p>
        </w:tc>
      </w:tr>
      <w:tr w:rsidR="00BF6F2A" w:rsidRPr="00BF6F2A" w14:paraId="5E809985" w14:textId="77777777" w:rsidTr="00BF6F2A">
        <w:trPr>
          <w:trHeight w:val="315"/>
          <w:jc w:val="center"/>
        </w:trPr>
        <w:tc>
          <w:tcPr>
            <w:tcW w:w="2980" w:type="dxa"/>
            <w:tcBorders>
              <w:top w:val="nil"/>
              <w:left w:val="single" w:sz="8" w:space="0" w:color="auto"/>
              <w:bottom w:val="single" w:sz="8" w:space="0" w:color="auto"/>
              <w:right w:val="single" w:sz="8" w:space="0" w:color="auto"/>
            </w:tcBorders>
            <w:vAlign w:val="center"/>
            <w:hideMark/>
          </w:tcPr>
          <w:p w14:paraId="6DAE3ECF"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14:ligatures w14:val="none"/>
              </w:rPr>
              <w:t xml:space="preserve">RV/GFV </w:t>
            </w:r>
            <w:r w:rsidRPr="00BF6F2A">
              <w:rPr>
                <w:rFonts w:ascii="Arial" w:eastAsia="Times New Roman" w:hAnsi="Arial" w:cs="Arial"/>
                <w:b/>
                <w:bCs/>
                <w:color w:val="000000"/>
                <w:kern w:val="0"/>
                <w:sz w:val="21"/>
                <w:szCs w:val="21"/>
                <w:rtl/>
                <w14:ligatures w14:val="none"/>
              </w:rPr>
              <w:t>النهائية</w:t>
            </w:r>
          </w:p>
        </w:tc>
        <w:tc>
          <w:tcPr>
            <w:tcW w:w="2286" w:type="dxa"/>
            <w:tcBorders>
              <w:top w:val="nil"/>
              <w:left w:val="nil"/>
              <w:bottom w:val="single" w:sz="8" w:space="0" w:color="auto"/>
              <w:right w:val="single" w:sz="8" w:space="0" w:color="auto"/>
            </w:tcBorders>
            <w:vAlign w:val="center"/>
            <w:hideMark/>
          </w:tcPr>
          <w:p w14:paraId="50AC7572"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228,300 (65%)</w:t>
            </w:r>
          </w:p>
        </w:tc>
        <w:tc>
          <w:tcPr>
            <w:tcW w:w="2154" w:type="dxa"/>
            <w:tcBorders>
              <w:top w:val="nil"/>
              <w:left w:val="nil"/>
              <w:bottom w:val="single" w:sz="8" w:space="0" w:color="auto"/>
              <w:right w:val="single" w:sz="8" w:space="0" w:color="auto"/>
            </w:tcBorders>
            <w:vAlign w:val="center"/>
            <w:hideMark/>
          </w:tcPr>
          <w:p w14:paraId="03228623"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122,883 (35%)</w:t>
            </w:r>
          </w:p>
        </w:tc>
      </w:tr>
      <w:tr w:rsidR="00BF6F2A" w:rsidRPr="00BF6F2A" w14:paraId="2EF0EA4C" w14:textId="77777777" w:rsidTr="00BF6F2A">
        <w:trPr>
          <w:trHeight w:val="315"/>
          <w:jc w:val="center"/>
        </w:trPr>
        <w:tc>
          <w:tcPr>
            <w:tcW w:w="2980" w:type="dxa"/>
            <w:tcBorders>
              <w:top w:val="nil"/>
              <w:left w:val="single" w:sz="8" w:space="0" w:color="auto"/>
              <w:bottom w:val="single" w:sz="8" w:space="0" w:color="auto"/>
              <w:right w:val="single" w:sz="8" w:space="0" w:color="auto"/>
            </w:tcBorders>
            <w:vAlign w:val="center"/>
            <w:hideMark/>
          </w:tcPr>
          <w:p w14:paraId="068E74FD"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الإهلاك الممول</w:t>
            </w:r>
          </w:p>
        </w:tc>
        <w:tc>
          <w:tcPr>
            <w:tcW w:w="2286" w:type="dxa"/>
            <w:tcBorders>
              <w:top w:val="nil"/>
              <w:left w:val="nil"/>
              <w:bottom w:val="single" w:sz="8" w:space="0" w:color="auto"/>
              <w:right w:val="single" w:sz="8" w:space="0" w:color="auto"/>
            </w:tcBorders>
            <w:vAlign w:val="center"/>
            <w:hideMark/>
          </w:tcPr>
          <w:p w14:paraId="222AC715"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87,686</w:t>
            </w:r>
          </w:p>
        </w:tc>
        <w:tc>
          <w:tcPr>
            <w:tcW w:w="2154" w:type="dxa"/>
            <w:tcBorders>
              <w:top w:val="nil"/>
              <w:left w:val="nil"/>
              <w:bottom w:val="single" w:sz="8" w:space="0" w:color="auto"/>
              <w:right w:val="single" w:sz="8" w:space="0" w:color="auto"/>
            </w:tcBorders>
            <w:vAlign w:val="center"/>
            <w:hideMark/>
          </w:tcPr>
          <w:p w14:paraId="5E243ACE"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193,102</w:t>
            </w:r>
          </w:p>
        </w:tc>
      </w:tr>
      <w:tr w:rsidR="00BF6F2A" w:rsidRPr="00BF6F2A" w14:paraId="25BB4686" w14:textId="77777777" w:rsidTr="00BF6F2A">
        <w:trPr>
          <w:trHeight w:val="315"/>
          <w:jc w:val="center"/>
        </w:trPr>
        <w:tc>
          <w:tcPr>
            <w:tcW w:w="2980" w:type="dxa"/>
            <w:tcBorders>
              <w:top w:val="nil"/>
              <w:left w:val="single" w:sz="8" w:space="0" w:color="auto"/>
              <w:bottom w:val="single" w:sz="8" w:space="0" w:color="auto"/>
              <w:right w:val="single" w:sz="8" w:space="0" w:color="auto"/>
            </w:tcBorders>
            <w:vAlign w:val="center"/>
            <w:hideMark/>
          </w:tcPr>
          <w:p w14:paraId="6B5929F1" w14:textId="77777777" w:rsidR="00BF6F2A" w:rsidRPr="00BF6F2A" w:rsidRDefault="00BF6F2A" w:rsidP="00BF6F2A">
            <w:pPr>
              <w:spacing w:after="0" w:line="240" w:lineRule="auto"/>
              <w:jc w:val="center"/>
              <w:rPr>
                <w:rFonts w:ascii="Arial" w:eastAsia="Times New Roman" w:hAnsi="Arial" w:cs="Arial"/>
                <w:b/>
                <w:bCs/>
                <w:color w:val="000000"/>
                <w:kern w:val="0"/>
                <w:sz w:val="21"/>
                <w:szCs w:val="21"/>
                <w:rtl/>
                <w14:ligatures w14:val="none"/>
              </w:rPr>
            </w:pPr>
            <w:r w:rsidRPr="00BF6F2A">
              <w:rPr>
                <w:rFonts w:ascii="Arial" w:eastAsia="Times New Roman" w:hAnsi="Arial" w:cs="Arial"/>
                <w:b/>
                <w:bCs/>
                <w:color w:val="000000"/>
                <w:kern w:val="0"/>
                <w:sz w:val="21"/>
                <w:szCs w:val="21"/>
                <w:rtl/>
                <w14:ligatures w14:val="none"/>
              </w:rPr>
              <w:t>القسط الشهري</w:t>
            </w:r>
            <w:r w:rsidRPr="00BF6F2A">
              <w:rPr>
                <w:rFonts w:ascii="Arial" w:eastAsia="Times New Roman" w:hAnsi="Arial" w:cs="Arial"/>
                <w:b/>
                <w:bCs/>
                <w:color w:val="000000"/>
                <w:kern w:val="0"/>
                <w:sz w:val="21"/>
                <w:szCs w:val="21"/>
                <w14:ligatures w14:val="none"/>
              </w:rPr>
              <w:t xml:space="preserve"> (4%)</w:t>
            </w:r>
          </w:p>
        </w:tc>
        <w:tc>
          <w:tcPr>
            <w:tcW w:w="2286" w:type="dxa"/>
            <w:tcBorders>
              <w:top w:val="nil"/>
              <w:left w:val="nil"/>
              <w:bottom w:val="single" w:sz="8" w:space="0" w:color="auto"/>
              <w:right w:val="single" w:sz="8" w:space="0" w:color="auto"/>
            </w:tcBorders>
            <w:vAlign w:val="center"/>
            <w:hideMark/>
          </w:tcPr>
          <w:p w14:paraId="56AAF591"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3,076</w:t>
            </w:r>
          </w:p>
        </w:tc>
        <w:tc>
          <w:tcPr>
            <w:tcW w:w="2154" w:type="dxa"/>
            <w:tcBorders>
              <w:top w:val="nil"/>
              <w:left w:val="nil"/>
              <w:bottom w:val="single" w:sz="8" w:space="0" w:color="auto"/>
              <w:right w:val="single" w:sz="8" w:space="0" w:color="auto"/>
            </w:tcBorders>
            <w:vAlign w:val="center"/>
            <w:hideMark/>
          </w:tcPr>
          <w:p w14:paraId="779B8E9E" w14:textId="77777777" w:rsidR="00BF6F2A" w:rsidRPr="00BF6F2A" w:rsidRDefault="00BF6F2A" w:rsidP="00BF6F2A">
            <w:pPr>
              <w:spacing w:after="0" w:line="240" w:lineRule="auto"/>
              <w:jc w:val="center"/>
              <w:rPr>
                <w:rFonts w:ascii="Arial" w:eastAsia="Times New Roman" w:hAnsi="Arial" w:cs="Arial"/>
                <w:color w:val="000000"/>
                <w:kern w:val="0"/>
                <w:sz w:val="21"/>
                <w:szCs w:val="21"/>
                <w:rtl/>
                <w14:ligatures w14:val="none"/>
              </w:rPr>
            </w:pPr>
            <w:r w:rsidRPr="00BF6F2A">
              <w:rPr>
                <w:rFonts w:ascii="Arial" w:eastAsia="Times New Roman" w:hAnsi="Arial" w:cs="Arial"/>
                <w:color w:val="000000"/>
                <w:kern w:val="0"/>
                <w:sz w:val="21"/>
                <w:szCs w:val="21"/>
                <w14:ligatures w14:val="none"/>
              </w:rPr>
              <w:t>4,935</w:t>
            </w:r>
          </w:p>
        </w:tc>
      </w:tr>
    </w:tbl>
    <w:p w14:paraId="33D73A08" w14:textId="77777777" w:rsidR="004163C7" w:rsidRDefault="004163C7" w:rsidP="00D22171">
      <w:pPr>
        <w:rPr>
          <w:rFonts w:ascii="Sakkal Majalla" w:hAnsi="Sakkal Majalla" w:cs="Sakkal Majalla"/>
          <w:sz w:val="28"/>
          <w:szCs w:val="28"/>
          <w:u w:val="single"/>
          <w:rtl/>
        </w:rPr>
      </w:pPr>
    </w:p>
    <w:p w14:paraId="377CE33C" w14:textId="77777777" w:rsidR="00BF6F2A" w:rsidRPr="00BF6F2A" w:rsidRDefault="00BF6F2A" w:rsidP="00BF6F2A">
      <w:pPr>
        <w:rPr>
          <w:rFonts w:ascii="Sakkal Majalla" w:hAnsi="Sakkal Majalla" w:cs="Sakkal Majalla"/>
          <w:sz w:val="28"/>
          <w:szCs w:val="28"/>
          <w:u w:val="single"/>
          <w:rtl/>
        </w:rPr>
      </w:pPr>
      <w:r w:rsidRPr="00BF6F2A">
        <w:rPr>
          <w:rFonts w:ascii="Sakkal Majalla" w:hAnsi="Sakkal Majalla" w:cs="Sakkal Majalla"/>
          <w:sz w:val="28"/>
          <w:szCs w:val="28"/>
          <w:u w:val="single"/>
          <w:rtl/>
        </w:rPr>
        <w:t>مناقشة نتائج المحاكاة</w:t>
      </w:r>
    </w:p>
    <w:p w14:paraId="4D265574" w14:textId="77777777" w:rsidR="00BF6F2A" w:rsidRPr="00BF6F2A" w:rsidRDefault="00BF6F2A" w:rsidP="00BF6F2A">
      <w:pPr>
        <w:rPr>
          <w:rFonts w:ascii="Sakkal Majalla" w:hAnsi="Sakkal Majalla" w:cs="Sakkal Majalla"/>
          <w:sz w:val="28"/>
          <w:szCs w:val="28"/>
          <w:rtl/>
        </w:rPr>
      </w:pPr>
      <w:r w:rsidRPr="00BF6F2A">
        <w:rPr>
          <w:rFonts w:ascii="Sakkal Majalla" w:hAnsi="Sakkal Majalla" w:cs="Sakkal Majalla"/>
          <w:sz w:val="28"/>
          <w:szCs w:val="28"/>
          <w:rtl/>
        </w:rPr>
        <w:t xml:space="preserve">تُظهر نتائج المحاكاة فروقًا جوهرية بين الفئتين رغم تطابق السعر النقدي الأصلي تمامًا، ما يثبت أن جدوى النموذج المقترح ليست ثابتة بل تعتمد بشكل حاسم على فئة المركبة الممولة. فالمركبة التقليدية تحقق قسطًا شهريًا منخفضًا نسبيًا (3,076 ريال) بمدة عقد أقصر (2.5 سنة)، بينما تتطلب المركبة الكهربائية مدة عقد أطول (3.5 سنة) وهامش مخاطرة أعلى بثلاثة أضعاف تقريبًا (30% مقابل 10%) لتحقيق قسط مقبول تجاريًا (4,935 ريال). وهذا يقود إلى نتيجة تطبيقية مهمة: يجب أن يتضمن النموذج المقترح جدول منحنيات استهلاك متعددًا حسب فئة المركبة ونوع </w:t>
      </w:r>
      <w:r w:rsidRPr="00BF6F2A">
        <w:rPr>
          <w:rFonts w:ascii="Sakkal Majalla" w:hAnsi="Sakkal Majalla" w:cs="Sakkal Majalla"/>
          <w:sz w:val="28"/>
          <w:szCs w:val="28"/>
          <w:rtl/>
        </w:rPr>
        <w:lastRenderedPageBreak/>
        <w:t>الدفع (تقليدي/كهربائي)، لا معدلًا موحدًا يُطبَّق على الجميع، وهو الدور الذي يُفترض أن يؤديه الوكيل (كطرف ثالث في النموذج) بتزويد البنك ببيانات استهلاك دقيقة خاصة بكل فئة موديل.</w:t>
      </w:r>
    </w:p>
    <w:p w14:paraId="4464BB4B" w14:textId="4A31BFD2" w:rsidR="004163C7" w:rsidRPr="00AC10F2" w:rsidRDefault="00BF6F2A" w:rsidP="00AC10F2">
      <w:pPr>
        <w:rPr>
          <w:rFonts w:ascii="Sakkal Majalla" w:hAnsi="Sakkal Majalla" w:cs="Sakkal Majalla"/>
          <w:sz w:val="28"/>
          <w:szCs w:val="28"/>
        </w:rPr>
      </w:pPr>
      <w:r w:rsidRPr="00BF6F2A">
        <w:rPr>
          <w:rFonts w:ascii="Sakkal Majalla" w:hAnsi="Sakkal Majalla" w:cs="Sakkal Majalla"/>
          <w:sz w:val="28"/>
          <w:szCs w:val="28"/>
          <w:rtl/>
        </w:rPr>
        <w:t xml:space="preserve">كما تكشف المحاكاة عن وجود هامش أمان إضافي يحتفظ به البنك عند بيع المركبة العائدة فعليًا في السوق (الفرق بين </w:t>
      </w:r>
      <w:r w:rsidRPr="00BF6F2A">
        <w:rPr>
          <w:rFonts w:ascii="Sakkal Majalla" w:hAnsi="Sakkal Majalla" w:cs="Sakkal Majalla"/>
          <w:sz w:val="28"/>
          <w:szCs w:val="28"/>
        </w:rPr>
        <w:t>FMV</w:t>
      </w:r>
      <w:r w:rsidRPr="00BF6F2A">
        <w:rPr>
          <w:rFonts w:ascii="Sakkal Majalla" w:hAnsi="Sakkal Majalla" w:cs="Sakkal Majalla"/>
          <w:sz w:val="28"/>
          <w:szCs w:val="28"/>
          <w:rtl/>
        </w:rPr>
        <w:t xml:space="preserve"> و</w:t>
      </w:r>
      <w:r w:rsidRPr="00BF6F2A">
        <w:rPr>
          <w:rFonts w:ascii="Sakkal Majalla" w:hAnsi="Sakkal Majalla" w:cs="Sakkal Majalla"/>
          <w:sz w:val="28"/>
          <w:szCs w:val="28"/>
        </w:rPr>
        <w:t>RV</w:t>
      </w:r>
      <w:r w:rsidRPr="00BF6F2A">
        <w:rPr>
          <w:rFonts w:ascii="Sakkal Majalla" w:hAnsi="Sakkal Majalla" w:cs="Sakkal Majalla"/>
          <w:sz w:val="28"/>
          <w:szCs w:val="28"/>
          <w:rtl/>
        </w:rPr>
        <w:t xml:space="preserve"> المعلنة)، والذي بلغ في المثال التقليدي نحو 25,367 ريال، ما يوفر تفسيرًا اقتصاديًا لقبول البنك تسعير النموذج دون الحاجة لرفع هامش ربحه المعلن، وهو ما يتسق مع نموذج الربح الثلاثي المطروح في الإطار النظري</w:t>
      </w:r>
      <w:r w:rsidR="00AC10F2">
        <w:rPr>
          <w:rFonts w:ascii="Sakkal Majalla" w:hAnsi="Sakkal Majalla" w:cs="Sakkal Majalla" w:hint="cs"/>
          <w:sz w:val="28"/>
          <w:szCs w:val="28"/>
          <w:rtl/>
        </w:rPr>
        <w:t>.</w:t>
      </w:r>
    </w:p>
    <w:p w14:paraId="50959FBA" w14:textId="77777777" w:rsidR="004163C7" w:rsidRDefault="004163C7" w:rsidP="00D22171">
      <w:pPr>
        <w:rPr>
          <w:rFonts w:ascii="Sakkal Majalla" w:hAnsi="Sakkal Majalla" w:cs="Sakkal Majalla"/>
          <w:sz w:val="28"/>
          <w:szCs w:val="28"/>
          <w:u w:val="single"/>
          <w:rtl/>
        </w:rPr>
      </w:pPr>
    </w:p>
    <w:p w14:paraId="0CA2AB0F" w14:textId="77777777" w:rsidR="00AC10F2" w:rsidRDefault="00AC10F2" w:rsidP="00D22171">
      <w:pPr>
        <w:rPr>
          <w:rFonts w:ascii="Sakkal Majalla" w:hAnsi="Sakkal Majalla" w:cs="Sakkal Majalla"/>
          <w:sz w:val="28"/>
          <w:szCs w:val="28"/>
          <w:u w:val="single"/>
          <w:rtl/>
        </w:rPr>
      </w:pPr>
    </w:p>
    <w:p w14:paraId="3EE39565" w14:textId="77777777" w:rsidR="00AC10F2" w:rsidRDefault="00AC10F2" w:rsidP="00D22171">
      <w:pPr>
        <w:rPr>
          <w:rFonts w:ascii="Sakkal Majalla" w:hAnsi="Sakkal Majalla" w:cs="Sakkal Majalla"/>
          <w:sz w:val="28"/>
          <w:szCs w:val="28"/>
          <w:u w:val="single"/>
          <w:rtl/>
        </w:rPr>
      </w:pPr>
    </w:p>
    <w:p w14:paraId="2945A008" w14:textId="77777777" w:rsidR="00AC10F2" w:rsidRDefault="00AC10F2" w:rsidP="00D22171">
      <w:pPr>
        <w:rPr>
          <w:rFonts w:ascii="Sakkal Majalla" w:hAnsi="Sakkal Majalla" w:cs="Sakkal Majalla"/>
          <w:sz w:val="28"/>
          <w:szCs w:val="28"/>
          <w:u w:val="single"/>
          <w:rtl/>
        </w:rPr>
      </w:pPr>
    </w:p>
    <w:p w14:paraId="32FBF6E3" w14:textId="77777777" w:rsidR="00AC10F2" w:rsidRDefault="00AC10F2" w:rsidP="00D22171">
      <w:pPr>
        <w:rPr>
          <w:rFonts w:ascii="Sakkal Majalla" w:hAnsi="Sakkal Majalla" w:cs="Sakkal Majalla"/>
          <w:sz w:val="28"/>
          <w:szCs w:val="28"/>
          <w:u w:val="single"/>
          <w:rtl/>
        </w:rPr>
      </w:pPr>
    </w:p>
    <w:p w14:paraId="076B43AA" w14:textId="77777777" w:rsidR="00AC10F2" w:rsidRDefault="00AC10F2" w:rsidP="00D22171">
      <w:pPr>
        <w:rPr>
          <w:rFonts w:ascii="Sakkal Majalla" w:hAnsi="Sakkal Majalla" w:cs="Sakkal Majalla"/>
          <w:sz w:val="28"/>
          <w:szCs w:val="28"/>
          <w:u w:val="single"/>
          <w:rtl/>
        </w:rPr>
      </w:pPr>
    </w:p>
    <w:p w14:paraId="25956959" w14:textId="77777777" w:rsidR="00AC10F2" w:rsidRDefault="00AC10F2" w:rsidP="00D22171">
      <w:pPr>
        <w:rPr>
          <w:rFonts w:ascii="Sakkal Majalla" w:hAnsi="Sakkal Majalla" w:cs="Sakkal Majalla"/>
          <w:sz w:val="28"/>
          <w:szCs w:val="28"/>
          <w:u w:val="single"/>
          <w:rtl/>
        </w:rPr>
      </w:pPr>
    </w:p>
    <w:p w14:paraId="7A74F9BA" w14:textId="77777777" w:rsidR="00AC10F2" w:rsidRDefault="00AC10F2" w:rsidP="00D22171">
      <w:pPr>
        <w:rPr>
          <w:rFonts w:ascii="Sakkal Majalla" w:hAnsi="Sakkal Majalla" w:cs="Sakkal Majalla"/>
          <w:sz w:val="28"/>
          <w:szCs w:val="28"/>
          <w:u w:val="single"/>
          <w:rtl/>
        </w:rPr>
      </w:pPr>
    </w:p>
    <w:p w14:paraId="5353FB78" w14:textId="77777777" w:rsidR="00AC10F2" w:rsidRDefault="00AC10F2" w:rsidP="00D22171">
      <w:pPr>
        <w:rPr>
          <w:rFonts w:ascii="Sakkal Majalla" w:hAnsi="Sakkal Majalla" w:cs="Sakkal Majalla"/>
          <w:sz w:val="28"/>
          <w:szCs w:val="28"/>
          <w:u w:val="single"/>
          <w:rtl/>
        </w:rPr>
      </w:pPr>
    </w:p>
    <w:p w14:paraId="3B44E6F6" w14:textId="77777777" w:rsidR="00AC10F2" w:rsidRDefault="00AC10F2" w:rsidP="00D22171">
      <w:pPr>
        <w:rPr>
          <w:rFonts w:ascii="Sakkal Majalla" w:hAnsi="Sakkal Majalla" w:cs="Sakkal Majalla"/>
          <w:sz w:val="28"/>
          <w:szCs w:val="28"/>
          <w:u w:val="single"/>
          <w:rtl/>
        </w:rPr>
      </w:pPr>
    </w:p>
    <w:p w14:paraId="5EF28B64" w14:textId="77777777" w:rsidR="00AC10F2" w:rsidRDefault="00AC10F2" w:rsidP="00D22171">
      <w:pPr>
        <w:rPr>
          <w:rFonts w:ascii="Sakkal Majalla" w:hAnsi="Sakkal Majalla" w:cs="Sakkal Majalla"/>
          <w:sz w:val="28"/>
          <w:szCs w:val="28"/>
          <w:u w:val="single"/>
          <w:rtl/>
        </w:rPr>
      </w:pPr>
    </w:p>
    <w:p w14:paraId="676CAB04" w14:textId="77777777" w:rsidR="00AC10F2" w:rsidRDefault="00AC10F2" w:rsidP="00D22171">
      <w:pPr>
        <w:rPr>
          <w:rFonts w:ascii="Sakkal Majalla" w:hAnsi="Sakkal Majalla" w:cs="Sakkal Majalla"/>
          <w:sz w:val="28"/>
          <w:szCs w:val="28"/>
          <w:u w:val="single"/>
          <w:rtl/>
        </w:rPr>
      </w:pPr>
    </w:p>
    <w:p w14:paraId="74EB32E5" w14:textId="77777777" w:rsidR="00AC10F2" w:rsidRDefault="00AC10F2" w:rsidP="00D22171">
      <w:pPr>
        <w:rPr>
          <w:rFonts w:ascii="Sakkal Majalla" w:hAnsi="Sakkal Majalla" w:cs="Sakkal Majalla"/>
          <w:sz w:val="28"/>
          <w:szCs w:val="28"/>
          <w:u w:val="single"/>
          <w:rtl/>
        </w:rPr>
      </w:pPr>
    </w:p>
    <w:p w14:paraId="3C7CCAC1" w14:textId="77777777" w:rsidR="00AC10F2" w:rsidRDefault="00AC10F2" w:rsidP="00D22171">
      <w:pPr>
        <w:rPr>
          <w:rFonts w:ascii="Sakkal Majalla" w:hAnsi="Sakkal Majalla" w:cs="Sakkal Majalla"/>
          <w:sz w:val="28"/>
          <w:szCs w:val="28"/>
          <w:u w:val="single"/>
          <w:rtl/>
        </w:rPr>
      </w:pPr>
    </w:p>
    <w:p w14:paraId="00BB98B3" w14:textId="77777777" w:rsidR="00AC10F2" w:rsidRDefault="00AC10F2" w:rsidP="00D22171">
      <w:pPr>
        <w:rPr>
          <w:rFonts w:ascii="Sakkal Majalla" w:hAnsi="Sakkal Majalla" w:cs="Sakkal Majalla"/>
          <w:sz w:val="28"/>
          <w:szCs w:val="28"/>
          <w:u w:val="single"/>
          <w:rtl/>
        </w:rPr>
      </w:pPr>
    </w:p>
    <w:p w14:paraId="4DAC1186" w14:textId="77777777" w:rsidR="00AC10F2" w:rsidRDefault="00AC10F2" w:rsidP="00D22171">
      <w:pPr>
        <w:rPr>
          <w:rFonts w:ascii="Sakkal Majalla" w:hAnsi="Sakkal Majalla" w:cs="Sakkal Majalla"/>
          <w:sz w:val="28"/>
          <w:szCs w:val="28"/>
          <w:u w:val="single"/>
          <w:rtl/>
        </w:rPr>
      </w:pPr>
    </w:p>
    <w:p w14:paraId="0D1FEE58" w14:textId="77777777" w:rsidR="00AC10F2" w:rsidRDefault="00AC10F2" w:rsidP="00D22171">
      <w:pPr>
        <w:rPr>
          <w:rFonts w:ascii="Sakkal Majalla" w:hAnsi="Sakkal Majalla" w:cs="Sakkal Majalla"/>
          <w:sz w:val="28"/>
          <w:szCs w:val="28"/>
          <w:u w:val="single"/>
          <w:rtl/>
        </w:rPr>
      </w:pPr>
    </w:p>
    <w:p w14:paraId="40973E36" w14:textId="77777777" w:rsidR="00AC10F2" w:rsidRDefault="00AC10F2" w:rsidP="00D22171">
      <w:pPr>
        <w:rPr>
          <w:rFonts w:ascii="Sakkal Majalla" w:hAnsi="Sakkal Majalla" w:cs="Sakkal Majalla"/>
          <w:sz w:val="28"/>
          <w:szCs w:val="28"/>
          <w:u w:val="single"/>
          <w:rtl/>
        </w:rPr>
      </w:pPr>
    </w:p>
    <w:p w14:paraId="300569AB" w14:textId="77777777" w:rsidR="00AC10F2" w:rsidRDefault="00AC10F2"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256D1546" w14:textId="77777777" w:rsidR="00BC094B" w:rsidRDefault="00BC094B" w:rsidP="00D22171">
      <w:pPr>
        <w:rPr>
          <w:rFonts w:ascii="Sakkal Majalla" w:hAnsi="Sakkal Majalla" w:cs="Sakkal Majalla"/>
          <w:sz w:val="28"/>
          <w:szCs w:val="28"/>
          <w:u w:val="single"/>
          <w:rtl/>
        </w:rPr>
      </w:pPr>
    </w:p>
    <w:p w14:paraId="7B6F311A" w14:textId="73B546A5" w:rsidR="00BC094B" w:rsidRPr="009B0ED8" w:rsidRDefault="009B0ED8" w:rsidP="00D22171">
      <w:pPr>
        <w:rPr>
          <w:rFonts w:ascii="Sakkal Majalla" w:hAnsi="Sakkal Majalla" w:cs="Sakkal Majalla"/>
          <w:sz w:val="28"/>
          <w:szCs w:val="28"/>
          <w:rtl/>
        </w:rPr>
      </w:pPr>
      <w:r w:rsidRPr="009B0ED8">
        <w:rPr>
          <w:rFonts w:ascii="Sakkal Majalla" w:hAnsi="Sakkal Majalla" w:cs="Sakkal Majalla"/>
          <w:sz w:val="28"/>
          <w:szCs w:val="28"/>
          <w:rtl/>
        </w:rPr>
        <w:t>طُبقت الاستبانة الإلكترونية فعليًا على عينة قوامها 283 عميلًا ممن سبق لهم التعامل مع تمويل المركبات، واعتمدت الأداة في صورتها المطبقة على أسئلة مغلقة بمقياس ثلاثي (أوافق/محايد/لا أوافق) لسهولة الاستجابة، إلى جانب سؤال فرز وأسئلة ديموغرافية. ويستند هذا التحليل إلى ملف البيانات الخام (على مستوى كل مستجيب) لا إلى النسب المجمّعة فقط، بما يتيح إجراء التحليل الإحصائي الاستدلالي الكامل المخطط له في الفصل الثالث.</w:t>
      </w:r>
    </w:p>
    <w:p w14:paraId="03B2D131" w14:textId="07C4C082" w:rsidR="00BC094B" w:rsidRDefault="009B0ED8" w:rsidP="00D22171">
      <w:pPr>
        <w:rPr>
          <w:rFonts w:ascii="Sakkal Majalla" w:hAnsi="Sakkal Majalla" w:cs="Sakkal Majalla"/>
          <w:b/>
          <w:bCs/>
          <w:sz w:val="28"/>
          <w:szCs w:val="28"/>
        </w:rPr>
      </w:pPr>
      <w:r w:rsidRPr="009B0ED8">
        <w:rPr>
          <w:rFonts w:ascii="Sakkal Majalla" w:hAnsi="Sakkal Majalla" w:cs="Sakkal Majalla"/>
          <w:b/>
          <w:bCs/>
          <w:sz w:val="28"/>
          <w:szCs w:val="28"/>
          <w:rtl/>
        </w:rPr>
        <w:t>أولًا: الخصائص الديموغرافية للعينة (ن = 283)</w:t>
      </w:r>
    </w:p>
    <w:tbl>
      <w:tblPr>
        <w:bidiVisual/>
        <w:tblW w:w="8585" w:type="dxa"/>
        <w:tblLook w:val="04A0" w:firstRow="1" w:lastRow="0" w:firstColumn="1" w:lastColumn="0" w:noHBand="0" w:noVBand="1"/>
      </w:tblPr>
      <w:tblGrid>
        <w:gridCol w:w="4537"/>
        <w:gridCol w:w="1890"/>
        <w:gridCol w:w="1229"/>
        <w:gridCol w:w="929"/>
      </w:tblGrid>
      <w:tr w:rsidR="009B0ED8" w:rsidRPr="009B0ED8" w14:paraId="4CD869C7" w14:textId="77777777" w:rsidTr="009B0ED8">
        <w:trPr>
          <w:trHeight w:val="315"/>
        </w:trPr>
        <w:tc>
          <w:tcPr>
            <w:tcW w:w="4537"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63D7D8C8"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14:ligatures w14:val="none"/>
              </w:rPr>
            </w:pPr>
            <w:r w:rsidRPr="009B0ED8">
              <w:rPr>
                <w:rFonts w:ascii="Arial" w:eastAsia="Times New Roman" w:hAnsi="Arial" w:cs="Arial"/>
                <w:b/>
                <w:bCs/>
                <w:color w:val="FFFFFF"/>
                <w:kern w:val="0"/>
                <w:sz w:val="21"/>
                <w:szCs w:val="21"/>
                <w:rtl/>
                <w14:ligatures w14:val="none"/>
              </w:rPr>
              <w:t>المتغير</w:t>
            </w:r>
          </w:p>
        </w:tc>
        <w:tc>
          <w:tcPr>
            <w:tcW w:w="1890" w:type="dxa"/>
            <w:tcBorders>
              <w:top w:val="single" w:sz="8" w:space="0" w:color="auto"/>
              <w:left w:val="nil"/>
              <w:bottom w:val="single" w:sz="8" w:space="0" w:color="auto"/>
              <w:right w:val="single" w:sz="8" w:space="0" w:color="auto"/>
            </w:tcBorders>
            <w:shd w:val="clear" w:color="000000" w:fill="1F4E79"/>
            <w:vAlign w:val="center"/>
            <w:hideMark/>
          </w:tcPr>
          <w:p w14:paraId="6AA462C5"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الفئة</w:t>
            </w:r>
          </w:p>
        </w:tc>
        <w:tc>
          <w:tcPr>
            <w:tcW w:w="1229" w:type="dxa"/>
            <w:tcBorders>
              <w:top w:val="single" w:sz="8" w:space="0" w:color="auto"/>
              <w:left w:val="nil"/>
              <w:bottom w:val="single" w:sz="8" w:space="0" w:color="auto"/>
              <w:right w:val="single" w:sz="8" w:space="0" w:color="auto"/>
            </w:tcBorders>
            <w:shd w:val="clear" w:color="000000" w:fill="1F4E79"/>
            <w:vAlign w:val="center"/>
            <w:hideMark/>
          </w:tcPr>
          <w:p w14:paraId="3F6E11E8"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التكرار</w:t>
            </w:r>
          </w:p>
        </w:tc>
        <w:tc>
          <w:tcPr>
            <w:tcW w:w="929" w:type="dxa"/>
            <w:tcBorders>
              <w:top w:val="single" w:sz="8" w:space="0" w:color="auto"/>
              <w:left w:val="nil"/>
              <w:bottom w:val="single" w:sz="8" w:space="0" w:color="auto"/>
              <w:right w:val="single" w:sz="8" w:space="0" w:color="auto"/>
            </w:tcBorders>
            <w:shd w:val="clear" w:color="000000" w:fill="1F4E79"/>
            <w:vAlign w:val="center"/>
            <w:hideMark/>
          </w:tcPr>
          <w:p w14:paraId="7CB1D229"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النسبة</w:t>
            </w:r>
          </w:p>
        </w:tc>
      </w:tr>
      <w:tr w:rsidR="009B0ED8" w:rsidRPr="009B0ED8" w14:paraId="3AF29CCB" w14:textId="77777777" w:rsidTr="009B0ED8">
        <w:trPr>
          <w:trHeight w:val="555"/>
        </w:trPr>
        <w:tc>
          <w:tcPr>
            <w:tcW w:w="4537" w:type="dxa"/>
            <w:tcBorders>
              <w:top w:val="nil"/>
              <w:left w:val="single" w:sz="8" w:space="0" w:color="auto"/>
              <w:bottom w:val="single" w:sz="8" w:space="0" w:color="auto"/>
              <w:right w:val="single" w:sz="8" w:space="0" w:color="auto"/>
            </w:tcBorders>
            <w:vAlign w:val="center"/>
            <w:hideMark/>
          </w:tcPr>
          <w:p w14:paraId="255ECCF0"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سبق التعامل مع التمويل التأجيري المنتهي بالتملك</w:t>
            </w:r>
          </w:p>
        </w:tc>
        <w:tc>
          <w:tcPr>
            <w:tcW w:w="1890" w:type="dxa"/>
            <w:tcBorders>
              <w:top w:val="nil"/>
              <w:left w:val="nil"/>
              <w:bottom w:val="single" w:sz="8" w:space="0" w:color="auto"/>
              <w:right w:val="single" w:sz="8" w:space="0" w:color="auto"/>
            </w:tcBorders>
            <w:vAlign w:val="center"/>
            <w:hideMark/>
          </w:tcPr>
          <w:p w14:paraId="40E8DE4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نعم</w:t>
            </w:r>
          </w:p>
        </w:tc>
        <w:tc>
          <w:tcPr>
            <w:tcW w:w="1229" w:type="dxa"/>
            <w:tcBorders>
              <w:top w:val="nil"/>
              <w:left w:val="nil"/>
              <w:bottom w:val="single" w:sz="8" w:space="0" w:color="auto"/>
              <w:right w:val="single" w:sz="8" w:space="0" w:color="auto"/>
            </w:tcBorders>
            <w:vAlign w:val="center"/>
            <w:hideMark/>
          </w:tcPr>
          <w:p w14:paraId="40A3B0B1"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163</w:t>
            </w:r>
          </w:p>
        </w:tc>
        <w:tc>
          <w:tcPr>
            <w:tcW w:w="929" w:type="dxa"/>
            <w:tcBorders>
              <w:top w:val="nil"/>
              <w:left w:val="nil"/>
              <w:bottom w:val="single" w:sz="8" w:space="0" w:color="auto"/>
              <w:right w:val="single" w:sz="8" w:space="0" w:color="auto"/>
            </w:tcBorders>
            <w:vAlign w:val="center"/>
            <w:hideMark/>
          </w:tcPr>
          <w:p w14:paraId="62BE55E8"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57.60%</w:t>
            </w:r>
          </w:p>
        </w:tc>
      </w:tr>
      <w:tr w:rsidR="009B0ED8" w:rsidRPr="009B0ED8" w14:paraId="4977E7A7"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0875E6B9"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2E210BE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لا</w:t>
            </w:r>
          </w:p>
        </w:tc>
        <w:tc>
          <w:tcPr>
            <w:tcW w:w="1229" w:type="dxa"/>
            <w:tcBorders>
              <w:top w:val="nil"/>
              <w:left w:val="nil"/>
              <w:bottom w:val="single" w:sz="8" w:space="0" w:color="auto"/>
              <w:right w:val="single" w:sz="8" w:space="0" w:color="auto"/>
            </w:tcBorders>
            <w:vAlign w:val="center"/>
            <w:hideMark/>
          </w:tcPr>
          <w:p w14:paraId="44D2FF80"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120</w:t>
            </w:r>
          </w:p>
        </w:tc>
        <w:tc>
          <w:tcPr>
            <w:tcW w:w="929" w:type="dxa"/>
            <w:tcBorders>
              <w:top w:val="nil"/>
              <w:left w:val="nil"/>
              <w:bottom w:val="single" w:sz="8" w:space="0" w:color="auto"/>
              <w:right w:val="single" w:sz="8" w:space="0" w:color="auto"/>
            </w:tcBorders>
            <w:vAlign w:val="center"/>
            <w:hideMark/>
          </w:tcPr>
          <w:p w14:paraId="6DA0B620"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42.40%</w:t>
            </w:r>
          </w:p>
        </w:tc>
      </w:tr>
      <w:tr w:rsidR="009B0ED8" w:rsidRPr="009B0ED8" w14:paraId="0CDB38BA"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17FEDF97"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الجنس</w:t>
            </w:r>
          </w:p>
        </w:tc>
        <w:tc>
          <w:tcPr>
            <w:tcW w:w="1890" w:type="dxa"/>
            <w:tcBorders>
              <w:top w:val="nil"/>
              <w:left w:val="nil"/>
              <w:bottom w:val="single" w:sz="8" w:space="0" w:color="auto"/>
              <w:right w:val="single" w:sz="8" w:space="0" w:color="auto"/>
            </w:tcBorders>
            <w:vAlign w:val="center"/>
            <w:hideMark/>
          </w:tcPr>
          <w:p w14:paraId="27D4693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ذكر</w:t>
            </w:r>
          </w:p>
        </w:tc>
        <w:tc>
          <w:tcPr>
            <w:tcW w:w="1229" w:type="dxa"/>
            <w:tcBorders>
              <w:top w:val="nil"/>
              <w:left w:val="nil"/>
              <w:bottom w:val="single" w:sz="8" w:space="0" w:color="auto"/>
              <w:right w:val="single" w:sz="8" w:space="0" w:color="auto"/>
            </w:tcBorders>
            <w:vAlign w:val="center"/>
            <w:hideMark/>
          </w:tcPr>
          <w:p w14:paraId="1AD62AA5"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247</w:t>
            </w:r>
          </w:p>
        </w:tc>
        <w:tc>
          <w:tcPr>
            <w:tcW w:w="929" w:type="dxa"/>
            <w:tcBorders>
              <w:top w:val="nil"/>
              <w:left w:val="nil"/>
              <w:bottom w:val="single" w:sz="8" w:space="0" w:color="auto"/>
              <w:right w:val="single" w:sz="8" w:space="0" w:color="auto"/>
            </w:tcBorders>
            <w:vAlign w:val="center"/>
            <w:hideMark/>
          </w:tcPr>
          <w:p w14:paraId="252EBB7C"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87.30%</w:t>
            </w:r>
          </w:p>
        </w:tc>
      </w:tr>
      <w:tr w:rsidR="009B0ED8" w:rsidRPr="009B0ED8" w14:paraId="0A8CF291"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511BDF48"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3551B156"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أنثى</w:t>
            </w:r>
          </w:p>
        </w:tc>
        <w:tc>
          <w:tcPr>
            <w:tcW w:w="1229" w:type="dxa"/>
            <w:tcBorders>
              <w:top w:val="nil"/>
              <w:left w:val="nil"/>
              <w:bottom w:val="single" w:sz="8" w:space="0" w:color="auto"/>
              <w:right w:val="single" w:sz="8" w:space="0" w:color="auto"/>
            </w:tcBorders>
            <w:vAlign w:val="center"/>
            <w:hideMark/>
          </w:tcPr>
          <w:p w14:paraId="1A0D0477"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36</w:t>
            </w:r>
          </w:p>
        </w:tc>
        <w:tc>
          <w:tcPr>
            <w:tcW w:w="929" w:type="dxa"/>
            <w:tcBorders>
              <w:top w:val="nil"/>
              <w:left w:val="nil"/>
              <w:bottom w:val="single" w:sz="8" w:space="0" w:color="auto"/>
              <w:right w:val="single" w:sz="8" w:space="0" w:color="auto"/>
            </w:tcBorders>
            <w:vAlign w:val="center"/>
            <w:hideMark/>
          </w:tcPr>
          <w:p w14:paraId="00710301"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12.70%</w:t>
            </w:r>
          </w:p>
        </w:tc>
      </w:tr>
      <w:tr w:rsidR="009B0ED8" w:rsidRPr="009B0ED8" w14:paraId="702B74D0"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5C4256CD"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الفئة العمرية</w:t>
            </w:r>
          </w:p>
        </w:tc>
        <w:tc>
          <w:tcPr>
            <w:tcW w:w="1890" w:type="dxa"/>
            <w:tcBorders>
              <w:top w:val="nil"/>
              <w:left w:val="nil"/>
              <w:bottom w:val="single" w:sz="8" w:space="0" w:color="auto"/>
              <w:right w:val="single" w:sz="8" w:space="0" w:color="auto"/>
            </w:tcBorders>
            <w:vAlign w:val="center"/>
            <w:hideMark/>
          </w:tcPr>
          <w:p w14:paraId="7808EFA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20-29</w:t>
            </w:r>
          </w:p>
        </w:tc>
        <w:tc>
          <w:tcPr>
            <w:tcW w:w="1229" w:type="dxa"/>
            <w:tcBorders>
              <w:top w:val="nil"/>
              <w:left w:val="nil"/>
              <w:bottom w:val="single" w:sz="8" w:space="0" w:color="auto"/>
              <w:right w:val="single" w:sz="8" w:space="0" w:color="auto"/>
            </w:tcBorders>
            <w:vAlign w:val="center"/>
            <w:hideMark/>
          </w:tcPr>
          <w:p w14:paraId="09DF589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87</w:t>
            </w:r>
          </w:p>
        </w:tc>
        <w:tc>
          <w:tcPr>
            <w:tcW w:w="929" w:type="dxa"/>
            <w:tcBorders>
              <w:top w:val="nil"/>
              <w:left w:val="nil"/>
              <w:bottom w:val="single" w:sz="8" w:space="0" w:color="auto"/>
              <w:right w:val="single" w:sz="8" w:space="0" w:color="auto"/>
            </w:tcBorders>
            <w:vAlign w:val="center"/>
            <w:hideMark/>
          </w:tcPr>
          <w:p w14:paraId="5855D72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30.70%</w:t>
            </w:r>
          </w:p>
        </w:tc>
      </w:tr>
      <w:tr w:rsidR="009B0ED8" w:rsidRPr="009B0ED8" w14:paraId="5EF4EB2D"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4E2D4F9D"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3B542436"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30-35</w:t>
            </w:r>
          </w:p>
        </w:tc>
        <w:tc>
          <w:tcPr>
            <w:tcW w:w="1229" w:type="dxa"/>
            <w:tcBorders>
              <w:top w:val="nil"/>
              <w:left w:val="nil"/>
              <w:bottom w:val="single" w:sz="8" w:space="0" w:color="auto"/>
              <w:right w:val="single" w:sz="8" w:space="0" w:color="auto"/>
            </w:tcBorders>
            <w:vAlign w:val="center"/>
            <w:hideMark/>
          </w:tcPr>
          <w:p w14:paraId="25FDEDD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106</w:t>
            </w:r>
          </w:p>
        </w:tc>
        <w:tc>
          <w:tcPr>
            <w:tcW w:w="929" w:type="dxa"/>
            <w:tcBorders>
              <w:top w:val="nil"/>
              <w:left w:val="nil"/>
              <w:bottom w:val="single" w:sz="8" w:space="0" w:color="auto"/>
              <w:right w:val="single" w:sz="8" w:space="0" w:color="auto"/>
            </w:tcBorders>
            <w:vAlign w:val="center"/>
            <w:hideMark/>
          </w:tcPr>
          <w:p w14:paraId="199AB3E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37.50%</w:t>
            </w:r>
          </w:p>
        </w:tc>
      </w:tr>
      <w:tr w:rsidR="009B0ED8" w:rsidRPr="009B0ED8" w14:paraId="76ABF439"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74EF0F03"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121FD4F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36-40</w:t>
            </w:r>
          </w:p>
        </w:tc>
        <w:tc>
          <w:tcPr>
            <w:tcW w:w="1229" w:type="dxa"/>
            <w:tcBorders>
              <w:top w:val="nil"/>
              <w:left w:val="nil"/>
              <w:bottom w:val="single" w:sz="8" w:space="0" w:color="auto"/>
              <w:right w:val="single" w:sz="8" w:space="0" w:color="auto"/>
            </w:tcBorders>
            <w:vAlign w:val="center"/>
            <w:hideMark/>
          </w:tcPr>
          <w:p w14:paraId="6A3A9ACA"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56</w:t>
            </w:r>
          </w:p>
        </w:tc>
        <w:tc>
          <w:tcPr>
            <w:tcW w:w="929" w:type="dxa"/>
            <w:tcBorders>
              <w:top w:val="nil"/>
              <w:left w:val="nil"/>
              <w:bottom w:val="single" w:sz="8" w:space="0" w:color="auto"/>
              <w:right w:val="single" w:sz="8" w:space="0" w:color="auto"/>
            </w:tcBorders>
            <w:vAlign w:val="center"/>
            <w:hideMark/>
          </w:tcPr>
          <w:p w14:paraId="6551300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19.80%</w:t>
            </w:r>
          </w:p>
        </w:tc>
      </w:tr>
      <w:tr w:rsidR="009B0ED8" w:rsidRPr="009B0ED8" w14:paraId="67A9864B"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3DC528B1"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4FB6DD0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 xml:space="preserve">41 </w:t>
            </w:r>
            <w:r w:rsidRPr="009B0ED8">
              <w:rPr>
                <w:rFonts w:ascii="Arial" w:eastAsia="Times New Roman" w:hAnsi="Arial" w:cs="Arial"/>
                <w:color w:val="000000"/>
                <w:kern w:val="0"/>
                <w:sz w:val="21"/>
                <w:szCs w:val="21"/>
                <w:rtl/>
                <w14:ligatures w14:val="none"/>
              </w:rPr>
              <w:t>فأكثر</w:t>
            </w:r>
          </w:p>
        </w:tc>
        <w:tc>
          <w:tcPr>
            <w:tcW w:w="1229" w:type="dxa"/>
            <w:tcBorders>
              <w:top w:val="nil"/>
              <w:left w:val="nil"/>
              <w:bottom w:val="single" w:sz="8" w:space="0" w:color="auto"/>
              <w:right w:val="single" w:sz="8" w:space="0" w:color="auto"/>
            </w:tcBorders>
            <w:vAlign w:val="center"/>
            <w:hideMark/>
          </w:tcPr>
          <w:p w14:paraId="354B11E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34</w:t>
            </w:r>
          </w:p>
        </w:tc>
        <w:tc>
          <w:tcPr>
            <w:tcW w:w="929" w:type="dxa"/>
            <w:tcBorders>
              <w:top w:val="nil"/>
              <w:left w:val="nil"/>
              <w:bottom w:val="single" w:sz="8" w:space="0" w:color="auto"/>
              <w:right w:val="single" w:sz="8" w:space="0" w:color="auto"/>
            </w:tcBorders>
            <w:vAlign w:val="center"/>
            <w:hideMark/>
          </w:tcPr>
          <w:p w14:paraId="1BFA2D53"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12.00%</w:t>
            </w:r>
          </w:p>
        </w:tc>
      </w:tr>
      <w:tr w:rsidR="009B0ED8" w:rsidRPr="009B0ED8" w14:paraId="3B4D1CC5"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6D91CD7A"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الدخل الشهري (ريال</w:t>
            </w:r>
            <w:r w:rsidRPr="009B0ED8">
              <w:rPr>
                <w:rFonts w:ascii="Arial" w:eastAsia="Times New Roman" w:hAnsi="Arial" w:cs="Arial"/>
                <w:b/>
                <w:bCs/>
                <w:color w:val="000000"/>
                <w:kern w:val="0"/>
                <w:sz w:val="21"/>
                <w:szCs w:val="21"/>
                <w14:ligatures w14:val="none"/>
              </w:rPr>
              <w:t>)</w:t>
            </w:r>
          </w:p>
        </w:tc>
        <w:tc>
          <w:tcPr>
            <w:tcW w:w="1890" w:type="dxa"/>
            <w:tcBorders>
              <w:top w:val="nil"/>
              <w:left w:val="nil"/>
              <w:bottom w:val="single" w:sz="8" w:space="0" w:color="auto"/>
              <w:right w:val="single" w:sz="8" w:space="0" w:color="auto"/>
            </w:tcBorders>
            <w:vAlign w:val="center"/>
            <w:hideMark/>
          </w:tcPr>
          <w:p w14:paraId="0D84A02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6,000-7,999</w:t>
            </w:r>
          </w:p>
        </w:tc>
        <w:tc>
          <w:tcPr>
            <w:tcW w:w="1229" w:type="dxa"/>
            <w:tcBorders>
              <w:top w:val="nil"/>
              <w:left w:val="nil"/>
              <w:bottom w:val="single" w:sz="8" w:space="0" w:color="auto"/>
              <w:right w:val="single" w:sz="8" w:space="0" w:color="auto"/>
            </w:tcBorders>
            <w:vAlign w:val="center"/>
            <w:hideMark/>
          </w:tcPr>
          <w:p w14:paraId="3401DD0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31</w:t>
            </w:r>
          </w:p>
        </w:tc>
        <w:tc>
          <w:tcPr>
            <w:tcW w:w="929" w:type="dxa"/>
            <w:tcBorders>
              <w:top w:val="nil"/>
              <w:left w:val="nil"/>
              <w:bottom w:val="single" w:sz="8" w:space="0" w:color="auto"/>
              <w:right w:val="single" w:sz="8" w:space="0" w:color="auto"/>
            </w:tcBorders>
            <w:vAlign w:val="center"/>
            <w:hideMark/>
          </w:tcPr>
          <w:p w14:paraId="468A1B7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11.00%</w:t>
            </w:r>
          </w:p>
        </w:tc>
      </w:tr>
      <w:tr w:rsidR="009B0ED8" w:rsidRPr="009B0ED8" w14:paraId="300B6F83"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1855784D"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21F4E76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8,000-14,999</w:t>
            </w:r>
          </w:p>
        </w:tc>
        <w:tc>
          <w:tcPr>
            <w:tcW w:w="1229" w:type="dxa"/>
            <w:tcBorders>
              <w:top w:val="nil"/>
              <w:left w:val="nil"/>
              <w:bottom w:val="single" w:sz="8" w:space="0" w:color="auto"/>
              <w:right w:val="single" w:sz="8" w:space="0" w:color="auto"/>
            </w:tcBorders>
            <w:vAlign w:val="center"/>
            <w:hideMark/>
          </w:tcPr>
          <w:p w14:paraId="4B5F4F69"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115</w:t>
            </w:r>
          </w:p>
        </w:tc>
        <w:tc>
          <w:tcPr>
            <w:tcW w:w="929" w:type="dxa"/>
            <w:tcBorders>
              <w:top w:val="nil"/>
              <w:left w:val="nil"/>
              <w:bottom w:val="single" w:sz="8" w:space="0" w:color="auto"/>
              <w:right w:val="single" w:sz="8" w:space="0" w:color="auto"/>
            </w:tcBorders>
            <w:vAlign w:val="center"/>
            <w:hideMark/>
          </w:tcPr>
          <w:p w14:paraId="227650E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40.60%</w:t>
            </w:r>
          </w:p>
        </w:tc>
      </w:tr>
      <w:tr w:rsidR="009B0ED8" w:rsidRPr="009B0ED8" w14:paraId="5630793A"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41C1BF25"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40CEBE0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15,000-24,999</w:t>
            </w:r>
          </w:p>
        </w:tc>
        <w:tc>
          <w:tcPr>
            <w:tcW w:w="1229" w:type="dxa"/>
            <w:tcBorders>
              <w:top w:val="nil"/>
              <w:left w:val="nil"/>
              <w:bottom w:val="single" w:sz="8" w:space="0" w:color="auto"/>
              <w:right w:val="single" w:sz="8" w:space="0" w:color="auto"/>
            </w:tcBorders>
            <w:vAlign w:val="center"/>
            <w:hideMark/>
          </w:tcPr>
          <w:p w14:paraId="565C758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88</w:t>
            </w:r>
          </w:p>
        </w:tc>
        <w:tc>
          <w:tcPr>
            <w:tcW w:w="929" w:type="dxa"/>
            <w:tcBorders>
              <w:top w:val="nil"/>
              <w:left w:val="nil"/>
              <w:bottom w:val="single" w:sz="8" w:space="0" w:color="auto"/>
              <w:right w:val="single" w:sz="8" w:space="0" w:color="auto"/>
            </w:tcBorders>
            <w:vAlign w:val="center"/>
            <w:hideMark/>
          </w:tcPr>
          <w:p w14:paraId="34164A63"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31.10%</w:t>
            </w:r>
          </w:p>
        </w:tc>
      </w:tr>
      <w:tr w:rsidR="009B0ED8" w:rsidRPr="009B0ED8" w14:paraId="78647F66"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1CA787EE"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6216717A"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25,000-29,999</w:t>
            </w:r>
          </w:p>
        </w:tc>
        <w:tc>
          <w:tcPr>
            <w:tcW w:w="1229" w:type="dxa"/>
            <w:tcBorders>
              <w:top w:val="nil"/>
              <w:left w:val="nil"/>
              <w:bottom w:val="single" w:sz="8" w:space="0" w:color="auto"/>
              <w:right w:val="single" w:sz="8" w:space="0" w:color="auto"/>
            </w:tcBorders>
            <w:vAlign w:val="center"/>
            <w:hideMark/>
          </w:tcPr>
          <w:p w14:paraId="120C421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20</w:t>
            </w:r>
          </w:p>
        </w:tc>
        <w:tc>
          <w:tcPr>
            <w:tcW w:w="929" w:type="dxa"/>
            <w:tcBorders>
              <w:top w:val="nil"/>
              <w:left w:val="nil"/>
              <w:bottom w:val="single" w:sz="8" w:space="0" w:color="auto"/>
              <w:right w:val="single" w:sz="8" w:space="0" w:color="auto"/>
            </w:tcBorders>
            <w:vAlign w:val="center"/>
            <w:hideMark/>
          </w:tcPr>
          <w:p w14:paraId="7B5148D8"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7.10%</w:t>
            </w:r>
          </w:p>
        </w:tc>
      </w:tr>
      <w:tr w:rsidR="009B0ED8" w:rsidRPr="009B0ED8" w14:paraId="7C099740" w14:textId="77777777" w:rsidTr="009B0ED8">
        <w:trPr>
          <w:trHeight w:val="315"/>
        </w:trPr>
        <w:tc>
          <w:tcPr>
            <w:tcW w:w="4537" w:type="dxa"/>
            <w:tcBorders>
              <w:top w:val="nil"/>
              <w:left w:val="single" w:sz="8" w:space="0" w:color="auto"/>
              <w:bottom w:val="single" w:sz="8" w:space="0" w:color="auto"/>
              <w:right w:val="single" w:sz="8" w:space="0" w:color="auto"/>
            </w:tcBorders>
            <w:vAlign w:val="center"/>
            <w:hideMark/>
          </w:tcPr>
          <w:p w14:paraId="427872DA" w14:textId="77777777" w:rsidR="009B0ED8" w:rsidRPr="009B0ED8" w:rsidRDefault="009B0ED8" w:rsidP="009B0ED8">
            <w:pPr>
              <w:spacing w:after="0" w:line="240" w:lineRule="auto"/>
              <w:jc w:val="center"/>
              <w:rPr>
                <w:rFonts w:ascii="Times New Roman" w:eastAsia="Times New Roman" w:hAnsi="Times New Roman" w:cs="Times New Roman"/>
                <w:color w:val="000000"/>
                <w:kern w:val="0"/>
                <w:sz w:val="20"/>
                <w:szCs w:val="20"/>
                <w:rtl/>
                <w14:ligatures w14:val="none"/>
              </w:rPr>
            </w:pPr>
            <w:r w:rsidRPr="009B0ED8">
              <w:rPr>
                <w:rFonts w:ascii="Times New Roman" w:eastAsia="Times New Roman" w:hAnsi="Times New Roman" w:cs="Times New Roman"/>
                <w:color w:val="000000"/>
                <w:kern w:val="0"/>
                <w:sz w:val="20"/>
                <w:szCs w:val="20"/>
                <w14:ligatures w14:val="none"/>
              </w:rPr>
              <w:t> </w:t>
            </w:r>
          </w:p>
        </w:tc>
        <w:tc>
          <w:tcPr>
            <w:tcW w:w="1890" w:type="dxa"/>
            <w:tcBorders>
              <w:top w:val="nil"/>
              <w:left w:val="nil"/>
              <w:bottom w:val="single" w:sz="8" w:space="0" w:color="auto"/>
              <w:right w:val="single" w:sz="8" w:space="0" w:color="auto"/>
            </w:tcBorders>
            <w:vAlign w:val="center"/>
            <w:hideMark/>
          </w:tcPr>
          <w:p w14:paraId="21DAE658"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 xml:space="preserve">30,000 </w:t>
            </w:r>
            <w:r w:rsidRPr="009B0ED8">
              <w:rPr>
                <w:rFonts w:ascii="Arial" w:eastAsia="Times New Roman" w:hAnsi="Arial" w:cs="Arial"/>
                <w:color w:val="000000"/>
                <w:kern w:val="0"/>
                <w:sz w:val="21"/>
                <w:szCs w:val="21"/>
                <w:rtl/>
                <w14:ligatures w14:val="none"/>
              </w:rPr>
              <w:t>فأكثر</w:t>
            </w:r>
          </w:p>
        </w:tc>
        <w:tc>
          <w:tcPr>
            <w:tcW w:w="1229" w:type="dxa"/>
            <w:tcBorders>
              <w:top w:val="nil"/>
              <w:left w:val="nil"/>
              <w:bottom w:val="single" w:sz="8" w:space="0" w:color="auto"/>
              <w:right w:val="single" w:sz="8" w:space="0" w:color="auto"/>
            </w:tcBorders>
            <w:vAlign w:val="center"/>
            <w:hideMark/>
          </w:tcPr>
          <w:p w14:paraId="65C38CF1"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29</w:t>
            </w:r>
          </w:p>
        </w:tc>
        <w:tc>
          <w:tcPr>
            <w:tcW w:w="929" w:type="dxa"/>
            <w:tcBorders>
              <w:top w:val="nil"/>
              <w:left w:val="nil"/>
              <w:bottom w:val="single" w:sz="8" w:space="0" w:color="auto"/>
              <w:right w:val="single" w:sz="8" w:space="0" w:color="auto"/>
            </w:tcBorders>
            <w:vAlign w:val="center"/>
            <w:hideMark/>
          </w:tcPr>
          <w:p w14:paraId="1A02E4A0"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10.20%</w:t>
            </w:r>
          </w:p>
        </w:tc>
      </w:tr>
    </w:tbl>
    <w:p w14:paraId="5DB9BFD9" w14:textId="77777777" w:rsidR="009B0ED8" w:rsidRPr="009B0ED8" w:rsidRDefault="009B0ED8" w:rsidP="00D22171">
      <w:pPr>
        <w:rPr>
          <w:rFonts w:ascii="Sakkal Majalla" w:hAnsi="Sakkal Majalla" w:cs="Sakkal Majalla"/>
          <w:b/>
          <w:bCs/>
          <w:sz w:val="28"/>
          <w:szCs w:val="28"/>
          <w:rtl/>
        </w:rPr>
      </w:pPr>
    </w:p>
    <w:p w14:paraId="468F03A3" w14:textId="52D26B55" w:rsidR="00BC094B" w:rsidRPr="009B0ED8" w:rsidRDefault="009B0ED8" w:rsidP="00D22171">
      <w:pPr>
        <w:rPr>
          <w:rFonts w:ascii="Sakkal Majalla" w:hAnsi="Sakkal Majalla" w:cs="Sakkal Majalla"/>
          <w:sz w:val="28"/>
          <w:szCs w:val="28"/>
          <w:rtl/>
        </w:rPr>
      </w:pPr>
      <w:r w:rsidRPr="009B0ED8">
        <w:rPr>
          <w:rFonts w:ascii="Sakkal Majalla" w:hAnsi="Sakkal Majalla" w:cs="Sakkal Majalla"/>
          <w:sz w:val="28"/>
          <w:szCs w:val="28"/>
          <w:rtl/>
        </w:rPr>
        <w:t>يلاحظ من الجدول أعلاه أن العينة تميل بشكل واضح نحو الذكور (87.3%)، وأن غالبية المشاركين (68.2%) تتراوح أعمارهم بين 20 و35 سنة، وأن الشريحة الأكبر من حيث الدخل الشهري (40.6%) تقع بين 8,000 و14,999 ريال. ويمثل هذا التركيب الديموغرافي محدودية ينبغي مراعاتها عند تعميم النتائج، كما هو موضح لاحقًا في حدود الدراسة.</w:t>
      </w:r>
    </w:p>
    <w:p w14:paraId="37A71C24" w14:textId="608712F5" w:rsidR="00BC094B" w:rsidRPr="009B0ED8" w:rsidRDefault="009B0ED8" w:rsidP="00D22171">
      <w:pPr>
        <w:rPr>
          <w:rFonts w:ascii="Sakkal Majalla" w:hAnsi="Sakkal Majalla" w:cs="Sakkal Majalla"/>
          <w:b/>
          <w:bCs/>
          <w:sz w:val="28"/>
          <w:szCs w:val="28"/>
          <w:rtl/>
        </w:rPr>
      </w:pPr>
      <w:r w:rsidRPr="009B0ED8">
        <w:rPr>
          <w:rFonts w:ascii="Sakkal Majalla" w:hAnsi="Sakkal Majalla" w:cs="Sakkal Majalla"/>
          <w:b/>
          <w:bCs/>
          <w:sz w:val="28"/>
          <w:szCs w:val="28"/>
          <w:rtl/>
        </w:rPr>
        <w:t>ثانيًا: الإحصاء الوصفي لمحاور الاستبانة</w:t>
      </w:r>
    </w:p>
    <w:tbl>
      <w:tblPr>
        <w:bidiVisual/>
        <w:tblW w:w="8560" w:type="dxa"/>
        <w:tblLook w:val="04A0" w:firstRow="1" w:lastRow="0" w:firstColumn="1" w:lastColumn="0" w:noHBand="0" w:noVBand="1"/>
      </w:tblPr>
      <w:tblGrid>
        <w:gridCol w:w="3199"/>
        <w:gridCol w:w="929"/>
        <w:gridCol w:w="929"/>
        <w:gridCol w:w="929"/>
        <w:gridCol w:w="1240"/>
        <w:gridCol w:w="1334"/>
      </w:tblGrid>
      <w:tr w:rsidR="009B0ED8" w:rsidRPr="009B0ED8" w14:paraId="6A33F107" w14:textId="77777777" w:rsidTr="009B0ED8">
        <w:trPr>
          <w:trHeight w:val="315"/>
        </w:trPr>
        <w:tc>
          <w:tcPr>
            <w:tcW w:w="3199"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080BF112"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14:ligatures w14:val="none"/>
              </w:rPr>
            </w:pPr>
            <w:r w:rsidRPr="009B0ED8">
              <w:rPr>
                <w:rFonts w:ascii="Arial" w:eastAsia="Times New Roman" w:hAnsi="Arial" w:cs="Arial"/>
                <w:b/>
                <w:bCs/>
                <w:color w:val="FFFFFF"/>
                <w:kern w:val="0"/>
                <w:sz w:val="21"/>
                <w:szCs w:val="21"/>
                <w:rtl/>
                <w14:ligatures w14:val="none"/>
              </w:rPr>
              <w:t>العبارة</w:t>
            </w:r>
          </w:p>
        </w:tc>
        <w:tc>
          <w:tcPr>
            <w:tcW w:w="929" w:type="dxa"/>
            <w:tcBorders>
              <w:top w:val="single" w:sz="8" w:space="0" w:color="auto"/>
              <w:left w:val="nil"/>
              <w:bottom w:val="single" w:sz="8" w:space="0" w:color="auto"/>
              <w:right w:val="single" w:sz="8" w:space="0" w:color="auto"/>
            </w:tcBorders>
            <w:shd w:val="clear" w:color="000000" w:fill="1F4E79"/>
            <w:vAlign w:val="center"/>
            <w:hideMark/>
          </w:tcPr>
          <w:p w14:paraId="4D2BF6C3"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أوافق</w:t>
            </w:r>
          </w:p>
        </w:tc>
        <w:tc>
          <w:tcPr>
            <w:tcW w:w="929" w:type="dxa"/>
            <w:tcBorders>
              <w:top w:val="single" w:sz="8" w:space="0" w:color="auto"/>
              <w:left w:val="nil"/>
              <w:bottom w:val="single" w:sz="8" w:space="0" w:color="auto"/>
              <w:right w:val="single" w:sz="8" w:space="0" w:color="auto"/>
            </w:tcBorders>
            <w:shd w:val="clear" w:color="000000" w:fill="1F4E79"/>
            <w:vAlign w:val="center"/>
            <w:hideMark/>
          </w:tcPr>
          <w:p w14:paraId="2AA66BA9"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محايد</w:t>
            </w:r>
          </w:p>
        </w:tc>
        <w:tc>
          <w:tcPr>
            <w:tcW w:w="929" w:type="dxa"/>
            <w:tcBorders>
              <w:top w:val="single" w:sz="8" w:space="0" w:color="auto"/>
              <w:left w:val="nil"/>
              <w:bottom w:val="single" w:sz="8" w:space="0" w:color="auto"/>
              <w:right w:val="single" w:sz="8" w:space="0" w:color="auto"/>
            </w:tcBorders>
            <w:shd w:val="clear" w:color="000000" w:fill="1F4E79"/>
            <w:vAlign w:val="center"/>
            <w:hideMark/>
          </w:tcPr>
          <w:p w14:paraId="4D7CFD8C"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لا</w:t>
            </w:r>
            <w:r w:rsidRPr="009B0ED8">
              <w:rPr>
                <w:rFonts w:ascii="Arial" w:eastAsia="Times New Roman" w:hAnsi="Arial" w:cs="Arial"/>
                <w:b/>
                <w:bCs/>
                <w:color w:val="FFFFFF"/>
                <w:kern w:val="0"/>
                <w:sz w:val="21"/>
                <w:szCs w:val="21"/>
                <w14:ligatures w14:val="none"/>
              </w:rPr>
              <w:t xml:space="preserve"> </w:t>
            </w:r>
            <w:r w:rsidRPr="009B0ED8">
              <w:rPr>
                <w:rFonts w:ascii="Arial" w:eastAsia="Times New Roman" w:hAnsi="Arial" w:cs="Arial"/>
                <w:b/>
                <w:bCs/>
                <w:color w:val="FFFFFF"/>
                <w:kern w:val="0"/>
                <w:sz w:val="21"/>
                <w:szCs w:val="21"/>
                <w:rtl/>
                <w14:ligatures w14:val="none"/>
              </w:rPr>
              <w:t>أوافق</w:t>
            </w:r>
          </w:p>
        </w:tc>
        <w:tc>
          <w:tcPr>
            <w:tcW w:w="1240" w:type="dxa"/>
            <w:tcBorders>
              <w:top w:val="single" w:sz="8" w:space="0" w:color="auto"/>
              <w:left w:val="nil"/>
              <w:bottom w:val="single" w:sz="8" w:space="0" w:color="auto"/>
              <w:right w:val="single" w:sz="8" w:space="0" w:color="auto"/>
            </w:tcBorders>
            <w:shd w:val="clear" w:color="000000" w:fill="1F4E79"/>
            <w:vAlign w:val="center"/>
            <w:hideMark/>
          </w:tcPr>
          <w:p w14:paraId="4F17C4D1"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المتوسط</w:t>
            </w:r>
            <w:r w:rsidRPr="009B0ED8">
              <w:rPr>
                <w:rFonts w:ascii="Arial" w:eastAsia="Times New Roman" w:hAnsi="Arial" w:cs="Arial"/>
                <w:b/>
                <w:bCs/>
                <w:color w:val="FFFFFF"/>
                <w:kern w:val="0"/>
                <w:sz w:val="21"/>
                <w:szCs w:val="21"/>
                <w14:ligatures w14:val="none"/>
              </w:rPr>
              <w:t xml:space="preserve"> (</w:t>
            </w:r>
            <w:r w:rsidRPr="009B0ED8">
              <w:rPr>
                <w:rFonts w:ascii="Arial" w:eastAsia="Times New Roman" w:hAnsi="Arial" w:cs="Arial"/>
                <w:b/>
                <w:bCs/>
                <w:color w:val="FFFFFF"/>
                <w:kern w:val="0"/>
                <w:sz w:val="21"/>
                <w:szCs w:val="21"/>
                <w:rtl/>
                <w14:ligatures w14:val="none"/>
              </w:rPr>
              <w:t>من 3</w:t>
            </w:r>
            <w:r w:rsidRPr="009B0ED8">
              <w:rPr>
                <w:rFonts w:ascii="Arial" w:eastAsia="Times New Roman" w:hAnsi="Arial" w:cs="Arial"/>
                <w:b/>
                <w:bCs/>
                <w:color w:val="FFFFFF"/>
                <w:kern w:val="0"/>
                <w:sz w:val="21"/>
                <w:szCs w:val="21"/>
                <w14:ligatures w14:val="none"/>
              </w:rPr>
              <w:t>)</w:t>
            </w:r>
          </w:p>
        </w:tc>
        <w:tc>
          <w:tcPr>
            <w:tcW w:w="1334" w:type="dxa"/>
            <w:tcBorders>
              <w:top w:val="single" w:sz="8" w:space="0" w:color="auto"/>
              <w:left w:val="nil"/>
              <w:bottom w:val="single" w:sz="8" w:space="0" w:color="auto"/>
              <w:right w:val="single" w:sz="8" w:space="0" w:color="auto"/>
            </w:tcBorders>
            <w:shd w:val="clear" w:color="000000" w:fill="1F4E79"/>
            <w:vAlign w:val="center"/>
            <w:hideMark/>
          </w:tcPr>
          <w:p w14:paraId="5DE66169"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الانحراف</w:t>
            </w:r>
            <w:r w:rsidRPr="009B0ED8">
              <w:rPr>
                <w:rFonts w:ascii="Arial" w:eastAsia="Times New Roman" w:hAnsi="Arial" w:cs="Arial"/>
                <w:b/>
                <w:bCs/>
                <w:color w:val="FFFFFF"/>
                <w:kern w:val="0"/>
                <w:sz w:val="21"/>
                <w:szCs w:val="21"/>
                <w14:ligatures w14:val="none"/>
              </w:rPr>
              <w:t xml:space="preserve"> </w:t>
            </w:r>
            <w:r w:rsidRPr="009B0ED8">
              <w:rPr>
                <w:rFonts w:ascii="Arial" w:eastAsia="Times New Roman" w:hAnsi="Arial" w:cs="Arial"/>
                <w:b/>
                <w:bCs/>
                <w:color w:val="FFFFFF"/>
                <w:kern w:val="0"/>
                <w:sz w:val="21"/>
                <w:szCs w:val="21"/>
                <w:rtl/>
                <w14:ligatures w14:val="none"/>
              </w:rPr>
              <w:t>المعياري</w:t>
            </w:r>
          </w:p>
        </w:tc>
      </w:tr>
      <w:tr w:rsidR="009B0ED8" w:rsidRPr="009B0ED8" w14:paraId="7BDA1E3D" w14:textId="77777777" w:rsidTr="009B0ED8">
        <w:trPr>
          <w:trHeight w:val="315"/>
        </w:trPr>
        <w:tc>
          <w:tcPr>
            <w:tcW w:w="3199" w:type="dxa"/>
            <w:tcBorders>
              <w:top w:val="nil"/>
              <w:left w:val="single" w:sz="8" w:space="0" w:color="auto"/>
              <w:bottom w:val="single" w:sz="8" w:space="0" w:color="auto"/>
              <w:right w:val="single" w:sz="8" w:space="0" w:color="auto"/>
            </w:tcBorders>
            <w:vAlign w:val="center"/>
            <w:hideMark/>
          </w:tcPr>
          <w:p w14:paraId="65B28B5B"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الرضا عن المرونة الحالية</w:t>
            </w:r>
          </w:p>
        </w:tc>
        <w:tc>
          <w:tcPr>
            <w:tcW w:w="929" w:type="dxa"/>
            <w:tcBorders>
              <w:top w:val="nil"/>
              <w:left w:val="nil"/>
              <w:bottom w:val="single" w:sz="8" w:space="0" w:color="auto"/>
              <w:right w:val="single" w:sz="8" w:space="0" w:color="auto"/>
            </w:tcBorders>
            <w:vAlign w:val="center"/>
            <w:hideMark/>
          </w:tcPr>
          <w:p w14:paraId="0D991EE4"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27.60%</w:t>
            </w:r>
          </w:p>
        </w:tc>
        <w:tc>
          <w:tcPr>
            <w:tcW w:w="929" w:type="dxa"/>
            <w:tcBorders>
              <w:top w:val="nil"/>
              <w:left w:val="nil"/>
              <w:bottom w:val="single" w:sz="8" w:space="0" w:color="auto"/>
              <w:right w:val="single" w:sz="8" w:space="0" w:color="auto"/>
            </w:tcBorders>
            <w:vAlign w:val="center"/>
            <w:hideMark/>
          </w:tcPr>
          <w:p w14:paraId="4642DBD5"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41.00%</w:t>
            </w:r>
          </w:p>
        </w:tc>
        <w:tc>
          <w:tcPr>
            <w:tcW w:w="929" w:type="dxa"/>
            <w:tcBorders>
              <w:top w:val="nil"/>
              <w:left w:val="nil"/>
              <w:bottom w:val="single" w:sz="8" w:space="0" w:color="auto"/>
              <w:right w:val="single" w:sz="8" w:space="0" w:color="auto"/>
            </w:tcBorders>
            <w:vAlign w:val="center"/>
            <w:hideMark/>
          </w:tcPr>
          <w:p w14:paraId="0DF84D67"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31.40%</w:t>
            </w:r>
          </w:p>
        </w:tc>
        <w:tc>
          <w:tcPr>
            <w:tcW w:w="1240" w:type="dxa"/>
            <w:tcBorders>
              <w:top w:val="nil"/>
              <w:left w:val="nil"/>
              <w:bottom w:val="single" w:sz="8" w:space="0" w:color="auto"/>
              <w:right w:val="single" w:sz="8" w:space="0" w:color="auto"/>
            </w:tcBorders>
            <w:vAlign w:val="center"/>
            <w:hideMark/>
          </w:tcPr>
          <w:p w14:paraId="09BE25CA"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1.96</w:t>
            </w:r>
          </w:p>
        </w:tc>
        <w:tc>
          <w:tcPr>
            <w:tcW w:w="1334" w:type="dxa"/>
            <w:tcBorders>
              <w:top w:val="nil"/>
              <w:left w:val="nil"/>
              <w:bottom w:val="single" w:sz="8" w:space="0" w:color="auto"/>
              <w:right w:val="single" w:sz="8" w:space="0" w:color="auto"/>
            </w:tcBorders>
            <w:vAlign w:val="center"/>
            <w:hideMark/>
          </w:tcPr>
          <w:p w14:paraId="5EBC60CA"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0.77</w:t>
            </w:r>
          </w:p>
        </w:tc>
      </w:tr>
      <w:tr w:rsidR="009B0ED8" w:rsidRPr="009B0ED8" w14:paraId="4C9C0565" w14:textId="77777777" w:rsidTr="009B0ED8">
        <w:trPr>
          <w:trHeight w:val="315"/>
        </w:trPr>
        <w:tc>
          <w:tcPr>
            <w:tcW w:w="3199" w:type="dxa"/>
            <w:tcBorders>
              <w:top w:val="nil"/>
              <w:left w:val="single" w:sz="8" w:space="0" w:color="auto"/>
              <w:bottom w:val="single" w:sz="8" w:space="0" w:color="auto"/>
              <w:right w:val="single" w:sz="8" w:space="0" w:color="auto"/>
            </w:tcBorders>
            <w:vAlign w:val="center"/>
            <w:hideMark/>
          </w:tcPr>
          <w:p w14:paraId="79C709D6"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إدراك القيد (الالتزام بمركبة واحدة مقيِّد)</w:t>
            </w:r>
          </w:p>
        </w:tc>
        <w:tc>
          <w:tcPr>
            <w:tcW w:w="929" w:type="dxa"/>
            <w:tcBorders>
              <w:top w:val="nil"/>
              <w:left w:val="nil"/>
              <w:bottom w:val="single" w:sz="8" w:space="0" w:color="auto"/>
              <w:right w:val="single" w:sz="8" w:space="0" w:color="auto"/>
            </w:tcBorders>
            <w:vAlign w:val="center"/>
            <w:hideMark/>
          </w:tcPr>
          <w:p w14:paraId="63D1445C"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60.80%</w:t>
            </w:r>
          </w:p>
        </w:tc>
        <w:tc>
          <w:tcPr>
            <w:tcW w:w="929" w:type="dxa"/>
            <w:tcBorders>
              <w:top w:val="nil"/>
              <w:left w:val="nil"/>
              <w:bottom w:val="single" w:sz="8" w:space="0" w:color="auto"/>
              <w:right w:val="single" w:sz="8" w:space="0" w:color="auto"/>
            </w:tcBorders>
            <w:vAlign w:val="center"/>
            <w:hideMark/>
          </w:tcPr>
          <w:p w14:paraId="6E3873B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22.30%</w:t>
            </w:r>
          </w:p>
        </w:tc>
        <w:tc>
          <w:tcPr>
            <w:tcW w:w="929" w:type="dxa"/>
            <w:tcBorders>
              <w:top w:val="nil"/>
              <w:left w:val="nil"/>
              <w:bottom w:val="single" w:sz="8" w:space="0" w:color="auto"/>
              <w:right w:val="single" w:sz="8" w:space="0" w:color="auto"/>
            </w:tcBorders>
            <w:vAlign w:val="center"/>
            <w:hideMark/>
          </w:tcPr>
          <w:p w14:paraId="06BCC5D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17.00%</w:t>
            </w:r>
          </w:p>
        </w:tc>
        <w:tc>
          <w:tcPr>
            <w:tcW w:w="1240" w:type="dxa"/>
            <w:tcBorders>
              <w:top w:val="nil"/>
              <w:left w:val="nil"/>
              <w:bottom w:val="single" w:sz="8" w:space="0" w:color="auto"/>
              <w:right w:val="single" w:sz="8" w:space="0" w:color="auto"/>
            </w:tcBorders>
            <w:vAlign w:val="center"/>
            <w:hideMark/>
          </w:tcPr>
          <w:p w14:paraId="12FFB616"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2.44</w:t>
            </w:r>
          </w:p>
        </w:tc>
        <w:tc>
          <w:tcPr>
            <w:tcW w:w="1334" w:type="dxa"/>
            <w:tcBorders>
              <w:top w:val="nil"/>
              <w:left w:val="nil"/>
              <w:bottom w:val="single" w:sz="8" w:space="0" w:color="auto"/>
              <w:right w:val="single" w:sz="8" w:space="0" w:color="auto"/>
            </w:tcBorders>
            <w:vAlign w:val="center"/>
            <w:hideMark/>
          </w:tcPr>
          <w:p w14:paraId="76F914B3"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0.77</w:t>
            </w:r>
          </w:p>
        </w:tc>
      </w:tr>
      <w:tr w:rsidR="009B0ED8" w:rsidRPr="009B0ED8" w14:paraId="10EB46B4" w14:textId="77777777" w:rsidTr="009B0ED8">
        <w:trPr>
          <w:trHeight w:val="315"/>
        </w:trPr>
        <w:tc>
          <w:tcPr>
            <w:tcW w:w="3199" w:type="dxa"/>
            <w:tcBorders>
              <w:top w:val="nil"/>
              <w:left w:val="single" w:sz="8" w:space="0" w:color="auto"/>
              <w:bottom w:val="single" w:sz="8" w:space="0" w:color="auto"/>
              <w:right w:val="single" w:sz="8" w:space="0" w:color="auto"/>
            </w:tcBorders>
            <w:vAlign w:val="center"/>
            <w:hideMark/>
          </w:tcPr>
          <w:p w14:paraId="1887E2F6"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ميزة الاستبدال ستزيد الرضا</w:t>
            </w:r>
          </w:p>
        </w:tc>
        <w:tc>
          <w:tcPr>
            <w:tcW w:w="929" w:type="dxa"/>
            <w:tcBorders>
              <w:top w:val="nil"/>
              <w:left w:val="nil"/>
              <w:bottom w:val="single" w:sz="8" w:space="0" w:color="auto"/>
              <w:right w:val="single" w:sz="8" w:space="0" w:color="auto"/>
            </w:tcBorders>
            <w:vAlign w:val="center"/>
            <w:hideMark/>
          </w:tcPr>
          <w:p w14:paraId="301AC718"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83.70%</w:t>
            </w:r>
          </w:p>
        </w:tc>
        <w:tc>
          <w:tcPr>
            <w:tcW w:w="929" w:type="dxa"/>
            <w:tcBorders>
              <w:top w:val="nil"/>
              <w:left w:val="nil"/>
              <w:bottom w:val="single" w:sz="8" w:space="0" w:color="auto"/>
              <w:right w:val="single" w:sz="8" w:space="0" w:color="auto"/>
            </w:tcBorders>
            <w:vAlign w:val="center"/>
            <w:hideMark/>
          </w:tcPr>
          <w:p w14:paraId="0E54A163"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12.00%</w:t>
            </w:r>
          </w:p>
        </w:tc>
        <w:tc>
          <w:tcPr>
            <w:tcW w:w="929" w:type="dxa"/>
            <w:tcBorders>
              <w:top w:val="nil"/>
              <w:left w:val="nil"/>
              <w:bottom w:val="single" w:sz="8" w:space="0" w:color="auto"/>
              <w:right w:val="single" w:sz="8" w:space="0" w:color="auto"/>
            </w:tcBorders>
            <w:vAlign w:val="center"/>
            <w:hideMark/>
          </w:tcPr>
          <w:p w14:paraId="5FC0193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4.20%</w:t>
            </w:r>
          </w:p>
        </w:tc>
        <w:tc>
          <w:tcPr>
            <w:tcW w:w="1240" w:type="dxa"/>
            <w:tcBorders>
              <w:top w:val="nil"/>
              <w:left w:val="nil"/>
              <w:bottom w:val="single" w:sz="8" w:space="0" w:color="auto"/>
              <w:right w:val="single" w:sz="8" w:space="0" w:color="auto"/>
            </w:tcBorders>
            <w:vAlign w:val="center"/>
            <w:hideMark/>
          </w:tcPr>
          <w:p w14:paraId="67956E42"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2.8</w:t>
            </w:r>
          </w:p>
        </w:tc>
        <w:tc>
          <w:tcPr>
            <w:tcW w:w="1334" w:type="dxa"/>
            <w:tcBorders>
              <w:top w:val="nil"/>
              <w:left w:val="nil"/>
              <w:bottom w:val="single" w:sz="8" w:space="0" w:color="auto"/>
              <w:right w:val="single" w:sz="8" w:space="0" w:color="auto"/>
            </w:tcBorders>
            <w:vAlign w:val="center"/>
            <w:hideMark/>
          </w:tcPr>
          <w:p w14:paraId="6AB3DB27"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0.5</w:t>
            </w:r>
          </w:p>
        </w:tc>
      </w:tr>
      <w:tr w:rsidR="009B0ED8" w:rsidRPr="009B0ED8" w14:paraId="71F376CC" w14:textId="77777777" w:rsidTr="009B0ED8">
        <w:trPr>
          <w:trHeight w:val="315"/>
        </w:trPr>
        <w:tc>
          <w:tcPr>
            <w:tcW w:w="3199" w:type="dxa"/>
            <w:tcBorders>
              <w:top w:val="nil"/>
              <w:left w:val="single" w:sz="8" w:space="0" w:color="auto"/>
              <w:bottom w:val="single" w:sz="8" w:space="0" w:color="auto"/>
              <w:right w:val="single" w:sz="8" w:space="0" w:color="auto"/>
            </w:tcBorders>
            <w:vAlign w:val="center"/>
            <w:hideMark/>
          </w:tcPr>
          <w:p w14:paraId="2D043192"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الاستعداد لتحمل الصيانة الدورية</w:t>
            </w:r>
          </w:p>
        </w:tc>
        <w:tc>
          <w:tcPr>
            <w:tcW w:w="929" w:type="dxa"/>
            <w:tcBorders>
              <w:top w:val="nil"/>
              <w:left w:val="nil"/>
              <w:bottom w:val="single" w:sz="8" w:space="0" w:color="auto"/>
              <w:right w:val="single" w:sz="8" w:space="0" w:color="auto"/>
            </w:tcBorders>
            <w:vAlign w:val="center"/>
            <w:hideMark/>
          </w:tcPr>
          <w:p w14:paraId="14EE8123"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68.20%</w:t>
            </w:r>
          </w:p>
        </w:tc>
        <w:tc>
          <w:tcPr>
            <w:tcW w:w="929" w:type="dxa"/>
            <w:tcBorders>
              <w:top w:val="nil"/>
              <w:left w:val="nil"/>
              <w:bottom w:val="single" w:sz="8" w:space="0" w:color="auto"/>
              <w:right w:val="single" w:sz="8" w:space="0" w:color="auto"/>
            </w:tcBorders>
            <w:vAlign w:val="center"/>
            <w:hideMark/>
          </w:tcPr>
          <w:p w14:paraId="1CDCE00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18.70%</w:t>
            </w:r>
          </w:p>
        </w:tc>
        <w:tc>
          <w:tcPr>
            <w:tcW w:w="929" w:type="dxa"/>
            <w:tcBorders>
              <w:top w:val="nil"/>
              <w:left w:val="nil"/>
              <w:bottom w:val="single" w:sz="8" w:space="0" w:color="auto"/>
              <w:right w:val="single" w:sz="8" w:space="0" w:color="auto"/>
            </w:tcBorders>
            <w:vAlign w:val="center"/>
            <w:hideMark/>
          </w:tcPr>
          <w:p w14:paraId="608C1F5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13.10%</w:t>
            </w:r>
          </w:p>
        </w:tc>
        <w:tc>
          <w:tcPr>
            <w:tcW w:w="1240" w:type="dxa"/>
            <w:tcBorders>
              <w:top w:val="nil"/>
              <w:left w:val="nil"/>
              <w:bottom w:val="single" w:sz="8" w:space="0" w:color="auto"/>
              <w:right w:val="single" w:sz="8" w:space="0" w:color="auto"/>
            </w:tcBorders>
            <w:vAlign w:val="center"/>
            <w:hideMark/>
          </w:tcPr>
          <w:p w14:paraId="7A9C78B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2.55</w:t>
            </w:r>
          </w:p>
        </w:tc>
        <w:tc>
          <w:tcPr>
            <w:tcW w:w="1334" w:type="dxa"/>
            <w:tcBorders>
              <w:top w:val="nil"/>
              <w:left w:val="nil"/>
              <w:bottom w:val="single" w:sz="8" w:space="0" w:color="auto"/>
              <w:right w:val="single" w:sz="8" w:space="0" w:color="auto"/>
            </w:tcBorders>
            <w:vAlign w:val="center"/>
            <w:hideMark/>
          </w:tcPr>
          <w:p w14:paraId="5FD10D2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0.71</w:t>
            </w:r>
          </w:p>
        </w:tc>
      </w:tr>
      <w:tr w:rsidR="009B0ED8" w:rsidRPr="009B0ED8" w14:paraId="41B0BDBE" w14:textId="77777777" w:rsidTr="009B0ED8">
        <w:trPr>
          <w:trHeight w:val="315"/>
        </w:trPr>
        <w:tc>
          <w:tcPr>
            <w:tcW w:w="3199" w:type="dxa"/>
            <w:tcBorders>
              <w:top w:val="nil"/>
              <w:left w:val="single" w:sz="8" w:space="0" w:color="auto"/>
              <w:bottom w:val="single" w:sz="8" w:space="0" w:color="auto"/>
              <w:right w:val="single" w:sz="8" w:space="0" w:color="auto"/>
            </w:tcBorders>
            <w:vAlign w:val="center"/>
            <w:hideMark/>
          </w:tcPr>
          <w:p w14:paraId="24216F31"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الاستعداد لمتابعة عداد المسافة</w:t>
            </w:r>
          </w:p>
        </w:tc>
        <w:tc>
          <w:tcPr>
            <w:tcW w:w="929" w:type="dxa"/>
            <w:tcBorders>
              <w:top w:val="nil"/>
              <w:left w:val="nil"/>
              <w:bottom w:val="single" w:sz="8" w:space="0" w:color="auto"/>
              <w:right w:val="single" w:sz="8" w:space="0" w:color="auto"/>
            </w:tcBorders>
            <w:vAlign w:val="center"/>
            <w:hideMark/>
          </w:tcPr>
          <w:p w14:paraId="31B360A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84.50%</w:t>
            </w:r>
          </w:p>
        </w:tc>
        <w:tc>
          <w:tcPr>
            <w:tcW w:w="929" w:type="dxa"/>
            <w:tcBorders>
              <w:top w:val="nil"/>
              <w:left w:val="nil"/>
              <w:bottom w:val="single" w:sz="8" w:space="0" w:color="auto"/>
              <w:right w:val="single" w:sz="8" w:space="0" w:color="auto"/>
            </w:tcBorders>
            <w:vAlign w:val="center"/>
            <w:hideMark/>
          </w:tcPr>
          <w:p w14:paraId="49909753"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9.50%</w:t>
            </w:r>
          </w:p>
        </w:tc>
        <w:tc>
          <w:tcPr>
            <w:tcW w:w="929" w:type="dxa"/>
            <w:tcBorders>
              <w:top w:val="nil"/>
              <w:left w:val="nil"/>
              <w:bottom w:val="single" w:sz="8" w:space="0" w:color="auto"/>
              <w:right w:val="single" w:sz="8" w:space="0" w:color="auto"/>
            </w:tcBorders>
            <w:vAlign w:val="center"/>
            <w:hideMark/>
          </w:tcPr>
          <w:p w14:paraId="4B0A3A1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4.90%</w:t>
            </w:r>
          </w:p>
        </w:tc>
        <w:tc>
          <w:tcPr>
            <w:tcW w:w="1240" w:type="dxa"/>
            <w:tcBorders>
              <w:top w:val="nil"/>
              <w:left w:val="nil"/>
              <w:bottom w:val="single" w:sz="8" w:space="0" w:color="auto"/>
              <w:right w:val="single" w:sz="8" w:space="0" w:color="auto"/>
            </w:tcBorders>
            <w:vAlign w:val="center"/>
            <w:hideMark/>
          </w:tcPr>
          <w:p w14:paraId="62649179"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2.81</w:t>
            </w:r>
          </w:p>
        </w:tc>
        <w:tc>
          <w:tcPr>
            <w:tcW w:w="1334" w:type="dxa"/>
            <w:tcBorders>
              <w:top w:val="nil"/>
              <w:left w:val="nil"/>
              <w:bottom w:val="single" w:sz="8" w:space="0" w:color="auto"/>
              <w:right w:val="single" w:sz="8" w:space="0" w:color="auto"/>
            </w:tcBorders>
            <w:vAlign w:val="center"/>
            <w:hideMark/>
          </w:tcPr>
          <w:p w14:paraId="472DC378"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0.51</w:t>
            </w:r>
          </w:p>
        </w:tc>
      </w:tr>
      <w:tr w:rsidR="009B0ED8" w:rsidRPr="009B0ED8" w14:paraId="58D95066" w14:textId="77777777" w:rsidTr="009B0ED8">
        <w:trPr>
          <w:trHeight w:val="315"/>
        </w:trPr>
        <w:tc>
          <w:tcPr>
            <w:tcW w:w="3199" w:type="dxa"/>
            <w:tcBorders>
              <w:top w:val="nil"/>
              <w:left w:val="single" w:sz="8" w:space="0" w:color="auto"/>
              <w:bottom w:val="single" w:sz="8" w:space="0" w:color="auto"/>
              <w:right w:val="single" w:sz="8" w:space="0" w:color="auto"/>
            </w:tcBorders>
            <w:vAlign w:val="center"/>
            <w:hideMark/>
          </w:tcPr>
          <w:p w14:paraId="346BF21F"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تأييد طرح النموذج كمنتج فعلي</w:t>
            </w:r>
          </w:p>
        </w:tc>
        <w:tc>
          <w:tcPr>
            <w:tcW w:w="929" w:type="dxa"/>
            <w:tcBorders>
              <w:top w:val="nil"/>
              <w:left w:val="nil"/>
              <w:bottom w:val="single" w:sz="8" w:space="0" w:color="auto"/>
              <w:right w:val="single" w:sz="8" w:space="0" w:color="auto"/>
            </w:tcBorders>
            <w:vAlign w:val="center"/>
            <w:hideMark/>
          </w:tcPr>
          <w:p w14:paraId="2C346FC5"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88.30%</w:t>
            </w:r>
          </w:p>
        </w:tc>
        <w:tc>
          <w:tcPr>
            <w:tcW w:w="929" w:type="dxa"/>
            <w:tcBorders>
              <w:top w:val="nil"/>
              <w:left w:val="nil"/>
              <w:bottom w:val="single" w:sz="8" w:space="0" w:color="auto"/>
              <w:right w:val="single" w:sz="8" w:space="0" w:color="auto"/>
            </w:tcBorders>
            <w:vAlign w:val="center"/>
            <w:hideMark/>
          </w:tcPr>
          <w:p w14:paraId="72B0B09B"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10.20%</w:t>
            </w:r>
          </w:p>
        </w:tc>
        <w:tc>
          <w:tcPr>
            <w:tcW w:w="929" w:type="dxa"/>
            <w:tcBorders>
              <w:top w:val="nil"/>
              <w:left w:val="nil"/>
              <w:bottom w:val="single" w:sz="8" w:space="0" w:color="auto"/>
              <w:right w:val="single" w:sz="8" w:space="0" w:color="auto"/>
            </w:tcBorders>
            <w:vAlign w:val="center"/>
            <w:hideMark/>
          </w:tcPr>
          <w:p w14:paraId="7F74148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1.40%</w:t>
            </w:r>
          </w:p>
        </w:tc>
        <w:tc>
          <w:tcPr>
            <w:tcW w:w="1240" w:type="dxa"/>
            <w:tcBorders>
              <w:top w:val="nil"/>
              <w:left w:val="nil"/>
              <w:bottom w:val="single" w:sz="8" w:space="0" w:color="auto"/>
              <w:right w:val="single" w:sz="8" w:space="0" w:color="auto"/>
            </w:tcBorders>
            <w:vAlign w:val="center"/>
            <w:hideMark/>
          </w:tcPr>
          <w:p w14:paraId="23457B4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2.87</w:t>
            </w:r>
          </w:p>
        </w:tc>
        <w:tc>
          <w:tcPr>
            <w:tcW w:w="1334" w:type="dxa"/>
            <w:tcBorders>
              <w:top w:val="nil"/>
              <w:left w:val="nil"/>
              <w:bottom w:val="single" w:sz="8" w:space="0" w:color="auto"/>
              <w:right w:val="single" w:sz="8" w:space="0" w:color="auto"/>
            </w:tcBorders>
            <w:vAlign w:val="center"/>
            <w:hideMark/>
          </w:tcPr>
          <w:p w14:paraId="3B983295"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0.38</w:t>
            </w:r>
          </w:p>
        </w:tc>
      </w:tr>
    </w:tbl>
    <w:p w14:paraId="4E1CD7FB" w14:textId="77777777" w:rsidR="009B0ED8" w:rsidRPr="009B0ED8" w:rsidRDefault="009B0ED8" w:rsidP="009B0ED8">
      <w:pPr>
        <w:rPr>
          <w:rFonts w:ascii="Sakkal Majalla" w:hAnsi="Sakkal Majalla" w:cs="Sakkal Majalla"/>
          <w:b/>
          <w:bCs/>
          <w:sz w:val="28"/>
          <w:szCs w:val="28"/>
          <w:rtl/>
        </w:rPr>
      </w:pPr>
      <w:r w:rsidRPr="009B0ED8">
        <w:rPr>
          <w:rFonts w:ascii="Sakkal Majalla" w:hAnsi="Sakkal Majalla" w:cs="Sakkal Majalla"/>
          <w:b/>
          <w:bCs/>
          <w:sz w:val="28"/>
          <w:szCs w:val="28"/>
          <w:rtl/>
        </w:rPr>
        <w:lastRenderedPageBreak/>
        <w:t>ثالثًا: ثبات الأداة (معامل ألفا كرونباخ)</w:t>
      </w:r>
    </w:p>
    <w:p w14:paraId="43969A6A" w14:textId="77777777" w:rsidR="009B0ED8"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بلغ معامل ألفا كرونباخ لمحاور الاستبانة الستة مجتمعة قيمة سالبة (</w:t>
      </w:r>
      <w:r w:rsidRPr="009B0ED8">
        <w:rPr>
          <w:rFonts w:ascii="Cambria" w:hAnsi="Cambria" w:cs="Cambria"/>
          <w:sz w:val="28"/>
          <w:szCs w:val="28"/>
        </w:rPr>
        <w:t>α</w:t>
      </w:r>
      <w:r w:rsidRPr="009B0ED8">
        <w:rPr>
          <w:rFonts w:ascii="Sakkal Majalla" w:hAnsi="Sakkal Majalla" w:cs="Sakkal Majalla"/>
          <w:sz w:val="28"/>
          <w:szCs w:val="28"/>
        </w:rPr>
        <w:t xml:space="preserve"> ≈ −0.03</w:t>
      </w:r>
      <w:r w:rsidRPr="009B0ED8">
        <w:rPr>
          <w:rFonts w:ascii="Sakkal Majalla" w:hAnsi="Sakkal Majalla" w:cs="Sakkal Majalla"/>
          <w:sz w:val="28"/>
          <w:szCs w:val="28"/>
          <w:rtl/>
        </w:rPr>
        <w:t xml:space="preserve"> بعد عكس ترميز عبارة الرضا الحالي، و−0.15 قبل ذلك)، وهي قيمة منخفضة لا تشير إلى ثبات مقبول للأداة كمقياس واحد متجانس. ولا تتحسن هذه القيمة بصورة جوهرية عند حساب الثبات لمجموعة فرعية أكثر تقاربًا مفاهيميًا (عبارات تقييم عناصر النموذج المقترح الأربع: الاستبدال، الصيانة، العداد، التأييد العام)، إذ بلغ ألفا لهذه المجموعة الفرعية 0.074 فقط.</w:t>
      </w:r>
    </w:p>
    <w:p w14:paraId="18B52FC6" w14:textId="03AEB35F" w:rsidR="00BC094B"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ويُعزى هذا الانخفاض على الأرجح إلى ظاهرة «أثر السقف» (</w:t>
      </w:r>
      <w:r w:rsidRPr="009B0ED8">
        <w:rPr>
          <w:rFonts w:ascii="Sakkal Majalla" w:hAnsi="Sakkal Majalla" w:cs="Sakkal Majalla"/>
          <w:sz w:val="28"/>
          <w:szCs w:val="28"/>
        </w:rPr>
        <w:t>Ceiling Effect</w:t>
      </w:r>
      <w:r w:rsidRPr="009B0ED8">
        <w:rPr>
          <w:rFonts w:ascii="Sakkal Majalla" w:hAnsi="Sakkal Majalla" w:cs="Sakkal Majalla"/>
          <w:sz w:val="28"/>
          <w:szCs w:val="28"/>
          <w:rtl/>
        </w:rPr>
        <w:t>): إذ تركزت الاستجابات بشكل كثيف عند خيار «أوافق» في معظم العبارات (تجاوزت نسبته 80% في ثلاث عبارات من ست)، ما يقلص التباين بين المستجيبين بشدة (كما يعكسه الانحراف المعياري المنخفض لعبارة التأييد العام: 0.38 فقط)، وبالتالي يضعف قوة أي ارتباط خطي بين العبارات مهما كانت درجة تجانسها المفاهيمي. ويضاف إلى ذلك أن الأداة طُبقت بمقياس ثلاثي مبسّط (لا الخماسي المخطط أصلًا في الفصل الثالث)، وهو ما يقلص حساسية القياس أيضًا. ويوصي الباحث صراحة بإعادة تطبيق النسخة الموسّعة الخماسية من الأداة (المرفقة في الملحق ب) في تطبيق ميداني لاحق لتحسين حساسية القياس وثبات الأداة قبل تعميم النتائج بثقة كاملة.</w:t>
      </w:r>
    </w:p>
    <w:p w14:paraId="0784C920" w14:textId="77777777" w:rsidR="009B0ED8" w:rsidRPr="009B0ED8" w:rsidRDefault="009B0ED8" w:rsidP="009B0ED8">
      <w:pPr>
        <w:rPr>
          <w:rFonts w:ascii="Sakkal Majalla" w:hAnsi="Sakkal Majalla" w:cs="Sakkal Majalla"/>
          <w:b/>
          <w:bCs/>
          <w:sz w:val="28"/>
          <w:szCs w:val="28"/>
          <w:rtl/>
        </w:rPr>
      </w:pPr>
      <w:r w:rsidRPr="009B0ED8">
        <w:rPr>
          <w:rFonts w:ascii="Sakkal Majalla" w:hAnsi="Sakkal Majalla" w:cs="Sakkal Majalla"/>
          <w:b/>
          <w:bCs/>
          <w:sz w:val="28"/>
          <w:szCs w:val="28"/>
          <w:rtl/>
        </w:rPr>
        <w:t>رابعًا: اختبار فروض الدراسة</w:t>
      </w:r>
    </w:p>
    <w:p w14:paraId="5C2B678B" w14:textId="083033A4" w:rsidR="009B0ED8"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 xml:space="preserve">تعذّر اختبار الفرضية الفرعية </w:t>
      </w:r>
      <w:r w:rsidRPr="009B0ED8">
        <w:rPr>
          <w:rFonts w:ascii="Sakkal Majalla" w:hAnsi="Sakkal Majalla" w:cs="Sakkal Majalla"/>
          <w:sz w:val="28"/>
          <w:szCs w:val="28"/>
        </w:rPr>
        <w:t>H1a</w:t>
      </w:r>
      <w:r w:rsidRPr="009B0ED8">
        <w:rPr>
          <w:rFonts w:ascii="Sakkal Majalla" w:hAnsi="Sakkal Majalla" w:cs="Sakkal Majalla"/>
          <w:sz w:val="28"/>
          <w:szCs w:val="28"/>
          <w:rtl/>
        </w:rPr>
        <w:t xml:space="preserve"> تحديدًا (العلاقة بين إدراك ارتفاع تكلفة التأجير التشغيلي والبحث عن بدائل) لعدم تضمّن الأداة المطبقة فعليًا عبارة مخصصة لتكلفة التأجير التشغيلي تحديدًا؛ ويوصى بتضمينها في أي تطبيق ميداني لاحق.</w:t>
      </w:r>
    </w:p>
    <w:tbl>
      <w:tblPr>
        <w:bidiVisual/>
        <w:tblW w:w="9000" w:type="dxa"/>
        <w:tblLook w:val="04A0" w:firstRow="1" w:lastRow="0" w:firstColumn="1" w:lastColumn="0" w:noHBand="0" w:noVBand="1"/>
      </w:tblPr>
      <w:tblGrid>
        <w:gridCol w:w="2620"/>
        <w:gridCol w:w="1060"/>
        <w:gridCol w:w="2640"/>
        <w:gridCol w:w="860"/>
        <w:gridCol w:w="1820"/>
      </w:tblGrid>
      <w:tr w:rsidR="009B0ED8" w:rsidRPr="009B0ED8" w14:paraId="6756D71E" w14:textId="77777777" w:rsidTr="009B0ED8">
        <w:trPr>
          <w:trHeight w:val="315"/>
        </w:trPr>
        <w:tc>
          <w:tcPr>
            <w:tcW w:w="2620" w:type="dxa"/>
            <w:tcBorders>
              <w:top w:val="single" w:sz="8" w:space="0" w:color="auto"/>
              <w:left w:val="single" w:sz="8" w:space="0" w:color="auto"/>
              <w:bottom w:val="single" w:sz="8" w:space="0" w:color="auto"/>
              <w:right w:val="single" w:sz="8" w:space="0" w:color="auto"/>
            </w:tcBorders>
            <w:shd w:val="clear" w:color="000000" w:fill="1F4E79"/>
            <w:vAlign w:val="center"/>
            <w:hideMark/>
          </w:tcPr>
          <w:p w14:paraId="7256D66C"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14:ligatures w14:val="none"/>
              </w:rPr>
            </w:pPr>
            <w:r w:rsidRPr="009B0ED8">
              <w:rPr>
                <w:rFonts w:ascii="Arial" w:eastAsia="Times New Roman" w:hAnsi="Arial" w:cs="Arial"/>
                <w:b/>
                <w:bCs/>
                <w:color w:val="FFFFFF"/>
                <w:kern w:val="0"/>
                <w:sz w:val="21"/>
                <w:szCs w:val="21"/>
                <w:rtl/>
                <w14:ligatures w14:val="none"/>
              </w:rPr>
              <w:t>الفرضية</w:t>
            </w:r>
          </w:p>
        </w:tc>
        <w:tc>
          <w:tcPr>
            <w:tcW w:w="1060" w:type="dxa"/>
            <w:tcBorders>
              <w:top w:val="single" w:sz="8" w:space="0" w:color="auto"/>
              <w:left w:val="nil"/>
              <w:bottom w:val="single" w:sz="8" w:space="0" w:color="auto"/>
              <w:right w:val="single" w:sz="8" w:space="0" w:color="auto"/>
            </w:tcBorders>
            <w:shd w:val="clear" w:color="000000" w:fill="1F4E79"/>
            <w:vAlign w:val="center"/>
            <w:hideMark/>
          </w:tcPr>
          <w:p w14:paraId="086CD0F8"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الاختبار</w:t>
            </w:r>
          </w:p>
        </w:tc>
        <w:tc>
          <w:tcPr>
            <w:tcW w:w="2640" w:type="dxa"/>
            <w:tcBorders>
              <w:top w:val="single" w:sz="8" w:space="0" w:color="auto"/>
              <w:left w:val="nil"/>
              <w:bottom w:val="single" w:sz="8" w:space="0" w:color="auto"/>
              <w:right w:val="single" w:sz="8" w:space="0" w:color="auto"/>
            </w:tcBorders>
            <w:shd w:val="clear" w:color="000000" w:fill="1F4E79"/>
            <w:vAlign w:val="center"/>
            <w:hideMark/>
          </w:tcPr>
          <w:p w14:paraId="51996494"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القيمة</w:t>
            </w:r>
          </w:p>
        </w:tc>
        <w:tc>
          <w:tcPr>
            <w:tcW w:w="860" w:type="dxa"/>
            <w:tcBorders>
              <w:top w:val="single" w:sz="8" w:space="0" w:color="auto"/>
              <w:left w:val="nil"/>
              <w:bottom w:val="single" w:sz="8" w:space="0" w:color="auto"/>
              <w:right w:val="single" w:sz="8" w:space="0" w:color="auto"/>
            </w:tcBorders>
            <w:shd w:val="clear" w:color="000000" w:fill="1F4E79"/>
            <w:vAlign w:val="center"/>
            <w:hideMark/>
          </w:tcPr>
          <w:p w14:paraId="04B45B3C"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الدلالة</w:t>
            </w:r>
            <w:r w:rsidRPr="009B0ED8">
              <w:rPr>
                <w:rFonts w:ascii="Arial" w:eastAsia="Times New Roman" w:hAnsi="Arial" w:cs="Arial"/>
                <w:b/>
                <w:bCs/>
                <w:color w:val="FFFFFF"/>
                <w:kern w:val="0"/>
                <w:sz w:val="21"/>
                <w:szCs w:val="21"/>
                <w14:ligatures w14:val="none"/>
              </w:rPr>
              <w:t xml:space="preserve"> (p)</w:t>
            </w:r>
          </w:p>
        </w:tc>
        <w:tc>
          <w:tcPr>
            <w:tcW w:w="1820" w:type="dxa"/>
            <w:tcBorders>
              <w:top w:val="single" w:sz="8" w:space="0" w:color="auto"/>
              <w:left w:val="nil"/>
              <w:bottom w:val="single" w:sz="8" w:space="0" w:color="auto"/>
              <w:right w:val="single" w:sz="8" w:space="0" w:color="auto"/>
            </w:tcBorders>
            <w:shd w:val="clear" w:color="000000" w:fill="1F4E79"/>
            <w:vAlign w:val="center"/>
            <w:hideMark/>
          </w:tcPr>
          <w:p w14:paraId="161CBBA1" w14:textId="77777777" w:rsidR="009B0ED8" w:rsidRPr="009B0ED8" w:rsidRDefault="009B0ED8" w:rsidP="009B0ED8">
            <w:pPr>
              <w:spacing w:after="0" w:line="240" w:lineRule="auto"/>
              <w:jc w:val="center"/>
              <w:rPr>
                <w:rFonts w:ascii="Arial" w:eastAsia="Times New Roman" w:hAnsi="Arial" w:cs="Arial"/>
                <w:b/>
                <w:bCs/>
                <w:color w:val="FFFFFF"/>
                <w:kern w:val="0"/>
                <w:sz w:val="21"/>
                <w:szCs w:val="21"/>
                <w:rtl/>
                <w14:ligatures w14:val="none"/>
              </w:rPr>
            </w:pPr>
            <w:r w:rsidRPr="009B0ED8">
              <w:rPr>
                <w:rFonts w:ascii="Arial" w:eastAsia="Times New Roman" w:hAnsi="Arial" w:cs="Arial"/>
                <w:b/>
                <w:bCs/>
                <w:color w:val="FFFFFF"/>
                <w:kern w:val="0"/>
                <w:sz w:val="21"/>
                <w:szCs w:val="21"/>
                <w:rtl/>
                <w14:ligatures w14:val="none"/>
              </w:rPr>
              <w:t>القرار</w:t>
            </w:r>
          </w:p>
        </w:tc>
      </w:tr>
      <w:tr w:rsidR="009B0ED8" w:rsidRPr="009B0ED8" w14:paraId="34D5ABEB" w14:textId="77777777" w:rsidTr="009B0ED8">
        <w:trPr>
          <w:trHeight w:val="555"/>
        </w:trPr>
        <w:tc>
          <w:tcPr>
            <w:tcW w:w="2620" w:type="dxa"/>
            <w:tcBorders>
              <w:top w:val="nil"/>
              <w:left w:val="single" w:sz="8" w:space="0" w:color="auto"/>
              <w:bottom w:val="single" w:sz="8" w:space="0" w:color="auto"/>
              <w:right w:val="single" w:sz="8" w:space="0" w:color="auto"/>
            </w:tcBorders>
            <w:vAlign w:val="center"/>
            <w:hideMark/>
          </w:tcPr>
          <w:p w14:paraId="09878C9E"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14:ligatures w14:val="none"/>
              </w:rPr>
              <w:t xml:space="preserve">H1: </w:t>
            </w:r>
            <w:r w:rsidRPr="009B0ED8">
              <w:rPr>
                <w:rFonts w:ascii="Arial" w:eastAsia="Times New Roman" w:hAnsi="Arial" w:cs="Arial"/>
                <w:b/>
                <w:bCs/>
                <w:color w:val="000000"/>
                <w:kern w:val="0"/>
                <w:sz w:val="21"/>
                <w:szCs w:val="21"/>
                <w:rtl/>
                <w14:ligatures w14:val="none"/>
              </w:rPr>
              <w:t>إدراك القيد × التأييد العام للتبني</w:t>
            </w:r>
          </w:p>
        </w:tc>
        <w:tc>
          <w:tcPr>
            <w:tcW w:w="1060" w:type="dxa"/>
            <w:tcBorders>
              <w:top w:val="nil"/>
              <w:left w:val="nil"/>
              <w:bottom w:val="single" w:sz="8" w:space="0" w:color="auto"/>
              <w:right w:val="single" w:sz="8" w:space="0" w:color="auto"/>
            </w:tcBorders>
            <w:vAlign w:val="center"/>
            <w:hideMark/>
          </w:tcPr>
          <w:p w14:paraId="302A4066"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ارتباط</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بيرسون</w:t>
            </w:r>
          </w:p>
        </w:tc>
        <w:tc>
          <w:tcPr>
            <w:tcW w:w="2640" w:type="dxa"/>
            <w:tcBorders>
              <w:top w:val="nil"/>
              <w:left w:val="nil"/>
              <w:bottom w:val="single" w:sz="8" w:space="0" w:color="auto"/>
              <w:right w:val="single" w:sz="8" w:space="0" w:color="auto"/>
            </w:tcBorders>
            <w:vAlign w:val="center"/>
            <w:hideMark/>
          </w:tcPr>
          <w:p w14:paraId="5FF548F8"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r = -0.046</w:t>
            </w:r>
          </w:p>
        </w:tc>
        <w:tc>
          <w:tcPr>
            <w:tcW w:w="860" w:type="dxa"/>
            <w:tcBorders>
              <w:top w:val="nil"/>
              <w:left w:val="nil"/>
              <w:bottom w:val="single" w:sz="8" w:space="0" w:color="auto"/>
              <w:right w:val="single" w:sz="8" w:space="0" w:color="auto"/>
            </w:tcBorders>
            <w:vAlign w:val="center"/>
            <w:hideMark/>
          </w:tcPr>
          <w:p w14:paraId="5FFD299C"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0.437</w:t>
            </w:r>
          </w:p>
        </w:tc>
        <w:tc>
          <w:tcPr>
            <w:tcW w:w="1820" w:type="dxa"/>
            <w:tcBorders>
              <w:top w:val="nil"/>
              <w:left w:val="nil"/>
              <w:bottom w:val="single" w:sz="8" w:space="0" w:color="auto"/>
              <w:right w:val="single" w:sz="8" w:space="0" w:color="auto"/>
            </w:tcBorders>
            <w:vAlign w:val="center"/>
            <w:hideMark/>
          </w:tcPr>
          <w:p w14:paraId="0E322582"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غير</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مدعومة إحصائيًا</w:t>
            </w:r>
          </w:p>
        </w:tc>
      </w:tr>
      <w:tr w:rsidR="009B0ED8" w:rsidRPr="009B0ED8" w14:paraId="2D31F9BE" w14:textId="77777777" w:rsidTr="009B0ED8">
        <w:trPr>
          <w:trHeight w:val="555"/>
        </w:trPr>
        <w:tc>
          <w:tcPr>
            <w:tcW w:w="2620" w:type="dxa"/>
            <w:tcBorders>
              <w:top w:val="nil"/>
              <w:left w:val="single" w:sz="8" w:space="0" w:color="auto"/>
              <w:bottom w:val="single" w:sz="8" w:space="0" w:color="auto"/>
              <w:right w:val="single" w:sz="8" w:space="0" w:color="auto"/>
            </w:tcBorders>
            <w:vAlign w:val="center"/>
            <w:hideMark/>
          </w:tcPr>
          <w:p w14:paraId="043118FC"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14:ligatures w14:val="none"/>
              </w:rPr>
              <w:t xml:space="preserve">H1b: </w:t>
            </w:r>
            <w:r w:rsidRPr="009B0ED8">
              <w:rPr>
                <w:rFonts w:ascii="Arial" w:eastAsia="Times New Roman" w:hAnsi="Arial" w:cs="Arial"/>
                <w:b/>
                <w:bCs/>
                <w:color w:val="000000"/>
                <w:kern w:val="0"/>
                <w:sz w:val="21"/>
                <w:szCs w:val="21"/>
                <w:rtl/>
                <w14:ligatures w14:val="none"/>
              </w:rPr>
              <w:t>إدراك القيد × الرضا عن المنتج الحالي</w:t>
            </w:r>
          </w:p>
        </w:tc>
        <w:tc>
          <w:tcPr>
            <w:tcW w:w="1060" w:type="dxa"/>
            <w:tcBorders>
              <w:top w:val="nil"/>
              <w:left w:val="nil"/>
              <w:bottom w:val="single" w:sz="8" w:space="0" w:color="auto"/>
              <w:right w:val="single" w:sz="8" w:space="0" w:color="auto"/>
            </w:tcBorders>
            <w:vAlign w:val="center"/>
            <w:hideMark/>
          </w:tcPr>
          <w:p w14:paraId="6A984161"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ارتباط</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بيرسون</w:t>
            </w:r>
          </w:p>
        </w:tc>
        <w:tc>
          <w:tcPr>
            <w:tcW w:w="2640" w:type="dxa"/>
            <w:tcBorders>
              <w:top w:val="nil"/>
              <w:left w:val="nil"/>
              <w:bottom w:val="single" w:sz="8" w:space="0" w:color="auto"/>
              <w:right w:val="single" w:sz="8" w:space="0" w:color="auto"/>
            </w:tcBorders>
            <w:vAlign w:val="center"/>
            <w:hideMark/>
          </w:tcPr>
          <w:p w14:paraId="6E110B2A"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r = -0.152</w:t>
            </w:r>
          </w:p>
        </w:tc>
        <w:tc>
          <w:tcPr>
            <w:tcW w:w="860" w:type="dxa"/>
            <w:tcBorders>
              <w:top w:val="nil"/>
              <w:left w:val="nil"/>
              <w:bottom w:val="single" w:sz="8" w:space="0" w:color="auto"/>
              <w:right w:val="single" w:sz="8" w:space="0" w:color="auto"/>
            </w:tcBorders>
            <w:vAlign w:val="center"/>
            <w:hideMark/>
          </w:tcPr>
          <w:p w14:paraId="1EE63DC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0.011</w:t>
            </w:r>
          </w:p>
        </w:tc>
        <w:tc>
          <w:tcPr>
            <w:tcW w:w="1820" w:type="dxa"/>
            <w:tcBorders>
              <w:top w:val="nil"/>
              <w:left w:val="nil"/>
              <w:bottom w:val="single" w:sz="8" w:space="0" w:color="auto"/>
              <w:right w:val="single" w:sz="8" w:space="0" w:color="auto"/>
            </w:tcBorders>
            <w:vAlign w:val="center"/>
            <w:hideMark/>
          </w:tcPr>
          <w:p w14:paraId="01DD988D"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مدعومة</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عند</w:t>
            </w:r>
            <w:r w:rsidRPr="009B0ED8">
              <w:rPr>
                <w:rFonts w:ascii="Arial" w:eastAsia="Times New Roman" w:hAnsi="Arial" w:cs="Arial"/>
                <w:color w:val="000000"/>
                <w:kern w:val="0"/>
                <w:sz w:val="21"/>
                <w:szCs w:val="21"/>
                <w14:ligatures w14:val="none"/>
              </w:rPr>
              <w:t xml:space="preserve"> α=0.05</w:t>
            </w:r>
          </w:p>
        </w:tc>
      </w:tr>
      <w:tr w:rsidR="009B0ED8" w:rsidRPr="009B0ED8" w14:paraId="4FB924E0" w14:textId="77777777" w:rsidTr="009B0ED8">
        <w:trPr>
          <w:trHeight w:val="555"/>
        </w:trPr>
        <w:tc>
          <w:tcPr>
            <w:tcW w:w="2620" w:type="dxa"/>
            <w:tcBorders>
              <w:top w:val="nil"/>
              <w:left w:val="single" w:sz="8" w:space="0" w:color="auto"/>
              <w:bottom w:val="single" w:sz="8" w:space="0" w:color="auto"/>
              <w:right w:val="single" w:sz="8" w:space="0" w:color="auto"/>
            </w:tcBorders>
            <w:vAlign w:val="center"/>
            <w:hideMark/>
          </w:tcPr>
          <w:p w14:paraId="7146C16B"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14:ligatures w14:val="none"/>
              </w:rPr>
              <w:t xml:space="preserve">H1c: </w:t>
            </w:r>
            <w:r w:rsidRPr="009B0ED8">
              <w:rPr>
                <w:rFonts w:ascii="Arial" w:eastAsia="Times New Roman" w:hAnsi="Arial" w:cs="Arial"/>
                <w:b/>
                <w:bCs/>
                <w:color w:val="000000"/>
                <w:kern w:val="0"/>
                <w:sz w:val="21"/>
                <w:szCs w:val="21"/>
                <w:rtl/>
                <w14:ligatures w14:val="none"/>
              </w:rPr>
              <w:t>تفضيل الاستبدال × التأييد العام للتبني</w:t>
            </w:r>
          </w:p>
        </w:tc>
        <w:tc>
          <w:tcPr>
            <w:tcW w:w="1060" w:type="dxa"/>
            <w:tcBorders>
              <w:top w:val="nil"/>
              <w:left w:val="nil"/>
              <w:bottom w:val="single" w:sz="8" w:space="0" w:color="auto"/>
              <w:right w:val="single" w:sz="8" w:space="0" w:color="auto"/>
            </w:tcBorders>
            <w:vAlign w:val="center"/>
            <w:hideMark/>
          </w:tcPr>
          <w:p w14:paraId="42771D15"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ارتباط</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بيرسون</w:t>
            </w:r>
          </w:p>
        </w:tc>
        <w:tc>
          <w:tcPr>
            <w:tcW w:w="2640" w:type="dxa"/>
            <w:tcBorders>
              <w:top w:val="nil"/>
              <w:left w:val="nil"/>
              <w:bottom w:val="single" w:sz="8" w:space="0" w:color="auto"/>
              <w:right w:val="single" w:sz="8" w:space="0" w:color="auto"/>
            </w:tcBorders>
            <w:vAlign w:val="center"/>
            <w:hideMark/>
          </w:tcPr>
          <w:p w14:paraId="6EA3882A"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r = 0.083</w:t>
            </w:r>
          </w:p>
        </w:tc>
        <w:tc>
          <w:tcPr>
            <w:tcW w:w="860" w:type="dxa"/>
            <w:tcBorders>
              <w:top w:val="nil"/>
              <w:left w:val="nil"/>
              <w:bottom w:val="single" w:sz="8" w:space="0" w:color="auto"/>
              <w:right w:val="single" w:sz="8" w:space="0" w:color="auto"/>
            </w:tcBorders>
            <w:vAlign w:val="center"/>
            <w:hideMark/>
          </w:tcPr>
          <w:p w14:paraId="12ABB5C9"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0.163</w:t>
            </w:r>
          </w:p>
        </w:tc>
        <w:tc>
          <w:tcPr>
            <w:tcW w:w="1820" w:type="dxa"/>
            <w:tcBorders>
              <w:top w:val="nil"/>
              <w:left w:val="nil"/>
              <w:bottom w:val="single" w:sz="8" w:space="0" w:color="auto"/>
              <w:right w:val="single" w:sz="8" w:space="0" w:color="auto"/>
            </w:tcBorders>
            <w:vAlign w:val="center"/>
            <w:hideMark/>
          </w:tcPr>
          <w:p w14:paraId="6069A3A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غير</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مدعومة إحصائيًا</w:t>
            </w:r>
          </w:p>
        </w:tc>
      </w:tr>
      <w:tr w:rsidR="009B0ED8" w:rsidRPr="009B0ED8" w14:paraId="44920B4C" w14:textId="77777777" w:rsidTr="009B0ED8">
        <w:trPr>
          <w:trHeight w:val="555"/>
        </w:trPr>
        <w:tc>
          <w:tcPr>
            <w:tcW w:w="2620" w:type="dxa"/>
            <w:tcBorders>
              <w:top w:val="nil"/>
              <w:left w:val="single" w:sz="8" w:space="0" w:color="auto"/>
              <w:bottom w:val="single" w:sz="8" w:space="0" w:color="auto"/>
              <w:right w:val="single" w:sz="8" w:space="0" w:color="auto"/>
            </w:tcBorders>
            <w:vAlign w:val="center"/>
            <w:hideMark/>
          </w:tcPr>
          <w:p w14:paraId="0CC876FA" w14:textId="77777777" w:rsidR="009B0ED8" w:rsidRPr="009B0ED8" w:rsidRDefault="009B0ED8" w:rsidP="009B0ED8">
            <w:pPr>
              <w:spacing w:after="0" w:line="240" w:lineRule="auto"/>
              <w:jc w:val="center"/>
              <w:rPr>
                <w:rFonts w:ascii="Arial" w:eastAsia="Times New Roman" w:hAnsi="Arial" w:cs="Arial"/>
                <w:b/>
                <w:bCs/>
                <w:color w:val="000000"/>
                <w:kern w:val="0"/>
                <w:sz w:val="21"/>
                <w:szCs w:val="21"/>
                <w:rtl/>
                <w14:ligatures w14:val="none"/>
              </w:rPr>
            </w:pPr>
            <w:r w:rsidRPr="009B0ED8">
              <w:rPr>
                <w:rFonts w:ascii="Arial" w:eastAsia="Times New Roman" w:hAnsi="Arial" w:cs="Arial"/>
                <w:b/>
                <w:bCs/>
                <w:color w:val="000000"/>
                <w:kern w:val="0"/>
                <w:sz w:val="21"/>
                <w:szCs w:val="21"/>
                <w:rtl/>
                <w14:ligatures w14:val="none"/>
              </w:rPr>
              <w:t>نموذج الانحدار المتعدد (التأييد العام كمتغير تابع)</w:t>
            </w:r>
          </w:p>
        </w:tc>
        <w:tc>
          <w:tcPr>
            <w:tcW w:w="1060" w:type="dxa"/>
            <w:tcBorders>
              <w:top w:val="nil"/>
              <w:left w:val="nil"/>
              <w:bottom w:val="single" w:sz="8" w:space="0" w:color="auto"/>
              <w:right w:val="single" w:sz="8" w:space="0" w:color="auto"/>
            </w:tcBorders>
            <w:vAlign w:val="center"/>
            <w:hideMark/>
          </w:tcPr>
          <w:p w14:paraId="018900E2"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تحليل</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الانحدار</w:t>
            </w:r>
          </w:p>
        </w:tc>
        <w:tc>
          <w:tcPr>
            <w:tcW w:w="2640" w:type="dxa"/>
            <w:tcBorders>
              <w:top w:val="nil"/>
              <w:left w:val="nil"/>
              <w:bottom w:val="single" w:sz="8" w:space="0" w:color="auto"/>
              <w:right w:val="single" w:sz="8" w:space="0" w:color="auto"/>
            </w:tcBorders>
            <w:vAlign w:val="center"/>
            <w:hideMark/>
          </w:tcPr>
          <w:p w14:paraId="7FF38A15"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 xml:space="preserve">R² = 0.010, </w:t>
            </w:r>
            <w:proofErr w:type="gramStart"/>
            <w:r w:rsidRPr="009B0ED8">
              <w:rPr>
                <w:rFonts w:ascii="Arial" w:eastAsia="Times New Roman" w:hAnsi="Arial" w:cs="Arial"/>
                <w:color w:val="000000"/>
                <w:kern w:val="0"/>
                <w:sz w:val="21"/>
                <w:szCs w:val="21"/>
                <w14:ligatures w14:val="none"/>
              </w:rPr>
              <w:t>F(4,278)=</w:t>
            </w:r>
            <w:proofErr w:type="gramEnd"/>
            <w:r w:rsidRPr="009B0ED8">
              <w:rPr>
                <w:rFonts w:ascii="Arial" w:eastAsia="Times New Roman" w:hAnsi="Arial" w:cs="Arial"/>
                <w:color w:val="000000"/>
                <w:kern w:val="0"/>
                <w:sz w:val="21"/>
                <w:szCs w:val="21"/>
                <w14:ligatures w14:val="none"/>
              </w:rPr>
              <w:t>0.72</w:t>
            </w:r>
          </w:p>
        </w:tc>
        <w:tc>
          <w:tcPr>
            <w:tcW w:w="860" w:type="dxa"/>
            <w:tcBorders>
              <w:top w:val="nil"/>
              <w:left w:val="nil"/>
              <w:bottom w:val="single" w:sz="8" w:space="0" w:color="auto"/>
              <w:right w:val="single" w:sz="8" w:space="0" w:color="auto"/>
            </w:tcBorders>
            <w:vAlign w:val="center"/>
            <w:hideMark/>
          </w:tcPr>
          <w:p w14:paraId="3D05395F"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14:ligatures w14:val="none"/>
              </w:rPr>
              <w:t>0.581</w:t>
            </w:r>
          </w:p>
        </w:tc>
        <w:tc>
          <w:tcPr>
            <w:tcW w:w="1820" w:type="dxa"/>
            <w:tcBorders>
              <w:top w:val="nil"/>
              <w:left w:val="nil"/>
              <w:bottom w:val="single" w:sz="8" w:space="0" w:color="auto"/>
              <w:right w:val="single" w:sz="8" w:space="0" w:color="auto"/>
            </w:tcBorders>
            <w:vAlign w:val="center"/>
            <w:hideMark/>
          </w:tcPr>
          <w:p w14:paraId="0C76CC8E" w14:textId="77777777" w:rsidR="009B0ED8" w:rsidRPr="009B0ED8" w:rsidRDefault="009B0ED8" w:rsidP="009B0ED8">
            <w:pPr>
              <w:spacing w:after="0" w:line="240" w:lineRule="auto"/>
              <w:jc w:val="center"/>
              <w:rPr>
                <w:rFonts w:ascii="Arial" w:eastAsia="Times New Roman" w:hAnsi="Arial" w:cs="Arial"/>
                <w:color w:val="000000"/>
                <w:kern w:val="0"/>
                <w:sz w:val="21"/>
                <w:szCs w:val="21"/>
                <w:rtl/>
                <w14:ligatures w14:val="none"/>
              </w:rPr>
            </w:pPr>
            <w:r w:rsidRPr="009B0ED8">
              <w:rPr>
                <w:rFonts w:ascii="Arial" w:eastAsia="Times New Roman" w:hAnsi="Arial" w:cs="Arial"/>
                <w:color w:val="000000"/>
                <w:kern w:val="0"/>
                <w:sz w:val="21"/>
                <w:szCs w:val="21"/>
                <w:rtl/>
                <w14:ligatures w14:val="none"/>
              </w:rPr>
              <w:t>النموذج</w:t>
            </w:r>
            <w:r w:rsidRPr="009B0ED8">
              <w:rPr>
                <w:rFonts w:ascii="Arial" w:eastAsia="Times New Roman" w:hAnsi="Arial" w:cs="Arial"/>
                <w:color w:val="000000"/>
                <w:kern w:val="0"/>
                <w:sz w:val="21"/>
                <w:szCs w:val="21"/>
                <w14:ligatures w14:val="none"/>
              </w:rPr>
              <w:t xml:space="preserve"> </w:t>
            </w:r>
            <w:r w:rsidRPr="009B0ED8">
              <w:rPr>
                <w:rFonts w:ascii="Arial" w:eastAsia="Times New Roman" w:hAnsi="Arial" w:cs="Arial"/>
                <w:color w:val="000000"/>
                <w:kern w:val="0"/>
                <w:sz w:val="21"/>
                <w:szCs w:val="21"/>
                <w:rtl/>
                <w14:ligatures w14:val="none"/>
              </w:rPr>
              <w:t>غير دالّ إحصائيًا</w:t>
            </w:r>
          </w:p>
        </w:tc>
      </w:tr>
    </w:tbl>
    <w:p w14:paraId="32CE4B23" w14:textId="77777777" w:rsidR="00BC094B" w:rsidRDefault="00BC094B" w:rsidP="00D22171">
      <w:pPr>
        <w:rPr>
          <w:rFonts w:ascii="Sakkal Majalla" w:hAnsi="Sakkal Majalla" w:cs="Sakkal Majalla"/>
          <w:sz w:val="28"/>
          <w:szCs w:val="28"/>
          <w:u w:val="single"/>
          <w:rtl/>
        </w:rPr>
      </w:pPr>
    </w:p>
    <w:p w14:paraId="44666DBC" w14:textId="7032F1A3" w:rsidR="00BC094B" w:rsidRPr="009B0ED8" w:rsidRDefault="009B0ED8" w:rsidP="00D22171">
      <w:pPr>
        <w:rPr>
          <w:rFonts w:ascii="Sakkal Majalla" w:hAnsi="Sakkal Majalla" w:cs="Sakkal Majalla"/>
          <w:sz w:val="28"/>
          <w:szCs w:val="28"/>
          <w:rtl/>
        </w:rPr>
      </w:pPr>
      <w:r w:rsidRPr="009B0ED8">
        <w:rPr>
          <w:rFonts w:ascii="Sakkal Majalla" w:hAnsi="Sakkal Majalla" w:cs="Sakkal Majalla"/>
          <w:sz w:val="28"/>
          <w:szCs w:val="28"/>
          <w:rtl/>
        </w:rPr>
        <w:t>كما أُجري اختبار كاي تربيع تكميلي للتحقق من العلاقة بين سبق التعامل مع التمويل التأجيري المنتهي بالتملك ومستوى التأييد العام للنموذج المقترح (</w:t>
      </w:r>
      <w:r w:rsidRPr="009B0ED8">
        <w:rPr>
          <w:rFonts w:ascii="Cambria" w:hAnsi="Cambria" w:cs="Cambria"/>
          <w:sz w:val="28"/>
          <w:szCs w:val="28"/>
        </w:rPr>
        <w:t>χ</w:t>
      </w:r>
      <w:r w:rsidRPr="009B0ED8">
        <w:rPr>
          <w:rFonts w:ascii="Sakkal Majalla" w:hAnsi="Sakkal Majalla" w:cs="Sakkal Majalla"/>
          <w:sz w:val="28"/>
          <w:szCs w:val="28"/>
        </w:rPr>
        <w:t xml:space="preserve">² = 0.799, </w:t>
      </w:r>
      <w:proofErr w:type="spellStart"/>
      <w:r w:rsidRPr="009B0ED8">
        <w:rPr>
          <w:rFonts w:ascii="Sakkal Majalla" w:hAnsi="Sakkal Majalla" w:cs="Sakkal Majalla"/>
          <w:sz w:val="28"/>
          <w:szCs w:val="28"/>
        </w:rPr>
        <w:t>df</w:t>
      </w:r>
      <w:proofErr w:type="spellEnd"/>
      <w:r w:rsidRPr="009B0ED8">
        <w:rPr>
          <w:rFonts w:ascii="Sakkal Majalla" w:hAnsi="Sakkal Majalla" w:cs="Sakkal Majalla"/>
          <w:sz w:val="28"/>
          <w:szCs w:val="28"/>
        </w:rPr>
        <w:t xml:space="preserve"> = 2, p = 0.671</w:t>
      </w:r>
      <w:r w:rsidRPr="009B0ED8">
        <w:rPr>
          <w:rFonts w:ascii="Sakkal Majalla" w:hAnsi="Sakkal Majalla" w:cs="Sakkal Majalla"/>
          <w:sz w:val="28"/>
          <w:szCs w:val="28"/>
          <w:rtl/>
        </w:rPr>
        <w:t>)، ولم تظهر علاقة دالة إحصائيًا، ما يشير إلى أن التأييد الواسع للنموذج لا يقتصر على فئة معينة من العملاء بحسب تجربتهم السابقة.</w:t>
      </w:r>
    </w:p>
    <w:p w14:paraId="67D4E614" w14:textId="77777777" w:rsidR="00BC094B" w:rsidRDefault="00BC094B" w:rsidP="00D22171">
      <w:pPr>
        <w:rPr>
          <w:rFonts w:ascii="Sakkal Majalla" w:hAnsi="Sakkal Majalla" w:cs="Sakkal Majalla"/>
          <w:sz w:val="28"/>
          <w:szCs w:val="28"/>
          <w:u w:val="single"/>
        </w:rPr>
      </w:pPr>
    </w:p>
    <w:p w14:paraId="700F6624" w14:textId="77777777" w:rsidR="009B0ED8" w:rsidRDefault="009B0ED8" w:rsidP="00D22171">
      <w:pPr>
        <w:rPr>
          <w:rFonts w:ascii="Sakkal Majalla" w:hAnsi="Sakkal Majalla" w:cs="Sakkal Majalla"/>
          <w:sz w:val="28"/>
          <w:szCs w:val="28"/>
          <w:u w:val="single"/>
        </w:rPr>
      </w:pPr>
    </w:p>
    <w:p w14:paraId="1DEA2454" w14:textId="1E2E44B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191376CB" w14:textId="77777777" w:rsidR="009B0ED8"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في ضوء التحليل الوصفي والاستدلالي للبيانات الفعلية، إلى جانب المحاكاة المالية التطبيقية، يمكن استخلاص النتائج التالية:</w:t>
      </w:r>
    </w:p>
    <w:p w14:paraId="1AC0F954" w14:textId="77777777" w:rsidR="009B0ED8"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1.</w:t>
      </w:r>
      <w:r w:rsidRPr="009B0ED8">
        <w:rPr>
          <w:rFonts w:ascii="Sakkal Majalla" w:hAnsi="Sakkal Majalla" w:cs="Sakkal Majalla"/>
          <w:sz w:val="28"/>
          <w:szCs w:val="28"/>
          <w:rtl/>
        </w:rPr>
        <w:tab/>
        <w:t>على المستوى الوصفي، أبدت العينة تأييدًا مرتفعًا جدًا لعناصر النموذج المقترح: 83.7% وافقوا على أن ميزة الاستبدال ستزيد رضاهم، و68.2% أبدوا استعدادًا لتحمل الصيانة الدورية، و84.5% أبدوا استعدادًا لمتابعة عداد المسافة، وبلغ التأييد العام لطرح النموذج كمنتج فعلي 88.3%.</w:t>
      </w:r>
    </w:p>
    <w:p w14:paraId="7829CC1A" w14:textId="77777777" w:rsidR="009B0ED8"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2.</w:t>
      </w:r>
      <w:r w:rsidRPr="009B0ED8">
        <w:rPr>
          <w:rFonts w:ascii="Sakkal Majalla" w:hAnsi="Sakkal Majalla" w:cs="Sakkal Majalla"/>
          <w:sz w:val="28"/>
          <w:szCs w:val="28"/>
          <w:rtl/>
        </w:rPr>
        <w:tab/>
        <w:t xml:space="preserve">على المستوى الاستدلالي، لم تجد الفرضية الرئيسية </w:t>
      </w:r>
      <w:r w:rsidRPr="009B0ED8">
        <w:rPr>
          <w:rFonts w:ascii="Sakkal Majalla" w:hAnsi="Sakkal Majalla" w:cs="Sakkal Majalla"/>
          <w:sz w:val="28"/>
          <w:szCs w:val="28"/>
        </w:rPr>
        <w:t>H1</w:t>
      </w:r>
      <w:r w:rsidRPr="009B0ED8">
        <w:rPr>
          <w:rFonts w:ascii="Sakkal Majalla" w:hAnsi="Sakkal Majalla" w:cs="Sakkal Majalla"/>
          <w:sz w:val="28"/>
          <w:szCs w:val="28"/>
          <w:rtl/>
        </w:rPr>
        <w:t xml:space="preserve"> دعمًا إحصائيًا دالًا (</w:t>
      </w:r>
      <w:r w:rsidRPr="009B0ED8">
        <w:rPr>
          <w:rFonts w:ascii="Sakkal Majalla" w:hAnsi="Sakkal Majalla" w:cs="Sakkal Majalla"/>
          <w:sz w:val="28"/>
          <w:szCs w:val="28"/>
        </w:rPr>
        <w:t>r = -0.046, p = 0.437</w:t>
      </w:r>
      <w:r w:rsidRPr="009B0ED8">
        <w:rPr>
          <w:rFonts w:ascii="Sakkal Majalla" w:hAnsi="Sakkal Majalla" w:cs="Sakkal Majalla"/>
          <w:sz w:val="28"/>
          <w:szCs w:val="28"/>
          <w:rtl/>
        </w:rPr>
        <w:t xml:space="preserve">)، ولا الفرضية الفرعية </w:t>
      </w:r>
      <w:r w:rsidRPr="009B0ED8">
        <w:rPr>
          <w:rFonts w:ascii="Sakkal Majalla" w:hAnsi="Sakkal Majalla" w:cs="Sakkal Majalla"/>
          <w:sz w:val="28"/>
          <w:szCs w:val="28"/>
        </w:rPr>
        <w:t>H1c (r = 0.083, p = 0.163)</w:t>
      </w:r>
      <w:r w:rsidRPr="009B0ED8">
        <w:rPr>
          <w:rFonts w:ascii="Sakkal Majalla" w:hAnsi="Sakkal Majalla" w:cs="Sakkal Majalla"/>
          <w:sz w:val="28"/>
          <w:szCs w:val="28"/>
          <w:rtl/>
        </w:rPr>
        <w:t xml:space="preserve">، بينما وجدت الفرضية الفرعية </w:t>
      </w:r>
      <w:r w:rsidRPr="009B0ED8">
        <w:rPr>
          <w:rFonts w:ascii="Sakkal Majalla" w:hAnsi="Sakkal Majalla" w:cs="Sakkal Majalla"/>
          <w:sz w:val="28"/>
          <w:szCs w:val="28"/>
        </w:rPr>
        <w:t>H1b</w:t>
      </w:r>
      <w:r w:rsidRPr="009B0ED8">
        <w:rPr>
          <w:rFonts w:ascii="Sakkal Majalla" w:hAnsi="Sakkal Majalla" w:cs="Sakkal Majalla"/>
          <w:sz w:val="28"/>
          <w:szCs w:val="28"/>
          <w:rtl/>
        </w:rPr>
        <w:t xml:space="preserve"> دعمًا دالًا إحصائيًا عند مستوى 0.05 (</w:t>
      </w:r>
      <w:r w:rsidRPr="009B0ED8">
        <w:rPr>
          <w:rFonts w:ascii="Sakkal Majalla" w:hAnsi="Sakkal Majalla" w:cs="Sakkal Majalla"/>
          <w:sz w:val="28"/>
          <w:szCs w:val="28"/>
        </w:rPr>
        <w:t>r = -0.152, p = 0.011</w:t>
      </w:r>
      <w:r w:rsidRPr="009B0ED8">
        <w:rPr>
          <w:rFonts w:ascii="Sakkal Majalla" w:hAnsi="Sakkal Majalla" w:cs="Sakkal Majalla"/>
          <w:sz w:val="28"/>
          <w:szCs w:val="28"/>
          <w:rtl/>
        </w:rPr>
        <w:t>)، بما يعني أن إدراك القيد الناتج عن الالتزام بمركبة واحدة يرتبط فعليًا - ولو بعلاقة ضعيفة نسبيًا - بانخفاض مستوى الرضا عن المنتج الحالي.</w:t>
      </w:r>
    </w:p>
    <w:p w14:paraId="7687F14F" w14:textId="77777777" w:rsidR="009B0ED8"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3.</w:t>
      </w:r>
      <w:r w:rsidRPr="009B0ED8">
        <w:rPr>
          <w:rFonts w:ascii="Sakkal Majalla" w:hAnsi="Sakkal Majalla" w:cs="Sakkal Majalla"/>
          <w:sz w:val="28"/>
          <w:szCs w:val="28"/>
          <w:rtl/>
        </w:rPr>
        <w:tab/>
        <w:t>يمثل التناقض الظاهري بين التأييد الوصفي المرتفع جدًا (نسب تتجاوز 80% في أغلب العبارات) وضعف العلاقات الاستدلالية نتيجة منهجية مهمة بحد ذاتها، تُفسَّر على الأرجح بأثر السقف (تدني تباين الاستجابات نتيجة تركزها عند «أوافق»)، لا بغياب اهتمام حقيقي بالنموذج المقترح. وهذا يعني أن النتائج تدعم بقوة الجدوى العملية للنموذج من الناحية الوصفية، لكنها لا تسمح بتعميم علاقات سببية أو ارتباطية قوية بين المتغيرات بالمعنى الإحصائي الصارم اعتمادًا على هذه العينة بصورتها الحالية.</w:t>
      </w:r>
    </w:p>
    <w:p w14:paraId="600147E9" w14:textId="58416B3E" w:rsidR="004163C7" w:rsidRPr="009B0ED8" w:rsidRDefault="009B0ED8" w:rsidP="009B0ED8">
      <w:pPr>
        <w:rPr>
          <w:rFonts w:ascii="Sakkal Majalla" w:hAnsi="Sakkal Majalla" w:cs="Sakkal Majalla"/>
          <w:sz w:val="28"/>
          <w:szCs w:val="28"/>
          <w:rtl/>
        </w:rPr>
      </w:pPr>
      <w:r w:rsidRPr="009B0ED8">
        <w:rPr>
          <w:rFonts w:ascii="Sakkal Majalla" w:hAnsi="Sakkal Majalla" w:cs="Sakkal Majalla"/>
          <w:sz w:val="28"/>
          <w:szCs w:val="28"/>
          <w:rtl/>
        </w:rPr>
        <w:t>4.</w:t>
      </w:r>
      <w:r w:rsidRPr="009B0ED8">
        <w:rPr>
          <w:rFonts w:ascii="Sakkal Majalla" w:hAnsi="Sakkal Majalla" w:cs="Sakkal Majalla"/>
          <w:sz w:val="28"/>
          <w:szCs w:val="28"/>
          <w:rtl/>
        </w:rPr>
        <w:tab/>
        <w:t xml:space="preserve">أظهرت المحاكاة المالية التطبيقية أن جدوى النموذج المقترح تتوقف بشكل جوهري على فئة المركبة الممولة، إذ تطلبت مركبة </w:t>
      </w:r>
      <w:r w:rsidRPr="009B0ED8">
        <w:rPr>
          <w:rFonts w:ascii="Sakkal Majalla" w:hAnsi="Sakkal Majalla" w:cs="Sakkal Majalla"/>
          <w:sz w:val="28"/>
          <w:szCs w:val="28"/>
        </w:rPr>
        <w:t>Lucid Air</w:t>
      </w:r>
      <w:r w:rsidRPr="009B0ED8">
        <w:rPr>
          <w:rFonts w:ascii="Sakkal Majalla" w:hAnsi="Sakkal Majalla" w:cs="Sakkal Majalla"/>
          <w:sz w:val="28"/>
          <w:szCs w:val="28"/>
          <w:rtl/>
        </w:rPr>
        <w:t xml:space="preserve"> الكهربائية هامش مخاطرة أعلى بثلاثة أضعاف تقريبًا (30% مقابل 10%) ومدة عقد أطول (3.5 مقابل 2.5 سنة) مقارنة بمركبة تقليدية بالسعر النقدي نفسه.</w:t>
      </w: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Pr>
      </w:pPr>
    </w:p>
    <w:p w14:paraId="694AD2B1" w14:textId="77777777" w:rsidR="00A9518A" w:rsidRDefault="00A9518A"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34AABE16" w14:textId="77777777" w:rsidR="00BC094B" w:rsidRPr="00A9518A" w:rsidRDefault="00BC094B" w:rsidP="00D22171">
      <w:pPr>
        <w:rPr>
          <w:rFonts w:ascii="Sakkal Majalla" w:hAnsi="Sakkal Majalla" w:cs="Sakkal Majalla"/>
          <w:sz w:val="28"/>
          <w:szCs w:val="28"/>
          <w:rtl/>
        </w:rPr>
      </w:pPr>
    </w:p>
    <w:p w14:paraId="523CD52A"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1.</w:t>
      </w:r>
      <w:r w:rsidRPr="00A9518A">
        <w:rPr>
          <w:rFonts w:ascii="Sakkal Majalla" w:hAnsi="Sakkal Majalla" w:cs="Sakkal Majalla"/>
          <w:sz w:val="28"/>
          <w:szCs w:val="28"/>
          <w:rtl/>
        </w:rPr>
        <w:tab/>
        <w:t>المضي في تطوير النموذج المقترح، نظرًا للتأييد الوصفي الواسع جدًا الذي أظهرته العينة الميدانية (88.3%) لفكرة طرحه كمنتج فعلي، مع الانتباه إلى محدودية الدلالة الإحصائية الاستدلالية الموضحة أعلاه.</w:t>
      </w:r>
    </w:p>
    <w:p w14:paraId="02CA911E"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2.</w:t>
      </w:r>
      <w:r w:rsidRPr="00A9518A">
        <w:rPr>
          <w:rFonts w:ascii="Sakkal Majalla" w:hAnsi="Sakkal Majalla" w:cs="Sakkal Majalla"/>
          <w:sz w:val="28"/>
          <w:szCs w:val="28"/>
          <w:rtl/>
        </w:rPr>
        <w:tab/>
        <w:t>إعادة تطبيق النسخة الموسّعة الخماسية من الأداة (بدلًا من المقياس الثلاثي المبسّط) في تطبيق ميداني لاحق، لتحسين تباين الاستجابات وحساسية القياس، ورفع معامل ثبات الأداة إلى مستوى مقبول (0.70 فأعلى) قبل تعميم النتائج بثقة كاملة.</w:t>
      </w:r>
    </w:p>
    <w:p w14:paraId="302DCBBF"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3.</w:t>
      </w:r>
      <w:r w:rsidRPr="00A9518A">
        <w:rPr>
          <w:rFonts w:ascii="Sakkal Majalla" w:hAnsi="Sakkal Majalla" w:cs="Sakkal Majalla"/>
          <w:sz w:val="28"/>
          <w:szCs w:val="28"/>
          <w:rtl/>
        </w:rPr>
        <w:tab/>
        <w:t xml:space="preserve">إضافة عبارة مخصصة لإدراك تكلفة التأجير التشغيلي في أي تطبيق لاحق للأداة، لإتاحة اختبار الفرضية الفرعية </w:t>
      </w:r>
      <w:r w:rsidRPr="00A9518A">
        <w:rPr>
          <w:rFonts w:ascii="Sakkal Majalla" w:hAnsi="Sakkal Majalla" w:cs="Sakkal Majalla"/>
          <w:sz w:val="28"/>
          <w:szCs w:val="28"/>
        </w:rPr>
        <w:t>H1a</w:t>
      </w:r>
      <w:r w:rsidRPr="00A9518A">
        <w:rPr>
          <w:rFonts w:ascii="Sakkal Majalla" w:hAnsi="Sakkal Majalla" w:cs="Sakkal Majalla"/>
          <w:sz w:val="28"/>
          <w:szCs w:val="28"/>
          <w:rtl/>
        </w:rPr>
        <w:t xml:space="preserve"> التي تعذّر اختبارها بالأداة الحالية.</w:t>
      </w:r>
    </w:p>
    <w:p w14:paraId="67EE196E"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4.</w:t>
      </w:r>
      <w:r w:rsidRPr="00A9518A">
        <w:rPr>
          <w:rFonts w:ascii="Sakkal Majalla" w:hAnsi="Sakkal Majalla" w:cs="Sakkal Majalla"/>
          <w:sz w:val="28"/>
          <w:szCs w:val="28"/>
          <w:rtl/>
        </w:rPr>
        <w:tab/>
        <w:t>تصميم آلية تسعير مرنة لرسوم خدمة الاستبدال تراعي أن نسبة معتبرة من العملاء (نحو 32%) أبدوا تحفظًا أو حيادًا تجاه تحمّل مسؤولية الصيانة الدورية، ما يستدعي دراسة خيار صيانة اختيارية بأجر إضافي بدلًا من اشتراطها إلزاميًا على الجميع.</w:t>
      </w:r>
    </w:p>
    <w:p w14:paraId="345286E6"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5.</w:t>
      </w:r>
      <w:r w:rsidRPr="00A9518A">
        <w:rPr>
          <w:rFonts w:ascii="Sakkal Majalla" w:hAnsi="Sakkal Majalla" w:cs="Sakkal Majalla"/>
          <w:sz w:val="28"/>
          <w:szCs w:val="28"/>
          <w:rtl/>
        </w:rPr>
        <w:tab/>
        <w:t>اعتماد جدول منحنيات استهلاك متعدد حسب فئة المركبة (تقليدية/كهربائية/فاخرة) بدلًا من معدل استهلاك موحد، بالشراكة مع وكلاء السيارات كمصدر بيانات أساسي.</w:t>
      </w:r>
    </w:p>
    <w:p w14:paraId="5D0DFBA5"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6.</w:t>
      </w:r>
      <w:r w:rsidRPr="00A9518A">
        <w:rPr>
          <w:rFonts w:ascii="Sakkal Majalla" w:hAnsi="Sakkal Majalla" w:cs="Sakkal Majalla"/>
          <w:sz w:val="28"/>
          <w:szCs w:val="28"/>
          <w:rtl/>
        </w:rPr>
        <w:tab/>
        <w:t>تطبيق منهجية الهامش المتدرج المقترحة في هذه الدراسة عند تمديد مدة العقد بعد نقطة تقييم القيمة المتبقية.</w:t>
      </w:r>
    </w:p>
    <w:p w14:paraId="7C7BDDD4" w14:textId="77777777" w:rsidR="00A9518A"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7.</w:t>
      </w:r>
      <w:r w:rsidRPr="00A9518A">
        <w:rPr>
          <w:rFonts w:ascii="Sakkal Majalla" w:hAnsi="Sakkal Majalla" w:cs="Sakkal Majalla"/>
          <w:sz w:val="28"/>
          <w:szCs w:val="28"/>
          <w:rtl/>
        </w:rPr>
        <w:tab/>
        <w:t>هيكلة خيار الاستبدال كوعد ملزم من طرف واحد (البنك) منفصل تمامًا عن عقد الإجارة الأصلي، تحقيقًا للتوافق الشرعي.</w:t>
      </w:r>
    </w:p>
    <w:p w14:paraId="7C036868" w14:textId="36F9F5A4" w:rsidR="00BC094B" w:rsidRPr="00A9518A" w:rsidRDefault="00A9518A" w:rsidP="00A9518A">
      <w:pPr>
        <w:rPr>
          <w:rFonts w:ascii="Sakkal Majalla" w:hAnsi="Sakkal Majalla" w:cs="Sakkal Majalla"/>
          <w:sz w:val="28"/>
          <w:szCs w:val="28"/>
          <w:rtl/>
        </w:rPr>
      </w:pPr>
      <w:r w:rsidRPr="00A9518A">
        <w:rPr>
          <w:rFonts w:ascii="Sakkal Majalla" w:hAnsi="Sakkal Majalla" w:cs="Sakkal Majalla"/>
          <w:sz w:val="28"/>
          <w:szCs w:val="28"/>
          <w:rtl/>
        </w:rPr>
        <w:t>8.</w:t>
      </w:r>
      <w:r w:rsidRPr="00A9518A">
        <w:rPr>
          <w:rFonts w:ascii="Sakkal Majalla" w:hAnsi="Sakkal Majalla" w:cs="Sakkal Majalla"/>
          <w:sz w:val="28"/>
          <w:szCs w:val="28"/>
          <w:rtl/>
        </w:rPr>
        <w:tab/>
        <w:t>إجراء دراسات مستقبلية تختبر النموذج على فئات مركبات إضافية وعلى عينات أكثر توازنًا من حيث الجنس، نظرًا لتحيز عينة الدراسة الحالية نحو الذكور (87.3%).</w:t>
      </w: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45C96F3" w14:textId="77777777" w:rsidR="004163C7" w:rsidRDefault="004163C7" w:rsidP="00A9518A">
      <w:pPr>
        <w:rPr>
          <w:rFonts w:ascii="Sakkal Majalla" w:hAnsi="Sakkal Majalla" w:cs="Sakkal Majalla"/>
          <w:b/>
          <w:bCs/>
          <w:sz w:val="52"/>
          <w:szCs w:val="52"/>
          <w:u w:val="single"/>
          <w:rtl/>
        </w:rPr>
      </w:pPr>
    </w:p>
    <w:p w14:paraId="5F714398" w14:textId="35644E60" w:rsidR="004163C7" w:rsidRPr="004163C7" w:rsidRDefault="004163C7" w:rsidP="00A9518A">
      <w:pPr>
        <w:jc w:val="center"/>
        <w:rPr>
          <w:rFonts w:ascii="Sakkal Majalla" w:hAnsi="Sakkal Majalla" w:cs="Sakkal Majalla"/>
          <w:b/>
          <w:bCs/>
          <w:sz w:val="52"/>
          <w:szCs w:val="52"/>
          <w:u w:val="single"/>
        </w:rPr>
      </w:pPr>
      <w:r w:rsidRPr="004163C7">
        <w:rPr>
          <w:rFonts w:ascii="Sakkal Majalla" w:hAnsi="Sakkal Majalla" w:cs="Sakkal Majalla" w:hint="cs"/>
          <w:b/>
          <w:bCs/>
          <w:sz w:val="52"/>
          <w:szCs w:val="52"/>
          <w:u w:val="single"/>
          <w:rtl/>
        </w:rPr>
        <w:lastRenderedPageBreak/>
        <w:t>المراجع</w:t>
      </w: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3A6E8E6A" w14:textId="77777777" w:rsidR="00A9518A" w:rsidRPr="00A9518A" w:rsidRDefault="00A9518A" w:rsidP="00A9518A">
      <w:pPr>
        <w:pStyle w:val="ListParagraph"/>
        <w:numPr>
          <w:ilvl w:val="0"/>
          <w:numId w:val="4"/>
        </w:numPr>
        <w:rPr>
          <w:rFonts w:ascii="Sakkal Majalla" w:hAnsi="Sakkal Majalla" w:cs="Sakkal Majalla"/>
          <w:sz w:val="28"/>
          <w:szCs w:val="28"/>
        </w:rPr>
      </w:pPr>
      <w:r w:rsidRPr="00A9518A">
        <w:rPr>
          <w:rFonts w:ascii="Sakkal Majalla" w:hAnsi="Sakkal Majalla" w:cs="Sakkal Majalla"/>
          <w:sz w:val="28"/>
          <w:szCs w:val="28"/>
          <w:rtl/>
        </w:rPr>
        <w:t>البنك المركزي السعودي. (د.ت.). نظام التمويل التأجيري ولائحته التنفيذية. الرياض: البنك المركزي السعودي.</w:t>
      </w:r>
    </w:p>
    <w:p w14:paraId="3E5A5019" w14:textId="77777777" w:rsidR="00A9518A" w:rsidRPr="00A9518A" w:rsidRDefault="00A9518A" w:rsidP="00A9518A">
      <w:pPr>
        <w:pStyle w:val="ListParagraph"/>
        <w:numPr>
          <w:ilvl w:val="0"/>
          <w:numId w:val="4"/>
        </w:numPr>
        <w:rPr>
          <w:rFonts w:ascii="Sakkal Majalla" w:hAnsi="Sakkal Majalla" w:cs="Sakkal Majalla"/>
          <w:sz w:val="28"/>
          <w:szCs w:val="28"/>
        </w:rPr>
      </w:pPr>
      <w:r w:rsidRPr="00A9518A">
        <w:rPr>
          <w:rFonts w:ascii="Sakkal Majalla" w:hAnsi="Sakkal Majalla" w:cs="Sakkal Majalla"/>
          <w:sz w:val="28"/>
          <w:szCs w:val="28"/>
          <w:rtl/>
        </w:rPr>
        <w:t>الهيئة العامة للنقل. (د.ت.). الأنظمة والضوابط المنظمة لنشاط تأجير السيارات. الرياض: الهيئة العامة للنقل.</w:t>
      </w:r>
    </w:p>
    <w:p w14:paraId="2CD34956" w14:textId="29BFB5E3" w:rsidR="004163C7" w:rsidRPr="00A9518A" w:rsidRDefault="00A9518A" w:rsidP="00A9518A">
      <w:pPr>
        <w:pStyle w:val="ListParagraph"/>
        <w:numPr>
          <w:ilvl w:val="0"/>
          <w:numId w:val="4"/>
        </w:numPr>
        <w:rPr>
          <w:rFonts w:ascii="Sakkal Majalla" w:hAnsi="Sakkal Majalla" w:cs="Sakkal Majalla"/>
          <w:sz w:val="28"/>
          <w:szCs w:val="28"/>
          <w:rtl/>
        </w:rPr>
      </w:pPr>
      <w:r w:rsidRPr="00A9518A">
        <w:rPr>
          <w:rFonts w:ascii="Sakkal Majalla" w:hAnsi="Sakkal Majalla" w:cs="Sakkal Majalla"/>
          <w:sz w:val="28"/>
          <w:szCs w:val="28"/>
          <w:rtl/>
        </w:rPr>
        <w:t>مصرف الراجحي. (د.ت.). تمويل السيارات. الرياض: مصرف الراجحي.</w:t>
      </w: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A9518A">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B4D6330"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 xml:space="preserve">Accounting and Auditing Organization for Islamic Financial Institutions (AAOIFI). (n.d.). SS (9) Ijarah and Ijarah </w:t>
      </w:r>
      <w:proofErr w:type="spellStart"/>
      <w:r w:rsidRPr="00A9518A">
        <w:rPr>
          <w:rFonts w:ascii="Sakkal Majalla" w:hAnsi="Sakkal Majalla" w:cs="Sakkal Majalla"/>
          <w:sz w:val="28"/>
          <w:szCs w:val="28"/>
        </w:rPr>
        <w:t>Muntahia</w:t>
      </w:r>
      <w:proofErr w:type="spellEnd"/>
      <w:r w:rsidRPr="00A9518A">
        <w:rPr>
          <w:rFonts w:ascii="Sakkal Majalla" w:hAnsi="Sakkal Majalla" w:cs="Sakkal Majalla"/>
          <w:sz w:val="28"/>
          <w:szCs w:val="28"/>
        </w:rPr>
        <w:t xml:space="preserve"> </w:t>
      </w:r>
      <w:proofErr w:type="spellStart"/>
      <w:r w:rsidRPr="00A9518A">
        <w:rPr>
          <w:rFonts w:ascii="Sakkal Majalla" w:hAnsi="Sakkal Majalla" w:cs="Sakkal Majalla"/>
          <w:sz w:val="28"/>
          <w:szCs w:val="28"/>
        </w:rPr>
        <w:t>Bittamleek</w:t>
      </w:r>
      <w:proofErr w:type="spellEnd"/>
      <w:r w:rsidRPr="00A9518A">
        <w:rPr>
          <w:rFonts w:ascii="Sakkal Majalla" w:hAnsi="Sakkal Majalla" w:cs="Sakkal Majalla"/>
          <w:sz w:val="28"/>
          <w:szCs w:val="28"/>
        </w:rPr>
        <w:t>. Bahrain: AAOIFI</w:t>
      </w:r>
      <w:r w:rsidRPr="00A9518A">
        <w:rPr>
          <w:rFonts w:ascii="Sakkal Majalla" w:hAnsi="Sakkal Majalla" w:cs="Sakkal Majalla"/>
          <w:sz w:val="28"/>
          <w:szCs w:val="28"/>
          <w:rtl/>
        </w:rPr>
        <w:t>.</w:t>
      </w:r>
    </w:p>
    <w:p w14:paraId="62E310A9"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Accounting and Auditing Organization for Islamic Financial Institutions (AAOIFI). (2021). Financial Accounting Standard No. 32: Ijarah. Bahrain: AAOIFI</w:t>
      </w:r>
      <w:r w:rsidRPr="00A9518A">
        <w:rPr>
          <w:rFonts w:ascii="Sakkal Majalla" w:hAnsi="Sakkal Majalla" w:cs="Sakkal Majalla"/>
          <w:sz w:val="28"/>
          <w:szCs w:val="28"/>
          <w:rtl/>
        </w:rPr>
        <w:t>.</w:t>
      </w:r>
    </w:p>
    <w:p w14:paraId="3C0316B6" w14:textId="77777777" w:rsidR="00A9518A" w:rsidRPr="00A9518A" w:rsidRDefault="00A9518A" w:rsidP="00A9518A">
      <w:pPr>
        <w:pStyle w:val="ListParagraph"/>
        <w:numPr>
          <w:ilvl w:val="0"/>
          <w:numId w:val="3"/>
        </w:numPr>
        <w:bidi w:val="0"/>
        <w:rPr>
          <w:rFonts w:ascii="Sakkal Majalla" w:hAnsi="Sakkal Majalla" w:cs="Sakkal Majalla"/>
          <w:sz w:val="28"/>
          <w:szCs w:val="28"/>
        </w:rPr>
      </w:pPr>
      <w:proofErr w:type="spellStart"/>
      <w:r w:rsidRPr="00A9518A">
        <w:rPr>
          <w:rFonts w:ascii="Sakkal Majalla" w:hAnsi="Sakkal Majalla" w:cs="Sakkal Majalla"/>
          <w:sz w:val="28"/>
          <w:szCs w:val="28"/>
        </w:rPr>
        <w:t>Charag</w:t>
      </w:r>
      <w:proofErr w:type="spellEnd"/>
      <w:r w:rsidRPr="00A9518A">
        <w:rPr>
          <w:rFonts w:ascii="Sakkal Majalla" w:hAnsi="Sakkal Majalla" w:cs="Sakkal Majalla"/>
          <w:sz w:val="28"/>
          <w:szCs w:val="28"/>
        </w:rPr>
        <w:t>, A. H., Fazili, A. I., &amp; Bashir, I. (2019). Determinants of consumer's readiness to adopt Islamic banking in Kashmir. Journal of Islamic Marketing, 11(5), 1125-1144</w:t>
      </w:r>
      <w:r w:rsidRPr="00A9518A">
        <w:rPr>
          <w:rFonts w:ascii="Sakkal Majalla" w:hAnsi="Sakkal Majalla" w:cs="Sakkal Majalla"/>
          <w:sz w:val="28"/>
          <w:szCs w:val="28"/>
          <w:rtl/>
        </w:rPr>
        <w:t>.</w:t>
      </w:r>
    </w:p>
    <w:p w14:paraId="5D8B0C7F"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 xml:space="preserve">Ghani, S. (2018). An analysis of the </w:t>
      </w:r>
      <w:proofErr w:type="spellStart"/>
      <w:r w:rsidRPr="00A9518A">
        <w:rPr>
          <w:rFonts w:ascii="Sakkal Majalla" w:hAnsi="Sakkal Majalla" w:cs="Sakkal Majalla"/>
          <w:sz w:val="28"/>
          <w:szCs w:val="28"/>
        </w:rPr>
        <w:t>Ijaarah</w:t>
      </w:r>
      <w:proofErr w:type="spellEnd"/>
      <w:r w:rsidRPr="00A9518A">
        <w:rPr>
          <w:rFonts w:ascii="Sakkal Majalla" w:hAnsi="Sakkal Majalla" w:cs="Sakkal Majalla"/>
          <w:sz w:val="28"/>
          <w:szCs w:val="28"/>
        </w:rPr>
        <w:t xml:space="preserve"> </w:t>
      </w:r>
      <w:proofErr w:type="spellStart"/>
      <w:r w:rsidRPr="00A9518A">
        <w:rPr>
          <w:rFonts w:ascii="Sakkal Majalla" w:hAnsi="Sakkal Majalla" w:cs="Sakkal Majalla"/>
          <w:sz w:val="28"/>
          <w:szCs w:val="28"/>
        </w:rPr>
        <w:t>Muntahiyyah</w:t>
      </w:r>
      <w:proofErr w:type="spellEnd"/>
      <w:r w:rsidRPr="00A9518A">
        <w:rPr>
          <w:rFonts w:ascii="Sakkal Majalla" w:hAnsi="Sakkal Majalla" w:cs="Sakkal Majalla"/>
          <w:sz w:val="28"/>
          <w:szCs w:val="28"/>
        </w:rPr>
        <w:t xml:space="preserve"> </w:t>
      </w:r>
      <w:proofErr w:type="spellStart"/>
      <w:r w:rsidRPr="00A9518A">
        <w:rPr>
          <w:rFonts w:ascii="Sakkal Majalla" w:hAnsi="Sakkal Majalla" w:cs="Sakkal Majalla"/>
          <w:sz w:val="28"/>
          <w:szCs w:val="28"/>
        </w:rPr>
        <w:t>Bittamleek</w:t>
      </w:r>
      <w:proofErr w:type="spellEnd"/>
      <w:r w:rsidRPr="00A9518A">
        <w:rPr>
          <w:rFonts w:ascii="Sakkal Majalla" w:hAnsi="Sakkal Majalla" w:cs="Sakkal Majalla"/>
          <w:sz w:val="28"/>
          <w:szCs w:val="28"/>
        </w:rPr>
        <w:t xml:space="preserve"> contract. American Journal of Humanities &amp; Islamic Studies, 1(1), 1-8</w:t>
      </w:r>
      <w:r w:rsidRPr="00A9518A">
        <w:rPr>
          <w:rFonts w:ascii="Sakkal Majalla" w:hAnsi="Sakkal Majalla" w:cs="Sakkal Majalla"/>
          <w:sz w:val="28"/>
          <w:szCs w:val="28"/>
          <w:rtl/>
        </w:rPr>
        <w:t>.</w:t>
      </w:r>
    </w:p>
    <w:p w14:paraId="3A6B4FCF"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Hamadou, I., Hamidi, M. L., &amp; Yumna, A. (2024). Potential customers' intention to use Islamic banking products in Cameroon: The mediating effect of attitude. Journal of Islamic Marketing, 16(2), 373-401</w:t>
      </w:r>
      <w:r w:rsidRPr="00A9518A">
        <w:rPr>
          <w:rFonts w:ascii="Sakkal Majalla" w:hAnsi="Sakkal Majalla" w:cs="Sakkal Majalla"/>
          <w:sz w:val="28"/>
          <w:szCs w:val="28"/>
          <w:rtl/>
        </w:rPr>
        <w:t>.</w:t>
      </w:r>
    </w:p>
    <w:p w14:paraId="41E192B6" w14:textId="77777777" w:rsidR="00A9518A" w:rsidRPr="00A9518A" w:rsidRDefault="00A9518A" w:rsidP="00A9518A">
      <w:pPr>
        <w:pStyle w:val="ListParagraph"/>
        <w:numPr>
          <w:ilvl w:val="0"/>
          <w:numId w:val="3"/>
        </w:numPr>
        <w:bidi w:val="0"/>
        <w:rPr>
          <w:rFonts w:ascii="Sakkal Majalla" w:hAnsi="Sakkal Majalla" w:cs="Sakkal Majalla"/>
          <w:sz w:val="28"/>
          <w:szCs w:val="28"/>
        </w:rPr>
      </w:pPr>
      <w:proofErr w:type="spellStart"/>
      <w:r w:rsidRPr="00A9518A">
        <w:rPr>
          <w:rFonts w:ascii="Sakkal Majalla" w:hAnsi="Sakkal Majalla" w:cs="Sakkal Majalla"/>
          <w:sz w:val="28"/>
          <w:szCs w:val="28"/>
        </w:rPr>
        <w:t>iSeeCars</w:t>
      </w:r>
      <w:proofErr w:type="spellEnd"/>
      <w:r w:rsidRPr="00A9518A">
        <w:rPr>
          <w:rFonts w:ascii="Sakkal Majalla" w:hAnsi="Sakkal Majalla" w:cs="Sakkal Majalla"/>
          <w:sz w:val="28"/>
          <w:szCs w:val="28"/>
        </w:rPr>
        <w:t>. (2026). Lucid Air resale value and depreciation. iSeeCars.com</w:t>
      </w:r>
      <w:r w:rsidRPr="00A9518A">
        <w:rPr>
          <w:rFonts w:ascii="Sakkal Majalla" w:hAnsi="Sakkal Majalla" w:cs="Sakkal Majalla"/>
          <w:sz w:val="28"/>
          <w:szCs w:val="28"/>
          <w:rtl/>
        </w:rPr>
        <w:t>.</w:t>
      </w:r>
    </w:p>
    <w:p w14:paraId="05C63A25"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 xml:space="preserve">Kamali, M. H. (2007). A </w:t>
      </w:r>
      <w:proofErr w:type="spellStart"/>
      <w:r w:rsidRPr="00A9518A">
        <w:rPr>
          <w:rFonts w:ascii="Sakkal Majalla" w:hAnsi="Sakkal Majalla" w:cs="Sakkal Majalla"/>
          <w:sz w:val="28"/>
          <w:szCs w:val="28"/>
        </w:rPr>
        <w:t>Shari'ah</w:t>
      </w:r>
      <w:proofErr w:type="spellEnd"/>
      <w:r w:rsidRPr="00A9518A">
        <w:rPr>
          <w:rFonts w:ascii="Sakkal Majalla" w:hAnsi="Sakkal Majalla" w:cs="Sakkal Majalla"/>
          <w:sz w:val="28"/>
          <w:szCs w:val="28"/>
        </w:rPr>
        <w:t xml:space="preserve"> analysis of issues in Islamic leasing. Journal of King Abdulaziz University: Islamic Economics, 20(1), 3-22</w:t>
      </w:r>
      <w:r w:rsidRPr="00A9518A">
        <w:rPr>
          <w:rFonts w:ascii="Sakkal Majalla" w:hAnsi="Sakkal Majalla" w:cs="Sakkal Majalla"/>
          <w:sz w:val="28"/>
          <w:szCs w:val="28"/>
          <w:rtl/>
        </w:rPr>
        <w:t>.</w:t>
      </w:r>
    </w:p>
    <w:p w14:paraId="20B151BE" w14:textId="77777777" w:rsidR="00A9518A" w:rsidRPr="00A9518A" w:rsidRDefault="00A9518A" w:rsidP="00A9518A">
      <w:pPr>
        <w:pStyle w:val="ListParagraph"/>
        <w:numPr>
          <w:ilvl w:val="0"/>
          <w:numId w:val="3"/>
        </w:numPr>
        <w:bidi w:val="0"/>
        <w:rPr>
          <w:rFonts w:ascii="Sakkal Majalla" w:hAnsi="Sakkal Majalla" w:cs="Sakkal Majalla"/>
          <w:sz w:val="28"/>
          <w:szCs w:val="28"/>
        </w:rPr>
      </w:pPr>
      <w:proofErr w:type="spellStart"/>
      <w:r w:rsidRPr="00A9518A">
        <w:rPr>
          <w:rFonts w:ascii="Sakkal Majalla" w:hAnsi="Sakkal Majalla" w:cs="Sakkal Majalla"/>
          <w:sz w:val="28"/>
          <w:szCs w:val="28"/>
        </w:rPr>
        <w:t>Krejcie</w:t>
      </w:r>
      <w:proofErr w:type="spellEnd"/>
      <w:r w:rsidRPr="00A9518A">
        <w:rPr>
          <w:rFonts w:ascii="Sakkal Majalla" w:hAnsi="Sakkal Majalla" w:cs="Sakkal Majalla"/>
          <w:sz w:val="28"/>
          <w:szCs w:val="28"/>
        </w:rPr>
        <w:t>, R. V., &amp; Morgan, D. W. (1970). Determining sample size for research activities. Educational and Psychological Measurement, 30(3), 607-610</w:t>
      </w:r>
      <w:r w:rsidRPr="00A9518A">
        <w:rPr>
          <w:rFonts w:ascii="Sakkal Majalla" w:hAnsi="Sakkal Majalla" w:cs="Sakkal Majalla"/>
          <w:sz w:val="28"/>
          <w:szCs w:val="28"/>
          <w:rtl/>
        </w:rPr>
        <w:t>.</w:t>
      </w:r>
    </w:p>
    <w:p w14:paraId="4D99B79F"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Kutty, F. (2020). Islamic finance, consumer protection and public policy. In Islamic Finance and Sustainable Development (pp. 145-165). Springer</w:t>
      </w:r>
      <w:r w:rsidRPr="00A9518A">
        <w:rPr>
          <w:rFonts w:ascii="Sakkal Majalla" w:hAnsi="Sakkal Majalla" w:cs="Sakkal Majalla"/>
          <w:sz w:val="28"/>
          <w:szCs w:val="28"/>
          <w:rtl/>
        </w:rPr>
        <w:t>.</w:t>
      </w:r>
    </w:p>
    <w:p w14:paraId="1D26212F"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 xml:space="preserve">Laldin, M. A., &amp; </w:t>
      </w:r>
      <w:proofErr w:type="spellStart"/>
      <w:r w:rsidRPr="00A9518A">
        <w:rPr>
          <w:rFonts w:ascii="Sakkal Majalla" w:hAnsi="Sakkal Majalla" w:cs="Sakkal Majalla"/>
          <w:sz w:val="28"/>
          <w:szCs w:val="28"/>
        </w:rPr>
        <w:t>Furqani</w:t>
      </w:r>
      <w:proofErr w:type="spellEnd"/>
      <w:r w:rsidRPr="00A9518A">
        <w:rPr>
          <w:rFonts w:ascii="Sakkal Majalla" w:hAnsi="Sakkal Majalla" w:cs="Sakkal Majalla"/>
          <w:sz w:val="28"/>
          <w:szCs w:val="28"/>
        </w:rPr>
        <w:t>, H. (2019). Financial innovations in Islamic countries: The road to perdition or salvation? Journal of Islamic Marketing, 11(5), 1243-1255</w:t>
      </w:r>
      <w:r w:rsidRPr="00A9518A">
        <w:rPr>
          <w:rFonts w:ascii="Sakkal Majalla" w:hAnsi="Sakkal Majalla" w:cs="Sakkal Majalla"/>
          <w:sz w:val="28"/>
          <w:szCs w:val="28"/>
          <w:rtl/>
        </w:rPr>
        <w:t>.</w:t>
      </w:r>
    </w:p>
    <w:p w14:paraId="5AD3DA6B"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lastRenderedPageBreak/>
        <w:t>Naveed, A., Akhtar, R., &amp; Ahmed, Z. (2020). Determinants of low adoption of Islamic banking in Pakistan. Journal of Islamic Marketing, 12(2), 352-367</w:t>
      </w:r>
      <w:r w:rsidRPr="00A9518A">
        <w:rPr>
          <w:rFonts w:ascii="Sakkal Majalla" w:hAnsi="Sakkal Majalla" w:cs="Sakkal Majalla"/>
          <w:sz w:val="28"/>
          <w:szCs w:val="28"/>
          <w:rtl/>
        </w:rPr>
        <w:t>.</w:t>
      </w:r>
    </w:p>
    <w:p w14:paraId="0C6F2C9E"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Recharged. (2026). Lucid Air depreciation rate 2026: Resale value guide</w:t>
      </w:r>
      <w:r w:rsidRPr="00A9518A">
        <w:rPr>
          <w:rFonts w:ascii="Sakkal Majalla" w:hAnsi="Sakkal Majalla" w:cs="Sakkal Majalla"/>
          <w:sz w:val="28"/>
          <w:szCs w:val="28"/>
          <w:rtl/>
        </w:rPr>
        <w:t>.</w:t>
      </w:r>
    </w:p>
    <w:p w14:paraId="200F5289"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Rogers, E. M. (2003). Diffusion of innovations (5th ed.). New York: Free Press</w:t>
      </w:r>
      <w:r w:rsidRPr="00A9518A">
        <w:rPr>
          <w:rFonts w:ascii="Sakkal Majalla" w:hAnsi="Sakkal Majalla" w:cs="Sakkal Majalla"/>
          <w:sz w:val="28"/>
          <w:szCs w:val="28"/>
          <w:rtl/>
        </w:rPr>
        <w:t>.</w:t>
      </w:r>
    </w:p>
    <w:p w14:paraId="06DE20E6" w14:textId="77777777" w:rsidR="00A9518A" w:rsidRPr="00A9518A" w:rsidRDefault="00A9518A" w:rsidP="00A9518A">
      <w:pPr>
        <w:pStyle w:val="ListParagraph"/>
        <w:numPr>
          <w:ilvl w:val="0"/>
          <w:numId w:val="3"/>
        </w:numPr>
        <w:bidi w:val="0"/>
        <w:rPr>
          <w:rFonts w:ascii="Sakkal Majalla" w:hAnsi="Sakkal Majalla" w:cs="Sakkal Majalla"/>
          <w:sz w:val="28"/>
          <w:szCs w:val="28"/>
        </w:rPr>
      </w:pPr>
      <w:r w:rsidRPr="00A9518A">
        <w:rPr>
          <w:rFonts w:ascii="Sakkal Majalla" w:hAnsi="Sakkal Majalla" w:cs="Sakkal Majalla"/>
          <w:sz w:val="28"/>
          <w:szCs w:val="28"/>
        </w:rPr>
        <w:t>Saleem, S., Saiti, B., &amp; Ibrahim, M. H. (2020). Exploring compliance of AAOIFI Shariah standard on Ijarah financing. Journal of Risk and Financial Management, 13(2), Article 29</w:t>
      </w:r>
      <w:r w:rsidRPr="00A9518A">
        <w:rPr>
          <w:rFonts w:ascii="Sakkal Majalla" w:hAnsi="Sakkal Majalla" w:cs="Sakkal Majalla"/>
          <w:sz w:val="28"/>
          <w:szCs w:val="28"/>
          <w:rtl/>
        </w:rPr>
        <w:t>.</w:t>
      </w:r>
    </w:p>
    <w:p w14:paraId="12A0C3D7" w14:textId="77777777" w:rsidR="00A9518A" w:rsidRPr="00A9518A" w:rsidRDefault="00A9518A" w:rsidP="00A9518A">
      <w:pPr>
        <w:pStyle w:val="ListParagraph"/>
        <w:numPr>
          <w:ilvl w:val="0"/>
          <w:numId w:val="3"/>
        </w:numPr>
        <w:bidi w:val="0"/>
        <w:rPr>
          <w:rFonts w:ascii="Sakkal Majalla" w:hAnsi="Sakkal Majalla" w:cs="Sakkal Majalla"/>
          <w:sz w:val="28"/>
          <w:szCs w:val="28"/>
        </w:rPr>
      </w:pPr>
      <w:proofErr w:type="spellStart"/>
      <w:r w:rsidRPr="00A9518A">
        <w:rPr>
          <w:rFonts w:ascii="Sakkal Majalla" w:hAnsi="Sakkal Majalla" w:cs="Sakkal Majalla"/>
          <w:sz w:val="28"/>
          <w:szCs w:val="28"/>
        </w:rPr>
        <w:t>TopSpeed</w:t>
      </w:r>
      <w:proofErr w:type="spellEnd"/>
      <w:r w:rsidRPr="00A9518A">
        <w:rPr>
          <w:rFonts w:ascii="Sakkal Majalla" w:hAnsi="Sakkal Majalla" w:cs="Sakkal Majalla"/>
          <w:sz w:val="28"/>
          <w:szCs w:val="28"/>
        </w:rPr>
        <w:t>. (2024). Here's how much a Lucid Air depreciates after 2 years</w:t>
      </w:r>
      <w:r w:rsidRPr="00A9518A">
        <w:rPr>
          <w:rFonts w:ascii="Sakkal Majalla" w:hAnsi="Sakkal Majalla" w:cs="Sakkal Majalla"/>
          <w:sz w:val="28"/>
          <w:szCs w:val="28"/>
          <w:rtl/>
        </w:rPr>
        <w:t>.</w:t>
      </w:r>
    </w:p>
    <w:p w14:paraId="3C85CFFE" w14:textId="77777777" w:rsidR="00A9518A" w:rsidRPr="00A9518A" w:rsidRDefault="00A9518A" w:rsidP="00A9518A">
      <w:pPr>
        <w:pStyle w:val="ListParagraph"/>
        <w:numPr>
          <w:ilvl w:val="0"/>
          <w:numId w:val="3"/>
        </w:numPr>
        <w:bidi w:val="0"/>
        <w:rPr>
          <w:rFonts w:ascii="Sakkal Majalla" w:hAnsi="Sakkal Majalla" w:cs="Sakkal Majalla"/>
          <w:sz w:val="28"/>
          <w:szCs w:val="28"/>
        </w:rPr>
      </w:pPr>
      <w:proofErr w:type="spellStart"/>
      <w:r w:rsidRPr="00A9518A">
        <w:rPr>
          <w:rFonts w:ascii="Sakkal Majalla" w:hAnsi="Sakkal Majalla" w:cs="Sakkal Majalla"/>
          <w:sz w:val="28"/>
          <w:szCs w:val="28"/>
        </w:rPr>
        <w:t>Vejzagic</w:t>
      </w:r>
      <w:proofErr w:type="spellEnd"/>
      <w:r w:rsidRPr="00A9518A">
        <w:rPr>
          <w:rFonts w:ascii="Sakkal Majalla" w:hAnsi="Sakkal Majalla" w:cs="Sakkal Majalla"/>
          <w:sz w:val="28"/>
          <w:szCs w:val="28"/>
        </w:rPr>
        <w:t xml:space="preserve">, M. (2014). Ijarah </w:t>
      </w:r>
      <w:proofErr w:type="spellStart"/>
      <w:r w:rsidRPr="00A9518A">
        <w:rPr>
          <w:rFonts w:ascii="Sakkal Majalla" w:hAnsi="Sakkal Majalla" w:cs="Sakkal Majalla"/>
          <w:sz w:val="28"/>
          <w:szCs w:val="28"/>
        </w:rPr>
        <w:t>Muntahia</w:t>
      </w:r>
      <w:proofErr w:type="spellEnd"/>
      <w:r w:rsidRPr="00A9518A">
        <w:rPr>
          <w:rFonts w:ascii="Sakkal Majalla" w:hAnsi="Sakkal Majalla" w:cs="Sakkal Majalla"/>
          <w:sz w:val="28"/>
          <w:szCs w:val="28"/>
        </w:rPr>
        <w:t xml:space="preserve"> </w:t>
      </w:r>
      <w:proofErr w:type="spellStart"/>
      <w:r w:rsidRPr="00A9518A">
        <w:rPr>
          <w:rFonts w:ascii="Sakkal Majalla" w:hAnsi="Sakkal Majalla" w:cs="Sakkal Majalla"/>
          <w:sz w:val="28"/>
          <w:szCs w:val="28"/>
        </w:rPr>
        <w:t>Bittamleek</w:t>
      </w:r>
      <w:proofErr w:type="spellEnd"/>
      <w:r w:rsidRPr="00A9518A">
        <w:rPr>
          <w:rFonts w:ascii="Sakkal Majalla" w:hAnsi="Sakkal Majalla" w:cs="Sakkal Majalla"/>
          <w:sz w:val="28"/>
          <w:szCs w:val="28"/>
        </w:rPr>
        <w:t xml:space="preserve"> (IMB): A risk management perspective. Merit Research Journal of Accounting, Auditing, Economics and Finance, 2(1), 1-7</w:t>
      </w:r>
      <w:r w:rsidRPr="00A9518A">
        <w:rPr>
          <w:rFonts w:ascii="Sakkal Majalla" w:hAnsi="Sakkal Majalla" w:cs="Sakkal Majalla"/>
          <w:sz w:val="28"/>
          <w:szCs w:val="28"/>
          <w:rtl/>
        </w:rPr>
        <w:t>.</w:t>
      </w:r>
    </w:p>
    <w:p w14:paraId="745F1454" w14:textId="748928A6" w:rsidR="004163C7" w:rsidRPr="00A9518A" w:rsidRDefault="00A9518A" w:rsidP="00A9518A">
      <w:pPr>
        <w:pStyle w:val="ListParagraph"/>
        <w:numPr>
          <w:ilvl w:val="0"/>
          <w:numId w:val="3"/>
        </w:numPr>
        <w:bidi w:val="0"/>
        <w:rPr>
          <w:rFonts w:ascii="Sakkal Majalla" w:hAnsi="Sakkal Majalla" w:cs="Sakkal Majalla"/>
          <w:sz w:val="28"/>
          <w:szCs w:val="28"/>
          <w:u w:val="single"/>
          <w:rtl/>
        </w:rPr>
      </w:pPr>
      <w:r w:rsidRPr="00A9518A">
        <w:rPr>
          <w:rFonts w:ascii="Sakkal Majalla" w:hAnsi="Sakkal Majalla" w:cs="Sakkal Majalla"/>
          <w:sz w:val="28"/>
          <w:szCs w:val="28"/>
        </w:rPr>
        <w:t>Wikipedia. (n.d.). Personal contract purchase</w:t>
      </w:r>
      <w:r w:rsidRPr="00A9518A">
        <w:rPr>
          <w:rFonts w:ascii="Sakkal Majalla" w:hAnsi="Sakkal Majalla" w:cs="Sakkal Majalla"/>
          <w:sz w:val="28"/>
          <w:szCs w:val="28"/>
          <w:rtl/>
        </w:rPr>
        <w:t>.</w:t>
      </w: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A9518A">
      <w:pPr>
        <w:rPr>
          <w:rFonts w:ascii="Sakkal Majalla" w:hAnsi="Sakkal Majalla" w:cs="Sakkal Majalla"/>
          <w:b/>
          <w:bCs/>
          <w:sz w:val="52"/>
          <w:szCs w:val="52"/>
          <w:u w:val="single"/>
        </w:rPr>
      </w:pPr>
    </w:p>
    <w:p w14:paraId="625E4CB8" w14:textId="77777777" w:rsidR="00A9518A" w:rsidRDefault="00A9518A" w:rsidP="00A9518A">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47FD39D2" w14:textId="5446E7E8" w:rsidR="004163C7" w:rsidRDefault="004163C7" w:rsidP="00A9518A">
      <w:pPr>
        <w:rPr>
          <w:rFonts w:ascii="Sakkal Majalla" w:hAnsi="Sakkal Majalla" w:cs="Sakkal Majalla"/>
          <w:sz w:val="28"/>
          <w:szCs w:val="28"/>
          <w:u w:val="single"/>
        </w:rPr>
      </w:pPr>
      <w:r>
        <w:rPr>
          <w:rFonts w:ascii="Sakkal Majalla" w:hAnsi="Sakkal Majalla" w:cs="Sakkal Majalla" w:hint="cs"/>
          <w:sz w:val="28"/>
          <w:szCs w:val="28"/>
          <w:u w:val="single"/>
          <w:rtl/>
        </w:rPr>
        <w:t>-الاستبانة</w:t>
      </w:r>
    </w:p>
    <w:p w14:paraId="0CCB9659" w14:textId="01EBF5F2" w:rsidR="004163C7" w:rsidRDefault="00A9518A" w:rsidP="009125CE">
      <w:pPr>
        <w:rPr>
          <w:rFonts w:ascii="Sakkal Majalla" w:hAnsi="Sakkal Majalla" w:cs="Sakkal Majalla"/>
          <w:sz w:val="28"/>
          <w:szCs w:val="28"/>
        </w:rPr>
      </w:pPr>
      <w:r w:rsidRPr="00A9518A">
        <w:rPr>
          <w:rFonts w:ascii="Sakkal Majalla" w:hAnsi="Sakkal Majalla" w:cs="Sakkal Majalla"/>
          <w:sz w:val="28"/>
          <w:szCs w:val="28"/>
          <w:rtl/>
        </w:rPr>
        <w:t>طُبقت الاستبانة فعليًا إلكترونيًا على عينة قوامها 283 عميلًا، وتضمنت 10 أسئلة: سؤال فرز (سبق التعامل مع التمويل التأجيري المنتهي بالتملك؟)، وثلاثة أسئلة ديموغرافية (الجنس، الفئة العمرية، الدخل الشهري)، وست عبارات رئيسة بمقياس ثلاثي (أوافق/محايد/لا أوافق) تقيس: الرضا عن المرونة الحالية، وإدراك القيد في المنتج الحالي، وتقييم عناصر النموذج المقترح (الاستبدال/الصيانة/العداد)، والتأييد العام لطرح النموذج.</w:t>
      </w:r>
    </w:p>
    <w:p w14:paraId="26BA24DD" w14:textId="77777777" w:rsidR="00A9518A" w:rsidRDefault="00A9518A" w:rsidP="00A9518A">
      <w:pPr>
        <w:rPr>
          <w:rFonts w:ascii="Sakkal Majalla" w:hAnsi="Sakkal Majalla" w:cs="Sakkal Majalla"/>
          <w:sz w:val="28"/>
          <w:szCs w:val="28"/>
        </w:rPr>
      </w:pPr>
      <w:r>
        <w:rPr>
          <w:rFonts w:ascii="Sakkal Majalla" w:hAnsi="Sakkal Majalla" w:cs="Sakkal Majalla"/>
          <w:noProof/>
          <w:sz w:val="28"/>
          <w:szCs w:val="28"/>
        </w:rPr>
        <w:lastRenderedPageBreak/>
        <w:drawing>
          <wp:inline distT="0" distB="0" distL="0" distR="0" wp14:anchorId="23F8E4A2" wp14:editId="5F7A30AC">
            <wp:extent cx="4804012" cy="8565916"/>
            <wp:effectExtent l="0" t="0" r="0" b="6985"/>
            <wp:docPr id="124050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9268" cy="8628780"/>
                    </a:xfrm>
                    <a:prstGeom prst="rect">
                      <a:avLst/>
                    </a:prstGeom>
                    <a:noFill/>
                    <a:ln>
                      <a:noFill/>
                    </a:ln>
                  </pic:spPr>
                </pic:pic>
              </a:graphicData>
            </a:graphic>
          </wp:inline>
        </w:drawing>
      </w:r>
    </w:p>
    <w:p w14:paraId="4DCD020F" w14:textId="1D96369F" w:rsidR="004163C7" w:rsidRPr="00A9518A" w:rsidRDefault="004163C7" w:rsidP="00A9518A">
      <w:pPr>
        <w:rPr>
          <w:rFonts w:ascii="Sakkal Majalla" w:hAnsi="Sakkal Majalla" w:cs="Sakkal Majalla"/>
          <w:sz w:val="28"/>
          <w:szCs w:val="28"/>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A4A44F8" w14:textId="77777777" w:rsidR="004163C7" w:rsidRPr="003504BF" w:rsidRDefault="004163C7" w:rsidP="003504BF">
      <w:pPr>
        <w:bidi w:val="0"/>
        <w:rPr>
          <w:rFonts w:ascii="Sakkal Majalla" w:hAnsi="Sakkal Majalla" w:cs="Sakkal Majalla"/>
          <w:sz w:val="28"/>
          <w:szCs w:val="28"/>
          <w:rtl/>
        </w:rPr>
      </w:pPr>
    </w:p>
    <w:p w14:paraId="038ED1F7" w14:textId="77777777" w:rsidR="003504BF" w:rsidRPr="003504BF" w:rsidRDefault="003504BF" w:rsidP="003504BF">
      <w:pPr>
        <w:bidi w:val="0"/>
        <w:rPr>
          <w:rFonts w:ascii="Sakkal Majalla" w:hAnsi="Sakkal Majalla" w:cs="Sakkal Majalla"/>
          <w:sz w:val="28"/>
          <w:szCs w:val="28"/>
        </w:rPr>
      </w:pPr>
      <w:r w:rsidRPr="003504BF">
        <w:rPr>
          <w:rFonts w:ascii="Sakkal Majalla" w:hAnsi="Sakkal Majalla" w:cs="Sakkal Majalla"/>
          <w:sz w:val="28"/>
          <w:szCs w:val="28"/>
        </w:rPr>
        <w:t xml:space="preserve">This study addresses the gap between Ijarah </w:t>
      </w:r>
      <w:proofErr w:type="spellStart"/>
      <w:r w:rsidRPr="003504BF">
        <w:rPr>
          <w:rFonts w:ascii="Sakkal Majalla" w:hAnsi="Sakkal Majalla" w:cs="Sakkal Majalla"/>
          <w:sz w:val="28"/>
          <w:szCs w:val="28"/>
        </w:rPr>
        <w:t>Muntahia</w:t>
      </w:r>
      <w:proofErr w:type="spellEnd"/>
      <w:r w:rsidRPr="003504BF">
        <w:rPr>
          <w:rFonts w:ascii="Sakkal Majalla" w:hAnsi="Sakkal Majalla" w:cs="Sakkal Majalla"/>
          <w:sz w:val="28"/>
          <w:szCs w:val="28"/>
        </w:rPr>
        <w:t xml:space="preserve"> </w:t>
      </w:r>
      <w:proofErr w:type="spellStart"/>
      <w:r w:rsidRPr="003504BF">
        <w:rPr>
          <w:rFonts w:ascii="Sakkal Majalla" w:hAnsi="Sakkal Majalla" w:cs="Sakkal Majalla"/>
          <w:sz w:val="28"/>
          <w:szCs w:val="28"/>
        </w:rPr>
        <w:t>Bittamleek</w:t>
      </w:r>
      <w:proofErr w:type="spellEnd"/>
      <w:r w:rsidRPr="003504BF">
        <w:rPr>
          <w:rFonts w:ascii="Sakkal Majalla" w:hAnsi="Sakkal Majalla" w:cs="Sakkal Majalla"/>
          <w:sz w:val="28"/>
          <w:szCs w:val="28"/>
        </w:rPr>
        <w:t xml:space="preserve"> (lease-to-own) financing and operating lease in the Saudi vehicle financing market. While the former offers relative cost efficiency with limited flexibility, the latter offers greater flexibility at a relatively higher cost. The study proposes a hybrid financing model that allows customers to substitute their vehicle during the contract term under conditions agreed upon by the bank and the dealer, in exchange for the customer's commitment to regular maintenance and mileage tracking, without violating the Shariah principles governing Ijarah </w:t>
      </w:r>
      <w:proofErr w:type="spellStart"/>
      <w:r w:rsidRPr="003504BF">
        <w:rPr>
          <w:rFonts w:ascii="Sakkal Majalla" w:hAnsi="Sakkal Majalla" w:cs="Sakkal Majalla"/>
          <w:sz w:val="28"/>
          <w:szCs w:val="28"/>
        </w:rPr>
        <w:t>Muntahia</w:t>
      </w:r>
      <w:proofErr w:type="spellEnd"/>
      <w:r w:rsidRPr="003504BF">
        <w:rPr>
          <w:rFonts w:ascii="Sakkal Majalla" w:hAnsi="Sakkal Majalla" w:cs="Sakkal Majalla"/>
          <w:sz w:val="28"/>
          <w:szCs w:val="28"/>
        </w:rPr>
        <w:t xml:space="preserve"> </w:t>
      </w:r>
      <w:proofErr w:type="spellStart"/>
      <w:r w:rsidRPr="003504BF">
        <w:rPr>
          <w:rFonts w:ascii="Sakkal Majalla" w:hAnsi="Sakkal Majalla" w:cs="Sakkal Majalla"/>
          <w:sz w:val="28"/>
          <w:szCs w:val="28"/>
        </w:rPr>
        <w:t>Bittamleek</w:t>
      </w:r>
      <w:proofErr w:type="spellEnd"/>
      <w:r w:rsidRPr="003504BF">
        <w:rPr>
          <w:rFonts w:ascii="Sakkal Majalla" w:hAnsi="Sakkal Majalla" w:cs="Sakkal Majalla"/>
          <w:sz w:val="28"/>
          <w:szCs w:val="28"/>
        </w:rPr>
        <w:t xml:space="preserve"> contracts</w:t>
      </w:r>
      <w:r w:rsidRPr="003504BF">
        <w:rPr>
          <w:rFonts w:ascii="Sakkal Majalla" w:hAnsi="Sakkal Majalla" w:cs="Sakkal Majalla"/>
          <w:sz w:val="28"/>
          <w:szCs w:val="28"/>
          <w:rtl/>
        </w:rPr>
        <w:t>.</w:t>
      </w:r>
    </w:p>
    <w:p w14:paraId="191991DA" w14:textId="77777777" w:rsidR="003504BF" w:rsidRPr="003504BF" w:rsidRDefault="003504BF" w:rsidP="003504BF">
      <w:pPr>
        <w:bidi w:val="0"/>
        <w:rPr>
          <w:rFonts w:ascii="Sakkal Majalla" w:hAnsi="Sakkal Majalla" w:cs="Sakkal Majalla"/>
          <w:sz w:val="28"/>
          <w:szCs w:val="28"/>
        </w:rPr>
      </w:pPr>
      <w:r w:rsidRPr="003504BF">
        <w:rPr>
          <w:rFonts w:ascii="Sakkal Majalla" w:hAnsi="Sakkal Majalla" w:cs="Sakkal Majalla"/>
          <w:sz w:val="28"/>
          <w:szCs w:val="28"/>
        </w:rPr>
        <w:t xml:space="preserve">The study adopted a mixed-methods approach, combining document and regulatory analysis, an applied numerical financial simulation on two vehicle categories (conventional and electric), and a field questionnaire </w:t>
      </w:r>
      <w:proofErr w:type="gramStart"/>
      <w:r w:rsidRPr="003504BF">
        <w:rPr>
          <w:rFonts w:ascii="Sakkal Majalla" w:hAnsi="Sakkal Majalla" w:cs="Sakkal Majalla"/>
          <w:sz w:val="28"/>
          <w:szCs w:val="28"/>
        </w:rPr>
        <w:t>actually administered</w:t>
      </w:r>
      <w:proofErr w:type="gramEnd"/>
      <w:r w:rsidRPr="003504BF">
        <w:rPr>
          <w:rFonts w:ascii="Sakkal Majalla" w:hAnsi="Sakkal Majalla" w:cs="Sakkal Majalla"/>
          <w:sz w:val="28"/>
          <w:szCs w:val="28"/>
        </w:rPr>
        <w:t xml:space="preserve"> to a sample of 283 customers. Descriptive results showed that a large proportion of the sample (83.7%) agreed that a substitution option would increase their satisfaction with the product, and that majorities (68.2% and 84.5% respectively) were willing to accept regular maintenance responsibility and mileage tracking in exchange for this feature, while 88.3% of the sample supported introducing the proposed model as an actual market product. At the inferential level, only one sub-hypothesis (H1b) was statistically supported (r = -0.152, p = 0.011), while the main hypothesis and the other sub-hypothesis were not statistically significant in this sample, likely due to a ceiling effect from the concentration of positive responses. The financial simulation showed that the model's feasibility varies substantially by vehicle category, with electric vehicles requiring a higher risk margin and longer contract term given their documented rapid depreciation</w:t>
      </w:r>
      <w:r w:rsidRPr="003504BF">
        <w:rPr>
          <w:rFonts w:ascii="Sakkal Majalla" w:hAnsi="Sakkal Majalla" w:cs="Sakkal Majalla"/>
          <w:sz w:val="28"/>
          <w:szCs w:val="28"/>
          <w:rtl/>
        </w:rPr>
        <w:t>.</w:t>
      </w:r>
    </w:p>
    <w:p w14:paraId="729260F8" w14:textId="04FD169D" w:rsidR="004163C7" w:rsidRPr="003504BF" w:rsidRDefault="003504BF" w:rsidP="003504BF">
      <w:pPr>
        <w:bidi w:val="0"/>
        <w:rPr>
          <w:rFonts w:ascii="Sakkal Majalla" w:hAnsi="Sakkal Majalla" w:cs="Sakkal Majalla"/>
          <w:sz w:val="28"/>
          <w:szCs w:val="28"/>
          <w:rtl/>
        </w:rPr>
      </w:pPr>
      <w:r w:rsidRPr="003504BF">
        <w:rPr>
          <w:rFonts w:ascii="Sakkal Majalla" w:hAnsi="Sakkal Majalla" w:cs="Sakkal Majalla"/>
          <w:sz w:val="28"/>
          <w:szCs w:val="28"/>
        </w:rPr>
        <w:t xml:space="preserve">Keywords: Ijarah </w:t>
      </w:r>
      <w:proofErr w:type="spellStart"/>
      <w:r w:rsidRPr="003504BF">
        <w:rPr>
          <w:rFonts w:ascii="Sakkal Majalla" w:hAnsi="Sakkal Majalla" w:cs="Sakkal Majalla"/>
          <w:sz w:val="28"/>
          <w:szCs w:val="28"/>
        </w:rPr>
        <w:t>Muntahia</w:t>
      </w:r>
      <w:proofErr w:type="spellEnd"/>
      <w:r w:rsidRPr="003504BF">
        <w:rPr>
          <w:rFonts w:ascii="Sakkal Majalla" w:hAnsi="Sakkal Majalla" w:cs="Sakkal Majalla"/>
          <w:sz w:val="28"/>
          <w:szCs w:val="28"/>
        </w:rPr>
        <w:t xml:space="preserve"> </w:t>
      </w:r>
      <w:proofErr w:type="spellStart"/>
      <w:r w:rsidRPr="003504BF">
        <w:rPr>
          <w:rFonts w:ascii="Sakkal Majalla" w:hAnsi="Sakkal Majalla" w:cs="Sakkal Majalla"/>
          <w:sz w:val="28"/>
          <w:szCs w:val="28"/>
        </w:rPr>
        <w:t>Bittamleek</w:t>
      </w:r>
      <w:proofErr w:type="spellEnd"/>
      <w:r w:rsidRPr="003504BF">
        <w:rPr>
          <w:rFonts w:ascii="Sakkal Majalla" w:hAnsi="Sakkal Majalla" w:cs="Sakkal Majalla"/>
          <w:sz w:val="28"/>
          <w:szCs w:val="28"/>
        </w:rPr>
        <w:t>, operating lease, residual value, financial innovation, Islamic leasing, Saudi market</w:t>
      </w:r>
      <w:r w:rsidRPr="003504BF">
        <w:rPr>
          <w:rFonts w:ascii="Sakkal Majalla" w:hAnsi="Sakkal Majalla" w:cs="Sakkal Majalla"/>
          <w:sz w:val="28"/>
          <w:szCs w:val="28"/>
          <w:rtl/>
        </w:rPr>
        <w:t>.</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00FA7B0" w:rsidR="009125CE" w:rsidRPr="009125CE" w:rsidRDefault="00D87C7B"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Master of Business Administrator</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54515435" w:rsidR="009125CE" w:rsidRDefault="00D87C7B" w:rsidP="00D87C7B">
      <w:pPr>
        <w:bidi w:val="0"/>
        <w:jc w:val="center"/>
        <w:rPr>
          <w:rFonts w:ascii="Sakkal Majalla" w:hAnsi="Sakkal Majalla" w:cs="Sakkal Majalla"/>
          <w:sz w:val="28"/>
          <w:szCs w:val="28"/>
          <w:lang w:bidi="ar-EG"/>
        </w:rPr>
      </w:pPr>
      <w:r w:rsidRPr="00D87C7B">
        <w:rPr>
          <w:rFonts w:ascii="Sakkal Majalla" w:hAnsi="Sakkal Majalla" w:cs="Sakkal Majalla"/>
          <w:b/>
          <w:bCs/>
          <w:sz w:val="28"/>
          <w:szCs w:val="28"/>
          <w:lang w:bidi="ar-EG"/>
        </w:rPr>
        <w:t>Automotive Lease Financing Model in the Kingdom of Saudi Arabia</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68595FB" w:rsidR="009125CE" w:rsidRPr="009125CE" w:rsidRDefault="003504BF" w:rsidP="009125CE">
      <w:pPr>
        <w:jc w:val="center"/>
        <w:rPr>
          <w:rFonts w:ascii="Sakkal Majalla" w:hAnsi="Sakkal Majalla" w:cs="Sakkal Majalla"/>
          <w:b/>
          <w:bCs/>
          <w:sz w:val="28"/>
          <w:szCs w:val="28"/>
        </w:rPr>
      </w:pPr>
      <w:r>
        <w:rPr>
          <w:rFonts w:ascii="Sakkal Majalla" w:hAnsi="Sakkal Majalla" w:cs="Sakkal Majalla"/>
          <w:b/>
          <w:bCs/>
          <w:sz w:val="28"/>
          <w:szCs w:val="28"/>
        </w:rPr>
        <w:t>Bassim Bakheet Almalki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11E94DDE" w:rsidR="009125CE" w:rsidRDefault="00D87C7B"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Abdulhamid</w:t>
      </w:r>
    </w:p>
    <w:p w14:paraId="0F47A28A" w14:textId="5CC70CEE" w:rsidR="00D87C7B" w:rsidRPr="009125CE" w:rsidRDefault="00D87C7B" w:rsidP="009125CE">
      <w:pPr>
        <w:jc w:val="center"/>
        <w:rPr>
          <w:rFonts w:ascii="Sakkal Majalla" w:hAnsi="Sakkal Majalla" w:cs="Sakkal Majalla"/>
          <w:b/>
          <w:bCs/>
          <w:sz w:val="28"/>
          <w:szCs w:val="28"/>
        </w:rPr>
      </w:pPr>
      <w:r>
        <w:rPr>
          <w:rFonts w:ascii="Sakkal Majalla" w:hAnsi="Sakkal Majalla" w:cs="Sakkal Majalla"/>
          <w:b/>
          <w:bCs/>
          <w:sz w:val="28"/>
          <w:szCs w:val="28"/>
        </w:rPr>
        <w:t>Dr. Faiz Jarad</w:t>
      </w:r>
    </w:p>
    <w:p w14:paraId="0BC0F18B" w14:textId="77777777" w:rsidR="009125CE" w:rsidRPr="009125CE" w:rsidRDefault="009125CE" w:rsidP="009125CE">
      <w:pPr>
        <w:jc w:val="center"/>
        <w:rPr>
          <w:rFonts w:ascii="Sakkal Majalla" w:hAnsi="Sakkal Majalla" w:cs="Sakkal Majalla"/>
          <w:b/>
          <w:bCs/>
          <w:sz w:val="28"/>
          <w:szCs w:val="28"/>
        </w:rPr>
      </w:pPr>
    </w:p>
    <w:p w14:paraId="5BF4004A" w14:textId="77777777" w:rsidR="003504BF" w:rsidRDefault="009125CE" w:rsidP="009125CE">
      <w:pPr>
        <w:jc w:val="center"/>
        <w:rPr>
          <w:rFonts w:ascii="Sakkal Majalla" w:hAnsi="Sakkal Majalla" w:cs="Sakkal Majalla"/>
          <w:b/>
          <w:bCs/>
          <w:sz w:val="28"/>
          <w:szCs w:val="28"/>
        </w:rPr>
      </w:pPr>
      <w:proofErr w:type="gramStart"/>
      <w:r w:rsidRPr="009125CE">
        <w:rPr>
          <w:rFonts w:ascii="Sakkal Majalla" w:hAnsi="Sakkal Majalla" w:cs="Sakkal Majalla"/>
          <w:b/>
          <w:bCs/>
          <w:sz w:val="28"/>
          <w:szCs w:val="28"/>
        </w:rPr>
        <w:t>Year</w:t>
      </w:r>
      <w:proofErr w:type="gramEnd"/>
      <w:r w:rsidRPr="009125CE">
        <w:rPr>
          <w:rFonts w:ascii="Sakkal Majalla" w:hAnsi="Sakkal Majalla" w:cs="Sakkal Majalla"/>
          <w:b/>
          <w:bCs/>
          <w:sz w:val="28"/>
          <w:szCs w:val="28"/>
        </w:rPr>
        <w:t>:</w:t>
      </w:r>
    </w:p>
    <w:p w14:paraId="6E52896B" w14:textId="2818E0C3" w:rsidR="009125CE" w:rsidRPr="009125CE" w:rsidRDefault="003504BF" w:rsidP="009125CE">
      <w:pPr>
        <w:jc w:val="center"/>
        <w:rPr>
          <w:rFonts w:ascii="Sakkal Majalla" w:hAnsi="Sakkal Majalla" w:cs="Sakkal Majalla"/>
          <w:b/>
          <w:bCs/>
          <w:sz w:val="28"/>
          <w:szCs w:val="28"/>
        </w:rPr>
      </w:pPr>
      <w:r>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2C5D8" w14:textId="77777777" w:rsidR="001C2445" w:rsidRDefault="001C2445" w:rsidP="009125CE">
      <w:pPr>
        <w:spacing w:after="0" w:line="240" w:lineRule="auto"/>
      </w:pPr>
      <w:r>
        <w:separator/>
      </w:r>
    </w:p>
  </w:endnote>
  <w:endnote w:type="continuationSeparator" w:id="0">
    <w:p w14:paraId="20A7A0F5" w14:textId="77777777" w:rsidR="001C2445" w:rsidRDefault="001C24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6329A" w14:textId="77777777" w:rsidR="001C2445" w:rsidRDefault="001C2445" w:rsidP="009125CE">
      <w:pPr>
        <w:spacing w:after="0" w:line="240" w:lineRule="auto"/>
      </w:pPr>
      <w:r>
        <w:separator/>
      </w:r>
    </w:p>
  </w:footnote>
  <w:footnote w:type="continuationSeparator" w:id="0">
    <w:p w14:paraId="77BBC1BF" w14:textId="77777777" w:rsidR="001C2445" w:rsidRDefault="001C244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F4635"/>
    <w:multiLevelType w:val="hybridMultilevel"/>
    <w:tmpl w:val="A59E25C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7076BC2"/>
    <w:multiLevelType w:val="hybridMultilevel"/>
    <w:tmpl w:val="28326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54254B"/>
    <w:multiLevelType w:val="hybridMultilevel"/>
    <w:tmpl w:val="CEDA2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E26A95"/>
    <w:multiLevelType w:val="hybridMultilevel"/>
    <w:tmpl w:val="3F6EB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0645482">
    <w:abstractNumId w:val="1"/>
  </w:num>
  <w:num w:numId="2" w16cid:durableId="1255476223">
    <w:abstractNumId w:val="2"/>
  </w:num>
  <w:num w:numId="3" w16cid:durableId="1426880902">
    <w:abstractNumId w:val="3"/>
  </w:num>
  <w:num w:numId="4" w16cid:durableId="580797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1C2445"/>
    <w:rsid w:val="003009CB"/>
    <w:rsid w:val="003504BF"/>
    <w:rsid w:val="004163C7"/>
    <w:rsid w:val="006878B6"/>
    <w:rsid w:val="006948DE"/>
    <w:rsid w:val="00700134"/>
    <w:rsid w:val="007B0E54"/>
    <w:rsid w:val="007E3A20"/>
    <w:rsid w:val="007F43A4"/>
    <w:rsid w:val="00877AAC"/>
    <w:rsid w:val="00896FE4"/>
    <w:rsid w:val="008F1EAE"/>
    <w:rsid w:val="009125CE"/>
    <w:rsid w:val="00946F5F"/>
    <w:rsid w:val="009839DE"/>
    <w:rsid w:val="009B0ED8"/>
    <w:rsid w:val="009B6888"/>
    <w:rsid w:val="009C0161"/>
    <w:rsid w:val="009D108D"/>
    <w:rsid w:val="009E1436"/>
    <w:rsid w:val="009E5668"/>
    <w:rsid w:val="00A9518A"/>
    <w:rsid w:val="00AA79E9"/>
    <w:rsid w:val="00AB0A70"/>
    <w:rsid w:val="00AC10F2"/>
    <w:rsid w:val="00B63B0F"/>
    <w:rsid w:val="00B7678A"/>
    <w:rsid w:val="00BC094B"/>
    <w:rsid w:val="00BF6F2A"/>
    <w:rsid w:val="00C72744"/>
    <w:rsid w:val="00CB2A44"/>
    <w:rsid w:val="00CE5D8C"/>
    <w:rsid w:val="00D04F62"/>
    <w:rsid w:val="00D22171"/>
    <w:rsid w:val="00D52480"/>
    <w:rsid w:val="00D87C7B"/>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C7B"/>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83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5576</Words>
  <Characters>35018</Characters>
  <Application>Microsoft Office Word</Application>
  <DocSecurity>0</DocSecurity>
  <Lines>4377</Lines>
  <Paragraphs>2136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Bassim Almalki</cp:lastModifiedBy>
  <cp:revision>2</cp:revision>
  <cp:lastPrinted>2026-08-01T15:10:00Z</cp:lastPrinted>
  <dcterms:created xsi:type="dcterms:W3CDTF">2026-08-01T16:19:00Z</dcterms:created>
  <dcterms:modified xsi:type="dcterms:W3CDTF">2026-08-01T16:19:00Z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