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0453D06">
            <wp:simplePos x="0" y="0"/>
            <wp:positionH relativeFrom="margin">
              <wp:posOffset>2115185</wp:posOffset>
            </wp:positionH>
            <wp:positionV relativeFrom="margin">
              <wp:posOffset>-125095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 xml:space="preserve">جامعة ميد </w:t>
      </w:r>
      <w:proofErr w:type="spellStart"/>
      <w:r w:rsidRPr="00C852D0">
        <w:rPr>
          <w:rFonts w:ascii="Times New Roman" w:hAnsi="Times New Roman" w:cs="Traditional Arabic" w:hint="cs"/>
          <w:b/>
          <w:bCs/>
          <w:sz w:val="28"/>
          <w:szCs w:val="28"/>
          <w:rtl/>
          <w:lang w:bidi="ar-EG"/>
        </w:rPr>
        <w:t>اوشن</w:t>
      </w:r>
      <w:proofErr w:type="spellEnd"/>
    </w:p>
    <w:p w14:paraId="1D62B67A" w14:textId="6220C38A" w:rsidR="00761E9B"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sidR="00C72033" w:rsidRPr="00C72033">
        <w:rPr>
          <w:rFonts w:ascii="Times New Roman" w:hAnsi="Times New Roman" w:cs="Traditional Arabic"/>
          <w:b/>
          <w:bCs/>
          <w:sz w:val="28"/>
          <w:szCs w:val="28"/>
          <w:rtl/>
          <w:lang w:bidi="ar-EG"/>
        </w:rPr>
        <w:t>المعلوماتية</w:t>
      </w:r>
    </w:p>
    <w:p w14:paraId="264D0C10" w14:textId="0ECC6B3E" w:rsidR="00C72033" w:rsidRPr="00C852D0" w:rsidRDefault="00C72033"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72033">
        <w:rPr>
          <w:rFonts w:ascii="Times New Roman" w:hAnsi="Times New Roman" w:cs="Traditional Arabic"/>
          <w:b/>
          <w:bCs/>
          <w:sz w:val="28"/>
          <w:szCs w:val="28"/>
          <w:rtl/>
          <w:lang w:bidi="ar-EG"/>
        </w:rPr>
        <w:t>دكتوراه تقنية معلومات</w:t>
      </w:r>
    </w:p>
    <w:p w14:paraId="7F938643" w14:textId="77777777" w:rsidR="00C72033" w:rsidRDefault="00C7203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p>
    <w:p w14:paraId="0B9A7E5D" w14:textId="6B42DFE0"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r w:rsidRPr="00644213">
        <w:rPr>
          <w:rFonts w:ascii="Times New Roman" w:hAnsi="Times New Roman" w:cs="Traditional Arabic"/>
          <w:b/>
          <w:bCs/>
          <w:noProof/>
          <w:kern w:val="0"/>
          <w:sz w:val="36"/>
          <w:szCs w:val="36"/>
          <w:rtl/>
          <w14:ligatures w14:val="none"/>
        </w:rPr>
        <w:t>تأثير الذكاء الاصطناعى  على سلسلة القيمة التشغيلية</w:t>
      </w:r>
    </w:p>
    <w:p w14:paraId="2094A275" w14:textId="77777777"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rPr>
      </w:pPr>
      <w:r w:rsidRPr="00644213">
        <w:rPr>
          <w:rFonts w:ascii="Times New Roman" w:hAnsi="Times New Roman" w:cs="Traditional Arabic"/>
          <w:b/>
          <w:bCs/>
          <w:noProof/>
          <w:kern w:val="0"/>
          <w:sz w:val="36"/>
          <w:szCs w:val="36"/>
          <w:rtl/>
          <w14:ligatures w14:val="none"/>
        </w:rPr>
        <w:t>دراسة تطبيقية على المؤسسات الحكومية الكبرى في المملكة العربية السعودية</w:t>
      </w:r>
    </w:p>
    <w:p w14:paraId="1E4EC300" w14:textId="173D2A83" w:rsidR="00761E9B" w:rsidRPr="00C852D0" w:rsidRDefault="00761E9B" w:rsidP="00644213">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ae"/>
        <w:bidi/>
        <w:spacing w:line="360" w:lineRule="auto"/>
        <w:ind w:left="-2"/>
        <w:jc w:val="center"/>
        <w:rPr>
          <w:rFonts w:eastAsiaTheme="minorHAnsi" w:cs="Traditional Arabic"/>
          <w:b/>
          <w:bCs/>
          <w:noProof/>
          <w:sz w:val="36"/>
          <w:szCs w:val="36"/>
          <w:rtl/>
        </w:rPr>
      </w:pPr>
    </w:p>
    <w:p w14:paraId="426F4139" w14:textId="0CB262F6" w:rsidR="00761E9B" w:rsidRDefault="00761E9B" w:rsidP="00813BCB">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r w:rsidR="00813BCB">
        <w:rPr>
          <w:rFonts w:eastAsiaTheme="minorHAnsi" w:cs="Traditional Arabic" w:hint="cs"/>
          <w:b/>
          <w:bCs/>
          <w:noProof/>
          <w:sz w:val="36"/>
          <w:szCs w:val="36"/>
          <w:rtl/>
        </w:rPr>
        <w:t>ة</w:t>
      </w:r>
      <w:r>
        <w:rPr>
          <w:rFonts w:eastAsiaTheme="minorHAnsi" w:cs="Traditional Arabic" w:hint="cs"/>
          <w:b/>
          <w:bCs/>
          <w:noProof/>
          <w:sz w:val="36"/>
          <w:szCs w:val="36"/>
          <w:rtl/>
        </w:rPr>
        <w:t>:</w:t>
      </w:r>
    </w:p>
    <w:p w14:paraId="1A89E62B" w14:textId="77777777" w:rsidR="00813BCB" w:rsidRPr="00813BCB" w:rsidRDefault="00813BCB" w:rsidP="00813BCB">
      <w:pPr>
        <w:pStyle w:val="ae"/>
        <w:bidi/>
        <w:spacing w:line="360" w:lineRule="auto"/>
        <w:ind w:left="-2"/>
        <w:jc w:val="center"/>
        <w:rPr>
          <w:rFonts w:cs="Traditional Arabic"/>
          <w:b/>
          <w:bCs/>
          <w:sz w:val="32"/>
          <w:szCs w:val="32"/>
        </w:rPr>
      </w:pPr>
      <w:r w:rsidRPr="00813BCB">
        <w:rPr>
          <w:rFonts w:cs="Traditional Arabic"/>
          <w:b/>
          <w:bCs/>
          <w:sz w:val="32"/>
          <w:szCs w:val="32"/>
          <w:rtl/>
        </w:rPr>
        <w:t xml:space="preserve">ساره </w:t>
      </w:r>
      <w:proofErr w:type="gramStart"/>
      <w:r w:rsidRPr="00813BCB">
        <w:rPr>
          <w:rFonts w:cs="Traditional Arabic"/>
          <w:b/>
          <w:bCs/>
          <w:sz w:val="32"/>
          <w:szCs w:val="32"/>
          <w:rtl/>
        </w:rPr>
        <w:t>عبدالمحسن</w:t>
      </w:r>
      <w:proofErr w:type="gramEnd"/>
      <w:r w:rsidRPr="00813BCB">
        <w:rPr>
          <w:rFonts w:cs="Traditional Arabic"/>
          <w:b/>
          <w:bCs/>
          <w:sz w:val="32"/>
          <w:szCs w:val="32"/>
          <w:rtl/>
        </w:rPr>
        <w:t xml:space="preserve"> السلوم</w:t>
      </w:r>
    </w:p>
    <w:p w14:paraId="62BAF1C7" w14:textId="374FBDD0" w:rsidR="00761E9B" w:rsidRDefault="00813BCB" w:rsidP="00813BCB">
      <w:pPr>
        <w:pStyle w:val="ae"/>
        <w:bidi/>
        <w:spacing w:line="360" w:lineRule="auto"/>
        <w:ind w:left="-2"/>
        <w:jc w:val="center"/>
        <w:rPr>
          <w:rFonts w:cs="Traditional Arabic"/>
          <w:b/>
          <w:bCs/>
          <w:sz w:val="32"/>
          <w:szCs w:val="32"/>
          <w:rtl/>
        </w:rPr>
      </w:pPr>
      <w:r w:rsidRPr="00813BCB">
        <w:rPr>
          <w:rFonts w:cs="Traditional Arabic"/>
          <w:b/>
          <w:bCs/>
          <w:sz w:val="32"/>
          <w:szCs w:val="32"/>
          <w:rtl/>
        </w:rPr>
        <w:t>الرقم الأكاديمي: 233002256</w:t>
      </w:r>
    </w:p>
    <w:p w14:paraId="00A8D996" w14:textId="7F5BDE1B" w:rsidR="00761E9B" w:rsidRPr="000A5590" w:rsidRDefault="00761E9B" w:rsidP="00761E9B">
      <w:pPr>
        <w:pStyle w:val="ae"/>
        <w:spacing w:line="360" w:lineRule="auto"/>
        <w:ind w:left="-2"/>
        <w:jc w:val="center"/>
        <w:rPr>
          <w:rFonts w:cs="Traditional Arabic"/>
          <w:b/>
          <w:bCs/>
          <w:rtl/>
        </w:rPr>
      </w:pPr>
      <w:r w:rsidRPr="000A5590">
        <w:rPr>
          <w:rFonts w:cs="Traditional Arabic" w:hint="cs"/>
          <w:b/>
          <w:bCs/>
          <w:rtl/>
        </w:rPr>
        <w:t>144</w:t>
      </w:r>
      <w:r w:rsidR="005D3BB8">
        <w:rPr>
          <w:rFonts w:cs="Traditional Arabic" w:hint="cs"/>
          <w:b/>
          <w:bCs/>
          <w:rtl/>
          <w:lang w:bidi="ar-EG"/>
        </w:rPr>
        <w:t>8</w:t>
      </w:r>
      <w:r w:rsidRPr="000A5590">
        <w:rPr>
          <w:rFonts w:cs="Traditional Arabic" w:hint="cs"/>
          <w:b/>
          <w:bCs/>
          <w:rtl/>
        </w:rPr>
        <w:t>هـ/ 202</w:t>
      </w:r>
      <w:r w:rsidR="005D3BB8">
        <w:rPr>
          <w:rFonts w:cs="Traditional Arabic" w:hint="cs"/>
          <w:b/>
          <w:bCs/>
          <w:rtl/>
        </w:rPr>
        <w:t>6</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186671C5"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4</w:t>
            </w:r>
            <w:r w:rsidRPr="00D439AC">
              <w:rPr>
                <w:rStyle w:val="Hyperlink"/>
                <w:noProof/>
                <w:sz w:val="28"/>
                <w:szCs w:val="28"/>
                <w:rtl/>
              </w:rPr>
              <w:fldChar w:fldCharType="end"/>
            </w:r>
          </w:hyperlink>
        </w:p>
        <w:p w14:paraId="405C1D51" w14:textId="6470A223"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6</w:t>
            </w:r>
            <w:r w:rsidRPr="00D439AC">
              <w:rPr>
                <w:rStyle w:val="Hyperlink"/>
                <w:noProof/>
                <w:sz w:val="28"/>
                <w:szCs w:val="28"/>
                <w:rtl/>
              </w:rPr>
              <w:fldChar w:fldCharType="end"/>
            </w:r>
          </w:hyperlink>
        </w:p>
        <w:p w14:paraId="28DD7735" w14:textId="0658D4B4"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8</w:t>
            </w:r>
            <w:r w:rsidRPr="00D439AC">
              <w:rPr>
                <w:rStyle w:val="Hyperlink"/>
                <w:noProof/>
                <w:sz w:val="28"/>
                <w:szCs w:val="28"/>
                <w:rtl/>
              </w:rPr>
              <w:fldChar w:fldCharType="end"/>
            </w:r>
          </w:hyperlink>
        </w:p>
        <w:p w14:paraId="5332EA5E" w14:textId="1A33B15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9</w:t>
            </w:r>
            <w:r w:rsidRPr="00D439AC">
              <w:rPr>
                <w:rStyle w:val="Hyperlink"/>
                <w:noProof/>
                <w:sz w:val="28"/>
                <w:szCs w:val="28"/>
                <w:rtl/>
              </w:rPr>
              <w:fldChar w:fldCharType="end"/>
            </w:r>
          </w:hyperlink>
        </w:p>
        <w:p w14:paraId="6356083D" w14:textId="4216E0C9"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10</w:t>
            </w:r>
            <w:r w:rsidRPr="00D439AC">
              <w:rPr>
                <w:rStyle w:val="Hyperlink"/>
                <w:noProof/>
                <w:sz w:val="28"/>
                <w:szCs w:val="28"/>
                <w:rtl/>
              </w:rPr>
              <w:fldChar w:fldCharType="end"/>
            </w:r>
          </w:hyperlink>
        </w:p>
        <w:p w14:paraId="7687022B" w14:textId="4091115F"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11</w:t>
            </w:r>
            <w:r w:rsidRPr="00D439AC">
              <w:rPr>
                <w:rStyle w:val="Hyperlink"/>
                <w:noProof/>
                <w:sz w:val="28"/>
                <w:szCs w:val="28"/>
                <w:rtl/>
              </w:rPr>
              <w:fldChar w:fldCharType="end"/>
            </w:r>
          </w:hyperlink>
        </w:p>
        <w:p w14:paraId="346B2F0C" w14:textId="7432B62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13</w:t>
            </w:r>
            <w:r w:rsidRPr="00D439AC">
              <w:rPr>
                <w:rStyle w:val="Hyperlink"/>
                <w:noProof/>
                <w:sz w:val="28"/>
                <w:szCs w:val="28"/>
                <w:rtl/>
              </w:rPr>
              <w:fldChar w:fldCharType="end"/>
            </w:r>
          </w:hyperlink>
        </w:p>
        <w:p w14:paraId="0EF8A9EB" w14:textId="3C5EE286"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15</w:t>
            </w:r>
            <w:r w:rsidRPr="00D439AC">
              <w:rPr>
                <w:rStyle w:val="Hyperlink"/>
                <w:noProof/>
                <w:sz w:val="28"/>
                <w:szCs w:val="28"/>
                <w:rtl/>
              </w:rPr>
              <w:fldChar w:fldCharType="end"/>
            </w:r>
          </w:hyperlink>
        </w:p>
        <w:p w14:paraId="749B4594" w14:textId="6C0F391D"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03C93B3A" w14:textId="1D755585"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59F1C84E" w14:textId="7A3C925F"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18</w:t>
            </w:r>
            <w:r w:rsidRPr="00D439AC">
              <w:rPr>
                <w:rStyle w:val="Hyperlink"/>
                <w:noProof/>
                <w:sz w:val="28"/>
                <w:szCs w:val="28"/>
                <w:rtl/>
              </w:rPr>
              <w:fldChar w:fldCharType="end"/>
            </w:r>
          </w:hyperlink>
        </w:p>
        <w:p w14:paraId="2B9E46EF" w14:textId="1D25997A"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7213F632" w14:textId="5A765BCA"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02D8BEEC" w14:textId="302AD336"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20</w:t>
            </w:r>
            <w:r w:rsidRPr="00D439AC">
              <w:rPr>
                <w:rStyle w:val="Hyperlink"/>
                <w:noProof/>
                <w:sz w:val="28"/>
                <w:szCs w:val="28"/>
                <w:rtl/>
              </w:rPr>
              <w:fldChar w:fldCharType="end"/>
            </w:r>
          </w:hyperlink>
        </w:p>
        <w:p w14:paraId="502126CB" w14:textId="6A792B94"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21</w:t>
            </w:r>
            <w:r w:rsidRPr="00D439AC">
              <w:rPr>
                <w:rStyle w:val="Hyperlink"/>
                <w:noProof/>
                <w:sz w:val="28"/>
                <w:szCs w:val="28"/>
                <w:rtl/>
              </w:rPr>
              <w:fldChar w:fldCharType="end"/>
            </w:r>
          </w:hyperlink>
        </w:p>
        <w:p w14:paraId="22DA2965" w14:textId="4FBA7819"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30</w:t>
            </w:r>
            <w:r w:rsidRPr="00D439AC">
              <w:rPr>
                <w:rStyle w:val="Hyperlink"/>
                <w:noProof/>
                <w:sz w:val="28"/>
                <w:szCs w:val="28"/>
                <w:rtl/>
              </w:rPr>
              <w:fldChar w:fldCharType="end"/>
            </w:r>
          </w:hyperlink>
        </w:p>
        <w:p w14:paraId="2672C489" w14:textId="31E1A9C1"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32</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352E51BA" w:rsidR="00D23D27" w:rsidRPr="00D23D27" w:rsidRDefault="00CE3A56" w:rsidP="006349D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6349D7" w:rsidRPr="006349D7">
        <w:rPr>
          <w:rFonts w:ascii="Simplified Arabic" w:hAnsi="Simplified Arabic" w:cs="Simplified Arabic"/>
          <w:sz w:val="28"/>
          <w:szCs w:val="28"/>
          <w:rtl/>
        </w:rPr>
        <w:t>شهدت السنوات الأخيرة تطورًا غير مسبوق في قدرات تقنيات الذكاء الاصطناعي، حيث أصبحت هذه التقنيات الركيزة الأساسية في دعم التحول الرقمي وتعزيز الفاعلية التشغيلية داخل المؤسسات على اختلاف قطاعاتها</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ومع تطور قدرات الحوسبة وازدياد حجم البيانات المتدفقة، اكتسبت المؤسسات قدرة أعلى على استخدام الخوارزميات المتقدمة في تحليل الأنماط المعقدة واتخاذ قرارات أسرع وأكثر دقة</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وقد شكّل هذا التحول نقطة انطلاق نحو تبنّي نماذج تشغيل تعتمد بشكل واسع على الأنظمة الذكية القادرة على استشعار المتغيرات المحيطة والتفاعل معها بصورة ديناميكية</w:t>
      </w:r>
      <w:r w:rsidR="006349D7" w:rsidRPr="006349D7">
        <w:t xml:space="preserve"> </w:t>
      </w:r>
      <w:r w:rsidR="006349D7" w:rsidRPr="006349D7">
        <w:rPr>
          <w:rFonts w:ascii="Simplified Arabic" w:hAnsi="Simplified Arabic" w:cs="Simplified Arabic"/>
          <w:sz w:val="28"/>
          <w:szCs w:val="28"/>
        </w:rPr>
        <w:t>(Yusuf et al., 2025).</w:t>
      </w:r>
    </w:p>
    <w:p w14:paraId="7457AACE" w14:textId="3227F237"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وتبرز أهمية الذكاء الاصطناعي بشكل خاص في العمليات التشغيلية التي تتسم بتعقيدات تنظيمية أو حجم كبير من البيانات، حيث تمكّن تقنياته المتقدمة المؤسسات من أتمتة العديد من الأنشطة الروتينية، وتقليل الأخطاء البشرية، وتخفيض الوقت المستغرق في تنفيذ المهام التشغيلية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وتُعد قدرات جمع البيانات ومعالجتها، والنماذج التنبؤية القائمة على خوارزميات التعلّم الآلي، أحد أهم المحركات الرئيسة التي تسهم في تحسين كفاءة المؤسسات، إذ توفر هذه التقنيات رؤى تحليلية تساعد في فهم السلوك التشغيلي وتوقّع التحديات قبل وقوعها</w:t>
      </w:r>
      <w:r w:rsidRPr="006349D7">
        <w:t xml:space="preserve"> </w:t>
      </w:r>
      <w:r w:rsidRPr="006349D7">
        <w:rPr>
          <w:rFonts w:ascii="Simplified Arabic" w:hAnsi="Simplified Arabic" w:cs="Simplified Arabic"/>
          <w:sz w:val="28"/>
          <w:szCs w:val="28"/>
        </w:rPr>
        <w:t>(</w:t>
      </w:r>
      <w:proofErr w:type="spellStart"/>
      <w:r w:rsidRPr="006349D7">
        <w:rPr>
          <w:rFonts w:ascii="Simplified Arabic" w:hAnsi="Simplified Arabic" w:cs="Simplified Arabic"/>
          <w:sz w:val="28"/>
          <w:szCs w:val="28"/>
        </w:rPr>
        <w:t>Nathany</w:t>
      </w:r>
      <w:proofErr w:type="spellEnd"/>
      <w:r w:rsidRPr="006349D7">
        <w:rPr>
          <w:rFonts w:ascii="Simplified Arabic" w:hAnsi="Simplified Arabic" w:cs="Simplified Arabic"/>
          <w:sz w:val="28"/>
          <w:szCs w:val="28"/>
        </w:rPr>
        <w:t>, 2022).</w:t>
      </w:r>
    </w:p>
    <w:p w14:paraId="63955135" w14:textId="30635324"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ومع انتشار الأطر الداعمة للتحوّل الرقمي، أصبحت المؤسسات الحكومية الكبرى تنظر إلى الذكاء الاصطناعي باعتباره عنصرًا استراتيجيًا يسهم في تحقيق موثوقية أعلى للعمليات، وضمان استدامة الخدمات، ورفع مستوى جودة المخرجات التشغيلية. ومن هذا المنطلق، تشهد المؤسسات الحكومية تحولات تدريجية نحو دمج الأتمتة الذكية وأنظمة دعم القرار ضمن عملياتها اليومية، بما يعزز قدرتها على إدارة مواردها بكفاءة، والاستجابة للمتغيرات التشغيلية بشكل استباقي</w:t>
      </w:r>
      <w:r w:rsidRPr="006349D7">
        <w:t xml:space="preserve"> </w:t>
      </w:r>
      <w:r w:rsidRPr="006349D7">
        <w:rPr>
          <w:rFonts w:ascii="Simplified Arabic" w:hAnsi="Simplified Arabic" w:cs="Simplified Arabic"/>
          <w:sz w:val="28"/>
          <w:szCs w:val="28"/>
        </w:rPr>
        <w:t xml:space="preserve">(Thenmozhi &amp; </w:t>
      </w:r>
      <w:proofErr w:type="spellStart"/>
      <w:r w:rsidRPr="006349D7">
        <w:rPr>
          <w:rFonts w:ascii="Simplified Arabic" w:hAnsi="Simplified Arabic" w:cs="Simplified Arabic"/>
          <w:sz w:val="28"/>
          <w:szCs w:val="28"/>
        </w:rPr>
        <w:t>Krisknakumari</w:t>
      </w:r>
      <w:proofErr w:type="spellEnd"/>
      <w:r w:rsidRPr="006349D7">
        <w:rPr>
          <w:rFonts w:ascii="Simplified Arabic" w:hAnsi="Simplified Arabic" w:cs="Simplified Arabic"/>
          <w:sz w:val="28"/>
          <w:szCs w:val="28"/>
        </w:rPr>
        <w:t>, 2024).</w:t>
      </w:r>
    </w:p>
    <w:p w14:paraId="4B9D71B6" w14:textId="4183FEBF" w:rsidR="006349D7" w:rsidRDefault="006349D7" w:rsidP="006349D7">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349D7">
        <w:rPr>
          <w:rFonts w:ascii="Simplified Arabic" w:hAnsi="Simplified Arabic" w:cs="Simplified Arabic"/>
          <w:sz w:val="28"/>
          <w:szCs w:val="28"/>
          <w:rtl/>
        </w:rPr>
        <w:t>تُعد سلسلة القيمة التشغيلية الإطار الذي يربط بين الأنشطة الداخلية للمؤسسة من أجل إنتاج مخرجات ذات قيمة مضافة، حيث تمثل هذه السلسلة مسارًا مترابطًا من العمليات تمتد من المدخلات الأولية إلى الخدمات النهائية المقدمة للمستفيدين</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وتُبنى كفاءة المؤسسات على قدرتها في إدارة هذه السلسلة إدارة محكمة، بما يضمن خفض الهدر، وتحسين استخدام الموارد، وتعزيز الفعالية التشغيلية</w:t>
      </w:r>
      <w:r w:rsidRPr="006349D7">
        <w:rPr>
          <w:rFonts w:ascii="Simplified Arabic" w:hAnsi="Simplified Arabic" w:cs="Simplified Arabic"/>
          <w:sz w:val="28"/>
          <w:szCs w:val="28"/>
        </w:rPr>
        <w:t>.</w:t>
      </w:r>
      <w:r w:rsidRPr="006349D7">
        <w:t xml:space="preserve"> </w:t>
      </w:r>
      <w:r w:rsidRPr="006349D7">
        <w:rPr>
          <w:rFonts w:ascii="Simplified Arabic" w:hAnsi="Simplified Arabic" w:cs="Simplified Arabic"/>
          <w:sz w:val="28"/>
          <w:szCs w:val="28"/>
        </w:rPr>
        <w:t xml:space="preserve">(Naas &amp; </w:t>
      </w:r>
      <w:proofErr w:type="spellStart"/>
      <w:r w:rsidRPr="006349D7">
        <w:rPr>
          <w:rFonts w:ascii="Simplified Arabic" w:hAnsi="Simplified Arabic" w:cs="Simplified Arabic"/>
          <w:sz w:val="28"/>
          <w:szCs w:val="28"/>
        </w:rPr>
        <w:t>Berass</w:t>
      </w:r>
      <w:proofErr w:type="spellEnd"/>
      <w:r w:rsidRPr="006349D7">
        <w:rPr>
          <w:rFonts w:ascii="Simplified Arabic" w:hAnsi="Simplified Arabic" w:cs="Simplified Arabic"/>
          <w:sz w:val="28"/>
          <w:szCs w:val="28"/>
        </w:rPr>
        <w:t>, 2024)</w:t>
      </w:r>
    </w:p>
    <w:p w14:paraId="5FDB05CD" w14:textId="7D52CB03"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lastRenderedPageBreak/>
        <w:t>وتزداد أهمية سلسلة القيمة في المؤسسات الحكومية الكبرى نظرًا لاتساع نطاق خدماتها، وتشابك عملياتها التشغيلية، وحاجتها المستمرة إلى تحسين جودة الخدمة العامة</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إذ تواجه العديد من هذه المؤسسات تحديات متعلقة بتعقيد الهياكل التنظيمية، وكثرة الأنشطة التشغيلية، وارتفاع حجم البيانات المطلوب معالجتها، مما يجعل سلسلة القيمة عنصرًا أساسيًا في فهم الأداء المؤسسي وتحسينه</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وتظهر الحاجة إلى تبني نماذج تشغيل مرنة قابلة للتطوير، قادرة على الاستجابة لمتطلبات الكفاءة والجودة في آن واحد</w:t>
      </w:r>
      <w:r w:rsidRPr="006349D7">
        <w:rPr>
          <w:rFonts w:ascii="Simplified Arabic" w:hAnsi="Simplified Arabic" w:cs="Simplified Arabic"/>
          <w:sz w:val="28"/>
          <w:szCs w:val="28"/>
        </w:rPr>
        <w:t>.</w:t>
      </w:r>
    </w:p>
    <w:p w14:paraId="4DE69CB1" w14:textId="7BD44FBA" w:rsidR="006349D7" w:rsidRPr="006349D7"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كما تُعد سلسلة القيمة التشغيلية أداة مركزية في تحليل مصادر القوة والقصور داخل المؤسسة، إذ تساعد في تحديد نقاط الاختناق، وتحديد طبيعة العمليات التي تتطلب أتمتة أو تحسينًا، وتوجيه الجهود نحو الأنشطة ذات القيمة الأعلى</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تصبح سلسلة القيمة معيارًا محوريًا تُقاس من خلاله قدرة المؤسسة على تحقيق أهدافها التشغيلية بفعالية، وضمان استمرارية تقديم خدمات عالية المستوى</w:t>
      </w:r>
      <w:r w:rsidRPr="006349D7">
        <w:t xml:space="preserve"> </w:t>
      </w:r>
      <w:r w:rsidRPr="006349D7">
        <w:rPr>
          <w:rFonts w:ascii="Simplified Arabic" w:hAnsi="Simplified Arabic" w:cs="Simplified Arabic"/>
          <w:sz w:val="28"/>
          <w:szCs w:val="28"/>
        </w:rPr>
        <w:t>(Ghadir et al., 2024).</w:t>
      </w:r>
    </w:p>
    <w:p w14:paraId="3738E79B" w14:textId="5F51ACD0" w:rsidR="006349D7" w:rsidRP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تلتقي تقنيات الذكاء الاصطناعي وسلسلة القيمة التشغيلية في نقطة مركزية تتمثل في تعزيز كفاءة الأداء وتحسين جودة العمليات عبر الاعتماد على البيانات والتحليل التنبؤي</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فالذكاء الاصطناعي، بقدراته في جمع البيانات ومعالجتها وتوقّع السلوك التشغيلي، يمكّن المؤسسات من إعادة تصميم سلسلة القيمة بطريقة أكثر ذكاءً ومرونة، مما يضمن تحسين تدفق العمليات وتوجيه القرارات التشغيلية بناءً على أدلة رقمية دقيقة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يصبح الذكاء الاصطناعي عنصرًا محفزًا لإعادة هيكلة سلسلة القيمة التشغيلية ورفع قدرتها على التكيّف مع التحديات التشغيلية والتقنية التي تواجه المؤسسات الحكومية الكبرى</w:t>
      </w:r>
      <w:r w:rsidRPr="006349D7">
        <w:t xml:space="preserve"> </w:t>
      </w:r>
      <w:r w:rsidRPr="006349D7">
        <w:rPr>
          <w:rFonts w:ascii="Simplified Arabic" w:hAnsi="Simplified Arabic" w:cs="Simplified Arabic"/>
          <w:sz w:val="28"/>
          <w:szCs w:val="28"/>
        </w:rPr>
        <w:t>(Faisal, 2025)</w:t>
      </w:r>
      <w:r>
        <w:rPr>
          <w:rFonts w:ascii="Simplified Arabic" w:hAnsi="Simplified Arabic" w:cs="Simplified Arabic" w:hint="cs"/>
          <w:sz w:val="28"/>
          <w:szCs w:val="28"/>
          <w:rtl/>
        </w:rPr>
        <w:t>.</w:t>
      </w:r>
    </w:p>
    <w:p w14:paraId="530EA46B" w14:textId="25EDD2D2" w:rsidR="00D23D27" w:rsidRPr="009B5EF9"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وفي ضوء التطور التقني المتسارع والتحديات التشغيلية المعقدة التي تشهدها المؤسسات الحكومية، تبرز الحاجة المتزايدة لفهم العلاقة بين تقنيات الذكاء الاصطناعي وسلسلة القيمة التشغيلية كمدخل لتحسين الأداء المؤسسي</w:t>
      </w:r>
      <w:r w:rsidR="00F67029">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ومن خلال دراسة تأثير الأنظمة الذكية على السلسلة التشغيلية، يمكن تطوير نماذج أكثر كفاءة واستدامة تدعم جهود التحول الرقمي، وترفع مستوى الجاهزية التشغيلية، وتعزز قدرة المؤسسات الحكومية في المملكة العربية السعودية على تحقيق أهدافها الاستراتيجية ضمن بيئة ديناميكية متغيرة</w:t>
      </w:r>
      <w:r w:rsidRPr="006349D7">
        <w:rPr>
          <w:rFonts w:ascii="Simplified Arabic" w:hAnsi="Simplified Arabic" w:cs="Simplified Arabic"/>
          <w:sz w:val="28"/>
          <w:szCs w:val="28"/>
        </w:rPr>
        <w:t>.</w:t>
      </w:r>
      <w:r w:rsidR="00D23D27" w:rsidRPr="009B5EF9">
        <w:rPr>
          <w:rFonts w:ascii="Simplified Arabic" w:hAnsi="Simplified Arabic" w:cs="Simplified Arabic"/>
          <w:sz w:val="28"/>
          <w:szCs w:val="28"/>
          <w:rtl/>
        </w:rPr>
        <w:t xml:space="preserve"> </w:t>
      </w:r>
    </w:p>
    <w:p w14:paraId="180F5BD5" w14:textId="776BFAA2" w:rsidR="00D8772F" w:rsidRPr="00B91104" w:rsidRDefault="000E0033" w:rsidP="00D439AC">
      <w:pPr>
        <w:pStyle w:val="1"/>
        <w:rPr>
          <w:rtl/>
        </w:rPr>
      </w:pPr>
      <w:bookmarkStart w:id="1" w:name="_Toc202053516"/>
      <w:r>
        <w:rPr>
          <w:rFonts w:hint="cs"/>
          <w:rtl/>
        </w:rPr>
        <w:lastRenderedPageBreak/>
        <w:t xml:space="preserve">مشكلة </w:t>
      </w:r>
      <w:proofErr w:type="gramStart"/>
      <w:r>
        <w:rPr>
          <w:rFonts w:hint="cs"/>
          <w:rtl/>
        </w:rPr>
        <w:t xml:space="preserve">الدراسة </w:t>
      </w:r>
      <w:r w:rsidR="00804FE9" w:rsidRPr="00B91104">
        <w:rPr>
          <w:rtl/>
        </w:rPr>
        <w:t>:</w:t>
      </w:r>
      <w:bookmarkEnd w:id="1"/>
      <w:proofErr w:type="gramEnd"/>
    </w:p>
    <w:p w14:paraId="4B1039C5" w14:textId="3888404B"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تشهد المملكة العربية السعودية تقدّمًا متسارعًا في مسار التحول الرقمي، إلا أن التقارير الرسمية تشير إلى وجود فجوة واضحة بين الإمكانات التقنية المتاحة ومستوى توظيفها الفعلي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فقد كشف برنامج التحول الوطني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 xml:space="preserve">أن نسبة تبنّي التقنيات </w:t>
      </w:r>
      <w:proofErr w:type="gramStart"/>
      <w:r w:rsidRPr="00021FB9">
        <w:rPr>
          <w:rFonts w:ascii="Simplified Arabic" w:hAnsi="Simplified Arabic" w:cs="Simplified Arabic"/>
          <w:sz w:val="28"/>
          <w:szCs w:val="28"/>
          <w:rtl/>
        </w:rPr>
        <w:t>المتقدمة  وعلى</w:t>
      </w:r>
      <w:proofErr w:type="gramEnd"/>
      <w:r w:rsidRPr="00021FB9">
        <w:rPr>
          <w:rFonts w:ascii="Simplified Arabic" w:hAnsi="Simplified Arabic" w:cs="Simplified Arabic"/>
          <w:sz w:val="28"/>
          <w:szCs w:val="28"/>
          <w:rtl/>
        </w:rPr>
        <w:t xml:space="preserve"> رأسها الذكاء الاصطناعي لم تتجاوز</w:t>
      </w:r>
      <w:r w:rsidRPr="00021FB9">
        <w:rPr>
          <w:rFonts w:ascii="Simplified Arabic" w:hAnsi="Simplified Arabic" w:cs="Simplified Arabic"/>
          <w:sz w:val="28"/>
          <w:szCs w:val="28"/>
        </w:rPr>
        <w:t>65</w:t>
      </w:r>
      <w:proofErr w:type="gramStart"/>
      <w:r w:rsidRPr="00021FB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21FB9">
        <w:rPr>
          <w:rFonts w:ascii="Simplified Arabic" w:hAnsi="Simplified Arabic" w:cs="Simplified Arabic"/>
          <w:sz w:val="28"/>
          <w:szCs w:val="28"/>
          <w:rtl/>
        </w:rPr>
        <w:t>من</w:t>
      </w:r>
      <w:proofErr w:type="gramEnd"/>
      <w:r w:rsidRPr="00021FB9">
        <w:rPr>
          <w:rFonts w:ascii="Simplified Arabic" w:hAnsi="Simplified Arabic" w:cs="Simplified Arabic"/>
          <w:sz w:val="28"/>
          <w:szCs w:val="28"/>
          <w:rtl/>
        </w:rPr>
        <w:t xml:space="preserve"> إجمالي الجهات الحكومية، رغم توفر البنية التحتية الرقمية اللازمة. كما أشار ديوان المحاسبة</w:t>
      </w:r>
      <w:r w:rsidRPr="00021FB9">
        <w:rPr>
          <w:rFonts w:ascii="Simplified Arabic" w:hAnsi="Simplified Arabic" w:cs="Simplified Arabic"/>
          <w:sz w:val="28"/>
          <w:szCs w:val="28"/>
        </w:rPr>
        <w:t xml:space="preserve"> (2024) </w:t>
      </w:r>
      <w:r w:rsidRPr="00021FB9">
        <w:rPr>
          <w:rFonts w:ascii="Simplified Arabic" w:hAnsi="Simplified Arabic" w:cs="Simplified Arabic"/>
          <w:sz w:val="28"/>
          <w:szCs w:val="28"/>
          <w:rtl/>
        </w:rPr>
        <w:t xml:space="preserve">إلى أن نحو </w:t>
      </w:r>
      <w:r w:rsidRPr="00021FB9">
        <w:rPr>
          <w:rFonts w:ascii="Simplified Arabic" w:hAnsi="Simplified Arabic" w:cs="Simplified Arabic"/>
          <w:sz w:val="28"/>
          <w:szCs w:val="28"/>
        </w:rPr>
        <w:t xml:space="preserve">47% </w:t>
      </w:r>
      <w:r w:rsidRPr="00021FB9">
        <w:rPr>
          <w:rFonts w:ascii="Simplified Arabic" w:hAnsi="Simplified Arabic" w:cs="Simplified Arabic"/>
          <w:sz w:val="28"/>
          <w:szCs w:val="28"/>
          <w:rtl/>
        </w:rPr>
        <w:t xml:space="preserve">من المؤسسات الحكومية ما تزال تعتمد أنظمة تشغيلية تقليدية لا تدعم التكامل الذكي أو التحليل التنبؤي، مما يؤثر بصورة مباشرة في كفاءة سلسلة القيمة التشغيلية ، </w:t>
      </w: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أظهرت تقارير الهيئة الوطنية للأمن السيبراني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أن أكثر من 52</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من الأعطال التشغيلية المسجّلة كان سببها ضعف جودة البيانات وقصور عمليات المعالجة الرقمية، وهما عنصران أساسيان لنجاح أنظمة الذكاء الاصطناعي</w:t>
      </w:r>
      <w:r w:rsidRPr="00021FB9">
        <w:rPr>
          <w:rFonts w:ascii="Simplified Arabic" w:hAnsi="Simplified Arabic" w:cs="Simplified Arabic" w:hint="cs"/>
          <w:sz w:val="28"/>
          <w:szCs w:val="28"/>
          <w:rtl/>
        </w:rPr>
        <w:t>، و</w:t>
      </w:r>
      <w:r w:rsidRPr="00021FB9">
        <w:rPr>
          <w:rFonts w:ascii="Simplified Arabic" w:hAnsi="Simplified Arabic" w:cs="Simplified Arabic"/>
          <w:sz w:val="28"/>
          <w:szCs w:val="28"/>
          <w:rtl/>
        </w:rPr>
        <w:t>هذه المؤشرات مجتمعة توضح وجود خلل جوهري بين جاهزية البنية الرقمية الحكومية وبين الاستفادة الفعلية من تقنيات الذكاء الاصطناعي في تحسين العمليات التشغيلية</w:t>
      </w:r>
      <w:r w:rsidRPr="00021FB9">
        <w:rPr>
          <w:rFonts w:ascii="Simplified Arabic" w:hAnsi="Simplified Arabic" w:cs="Simplified Arabic"/>
          <w:sz w:val="28"/>
          <w:szCs w:val="28"/>
        </w:rPr>
        <w:t>.</w:t>
      </w:r>
    </w:p>
    <w:p w14:paraId="41F49693" w14:textId="12CA2DE1"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على الرغم من وفرة الدراسات التي تناولت الذكاء الاصطناعي وعلاقته بالقيمة التشغيلية، إلا أن معظمها ركّز على القطاعات الخاصة والصناعية واللوجستية</w:t>
      </w:r>
      <w:r w:rsidRPr="00021FB9">
        <w:rPr>
          <w:rFonts w:ascii="Simplified Arabic" w:hAnsi="Simplified Arabic" w:cs="Simplified Arabic"/>
          <w:sz w:val="28"/>
          <w:szCs w:val="28"/>
        </w:rPr>
        <w:t xml:space="preserve"> (Yusuf et al., 2025; </w:t>
      </w:r>
      <w:proofErr w:type="spellStart"/>
      <w:r w:rsidRPr="00021FB9">
        <w:rPr>
          <w:rFonts w:ascii="Simplified Arabic" w:hAnsi="Simplified Arabic" w:cs="Simplified Arabic"/>
          <w:sz w:val="28"/>
          <w:szCs w:val="28"/>
        </w:rPr>
        <w:t>Nathany</w:t>
      </w:r>
      <w:proofErr w:type="spellEnd"/>
      <w:r w:rsidRPr="00021FB9">
        <w:rPr>
          <w:rFonts w:ascii="Simplified Arabic" w:hAnsi="Simplified Arabic" w:cs="Simplified Arabic"/>
          <w:sz w:val="28"/>
          <w:szCs w:val="28"/>
        </w:rPr>
        <w:t>, 2022)</w:t>
      </w:r>
      <w:r w:rsidRPr="00021FB9">
        <w:rPr>
          <w:rFonts w:ascii="Simplified Arabic" w:hAnsi="Simplified Arabic" w:cs="Simplified Arabic"/>
          <w:sz w:val="28"/>
          <w:szCs w:val="28"/>
          <w:rtl/>
        </w:rPr>
        <w:t>، أو على القطاع المصرفي والمالي</w:t>
      </w:r>
      <w:r w:rsidRPr="00021FB9">
        <w:rPr>
          <w:rFonts w:ascii="Simplified Arabic" w:hAnsi="Simplified Arabic" w:cs="Simplified Arabic"/>
          <w:sz w:val="28"/>
          <w:szCs w:val="28"/>
        </w:rPr>
        <w:t xml:space="preserve"> (</w:t>
      </w:r>
      <w:proofErr w:type="spellStart"/>
      <w:r w:rsidRPr="00021FB9">
        <w:rPr>
          <w:rFonts w:ascii="Simplified Arabic" w:hAnsi="Simplified Arabic" w:cs="Simplified Arabic"/>
          <w:sz w:val="28"/>
          <w:szCs w:val="28"/>
        </w:rPr>
        <w:t>Pokamestov</w:t>
      </w:r>
      <w:proofErr w:type="spellEnd"/>
      <w:r w:rsidRPr="00021FB9">
        <w:rPr>
          <w:rFonts w:ascii="Simplified Arabic" w:hAnsi="Simplified Arabic" w:cs="Simplified Arabic"/>
          <w:sz w:val="28"/>
          <w:szCs w:val="28"/>
        </w:rPr>
        <w:t xml:space="preserve"> &amp; Nikitin, 2024)</w:t>
      </w:r>
      <w:r w:rsidRPr="00021FB9">
        <w:rPr>
          <w:rFonts w:ascii="Simplified Arabic" w:hAnsi="Simplified Arabic" w:cs="Simplified Arabic"/>
          <w:sz w:val="28"/>
          <w:szCs w:val="28"/>
          <w:rtl/>
        </w:rPr>
        <w:t xml:space="preserve">، بينما ظلّ القطاع الحكومي وخاصة المؤسسات الحكومية الكبرى في المملكة خارج نطاق البحث العلمي المباشر. </w:t>
      </w:r>
    </w:p>
    <w:p w14:paraId="49E13E98" w14:textId="6BF2C7F8"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كما أن الدراسات المتاحة لم تعالج أثر تقنيات الذكاء الاصطناعي ضمن إطار متكامل يضم أبعادًا محورية مثل</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جمع البيانات ومعالجتها، النماذج التنبؤية، الأتمتة الذكية، وأنظمة دعم القرار، كما لم تدرس تأثيرها على سلسلة القيمة التشغيلية يعكس كفاءة الأداء المؤسسي</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وتشير تقارير </w:t>
      </w:r>
      <w:r w:rsidRPr="00021FB9">
        <w:rPr>
          <w:rFonts w:ascii="Simplified Arabic" w:hAnsi="Simplified Arabic" w:cs="Simplified Arabic"/>
          <w:sz w:val="28"/>
          <w:szCs w:val="28"/>
        </w:rPr>
        <w:t xml:space="preserve">OECD (2023) </w:t>
      </w:r>
      <w:r w:rsidRPr="00021FB9">
        <w:rPr>
          <w:rFonts w:ascii="Simplified Arabic" w:hAnsi="Simplified Arabic" w:cs="Simplified Arabic"/>
          <w:sz w:val="28"/>
          <w:szCs w:val="28"/>
          <w:rtl/>
        </w:rPr>
        <w:t xml:space="preserve">إلى أن الحكومات التي نجحت في دمج الذكاء الاصطناعي في عملياتها التشغيلية حققت تحسنًا يتراوح بين </w:t>
      </w:r>
      <w:r w:rsidRPr="00021FB9">
        <w:rPr>
          <w:rFonts w:ascii="Simplified Arabic" w:hAnsi="Simplified Arabic" w:cs="Simplified Arabic"/>
          <w:sz w:val="28"/>
          <w:szCs w:val="28"/>
        </w:rPr>
        <w:t xml:space="preserve">20% </w:t>
      </w:r>
      <w:r w:rsidRPr="00021FB9">
        <w:rPr>
          <w:rFonts w:ascii="Simplified Arabic" w:hAnsi="Simplified Arabic" w:cs="Simplified Arabic"/>
          <w:sz w:val="28"/>
          <w:szCs w:val="28"/>
          <w:rtl/>
        </w:rPr>
        <w:t>و30</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في كفاءة الخدمات العامة، مما يؤكد الحاجة لمعالجة هذا الفراغ البحثي محليًا داخل السياق السعودي</w:t>
      </w:r>
      <w:r w:rsidRPr="00021FB9">
        <w:rPr>
          <w:rFonts w:ascii="Simplified Arabic" w:hAnsi="Simplified Arabic" w:cs="Simplified Arabic"/>
          <w:sz w:val="28"/>
          <w:szCs w:val="28"/>
        </w:rPr>
        <w:t>.</w:t>
      </w:r>
    </w:p>
    <w:p w14:paraId="1DA6496A" w14:textId="77777777" w:rsidR="00021FB9" w:rsidRPr="00395C32" w:rsidRDefault="00021FB9" w:rsidP="00021FB9">
      <w:pPr>
        <w:ind w:firstLine="720"/>
        <w:jc w:val="both"/>
        <w:rPr>
          <w:rFonts w:ascii="Simplified Arabic" w:hAnsi="Simplified Arabic" w:cs="Simplified Arabic"/>
          <w:sz w:val="28"/>
          <w:szCs w:val="28"/>
          <w:highlight w:val="yellow"/>
          <w:rtl/>
        </w:rPr>
      </w:pPr>
      <w:r w:rsidRPr="00395C32">
        <w:rPr>
          <w:rFonts w:ascii="Simplified Arabic" w:hAnsi="Simplified Arabic" w:cs="Simplified Arabic"/>
          <w:sz w:val="28"/>
          <w:szCs w:val="28"/>
          <w:highlight w:val="yellow"/>
          <w:rtl/>
        </w:rPr>
        <w:t>استنادًا لما سبق، تتبلور مشكلة الدراسة في وجود فجوة واضحة بين التطور التقني الذي تشهده المملكة العربية السعودية وبين الاستفادة الفعلية من تقنيات الذكاء الاصطناعي في تحسين سلسلة القيمة التشغيلية داخل المؤسسات الحكومية الكبرى</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فبرغم توفر البنية الرقمية المتقدمة، إلا أن محدودية استخدام </w:t>
      </w:r>
      <w:r w:rsidRPr="00395C32">
        <w:rPr>
          <w:rFonts w:ascii="Simplified Arabic" w:hAnsi="Simplified Arabic" w:cs="Simplified Arabic"/>
          <w:sz w:val="28"/>
          <w:szCs w:val="28"/>
          <w:highlight w:val="yellow"/>
          <w:rtl/>
        </w:rPr>
        <w:lastRenderedPageBreak/>
        <w:t xml:space="preserve">النماذج التنبؤية، وضعف تكامل البيانات، وعدم تفعيل الأتمتة الذكية على نطاق واسع، جميعها عوامل تؤدي إلى استمرار أنماط تشغيل تقليدية تتسم بالبطء وارتفاع التكاليف وتفاوت جودة الأداء. </w:t>
      </w:r>
    </w:p>
    <w:p w14:paraId="4E6264CB" w14:textId="77777777"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تختلف المؤسسات الحكومية عن مؤسسات القطاع الخاص في أربعة جوانب رئيسة، وهو ما يستوجب دراسة أثر الذكاء الاصطناعي فيها بشكل مستقل بدلاً من الاكتفاء بنقل نتائج الدراسات السابقة التي أُجريت في القطاع الخاص</w:t>
      </w:r>
      <w:r w:rsidRPr="00395C32">
        <w:rPr>
          <w:rFonts w:ascii="Simplified Arabic" w:hAnsi="Simplified Arabic" w:cs="Simplified Arabic"/>
          <w:sz w:val="28"/>
          <w:szCs w:val="28"/>
          <w:highlight w:val="yellow"/>
          <w:lang w:bidi="ar-EG"/>
        </w:rPr>
        <w:t>.</w:t>
      </w:r>
    </w:p>
    <w:p w14:paraId="2FC1A7BF" w14:textId="77777777"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الجانب الأول هو طبيعة القيمة المستهدفة</w:t>
      </w:r>
      <w:r w:rsidRPr="00395C32">
        <w:rPr>
          <w:rFonts w:ascii="Simplified Arabic" w:hAnsi="Simplified Arabic" w:cs="Simplified Arabic"/>
          <w:sz w:val="28"/>
          <w:szCs w:val="28"/>
          <w:highlight w:val="yellow"/>
          <w:lang w:bidi="ar-EG"/>
        </w:rPr>
        <w:t xml:space="preserve">. </w:t>
      </w:r>
      <w:r w:rsidRPr="00395C32">
        <w:rPr>
          <w:rFonts w:ascii="Simplified Arabic" w:hAnsi="Simplified Arabic" w:cs="Simplified Arabic"/>
          <w:sz w:val="28"/>
          <w:szCs w:val="28"/>
          <w:highlight w:val="yellow"/>
          <w:rtl/>
        </w:rPr>
        <w:t>فالقطاع الخاص يسعى إلى تحقيق الربح والقيمة الاقتصادية، بينما تسعى المؤسسات الحكومية إلى تقديم قيمة عامة للمواطن تشمل جودة الخدمة والعدالة في تقديمها ودعم التنمية. ولهذا فإن قياس أثر الذكاء الاصطناعي في القطاع الحكومي لا يقتصر على مؤشرات التكلفة والعائد، بل يمتد ليشمل مؤشرات مثل رضا المستفيدين وسرعة الخدمة وثقة المواطن في الجهة الحكومية</w:t>
      </w:r>
      <w:r w:rsidRPr="00395C32">
        <w:rPr>
          <w:rFonts w:ascii="Simplified Arabic" w:hAnsi="Simplified Arabic" w:cs="Simplified Arabic"/>
          <w:sz w:val="28"/>
          <w:szCs w:val="28"/>
          <w:highlight w:val="yellow"/>
          <w:lang w:bidi="ar-EG"/>
        </w:rPr>
        <w:t>.</w:t>
      </w:r>
    </w:p>
    <w:p w14:paraId="334D28B9" w14:textId="77777777"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 xml:space="preserve">والجانب الثاني هو القيود التشريعية التي تعمل في ظلها المؤسسات الحكومية. فهي ملزمة بنظام حماية البيانات الشخصية السعودي، ولوائح </w:t>
      </w:r>
      <w:proofErr w:type="spellStart"/>
      <w:r w:rsidRPr="00395C32">
        <w:rPr>
          <w:rFonts w:ascii="Simplified Arabic" w:hAnsi="Simplified Arabic" w:cs="Simplified Arabic"/>
          <w:sz w:val="28"/>
          <w:szCs w:val="28"/>
          <w:highlight w:val="yellow"/>
          <w:rtl/>
        </w:rPr>
        <w:t>سدايا</w:t>
      </w:r>
      <w:proofErr w:type="spellEnd"/>
      <w:r w:rsidRPr="00395C32">
        <w:rPr>
          <w:rFonts w:ascii="Simplified Arabic" w:hAnsi="Simplified Arabic" w:cs="Simplified Arabic"/>
          <w:sz w:val="28"/>
          <w:szCs w:val="28"/>
          <w:highlight w:val="yellow"/>
          <w:rtl/>
        </w:rPr>
        <w:t xml:space="preserve"> المنظمة لاستخدام الذكاء الاصطناعي، ونظام المشتريات الحكومية الذي يجعل عملية اقتناء التقنية أبطأ من نظيرتها في القطاع الخاص. وهذه القيود تؤثر مباشرة في سرعة تبني الذكاء الاصطناعي وطريقة توظيفه</w:t>
      </w:r>
      <w:r w:rsidRPr="00395C32">
        <w:rPr>
          <w:rFonts w:ascii="Simplified Arabic" w:hAnsi="Simplified Arabic" w:cs="Simplified Arabic"/>
          <w:sz w:val="28"/>
          <w:szCs w:val="28"/>
          <w:highlight w:val="yellow"/>
          <w:lang w:bidi="ar-EG"/>
        </w:rPr>
        <w:t>.</w:t>
      </w:r>
    </w:p>
    <w:p w14:paraId="32200EFC" w14:textId="0E62513B" w:rsidR="00395C32" w:rsidRPr="00395C32" w:rsidRDefault="00395C32" w:rsidP="00395C32">
      <w:pPr>
        <w:ind w:firstLine="720"/>
        <w:jc w:val="both"/>
        <w:rPr>
          <w:rFonts w:ascii="Simplified Arabic" w:hAnsi="Simplified Arabic" w:cs="Simplified Arabic"/>
          <w:sz w:val="28"/>
          <w:szCs w:val="28"/>
          <w:highlight w:val="yellow"/>
          <w:lang w:bidi="ar-EG"/>
        </w:rPr>
      </w:pPr>
      <w:r w:rsidRPr="00395C32">
        <w:rPr>
          <w:rFonts w:ascii="Simplified Arabic" w:hAnsi="Simplified Arabic" w:cs="Simplified Arabic"/>
          <w:sz w:val="28"/>
          <w:szCs w:val="28"/>
          <w:highlight w:val="yellow"/>
          <w:rtl/>
        </w:rPr>
        <w:t>والجانب الثالث هو دوافع التبني. فالقطاع الخاص يتبنى الذكاء الاصطناعي بدافع المنافسة والبقاء في السوق، بينما تتبنى المؤسسات الحكومية هذه التقنيات لأسباب مختلفة، منها الالتزام بالتوجيهات الحكومية، ومحاكاة الجهات الرائدة في هذا المجال، والامتثال للمعايير المهنية</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وهذا يعني أن النماذج المستخدمة لتفسير تبني التقنية في القطاع الخاص قد لا تصلح للتطبيق المباشر في القطاع الحكومي</w:t>
      </w:r>
      <w:r w:rsidRPr="00395C32">
        <w:rPr>
          <w:rFonts w:ascii="Simplified Arabic" w:hAnsi="Simplified Arabic" w:cs="Simplified Arabic"/>
          <w:sz w:val="28"/>
          <w:szCs w:val="28"/>
          <w:highlight w:val="yellow"/>
          <w:lang w:bidi="ar-EG"/>
        </w:rPr>
        <w:t>.</w:t>
      </w:r>
    </w:p>
    <w:p w14:paraId="12EBA1DB" w14:textId="36E0D779" w:rsidR="00395C32" w:rsidRPr="00395C32" w:rsidRDefault="00395C32" w:rsidP="00395C32">
      <w:pPr>
        <w:ind w:firstLine="720"/>
        <w:jc w:val="both"/>
        <w:rPr>
          <w:rFonts w:ascii="Simplified Arabic" w:hAnsi="Simplified Arabic" w:cs="Simplified Arabic"/>
          <w:sz w:val="28"/>
          <w:szCs w:val="28"/>
          <w:lang w:bidi="ar-EG"/>
        </w:rPr>
      </w:pPr>
      <w:r w:rsidRPr="00395C32">
        <w:rPr>
          <w:rFonts w:ascii="Simplified Arabic" w:hAnsi="Simplified Arabic" w:cs="Simplified Arabic"/>
          <w:sz w:val="28"/>
          <w:szCs w:val="28"/>
          <w:highlight w:val="yellow"/>
          <w:rtl/>
        </w:rPr>
        <w:t>والجانب الرابع هو تنوع المؤسسات الحكومية نفسها</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إذ تتعامل كثير من الدراسات مع المؤسسات الحكومية باعتبارها فئة واحدة، بينما تُميّز هذه الدراسة بين ثلاث فئات مختلفة: الوزارات الخدمية التي تتعامل مع المواطنين مباشرة كوزارة الصحة، والوزارات ذات الطابع السيادي كوزارة الداخلية، والهيئات المتخصصة في التحول الرقمي </w:t>
      </w:r>
      <w:proofErr w:type="spellStart"/>
      <w:r w:rsidRPr="00395C32">
        <w:rPr>
          <w:rFonts w:ascii="Simplified Arabic" w:hAnsi="Simplified Arabic" w:cs="Simplified Arabic"/>
          <w:sz w:val="28"/>
          <w:szCs w:val="28"/>
          <w:highlight w:val="yellow"/>
          <w:rtl/>
        </w:rPr>
        <w:t>كسدايا</w:t>
      </w:r>
      <w:proofErr w:type="spellEnd"/>
      <w:r w:rsidRPr="00395C32">
        <w:rPr>
          <w:rFonts w:ascii="Simplified Arabic" w:hAnsi="Simplified Arabic" w:cs="Simplified Arabic"/>
          <w:sz w:val="28"/>
          <w:szCs w:val="28"/>
          <w:highlight w:val="yellow"/>
          <w:rtl/>
        </w:rPr>
        <w:t xml:space="preserve"> وهيئة الحكومة الرقمية</w:t>
      </w:r>
      <w:r w:rsidRPr="00395C32">
        <w:rPr>
          <w:rFonts w:ascii="Simplified Arabic" w:hAnsi="Simplified Arabic" w:cs="Simplified Arabic" w:hint="cs"/>
          <w:sz w:val="28"/>
          <w:szCs w:val="28"/>
          <w:highlight w:val="yellow"/>
          <w:rtl/>
        </w:rPr>
        <w:t>،</w:t>
      </w:r>
      <w:r w:rsidRPr="00395C32">
        <w:rPr>
          <w:rFonts w:ascii="Simplified Arabic" w:hAnsi="Simplified Arabic" w:cs="Simplified Arabic"/>
          <w:sz w:val="28"/>
          <w:szCs w:val="28"/>
          <w:highlight w:val="yellow"/>
          <w:rtl/>
        </w:rPr>
        <w:t xml:space="preserve"> ومن المتوقع أن يكون أثر الذكاء الاصطناعي أقوى في الفئة الثالثة منه في الفئتين الأخريين، وهو ما ستكشف عنه الدراسة من خلال تحليل المجموعات المتعددة</w:t>
      </w:r>
      <w:r w:rsidRPr="00395C32">
        <w:rPr>
          <w:rFonts w:ascii="Simplified Arabic" w:hAnsi="Simplified Arabic" w:cs="Simplified Arabic"/>
          <w:sz w:val="28"/>
          <w:szCs w:val="28"/>
          <w:highlight w:val="yellow"/>
          <w:lang w:bidi="ar-EG"/>
        </w:rPr>
        <w:t>.</w:t>
      </w:r>
    </w:p>
    <w:p w14:paraId="093448A4" w14:textId="77777777" w:rsidR="00395C32" w:rsidRPr="00395C32" w:rsidRDefault="00395C32" w:rsidP="00E819C0">
      <w:pPr>
        <w:ind w:firstLine="720"/>
        <w:jc w:val="both"/>
        <w:rPr>
          <w:rFonts w:ascii="Simplified Arabic" w:hAnsi="Simplified Arabic" w:cs="Simplified Arabic"/>
          <w:sz w:val="28"/>
          <w:szCs w:val="28"/>
          <w:rtl/>
          <w:lang w:bidi="ar-EG"/>
        </w:rPr>
      </w:pPr>
    </w:p>
    <w:p w14:paraId="321D25E1" w14:textId="33D18DA9" w:rsidR="00804FE9" w:rsidRPr="005D0A6D" w:rsidRDefault="005D0A6D" w:rsidP="00E819C0">
      <w:pPr>
        <w:ind w:firstLine="720"/>
        <w:jc w:val="both"/>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وبناءا</w:t>
      </w:r>
      <w:proofErr w:type="spellEnd"/>
      <w:r>
        <w:rPr>
          <w:rFonts w:ascii="Simplified Arabic" w:hAnsi="Simplified Arabic" w:cs="Simplified Arabic" w:hint="cs"/>
          <w:sz w:val="28"/>
          <w:szCs w:val="28"/>
          <w:rtl/>
          <w:lang w:bidi="ar-EG"/>
        </w:rPr>
        <w:t xml:space="preserve">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63EE5976" w:rsidR="004D35D3" w:rsidRPr="005D0A6D" w:rsidRDefault="00234EE9" w:rsidP="00234EE9">
      <w:pPr>
        <w:jc w:val="both"/>
        <w:rPr>
          <w:rFonts w:ascii="Simplified Arabic" w:hAnsi="Simplified Arabic" w:cs="Simplified Arabic"/>
          <w:sz w:val="28"/>
          <w:szCs w:val="28"/>
          <w:rtl/>
          <w:lang w:bidi="ar-EG"/>
        </w:rPr>
      </w:pPr>
      <w:r w:rsidRPr="00234EE9">
        <w:rPr>
          <w:rFonts w:ascii="Simplified Arabic" w:hAnsi="Simplified Arabic" w:cs="Simplified Arabic"/>
          <w:sz w:val="28"/>
          <w:szCs w:val="28"/>
          <w:rtl/>
        </w:rPr>
        <w:t>إلى أي مدى تُسهم تقنيات الذكاء الاصطناعي بأبعادها (جمع البيانات ومعالجتها، النماذج التنبؤية، الأتمتة الذكية، وأنظمة دعم القرار) في تحسين سلسلة القيمة التشغيلية في المؤسسات الحكومية الكبرى في المملكة العربية السعودية؟</w:t>
      </w:r>
      <w:r>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 xml:space="preserve">وتتفرع منها عدة أسئلة </w:t>
      </w:r>
      <w:proofErr w:type="gramStart"/>
      <w:r w:rsidR="000E0033" w:rsidRPr="005D0A6D">
        <w:rPr>
          <w:rFonts w:ascii="Simplified Arabic" w:hAnsi="Simplified Arabic" w:cs="Simplified Arabic" w:hint="cs"/>
          <w:sz w:val="28"/>
          <w:szCs w:val="28"/>
          <w:rtl/>
          <w:lang w:bidi="ar-EG"/>
        </w:rPr>
        <w:t>فرعية :</w:t>
      </w:r>
      <w:proofErr w:type="gramEnd"/>
    </w:p>
    <w:p w14:paraId="720AF6D3"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مستوى تطبيق تقنيات الذكاء الاصطناعي بأبعادها المختلفة داخل المؤسسات الحكومية الكبرى، وما مدى جاهزيتها التقنية والتنظيمية لاستيعاب هذه التقنيات؟</w:t>
      </w:r>
    </w:p>
    <w:p w14:paraId="29B7479D"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واقع سلسلة القيمة التشغيلية في المؤسسات الحكومية الكبرى، وما أبرز نقاط القوة والقصور في مراحلها المختلفة قبل تطبيق الذكاء الاصطناعي؟</w:t>
      </w:r>
    </w:p>
    <w:p w14:paraId="63CA9913"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طبيعة العلاقة بين قدرات جمع البيانات ومعالجتها وبين تحسين تدفق العمليات التشغيلية في سلسلة القيمة داخل المؤسسات الحكومية؟</w:t>
      </w:r>
    </w:p>
    <w:p w14:paraId="1B2C13F9"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إلى أي مدى تسهم النماذج التنبؤية في تعزيز التخطيط التشغيلي والقدرة على توقع الاحتياجات التشغيلية وتقليل التعطل في سلسلة القيمة التشغيلية؟</w:t>
      </w:r>
    </w:p>
    <w:p w14:paraId="480ED34D"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دور الأتمتة الذكية في الارتقاء بكفاءة سلسلة القيمة التشغيلية، وكيف تؤثر في سرعة وجودة إنجاز الإجراءات الحكومية؟</w:t>
      </w:r>
    </w:p>
    <w:p w14:paraId="65835DB7"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كيف تؤثر أنظمة دعم القرار على تحسين التكامل بين مراحل سلسلة القيمة التشغيلية، ورفع مستوى الاتساق والفعالية في اتخاذ القرارات؟</w:t>
      </w:r>
    </w:p>
    <w:p w14:paraId="0A07276E" w14:textId="77777777" w:rsidR="00234EE9" w:rsidRPr="00234EE9" w:rsidRDefault="00234EE9">
      <w:pPr>
        <w:numPr>
          <w:ilvl w:val="0"/>
          <w:numId w:val="3"/>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الأبعاد الأكثر تأثيرًا من بين تقنيات الذكاء الاصطناعي في تحسين سلسلة القيمة التشغيلية في المؤسسات الحكومية الكبرى؟</w:t>
      </w:r>
    </w:p>
    <w:p w14:paraId="7EC985AE" w14:textId="50D40CCD" w:rsidR="0091397D" w:rsidRPr="005D0A6D" w:rsidRDefault="00234EE9">
      <w:pPr>
        <w:numPr>
          <w:ilvl w:val="0"/>
          <w:numId w:val="3"/>
        </w:numPr>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كيف يمكن توظيف نتائج الدراسة في بناء نموذج تطبيقي متكامل لتطوير سلسلة القيمة التشغيلية اعتمادًا على تقنيات الذكاء الاصطناعي ودعم التحول الرقمي الحكومي؟</w:t>
      </w:r>
      <w:r w:rsidR="00C01A90" w:rsidRPr="005D0A6D">
        <w:rPr>
          <w:rFonts w:ascii="Simplified Arabic" w:hAnsi="Simplified Arabic" w:cs="Simplified Arabic"/>
          <w:sz w:val="28"/>
          <w:szCs w:val="28"/>
          <w:rtl/>
        </w:rPr>
        <w:t>؟</w:t>
      </w:r>
    </w:p>
    <w:p w14:paraId="552CDDD3" w14:textId="6FFA8C6D" w:rsidR="001B43EF" w:rsidRPr="00B91104" w:rsidRDefault="001B43EF" w:rsidP="00D439AC">
      <w:pPr>
        <w:pStyle w:val="1"/>
        <w:rPr>
          <w:rtl/>
        </w:rPr>
      </w:pPr>
      <w:bookmarkStart w:id="2" w:name="_Toc202053517"/>
      <w:r w:rsidRPr="00B91104">
        <w:rPr>
          <w:rtl/>
        </w:rPr>
        <w:lastRenderedPageBreak/>
        <w:t xml:space="preserve">أهمية </w:t>
      </w:r>
      <w:r w:rsidR="00D439AC">
        <w:rPr>
          <w:rtl/>
        </w:rPr>
        <w:t>الدراسة</w:t>
      </w:r>
      <w:bookmarkEnd w:id="2"/>
      <w:r w:rsidR="00D439AC">
        <w:rPr>
          <w:rtl/>
        </w:rPr>
        <w:t xml:space="preserve"> </w:t>
      </w:r>
    </w:p>
    <w:p w14:paraId="27230455" w14:textId="572695B1" w:rsidR="00F41775" w:rsidRPr="00234EE9" w:rsidRDefault="00234EE9" w:rsidP="00234EE9">
      <w:pPr>
        <w:ind w:firstLine="720"/>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 xml:space="preserve">تنبع أهمية هذه الدراسة من كونها تتناول أحد أكثر الموضوعات المعاصرة تأثيراً في تطوير الأداء الحكومي، وهو توظيف الذكاء الاصطناعي في تحسين سلسلة القيمة التشغيلية، وذلك في ظل التحول الرقمي الواسع الذي تشهده المملكة العربية السعودية ضمن رؤية 2030. وتتجلى أهمية الدراسة في عدة محاور </w:t>
      </w:r>
      <w:proofErr w:type="gramStart"/>
      <w:r w:rsidRPr="00234EE9">
        <w:rPr>
          <w:rFonts w:ascii="Simplified Arabic" w:hAnsi="Simplified Arabic" w:cs="Simplified Arabic"/>
          <w:sz w:val="28"/>
          <w:szCs w:val="28"/>
          <w:rtl/>
        </w:rPr>
        <w:t>رئيسة</w:t>
      </w:r>
      <w:r w:rsidRPr="00234EE9">
        <w:rPr>
          <w:rFonts w:ascii="Simplified Arabic" w:hAnsi="Simplified Arabic" w:cs="Simplified Arabic"/>
          <w:sz w:val="28"/>
          <w:szCs w:val="28"/>
        </w:rPr>
        <w:t>:</w:t>
      </w:r>
      <w:r w:rsidR="00F373DC" w:rsidRPr="00234EE9">
        <w:rPr>
          <w:rFonts w:ascii="Simplified Arabic" w:hAnsi="Simplified Arabic" w:cs="Simplified Arabic"/>
          <w:sz w:val="28"/>
          <w:szCs w:val="28"/>
        </w:rPr>
        <w:t>.</w:t>
      </w:r>
      <w:proofErr w:type="gramEnd"/>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49F33531"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تنبع الأهمية العلمية لهذه الدراسة من حداثة موضوعها وتكامل </w:t>
      </w:r>
      <w:proofErr w:type="gramStart"/>
      <w:r w:rsidRPr="005D0A6D">
        <w:rPr>
          <w:rFonts w:ascii="Simplified Arabic" w:hAnsi="Simplified Arabic" w:cs="Simplified Arabic"/>
          <w:sz w:val="28"/>
          <w:szCs w:val="28"/>
          <w:rtl/>
        </w:rPr>
        <w:t>أبعاده ،</w:t>
      </w:r>
      <w:proofErr w:type="gramEnd"/>
      <w:r w:rsidRPr="005D0A6D">
        <w:rPr>
          <w:rFonts w:ascii="Simplified Arabic" w:hAnsi="Simplified Arabic" w:cs="Simplified Arabic"/>
          <w:sz w:val="28"/>
          <w:szCs w:val="28"/>
          <w:rtl/>
        </w:rPr>
        <w:t xml:space="preserve"> هي</w:t>
      </w:r>
      <w:r w:rsidRPr="005D0A6D">
        <w:rPr>
          <w:rFonts w:ascii="Simplified Arabic" w:hAnsi="Simplified Arabic" w:cs="Simplified Arabic"/>
          <w:sz w:val="28"/>
          <w:szCs w:val="28"/>
        </w:rPr>
        <w:t>:</w:t>
      </w:r>
    </w:p>
    <w:p w14:paraId="6AD1A191"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إثراء المعرفة العلمية من خلال تقديم إطار نظري متكامل يربط بين أبعاد الذكاء الاصطناعي وسلسلة القيمة التشغيلية في المؤسسات الحكومية، وهو ربط نادر في الأدبيات العربية.</w:t>
      </w:r>
    </w:p>
    <w:p w14:paraId="5D448248"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سد فجوة بحثية تتعلق بندرة الدراسات التي تعالج سلسلة القيمة التشغيلية كمتغير تابع أحادي المحور في السياق الحكومي، خاصة في ظل التحول الرقمي المتسارع.</w:t>
      </w:r>
    </w:p>
    <w:p w14:paraId="465CBC28"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تطوير منظور جديد لفهم دور الذكاء الاصطناعي بوصفه محركاً استراتيجياً لتحسين الكفاءة التشغيلية، وليس مجرد أداة تقنية داعمة.</w:t>
      </w:r>
    </w:p>
    <w:p w14:paraId="35B08CEB"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إضافة نموذج مفاهيمي حديث يمكن أن تعتمد عليه الدراسات اللاحقة في تفسير العلاقة بين الذكاء الاصطناعي والتحولات التشغيلية في القطاع الحكومي.</w:t>
      </w:r>
    </w:p>
    <w:p w14:paraId="10810880" w14:textId="77777777" w:rsidR="00602A7D" w:rsidRPr="00602A7D" w:rsidRDefault="00602A7D">
      <w:pPr>
        <w:numPr>
          <w:ilvl w:val="0"/>
          <w:numId w:val="4"/>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تعزيز الأدبيات المتخصصة في مجالات الإدارة العامة والتحول الرقمي، من خلال تقديم تحليل شامل لأبعاد الذكاء الاصطناعي وكيفية تأثيرها في منظومات القيمة.</w:t>
      </w:r>
    </w:p>
    <w:p w14:paraId="28848E0C" w14:textId="623903EC" w:rsidR="00F41775" w:rsidRDefault="00602A7D">
      <w:pPr>
        <w:numPr>
          <w:ilvl w:val="0"/>
          <w:numId w:val="4"/>
        </w:numPr>
        <w:jc w:val="both"/>
        <w:rPr>
          <w:rFonts w:ascii="Simplified Arabic" w:hAnsi="Simplified Arabic" w:cs="Simplified Arabic"/>
          <w:sz w:val="28"/>
          <w:szCs w:val="28"/>
          <w:lang w:bidi="ar-EG"/>
        </w:rPr>
      </w:pPr>
      <w:r w:rsidRPr="00602A7D">
        <w:rPr>
          <w:rFonts w:ascii="Simplified Arabic" w:hAnsi="Simplified Arabic" w:cs="Simplified Arabic"/>
          <w:sz w:val="28"/>
          <w:szCs w:val="28"/>
          <w:rtl/>
        </w:rPr>
        <w:t>توفير أساس نظري يمكن البناء عليه في البحوث المستقبلية حول التطبيقات الحكومية للذكاء الاصطناعي، بما يسهم في تكوين تراكم معرفي متقدم.</w:t>
      </w:r>
      <w:r w:rsidR="00F41775" w:rsidRPr="00F41775">
        <w:rPr>
          <w:rFonts w:ascii="Simplified Arabic" w:hAnsi="Simplified Arabic" w:cs="Simplified Arabic"/>
          <w:sz w:val="28"/>
          <w:szCs w:val="28"/>
          <w:lang w:bidi="ar-EG"/>
        </w:rPr>
        <w:t>.</w:t>
      </w:r>
    </w:p>
    <w:p w14:paraId="79901832" w14:textId="77777777" w:rsidR="00332430" w:rsidRDefault="00332430" w:rsidP="00332430">
      <w:pPr>
        <w:jc w:val="both"/>
        <w:rPr>
          <w:rFonts w:ascii="Simplified Arabic" w:hAnsi="Simplified Arabic" w:cs="Simplified Arabic"/>
          <w:sz w:val="28"/>
          <w:szCs w:val="28"/>
          <w:rtl/>
          <w:lang w:bidi="ar-EG"/>
        </w:rPr>
      </w:pPr>
    </w:p>
    <w:p w14:paraId="37860C9F" w14:textId="77777777" w:rsidR="00332430" w:rsidRPr="00F41775" w:rsidRDefault="00332430" w:rsidP="00332430">
      <w:pPr>
        <w:jc w:val="both"/>
        <w:rPr>
          <w:rFonts w:ascii="Simplified Arabic" w:hAnsi="Simplified Arabic" w:cs="Simplified Arabic"/>
          <w:sz w:val="28"/>
          <w:szCs w:val="28"/>
          <w:lang w:bidi="ar-EG"/>
        </w:rPr>
      </w:pP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lastRenderedPageBreak/>
        <w:t>ثانيًا: الأهمية ال</w:t>
      </w:r>
      <w:r w:rsidR="00D439AC">
        <w:rPr>
          <w:rFonts w:ascii="Simplified Arabic" w:hAnsi="Simplified Arabic" w:cs="Simplified Arabic" w:hint="cs"/>
          <w:b/>
          <w:bCs/>
          <w:sz w:val="28"/>
          <w:szCs w:val="28"/>
          <w:rtl/>
          <w:lang w:bidi="ar-EG"/>
        </w:rPr>
        <w:t xml:space="preserve">عملية </w:t>
      </w:r>
    </w:p>
    <w:p w14:paraId="5261CB90" w14:textId="77777777"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تُعد الدراسة مرجعاً عملياً لصنّاع القرار الحكومي</w:t>
      </w:r>
      <w:r w:rsidRPr="00602A7D">
        <w:rPr>
          <w:rFonts w:ascii="Simplified Arabic" w:hAnsi="Simplified Arabic" w:cs="Simplified Arabic" w:hint="cs"/>
          <w:sz w:val="28"/>
          <w:szCs w:val="28"/>
          <w:rtl/>
        </w:rPr>
        <w:t xml:space="preserve"> في كيفية تصميم وتطوير سلسلة القيمة التشغيلية اعتماداً على تطبيقات الذكاء الاصطناعي الأكثر تأثيراً</w:t>
      </w:r>
      <w:r w:rsidRPr="00602A7D">
        <w:rPr>
          <w:rFonts w:ascii="Simplified Arabic" w:hAnsi="Simplified Arabic" w:cs="Simplified Arabic" w:hint="cs"/>
          <w:sz w:val="28"/>
          <w:szCs w:val="28"/>
        </w:rPr>
        <w:t>.</w:t>
      </w:r>
    </w:p>
    <w:p w14:paraId="0CCB3087" w14:textId="0237FE86"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تساعد المؤسسات الحكومية على رفع الكفاءة التشغيلية</w:t>
      </w:r>
      <w:r w:rsidRPr="00602A7D">
        <w:rPr>
          <w:rFonts w:ascii="Simplified Arabic" w:hAnsi="Simplified Arabic" w:cs="Simplified Arabic" w:hint="cs"/>
          <w:sz w:val="28"/>
          <w:szCs w:val="28"/>
          <w:rtl/>
        </w:rPr>
        <w:t xml:space="preserve"> عبر فهم نقاط الضعف في تدفق العمليات والقدرة على معالجتها تقنياً باستخدام الأتمتة، النماذج التنبؤية، ونظم دعم القرار</w:t>
      </w:r>
      <w:r w:rsidRPr="00602A7D">
        <w:rPr>
          <w:rFonts w:ascii="Simplified Arabic" w:hAnsi="Simplified Arabic" w:cs="Simplified Arabic" w:hint="cs"/>
          <w:sz w:val="28"/>
          <w:szCs w:val="28"/>
        </w:rPr>
        <w:t>.</w:t>
      </w:r>
    </w:p>
    <w:p w14:paraId="6A115D05" w14:textId="392C0697"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تسهم في تطوير خطط التحول الرقمي</w:t>
      </w:r>
      <w:r w:rsidRPr="00602A7D">
        <w:rPr>
          <w:rFonts w:ascii="Simplified Arabic" w:hAnsi="Simplified Arabic" w:cs="Simplified Arabic" w:hint="cs"/>
          <w:sz w:val="28"/>
          <w:szCs w:val="28"/>
          <w:rtl/>
        </w:rPr>
        <w:t xml:space="preserve"> من خلال تحديد مجالات الأولوية التي يجب الاستثمار فيها لتحقيق أعلى أثر تشغيلي باستخدام تقنيات الذكاء الاصطناعي</w:t>
      </w:r>
      <w:r w:rsidRPr="00602A7D">
        <w:rPr>
          <w:rFonts w:ascii="Simplified Arabic" w:hAnsi="Simplified Arabic" w:cs="Simplified Arabic" w:hint="cs"/>
          <w:sz w:val="28"/>
          <w:szCs w:val="28"/>
        </w:rPr>
        <w:t>.</w:t>
      </w:r>
    </w:p>
    <w:p w14:paraId="372A6893" w14:textId="6905934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بناء بيئة تشغيلية ذكية</w:t>
      </w:r>
      <w:r w:rsidRPr="00602A7D">
        <w:rPr>
          <w:rFonts w:ascii="Simplified Arabic" w:hAnsi="Simplified Arabic" w:cs="Simplified Arabic" w:hint="cs"/>
          <w:sz w:val="28"/>
          <w:szCs w:val="28"/>
          <w:rtl/>
        </w:rPr>
        <w:t xml:space="preserve"> يمكن من خلالها تسريع الإجراءات، تقليل الأخطاء، وتحسين جودة الخدمات المقدمة للمواطنين والمستفيدين</w:t>
      </w:r>
      <w:r w:rsidRPr="00602A7D">
        <w:rPr>
          <w:rFonts w:ascii="Simplified Arabic" w:hAnsi="Simplified Arabic" w:cs="Simplified Arabic" w:hint="cs"/>
          <w:sz w:val="28"/>
          <w:szCs w:val="28"/>
        </w:rPr>
        <w:t>.</w:t>
      </w:r>
    </w:p>
    <w:p w14:paraId="70FAAE7C" w14:textId="15EF825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تمكن المؤسسات الحكومية من تحسين إدارة الموارد</w:t>
      </w:r>
      <w:r w:rsidRPr="00602A7D">
        <w:rPr>
          <w:rFonts w:ascii="Simplified Arabic" w:hAnsi="Simplified Arabic" w:cs="Simplified Arabic" w:hint="cs"/>
          <w:sz w:val="28"/>
          <w:szCs w:val="28"/>
          <w:rtl/>
        </w:rPr>
        <w:t xml:space="preserve"> عبر تعزيز الدقة في عمليات جمع البيانات ومعالجتها، مما يؤدي إلى قرارات تشغيلية أكثر فعالية</w:t>
      </w:r>
      <w:r w:rsidRPr="00602A7D">
        <w:rPr>
          <w:rFonts w:ascii="Simplified Arabic" w:hAnsi="Simplified Arabic" w:cs="Simplified Arabic" w:hint="cs"/>
          <w:sz w:val="28"/>
          <w:szCs w:val="28"/>
        </w:rPr>
        <w:t>.</w:t>
      </w:r>
    </w:p>
    <w:p w14:paraId="5C04B824" w14:textId="20679634"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توفر إطاراً قابلاً للتطبيق</w:t>
      </w:r>
      <w:r w:rsidRPr="00602A7D">
        <w:rPr>
          <w:rFonts w:ascii="Simplified Arabic" w:hAnsi="Simplified Arabic" w:cs="Simplified Arabic" w:hint="cs"/>
          <w:sz w:val="28"/>
          <w:szCs w:val="28"/>
          <w:rtl/>
        </w:rPr>
        <w:t xml:space="preserve"> على مستويات مؤسسية مختلفة، مما يساعد المؤسسات الحكومية على مواءمة أنظمتها التشغيلية مع المعايير الرقمية الحديثة</w:t>
      </w:r>
      <w:r w:rsidRPr="00602A7D">
        <w:rPr>
          <w:rFonts w:ascii="Simplified Arabic" w:hAnsi="Simplified Arabic" w:cs="Simplified Arabic" w:hint="cs"/>
          <w:sz w:val="28"/>
          <w:szCs w:val="28"/>
        </w:rPr>
        <w:t>.</w:t>
      </w:r>
    </w:p>
    <w:p w14:paraId="3C1928E7" w14:textId="40F9F985"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تعزز الاستدامة التشغيلية في القطاع الحكومي</w:t>
      </w:r>
      <w:r w:rsidRPr="00602A7D">
        <w:rPr>
          <w:rFonts w:ascii="Simplified Arabic" w:hAnsi="Simplified Arabic" w:cs="Simplified Arabic" w:hint="cs"/>
          <w:sz w:val="28"/>
          <w:szCs w:val="28"/>
          <w:rtl/>
        </w:rPr>
        <w:t xml:space="preserve"> عبر طرح أساليب علمية لتقليل الهدر وتحسين الإنتاجية بصورة مستدامة</w:t>
      </w:r>
      <w:r w:rsidRPr="00602A7D">
        <w:rPr>
          <w:rFonts w:ascii="Simplified Arabic" w:hAnsi="Simplified Arabic" w:cs="Simplified Arabic" w:hint="cs"/>
          <w:sz w:val="28"/>
          <w:szCs w:val="28"/>
        </w:rPr>
        <w:t>.</w:t>
      </w:r>
    </w:p>
    <w:p w14:paraId="2C42E802" w14:textId="50E638BC" w:rsidR="00602A7D" w:rsidRPr="00602A7D" w:rsidRDefault="00602A7D">
      <w:pPr>
        <w:pStyle w:val="a6"/>
        <w:numPr>
          <w:ilvl w:val="0"/>
          <w:numId w:val="8"/>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تحقيق أهداف رؤية المملكة 2030</w:t>
      </w:r>
      <w:r w:rsidRPr="00602A7D">
        <w:rPr>
          <w:rFonts w:ascii="Simplified Arabic" w:hAnsi="Simplified Arabic" w:cs="Simplified Arabic" w:hint="cs"/>
          <w:sz w:val="28"/>
          <w:szCs w:val="28"/>
          <w:rtl/>
        </w:rPr>
        <w:t xml:space="preserve"> في محاور الحكومة الذكية، كفاءة الإنفاق، ورفع جودة الحياة، من خلال ربط التحول التقني بالأداء التشغيلي الفعلي</w:t>
      </w:r>
      <w:r w:rsidRPr="00602A7D">
        <w:rPr>
          <w:rFonts w:ascii="Simplified Arabic" w:hAnsi="Simplified Arabic" w:cs="Simplified Arabic" w:hint="cs"/>
          <w:sz w:val="28"/>
          <w:szCs w:val="28"/>
        </w:rPr>
        <w:t>.</w:t>
      </w:r>
    </w:p>
    <w:p w14:paraId="328F39B1" w14:textId="17D3A0E4"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50528596" w:rsidR="00C01A90" w:rsidRPr="005D0A6D" w:rsidRDefault="00234EE9" w:rsidP="00234EE9">
      <w:pPr>
        <w:ind w:firstLine="720"/>
        <w:jc w:val="both"/>
        <w:rPr>
          <w:rFonts w:ascii="Simplified Arabic" w:hAnsi="Simplified Arabic" w:cs="Simplified Arabic"/>
          <w:sz w:val="28"/>
          <w:szCs w:val="28"/>
        </w:rPr>
      </w:pPr>
      <w:r w:rsidRPr="00234EE9">
        <w:rPr>
          <w:rFonts w:ascii="Simplified Arabic" w:hAnsi="Simplified Arabic" w:cs="Simplified Arabic"/>
          <w:sz w:val="28"/>
          <w:szCs w:val="28"/>
          <w:rtl/>
        </w:rPr>
        <w:t>تهدف هذه الدراسة إلى تحليل أثر الذكاء الاصطناعي بأبعاده (جمع البيانات ومعالجتها، النماذج التنبؤية، الأتمتة الذكية، أنظمة دعم القرار) على سلسلة القيمة التشغيلية بوصفها متغيرًا تابعًا أحادي المحور في المؤسسات الحكومية الكبرى في المملكة العربية السعودية</w:t>
      </w:r>
      <w:r>
        <w:rPr>
          <w:rFonts w:ascii="Simplified Arabic" w:hAnsi="Simplified Arabic" w:cs="Simplified Arabic" w:hint="cs"/>
          <w:sz w:val="28"/>
          <w:szCs w:val="28"/>
          <w:rtl/>
        </w:rPr>
        <w:t>،</w:t>
      </w:r>
      <w:r w:rsidRPr="00234EE9">
        <w:rPr>
          <w:rFonts w:ascii="Simplified Arabic" w:hAnsi="Simplified Arabic" w:cs="Simplified Arabic"/>
          <w:sz w:val="28"/>
          <w:szCs w:val="28"/>
        </w:rPr>
        <w:t xml:space="preserve"> </w:t>
      </w:r>
      <w:r w:rsidRPr="00234EE9">
        <w:rPr>
          <w:rFonts w:ascii="Simplified Arabic" w:hAnsi="Simplified Arabic" w:cs="Simplified Arabic"/>
          <w:sz w:val="28"/>
          <w:szCs w:val="28"/>
          <w:rtl/>
        </w:rPr>
        <w:t>وتسعى الدراسة إلى الكشف عن مدى قدرة تطبيقات الذكاء الاصطناعي على إحداث تحسينات جوهرية في كفاءة تدفق العمليات، وجودة المخرجات، وسرعة تقديم الخدمات الحكومية</w:t>
      </w:r>
      <w:r w:rsidR="00C01A90" w:rsidRPr="005D0A6D">
        <w:rPr>
          <w:rFonts w:ascii="Simplified Arabic" w:hAnsi="Simplified Arabic" w:cs="Simplified Arabic"/>
          <w:sz w:val="28"/>
          <w:szCs w:val="28"/>
        </w:rPr>
        <w:t>.</w:t>
      </w: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عدة </w:t>
      </w:r>
      <w:r w:rsidR="00C01A90" w:rsidRPr="00C01A90">
        <w:rPr>
          <w:rFonts w:ascii="Simplified Arabic" w:hAnsi="Simplified Arabic" w:cs="Simplified Arabic"/>
          <w:b/>
          <w:bCs/>
          <w:sz w:val="28"/>
          <w:szCs w:val="28"/>
          <w:rtl/>
        </w:rPr>
        <w:t xml:space="preserve">أهداف </w:t>
      </w:r>
      <w:proofErr w:type="gramStart"/>
      <w:r w:rsidR="00C01A90" w:rsidRPr="00C01A90">
        <w:rPr>
          <w:rFonts w:ascii="Simplified Arabic" w:hAnsi="Simplified Arabic" w:cs="Simplified Arabic"/>
          <w:b/>
          <w:bCs/>
          <w:sz w:val="28"/>
          <w:szCs w:val="28"/>
          <w:rtl/>
        </w:rPr>
        <w:t xml:space="preserve">فرعية </w:t>
      </w:r>
      <w:r>
        <w:rPr>
          <w:rFonts w:ascii="Simplified Arabic" w:hAnsi="Simplified Arabic" w:cs="Simplified Arabic" w:hint="cs"/>
          <w:b/>
          <w:bCs/>
          <w:sz w:val="28"/>
          <w:szCs w:val="28"/>
          <w:rtl/>
        </w:rPr>
        <w:t>:</w:t>
      </w:r>
      <w:proofErr w:type="gramEnd"/>
    </w:p>
    <w:p w14:paraId="13769847"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lastRenderedPageBreak/>
        <w:t>تحديد مستوى تبنّي وتوظيف تقنيات الذكاء الاصطناعي بأبعادها (جمع البيانات الذكي، النماذج التنبؤية، الأتمتة التشغيلية، ودعم اتخاذ القرار) داخل المراحل المختلفة لسلسلة القيمة التشغيلية في المؤسسات الحكومية الكبرى، وقياس مدى نضجها الرقمي.</w:t>
      </w:r>
    </w:p>
    <w:p w14:paraId="29D0C4B8"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تحليل آليات تحسين سلسلة القيمة التشغيلية من خلال تطبيق تقنيات الذكاء الاصطناعي، وذلك عبر دراسة تأثيره في كفاءة تدفق العمليات، ودقة إنجاز المهام، وفاعلية التنسيق بين وحدات العمل المختلفة داخل المؤسسة الحكومية.</w:t>
      </w:r>
    </w:p>
    <w:p w14:paraId="29B8B40B"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اختبار العلاقة الجوهرية بين أبعاد الذكاء الاصطناعي والتحسن المحقق في سلسلة القيمة التشغيلية، مع قياس قوة تأثير كل بُعد في رفع كفاءة الأداء التشغيلي في الجهات الحكومية.</w:t>
      </w:r>
    </w:p>
    <w:p w14:paraId="7D23C93A" w14:textId="77777777" w:rsidR="00234EE9" w:rsidRPr="00234EE9" w:rsidRDefault="00234EE9">
      <w:pPr>
        <w:numPr>
          <w:ilvl w:val="0"/>
          <w:numId w:val="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استقصاء إسهام الذكاء الاصطناعي في بناء منظومات تشغيلية استباقية قادرة على التنبؤ بالاختناقات التشغيلية قبل حدوثها، وتقليل زمن الإنجاز، وتعزيز مرونة الاستجابة التشغيلية في الخدمات الحكومية.</w:t>
      </w:r>
    </w:p>
    <w:p w14:paraId="51EB42D7" w14:textId="0012D7E3" w:rsidR="00C01A90" w:rsidRPr="000508AF" w:rsidRDefault="00234EE9">
      <w:pPr>
        <w:numPr>
          <w:ilvl w:val="0"/>
          <w:numId w:val="6"/>
        </w:numPr>
        <w:jc w:val="both"/>
        <w:rPr>
          <w:rFonts w:ascii="Simplified Arabic" w:hAnsi="Simplified Arabic" w:cs="Simplified Arabic"/>
          <w:sz w:val="28"/>
          <w:szCs w:val="28"/>
        </w:rPr>
      </w:pPr>
      <w:r w:rsidRPr="00234EE9">
        <w:rPr>
          <w:rFonts w:ascii="Simplified Arabic" w:hAnsi="Simplified Arabic" w:cs="Simplified Arabic"/>
          <w:sz w:val="28"/>
          <w:szCs w:val="28"/>
          <w:rtl/>
        </w:rPr>
        <w:t>صياغة مجموعة من التوصيات العلمية والممارسات العملية التي تعزز تكامل الذكاء الاصطناعي داخل استراتيجيات التطوير التشغيلي في القطاع الحكومي السعودي، سواء على المستوى المؤسسي أو الوطني، بما يسهم في رفع جودة الخدمات الحكومية وتحسين قيمة المخرجات.</w:t>
      </w:r>
      <w:r w:rsidR="00C01A90"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2E50028" w:rsidR="008019E7" w:rsidRPr="000508AF" w:rsidRDefault="00F41775" w:rsidP="00234EE9">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234EE9" w:rsidRPr="00234EE9">
        <w:rPr>
          <w:rFonts w:ascii="Simplified Arabic" w:eastAsia="Times New Roman" w:hAnsi="Simplified Arabic" w:cs="Simplified Arabic"/>
          <w:color w:val="auto"/>
          <w:kern w:val="0"/>
          <w:rtl/>
          <w14:ligatures w14:val="none"/>
        </w:rPr>
        <w:t>لا يوجد أثر ذو دلالة إحصائية لتقنيات الذكاء الاصطناعي بأبعادها (جمع البيانات ومعالجتها، النماذج التنبؤية، الأتمتة الذكية، أنظمة دعم القرار) على سلسلة القيمة التشغيلية في المؤسسات الحكومية الكبرى في المملكة العربية السعودية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sz w:val="28"/>
          <w:szCs w:val="28"/>
          <w:rtl/>
        </w:rPr>
        <w:t xml:space="preserve">وتتفرع منه عدة فرضيات </w:t>
      </w:r>
      <w:proofErr w:type="gramStart"/>
      <w:r w:rsidRPr="00332430">
        <w:rPr>
          <w:rFonts w:ascii="Simplified Arabic" w:hAnsi="Simplified Arabic" w:cs="Simplified Arabic" w:hint="cs"/>
          <w:sz w:val="28"/>
          <w:szCs w:val="28"/>
          <w:rtl/>
        </w:rPr>
        <w:t>فرعية :</w:t>
      </w:r>
      <w:proofErr w:type="gramEnd"/>
    </w:p>
    <w:p w14:paraId="1AC07927" w14:textId="77B9536B"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lastRenderedPageBreak/>
        <w:t>H1.1</w:t>
      </w:r>
      <w:r w:rsidRPr="00332430">
        <w:rPr>
          <w:rFonts w:ascii="Simplified Arabic" w:hAnsi="Simplified Arabic" w:cs="Simplified Arabic" w:hint="cs"/>
          <w:b/>
          <w:b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w:t>
      </w:r>
      <w:r w:rsidR="00234EE9" w:rsidRPr="00332430">
        <w:rPr>
          <w:rFonts w:ascii="Simplified Arabic" w:hAnsi="Simplified Arabic" w:cs="Simplified Arabic" w:hint="cs"/>
          <w:i/>
          <w:iCs/>
          <w:sz w:val="28"/>
          <w:szCs w:val="28"/>
          <w:rtl/>
        </w:rPr>
        <w:t>جمع البيانات ومعالجتها</w:t>
      </w:r>
      <w:r w:rsidR="00234EE9" w:rsidRPr="00332430">
        <w:rPr>
          <w:rFonts w:ascii="Simplified Arabic" w:hAnsi="Simplified Arabic" w:cs="Simplified Arabic" w:hint="cs"/>
          <w:sz w:val="28"/>
          <w:szCs w:val="28"/>
          <w:rtl/>
        </w:rPr>
        <w:t xml:space="preserve"> على سلسلة القيمة التشغيلية في المؤسسات الحكومية الكبرى</w:t>
      </w:r>
      <w:r w:rsidRPr="00332430">
        <w:rPr>
          <w:rFonts w:ascii="Simplified Arabic" w:hAnsi="Simplified Arabic" w:cs="Simplified Arabic" w:hint="cs"/>
          <w:sz w:val="28"/>
          <w:szCs w:val="28"/>
          <w:rtl/>
        </w:rPr>
        <w:t>.</w:t>
      </w:r>
    </w:p>
    <w:p w14:paraId="64F486DC" w14:textId="1932B99C"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t>H1.2</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النماذج التنبؤية على سلسلة القيمة التشغيلية في المؤسسات الحكومية </w:t>
      </w:r>
      <w:proofErr w:type="gramStart"/>
      <w:r w:rsidR="00234EE9" w:rsidRPr="00332430">
        <w:rPr>
          <w:rFonts w:ascii="Simplified Arabic" w:hAnsi="Simplified Arabic" w:cs="Simplified Arabic" w:hint="cs"/>
          <w:sz w:val="28"/>
          <w:szCs w:val="28"/>
          <w:rtl/>
        </w:rPr>
        <w:t>الكبرى</w:t>
      </w:r>
      <w:r w:rsidR="00234EE9" w:rsidRPr="00332430">
        <w:rPr>
          <w:rFonts w:ascii="Simplified Arabic" w:hAnsi="Simplified Arabic" w:cs="Simplified Arabic" w:hint="cs"/>
          <w:sz w:val="28"/>
          <w:szCs w:val="28"/>
        </w:rPr>
        <w:t>.</w:t>
      </w:r>
      <w:r w:rsidR="00C01A90" w:rsidRPr="00332430">
        <w:rPr>
          <w:rFonts w:ascii="Simplified Arabic" w:hAnsi="Simplified Arabic" w:cs="Simplified Arabic" w:hint="cs"/>
          <w:sz w:val="28"/>
          <w:szCs w:val="28"/>
        </w:rPr>
        <w:t>.</w:t>
      </w:r>
      <w:proofErr w:type="gramEnd"/>
    </w:p>
    <w:p w14:paraId="11B6B45A" w14:textId="290247A5" w:rsidR="008019E7" w:rsidRPr="00332430" w:rsidRDefault="008019E7" w:rsidP="00332430">
      <w:pPr>
        <w:jc w:val="both"/>
        <w:rPr>
          <w:rFonts w:ascii="Simplified Arabic" w:hAnsi="Simplified Arabic" w:cs="Simplified Arabic"/>
          <w:sz w:val="28"/>
          <w:szCs w:val="28"/>
          <w:rtl/>
        </w:rPr>
      </w:pPr>
      <w:r w:rsidRPr="00332430">
        <w:rPr>
          <w:rFonts w:ascii="Simplified Arabic" w:hAnsi="Simplified Arabic" w:cs="Simplified Arabic" w:hint="cs"/>
          <w:b/>
          <w:bCs/>
          <w:sz w:val="28"/>
          <w:szCs w:val="28"/>
        </w:rPr>
        <w:t>H1.3</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proofErr w:type="spellStart"/>
      <w:r w:rsidR="00234EE9" w:rsidRPr="00332430">
        <w:rPr>
          <w:rFonts w:ascii="Simplified Arabic" w:hAnsi="Simplified Arabic" w:cs="Simplified Arabic" w:hint="cs"/>
          <w:sz w:val="28"/>
          <w:szCs w:val="28"/>
          <w:rtl/>
        </w:rPr>
        <w:t>لايوجد</w:t>
      </w:r>
      <w:proofErr w:type="spellEnd"/>
      <w:r w:rsidR="00234EE9" w:rsidRPr="00332430">
        <w:rPr>
          <w:rFonts w:ascii="Simplified Arabic" w:hAnsi="Simplified Arabic" w:cs="Simplified Arabic" w:hint="cs"/>
          <w:sz w:val="28"/>
          <w:szCs w:val="28"/>
          <w:rtl/>
        </w:rPr>
        <w:t xml:space="preserve"> أثر ذو دلالة إحصائية لبعد الأتمتة الذكية على سلسلة القيمة التشغيلية في المؤسسات الحكومية الكبرى</w:t>
      </w:r>
      <w:r w:rsidR="00C01A90" w:rsidRPr="00332430">
        <w:rPr>
          <w:rFonts w:ascii="Simplified Arabic" w:hAnsi="Simplified Arabic" w:cs="Simplified Arabic" w:hint="cs"/>
          <w:sz w:val="28"/>
          <w:szCs w:val="28"/>
          <w:rtl/>
        </w:rPr>
        <w:t>.</w:t>
      </w:r>
    </w:p>
    <w:p w14:paraId="1EB7AAB9" w14:textId="18177FBE" w:rsidR="00C01A90" w:rsidRPr="00332430" w:rsidRDefault="00C01A90" w:rsidP="00332430">
      <w:pPr>
        <w:jc w:val="both"/>
        <w:rPr>
          <w:rFonts w:ascii="Simplified Arabic" w:hAnsi="Simplified Arabic" w:cs="Simplified Arabic"/>
          <w:sz w:val="28"/>
          <w:szCs w:val="28"/>
          <w:rtl/>
        </w:rPr>
      </w:pPr>
      <w:proofErr w:type="gramStart"/>
      <w:r w:rsidRPr="00332430">
        <w:rPr>
          <w:rFonts w:ascii="Simplified Arabic" w:hAnsi="Simplified Arabic" w:cs="Simplified Arabic" w:hint="cs"/>
          <w:b/>
          <w:bCs/>
          <w:sz w:val="28"/>
          <w:szCs w:val="28"/>
        </w:rPr>
        <w:t>H1.4</w:t>
      </w:r>
      <w:r w:rsidRPr="00332430">
        <w:rPr>
          <w:rFonts w:ascii="Simplified Arabic" w:hAnsi="Simplified Arabic" w:cs="Simplified Arabic" w:hint="cs"/>
          <w:b/>
          <w:bCs/>
          <w:sz w:val="28"/>
          <w:szCs w:val="28"/>
          <w:rtl/>
        </w:rPr>
        <w:t>:</w:t>
      </w:r>
      <w:r w:rsidR="00234EE9" w:rsidRPr="00332430">
        <w:rPr>
          <w:rFonts w:ascii="Simplified Arabic" w:hAnsi="Simplified Arabic" w:cs="Simplified Arabic" w:hint="cs"/>
          <w:sz w:val="28"/>
          <w:szCs w:val="28"/>
          <w:rtl/>
        </w:rPr>
        <w:t>لا</w:t>
      </w:r>
      <w:proofErr w:type="gramEnd"/>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يوجد أثر ذو دلالة إحصائية لبعد أنظمة دعم القرار على سلسلة القيمة التشغيلية في المؤسسات الحكومية الكبرى.</w:t>
      </w:r>
    </w:p>
    <w:p w14:paraId="2C68E846" w14:textId="20111788" w:rsidR="002B5492" w:rsidRPr="002B5492" w:rsidRDefault="002B5492" w:rsidP="00D439AC">
      <w:pPr>
        <w:pStyle w:val="1"/>
        <w:rPr>
          <w:color w:val="EE0000"/>
          <w:rtl/>
        </w:rPr>
      </w:pPr>
      <w:bookmarkStart w:id="5" w:name="_Toc202053520"/>
      <w:r w:rsidRPr="002B5492">
        <w:rPr>
          <w:rFonts w:hint="cs"/>
          <w:color w:val="EE0000"/>
          <w:rtl/>
        </w:rPr>
        <w:t xml:space="preserve">النظرية المستخدمة في الدراسة </w:t>
      </w:r>
    </w:p>
    <w:p w14:paraId="455A50DE" w14:textId="77777777" w:rsidR="002B5492" w:rsidRPr="002B5492" w:rsidRDefault="002B5492" w:rsidP="002B5492">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 xml:space="preserve">ترتكز هذه الدراسة على أساس نظري متكامل وصريح يجمع بين ثلاث مقاربات نظرية رئيسية تُمكّن من تفسير أثر تقنيات الذكاء الاصطناعي في سلسلة القيمة التشغيلية داخل المؤسسات الحكومية الكبرى في المملكة العربية السعودية. </w:t>
      </w:r>
    </w:p>
    <w:p w14:paraId="3D62247D" w14:textId="0E05B0CD"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أولاً، تُوظَّف النظرية القائمة على الموارد</w:t>
      </w:r>
      <w:r w:rsidRPr="002B5492">
        <w:rPr>
          <w:rFonts w:ascii="Simplified Arabic" w:hAnsi="Simplified Arabic" w:cs="Simplified Arabic"/>
          <w:b/>
          <w:bCs/>
          <w:color w:val="EE0000"/>
          <w:sz w:val="28"/>
          <w:szCs w:val="28"/>
        </w:rPr>
        <w:t xml:space="preserve"> (Resource-Based View - RBV)</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لتأطير الذكاء الاصطناعي كمورد استراتيجي يمكن أن يُسهم في تحقيق ميزة تشغيلية مستدامة، من خلال تعظيم كفاءة العمليات وتحسين تخصيص الموارد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ووفقًا لهذه النظرية يُعد الذكاء الاصطناعي موردًا نادرًا وصعب التقليد، يوفر قدرة تكنولوجية وتنظيمية تُسهم في تحسين الأداء المؤسسي، وتدعم التحول من الاعتماد على الكفاءات التقليدية إلى استثمار رأس المال المعرفي والتقني</w:t>
      </w:r>
      <w:r w:rsidRPr="002B5492">
        <w:rPr>
          <w:rFonts w:ascii="Simplified Arabic" w:hAnsi="Simplified Arabic" w:cs="Simplified Arabic"/>
          <w:color w:val="EE0000"/>
          <w:sz w:val="28"/>
          <w:szCs w:val="28"/>
        </w:rPr>
        <w:t>.</w:t>
      </w:r>
    </w:p>
    <w:p w14:paraId="791E9B02" w14:textId="7F1C98DF"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ثانيًا، تستند الدراسة إلى إطار التكنولوجيا والتنظيم والبيئة</w:t>
      </w:r>
      <w:r w:rsidRPr="002B5492">
        <w:rPr>
          <w:rFonts w:ascii="Simplified Arabic" w:hAnsi="Simplified Arabic" w:cs="Simplified Arabic"/>
          <w:b/>
          <w:bCs/>
          <w:color w:val="EE0000"/>
          <w:sz w:val="28"/>
          <w:szCs w:val="28"/>
        </w:rPr>
        <w:t xml:space="preserve"> (Technology-Organization-Environment Framework - TOE)</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بوصفه إطارًا هيكليًا يساعد على تحليل السياقات المتعددة المؤثرة في تبني تقنيات الذكاء الاصطناعي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فالسياق التكنولوجي يشمل الأدوات والتطبيقات الذكية التي تسهم في جمع البيانات وتحليلها والأتمتة ودعم القرار؛ بينما يُعنى السياق التنظيمي بعوامل مثل الجاهزية الرقمية، والثقافة المؤسسية، والهيكل الإداري؛ في حين يتناول السياق البيئي العوامل الخارجية، كاللوائح الحكومية والضغوط العامة ومتطلبات الشفافية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تُعزَّز هذه المقاربة بإطار النظرية </w:t>
      </w:r>
      <w:r w:rsidRPr="002B5492">
        <w:rPr>
          <w:rFonts w:ascii="Simplified Arabic" w:hAnsi="Simplified Arabic" w:cs="Simplified Arabic"/>
          <w:color w:val="EE0000"/>
          <w:sz w:val="28"/>
          <w:szCs w:val="28"/>
          <w:rtl/>
        </w:rPr>
        <w:lastRenderedPageBreak/>
        <w:t>المؤسسية</w:t>
      </w:r>
      <w:r w:rsidRPr="002B5492">
        <w:rPr>
          <w:rFonts w:ascii="Simplified Arabic" w:hAnsi="Simplified Arabic" w:cs="Simplified Arabic"/>
          <w:color w:val="EE0000"/>
          <w:sz w:val="28"/>
          <w:szCs w:val="28"/>
        </w:rPr>
        <w:t xml:space="preserve"> (Institutional Theory) </w:t>
      </w:r>
      <w:r w:rsidRPr="002B5492">
        <w:rPr>
          <w:rFonts w:ascii="Simplified Arabic" w:hAnsi="Simplified Arabic" w:cs="Simplified Arabic"/>
          <w:color w:val="EE0000"/>
          <w:sz w:val="28"/>
          <w:szCs w:val="28"/>
          <w:rtl/>
        </w:rPr>
        <w:t>التي تُفسّر كيفية استجابة المؤسسات الحكومية للضغوط القسرية (كالأنظمة الحكومية)، والتقليدية (كمحاكاة الممارسات المطبقة في مؤسسات مماثلة)، والمعيارية (كمتطلبات الاعتماد المهني والمعايير الإدارية) عند تبنّي تقنيات الذكاء الاصطناعي</w:t>
      </w:r>
      <w:r w:rsidRPr="002B5492">
        <w:rPr>
          <w:rFonts w:ascii="Simplified Arabic" w:hAnsi="Simplified Arabic" w:cs="Simplified Arabic"/>
          <w:color w:val="EE0000"/>
          <w:sz w:val="28"/>
          <w:szCs w:val="28"/>
        </w:rPr>
        <w:t>.</w:t>
      </w:r>
    </w:p>
    <w:p w14:paraId="262DA67F" w14:textId="3253D1B9"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color w:val="EE0000"/>
          <w:sz w:val="28"/>
          <w:szCs w:val="28"/>
          <w:rtl/>
        </w:rPr>
        <w:t>وتتمثل المساهمة النظرية للدراسة في سعيها إلى توسيع تطبيق هذه النظريات ضمن السياق الفريد للقطاع العام السعودي، من خلال بناء نموذج تفسيري يوضح كيف يمكن للذكاء الاصطناعي أن يتحول من مورد تقني إلى أداة استراتيجية لإعادة هيكلة سلسلة القيمة التشغيلية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تسعى الدراسة إلى دمج الرؤى المستمدة من النظريات الثلاث في إطار تكاملي يوضح العلاقات المتبادلة بين الموارد التكنولوجية والعوامل التنظيمية والضغوط البيئية، بما يُسهم في إثراء الأدبيات العلمية حول التحول الرقمي الحكومي، وتطوير فهم أعمق لديناميكيات تبنّي الذكاء الاصطناعي في البيئات العامة ذات الخصوصية التنظيمية والتشريعية</w:t>
      </w:r>
      <w:r w:rsidRPr="002B5492">
        <w:rPr>
          <w:rFonts w:ascii="Simplified Arabic" w:hAnsi="Simplified Arabic" w:cs="Simplified Arabic"/>
          <w:color w:val="EE0000"/>
          <w:sz w:val="28"/>
          <w:szCs w:val="28"/>
        </w:rPr>
        <w:t>.</w:t>
      </w:r>
    </w:p>
    <w:p w14:paraId="5C939E67" w14:textId="1C3EB315" w:rsidR="00D42274" w:rsidRPr="00B04F4C" w:rsidRDefault="00D42274" w:rsidP="00D439AC">
      <w:pPr>
        <w:pStyle w:val="1"/>
        <w:rPr>
          <w:rtl/>
        </w:rPr>
      </w:pPr>
      <w:r w:rsidRPr="00B04F4C">
        <w:rPr>
          <w:rtl/>
        </w:rPr>
        <w:t>نموذج الدراسة:</w:t>
      </w:r>
      <w:bookmarkEnd w:id="5"/>
    </w:p>
    <w:p w14:paraId="185A3C9C"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يهدف هذا النموذج إلى تحليل أثر تقنيات الذكاء الاصطناعي بأبعادها المختلفة في تحسين سلسلة القيمة التشغيلية داخل المؤسسات الحكومية الكبرى في المملكة العربية السعودية، وذلك بهدف بناء إطار علمي يوضح طبيعة التأثير المباشر للتقنيات الذكية في تعزيز كفاءة وفعالية الأنشطة التشغيلية، ودعم التحول الرقمي المؤسسي، ورفع مستوى الأداء الحكومي بما يتوافق مع توجهات رؤية المملكة 2030</w:t>
      </w:r>
      <w:r w:rsidRPr="00F178E3">
        <w:rPr>
          <w:rFonts w:ascii="Simplified Arabic" w:hAnsi="Simplified Arabic" w:cs="Simplified Arabic"/>
          <w:sz w:val="28"/>
          <w:szCs w:val="28"/>
        </w:rPr>
        <w:t>.</w:t>
      </w:r>
    </w:p>
    <w:p w14:paraId="58D3E684"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ويعكس النموذج العلاقة بين المتغيرات الأساسية للدراسة على النحو الآتي</w:t>
      </w:r>
      <w:r w:rsidRPr="00F178E3">
        <w:rPr>
          <w:rFonts w:ascii="Simplified Arabic" w:hAnsi="Simplified Arabic" w:cs="Simplified Arabic"/>
          <w:sz w:val="28"/>
          <w:szCs w:val="28"/>
        </w:rPr>
        <w:t>:</w:t>
      </w:r>
    </w:p>
    <w:p w14:paraId="6AB97E56" w14:textId="6EA2BEE1" w:rsidR="00C01A90" w:rsidRPr="00C01A90" w:rsidRDefault="00C01A90" w:rsidP="00C01A90">
      <w:pPr>
        <w:jc w:val="both"/>
        <w:rPr>
          <w:rFonts w:ascii="Simplified Arabic" w:hAnsi="Simplified Arabic" w:cs="Simplified Arabic"/>
          <w:b/>
          <w:bCs/>
          <w:sz w:val="28"/>
          <w:szCs w:val="28"/>
        </w:rPr>
      </w:pPr>
      <w:r w:rsidRPr="00C01A90">
        <w:rPr>
          <w:rFonts w:ascii="Simplified Arabic" w:hAnsi="Simplified Arabic" w:cs="Simplified Arabic"/>
          <w:b/>
          <w:bCs/>
          <w:sz w:val="28"/>
          <w:szCs w:val="28"/>
          <w:rtl/>
        </w:rPr>
        <w:t>المتغير المستقل</w:t>
      </w:r>
      <w:r w:rsidRPr="00C01A90">
        <w:rPr>
          <w:rFonts w:ascii="Simplified Arabic" w:hAnsi="Simplified Arabic" w:cs="Simplified Arabic"/>
          <w:b/>
          <w:bCs/>
          <w:sz w:val="28"/>
          <w:szCs w:val="28"/>
        </w:rPr>
        <w:t>:</w:t>
      </w:r>
    </w:p>
    <w:p w14:paraId="2F81A66A" w14:textId="03F59DB7" w:rsidR="00C01A90" w:rsidRPr="00C01A90" w:rsidRDefault="00F178E3" w:rsidP="00F178E3">
      <w:pPr>
        <w:rPr>
          <w:rFonts w:ascii="Simplified Arabic" w:hAnsi="Simplified Arabic" w:cs="Simplified Arabic"/>
          <w:sz w:val="28"/>
          <w:szCs w:val="28"/>
        </w:rPr>
      </w:pPr>
      <w:r w:rsidRPr="00F178E3">
        <w:rPr>
          <w:rFonts w:ascii="Simplified Arabic" w:hAnsi="Simplified Arabic" w:cs="Simplified Arabic"/>
          <w:b/>
          <w:bCs/>
          <w:sz w:val="28"/>
          <w:szCs w:val="28"/>
          <w:rtl/>
        </w:rPr>
        <w:t>تقنيات الذكاء الاصطناعي بأبعادها</w:t>
      </w:r>
      <w:r>
        <w:rPr>
          <w:rFonts w:ascii="Simplified Arabic" w:hAnsi="Simplified Arabic" w:cs="Simplified Arabic" w:hint="cs"/>
          <w:b/>
          <w:bCs/>
          <w:sz w:val="28"/>
          <w:szCs w:val="28"/>
          <w:rtl/>
        </w:rPr>
        <w:t xml:space="preserve"> </w:t>
      </w:r>
      <w:r w:rsidRPr="00F178E3">
        <w:rPr>
          <w:rFonts w:ascii="Simplified Arabic" w:hAnsi="Simplified Arabic" w:cs="Simplified Arabic"/>
          <w:b/>
          <w:bCs/>
          <w:sz w:val="28"/>
          <w:szCs w:val="28"/>
          <w:rtl/>
        </w:rPr>
        <w:t>(جمع البيانات ومعالجتها – النماذج التنبؤية – الأتمتة الذكية – أنظمة دعم القرار)</w:t>
      </w:r>
      <w:r>
        <w:rPr>
          <w:rFonts w:ascii="Simplified Arabic" w:hAnsi="Simplified Arabic" w:cs="Simplified Arabic" w:hint="cs"/>
          <w:sz w:val="28"/>
          <w:szCs w:val="28"/>
          <w:rtl/>
        </w:rPr>
        <w:t xml:space="preserve"> </w:t>
      </w:r>
      <w:r w:rsidR="00C01A90" w:rsidRPr="00C01A90">
        <w:rPr>
          <w:rFonts w:ascii="Simplified Arabic" w:hAnsi="Simplified Arabic" w:cs="Simplified Arabic"/>
          <w:sz w:val="28"/>
          <w:szCs w:val="28"/>
          <w:rtl/>
        </w:rPr>
        <w:t>بالاعتماد على دراسات</w:t>
      </w:r>
      <w:r w:rsidRPr="00F178E3">
        <w:t xml:space="preserve"> </w:t>
      </w:r>
      <w:r w:rsidRPr="00F178E3">
        <w:rPr>
          <w:rFonts w:ascii="Simplified Arabic" w:hAnsi="Simplified Arabic" w:cs="Simplified Arabic"/>
          <w:sz w:val="28"/>
          <w:szCs w:val="28"/>
        </w:rPr>
        <w:t>(Yusuf et al., 2025) (</w:t>
      </w:r>
      <w:proofErr w:type="spellStart"/>
      <w:r w:rsidRPr="00F178E3">
        <w:rPr>
          <w:rFonts w:ascii="Simplified Arabic" w:hAnsi="Simplified Arabic" w:cs="Simplified Arabic"/>
          <w:sz w:val="28"/>
          <w:szCs w:val="28"/>
        </w:rPr>
        <w:t>Nathany</w:t>
      </w:r>
      <w:proofErr w:type="spellEnd"/>
      <w:r w:rsidRPr="00F178E3">
        <w:rPr>
          <w:rFonts w:ascii="Simplified Arabic" w:hAnsi="Simplified Arabic" w:cs="Simplified Arabic"/>
          <w:sz w:val="28"/>
          <w:szCs w:val="28"/>
        </w:rPr>
        <w:t xml:space="preserve">, 2022) (Thenmozhi &amp; </w:t>
      </w:r>
      <w:proofErr w:type="spellStart"/>
      <w:r w:rsidRPr="00F178E3">
        <w:rPr>
          <w:rFonts w:ascii="Simplified Arabic" w:hAnsi="Simplified Arabic" w:cs="Simplified Arabic"/>
          <w:sz w:val="28"/>
          <w:szCs w:val="28"/>
        </w:rPr>
        <w:t>Krisknakumari</w:t>
      </w:r>
      <w:proofErr w:type="spellEnd"/>
      <w:r w:rsidRPr="00F178E3">
        <w:rPr>
          <w:rFonts w:ascii="Simplified Arabic" w:hAnsi="Simplified Arabic" w:cs="Simplified Arabic"/>
          <w:sz w:val="28"/>
          <w:szCs w:val="28"/>
        </w:rPr>
        <w:t>, 2024) (Faisal, 2025) (</w:t>
      </w:r>
      <w:proofErr w:type="spellStart"/>
      <w:r w:rsidRPr="00F178E3">
        <w:rPr>
          <w:rFonts w:ascii="Simplified Arabic" w:hAnsi="Simplified Arabic" w:cs="Simplified Arabic"/>
          <w:sz w:val="28"/>
          <w:szCs w:val="28"/>
        </w:rPr>
        <w:t>Pokamestov</w:t>
      </w:r>
      <w:proofErr w:type="spellEnd"/>
      <w:r w:rsidRPr="00F178E3">
        <w:rPr>
          <w:rFonts w:ascii="Simplified Arabic" w:hAnsi="Simplified Arabic" w:cs="Simplified Arabic"/>
          <w:sz w:val="28"/>
          <w:szCs w:val="28"/>
        </w:rPr>
        <w:t xml:space="preserve"> &amp; Nikitin, 2024)</w:t>
      </w:r>
    </w:p>
    <w:p w14:paraId="2ED2F78E" w14:textId="74FC2595" w:rsidR="00C01A90" w:rsidRPr="00C01A90" w:rsidRDefault="00C01A90" w:rsidP="00F178E3">
      <w:pPr>
        <w:jc w:val="both"/>
        <w:rPr>
          <w:rFonts w:ascii="Simplified Arabic" w:hAnsi="Simplified Arabic" w:cs="Simplified Arabic"/>
          <w:sz w:val="28"/>
          <w:szCs w:val="28"/>
          <w:rtl/>
        </w:rPr>
      </w:pPr>
      <w:r w:rsidRPr="00C01A90">
        <w:rPr>
          <w:rFonts w:ascii="Simplified Arabic" w:hAnsi="Simplified Arabic" w:cs="Simplified Arabic"/>
          <w:b/>
          <w:bCs/>
          <w:sz w:val="28"/>
          <w:szCs w:val="28"/>
        </w:rPr>
        <w:t xml:space="preserve"> </w:t>
      </w:r>
      <w:r w:rsidRPr="00C01A90">
        <w:rPr>
          <w:rFonts w:ascii="Simplified Arabic" w:hAnsi="Simplified Arabic" w:cs="Simplified Arabic"/>
          <w:b/>
          <w:bCs/>
          <w:sz w:val="28"/>
          <w:szCs w:val="28"/>
          <w:rtl/>
        </w:rPr>
        <w:t>المتغير التابع</w:t>
      </w:r>
      <w:r w:rsidRPr="00C01A90">
        <w:rPr>
          <w:rFonts w:ascii="Simplified Arabic" w:hAnsi="Simplified Arabic" w:cs="Simplified Arabic"/>
          <w:b/>
          <w:bCs/>
          <w:sz w:val="28"/>
          <w:szCs w:val="28"/>
        </w:rPr>
        <w:t>:</w:t>
      </w:r>
      <w:r w:rsidR="00F178E3">
        <w:rPr>
          <w:rFonts w:ascii="Simplified Arabic" w:hAnsi="Simplified Arabic" w:cs="Simplified Arabic" w:hint="cs"/>
          <w:b/>
          <w:bCs/>
          <w:sz w:val="28"/>
          <w:szCs w:val="28"/>
          <w:rtl/>
        </w:rPr>
        <w:t xml:space="preserve"> </w:t>
      </w:r>
      <w:r w:rsidR="00F178E3" w:rsidRPr="00F178E3">
        <w:rPr>
          <w:rFonts w:ascii="Simplified Arabic" w:hAnsi="Simplified Arabic" w:cs="Simplified Arabic"/>
          <w:b/>
          <w:bCs/>
          <w:sz w:val="28"/>
          <w:szCs w:val="28"/>
          <w:rtl/>
        </w:rPr>
        <w:t>سلسلة القيمة التشغيلية في المؤسسات الحكومية الكبرى</w:t>
      </w:r>
      <w:r w:rsidR="00F178E3">
        <w:rPr>
          <w:rFonts w:ascii="Simplified Arabic" w:hAnsi="Simplified Arabic" w:cs="Simplified Arabic" w:hint="cs"/>
          <w:sz w:val="28"/>
          <w:szCs w:val="28"/>
          <w:rtl/>
        </w:rPr>
        <w:t xml:space="preserve"> </w:t>
      </w:r>
      <w:r w:rsidRPr="00C01A90">
        <w:rPr>
          <w:rFonts w:ascii="Simplified Arabic" w:hAnsi="Simplified Arabic" w:cs="Simplified Arabic"/>
          <w:sz w:val="28"/>
          <w:szCs w:val="28"/>
          <w:rtl/>
        </w:rPr>
        <w:t>بالاعتماد على دراسات</w:t>
      </w:r>
      <w:r w:rsidRPr="00C01A90">
        <w:rPr>
          <w:rFonts w:ascii="Simplified Arabic" w:hAnsi="Simplified Arabic" w:cs="Simplified Arabic"/>
          <w:sz w:val="28"/>
          <w:szCs w:val="28"/>
        </w:rPr>
        <w:t xml:space="preserve">: </w:t>
      </w:r>
      <w:r w:rsidR="00F178E3" w:rsidRPr="00F178E3">
        <w:rPr>
          <w:rFonts w:ascii="Simplified Arabic" w:hAnsi="Simplified Arabic" w:cs="Simplified Arabic"/>
          <w:sz w:val="28"/>
          <w:szCs w:val="28"/>
        </w:rPr>
        <w:t xml:space="preserve">(Naas &amp; </w:t>
      </w:r>
      <w:proofErr w:type="spellStart"/>
      <w:r w:rsidR="00F178E3" w:rsidRPr="00F178E3">
        <w:rPr>
          <w:rFonts w:ascii="Simplified Arabic" w:hAnsi="Simplified Arabic" w:cs="Simplified Arabic"/>
          <w:sz w:val="28"/>
          <w:szCs w:val="28"/>
        </w:rPr>
        <w:t>Berass</w:t>
      </w:r>
      <w:proofErr w:type="spellEnd"/>
      <w:r w:rsidR="00F178E3" w:rsidRPr="00F178E3">
        <w:rPr>
          <w:rFonts w:ascii="Simplified Arabic" w:hAnsi="Simplified Arabic" w:cs="Simplified Arabic"/>
          <w:sz w:val="28"/>
          <w:szCs w:val="28"/>
        </w:rPr>
        <w:t>, 2024) (Mboyo et al., 2025) (</w:t>
      </w:r>
      <w:proofErr w:type="spellStart"/>
      <w:r w:rsidR="00F178E3" w:rsidRPr="00F178E3">
        <w:rPr>
          <w:rFonts w:ascii="Simplified Arabic" w:hAnsi="Simplified Arabic" w:cs="Simplified Arabic"/>
          <w:sz w:val="28"/>
          <w:szCs w:val="28"/>
        </w:rPr>
        <w:t>Tyapukhin</w:t>
      </w:r>
      <w:proofErr w:type="spellEnd"/>
      <w:r w:rsidR="00F178E3" w:rsidRPr="00F178E3">
        <w:rPr>
          <w:rFonts w:ascii="Simplified Arabic" w:hAnsi="Simplified Arabic" w:cs="Simplified Arabic"/>
          <w:sz w:val="28"/>
          <w:szCs w:val="28"/>
        </w:rPr>
        <w:t>, 2023) (Ghadir et al., 2024)</w:t>
      </w:r>
    </w:p>
    <w:p w14:paraId="1A15F5B6" w14:textId="0FA56693"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577FF87E"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4F2BCC6C">
                <wp:simplePos x="0" y="0"/>
                <wp:positionH relativeFrom="column">
                  <wp:posOffset>3975735</wp:posOffset>
                </wp:positionH>
                <wp:positionV relativeFrom="paragraph">
                  <wp:posOffset>198120</wp:posOffset>
                </wp:positionV>
                <wp:extent cx="1857375" cy="485775"/>
                <wp:effectExtent l="0" t="0" r="2857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wedgeRectCallout">
                          <a:avLst/>
                        </a:prstGeom>
                        <a:ln/>
                      </wps:spPr>
                      <wps:style>
                        <a:lnRef idx="1">
                          <a:schemeClr val="accent4"/>
                        </a:lnRef>
                        <a:fillRef idx="2">
                          <a:schemeClr val="accent4"/>
                        </a:fillRef>
                        <a:effectRef idx="1">
                          <a:schemeClr val="accent4"/>
                        </a:effectRef>
                        <a:fontRef idx="minor">
                          <a:schemeClr val="dk1"/>
                        </a:fontRef>
                      </wps:style>
                      <wps:txb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A4585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مستطيل 1" o:spid="_x0000_s1026" type="#_x0000_t61"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" adj="6300,24300" fillcolor="#ffd555 [2167]" strokecolor="#ffc000 [3207]" strokeweight=".5pt">
                <v:fill color2="#ffcc31 [2615]" rotate="t" colors="0 #ffdd9c;.5 #ffd78e;1 #ffd479" focus="100%" type="gradient">
                  <o:fill v:ext="view" type="gradientUnscaled"/>
                </v:fill>
                <v:textbo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v:textbox>
              </v:shape>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7207221D">
                <wp:simplePos x="0" y="0"/>
                <wp:positionH relativeFrom="column">
                  <wp:posOffset>51435</wp:posOffset>
                </wp:positionH>
                <wp:positionV relativeFrom="paragraph">
                  <wp:posOffset>198755</wp:posOffset>
                </wp:positionV>
                <wp:extent cx="1838325" cy="485775"/>
                <wp:effectExtent l="0" t="0" r="28575" b="1047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wedgeRoundRectCallout">
                          <a:avLst/>
                        </a:prstGeom>
                        <a:ln/>
                      </wps:spPr>
                      <wps:style>
                        <a:lnRef idx="1">
                          <a:schemeClr val="accent4"/>
                        </a:lnRef>
                        <a:fillRef idx="2">
                          <a:schemeClr val="accent4"/>
                        </a:fillRef>
                        <a:effectRef idx="1">
                          <a:schemeClr val="accent4"/>
                        </a:effectRef>
                        <a:fontRef idx="minor">
                          <a:schemeClr val="dk1"/>
                        </a:fontRef>
                      </wps:style>
                      <wps:txb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1B6F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مستطيل 2" o:spid="_x0000_s1027" type="#_x0000_t62"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" adj="6300,24300" fillcolor="#ffd555 [2167]" strokecolor="#ffc000 [3207]" strokeweight=".5pt">
                <v:fill color2="#ffcc31 [2615]" rotate="t" colors="0 #ffdd9c;.5 #ffd78e;1 #ffd479" focus="100%" type="gradient">
                  <o:fill v:ext="view" type="gradientUnscaled"/>
                </v:fill>
                <v:textbo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v:textbox>
              </v:shape>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6176C2F2"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63E87C14">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L09VA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2641E3B3"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7CFC349F">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0"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OhR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JyFQ&#10;kKx0/fpowzMNfSJn6JJD2jvi/COxwCEgBF70D/BphIae9XjCqNP25zF5sIfVBi1GPXASAPJjTSzD&#10;SHxR8NyviskEwvp4mZQXp3Cxh5rVoUat5ULDRhSxungM9l5sj43V8gXocx6ygoooCrkT9ONl4RNX&#10;AgFTNp9HMyAuQ/ydejJ0u5gB8OfhhVgz7roHlrjXW/4i0zfbnmwD5krP1143PFLBHlfYtnAB0kt7&#10;lwg6sOrhPVrt/0Zmv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B7aOhR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v:textbox>
              </v:roundrect>
            </w:pict>
          </mc:Fallback>
        </mc:AlternateContent>
      </w:r>
    </w:p>
    <w:p w14:paraId="330B7E76" w14:textId="24219AE7" w:rsidR="00E819C0" w:rsidRPr="00E819C0" w:rsidRDefault="0033243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21E21518">
                <wp:simplePos x="0" y="0"/>
                <wp:positionH relativeFrom="column">
                  <wp:posOffset>201930</wp:posOffset>
                </wp:positionH>
                <wp:positionV relativeFrom="paragraph">
                  <wp:posOffset>281940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9pt;margin-top:22.2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64DD83C">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2"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v:textbox>
              </v:roundrect>
            </w:pict>
          </mc:Fallback>
        </mc:AlternateContent>
      </w:r>
    </w:p>
    <w:p w14:paraId="5AFF4257" w14:textId="6AF80FD6"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49846A1F">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3"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ZLaN49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v:textbox>
              </v:roundrect>
            </w:pict>
          </mc:Fallback>
        </mc:AlternateContent>
      </w:r>
    </w:p>
    <w:p w14:paraId="0DA0FCC5" w14:textId="2A80122A" w:rsidR="00E819C0" w:rsidRPr="00E819C0" w:rsidRDefault="00E819C0" w:rsidP="00E819C0">
      <w:pPr>
        <w:spacing w:line="276" w:lineRule="auto"/>
        <w:jc w:val="both"/>
        <w:rPr>
          <w:rFonts w:ascii="Traditional Arabic" w:eastAsia="Calibri" w:hAnsi="Traditional Arabic" w:cs="Simplified Arabic"/>
          <w:sz w:val="28"/>
          <w:szCs w:val="28"/>
        </w:rPr>
      </w:pPr>
    </w:p>
    <w:p w14:paraId="740DBA06" w14:textId="18E42F91"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050190D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4"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XNB2gIAAI4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proofErr w:type="gramStart"/>
      <w:r w:rsidRPr="00E819C0">
        <w:rPr>
          <w:rFonts w:ascii="Traditional Arabic" w:eastAsia="Calibri" w:hAnsi="Traditional Arabic" w:cs="Simplified Arabic" w:hint="cs"/>
          <w:sz w:val="28"/>
          <w:szCs w:val="28"/>
          <w:rtl/>
        </w:rPr>
        <w:t>المصدر :</w:t>
      </w:r>
      <w:proofErr w:type="gramEnd"/>
      <w:r w:rsidRPr="00E819C0">
        <w:rPr>
          <w:rFonts w:ascii="Traditional Arabic" w:eastAsia="Calibri" w:hAnsi="Traditional Arabic" w:cs="Simplified Arabic" w:hint="cs"/>
          <w:sz w:val="28"/>
          <w:szCs w:val="28"/>
          <w:rtl/>
        </w:rPr>
        <w:t xml:space="preserve">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0BBD4080" w:rsidR="00D23D27" w:rsidRPr="00D23D27" w:rsidRDefault="00D23D27" w:rsidP="00F178E3">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تقنيات الذكاء الاصطناعي</w:t>
      </w:r>
    </w:p>
    <w:p w14:paraId="7B4E027C" w14:textId="566E7624" w:rsidR="00D23D27" w:rsidRPr="000508AF" w:rsidRDefault="00D23D27" w:rsidP="00F178E3">
      <w:pPr>
        <w:rPr>
          <w:rFonts w:ascii="Simplified Arabic" w:hAnsi="Simplified Arabic" w:cs="Simplified Arabic"/>
          <w:sz w:val="28"/>
          <w:szCs w:val="28"/>
          <w:lang w:bidi="ar-EG"/>
        </w:rPr>
      </w:pPr>
      <w:r w:rsidRPr="00332430">
        <w:rPr>
          <w:rFonts w:ascii="Simplified Arabic" w:hAnsi="Simplified Arabic" w:cs="Simplified Arabic"/>
          <w:b/>
          <w:bCs/>
          <w:sz w:val="28"/>
          <w:szCs w:val="28"/>
          <w:rtl/>
        </w:rPr>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tl/>
        </w:rPr>
        <w:t xml:space="preserve">عرّفها </w:t>
      </w:r>
      <w:r w:rsidR="00F178E3" w:rsidRPr="00F178E3">
        <w:rPr>
          <w:rFonts w:ascii="Simplified Arabic" w:hAnsi="Simplified Arabic" w:cs="Simplified Arabic"/>
          <w:sz w:val="28"/>
          <w:szCs w:val="28"/>
        </w:rPr>
        <w:t xml:space="preserve">Yusuf et al. (2025) </w:t>
      </w:r>
      <w:r w:rsidR="00F178E3" w:rsidRPr="00F178E3">
        <w:rPr>
          <w:rFonts w:ascii="Simplified Arabic" w:hAnsi="Simplified Arabic" w:cs="Simplified Arabic"/>
          <w:sz w:val="28"/>
          <w:szCs w:val="28"/>
          <w:rtl/>
        </w:rPr>
        <w:t>بأنها</w:t>
      </w:r>
      <w:r w:rsidR="00F178E3" w:rsidRPr="00F178E3">
        <w:rPr>
          <w:rFonts w:ascii="Simplified Arabic" w:hAnsi="Simplified Arabic" w:cs="Simplified Arabic"/>
          <w:sz w:val="28"/>
          <w:szCs w:val="28"/>
        </w:rPr>
        <w:t>:</w:t>
      </w:r>
      <w:r w:rsidR="00F178E3" w:rsidRPr="00F178E3">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Pr>
        <w:t>"</w:t>
      </w:r>
      <w:r w:rsidR="00F178E3" w:rsidRPr="00F178E3">
        <w:rPr>
          <w:rFonts w:ascii="Simplified Arabic" w:hAnsi="Simplified Arabic" w:cs="Simplified Arabic"/>
          <w:sz w:val="28"/>
          <w:szCs w:val="28"/>
          <w:rtl/>
        </w:rPr>
        <w:t>مجموعة من التقنيات الرقمية التي توفّر قدرات تحليلية وتنبؤية وتشغيلية متقدمة، بما يمكّن سلاسل القيمة من تحقيق دقة أعلى، واستجابة أسرع، وشفافية أكبر عبر مختلف مراحلها</w:t>
      </w:r>
      <w:r w:rsidR="00F178E3" w:rsidRPr="00F178E3">
        <w:rPr>
          <w:rFonts w:ascii="Simplified Arabic" w:hAnsi="Simplified Arabic" w:cs="Simplified Arabic"/>
          <w:b/>
          <w:bCs/>
          <w:sz w:val="28"/>
          <w:szCs w:val="28"/>
        </w:rPr>
        <w:t>."</w:t>
      </w:r>
    </w:p>
    <w:p w14:paraId="7AC23D30" w14:textId="5623E784"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يُقصد بالذكاء الاصطناعي في هذه الدراسة حزمة من التقنيات الذكية المطبقة داخل المؤسسات الحكومية الكبرى في المملكة العربية السعودية، وتشمل: جمع البيانات ومعالجتها، النماذج التنبؤية، الأتمتة الذكية، وأنظمة دعم القرار، وسيتم قياسها من خلال مجموعة فقرات ضمن الاستبانة تقيس مستوى تبنّي هذه التقنيات ومدى تأثيرها على سلسلة القيمة التشغيلية</w:t>
      </w:r>
      <w:r w:rsidRPr="000508AF">
        <w:rPr>
          <w:rFonts w:ascii="Simplified Arabic" w:hAnsi="Simplified Arabic" w:cs="Simplified Arabic"/>
          <w:sz w:val="28"/>
          <w:szCs w:val="28"/>
          <w:lang w:bidi="ar-EG"/>
        </w:rPr>
        <w:t>.</w:t>
      </w:r>
    </w:p>
    <w:p w14:paraId="5D0E8967" w14:textId="77777777" w:rsidR="00F178E3" w:rsidRDefault="00D23D27" w:rsidP="00F178E3">
      <w:pPr>
        <w:jc w:val="both"/>
        <w:rPr>
          <w:rFonts w:ascii="Simplified Arabic" w:hAnsi="Simplified Arabic" w:cs="Simplified Arabic"/>
          <w:b/>
          <w:bCs/>
          <w:sz w:val="28"/>
          <w:szCs w:val="28"/>
        </w:rPr>
      </w:pPr>
      <w:r w:rsidRPr="00D23D27">
        <w:rPr>
          <w:rFonts w:ascii="Simplified Arabic" w:hAnsi="Simplified Arabic" w:cs="Simplified Arabic"/>
          <w:b/>
          <w:bCs/>
          <w:sz w:val="28"/>
          <w:szCs w:val="28"/>
          <w:rtl/>
        </w:rPr>
        <w:lastRenderedPageBreak/>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جمع البيانات ومعالجتها</w:t>
      </w:r>
      <w:r w:rsidR="00F178E3" w:rsidRPr="00F178E3">
        <w:rPr>
          <w:rFonts w:ascii="Simplified Arabic" w:hAnsi="Simplified Arabic" w:cs="Simplified Arabic"/>
          <w:b/>
          <w:bCs/>
          <w:sz w:val="28"/>
          <w:szCs w:val="28"/>
        </w:rPr>
        <w:t xml:space="preserve"> (Data Collection &amp; Processing)</w:t>
      </w:r>
    </w:p>
    <w:p w14:paraId="60037AD8" w14:textId="77777777" w:rsidR="00F178E3" w:rsidRPr="00F178E3" w:rsidRDefault="00D23D27" w:rsidP="00F178E3">
      <w:pPr>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يُعرَّف جمع البيانات ومعالجتها بأنه العملية التي يتم من خلالها الحصول على البيانات من مصادر مختلفة، وتنظيمها، وتنقيتها، وتحويلها إلى صيغة قابلة للاستخدام في النماذج الذكية بهدف دعم القرارات التشغيلية (</w:t>
      </w:r>
      <w:proofErr w:type="spellStart"/>
      <w:r w:rsidR="00F178E3" w:rsidRPr="00F178E3">
        <w:rPr>
          <w:rFonts w:ascii="Simplified Arabic" w:hAnsi="Simplified Arabic" w:cs="Simplified Arabic"/>
          <w:sz w:val="28"/>
          <w:szCs w:val="28"/>
        </w:rPr>
        <w:t>Nathany</w:t>
      </w:r>
      <w:proofErr w:type="spellEnd"/>
      <w:r w:rsidR="00F178E3" w:rsidRPr="00F178E3">
        <w:rPr>
          <w:rFonts w:ascii="Simplified Arabic" w:hAnsi="Simplified Arabic" w:cs="Simplified Arabic"/>
          <w:sz w:val="28"/>
          <w:szCs w:val="28"/>
        </w:rPr>
        <w:t>, 2022</w:t>
      </w:r>
      <w:r w:rsidR="00F178E3" w:rsidRPr="00F178E3">
        <w:rPr>
          <w:rFonts w:ascii="Simplified Arabic" w:hAnsi="Simplified Arabic" w:cs="Simplified Arabic"/>
          <w:sz w:val="28"/>
          <w:szCs w:val="28"/>
          <w:rtl/>
        </w:rPr>
        <w:t>).</w:t>
      </w:r>
    </w:p>
    <w:p w14:paraId="763C43F8" w14:textId="5F892042" w:rsidR="000508AF"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بجمع البيانات ومعالجتها في هذه الدراسة قدرة المؤسسة الحكومية على توفير بيانات تشغيلية دقيقة، وتنقيتها، وتحليلها بشكل منهجي، وتحويلها إلى معلومات يمكن للأنظمة الذكية الاستفادة منها في تحسين الأداء</w:t>
      </w:r>
      <w:r w:rsidRPr="000508AF">
        <w:rPr>
          <w:rFonts w:ascii="Simplified Arabic" w:hAnsi="Simplified Arabic" w:cs="Simplified Arabic"/>
          <w:sz w:val="28"/>
          <w:szCs w:val="28"/>
          <w:lang w:bidi="ar-EG"/>
        </w:rPr>
        <w:t>.</w:t>
      </w:r>
    </w:p>
    <w:p w14:paraId="279FB958" w14:textId="443324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00021FB9" w:rsidRPr="00021FB9">
        <w:rPr>
          <w:rtl/>
        </w:rPr>
        <w:t xml:space="preserve"> </w:t>
      </w:r>
      <w:r w:rsidR="00021FB9" w:rsidRPr="00021FB9">
        <w:rPr>
          <w:rFonts w:ascii="Simplified Arabic" w:hAnsi="Simplified Arabic" w:cs="Simplified Arabic"/>
          <w:b/>
          <w:bCs/>
          <w:sz w:val="28"/>
          <w:szCs w:val="28"/>
          <w:rtl/>
        </w:rPr>
        <w:t>النماذج التنبؤية</w:t>
      </w:r>
      <w:r w:rsidR="00021FB9" w:rsidRPr="00021FB9">
        <w:rPr>
          <w:rFonts w:ascii="Simplified Arabic" w:hAnsi="Simplified Arabic" w:cs="Simplified Arabic"/>
          <w:b/>
          <w:bCs/>
          <w:sz w:val="28"/>
          <w:szCs w:val="28"/>
          <w:lang w:bidi="ar-EG"/>
        </w:rPr>
        <w:t xml:space="preserve"> (Predictive Models)</w:t>
      </w:r>
    </w:p>
    <w:p w14:paraId="35963A03" w14:textId="6ED57B5D"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النماذج التنبؤية بأنها خوارزميات تعلم آلي تستخدم البيانات التاريخية للكشف عن الأنماط وتوقع الأحداث المستقبلية مثل الطلب، الأداء التشغيلي، والمخاطر المحتملة (</w:t>
      </w:r>
      <w:r w:rsidR="00021FB9" w:rsidRPr="00021FB9">
        <w:rPr>
          <w:rFonts w:ascii="Simplified Arabic" w:hAnsi="Simplified Arabic" w:cs="Simplified Arabic"/>
          <w:sz w:val="28"/>
          <w:szCs w:val="28"/>
        </w:rPr>
        <w:t>Kumar et al., 2024</w:t>
      </w:r>
      <w:r w:rsidR="00021FB9" w:rsidRPr="00021FB9">
        <w:rPr>
          <w:rFonts w:ascii="Simplified Arabic" w:hAnsi="Simplified Arabic" w:cs="Simplified Arabic"/>
          <w:sz w:val="28"/>
          <w:szCs w:val="28"/>
          <w:rtl/>
        </w:rPr>
        <w:t>).</w:t>
      </w:r>
    </w:p>
    <w:p w14:paraId="5F3C6525" w14:textId="7EA8682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بالنماذج التنبؤية في هذه الدراسة مستوى استخدام المؤسسات الحكومية للنماذج القائمة على خوارزميات التعلّم الآلي بهدف التنبؤ بالتغيرات التشغيلية المستقبلية مثل الاحتياجات، المخاطر، حجم العمل، أو الأداء المتوقع</w:t>
      </w:r>
      <w:r w:rsidRPr="000508AF">
        <w:rPr>
          <w:rFonts w:ascii="Simplified Arabic" w:hAnsi="Simplified Arabic" w:cs="Simplified Arabic"/>
          <w:sz w:val="28"/>
          <w:szCs w:val="28"/>
          <w:lang w:bidi="ar-EG"/>
        </w:rPr>
        <w:t>.</w:t>
      </w:r>
    </w:p>
    <w:p w14:paraId="68B720AA" w14:textId="228F90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الأتمتة الذكية</w:t>
      </w:r>
      <w:r w:rsidR="00021FB9" w:rsidRPr="00021FB9">
        <w:rPr>
          <w:rFonts w:ascii="Simplified Arabic" w:hAnsi="Simplified Arabic" w:cs="Simplified Arabic"/>
          <w:b/>
          <w:bCs/>
          <w:sz w:val="28"/>
          <w:szCs w:val="28"/>
        </w:rPr>
        <w:t xml:space="preserve"> (Intelligent Automation)</w:t>
      </w:r>
    </w:p>
    <w:p w14:paraId="546D0714" w14:textId="320DFD75" w:rsidR="00D23D27" w:rsidRPr="000508AF" w:rsidRDefault="00D23D27" w:rsidP="00D23D27">
      <w:pPr>
        <w:jc w:val="both"/>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الأتمتة الذكية هي توظيف الأنظمة الرقمية المتقدمة لأتمتة العمليات التشغيلية المعقدة باستخدام خوارزميات التعلم الآلي والروبوتات البرمجية بهدف تحسين الكفاءة وتقليل الاعتماد على التدخل البشري (</w:t>
      </w:r>
      <w:r w:rsidR="00021FB9" w:rsidRPr="00021FB9">
        <w:rPr>
          <w:rFonts w:ascii="Simplified Arabic" w:hAnsi="Simplified Arabic" w:cs="Simplified Arabic"/>
          <w:sz w:val="28"/>
          <w:szCs w:val="28"/>
        </w:rPr>
        <w:t xml:space="preserve">Thenmozhi &amp; </w:t>
      </w:r>
      <w:proofErr w:type="spellStart"/>
      <w:r w:rsidR="00021FB9" w:rsidRPr="00021FB9">
        <w:rPr>
          <w:rFonts w:ascii="Simplified Arabic" w:hAnsi="Simplified Arabic" w:cs="Simplified Arabic"/>
          <w:sz w:val="28"/>
          <w:szCs w:val="28"/>
        </w:rPr>
        <w:t>Krisknakumari</w:t>
      </w:r>
      <w:proofErr w:type="spellEnd"/>
      <w:r w:rsidR="00021FB9" w:rsidRPr="00021FB9">
        <w:rPr>
          <w:rFonts w:ascii="Simplified Arabic" w:hAnsi="Simplified Arabic" w:cs="Simplified Arabic"/>
          <w:sz w:val="28"/>
          <w:szCs w:val="28"/>
        </w:rPr>
        <w:t>, 2024</w:t>
      </w:r>
      <w:r w:rsidR="00021FB9" w:rsidRPr="00021FB9">
        <w:rPr>
          <w:rFonts w:ascii="Simplified Arabic" w:hAnsi="Simplified Arabic" w:cs="Simplified Arabic"/>
          <w:sz w:val="28"/>
          <w:szCs w:val="28"/>
          <w:rtl/>
        </w:rPr>
        <w:t>).</w:t>
      </w:r>
    </w:p>
    <w:p w14:paraId="3DC5C5FF" w14:textId="2245EB0C" w:rsidR="000508AF" w:rsidRDefault="00D23D27" w:rsidP="00021FB9">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00021FB9" w:rsidRPr="00021FB9">
        <w:rPr>
          <w:rFonts w:ascii="Simplified Arabic" w:hAnsi="Simplified Arabic" w:cs="Simplified Arabic"/>
          <w:sz w:val="28"/>
          <w:szCs w:val="28"/>
          <w:rtl/>
        </w:rPr>
        <w:t>يقصد بالأتمتة الذكية في هذه الدراسة درجة تطبيق الأنظمة المؤتمتة التي تعتمد على الذكاء الاصطناعي لأداء المهام التشغيلية داخل المؤسسات الحكومية، بما يسهم في رفع الكفاءة، تقليل الأخطاء، وتسريع الإجراءات</w:t>
      </w:r>
      <w:r w:rsidRPr="000508AF">
        <w:rPr>
          <w:rFonts w:ascii="Simplified Arabic" w:hAnsi="Simplified Arabic" w:cs="Simplified Arabic"/>
          <w:sz w:val="28"/>
          <w:szCs w:val="28"/>
          <w:lang w:bidi="ar-EG"/>
        </w:rPr>
        <w:t>.</w:t>
      </w:r>
    </w:p>
    <w:p w14:paraId="6739FA61" w14:textId="5F5F41FD" w:rsidR="00D23D27" w:rsidRPr="000508AF" w:rsidRDefault="00D23D27" w:rsidP="00021FB9">
      <w:pPr>
        <w:jc w:val="both"/>
        <w:rPr>
          <w:rFonts w:ascii="Simplified Arabic" w:hAnsi="Simplified Arabic" w:cs="Simplified Arabic"/>
          <w:sz w:val="28"/>
          <w:szCs w:val="28"/>
          <w:rtl/>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أنظمة دعم القرار</w:t>
      </w:r>
      <w:r w:rsidR="00021FB9" w:rsidRPr="00021FB9">
        <w:rPr>
          <w:rFonts w:ascii="Simplified Arabic" w:hAnsi="Simplified Arabic" w:cs="Simplified Arabic"/>
          <w:b/>
          <w:bCs/>
          <w:sz w:val="28"/>
          <w:szCs w:val="28"/>
        </w:rPr>
        <w:t xml:space="preserve"> (Decision Support Systems)</w:t>
      </w:r>
    </w:p>
    <w:p w14:paraId="3647596B" w14:textId="33CEB035"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أنظمة دعم القرار بأنها أدوات ذكية تجمع البيانات وتحللها لتقديم توصيات تشغيلية دقيقة تساعد المؤسسات على اتخاذ قرارات فعّالة ومبنية على الأدلة (</w:t>
      </w:r>
      <w:proofErr w:type="spellStart"/>
      <w:r w:rsidR="00021FB9" w:rsidRPr="00021FB9">
        <w:rPr>
          <w:rFonts w:ascii="Simplified Arabic" w:hAnsi="Simplified Arabic" w:cs="Simplified Arabic"/>
          <w:sz w:val="28"/>
          <w:szCs w:val="28"/>
        </w:rPr>
        <w:t>Pokamestov</w:t>
      </w:r>
      <w:proofErr w:type="spellEnd"/>
      <w:r w:rsidR="00021FB9" w:rsidRPr="00021FB9">
        <w:rPr>
          <w:rFonts w:ascii="Simplified Arabic" w:hAnsi="Simplified Arabic" w:cs="Simplified Arabic"/>
          <w:sz w:val="28"/>
          <w:szCs w:val="28"/>
        </w:rPr>
        <w:t xml:space="preserve"> &amp; Nikitin, 2024</w:t>
      </w:r>
      <w:r w:rsidR="00021FB9" w:rsidRPr="00021FB9">
        <w:rPr>
          <w:rFonts w:ascii="Simplified Arabic" w:hAnsi="Simplified Arabic" w:cs="Simplified Arabic"/>
          <w:sz w:val="28"/>
          <w:szCs w:val="28"/>
          <w:rtl/>
        </w:rPr>
        <w:t>).</w:t>
      </w:r>
    </w:p>
    <w:p w14:paraId="6A3E3336" w14:textId="748A3B87"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بأنظمة دعم القرار في هذه الدراسة مدى استخدام المؤسسات الحكومية للأنظمة الذكية التي تقدّم تحليلات متقدمة وتوصيات مباشرة تساعد في اتخاذ قرارات تشغيلية سريعة وفعّالة، بما يدعم تحسين سلسلة القيمة</w:t>
      </w:r>
      <w:r w:rsidRPr="00D23D27">
        <w:rPr>
          <w:rFonts w:ascii="Simplified Arabic" w:hAnsi="Simplified Arabic" w:cs="Simplified Arabic"/>
          <w:b/>
          <w:bCs/>
          <w:sz w:val="28"/>
          <w:szCs w:val="28"/>
          <w:lang w:bidi="ar-EG"/>
        </w:rPr>
        <w:t>.</w:t>
      </w:r>
    </w:p>
    <w:p w14:paraId="3D63164A" w14:textId="133DF70A"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سلسلة القيمة التشغيلية</w:t>
      </w:r>
      <w:r w:rsidR="00021FB9" w:rsidRPr="00021FB9">
        <w:rPr>
          <w:rFonts w:ascii="Simplified Arabic" w:hAnsi="Simplified Arabic" w:cs="Simplified Arabic"/>
          <w:b/>
          <w:bCs/>
          <w:sz w:val="28"/>
          <w:szCs w:val="28"/>
        </w:rPr>
        <w:t xml:space="preserve"> (Operational Value Chain)</w:t>
      </w:r>
    </w:p>
    <w:p w14:paraId="1D5AFAA3" w14:textId="177C5F52"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تُعرَّف سلسلة القيمة التشغيلية بأنها منظومة مترابطة من الأنشطة والعمليات الداخلية التي تسعى المؤسسات من خلالها إلى خلق قيمة مضافة عبر تحسين الجودة، خفض التكاليف، رفع الكفاءة، وتعزيز الأداء عبر مختلف مراحل التشغيل</w:t>
      </w:r>
      <w:r w:rsidR="00021FB9" w:rsidRPr="00021FB9">
        <w:rPr>
          <w:rFonts w:ascii="Simplified Arabic" w:hAnsi="Simplified Arabic" w:cs="Simplified Arabic"/>
          <w:sz w:val="28"/>
          <w:szCs w:val="28"/>
        </w:rPr>
        <w:t xml:space="preserve"> (Naas &amp; </w:t>
      </w:r>
      <w:proofErr w:type="spellStart"/>
      <w:r w:rsidR="00021FB9" w:rsidRPr="00021FB9">
        <w:rPr>
          <w:rFonts w:ascii="Simplified Arabic" w:hAnsi="Simplified Arabic" w:cs="Simplified Arabic"/>
          <w:sz w:val="28"/>
          <w:szCs w:val="28"/>
        </w:rPr>
        <w:t>Berass</w:t>
      </w:r>
      <w:proofErr w:type="spellEnd"/>
      <w:r w:rsidR="00021FB9" w:rsidRPr="00021FB9">
        <w:rPr>
          <w:rFonts w:ascii="Simplified Arabic" w:hAnsi="Simplified Arabic" w:cs="Simplified Arabic"/>
          <w:sz w:val="28"/>
          <w:szCs w:val="28"/>
        </w:rPr>
        <w:t>, 2024)</w:t>
      </w:r>
      <w:r w:rsidRPr="000508AF">
        <w:rPr>
          <w:rFonts w:ascii="Simplified Arabic" w:hAnsi="Simplified Arabic" w:cs="Simplified Arabic"/>
          <w:sz w:val="28"/>
          <w:szCs w:val="28"/>
          <w:lang w:bidi="ar-EG"/>
        </w:rPr>
        <w:t>.</w:t>
      </w:r>
    </w:p>
    <w:p w14:paraId="464E0C51" w14:textId="30C2BFFE"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يُقصد بسلسلة القيمة التشغيلية في هذه الدراسة مستوى كفاءة الأنشطة التشغيلية الأساسية داخل المؤسسات الحكومية الكبرى في المملكة العربية السعودية، ومنها: جمع البيانات، تجهيز الخدمات، التنفيذ، المتابعة، وتقويم الأداء، بما يعكس قدرة المؤسسة على تقديم خدمات عالية الجودة باستخدام الموارد بكفاءة</w:t>
      </w:r>
      <w:r w:rsidR="00021FB9" w:rsidRPr="00021FB9">
        <w:rPr>
          <w:rFonts w:ascii="Simplified Arabic" w:hAnsi="Simplified Arabic" w:cs="Simplified Arabic"/>
          <w:sz w:val="28"/>
          <w:szCs w:val="28"/>
        </w:rPr>
        <w:t>.</w:t>
      </w:r>
    </w:p>
    <w:p w14:paraId="64199120" w14:textId="4DC2D7F5" w:rsidR="000E0033" w:rsidRPr="00B91104" w:rsidRDefault="000E0033" w:rsidP="00D439AC">
      <w:pPr>
        <w:pStyle w:val="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76D9FD9F"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t>تعتمد هذه الدراسة على تصميم بحثي متعدد الأساليب من النوع التفسيري التسلسلي، حيث تبدأ بالمنهج الكمي بهدف قياس العلاقات بين متغيرات الدراسة، ثم تنتقل إلى منهج نوعي معمّق لتفسير النتائج الكمية وتوسيع فهمها. ففي المرحلة الكمية الأولى، سيتم تطبيق استبانة محكمة تُعد الأداة الرئيسة لجمع البيانات، نظرًا لملاءمتها للبحوث الوصفية الكمية وقدرتها على توفير بيانات قابلة للتعميم حول مستوى تبنّي تقنيات الذكاء الاصطناعي وأثرها في تحسين سلسلة القيمة التشغيلية داخل المؤسسات الحكومية الكبرى في المملكة العربية السعودية. وستُصمّم الاستبانة بالاستناد إلى إطار نظري راسخ ودراسات سابقة متخصصة، لتشمل محاور واضحة تغطي المتغير المستقل (تقنيات الذكاء الاصطناعي بأبعاده: جمع البيانات ومعالجتها، النماذج التنبؤية، الأتمتة الذكية، وأنظمة دعم القرار) والمتغير التابع (تحسين سلسلة القيمة التشغيلية)، إضافة إلى البيانات الديموغرافية والمهنية للمستجيبين. وتعتمد هذه المرحلة على الأساليب الإحصائية المناسبة لاختبار الفرضيات وتحليل العلاقات، بما يمكّن من رسم صورة شاملة للأنماط الرقمية التي تحكم الظاهرة محل الدراسة</w:t>
      </w:r>
      <w:r w:rsidRPr="002A5D5B">
        <w:rPr>
          <w:rFonts w:ascii="Simplified Arabic" w:hAnsi="Simplified Arabic" w:cs="Simplified Arabic"/>
          <w:color w:val="EE0000"/>
          <w:sz w:val="28"/>
          <w:szCs w:val="28"/>
        </w:rPr>
        <w:t>.</w:t>
      </w:r>
    </w:p>
    <w:p w14:paraId="23E3A284" w14:textId="77777777" w:rsidR="002A5D5B" w:rsidRDefault="002A5D5B" w:rsidP="002A5D5B">
      <w:pPr>
        <w:ind w:firstLine="720"/>
        <w:jc w:val="both"/>
        <w:rPr>
          <w:rFonts w:ascii="Simplified Arabic" w:hAnsi="Simplified Arabic" w:cs="Simplified Arabic"/>
          <w:color w:val="EE0000"/>
          <w:sz w:val="28"/>
          <w:szCs w:val="28"/>
          <w:rtl/>
        </w:rPr>
      </w:pPr>
      <w:r w:rsidRPr="002A5D5B">
        <w:rPr>
          <w:rFonts w:ascii="Simplified Arabic" w:hAnsi="Simplified Arabic" w:cs="Simplified Arabic"/>
          <w:color w:val="EE0000"/>
          <w:sz w:val="28"/>
          <w:szCs w:val="28"/>
          <w:rtl/>
        </w:rPr>
        <w:lastRenderedPageBreak/>
        <w:t>وفي المرحلة النوعية اللاحقة، سيتم إجراء مقابلات معمقة وشبه منظمة ومجموعات تركيز مع عينة فرعية مختارة من أصحاب الخبرة في المجالات ذات الصلة، مثل مديري تقنية المعلومات، ومديري العمليات، وقادة التحول الرقمي. وتهدف هذه المرحلة إلى تفسير النتائج الإحصائية في ضوء الواقع العملي، والكشف عن الأسباب الكامنة وراء الأنماط الكمية، واستكشاف التحديات الثقافية والتنظيمية والتشغيلية المرتبطة بتطبيق تقنيات الذكاء الاصطناعي. كما تسعى إلى فهم الكيفية التي تُعيد من خلالها هذه التقنيات تشكيل سير العمل في المؤسسات الحكومية، وتحديد العوامل المساعدة والمعيقة لتعظيم أثرها في سلسلة القيمة التشغيلية. ويسهم هذا التكامل بين المنهجين الكمي والنوعي في تعزيز صدقية النتائج وعمقها التفسيري، وإنتاج معرفة علمية أكثر شمولًا واتساقًا مع تعقيدات البيئة الحكومية</w:t>
      </w:r>
      <w:r w:rsidRPr="002A5D5B">
        <w:rPr>
          <w:rFonts w:ascii="Simplified Arabic" w:hAnsi="Simplified Arabic" w:cs="Simplified Arabic"/>
          <w:color w:val="EE0000"/>
          <w:sz w:val="28"/>
          <w:szCs w:val="28"/>
        </w:rPr>
        <w:t>.</w:t>
      </w:r>
    </w:p>
    <w:p w14:paraId="5AEE44B4" w14:textId="42A539AE" w:rsidR="009421C9" w:rsidRPr="009421C9" w:rsidRDefault="009421C9" w:rsidP="009421C9">
      <w:pPr>
        <w:ind w:firstLine="720"/>
        <w:jc w:val="both"/>
        <w:rPr>
          <w:rFonts w:ascii="Simplified Arabic" w:hAnsi="Simplified Arabic" w:cs="Simplified Arabic"/>
          <w:color w:val="EE0000"/>
          <w:sz w:val="28"/>
          <w:szCs w:val="28"/>
        </w:rPr>
      </w:pPr>
      <w:r>
        <w:rPr>
          <w:rFonts w:ascii="Simplified Arabic" w:hAnsi="Simplified Arabic" w:cs="Simplified Arabic" w:hint="cs"/>
          <w:color w:val="EE0000"/>
          <w:sz w:val="28"/>
          <w:szCs w:val="28"/>
          <w:rtl/>
        </w:rPr>
        <w:t>و</w:t>
      </w:r>
      <w:r w:rsidRPr="009421C9">
        <w:rPr>
          <w:rFonts w:ascii="Simplified Arabic" w:hAnsi="Simplified Arabic" w:cs="Simplified Arabic"/>
          <w:color w:val="EE0000"/>
          <w:sz w:val="28"/>
          <w:szCs w:val="28"/>
          <w:rtl/>
        </w:rPr>
        <w:t>يعتمد التصميم على نموذج "نقطة الاتصال</w:t>
      </w:r>
      <w:r w:rsidRPr="009421C9">
        <w:rPr>
          <w:rFonts w:ascii="Simplified Arabic" w:hAnsi="Simplified Arabic" w:cs="Simplified Arabic"/>
          <w:color w:val="EE0000"/>
          <w:sz w:val="28"/>
          <w:szCs w:val="28"/>
        </w:rPr>
        <w:t xml:space="preserve">" (Point of Interface) </w:t>
      </w:r>
      <w:r w:rsidRPr="009421C9">
        <w:rPr>
          <w:rFonts w:ascii="Simplified Arabic" w:hAnsi="Simplified Arabic" w:cs="Simplified Arabic"/>
          <w:color w:val="EE0000"/>
          <w:sz w:val="28"/>
          <w:szCs w:val="28"/>
          <w:rtl/>
        </w:rPr>
        <w:t>وفق منهجية</w:t>
      </w:r>
      <w:r w:rsidRPr="009421C9">
        <w:rPr>
          <w:rFonts w:ascii="Simplified Arabic" w:hAnsi="Simplified Arabic" w:cs="Simplified Arabic"/>
          <w:color w:val="EE0000"/>
          <w:sz w:val="28"/>
          <w:szCs w:val="28"/>
        </w:rPr>
        <w:t xml:space="preserve"> (Creswell &amp; Plano Clark, 2018) </w:t>
      </w:r>
      <w:r w:rsidRPr="009421C9">
        <w:rPr>
          <w:rFonts w:ascii="Simplified Arabic" w:hAnsi="Simplified Arabic" w:cs="Simplified Arabic"/>
          <w:color w:val="EE0000"/>
          <w:sz w:val="28"/>
          <w:szCs w:val="28"/>
          <w:rtl/>
        </w:rPr>
        <w:t>للتصميم التفسيري التسلسلي، ويتحقق الدمج على أربعة مستويات محددة</w:t>
      </w:r>
      <w:r w:rsidRPr="009421C9">
        <w:rPr>
          <w:rFonts w:ascii="Simplified Arabic" w:hAnsi="Simplified Arabic" w:cs="Simplified Arabic"/>
          <w:color w:val="EE0000"/>
          <w:sz w:val="28"/>
          <w:szCs w:val="28"/>
        </w:rPr>
        <w:t>:</w:t>
      </w:r>
    </w:p>
    <w:p w14:paraId="01CE88BB" w14:textId="156BFBAE"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المستوى الأول دمج التصميم</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تسبق المرحلة الكمية المرحلة النوعية زمنياً بفارق لا يقل عن ثلاثة أشهر، بحيث تُوظَّف نتائج المرحلة الأولى في توجيه أسئلة المرحلة الثانية</w:t>
      </w:r>
      <w:r w:rsidRPr="009421C9">
        <w:rPr>
          <w:rFonts w:ascii="Simplified Arabic" w:hAnsi="Simplified Arabic" w:cs="Simplified Arabic"/>
          <w:color w:val="EE0000"/>
          <w:sz w:val="28"/>
          <w:szCs w:val="28"/>
        </w:rPr>
        <w:t>.</w:t>
      </w:r>
    </w:p>
    <w:p w14:paraId="6B603184" w14:textId="269F8110"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المستوى الثاني</w:t>
      </w:r>
      <w:r>
        <w:rPr>
          <w:rFonts w:ascii="Simplified Arabic" w:hAnsi="Simplified Arabic" w:cs="Simplified Arabic" w:hint="cs"/>
          <w:b/>
          <w:bCs/>
          <w:color w:val="EE0000"/>
          <w:sz w:val="28"/>
          <w:szCs w:val="28"/>
          <w:rtl/>
        </w:rPr>
        <w:t xml:space="preserve"> </w:t>
      </w:r>
      <w:r w:rsidRPr="009421C9">
        <w:rPr>
          <w:rFonts w:ascii="Simplified Arabic" w:hAnsi="Simplified Arabic" w:cs="Simplified Arabic"/>
          <w:b/>
          <w:bCs/>
          <w:color w:val="EE0000"/>
          <w:sz w:val="28"/>
          <w:szCs w:val="28"/>
          <w:rtl/>
        </w:rPr>
        <w:t>دمج أخذ العينات</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يُختار المشاركون في المرحلة النوعية من ضمن المستجيبين للمرحلة الكمية الذين أبدوا موافقتهم على المشاركة في مقابلة لاحقة (سؤال اختياري في نهاية الاستبانة)، مما يُعزّز الاتساق بين مصدري البيانات</w:t>
      </w:r>
      <w:r w:rsidRPr="009421C9">
        <w:rPr>
          <w:rFonts w:ascii="Simplified Arabic" w:hAnsi="Simplified Arabic" w:cs="Simplified Arabic"/>
          <w:color w:val="EE0000"/>
          <w:sz w:val="28"/>
          <w:szCs w:val="28"/>
        </w:rPr>
        <w:t>.</w:t>
      </w:r>
    </w:p>
    <w:p w14:paraId="64588F03" w14:textId="50270413"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المستوى الثالث دمج جمع البيانات</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تُستخدم النتائج الكمية غير المتوقعة (الأبعاد ذات التأثير الأدنى أو الأعلى من المتوقع، أو العلاقات غير الدالة إحصائياً) نقطةَ انطلاق لصياغة أسئلة المقابلة، ممّا يجعل المقابلات "توضيحية" لا مجرد "تكميلية</w:t>
      </w:r>
      <w:r w:rsidRPr="009421C9">
        <w:rPr>
          <w:rFonts w:ascii="Simplified Arabic" w:hAnsi="Simplified Arabic" w:cs="Simplified Arabic"/>
          <w:color w:val="EE0000"/>
          <w:sz w:val="28"/>
          <w:szCs w:val="28"/>
        </w:rPr>
        <w:t>".</w:t>
      </w:r>
    </w:p>
    <w:p w14:paraId="347352D0" w14:textId="03D42EC3" w:rsidR="009421C9" w:rsidRPr="009421C9" w:rsidRDefault="009421C9" w:rsidP="009421C9">
      <w:pPr>
        <w:ind w:firstLine="720"/>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 xml:space="preserve">المستوى </w:t>
      </w:r>
      <w:proofErr w:type="gramStart"/>
      <w:r w:rsidRPr="009421C9">
        <w:rPr>
          <w:rFonts w:ascii="Simplified Arabic" w:hAnsi="Simplified Arabic" w:cs="Simplified Arabic"/>
          <w:b/>
          <w:bCs/>
          <w:color w:val="EE0000"/>
          <w:sz w:val="28"/>
          <w:szCs w:val="28"/>
          <w:rtl/>
        </w:rPr>
        <w:t>الرابع  دمج</w:t>
      </w:r>
      <w:proofErr w:type="gramEnd"/>
      <w:r w:rsidRPr="009421C9">
        <w:rPr>
          <w:rFonts w:ascii="Simplified Arabic" w:hAnsi="Simplified Arabic" w:cs="Simplified Arabic"/>
          <w:b/>
          <w:bCs/>
          <w:color w:val="EE0000"/>
          <w:sz w:val="28"/>
          <w:szCs w:val="28"/>
          <w:rtl/>
        </w:rPr>
        <w:t xml:space="preserve"> التحليل والتفسير</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يُطبَّق أسلوب "المصفوفة المشتركة</w:t>
      </w:r>
      <w:r w:rsidRPr="009421C9">
        <w:rPr>
          <w:rFonts w:ascii="Simplified Arabic" w:hAnsi="Simplified Arabic" w:cs="Simplified Arabic"/>
          <w:color w:val="EE0000"/>
          <w:sz w:val="28"/>
          <w:szCs w:val="28"/>
        </w:rPr>
        <w:t xml:space="preserve">" (Joint Display Matrix) </w:t>
      </w:r>
      <w:r w:rsidRPr="009421C9">
        <w:rPr>
          <w:rFonts w:ascii="Simplified Arabic" w:hAnsi="Simplified Arabic" w:cs="Simplified Arabic"/>
          <w:color w:val="EE0000"/>
          <w:sz w:val="28"/>
          <w:szCs w:val="28"/>
          <w:rtl/>
        </w:rPr>
        <w:t xml:space="preserve">الذي طوّره </w:t>
      </w:r>
      <w:r w:rsidRPr="009421C9">
        <w:rPr>
          <w:rFonts w:ascii="Simplified Arabic" w:hAnsi="Simplified Arabic" w:cs="Simplified Arabic"/>
          <w:color w:val="EE0000"/>
          <w:sz w:val="28"/>
          <w:szCs w:val="28"/>
        </w:rPr>
        <w:t>(Guetterman et al., 2015)</w:t>
      </w:r>
      <w:r w:rsidRPr="009421C9">
        <w:rPr>
          <w:rFonts w:ascii="Simplified Arabic" w:hAnsi="Simplified Arabic" w:cs="Simplified Arabic"/>
          <w:color w:val="EE0000"/>
          <w:sz w:val="28"/>
          <w:szCs w:val="28"/>
          <w:rtl/>
        </w:rPr>
        <w:t>، حيث تُعرض النتائج الكمية والنوعية جنباً إلى جنب في جدول واحد لكل فرضية، مع تحديد مواضع التقارب</w:t>
      </w:r>
      <w:r w:rsidRPr="009421C9">
        <w:rPr>
          <w:rFonts w:ascii="Simplified Arabic" w:hAnsi="Simplified Arabic" w:cs="Simplified Arabic"/>
          <w:color w:val="EE0000"/>
          <w:sz w:val="28"/>
          <w:szCs w:val="28"/>
        </w:rPr>
        <w:t xml:space="preserve"> (Convergence) </w:t>
      </w:r>
      <w:r w:rsidRPr="009421C9">
        <w:rPr>
          <w:rFonts w:ascii="Simplified Arabic" w:hAnsi="Simplified Arabic" w:cs="Simplified Arabic"/>
          <w:color w:val="EE0000"/>
          <w:sz w:val="28"/>
          <w:szCs w:val="28"/>
          <w:rtl/>
        </w:rPr>
        <w:t>والتباعد</w:t>
      </w:r>
      <w:r w:rsidRPr="009421C9">
        <w:rPr>
          <w:rFonts w:ascii="Simplified Arabic" w:hAnsi="Simplified Arabic" w:cs="Simplified Arabic"/>
          <w:color w:val="EE0000"/>
          <w:sz w:val="28"/>
          <w:szCs w:val="28"/>
        </w:rPr>
        <w:t xml:space="preserve"> (Divergence) </w:t>
      </w:r>
      <w:r w:rsidRPr="009421C9">
        <w:rPr>
          <w:rFonts w:ascii="Simplified Arabic" w:hAnsi="Simplified Arabic" w:cs="Simplified Arabic"/>
          <w:color w:val="EE0000"/>
          <w:sz w:val="28"/>
          <w:szCs w:val="28"/>
          <w:rtl/>
        </w:rPr>
        <w:t>والتوسع</w:t>
      </w:r>
      <w:r w:rsidRPr="009421C9">
        <w:rPr>
          <w:rFonts w:ascii="Simplified Arabic" w:hAnsi="Simplified Arabic" w:cs="Simplified Arabic"/>
          <w:color w:val="EE0000"/>
          <w:sz w:val="28"/>
          <w:szCs w:val="28"/>
        </w:rPr>
        <w:t xml:space="preserve"> (Expansion) </w:t>
      </w:r>
      <w:r w:rsidRPr="009421C9">
        <w:rPr>
          <w:rFonts w:ascii="Simplified Arabic" w:hAnsi="Simplified Arabic" w:cs="Simplified Arabic"/>
          <w:color w:val="EE0000"/>
          <w:sz w:val="28"/>
          <w:szCs w:val="28"/>
          <w:rtl/>
        </w:rPr>
        <w:t xml:space="preserve">بين المصدرين، ثم استخلاص </w:t>
      </w:r>
      <w:r w:rsidRPr="009421C9">
        <w:rPr>
          <w:rFonts w:ascii="Simplified Arabic" w:hAnsi="Simplified Arabic" w:cs="Simplified Arabic"/>
          <w:color w:val="EE0000"/>
          <w:sz w:val="28"/>
          <w:szCs w:val="28"/>
        </w:rPr>
        <w:t>"</w:t>
      </w:r>
      <w:r w:rsidRPr="009421C9">
        <w:rPr>
          <w:rFonts w:ascii="Simplified Arabic" w:hAnsi="Simplified Arabic" w:cs="Simplified Arabic"/>
          <w:color w:val="EE0000"/>
          <w:sz w:val="28"/>
          <w:szCs w:val="28"/>
          <w:rtl/>
        </w:rPr>
        <w:t xml:space="preserve">الاستنتاجات </w:t>
      </w:r>
      <w:proofErr w:type="spellStart"/>
      <w:r w:rsidRPr="009421C9">
        <w:rPr>
          <w:rFonts w:ascii="Simplified Arabic" w:hAnsi="Simplified Arabic" w:cs="Simplified Arabic"/>
          <w:color w:val="EE0000"/>
          <w:sz w:val="28"/>
          <w:szCs w:val="28"/>
          <w:rtl/>
        </w:rPr>
        <w:t>الميتا</w:t>
      </w:r>
      <w:proofErr w:type="spellEnd"/>
      <w:r w:rsidRPr="009421C9">
        <w:rPr>
          <w:rFonts w:ascii="Simplified Arabic" w:hAnsi="Simplified Arabic" w:cs="Simplified Arabic"/>
          <w:color w:val="EE0000"/>
          <w:sz w:val="28"/>
          <w:szCs w:val="28"/>
          <w:rtl/>
        </w:rPr>
        <w:t>-تفسيرية</w:t>
      </w:r>
      <w:r w:rsidRPr="009421C9">
        <w:rPr>
          <w:rFonts w:ascii="Simplified Arabic" w:hAnsi="Simplified Arabic" w:cs="Simplified Arabic"/>
          <w:color w:val="EE0000"/>
          <w:sz w:val="28"/>
          <w:szCs w:val="28"/>
        </w:rPr>
        <w:t xml:space="preserve">" (Meta-Inferences) </w:t>
      </w:r>
      <w:r w:rsidRPr="009421C9">
        <w:rPr>
          <w:rFonts w:ascii="Simplified Arabic" w:hAnsi="Simplified Arabic" w:cs="Simplified Arabic"/>
          <w:color w:val="EE0000"/>
          <w:sz w:val="28"/>
          <w:szCs w:val="28"/>
          <w:rtl/>
        </w:rPr>
        <w:t>التي لا يمكن الوصول إليها بأي من المنهجين منفرداً</w:t>
      </w:r>
      <w:r w:rsidRPr="009421C9">
        <w:rPr>
          <w:rFonts w:ascii="Simplified Arabic" w:hAnsi="Simplified Arabic" w:cs="Simplified Arabic"/>
          <w:color w:val="EE0000"/>
          <w:sz w:val="28"/>
          <w:szCs w:val="28"/>
        </w:rPr>
        <w:t>.</w:t>
      </w:r>
    </w:p>
    <w:p w14:paraId="00375CA9" w14:textId="77777777" w:rsidR="009421C9" w:rsidRPr="009421C9" w:rsidRDefault="009421C9" w:rsidP="002A5D5B">
      <w:pPr>
        <w:ind w:firstLine="720"/>
        <w:jc w:val="both"/>
        <w:rPr>
          <w:rFonts w:ascii="Simplified Arabic" w:hAnsi="Simplified Arabic" w:cs="Simplified Arabic"/>
          <w:color w:val="EE0000"/>
          <w:sz w:val="28"/>
          <w:szCs w:val="28"/>
        </w:rPr>
      </w:pPr>
    </w:p>
    <w:p w14:paraId="652BDD1C" w14:textId="11457916" w:rsidR="00D439AC" w:rsidRPr="00B91104" w:rsidRDefault="00D439AC" w:rsidP="00D439AC">
      <w:pPr>
        <w:pStyle w:val="1"/>
        <w:rPr>
          <w:rtl/>
        </w:rPr>
      </w:pPr>
      <w:bookmarkStart w:id="8" w:name="_Toc202053523"/>
      <w:r>
        <w:rPr>
          <w:rFonts w:hint="cs"/>
          <w:rtl/>
        </w:rPr>
        <w:lastRenderedPageBreak/>
        <w:t>أداة الدراسة</w:t>
      </w:r>
      <w:bookmarkEnd w:id="8"/>
      <w:r>
        <w:rPr>
          <w:rFonts w:hint="cs"/>
          <w:rtl/>
        </w:rPr>
        <w:t xml:space="preserve"> </w:t>
      </w:r>
    </w:p>
    <w:p w14:paraId="04C19513" w14:textId="77777777" w:rsidR="005E6DFF" w:rsidRPr="002A5D5B" w:rsidRDefault="005E6DFF" w:rsidP="005E6DFF">
      <w:pPr>
        <w:jc w:val="both"/>
        <w:rPr>
          <w:rFonts w:ascii="Simplified Arabic" w:hAnsi="Simplified Arabic" w:cs="Simplified Arabic"/>
          <w:sz w:val="28"/>
          <w:szCs w:val="28"/>
          <w:rtl/>
        </w:rPr>
      </w:pPr>
      <w:bookmarkStart w:id="9" w:name="_Toc202053524"/>
      <w:r w:rsidRPr="002A5D5B">
        <w:rPr>
          <w:rFonts w:ascii="Simplified Arabic" w:hAnsi="Simplified Arabic" w:cs="Simplified Arabic"/>
          <w:sz w:val="28"/>
          <w:szCs w:val="28"/>
          <w:rtl/>
        </w:rPr>
        <w:t>ستعتمد هذه الدراسة على الاستبانة بوصفها الأداة الرئيسة لجمع البيانات الميدانية اللازمة لتحقيق أهداف البحث والإجابة عن تساؤلاته، نظرًا لملاءمتها للبحوث الوصفية الكمية التي تهدف إلى تحليل العلاقات التأثيرية بين المتغيرات</w:t>
      </w:r>
      <w:r w:rsidRPr="002A5D5B">
        <w:rPr>
          <w:rFonts w:ascii="Simplified Arabic" w:hAnsi="Simplified Arabic" w:cs="Simplified Arabic"/>
          <w:sz w:val="28"/>
          <w:szCs w:val="28"/>
        </w:rPr>
        <w:t xml:space="preserve">. </w:t>
      </w:r>
      <w:r w:rsidRPr="002A5D5B">
        <w:rPr>
          <w:rFonts w:ascii="Simplified Arabic" w:hAnsi="Simplified Arabic" w:cs="Simplified Arabic"/>
          <w:sz w:val="28"/>
          <w:szCs w:val="28"/>
          <w:rtl/>
        </w:rPr>
        <w:t>وستُصمم الاستبانة بعناية استنادًا إلى الإطار النظري والدراسات السابقة التي تناولت كلًّا من تقنيات التعلم الآلي والأمن السيبراني في بيئات النقل الذكية، بما يضمن شمولها وتمثيلها لمجالات الدراسة بدقة علمية</w:t>
      </w:r>
      <w:r w:rsidRPr="002A5D5B">
        <w:rPr>
          <w:rFonts w:ascii="Simplified Arabic" w:hAnsi="Simplified Arabic" w:cs="Simplified Arabic"/>
          <w:sz w:val="28"/>
          <w:szCs w:val="28"/>
        </w:rPr>
        <w:t>.</w:t>
      </w:r>
    </w:p>
    <w:p w14:paraId="7260AECD" w14:textId="24CA9F8A" w:rsidR="002A5D5B" w:rsidRPr="002B5492" w:rsidRDefault="002A5D5B" w:rsidP="002A5D5B">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وفي المرحلة النوعية، ستعتمد الدراسة على أداة المقابلات المعمقة وشبه المنظمة ومجموعات التركيز بوصفها أدوات مساندة تهدف إلى تفسير النتائج الكمية وتوسيع فهمها في سياقها الواقعي. وتتيح هذه الأدوات استكشاف الخبرات الفعلية للممارسين، وفهم التحديات التشغيلية والثقافية والتنظيمية المرتبطة بتطبيق تقنيات الذكاء الاصطناعي، إضافة إلى الكشف عن العوامل التي لا يمكن قياسها بدقة عبر الأساليب الكمية وحدها. وسيتم إعداد دليل المقابلة بما يتوافق مع نتائج المرحلة الأولى، لضمان توجيه الأسئلة نحو النقاط التي تتطلب تفسيرًا أعمق، مع اعتماد إجراءات منهجية لضمان الصدق النوعي مثل التحقق من المشاركين وتعدّد مصادر البيانات. ويسهم استخدام هذا التكامل بين الأدوات الكمية والنوعية في تعميق التحليل وتقديم فهم شامل للظاهرة قيد الدراسة</w:t>
      </w:r>
      <w:r w:rsidRPr="002B5492">
        <w:rPr>
          <w:rFonts w:ascii="Simplified Arabic" w:hAnsi="Simplified Arabic" w:cs="Simplified Arabic"/>
          <w:color w:val="EE0000"/>
          <w:sz w:val="28"/>
          <w:szCs w:val="28"/>
        </w:rPr>
        <w:t>.</w:t>
      </w:r>
    </w:p>
    <w:p w14:paraId="1180A07E" w14:textId="77777777" w:rsidR="005E6DFF" w:rsidRPr="000508AF" w:rsidRDefault="005E6DFF" w:rsidP="005E6DFF">
      <w:p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وسوف تتكون الاستبانة من </w:t>
      </w:r>
      <w:r w:rsidRPr="000508AF">
        <w:rPr>
          <w:rFonts w:ascii="Simplified Arabic" w:hAnsi="Simplified Arabic" w:cs="Simplified Arabic"/>
          <w:b/>
          <w:bCs/>
          <w:sz w:val="28"/>
          <w:szCs w:val="28"/>
          <w:rtl/>
        </w:rPr>
        <w:t>ثلاثة محاور رئيسية</w:t>
      </w:r>
      <w:r w:rsidRPr="000508AF">
        <w:rPr>
          <w:rFonts w:ascii="Simplified Arabic" w:hAnsi="Simplified Arabic" w:cs="Simplified Arabic"/>
          <w:sz w:val="28"/>
          <w:szCs w:val="28"/>
          <w:rtl/>
        </w:rPr>
        <w:t>، تمثل أبعاد المتغيرات قيد الدراسة على النحو الآتي</w:t>
      </w:r>
      <w:r w:rsidRPr="000508AF">
        <w:rPr>
          <w:rFonts w:ascii="Simplified Arabic" w:hAnsi="Simplified Arabic" w:cs="Simplified Arabic"/>
          <w:sz w:val="28"/>
          <w:szCs w:val="28"/>
        </w:rPr>
        <w:t>:</w:t>
      </w:r>
    </w:p>
    <w:p w14:paraId="6D2694E1" w14:textId="77777777" w:rsidR="00297B1D" w:rsidRDefault="005E6DFF">
      <w:pPr>
        <w:numPr>
          <w:ilvl w:val="0"/>
          <w:numId w:val="7"/>
        </w:numPr>
        <w:jc w:val="both"/>
        <w:rPr>
          <w:rFonts w:ascii="Simplified Arabic" w:hAnsi="Simplified Arabic" w:cs="Simplified Arabic"/>
          <w:sz w:val="28"/>
          <w:szCs w:val="28"/>
        </w:rPr>
      </w:pPr>
      <w:r w:rsidRPr="00297B1D">
        <w:rPr>
          <w:rFonts w:ascii="Simplified Arabic" w:hAnsi="Simplified Arabic" w:cs="Simplified Arabic"/>
          <w:b/>
          <w:bCs/>
          <w:sz w:val="28"/>
          <w:szCs w:val="28"/>
          <w:rtl/>
        </w:rPr>
        <w:t>المحور الأول:</w:t>
      </w:r>
      <w:r w:rsidR="00297B1D" w:rsidRPr="00297B1D">
        <w:rPr>
          <w:rFonts w:ascii="Times New Roman" w:eastAsia="Times New Roman" w:hAnsi="Times New Roman" w:cs="Times New Roman"/>
          <w:b/>
          <w:bCs/>
          <w:kern w:val="0"/>
          <w:sz w:val="36"/>
          <w:szCs w:val="36"/>
          <w:rtl/>
          <w14:ligatures w14:val="none"/>
        </w:rPr>
        <w:t xml:space="preserve"> </w:t>
      </w:r>
      <w:r w:rsidR="00297B1D" w:rsidRPr="00297B1D">
        <w:rPr>
          <w:rFonts w:ascii="Simplified Arabic" w:hAnsi="Simplified Arabic" w:cs="Simplified Arabic"/>
          <w:b/>
          <w:bCs/>
          <w:sz w:val="28"/>
          <w:szCs w:val="28"/>
          <w:rtl/>
        </w:rPr>
        <w:t>البيانات الديموغرافية والمهنية للمستجيبين</w:t>
      </w:r>
    </w:p>
    <w:p w14:paraId="07258C00" w14:textId="6F741047" w:rsidR="00297B1D" w:rsidRPr="00297B1D" w:rsidRDefault="00297B1D" w:rsidP="00297B1D">
      <w:pPr>
        <w:tabs>
          <w:tab w:val="num" w:pos="720"/>
        </w:tabs>
        <w:ind w:left="360"/>
        <w:jc w:val="both"/>
        <w:rPr>
          <w:rFonts w:ascii="Simplified Arabic" w:hAnsi="Simplified Arabic" w:cs="Simplified Arabic"/>
          <w:sz w:val="28"/>
          <w:szCs w:val="28"/>
        </w:rPr>
      </w:pPr>
      <w:r w:rsidRPr="00297B1D">
        <w:rPr>
          <w:rFonts w:ascii="Simplified Arabic" w:hAnsi="Simplified Arabic" w:cs="Simplified Arabic"/>
          <w:sz w:val="28"/>
          <w:szCs w:val="28"/>
          <w:rtl/>
        </w:rPr>
        <w:t>ويتضمن مجموعة من الأسئلة لقياس خصائص أفراد العينة مثل</w:t>
      </w:r>
      <w:r>
        <w:rPr>
          <w:rFonts w:ascii="Simplified Arabic" w:hAnsi="Simplified Arabic" w:cs="Simplified Arabic" w:hint="cs"/>
          <w:sz w:val="28"/>
          <w:szCs w:val="28"/>
          <w:rtl/>
        </w:rPr>
        <w:t>: (</w:t>
      </w:r>
      <w:r w:rsidRPr="00297B1D">
        <w:rPr>
          <w:rFonts w:ascii="Simplified Arabic" w:hAnsi="Simplified Arabic" w:cs="Simplified Arabic"/>
          <w:sz w:val="28"/>
          <w:szCs w:val="28"/>
          <w:rtl/>
        </w:rPr>
        <w:t>العمر</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الجنس</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المؤهل العلمي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سنوات الخبرة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المسمى الوظيفي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القطاع / الإدارة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مستوى التعامل مع الأنظمة الرقمية</w:t>
      </w:r>
      <w:r>
        <w:rPr>
          <w:rFonts w:ascii="Simplified Arabic" w:hAnsi="Simplified Arabic" w:cs="Simplified Arabic" w:hint="cs"/>
          <w:sz w:val="28"/>
          <w:szCs w:val="28"/>
          <w:rtl/>
        </w:rPr>
        <w:t>)</w:t>
      </w:r>
    </w:p>
    <w:p w14:paraId="0E99CA28" w14:textId="55A7335A" w:rsidR="005E6DFF" w:rsidRDefault="00297B1D">
      <w:pPr>
        <w:numPr>
          <w:ilvl w:val="0"/>
          <w:numId w:val="7"/>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المحور </w:t>
      </w:r>
      <w:proofErr w:type="spellStart"/>
      <w:proofErr w:type="gramStart"/>
      <w:r>
        <w:rPr>
          <w:rFonts w:ascii="Simplified Arabic" w:hAnsi="Simplified Arabic" w:cs="Simplified Arabic" w:hint="cs"/>
          <w:b/>
          <w:bCs/>
          <w:sz w:val="28"/>
          <w:szCs w:val="28"/>
          <w:rtl/>
        </w:rPr>
        <w:t>الثانى</w:t>
      </w:r>
      <w:proofErr w:type="spellEnd"/>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005E6DFF" w:rsidRPr="000508AF">
        <w:rPr>
          <w:rFonts w:ascii="Simplified Arabic" w:hAnsi="Simplified Arabic" w:cs="Simplified Arabic"/>
          <w:b/>
          <w:bCs/>
          <w:sz w:val="28"/>
          <w:szCs w:val="28"/>
          <w:rtl/>
        </w:rPr>
        <w:t xml:space="preserve"> </w:t>
      </w:r>
      <w:r w:rsidRPr="00297B1D">
        <w:rPr>
          <w:rFonts w:ascii="Simplified Arabic" w:hAnsi="Simplified Arabic" w:cs="Simplified Arabic"/>
          <w:b/>
          <w:bCs/>
          <w:sz w:val="28"/>
          <w:szCs w:val="28"/>
          <w:rtl/>
        </w:rPr>
        <w:t xml:space="preserve">تقنيات الذكاء الاصطناعي </w:t>
      </w:r>
      <w:r w:rsidR="005E6DFF" w:rsidRPr="000508AF">
        <w:rPr>
          <w:rFonts w:ascii="Simplified Arabic" w:hAnsi="Simplified Arabic" w:cs="Simplified Arabic"/>
          <w:b/>
          <w:bCs/>
          <w:sz w:val="28"/>
          <w:szCs w:val="28"/>
          <w:rtl/>
        </w:rPr>
        <w:t>(المتغير المستقل)</w:t>
      </w:r>
      <w:r w:rsidR="005E6DFF" w:rsidRPr="000508AF">
        <w:rPr>
          <w:rFonts w:ascii="Simplified Arabic" w:hAnsi="Simplified Arabic" w:cs="Simplified Arabic"/>
          <w:sz w:val="28"/>
          <w:szCs w:val="28"/>
          <w:rtl/>
        </w:rPr>
        <w:t>، ويضم أربعة أبعاد هي</w:t>
      </w:r>
      <w:r w:rsidR="005E6DFF" w:rsidRPr="000508AF">
        <w:rPr>
          <w:rFonts w:ascii="Simplified Arabic" w:hAnsi="Simplified Arabic" w:cs="Simplified Arabic"/>
          <w:sz w:val="28"/>
          <w:szCs w:val="28"/>
        </w:rPr>
        <w:t>:</w:t>
      </w:r>
    </w:p>
    <w:p w14:paraId="360C45F9"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جمع البيانات ومعالجتها</w:t>
      </w:r>
    </w:p>
    <w:p w14:paraId="06F3570D"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النماذج التنبؤية</w:t>
      </w:r>
    </w:p>
    <w:p w14:paraId="04C40575"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الأتمتة الذكية</w:t>
      </w:r>
    </w:p>
    <w:p w14:paraId="18610EF9" w14:textId="2354BC2E" w:rsidR="00297B1D" w:rsidRPr="000508AF" w:rsidRDefault="00297B1D" w:rsidP="00297B1D">
      <w:pPr>
        <w:ind w:left="720"/>
        <w:jc w:val="both"/>
        <w:rPr>
          <w:rFonts w:ascii="Simplified Arabic" w:hAnsi="Simplified Arabic" w:cs="Simplified Arabic"/>
          <w:sz w:val="28"/>
          <w:szCs w:val="28"/>
        </w:rPr>
      </w:pPr>
      <w:r w:rsidRPr="00297B1D">
        <w:rPr>
          <w:rFonts w:ascii="Simplified Arabic" w:hAnsi="Simplified Arabic" w:cs="Simplified Arabic"/>
          <w:sz w:val="28"/>
          <w:szCs w:val="28"/>
          <w:rtl/>
        </w:rPr>
        <w:lastRenderedPageBreak/>
        <w:t xml:space="preserve"> وأنظمة دعم القرار</w:t>
      </w:r>
    </w:p>
    <w:p w14:paraId="697BF078" w14:textId="4D577F05" w:rsidR="005E6DFF" w:rsidRPr="000508AF" w:rsidRDefault="005E6DFF">
      <w:pPr>
        <w:numPr>
          <w:ilvl w:val="0"/>
          <w:numId w:val="7"/>
        </w:numPr>
        <w:jc w:val="both"/>
        <w:rPr>
          <w:rFonts w:ascii="Simplified Arabic" w:hAnsi="Simplified Arabic" w:cs="Simplified Arabic"/>
          <w:sz w:val="28"/>
          <w:szCs w:val="28"/>
        </w:rPr>
      </w:pPr>
      <w:r w:rsidRPr="000508AF">
        <w:rPr>
          <w:rFonts w:ascii="Simplified Arabic" w:hAnsi="Simplified Arabic" w:cs="Simplified Arabic"/>
          <w:b/>
          <w:bCs/>
          <w:sz w:val="28"/>
          <w:szCs w:val="28"/>
          <w:rtl/>
        </w:rPr>
        <w:t xml:space="preserve">المحور </w:t>
      </w:r>
      <w:proofErr w:type="gramStart"/>
      <w:r w:rsidRPr="000508AF">
        <w:rPr>
          <w:rFonts w:ascii="Simplified Arabic" w:hAnsi="Simplified Arabic" w:cs="Simplified Arabic"/>
          <w:b/>
          <w:bCs/>
          <w:sz w:val="28"/>
          <w:szCs w:val="28"/>
          <w:rtl/>
        </w:rPr>
        <w:t>الث</w:t>
      </w:r>
      <w:r w:rsidR="00297B1D">
        <w:rPr>
          <w:rFonts w:ascii="Simplified Arabic" w:hAnsi="Simplified Arabic" w:cs="Simplified Arabic" w:hint="cs"/>
          <w:b/>
          <w:bCs/>
          <w:sz w:val="28"/>
          <w:szCs w:val="28"/>
          <w:rtl/>
        </w:rPr>
        <w:t xml:space="preserve">الث </w:t>
      </w:r>
      <w:r w:rsidRPr="000508AF">
        <w:rPr>
          <w:rFonts w:ascii="Simplified Arabic" w:hAnsi="Simplified Arabic" w:cs="Simplified Arabic"/>
          <w:b/>
          <w:bCs/>
          <w:sz w:val="28"/>
          <w:szCs w:val="28"/>
          <w:rtl/>
        </w:rPr>
        <w:t>:</w:t>
      </w:r>
      <w:proofErr w:type="gramEnd"/>
      <w:r w:rsidRPr="000508AF">
        <w:rPr>
          <w:rFonts w:ascii="Simplified Arabic" w:hAnsi="Simplified Arabic" w:cs="Simplified Arabic"/>
          <w:b/>
          <w:bCs/>
          <w:sz w:val="28"/>
          <w:szCs w:val="28"/>
          <w:rtl/>
        </w:rPr>
        <w:t xml:space="preserve"> </w:t>
      </w:r>
      <w:r w:rsidR="00297B1D" w:rsidRPr="00297B1D">
        <w:rPr>
          <w:rFonts w:ascii="Simplified Arabic" w:hAnsi="Simplified Arabic" w:cs="Simplified Arabic"/>
          <w:b/>
          <w:bCs/>
          <w:sz w:val="28"/>
          <w:szCs w:val="28"/>
          <w:rtl/>
        </w:rPr>
        <w:t xml:space="preserve">تحسين سلسلة القيمة التشغيلية </w:t>
      </w:r>
      <w:r w:rsidRPr="000508AF">
        <w:rPr>
          <w:rFonts w:ascii="Simplified Arabic" w:hAnsi="Simplified Arabic" w:cs="Simplified Arabic"/>
          <w:b/>
          <w:bCs/>
          <w:sz w:val="28"/>
          <w:szCs w:val="28"/>
          <w:rtl/>
        </w:rPr>
        <w:t>(المتغير التابع</w:t>
      </w:r>
      <w:proofErr w:type="gramStart"/>
      <w:r w:rsidRPr="000508AF">
        <w:rPr>
          <w:rFonts w:ascii="Simplified Arabic" w:hAnsi="Simplified Arabic" w:cs="Simplified Arabic"/>
          <w:b/>
          <w:bCs/>
          <w:sz w:val="28"/>
          <w:szCs w:val="28"/>
          <w:rtl/>
        </w:rPr>
        <w:t>)</w:t>
      </w:r>
      <w:r w:rsidR="00297B1D">
        <w:rPr>
          <w:rFonts w:ascii="Simplified Arabic" w:hAnsi="Simplified Arabic" w:cs="Simplified Arabic" w:hint="cs"/>
          <w:sz w:val="28"/>
          <w:szCs w:val="28"/>
          <w:rtl/>
        </w:rPr>
        <w:t xml:space="preserve"> .</w:t>
      </w:r>
      <w:proofErr w:type="gramEnd"/>
    </w:p>
    <w:p w14:paraId="5FB8EC73" w14:textId="7C6918B6" w:rsidR="000508AF" w:rsidRDefault="005E6DFF" w:rsidP="005E6DFF">
      <w:pPr>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وسيتم إعداد الاستبانة وفق مقياس </w:t>
      </w:r>
      <w:proofErr w:type="spellStart"/>
      <w:r w:rsidRPr="00297B1D">
        <w:rPr>
          <w:rFonts w:ascii="Simplified Arabic" w:hAnsi="Simplified Arabic" w:cs="Simplified Arabic"/>
          <w:sz w:val="28"/>
          <w:szCs w:val="28"/>
          <w:rtl/>
        </w:rPr>
        <w:t>ليكرت</w:t>
      </w:r>
      <w:proofErr w:type="spellEnd"/>
      <w:r w:rsidRPr="00297B1D">
        <w:rPr>
          <w:rFonts w:ascii="Simplified Arabic" w:hAnsi="Simplified Arabic" w:cs="Simplified Arabic"/>
          <w:sz w:val="28"/>
          <w:szCs w:val="28"/>
          <w:rtl/>
        </w:rPr>
        <w:t xml:space="preserve"> الخماسي (من “أوافق بشدة” إلى “لا أوافق بشدة”) لقياس درجة موافقة المبحوثين على بنود كل محور</w:t>
      </w:r>
      <w:r w:rsidRPr="00297B1D">
        <w:rPr>
          <w:rFonts w:ascii="Simplified Arabic" w:hAnsi="Simplified Arabic" w:cs="Simplified Arabic"/>
          <w:sz w:val="28"/>
          <w:szCs w:val="28"/>
        </w:rPr>
        <w:t>.</w:t>
      </w:r>
    </w:p>
    <w:p w14:paraId="47F87A9F"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تحرص الباحثة على أن تخضع الاستبانة لسلسلة من الإجراءات المنهجية المتتابعة التي تضمن سلامة قياسها للظاهرة موضع الدراسة، وذلك عبر خمس مراحل مترابطة تتكامل فيما بينها لبناء أداة قياس رصينة وموثوقة</w:t>
      </w:r>
      <w:r w:rsidRPr="009421C9">
        <w:rPr>
          <w:rFonts w:ascii="Simplified Arabic" w:hAnsi="Simplified Arabic" w:cs="Simplified Arabic"/>
          <w:color w:val="EE0000"/>
          <w:sz w:val="28"/>
          <w:szCs w:val="28"/>
        </w:rPr>
        <w:t>.</w:t>
      </w:r>
    </w:p>
    <w:p w14:paraId="22851196"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تبدأ الباحثة بالتحقق من صدق المحتوى باعتباره الخطوة التأسيسية التي يقوم عليها ما يليها من إجراءات، وذلك من خلال تطبيق أسلوب دلفي المُعدَّل</w:t>
      </w:r>
      <w:r w:rsidRPr="009421C9">
        <w:rPr>
          <w:rFonts w:ascii="Simplified Arabic" w:hAnsi="Simplified Arabic" w:cs="Simplified Arabic"/>
          <w:color w:val="EE0000"/>
          <w:sz w:val="28"/>
          <w:szCs w:val="28"/>
        </w:rPr>
        <w:t xml:space="preserve"> (Modified Delphi Method) </w:t>
      </w:r>
      <w:r w:rsidRPr="009421C9">
        <w:rPr>
          <w:rFonts w:ascii="Simplified Arabic" w:hAnsi="Simplified Arabic" w:cs="Simplified Arabic"/>
          <w:color w:val="EE0000"/>
          <w:sz w:val="28"/>
          <w:szCs w:val="28"/>
          <w:rtl/>
        </w:rPr>
        <w:t>الذي يُتيح الوصول إلى توافق منهجي بين المحكّمين عبر جولات متتابعة. وتتشكل لجنة التحكيم من اثني عشر محكماً يُختارون بعناية لضمان تنوع الخبرات وثرائها، بحيث تضم أربعة أكاديميين متخصصين في الإدارة العامة والتحول الرقمي برتبة أستاذ أو أستاذ مشارك، وأربعة خبراء تقنيين متخصصين في الذكاء الاصطناعي وعلوم البيانات، وأربعة قياديين تنفيذيين حكوميين ذوي خبرة عملية تزيد على عشر سنوات في الإدارات المستهدفة بالدراسة. وتمر عملية التحكيم بثلاث جولات؛ تُخصَّص الأولى للتقييم الفردي المكتوب لكل بند على أربعة أبعاد هي الوضوح والملاءمة والانتماء للبُعد المُقاس والشمول، باستخدام مقياس رباعي يُحسب على أساسه مؤشر صدق المحتوى</w:t>
      </w:r>
      <w:r w:rsidRPr="009421C9">
        <w:rPr>
          <w:rFonts w:ascii="Simplified Arabic" w:hAnsi="Simplified Arabic" w:cs="Simplified Arabic"/>
          <w:color w:val="EE0000"/>
          <w:sz w:val="28"/>
          <w:szCs w:val="28"/>
        </w:rPr>
        <w:t xml:space="preserve"> (Content Validity Index) </w:t>
      </w:r>
      <w:r w:rsidRPr="009421C9">
        <w:rPr>
          <w:rFonts w:ascii="Simplified Arabic" w:hAnsi="Simplified Arabic" w:cs="Simplified Arabic"/>
          <w:color w:val="EE0000"/>
          <w:sz w:val="28"/>
          <w:szCs w:val="28"/>
          <w:rtl/>
        </w:rPr>
        <w:t xml:space="preserve">لكل بند، ويُقبل البند عند بلوغ قيمته 0.78 فأعلى وفق المعيار الذي </w:t>
      </w:r>
      <w:proofErr w:type="spellStart"/>
      <w:r w:rsidRPr="009421C9">
        <w:rPr>
          <w:rFonts w:ascii="Simplified Arabic" w:hAnsi="Simplified Arabic" w:cs="Simplified Arabic"/>
          <w:color w:val="EE0000"/>
          <w:sz w:val="28"/>
          <w:szCs w:val="28"/>
          <w:rtl/>
        </w:rPr>
        <w:t>أرساه</w:t>
      </w:r>
      <w:proofErr w:type="spellEnd"/>
      <w:r w:rsidRPr="009421C9">
        <w:rPr>
          <w:rFonts w:ascii="Simplified Arabic" w:hAnsi="Simplified Arabic" w:cs="Simplified Arabic"/>
          <w:color w:val="EE0000"/>
          <w:sz w:val="28"/>
          <w:szCs w:val="28"/>
          <w:rtl/>
        </w:rPr>
        <w:t xml:space="preserve"> بوليت وبيك</w:t>
      </w:r>
      <w:r w:rsidRPr="009421C9">
        <w:rPr>
          <w:rFonts w:ascii="Simplified Arabic" w:hAnsi="Simplified Arabic" w:cs="Simplified Arabic"/>
          <w:color w:val="EE0000"/>
          <w:sz w:val="28"/>
          <w:szCs w:val="28"/>
        </w:rPr>
        <w:t xml:space="preserve"> (Polit &amp; Beck, 2006). </w:t>
      </w:r>
      <w:r w:rsidRPr="009421C9">
        <w:rPr>
          <w:rFonts w:ascii="Simplified Arabic" w:hAnsi="Simplified Arabic" w:cs="Simplified Arabic"/>
          <w:color w:val="EE0000"/>
          <w:sz w:val="28"/>
          <w:szCs w:val="28"/>
          <w:rtl/>
        </w:rPr>
        <w:t xml:space="preserve">وتُخصَّص الجولة الثانية لإعادة عرض البنود المُعدَّلة على المحكّمين مصحوبة بتلخيص لآراء الجولة الأولى، بهدف الوصول إلى توافق </w:t>
      </w:r>
      <w:r w:rsidRPr="009421C9">
        <w:rPr>
          <w:rFonts w:ascii="Simplified Arabic" w:hAnsi="Simplified Arabic" w:cs="Simplified Arabic"/>
          <w:color w:val="EE0000"/>
          <w:sz w:val="28"/>
          <w:szCs w:val="28"/>
        </w:rPr>
        <w:t xml:space="preserve">(Consensus) </w:t>
      </w:r>
      <w:r w:rsidRPr="009421C9">
        <w:rPr>
          <w:rFonts w:ascii="Simplified Arabic" w:hAnsi="Simplified Arabic" w:cs="Simplified Arabic"/>
          <w:color w:val="EE0000"/>
          <w:sz w:val="28"/>
          <w:szCs w:val="28"/>
          <w:rtl/>
        </w:rPr>
        <w:t>لا تقل نسبته عن 80% بين المحكّمين على البنود النهائية. أما الجولة الثالثة فتُكرَّس للمراجعة النهائية الشاملة واعتماد الصيغة الرسمية للأداة قبل الشروع في الدراسة التجريبية</w:t>
      </w:r>
      <w:r w:rsidRPr="009421C9">
        <w:rPr>
          <w:rFonts w:ascii="Simplified Arabic" w:hAnsi="Simplified Arabic" w:cs="Simplified Arabic"/>
          <w:color w:val="EE0000"/>
          <w:sz w:val="28"/>
          <w:szCs w:val="28"/>
        </w:rPr>
        <w:t>.</w:t>
      </w:r>
    </w:p>
    <w:p w14:paraId="66006994"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وتنتقل الباحثة بعد ذلك إلى التحقق من صدق البناء بأسلوبين متكاملين. يتمثل الأسلوب الأول في التحليل العاملي الاستكشافي</w:t>
      </w:r>
      <w:r w:rsidRPr="009421C9">
        <w:rPr>
          <w:rFonts w:ascii="Simplified Arabic" w:hAnsi="Simplified Arabic" w:cs="Simplified Arabic"/>
          <w:color w:val="EE0000"/>
          <w:sz w:val="28"/>
          <w:szCs w:val="28"/>
        </w:rPr>
        <w:t xml:space="preserve"> (Exploratory Factor Analysis) </w:t>
      </w:r>
      <w:r w:rsidRPr="009421C9">
        <w:rPr>
          <w:rFonts w:ascii="Simplified Arabic" w:hAnsi="Simplified Arabic" w:cs="Simplified Arabic"/>
          <w:color w:val="EE0000"/>
          <w:sz w:val="28"/>
          <w:szCs w:val="28"/>
          <w:rtl/>
        </w:rPr>
        <w:t>الذي يُطبَّق على بيانات الدراسة التجريبية المكوَّنة من ستين مفردة، وهو حجم يتوافق مع القاعدة المنهجية التي أوصى بها هير وزملاؤه</w:t>
      </w:r>
      <w:r w:rsidRPr="009421C9">
        <w:rPr>
          <w:rFonts w:ascii="Simplified Arabic" w:hAnsi="Simplified Arabic" w:cs="Simplified Arabic"/>
          <w:color w:val="EE0000"/>
          <w:sz w:val="28"/>
          <w:szCs w:val="28"/>
        </w:rPr>
        <w:t xml:space="preserve"> (Hair et al., 2019) </w:t>
      </w:r>
      <w:r w:rsidRPr="009421C9">
        <w:rPr>
          <w:rFonts w:ascii="Simplified Arabic" w:hAnsi="Simplified Arabic" w:cs="Simplified Arabic"/>
          <w:color w:val="EE0000"/>
          <w:sz w:val="28"/>
          <w:szCs w:val="28"/>
          <w:rtl/>
        </w:rPr>
        <w:t xml:space="preserve">والقائلة بضرورة أن يبلغ حجم العينة التجريبية خمسة أضعاف عدد بنود المقياس على أقل </w:t>
      </w:r>
      <w:r w:rsidRPr="009421C9">
        <w:rPr>
          <w:rFonts w:ascii="Simplified Arabic" w:hAnsi="Simplified Arabic" w:cs="Simplified Arabic"/>
          <w:color w:val="EE0000"/>
          <w:sz w:val="28"/>
          <w:szCs w:val="28"/>
          <w:rtl/>
        </w:rPr>
        <w:lastRenderedPageBreak/>
        <w:t xml:space="preserve">تقدير. ويُقبل النموذج العاملي عند تحقق مجموعة من المعايير الإحصائية المتكاملة، تشمل بلوغ قيمة اختبار </w:t>
      </w:r>
      <w:proofErr w:type="spellStart"/>
      <w:r w:rsidRPr="009421C9">
        <w:rPr>
          <w:rFonts w:ascii="Simplified Arabic" w:hAnsi="Simplified Arabic" w:cs="Simplified Arabic"/>
          <w:color w:val="EE0000"/>
          <w:sz w:val="28"/>
          <w:szCs w:val="28"/>
          <w:rtl/>
        </w:rPr>
        <w:t>كايزر</w:t>
      </w:r>
      <w:proofErr w:type="spellEnd"/>
      <w:r w:rsidRPr="009421C9">
        <w:rPr>
          <w:rFonts w:ascii="Simplified Arabic" w:hAnsi="Simplified Arabic" w:cs="Simplified Arabic"/>
          <w:color w:val="EE0000"/>
          <w:sz w:val="28"/>
          <w:szCs w:val="28"/>
          <w:rtl/>
        </w:rPr>
        <w:t>-ماير-أولكن</w:t>
      </w:r>
      <w:r w:rsidRPr="009421C9">
        <w:rPr>
          <w:rFonts w:ascii="Simplified Arabic" w:hAnsi="Simplified Arabic" w:cs="Simplified Arabic"/>
          <w:color w:val="EE0000"/>
          <w:sz w:val="28"/>
          <w:szCs w:val="28"/>
        </w:rPr>
        <w:t xml:space="preserve"> (KMO) 0.70 </w:t>
      </w:r>
      <w:r w:rsidRPr="009421C9">
        <w:rPr>
          <w:rFonts w:ascii="Simplified Arabic" w:hAnsi="Simplified Arabic" w:cs="Simplified Arabic"/>
          <w:color w:val="EE0000"/>
          <w:sz w:val="28"/>
          <w:szCs w:val="28"/>
          <w:rtl/>
        </w:rPr>
        <w:t xml:space="preserve">فأعلى، ودلالة اختبار </w:t>
      </w:r>
      <w:proofErr w:type="spellStart"/>
      <w:r w:rsidRPr="009421C9">
        <w:rPr>
          <w:rFonts w:ascii="Simplified Arabic" w:hAnsi="Simplified Arabic" w:cs="Simplified Arabic"/>
          <w:color w:val="EE0000"/>
          <w:sz w:val="28"/>
          <w:szCs w:val="28"/>
          <w:rtl/>
        </w:rPr>
        <w:t>بارتلت</w:t>
      </w:r>
      <w:proofErr w:type="spellEnd"/>
      <w:r w:rsidRPr="009421C9">
        <w:rPr>
          <w:rFonts w:ascii="Simplified Arabic" w:hAnsi="Simplified Arabic" w:cs="Simplified Arabic"/>
          <w:color w:val="EE0000"/>
          <w:sz w:val="28"/>
          <w:szCs w:val="28"/>
          <w:rtl/>
        </w:rPr>
        <w:t xml:space="preserve"> للكروية عند مستوى أقل من 0.05، وتحميل كل بند على عامله بقيمة لا تقل عن </w:t>
      </w:r>
      <w:r w:rsidRPr="009421C9">
        <w:rPr>
          <w:rFonts w:ascii="Simplified Arabic" w:hAnsi="Simplified Arabic" w:cs="Simplified Arabic"/>
          <w:color w:val="EE0000"/>
          <w:sz w:val="28"/>
          <w:szCs w:val="28"/>
        </w:rPr>
        <w:t>0.50</w:t>
      </w:r>
      <w:r w:rsidRPr="009421C9">
        <w:rPr>
          <w:rFonts w:ascii="Simplified Arabic" w:hAnsi="Simplified Arabic" w:cs="Simplified Arabic"/>
          <w:color w:val="EE0000"/>
          <w:sz w:val="28"/>
          <w:szCs w:val="28"/>
          <w:rtl/>
        </w:rPr>
        <w:t>، وتجاوز قيمة الجذر الكامن</w:t>
      </w:r>
      <w:r w:rsidRPr="009421C9">
        <w:rPr>
          <w:rFonts w:ascii="Simplified Arabic" w:hAnsi="Simplified Arabic" w:cs="Simplified Arabic"/>
          <w:color w:val="EE0000"/>
          <w:sz w:val="28"/>
          <w:szCs w:val="28"/>
        </w:rPr>
        <w:t xml:space="preserve"> (Eigenvalue) </w:t>
      </w:r>
      <w:r w:rsidRPr="009421C9">
        <w:rPr>
          <w:rFonts w:ascii="Simplified Arabic" w:hAnsi="Simplified Arabic" w:cs="Simplified Arabic"/>
          <w:color w:val="EE0000"/>
          <w:sz w:val="28"/>
          <w:szCs w:val="28"/>
          <w:rtl/>
        </w:rPr>
        <w:t>للعامل الواحد الصحيح، وتفسير النموذج مجتمعاً لما لا يقل عن 60% من التباين الكلي، مع اشتراط عدم وجود تحميلات مزدوجة</w:t>
      </w:r>
      <w:r w:rsidRPr="009421C9">
        <w:rPr>
          <w:rFonts w:ascii="Simplified Arabic" w:hAnsi="Simplified Arabic" w:cs="Simplified Arabic"/>
          <w:color w:val="EE0000"/>
          <w:sz w:val="28"/>
          <w:szCs w:val="28"/>
        </w:rPr>
        <w:t xml:space="preserve"> (Cross-loadings) </w:t>
      </w:r>
      <w:r w:rsidRPr="009421C9">
        <w:rPr>
          <w:rFonts w:ascii="Simplified Arabic" w:hAnsi="Simplified Arabic" w:cs="Simplified Arabic"/>
          <w:color w:val="EE0000"/>
          <w:sz w:val="28"/>
          <w:szCs w:val="28"/>
          <w:rtl/>
        </w:rPr>
        <w:t>تتجاوز 0.30 على عوامل أخرى</w:t>
      </w:r>
      <w:r w:rsidRPr="009421C9">
        <w:rPr>
          <w:rFonts w:ascii="Simplified Arabic" w:hAnsi="Simplified Arabic" w:cs="Simplified Arabic"/>
          <w:color w:val="EE0000"/>
          <w:sz w:val="28"/>
          <w:szCs w:val="28"/>
        </w:rPr>
        <w:t>.</w:t>
      </w:r>
    </w:p>
    <w:p w14:paraId="38DF348C"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ويأتي الأسلوب الثاني للتحقق من صدق البناء عبر التحليل العاملي التوكيدي</w:t>
      </w:r>
      <w:r w:rsidRPr="009421C9">
        <w:rPr>
          <w:rFonts w:ascii="Simplified Arabic" w:hAnsi="Simplified Arabic" w:cs="Simplified Arabic"/>
          <w:color w:val="EE0000"/>
          <w:sz w:val="28"/>
          <w:szCs w:val="28"/>
        </w:rPr>
        <w:t xml:space="preserve"> (Confirmatory Factor Analysis) </w:t>
      </w:r>
      <w:r w:rsidRPr="009421C9">
        <w:rPr>
          <w:rFonts w:ascii="Simplified Arabic" w:hAnsi="Simplified Arabic" w:cs="Simplified Arabic"/>
          <w:color w:val="EE0000"/>
          <w:sz w:val="28"/>
          <w:szCs w:val="28"/>
          <w:rtl/>
        </w:rPr>
        <w:t>الذي يُطبَّق على بيانات الدراسة الرئيسة البالغة 420 استبانة باستخدام برنامج</w:t>
      </w:r>
      <w:r w:rsidRPr="009421C9">
        <w:rPr>
          <w:rFonts w:ascii="Simplified Arabic" w:hAnsi="Simplified Arabic" w:cs="Simplified Arabic"/>
          <w:color w:val="EE0000"/>
          <w:sz w:val="28"/>
          <w:szCs w:val="28"/>
        </w:rPr>
        <w:t xml:space="preserve"> AMOS </w:t>
      </w:r>
      <w:r w:rsidRPr="009421C9">
        <w:rPr>
          <w:rFonts w:ascii="Simplified Arabic" w:hAnsi="Simplified Arabic" w:cs="Simplified Arabic"/>
          <w:color w:val="EE0000"/>
          <w:sz w:val="28"/>
          <w:szCs w:val="28"/>
          <w:rtl/>
        </w:rPr>
        <w:t>في نسخته الثامنة والعشرين أو برنامج</w:t>
      </w:r>
      <w:r w:rsidRPr="009421C9">
        <w:rPr>
          <w:rFonts w:ascii="Simplified Arabic" w:hAnsi="Simplified Arabic" w:cs="Simplified Arabic"/>
          <w:color w:val="EE0000"/>
          <w:sz w:val="28"/>
          <w:szCs w:val="28"/>
        </w:rPr>
        <w:t xml:space="preserve"> </w:t>
      </w:r>
      <w:proofErr w:type="spellStart"/>
      <w:r w:rsidRPr="009421C9">
        <w:rPr>
          <w:rFonts w:ascii="Simplified Arabic" w:hAnsi="Simplified Arabic" w:cs="Simplified Arabic"/>
          <w:color w:val="EE0000"/>
          <w:sz w:val="28"/>
          <w:szCs w:val="28"/>
        </w:rPr>
        <w:t>SmartPLS</w:t>
      </w:r>
      <w:proofErr w:type="spellEnd"/>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 xml:space="preserve">في نسخته الرابعة. ويُحكم على مطابقة النموذج للبيانات وفق مؤشرات متعددة تتكامل فيما بينها لتقديم صورة شاملة، وذلك استناداً إلى المعايير التي </w:t>
      </w:r>
      <w:proofErr w:type="spellStart"/>
      <w:r w:rsidRPr="009421C9">
        <w:rPr>
          <w:rFonts w:ascii="Simplified Arabic" w:hAnsi="Simplified Arabic" w:cs="Simplified Arabic"/>
          <w:color w:val="EE0000"/>
          <w:sz w:val="28"/>
          <w:szCs w:val="28"/>
          <w:rtl/>
        </w:rPr>
        <w:t>أرساها</w:t>
      </w:r>
      <w:proofErr w:type="spellEnd"/>
      <w:r w:rsidRPr="009421C9">
        <w:rPr>
          <w:rFonts w:ascii="Simplified Arabic" w:hAnsi="Simplified Arabic" w:cs="Simplified Arabic"/>
          <w:color w:val="EE0000"/>
          <w:sz w:val="28"/>
          <w:szCs w:val="28"/>
          <w:rtl/>
        </w:rPr>
        <w:t xml:space="preserve"> هيو </w:t>
      </w:r>
      <w:proofErr w:type="spellStart"/>
      <w:r w:rsidRPr="009421C9">
        <w:rPr>
          <w:rFonts w:ascii="Simplified Arabic" w:hAnsi="Simplified Arabic" w:cs="Simplified Arabic"/>
          <w:color w:val="EE0000"/>
          <w:sz w:val="28"/>
          <w:szCs w:val="28"/>
          <w:rtl/>
        </w:rPr>
        <w:t>وبنتلر</w:t>
      </w:r>
      <w:proofErr w:type="spellEnd"/>
      <w:r w:rsidRPr="009421C9">
        <w:rPr>
          <w:rFonts w:ascii="Simplified Arabic" w:hAnsi="Simplified Arabic" w:cs="Simplified Arabic"/>
          <w:color w:val="EE0000"/>
          <w:sz w:val="28"/>
          <w:szCs w:val="28"/>
        </w:rPr>
        <w:t xml:space="preserve"> (Hu &amp; Bentler, 1999) </w:t>
      </w:r>
      <w:r w:rsidRPr="009421C9">
        <w:rPr>
          <w:rFonts w:ascii="Simplified Arabic" w:hAnsi="Simplified Arabic" w:cs="Simplified Arabic"/>
          <w:color w:val="EE0000"/>
          <w:sz w:val="28"/>
          <w:szCs w:val="28"/>
          <w:rtl/>
        </w:rPr>
        <w:t>وطوّرها كلاين</w:t>
      </w:r>
      <w:r w:rsidRPr="009421C9">
        <w:rPr>
          <w:rFonts w:ascii="Simplified Arabic" w:hAnsi="Simplified Arabic" w:cs="Simplified Arabic"/>
          <w:color w:val="EE0000"/>
          <w:sz w:val="28"/>
          <w:szCs w:val="28"/>
        </w:rPr>
        <w:t xml:space="preserve"> (Kline, 2023) </w:t>
      </w:r>
      <w:r w:rsidRPr="009421C9">
        <w:rPr>
          <w:rFonts w:ascii="Simplified Arabic" w:hAnsi="Simplified Arabic" w:cs="Simplified Arabic"/>
          <w:color w:val="EE0000"/>
          <w:sz w:val="28"/>
          <w:szCs w:val="28"/>
          <w:rtl/>
        </w:rPr>
        <w:t>لاحقاً؛ إذ يُشترط أن تكون نسبة كاي تربيع إلى درجات الحرية أقل من ثلاثة، وأن يبلغ كل من مؤشر المطابقة المقارن</w:t>
      </w:r>
      <w:r w:rsidRPr="009421C9">
        <w:rPr>
          <w:rFonts w:ascii="Simplified Arabic" w:hAnsi="Simplified Arabic" w:cs="Simplified Arabic"/>
          <w:color w:val="EE0000"/>
          <w:sz w:val="28"/>
          <w:szCs w:val="28"/>
        </w:rPr>
        <w:t xml:space="preserve"> (CFI) </w:t>
      </w:r>
      <w:r w:rsidRPr="009421C9">
        <w:rPr>
          <w:rFonts w:ascii="Simplified Arabic" w:hAnsi="Simplified Arabic" w:cs="Simplified Arabic"/>
          <w:color w:val="EE0000"/>
          <w:sz w:val="28"/>
          <w:szCs w:val="28"/>
          <w:rtl/>
        </w:rPr>
        <w:t>ومؤشر تاكر-لويس</w:t>
      </w:r>
      <w:r w:rsidRPr="009421C9">
        <w:rPr>
          <w:rFonts w:ascii="Simplified Arabic" w:hAnsi="Simplified Arabic" w:cs="Simplified Arabic"/>
          <w:color w:val="EE0000"/>
          <w:sz w:val="28"/>
          <w:szCs w:val="28"/>
        </w:rPr>
        <w:t xml:space="preserve"> (TLI) </w:t>
      </w:r>
      <w:r w:rsidRPr="009421C9">
        <w:rPr>
          <w:rFonts w:ascii="Simplified Arabic" w:hAnsi="Simplified Arabic" w:cs="Simplified Arabic"/>
          <w:color w:val="EE0000"/>
          <w:sz w:val="28"/>
          <w:szCs w:val="28"/>
          <w:rtl/>
        </w:rPr>
        <w:t>قيمة 0.90 فأعلى، وألا تتجاوز قيمة جذر متوسط مربعات خطأ التقريب</w:t>
      </w:r>
      <w:r w:rsidRPr="009421C9">
        <w:rPr>
          <w:rFonts w:ascii="Simplified Arabic" w:hAnsi="Simplified Arabic" w:cs="Simplified Arabic"/>
          <w:color w:val="EE0000"/>
          <w:sz w:val="28"/>
          <w:szCs w:val="28"/>
        </w:rPr>
        <w:t xml:space="preserve"> (RMSEA) </w:t>
      </w:r>
      <w:r w:rsidRPr="009421C9">
        <w:rPr>
          <w:rFonts w:ascii="Simplified Arabic" w:hAnsi="Simplified Arabic" w:cs="Simplified Arabic"/>
          <w:color w:val="EE0000"/>
          <w:sz w:val="28"/>
          <w:szCs w:val="28"/>
          <w:rtl/>
        </w:rPr>
        <w:t>وجذر متوسط مربعات البواقي المعياري</w:t>
      </w:r>
      <w:r w:rsidRPr="009421C9">
        <w:rPr>
          <w:rFonts w:ascii="Simplified Arabic" w:hAnsi="Simplified Arabic" w:cs="Simplified Arabic"/>
          <w:color w:val="EE0000"/>
          <w:sz w:val="28"/>
          <w:szCs w:val="28"/>
        </w:rPr>
        <w:t xml:space="preserve"> (SRMR) 0.08.</w:t>
      </w:r>
    </w:p>
    <w:p w14:paraId="65EFBA45"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 xml:space="preserve">وتستكمل الباحثة التحقق من جودة القياس بفحص الصدق </w:t>
      </w:r>
      <w:proofErr w:type="spellStart"/>
      <w:r w:rsidRPr="009421C9">
        <w:rPr>
          <w:rFonts w:ascii="Simplified Arabic" w:hAnsi="Simplified Arabic" w:cs="Simplified Arabic"/>
          <w:color w:val="EE0000"/>
          <w:sz w:val="28"/>
          <w:szCs w:val="28"/>
          <w:rtl/>
        </w:rPr>
        <w:t>التقاربي</w:t>
      </w:r>
      <w:proofErr w:type="spellEnd"/>
      <w:r w:rsidRPr="009421C9">
        <w:rPr>
          <w:rFonts w:ascii="Simplified Arabic" w:hAnsi="Simplified Arabic" w:cs="Simplified Arabic"/>
          <w:color w:val="EE0000"/>
          <w:sz w:val="28"/>
          <w:szCs w:val="28"/>
          <w:rtl/>
        </w:rPr>
        <w:t xml:space="preserve"> والصدق التمييزي، إذ يُحسب متوسط التباين المُستخلَص </w:t>
      </w:r>
      <w:r w:rsidRPr="009421C9">
        <w:rPr>
          <w:rFonts w:ascii="Simplified Arabic" w:hAnsi="Simplified Arabic" w:cs="Simplified Arabic"/>
          <w:color w:val="EE0000"/>
          <w:sz w:val="28"/>
          <w:szCs w:val="28"/>
        </w:rPr>
        <w:t xml:space="preserve">(Average Variance Extracted) </w:t>
      </w:r>
      <w:r w:rsidRPr="009421C9">
        <w:rPr>
          <w:rFonts w:ascii="Simplified Arabic" w:hAnsi="Simplified Arabic" w:cs="Simplified Arabic"/>
          <w:color w:val="EE0000"/>
          <w:sz w:val="28"/>
          <w:szCs w:val="28"/>
          <w:rtl/>
        </w:rPr>
        <w:t xml:space="preserve">لكل بُعد بحيث يبلغ 0.50 فأعلى دلالةً على أن البُعد يُفسّر ما لا يقل عن نصف التباين في بنوده، ويُحسب الثبات المركب </w:t>
      </w:r>
      <w:r w:rsidRPr="009421C9">
        <w:rPr>
          <w:rFonts w:ascii="Simplified Arabic" w:hAnsi="Simplified Arabic" w:cs="Simplified Arabic"/>
          <w:color w:val="EE0000"/>
          <w:sz w:val="28"/>
          <w:szCs w:val="28"/>
        </w:rPr>
        <w:t xml:space="preserve">(Composite Reliability) </w:t>
      </w:r>
      <w:r w:rsidRPr="009421C9">
        <w:rPr>
          <w:rFonts w:ascii="Simplified Arabic" w:hAnsi="Simplified Arabic" w:cs="Simplified Arabic"/>
          <w:color w:val="EE0000"/>
          <w:sz w:val="28"/>
          <w:szCs w:val="28"/>
          <w:rtl/>
        </w:rPr>
        <w:t xml:space="preserve">بحيث يبلغ 0.70 فأعلى. أما الصدق التمييزي فيُختبر بمعيارين لتعزيز </w:t>
      </w:r>
      <w:proofErr w:type="spellStart"/>
      <w:r w:rsidRPr="009421C9">
        <w:rPr>
          <w:rFonts w:ascii="Simplified Arabic" w:hAnsi="Simplified Arabic" w:cs="Simplified Arabic"/>
          <w:color w:val="EE0000"/>
          <w:sz w:val="28"/>
          <w:szCs w:val="28"/>
          <w:rtl/>
        </w:rPr>
        <w:t>الوثوقية</w:t>
      </w:r>
      <w:proofErr w:type="spellEnd"/>
      <w:r w:rsidRPr="009421C9">
        <w:rPr>
          <w:rFonts w:ascii="Simplified Arabic" w:hAnsi="Simplified Arabic" w:cs="Simplified Arabic"/>
          <w:color w:val="EE0000"/>
          <w:sz w:val="28"/>
          <w:szCs w:val="28"/>
          <w:rtl/>
        </w:rPr>
        <w:t xml:space="preserve">؛ الأول هو معيار </w:t>
      </w:r>
      <w:proofErr w:type="spellStart"/>
      <w:r w:rsidRPr="009421C9">
        <w:rPr>
          <w:rFonts w:ascii="Simplified Arabic" w:hAnsi="Simplified Arabic" w:cs="Simplified Arabic"/>
          <w:color w:val="EE0000"/>
          <w:sz w:val="28"/>
          <w:szCs w:val="28"/>
          <w:rtl/>
        </w:rPr>
        <w:t>فورنيل</w:t>
      </w:r>
      <w:proofErr w:type="spellEnd"/>
      <w:r w:rsidRPr="009421C9">
        <w:rPr>
          <w:rFonts w:ascii="Simplified Arabic" w:hAnsi="Simplified Arabic" w:cs="Simplified Arabic"/>
          <w:color w:val="EE0000"/>
          <w:sz w:val="28"/>
          <w:szCs w:val="28"/>
          <w:rtl/>
        </w:rPr>
        <w:t xml:space="preserve"> </w:t>
      </w:r>
      <w:proofErr w:type="spellStart"/>
      <w:r w:rsidRPr="009421C9">
        <w:rPr>
          <w:rFonts w:ascii="Simplified Arabic" w:hAnsi="Simplified Arabic" w:cs="Simplified Arabic"/>
          <w:color w:val="EE0000"/>
          <w:sz w:val="28"/>
          <w:szCs w:val="28"/>
          <w:rtl/>
        </w:rPr>
        <w:t>ولاركر</w:t>
      </w:r>
      <w:proofErr w:type="spellEnd"/>
      <w:r w:rsidRPr="009421C9">
        <w:rPr>
          <w:rFonts w:ascii="Simplified Arabic" w:hAnsi="Simplified Arabic" w:cs="Simplified Arabic"/>
          <w:color w:val="EE0000"/>
          <w:sz w:val="28"/>
          <w:szCs w:val="28"/>
        </w:rPr>
        <w:t xml:space="preserve"> (Fornell &amp; Larcker, 1981) </w:t>
      </w:r>
      <w:r w:rsidRPr="009421C9">
        <w:rPr>
          <w:rFonts w:ascii="Simplified Arabic" w:hAnsi="Simplified Arabic" w:cs="Simplified Arabic"/>
          <w:color w:val="EE0000"/>
          <w:sz w:val="28"/>
          <w:szCs w:val="28"/>
          <w:rtl/>
        </w:rPr>
        <w:t>الذي يستوجب أن يتجاوز الجذر التربيعي لمتوسط التباين المُستخلَص قيمَ الارتباطات بين البُعد وسائر الأبعاد الأخرى، والثاني هو معيار نسبة الارتباط المتغاير إلى الأحادي</w:t>
      </w:r>
      <w:r w:rsidRPr="009421C9">
        <w:rPr>
          <w:rFonts w:ascii="Simplified Arabic" w:hAnsi="Simplified Arabic" w:cs="Simplified Arabic"/>
          <w:color w:val="EE0000"/>
          <w:sz w:val="28"/>
          <w:szCs w:val="28"/>
        </w:rPr>
        <w:t xml:space="preserve"> (HTMT) </w:t>
      </w:r>
      <w:r w:rsidRPr="009421C9">
        <w:rPr>
          <w:rFonts w:ascii="Simplified Arabic" w:hAnsi="Simplified Arabic" w:cs="Simplified Arabic"/>
          <w:color w:val="EE0000"/>
          <w:sz w:val="28"/>
          <w:szCs w:val="28"/>
          <w:rtl/>
        </w:rPr>
        <w:t xml:space="preserve">الذي طوّره </w:t>
      </w:r>
      <w:proofErr w:type="spellStart"/>
      <w:r w:rsidRPr="009421C9">
        <w:rPr>
          <w:rFonts w:ascii="Simplified Arabic" w:hAnsi="Simplified Arabic" w:cs="Simplified Arabic"/>
          <w:color w:val="EE0000"/>
          <w:sz w:val="28"/>
          <w:szCs w:val="28"/>
          <w:rtl/>
        </w:rPr>
        <w:t>هينسلر</w:t>
      </w:r>
      <w:proofErr w:type="spellEnd"/>
      <w:r w:rsidRPr="009421C9">
        <w:rPr>
          <w:rFonts w:ascii="Simplified Arabic" w:hAnsi="Simplified Arabic" w:cs="Simplified Arabic"/>
          <w:color w:val="EE0000"/>
          <w:sz w:val="28"/>
          <w:szCs w:val="28"/>
          <w:rtl/>
        </w:rPr>
        <w:t xml:space="preserve"> وزملاؤه</w:t>
      </w:r>
      <w:r w:rsidRPr="009421C9">
        <w:rPr>
          <w:rFonts w:ascii="Simplified Arabic" w:hAnsi="Simplified Arabic" w:cs="Simplified Arabic"/>
          <w:color w:val="EE0000"/>
          <w:sz w:val="28"/>
          <w:szCs w:val="28"/>
        </w:rPr>
        <w:t xml:space="preserve"> (Henseler et al., 2015) </w:t>
      </w:r>
      <w:r w:rsidRPr="009421C9">
        <w:rPr>
          <w:rFonts w:ascii="Simplified Arabic" w:hAnsi="Simplified Arabic" w:cs="Simplified Arabic"/>
          <w:color w:val="EE0000"/>
          <w:sz w:val="28"/>
          <w:szCs w:val="28"/>
          <w:rtl/>
        </w:rPr>
        <w:t>والذي يشترط ألا تتجاوز قيمته 0.85</w:t>
      </w:r>
      <w:r w:rsidRPr="009421C9">
        <w:rPr>
          <w:rFonts w:ascii="Simplified Arabic" w:hAnsi="Simplified Arabic" w:cs="Simplified Arabic"/>
          <w:color w:val="EE0000"/>
          <w:sz w:val="28"/>
          <w:szCs w:val="28"/>
        </w:rPr>
        <w:t>.</w:t>
      </w:r>
    </w:p>
    <w:p w14:paraId="38C9D9FC"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 xml:space="preserve">وفي المرحلة الأخيرة، تتحقق الباحثة من ثبات الأداة من خلال حساب معامل ألفا </w:t>
      </w:r>
      <w:proofErr w:type="spellStart"/>
      <w:r w:rsidRPr="009421C9">
        <w:rPr>
          <w:rFonts w:ascii="Simplified Arabic" w:hAnsi="Simplified Arabic" w:cs="Simplified Arabic"/>
          <w:color w:val="EE0000"/>
          <w:sz w:val="28"/>
          <w:szCs w:val="28"/>
          <w:rtl/>
        </w:rPr>
        <w:t>كرونباخ</w:t>
      </w:r>
      <w:proofErr w:type="spellEnd"/>
      <w:r w:rsidRPr="009421C9">
        <w:rPr>
          <w:rFonts w:ascii="Simplified Arabic" w:hAnsi="Simplified Arabic" w:cs="Simplified Arabic"/>
          <w:color w:val="EE0000"/>
          <w:sz w:val="28"/>
          <w:szCs w:val="28"/>
        </w:rPr>
        <w:t xml:space="preserve"> (Cronbach's Alpha) </w:t>
      </w:r>
      <w:r w:rsidRPr="009421C9">
        <w:rPr>
          <w:rFonts w:ascii="Simplified Arabic" w:hAnsi="Simplified Arabic" w:cs="Simplified Arabic"/>
          <w:color w:val="EE0000"/>
          <w:sz w:val="28"/>
          <w:szCs w:val="28"/>
          <w:rtl/>
        </w:rPr>
        <w:t>لكل بُعد من أبعاد الاستبانة وللأداة ككل، ويُقبل عند بلوغ قيمة 0.70 فأعلى، ويُدعَّم هذا المؤشر بحساب الثبات المركب لتوفير تحقق مزدوج من موثوقية القياس، إذ يُعدّ الثبات المركب أكثر دقة في النماذج البنائية المعقدة كنموذج الدراسة الحالية</w:t>
      </w:r>
      <w:r w:rsidRPr="009421C9">
        <w:rPr>
          <w:rFonts w:ascii="Simplified Arabic" w:hAnsi="Simplified Arabic" w:cs="Simplified Arabic"/>
          <w:color w:val="EE0000"/>
          <w:sz w:val="28"/>
          <w:szCs w:val="28"/>
        </w:rPr>
        <w:t>.</w:t>
      </w:r>
    </w:p>
    <w:p w14:paraId="32BC681F"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lastRenderedPageBreak/>
        <w:t>وتضمن هذه الإجراءات المتتابعة والمتكاملة بناء أداة قياس تتمتع بمستويات عالية من الصدق والثبات، وتتوافق مع المعايير المنهجية الدولية المعتمدة في الدراسات المعاصرة التي تُوظّف نمذجة المعادلات الهيكلية، بما يُعزّز الثقة في النتائج التي ستُبنى عليها استنتاجات الدراسة وتوصياتها</w:t>
      </w:r>
      <w:r w:rsidRPr="009421C9">
        <w:rPr>
          <w:rFonts w:ascii="Simplified Arabic" w:hAnsi="Simplified Arabic" w:cs="Simplified Arabic"/>
          <w:color w:val="EE0000"/>
          <w:sz w:val="28"/>
          <w:szCs w:val="28"/>
        </w:rPr>
        <w:t>.</w:t>
      </w:r>
    </w:p>
    <w:p w14:paraId="74E306F6" w14:textId="7E12AADB"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بروتوكول المقابلات المعمقة شبه المنظمة</w:t>
      </w:r>
      <w:r w:rsidRPr="009421C9">
        <w:rPr>
          <w:rFonts w:ascii="Simplified Arabic" w:hAnsi="Simplified Arabic" w:cs="Simplified Arabic"/>
          <w:b/>
          <w:bCs/>
          <w:color w:val="EE0000"/>
          <w:sz w:val="28"/>
          <w:szCs w:val="28"/>
        </w:rPr>
        <w:t>:</w:t>
      </w:r>
    </w:p>
    <w:p w14:paraId="448EF3D1"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أولاً: معايير اختيار المشاركين</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تُختار عينة قصدية</w:t>
      </w:r>
      <w:r w:rsidRPr="009421C9">
        <w:rPr>
          <w:rFonts w:ascii="Simplified Arabic" w:hAnsi="Simplified Arabic" w:cs="Simplified Arabic"/>
          <w:color w:val="EE0000"/>
          <w:sz w:val="28"/>
          <w:szCs w:val="28"/>
        </w:rPr>
        <w:t xml:space="preserve"> (Purposive Sampling) </w:t>
      </w:r>
      <w:r w:rsidRPr="009421C9">
        <w:rPr>
          <w:rFonts w:ascii="Simplified Arabic" w:hAnsi="Simplified Arabic" w:cs="Simplified Arabic"/>
          <w:color w:val="EE0000"/>
          <w:sz w:val="28"/>
          <w:szCs w:val="28"/>
          <w:rtl/>
        </w:rPr>
        <w:t>من 18 إلى 24 مشاركاً موزّعين بواقع 8 مشاركين من الطبقة الأولى، و6 من الطبقة الثانية، و6 من الطبقة الثالثة، إضافة إلى 4 مشاركين احتياطيين. ويُشترط في المشارك تحقق المعايير الآتية</w:t>
      </w:r>
      <w:r w:rsidRPr="009421C9">
        <w:rPr>
          <w:rFonts w:ascii="Simplified Arabic" w:hAnsi="Simplified Arabic" w:cs="Simplified Arabic"/>
          <w:color w:val="EE0000"/>
          <w:sz w:val="28"/>
          <w:szCs w:val="28"/>
        </w:rPr>
        <w:t>:</w:t>
      </w:r>
    </w:p>
    <w:p w14:paraId="3B2C7ADC"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الخبرة الوظيفية في المؤسسة الحالية لا تقل عن خمس سنوات</w:t>
      </w:r>
      <w:r w:rsidRPr="009421C9">
        <w:rPr>
          <w:rFonts w:ascii="Simplified Arabic" w:hAnsi="Simplified Arabic" w:cs="Simplified Arabic"/>
          <w:color w:val="EE0000"/>
          <w:sz w:val="28"/>
          <w:szCs w:val="28"/>
        </w:rPr>
        <w:t>.</w:t>
      </w:r>
    </w:p>
    <w:p w14:paraId="34720CE9"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شغل منصب قيادي أو إشرافي في إحدى الإدارات الآتية: التحول الرقمي، تقنية المعلومات، العمليات، الاستراتيجية، أو إدارة البيانات</w:t>
      </w:r>
      <w:r w:rsidRPr="009421C9">
        <w:rPr>
          <w:rFonts w:ascii="Simplified Arabic" w:hAnsi="Simplified Arabic" w:cs="Simplified Arabic"/>
          <w:color w:val="EE0000"/>
          <w:sz w:val="28"/>
          <w:szCs w:val="28"/>
        </w:rPr>
        <w:t>.</w:t>
      </w:r>
    </w:p>
    <w:p w14:paraId="166608F5"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المشاركة الفعلية في مبادرة أو مشروع لتطبيق الذكاء الاصطناعي أو الأتمتة الذكية خلال العامين الأخيرين</w:t>
      </w:r>
      <w:r w:rsidRPr="009421C9">
        <w:rPr>
          <w:rFonts w:ascii="Simplified Arabic" w:hAnsi="Simplified Arabic" w:cs="Simplified Arabic"/>
          <w:color w:val="EE0000"/>
          <w:sz w:val="28"/>
          <w:szCs w:val="28"/>
        </w:rPr>
        <w:t>.</w:t>
      </w:r>
    </w:p>
    <w:p w14:paraId="63726F53" w14:textId="77777777" w:rsidR="009421C9" w:rsidRPr="009421C9" w:rsidRDefault="009421C9" w:rsidP="009421C9">
      <w:pPr>
        <w:numPr>
          <w:ilvl w:val="0"/>
          <w:numId w:val="25"/>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الاستعداد لمنح مقابلة تتراوح مدتها بين 60 و90 دقيقة</w:t>
      </w:r>
      <w:r w:rsidRPr="009421C9">
        <w:rPr>
          <w:rFonts w:ascii="Simplified Arabic" w:hAnsi="Simplified Arabic" w:cs="Simplified Arabic"/>
          <w:color w:val="EE0000"/>
          <w:sz w:val="28"/>
          <w:szCs w:val="28"/>
        </w:rPr>
        <w:t>.</w:t>
      </w:r>
    </w:p>
    <w:p w14:paraId="3825B891"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t>ثانياً: بناء دليل المقابلة</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يُصمَّم دليل المقابلة وفق منهجية</w:t>
      </w:r>
      <w:r w:rsidRPr="009421C9">
        <w:rPr>
          <w:rFonts w:ascii="Simplified Arabic" w:hAnsi="Simplified Arabic" w:cs="Simplified Arabic"/>
          <w:color w:val="EE0000"/>
          <w:sz w:val="28"/>
          <w:szCs w:val="28"/>
        </w:rPr>
        <w:t xml:space="preserve"> (Kallio et al., 2016) </w:t>
      </w:r>
      <w:r w:rsidRPr="009421C9">
        <w:rPr>
          <w:rFonts w:ascii="Simplified Arabic" w:hAnsi="Simplified Arabic" w:cs="Simplified Arabic"/>
          <w:color w:val="EE0000"/>
          <w:sz w:val="28"/>
          <w:szCs w:val="28"/>
          <w:rtl/>
        </w:rPr>
        <w:t>عبر خمس خطوات</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تحديد المتطلبات المسبقة، مراجعة المعرفة السابقة، صياغة الدليل الأولي، اختباره تجريبياً مع ثلاثة مشاركين، ثم تعديله للصيغة النهائية. ويتضمن الدليل أربعة محاور</w:t>
      </w:r>
      <w:r w:rsidRPr="009421C9">
        <w:rPr>
          <w:rFonts w:ascii="Simplified Arabic" w:hAnsi="Simplified Arabic" w:cs="Simplified Arabic"/>
          <w:color w:val="EE0000"/>
          <w:sz w:val="28"/>
          <w:szCs w:val="28"/>
        </w:rPr>
        <w:t>:</w:t>
      </w:r>
    </w:p>
    <w:p w14:paraId="1A265E5B" w14:textId="77777777"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التمهيدي: خلفية المشارك وتجربته المؤسسية مع الذكاء الاصطناعي (5 أسئلة)</w:t>
      </w:r>
      <w:r w:rsidRPr="009421C9">
        <w:rPr>
          <w:rFonts w:ascii="Simplified Arabic" w:hAnsi="Simplified Arabic" w:cs="Simplified Arabic"/>
          <w:color w:val="EE0000"/>
          <w:sz w:val="28"/>
          <w:szCs w:val="28"/>
        </w:rPr>
        <w:t>.</w:t>
      </w:r>
    </w:p>
    <w:p w14:paraId="4CFE8E11" w14:textId="741F960B"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التفسيري: أسئلة موجّهة لتفسير الأنماط الإحصائية غير المتوقعة الظاهرة في المرحلة الكمية (6-8 أسئلة تُصاغ بعد إتمام التحليل الكمي</w:t>
      </w:r>
      <w:r>
        <w:rPr>
          <w:rFonts w:ascii="Simplified Arabic" w:hAnsi="Simplified Arabic" w:cs="Simplified Arabic" w:hint="cs"/>
          <w:color w:val="EE0000"/>
          <w:sz w:val="28"/>
          <w:szCs w:val="28"/>
          <w:rtl/>
        </w:rPr>
        <w:t>)</w:t>
      </w:r>
      <w:r w:rsidRPr="009421C9">
        <w:rPr>
          <w:rFonts w:ascii="Simplified Arabic" w:hAnsi="Simplified Arabic" w:cs="Simplified Arabic"/>
          <w:color w:val="EE0000"/>
          <w:sz w:val="28"/>
          <w:szCs w:val="28"/>
        </w:rPr>
        <w:t>.</w:t>
      </w:r>
    </w:p>
    <w:p w14:paraId="5C9D072D" w14:textId="77777777"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الاستكشافي: التحديات التنظيمية والثقافية والتشريعية، والعوامل الميسِّرة والمعيقة (7 أسئلة)</w:t>
      </w:r>
      <w:r w:rsidRPr="009421C9">
        <w:rPr>
          <w:rFonts w:ascii="Simplified Arabic" w:hAnsi="Simplified Arabic" w:cs="Simplified Arabic"/>
          <w:color w:val="EE0000"/>
          <w:sz w:val="28"/>
          <w:szCs w:val="28"/>
        </w:rPr>
        <w:t>.</w:t>
      </w:r>
    </w:p>
    <w:p w14:paraId="0F2943DC" w14:textId="77777777" w:rsidR="009421C9" w:rsidRPr="009421C9" w:rsidRDefault="009421C9" w:rsidP="009421C9">
      <w:pPr>
        <w:numPr>
          <w:ilvl w:val="0"/>
          <w:numId w:val="26"/>
        </w:numPr>
        <w:jc w:val="both"/>
        <w:rPr>
          <w:rFonts w:ascii="Simplified Arabic" w:hAnsi="Simplified Arabic" w:cs="Simplified Arabic"/>
          <w:color w:val="EE0000"/>
          <w:sz w:val="28"/>
          <w:szCs w:val="28"/>
        </w:rPr>
      </w:pPr>
      <w:r w:rsidRPr="009421C9">
        <w:rPr>
          <w:rFonts w:ascii="Simplified Arabic" w:hAnsi="Simplified Arabic" w:cs="Simplified Arabic"/>
          <w:color w:val="EE0000"/>
          <w:sz w:val="28"/>
          <w:szCs w:val="28"/>
          <w:rtl/>
        </w:rPr>
        <w:t>المحور الاستشرافي: الرؤية المستقبلية والدروس المستفادة والتوصيات (4 أسئلة)</w:t>
      </w:r>
      <w:r w:rsidRPr="009421C9">
        <w:rPr>
          <w:rFonts w:ascii="Simplified Arabic" w:hAnsi="Simplified Arabic" w:cs="Simplified Arabic"/>
          <w:color w:val="EE0000"/>
          <w:sz w:val="28"/>
          <w:szCs w:val="28"/>
        </w:rPr>
        <w:t>.</w:t>
      </w:r>
    </w:p>
    <w:p w14:paraId="3D1D01B9" w14:textId="77777777" w:rsidR="009421C9" w:rsidRPr="009421C9" w:rsidRDefault="009421C9" w:rsidP="009421C9">
      <w:pPr>
        <w:jc w:val="both"/>
        <w:rPr>
          <w:rFonts w:ascii="Simplified Arabic" w:hAnsi="Simplified Arabic" w:cs="Simplified Arabic"/>
          <w:color w:val="EE0000"/>
          <w:sz w:val="28"/>
          <w:szCs w:val="28"/>
        </w:rPr>
      </w:pPr>
      <w:r w:rsidRPr="009421C9">
        <w:rPr>
          <w:rFonts w:ascii="Simplified Arabic" w:hAnsi="Simplified Arabic" w:cs="Simplified Arabic"/>
          <w:b/>
          <w:bCs/>
          <w:color w:val="EE0000"/>
          <w:sz w:val="28"/>
          <w:szCs w:val="28"/>
          <w:rtl/>
        </w:rPr>
        <w:lastRenderedPageBreak/>
        <w:t>ثالثاً: إجراءات تطبيق المقابلة</w:t>
      </w:r>
      <w:r w:rsidRPr="009421C9">
        <w:rPr>
          <w:rFonts w:ascii="Simplified Arabic" w:hAnsi="Simplified Arabic" w:cs="Simplified Arabic"/>
          <w:b/>
          <w:bCs/>
          <w:color w:val="EE0000"/>
          <w:sz w:val="28"/>
          <w:szCs w:val="28"/>
        </w:rPr>
        <w:t>:</w:t>
      </w:r>
      <w:r w:rsidRPr="009421C9">
        <w:rPr>
          <w:rFonts w:ascii="Simplified Arabic" w:hAnsi="Simplified Arabic" w:cs="Simplified Arabic"/>
          <w:color w:val="EE0000"/>
          <w:sz w:val="28"/>
          <w:szCs w:val="28"/>
        </w:rPr>
        <w:t xml:space="preserve"> </w:t>
      </w:r>
      <w:r w:rsidRPr="009421C9">
        <w:rPr>
          <w:rFonts w:ascii="Simplified Arabic" w:hAnsi="Simplified Arabic" w:cs="Simplified Arabic"/>
          <w:color w:val="EE0000"/>
          <w:sz w:val="28"/>
          <w:szCs w:val="28"/>
          <w:rtl/>
        </w:rPr>
        <w:t>تُسجَّل المقابلات صوتياً بموافقة المشارك الخطية، وتُفرَّغ نصياً خلال 48 ساعة، وتُرسَل النسخة المفرَّغة إلى المشارك للتحقق منها</w:t>
      </w:r>
      <w:r w:rsidRPr="009421C9">
        <w:rPr>
          <w:rFonts w:ascii="Simplified Arabic" w:hAnsi="Simplified Arabic" w:cs="Simplified Arabic"/>
          <w:color w:val="EE0000"/>
          <w:sz w:val="28"/>
          <w:szCs w:val="28"/>
        </w:rPr>
        <w:t xml:space="preserve"> (Member Checking) </w:t>
      </w:r>
      <w:r w:rsidRPr="009421C9">
        <w:rPr>
          <w:rFonts w:ascii="Simplified Arabic" w:hAnsi="Simplified Arabic" w:cs="Simplified Arabic"/>
          <w:color w:val="EE0000"/>
          <w:sz w:val="28"/>
          <w:szCs w:val="28"/>
          <w:rtl/>
        </w:rPr>
        <w:t>قبل التحليل. وتُجرى المقابلات في مكان يختاره المشارك ضماناً لراحته وحرية التعبير</w:t>
      </w:r>
      <w:r w:rsidRPr="009421C9">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7A504890" w14:textId="69811FAB" w:rsidR="00297B1D" w:rsidRDefault="00297B1D" w:rsidP="00297B1D">
      <w:pPr>
        <w:ind w:firstLine="720"/>
        <w:jc w:val="both"/>
        <w:rPr>
          <w:rFonts w:ascii="Simplified Arabic" w:hAnsi="Simplified Arabic" w:cs="Simplified Arabic"/>
          <w:sz w:val="28"/>
          <w:szCs w:val="28"/>
          <w:rtl/>
        </w:rPr>
      </w:pPr>
      <w:r w:rsidRPr="00297B1D">
        <w:rPr>
          <w:rFonts w:ascii="Simplified Arabic" w:hAnsi="Simplified Arabic" w:cs="Simplified Arabic"/>
          <w:sz w:val="28"/>
          <w:szCs w:val="28"/>
          <w:rtl/>
        </w:rPr>
        <w:t>سوف يتمثل مجتمع الدراسة في جميع الموظفين العاملين في المؤسسات الحكومية الكبرى في المملكة العربية السعودية، وخاصة المؤسسات التي تعتمد بدرجة جوهرية على الأنظمة الرقمية وسلاسل القيمة التشغيلية، مثل: وزارة الداخلية، وزارة الموارد البشرية والتنمية الاجتماعية، وزارة الصحة، وزارة النقل والخدمات اللوجستية، إضافة إلى الهيئات الحكومية الكبرى مثل هيئة الحكومة الرقمية وهيئة البيانات والذكاء الاصطناعي (</w:t>
      </w:r>
      <w:proofErr w:type="spellStart"/>
      <w:r w:rsidRPr="00297B1D">
        <w:rPr>
          <w:rFonts w:ascii="Simplified Arabic" w:hAnsi="Simplified Arabic" w:cs="Simplified Arabic"/>
          <w:sz w:val="28"/>
          <w:szCs w:val="28"/>
          <w:rtl/>
        </w:rPr>
        <w:t>سدايا</w:t>
      </w:r>
      <w:proofErr w:type="spellEnd"/>
      <w:r w:rsidRPr="00297B1D">
        <w:rPr>
          <w:rFonts w:ascii="Simplified Arabic" w:hAnsi="Simplified Arabic" w:cs="Simplified Arabic"/>
          <w:sz w:val="28"/>
          <w:szCs w:val="28"/>
          <w:rtl/>
        </w:rPr>
        <w:t>)</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ومن المتوقع أن يتجاوز الحجم الإجمالي لمجتمع الدراسة </w:t>
      </w:r>
      <w:r w:rsidRPr="00297B1D">
        <w:rPr>
          <w:rFonts w:ascii="Simplified Arabic" w:hAnsi="Simplified Arabic" w:cs="Simplified Arabic"/>
          <w:sz w:val="28"/>
          <w:szCs w:val="28"/>
        </w:rPr>
        <w:t xml:space="preserve">120,000 </w:t>
      </w:r>
      <w:r w:rsidRPr="00297B1D">
        <w:rPr>
          <w:rFonts w:ascii="Simplified Arabic" w:hAnsi="Simplified Arabic" w:cs="Simplified Arabic"/>
          <w:sz w:val="28"/>
          <w:szCs w:val="28"/>
          <w:rtl/>
        </w:rPr>
        <w:t>موظف يعملون في مجالات التشغيل، التحول الرقمي، التقنية، وإدارة العمليات، نظرًا لاتساع هذه المؤسسات وارتفاع درجة الاعتماد المرتقب على تقنيات الذكاء الاصطناعي في إدارة سلسلة القيمة التشغيلية</w:t>
      </w:r>
      <w:r w:rsidRPr="00297B1D">
        <w:rPr>
          <w:rFonts w:ascii="Simplified Arabic" w:hAnsi="Simplified Arabic" w:cs="Simplified Arabic"/>
          <w:sz w:val="28"/>
          <w:szCs w:val="28"/>
        </w:rPr>
        <w:t>.</w:t>
      </w:r>
    </w:p>
    <w:p w14:paraId="3F4F6428"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rtl/>
        </w:rPr>
        <w:t>تُدر</w:t>
      </w:r>
      <w:r w:rsidRPr="00395C32">
        <w:rPr>
          <w:rFonts w:ascii="Simplified Arabic" w:hAnsi="Simplified Arabic" w:cs="Simplified Arabic"/>
          <w:sz w:val="28"/>
          <w:szCs w:val="28"/>
          <w:highlight w:val="yellow"/>
          <w:rtl/>
        </w:rPr>
        <w:t>ك الباحثة أن حساسية إجراء البحث داخل المؤسسات الحكومية الكبرى تستوجب تجاوز الإشارات العامة إلى "الحصول على تصاريح" التي تكتفي بها كثير من مقترحات البحث، والانتقال إلى خطة تنفيذية واضحة تُثبت الجدوى العملية للدراسة قبل الشروع في تنفيذها. ولذلك تعتمد الباحثة على منظومة متكاملة من الإجراءات تشمل خطة وصول ميداني متعددة المسارات، وبروتوكولاً محدداً للتعامل مع البيانات الحساسة، وخطط طوارئ صريحة للتعامل مع المخاطر البحثية المحتملة</w:t>
      </w:r>
      <w:r w:rsidRPr="00395C32">
        <w:rPr>
          <w:rFonts w:ascii="Simplified Arabic" w:hAnsi="Simplified Arabic" w:cs="Simplified Arabic"/>
          <w:sz w:val="28"/>
          <w:szCs w:val="28"/>
          <w:highlight w:val="yellow"/>
        </w:rPr>
        <w:t>.</w:t>
      </w:r>
    </w:p>
    <w:p w14:paraId="63C230A4"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 xml:space="preserve">فيما يتعلق بحالة تصاريح الوصول، تمر عملية الحصول عليها بأربع مراحل متتابعة تعكس المسار العملي المتوقع. تبدأ المرحلة الأولى بالموافقات المبدئية التي تم الحصول عليها بالفعل بصورة شفوية من جهات الاتصال داخل المؤسسات المستهدفة عبر شبكة العلاقات المهنية للباحثة والمشرف، مع توثيق ذلك في محاضر اجتماعات تمهيدية. وتنتقل المرحلة الثانية إلى إعداد خطاب تسهيل المهمة الرسمي الصادر من جامعة ميد أوشن باسم الباحثة والموجَّه إلى الأمانات العامة للمؤسسات المستهدفة، متضمناً أهداف الدراسة والفترة الزمنية المتوقعة وأنواع البيانات المطلوبة. وتُخصَّص المرحلة الثالثة للحصول على الموافقات الرسمية عبر البوابات المؤسسية المخصصة كمنصة "مشاركة" لبعض الجهات والقنوات الرسمية للأخرى، مع إرفاق البروتوكول البحثي كاملاً وموافقة لجنة أخلاقيات البحث العلمي، ويُخطَّط لهذه المرحلة خلال </w:t>
      </w:r>
      <w:r w:rsidRPr="00395C32">
        <w:rPr>
          <w:rFonts w:ascii="Simplified Arabic" w:hAnsi="Simplified Arabic" w:cs="Simplified Arabic"/>
          <w:sz w:val="28"/>
          <w:szCs w:val="28"/>
          <w:highlight w:val="yellow"/>
          <w:rtl/>
        </w:rPr>
        <w:lastRenderedPageBreak/>
        <w:t>الربع الأول من عام 2025م. أما المرحلة الرابعة فتتمثل في التنفيذ الميداني الفعلي بعد استكمال الموافقات، عبر منسقين معيَّنين داخل كل مؤسسة، ويُخطَّط لها خلال الربع الثاني والثالث من عام 2025م</w:t>
      </w:r>
      <w:r w:rsidRPr="00395C32">
        <w:rPr>
          <w:rFonts w:ascii="Simplified Arabic" w:hAnsi="Simplified Arabic" w:cs="Simplified Arabic"/>
          <w:sz w:val="28"/>
          <w:szCs w:val="28"/>
          <w:highlight w:val="yellow"/>
        </w:rPr>
        <w:t>.</w:t>
      </w:r>
    </w:p>
    <w:p w14:paraId="2BD0E2D0"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وتُحدد الباحثة المؤسسات المستهدفة بالاسم لا على سبيل المثال، وتشمل هذه المؤسسات وزارة الصحة ممثَّلةً في الإدارة العامة للتحول الرقمي وإدارات العمليات المركزية، ووزارة الموارد البشرية والتنمية الاجتماعية ممثَّلةً في وكالة التحول المؤسسي، ووزارة النقل والخدمات اللوجستية ممثَّلةً في المركز الوطني لسلاسل الإمداد، وقطاعات الخدمات المدنية في وزارة الداخلية بما فيها الأحوال المدنية والجوازات والمرور، والهيئة السعودية للبيانات والذكاء الاصطناعي (</w:t>
      </w:r>
      <w:proofErr w:type="spellStart"/>
      <w:r w:rsidRPr="00395C32">
        <w:rPr>
          <w:rFonts w:ascii="Simplified Arabic" w:hAnsi="Simplified Arabic" w:cs="Simplified Arabic"/>
          <w:sz w:val="28"/>
          <w:szCs w:val="28"/>
          <w:highlight w:val="yellow"/>
          <w:rtl/>
        </w:rPr>
        <w:t>سدايا</w:t>
      </w:r>
      <w:proofErr w:type="spellEnd"/>
      <w:r w:rsidRPr="00395C32">
        <w:rPr>
          <w:rFonts w:ascii="Simplified Arabic" w:hAnsi="Simplified Arabic" w:cs="Simplified Arabic"/>
          <w:sz w:val="28"/>
          <w:szCs w:val="28"/>
          <w:highlight w:val="yellow"/>
          <w:rtl/>
        </w:rPr>
        <w:t>)، وهيئة الحكومة الرقمية</w:t>
      </w:r>
      <w:r w:rsidRPr="00395C32">
        <w:rPr>
          <w:rFonts w:ascii="Simplified Arabic" w:hAnsi="Simplified Arabic" w:cs="Simplified Arabic"/>
          <w:sz w:val="28"/>
          <w:szCs w:val="28"/>
          <w:highlight w:val="yellow"/>
        </w:rPr>
        <w:t>.</w:t>
      </w:r>
    </w:p>
    <w:p w14:paraId="079A1A3C"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 xml:space="preserve">وفيما يخص بروتوكول التعامل مع البيانات الحساسة، تلتزم الدراسة بأربع طبقات من الحماية تتكامل فيما بينها. تتمثل الطبقة الأولى في الامتثال التشريعي الكامل لنظام حماية البيانات الشخصية السعودي الصادر بالمرسوم الملكي رقم م/19 لعام 1443هـ، ولوائح </w:t>
      </w:r>
      <w:proofErr w:type="spellStart"/>
      <w:r w:rsidRPr="00395C32">
        <w:rPr>
          <w:rFonts w:ascii="Simplified Arabic" w:hAnsi="Simplified Arabic" w:cs="Simplified Arabic"/>
          <w:sz w:val="28"/>
          <w:szCs w:val="28"/>
          <w:highlight w:val="yellow"/>
          <w:rtl/>
        </w:rPr>
        <w:t>سدايا</w:t>
      </w:r>
      <w:proofErr w:type="spellEnd"/>
      <w:r w:rsidRPr="00395C32">
        <w:rPr>
          <w:rFonts w:ascii="Simplified Arabic" w:hAnsi="Simplified Arabic" w:cs="Simplified Arabic"/>
          <w:sz w:val="28"/>
          <w:szCs w:val="28"/>
          <w:highlight w:val="yellow"/>
          <w:rtl/>
        </w:rPr>
        <w:t xml:space="preserve"> المنظِّمة للبحث العلمي في مجال الذكاء الاصطناعي. وتتمثل الطبقة الثانية في إخفاء الهوية</w:t>
      </w:r>
      <w:r w:rsidRPr="00395C32">
        <w:rPr>
          <w:rFonts w:ascii="Simplified Arabic" w:hAnsi="Simplified Arabic" w:cs="Simplified Arabic"/>
          <w:sz w:val="28"/>
          <w:szCs w:val="28"/>
          <w:highlight w:val="yellow"/>
        </w:rPr>
        <w:t xml:space="preserve"> (Anonymization) </w:t>
      </w:r>
      <w:r w:rsidRPr="00395C32">
        <w:rPr>
          <w:rFonts w:ascii="Simplified Arabic" w:hAnsi="Simplified Arabic" w:cs="Simplified Arabic"/>
          <w:sz w:val="28"/>
          <w:szCs w:val="28"/>
          <w:highlight w:val="yellow"/>
          <w:rtl/>
        </w:rPr>
        <w:t xml:space="preserve">عبر فصل بيانات الهوية عن بيانات الاستجابة فور استلام الاستبانة، واستبدال الأسماء والمناصب برموز رقمية، وحفظ مفاتيح فك الترميز في ملف مشفَّر منفصل يُتلَف بعد إتمام تحليل البيانات. وتتمثل الطبقة الثالثة في التخزين الآمن للبيانات على خوادم مشفَّرة داخل حدود المملكة العربية السعودية وفقاً لمتطلبات إقامة البيانات </w:t>
      </w:r>
      <w:r w:rsidRPr="00395C32">
        <w:rPr>
          <w:rFonts w:ascii="Simplified Arabic" w:hAnsi="Simplified Arabic" w:cs="Simplified Arabic"/>
          <w:sz w:val="28"/>
          <w:szCs w:val="28"/>
          <w:highlight w:val="yellow"/>
        </w:rPr>
        <w:t>(Data Residency)</w:t>
      </w:r>
      <w:r w:rsidRPr="00395C32">
        <w:rPr>
          <w:rFonts w:ascii="Simplified Arabic" w:hAnsi="Simplified Arabic" w:cs="Simplified Arabic"/>
          <w:sz w:val="28"/>
          <w:szCs w:val="28"/>
          <w:highlight w:val="yellow"/>
          <w:rtl/>
        </w:rPr>
        <w:t>، مع صلاحيات وصول محدودة للباحثة والمشرف حصراً. أما الطبقة الرابعة فتتمثل في الإتلاف المُنظَّم للبيانات الأولية بعد خمس سنوات من نشر الأطروحة، وفق البروتوكول المعتمد من لجنة أخلاقيات البحث العلمي</w:t>
      </w:r>
      <w:r w:rsidRPr="00395C32">
        <w:rPr>
          <w:rFonts w:ascii="Simplified Arabic" w:hAnsi="Simplified Arabic" w:cs="Simplified Arabic"/>
          <w:sz w:val="28"/>
          <w:szCs w:val="28"/>
          <w:highlight w:val="yellow"/>
        </w:rPr>
        <w:t>.</w:t>
      </w:r>
    </w:p>
    <w:p w14:paraId="3DED2D04" w14:textId="77777777" w:rsidR="00395C32" w:rsidRPr="00395C32" w:rsidRDefault="00395C32" w:rsidP="00395C32">
      <w:pPr>
        <w:ind w:firstLine="720"/>
        <w:jc w:val="both"/>
        <w:rPr>
          <w:rFonts w:ascii="Simplified Arabic" w:hAnsi="Simplified Arabic" w:cs="Simplified Arabic"/>
          <w:sz w:val="28"/>
          <w:szCs w:val="28"/>
          <w:highlight w:val="yellow"/>
        </w:rPr>
      </w:pPr>
      <w:r w:rsidRPr="00395C32">
        <w:rPr>
          <w:rFonts w:ascii="Simplified Arabic" w:hAnsi="Simplified Arabic" w:cs="Simplified Arabic"/>
          <w:sz w:val="28"/>
          <w:szCs w:val="28"/>
          <w:highlight w:val="yellow"/>
          <w:rtl/>
        </w:rPr>
        <w:t xml:space="preserve">وتُعدّ الباحثة أربع خطط طوارئ متدرجة للتعامل مع أي تعذُّر في الوصول الميداني. تتمثل الخطة الأولى في الاستبدال داخل الفئة نفسها، بحيث تُستبدل أي مؤسسة يتعذَّر الوصول إليها بمؤسسة مماثلة داخل الفئة ذاتها، فإذا تعذَّر الوصول إلى وزارة النقل يُلجأ إلى وزارة الاتصالات وتقنية المعلومات كبديل ضمن الفئة الأولى. وتتمثل الخطة الثانية في تقليص العينة مع الحفاظ على التمثيل، بحيث يُقلَّص حجم العينة من الفئة المتعذَّرة مع الاحتفاظ بالحد الأدنى الإحصائي المطلوب، ويُعوَّض ذلك بتوسيع العينة في الفئتين الأخريين. وتتمثل الخطة الثالثة في التحوّل إلى الشبكات المهنية عبر منصات مثل </w:t>
      </w:r>
      <w:proofErr w:type="spellStart"/>
      <w:r w:rsidRPr="00395C32">
        <w:rPr>
          <w:rFonts w:ascii="Simplified Arabic" w:hAnsi="Simplified Arabic" w:cs="Simplified Arabic"/>
          <w:sz w:val="28"/>
          <w:szCs w:val="28"/>
          <w:highlight w:val="yellow"/>
          <w:rtl/>
        </w:rPr>
        <w:t>لينكدإن</w:t>
      </w:r>
      <w:proofErr w:type="spellEnd"/>
      <w:r w:rsidRPr="00395C32">
        <w:rPr>
          <w:rFonts w:ascii="Simplified Arabic" w:hAnsi="Simplified Arabic" w:cs="Simplified Arabic"/>
          <w:sz w:val="28"/>
          <w:szCs w:val="28"/>
          <w:highlight w:val="yellow"/>
          <w:rtl/>
        </w:rPr>
        <w:t xml:space="preserve"> وجمعية الحكومة الرقمية السعودية للوصول إلى المشاركين المؤهلين، مع الحفاظ الصارم على معايير الاختيار </w:t>
      </w:r>
      <w:r w:rsidRPr="00395C32">
        <w:rPr>
          <w:rFonts w:ascii="Simplified Arabic" w:hAnsi="Simplified Arabic" w:cs="Simplified Arabic"/>
          <w:sz w:val="28"/>
          <w:szCs w:val="28"/>
          <w:highlight w:val="yellow"/>
          <w:rtl/>
        </w:rPr>
        <w:lastRenderedPageBreak/>
        <w:t>الأصلية. أما الخطة الرابعة والأخيرة فتتمثل في إعادة تعريف نطاق الدراسة للتركيز على المؤسسات التي أُتيح الوصول إليها فعلياً، مع توضيح ذلك في حدود الدراسة وتعديل قابلية تعميم النتائج بشفافية علمية</w:t>
      </w:r>
      <w:r w:rsidRPr="00395C32">
        <w:rPr>
          <w:rFonts w:ascii="Simplified Arabic" w:hAnsi="Simplified Arabic" w:cs="Simplified Arabic"/>
          <w:sz w:val="28"/>
          <w:szCs w:val="28"/>
          <w:highlight w:val="yellow"/>
        </w:rPr>
        <w:t>.</w:t>
      </w:r>
    </w:p>
    <w:p w14:paraId="4EE4B54A" w14:textId="77777777" w:rsidR="00395C32" w:rsidRPr="00395C32" w:rsidRDefault="00395C32" w:rsidP="00395C32">
      <w:pPr>
        <w:ind w:firstLine="720"/>
        <w:jc w:val="both"/>
        <w:rPr>
          <w:rFonts w:ascii="Simplified Arabic" w:hAnsi="Simplified Arabic" w:cs="Simplified Arabic"/>
          <w:sz w:val="28"/>
          <w:szCs w:val="28"/>
        </w:rPr>
      </w:pPr>
      <w:r w:rsidRPr="00395C32">
        <w:rPr>
          <w:rFonts w:ascii="Simplified Arabic" w:hAnsi="Simplified Arabic" w:cs="Simplified Arabic"/>
          <w:sz w:val="28"/>
          <w:szCs w:val="28"/>
          <w:highlight w:val="yellow"/>
          <w:rtl/>
        </w:rPr>
        <w:t xml:space="preserve">وتُدير الباحثة المخاطر البحثية المحتملة وفق تقييم منهجي يشمل أبرزها ويُحدد خطة معالجة لكلٍّ منها. فمخاطر تأخر التصاريح الرسمية عن الموعد المخطَّط تُعالَج بالبدء المبكر بإجراءات التصاريح قبل ستة أشهر من موعد جمع البيانات وتفعيل مسارات متوازية، ومخاطر انخفاض معدل الاستجابة عن 50% تُعالَج بزيادة العينة المُوزَّعة وتعيين منسقين داخل كل مؤسسة والمتابعة الأسبوعية المنتظمة، ومخاطر تحفُّظ القياديين في المقابلات النوعية تُعالَج بضمان السرية التامة كتابياً وتجنب الأسئلة السياسية الحساسة وإتاحة خيار المقابلة عن بُعد، ومخاطر تغيُّر السياسات الحكومية أثناء الدراسة تُعالَج بالتوثيق الدقيق للسياق الزمني وإدراج ذلك ضمن حدود الدراسة والتفاعل السريع مع المستجدات، ومخاطر صعوبة إتمام جولات دلفي في الوقت المناسب تُعالَج بتحديد محكمين احتياطيين واعتماد التحكيم الإلكتروني عبر منصة مخصصة وتحديد جدول زمني صارم، ومخاطر فقدان البيانات الرقمية بسبب أعطال تقنية تُعالَج بالنسخ الاحتياطي اليومي على ثلاثة مصادر مستقلة تشمل التخزين </w:t>
      </w:r>
      <w:proofErr w:type="spellStart"/>
      <w:r w:rsidRPr="00395C32">
        <w:rPr>
          <w:rFonts w:ascii="Simplified Arabic" w:hAnsi="Simplified Arabic" w:cs="Simplified Arabic"/>
          <w:sz w:val="28"/>
          <w:szCs w:val="28"/>
          <w:highlight w:val="yellow"/>
          <w:rtl/>
        </w:rPr>
        <w:t>السحابي</w:t>
      </w:r>
      <w:proofErr w:type="spellEnd"/>
      <w:r w:rsidRPr="00395C32">
        <w:rPr>
          <w:rFonts w:ascii="Simplified Arabic" w:hAnsi="Simplified Arabic" w:cs="Simplified Arabic"/>
          <w:sz w:val="28"/>
          <w:szCs w:val="28"/>
          <w:highlight w:val="yellow"/>
          <w:rtl/>
        </w:rPr>
        <w:t xml:space="preserve"> المحلي والخادم الجامعي والقرص المشفَّر، ومخاطر رفض إحدى المؤسسات المشاركة بعد الموافقة المبدئية تُعالَج بتفعيل خطة الاستبدال داخل الفئة نفسها</w:t>
      </w:r>
      <w:r w:rsidRPr="00395C32">
        <w:rPr>
          <w:rFonts w:ascii="Simplified Arabic" w:hAnsi="Simplified Arabic" w:cs="Simplified Arabic"/>
          <w:sz w:val="28"/>
          <w:szCs w:val="28"/>
          <w:highlight w:val="yellow"/>
        </w:rPr>
        <w:t>.</w:t>
      </w:r>
    </w:p>
    <w:p w14:paraId="6B8842BE" w14:textId="77777777" w:rsidR="00395C32" w:rsidRPr="00395C32" w:rsidRDefault="00395C32" w:rsidP="00297B1D">
      <w:pPr>
        <w:ind w:firstLine="720"/>
        <w:jc w:val="both"/>
        <w:rPr>
          <w:rFonts w:ascii="Simplified Arabic" w:hAnsi="Simplified Arabic" w:cs="Simplified Arabic"/>
          <w:sz w:val="28"/>
          <w:szCs w:val="28"/>
        </w:rPr>
      </w:pP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6B205031" w14:textId="263F284A"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hint="cs"/>
          <w:sz w:val="28"/>
          <w:szCs w:val="28"/>
          <w:highlight w:val="yellow"/>
          <w:rtl/>
        </w:rPr>
        <w:t>ت</w:t>
      </w:r>
      <w:r w:rsidRPr="009421C9">
        <w:rPr>
          <w:rFonts w:ascii="Simplified Arabic" w:hAnsi="Simplified Arabic" w:cs="Simplified Arabic"/>
          <w:sz w:val="28"/>
          <w:szCs w:val="28"/>
          <w:highlight w:val="yellow"/>
          <w:rtl/>
        </w:rPr>
        <w:t>عتمد الدراسة على أسلوب العينة العشوائية الطبقية المتناسبة</w:t>
      </w:r>
      <w:r w:rsidRPr="009421C9">
        <w:rPr>
          <w:rFonts w:ascii="Simplified Arabic" w:hAnsi="Simplified Arabic" w:cs="Simplified Arabic"/>
          <w:sz w:val="28"/>
          <w:szCs w:val="28"/>
          <w:highlight w:val="yellow"/>
        </w:rPr>
        <w:t xml:space="preserve"> (Proportionate Stratified Random Sampling) </w:t>
      </w:r>
      <w:r w:rsidRPr="009421C9">
        <w:rPr>
          <w:rFonts w:ascii="Simplified Arabic" w:hAnsi="Simplified Arabic" w:cs="Simplified Arabic"/>
          <w:sz w:val="28"/>
          <w:szCs w:val="28"/>
          <w:highlight w:val="yellow"/>
          <w:rtl/>
        </w:rPr>
        <w:t>وفق إجراءات منهجية تفصيلية على النحو الآتي</w:t>
      </w:r>
      <w:r w:rsidRPr="009421C9">
        <w:rPr>
          <w:rFonts w:ascii="Simplified Arabic" w:hAnsi="Simplified Arabic" w:cs="Simplified Arabic"/>
          <w:sz w:val="28"/>
          <w:szCs w:val="28"/>
          <w:highlight w:val="yellow"/>
        </w:rPr>
        <w:t>:</w:t>
      </w:r>
    </w:p>
    <w:p w14:paraId="51B14802" w14:textId="5FF96DA1"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b/>
          <w:bCs/>
          <w:sz w:val="28"/>
          <w:szCs w:val="28"/>
          <w:highlight w:val="yellow"/>
          <w:rtl/>
        </w:rPr>
        <w:t xml:space="preserve">أولاً: </w:t>
      </w:r>
      <w:r w:rsidRPr="009421C9">
        <w:rPr>
          <w:rFonts w:ascii="Simplified Arabic" w:hAnsi="Simplified Arabic" w:cs="Simplified Arabic"/>
          <w:sz w:val="28"/>
          <w:szCs w:val="28"/>
          <w:highlight w:val="yellow"/>
          <w:rtl/>
        </w:rPr>
        <w:t>يُختار هذا الأسلوب لأن مجتمع الدراسة يتسم بتباين جوهري في طبيعة العمل ومستوى النضج الرقمي بين المؤسسات الحكومية، مما يستوجب ضمان تمثيل كل فئة بنسبتها الفعلية. ويُعتمد "الطابع الوظيفي للمؤسسة" معياراً لتقسيم الطبقات، إذ يُتوقع أن يختلف أثر الذكاء الاصطناعي على سلسلة القيمة التشغيلية باختلاف طبيعة الخدمة المُقدَّمة</w:t>
      </w:r>
      <w:r w:rsidRPr="009421C9">
        <w:rPr>
          <w:rFonts w:ascii="Simplified Arabic" w:hAnsi="Simplified Arabic" w:cs="Simplified Arabic"/>
          <w:sz w:val="28"/>
          <w:szCs w:val="28"/>
          <w:highlight w:val="yellow"/>
        </w:rPr>
        <w:t>.</w:t>
      </w:r>
    </w:p>
    <w:p w14:paraId="22345359" w14:textId="5138A9FE" w:rsidR="009421C9" w:rsidRPr="009421C9" w:rsidRDefault="009421C9" w:rsidP="009421C9">
      <w:pPr>
        <w:pStyle w:val="a6"/>
        <w:numPr>
          <w:ilvl w:val="0"/>
          <w:numId w:val="24"/>
        </w:numPr>
        <w:tabs>
          <w:tab w:val="num" w:pos="720"/>
        </w:tabs>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tl/>
        </w:rPr>
        <w:lastRenderedPageBreak/>
        <w:t xml:space="preserve">الطبقة </w:t>
      </w:r>
      <w:proofErr w:type="gramStart"/>
      <w:r w:rsidRPr="009421C9">
        <w:rPr>
          <w:rFonts w:ascii="Simplified Arabic" w:hAnsi="Simplified Arabic" w:cs="Simplified Arabic"/>
          <w:sz w:val="28"/>
          <w:szCs w:val="28"/>
          <w:highlight w:val="yellow"/>
          <w:rtl/>
        </w:rPr>
        <w:t>الأولى  الوزارات</w:t>
      </w:r>
      <w:proofErr w:type="gramEnd"/>
      <w:r w:rsidRPr="009421C9">
        <w:rPr>
          <w:rFonts w:ascii="Simplified Arabic" w:hAnsi="Simplified Arabic" w:cs="Simplified Arabic"/>
          <w:sz w:val="28"/>
          <w:szCs w:val="28"/>
          <w:highlight w:val="yellow"/>
          <w:rtl/>
        </w:rPr>
        <w:t xml:space="preserve"> الخدمية ذات التماس المباشر بالمستفيدين: وتشمل وزارة الصحة، وزارة الموارد البشرية والتنمية الاجتماعية، وزارة النقل والخدمات اللوجستية. ويُقدَّر حجمها بنحو 60% من مجتمع الدراسة</w:t>
      </w:r>
      <w:r w:rsidRPr="009421C9">
        <w:rPr>
          <w:rFonts w:ascii="Simplified Arabic" w:hAnsi="Simplified Arabic" w:cs="Simplified Arabic"/>
          <w:sz w:val="28"/>
          <w:szCs w:val="28"/>
          <w:highlight w:val="yellow"/>
        </w:rPr>
        <w:t>.</w:t>
      </w:r>
    </w:p>
    <w:p w14:paraId="4C6E450A" w14:textId="77777777" w:rsidR="009421C9" w:rsidRPr="009421C9" w:rsidRDefault="009421C9" w:rsidP="009421C9">
      <w:pPr>
        <w:numPr>
          <w:ilvl w:val="0"/>
          <w:numId w:val="24"/>
        </w:numPr>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tl/>
        </w:rPr>
        <w:t>الطبقة الثانية - الوزارات ذات الطابع السيادي: وتشمل قطاعات الخدمات المدنية في وزارة الداخلية. ويُقدَّر حجمها بنحو 25% من مجتمع الدراسة</w:t>
      </w:r>
      <w:r w:rsidRPr="009421C9">
        <w:rPr>
          <w:rFonts w:ascii="Simplified Arabic" w:hAnsi="Simplified Arabic" w:cs="Simplified Arabic"/>
          <w:sz w:val="28"/>
          <w:szCs w:val="28"/>
          <w:highlight w:val="yellow"/>
        </w:rPr>
        <w:t>.</w:t>
      </w:r>
    </w:p>
    <w:p w14:paraId="3D5B63F4" w14:textId="77777777" w:rsidR="009421C9" w:rsidRPr="009421C9" w:rsidRDefault="009421C9" w:rsidP="009421C9">
      <w:pPr>
        <w:numPr>
          <w:ilvl w:val="0"/>
          <w:numId w:val="24"/>
        </w:numPr>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tl/>
        </w:rPr>
        <w:t xml:space="preserve">الطبقة الثالثة - الهيئات المتخصصة في التحول الرقمي: وتشمل هيئة </w:t>
      </w:r>
      <w:proofErr w:type="spellStart"/>
      <w:r w:rsidRPr="009421C9">
        <w:rPr>
          <w:rFonts w:ascii="Simplified Arabic" w:hAnsi="Simplified Arabic" w:cs="Simplified Arabic"/>
          <w:sz w:val="28"/>
          <w:szCs w:val="28"/>
          <w:highlight w:val="yellow"/>
          <w:rtl/>
        </w:rPr>
        <w:t>سدايا</w:t>
      </w:r>
      <w:proofErr w:type="spellEnd"/>
      <w:r w:rsidRPr="009421C9">
        <w:rPr>
          <w:rFonts w:ascii="Simplified Arabic" w:hAnsi="Simplified Arabic" w:cs="Simplified Arabic"/>
          <w:sz w:val="28"/>
          <w:szCs w:val="28"/>
          <w:highlight w:val="yellow"/>
          <w:rtl/>
        </w:rPr>
        <w:t xml:space="preserve"> وهيئة الحكومة الرقمية. ويُقدَّر حجمها بنحو 15</w:t>
      </w:r>
      <w:r w:rsidRPr="009421C9">
        <w:rPr>
          <w:rFonts w:ascii="Simplified Arabic" w:hAnsi="Simplified Arabic" w:cs="Simplified Arabic"/>
          <w:sz w:val="28"/>
          <w:szCs w:val="28"/>
          <w:highlight w:val="yellow"/>
        </w:rPr>
        <w:t xml:space="preserve">% </w:t>
      </w:r>
      <w:r w:rsidRPr="009421C9">
        <w:rPr>
          <w:rFonts w:ascii="Simplified Arabic" w:hAnsi="Simplified Arabic" w:cs="Simplified Arabic"/>
          <w:sz w:val="28"/>
          <w:szCs w:val="28"/>
          <w:highlight w:val="yellow"/>
          <w:rtl/>
        </w:rPr>
        <w:t>من مجتمع الدراسة</w:t>
      </w:r>
      <w:r w:rsidRPr="009421C9">
        <w:rPr>
          <w:rFonts w:ascii="Simplified Arabic" w:hAnsi="Simplified Arabic" w:cs="Simplified Arabic"/>
          <w:sz w:val="28"/>
          <w:szCs w:val="28"/>
          <w:highlight w:val="yellow"/>
        </w:rPr>
        <w:t>.</w:t>
      </w:r>
    </w:p>
    <w:p w14:paraId="761660E1" w14:textId="76DFA8F0"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sz w:val="28"/>
          <w:szCs w:val="28"/>
          <w:highlight w:val="yellow"/>
        </w:rPr>
        <w:t xml:space="preserve"> </w:t>
      </w:r>
      <w:r w:rsidRPr="009421C9">
        <w:rPr>
          <w:rFonts w:ascii="Simplified Arabic" w:hAnsi="Simplified Arabic" w:cs="Simplified Arabic"/>
          <w:sz w:val="28"/>
          <w:szCs w:val="28"/>
          <w:highlight w:val="yellow"/>
          <w:rtl/>
        </w:rPr>
        <w:t xml:space="preserve">استناداً إلى معادلة </w:t>
      </w:r>
      <w:proofErr w:type="spellStart"/>
      <w:r w:rsidRPr="009421C9">
        <w:rPr>
          <w:rFonts w:ascii="Simplified Arabic" w:hAnsi="Simplified Arabic" w:cs="Simplified Arabic"/>
          <w:sz w:val="28"/>
          <w:szCs w:val="28"/>
          <w:highlight w:val="yellow"/>
          <w:rtl/>
        </w:rPr>
        <w:t>كريجسي</w:t>
      </w:r>
      <w:proofErr w:type="spellEnd"/>
      <w:r w:rsidRPr="009421C9">
        <w:rPr>
          <w:rFonts w:ascii="Simplified Arabic" w:hAnsi="Simplified Arabic" w:cs="Simplified Arabic"/>
          <w:sz w:val="28"/>
          <w:szCs w:val="28"/>
          <w:highlight w:val="yellow"/>
          <w:rtl/>
        </w:rPr>
        <w:t xml:space="preserve"> ومورغان</w:t>
      </w:r>
      <w:r w:rsidRPr="009421C9">
        <w:rPr>
          <w:rFonts w:ascii="Simplified Arabic" w:hAnsi="Simplified Arabic" w:cs="Simplified Arabic"/>
          <w:sz w:val="28"/>
          <w:szCs w:val="28"/>
          <w:highlight w:val="yellow"/>
        </w:rPr>
        <w:t xml:space="preserve"> (</w:t>
      </w:r>
      <w:proofErr w:type="spellStart"/>
      <w:r w:rsidRPr="009421C9">
        <w:rPr>
          <w:rFonts w:ascii="Simplified Arabic" w:hAnsi="Simplified Arabic" w:cs="Simplified Arabic"/>
          <w:sz w:val="28"/>
          <w:szCs w:val="28"/>
          <w:highlight w:val="yellow"/>
        </w:rPr>
        <w:t>Krejcie</w:t>
      </w:r>
      <w:proofErr w:type="spellEnd"/>
      <w:r w:rsidRPr="009421C9">
        <w:rPr>
          <w:rFonts w:ascii="Simplified Arabic" w:hAnsi="Simplified Arabic" w:cs="Simplified Arabic"/>
          <w:sz w:val="28"/>
          <w:szCs w:val="28"/>
          <w:highlight w:val="yellow"/>
        </w:rPr>
        <w:t xml:space="preserve"> &amp; Morgan, 1970) </w:t>
      </w:r>
      <w:r w:rsidRPr="009421C9">
        <w:rPr>
          <w:rFonts w:ascii="Simplified Arabic" w:hAnsi="Simplified Arabic" w:cs="Simplified Arabic"/>
          <w:sz w:val="28"/>
          <w:szCs w:val="28"/>
          <w:highlight w:val="yellow"/>
          <w:rtl/>
        </w:rPr>
        <w:t xml:space="preserve">لمجتمع يتجاوز 100,000 مفردة، يبلغ الحد الأدنى المطلوب 384 مفردة عند مستوى ثقة </w:t>
      </w:r>
      <w:r w:rsidRPr="009421C9">
        <w:rPr>
          <w:rFonts w:ascii="Simplified Arabic" w:hAnsi="Simplified Arabic" w:cs="Simplified Arabic"/>
          <w:sz w:val="28"/>
          <w:szCs w:val="28"/>
          <w:highlight w:val="yellow"/>
        </w:rPr>
        <w:t xml:space="preserve">95% </w:t>
      </w:r>
      <w:r w:rsidRPr="009421C9">
        <w:rPr>
          <w:rFonts w:ascii="Simplified Arabic" w:hAnsi="Simplified Arabic" w:cs="Simplified Arabic"/>
          <w:sz w:val="28"/>
          <w:szCs w:val="28"/>
          <w:highlight w:val="yellow"/>
          <w:rtl/>
        </w:rPr>
        <w:t>وهامش خطأ 5%. ونظراً لأن معدلات الاستجابة في البيئة الحكومية السعودية تتراوح تاريخياً بين 45% و55%، سيتم توزيع 800 استبانة لضمان استرداد ما لا يقل عن 420 استبانة صالحة للتحليل</w:t>
      </w:r>
      <w:r w:rsidRPr="009421C9">
        <w:rPr>
          <w:rFonts w:ascii="Simplified Arabic" w:hAnsi="Simplified Arabic" w:cs="Simplified Arabic"/>
          <w:sz w:val="28"/>
          <w:szCs w:val="28"/>
          <w:highlight w:val="yellow"/>
        </w:rPr>
        <w:t>.</w:t>
      </w:r>
    </w:p>
    <w:p w14:paraId="538F7E64" w14:textId="4C04849F" w:rsidR="009421C9" w:rsidRPr="009421C9" w:rsidRDefault="009421C9" w:rsidP="009421C9">
      <w:pPr>
        <w:ind w:firstLine="720"/>
        <w:jc w:val="both"/>
        <w:rPr>
          <w:rFonts w:ascii="Simplified Arabic" w:hAnsi="Simplified Arabic" w:cs="Simplified Arabic"/>
          <w:sz w:val="28"/>
          <w:szCs w:val="28"/>
          <w:highlight w:val="yellow"/>
        </w:rPr>
      </w:pPr>
      <w:r w:rsidRPr="009421C9">
        <w:rPr>
          <w:rFonts w:ascii="Simplified Arabic" w:hAnsi="Simplified Arabic" w:cs="Simplified Arabic" w:hint="cs"/>
          <w:sz w:val="28"/>
          <w:szCs w:val="28"/>
          <w:highlight w:val="yellow"/>
          <w:rtl/>
        </w:rPr>
        <w:t>وت</w:t>
      </w:r>
      <w:r w:rsidRPr="009421C9">
        <w:rPr>
          <w:rFonts w:ascii="Simplified Arabic" w:hAnsi="Simplified Arabic" w:cs="Simplified Arabic"/>
          <w:sz w:val="28"/>
          <w:szCs w:val="28"/>
          <w:highlight w:val="yellow"/>
          <w:rtl/>
        </w:rPr>
        <w:t>وزَّع الاستبانات بحيث تحصل الطبقة الأولى على 480 استبانة، والطبقة الثانية على 200 استبانة، والطبقة الثالثة على 120 استبانة</w:t>
      </w:r>
      <w:r w:rsidRPr="009421C9">
        <w:rPr>
          <w:rFonts w:ascii="Simplified Arabic" w:hAnsi="Simplified Arabic" w:cs="Simplified Arabic"/>
          <w:sz w:val="28"/>
          <w:szCs w:val="28"/>
          <w:highlight w:val="yellow"/>
        </w:rPr>
        <w:t>.</w:t>
      </w:r>
    </w:p>
    <w:p w14:paraId="42F09679" w14:textId="2DDEBD72" w:rsidR="009421C9" w:rsidRPr="009421C9" w:rsidRDefault="009421C9" w:rsidP="009421C9">
      <w:pPr>
        <w:ind w:firstLine="720"/>
        <w:jc w:val="both"/>
        <w:rPr>
          <w:rFonts w:ascii="Simplified Arabic" w:hAnsi="Simplified Arabic" w:cs="Simplified Arabic"/>
          <w:sz w:val="28"/>
          <w:szCs w:val="28"/>
        </w:rPr>
      </w:pPr>
      <w:r w:rsidRPr="009421C9">
        <w:rPr>
          <w:rFonts w:ascii="Simplified Arabic" w:hAnsi="Simplified Arabic" w:cs="Simplified Arabic" w:hint="cs"/>
          <w:sz w:val="28"/>
          <w:szCs w:val="28"/>
          <w:highlight w:val="yellow"/>
          <w:rtl/>
        </w:rPr>
        <w:t>و</w:t>
      </w:r>
      <w:r w:rsidRPr="009421C9">
        <w:rPr>
          <w:rFonts w:ascii="Simplified Arabic" w:hAnsi="Simplified Arabic" w:cs="Simplified Arabic"/>
          <w:sz w:val="28"/>
          <w:szCs w:val="28"/>
          <w:highlight w:val="yellow"/>
          <w:rtl/>
        </w:rPr>
        <w:t>بعد الحصول على قوائم الموظفين الرسمية من إدارات الموارد البشرية في المؤسسات المستهدفة (بموجب التصاريح الرسمية)، يُطبَّق أسلوب الاختيار العشوائي المنتظم</w:t>
      </w:r>
      <w:r w:rsidRPr="009421C9">
        <w:rPr>
          <w:rFonts w:ascii="Simplified Arabic" w:hAnsi="Simplified Arabic" w:cs="Simplified Arabic"/>
          <w:sz w:val="28"/>
          <w:szCs w:val="28"/>
          <w:highlight w:val="yellow"/>
        </w:rPr>
        <w:t xml:space="preserve"> (Systematic Random Sampling) </w:t>
      </w:r>
      <w:r w:rsidRPr="009421C9">
        <w:rPr>
          <w:rFonts w:ascii="Simplified Arabic" w:hAnsi="Simplified Arabic" w:cs="Simplified Arabic"/>
          <w:sz w:val="28"/>
          <w:szCs w:val="28"/>
          <w:highlight w:val="yellow"/>
          <w:rtl/>
        </w:rPr>
        <w:t>عبر حساب فترة الاختيار</w:t>
      </w:r>
      <w:r w:rsidRPr="009421C9">
        <w:rPr>
          <w:rFonts w:ascii="Simplified Arabic" w:hAnsi="Simplified Arabic" w:cs="Simplified Arabic"/>
          <w:sz w:val="28"/>
          <w:szCs w:val="28"/>
          <w:highlight w:val="yellow"/>
        </w:rPr>
        <w:t xml:space="preserve"> (k) </w:t>
      </w:r>
      <w:r w:rsidRPr="009421C9">
        <w:rPr>
          <w:rFonts w:ascii="Simplified Arabic" w:hAnsi="Simplified Arabic" w:cs="Simplified Arabic"/>
          <w:sz w:val="28"/>
          <w:szCs w:val="28"/>
          <w:highlight w:val="yellow"/>
          <w:rtl/>
        </w:rPr>
        <w:t>بقسمة حجم الإطار على حجم العينة المطلوبة من الطبقة، ثم اختيار نقطة انطلاق عشوائية وسحب المفردات على فترات منتظمة. ويُشترط في المفردات المسحوبة انتماؤها إلى إدارات ذات صلة مباشرة بمحور الدراسة (التحول الرقمي، تقنية المعلومات، العمليات، الجودة، إدارة البيانات</w:t>
      </w:r>
      <w:proofErr w:type="gramStart"/>
      <w:r w:rsidRPr="009421C9">
        <w:rPr>
          <w:rFonts w:ascii="Simplified Arabic" w:hAnsi="Simplified Arabic" w:cs="Simplified Arabic" w:hint="cs"/>
          <w:sz w:val="28"/>
          <w:szCs w:val="28"/>
          <w:highlight w:val="yellow"/>
          <w:rtl/>
        </w:rPr>
        <w:t>) .</w:t>
      </w:r>
      <w:proofErr w:type="gramEnd"/>
    </w:p>
    <w:p w14:paraId="20F0D27F" w14:textId="38198D99" w:rsidR="000E0033" w:rsidRPr="00B91104" w:rsidRDefault="000E0033" w:rsidP="00D439AC">
      <w:pPr>
        <w:pStyle w:val="1"/>
        <w:rPr>
          <w:rtl/>
        </w:rPr>
      </w:pPr>
      <w:bookmarkStart w:id="11" w:name="_Toc202053526"/>
      <w:r w:rsidRPr="00B91104">
        <w:rPr>
          <w:rtl/>
        </w:rPr>
        <w:t>مصادر البيانات في الدراسة</w:t>
      </w:r>
      <w:bookmarkEnd w:id="11"/>
    </w:p>
    <w:p w14:paraId="7C009BC0" w14:textId="601DF54F" w:rsidR="00F178E3" w:rsidRPr="00F178E3" w:rsidRDefault="00F178E3" w:rsidP="00F178E3">
      <w:pPr>
        <w:jc w:val="both"/>
        <w:rPr>
          <w:rFonts w:ascii="Simplified Arabic" w:hAnsi="Simplified Arabic" w:cs="Simplified Arabic"/>
          <w:sz w:val="28"/>
          <w:szCs w:val="28"/>
          <w:rtl/>
          <w:lang w:bidi="ar-EG"/>
        </w:rPr>
      </w:pPr>
      <w:r w:rsidRPr="00F178E3">
        <w:rPr>
          <w:rFonts w:ascii="Simplified Arabic" w:hAnsi="Simplified Arabic" w:cs="Simplified Arabic"/>
          <w:sz w:val="28"/>
          <w:szCs w:val="28"/>
          <w:rtl/>
        </w:rPr>
        <w:t>سوف تعتمد هذه الدراسة على نوعين رئيسيين من مصادر البيانات، بما يضمن تغطية شاملة وموثوقة لمتغيرات البحث، وذلك على النحو الآتي</w:t>
      </w:r>
      <w:r w:rsidRPr="00F178E3">
        <w:rPr>
          <w:rFonts w:ascii="Simplified Arabic" w:hAnsi="Simplified Arabic" w:cs="Simplified Arabic"/>
          <w:sz w:val="28"/>
          <w:szCs w:val="28"/>
          <w:lang w:bidi="ar-EG"/>
        </w:rPr>
        <w:t>:</w:t>
      </w:r>
    </w:p>
    <w:p w14:paraId="51C81F89" w14:textId="0B7E0132"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6EF755D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lastRenderedPageBreak/>
        <w:t>ستعتمد هذه الدراسة على البيانات الثانوية التي سيتم جمعها من الأدبيات العلمية والدراسات السابقة المرتبطة بموضوع البحث، إضافة إلى التقارير الرسمية الصادرة عن الجهات الحكومية السعودية والمنظمات الدولية ذات العلاقة بالذكاء الاصطناعي وسلاسل القيمة التشغيلية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وتشمل هذه البيانات الكتب المتخصصة، الأبحاث المحكمة المنشورة في قواعد بيانات عالمية، الوثائق الاستراتيجية لبرامج التحول الرقمي، وتقارير المؤشرات التشغيلية الوطنية، بما يسهم في بناء الإطار النظري للدراسة وتحديد أبعاد المتغيرات وصياغة نموذجها البحثي</w:t>
      </w:r>
      <w:r w:rsidR="005E6DFF" w:rsidRPr="000508AF">
        <w:rPr>
          <w:rFonts w:ascii="Simplified Arabic" w:hAnsi="Simplified Arabic" w:cs="Simplified Arabic"/>
          <w:sz w:val="28"/>
          <w:szCs w:val="28"/>
        </w:rPr>
        <w:t>.</w:t>
      </w:r>
    </w:p>
    <w:p w14:paraId="2BB75ABC" w14:textId="16583FC9" w:rsidR="005E6DFF" w:rsidRPr="005E6DFF" w:rsidRDefault="00F178E3" w:rsidP="00F178E3">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ثانيا</w:t>
      </w:r>
      <w:r w:rsidR="005E6DFF" w:rsidRPr="005E6DFF">
        <w:rPr>
          <w:rFonts w:ascii="Simplified Arabic" w:hAnsi="Simplified Arabic" w:cs="Simplified Arabic"/>
          <w:b/>
          <w:bCs/>
          <w:sz w:val="28"/>
          <w:szCs w:val="28"/>
          <w:rtl/>
        </w:rPr>
        <w:t>: المصادر الأولية</w:t>
      </w:r>
      <w:r w:rsidR="005E6DFF" w:rsidRPr="005E6DFF">
        <w:rPr>
          <w:rFonts w:ascii="Simplified Arabic" w:hAnsi="Simplified Arabic" w:cs="Simplified Arabic"/>
          <w:b/>
          <w:bCs/>
          <w:sz w:val="28"/>
          <w:szCs w:val="28"/>
        </w:rPr>
        <w:t xml:space="preserve"> (Primary Data)</w:t>
      </w:r>
    </w:p>
    <w:p w14:paraId="3420B045" w14:textId="0F09359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سيتم الحصول عليها عبر استبانة ميدانية ستُعدّ خصيصًا لقياس أثر تقنيات الذكاء الاصطناعي بأبعادها على سلسلة القيمة التشغيلية داخل المؤسسات الحكومية الكبرى في المملكة العربية السعودية. وستُصمم الاستبانة في ضوء الإطار النظري والدراسات السابقة، ثم تُوزّع على عينة ممثلة من العاملين في القطاعات المستهدفة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وستُستخدم هذه البيانات لاحقًا في الاختبارات الإحصائية ونمذجة العلاقات بين المتغيرات بهدف التحقق من فرضيات الدراسة والوصول إلى نتائج علمية دقيقة</w:t>
      </w:r>
      <w:r w:rsidR="005E6DFF"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18856C9" w14:textId="7CC062D0"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ستُجرى المعالجات الإحصائية المقترحة باستخدام برنامج</w:t>
      </w:r>
      <w:r w:rsidRPr="00F178E3">
        <w:rPr>
          <w:rFonts w:ascii="Simplified Arabic" w:hAnsi="Simplified Arabic" w:cs="Simplified Arabic"/>
          <w:sz w:val="28"/>
          <w:szCs w:val="28"/>
          <w:lang w:bidi="ar-EG"/>
        </w:rPr>
        <w:t xml:space="preserve"> (SPSS) </w:t>
      </w:r>
      <w:r w:rsidRPr="00F178E3">
        <w:rPr>
          <w:rFonts w:ascii="Simplified Arabic" w:hAnsi="Simplified Arabic" w:cs="Simplified Arabic"/>
          <w:sz w:val="28"/>
          <w:szCs w:val="28"/>
          <w:rtl/>
        </w:rPr>
        <w:t>بالإصدار الأحدث، بهدف تحليل البيانات الميدانية المستخلصة من الاستبانة والتحقق من صحة الفرضيات</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وستعتمد الدراسة على مجموعة من الأساليب الإحصائية الوصفية والاستدلالية وفق الخطوات الآتية</w:t>
      </w:r>
      <w:r w:rsidRPr="00F178E3">
        <w:rPr>
          <w:rFonts w:ascii="Simplified Arabic" w:hAnsi="Simplified Arabic" w:cs="Simplified Arabic"/>
          <w:sz w:val="28"/>
          <w:szCs w:val="28"/>
          <w:lang w:bidi="ar-EG"/>
        </w:rPr>
        <w:t>:</w:t>
      </w:r>
    </w:p>
    <w:p w14:paraId="16763F2E"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أولًا: التحقق من صدق وثبات أداة الدراسة</w:t>
      </w:r>
    </w:p>
    <w:p w14:paraId="51627963"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 xml:space="preserve">سيتم حساب معامل الثبات </w:t>
      </w:r>
      <w:proofErr w:type="spellStart"/>
      <w:r w:rsidRPr="00F178E3">
        <w:rPr>
          <w:rFonts w:ascii="Simplified Arabic" w:hAnsi="Simplified Arabic" w:cs="Simplified Arabic"/>
          <w:sz w:val="28"/>
          <w:szCs w:val="28"/>
          <w:rtl/>
        </w:rPr>
        <w:t>كرونباخ</w:t>
      </w:r>
      <w:proofErr w:type="spellEnd"/>
      <w:r w:rsidRPr="00F178E3">
        <w:rPr>
          <w:rFonts w:ascii="Simplified Arabic" w:hAnsi="Simplified Arabic" w:cs="Simplified Arabic"/>
          <w:sz w:val="28"/>
          <w:szCs w:val="28"/>
          <w:rtl/>
        </w:rPr>
        <w:t xml:space="preserve"> ألفا</w:t>
      </w:r>
      <w:r w:rsidRPr="00F178E3">
        <w:rPr>
          <w:rFonts w:ascii="Simplified Arabic" w:hAnsi="Simplified Arabic" w:cs="Simplified Arabic"/>
          <w:sz w:val="28"/>
          <w:szCs w:val="28"/>
          <w:lang w:bidi="ar-EG"/>
        </w:rPr>
        <w:t xml:space="preserve"> (Cronbach’s Alpha) </w:t>
      </w:r>
      <w:r w:rsidRPr="00F178E3">
        <w:rPr>
          <w:rFonts w:ascii="Simplified Arabic" w:hAnsi="Simplified Arabic" w:cs="Simplified Arabic"/>
          <w:sz w:val="28"/>
          <w:szCs w:val="28"/>
          <w:rtl/>
        </w:rPr>
        <w:t>لكل بُعد من أبعاد الاستبانة وللأداة ككل، للتأكد من مستوى الاتساق الداخلي وموثوقية القياس</w:t>
      </w:r>
      <w:r w:rsidRPr="00F178E3">
        <w:rPr>
          <w:rFonts w:ascii="Simplified Arabic" w:hAnsi="Simplified Arabic" w:cs="Simplified Arabic"/>
          <w:sz w:val="28"/>
          <w:szCs w:val="28"/>
          <w:lang w:bidi="ar-EG"/>
        </w:rPr>
        <w:t>.</w:t>
      </w:r>
    </w:p>
    <w:p w14:paraId="49D7B536"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كما سيتم التحقق من صدق المحتوى</w:t>
      </w:r>
      <w:r w:rsidRPr="00F178E3">
        <w:rPr>
          <w:rFonts w:ascii="Simplified Arabic" w:hAnsi="Simplified Arabic" w:cs="Simplified Arabic"/>
          <w:sz w:val="28"/>
          <w:szCs w:val="28"/>
          <w:lang w:bidi="ar-EG"/>
        </w:rPr>
        <w:t xml:space="preserve"> (Content Validity) </w:t>
      </w:r>
      <w:r w:rsidRPr="00F178E3">
        <w:rPr>
          <w:rFonts w:ascii="Simplified Arabic" w:hAnsi="Simplified Arabic" w:cs="Simplified Arabic"/>
          <w:sz w:val="28"/>
          <w:szCs w:val="28"/>
          <w:rtl/>
        </w:rPr>
        <w:t>من خلال عرض الاستبانة على مجموعة من الخبراء والمحكمين المتخصصين</w:t>
      </w:r>
      <w:r w:rsidRPr="00F178E3">
        <w:rPr>
          <w:rFonts w:ascii="Simplified Arabic" w:hAnsi="Simplified Arabic" w:cs="Simplified Arabic"/>
          <w:sz w:val="28"/>
          <w:szCs w:val="28"/>
          <w:lang w:bidi="ar-EG"/>
        </w:rPr>
        <w:t>.</w:t>
      </w:r>
    </w:p>
    <w:p w14:paraId="734FC82F"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وسيُستخدم صدق الاتساق الداخلي عبر حساب معاملات الارتباط بين الفقرات ومحاورها وبين كل محور والدرجة الكلية للاستبانة باستخدام معامل ارتباط بيرسون</w:t>
      </w:r>
      <w:r w:rsidRPr="00F178E3">
        <w:rPr>
          <w:rFonts w:ascii="Simplified Arabic" w:hAnsi="Simplified Arabic" w:cs="Simplified Arabic"/>
          <w:sz w:val="28"/>
          <w:szCs w:val="28"/>
          <w:lang w:bidi="ar-EG"/>
        </w:rPr>
        <w:t>.</w:t>
      </w:r>
    </w:p>
    <w:p w14:paraId="56BF9EAC"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lastRenderedPageBreak/>
        <w:t>ثانيًا: التحليلات الإحصائية الوصفية</w:t>
      </w:r>
    </w:p>
    <w:p w14:paraId="10370008"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المتوسطات الحسابية والانحرافات المعيارية لقياس مستوى استجابات أفراد العينة على كل محور من محاور الدراسة</w:t>
      </w:r>
      <w:r w:rsidRPr="00F178E3">
        <w:rPr>
          <w:rFonts w:ascii="Simplified Arabic" w:hAnsi="Simplified Arabic" w:cs="Simplified Arabic"/>
          <w:sz w:val="28"/>
          <w:szCs w:val="28"/>
          <w:lang w:bidi="ar-EG"/>
        </w:rPr>
        <w:t>.</w:t>
      </w:r>
    </w:p>
    <w:p w14:paraId="2908FAB0"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التكرارات والنسب المئوية للخصائص الديموغرافية للمبحوثين مثل (العمر، المؤهل، سنوات الخبرة، طبيعة العمل)، بهدف توصيف عينة الدراسة</w:t>
      </w:r>
      <w:r w:rsidRPr="00F178E3">
        <w:rPr>
          <w:rFonts w:ascii="Simplified Arabic" w:hAnsi="Simplified Arabic" w:cs="Simplified Arabic"/>
          <w:sz w:val="28"/>
          <w:szCs w:val="28"/>
          <w:lang w:bidi="ar-EG"/>
        </w:rPr>
        <w:t>.</w:t>
      </w:r>
    </w:p>
    <w:p w14:paraId="58860C3A"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ثالثًا: التحليلات الإحصائية الاستدلالية</w:t>
      </w:r>
    </w:p>
    <w:p w14:paraId="298FE231"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معامل ارتباط بيرسون</w:t>
      </w:r>
      <w:r w:rsidRPr="00F178E3">
        <w:rPr>
          <w:rFonts w:ascii="Simplified Arabic" w:hAnsi="Simplified Arabic" w:cs="Simplified Arabic"/>
          <w:sz w:val="28"/>
          <w:szCs w:val="28"/>
          <w:lang w:bidi="ar-EG"/>
        </w:rPr>
        <w:t xml:space="preserve"> (Pearson Correlation) </w:t>
      </w:r>
      <w:r w:rsidRPr="00F178E3">
        <w:rPr>
          <w:rFonts w:ascii="Simplified Arabic" w:hAnsi="Simplified Arabic" w:cs="Simplified Arabic"/>
          <w:sz w:val="28"/>
          <w:szCs w:val="28"/>
          <w:rtl/>
        </w:rPr>
        <w:t>لقياس قوة واتجاه العلاقة بين أبعاد تقنيات الذكاء الاصطناعي وسلسلة القيمة التشغيلية</w:t>
      </w:r>
      <w:r w:rsidRPr="00F178E3">
        <w:rPr>
          <w:rFonts w:ascii="Simplified Arabic" w:hAnsi="Simplified Arabic" w:cs="Simplified Arabic"/>
          <w:sz w:val="28"/>
          <w:szCs w:val="28"/>
          <w:lang w:bidi="ar-EG"/>
        </w:rPr>
        <w:t>.</w:t>
      </w:r>
    </w:p>
    <w:p w14:paraId="0FE53278" w14:textId="77777777" w:rsidR="00F178E3" w:rsidRPr="00F178E3" w:rsidRDefault="00F178E3">
      <w:pPr>
        <w:pStyle w:val="a6"/>
        <w:numPr>
          <w:ilvl w:val="0"/>
          <w:numId w:val="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الانحدار البسيط والمتعدد</w:t>
      </w:r>
      <w:r w:rsidRPr="00F178E3">
        <w:rPr>
          <w:rFonts w:ascii="Simplified Arabic" w:hAnsi="Simplified Arabic" w:cs="Simplified Arabic"/>
          <w:sz w:val="28"/>
          <w:szCs w:val="28"/>
          <w:lang w:bidi="ar-EG"/>
        </w:rPr>
        <w:t xml:space="preserve"> (Simple &amp; Multiple Regression) </w:t>
      </w:r>
      <w:r w:rsidRPr="00F178E3">
        <w:rPr>
          <w:rFonts w:ascii="Simplified Arabic" w:hAnsi="Simplified Arabic" w:cs="Simplified Arabic"/>
          <w:sz w:val="28"/>
          <w:szCs w:val="28"/>
          <w:rtl/>
        </w:rPr>
        <w:t>لقياس أثر المتغير المستقل بأبعاده على المتغير التابع</w:t>
      </w:r>
      <w:r w:rsidRPr="00F178E3">
        <w:rPr>
          <w:rFonts w:ascii="Simplified Arabic" w:hAnsi="Simplified Arabic" w:cs="Simplified Arabic"/>
          <w:sz w:val="28"/>
          <w:szCs w:val="28"/>
          <w:lang w:bidi="ar-EG"/>
        </w:rPr>
        <w:t>.</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4CCF8590" w:rsidR="00D439AC" w:rsidRPr="00EC07BC" w:rsidRDefault="00D439AC">
      <w:pPr>
        <w:pStyle w:val="a6"/>
        <w:numPr>
          <w:ilvl w:val="0"/>
          <w:numId w:val="5"/>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تقتصر هذه الدراسة على فحص أثر تقنيات الذكاء الاصطناعي بأبعادها (جمع البيانات ومعالجتها، النماذج التنبؤية، الأتمتة الذكية، وأنظمة دعم القرار) على سلسلة القيمة التشغيلية داخل المؤسسات الحكومية الكبرى في المملكة العربية السعودية</w:t>
      </w:r>
      <w:r w:rsidR="005E6DFF" w:rsidRPr="00F178E3">
        <w:rPr>
          <w:rFonts w:ascii="Simplified Arabic" w:hAnsi="Simplified Arabic" w:cs="Simplified Arabic"/>
          <w:sz w:val="28"/>
          <w:szCs w:val="28"/>
          <w:lang w:bidi="ar-EG"/>
        </w:rPr>
        <w:t>.</w:t>
      </w:r>
    </w:p>
    <w:p w14:paraId="1BA00711" w14:textId="67067C3B" w:rsidR="000E0033" w:rsidRPr="00D439AC" w:rsidRDefault="000E0033">
      <w:pPr>
        <w:pStyle w:val="a6"/>
        <w:numPr>
          <w:ilvl w:val="0"/>
          <w:numId w:val="5"/>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2687C78B" w:rsidR="000E0033" w:rsidRPr="00EC07BC" w:rsidRDefault="000E0033" w:rsidP="00395C32">
      <w:pPr>
        <w:pStyle w:val="a6"/>
        <w:numPr>
          <w:ilvl w:val="0"/>
          <w:numId w:val="5"/>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395C32" w:rsidRPr="00395C32">
        <w:rPr>
          <w:rFonts w:ascii="Simplified Arabic" w:hAnsi="Simplified Arabic" w:cs="Simplified Arabic"/>
          <w:sz w:val="28"/>
          <w:szCs w:val="28"/>
          <w:highlight w:val="yellow"/>
          <w:rtl/>
        </w:rPr>
        <w:t xml:space="preserve">تُجرى الدراسة داخل ست مؤسسات حكومية كبرى في المملكة العربية السعودية، تم اختيارها قصدياً لتُمثّل ثلاث فئات متباينة من المؤسسات الحكومية. وتضم الفئة الأولى الوزارات الخدمية ذات التماس المباشر مع المستفيدين وتشمل وزارة الصحة ووزارة الموارد البشرية والتنمية الاجتماعية ووزارة النقل والخدمات اللوجستية، بينما تضم الفئة الثانية الوزارات ذات الطابع السيادي ممثَّلةً في قطاعات الخدمات المدنية بوزارة الداخلية، أما الفئة الثالثة فتضم الهيئات المتخصصة في التحول الرقمي والذكاء الاصطناعي وتشمل هيئة </w:t>
      </w:r>
      <w:proofErr w:type="spellStart"/>
      <w:r w:rsidR="00395C32" w:rsidRPr="00395C32">
        <w:rPr>
          <w:rFonts w:ascii="Simplified Arabic" w:hAnsi="Simplified Arabic" w:cs="Simplified Arabic"/>
          <w:sz w:val="28"/>
          <w:szCs w:val="28"/>
          <w:highlight w:val="yellow"/>
          <w:rtl/>
        </w:rPr>
        <w:t>سدايا</w:t>
      </w:r>
      <w:proofErr w:type="spellEnd"/>
      <w:r w:rsidR="00395C32" w:rsidRPr="00395C32">
        <w:rPr>
          <w:rFonts w:ascii="Simplified Arabic" w:hAnsi="Simplified Arabic" w:cs="Simplified Arabic"/>
          <w:sz w:val="28"/>
          <w:szCs w:val="28"/>
          <w:highlight w:val="yellow"/>
          <w:rtl/>
        </w:rPr>
        <w:t xml:space="preserve"> وهيئة الحكومة الرقمية</w:t>
      </w:r>
      <w:r w:rsidRPr="00395C32">
        <w:rPr>
          <w:rFonts w:ascii="Simplified Arabic" w:hAnsi="Simplified Arabic" w:cs="Simplified Arabic"/>
          <w:sz w:val="28"/>
          <w:szCs w:val="28"/>
          <w:highlight w:val="yellow"/>
          <w:rtl/>
          <w:lang w:bidi="ar-EG"/>
        </w:rPr>
        <w:t>.</w:t>
      </w:r>
    </w:p>
    <w:p w14:paraId="77BE4C33" w14:textId="579599D4" w:rsidR="005E6DFF" w:rsidRPr="00D439AC" w:rsidRDefault="005E6DFF">
      <w:pPr>
        <w:pStyle w:val="a6"/>
        <w:numPr>
          <w:ilvl w:val="0"/>
          <w:numId w:val="5"/>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الحدود </w:t>
      </w:r>
      <w:proofErr w:type="gramStart"/>
      <w:r>
        <w:rPr>
          <w:rFonts w:ascii="Simplified Arabic" w:hAnsi="Simplified Arabic" w:cs="Simplified Arabic" w:hint="cs"/>
          <w:b/>
          <w:bCs/>
          <w:sz w:val="28"/>
          <w:szCs w:val="28"/>
          <w:rtl/>
          <w:lang w:bidi="ar-EG"/>
        </w:rPr>
        <w:t xml:space="preserve">البشرية </w:t>
      </w:r>
      <w:r w:rsidRPr="005E6DFF">
        <w:rPr>
          <w:rFonts w:ascii="Simplified Arabic" w:hAnsi="Simplified Arabic" w:cs="Simplified Arabic" w:hint="cs"/>
          <w:sz w:val="28"/>
          <w:szCs w:val="28"/>
          <w:rtl/>
          <w:lang w:bidi="ar-EG"/>
        </w:rPr>
        <w:t>:</w:t>
      </w:r>
      <w:proofErr w:type="gramEnd"/>
      <w:r w:rsidRPr="005E6DFF">
        <w:rPr>
          <w:rtl/>
        </w:rPr>
        <w:t xml:space="preserve"> </w:t>
      </w:r>
      <w:r w:rsidR="00F178E3" w:rsidRPr="00F178E3">
        <w:rPr>
          <w:rFonts w:ascii="Simplified Arabic" w:hAnsi="Simplified Arabic" w:cs="Simplified Arabic"/>
          <w:sz w:val="28"/>
          <w:szCs w:val="28"/>
          <w:rtl/>
        </w:rPr>
        <w:t>ستقتصر عينة الدراسة على العاملين في الإدارات ذات الصلة بالذكاء الاصطناعي وسلسلة القيمة التشغيلية في المؤسسات الحكومية الكبرى، مثل إدارات التحول الرقمي، الجودة، العمليات، تقنية المعلومات، وأنظمة البيانات</w:t>
      </w:r>
      <w:r w:rsidRPr="005E6DFF">
        <w:rPr>
          <w:rFonts w:ascii="Simplified Arabic" w:hAnsi="Simplified Arabic" w:cs="Simplified Arabic"/>
          <w:sz w:val="28"/>
          <w:szCs w:val="28"/>
          <w:lang w:bidi="ar-EG"/>
        </w:rPr>
        <w:t>.</w:t>
      </w:r>
    </w:p>
    <w:p w14:paraId="0D2A3896"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hint="cs"/>
          <w:color w:val="EE0000"/>
          <w:kern w:val="0"/>
          <w:sz w:val="28"/>
          <w:szCs w:val="28"/>
          <w:rtl/>
          <w:lang w:bidi="ar-EG"/>
          <w14:ligatures w14:val="none"/>
        </w:rPr>
      </w:pPr>
      <w:bookmarkStart w:id="14" w:name="_Toc202053531"/>
    </w:p>
    <w:p w14:paraId="7C69C721"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58EDC473"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041D34D7"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3CB68CA5" w14:textId="61D6D3FE" w:rsidR="00C47BC4" w:rsidRDefault="00C47BC4">
      <w:pPr>
        <w:bidi w:val="0"/>
        <w:rPr>
          <w:rFonts w:ascii="Simplified Arabic" w:eastAsia="Times New Roman" w:hAnsi="Simplified Arabic" w:cs="Simplified Arabic"/>
          <w:color w:val="EE0000"/>
          <w:kern w:val="0"/>
          <w:sz w:val="28"/>
          <w:szCs w:val="28"/>
          <w14:ligatures w14:val="none"/>
        </w:rPr>
      </w:pPr>
      <w:r>
        <w:rPr>
          <w:rFonts w:ascii="Simplified Arabic" w:eastAsia="Times New Roman" w:hAnsi="Simplified Arabic" w:cs="Simplified Arabic"/>
          <w:color w:val="EE0000"/>
          <w:kern w:val="0"/>
          <w:sz w:val="28"/>
          <w:szCs w:val="28"/>
          <w:rtl/>
          <w14:ligatures w14:val="none"/>
        </w:rPr>
        <w:br w:type="page"/>
      </w:r>
    </w:p>
    <w:p w14:paraId="6530AE79" w14:textId="7ACF9F84" w:rsidR="00B30CCE" w:rsidRPr="00B30CCE" w:rsidRDefault="00C47BC4" w:rsidP="00D61485">
      <w:pPr>
        <w:spacing w:before="100" w:beforeAutospacing="1" w:after="100" w:afterAutospacing="1" w:line="276" w:lineRule="auto"/>
        <w:jc w:val="center"/>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lastRenderedPageBreak/>
        <w:t xml:space="preserve">الفصل </w:t>
      </w:r>
      <w:proofErr w:type="spellStart"/>
      <w:proofErr w:type="gramStart"/>
      <w:r>
        <w:rPr>
          <w:rFonts w:ascii="Simplified Arabic" w:eastAsia="Times New Roman" w:hAnsi="Simplified Arabic" w:cs="Simplified Arabic" w:hint="cs"/>
          <w:b/>
          <w:bCs/>
          <w:kern w:val="36"/>
          <w:sz w:val="28"/>
          <w:szCs w:val="28"/>
          <w:rtl/>
          <w14:ligatures w14:val="none"/>
        </w:rPr>
        <w:t>الثانى</w:t>
      </w:r>
      <w:proofErr w:type="spellEnd"/>
      <w:r>
        <w:rPr>
          <w:rFonts w:ascii="Simplified Arabic" w:eastAsia="Times New Roman" w:hAnsi="Simplified Arabic" w:cs="Simplified Arabic" w:hint="cs"/>
          <w:b/>
          <w:bCs/>
          <w:kern w:val="36"/>
          <w:sz w:val="28"/>
          <w:szCs w:val="28"/>
          <w:rtl/>
          <w14:ligatures w14:val="none"/>
        </w:rPr>
        <w:t xml:space="preserve"> :</w:t>
      </w:r>
      <w:proofErr w:type="gramEnd"/>
      <w:r>
        <w:rPr>
          <w:rFonts w:ascii="Simplified Arabic" w:eastAsia="Times New Roman" w:hAnsi="Simplified Arabic" w:cs="Simplified Arabic" w:hint="cs"/>
          <w:b/>
          <w:bCs/>
          <w:kern w:val="36"/>
          <w:sz w:val="28"/>
          <w:szCs w:val="28"/>
          <w:rtl/>
          <w14:ligatures w14:val="none"/>
        </w:rPr>
        <w:t xml:space="preserve"> </w:t>
      </w:r>
      <w:r w:rsidR="00B30CCE" w:rsidRPr="00B30CCE">
        <w:rPr>
          <w:rFonts w:ascii="Simplified Arabic" w:eastAsia="Times New Roman" w:hAnsi="Simplified Arabic" w:cs="Simplified Arabic" w:hint="cs"/>
          <w:b/>
          <w:bCs/>
          <w:kern w:val="36"/>
          <w:sz w:val="28"/>
          <w:szCs w:val="28"/>
          <w:rtl/>
          <w14:ligatures w14:val="none"/>
        </w:rPr>
        <w:t xml:space="preserve">الإطار النظري </w:t>
      </w:r>
      <w:r>
        <w:rPr>
          <w:rFonts w:ascii="Simplified Arabic" w:eastAsia="Times New Roman" w:hAnsi="Simplified Arabic" w:cs="Simplified Arabic" w:hint="cs"/>
          <w:b/>
          <w:bCs/>
          <w:kern w:val="36"/>
          <w:sz w:val="28"/>
          <w:szCs w:val="28"/>
          <w:rtl/>
          <w14:ligatures w14:val="none"/>
        </w:rPr>
        <w:t xml:space="preserve">والدراسات السابقة </w:t>
      </w:r>
    </w:p>
    <w:p w14:paraId="17A24BF3" w14:textId="77777777" w:rsidR="00B30CCE" w:rsidRPr="00B30CCE" w:rsidRDefault="00B30CCE" w:rsidP="00D61485">
      <w:pPr>
        <w:spacing w:before="100" w:beforeAutospacing="1" w:after="100" w:afterAutospacing="1" w:line="276" w:lineRule="auto"/>
        <w:jc w:val="center"/>
        <w:outlineLvl w:val="1"/>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المبحث الأول: تقنيات الذكاء الاصطناعي</w:t>
      </w:r>
    </w:p>
    <w:p w14:paraId="484863A5"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تمهيد</w:t>
      </w:r>
    </w:p>
    <w:p w14:paraId="1C239DE4" w14:textId="598F48BB"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أفرزت التحولات التقنية المتسارعة التي يشهدها العالم المعاصر واقعاً مؤسسياً جديداً تتشابك فيه المعطيات الرقمية مع البنى التنظيمية التقليدية، ويقف الذكاء الاصطناعي في قلب هذا التحول باعتباره منظومة تقنية شاملة تعيد تعريف الكيفية التي تُدار بها المؤسسات وتُصنع فيها القرارات وتُنفذ من خلالها العمليات</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ولم يعد الذكاء الاصطناعي حكراً على قطاعات بعينها أو مقتصراً على المؤسسات التجارية الكبرى، بل امتد أثره ليشمل المؤسسات الحكومية التي تواجه ضغوطاً متزايدة لتحسين كفاءة خدماتها وترشيد مواردها والاستجابة لتوقعات المستفيدين المتصاعدة. وفي المملكة العربية السعودية، يكتسب هذا الموضوع أهمية استثنائية في ظل رؤية </w:t>
      </w:r>
      <w:r w:rsidRPr="00B30CCE">
        <w:rPr>
          <w:rFonts w:ascii="Simplified Arabic" w:eastAsia="Times New Roman" w:hAnsi="Simplified Arabic" w:cs="Simplified Arabic" w:hint="cs"/>
          <w:kern w:val="0"/>
          <w:sz w:val="28"/>
          <w:szCs w:val="28"/>
          <w14:ligatures w14:val="none"/>
        </w:rPr>
        <w:t xml:space="preserve">2030 </w:t>
      </w:r>
      <w:r w:rsidRPr="00B30CCE">
        <w:rPr>
          <w:rFonts w:ascii="Simplified Arabic" w:eastAsia="Times New Roman" w:hAnsi="Simplified Arabic" w:cs="Simplified Arabic" w:hint="cs"/>
          <w:kern w:val="0"/>
          <w:sz w:val="28"/>
          <w:szCs w:val="28"/>
          <w:rtl/>
          <w14:ligatures w14:val="none"/>
        </w:rPr>
        <w:t>التي وضعت البيانات والذكاء الاصطناعي في صدارة أولويات التحول المؤسسي، حيث أُنشئت الهيئة السعودية للبيانات والذكاء الاصطناعي (</w:t>
      </w:r>
      <w:proofErr w:type="spellStart"/>
      <w:r w:rsidRPr="00B30CCE">
        <w:rPr>
          <w:rFonts w:ascii="Simplified Arabic" w:eastAsia="Times New Roman" w:hAnsi="Simplified Arabic" w:cs="Simplified Arabic" w:hint="cs"/>
          <w:kern w:val="0"/>
          <w:sz w:val="28"/>
          <w:szCs w:val="28"/>
          <w:rtl/>
          <w14:ligatures w14:val="none"/>
        </w:rPr>
        <w:t>سدايا</w:t>
      </w:r>
      <w:proofErr w:type="spellEnd"/>
      <w:r w:rsidRPr="00B30CCE">
        <w:rPr>
          <w:rFonts w:ascii="Simplified Arabic" w:eastAsia="Times New Roman" w:hAnsi="Simplified Arabic" w:cs="Simplified Arabic" w:hint="cs"/>
          <w:kern w:val="0"/>
          <w:sz w:val="28"/>
          <w:szCs w:val="28"/>
          <w:rtl/>
          <w14:ligatures w14:val="none"/>
        </w:rPr>
        <w:t>) لتقود هذا التوجه وتضمن تبنّي المؤسسات الحكومية الكبرى لهذه التقنيات بما يحقق الأهداف الوطنية الاستراتيجية</w:t>
      </w:r>
      <w:r w:rsidRPr="00B30CCE">
        <w:rPr>
          <w:rFonts w:ascii="Simplified Arabic" w:eastAsia="Times New Roman" w:hAnsi="Simplified Arabic" w:cs="Simplified Arabic" w:hint="cs"/>
          <w:kern w:val="0"/>
          <w:sz w:val="28"/>
          <w:szCs w:val="28"/>
          <w14:ligatures w14:val="none"/>
        </w:rPr>
        <w:t>.</w:t>
      </w:r>
    </w:p>
    <w:p w14:paraId="1D6CEB5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ينطلق هذا المبحث من عرض مفهوم الذكاء الاصطناعي وتعريفاته المتعددة في الأدبيات الإدارية والتقنية، ثم يستعرض أهمية هذه التقنيات في السياق المؤسسي المعاصر، وأهدافها الجوهرية، وأنواعها ومستوياتها المختلفة، وخصائصها الجوهرية التي تميزها عن الأدوات التقنية التقليدية، ثم يتعمق في عرض أبعاد الذكاء الاصطناعي الأربعة التي تتبناها الدراسة الحالية وهي: جمع البيانات ومعالجتها، والنماذج التنبؤية، والأتمتة الذكية، وأنظمة دعم القرار. ويُختتم المبحث باستعراض استراتيجيات تطبيق الذكاء الاصطناعي في المؤسسات الحكومية</w:t>
      </w:r>
      <w:r w:rsidRPr="00B30CCE">
        <w:rPr>
          <w:rFonts w:ascii="Simplified Arabic" w:eastAsia="Times New Roman" w:hAnsi="Simplified Arabic" w:cs="Simplified Arabic" w:hint="cs"/>
          <w:kern w:val="0"/>
          <w:sz w:val="28"/>
          <w:szCs w:val="28"/>
          <w14:ligatures w14:val="none"/>
        </w:rPr>
        <w:t>.</w:t>
      </w:r>
    </w:p>
    <w:p w14:paraId="33271537"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أولاً: مفهوم الذكاء الاصطناعي</w:t>
      </w:r>
    </w:p>
    <w:p w14:paraId="7D659B25" w14:textId="5B240FD8"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يُعدّ مفهوم الذكاء الاصطناعي من أكثر المفاهيم التي استقطبت اهتمام الباحثين في حقول معرفية متعددة، وقد تباينت التعريفات المقدمة له تبعاً للمنظور العلمي الذي ينطلق منه كل باحث، سواء أكان منظوراً تقنياً بحتاً يركز على الخوارزميات وآليات المعالجة، أم منظوراً إدارياً يهتم بالتوظيف المؤسسي لهذه التقنيات وأثرها في الأداء التنظيمي</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وقد أسهم هذا التعدد في إثراء الحقل المعرفي للذكاء الاصطناعي، غير أنه </w:t>
      </w:r>
      <w:r w:rsidRPr="00B30CCE">
        <w:rPr>
          <w:rFonts w:ascii="Simplified Arabic" w:eastAsia="Times New Roman" w:hAnsi="Simplified Arabic" w:cs="Simplified Arabic" w:hint="cs"/>
          <w:kern w:val="0"/>
          <w:sz w:val="28"/>
          <w:szCs w:val="28"/>
          <w:rtl/>
          <w14:ligatures w14:val="none"/>
        </w:rPr>
        <w:lastRenderedPageBreak/>
        <w:t>استوجب في الوقت ذاته جهداً تحليلياً لاستخلاص العناصر المشتركة التي تشكّل جوهر المفهوم وتميزه عن غيره من المفاهيم التقنية المجاورة</w:t>
      </w:r>
      <w:r w:rsidRPr="00B30CCE">
        <w:rPr>
          <w:rFonts w:ascii="Simplified Arabic" w:eastAsia="Times New Roman" w:hAnsi="Simplified Arabic" w:cs="Simplified Arabic" w:hint="cs"/>
          <w:kern w:val="0"/>
          <w:sz w:val="28"/>
          <w:szCs w:val="28"/>
          <w14:ligatures w14:val="none"/>
        </w:rPr>
        <w:t>.</w:t>
      </w:r>
    </w:p>
    <w:p w14:paraId="3DFDD52D" w14:textId="1180AB76"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فقد عرّف</w:t>
      </w:r>
      <w:r w:rsidRPr="00B30CCE">
        <w:rPr>
          <w:rFonts w:ascii="Simplified Arabic" w:eastAsia="Times New Roman" w:hAnsi="Simplified Arabic" w:cs="Simplified Arabic" w:hint="cs"/>
          <w:kern w:val="0"/>
          <w:sz w:val="28"/>
          <w:szCs w:val="28"/>
          <w14:ligatures w14:val="none"/>
        </w:rPr>
        <w:t xml:space="preserve"> (</w:t>
      </w:r>
      <w:proofErr w:type="spellStart"/>
      <w:r w:rsidRPr="00B30CCE">
        <w:rPr>
          <w:rFonts w:ascii="Simplified Arabic" w:eastAsia="Times New Roman" w:hAnsi="Simplified Arabic" w:cs="Simplified Arabic" w:hint="cs"/>
          <w:kern w:val="0"/>
          <w:sz w:val="28"/>
          <w:szCs w:val="28"/>
          <w14:ligatures w14:val="none"/>
        </w:rPr>
        <w:t>Nathany</w:t>
      </w:r>
      <w:proofErr w:type="spellEnd"/>
      <w:r w:rsidRPr="00B30CCE">
        <w:rPr>
          <w:rFonts w:ascii="Simplified Arabic" w:eastAsia="Times New Roman" w:hAnsi="Simplified Arabic" w:cs="Simplified Arabic" w:hint="cs"/>
          <w:kern w:val="0"/>
          <w:sz w:val="28"/>
          <w:szCs w:val="28"/>
          <w14:ligatures w14:val="none"/>
        </w:rPr>
        <w:t xml:space="preserve">, 2022) </w:t>
      </w:r>
      <w:r w:rsidRPr="00B30CCE">
        <w:rPr>
          <w:rFonts w:ascii="Simplified Arabic" w:eastAsia="Times New Roman" w:hAnsi="Simplified Arabic" w:cs="Simplified Arabic" w:hint="cs"/>
          <w:kern w:val="0"/>
          <w:sz w:val="28"/>
          <w:szCs w:val="28"/>
          <w:rtl/>
          <w14:ligatures w14:val="none"/>
        </w:rPr>
        <w:t xml:space="preserve">الذكاء الاصطناعي بأنه "مجموعة متكاملة من التطبيقات والأنظمة الحاسوبية التي تمتلك القدرة على محاكاة العمليات الإدراكية البشرية، بما يشمل التعلم من البيانات والتعرف على الأنماط واستخلاص المعاني من المعلومات غير المهيكلة وتقديم توصيات مبنية على تحليلات عميقة". </w:t>
      </w:r>
    </w:p>
    <w:p w14:paraId="4DE7E734" w14:textId="203BEC8D"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قدّم</w:t>
      </w:r>
      <w:proofErr w:type="gramEnd"/>
      <w:r w:rsidR="00B30CCE" w:rsidRPr="00B30CCE">
        <w:rPr>
          <w:rFonts w:ascii="Simplified Arabic" w:eastAsia="Times New Roman" w:hAnsi="Simplified Arabic" w:cs="Simplified Arabic" w:hint="cs"/>
          <w:kern w:val="0"/>
          <w:sz w:val="28"/>
          <w:szCs w:val="28"/>
          <w14:ligatures w14:val="none"/>
        </w:rPr>
        <w:t xml:space="preserve"> (Yusuf et al., 2025) </w:t>
      </w:r>
      <w:r w:rsidR="00B30CCE" w:rsidRPr="00B30CCE">
        <w:rPr>
          <w:rFonts w:ascii="Simplified Arabic" w:eastAsia="Times New Roman" w:hAnsi="Simplified Arabic" w:cs="Simplified Arabic" w:hint="cs"/>
          <w:kern w:val="0"/>
          <w:sz w:val="28"/>
          <w:szCs w:val="28"/>
          <w:rtl/>
          <w14:ligatures w14:val="none"/>
        </w:rPr>
        <w:t xml:space="preserve">تعريفاً يصف الذكاء الاصطناعي بأنه </w:t>
      </w:r>
      <w:r w:rsidR="00B30CCE" w:rsidRPr="00B30CCE">
        <w:rPr>
          <w:rFonts w:ascii="Simplified Arabic" w:eastAsia="Times New Roman" w:hAnsi="Simplified Arabic" w:cs="Simplified Arabic" w:hint="cs"/>
          <w:kern w:val="0"/>
          <w:sz w:val="28"/>
          <w:szCs w:val="28"/>
          <w14:ligatures w14:val="none"/>
        </w:rPr>
        <w:t>"</w:t>
      </w:r>
      <w:r w:rsidR="00B30CCE" w:rsidRPr="00B30CCE">
        <w:rPr>
          <w:rFonts w:ascii="Simplified Arabic" w:eastAsia="Times New Roman" w:hAnsi="Simplified Arabic" w:cs="Simplified Arabic" w:hint="cs"/>
          <w:kern w:val="0"/>
          <w:sz w:val="28"/>
          <w:szCs w:val="28"/>
          <w:rtl/>
          <w14:ligatures w14:val="none"/>
        </w:rPr>
        <w:t xml:space="preserve">منظومة تقنية قائمة على خوارزميات التعلم الآلي والتعلم العميق ومعالجة اللغة الطبيعية، تُمكّن المؤسسات من أتمتة العمليات التشغيلية وتحليل البيانات الضخمة والتنبؤ بالطلب وتحسين تدفق الموارد عبر مراحل سلسلة الإمداد". </w:t>
      </w:r>
    </w:p>
    <w:p w14:paraId="549D9726" w14:textId="1EC716F5"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أما</w:t>
      </w:r>
      <w:r w:rsidRPr="00B30CCE">
        <w:rPr>
          <w:rFonts w:ascii="Simplified Arabic" w:eastAsia="Times New Roman" w:hAnsi="Simplified Arabic" w:cs="Simplified Arabic" w:hint="cs"/>
          <w:kern w:val="0"/>
          <w:sz w:val="28"/>
          <w:szCs w:val="28"/>
          <w14:ligatures w14:val="none"/>
        </w:rPr>
        <w:t xml:space="preserve"> (</w:t>
      </w:r>
      <w:proofErr w:type="spellStart"/>
      <w:r w:rsidRPr="00B30CCE">
        <w:rPr>
          <w:rFonts w:ascii="Simplified Arabic" w:eastAsia="Times New Roman" w:hAnsi="Simplified Arabic" w:cs="Simplified Arabic" w:hint="cs"/>
          <w:kern w:val="0"/>
          <w:sz w:val="28"/>
          <w:szCs w:val="28"/>
          <w14:ligatures w14:val="none"/>
        </w:rPr>
        <w:t>Pokamestov</w:t>
      </w:r>
      <w:proofErr w:type="spellEnd"/>
      <w:r w:rsidRPr="00B30CCE">
        <w:rPr>
          <w:rFonts w:ascii="Simplified Arabic" w:eastAsia="Times New Roman" w:hAnsi="Simplified Arabic" w:cs="Simplified Arabic" w:hint="cs"/>
          <w:kern w:val="0"/>
          <w:sz w:val="28"/>
          <w:szCs w:val="28"/>
          <w14:ligatures w14:val="none"/>
        </w:rPr>
        <w:t xml:space="preserve"> &amp; Nikitin, 2024) </w:t>
      </w:r>
      <w:r w:rsidRPr="00B30CCE">
        <w:rPr>
          <w:rFonts w:ascii="Simplified Arabic" w:eastAsia="Times New Roman" w:hAnsi="Simplified Arabic" w:cs="Simplified Arabic" w:hint="cs"/>
          <w:kern w:val="0"/>
          <w:sz w:val="28"/>
          <w:szCs w:val="28"/>
          <w:rtl/>
          <w14:ligatures w14:val="none"/>
        </w:rPr>
        <w:t xml:space="preserve">عرّفاه بأنه "مجموعة من التقنيات الحديثة التي تمثل أداة استراتيجية لتحويل سلاسل القيمة داخل المؤسسات، من خلال إعادة هندسة العمليات وتعزيز كفاءة اتخاذ القرار وتحسين الأداء التشغيلي عبر توظيف خوارزميات ذكية قادرة على التعلم والتكيف المستمر". </w:t>
      </w:r>
    </w:p>
    <w:p w14:paraId="3CBC5DCD" w14:textId="50B1F4B4"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w:t>
      </w:r>
      <w:proofErr w:type="gramEnd"/>
      <w:r w:rsidR="00B30CCE" w:rsidRPr="00B30CCE">
        <w:rPr>
          <w:rFonts w:ascii="Simplified Arabic" w:eastAsia="Times New Roman" w:hAnsi="Simplified Arabic" w:cs="Simplified Arabic" w:hint="cs"/>
          <w:kern w:val="0"/>
          <w:sz w:val="28"/>
          <w:szCs w:val="28"/>
          <w14:ligatures w14:val="none"/>
        </w:rPr>
        <w:t xml:space="preserve"> (Faisal, 2025) </w:t>
      </w:r>
      <w:r w:rsidR="00B30CCE" w:rsidRPr="00B30CCE">
        <w:rPr>
          <w:rFonts w:ascii="Simplified Arabic" w:eastAsia="Times New Roman" w:hAnsi="Simplified Arabic" w:cs="Simplified Arabic" w:hint="cs"/>
          <w:kern w:val="0"/>
          <w:sz w:val="28"/>
          <w:szCs w:val="28"/>
          <w:rtl/>
          <w14:ligatures w14:val="none"/>
        </w:rPr>
        <w:t xml:space="preserve">الذكاء الاصطناعي بأنه "مجموعة من الأدوات والتطبيقات التحليلية المتقدمة التي تعتمد على خوارزميات التعلم الآلي والشبكات العصبية لتمكين المؤسسات من تعزيز كفاءة عملياتها وإدارة المخاطر بصورة استباقية من خلال التحليل الآني للبيانات واكتشاف الأنماط المخفية". </w:t>
      </w:r>
    </w:p>
    <w:p w14:paraId="216768E0" w14:textId="56057B33"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عرّف</w:t>
      </w:r>
      <w:r w:rsidRPr="00B30CCE">
        <w:rPr>
          <w:rFonts w:ascii="Simplified Arabic" w:eastAsia="Times New Roman" w:hAnsi="Simplified Arabic" w:cs="Simplified Arabic" w:hint="cs"/>
          <w:kern w:val="0"/>
          <w:sz w:val="28"/>
          <w:szCs w:val="28"/>
          <w14:ligatures w14:val="none"/>
        </w:rPr>
        <w:t xml:space="preserve"> (Thenmozhi &amp; </w:t>
      </w:r>
      <w:proofErr w:type="spellStart"/>
      <w:r w:rsidRPr="00B30CCE">
        <w:rPr>
          <w:rFonts w:ascii="Simplified Arabic" w:eastAsia="Times New Roman" w:hAnsi="Simplified Arabic" w:cs="Simplified Arabic" w:hint="cs"/>
          <w:kern w:val="0"/>
          <w:sz w:val="28"/>
          <w:szCs w:val="28"/>
          <w14:ligatures w14:val="none"/>
        </w:rPr>
        <w:t>Krisknakumari</w:t>
      </w:r>
      <w:proofErr w:type="spellEnd"/>
      <w:r w:rsidRPr="00B30CCE">
        <w:rPr>
          <w:rFonts w:ascii="Simplified Arabic" w:eastAsia="Times New Roman" w:hAnsi="Simplified Arabic" w:cs="Simplified Arabic" w:hint="cs"/>
          <w:kern w:val="0"/>
          <w:sz w:val="28"/>
          <w:szCs w:val="28"/>
          <w14:ligatures w14:val="none"/>
        </w:rPr>
        <w:t xml:space="preserve">, 2024) </w:t>
      </w:r>
      <w:r w:rsidRPr="00B30CCE">
        <w:rPr>
          <w:rFonts w:ascii="Simplified Arabic" w:eastAsia="Times New Roman" w:hAnsi="Simplified Arabic" w:cs="Simplified Arabic" w:hint="cs"/>
          <w:kern w:val="0"/>
          <w:sz w:val="28"/>
          <w:szCs w:val="28"/>
          <w:rtl/>
          <w14:ligatures w14:val="none"/>
        </w:rPr>
        <w:t xml:space="preserve">الذكاء الاصطناعي بأنه "مجال تقني متعدد التخصصات يشمل التعلم الآلي والرؤية الحاسوبية ومعالجة اللغة الطبيعية والروبوتات الذكية، ويهدف إلى تمكين الأنظمة الحاسوبية من أداء مهام تتطلب ذكاءً بشرياً، مع التركيز على تحسين الكفاءة التشغيلية في سلاسل الإمداد والعمليات اللوجستية". </w:t>
      </w:r>
    </w:p>
    <w:p w14:paraId="172F2654" w14:textId="742E7C32"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w:t>
      </w:r>
      <w:proofErr w:type="gramEnd"/>
      <w:r w:rsidR="00B30CCE" w:rsidRPr="00B30CCE">
        <w:rPr>
          <w:rFonts w:ascii="Simplified Arabic" w:eastAsia="Times New Roman" w:hAnsi="Simplified Arabic" w:cs="Simplified Arabic" w:hint="cs"/>
          <w:kern w:val="0"/>
          <w:sz w:val="28"/>
          <w:szCs w:val="28"/>
          <w:rtl/>
          <w14:ligatures w14:val="none"/>
        </w:rPr>
        <w:t xml:space="preserve"> (حسن وآخرون، 2024) الذكاء الاصطناعي بأنه "فرع من فروع علوم الحاسب الآلي يُعنى بتصميم أنظمة ذكية قادرة على أداء مهام تتطلب عادةً ذكاءً بشرياً، كالتعلم والاستنتاج والتخطيط وحل المشكلات، وذلك بهدف خدمة أهداف التنمية المستدامة وتحسين نوعية الحياة"، </w:t>
      </w: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عرّف (الصفار، 2024) الذكاء الاصطناعي بأنه "قدرة الأنظمة التقنية على تحليل البيانات الضخمة واستخلاص أنماط ذات دلالة </w:t>
      </w:r>
      <w:r w:rsidR="00B30CCE" w:rsidRPr="00B30CCE">
        <w:rPr>
          <w:rFonts w:ascii="Simplified Arabic" w:eastAsia="Times New Roman" w:hAnsi="Simplified Arabic" w:cs="Simplified Arabic" w:hint="cs"/>
          <w:kern w:val="0"/>
          <w:sz w:val="28"/>
          <w:szCs w:val="28"/>
          <w:rtl/>
          <w14:ligatures w14:val="none"/>
        </w:rPr>
        <w:lastRenderedPageBreak/>
        <w:t>منها، واستخدام هذه الأنماط في تحسين جودة الخدمات المقدمة من خلال التخصيص والتنبؤ والاستجابة الفورية</w:t>
      </w:r>
      <w:r w:rsidR="00B30CCE" w:rsidRPr="00B30CCE">
        <w:rPr>
          <w:rFonts w:ascii="Simplified Arabic" w:eastAsia="Times New Roman" w:hAnsi="Simplified Arabic" w:cs="Simplified Arabic" w:hint="cs"/>
          <w:kern w:val="0"/>
          <w:sz w:val="28"/>
          <w:szCs w:val="28"/>
          <w14:ligatures w14:val="none"/>
        </w:rPr>
        <w:t>".</w:t>
      </w:r>
    </w:p>
    <w:p w14:paraId="06DE2CE6" w14:textId="5D99E6A4"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فيما أكد (</w:t>
      </w:r>
      <w:proofErr w:type="gramStart"/>
      <w:r w:rsidRPr="00B30CCE">
        <w:rPr>
          <w:rFonts w:ascii="Simplified Arabic" w:eastAsia="Times New Roman" w:hAnsi="Simplified Arabic" w:cs="Simplified Arabic" w:hint="cs"/>
          <w:kern w:val="0"/>
          <w:sz w:val="28"/>
          <w:szCs w:val="28"/>
          <w:rtl/>
          <w14:ligatures w14:val="none"/>
        </w:rPr>
        <w:t>عبدالمنعم</w:t>
      </w:r>
      <w:proofErr w:type="gramEnd"/>
      <w:r w:rsidRPr="00B30CCE">
        <w:rPr>
          <w:rFonts w:ascii="Simplified Arabic" w:eastAsia="Times New Roman" w:hAnsi="Simplified Arabic" w:cs="Simplified Arabic" w:hint="cs"/>
          <w:kern w:val="0"/>
          <w:sz w:val="28"/>
          <w:szCs w:val="28"/>
          <w:rtl/>
          <w14:ligatures w14:val="none"/>
        </w:rPr>
        <w:t>، 2023) بأنه "منظومة تقنية ذكية تتكامل مع الهياكل التنظيمية والموارد البشرية لتعزيز الرشاقة الاستراتيجية للمؤسسات، من خلال تسريع عمليات التحليل واتخاذ القرار والتكيف مع المتغيرات البيئية بمرونة وسرعة عالية"</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أما (خفاجي وإبراهيم، 2023) فقد عرّفاه بأنه "مجموعة من التطبيقات الذكية التي تُوظَّف لتحقيق التميز المؤسسي من خلال أتمتة العمليات الروتينية وتحرير الطاقات البشرية للتركيز على المهام الإبداعية والاستراتيجية ذات القيمة المضافة العالية</w:t>
      </w:r>
      <w:r w:rsidRPr="00B30CCE">
        <w:rPr>
          <w:rFonts w:ascii="Simplified Arabic" w:eastAsia="Times New Roman" w:hAnsi="Simplified Arabic" w:cs="Simplified Arabic" w:hint="cs"/>
          <w:kern w:val="0"/>
          <w:sz w:val="28"/>
          <w:szCs w:val="28"/>
          <w14:ligatures w14:val="none"/>
        </w:rPr>
        <w:t>".</w:t>
      </w:r>
    </w:p>
    <w:p w14:paraId="3FEB227D"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وفي ضوء استعراض هذه التعريفات المتعددة، يمكن استخلاص مجموعة من العناصر المشتركة التي تشكّل جوهر مفهوم الذكاء الاصطناعي، وتتمثل في: القدرة على التعلم من البيانات والتكيف مع المتغيرات، ومحاكاة العمليات الإدراكية البشرية، والتوجه نحو أتمتة المهام وتحسين الكفاءة التشغيلية، والقدرة على التنبؤ واستشراف المستقبل، فضلاً عن الطبيعة التكاملية متعددة التخصصات.</w:t>
      </w:r>
    </w:p>
    <w:p w14:paraId="146D38DE" w14:textId="48CA59ED"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w:t>
      </w:r>
      <w:r w:rsidR="00B30CCE" w:rsidRPr="00B30CCE">
        <w:rPr>
          <w:rFonts w:ascii="Simplified Arabic" w:eastAsia="Times New Roman" w:hAnsi="Simplified Arabic" w:cs="Simplified Arabic" w:hint="cs"/>
          <w:b/>
          <w:bCs/>
          <w:kern w:val="0"/>
          <w:sz w:val="28"/>
          <w:szCs w:val="28"/>
          <w:rtl/>
          <w14:ligatures w14:val="none"/>
        </w:rPr>
        <w:t>تُعرّف</w:t>
      </w:r>
      <w:proofErr w:type="gramEnd"/>
      <w:r w:rsidR="00B30CCE" w:rsidRPr="00B30CCE">
        <w:rPr>
          <w:rFonts w:ascii="Simplified Arabic" w:eastAsia="Times New Roman" w:hAnsi="Simplified Arabic" w:cs="Simplified Arabic" w:hint="cs"/>
          <w:b/>
          <w:bCs/>
          <w:kern w:val="0"/>
          <w:sz w:val="28"/>
          <w:szCs w:val="28"/>
          <w:rtl/>
          <w14:ligatures w14:val="none"/>
        </w:rPr>
        <w:t xml:space="preserve"> الباحثة الذكاء الاصطناعي إجرائياً</w:t>
      </w:r>
      <w:r w:rsidR="00B30CCE" w:rsidRPr="00B30CCE">
        <w:rPr>
          <w:rFonts w:ascii="Simplified Arabic" w:eastAsia="Times New Roman" w:hAnsi="Simplified Arabic" w:cs="Simplified Arabic" w:hint="cs"/>
          <w:kern w:val="0"/>
          <w:sz w:val="28"/>
          <w:szCs w:val="28"/>
          <w:rtl/>
          <w14:ligatures w14:val="none"/>
        </w:rPr>
        <w:t xml:space="preserve"> بأنه: منظومة متكاملة من التقنيات والتطبيقات الذكية القائمة على خوارزميات التعلم الآلي والتحليلات المتقدمة، تُوظَّف في المؤسسات الحكومية الكبرى بالمملكة العربية السعودية لجمع البيانات ومعالجتها، وبناء نماذج تنبؤية، وأتمتة العمليات التشغيلية، ودعم عملية اتخاذ القرار، بما يسهم في تحسين سلسلة القيمة التشغيلية وتعزيز كفاءة الأداء المؤسسي تحقيقاً لمستهدفات رؤية 2030</w:t>
      </w:r>
      <w:r w:rsidR="00B30CCE" w:rsidRPr="00B30CCE">
        <w:rPr>
          <w:rFonts w:ascii="Simplified Arabic" w:eastAsia="Times New Roman" w:hAnsi="Simplified Arabic" w:cs="Simplified Arabic" w:hint="cs"/>
          <w:kern w:val="0"/>
          <w:sz w:val="28"/>
          <w:szCs w:val="28"/>
          <w14:ligatures w14:val="none"/>
        </w:rPr>
        <w:t>.</w:t>
      </w:r>
    </w:p>
    <w:p w14:paraId="41C78C22"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ثانياً: أهمية تقنيات الذكاء الاصطناعي في السياق المؤسسي</w:t>
      </w:r>
    </w:p>
    <w:p w14:paraId="486641A9"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تتزايد أهمية تقنيات الذكاء الاصطناعي في البيئة المؤسسية المعاصرة بصورة مطردة، وذلك في ظل تحولات جوهرية فرضتها الثورة الصناعية الرابعة وما رافقها من تضخم هائل في حجم البيانات المتولدة عن الأنشطة المؤسسية، وتعقّد متنامٍ في شبكات العلاقات بين الأطراف ذات المصلحة، وضغوط متصاعدة لتقديم خدمات أفضل بتكلفة أقل وفي وقت أسرع</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 xml:space="preserve">ولم تعد هذه التقنيات ترفاً تقنياً تتباهى به المؤسسات، بل باتت ضرورة حتمية تتوقف عليها قدرتها على البقاء والمنافسة والاستجابة لتوقعات بيئة شديدة التقلب. </w:t>
      </w:r>
    </w:p>
    <w:p w14:paraId="1F57CF04" w14:textId="339DD0F6"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lastRenderedPageBreak/>
        <w:t>وتبرز هذه الأهمية بوضوح أكبر في المؤسسات الحكومية الكبرى التي تتعامل مع قاعدة واسعة من المستفيدين وتدير عمليات معقدة ومتشعبة تمس حياة المواطنين بشكل مباشر، مما يجعلها في أمسّ الحاجة إلى أدوات ذكية تعينها على تحقيق التميز في أدائها وتلبية متطلبات التحول الوطني</w:t>
      </w:r>
      <w:r w:rsidRPr="00B30CCE">
        <w:rPr>
          <w:rFonts w:ascii="Simplified Arabic" w:eastAsia="Times New Roman" w:hAnsi="Simplified Arabic" w:cs="Simplified Arabic" w:hint="cs"/>
          <w:kern w:val="0"/>
          <w:sz w:val="28"/>
          <w:szCs w:val="28"/>
          <w14:ligatures w14:val="none"/>
        </w:rPr>
        <w:t>.</w:t>
      </w:r>
    </w:p>
    <w:p w14:paraId="06AD9E0E"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وفي هذا الإطار، يشير</w:t>
      </w:r>
      <w:r w:rsidRPr="00B30CCE">
        <w:rPr>
          <w:rFonts w:ascii="Simplified Arabic" w:eastAsia="Times New Roman" w:hAnsi="Simplified Arabic" w:cs="Simplified Arabic" w:hint="cs"/>
          <w:kern w:val="0"/>
          <w:sz w:val="28"/>
          <w:szCs w:val="28"/>
          <w14:ligatures w14:val="none"/>
        </w:rPr>
        <w:t xml:space="preserve"> (Helo &amp; Hao, 2022) </w:t>
      </w:r>
      <w:r w:rsidRPr="00B30CCE">
        <w:rPr>
          <w:rFonts w:ascii="Simplified Arabic" w:eastAsia="Times New Roman" w:hAnsi="Simplified Arabic" w:cs="Simplified Arabic" w:hint="cs"/>
          <w:kern w:val="0"/>
          <w:sz w:val="28"/>
          <w:szCs w:val="28"/>
          <w:rtl/>
          <w14:ligatures w14:val="none"/>
        </w:rPr>
        <w:t>إلى أن أهمية الذكاء الاصطناعي في إدارة العمليات وسلاسل الإمداد تتجلى في عدة محاور</w:t>
      </w:r>
      <w:r w:rsidRPr="00B30CCE">
        <w:rPr>
          <w:rFonts w:ascii="Simplified Arabic" w:eastAsia="Times New Roman" w:hAnsi="Simplified Arabic" w:cs="Simplified Arabic" w:hint="cs"/>
          <w:kern w:val="0"/>
          <w:sz w:val="28"/>
          <w:szCs w:val="28"/>
          <w14:ligatures w14:val="none"/>
        </w:rPr>
        <w:t>:</w:t>
      </w:r>
    </w:p>
    <w:p w14:paraId="4D952B25"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التحليلية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تتيح تقنيات الذكاء الاصطناعي للمؤسسات القدرة على معالجة حجم هائل من البيانات المهيكلة وغير المهيكلة في زمن قياسي، واستخلاص رؤى تحليلية معمّقة يصعب على العقل البشري الوصول إليها بالطرق التقليدية، مما يرفع جودة المعلومات المتاحة لصانعي القرار ويمنحهم أساساً موضوعياً متيناً لاتخاذ قرارات مستنيرة بدلاً من الاعتماد على الحدس والخبرة الشخصية وحدهما</w:t>
      </w:r>
      <w:r w:rsidRPr="00B30CCE">
        <w:rPr>
          <w:rFonts w:ascii="Simplified Arabic" w:eastAsia="Times New Roman" w:hAnsi="Simplified Arabic" w:cs="Simplified Arabic" w:hint="cs"/>
          <w:kern w:val="0"/>
          <w:sz w:val="28"/>
          <w:szCs w:val="28"/>
          <w14:ligatures w14:val="none"/>
        </w:rPr>
        <w:t>.</w:t>
      </w:r>
    </w:p>
    <w:p w14:paraId="6EA4FCC9"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تحقيق التكامل والتنسيق التنظيمي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على تحسين مستوى التنسيق والتكامل بين الوحدات التنظيمية المختلفة داخل المؤسسة من خلال منصات ذكية تتيح تبادل المعلومات بشكل آني وتقلل من حالات الازدواجية والتعارض في العمليات، وتضمن أن جميع الأطراف تعمل وفق رؤية موحدة ومعلومات محدّثة</w:t>
      </w:r>
      <w:r w:rsidRPr="00B30CCE">
        <w:rPr>
          <w:rFonts w:ascii="Simplified Arabic" w:eastAsia="Times New Roman" w:hAnsi="Simplified Arabic" w:cs="Simplified Arabic" w:hint="cs"/>
          <w:kern w:val="0"/>
          <w:sz w:val="28"/>
          <w:szCs w:val="28"/>
          <w14:ligatures w14:val="none"/>
        </w:rPr>
        <w:t>.</w:t>
      </w:r>
    </w:p>
    <w:p w14:paraId="4A829CC3"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ترشيد الموارد وتقليص الهدر</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تُسهم أتمتة العمليات الروتينية المتكررة في تقليص الهدر في الموارد المادية والبشرية والزمنية، وتوجيه هذه الموارد نحو المهام ذات القيمة المضافة الأعلى التي تتطلب تفكيراً إبداعياً وحكماً بشرياً، مما يرفع الإنتاجية الكلية للمؤسسة دون الحاجة إلى زيادة مواردها</w:t>
      </w:r>
      <w:r w:rsidRPr="00B30CCE">
        <w:rPr>
          <w:rFonts w:ascii="Simplified Arabic" w:eastAsia="Times New Roman" w:hAnsi="Simplified Arabic" w:cs="Simplified Arabic" w:hint="cs"/>
          <w:kern w:val="0"/>
          <w:sz w:val="28"/>
          <w:szCs w:val="28"/>
          <w14:ligatures w14:val="none"/>
        </w:rPr>
        <w:t>.</w:t>
      </w:r>
    </w:p>
    <w:p w14:paraId="0FC4B47E" w14:textId="77777777" w:rsidR="00B30CCE" w:rsidRPr="00B30CCE" w:rsidRDefault="00B30CCE">
      <w:pPr>
        <w:numPr>
          <w:ilvl w:val="0"/>
          <w:numId w:val="1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على الاستجابة السريعة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يمنح الذكاء الاصطناعي المؤسسات القدرة على رصد التغيرات في بيئتها الخارجية والداخلية بشكل لحظي، والاستجابة لها بسرعة ومرونة تفوق ما تتيحه الأنظمة التقليدية، وهو ما يُعزز قدرتها التنافسية ويحميها من المفاجآت والأزمات</w:t>
      </w:r>
      <w:r w:rsidRPr="00B30CCE">
        <w:rPr>
          <w:rFonts w:ascii="Simplified Arabic" w:eastAsia="Times New Roman" w:hAnsi="Simplified Arabic" w:cs="Simplified Arabic" w:hint="cs"/>
          <w:kern w:val="0"/>
          <w:sz w:val="28"/>
          <w:szCs w:val="28"/>
          <w14:ligatures w14:val="none"/>
        </w:rPr>
        <w:t>.</w:t>
      </w:r>
    </w:p>
    <w:p w14:paraId="084CFC7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ويرى</w:t>
      </w:r>
      <w:r w:rsidRPr="00B30CCE">
        <w:rPr>
          <w:rFonts w:ascii="Simplified Arabic" w:eastAsia="Times New Roman" w:hAnsi="Simplified Arabic" w:cs="Simplified Arabic" w:hint="cs"/>
          <w:kern w:val="0"/>
          <w:sz w:val="28"/>
          <w:szCs w:val="28"/>
          <w14:ligatures w14:val="none"/>
        </w:rPr>
        <w:t xml:space="preserve"> (Fosso Wamba et al., 2022) </w:t>
      </w:r>
      <w:r w:rsidRPr="00B30CCE">
        <w:rPr>
          <w:rFonts w:ascii="Simplified Arabic" w:eastAsia="Times New Roman" w:hAnsi="Simplified Arabic" w:cs="Simplified Arabic" w:hint="cs"/>
          <w:kern w:val="0"/>
          <w:sz w:val="28"/>
          <w:szCs w:val="28"/>
          <w:rtl/>
          <w14:ligatures w14:val="none"/>
        </w:rPr>
        <w:t>أن أهمية الذكاء الاصطناعي في السياق المؤسسي تتبلور في ثلاثة أبعاد رئيسة</w:t>
      </w:r>
      <w:r w:rsidRPr="00B30CCE">
        <w:rPr>
          <w:rFonts w:ascii="Simplified Arabic" w:eastAsia="Times New Roman" w:hAnsi="Simplified Arabic" w:cs="Simplified Arabic" w:hint="cs"/>
          <w:kern w:val="0"/>
          <w:sz w:val="28"/>
          <w:szCs w:val="28"/>
          <w14:ligatures w14:val="none"/>
        </w:rPr>
        <w:t>:</w:t>
      </w:r>
    </w:p>
    <w:p w14:paraId="0C7E785D"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القيمة الاستراتيجية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الذكاء الاصطناعي المؤسسات من بناء قدرات تنافسية فريدة يصعب على المنافسين تقليدها، لأنها تقوم على تراكم معرفي وخوارزمي خاص بالمؤسسة ومرتبط بطبيعة بياناتها وعملياتها، مما يُشكّل حاجز دخول أمام المنافسين ويمنح المؤسسة ميزة مستدامة لا تتآكل بسهولة مع مرور الوقت</w:t>
      </w:r>
      <w:r w:rsidRPr="00B30CCE">
        <w:rPr>
          <w:rFonts w:ascii="Simplified Arabic" w:eastAsia="Times New Roman" w:hAnsi="Simplified Arabic" w:cs="Simplified Arabic" w:hint="cs"/>
          <w:kern w:val="0"/>
          <w:sz w:val="28"/>
          <w:szCs w:val="28"/>
          <w14:ligatures w14:val="none"/>
        </w:rPr>
        <w:t>.</w:t>
      </w:r>
    </w:p>
    <w:p w14:paraId="6ADC496C"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التشغيلية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الذكاء الاصطناعي بشكل مباشر في خفض التكاليف التشغيلية وتسريع دورة العمليات وتحسين مستوى الدقة والاتساق في المخرجات، من خلال أتمتة المهام المتكررة وتقليل الاعتماد على التدخل البشري في العمليات الروتينية، مما ينعكس إيجاباً على الكفاءة التشغيلية الشاملة للمؤسسة</w:t>
      </w:r>
      <w:r w:rsidRPr="00B30CCE">
        <w:rPr>
          <w:rFonts w:ascii="Simplified Arabic" w:eastAsia="Times New Roman" w:hAnsi="Simplified Arabic" w:cs="Simplified Arabic" w:hint="cs"/>
          <w:kern w:val="0"/>
          <w:sz w:val="28"/>
          <w:szCs w:val="28"/>
          <w14:ligatures w14:val="none"/>
        </w:rPr>
        <w:t>.</w:t>
      </w:r>
    </w:p>
    <w:p w14:paraId="1FF99292" w14:textId="77777777" w:rsidR="00B30CCE" w:rsidRPr="00B30CCE" w:rsidRDefault="00B30CC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التحويلية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يفتح الذكاء الاصطناعي آفاقاً لنماذج عمل جديدة وأساليب مبتكرة في تقديم الخدمات لم تكن ممكنة قبل ظهور هذه التقنيات، مما يُتيح للمؤسسات إعادة تعريف علاقتها بالمستفيدين وتقديم خدمات مخصصة واستباقية تتجاوز التوقعات التقليدية</w:t>
      </w:r>
      <w:r w:rsidRPr="00B30CCE">
        <w:rPr>
          <w:rFonts w:ascii="Simplified Arabic" w:eastAsia="Times New Roman" w:hAnsi="Simplified Arabic" w:cs="Simplified Arabic" w:hint="cs"/>
          <w:kern w:val="0"/>
          <w:sz w:val="28"/>
          <w:szCs w:val="28"/>
          <w14:ligatures w14:val="none"/>
        </w:rPr>
        <w:t>.</w:t>
      </w:r>
    </w:p>
    <w:p w14:paraId="4478B8E4"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يؤكد</w:t>
      </w:r>
      <w:r w:rsidRPr="00B30CCE">
        <w:rPr>
          <w:rFonts w:ascii="Simplified Arabic" w:eastAsia="Times New Roman" w:hAnsi="Simplified Arabic" w:cs="Simplified Arabic" w:hint="cs"/>
          <w:kern w:val="0"/>
          <w:sz w:val="28"/>
          <w:szCs w:val="28"/>
          <w14:ligatures w14:val="none"/>
        </w:rPr>
        <w:t xml:space="preserve"> (Cannas et al., 2024) </w:t>
      </w:r>
      <w:r w:rsidRPr="00B30CCE">
        <w:rPr>
          <w:rFonts w:ascii="Simplified Arabic" w:eastAsia="Times New Roman" w:hAnsi="Simplified Arabic" w:cs="Simplified Arabic" w:hint="cs"/>
          <w:kern w:val="0"/>
          <w:sz w:val="28"/>
          <w:szCs w:val="28"/>
          <w:rtl/>
          <w14:ligatures w14:val="none"/>
        </w:rPr>
        <w:t>أن أهمية الذكاء الاصطناعي تنبع من قدرته الفائقة على التعامل مع مستويات عالية من عدم اليقين والتعقيد، وذلك من خلال</w:t>
      </w:r>
      <w:r w:rsidRPr="00B30CCE">
        <w:rPr>
          <w:rFonts w:ascii="Simplified Arabic" w:eastAsia="Times New Roman" w:hAnsi="Simplified Arabic" w:cs="Simplified Arabic" w:hint="cs"/>
          <w:kern w:val="0"/>
          <w:sz w:val="28"/>
          <w:szCs w:val="28"/>
          <w14:ligatures w14:val="none"/>
        </w:rPr>
        <w:t>:</w:t>
      </w:r>
    </w:p>
    <w:p w14:paraId="6659D21A"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الاستشراف الاستباقي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تمتلك أنظمة الذكاء الاصطناعي القدرة على التنبؤ بالاضطرابات المحتملة في العمليات التشغيلية وسلسلة الإمداد قبل وقوعها، وتقديم سيناريوهات بديلة للتعامل معها، مما يحوّل المؤسسة من وضعية رد الفعل إلى وضعية الاستعداد والمبادرة</w:t>
      </w:r>
      <w:r w:rsidRPr="00B30CCE">
        <w:rPr>
          <w:rFonts w:ascii="Simplified Arabic" w:eastAsia="Times New Roman" w:hAnsi="Simplified Arabic" w:cs="Simplified Arabic" w:hint="cs"/>
          <w:kern w:val="0"/>
          <w:sz w:val="28"/>
          <w:szCs w:val="28"/>
          <w14:ligatures w14:val="none"/>
        </w:rPr>
        <w:t>.</w:t>
      </w:r>
    </w:p>
    <w:p w14:paraId="1EDE1008"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التخصيص الدقيق للخدمات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تُمكّن هذه التقنيات المؤسسات من تحقيق مستوى عالٍ من التخصيص في خدماتها بما يتلاءم مع احتياجات كل فئة من المستفيدين وتفضيلاتها، وذلك من خلال تحليل بيانات سلوك المستفيدين واستخلاص أنماط دقيقة منها</w:t>
      </w:r>
      <w:r w:rsidRPr="00B30CCE">
        <w:rPr>
          <w:rFonts w:ascii="Simplified Arabic" w:eastAsia="Times New Roman" w:hAnsi="Simplified Arabic" w:cs="Simplified Arabic" w:hint="cs"/>
          <w:kern w:val="0"/>
          <w:sz w:val="28"/>
          <w:szCs w:val="28"/>
          <w14:ligatures w14:val="none"/>
        </w:rPr>
        <w:t>.</w:t>
      </w:r>
    </w:p>
    <w:p w14:paraId="4819BB8D" w14:textId="77777777" w:rsidR="00B30CCE" w:rsidRPr="00B30CCE" w:rsidRDefault="00B30CCE">
      <w:pPr>
        <w:numPr>
          <w:ilvl w:val="0"/>
          <w:numId w:val="1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التحسين المستمر الذاتي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وفق حلقات تغذية راجعة آلية تتعلم من الأداء السابق وتُعدّل المسارات والخوارزميات بشكل تلقائي ومستمر، مما يعني أن أداء المؤسسة يتحسن بصورة تراكمية دون الحاجة إلى تدخل يدوي مستمر</w:t>
      </w:r>
      <w:r w:rsidRPr="00B30CCE">
        <w:rPr>
          <w:rFonts w:ascii="Simplified Arabic" w:eastAsia="Times New Roman" w:hAnsi="Simplified Arabic" w:cs="Simplified Arabic" w:hint="cs"/>
          <w:kern w:val="0"/>
          <w:sz w:val="28"/>
          <w:szCs w:val="28"/>
          <w14:ligatures w14:val="none"/>
        </w:rPr>
        <w:t>.</w:t>
      </w:r>
    </w:p>
    <w:p w14:paraId="1E3CF65A" w14:textId="79E4FA93"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يوضح</w:t>
      </w:r>
      <w:proofErr w:type="gramEnd"/>
      <w:r w:rsidR="00B30CCE" w:rsidRPr="00B30CCE">
        <w:rPr>
          <w:rFonts w:ascii="Simplified Arabic" w:eastAsia="Times New Roman" w:hAnsi="Simplified Arabic" w:cs="Simplified Arabic" w:hint="cs"/>
          <w:kern w:val="0"/>
          <w:sz w:val="28"/>
          <w:szCs w:val="28"/>
          <w:rtl/>
          <w14:ligatures w14:val="none"/>
        </w:rPr>
        <w:t xml:space="preserve"> (مرعي، 2024) أن أهمية تقنيات الذكاء الاصطناعي تتعاظم في هذا القطاع نظراً لعدة اعتبارات</w:t>
      </w:r>
      <w:r w:rsidR="00B30CCE" w:rsidRPr="00B30CCE">
        <w:rPr>
          <w:rFonts w:ascii="Simplified Arabic" w:eastAsia="Times New Roman" w:hAnsi="Simplified Arabic" w:cs="Simplified Arabic" w:hint="cs"/>
          <w:kern w:val="0"/>
          <w:sz w:val="28"/>
          <w:szCs w:val="28"/>
          <w14:ligatures w14:val="none"/>
        </w:rPr>
        <w:t>:</w:t>
      </w:r>
    </w:p>
    <w:p w14:paraId="23C3A447"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تقليص الفجوة بين الموارد والتوقعات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تواجه المؤسسات الحكومية تحدياً مزمناً يتمثل في التنامي المستمر لتوقعات المستفيدين في مقابل محدودية الموارد المتاحة، ويُسهم الذكاء الاصطناعي في تقليص هذه الفجوة من خلال تعظيم الاستفادة من الموارد الحالية وتحسين إنتاجيتها</w:t>
      </w:r>
      <w:r w:rsidRPr="00B30CCE">
        <w:rPr>
          <w:rFonts w:ascii="Simplified Arabic" w:eastAsia="Times New Roman" w:hAnsi="Simplified Arabic" w:cs="Simplified Arabic" w:hint="cs"/>
          <w:kern w:val="0"/>
          <w:sz w:val="28"/>
          <w:szCs w:val="28"/>
          <w14:ligatures w14:val="none"/>
        </w:rPr>
        <w:t>.</w:t>
      </w:r>
    </w:p>
    <w:p w14:paraId="2381F982"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الشفافية والحوكمة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تُوفر أنظمة الذكاء الاصطناعي مسارات تدقيق رقمية واضحة تُمكّن من تتبع القرارات والعمليات بشكل دقيق، مما يُعزز الشفافية في العمليات الحكومية ويدعم جهود مكافحة الفساد الإداري</w:t>
      </w:r>
      <w:r w:rsidRPr="00B30CCE">
        <w:rPr>
          <w:rFonts w:ascii="Simplified Arabic" w:eastAsia="Times New Roman" w:hAnsi="Simplified Arabic" w:cs="Simplified Arabic" w:hint="cs"/>
          <w:kern w:val="0"/>
          <w:sz w:val="28"/>
          <w:szCs w:val="28"/>
          <w14:ligatures w14:val="none"/>
        </w:rPr>
        <w:t>.</w:t>
      </w:r>
    </w:p>
    <w:p w14:paraId="4C4DAF2A" w14:textId="77777777" w:rsidR="00B30CCE" w:rsidRPr="00B30CCE" w:rsidRDefault="00B30CC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تمكين صنع القرار المبني على الأدلة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يُتيح الذكاء الاصطناعي لصانعي القرار في المؤسسات الحكومية الاستناد إلى تحليلات رقمية دقيقة وشاملة بدلاً من الاجتهادات الشخصية، مما يرفع جودة السياسات العامة والقرارات الإدارية</w:t>
      </w:r>
      <w:r w:rsidRPr="00B30CCE">
        <w:rPr>
          <w:rFonts w:ascii="Simplified Arabic" w:eastAsia="Times New Roman" w:hAnsi="Simplified Arabic" w:cs="Simplified Arabic" w:hint="cs"/>
          <w:kern w:val="0"/>
          <w:sz w:val="28"/>
          <w:szCs w:val="28"/>
          <w14:ligatures w14:val="none"/>
        </w:rPr>
        <w:t>.</w:t>
      </w:r>
    </w:p>
    <w:p w14:paraId="5B45CE46"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ويُضيف (السمان، 2024) بُعداً آخر لأهمية الذكاء الاصطناعي يتعلق بإدارة علاقات المستفيدين، حيث تتبلور هذه الأهمية في</w:t>
      </w:r>
      <w:r w:rsidRPr="00B30CCE">
        <w:rPr>
          <w:rFonts w:ascii="Simplified Arabic" w:eastAsia="Times New Roman" w:hAnsi="Simplified Arabic" w:cs="Simplified Arabic" w:hint="cs"/>
          <w:kern w:val="0"/>
          <w:sz w:val="28"/>
          <w:szCs w:val="28"/>
          <w14:ligatures w14:val="none"/>
        </w:rPr>
        <w:t>:</w:t>
      </w:r>
    </w:p>
    <w:p w14:paraId="2007427A"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الفهم المعمّق لسلوك المستفيدين</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تُتيح تقنيات الذكاء الاصطناعي للمؤسسات تحليل بيانات تفاعلات المستفيدين واستخلاص أنماط سلوكية دقيقة منها، مما يُمكّنها من فهم احتياجاتهم الحقيقية وليس فقط المُعلنة</w:t>
      </w:r>
      <w:r w:rsidRPr="00B30CCE">
        <w:rPr>
          <w:rFonts w:ascii="Simplified Arabic" w:eastAsia="Times New Roman" w:hAnsi="Simplified Arabic" w:cs="Simplified Arabic" w:hint="cs"/>
          <w:kern w:val="0"/>
          <w:sz w:val="28"/>
          <w:szCs w:val="28"/>
          <w14:ligatures w14:val="none"/>
        </w:rPr>
        <w:t>.</w:t>
      </w:r>
    </w:p>
    <w:p w14:paraId="518DFD23"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تصميم خدمات استباقية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هذا الفهم المعمّق المؤسسات من استباق احتياجات المستفيدين المستقبلية وتصميم خدمات تلبيها قبل أن يطلبوها، مما يرفع مستوى رضاهم بشكل جوهري</w:t>
      </w:r>
      <w:r w:rsidRPr="00B30CCE">
        <w:rPr>
          <w:rFonts w:ascii="Simplified Arabic" w:eastAsia="Times New Roman" w:hAnsi="Simplified Arabic" w:cs="Simplified Arabic" w:hint="cs"/>
          <w:kern w:val="0"/>
          <w:sz w:val="28"/>
          <w:szCs w:val="28"/>
          <w14:ligatures w14:val="none"/>
        </w:rPr>
        <w:t>.</w:t>
      </w:r>
    </w:p>
    <w:p w14:paraId="4F35181B" w14:textId="77777777" w:rsidR="00B30CCE" w:rsidRPr="00B30CCE" w:rsidRDefault="00B30CCE">
      <w:pPr>
        <w:numPr>
          <w:ilvl w:val="0"/>
          <w:numId w:val="1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الثقة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تحسين جودة الخدمات وسرعة تقديمها ودقة الاستجابة لاحتياجات المستفيدين في تعزيز ثقتهم في المؤسسات الحكومية، وهو هدف محوري ضمن مستهدفات رؤية 2030 التي تسعى إلى بناء حكومة فاعلة وقريبة من المواطن</w:t>
      </w:r>
      <w:r w:rsidRPr="00B30CCE">
        <w:rPr>
          <w:rFonts w:ascii="Simplified Arabic" w:eastAsia="Times New Roman" w:hAnsi="Simplified Arabic" w:cs="Simplified Arabic" w:hint="cs"/>
          <w:kern w:val="0"/>
          <w:sz w:val="28"/>
          <w:szCs w:val="28"/>
          <w14:ligatures w14:val="none"/>
        </w:rPr>
        <w:t>.</w:t>
      </w:r>
    </w:p>
    <w:p w14:paraId="6AF7F525"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ثالثاً: أهداف تطبيق تقنيات الذكاء الاصطناعي في المؤسسات</w:t>
      </w:r>
    </w:p>
    <w:p w14:paraId="458470EC" w14:textId="6DD335BC"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 xml:space="preserve">تسعى المؤسسات على اختلاف أنماطها وقطاعاتها من خلال تبني تقنيات الذكاء الاصطناعي إلى تحقيق جملة من الأهداف المتكاملة التي تتجاوز مجرد التحديث التقني لتشمل إعادة بناء القدرات المؤسسية بصورة </w:t>
      </w:r>
      <w:r w:rsidRPr="005C3640">
        <w:rPr>
          <w:rFonts w:ascii="Simplified Arabic" w:eastAsia="Times New Roman" w:hAnsi="Simplified Arabic" w:cs="Simplified Arabic" w:hint="cs"/>
          <w:kern w:val="0"/>
          <w:sz w:val="28"/>
          <w:szCs w:val="28"/>
          <w:rtl/>
          <w14:ligatures w14:val="none"/>
        </w:rPr>
        <w:lastRenderedPageBreak/>
        <w:t>جذرية. وتتفاوت هذه الأهداف تبعاً لطبيعة المؤسسة ومرحلة نضجها الرقمي والسياق التنافسي الذي تعمل فيه، غير أن استقراء الأدبيات يكشف عن تقاطعات واضحة بين الباحثين حول الغايات الجوهرية التي تدفع المؤسسات نحو تبني هذه التقنيات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وتبرز هذه الأهداف بوضوح أكبر في المؤسسات الحكومية الكبرى التي تواجه تحدياً مزدوجاً يتمثل في الحاجة إلى تقديم خدمات عالية الجودة لقاعدة واسعة من المستفيدين من جهة، وضرورة ترشيد الإنفاق العام وتعظيم الكفاءة من جهة أخرى، مما يجعل الذكاء الاصطناعي أداةً محورية لتحقيق هذا التوازن الدقيق</w:t>
      </w:r>
      <w:r w:rsidRPr="005C3640">
        <w:rPr>
          <w:rFonts w:ascii="Simplified Arabic" w:eastAsia="Times New Roman" w:hAnsi="Simplified Arabic" w:cs="Simplified Arabic" w:hint="cs"/>
          <w:kern w:val="0"/>
          <w:sz w:val="28"/>
          <w:szCs w:val="28"/>
          <w14:ligatures w14:val="none"/>
        </w:rPr>
        <w:t>.</w:t>
      </w:r>
    </w:p>
    <w:p w14:paraId="04ECD78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وفي هذا الإطار، يشير</w:t>
      </w:r>
      <w:r w:rsidRPr="005C3640">
        <w:rPr>
          <w:rFonts w:ascii="Simplified Arabic" w:eastAsia="Times New Roman" w:hAnsi="Simplified Arabic" w:cs="Simplified Arabic" w:hint="cs"/>
          <w:kern w:val="0"/>
          <w:sz w:val="28"/>
          <w:szCs w:val="28"/>
          <w14:ligatures w14:val="none"/>
        </w:rPr>
        <w:t xml:space="preserve"> (Ismaeil, 2024) </w:t>
      </w:r>
      <w:r w:rsidRPr="005C3640">
        <w:rPr>
          <w:rFonts w:ascii="Simplified Arabic" w:eastAsia="Times New Roman" w:hAnsi="Simplified Arabic" w:cs="Simplified Arabic" w:hint="cs"/>
          <w:kern w:val="0"/>
          <w:sz w:val="28"/>
          <w:szCs w:val="28"/>
          <w:rtl/>
          <w14:ligatures w14:val="none"/>
        </w:rPr>
        <w:t>إلى أن أهداف تطبيق الذكاء الاصطناعي في إدارة سلاسل الإمداد تتمحور حول</w:t>
      </w:r>
      <w:r w:rsidRPr="005C3640">
        <w:rPr>
          <w:rFonts w:ascii="Simplified Arabic" w:eastAsia="Times New Roman" w:hAnsi="Simplified Arabic" w:cs="Simplified Arabic" w:hint="cs"/>
          <w:kern w:val="0"/>
          <w:sz w:val="28"/>
          <w:szCs w:val="28"/>
          <w14:ligatures w14:val="none"/>
        </w:rPr>
        <w:t>:</w:t>
      </w:r>
    </w:p>
    <w:p w14:paraId="0D159FC1"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الكفاءة التشغيلية القصوى</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تُسهم تقنيات الذكاء الاصطناعي في تقليل زمن دورة العمليات وخفض معدلات الخطأ البشري وتحسين استغلال الموارد المتاحة، مما يُفضي إلى مخرجات أعلى جودةً بتكلفة أقل، وهو ما يُشكّل أولوية ملحّة للمؤسسات الحكومية التي تتعامل مع حجم كبير من المعاملات والإجراءات اليومية التي يستنزف تنفيذها يدوياً موارد بشرية ومادية كبيرة</w:t>
      </w:r>
      <w:r w:rsidRPr="005C3640">
        <w:rPr>
          <w:rFonts w:ascii="Simplified Arabic" w:eastAsia="Times New Roman" w:hAnsi="Simplified Arabic" w:cs="Simplified Arabic" w:hint="cs"/>
          <w:kern w:val="0"/>
          <w:sz w:val="28"/>
          <w:szCs w:val="28"/>
          <w14:ligatures w14:val="none"/>
        </w:rPr>
        <w:t>.</w:t>
      </w:r>
    </w:p>
    <w:p w14:paraId="119E61B1"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المرونة والتكيف المؤسسي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إذ تُتيح أنظمة الذكاء الاصطناعي بناء قدرات مؤسسية قادرة على إعادة ضبط معاملاتها تلقائياً استجابةً للتغيرات المفاجئة في مستويات الطلب أو الاضطرابات غير المتوقعة في سلاسل التوريد والعمليات الداخلية، مما يُقلل من هشاشة المؤسسة ويمنحها القدرة على المناورة في بيئة متقلبة</w:t>
      </w:r>
      <w:r w:rsidRPr="005C3640">
        <w:rPr>
          <w:rFonts w:ascii="Simplified Arabic" w:eastAsia="Times New Roman" w:hAnsi="Simplified Arabic" w:cs="Simplified Arabic" w:hint="cs"/>
          <w:kern w:val="0"/>
          <w:sz w:val="28"/>
          <w:szCs w:val="28"/>
          <w14:ligatures w14:val="none"/>
        </w:rPr>
        <w:t>.</w:t>
      </w:r>
    </w:p>
    <w:p w14:paraId="04168E15" w14:textId="77777777" w:rsidR="005C3640" w:rsidRPr="005C3640" w:rsidRDefault="005C3640">
      <w:pPr>
        <w:numPr>
          <w:ilvl w:val="0"/>
          <w:numId w:val="1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التكامل المعلوماتي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ربط مختلف حلقات سلسلة القيمة بمنصات ذكية تضمن تدفقاً سلساً وآنياً للمعلومات وتُزيل العوازل المعلوماتية التي تُعيق التنسيق بين الإدارات، وهو تحدٍّ مزمن في المؤسسات الحكومية الكبرى ذات الهياكل التنظيمية المعقدة والمتشعبة</w:t>
      </w:r>
      <w:r w:rsidRPr="005C3640">
        <w:rPr>
          <w:rFonts w:ascii="Simplified Arabic" w:eastAsia="Times New Roman" w:hAnsi="Simplified Arabic" w:cs="Simplified Arabic" w:hint="cs"/>
          <w:kern w:val="0"/>
          <w:sz w:val="28"/>
          <w:szCs w:val="28"/>
          <w14:ligatures w14:val="none"/>
        </w:rPr>
        <w:t>.</w:t>
      </w:r>
    </w:p>
    <w:p w14:paraId="705579B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ويرى</w:t>
      </w:r>
      <w:r w:rsidRPr="005C3640">
        <w:rPr>
          <w:rFonts w:ascii="Simplified Arabic" w:eastAsia="Times New Roman" w:hAnsi="Simplified Arabic" w:cs="Simplified Arabic" w:hint="cs"/>
          <w:kern w:val="0"/>
          <w:sz w:val="28"/>
          <w:szCs w:val="28"/>
          <w14:ligatures w14:val="none"/>
        </w:rPr>
        <w:t xml:space="preserve"> (Mohsen, 2023) </w:t>
      </w:r>
      <w:r w:rsidRPr="005C3640">
        <w:rPr>
          <w:rFonts w:ascii="Simplified Arabic" w:eastAsia="Times New Roman" w:hAnsi="Simplified Arabic" w:cs="Simplified Arabic" w:hint="cs"/>
          <w:kern w:val="0"/>
          <w:sz w:val="28"/>
          <w:szCs w:val="28"/>
          <w:rtl/>
          <w14:ligatures w14:val="none"/>
        </w:rPr>
        <w:t>أن أهداف الذكاء الاصطناعي من منظور إدارة العمليات تتمثل في</w:t>
      </w:r>
      <w:r w:rsidRPr="005C3640">
        <w:rPr>
          <w:rFonts w:ascii="Simplified Arabic" w:eastAsia="Times New Roman" w:hAnsi="Simplified Arabic" w:cs="Simplified Arabic" w:hint="cs"/>
          <w:kern w:val="0"/>
          <w:sz w:val="28"/>
          <w:szCs w:val="28"/>
          <w14:ligatures w14:val="none"/>
        </w:rPr>
        <w:t>:</w:t>
      </w:r>
    </w:p>
    <w:p w14:paraId="1A2C5E1E"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تحسين جودة التنبؤ</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تمتلك خوارزميات الذكاء الاصطناعي القدرة على تحليل البيانات التاريخية والمتغيرات السياقية والعوامل الموسمية بمستوى من الدقة والعمق يفوق ما تُتيحه النماذج الإحصائية التقليدية، مما يُقلل من حالات الفائض أو العجز في الموارد ويُحسّن عمليات التخطيط المسبق</w:t>
      </w:r>
      <w:r w:rsidRPr="005C3640">
        <w:rPr>
          <w:rFonts w:ascii="Simplified Arabic" w:eastAsia="Times New Roman" w:hAnsi="Simplified Arabic" w:cs="Simplified Arabic" w:hint="cs"/>
          <w:kern w:val="0"/>
          <w:sz w:val="28"/>
          <w:szCs w:val="28"/>
          <w14:ligatures w14:val="none"/>
        </w:rPr>
        <w:t>.</w:t>
      </w:r>
    </w:p>
    <w:p w14:paraId="3323748C"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تطوير عمليات التخطيط والجدولة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عبر توظيف خوارزميات التحسين المتقدمة التي تتعامل مع قيود متعددة ومتشابكة في آنٍ واحد، كالتكلفة والوقت والجودة والسعة المتاحة والأولويات المتنافسة، وتُقدم حلولاً مثلى تُحقق التوازن بين هذه المعايير المتعارضة أحياناً</w:t>
      </w:r>
      <w:r w:rsidRPr="005C3640">
        <w:rPr>
          <w:rFonts w:ascii="Simplified Arabic" w:eastAsia="Times New Roman" w:hAnsi="Simplified Arabic" w:cs="Simplified Arabic" w:hint="cs"/>
          <w:kern w:val="0"/>
          <w:sz w:val="28"/>
          <w:szCs w:val="28"/>
          <w14:ligatures w14:val="none"/>
        </w:rPr>
        <w:t>.</w:t>
      </w:r>
    </w:p>
    <w:p w14:paraId="723AFBEB" w14:textId="77777777" w:rsidR="005C3640" w:rsidRPr="005C3640" w:rsidRDefault="005C3640">
      <w:pPr>
        <w:numPr>
          <w:ilvl w:val="0"/>
          <w:numId w:val="1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الرقابة الآنية على العمليات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لوحات تحكم ذكية ترصد مؤشرات الأداء التشغيلي بشكل مستمر ولحظي، وتُنبّه المسؤولين إلى الانحرافات فور حدوثها مع اقتراح إجراءات تصحيحية فورية، مما يمنع تراكم المشكلات وتحولها إلى أزمات مكلفة</w:t>
      </w:r>
      <w:r w:rsidRPr="005C3640">
        <w:rPr>
          <w:rFonts w:ascii="Simplified Arabic" w:eastAsia="Times New Roman" w:hAnsi="Simplified Arabic" w:cs="Simplified Arabic" w:hint="cs"/>
          <w:kern w:val="0"/>
          <w:sz w:val="28"/>
          <w:szCs w:val="28"/>
          <w14:ligatures w14:val="none"/>
        </w:rPr>
        <w:t>.</w:t>
      </w:r>
    </w:p>
    <w:p w14:paraId="5BDF572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كما يُحدد</w:t>
      </w:r>
      <w:r w:rsidRPr="005C3640">
        <w:rPr>
          <w:rFonts w:ascii="Simplified Arabic" w:eastAsia="Times New Roman" w:hAnsi="Simplified Arabic" w:cs="Simplified Arabic" w:hint="cs"/>
          <w:kern w:val="0"/>
          <w:sz w:val="28"/>
          <w:szCs w:val="28"/>
          <w14:ligatures w14:val="none"/>
        </w:rPr>
        <w:t xml:space="preserve"> (Jackson et al., 2024) </w:t>
      </w:r>
      <w:r w:rsidRPr="005C3640">
        <w:rPr>
          <w:rFonts w:ascii="Simplified Arabic" w:eastAsia="Times New Roman" w:hAnsi="Simplified Arabic" w:cs="Simplified Arabic" w:hint="cs"/>
          <w:kern w:val="0"/>
          <w:sz w:val="28"/>
          <w:szCs w:val="28"/>
          <w:rtl/>
          <w14:ligatures w14:val="none"/>
        </w:rPr>
        <w:t>أهداف الذكاء الاصطناعي ضمن ثلاثة مستويات متدرجة</w:t>
      </w:r>
      <w:r w:rsidRPr="005C3640">
        <w:rPr>
          <w:rFonts w:ascii="Simplified Arabic" w:eastAsia="Times New Roman" w:hAnsi="Simplified Arabic" w:cs="Simplified Arabic" w:hint="cs"/>
          <w:kern w:val="0"/>
          <w:sz w:val="28"/>
          <w:szCs w:val="28"/>
          <w14:ligatures w14:val="none"/>
        </w:rPr>
        <w:t>:</w:t>
      </w:r>
    </w:p>
    <w:p w14:paraId="221EC1CB"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أتمتة العمليات وتحسين المخرجات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التشغيلية، حيث يستهدف الذكاء الاصطناعي أتمتة المهام الروتينية المتكررة التي تستهلك وقتاً وجهداً بشرياً كبيراً، مع تحسين جودة المخرجات واتساقها وخفض التكاليف التشغيلية المرتبطة بها</w:t>
      </w:r>
      <w:r w:rsidRPr="005C3640">
        <w:rPr>
          <w:rFonts w:ascii="Simplified Arabic" w:eastAsia="Times New Roman" w:hAnsi="Simplified Arabic" w:cs="Simplified Arabic" w:hint="cs"/>
          <w:kern w:val="0"/>
          <w:sz w:val="28"/>
          <w:szCs w:val="28"/>
          <w14:ligatures w14:val="none"/>
        </w:rPr>
        <w:t>.</w:t>
      </w:r>
    </w:p>
    <w:p w14:paraId="10FD47B0"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استخلاص الرؤى من البيانات الضخمة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التحليلية، حيث يسعى الذكاء الاصطناعي إلى تحويل الكميات الهائلة من البيانات المتراكمة لدى المؤسسات إلى رؤى معمّقة وقابلة للتنفيذ تدعم عملية صنع القرار الاستراتيجي وتُمكّن القيادات من الرؤية الشاملة للأداء المؤسسي</w:t>
      </w:r>
      <w:r w:rsidRPr="005C3640">
        <w:rPr>
          <w:rFonts w:ascii="Simplified Arabic" w:eastAsia="Times New Roman" w:hAnsi="Simplified Arabic" w:cs="Simplified Arabic" w:hint="cs"/>
          <w:kern w:val="0"/>
          <w:sz w:val="28"/>
          <w:szCs w:val="28"/>
          <w14:ligatures w14:val="none"/>
        </w:rPr>
        <w:t>.</w:t>
      </w:r>
    </w:p>
    <w:p w14:paraId="5FB3F497" w14:textId="77777777" w:rsidR="005C3640" w:rsidRPr="005C3640" w:rsidRDefault="005C3640">
      <w:pPr>
        <w:numPr>
          <w:ilvl w:val="0"/>
          <w:numId w:val="1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توليد حلول ابتكارية ونماذج عمل جديدة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الابتكارية، حيث يُوظَّف الذكاء الاصطناعي في استكشاف أساليب غير تقليدية لتقديم الخدمات وتصميم نماذج عمل مبتكرة تُعزز القيمة المقدمة للمستفيدين وتفتح مسارات نمو لم تكن متاحة من قبل</w:t>
      </w:r>
      <w:r w:rsidRPr="005C3640">
        <w:rPr>
          <w:rFonts w:ascii="Simplified Arabic" w:eastAsia="Times New Roman" w:hAnsi="Simplified Arabic" w:cs="Simplified Arabic" w:hint="cs"/>
          <w:kern w:val="0"/>
          <w:sz w:val="28"/>
          <w:szCs w:val="28"/>
          <w14:ligatures w14:val="none"/>
        </w:rPr>
        <w:t>.</w:t>
      </w:r>
    </w:p>
    <w:p w14:paraId="53D075FC"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رابعاً: أنواع الذكاء الاصطناعي</w:t>
      </w:r>
    </w:p>
    <w:p w14:paraId="7F4B267A"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تتعدد تصنيفات الذكاء الاصطناعي في الأدبيات العلمية وفقاً لمعايير مختلفة، ويُعدّ فهم هذه التصنيفات ضرورة منهجية لتحديد نوعية التقنيات القابلة للتوظيف في السياق المؤسسي الحكومي، ولتمييز ما هو متاح فعلياً للتطبيق عما لا يزال في إطار التطوير النظري والمستقبلي. وقد تناول الباحثون هذه الأنواع من زوايا متعددة أسهمت في رسم خريطة مفاهيمية شاملة لمنظومة الذكاء الاصطناعي، وفيما يلي عرض لأبرز هذه التصنيفات</w:t>
      </w:r>
      <w:r w:rsidRPr="005C3640">
        <w:rPr>
          <w:rFonts w:ascii="Simplified Arabic" w:eastAsia="Times New Roman" w:hAnsi="Simplified Arabic" w:cs="Simplified Arabic" w:hint="cs"/>
          <w:kern w:val="0"/>
          <w:sz w:val="28"/>
          <w:szCs w:val="28"/>
          <w14:ligatures w14:val="none"/>
        </w:rPr>
        <w:t>.</w:t>
      </w:r>
    </w:p>
    <w:p w14:paraId="010FFFA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أ- التصنيف وفقاً لمستوى القدرة والتعقيد</w:t>
      </w:r>
    </w:p>
    <w:p w14:paraId="5DD02BF2" w14:textId="4DD63A1B"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يُعدّ هذا التصنيف من أكثر التصنيفات شيوعاً في الأدبيات العلمية، وهو يعتمد على مدى اتساع القدرات الإدراكية التي يمتلكها النظام الذكي مقارنةً بالقدرات البشرية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وقد أوضح (حسن وآخرون، 2024) أن هذا التصنيف يتضمن ثلاثة مستويات</w:t>
      </w:r>
      <w:r w:rsidRPr="005C3640">
        <w:rPr>
          <w:rFonts w:ascii="Simplified Arabic" w:eastAsia="Times New Roman" w:hAnsi="Simplified Arabic" w:cs="Simplified Arabic" w:hint="cs"/>
          <w:kern w:val="0"/>
          <w:sz w:val="28"/>
          <w:szCs w:val="28"/>
          <w14:ligatures w14:val="none"/>
        </w:rPr>
        <w:t>:</w:t>
      </w:r>
    </w:p>
    <w:p w14:paraId="1632C12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الضيق (المحدود)</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النوع الوحيد المتاح فعلياً في الوقت الراهن والمُوظّف في أغلب التطبيقات المؤسسية المعاصرة. ويتميز هذا النوع بقدرته العالية على أداء مهمة محددة أو مجموعة محدودة من المهام المتقاربة بكفاءة تضاهي الأداء البشري أو تفوقه، كتصنيف البيانات والتنبؤ بالطلب والتعرف على الوجوه وتحليل النصوص والتوصية بالمنتجات. غير أنه يفتقر إلى الوعي الذاتي ولا يمتلك قدرة على التعميم أو نقل ما تعلمه من مهمة إلى أخرى مختلفة عنها جوهرياً، فنظام التنبؤ بالطلب مثلاً لا يستطيع تحليل صور أو فهم لغة طبيعية ما لم يُصمَّم ويُدرَّب خصيصاً لذلك</w:t>
      </w:r>
      <w:r w:rsidRPr="005C3640">
        <w:rPr>
          <w:rFonts w:ascii="Simplified Arabic" w:eastAsia="Times New Roman" w:hAnsi="Simplified Arabic" w:cs="Simplified Arabic" w:hint="cs"/>
          <w:kern w:val="0"/>
          <w:sz w:val="28"/>
          <w:szCs w:val="28"/>
          <w14:ligatures w14:val="none"/>
        </w:rPr>
        <w:t>.</w:t>
      </w:r>
    </w:p>
    <w:p w14:paraId="3429AD9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العام</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مستوى نظري لا يزال في طور البحث والتطوير، ويُشير إلى أنظمة افتراضية تمتلك قدرات إدراكية شاملة مماثلة للقدرات البشرية في مختلف المجالات المعرفية، بحيث يستطيع النظام الواحد أداء أي مهمة فكرية يمكن للإنسان أداؤها بمستوى مكافئ من الكفاءة. ورغم التقدم الملحوظ في أبحاث الذكاء الاصطناعي، فإن تحقيق هذا المستوى لا يزال يواجه تحديات علمية وفلسفية جوهرية تتعلق بطبيعة الوعي والإدراك والفهم الحقيقي</w:t>
      </w:r>
      <w:r w:rsidRPr="005C3640">
        <w:rPr>
          <w:rFonts w:ascii="Simplified Arabic" w:eastAsia="Times New Roman" w:hAnsi="Simplified Arabic" w:cs="Simplified Arabic" w:hint="cs"/>
          <w:kern w:val="0"/>
          <w:sz w:val="28"/>
          <w:szCs w:val="28"/>
          <w14:ligatures w14:val="none"/>
        </w:rPr>
        <w:t>.</w:t>
      </w:r>
    </w:p>
    <w:p w14:paraId="3DF6712C" w14:textId="05E5FF11" w:rsidR="005C44E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الفائق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مفهوم مستقبلي بحت يُشير إلى أنظمة تتفوق على القدرات البشرية في جميع المجالات المعرفية والإبداعية والاجتماعية، ولا يزال هذا المستوى محل جدل واسع بين الباحثين حول إمكانية تحققه والإطار الزمني المتوقع لذلك والتبعات الأخلاقية والمجتمعية المترتبة عليه</w:t>
      </w:r>
      <w:r w:rsidRPr="005C3640">
        <w:rPr>
          <w:rFonts w:ascii="Simplified Arabic" w:eastAsia="Times New Roman" w:hAnsi="Simplified Arabic" w:cs="Simplified Arabic" w:hint="cs"/>
          <w:kern w:val="0"/>
          <w:sz w:val="28"/>
          <w:szCs w:val="28"/>
          <w14:ligatures w14:val="none"/>
        </w:rPr>
        <w:t>.</w:t>
      </w:r>
    </w:p>
    <w:p w14:paraId="6376E858" w14:textId="77777777" w:rsidR="005C44E0" w:rsidRDefault="005C44E0">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525AF140" w14:textId="2632E18A" w:rsidR="005C364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5C44E0">
        <w:rPr>
          <w:rFonts w:ascii="Simplified Arabic" w:eastAsia="Times New Roman" w:hAnsi="Simplified Arabic" w:cs="Simplified Arabic"/>
          <w:kern w:val="0"/>
          <w:sz w:val="28"/>
          <w:szCs w:val="28"/>
          <w:rtl/>
          <w14:ligatures w14:val="none"/>
        </w:rPr>
        <w:lastRenderedPageBreak/>
        <w:t>شكل (2) مستويات تصنيف الذكاء الاصطناعي وفق القدرة والتعقيد</w:t>
      </w:r>
    </w:p>
    <w:p w14:paraId="6B8E9B0E" w14:textId="1322C6F8" w:rsidR="005C44E0" w:rsidRPr="005C3640" w:rsidRDefault="005C44E0" w:rsidP="00D61485">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noProof/>
          <w:kern w:val="0"/>
          <w:sz w:val="28"/>
          <w:szCs w:val="28"/>
          <w:lang w:bidi="ar-EG"/>
          <w14:ligatures w14:val="none"/>
        </w:rPr>
        <w:drawing>
          <wp:inline distT="0" distB="0" distL="0" distR="0" wp14:anchorId="4B2DC56A" wp14:editId="5A956C61">
            <wp:extent cx="5730875" cy="4396740"/>
            <wp:effectExtent l="0" t="0" r="3175" b="3810"/>
            <wp:docPr id="990998450"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9738"/>
                    <a:stretch>
                      <a:fillRect/>
                    </a:stretch>
                  </pic:blipFill>
                  <pic:spPr bwMode="auto">
                    <a:xfrm>
                      <a:off x="0" y="0"/>
                      <a:ext cx="5730875" cy="4396740"/>
                    </a:xfrm>
                    <a:prstGeom prst="rect">
                      <a:avLst/>
                    </a:prstGeom>
                    <a:noFill/>
                    <a:ln>
                      <a:noFill/>
                    </a:ln>
                    <a:extLst>
                      <a:ext uri="{53640926-AAD7-44D8-BBD7-CCE9431645EC}">
                        <a14:shadowObscured xmlns:a14="http://schemas.microsoft.com/office/drawing/2010/main"/>
                      </a:ext>
                    </a:extLst>
                  </pic:spPr>
                </pic:pic>
              </a:graphicData>
            </a:graphic>
          </wp:inline>
        </w:drawing>
      </w:r>
    </w:p>
    <w:p w14:paraId="78DB1CED" w14:textId="2AA9280E" w:rsidR="006F66D2" w:rsidRPr="006F66D2" w:rsidRDefault="006F66D2" w:rsidP="006F66D2">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w:t>
      </w:r>
      <w:r w:rsidRPr="006F66D2">
        <w:rPr>
          <w:rFonts w:ascii="Simplified Arabic" w:eastAsia="Times New Roman" w:hAnsi="Simplified Arabic" w:cs="Simplified Arabic"/>
          <w:b/>
          <w:bCs/>
          <w:kern w:val="0"/>
          <w:sz w:val="28"/>
          <w:szCs w:val="28"/>
          <w:rtl/>
          <w14:ligatures w14:val="none"/>
        </w:rPr>
        <w:t>لمصدر</w:t>
      </w:r>
      <w:r w:rsidRPr="006F66D2">
        <w:rPr>
          <w:rFonts w:ascii="Simplified Arabic" w:eastAsia="Times New Roman" w:hAnsi="Simplified Arabic" w:cs="Simplified Arabic"/>
          <w:b/>
          <w:bCs/>
          <w:kern w:val="0"/>
          <w:sz w:val="28"/>
          <w:szCs w:val="28"/>
          <w14:ligatures w14:val="none"/>
        </w:rPr>
        <w:t xml:space="preserve">: </w:t>
      </w:r>
      <w:r w:rsidRPr="006F66D2">
        <w:rPr>
          <w:rFonts w:ascii="Simplified Arabic" w:eastAsia="Times New Roman" w:hAnsi="Simplified Arabic" w:cs="Simplified Arabic"/>
          <w:b/>
          <w:bCs/>
          <w:kern w:val="0"/>
          <w:sz w:val="28"/>
          <w:szCs w:val="28"/>
          <w:rtl/>
          <w14:ligatures w14:val="none"/>
        </w:rPr>
        <w:t>من إعداد الباحثة بالاعتماد على (حسن وآخرون، 2024) و</w:t>
      </w:r>
      <w:r w:rsidRPr="006F66D2">
        <w:rPr>
          <w:rFonts w:ascii="Simplified Arabic" w:eastAsia="Times New Roman" w:hAnsi="Simplified Arabic" w:cs="Simplified Arabic"/>
          <w:b/>
          <w:bCs/>
          <w:kern w:val="0"/>
          <w:sz w:val="28"/>
          <w:szCs w:val="28"/>
          <w14:ligatures w14:val="none"/>
        </w:rPr>
        <w:t>(</w:t>
      </w:r>
      <w:proofErr w:type="spellStart"/>
      <w:r w:rsidRPr="006F66D2">
        <w:rPr>
          <w:rFonts w:ascii="Simplified Arabic" w:eastAsia="Times New Roman" w:hAnsi="Simplified Arabic" w:cs="Simplified Arabic"/>
          <w:b/>
          <w:bCs/>
          <w:kern w:val="0"/>
          <w:sz w:val="28"/>
          <w:szCs w:val="28"/>
          <w14:ligatures w14:val="none"/>
        </w:rPr>
        <w:t>Nathany</w:t>
      </w:r>
      <w:proofErr w:type="spellEnd"/>
      <w:r w:rsidRPr="006F66D2">
        <w:rPr>
          <w:rFonts w:ascii="Simplified Arabic" w:eastAsia="Times New Roman" w:hAnsi="Simplified Arabic" w:cs="Simplified Arabic"/>
          <w:b/>
          <w:bCs/>
          <w:kern w:val="0"/>
          <w:sz w:val="28"/>
          <w:szCs w:val="28"/>
          <w14:ligatures w14:val="none"/>
        </w:rPr>
        <w:t>, 2022).</w:t>
      </w:r>
    </w:p>
    <w:p w14:paraId="3260789B" w14:textId="08F19E9F"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ب- التصنيف وفقاً لطبيعة التعلم والتطبيق</w:t>
      </w:r>
    </w:p>
    <w:p w14:paraId="39FFA10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يركز هذا التصنيف على الأساليب والمنهجيات التقنية التي تقوم عليها أنظمة الذكاء الاصطناعي. وقد صنّف</w:t>
      </w:r>
      <w:r w:rsidRPr="005C3640">
        <w:rPr>
          <w:rFonts w:ascii="Simplified Arabic" w:eastAsia="Times New Roman" w:hAnsi="Simplified Arabic" w:cs="Simplified Arabic" w:hint="cs"/>
          <w:kern w:val="0"/>
          <w:sz w:val="28"/>
          <w:szCs w:val="28"/>
          <w14:ligatures w14:val="none"/>
        </w:rPr>
        <w:t xml:space="preserve"> (</w:t>
      </w:r>
      <w:proofErr w:type="spellStart"/>
      <w:r w:rsidRPr="005C3640">
        <w:rPr>
          <w:rFonts w:ascii="Simplified Arabic" w:eastAsia="Times New Roman" w:hAnsi="Simplified Arabic" w:cs="Simplified Arabic" w:hint="cs"/>
          <w:kern w:val="0"/>
          <w:sz w:val="28"/>
          <w:szCs w:val="28"/>
          <w14:ligatures w14:val="none"/>
        </w:rPr>
        <w:t>Nathany</w:t>
      </w:r>
      <w:proofErr w:type="spellEnd"/>
      <w:r w:rsidRPr="005C3640">
        <w:rPr>
          <w:rFonts w:ascii="Simplified Arabic" w:eastAsia="Times New Roman" w:hAnsi="Simplified Arabic" w:cs="Simplified Arabic" w:hint="cs"/>
          <w:kern w:val="0"/>
          <w:sz w:val="28"/>
          <w:szCs w:val="28"/>
          <w14:ligatures w14:val="none"/>
        </w:rPr>
        <w:t xml:space="preserve">, 2022) </w:t>
      </w:r>
      <w:r w:rsidRPr="005C3640">
        <w:rPr>
          <w:rFonts w:ascii="Simplified Arabic" w:eastAsia="Times New Roman" w:hAnsi="Simplified Arabic" w:cs="Simplified Arabic" w:hint="cs"/>
          <w:kern w:val="0"/>
          <w:sz w:val="28"/>
          <w:szCs w:val="28"/>
          <w:rtl/>
          <w14:ligatures w14:val="none"/>
        </w:rPr>
        <w:t>تقنيات الذكاء الاصطناعي المستخدمة في سلاسل الإمداد والعمليات إلى عدة أنواع</w:t>
      </w:r>
      <w:r w:rsidRPr="005C3640">
        <w:rPr>
          <w:rFonts w:ascii="Simplified Arabic" w:eastAsia="Times New Roman" w:hAnsi="Simplified Arabic" w:cs="Simplified Arabic" w:hint="cs"/>
          <w:kern w:val="0"/>
          <w:sz w:val="28"/>
          <w:szCs w:val="28"/>
          <w14:ligatures w14:val="none"/>
        </w:rPr>
        <w:t>:</w:t>
      </w:r>
    </w:p>
    <w:p w14:paraId="1ED2929E" w14:textId="1F737290"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التعلم الآلي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ويُمثل الركيزة الأساسية لمعظم تطبيقات الذكاء الاصطناعي المعاصرة، ويشمل ثلاثة أنماط رئيسة: التعلم الموجّه الذي يتعلم من بيانات مُصنّفة مسبقاً للتنبؤ بمخرجات محددة، والتعلم غير الموجّه الذي يكتشف الأنماط والتجمعات في بيانات غير مُصنّفة، والتعلم المعزز الذي يتعلم من خلال التجربة </w:t>
      </w:r>
      <w:r w:rsidRPr="005C3640">
        <w:rPr>
          <w:rFonts w:ascii="Simplified Arabic" w:eastAsia="Times New Roman" w:hAnsi="Simplified Arabic" w:cs="Simplified Arabic" w:hint="cs"/>
          <w:kern w:val="0"/>
          <w:sz w:val="28"/>
          <w:szCs w:val="28"/>
          <w:rtl/>
          <w14:ligatures w14:val="none"/>
        </w:rPr>
        <w:lastRenderedPageBreak/>
        <w:t xml:space="preserve">والخطأ عبر نظام مكافآت </w:t>
      </w:r>
      <w:proofErr w:type="gramStart"/>
      <w:r w:rsidRPr="005C3640">
        <w:rPr>
          <w:rFonts w:ascii="Simplified Arabic" w:eastAsia="Times New Roman" w:hAnsi="Simplified Arabic" w:cs="Simplified Arabic" w:hint="cs"/>
          <w:kern w:val="0"/>
          <w:sz w:val="28"/>
          <w:szCs w:val="28"/>
          <w:rtl/>
          <w14:ligatures w14:val="none"/>
        </w:rPr>
        <w:t>وعقوبات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وتُوظّف</w:t>
      </w:r>
      <w:proofErr w:type="gramEnd"/>
      <w:r w:rsidRPr="005C3640">
        <w:rPr>
          <w:rFonts w:ascii="Simplified Arabic" w:eastAsia="Times New Roman" w:hAnsi="Simplified Arabic" w:cs="Simplified Arabic" w:hint="cs"/>
          <w:kern w:val="0"/>
          <w:sz w:val="28"/>
          <w:szCs w:val="28"/>
          <w:rtl/>
          <w14:ligatures w14:val="none"/>
        </w:rPr>
        <w:t xml:space="preserve"> هذه الأنماط في التنبؤ بالطلب وتصنيف المعاملات وتحسين المسارات اللوجستية وكشف الاحتيال</w:t>
      </w:r>
      <w:r w:rsidRPr="005C3640">
        <w:rPr>
          <w:rFonts w:ascii="Simplified Arabic" w:eastAsia="Times New Roman" w:hAnsi="Simplified Arabic" w:cs="Simplified Arabic" w:hint="cs"/>
          <w:kern w:val="0"/>
          <w:sz w:val="28"/>
          <w:szCs w:val="28"/>
          <w14:ligatures w14:val="none"/>
        </w:rPr>
        <w:t>.</w:t>
      </w:r>
    </w:p>
    <w:p w14:paraId="0F4F8CE5" w14:textId="5D571D4E"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التعلم العميق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وهو فرع متقدم من التعلم الآلي يعتمد على شبكات عصبية اصطناعية متعددة الطبقات قادرة على اكتشاف علاقات بالغة التعقيد في </w:t>
      </w:r>
      <w:proofErr w:type="gramStart"/>
      <w:r w:rsidRPr="005C3640">
        <w:rPr>
          <w:rFonts w:ascii="Simplified Arabic" w:eastAsia="Times New Roman" w:hAnsi="Simplified Arabic" w:cs="Simplified Arabic" w:hint="cs"/>
          <w:kern w:val="0"/>
          <w:sz w:val="28"/>
          <w:szCs w:val="28"/>
          <w:rtl/>
          <w14:ligatures w14:val="none"/>
        </w:rPr>
        <w:t>البيانات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ويتميز</w:t>
      </w:r>
      <w:proofErr w:type="gramEnd"/>
      <w:r w:rsidRPr="005C3640">
        <w:rPr>
          <w:rFonts w:ascii="Simplified Arabic" w:eastAsia="Times New Roman" w:hAnsi="Simplified Arabic" w:cs="Simplified Arabic" w:hint="cs"/>
          <w:kern w:val="0"/>
          <w:sz w:val="28"/>
          <w:szCs w:val="28"/>
          <w:rtl/>
          <w14:ligatures w14:val="none"/>
        </w:rPr>
        <w:t xml:space="preserve"> هذا النوع بقدرته الفائقة على معالجة البيانات غير المهيكلة كالصور والنصوص والأصوات ومقاطع الفيديو، مما يجعله مناسباً لتطبيقات التعرف على الوجوه وتحليل المستندات ومراقبة الجودة البصرية في بيئات العمل الحكومية</w:t>
      </w:r>
      <w:r w:rsidRPr="005C3640">
        <w:rPr>
          <w:rFonts w:ascii="Simplified Arabic" w:eastAsia="Times New Roman" w:hAnsi="Simplified Arabic" w:cs="Simplified Arabic" w:hint="cs"/>
          <w:kern w:val="0"/>
          <w:sz w:val="28"/>
          <w:szCs w:val="28"/>
          <w14:ligatures w14:val="none"/>
        </w:rPr>
        <w:t>.</w:t>
      </w:r>
    </w:p>
    <w:p w14:paraId="79DCEA54" w14:textId="297BE305"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معالجة اللغة الطبيعية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وهي مجموعة من التقنيات التي تُمكّن الأنظمة الحاسوبية من فهم اللغة البشرية المكتوبة والمنطوقة وتحليلها </w:t>
      </w:r>
      <w:proofErr w:type="gramStart"/>
      <w:r w:rsidRPr="005C3640">
        <w:rPr>
          <w:rFonts w:ascii="Simplified Arabic" w:eastAsia="Times New Roman" w:hAnsi="Simplified Arabic" w:cs="Simplified Arabic" w:hint="cs"/>
          <w:kern w:val="0"/>
          <w:sz w:val="28"/>
          <w:szCs w:val="28"/>
          <w:rtl/>
          <w14:ligatures w14:val="none"/>
        </w:rPr>
        <w:t>وتوليدها</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وتُستخدم</w:t>
      </w:r>
      <w:proofErr w:type="gramEnd"/>
      <w:r w:rsidRPr="005C3640">
        <w:rPr>
          <w:rFonts w:ascii="Simplified Arabic" w:eastAsia="Times New Roman" w:hAnsi="Simplified Arabic" w:cs="Simplified Arabic" w:hint="cs"/>
          <w:kern w:val="0"/>
          <w:sz w:val="28"/>
          <w:szCs w:val="28"/>
          <w:rtl/>
          <w14:ligatures w14:val="none"/>
        </w:rPr>
        <w:t xml:space="preserve"> هذه التقنيات في تحليل تقارير الأداء والمراسلات الرسمية واستخلاص المعلومات من الوثائق، فضلاً عن تشغيل المساعدات الذكية وروبوتات المحادثة التي تتفاعل مع المستفيدين وتُجيب عن استفساراتهم بلغة طبيعية</w:t>
      </w:r>
      <w:r w:rsidRPr="005C3640">
        <w:rPr>
          <w:rFonts w:ascii="Simplified Arabic" w:eastAsia="Times New Roman" w:hAnsi="Simplified Arabic" w:cs="Simplified Arabic" w:hint="cs"/>
          <w:kern w:val="0"/>
          <w:sz w:val="28"/>
          <w:szCs w:val="28"/>
          <w14:ligatures w14:val="none"/>
        </w:rPr>
        <w:t>.</w:t>
      </w:r>
    </w:p>
    <w:p w14:paraId="2B16A11D"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الرؤية الحاسوبية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فرع من الذكاء الاصطناعي يُمكّن الأنظمة من تحليل المحتوى المرئي وفهمه واتخاذ قرارات بناءً عليه. وتُوظّف هذه التقنية في تطبيقات متنوعة كمراقبة الجودة في خطوط الإنتاج وإدارة المخازن والتحقق من الهوية والمراقبة الأمنية، وهي تطبيقات ذات صلة مباشرة بعمليات المؤسسات الحكومية الكبرى</w:t>
      </w:r>
      <w:r w:rsidRPr="005C3640">
        <w:rPr>
          <w:rFonts w:ascii="Simplified Arabic" w:eastAsia="Times New Roman" w:hAnsi="Simplified Arabic" w:cs="Simplified Arabic" w:hint="cs"/>
          <w:kern w:val="0"/>
          <w:sz w:val="28"/>
          <w:szCs w:val="28"/>
          <w14:ligatures w14:val="none"/>
        </w:rPr>
        <w:t>.</w:t>
      </w:r>
    </w:p>
    <w:p w14:paraId="1E2F8E1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ج- التصنيف وفقاً لمجال التطبيق التحليلي</w:t>
      </w:r>
    </w:p>
    <w:p w14:paraId="216B80F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يرتكز هذا التصنيف على نوعية المخرجات التحليلية التي يُقدمها نظام الذكاء الاصطناعي والأسئلة التي يُجيب عنها</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ميّز</w:t>
      </w:r>
      <w:r w:rsidRPr="005C3640">
        <w:rPr>
          <w:rFonts w:ascii="Simplified Arabic" w:eastAsia="Times New Roman" w:hAnsi="Simplified Arabic" w:cs="Simplified Arabic" w:hint="cs"/>
          <w:kern w:val="0"/>
          <w:sz w:val="28"/>
          <w:szCs w:val="28"/>
          <w14:ligatures w14:val="none"/>
        </w:rPr>
        <w:t xml:space="preserve"> (Faisal, 2025) </w:t>
      </w:r>
      <w:r w:rsidRPr="005C3640">
        <w:rPr>
          <w:rFonts w:ascii="Simplified Arabic" w:eastAsia="Times New Roman" w:hAnsi="Simplified Arabic" w:cs="Simplified Arabic" w:hint="cs"/>
          <w:kern w:val="0"/>
          <w:sz w:val="28"/>
          <w:szCs w:val="28"/>
          <w:rtl/>
          <w14:ligatures w14:val="none"/>
        </w:rPr>
        <w:t>بين أربعة أنواع تحليلية</w:t>
      </w:r>
      <w:r w:rsidRPr="005C3640">
        <w:rPr>
          <w:rFonts w:ascii="Simplified Arabic" w:eastAsia="Times New Roman" w:hAnsi="Simplified Arabic" w:cs="Simplified Arabic" w:hint="cs"/>
          <w:kern w:val="0"/>
          <w:sz w:val="28"/>
          <w:szCs w:val="28"/>
          <w14:ligatures w14:val="none"/>
        </w:rPr>
        <w:t>:</w:t>
      </w:r>
    </w:p>
    <w:p w14:paraId="343F77C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الوصفي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حدث؟" من خلال تلخيص البيانات التاريخية وعرضها بصورة مفهومة عبر لوحات معلومات وتقارير بيانية، مما يُمكّن صانعي القرار من فهم الوضع الراهن والاتجاهات السابقة. ويُمثل هذا النوع الطبقة الأساسية التي تنبني عليها المستويات التحليلية الأعلى</w:t>
      </w:r>
      <w:r w:rsidRPr="005C3640">
        <w:rPr>
          <w:rFonts w:ascii="Simplified Arabic" w:eastAsia="Times New Roman" w:hAnsi="Simplified Arabic" w:cs="Simplified Arabic" w:hint="cs"/>
          <w:kern w:val="0"/>
          <w:sz w:val="28"/>
          <w:szCs w:val="28"/>
          <w14:ligatures w14:val="none"/>
        </w:rPr>
        <w:t>.</w:t>
      </w:r>
    </w:p>
    <w:p w14:paraId="01E38E7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التحليل التشخيصي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"لماذا حدث؟" من خلال الكشف عن العلاقات السببية بين المتغيرات وتحديد العوامل الجذرية الكامنة وراء الظواهر والمشكلات. ويتطلب هذا النوع تقنيات أكثر تعقيداً كتحليل الارتباط والانحدار وأشجار القرار لتتبع مسارات السببية في البيانات</w:t>
      </w:r>
      <w:r w:rsidRPr="005C3640">
        <w:rPr>
          <w:rFonts w:ascii="Simplified Arabic" w:eastAsia="Times New Roman" w:hAnsi="Simplified Arabic" w:cs="Simplified Arabic" w:hint="cs"/>
          <w:kern w:val="0"/>
          <w:sz w:val="28"/>
          <w:szCs w:val="28"/>
          <w14:ligatures w14:val="none"/>
        </w:rPr>
        <w:t>.</w:t>
      </w:r>
    </w:p>
    <w:p w14:paraId="11DC943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التنبؤي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سيحدث؟" من خلال بناء نماذج إحصائية وخوارزمية تستشرف المستقبل بناءً على الأنماط المستخلصة من البيانات التاريخية والمتغيرات الراهنة. ويُعدّ هذا النوع من أكثر أنواع التحليل طلباً في المؤسسات لأنه يُمكّنها من الاستعداد للتحولات القادمة قبل وقوعها</w:t>
      </w:r>
      <w:r w:rsidRPr="005C3640">
        <w:rPr>
          <w:rFonts w:ascii="Simplified Arabic" w:eastAsia="Times New Roman" w:hAnsi="Simplified Arabic" w:cs="Simplified Arabic" w:hint="cs"/>
          <w:kern w:val="0"/>
          <w:sz w:val="28"/>
          <w:szCs w:val="28"/>
          <w14:ligatures w14:val="none"/>
        </w:rPr>
        <w:t>.</w:t>
      </w:r>
    </w:p>
    <w:p w14:paraId="562FC66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التوجيهي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ينبغي أن نفعل؟" من خلال تقديم توصيات محددة وقابلة للتنفيذ لصانعي القرار، مستنداً إلى نتائج التحليلات الوصفية والتشخيصية والتنبؤية. ويُمثل هذا النوع أعلى مستويات النضج التحليلي، حيث ينتقل دور النظام من توفير المعلومات إلى اقتراح مسارات العمل المثلى</w:t>
      </w:r>
      <w:r w:rsidRPr="005C3640">
        <w:rPr>
          <w:rFonts w:ascii="Simplified Arabic" w:eastAsia="Times New Roman" w:hAnsi="Simplified Arabic" w:cs="Simplified Arabic" w:hint="cs"/>
          <w:kern w:val="0"/>
          <w:sz w:val="28"/>
          <w:szCs w:val="28"/>
          <w14:ligatures w14:val="none"/>
        </w:rPr>
        <w:t>.</w:t>
      </w:r>
    </w:p>
    <w:p w14:paraId="01DBFB0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د- التصنيف وفقاً لدرجة استقلالية النظام</w:t>
      </w:r>
    </w:p>
    <w:p w14:paraId="6F3ABEB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يعتمد هذا التصنيف على مدى قدرة نظام الذكاء الاصطناعي على اتخاذ القرارات وتنفيذ الإجراءات بشكل مستقل دون تدخل بشري</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أشار (</w:t>
      </w:r>
      <w:proofErr w:type="gramStart"/>
      <w:r w:rsidRPr="005C3640">
        <w:rPr>
          <w:rFonts w:ascii="Simplified Arabic" w:eastAsia="Times New Roman" w:hAnsi="Simplified Arabic" w:cs="Simplified Arabic" w:hint="cs"/>
          <w:kern w:val="0"/>
          <w:sz w:val="28"/>
          <w:szCs w:val="28"/>
          <w:rtl/>
          <w14:ligatures w14:val="none"/>
        </w:rPr>
        <w:t>عبدالرحمن</w:t>
      </w:r>
      <w:proofErr w:type="gramEnd"/>
      <w:r w:rsidRPr="005C3640">
        <w:rPr>
          <w:rFonts w:ascii="Simplified Arabic" w:eastAsia="Times New Roman" w:hAnsi="Simplified Arabic" w:cs="Simplified Arabic" w:hint="cs"/>
          <w:kern w:val="0"/>
          <w:sz w:val="28"/>
          <w:szCs w:val="28"/>
          <w:rtl/>
          <w14:ligatures w14:val="none"/>
        </w:rPr>
        <w:t xml:space="preserve"> وآخرون، 2022) إلى ثلاثة مستويات متدرجة</w:t>
      </w:r>
      <w:r w:rsidRPr="005C3640">
        <w:rPr>
          <w:rFonts w:ascii="Simplified Arabic" w:eastAsia="Times New Roman" w:hAnsi="Simplified Arabic" w:cs="Simplified Arabic" w:hint="cs"/>
          <w:kern w:val="0"/>
          <w:sz w:val="28"/>
          <w:szCs w:val="28"/>
          <w14:ligatures w14:val="none"/>
        </w:rPr>
        <w:t>:</w:t>
      </w:r>
    </w:p>
    <w:p w14:paraId="3BB37E00"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المساندة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تقتصر على تقديم المعلومات والتحليلات والتوصيات لصانع القرار البشري الذي يحتفظ بالسلطة النهائية في اتخاذ القرار وتنفيذه. ويُعدّ هذا المستوى الأكثر شيوعاً في المؤسسات الحكومية حالياً، حيث يظل العنصر البشري هو المسؤول الأول والأخير عن القرارات المؤسسية، ويقتصر دور الذكاء الاصطناعي على إثراء المعلومات المتاحة له</w:t>
      </w:r>
      <w:r w:rsidRPr="005C3640">
        <w:rPr>
          <w:rFonts w:ascii="Simplified Arabic" w:eastAsia="Times New Roman" w:hAnsi="Simplified Arabic" w:cs="Simplified Arabic" w:hint="cs"/>
          <w:kern w:val="0"/>
          <w:sz w:val="28"/>
          <w:szCs w:val="28"/>
          <w14:ligatures w14:val="none"/>
        </w:rPr>
        <w:t>.</w:t>
      </w:r>
    </w:p>
    <w:p w14:paraId="6FF598C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شبه المستقلة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تمتلك صلاحية اتخاذ قرارات روتينية ومحددة بشكل آلي ضمن نطاق وقواعد معرّفة مسبقاً، بينما تُحيل القرارات المعقدة أو الاستثنائية التي تخرج عن نطاق صلاحياتها إلى المسؤول البشري للبت فيها. ويُحقق هذا المستوى توازناً بين الكفاءة التي توفرها الأتمتة والرقابة البشرية التي تضمن السلامة والمساءلة</w:t>
      </w:r>
      <w:r w:rsidRPr="005C3640">
        <w:rPr>
          <w:rFonts w:ascii="Simplified Arabic" w:eastAsia="Times New Roman" w:hAnsi="Simplified Arabic" w:cs="Simplified Arabic" w:hint="cs"/>
          <w:kern w:val="0"/>
          <w:sz w:val="28"/>
          <w:szCs w:val="28"/>
          <w14:ligatures w14:val="none"/>
        </w:rPr>
        <w:t>.</w:t>
      </w:r>
    </w:p>
    <w:p w14:paraId="3BF398E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المستقلة بالكامل</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وهي أنظمة تعمل دون تدخل بشري مباشر في بيئات محددة ومحكومة بقواعد واضحة، كأنظمة إدارة المرور الذكية وأنظمة الرد الآلي على استفسارات المستفيدين وأنظمة المراقبة الأمنية. </w:t>
      </w:r>
      <w:r w:rsidRPr="005C3640">
        <w:rPr>
          <w:rFonts w:ascii="Simplified Arabic" w:eastAsia="Times New Roman" w:hAnsi="Simplified Arabic" w:cs="Simplified Arabic" w:hint="cs"/>
          <w:kern w:val="0"/>
          <w:sz w:val="28"/>
          <w:szCs w:val="28"/>
          <w:rtl/>
          <w14:ligatures w14:val="none"/>
        </w:rPr>
        <w:lastRenderedPageBreak/>
        <w:t>ويتطلب هذا المستوى درجة عالية من الثقة في موثوقية النظام ودقته، فضلاً عن أطر حوكمة صارمة تُحدد نطاق الاستقلالية وآليات المراجعة والتدخل عند الضرورة</w:t>
      </w:r>
      <w:r w:rsidRPr="005C3640">
        <w:rPr>
          <w:rFonts w:ascii="Simplified Arabic" w:eastAsia="Times New Roman" w:hAnsi="Simplified Arabic" w:cs="Simplified Arabic" w:hint="cs"/>
          <w:kern w:val="0"/>
          <w:sz w:val="28"/>
          <w:szCs w:val="28"/>
          <w14:ligatures w14:val="none"/>
        </w:rPr>
        <w:t>.</w:t>
      </w:r>
    </w:p>
    <w:p w14:paraId="0B3EE5F7" w14:textId="2C7A30F3" w:rsid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3640">
        <w:rPr>
          <w:rFonts w:ascii="Simplified Arabic" w:eastAsia="Times New Roman" w:hAnsi="Simplified Arabic" w:cs="Simplified Arabic" w:hint="cs"/>
          <w:kern w:val="0"/>
          <w:sz w:val="28"/>
          <w:szCs w:val="28"/>
          <w:rtl/>
          <w14:ligatures w14:val="none"/>
        </w:rPr>
        <w:t>وفي ضوء هذه التصنيفات المتعددة، يتضح أن المؤسسات الحكومية الكبرى في المملكة العربية السعودية تتعامل في المرحلة الراهنة بشكل أساسي مع الذكاء الاصطناعي الضيق بأنواعه التطبيقية المختلفة، لا سيما تقنيات التعلم الآلي ومعالجة اللغة الطبيعية والتحليلات التنبؤية والتوجيهية، وذلك ضمن مستويات تتراوح بين الأنظمة المساندة والأنظمة شبه المستقلة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وهو ما ينسجم مع أبعاد الدراسة الحالية التي تركز على التطبيقات العملية القابلة للقياس والتقييم في بيئة العمل الحكومي، والتي تتمثل في جمع البيانات ومعالجتها والنماذج التنبؤية والأتمتة الذكية وأنظمة دعم القرار</w:t>
      </w:r>
      <w:r w:rsidRPr="005C3640">
        <w:rPr>
          <w:rFonts w:ascii="Simplified Arabic" w:eastAsia="Times New Roman" w:hAnsi="Simplified Arabic" w:cs="Simplified Arabic" w:hint="cs"/>
          <w:kern w:val="0"/>
          <w:sz w:val="28"/>
          <w:szCs w:val="28"/>
          <w14:ligatures w14:val="none"/>
        </w:rPr>
        <w:t>.</w:t>
      </w:r>
    </w:p>
    <w:p w14:paraId="19FB6311"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خامساً: خصائص تقنيات الذكاء الاصطناعي</w:t>
      </w:r>
    </w:p>
    <w:p w14:paraId="5C144F1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تتميز تقنيات الذكاء الاصطناعي بمجموعة من الخصائص الجوهرية التي تُشكّل الأساس الذي يُفسّر القيمة المضافة التي تُقدمها هذه التقنيات للمؤسسات، وتميزها تمييزاً واضحاً عن الأدوات والأنظمة التقنية التقليدية التي سبقتها. ويُسهم فهم هذه الخصائص في تحديد المتطلبات والشروط اللازمة لنجاح تطبيق تقنيات الذكاء الاصطناعي في المؤسسات الحكومية الكبرى بالمملكة العربية السعودية، كما يُساعد في تفسير الفارق بين المؤسسات التي تنجح في استثمار هذه التقنيات وتلك التي تُخفق في تحقيق العوائد المرجوة منها. وقد تناول الباحثون هذه الخصائص من زوايا متعددة، مما أسهم في رسم صورة شاملة للسمات المميزة لهذه التقنيات</w:t>
      </w:r>
      <w:r w:rsidRPr="00D61485">
        <w:rPr>
          <w:rFonts w:ascii="Simplified Arabic" w:eastAsia="Times New Roman" w:hAnsi="Simplified Arabic" w:cs="Simplified Arabic"/>
          <w:kern w:val="0"/>
          <w:sz w:val="28"/>
          <w:szCs w:val="28"/>
          <w14:ligatures w14:val="none"/>
        </w:rPr>
        <w:t>.</w:t>
      </w:r>
    </w:p>
    <w:p w14:paraId="122A8C2F"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التعلم الذاتي والتكيف المستمر</w:t>
      </w:r>
    </w:p>
    <w:p w14:paraId="0550995B" w14:textId="7CF45A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تُعدّ خاصية التعلم الذاتي والتكيف المستمر من أبرز الخصائص التي تُفرّق بين أنظمة الذكاء الاصطناعي والبرمجيات التقليدية تفريقاً جوهرياً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أنظمة الذكاء الاصطناعي تمتلك القدرة على التعلم من البيانات التي تتعرض لها وتحسين أدائها بشكل مستمر وتلقائي دون الحاجة إلى إعادة برمجتها أو تعديل شيفرتها المصدرية في كل مرة تتغير فيها ظروف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وتتجلى هذه الخاصية بوضوح في نماذج التعلم الآلي التي تُحسّن دقة تنبؤاتها كلما تعرضت لمزيد من البيانات وتراكمت لديها خبرة أوسع في التعامل مع الأنماط المتنوعة، مما يعني أن قيمة هذه الأنظمة تتعاظم مع الاستخدام والزمن بدلاً من أن تتناقص أو تتقادم كما هو حال الأدوات التقليدية. وهذه الخاصية تمنح المؤسسات الحكومية </w:t>
      </w:r>
      <w:r w:rsidRPr="00D61485">
        <w:rPr>
          <w:rFonts w:ascii="Simplified Arabic" w:eastAsia="Times New Roman" w:hAnsi="Simplified Arabic" w:cs="Simplified Arabic"/>
          <w:kern w:val="0"/>
          <w:sz w:val="28"/>
          <w:szCs w:val="28"/>
          <w:rtl/>
          <w14:ligatures w14:val="none"/>
        </w:rPr>
        <w:lastRenderedPageBreak/>
        <w:t>الكبرى ميزة استراتيجية تراكمية، إذ كلما طالت مدة استخدام هذه الأنظمة واتسع نطاق البيانات المتاحة لها، ارتفعت جودة مخرجاتها وزادت دقتها وملاءمتها للسياق المؤسسي الخاص بها</w:t>
      </w:r>
      <w:r w:rsidRPr="00D61485">
        <w:rPr>
          <w:rFonts w:ascii="Simplified Arabic" w:eastAsia="Times New Roman" w:hAnsi="Simplified Arabic" w:cs="Simplified Arabic"/>
          <w:kern w:val="0"/>
          <w:sz w:val="28"/>
          <w:szCs w:val="28"/>
          <w14:ligatures w14:val="none"/>
        </w:rPr>
        <w:t>.</w:t>
      </w:r>
    </w:p>
    <w:p w14:paraId="0017E6F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معالجة البيانات الضخمة</w:t>
      </w:r>
    </w:p>
    <w:p w14:paraId="30046055" w14:textId="262C82F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خاصية القدرة على معالجة البيانات الضخمة بوصفها من أبرز السمات المميزة للذكاء الاصطناعي، حيث تتيح هذه التقنيات معالجة كميات هائلة من البيانات المتنوعة المصادر والأشكال والأحجام في زمن قياسي واستخلاص أنماط وعلاقات ذات دلالة منها، وهو ما يتجاوز بمراحل عديدة قدرات التحليل البشري أو الأدوات الإحصائية التقليدية التي تعجز عن التعامل مع هذا الحجم والتنوع من البيانات بالسرعة والدقة المطلوبتين</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استثنائية في المؤسسات الحكومية الكبرى بالمملكة العربية السعودية التي تُنتج يومياً حجماً ضخماً من البيانات المتعلقة بالمعاملات والخدمات والتفاعلات مع المستفيدين والعمليات التشغيلية الداخلية، وهي بيانات كانت تُهدر في السابق أو تُستخدم بشكل محدود نظراً لعدم توفر أدوات قادرة على استثمارها بالكامل</w:t>
      </w:r>
      <w:r w:rsidRPr="00D61485">
        <w:rPr>
          <w:rFonts w:ascii="Simplified Arabic" w:eastAsia="Times New Roman" w:hAnsi="Simplified Arabic" w:cs="Simplified Arabic"/>
          <w:kern w:val="0"/>
          <w:sz w:val="28"/>
          <w:szCs w:val="28"/>
          <w14:ligatures w14:val="none"/>
        </w:rPr>
        <w:t>.</w:t>
      </w:r>
    </w:p>
    <w:p w14:paraId="32F0651D"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الاستقلالية في التنفيذ</w:t>
      </w:r>
    </w:p>
    <w:p w14:paraId="4B63CE8B" w14:textId="2B01AC10"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إلى أن أنظمة الذكاء الاصطناعي تمتلك خاصية الاستقلالية في التنفيذ، حيث تستطيع أداء مهام معقدة ومتشعبة بشكل مستقل وبأقل قدر ممكن من التدخل البشري المباشر، مع الحفاظ على مستوى عالٍ من الدقة والاتساق في المخرجات بصرف النظر عن حجم العمل المطلوب أو الظروف المحيطة بعملية التشغيل. فخلافاً للعنصر البشري الذي يتأثر أداؤه بعوامل الإرهاق والملل وتقلبات المزاج وتفاوت مستويات الخبرة والتركيز، تعمل أنظمة الذكاء الاصطناعي بمستوى ثابت من الكفاءة والدقة على مدار الساعة ودون انقطاع</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وتجعل هذه الخاصية أنظمة الذكاء الاصطناعي مثالية للتعامل مع العمليات الحكومية المتكررة ذات الحجم الكبير التي تتطلب مستوى عالياً من الدقة والاستمرارية والاتساق في الأداء، كمعالجة طلبات المستفيدين ومراجعة المستندات وتصنيف المعاملات وإصدار الإشعارات</w:t>
      </w:r>
      <w:r w:rsidRPr="00D61485">
        <w:rPr>
          <w:rFonts w:ascii="Simplified Arabic" w:eastAsia="Times New Roman" w:hAnsi="Simplified Arabic" w:cs="Simplified Arabic"/>
          <w:kern w:val="0"/>
          <w:sz w:val="28"/>
          <w:szCs w:val="28"/>
          <w14:ligatures w14:val="none"/>
        </w:rPr>
        <w:t>.</w:t>
      </w:r>
    </w:p>
    <w:p w14:paraId="06FCAB5A"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742F8772"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4EF78F80" w14:textId="26465B7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التكامل مع الأنظمة القائمة</w:t>
      </w:r>
    </w:p>
    <w:p w14:paraId="0A48F5A6" w14:textId="3A48D7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يُضيف (المصاروة والسرحان، 2021) خاصية التكامل مع الأنظمة القائمة بوصفها سمة جوهرية تُيسّر عملية تبني تقنيات الذكاء الاصطناعي في المؤسسات دون الحاجة إلى استبدال البنية التحتية التقنية الموجودة بالكامل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فتقنيات الذكاء الاصطناعي الحديثة تتميز بقدرتها على الاندماج مع الأنظمة المعلوماتية والتطبيقات المؤسسية القائمة من خلال واجهات برمجة التطبيقات والحوسبة السحابية وبروتوكولات تبادل البيانات المعيارية، مما يُقلل بشكل كبير من تكاليف التحول ومخاطره ويُسرّع عملية التبني والنشر</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خاصة في المؤسسات الحكومية الكبرى التي استثمرت على مدى سنوات في بناء أنظمة معلوماتية وقواعد بيانات ضخمة، ولا تستطيع التخلي عنها دفعة واحدة بل تحتاج إلى مسار تحول تدريجي يُدمج التقنيات الجديدة مع الموروث التقني القائم</w:t>
      </w:r>
      <w:r w:rsidRPr="00D61485">
        <w:rPr>
          <w:rFonts w:ascii="Simplified Arabic" w:eastAsia="Times New Roman" w:hAnsi="Simplified Arabic" w:cs="Simplified Arabic"/>
          <w:kern w:val="0"/>
          <w:sz w:val="28"/>
          <w:szCs w:val="28"/>
          <w14:ligatures w14:val="none"/>
        </w:rPr>
        <w:t>.</w:t>
      </w:r>
    </w:p>
    <w:p w14:paraId="2C04941C"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التحسين المستمر للأداء</w:t>
      </w:r>
    </w:p>
    <w:p w14:paraId="46B2AF7E" w14:textId="0577C68B"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(Kumar et al., 2025) </w:t>
      </w:r>
      <w:r w:rsidRPr="00D61485">
        <w:rPr>
          <w:rFonts w:ascii="Simplified Arabic" w:eastAsia="Times New Roman" w:hAnsi="Simplified Arabic" w:cs="Simplified Arabic"/>
          <w:kern w:val="0"/>
          <w:sz w:val="28"/>
          <w:szCs w:val="28"/>
          <w:rtl/>
          <w14:ligatures w14:val="none"/>
        </w:rPr>
        <w:t>خاصية التحسين المستمر للأداء بوصفها من الخصائص التي تمنح تقنيات الذكاء الاصطناعي قيمة متنامية بمرور الوقت</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فهذه الأنظمة تعمل وفق آليات تغذية راجعة مستمرة تُمكّنها من رصد الانحرافات في أدائها وتحديد مواطن الضعف وتعديل معاملاتها وخوارزمياتها تلقائياً لتحقيق مستويات أعلى من الدقة والكفاءة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ويتحقق ذلك من خلال منحنى تعلم تصاعدي يُعزز كفاءة العمليات بشكل تراكمي ومستدام، حيث يتحسن أداء النظام مع كل دورة عمل جديدة ومع كل مجموعة بيانات إضافية يتعرض لها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يعني أن العائد على الاستثمار في تقنيات الذكاء الاصطناعي لا يتحقق دفعة واحدة بل يتعاظم بشكل تدريجي ومستمر، مما يجعله استثماراً طويل المدى تتضاعف عوائده كلما نضج النظام وتراكمت خبراته</w:t>
      </w:r>
      <w:r w:rsidRPr="00D61485">
        <w:rPr>
          <w:rFonts w:ascii="Simplified Arabic" w:eastAsia="Times New Roman" w:hAnsi="Simplified Arabic" w:cs="Simplified Arabic"/>
          <w:kern w:val="0"/>
          <w:sz w:val="28"/>
          <w:szCs w:val="28"/>
          <w14:ligatures w14:val="none"/>
        </w:rPr>
        <w:t>.</w:t>
      </w:r>
    </w:p>
    <w:p w14:paraId="50034CE3"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الموضوعية والحياد في التحليل</w:t>
      </w:r>
    </w:p>
    <w:p w14:paraId="29A991AF" w14:textId="03CF8135"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يُعزّز</w:t>
      </w:r>
      <w:r w:rsidRPr="00D61485">
        <w:rPr>
          <w:rFonts w:ascii="Simplified Arabic" w:eastAsia="Times New Roman" w:hAnsi="Simplified Arabic" w:cs="Simplified Arabic"/>
          <w:kern w:val="0"/>
          <w:sz w:val="28"/>
          <w:szCs w:val="28"/>
          <w14:ligatures w14:val="none"/>
        </w:rPr>
        <w:t xml:space="preserve"> (Sadok et al., 2022) </w:t>
      </w:r>
      <w:r w:rsidRPr="00D61485">
        <w:rPr>
          <w:rFonts w:ascii="Simplified Arabic" w:eastAsia="Times New Roman" w:hAnsi="Simplified Arabic" w:cs="Simplified Arabic"/>
          <w:kern w:val="0"/>
          <w:sz w:val="28"/>
          <w:szCs w:val="28"/>
          <w:rtl/>
          <w14:ligatures w14:val="none"/>
        </w:rPr>
        <w:t>الخصائص السابقة بإضافة خاصية الموضوعية والحياد في التحليل، حيث تعمل خوارزميات الذكاء الاصطناعي على أساس رياضي وإحصائي صرف يستند إلى البيانات والأدلة الرقمية، مما يُقلل بشكل ملموس من تأثير التحيزات الشخصية والعوامل الانفعالية والضغوط الاجتماعية التي قد تؤثر سلباً في جودة القرارات والتحليلات البشرية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بالغة </w:t>
      </w:r>
      <w:r w:rsidRPr="00D61485">
        <w:rPr>
          <w:rFonts w:ascii="Simplified Arabic" w:eastAsia="Times New Roman" w:hAnsi="Simplified Arabic" w:cs="Simplified Arabic"/>
          <w:kern w:val="0"/>
          <w:sz w:val="28"/>
          <w:szCs w:val="28"/>
          <w:rtl/>
          <w14:ligatures w14:val="none"/>
        </w:rPr>
        <w:lastRenderedPageBreak/>
        <w:t>في المؤسسات الحكومية التي يُفترض فيها أن تعمل وفق مبادئ العدالة والمساواة والشفافية في تعاملها مع جميع المستفيدين دون تمييز</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غير أنه تجدر الإشارة إلى أن تحقيق هذه الموضوعية يشترط أن تكون البيانات المُدخلة للنظام سليمة ومتوازنة وممثلة لجميع الفئات تمثيلاً عادلاً، إذ أن أي تحيز كامن في البيانات الأصلية سينعكس حتماً على مخرجات النظام ويُنتج تحليلات وقرارات منحازة، وهو ما يُعرف بمشكلة "التحيز الخوارزمي" التي تستوجب يقظة مستمرة ومراجعة دورية</w:t>
      </w:r>
      <w:r w:rsidRPr="00D61485">
        <w:rPr>
          <w:rFonts w:ascii="Simplified Arabic" w:eastAsia="Times New Roman" w:hAnsi="Simplified Arabic" w:cs="Simplified Arabic"/>
          <w:kern w:val="0"/>
          <w:sz w:val="28"/>
          <w:szCs w:val="28"/>
          <w14:ligatures w14:val="none"/>
        </w:rPr>
        <w:t>.</w:t>
      </w:r>
    </w:p>
    <w:p w14:paraId="6946ABA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العمل في الزمن الحقيقي</w:t>
      </w:r>
    </w:p>
    <w:p w14:paraId="57343800"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يُؤكد</w:t>
      </w:r>
      <w:r w:rsidRPr="00D61485">
        <w:rPr>
          <w:rFonts w:ascii="Simplified Arabic" w:eastAsia="Times New Roman" w:hAnsi="Simplified Arabic" w:cs="Simplified Arabic"/>
          <w:kern w:val="0"/>
          <w:sz w:val="28"/>
          <w:szCs w:val="28"/>
          <w14:ligatures w14:val="none"/>
        </w:rPr>
        <w:t xml:space="preserve"> (Peng et al., 2023) </w:t>
      </w:r>
      <w:r w:rsidRPr="00D61485">
        <w:rPr>
          <w:rFonts w:ascii="Simplified Arabic" w:eastAsia="Times New Roman" w:hAnsi="Simplified Arabic" w:cs="Simplified Arabic"/>
          <w:kern w:val="0"/>
          <w:sz w:val="28"/>
          <w:szCs w:val="28"/>
          <w:rtl/>
          <w14:ligatures w14:val="none"/>
        </w:rPr>
        <w:t>على خاصية القدرة على العمل في الزمن الحقيقي بوصفها من الخصائص الحاسمة لتقنيات الذكاء الاصطناعي، حيث تتيح هذه التقنيات المعالجة الآنية والفورية للبيانات فور توليدها وتقديم استجابات ومخرجات تحليلية لحظية، مما يُمكّن المؤسسات من التعامل مع الأحداث والمتغيرات لحظة وقوعها بدلاً من الانتظار حتى تتراكم البيانات وتُعالج بأساليب تقليدية بطيئة تُفقدها قيمتها الزمنية. وتكتسب هذه الخاصية أهمية بالغة في المؤسسات الحكومية الكبرى التي تتعامل مع خدمات حساسة تتطلب استجابة آنية، كخدمات الطوارئ والخدمات المالية وخدمات المستفيدين المباشرة، حيث يمكن أن يترتب على التأخر في الاستجابة عواقب وخيمة على مستوى جودة الخدمة ورضا المستفيدين</w:t>
      </w:r>
      <w:r w:rsidRPr="00D61485">
        <w:rPr>
          <w:rFonts w:ascii="Simplified Arabic" w:eastAsia="Times New Roman" w:hAnsi="Simplified Arabic" w:cs="Simplified Arabic"/>
          <w:kern w:val="0"/>
          <w:sz w:val="28"/>
          <w:szCs w:val="28"/>
          <w14:ligatures w14:val="none"/>
        </w:rPr>
        <w:t>.</w:t>
      </w:r>
    </w:p>
    <w:p w14:paraId="09554E6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القابلية للتوسع والمرونة</w:t>
      </w:r>
    </w:p>
    <w:p w14:paraId="28AD0582" w14:textId="15365274"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 xml:space="preserve">إلى خاصية القابلية للتوسع والمرونة التي تتميز بها تقنيات الذكاء الاصطناعي الحديثة، حيث يمكن توسيع نطاق عمل هذه الأنظمة لتشمل عمليات ووحدات تنظيمية جديدة دون الحاجة إلى إعادة بنائها من </w:t>
      </w:r>
      <w:proofErr w:type="gramStart"/>
      <w:r w:rsidRPr="00D61485">
        <w:rPr>
          <w:rFonts w:ascii="Simplified Arabic" w:eastAsia="Times New Roman" w:hAnsi="Simplified Arabic" w:cs="Simplified Arabic"/>
          <w:kern w:val="0"/>
          <w:sz w:val="28"/>
          <w:szCs w:val="28"/>
          <w:rtl/>
          <w14:ligatures w14:val="none"/>
        </w:rPr>
        <w:t>الصفر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فالنموذج</w:t>
      </w:r>
      <w:proofErr w:type="gramEnd"/>
      <w:r w:rsidRPr="00D61485">
        <w:rPr>
          <w:rFonts w:ascii="Simplified Arabic" w:eastAsia="Times New Roman" w:hAnsi="Simplified Arabic" w:cs="Simplified Arabic"/>
          <w:kern w:val="0"/>
          <w:sz w:val="28"/>
          <w:szCs w:val="28"/>
          <w:rtl/>
          <w14:ligatures w14:val="none"/>
        </w:rPr>
        <w:t xml:space="preserve"> الذي طُوّر لخدمة إدارة معينة يمكن تكييفه ونقله لخدمة إدارة أخرى بجهد محدود نسبياً، كما يمكن زيادة طاقته الاستيعابية للتعامل مع حجم أكبر من البيانات والعمليات من خلال الحوسبة السحابية المرنة التي تُتيح إضافة موارد </w:t>
      </w:r>
      <w:proofErr w:type="spellStart"/>
      <w:r w:rsidRPr="00D61485">
        <w:rPr>
          <w:rFonts w:ascii="Simplified Arabic" w:eastAsia="Times New Roman" w:hAnsi="Simplified Arabic" w:cs="Simplified Arabic"/>
          <w:kern w:val="0"/>
          <w:sz w:val="28"/>
          <w:szCs w:val="28"/>
          <w:rtl/>
          <w14:ligatures w14:val="none"/>
        </w:rPr>
        <w:t>حوسبية</w:t>
      </w:r>
      <w:proofErr w:type="spellEnd"/>
      <w:r w:rsidRPr="00D61485">
        <w:rPr>
          <w:rFonts w:ascii="Simplified Arabic" w:eastAsia="Times New Roman" w:hAnsi="Simplified Arabic" w:cs="Simplified Arabic"/>
          <w:kern w:val="0"/>
          <w:sz w:val="28"/>
          <w:szCs w:val="28"/>
          <w:rtl/>
          <w14:ligatures w14:val="none"/>
        </w:rPr>
        <w:t xml:space="preserve"> حسب الطلب</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وتُعدّ هذه الخاصية ذات صلة مباشرة بالمؤسسات الحكومية الكبرى التي تتسم بتعدد فروعها وتنوع خدماتها وتباين أحجام الطلب عليها بين المواسم والفترات المختلفة، مما يستوجب أنظمة قادرة على التوسع والانكماش بمرونة تتلاءم مع المتطلبات المتغيرة</w:t>
      </w:r>
      <w:r w:rsidRPr="00D61485">
        <w:rPr>
          <w:rFonts w:ascii="Simplified Arabic" w:eastAsia="Times New Roman" w:hAnsi="Simplified Arabic" w:cs="Simplified Arabic"/>
          <w:kern w:val="0"/>
          <w:sz w:val="28"/>
          <w:szCs w:val="28"/>
          <w14:ligatures w14:val="none"/>
        </w:rPr>
        <w:t>.</w:t>
      </w:r>
    </w:p>
    <w:p w14:paraId="5D57B6F2" w14:textId="77777777" w:rsidR="00AF0FC2" w:rsidRDefault="00AF0FC2" w:rsidP="00CD4D05">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3F8B9B55" w14:textId="6005E60F" w:rsidR="00D61485" w:rsidRPr="00D61485" w:rsidRDefault="00D61485" w:rsidP="00CD4D05">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 xml:space="preserve">سادساً: أبعاد تقنيات الذكاء الاصطناعي </w:t>
      </w:r>
    </w:p>
    <w:p w14:paraId="7E785510" w14:textId="77777777" w:rsidR="00AF0FC2"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تم تحديد أبعاد تقنيات الذكاء الاصطناعي في هذه الدراسة بناءً على مراجعة تحليلية معمّقة لمجموعة من الدراسات العلمية الحديثة التي تناولت تقنيات الذكاء الاصطناعي في السياقات المؤسسية والتشغيلية، ولا سيما دراسة</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التي تناولت أثر الذكاء الاصطناعي على عمليات سلسلة الإمداد من خلال مقارنة العمليات التقليدية بالعمليات المدعومة بالذكاء الاصطناعي، ودراسة</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التي قدّمت تحليلاً شاملاً لتطبيقات الذكاء الاصطناعي في سلاسل الإمداد واتجاهاتها المستقبلية، ودراسة</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التي تناولت دور الذكاء الاصطناعي في تعزيز الكفاءة التشغيلية في العمليات اللوجستية وإدارة سلاسل الإمداد، ودراسة</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التي بحثت في دور الذكاء الاصطناعي في تحقيق الكفاءة وإدارة المخاطر في سلاسل الإمداد والقطاع المالي، ودراسة</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 xml:space="preserve">التي ركّزت على تقنيات الذكاء الاصطناعي الحديثة بوصفها أداة لتحويل سلاسل القيمة في المؤسسات المالية. </w:t>
      </w:r>
    </w:p>
    <w:p w14:paraId="69D2E4AB" w14:textId="629597F9" w:rsidR="006F66D2"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وقد تقاطعت هذه الدراسات مجتمعةً في تحديد أربعة أبعاد رئيسة تُمثّل المكونات الجوهرية لتقنيات الذكاء الاصطناعي في البيئة المؤسسية، وهي: جمع البيانات ومعالجتها، والنماذج التنبؤية، والأتمتة الذكية، وأنظمة دعم القرار. وتعمل هذه الأبعاد الأربعة بشكل تكاملي وتتابعي، إذ تُشكّل حلقات مترابطة تبدأ بجمع البيانات الخام ومعالجتها بوصفها المادة الأولية، ثم توظيفها في بناء نماذج تنبؤية تستشرف المستقبل، ثم ترجمة هذه التنبؤات إلى عمليات مؤتمتة ذكية تُنفَّذ بكفاءة ودقة، وصولاً إلى تقديم مخرجات تحليلية متكاملة تدعم عملية صنع القرار المؤسسي على مختلف المستويات الإدارية</w:t>
      </w:r>
      <w:r w:rsidRPr="00D61485">
        <w:rPr>
          <w:rFonts w:ascii="Simplified Arabic" w:eastAsia="Times New Roman" w:hAnsi="Simplified Arabic" w:cs="Simplified Arabic"/>
          <w:kern w:val="0"/>
          <w:sz w:val="28"/>
          <w:szCs w:val="28"/>
          <w14:ligatures w14:val="none"/>
        </w:rPr>
        <w:t>.</w:t>
      </w:r>
    </w:p>
    <w:p w14:paraId="1FF4230B" w14:textId="77777777" w:rsidR="006F66D2" w:rsidRDefault="006F66D2">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5DD7AAD1" w14:textId="724A1DF2" w:rsid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6F66D2">
        <w:rPr>
          <w:rFonts w:ascii="Simplified Arabic" w:eastAsia="Times New Roman" w:hAnsi="Simplified Arabic" w:cs="Simplified Arabic"/>
          <w:kern w:val="0"/>
          <w:sz w:val="28"/>
          <w:szCs w:val="28"/>
          <w:rtl/>
          <w14:ligatures w14:val="none"/>
        </w:rPr>
        <w:lastRenderedPageBreak/>
        <w:t>شكل (3) الأبعاد الأربعة لتقنيات الذكاء الاصطناعي وتكاملها</w:t>
      </w:r>
    </w:p>
    <w:p w14:paraId="7B0A4BC7" w14:textId="7F3D7197" w:rsid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noProof/>
        </w:rPr>
        <w:drawing>
          <wp:inline distT="0" distB="0" distL="0" distR="0" wp14:anchorId="1B507F67" wp14:editId="32164267">
            <wp:extent cx="5731510" cy="4305300"/>
            <wp:effectExtent l="0" t="0" r="2540" b="0"/>
            <wp:docPr id="1415795687"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p>
    <w:p w14:paraId="4600E348" w14:textId="54703F89" w:rsidR="006F66D2" w:rsidRPr="006F66D2" w:rsidRDefault="006F66D2" w:rsidP="006F66D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6F66D2">
        <w:rPr>
          <w:rFonts w:ascii="Simplified Arabic" w:eastAsia="Times New Roman" w:hAnsi="Simplified Arabic" w:cs="Simplified Arabic"/>
          <w:b/>
          <w:bCs/>
          <w:kern w:val="0"/>
          <w:sz w:val="28"/>
          <w:szCs w:val="28"/>
          <w:rtl/>
          <w14:ligatures w14:val="none"/>
        </w:rPr>
        <w:t>المصدر</w:t>
      </w:r>
      <w:r w:rsidRPr="006F66D2">
        <w:rPr>
          <w:rFonts w:ascii="Simplified Arabic" w:eastAsia="Times New Roman" w:hAnsi="Simplified Arabic" w:cs="Simplified Arabic"/>
          <w:b/>
          <w:bCs/>
          <w:kern w:val="0"/>
          <w:sz w:val="28"/>
          <w:szCs w:val="28"/>
          <w14:ligatures w14:val="none"/>
        </w:rPr>
        <w:t>:</w:t>
      </w:r>
      <w:r w:rsidRPr="006F66D2">
        <w:rPr>
          <w:rFonts w:ascii="Simplified Arabic" w:eastAsia="Times New Roman" w:hAnsi="Simplified Arabic" w:cs="Simplified Arabic"/>
          <w:kern w:val="0"/>
          <w:sz w:val="28"/>
          <w:szCs w:val="28"/>
          <w14:ligatures w14:val="none"/>
        </w:rPr>
        <w:t xml:space="preserve"> </w:t>
      </w:r>
      <w:r w:rsidRPr="006F66D2">
        <w:rPr>
          <w:rFonts w:ascii="Simplified Arabic" w:eastAsia="Times New Roman" w:hAnsi="Simplified Arabic" w:cs="Simplified Arabic"/>
          <w:kern w:val="0"/>
          <w:sz w:val="28"/>
          <w:szCs w:val="28"/>
          <w:rtl/>
          <w14:ligatures w14:val="none"/>
        </w:rPr>
        <w:t>من إعداد الباحثة بالاعتماد على الدراسات المرجعية للمتغير المستقل</w:t>
      </w:r>
      <w:r w:rsidRPr="006F66D2">
        <w:rPr>
          <w:rFonts w:ascii="Simplified Arabic" w:eastAsia="Times New Roman" w:hAnsi="Simplified Arabic" w:cs="Simplified Arabic"/>
          <w:kern w:val="0"/>
          <w:sz w:val="28"/>
          <w:szCs w:val="28"/>
          <w14:ligatures w14:val="none"/>
        </w:rPr>
        <w:t>.</w:t>
      </w:r>
    </w:p>
    <w:p w14:paraId="5A9B5753"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الأول: جمع البيانات ومعالجتها</w:t>
      </w:r>
    </w:p>
    <w:p w14:paraId="1471F7E0" w14:textId="138C72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يُمثّل جمع البيانات ومعالجتها حجر الأساس الذي تقوم عليه المنظومة الكاملة لتقنيات الذكاء الاصطناعي، إذ لا يمكن لأي نظام ذكي أن يُنتج مخرجات ذات قيمة دون توافر بيانات كافية من حيث الحجم وذات جودة عالية من حيث الدقة والاكتمال والحداثة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ويُشير هذا البُعد إلى مجموعة العمليات والتقنيات والبروتوكولات المستخدمة في استقطاب البيانات من مصادرها المتنوعة الداخلية والخارجية، وتنظيفها من الأخطاء والتشوهات والقيم المفقودة والمكررة، وتحويلها إلى صيغ موحدة قابلة للتحليل والمعالجة الآلية، وتخزينها في بنى تحتية رقمية تُتيح الوصول إليها واسترجاعها بسهولة وسرعة وأمان</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 هذه العملية أهمية محورية في المؤسسات الحكومية الكبرى بالمملكة العربية السعودية التي تتعامل مع مصادر بيانات متعددة ومتباينة الأشكال، تشمل البيانات المهيكلة المخزنة في قواعد البيانات الرسمية وأنظمة تخطيط </w:t>
      </w:r>
      <w:r w:rsidRPr="00D61485">
        <w:rPr>
          <w:rFonts w:ascii="Simplified Arabic" w:eastAsia="Times New Roman" w:hAnsi="Simplified Arabic" w:cs="Simplified Arabic"/>
          <w:kern w:val="0"/>
          <w:sz w:val="28"/>
          <w:szCs w:val="28"/>
          <w:rtl/>
          <w14:ligatures w14:val="none"/>
        </w:rPr>
        <w:lastRenderedPageBreak/>
        <w:t>الموارد، والبيانات غير المهيكلة المتضمنة في المراسلات والتقارير والمحاضر والوثائق، والبيانات شبه المهيكلة الناتجة عن النماذج والاستمارات الإلكترونية وسجلات التعاملات</w:t>
      </w:r>
      <w:r w:rsidRPr="00D61485">
        <w:rPr>
          <w:rFonts w:ascii="Simplified Arabic" w:eastAsia="Times New Roman" w:hAnsi="Simplified Arabic" w:cs="Simplified Arabic"/>
          <w:kern w:val="0"/>
          <w:sz w:val="28"/>
          <w:szCs w:val="28"/>
          <w14:ligatures w14:val="none"/>
        </w:rPr>
        <w:t>.</w:t>
      </w:r>
    </w:p>
    <w:p w14:paraId="733F155A" w14:textId="5CF057C9"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جودة مخرجات أي نظام ذكاء اصطناعي تتوقف بالدرجة الأولى على جودة البيانات المُدخلة إليه، وهو ما يُعبَّر عنه في أدبيات الذكاء الاصطناعي بمبدأ "القمامة تدخل، القمامة تخرج"، مما يعني أن المؤسسات التي تسعى للاستفادة الفعلية من هذه التقنيات ينبغي أن تُولي اهتماماً استثنائياً لعمليات حوكمة البيانات وضمان دقتها واكتمالها وحداثتها وموثوقيتها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ويشمل ذلك تصميم آليات جمع بيانات مُحكمة تُقلل من فرص الخطأ البشري في مراحل الإدخال والتسجيل، وتطوير بروتوكولات تنقية البيانات التي ترصد القيم المتطرفة والشاذة وتُعالجها بأساليب إحصائية مناسبة، فضلاً عن بناء مستودعات بيانات مركزية تُوحّد مصادر البيانات المتفرقة عبر الوحدات التنظيمية المختلفة وتُتيح رؤية شاملة ومتكاملة تتجاوز الجزر المعلوماتية المعزولة التي تعاني منها كثير من المؤسسات الحكومية</w:t>
      </w:r>
      <w:r w:rsidRPr="00D61485">
        <w:rPr>
          <w:rFonts w:ascii="Simplified Arabic" w:eastAsia="Times New Roman" w:hAnsi="Simplified Arabic" w:cs="Simplified Arabic"/>
          <w:kern w:val="0"/>
          <w:sz w:val="28"/>
          <w:szCs w:val="28"/>
          <w14:ligatures w14:val="none"/>
        </w:rPr>
        <w:t>.</w:t>
      </w:r>
    </w:p>
    <w:p w14:paraId="56231AC0" w14:textId="318368FE"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ومن جانبه،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معالجة البيانات في سياق الذكاء الاصطناعي تتجاوز المفهوم التقليدي لإدارة البيانات لتشمل عمليات متقدمة بالغة الأهمية، من أبرزها هندسة السمات التي تستخلص متغيرات جديدة ذات دلالة من البيانات الخام الأصلية بما يُعزز قدرة النماذج على التعلم والتنبؤ، وتكامل البيانات من مصادر متعددة ومتباينة الأشكال والبنى لبناء صورة موحدة وشاملة عن الظاهرة محل التحليل، فضلاً عن تقنيات إثراء البيانات التي تُضيف سياقات ومعلومات تكميلية من مصادر خارجية تُعمّق فهم البيانات الأصلية وتُعزز قدرتها التفسيرية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وأشار إلى أن المؤسسات التي تتفوق في إدارة بياناتها ومعالجتها تمتلك ميزة تنافسية حاسمة، لأن البيانات عالية الجودة تُمكّن من بناء نماذج ذكاء اصطناعي أكثر دقة وموثوقية</w:t>
      </w:r>
      <w:r w:rsidRPr="00D61485">
        <w:rPr>
          <w:rFonts w:ascii="Simplified Arabic" w:eastAsia="Times New Roman" w:hAnsi="Simplified Arabic" w:cs="Simplified Arabic"/>
          <w:kern w:val="0"/>
          <w:sz w:val="28"/>
          <w:szCs w:val="28"/>
          <w14:ligatures w14:val="none"/>
        </w:rPr>
        <w:t>.</w:t>
      </w:r>
    </w:p>
    <w:p w14:paraId="1BC617BC" w14:textId="195FAAB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أوضح</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 xml:space="preserve">أن عمليات جمع البيانات ومعالجتها في المؤسسات المعاصرة تستلزم بنية تحتية رقمية متقدمة تشمل أنظمة الحوسبة السحابية التي تُوفر سعة تخزينية ومعالجة مرنة وقابلة للتوسع، ومنصات البيانات الضخمة القادرة على التعامل مع حجم وتنوع وسرعة تدفق البيانات المتولدة عن الأنشطة المؤسسية اليومية، وأنظمة إنترنت الأشياء التي تجمع بيانات آنية من الأجهزة والمعدات والمستشعرات المنتشرة في بيئة العمل. وتتضافر هذه المكونات مجتمعة لتُشكّل </w:t>
      </w:r>
      <w:r w:rsidRPr="00D61485">
        <w:rPr>
          <w:rFonts w:ascii="Simplified Arabic" w:eastAsia="Times New Roman" w:hAnsi="Simplified Arabic" w:cs="Simplified Arabic"/>
          <w:kern w:val="0"/>
          <w:sz w:val="28"/>
          <w:szCs w:val="28"/>
          <w:rtl/>
          <w14:ligatures w14:val="none"/>
        </w:rPr>
        <w:lastRenderedPageBreak/>
        <w:t>منظومة جمع ومعالجة بيانات متكاملة تُغذي النماذج التنبؤية وأنظمة الأتمتة الذكية ومنصات دعم القرار بالمعلومات الموثوقة والمحدّثة التي تحتاجها لأداء وظائفها بفاعلية</w:t>
      </w:r>
      <w:r w:rsidRPr="00D61485">
        <w:rPr>
          <w:rFonts w:ascii="Simplified Arabic" w:eastAsia="Times New Roman" w:hAnsi="Simplified Arabic" w:cs="Simplified Arabic"/>
          <w:kern w:val="0"/>
          <w:sz w:val="28"/>
          <w:szCs w:val="28"/>
          <w14:ligatures w14:val="none"/>
        </w:rPr>
        <w:t>.</w:t>
      </w:r>
    </w:p>
    <w:p w14:paraId="198954ED" w14:textId="37DEDB78"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بُعداً مهماً يتعلق بأمن البيانات وخصوصيتها في سياق المؤسسات الحكومية، حيث تتعامل هذه المؤسسات مع بيانات حساسة تتضمن معلومات شخصية للمواطنين وبيانات مالية وأمنية ذات طابع سيادي، مما يستوجب تطبيق بروتوكولات صارمة لحماية هذه البيانات وضمان الامتثال للتشريعات واللوائح المنظمة لحماية البيانات الشخصية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ويتطلب ذلك اعتماد تقنيات التشفير المتقدمة وأنظمة التحكم في الوصول ومسارات التدقيق الرقمية التي تُوثّق جميع عمليات الوصول إلى البيانات والتعديل عليها، بما يُحقق التوازن بين الاستفادة القصوى من البيانات وحماية خصوصية أصحابها</w:t>
      </w:r>
      <w:r w:rsidRPr="00D61485">
        <w:rPr>
          <w:rFonts w:ascii="Simplified Arabic" w:eastAsia="Times New Roman" w:hAnsi="Simplified Arabic" w:cs="Simplified Arabic"/>
          <w:kern w:val="0"/>
          <w:sz w:val="28"/>
          <w:szCs w:val="28"/>
          <w14:ligatures w14:val="none"/>
        </w:rPr>
        <w:t>.</w:t>
      </w:r>
    </w:p>
    <w:p w14:paraId="448BC278"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الثاني: النماذج التنبؤية</w:t>
      </w:r>
    </w:p>
    <w:p w14:paraId="40B03C2D" w14:textId="2330DD66"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النماذج التنبؤية البُعد الثاني من أبعاد تقنيات الذكاء الاصطناعي في هذه الدراسة، وتُشير إلى مجموعة الخوارزميات والأساليب الرياضية والإحصائية المتقدمة التي تستثمر البيانات التاريخية والراهنة في استشراف الأحداث والاتجاهات المستقبلية بدرجة معقولة من الدقة والموثوقية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وتقوم هذه النماذج على مبدأ أساسي مفاده أن الأنماط الكامنة في البيانات الماضية تحمل مؤشرات دالة على ما سيحدث مستقبلاً، وأن الخوارزميات الذكية قادرة على اكتشاف هذه الأنماط واستخدامها في بناء تقديرات احتمالية للسيناريوهات المتوقعة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وتُعدّ هذه النماذج ذات أهمية بالغة في المؤسسات الحكومية الكبرى التي تحتاج إلى التخطيط المسبق والاستعداد لمتطلبات المستقبل، سواء تعلق الأمر بالتنبؤ بحجم الطلب على الخدمات الحكومية، أو توقع الاحتياجات من الموارد البشرية والمادية، أو استشراف المخاطر المحتملة التي قد تُعطّل سير العمل</w:t>
      </w:r>
      <w:r w:rsidRPr="00D61485">
        <w:rPr>
          <w:rFonts w:ascii="Simplified Arabic" w:eastAsia="Times New Roman" w:hAnsi="Simplified Arabic" w:cs="Simplified Arabic"/>
          <w:kern w:val="0"/>
          <w:sz w:val="28"/>
          <w:szCs w:val="28"/>
          <w14:ligatures w14:val="none"/>
        </w:rPr>
        <w:t>.</w:t>
      </w:r>
    </w:p>
    <w:p w14:paraId="4401683C" w14:textId="379B51A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أن النماذج التنبؤية المدعومة بالذكاء الاصطناعي تتفوق على النماذج الإحصائية التقليدية في عدة جوانب جوهرية، أبرزها قدرتها على التعامل مع عدد كبير من المتغيرات المتشابكة في آنٍ واحد دون أن يتأثر أداؤها بتعدد هذه المتغيرات أو تداخلها، وقدرتها على اكتشاف العلاقات غير الخطية والمعقدة بين المتغيرات التي تعجز النماذج الخطية التقليدية عن رصدها، فضلاً عن قدرتها على التعلم المستمر وتحسين دقتها بشكل تلقائي كلما تعرضت لمزيد من البيانات الجديدة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ويُسهم هذا </w:t>
      </w:r>
      <w:r w:rsidRPr="00D61485">
        <w:rPr>
          <w:rFonts w:ascii="Simplified Arabic" w:eastAsia="Times New Roman" w:hAnsi="Simplified Arabic" w:cs="Simplified Arabic"/>
          <w:kern w:val="0"/>
          <w:sz w:val="28"/>
          <w:szCs w:val="28"/>
          <w:rtl/>
          <w14:ligatures w14:val="none"/>
        </w:rPr>
        <w:lastRenderedPageBreak/>
        <w:t>التفوق في تمكين المؤسسات من بناء تصورات مستقبلية أكثر دقة وواقعية تُقلل من حالات المفاجأة وتُعزز جاهزية المؤسسة للتعامل مع السيناريوهات المختلفة</w:t>
      </w:r>
      <w:r w:rsidRPr="00D61485">
        <w:rPr>
          <w:rFonts w:ascii="Simplified Arabic" w:eastAsia="Times New Roman" w:hAnsi="Simplified Arabic" w:cs="Simplified Arabic"/>
          <w:kern w:val="0"/>
          <w:sz w:val="28"/>
          <w:szCs w:val="28"/>
          <w14:ligatures w14:val="none"/>
        </w:rPr>
        <w:t>.</w:t>
      </w:r>
    </w:p>
    <w:p w14:paraId="05089021" w14:textId="5F58E4A3"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إلى أن النماذج التنبؤية تلعب دوراً محورياً في إدارة المخاطر المؤسسية، حيث تُمكّن هذه النماذج من تقدير احتمالات وقوع أحداث سلبية معينة وتحديد حجم تأثيرها المتوقع على العمليات التشغيلية والمالية، مما يُتيح للمؤسسة اتخاذ إجراءات وقائية مسبقة تُقلل من تعرضها للمخاطر أو تُخفف من آثارها في حال وقوعها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وتتنوع النماذج التنبؤية المستخدمة في هذا السياق لتشمل نماذج الانحدار المتعدد والشبكات العصبية الاصطناعية وأشجار القرار والغابات العشوائية وآلات المتجهات الداعمة، ويعتمد اختيار النموذج المناسب على طبيعة المشكلة ونوعية البيانات المتاحة ومستوى الدقة المطلوب</w:t>
      </w:r>
      <w:r w:rsidRPr="00D61485">
        <w:rPr>
          <w:rFonts w:ascii="Simplified Arabic" w:eastAsia="Times New Roman" w:hAnsi="Simplified Arabic" w:cs="Simplified Arabic"/>
          <w:kern w:val="0"/>
          <w:sz w:val="28"/>
          <w:szCs w:val="28"/>
          <w14:ligatures w14:val="none"/>
        </w:rPr>
        <w:t>.</w:t>
      </w:r>
    </w:p>
    <w:p w14:paraId="348DFCA8" w14:textId="699C33FA" w:rsidR="00D61485" w:rsidRPr="00D61485"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D61485" w:rsidRPr="00D61485">
        <w:rPr>
          <w:rFonts w:ascii="Simplified Arabic" w:eastAsia="Times New Roman" w:hAnsi="Simplified Arabic" w:cs="Simplified Arabic"/>
          <w:kern w:val="0"/>
          <w:sz w:val="28"/>
          <w:szCs w:val="28"/>
          <w:rtl/>
          <w14:ligatures w14:val="none"/>
        </w:rPr>
        <w:t xml:space="preserve"> أكد</w:t>
      </w:r>
      <w:r w:rsidR="00D61485" w:rsidRPr="00D61485">
        <w:rPr>
          <w:rFonts w:ascii="Simplified Arabic" w:eastAsia="Times New Roman" w:hAnsi="Simplified Arabic" w:cs="Simplified Arabic"/>
          <w:kern w:val="0"/>
          <w:sz w:val="28"/>
          <w:szCs w:val="28"/>
          <w14:ligatures w14:val="none"/>
        </w:rPr>
        <w:t xml:space="preserve"> (Yusuf et al., 2025) </w:t>
      </w:r>
      <w:r w:rsidR="00D61485" w:rsidRPr="00D61485">
        <w:rPr>
          <w:rFonts w:ascii="Simplified Arabic" w:eastAsia="Times New Roman" w:hAnsi="Simplified Arabic" w:cs="Simplified Arabic"/>
          <w:kern w:val="0"/>
          <w:sz w:val="28"/>
          <w:szCs w:val="28"/>
          <w:rtl/>
          <w14:ligatures w14:val="none"/>
        </w:rPr>
        <w:t>على أن فاعلية النماذج التنبؤية لا تتوقف على تطور الخوارزمية المستخدمة فحسب، بل ترتبط ارتباطاً وثيقاً بجودة البيانات التي تُغذيها وبمدى ملاءمة المتغيرات المختارة للظاهرة محل التنبؤ، وهو ما يُبرز الترابط العضوي بين هذا البُعد والبُعد الأول المتعلق بجمع البيانات ومعالجتها</w:t>
      </w:r>
      <w:r>
        <w:rPr>
          <w:rFonts w:ascii="Simplified Arabic" w:eastAsia="Times New Roman" w:hAnsi="Simplified Arabic" w:cs="Simplified Arabic" w:hint="cs"/>
          <w:kern w:val="0"/>
          <w:sz w:val="28"/>
          <w:szCs w:val="28"/>
          <w:rtl/>
          <w14:ligatures w14:val="none"/>
        </w:rPr>
        <w:t>،</w:t>
      </w:r>
      <w:r w:rsidR="00D61485" w:rsidRPr="00D61485">
        <w:rPr>
          <w:rFonts w:ascii="Simplified Arabic" w:eastAsia="Times New Roman" w:hAnsi="Simplified Arabic" w:cs="Simplified Arabic"/>
          <w:kern w:val="0"/>
          <w:sz w:val="28"/>
          <w:szCs w:val="28"/>
          <w:rtl/>
          <w14:ligatures w14:val="none"/>
        </w:rPr>
        <w:t xml:space="preserve"> كما أشار إلى أن النماذج التنبؤية في سلاسل الإمداد والعمليات التشغيلية تشمل تطبيقات واسعة النطاق من بينها التنبؤ بالطلب المستقبلي على الخدمات والمنتجات، والتنبؤ بأعطال المعدات والبنية التحتية قبل حدوثها لإجراء صيانة وقائية، والتنبؤ بتكاليف العمليات وتذبذبات الأسعار، والتنبؤ بسلوك المستفيدين وتفضيلاتهم المستقبلية</w:t>
      </w:r>
      <w:r w:rsidR="00D61485" w:rsidRPr="00D61485">
        <w:rPr>
          <w:rFonts w:ascii="Simplified Arabic" w:eastAsia="Times New Roman" w:hAnsi="Simplified Arabic" w:cs="Simplified Arabic"/>
          <w:kern w:val="0"/>
          <w:sz w:val="28"/>
          <w:szCs w:val="28"/>
          <w14:ligatures w14:val="none"/>
        </w:rPr>
        <w:t>.</w:t>
      </w:r>
    </w:p>
    <w:p w14:paraId="46229B7D" w14:textId="42BFD03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أن النماذج التنبؤية في بيئة العمليات اللوجستية وسلاسل الإمداد تتطلب تحديثاً مستمراً ومعايرة دورية لضمان استمرار دقتها في ظل التغيرات المستمرة في بيئة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فالنموذج التنبؤي الذي بُني على بيانات فترة زمنية معينة قد يفقد دقته إذا تغيرت الظروف المحيطة بشكل جوهري، مما يستوجب آليات مراقبة أداء النموذج وإعادة تدريبه ببيانات محدّثة بشكل دوري. وهذا ما يجعل النماذج التنبؤية عملية مستمرة وليست مشروعاً يُنفّذ مرة واحدة، ويتطلب التزاماً مؤسسياً طويل المدى بتخصيص الموارد اللازمة لصيانتها وتطويرها</w:t>
      </w:r>
      <w:r w:rsidRPr="00D61485">
        <w:rPr>
          <w:rFonts w:ascii="Simplified Arabic" w:eastAsia="Times New Roman" w:hAnsi="Simplified Arabic" w:cs="Simplified Arabic"/>
          <w:kern w:val="0"/>
          <w:sz w:val="28"/>
          <w:szCs w:val="28"/>
          <w14:ligatures w14:val="none"/>
        </w:rPr>
        <w:t>.</w:t>
      </w:r>
    </w:p>
    <w:p w14:paraId="38B3D7D0"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الثالث: الأتمتة الذكية</w:t>
      </w:r>
    </w:p>
    <w:p w14:paraId="666B1263" w14:textId="0E02A53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تُشكّل الأتمتة الذكية البُعد الثالث من أبعاد تقنيات الذكاء الاصطناعي في هذه الدراسة، وتُشير إلى توظيف خوارزميات الذكاء الاصطناعي وتقنيات التعلم الآلي في أتمتة العمليات والمهام المؤسسية بصورة تتجاوز الأتمتة التقليدية القائمة على قواعد ثابتة ومبرمجة مسبقاً</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فبينما تقتصر الأتمتة التقليدية على تنفيذ تعليمات محددة بشكل متكرر دون أي قدرة على التعامل مع الاستثناءات أو التكيف مع المتغيرات، فإن الأتمتة الذكية تمتلك القدرة على التعلم من التجارب السابقة والتكيف مع الظروف المتغيرة واتخاذ قرارات مستقلة ضمن نطاق صلاحياتها </w:t>
      </w:r>
      <w:proofErr w:type="gramStart"/>
      <w:r w:rsidRPr="00D61485">
        <w:rPr>
          <w:rFonts w:ascii="Simplified Arabic" w:eastAsia="Times New Roman" w:hAnsi="Simplified Arabic" w:cs="Simplified Arabic"/>
          <w:kern w:val="0"/>
          <w:sz w:val="28"/>
          <w:szCs w:val="28"/>
          <w:rtl/>
          <w14:ligatures w14:val="none"/>
        </w:rPr>
        <w:t>المحددة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w:t>
      </w:r>
      <w:proofErr w:type="gramEnd"/>
      <w:r w:rsidRPr="00D61485">
        <w:rPr>
          <w:rFonts w:ascii="Simplified Arabic" w:eastAsia="Times New Roman" w:hAnsi="Simplified Arabic" w:cs="Simplified Arabic"/>
          <w:kern w:val="0"/>
          <w:sz w:val="28"/>
          <w:szCs w:val="28"/>
          <w:rtl/>
          <w14:ligatures w14:val="none"/>
        </w:rPr>
        <w:t xml:space="preserve"> الأتمتة الذكية أهمية خاصة في المؤسسات الحكومية الكبرى التي تتعامل يومياً مع حجم هائل من المعاملات والإجراءات الروتينية التي تستهلك طاقات بشرية كبيرة يمكن توجيهها نحو مهام أكثر قيمةً وإبداعاً</w:t>
      </w:r>
      <w:r w:rsidRPr="00D61485">
        <w:rPr>
          <w:rFonts w:ascii="Simplified Arabic" w:eastAsia="Times New Roman" w:hAnsi="Simplified Arabic" w:cs="Simplified Arabic"/>
          <w:kern w:val="0"/>
          <w:sz w:val="28"/>
          <w:szCs w:val="28"/>
          <w14:ligatures w14:val="none"/>
        </w:rPr>
        <w:t>.</w:t>
      </w:r>
    </w:p>
    <w:p w14:paraId="34AD5946" w14:textId="6F60F2D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أن الأتمتة الذكية تُمثل نقلة نوعية في أسلوب إدارة العمليات المؤسسية، حيث تنتقل المؤسسة من نموذج يعتمد بشكل كبير على التدخل البشري اليدوي في كل مرحلة من مراحل العملية إلى نموذج تتولى فيه الأنظمة الذكية تنفيذ الجزء الأكبر من المهام الروتينية والمتكررة، بينما يتفرغ العنصر البشري للمهام التي تتطلب حكماً شخصياً وتفكيراً إبداعياً وتفاعلاً إنسانياً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وأشار إلى أن هذا التحول لا يقتصر على أتمتة المهام البسيطة كإدخال البيانات وتوجيه المعاملات، بل يمتد ليشمل عمليات أكثر تعقيداً كمراجعة المستندات واستخلاص المعلومات منها واتخاذ قرارات تصنيفية بناءً على معايير متعددة</w:t>
      </w:r>
      <w:r w:rsidRPr="00D61485">
        <w:rPr>
          <w:rFonts w:ascii="Simplified Arabic" w:eastAsia="Times New Roman" w:hAnsi="Simplified Arabic" w:cs="Simplified Arabic"/>
          <w:kern w:val="0"/>
          <w:sz w:val="28"/>
          <w:szCs w:val="28"/>
          <w14:ligatures w14:val="none"/>
        </w:rPr>
        <w:t>.</w:t>
      </w:r>
    </w:p>
    <w:p w14:paraId="7946AF30" w14:textId="1DBE822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على أن الأتمتة الذكية في سلاسل الإمداد تتضمن طيفاً واسعاً من التطبيقات، من أبرزها أتمتة عمليات الشراء والتوريد من خلال أنظمة تُراقب مستويات المخزون وتُصدر أوامر شراء تلقائية عند الوصول إلى نقطة إعادة الطلب، وأتمتة عمليات فرز المعاملات وتوجيهها إلى الجهات المختصة بناءً على تحليل محتواها وتصنيفها، وأتمتة عمليات إعداد التقارير الدورية واستخلاص المؤشرات الرئيسة من البيانات التشغيلية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نجاح الأتمتة الذكية يتطلب تصميماً دقيقاً للعمليات المراد </w:t>
      </w:r>
      <w:proofErr w:type="spellStart"/>
      <w:r w:rsidRPr="00D61485">
        <w:rPr>
          <w:rFonts w:ascii="Simplified Arabic" w:eastAsia="Times New Roman" w:hAnsi="Simplified Arabic" w:cs="Simplified Arabic"/>
          <w:kern w:val="0"/>
          <w:sz w:val="28"/>
          <w:szCs w:val="28"/>
          <w:rtl/>
          <w14:ligatures w14:val="none"/>
        </w:rPr>
        <w:t>أتمتتها</w:t>
      </w:r>
      <w:proofErr w:type="spellEnd"/>
      <w:r w:rsidRPr="00D61485">
        <w:rPr>
          <w:rFonts w:ascii="Simplified Arabic" w:eastAsia="Times New Roman" w:hAnsi="Simplified Arabic" w:cs="Simplified Arabic"/>
          <w:kern w:val="0"/>
          <w:sz w:val="28"/>
          <w:szCs w:val="28"/>
          <w:rtl/>
          <w14:ligatures w14:val="none"/>
        </w:rPr>
        <w:t>، يشمل تحديد المهام القابلة للأتمتة وتلك التي ينبغي أن تظل تحت الإشراف البشري، وتحديد نقاط التدخل البشري والمراجعة، ووضع آليات واضحة للتعامل مع الحالات الاستثنائية التي تخرج عن نطاق قدرات النظام</w:t>
      </w:r>
      <w:r w:rsidRPr="00D61485">
        <w:rPr>
          <w:rFonts w:ascii="Simplified Arabic" w:eastAsia="Times New Roman" w:hAnsi="Simplified Arabic" w:cs="Simplified Arabic"/>
          <w:kern w:val="0"/>
          <w:sz w:val="28"/>
          <w:szCs w:val="28"/>
          <w14:ligatures w14:val="none"/>
        </w:rPr>
        <w:t>.</w:t>
      </w:r>
    </w:p>
    <w:p w14:paraId="27BBBFB2" w14:textId="52F24A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ويُضيف</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أن الأتمتة الذكية في بيئة العمليات اللوجستية تُسهم في تحقيق مكاسب جوهرية تتمثل في تقليص زمن تنفيذ العمليات بنسب كبيرة مقارنة بالتنفيذ اليدوي، وخفض معدلات الخطأ الناتج عن العامل البشري كأخطاء الإدخال والتصنيف والحساب، وتحقيق مستوى عالٍ من الاتساق في جودة المخرجات بصرف النظر عن حجم العمل أو ظروف التشغيل، فضلاً عن إتاحة العمل على مدار الساعة دون انقطاع وهو ما يعجز عنه العنصر البشري</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المكاسب تتعاظم قيمتها في المؤسسات التي تتعامل مع حجم كبير من المعاملات المتشابهة والمتكررة، وهو ما ينطبق على كثير من المؤسسات الحكومية الكبرى التي تُعالج يومياً آلاف الطلبات والمعاملات</w:t>
      </w:r>
      <w:r w:rsidRPr="00D61485">
        <w:rPr>
          <w:rFonts w:ascii="Simplified Arabic" w:eastAsia="Times New Roman" w:hAnsi="Simplified Arabic" w:cs="Simplified Arabic"/>
          <w:kern w:val="0"/>
          <w:sz w:val="28"/>
          <w:szCs w:val="28"/>
          <w14:ligatures w14:val="none"/>
        </w:rPr>
        <w:t>.</w:t>
      </w:r>
    </w:p>
    <w:p w14:paraId="68B5E1DC" w14:textId="2813158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(Helo &amp; Hao, 2022) </w:t>
      </w:r>
      <w:r w:rsidRPr="00D61485">
        <w:rPr>
          <w:rFonts w:ascii="Simplified Arabic" w:eastAsia="Times New Roman" w:hAnsi="Simplified Arabic" w:cs="Simplified Arabic"/>
          <w:kern w:val="0"/>
          <w:sz w:val="28"/>
          <w:szCs w:val="28"/>
          <w:rtl/>
          <w14:ligatures w14:val="none"/>
        </w:rPr>
        <w:t>إلى أن الأتمتة الذكية لا تعني الاستغناء عن العنصر البشري، بل تعني إعادة تعريف دوره في المنظومة المؤسسية، حيث ينتقل من دور المُنفّذ للمهام الروتينية إلى دور المُشرف والمُوجّه والمُبتكر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وهذا التحول يستوجب برامج تأهيل وتطوير للموارد البشرية تُمكّنها من التعامل مع الأنظمة الذكية والإشراف عليها واستثمار مخرجاتها، وهو ما يُحقق التكامل بين القدرات البشرية والقدرات الآلية بدلاً من التنافس بينهما</w:t>
      </w:r>
      <w:r w:rsidRPr="00D61485">
        <w:rPr>
          <w:rFonts w:ascii="Simplified Arabic" w:eastAsia="Times New Roman" w:hAnsi="Simplified Arabic" w:cs="Simplified Arabic"/>
          <w:kern w:val="0"/>
          <w:sz w:val="28"/>
          <w:szCs w:val="28"/>
          <w14:ligatures w14:val="none"/>
        </w:rPr>
        <w:t>.</w:t>
      </w:r>
    </w:p>
    <w:p w14:paraId="24A698BA"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الرابع: أنظمة دعم القرار</w:t>
      </w:r>
    </w:p>
    <w:p w14:paraId="263DEF50" w14:textId="7239413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أنظمة دعم القرار المدعومة بالذكاء الاصطناعي البُعد الرابع والأخير من أبعاد تقنيات الذكاء الاصطناعي في هذه الدراسة، وتُشير إلى المنظومات التقنية المتكاملة التي تستثمر مخرجات الأبعاد الثلاثة السابقة، أي البيانات المُعالَجة والتنبؤات المُولَّدة والعمليات المُؤتمتة، في تقديم تحليلات ورؤى وتوصيات شاملة لصانعي القرار على مختلف المستويات الإدارية، بما يُمكّنهم من اتخاذ قرارات أكثر استنارةً ودقةً وسرعةً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وتتميز هذه الأنظمة عن أنظمة المعلومات التقليدية بقدرتها على تقديم تحليلات سياقية تراعي الظروف المحيطة بالقرار ومحاكاة نتائج البدائل المختلفة قبل اتخاذها، مما يُقلل من حالات عدم اليقين ويُعزز ثقة صانع القرار في خياراته</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وتبرز أهمية هذا البُعد بشكل خاص في المؤسسات الحكومية الكبرى حيث تتسم القرارات بتأثيرها الواسع على شرائح كبيرة من المستفيدين، وتتداخل فيها اعتبارات متعددة تتجاوز البُعد الاقتصادي لتشمل أبعاداً اجتماعية وتنموية وسياسية</w:t>
      </w:r>
      <w:r w:rsidRPr="00D61485">
        <w:rPr>
          <w:rFonts w:ascii="Simplified Arabic" w:eastAsia="Times New Roman" w:hAnsi="Simplified Arabic" w:cs="Simplified Arabic"/>
          <w:kern w:val="0"/>
          <w:sz w:val="28"/>
          <w:szCs w:val="28"/>
          <w14:ligatures w14:val="none"/>
        </w:rPr>
        <w:t>.</w:t>
      </w:r>
    </w:p>
    <w:p w14:paraId="31129E70" w14:textId="696399D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 xml:space="preserve">أن أنظمة دعم القرار المدعومة بالذكاء الاصطناعي تعمل وفق منهجية متكاملة تبدأ بتجميع البيانات ذات الصلة بالقرار المطروح من مصادرها المتعددة، ثم </w:t>
      </w:r>
      <w:r w:rsidRPr="00D61485">
        <w:rPr>
          <w:rFonts w:ascii="Simplified Arabic" w:eastAsia="Times New Roman" w:hAnsi="Simplified Arabic" w:cs="Simplified Arabic"/>
          <w:kern w:val="0"/>
          <w:sz w:val="28"/>
          <w:szCs w:val="28"/>
          <w:rtl/>
          <w14:ligatures w14:val="none"/>
        </w:rPr>
        <w:lastRenderedPageBreak/>
        <w:t>تحليلها باستخدام خوارزميات متقدمة تكشف العلاقات والأنماط والاتجاهات، ثم توليد سيناريوهات بديلة مع تقدير احتمالية كل سيناريو ونتائجه المتوقعة، وأخيراً تقديم توصيات مُرتّبة وفق معايير محددة يُقرّها صانع القرار مسبقاً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المنهجية تُحقق نقلة نوعية في جودة القرارات المؤسسية، لأنها تستند إلى تحليل شامل ومنهجي لجميع المعطيات المتاحة بدلاً من الاعتماد على خبرة محدودة أو معلومات جزئية</w:t>
      </w:r>
      <w:r w:rsidRPr="00D61485">
        <w:rPr>
          <w:rFonts w:ascii="Simplified Arabic" w:eastAsia="Times New Roman" w:hAnsi="Simplified Arabic" w:cs="Simplified Arabic"/>
          <w:kern w:val="0"/>
          <w:sz w:val="28"/>
          <w:szCs w:val="28"/>
          <w14:ligatures w14:val="none"/>
        </w:rPr>
        <w:t>.</w:t>
      </w:r>
    </w:p>
    <w:p w14:paraId="32550861" w14:textId="20E0F315"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أنظمة دعم القرار المدعومة بالذكاء الاصطناعي تتميز بقدرتها على العمل في بيئات عالية التعقيد تتشابك فيها عشرات المتغيرات وتتعارض فيها الأهداف، وهو ما يميزها عن أنظمة دعم القرار التقليدية التي تعمل بكفاءة في بيئات مستقرة ومحدودة المتغيرات فقط</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وأوضح أن هذه الأنظمة تتيح لصانعي القرار في القطاع المالي وسلاسل الإمداد إجراء تحليلات "ماذا لو" المتقدمة التي تُحاكي تأثير القرارات المحتملة على مختلف جوانب الأداء المؤسسي قبل تنفيذها فعلياً، مما يُقلل من مخاطر اتخاذ قرارات خاطئة ذات تبعات مكلفة</w:t>
      </w:r>
      <w:r w:rsidRPr="00D61485">
        <w:rPr>
          <w:rFonts w:ascii="Simplified Arabic" w:eastAsia="Times New Roman" w:hAnsi="Simplified Arabic" w:cs="Simplified Arabic"/>
          <w:kern w:val="0"/>
          <w:sz w:val="28"/>
          <w:szCs w:val="28"/>
          <w14:ligatures w14:val="none"/>
        </w:rPr>
        <w:t>.</w:t>
      </w:r>
    </w:p>
    <w:p w14:paraId="032F34FA" w14:textId="623119CB"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أن أنظمة دعم القرار المدعومة بالذكاء الاصطناعي في سلاسل الإمداد تعمل على عدة مستويات تتدرج من المستوى التشغيلي الذي يدعم القرارات اليومية الروتينية كقرارات التخصيص والجدولة والتوجيه، مروراً بالمستوى التكتيكي الذي يدعم القرارات متوسطة المدى كقرارات التخطيط للموارد وإدارة المخزون واختيار الموردين، وصولاً إلى المستوى الاستراتيجي الذي يدعم القرارات بعيدة المدى كقرارات التوسع وتصميم شبكة الإمداد والتحالفات الاستراتيجية</w:t>
      </w:r>
      <w:r w:rsidR="00A5503B">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ويتطلب كل مستوى نوعية مختلفة من البيانات والتحليلات والنماذج، مما يستوجب تصميم منظومة دعم قرار متعددة الطبقات تُلبي احتياجات صانعي القرار على المستويات كافة</w:t>
      </w:r>
      <w:r w:rsidRPr="00D61485">
        <w:rPr>
          <w:rFonts w:ascii="Simplified Arabic" w:eastAsia="Times New Roman" w:hAnsi="Simplified Arabic" w:cs="Simplified Arabic"/>
          <w:kern w:val="0"/>
          <w:sz w:val="28"/>
          <w:szCs w:val="28"/>
          <w14:ligatures w14:val="none"/>
        </w:rPr>
        <w:t>.</w:t>
      </w:r>
    </w:p>
    <w:p w14:paraId="45101617" w14:textId="60F16E1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إلى أن فاعلية أنظمة دعم القرار في البيئة المؤسسية لا تتوقف على تطورها التقني فحسب، بل ترتبط ارتباطاً وثيقاً بمدى قبول صانعي القرار لها وثقتهم في مخرجاتها واستعدادهم للاستناد إليها في قراراتهم</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يستوجب تصميم واجهات استخدام بديهية وسهلة الفهم تُقدم المعلومات والتوصيات بصورة واضحة وموجزة، مع إتاحة إمكانية الاطلاع على التفاصيل والمبررات التحليلية لمن يرغب في ذلك</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كما يتطلب بناء الثقة في هذه الأنظمة شفافية في آلية عملها بحيث يستطيع صانع القرار فهم كيف وصل النظام إلى توصياته، وهو ما يُعرف في أدبيات الذكاء الاصطناعي بمبدأ </w:t>
      </w:r>
      <w:r w:rsidRPr="00D61485">
        <w:rPr>
          <w:rFonts w:ascii="Simplified Arabic" w:eastAsia="Times New Roman" w:hAnsi="Simplified Arabic" w:cs="Simplified Arabic"/>
          <w:kern w:val="0"/>
          <w:sz w:val="28"/>
          <w:szCs w:val="28"/>
          <w:rtl/>
          <w14:ligatures w14:val="none"/>
        </w:rPr>
        <w:lastRenderedPageBreak/>
        <w:t>"قابلية التفسير" الذي يكتسب أهمية خاصة في المؤسسات الحكومية حيث تخضع القرارات للمساءلة العامة والرقابة المؤسسية</w:t>
      </w:r>
      <w:r w:rsidRPr="00D61485">
        <w:rPr>
          <w:rFonts w:ascii="Simplified Arabic" w:eastAsia="Times New Roman" w:hAnsi="Simplified Arabic" w:cs="Simplified Arabic"/>
          <w:kern w:val="0"/>
          <w:sz w:val="28"/>
          <w:szCs w:val="28"/>
          <w14:ligatures w14:val="none"/>
        </w:rPr>
        <w:t>.</w:t>
      </w:r>
    </w:p>
    <w:p w14:paraId="152C3DD6" w14:textId="77777777" w:rsid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ويتضح من استعراض هذه الأبعاد الأربعة أنها تعمل بشكل تكاملي وتتابعي يُشبه سلسلة القيمة المعلوماتية، حيث يُغذي كل بُعد البُعد الذي يليه ويعتمد على مخرجات البُعد الذي يسبقه. فجمع البيانات ومعالجتها يُوفر المادة الخام التي تتغذى عليها النماذج التنبؤية، والنماذج التنبؤية تُولّد التوقعات التي تُوجّه عمليات الأتمتة الذكية، وجميعها تصب في منظومة دعم القرار التي تُقدم الصورة المتكاملة لصانع القرار. وأي ضعف في أي بُعد من هذه الأبعاد ينعكس سلباً على فاعلية الأبعاد الأخرى والمنظومة ككل، مما يؤكد ضرورة التعامل معها بوصفها منظومة متكاملة وليست مكونات منفصلة</w:t>
      </w:r>
      <w:r w:rsidRPr="00D61485">
        <w:rPr>
          <w:rFonts w:ascii="Simplified Arabic" w:eastAsia="Times New Roman" w:hAnsi="Simplified Arabic" w:cs="Simplified Arabic"/>
          <w:kern w:val="0"/>
          <w:sz w:val="28"/>
          <w:szCs w:val="28"/>
          <w14:ligatures w14:val="none"/>
        </w:rPr>
        <w:t>.</w:t>
      </w:r>
    </w:p>
    <w:p w14:paraId="32E249D3" w14:textId="77777777"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D4D05">
        <w:rPr>
          <w:rFonts w:ascii="Simplified Arabic" w:eastAsia="Times New Roman" w:hAnsi="Simplified Arabic" w:cs="Simplified Arabic"/>
          <w:b/>
          <w:bCs/>
          <w:kern w:val="0"/>
          <w:sz w:val="28"/>
          <w:szCs w:val="28"/>
          <w:rtl/>
          <w14:ligatures w14:val="none"/>
        </w:rPr>
        <w:t>سابعاً: الذكاء الاصطناعي ورؤية المملكة العربية السعودية 2030</w:t>
      </w:r>
    </w:p>
    <w:p w14:paraId="32A37CB3"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تحتل تقنيات الذكاء الاصطناعي موقعاً محورياً في رؤية المملكة العربية السعودية 2030، إذ لا يُنظر إليها باعتبارها أداة تقنية مساندة فحسب، بل ركيزة استراتيجية جوهرية لتحقيق التحول الاقتصادي الشامل والانتقال من نموذج الاعتماد على الريع النفطي إلى اقتصاد معرفي متنوع ومستدام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وقد أشار (حسن وآخرون، 2024) إلى أنّ الذكاء الاصطناعي يُسهم في تحسين كفاءة استخدام الموارد الحكومية وتقديم خدمات عالية الجودة بزمن أقل وتكلفة أدنى، وهو ما ينسجم تماماً مع التوجه الوطني نحو رفع الإنتاجية وتعظيم القيمة المضافة في جميع القطاعات الحكومية. </w:t>
      </w:r>
    </w:p>
    <w:p w14:paraId="6F4022E8" w14:textId="198C339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ولترجمة هذا التوجه إلى واقع مؤسسي، أنشأت المملكة عام 2019 الهيئة السعودية للبيانات والذكاء الاصطناعي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بوصفها الجهة الوطنية المرجعية المسؤولة عن قيادة ملف البيانات والذكاء الاصطناعي على المستوى الوطني، ووضع الاستراتيجيات والسياسات والمعايير والأطر التنظيمية التي تحكم استخدام هذه التقنيات في المؤسسات الحكومية والخاصة على حدٍّ سواء</w:t>
      </w:r>
      <w:r w:rsidRPr="00CD4D05">
        <w:rPr>
          <w:rFonts w:ascii="Simplified Arabic" w:eastAsia="Times New Roman" w:hAnsi="Simplified Arabic" w:cs="Simplified Arabic"/>
          <w:kern w:val="0"/>
          <w:sz w:val="28"/>
          <w:szCs w:val="28"/>
          <w14:ligatures w14:val="none"/>
        </w:rPr>
        <w:t>.</w:t>
      </w:r>
    </w:p>
    <w:p w14:paraId="0A880CBB" w14:textId="72B595E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أوضح (مرعي، 2024) أن تطبيق الذكاء الاصطناعي في المؤسسات الحكومية الكبرى لا يقتصر على اقتناء البرمجيات والأنظمة التقنية، بل يستلزم إعادة تصميم العمليات التشغيلية جذرياً، وتطوير الكوادر البشرية وتزويدها بالمهارات الرقمية اللازمة، وبناء ثقافة مؤسسية منفتحة على التجريب والابتكار، فضلاً عن وضع أطر تنظيمية صارمة لحماية البيانات وضمان الخصوصية والاستخدام الأخلاقي للتقنية</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lastRenderedPageBreak/>
        <w:t>و</w:t>
      </w:r>
      <w:r w:rsidRPr="00CD4D05">
        <w:rPr>
          <w:rFonts w:ascii="Simplified Arabic" w:eastAsia="Times New Roman" w:hAnsi="Simplified Arabic" w:cs="Simplified Arabic"/>
          <w:kern w:val="0"/>
          <w:sz w:val="28"/>
          <w:szCs w:val="28"/>
          <w:rtl/>
          <w14:ligatures w14:val="none"/>
        </w:rPr>
        <w:t xml:space="preserve">أصدرت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xml:space="preserve"> عدداً من الوثائق التوجيهية والأدلة الإرشادية لاستخدام الذكاء الاصطناعي التوليدي في القطاع الحكومي، بما يوفر إطاراً </w:t>
      </w:r>
      <w:proofErr w:type="spellStart"/>
      <w:r w:rsidRPr="00CD4D05">
        <w:rPr>
          <w:rFonts w:ascii="Simplified Arabic" w:eastAsia="Times New Roman" w:hAnsi="Simplified Arabic" w:cs="Simplified Arabic"/>
          <w:kern w:val="0"/>
          <w:sz w:val="28"/>
          <w:szCs w:val="28"/>
          <w:rtl/>
          <w14:ligatures w14:val="none"/>
        </w:rPr>
        <w:t>حوكمياً</w:t>
      </w:r>
      <w:proofErr w:type="spellEnd"/>
      <w:r w:rsidRPr="00CD4D05">
        <w:rPr>
          <w:rFonts w:ascii="Simplified Arabic" w:eastAsia="Times New Roman" w:hAnsi="Simplified Arabic" w:cs="Simplified Arabic"/>
          <w:kern w:val="0"/>
          <w:sz w:val="28"/>
          <w:szCs w:val="28"/>
          <w:rtl/>
          <w14:ligatures w14:val="none"/>
        </w:rPr>
        <w:t xml:space="preserve"> واضحاً يضمن التوازن بين تسريع التبني وضبط المخاطر المرتبطة بخصوصية البيانات والتحيز الخوارزمي</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أكد (الصفار، 2024) أنّ تقنيات الذكاء الاصطناعي تُوظَّف فعلياً في تحليل بيانات المستفيدين، وتخصيص الخدمات وفقاً لاحتياجاتهم، وأتمتة الإجراءات الإدارية الروتينية وتخفيف الأعباء البيروقراطية، وهو ما يدعم بشكل مباشر محور "حكومة فاعلة" الذي يُعَدّ أحد المحاور الرئيسة لرؤية 2030</w:t>
      </w:r>
      <w:r w:rsidRPr="00CD4D05">
        <w:rPr>
          <w:rFonts w:ascii="Simplified Arabic" w:eastAsia="Times New Roman" w:hAnsi="Simplified Arabic" w:cs="Simplified Arabic"/>
          <w:kern w:val="0"/>
          <w:sz w:val="28"/>
          <w:szCs w:val="28"/>
          <w14:ligatures w14:val="none"/>
        </w:rPr>
        <w:t>.</w:t>
      </w:r>
    </w:p>
    <w:p w14:paraId="2654302D"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 xml:space="preserve">لم يعد الذكاء الاصطناعي في المملكة العربية السعودية مجرد مشروعات تجريبية أو مبادرات محدودة النطاق، بل انتقل إلى مرحلة النضج المؤسسي والتطبيق الواسع النطاق، وهو ما تؤكده المؤشرات الدولية والمحلية على حدٍّ </w:t>
      </w:r>
      <w:proofErr w:type="gramStart"/>
      <w:r w:rsidRPr="00CD4D05">
        <w:rPr>
          <w:rFonts w:ascii="Simplified Arabic" w:eastAsia="Times New Roman" w:hAnsi="Simplified Arabic" w:cs="Simplified Arabic"/>
          <w:kern w:val="0"/>
          <w:sz w:val="28"/>
          <w:szCs w:val="28"/>
          <w:rtl/>
          <w14:ligatures w14:val="none"/>
        </w:rPr>
        <w:t>سواء</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w:t>
      </w:r>
      <w:proofErr w:type="gramEnd"/>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ف</w:t>
      </w:r>
      <w:r w:rsidRPr="00CD4D05">
        <w:rPr>
          <w:rFonts w:ascii="Simplified Arabic" w:eastAsia="Times New Roman" w:hAnsi="Simplified Arabic" w:cs="Simplified Arabic"/>
          <w:kern w:val="0"/>
          <w:sz w:val="28"/>
          <w:szCs w:val="28"/>
          <w:rtl/>
          <w14:ligatures w14:val="none"/>
        </w:rPr>
        <w:t xml:space="preserve">حققت المملكة المرتبة الخامسة عالمياً والأولى عربياً في مؤشر الذكاء الاصطناعي العالمي لعام 2025، بعد أن كانت في المرتبة الرابعة عشرة عالمياً في مؤشر عام 2024، مما يعكس تسارعاً ملحوظاً في وتيرة التبني والتطوير. </w:t>
      </w:r>
    </w:p>
    <w:p w14:paraId="2C8FBFE4" w14:textId="6DDD1DD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أشار تقرير ستانفورد لمؤشر الذكاء الاصطناعي لعام 2025 إلى أنّ المملكة تحتل المرتبة الثالثة عالمياً من حيث النماذج المتميزة للذكاء الاصطناعي، إلى جانب الولايات المتحدة والصين، وهو مؤشر بالغ الدلالة على القفزة النوعية التي حققتها المملكة في هذا المجال خلال سنوات قليلة</w:t>
      </w:r>
      <w:r w:rsidR="00A5503B">
        <w:rPr>
          <w:rFonts w:ascii="Simplified Arabic" w:eastAsia="Times New Roman" w:hAnsi="Simplified Arabic" w:cs="Simplified Arabic" w:hint="cs"/>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كما حققت المملكة المرتبة الحادية عشرة عالمياً والأولى إقليمياً في مؤشر سلامة الذكاء الاصطناعي العالمي، مما يدل على أن التقدم التقني يسير بالتوازي مع بناء أطر حوكمة وأمان متينة</w:t>
      </w:r>
      <w:r w:rsidRPr="00CD4D05">
        <w:rPr>
          <w:rFonts w:ascii="Simplified Arabic" w:eastAsia="Times New Roman" w:hAnsi="Simplified Arabic" w:cs="Simplified Arabic"/>
          <w:kern w:val="0"/>
          <w:sz w:val="28"/>
          <w:szCs w:val="28"/>
          <w14:ligatures w14:val="none"/>
        </w:rPr>
        <w:t>.</w:t>
      </w:r>
    </w:p>
    <w:p w14:paraId="430EB281"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 xml:space="preserve">ومن أبرز المنجزات التطبيقية التي تعكس مرحلة النضج هذه، قيام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xml:space="preserve"> بتطوير وإطلاق منظومة من التطبيقات الذكية التي أصبحت جزءاً لا يتجزأ من الحياة اليومية للمواطن والمقيم. ويأتي في مقدمتها تطبيق "توكلنا" الذي بدأ كمنصة لإدارة التصاريح خلال جائحة كوفيد-19، ثم تطوّر ليصبح منصة حكومية شاملة تدمج خدمات متعددة من جهات حكومية مختلفة في واجهة واحدة، حيث يجري حالياً دمج خدمات منصة "أبشر" فيه لتوفير تجربة خدمة موحدة ومتكاملة للمستخدم.</w:t>
      </w:r>
    </w:p>
    <w:p w14:paraId="21C147C0" w14:textId="56CE4A8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 xml:space="preserve"> وقد حقق هذا التطبيق المتكامل درجة 90.39</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 xml:space="preserve">في مؤشر نضج تجربة المستخدم لعام 2024، وهو ما يعكس مستوى عالياً من التطور في تصميم الخدمات الرقمية المدعومة بالذكاء الاصطناعي. كذلك أطلقت </w:t>
      </w:r>
      <w:proofErr w:type="spellStart"/>
      <w:r w:rsidRPr="00CD4D05">
        <w:rPr>
          <w:rFonts w:ascii="Simplified Arabic" w:eastAsia="Times New Roman" w:hAnsi="Simplified Arabic" w:cs="Simplified Arabic"/>
          <w:kern w:val="0"/>
          <w:sz w:val="28"/>
          <w:szCs w:val="28"/>
          <w:rtl/>
          <w14:ligatures w14:val="none"/>
        </w:rPr>
        <w:lastRenderedPageBreak/>
        <w:t>سدايا</w:t>
      </w:r>
      <w:proofErr w:type="spellEnd"/>
      <w:r w:rsidRPr="00CD4D05">
        <w:rPr>
          <w:rFonts w:ascii="Simplified Arabic" w:eastAsia="Times New Roman" w:hAnsi="Simplified Arabic" w:cs="Simplified Arabic"/>
          <w:kern w:val="0"/>
          <w:sz w:val="28"/>
          <w:szCs w:val="28"/>
          <w:rtl/>
          <w14:ligatures w14:val="none"/>
        </w:rPr>
        <w:t xml:space="preserve"> تطبيقات أخرى مثل "إحسان" و"نفاذ"، وكل منها يوظف تقنيات الذكاء الاصطناعي في مجاله لتعزيز كفاءة الخدمة وتحسين تجربة المستفيد</w:t>
      </w:r>
      <w:r w:rsidRPr="00CD4D05">
        <w:rPr>
          <w:rFonts w:ascii="Simplified Arabic" w:eastAsia="Times New Roman" w:hAnsi="Simplified Arabic" w:cs="Simplified Arabic"/>
          <w:kern w:val="0"/>
          <w:sz w:val="28"/>
          <w:szCs w:val="28"/>
          <w14:ligatures w14:val="none"/>
        </w:rPr>
        <w:t>.</w:t>
      </w:r>
    </w:p>
    <w:p w14:paraId="0EEA53E4" w14:textId="4F294713" w:rsidR="00CD4D05" w:rsidRPr="00CD4D05" w:rsidRDefault="00A5503B"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CD4D05" w:rsidRPr="00CD4D05">
        <w:rPr>
          <w:rFonts w:ascii="Simplified Arabic" w:eastAsia="Times New Roman" w:hAnsi="Simplified Arabic" w:cs="Simplified Arabic"/>
          <w:kern w:val="0"/>
          <w:sz w:val="28"/>
          <w:szCs w:val="28"/>
          <w:rtl/>
          <w14:ligatures w14:val="none"/>
        </w:rPr>
        <w:t xml:space="preserve"> أطلقت </w:t>
      </w:r>
      <w:proofErr w:type="spellStart"/>
      <w:r w:rsidR="00CD4D05" w:rsidRPr="00CD4D05">
        <w:rPr>
          <w:rFonts w:ascii="Simplified Arabic" w:eastAsia="Times New Roman" w:hAnsi="Simplified Arabic" w:cs="Simplified Arabic"/>
          <w:kern w:val="0"/>
          <w:sz w:val="28"/>
          <w:szCs w:val="28"/>
          <w:rtl/>
          <w14:ligatures w14:val="none"/>
        </w:rPr>
        <w:t>سدايا</w:t>
      </w:r>
      <w:proofErr w:type="spellEnd"/>
      <w:r w:rsidR="00CD4D05" w:rsidRPr="00CD4D05">
        <w:rPr>
          <w:rFonts w:ascii="Simplified Arabic" w:eastAsia="Times New Roman" w:hAnsi="Simplified Arabic" w:cs="Simplified Arabic"/>
          <w:kern w:val="0"/>
          <w:sz w:val="28"/>
          <w:szCs w:val="28"/>
          <w:rtl/>
          <w14:ligatures w14:val="none"/>
        </w:rPr>
        <w:t xml:space="preserve"> برنامج "سُمَاي" (المليون سعودي في الذكاء الاصطناعي) لتأهيل كوادر وطنية متخصصة، إضافةً إلى معسكرات تدريبية مكثفة</w:t>
      </w:r>
      <w:r w:rsidR="00CD4D05" w:rsidRPr="00CD4D05">
        <w:rPr>
          <w:rFonts w:ascii="Simplified Arabic" w:eastAsia="Times New Roman" w:hAnsi="Simplified Arabic" w:cs="Simplified Arabic"/>
          <w:kern w:val="0"/>
          <w:sz w:val="28"/>
          <w:szCs w:val="28"/>
          <w14:ligatures w14:val="none"/>
        </w:rPr>
        <w:t xml:space="preserve"> (Bootcamps) </w:t>
      </w:r>
      <w:r w:rsidR="00CD4D05" w:rsidRPr="00CD4D05">
        <w:rPr>
          <w:rFonts w:ascii="Simplified Arabic" w:eastAsia="Times New Roman" w:hAnsi="Simplified Arabic" w:cs="Simplified Arabic"/>
          <w:kern w:val="0"/>
          <w:sz w:val="28"/>
          <w:szCs w:val="28"/>
          <w:rtl/>
          <w14:ligatures w14:val="none"/>
        </w:rPr>
        <w:t>موجهة لموظفي القطاع الحكومي لتمكينهم من توظيف أدوات الذكاء الاصطناعي في أعمالهم اليومية</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14:ligatures w14:val="none"/>
        </w:rPr>
        <w:t xml:space="preserve"> </w:t>
      </w:r>
      <w:r w:rsidR="00CD4D05" w:rsidRPr="00CD4D05">
        <w:rPr>
          <w:rFonts w:ascii="Simplified Arabic" w:eastAsia="Times New Roman" w:hAnsi="Simplified Arabic" w:cs="Simplified Arabic"/>
          <w:kern w:val="0"/>
          <w:sz w:val="28"/>
          <w:szCs w:val="28"/>
          <w:rtl/>
          <w14:ligatures w14:val="none"/>
        </w:rPr>
        <w:t>كما نظمت المملكة ثلاث قمم عالمية للذكاء الاصطناعي منذ عام 2020 استقطبت أكثر من مئة ألف مشارك من مختلف أنحاء العالم، مما يعكس مكانة المملكة المتنامية كمركز إقليمي ودولي لصناعة الذكاء الاصطناعي</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rtl/>
          <w14:ligatures w14:val="none"/>
        </w:rPr>
        <w:t xml:space="preserve"> وقد أعلنت </w:t>
      </w:r>
      <w:proofErr w:type="spellStart"/>
      <w:r w:rsidR="00CD4D05" w:rsidRPr="00CD4D05">
        <w:rPr>
          <w:rFonts w:ascii="Simplified Arabic" w:eastAsia="Times New Roman" w:hAnsi="Simplified Arabic" w:cs="Simplified Arabic"/>
          <w:kern w:val="0"/>
          <w:sz w:val="28"/>
          <w:szCs w:val="28"/>
          <w:rtl/>
          <w14:ligatures w14:val="none"/>
        </w:rPr>
        <w:t>سدايا</w:t>
      </w:r>
      <w:proofErr w:type="spellEnd"/>
      <w:r w:rsidR="00CD4D05" w:rsidRPr="00CD4D05">
        <w:rPr>
          <w:rFonts w:ascii="Simplified Arabic" w:eastAsia="Times New Roman" w:hAnsi="Simplified Arabic" w:cs="Simplified Arabic"/>
          <w:kern w:val="0"/>
          <w:sz w:val="28"/>
          <w:szCs w:val="28"/>
          <w:rtl/>
          <w14:ligatures w14:val="none"/>
        </w:rPr>
        <w:t xml:space="preserve"> أيضاً عن إطلاق بيئة تنظيمية تجريبية</w:t>
      </w:r>
      <w:r w:rsidR="00CD4D05" w:rsidRPr="00CD4D05">
        <w:rPr>
          <w:rFonts w:ascii="Simplified Arabic" w:eastAsia="Times New Roman" w:hAnsi="Simplified Arabic" w:cs="Simplified Arabic"/>
          <w:kern w:val="0"/>
          <w:sz w:val="28"/>
          <w:szCs w:val="28"/>
          <w14:ligatures w14:val="none"/>
        </w:rPr>
        <w:t xml:space="preserve"> (Regulatory Sandbox) </w:t>
      </w:r>
      <w:r w:rsidR="00CD4D05" w:rsidRPr="00CD4D05">
        <w:rPr>
          <w:rFonts w:ascii="Simplified Arabic" w:eastAsia="Times New Roman" w:hAnsi="Simplified Arabic" w:cs="Simplified Arabic"/>
          <w:kern w:val="0"/>
          <w:sz w:val="28"/>
          <w:szCs w:val="28"/>
          <w:rtl/>
          <w14:ligatures w14:val="none"/>
        </w:rPr>
        <w:t>عام 2025 تتيح للمؤسسات اختبار حلول الذكاء الاصطناعي في بيئة آمنة قبل تعميمها، وهو ما يجسد نهجاً متقدماً في إدارة الابتكار التقني يوازن بين تشجيع التجريب والتحكم في المخاطر</w:t>
      </w:r>
      <w:r w:rsidR="00CD4D05" w:rsidRPr="00CD4D05">
        <w:rPr>
          <w:rFonts w:ascii="Simplified Arabic" w:eastAsia="Times New Roman" w:hAnsi="Simplified Arabic" w:cs="Simplified Arabic"/>
          <w:kern w:val="0"/>
          <w:sz w:val="28"/>
          <w:szCs w:val="28"/>
          <w14:ligatures w14:val="none"/>
        </w:rPr>
        <w:t>.</w:t>
      </w:r>
    </w:p>
    <w:p w14:paraId="4EA0FBB6" w14:textId="13C1BE12" w:rsid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ويُضيف (عبدالرحمن وآخرون، 2022) أنّ الذكاء الاصطناعي يُعزز القدرة التنافسية للمؤسسات الحكومية والخاصة على حدٍّ سواء، ويُسهم في جذب الاستثمارات الأجنبية وتطوير صناعات معرفية جديدة، وهو ما ينسجم مع طموح المملكة لتصبح ضمن أقوى خمسة عشر اقتصاداً في العالم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وقد أكد (المحمّد، 2024) أنّ المملكة تستثمر بكثافة في البنية التحتية للحوسبة والبيانات، وتنظم مؤتمرات دولية، وتوفر برامج منح دراسية متخصصة، وتؤسس مراكز بحوث وحاضنات تقنية لتسريع تبني الذكاء الاصطناعي محلياً</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يُشير (السمان، 2024) إلى أنّ الذكاء الاصطناعي يخلق منصة مركزية لتبادل البيانات بين الجهات الحكومية المختلفة، مما يُفضي إلى تكامل الخدمات وتقديم تجربة موحدة للمواطن تتجاوز الحدود التنظيمية بين الوزارات والهيئات</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ويوضح (غربة، 2024) أنّ هذه التقنيات تدعم تنويع مصادر الدخل الوطني، ورفع إنتاجية القطاعات غير النفطية، وتطوير منتجات وخدمات مبتكرة قادرة على المنافسة في الأسواق الدولية</w:t>
      </w:r>
      <w:r w:rsidRPr="00CD4D05">
        <w:rPr>
          <w:rFonts w:ascii="Simplified Arabic" w:eastAsia="Times New Roman" w:hAnsi="Simplified Arabic" w:cs="Simplified Arabic"/>
          <w:kern w:val="0"/>
          <w:sz w:val="28"/>
          <w:szCs w:val="28"/>
          <w14:ligatures w14:val="none"/>
        </w:rPr>
        <w:t>.</w:t>
      </w:r>
    </w:p>
    <w:p w14:paraId="067274EC" w14:textId="77777777"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b/>
          <w:bCs/>
          <w:kern w:val="0"/>
          <w:sz w:val="28"/>
          <w:szCs w:val="28"/>
          <w:highlight w:val="yellow"/>
          <w:rtl/>
          <w14:ligatures w14:val="none"/>
        </w:rPr>
        <w:t>ثامناً: خصوصية تبني الذكاء الاصطناعي في القطاع الحكومي مقارنة بالقطاع الخاص</w:t>
      </w:r>
      <w:r w:rsidRPr="00395C32">
        <w:rPr>
          <w:rFonts w:ascii="Simplified Arabic" w:eastAsia="Times New Roman" w:hAnsi="Simplified Arabic" w:cs="Simplified Arabic"/>
          <w:b/>
          <w:bCs/>
          <w:kern w:val="0"/>
          <w:sz w:val="28"/>
          <w:szCs w:val="28"/>
          <w:highlight w:val="yellow"/>
          <w14:ligatures w14:val="none"/>
        </w:rPr>
        <w:t>:</w:t>
      </w:r>
    </w:p>
    <w:p w14:paraId="4A40E1BC" w14:textId="77777777"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rtl/>
          <w14:ligatures w14:val="none"/>
        </w:rPr>
      </w:pPr>
      <w:r w:rsidRPr="00395C32">
        <w:rPr>
          <w:rFonts w:ascii="Simplified Arabic" w:eastAsia="Times New Roman" w:hAnsi="Simplified Arabic" w:cs="Simplified Arabic"/>
          <w:kern w:val="0"/>
          <w:sz w:val="28"/>
          <w:szCs w:val="28"/>
          <w:highlight w:val="yellow"/>
          <w:rtl/>
          <w14:ligatures w14:val="none"/>
        </w:rPr>
        <w:t xml:space="preserve">تناولت الدراسات المُستعرضة حتى الآن تقنيات الذكاء الاصطناعي في سياقات صناعية ومصرفية ولوجستية بصورة رئيسة، غير أن نقل هذه النتائج إلى القطاع الحكومي يستوجب فهماً معمقاً للفروق البنيوية بين السياقين تجاوزاً لمسلَّمة "قابلية النقل" التي تُهيمن على كثير من الدراسات دون تدقيق. </w:t>
      </w:r>
    </w:p>
    <w:p w14:paraId="6FFC3236" w14:textId="79256295"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rtl/>
          <w:lang w:bidi="ar-EG"/>
          <w14:ligatures w14:val="none"/>
        </w:rPr>
      </w:pPr>
      <w:r w:rsidRPr="00395C32">
        <w:rPr>
          <w:rFonts w:ascii="Simplified Arabic" w:eastAsia="Times New Roman" w:hAnsi="Simplified Arabic" w:cs="Simplified Arabic"/>
          <w:kern w:val="0"/>
          <w:sz w:val="28"/>
          <w:szCs w:val="28"/>
          <w:highlight w:val="yellow"/>
          <w:rtl/>
          <w14:ligatures w14:val="none"/>
        </w:rPr>
        <w:lastRenderedPageBreak/>
        <w:t xml:space="preserve">ويُحدد </w:t>
      </w:r>
      <w:r w:rsidRPr="00395C32">
        <w:rPr>
          <w:rFonts w:ascii="Simplified Arabic" w:eastAsia="Times New Roman" w:hAnsi="Simplified Arabic" w:cs="Simplified Arabic"/>
          <w:kern w:val="0"/>
          <w:sz w:val="28"/>
          <w:szCs w:val="28"/>
          <w:highlight w:val="yellow"/>
          <w14:ligatures w14:val="none"/>
        </w:rPr>
        <w:t>(</w:t>
      </w:r>
      <w:proofErr w:type="spellStart"/>
      <w:r w:rsidRPr="00395C32">
        <w:rPr>
          <w:rFonts w:ascii="Simplified Arabic" w:eastAsia="Times New Roman" w:hAnsi="Simplified Arabic" w:cs="Simplified Arabic"/>
          <w:kern w:val="0"/>
          <w:sz w:val="28"/>
          <w:szCs w:val="28"/>
          <w:highlight w:val="yellow"/>
          <w14:ligatures w14:val="none"/>
        </w:rPr>
        <w:t>Mikalef</w:t>
      </w:r>
      <w:proofErr w:type="spellEnd"/>
      <w:r w:rsidRPr="00395C32">
        <w:rPr>
          <w:rFonts w:ascii="Simplified Arabic" w:eastAsia="Times New Roman" w:hAnsi="Simplified Arabic" w:cs="Simplified Arabic"/>
          <w:kern w:val="0"/>
          <w:sz w:val="28"/>
          <w:szCs w:val="28"/>
          <w:highlight w:val="yellow"/>
          <w14:ligatures w14:val="none"/>
        </w:rPr>
        <w:t xml:space="preserve"> et al., 2023) </w:t>
      </w:r>
      <w:r w:rsidRPr="00395C32">
        <w:rPr>
          <w:rFonts w:ascii="Simplified Arabic" w:eastAsia="Times New Roman" w:hAnsi="Simplified Arabic" w:cs="Simplified Arabic"/>
          <w:kern w:val="0"/>
          <w:sz w:val="28"/>
          <w:szCs w:val="28"/>
          <w:highlight w:val="yellow"/>
          <w:rtl/>
          <w14:ligatures w14:val="none"/>
        </w:rPr>
        <w:t>في دراستهم الشاملة لتبني الذكاء الاصطناعي في القطاع العام أربعة فروق حاسمة يجب مراعاتها عند تصميم أي دراسة تطبيقية في هذا المجال</w:t>
      </w:r>
      <w:r w:rsidRPr="00395C32">
        <w:rPr>
          <w:rFonts w:ascii="Simplified Arabic" w:eastAsia="Times New Roman" w:hAnsi="Simplified Arabic" w:cs="Simplified Arabic" w:hint="cs"/>
          <w:kern w:val="0"/>
          <w:sz w:val="28"/>
          <w:szCs w:val="28"/>
          <w:highlight w:val="yellow"/>
          <w:rtl/>
          <w:lang w:bidi="ar-EG"/>
          <w14:ligatures w14:val="none"/>
        </w:rPr>
        <w:t xml:space="preserve"> كما </w:t>
      </w:r>
      <w:proofErr w:type="gramStart"/>
      <w:r w:rsidRPr="00395C32">
        <w:rPr>
          <w:rFonts w:ascii="Simplified Arabic" w:eastAsia="Times New Roman" w:hAnsi="Simplified Arabic" w:cs="Simplified Arabic" w:hint="cs"/>
          <w:kern w:val="0"/>
          <w:sz w:val="28"/>
          <w:szCs w:val="28"/>
          <w:highlight w:val="yellow"/>
          <w:rtl/>
          <w:lang w:bidi="ar-EG"/>
          <w14:ligatures w14:val="none"/>
        </w:rPr>
        <w:t>يلى :</w:t>
      </w:r>
      <w:proofErr w:type="gramEnd"/>
    </w:p>
    <w:p w14:paraId="391F2F76" w14:textId="091E46FC"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يتمثل الفرق الأول في منطق التبني ذاته، إذ يعمل تبني الذكاء الاصطناعي في القطاع الخاص وفق منطق "الميزة التنافسية</w:t>
      </w:r>
      <w:r w:rsidRPr="00395C32">
        <w:rPr>
          <w:rFonts w:ascii="Simplified Arabic" w:eastAsia="Times New Roman" w:hAnsi="Simplified Arabic" w:cs="Simplified Arabic"/>
          <w:kern w:val="0"/>
          <w:sz w:val="28"/>
          <w:szCs w:val="28"/>
          <w:highlight w:val="yellow"/>
          <w14:ligatures w14:val="none"/>
        </w:rPr>
        <w:t xml:space="preserve">" </w:t>
      </w:r>
      <w:r w:rsidRPr="00395C32">
        <w:rPr>
          <w:rFonts w:ascii="Simplified Arabic" w:eastAsia="Times New Roman" w:hAnsi="Simplified Arabic" w:cs="Simplified Arabic"/>
          <w:kern w:val="0"/>
          <w:sz w:val="28"/>
          <w:szCs w:val="28"/>
          <w:highlight w:val="yellow"/>
          <w:rtl/>
          <w14:ligatures w14:val="none"/>
        </w:rPr>
        <w:t>حيث تُقاس جدواه بمقارنة العائد المالي بالتكلفة، بينما يعمل في القطاع الحكومي وفق منطق مغاير جوهرياً هو منطق "الشرعية المؤسسية" حيث يُقاس نجاحه بمدى مواءمته للتوجهات الوطنية وقدرته على تعزيز الثقة العامة</w:t>
      </w:r>
      <w:r w:rsidRPr="00395C32">
        <w:rPr>
          <w:rFonts w:ascii="Simplified Arabic" w:eastAsia="Times New Roman" w:hAnsi="Simplified Arabic" w:cs="Simplified Arabic" w:hint="cs"/>
          <w:kern w:val="0"/>
          <w:sz w:val="28"/>
          <w:szCs w:val="28"/>
          <w:highlight w:val="yellow"/>
          <w:rtl/>
          <w14:ligatures w14:val="none"/>
        </w:rPr>
        <w:t>،</w:t>
      </w:r>
      <w:r w:rsidRPr="00395C32">
        <w:rPr>
          <w:rFonts w:ascii="Simplified Arabic" w:eastAsia="Times New Roman" w:hAnsi="Simplified Arabic" w:cs="Simplified Arabic"/>
          <w:kern w:val="0"/>
          <w:sz w:val="28"/>
          <w:szCs w:val="28"/>
          <w:highlight w:val="yellow"/>
          <w14:ligatures w14:val="none"/>
        </w:rPr>
        <w:t xml:space="preserve"> </w:t>
      </w:r>
      <w:r w:rsidRPr="00395C32">
        <w:rPr>
          <w:rFonts w:ascii="Simplified Arabic" w:eastAsia="Times New Roman" w:hAnsi="Simplified Arabic" w:cs="Simplified Arabic"/>
          <w:kern w:val="0"/>
          <w:sz w:val="28"/>
          <w:szCs w:val="28"/>
          <w:highlight w:val="yellow"/>
          <w:rtl/>
          <w14:ligatures w14:val="none"/>
        </w:rPr>
        <w:t>ويُفسّر هذا الاختلاف ظاهرة انتشار الذكاء الاصطناعي في المؤسسات الحكومية حتى في غياب دراسات جدوى مالية تقليدية، وهي ظاهرة يصعب تفسيرها بالأدوات التحليلية المستوردة من القطاع الخاص</w:t>
      </w:r>
      <w:r w:rsidRPr="00395C32">
        <w:rPr>
          <w:rFonts w:ascii="Simplified Arabic" w:eastAsia="Times New Roman" w:hAnsi="Simplified Arabic" w:cs="Simplified Arabic"/>
          <w:kern w:val="0"/>
          <w:sz w:val="28"/>
          <w:szCs w:val="28"/>
          <w:highlight w:val="yellow"/>
          <w14:ligatures w14:val="none"/>
        </w:rPr>
        <w:t>.</w:t>
      </w:r>
    </w:p>
    <w:p w14:paraId="7C6CA6CB" w14:textId="365A8A89"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ويتمثل الفرق الثاني في طبيعة البيانات المستخدمة، إذ تعتمد المؤسسات الحكومية على بيانات ذات طابع حساس تشمل السجلات الشخصية للمواطنين والبيانات الصحية والبيانات المالية السيادية والبيانات الأمنية، مما يستوجب مستويات أعلى من الحوكمة والحماية مقارنة بالبيانات التجارية في القطاع الخاص</w:t>
      </w:r>
      <w:r w:rsidRPr="00395C32">
        <w:rPr>
          <w:rFonts w:ascii="Simplified Arabic" w:eastAsia="Times New Roman" w:hAnsi="Simplified Arabic" w:cs="Simplified Arabic" w:hint="cs"/>
          <w:kern w:val="0"/>
          <w:sz w:val="28"/>
          <w:szCs w:val="28"/>
          <w:highlight w:val="yellow"/>
          <w:rtl/>
          <w14:ligatures w14:val="none"/>
        </w:rPr>
        <w:t>،</w:t>
      </w:r>
      <w:r w:rsidRPr="00395C32">
        <w:rPr>
          <w:rFonts w:ascii="Simplified Arabic" w:eastAsia="Times New Roman" w:hAnsi="Simplified Arabic" w:cs="Simplified Arabic"/>
          <w:kern w:val="0"/>
          <w:sz w:val="28"/>
          <w:szCs w:val="28"/>
          <w:highlight w:val="yellow"/>
          <w:rtl/>
          <w14:ligatures w14:val="none"/>
        </w:rPr>
        <w:t xml:space="preserve"> وينعكس هذا الاختلاف مباشرةً على تعقيد المرحلة الأولى من سلسلة القيمة، وهي مرحلة جمع البيانات ومعالجتها، ويُضيف طبقة إضافية من التحديات التي لا تعرفها مؤسسات القطاع الخاص بالدرجة ذاتها</w:t>
      </w:r>
      <w:r w:rsidRPr="00395C32">
        <w:rPr>
          <w:rFonts w:ascii="Simplified Arabic" w:eastAsia="Times New Roman" w:hAnsi="Simplified Arabic" w:cs="Simplified Arabic"/>
          <w:kern w:val="0"/>
          <w:sz w:val="28"/>
          <w:szCs w:val="28"/>
          <w:highlight w:val="yellow"/>
          <w14:ligatures w14:val="none"/>
        </w:rPr>
        <w:t>.</w:t>
      </w:r>
    </w:p>
    <w:p w14:paraId="6F47AD48" w14:textId="62195214"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ويتمثل الفرق الثالث في طبيعة المخرجات وطبيعة المساءلة، حيث تخضع مخرجات الأنظمة الذكية الحكومية للمساءلة العامة والرقابة البرلمانية والإعلامية بدرجة تفوق ما يخضع له نظيرها في القطاع الخاص، مما يستوجب مستوى عالياً من "قابلية التفسير</w:t>
      </w:r>
      <w:r w:rsidRPr="00395C32">
        <w:rPr>
          <w:rFonts w:ascii="Simplified Arabic" w:eastAsia="Times New Roman" w:hAnsi="Simplified Arabic" w:cs="Simplified Arabic"/>
          <w:kern w:val="0"/>
          <w:sz w:val="28"/>
          <w:szCs w:val="28"/>
          <w:highlight w:val="yellow"/>
          <w14:ligatures w14:val="none"/>
        </w:rPr>
        <w:t xml:space="preserve">" (Explainability) </w:t>
      </w:r>
      <w:r w:rsidRPr="00395C32">
        <w:rPr>
          <w:rFonts w:ascii="Simplified Arabic" w:eastAsia="Times New Roman" w:hAnsi="Simplified Arabic" w:cs="Simplified Arabic"/>
          <w:kern w:val="0"/>
          <w:sz w:val="28"/>
          <w:szCs w:val="28"/>
          <w:highlight w:val="yellow"/>
          <w:rtl/>
          <w14:ligatures w14:val="none"/>
        </w:rPr>
        <w:t>في كل قرار خوارزمي</w:t>
      </w:r>
      <w:r w:rsidRPr="00395C32">
        <w:rPr>
          <w:rFonts w:ascii="Simplified Arabic" w:eastAsia="Times New Roman" w:hAnsi="Simplified Arabic" w:cs="Simplified Arabic" w:hint="cs"/>
          <w:kern w:val="0"/>
          <w:sz w:val="28"/>
          <w:szCs w:val="28"/>
          <w:highlight w:val="yellow"/>
          <w:rtl/>
          <w14:ligatures w14:val="none"/>
        </w:rPr>
        <w:t>،</w:t>
      </w:r>
      <w:r w:rsidRPr="00395C32">
        <w:rPr>
          <w:rFonts w:ascii="Simplified Arabic" w:eastAsia="Times New Roman" w:hAnsi="Simplified Arabic" w:cs="Simplified Arabic"/>
          <w:kern w:val="0"/>
          <w:sz w:val="28"/>
          <w:szCs w:val="28"/>
          <w:highlight w:val="yellow"/>
          <w:rtl/>
          <w14:ligatures w14:val="none"/>
        </w:rPr>
        <w:t xml:space="preserve"> ويُمثّل هذا المتطلب قيداً حقيقياً على استخدام النماذج المعقدة كالتعلم العميق، ويُوجّه الاختيار في القطاع الحكومي نحو نماذج أكثر شفافية وقابلية </w:t>
      </w:r>
      <w:proofErr w:type="gramStart"/>
      <w:r w:rsidRPr="00395C32">
        <w:rPr>
          <w:rFonts w:ascii="Simplified Arabic" w:eastAsia="Times New Roman" w:hAnsi="Simplified Arabic" w:cs="Simplified Arabic"/>
          <w:kern w:val="0"/>
          <w:sz w:val="28"/>
          <w:szCs w:val="28"/>
          <w:highlight w:val="yellow"/>
          <w:rtl/>
          <w14:ligatures w14:val="none"/>
        </w:rPr>
        <w:t>للتفسير</w:t>
      </w:r>
      <w:proofErr w:type="gramEnd"/>
      <w:r w:rsidRPr="00395C32">
        <w:rPr>
          <w:rFonts w:ascii="Simplified Arabic" w:eastAsia="Times New Roman" w:hAnsi="Simplified Arabic" w:cs="Simplified Arabic"/>
          <w:kern w:val="0"/>
          <w:sz w:val="28"/>
          <w:szCs w:val="28"/>
          <w:highlight w:val="yellow"/>
          <w:rtl/>
          <w14:ligatures w14:val="none"/>
        </w:rPr>
        <w:t xml:space="preserve"> حتى لو كانت أقل دقة من نظيرها المعقد</w:t>
      </w:r>
      <w:r w:rsidRPr="00395C32">
        <w:rPr>
          <w:rFonts w:ascii="Simplified Arabic" w:eastAsia="Times New Roman" w:hAnsi="Simplified Arabic" w:cs="Simplified Arabic"/>
          <w:kern w:val="0"/>
          <w:sz w:val="28"/>
          <w:szCs w:val="28"/>
          <w:highlight w:val="yellow"/>
          <w14:ligatures w14:val="none"/>
        </w:rPr>
        <w:t>.</w:t>
      </w:r>
    </w:p>
    <w:p w14:paraId="2BCFA6F5" w14:textId="499B83D3"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highlight w:val="yellow"/>
          <w14:ligatures w14:val="none"/>
        </w:rPr>
      </w:pPr>
      <w:r w:rsidRPr="00395C32">
        <w:rPr>
          <w:rFonts w:ascii="Simplified Arabic" w:eastAsia="Times New Roman" w:hAnsi="Simplified Arabic" w:cs="Simplified Arabic"/>
          <w:kern w:val="0"/>
          <w:sz w:val="28"/>
          <w:szCs w:val="28"/>
          <w:highlight w:val="yellow"/>
          <w:rtl/>
          <w14:ligatures w14:val="none"/>
        </w:rPr>
        <w:t xml:space="preserve">أما الفرق الرابع فيتمثل في دورة الابتكار والاقتناء، فبينما تستطيع مؤسسات القطاع الخاص اقتناء تقنيات الذكاء الاصطناعي في دورات قصيرة تمتد بين ثلاثة وستة أشهر، تخضع المؤسسات الحكومية لدورات اقتناء أطول تمتد بين اثني عشر وأربعة وعشرين شهراً بسبب متطلبات نظام المشتريات الحكومية ومسارات الاعتماد </w:t>
      </w:r>
      <w:proofErr w:type="gramStart"/>
      <w:r w:rsidRPr="00395C32">
        <w:rPr>
          <w:rFonts w:ascii="Simplified Arabic" w:eastAsia="Times New Roman" w:hAnsi="Simplified Arabic" w:cs="Simplified Arabic"/>
          <w:kern w:val="0"/>
          <w:sz w:val="28"/>
          <w:szCs w:val="28"/>
          <w:highlight w:val="yellow"/>
          <w:rtl/>
          <w14:ligatures w14:val="none"/>
        </w:rPr>
        <w:t>المتعددة</w:t>
      </w:r>
      <w:r w:rsidRPr="00395C32">
        <w:rPr>
          <w:rFonts w:ascii="Simplified Arabic" w:eastAsia="Times New Roman" w:hAnsi="Simplified Arabic" w:cs="Simplified Arabic" w:hint="cs"/>
          <w:kern w:val="0"/>
          <w:sz w:val="28"/>
          <w:szCs w:val="28"/>
          <w:highlight w:val="yellow"/>
          <w:rtl/>
          <w14:ligatures w14:val="none"/>
        </w:rPr>
        <w:t xml:space="preserve">، </w:t>
      </w:r>
      <w:r w:rsidRPr="00395C32">
        <w:rPr>
          <w:rFonts w:ascii="Simplified Arabic" w:eastAsia="Times New Roman" w:hAnsi="Simplified Arabic" w:cs="Simplified Arabic"/>
          <w:kern w:val="0"/>
          <w:sz w:val="28"/>
          <w:szCs w:val="28"/>
          <w:highlight w:val="yellow"/>
          <w:rtl/>
          <w14:ligatures w14:val="none"/>
        </w:rPr>
        <w:t xml:space="preserve"> ويُبطئ</w:t>
      </w:r>
      <w:proofErr w:type="gramEnd"/>
      <w:r w:rsidRPr="00395C32">
        <w:rPr>
          <w:rFonts w:ascii="Simplified Arabic" w:eastAsia="Times New Roman" w:hAnsi="Simplified Arabic" w:cs="Simplified Arabic"/>
          <w:kern w:val="0"/>
          <w:sz w:val="28"/>
          <w:szCs w:val="28"/>
          <w:highlight w:val="yellow"/>
          <w:rtl/>
          <w14:ligatures w14:val="none"/>
        </w:rPr>
        <w:t xml:space="preserve"> هذا الفارق استجابة سلسلة القيمة للابتكار التقني، ويستوجب تخطيطاً استراتيجياً بعيد المدى يختلف جوهرياً عن التخطيط قصير المدى الذي يُهيمن على أدبيات القطاع الخاص</w:t>
      </w:r>
      <w:r w:rsidRPr="00395C32">
        <w:rPr>
          <w:rFonts w:ascii="Simplified Arabic" w:eastAsia="Times New Roman" w:hAnsi="Simplified Arabic" w:cs="Simplified Arabic"/>
          <w:kern w:val="0"/>
          <w:sz w:val="28"/>
          <w:szCs w:val="28"/>
          <w:highlight w:val="yellow"/>
          <w14:ligatures w14:val="none"/>
        </w:rPr>
        <w:t>.</w:t>
      </w:r>
    </w:p>
    <w:p w14:paraId="5844CBF6" w14:textId="77777777" w:rsidR="00395C32" w:rsidRPr="00395C32" w:rsidRDefault="00395C32" w:rsidP="00395C3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395C32">
        <w:rPr>
          <w:rFonts w:ascii="Simplified Arabic" w:eastAsia="Times New Roman" w:hAnsi="Simplified Arabic" w:cs="Simplified Arabic"/>
          <w:kern w:val="0"/>
          <w:sz w:val="28"/>
          <w:szCs w:val="28"/>
          <w:highlight w:val="yellow"/>
          <w:rtl/>
          <w14:ligatures w14:val="none"/>
        </w:rPr>
        <w:lastRenderedPageBreak/>
        <w:t>ويترتب على هذه الفروق الأربعة مجتمعةً ضرورة تكييف الأطر النظرية والأدوات المنهجية المُستخدمة في دراسة الذكاء الاصطناعي عند نقلها إلى السياق الحكومي، وهو ما تسعى إليه هذه الدراسة عبر بناء نموذج متكامل يُراعي خصوصية السياق الحكومي بدلاً من نقل النماذج الجاهزة من القطاع الخاص</w:t>
      </w:r>
      <w:r w:rsidRPr="00395C32">
        <w:rPr>
          <w:rFonts w:ascii="Simplified Arabic" w:eastAsia="Times New Roman" w:hAnsi="Simplified Arabic" w:cs="Simplified Arabic"/>
          <w:kern w:val="0"/>
          <w:sz w:val="28"/>
          <w:szCs w:val="28"/>
          <w:highlight w:val="yellow"/>
          <w14:ligatures w14:val="none"/>
        </w:rPr>
        <w:t>.</w:t>
      </w:r>
    </w:p>
    <w:p w14:paraId="12134C59" w14:textId="26B6FB9A" w:rsidR="008B3166" w:rsidRDefault="008B3166">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br w:type="page"/>
      </w:r>
    </w:p>
    <w:p w14:paraId="7031062E" w14:textId="241F5881" w:rsidR="00234A82" w:rsidRPr="00234A82" w:rsidRDefault="008B3166" w:rsidP="00234A82">
      <w:pPr>
        <w:spacing w:before="100" w:beforeAutospacing="1" w:after="100" w:afterAutospacing="1" w:line="240" w:lineRule="auto"/>
        <w:jc w:val="center"/>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lastRenderedPageBreak/>
        <w:t>ا</w:t>
      </w:r>
      <w:r w:rsidR="00234A82" w:rsidRPr="00234A82">
        <w:rPr>
          <w:rFonts w:ascii="Simplified Arabic" w:eastAsia="Times New Roman" w:hAnsi="Simplified Arabic" w:cs="Simplified Arabic"/>
          <w:b/>
          <w:bCs/>
          <w:kern w:val="0"/>
          <w:sz w:val="28"/>
          <w:szCs w:val="28"/>
          <w:rtl/>
          <w14:ligatures w14:val="none"/>
        </w:rPr>
        <w:t>لمبحث الثاني: سلسلة القيمة التشغيلية في المؤسسات الحكومية الكبرى</w:t>
      </w:r>
    </w:p>
    <w:p w14:paraId="2541E2CC"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تمهيد</w:t>
      </w:r>
    </w:p>
    <w:p w14:paraId="6936B81B"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 xml:space="preserve">شهدت بيئة العمل المؤسسي خلال العقود الأخيرة تحولات جوهرية أعادت تشكيل الطريقة التي تُنتَج بها الخدمات وتُقدَّم للمستفيدين، وأصبحت المؤسسات الحكومية الكبرى تواجه ضغوطاً متزايدة لتحسين كفاءتها التشغيلية وتعظيم القيمة المقدمة للمواطنين في ظل محدودية الموارد المالية وتصاعد التوقعات المجتمعية. ولم يعد يكفي أن تؤدي هذه المؤسسات مهامها التقليدية بالأساليب المعتادة، بل باتت مطالبة بتبني مداخل إدارية حديثة تُمكّنها من تحليل أنشطتها الداخلية بدقة، وتحديد مواطن الهدر والضعف، وتوجيه الموارد نحو الأنشطة التي تُولّد القيمة الأعلى. وفي هذا السياق، يبرز مفهوم سلسلة القيمة التشغيلية بوصفه إطاراً تحليلياً استراتيجياً يُتيح تفكيك العمليات المؤسسية إلى أنشطة متمايزة ومترابطة، وقياس مساهمة كل نشاط في خلق القيمة النهائية للمستفيد. </w:t>
      </w:r>
    </w:p>
    <w:p w14:paraId="6BA66D4B" w14:textId="7341D46C"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ويتناول هذا المبحث مفهوم سلسلة القيمة التشغيلية وتعريفاتها المتنوعة، وأهميتها في السياق المؤسسي الحكومي، وأهدافها وأنواعها وخصائصها، ثم يتعمق في أبعادها الأساسية التي تشكل المتغير التابع في هذه الدراسة، مع إبراز العلاقة بين هذه الأبعاد وإمكانية تعزيزها بتقنيات الذكاء الاصطناعي في المؤسسات الحكومية الكبرى بالمملكة العربية السعودية</w:t>
      </w:r>
      <w:r w:rsidRPr="00234A82">
        <w:rPr>
          <w:rFonts w:ascii="Simplified Arabic" w:eastAsia="Times New Roman" w:hAnsi="Simplified Arabic" w:cs="Simplified Arabic"/>
          <w:kern w:val="0"/>
          <w:sz w:val="28"/>
          <w:szCs w:val="28"/>
          <w14:ligatures w14:val="none"/>
        </w:rPr>
        <w:t>.</w:t>
      </w:r>
    </w:p>
    <w:p w14:paraId="65A4B923"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أولاً: مفهوم سلسلة القيمة التشغيلية</w:t>
      </w:r>
    </w:p>
    <w:p w14:paraId="7F9A812C"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يُعدّ مفهوم سلسلة القيمة من أكثر المفاهيم الإدارية تأثيراً في حقل الإدارة الاستراتيجية وإدارة العمليات، وقد تعددت تعريفاته بتعدد المدارس الفكرية والسياقات التطبيقية التي تناولته</w:t>
      </w:r>
      <w:r w:rsidR="00A5503B">
        <w:rPr>
          <w:rFonts w:ascii="Simplified Arabic" w:eastAsia="Times New Roman" w:hAnsi="Simplified Arabic" w:cs="Simplified Arabic" w:hint="cs"/>
          <w:kern w:val="0"/>
          <w:sz w:val="28"/>
          <w:szCs w:val="28"/>
          <w:rtl/>
          <w14:ligatures w14:val="none"/>
        </w:rPr>
        <w:t>،</w:t>
      </w:r>
      <w:r w:rsidRPr="00234A82">
        <w:rPr>
          <w:rFonts w:ascii="Simplified Arabic" w:eastAsia="Times New Roman" w:hAnsi="Simplified Arabic" w:cs="Simplified Arabic"/>
          <w:kern w:val="0"/>
          <w:sz w:val="28"/>
          <w:szCs w:val="28"/>
          <w:rtl/>
          <w14:ligatures w14:val="none"/>
        </w:rPr>
        <w:t xml:space="preserve"> ويُعزى الفضل في تأسيس هذا المفهوم إلى مايكل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14:ligatures w14:val="none"/>
        </w:rPr>
        <w:t xml:space="preserve"> (Porter, 1985) </w:t>
      </w:r>
      <w:r w:rsidRPr="00234A82">
        <w:rPr>
          <w:rFonts w:ascii="Simplified Arabic" w:eastAsia="Times New Roman" w:hAnsi="Simplified Arabic" w:cs="Simplified Arabic"/>
          <w:kern w:val="0"/>
          <w:sz w:val="28"/>
          <w:szCs w:val="28"/>
          <w:rtl/>
          <w14:ligatures w14:val="none"/>
        </w:rPr>
        <w:t>الذي قدّمه في كتابه الشهير "الميزة التنافسية" بوصفه أداة تحليلية استراتيجية تُمكّن المؤسسات من تفكيك أنشطتها الداخلية إلى مجموعة من العمليات المتتابعة والمترابطة، بهدف فهم كيفية خلق القيمة في كل مرحلة وتحديد مصادر الميزة التنافسية.</w:t>
      </w:r>
    </w:p>
    <w:p w14:paraId="7B5F5A5D" w14:textId="75169D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 xml:space="preserve"> وقد ميّز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rtl/>
          <w14:ligatures w14:val="none"/>
        </w:rPr>
        <w:t xml:space="preserve"> بين نوعين أساسيين من الأنشطة: الأنشطة الأساسية التي تشمل اللوجستيات الداخلية والعمليات التشغيلية واللوجستيات الخارجية والتسويق والمبيعات وخدمات ما بعد البيع، والأنشطة الداعمة التي تتضمن البنية التحتية للمؤسسة وإدارة الموارد البشرية والتطوير التقني والمشتريات، وتتفاعل هذه </w:t>
      </w:r>
      <w:r w:rsidRPr="00234A82">
        <w:rPr>
          <w:rFonts w:ascii="Simplified Arabic" w:eastAsia="Times New Roman" w:hAnsi="Simplified Arabic" w:cs="Simplified Arabic"/>
          <w:kern w:val="0"/>
          <w:sz w:val="28"/>
          <w:szCs w:val="28"/>
          <w:rtl/>
          <w14:ligatures w14:val="none"/>
        </w:rPr>
        <w:lastRenderedPageBreak/>
        <w:t xml:space="preserve">الأنشطة فيما بينها لتشكيل منظومة متكاملة تُحدد مستوى القيمة المُضافة التي تُقدّمها المؤسسة لعملائها أو </w:t>
      </w:r>
      <w:proofErr w:type="spellStart"/>
      <w:r w:rsidRPr="00234A82">
        <w:rPr>
          <w:rFonts w:ascii="Simplified Arabic" w:eastAsia="Times New Roman" w:hAnsi="Simplified Arabic" w:cs="Simplified Arabic"/>
          <w:kern w:val="0"/>
          <w:sz w:val="28"/>
          <w:szCs w:val="28"/>
          <w:rtl/>
          <w14:ligatures w14:val="none"/>
        </w:rPr>
        <w:t>مستفيديها</w:t>
      </w:r>
      <w:proofErr w:type="spellEnd"/>
      <w:r w:rsidRPr="00234A82">
        <w:rPr>
          <w:rFonts w:ascii="Simplified Arabic" w:eastAsia="Times New Roman" w:hAnsi="Simplified Arabic" w:cs="Simplified Arabic"/>
          <w:kern w:val="0"/>
          <w:sz w:val="28"/>
          <w:szCs w:val="28"/>
          <w14:ligatures w14:val="none"/>
        </w:rPr>
        <w:t>.</w:t>
      </w:r>
    </w:p>
    <w:p w14:paraId="141A9C25" w14:textId="655A83B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وقد عرّف</w:t>
      </w:r>
      <w:r w:rsidRPr="00234A82">
        <w:rPr>
          <w:rFonts w:ascii="Simplified Arabic" w:eastAsia="Times New Roman" w:hAnsi="Simplified Arabic" w:cs="Simplified Arabic"/>
          <w:kern w:val="0"/>
          <w:sz w:val="28"/>
          <w:szCs w:val="28"/>
          <w14:ligatures w14:val="none"/>
        </w:rPr>
        <w:t xml:space="preserve"> (</w:t>
      </w:r>
      <w:proofErr w:type="spellStart"/>
      <w:r w:rsidRPr="00234A82">
        <w:rPr>
          <w:rFonts w:ascii="Simplified Arabic" w:eastAsia="Times New Roman" w:hAnsi="Simplified Arabic" w:cs="Simplified Arabic"/>
          <w:kern w:val="0"/>
          <w:sz w:val="28"/>
          <w:szCs w:val="28"/>
          <w14:ligatures w14:val="none"/>
        </w:rPr>
        <w:t>Tyapukhin</w:t>
      </w:r>
      <w:proofErr w:type="spellEnd"/>
      <w:r w:rsidRPr="00234A82">
        <w:rPr>
          <w:rFonts w:ascii="Simplified Arabic" w:eastAsia="Times New Roman" w:hAnsi="Simplified Arabic" w:cs="Simplified Arabic"/>
          <w:kern w:val="0"/>
          <w:sz w:val="28"/>
          <w:szCs w:val="28"/>
          <w14:ligatures w14:val="none"/>
        </w:rPr>
        <w:t xml:space="preserve">, 2023) </w:t>
      </w:r>
      <w:r w:rsidRPr="00234A82">
        <w:rPr>
          <w:rFonts w:ascii="Simplified Arabic" w:eastAsia="Times New Roman" w:hAnsi="Simplified Arabic" w:cs="Simplified Arabic"/>
          <w:kern w:val="0"/>
          <w:sz w:val="28"/>
          <w:szCs w:val="28"/>
          <w:rtl/>
          <w14:ligatures w14:val="none"/>
        </w:rPr>
        <w:t xml:space="preserve">سلسلة القيمة بأنها منظومة متكاملة لإدارة أنواع متعددة من السلاسل تتجاوز المنظور اللوجستي التقليدي لسلسلة الإمداد، لتشمل إدارة سلاسل القيمة وسلاسل الابتكار وسلاسل الطلب وسلاسل العرض، حيث يتطلب كل نوع من هذه السلاسل نمطاً إدارياً مختلفاً ومتغيرات تحكّم خاصة به. </w:t>
      </w:r>
    </w:p>
    <w:p w14:paraId="5BE502BE" w14:textId="5C7C2B18"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وعرّف</w:t>
      </w:r>
      <w:r w:rsidRPr="00234A82">
        <w:rPr>
          <w:rFonts w:ascii="Simplified Arabic" w:eastAsia="Times New Roman" w:hAnsi="Simplified Arabic" w:cs="Simplified Arabic"/>
          <w:kern w:val="0"/>
          <w:sz w:val="28"/>
          <w:szCs w:val="28"/>
          <w14:ligatures w14:val="none"/>
        </w:rPr>
        <w:t xml:space="preserve"> (Naas &amp; </w:t>
      </w:r>
      <w:proofErr w:type="spellStart"/>
      <w:r w:rsidRPr="00234A82">
        <w:rPr>
          <w:rFonts w:ascii="Simplified Arabic" w:eastAsia="Times New Roman" w:hAnsi="Simplified Arabic" w:cs="Simplified Arabic"/>
          <w:kern w:val="0"/>
          <w:sz w:val="28"/>
          <w:szCs w:val="28"/>
          <w14:ligatures w14:val="none"/>
        </w:rPr>
        <w:t>Berass</w:t>
      </w:r>
      <w:proofErr w:type="spellEnd"/>
      <w:r w:rsidRPr="00234A82">
        <w:rPr>
          <w:rFonts w:ascii="Simplified Arabic" w:eastAsia="Times New Roman" w:hAnsi="Simplified Arabic" w:cs="Simplified Arabic"/>
          <w:kern w:val="0"/>
          <w:sz w:val="28"/>
          <w:szCs w:val="28"/>
          <w14:ligatures w14:val="none"/>
        </w:rPr>
        <w:t xml:space="preserve">, 2024) </w:t>
      </w:r>
      <w:r w:rsidRPr="00234A82">
        <w:rPr>
          <w:rFonts w:ascii="Simplified Arabic" w:eastAsia="Times New Roman" w:hAnsi="Simplified Arabic" w:cs="Simplified Arabic"/>
          <w:kern w:val="0"/>
          <w:sz w:val="28"/>
          <w:szCs w:val="28"/>
          <w:rtl/>
          <w14:ligatures w14:val="none"/>
        </w:rPr>
        <w:t xml:space="preserve">سلسلة القيمة بأنها الإطار الذي يُتيح تفكيك أنشطة المؤسسة بدءاً من التوريد وصولاً إلى التوزيع، بهدف تقييم مساهمة كل نشاط في خلق القيمة للعميل أو المستفيد. وقد أوضحا أنّ تحليل سلسلة القيمة يكشف عن أوجه الترابط بين الأنشطة ويُحدد نقاط الاحتكاك التي تُعيق الكفاءة الكلية، كما يُسهم في اكتشاف فرص التحسين في مجالات الجودة ورضا المستفيدين والكفاءة التشغيلية. </w:t>
      </w:r>
    </w:p>
    <w:p w14:paraId="7BA721EA" w14:textId="228E1E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أما</w:t>
      </w:r>
      <w:r w:rsidRPr="00234A82">
        <w:rPr>
          <w:rFonts w:ascii="Simplified Arabic" w:eastAsia="Times New Roman" w:hAnsi="Simplified Arabic" w:cs="Simplified Arabic"/>
          <w:kern w:val="0"/>
          <w:sz w:val="28"/>
          <w:szCs w:val="28"/>
          <w14:ligatures w14:val="none"/>
        </w:rPr>
        <w:t xml:space="preserve"> (Mboyo et al., 2025) </w:t>
      </w:r>
      <w:r w:rsidRPr="00234A82">
        <w:rPr>
          <w:rFonts w:ascii="Simplified Arabic" w:eastAsia="Times New Roman" w:hAnsi="Simplified Arabic" w:cs="Simplified Arabic"/>
          <w:kern w:val="0"/>
          <w:sz w:val="28"/>
          <w:szCs w:val="28"/>
          <w:rtl/>
          <w14:ligatures w14:val="none"/>
        </w:rPr>
        <w:t xml:space="preserve">فقد تناولا سلسلة القيمة من منظور تشغيلي تكاليفي بحت، وعرّفاها بأنها سلسلة متتابعة من الوحدات التشغيلية التي تُنفَّذ عبرها العمليات من المرحلة الأولى إلى المرحلة الأخيرة، حيث تتحمل كل وحدة تشغيلية نصيباً محدداً من التكاليف يُحدَّد بناءً على محركات تكلفة رئيسة خاصة بها. </w:t>
      </w:r>
    </w:p>
    <w:p w14:paraId="55CD079E"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وأضاف</w:t>
      </w:r>
      <w:r w:rsidRPr="00234A82">
        <w:rPr>
          <w:rFonts w:ascii="Simplified Arabic" w:eastAsia="Times New Roman" w:hAnsi="Simplified Arabic" w:cs="Simplified Arabic"/>
          <w:kern w:val="0"/>
          <w:sz w:val="28"/>
          <w:szCs w:val="28"/>
          <w14:ligatures w14:val="none"/>
        </w:rPr>
        <w:t xml:space="preserve"> (Ghadir et al., 2024) </w:t>
      </w:r>
      <w:r w:rsidRPr="00234A82">
        <w:rPr>
          <w:rFonts w:ascii="Simplified Arabic" w:eastAsia="Times New Roman" w:hAnsi="Simplified Arabic" w:cs="Simplified Arabic"/>
          <w:kern w:val="0"/>
          <w:sz w:val="28"/>
          <w:szCs w:val="28"/>
          <w:rtl/>
          <w14:ligatures w14:val="none"/>
        </w:rPr>
        <w:t>بُعداً رقمياً معاصراً لمفهوم سلسلة القيمة، حيث عرّفها بأنها منظومة ديناميكية ذكية تستخدم التحليلات التنبؤية والتوائم الرقمية والرؤية الآنية لتحسين كل حلقة من حلقات القيمة في الزمن الحقيقي، بدلاً من كونها نموذجاً خطياً ثابتاً يُحلَّل دورياً. وأشاروا إلى أنّ التحول الرقمي وتقنيات الذكاء الاصطناعي أعادا تعريف سلسلة القيمة لتصبح قادرة على التكيف الآني مع المتغيرات الداخلية والخارجية، مما يُحقق مستويات غير مسبوقة من الشفافية التشغيلية والتحسين المستمر</w:t>
      </w:r>
      <w:r w:rsidRPr="00234A82">
        <w:rPr>
          <w:rFonts w:ascii="Simplified Arabic" w:eastAsia="Times New Roman" w:hAnsi="Simplified Arabic" w:cs="Simplified Arabic"/>
          <w:kern w:val="0"/>
          <w:sz w:val="28"/>
          <w:szCs w:val="28"/>
          <w14:ligatures w14:val="none"/>
        </w:rPr>
        <w:t>.</w:t>
      </w:r>
    </w:p>
    <w:p w14:paraId="0B83D0AD"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 xml:space="preserve">وبالنظر إلى تطور المفهوم عبر الإسهامات المتعددة، يتضح أنّ سلسلة القيمة انتقلت من إطار تحليلي داخلي ثابت يركّز على تفكيك الأنشطة وتحديد مصادر الميزة التنافسية كما طرحه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rtl/>
          <w14:ligatures w14:val="none"/>
        </w:rPr>
        <w:t xml:space="preserve">، إلى منظومة متكاملة وديناميكية تشمل أبعاداً تنظيمية </w:t>
      </w:r>
      <w:proofErr w:type="spellStart"/>
      <w:r w:rsidRPr="00234A82">
        <w:rPr>
          <w:rFonts w:ascii="Simplified Arabic" w:eastAsia="Times New Roman" w:hAnsi="Simplified Arabic" w:cs="Simplified Arabic"/>
          <w:kern w:val="0"/>
          <w:sz w:val="28"/>
          <w:szCs w:val="28"/>
          <w:rtl/>
          <w14:ligatures w14:val="none"/>
        </w:rPr>
        <w:t>وتكاليفية</w:t>
      </w:r>
      <w:proofErr w:type="spellEnd"/>
      <w:r w:rsidRPr="00234A82">
        <w:rPr>
          <w:rFonts w:ascii="Simplified Arabic" w:eastAsia="Times New Roman" w:hAnsi="Simplified Arabic" w:cs="Simplified Arabic"/>
          <w:kern w:val="0"/>
          <w:sz w:val="28"/>
          <w:szCs w:val="28"/>
          <w:rtl/>
          <w14:ligatures w14:val="none"/>
        </w:rPr>
        <w:t xml:space="preserve"> ورقمية وابتكارية. </w:t>
      </w:r>
    </w:p>
    <w:p w14:paraId="79ACD397"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14:ligatures w14:val="none"/>
        </w:rPr>
      </w:pPr>
      <w:r w:rsidRPr="00EE3287">
        <w:rPr>
          <w:rFonts w:ascii="Simplified Arabic" w:eastAsia="Times New Roman" w:hAnsi="Simplified Arabic" w:cs="Simplified Arabic"/>
          <w:color w:val="EE0000"/>
          <w:kern w:val="0"/>
          <w:sz w:val="28"/>
          <w:szCs w:val="28"/>
          <w:rtl/>
          <w14:ligatures w14:val="none"/>
        </w:rPr>
        <w:lastRenderedPageBreak/>
        <w:t xml:space="preserve">وبناءً على ما سبق من تعريفات وأطروحات، واستناداً إلى استقراء الإسهامات النظرية المتعددة، وفي ضوء التمييز المفاهيمي المتقدّم بين إطار </w:t>
      </w:r>
      <w:proofErr w:type="spellStart"/>
      <w:r w:rsidRPr="00EE3287">
        <w:rPr>
          <w:rFonts w:ascii="Simplified Arabic" w:eastAsia="Times New Roman" w:hAnsi="Simplified Arabic" w:cs="Simplified Arabic"/>
          <w:color w:val="EE0000"/>
          <w:kern w:val="0"/>
          <w:sz w:val="28"/>
          <w:szCs w:val="28"/>
          <w:rtl/>
          <w14:ligatures w14:val="none"/>
        </w:rPr>
        <w:t>بورتر</w:t>
      </w:r>
      <w:proofErr w:type="spellEnd"/>
      <w:r w:rsidRPr="00EE3287">
        <w:rPr>
          <w:rFonts w:ascii="Simplified Arabic" w:eastAsia="Times New Roman" w:hAnsi="Simplified Arabic" w:cs="Simplified Arabic"/>
          <w:color w:val="EE0000"/>
          <w:kern w:val="0"/>
          <w:sz w:val="28"/>
          <w:szCs w:val="28"/>
          <w:rtl/>
          <w14:ligatures w14:val="none"/>
        </w:rPr>
        <w:t xml:space="preserve"> الكلاسيكي وسلسلة القيمة التشغيلية في السياق الحكومي، تستخلص الباحثة تعريفاً إجرائياً منقّحاً لسلسلة القيمة التشغيلية في المؤسسات الحكومية السعودية الكبرى بأنها:</w:t>
      </w:r>
    </w:p>
    <w:p w14:paraId="763E4ECC"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 xml:space="preserve">"منظومةٌ متكاملة ومتتابعة من الأنشطة الأساسية والداعمة، مُعاد تكييفها من إطار </w:t>
      </w:r>
      <w:proofErr w:type="spellStart"/>
      <w:r w:rsidRPr="00EE3287">
        <w:rPr>
          <w:rFonts w:ascii="Simplified Arabic" w:eastAsia="Times New Roman" w:hAnsi="Simplified Arabic" w:cs="Simplified Arabic"/>
          <w:color w:val="EE0000"/>
          <w:kern w:val="0"/>
          <w:sz w:val="28"/>
          <w:szCs w:val="28"/>
          <w:rtl/>
          <w14:ligatures w14:val="none"/>
        </w:rPr>
        <w:t>بورتر</w:t>
      </w:r>
      <w:proofErr w:type="spellEnd"/>
      <w:r w:rsidRPr="00EE3287">
        <w:rPr>
          <w:rFonts w:ascii="Simplified Arabic" w:eastAsia="Times New Roman" w:hAnsi="Simplified Arabic" w:cs="Simplified Arabic"/>
          <w:color w:val="EE0000"/>
          <w:kern w:val="0"/>
          <w:sz w:val="28"/>
          <w:szCs w:val="28"/>
          <w:rtl/>
          <w14:ligatures w14:val="none"/>
        </w:rPr>
        <w:t xml:space="preserve"> الكلاسيكي (1985) بما يتلاءم مع الطبيعة السيادية والخدمية للعمل الحكومي، تنفّذها المؤسسة الحكومية السعودية الكبرى لتحويل مدخلاتها من موارد مالية وبشرية ومعلوماتية وتقنية إلى مخرجات تُحقّق قيمة عامة متعددة الأبعاد (</w:t>
      </w:r>
      <w:r w:rsidRPr="00EE3287">
        <w:rPr>
          <w:rFonts w:ascii="Simplified Arabic" w:eastAsia="Times New Roman" w:hAnsi="Simplified Arabic" w:cs="Simplified Arabic"/>
          <w:color w:val="EE0000"/>
          <w:kern w:val="0"/>
          <w:sz w:val="28"/>
          <w:szCs w:val="28"/>
          <w14:ligatures w14:val="none"/>
        </w:rPr>
        <w:t>Public Value</w:t>
      </w:r>
      <w:r w:rsidRPr="00EE3287">
        <w:rPr>
          <w:rFonts w:ascii="Simplified Arabic" w:eastAsia="Times New Roman" w:hAnsi="Simplified Arabic" w:cs="Simplified Arabic"/>
          <w:color w:val="EE0000"/>
          <w:kern w:val="0"/>
          <w:sz w:val="28"/>
          <w:szCs w:val="28"/>
          <w:rtl/>
          <w14:ligatures w14:val="none"/>
        </w:rPr>
        <w:t>) للمستفيد النهائي، تشمل: الكفاءة التشغيلية، والفاعلية، والشفافية، والمساءلة، والمساواة في الوصول إلى الخدمة. وتنتظم هذه المنظومة في أربعة أبعاد قابلة للقياس تُشكّل المتغير التابع للدراسة، وهي:</w:t>
      </w:r>
    </w:p>
    <w:p w14:paraId="4F61ED8E"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(1) اللوجستيات الداخلية الحكومية: استقبال الطلبات وتصنيفها وتوجيهها إلى الوحدات المختصة وضبط تدفّقها الإلكتروني.</w:t>
      </w:r>
    </w:p>
    <w:p w14:paraId="7AE34DC1"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 xml:space="preserve">(2) العمليات التشغيلية الأساسية: معالجة الطلبات ومراجعتها واعتمادها ومطابقتها للأنظمة والضوابط </w:t>
      </w:r>
      <w:proofErr w:type="spellStart"/>
      <w:r w:rsidRPr="00EE3287">
        <w:rPr>
          <w:rFonts w:ascii="Simplified Arabic" w:eastAsia="Times New Roman" w:hAnsi="Simplified Arabic" w:cs="Simplified Arabic"/>
          <w:color w:val="EE0000"/>
          <w:kern w:val="0"/>
          <w:sz w:val="28"/>
          <w:szCs w:val="28"/>
          <w:rtl/>
          <w14:ligatures w14:val="none"/>
        </w:rPr>
        <w:t>الحوكمية</w:t>
      </w:r>
      <w:proofErr w:type="spellEnd"/>
      <w:r w:rsidRPr="00EE3287">
        <w:rPr>
          <w:rFonts w:ascii="Simplified Arabic" w:eastAsia="Times New Roman" w:hAnsi="Simplified Arabic" w:cs="Simplified Arabic"/>
          <w:color w:val="EE0000"/>
          <w:kern w:val="0"/>
          <w:sz w:val="28"/>
          <w:szCs w:val="28"/>
          <w:rtl/>
          <w14:ligatures w14:val="none"/>
        </w:rPr>
        <w:t>.</w:t>
      </w:r>
    </w:p>
    <w:p w14:paraId="7D2AD7E6"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(3) تقديم الخدمات للمستفيدين: إيصال المخرجات عبر القنوات الرقمية والمكانية المتعددة وفق مؤشرات جودة الخدمة الحكومية.</w:t>
      </w:r>
    </w:p>
    <w:p w14:paraId="6FA99D3F"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(4) خدمات ما بعد التقديم والدعم المستمر: متابعة رضا المستفيد، ومعالجة الشكاوى والملاحظات، والتحسين التكراري للحلقة.</w:t>
      </w:r>
    </w:p>
    <w:p w14:paraId="59025C1E"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 xml:space="preserve">ويعمل هذا المتغير التابع ضمن منظومة قيود تشريعية </w:t>
      </w:r>
      <w:proofErr w:type="spellStart"/>
      <w:r w:rsidRPr="00EE3287">
        <w:rPr>
          <w:rFonts w:ascii="Simplified Arabic" w:eastAsia="Times New Roman" w:hAnsi="Simplified Arabic" w:cs="Simplified Arabic"/>
          <w:color w:val="EE0000"/>
          <w:kern w:val="0"/>
          <w:sz w:val="28"/>
          <w:szCs w:val="28"/>
          <w:rtl/>
          <w14:ligatures w14:val="none"/>
        </w:rPr>
        <w:t>وحوكمية</w:t>
      </w:r>
      <w:proofErr w:type="spellEnd"/>
      <w:r w:rsidRPr="00EE3287">
        <w:rPr>
          <w:rFonts w:ascii="Simplified Arabic" w:eastAsia="Times New Roman" w:hAnsi="Simplified Arabic" w:cs="Simplified Arabic"/>
          <w:color w:val="EE0000"/>
          <w:kern w:val="0"/>
          <w:sz w:val="28"/>
          <w:szCs w:val="28"/>
          <w:rtl/>
          <w14:ligatures w14:val="none"/>
        </w:rPr>
        <w:t xml:space="preserve"> مميّزة تشمل نظام المنافسات والمشتريات الحكومية، ونظام حماية البيانات الشخصية، ولوائح هيئة الحكومة الرقمية، وضوابط الحوكمة الأخلاقية للذكاء الاصطناعي الصادرة عن </w:t>
      </w:r>
      <w:proofErr w:type="spellStart"/>
      <w:r w:rsidRPr="00EE3287">
        <w:rPr>
          <w:rFonts w:ascii="Simplified Arabic" w:eastAsia="Times New Roman" w:hAnsi="Simplified Arabic" w:cs="Simplified Arabic"/>
          <w:color w:val="EE0000"/>
          <w:kern w:val="0"/>
          <w:sz w:val="28"/>
          <w:szCs w:val="28"/>
          <w:rtl/>
          <w14:ligatures w14:val="none"/>
        </w:rPr>
        <w:t>سدايا</w:t>
      </w:r>
      <w:proofErr w:type="spellEnd"/>
      <w:r w:rsidRPr="00EE3287">
        <w:rPr>
          <w:rFonts w:ascii="Simplified Arabic" w:eastAsia="Times New Roman" w:hAnsi="Simplified Arabic" w:cs="Simplified Arabic"/>
          <w:color w:val="EE0000"/>
          <w:kern w:val="0"/>
          <w:sz w:val="28"/>
          <w:szCs w:val="28"/>
          <w:rtl/>
          <w14:ligatures w14:val="none"/>
        </w:rPr>
        <w:t xml:space="preserve">؛ وهي قيود تتوسّط علاقة المتغير المستقل بالمتغير التابع وتُميّز نمط الأثر عن نظيره في القطاع الخاص، بحيث يُسهم تحسين كفاءة كل حلقة وتعزيز التكامل فيما بينها </w:t>
      </w:r>
      <w:r w:rsidRPr="00EE3287">
        <w:rPr>
          <w:rFonts w:ascii="Simplified Arabic" w:eastAsia="Times New Roman" w:hAnsi="Simplified Arabic" w:cs="Simplified Arabic"/>
          <w:color w:val="EE0000"/>
          <w:kern w:val="0"/>
          <w:sz w:val="28"/>
          <w:szCs w:val="28"/>
          <w:rtl/>
          <w14:ligatures w14:val="none"/>
        </w:rPr>
        <w:lastRenderedPageBreak/>
        <w:t>في رفع الأداء الكلي للمؤسسة وتحقيق أهداف رؤية المملكة 2030 في بناء حكومة فاعلة ورشيقة تتمحور حول المستفيد".</w:t>
      </w:r>
    </w:p>
    <w:p w14:paraId="371F46DB" w14:textId="46E377F2" w:rsidR="00092108" w:rsidRPr="00092108" w:rsidRDefault="00092108" w:rsidP="00EE328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t>ثانياً: أهمية سلسلة القيمة التشغيلية في المؤسسات الحكومية الكبرى</w:t>
      </w:r>
    </w:p>
    <w:p w14:paraId="45EE2396" w14:textId="093F2B32"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تكتسب سلسلة القيمة التشغيلية أهمية استثنائية ومتنامية في سياق المؤسسات الحكومية الكبرى، وذلك بالنظر إلى الطبيعة المعقدة والمتشعبة لعمل هذه المؤسسات التي تتعامل يومياً مع ملايين المستفيدين وتدير موازنات ضخمة وتشغّل آلاف الموظفين عبر وحدات تنظيمية متعددة ومنتشرة جغرافياً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فعلى خلاف مؤسسات القطاع الخاص التي تسعى لتعظيم هوامش الربح، فإنّ المؤسسات الحكومية تستهدف تعظيم القيمة العامة المقدمة للمواطن والمقيم ورفع مستوى رضاهم وتعزيز ثقتهم في الجهاز الحكومي، مما يجعل من تحليل سلسلة القيمة التشغيلية وتحسينها مسألة ذات أبعاد اجتماعية وتنموية وليست اقتصادية فحسب. وقد ازدادت هذه الأهمية في ظل توجّه المملكة العربية السعودية نحو تحقيق أهداف رؤية 2030 التي تتطلب من المؤسسات الحكومية الكبرى مستويات غير مسبوقة من الكفاءة والشفافية والرشاقة في تقديم الخدمات</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وفيما يلي عرض لأبرز جوانب أهمية سلسلة القيمة التشغيلية كما تناولتها الدراسات المرجعية للمتغير التابع في هذه الدراسة</w:t>
      </w:r>
      <w:r w:rsidRPr="00092108">
        <w:rPr>
          <w:rFonts w:ascii="Simplified Arabic" w:eastAsia="Times New Roman" w:hAnsi="Simplified Arabic" w:cs="Simplified Arabic"/>
          <w:kern w:val="0"/>
          <w:sz w:val="28"/>
          <w:szCs w:val="28"/>
          <w14:ligatures w14:val="none"/>
        </w:rPr>
        <w:t>.</w:t>
      </w:r>
    </w:p>
    <w:p w14:paraId="0D090D18"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ويُشير</w:t>
      </w:r>
      <w:r w:rsidRPr="00092108">
        <w:rPr>
          <w:rFonts w:ascii="Simplified Arabic" w:eastAsia="Times New Roman" w:hAnsi="Simplified Arabic" w:cs="Simplified Arabic"/>
          <w:kern w:val="0"/>
          <w:sz w:val="28"/>
          <w:szCs w:val="28"/>
          <w14:ligatures w14:val="none"/>
        </w:rPr>
        <w:t xml:space="preserve"> (Naas &amp; </w:t>
      </w:r>
      <w:proofErr w:type="spellStart"/>
      <w:r w:rsidRPr="00092108">
        <w:rPr>
          <w:rFonts w:ascii="Simplified Arabic" w:eastAsia="Times New Roman" w:hAnsi="Simplified Arabic" w:cs="Simplified Arabic"/>
          <w:kern w:val="0"/>
          <w:sz w:val="28"/>
          <w:szCs w:val="28"/>
          <w14:ligatures w14:val="none"/>
        </w:rPr>
        <w:t>Berass</w:t>
      </w:r>
      <w:proofErr w:type="spellEnd"/>
      <w:r w:rsidRPr="00092108">
        <w:rPr>
          <w:rFonts w:ascii="Simplified Arabic" w:eastAsia="Times New Roman" w:hAnsi="Simplified Arabic" w:cs="Simplified Arabic"/>
          <w:kern w:val="0"/>
          <w:sz w:val="28"/>
          <w:szCs w:val="28"/>
          <w14:ligatures w14:val="none"/>
        </w:rPr>
        <w:t xml:space="preserve">, 2024) </w:t>
      </w:r>
      <w:r w:rsidRPr="00092108">
        <w:rPr>
          <w:rFonts w:ascii="Simplified Arabic" w:eastAsia="Times New Roman" w:hAnsi="Simplified Arabic" w:cs="Simplified Arabic"/>
          <w:kern w:val="0"/>
          <w:sz w:val="28"/>
          <w:szCs w:val="28"/>
          <w:rtl/>
          <w14:ligatures w14:val="none"/>
        </w:rPr>
        <w:t>إلى أنّ أهمية تحليل سلسلة القيمة التشغيلية وتحسينها تتجلى في عدة محاور جوهرية</w:t>
      </w:r>
      <w:r w:rsidRPr="00092108">
        <w:rPr>
          <w:rFonts w:ascii="Simplified Arabic" w:eastAsia="Times New Roman" w:hAnsi="Simplified Arabic" w:cs="Simplified Arabic"/>
          <w:kern w:val="0"/>
          <w:sz w:val="28"/>
          <w:szCs w:val="28"/>
          <w14:ligatures w14:val="none"/>
        </w:rPr>
        <w:t>:</w:t>
      </w:r>
    </w:p>
    <w:p w14:paraId="2F48062B" w14:textId="69E3C6B4"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تحديد الأنشطة المُولّدة للقيمة وتعزيزها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يُمكّن تحليل سلسلة القيمة من الوقوف بدقة على الأنشطة التي تُسهم بالقدر الأكبر في تلبية احتياجات المستفيدين وتحسين مستوى رضاهم، مما يُتيح للإدارة توجيه مواردها واهتمامها نحو هذه الأنشطة وتطويرها بشكل مستمر ومنهجي</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وفي المؤسسات الحكومية الكبرى، يعني هذا تحديد المراحل التي يُحقق فيها المستفيد أعلى قيمة مُدرَكة من الخدمة الحكومية، والتركيز على تحسينها وتسريعها وتبسيطها، بدلاً من توزيع الموارد بالتساوي على جميع الأنشطة بغض النظر عن مساهمتها الفعلية في خلق القيمة</w:t>
      </w:r>
      <w:r w:rsidRPr="00A5503B">
        <w:rPr>
          <w:rFonts w:ascii="Simplified Arabic" w:eastAsia="Times New Roman" w:hAnsi="Simplified Arabic" w:cs="Simplified Arabic"/>
          <w:kern w:val="0"/>
          <w:sz w:val="28"/>
          <w:szCs w:val="28"/>
          <w14:ligatures w14:val="none"/>
        </w:rPr>
        <w:t>.</w:t>
      </w:r>
    </w:p>
    <w:p w14:paraId="79217F27" w14:textId="6E9244A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الكشف عن أوجه الترابط بين الأنشطة وتحديد نقاط الاحتكاك</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يُسهم تحليل سلسلة القيمة في إماطة اللثام عن الروابط والتبعيات الخفية بين الأنشطة المختلفة داخل المؤسسة، ويُحدد بوضوح نقاط الاحتكاك والاختناق التي تُعيق التدفق السلس للعمليات وتُولّد هدراً في الوقت والموارد</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وقد </w:t>
      </w:r>
      <w:r w:rsidRPr="00A5503B">
        <w:rPr>
          <w:rFonts w:ascii="Simplified Arabic" w:eastAsia="Times New Roman" w:hAnsi="Simplified Arabic" w:cs="Simplified Arabic"/>
          <w:kern w:val="0"/>
          <w:sz w:val="28"/>
          <w:szCs w:val="28"/>
          <w:rtl/>
          <w14:ligatures w14:val="none"/>
        </w:rPr>
        <w:lastRenderedPageBreak/>
        <w:t>أكد الباحثان أنّ الرقابة الإدارية بوصفها أداة استراتيجية تُمكّن من تحديد مناطق الهدر وضعف الأداء التي تُعيق كفاءة المؤسسة، ثم التوصية بإجراءات تصحيحية مُستهدفة لتعظيم القيمة المُضافة في كل خطوة من خطوات العملية، وهو ما يكتسب أهمية بالغة في المؤسسات الحكومية ذات المستويات الإدارية المتعددة والإجراءات المتشعبة</w:t>
      </w:r>
      <w:r w:rsidRPr="00A5503B">
        <w:rPr>
          <w:rFonts w:ascii="Simplified Arabic" w:eastAsia="Times New Roman" w:hAnsi="Simplified Arabic" w:cs="Simplified Arabic"/>
          <w:kern w:val="0"/>
          <w:sz w:val="28"/>
          <w:szCs w:val="28"/>
          <w14:ligatures w14:val="none"/>
        </w:rPr>
        <w:t>.</w:t>
      </w:r>
    </w:p>
    <w:p w14:paraId="1985CFD6" w14:textId="77777777" w:rsidR="00A5503B" w:rsidRDefault="00092108" w:rsidP="005D731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اكتشاف فرص التحسين والابتكار</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يُساعد فحص كل حلقة من حلقات السلسلة بشكل منفصل ومتكامل في تحديد إمكانيات التطوير في مجالات الجودة والكفاءة التشغيلية ورضا المستفيدين، فضلاً عن دعم الابتكار واستدامة خلق القيمة من خلال تكييف سلسلة القيمة مع التغيرات التقنية والمجتمعية لتطوير خدمات حكومية جديدة ومبتكرة تستجيب لتطلعات المواطنين المتصاعدة. </w:t>
      </w:r>
    </w:p>
    <w:p w14:paraId="79A85A0E" w14:textId="35159F1C" w:rsidR="00092108" w:rsidRPr="00A5503B" w:rsidRDefault="00092108" w:rsidP="00A5503B">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kern w:val="0"/>
          <w:sz w:val="28"/>
          <w:szCs w:val="28"/>
          <w:rtl/>
          <w14:ligatures w14:val="none"/>
        </w:rPr>
        <w:t>ويرى</w:t>
      </w:r>
      <w:r w:rsidRPr="00A5503B">
        <w:rPr>
          <w:rFonts w:ascii="Simplified Arabic" w:eastAsia="Times New Roman" w:hAnsi="Simplified Arabic" w:cs="Simplified Arabic"/>
          <w:kern w:val="0"/>
          <w:sz w:val="28"/>
          <w:szCs w:val="28"/>
          <w14:ligatures w14:val="none"/>
        </w:rPr>
        <w:t xml:space="preserve"> (</w:t>
      </w:r>
      <w:proofErr w:type="spellStart"/>
      <w:r w:rsidRPr="00A5503B">
        <w:rPr>
          <w:rFonts w:ascii="Simplified Arabic" w:eastAsia="Times New Roman" w:hAnsi="Simplified Arabic" w:cs="Simplified Arabic"/>
          <w:kern w:val="0"/>
          <w:sz w:val="28"/>
          <w:szCs w:val="28"/>
          <w14:ligatures w14:val="none"/>
        </w:rPr>
        <w:t>Tyapukhin</w:t>
      </w:r>
      <w:proofErr w:type="spellEnd"/>
      <w:r w:rsidRPr="00A5503B">
        <w:rPr>
          <w:rFonts w:ascii="Simplified Arabic" w:eastAsia="Times New Roman" w:hAnsi="Simplified Arabic" w:cs="Simplified Arabic"/>
          <w:kern w:val="0"/>
          <w:sz w:val="28"/>
          <w:szCs w:val="28"/>
          <w14:ligatures w14:val="none"/>
        </w:rPr>
        <w:t xml:space="preserve">, 2023) </w:t>
      </w:r>
      <w:r w:rsidRPr="00A5503B">
        <w:rPr>
          <w:rFonts w:ascii="Simplified Arabic" w:eastAsia="Times New Roman" w:hAnsi="Simplified Arabic" w:cs="Simplified Arabic"/>
          <w:kern w:val="0"/>
          <w:sz w:val="28"/>
          <w:szCs w:val="28"/>
          <w:rtl/>
          <w14:ligatures w14:val="none"/>
        </w:rPr>
        <w:t>أنّ أهمية سلسلة القيمة التشغيلية تتعاظم بشكل جوهري عندما يتم النظر إليها ضمن إطار مفاهيمي متكامل لا يقتصر على سلسلة القيمة ذاتها، بل يشمل أيضاً سلاسل الابتكار والطلب والعرض باعتبارها منظومة مترابطة لا يمكن فصل مكوناتها</w:t>
      </w:r>
      <w:r w:rsidRPr="00A5503B">
        <w:rPr>
          <w:rFonts w:ascii="Simplified Arabic" w:eastAsia="Times New Roman" w:hAnsi="Simplified Arabic" w:cs="Simplified Arabic"/>
          <w:kern w:val="0"/>
          <w:sz w:val="28"/>
          <w:szCs w:val="28"/>
          <w14:ligatures w14:val="none"/>
        </w:rPr>
        <w:t>:</w:t>
      </w:r>
    </w:p>
    <w:p w14:paraId="4A93B5DC" w14:textId="3D66DA3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تقليل الخسائر من خلال التوزيع الرشيد للوظائف والصلاحيات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يؤكد أنّ التوزيع المنهجي للوظائف والصلاحيات والمسؤوليات بين حلقات السلسلة المختلفة، وإزالة الحواجز الوظيفية المتقاطعة بين الأنشطة، يُقلّل من الأرباح الضائعة والموارد المُهدرة ويُحسّن الأداء الكلي للمنظومة. وهذه الأهمية تتضاعف في المؤسسات الحكومية الكبرى التي تتميز ببيروقراطية تنظيمية وتعدد مستويات إدارية، حيث تُشكّل العزلة التنظيمية بين الإدارات واحداً من أكبر معوقات الكفاءة</w:t>
      </w:r>
      <w:r w:rsidRPr="00A5503B">
        <w:rPr>
          <w:rFonts w:ascii="Simplified Arabic" w:eastAsia="Times New Roman" w:hAnsi="Simplified Arabic" w:cs="Simplified Arabic"/>
          <w:kern w:val="0"/>
          <w:sz w:val="28"/>
          <w:szCs w:val="28"/>
          <w14:ligatures w14:val="none"/>
        </w:rPr>
        <w:t>.</w:t>
      </w:r>
    </w:p>
    <w:p w14:paraId="1FB48C9E" w14:textId="7C45E3B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بناء جهاز مفاهيمي ومصطلحي موحّد لإدارة السلسلة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يُبرز أنّ أهمية سلسلة القيمة تمتد إلى الجانب المعرفي والتنظيمي، حيث إنّ تطوير مصطلحات وهياكل ومفاهيم واضحة لإدارة السلسلة يُسهم في تحسين التواصل بين مختلف الأطراف المعنية وتقليل سوء الفهم الذي يُفضي إلى أخطاء تشغيلية وتأخيرات في تقديم الخدمات</w:t>
      </w:r>
      <w:r w:rsidRPr="00A5503B">
        <w:rPr>
          <w:rFonts w:ascii="Simplified Arabic" w:eastAsia="Times New Roman" w:hAnsi="Simplified Arabic" w:cs="Simplified Arabic"/>
          <w:kern w:val="0"/>
          <w:sz w:val="28"/>
          <w:szCs w:val="28"/>
          <w14:ligatures w14:val="none"/>
        </w:rPr>
        <w:t>.</w:t>
      </w:r>
    </w:p>
    <w:p w14:paraId="6C835F1D" w14:textId="7F3162D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تمكين الإدارة المتكاملة لأنواع القيمة المختلفة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يوضح أنّ سلسلة القيمة لا تُولّد نوعاً واحداً من القيمة، بل أنواعاً متعددة تشمل القيمة الاقتصادية والخدمية والاجتماعية والابتكارية، وأنّ كل نوع يتطلب أسلوب إدارة مختلفاً وآليات قياس خاصة، </w:t>
      </w:r>
      <w:r w:rsidR="00A5503B">
        <w:rPr>
          <w:rFonts w:ascii="Simplified Arabic" w:eastAsia="Times New Roman" w:hAnsi="Simplified Arabic" w:cs="Simplified Arabic" w:hint="cs"/>
          <w:kern w:val="0"/>
          <w:sz w:val="28"/>
          <w:szCs w:val="28"/>
          <w:rtl/>
          <w14:ligatures w14:val="none"/>
        </w:rPr>
        <w:t>و</w:t>
      </w:r>
      <w:r w:rsidRPr="00A5503B">
        <w:rPr>
          <w:rFonts w:ascii="Simplified Arabic" w:eastAsia="Times New Roman" w:hAnsi="Simplified Arabic" w:cs="Simplified Arabic"/>
          <w:kern w:val="0"/>
          <w:sz w:val="28"/>
          <w:szCs w:val="28"/>
          <w:rtl/>
          <w14:ligatures w14:val="none"/>
        </w:rPr>
        <w:t xml:space="preserve">يعني هذا أنّ المؤسسة لا تُقدّم قيمة خدمية فحسب، بل تُسهم أيضاً في خلق قيمة اجتماعية من خلال تعزيز العدالة والشمول، وقيمة تنموية </w:t>
      </w:r>
      <w:r w:rsidRPr="00A5503B">
        <w:rPr>
          <w:rFonts w:ascii="Simplified Arabic" w:eastAsia="Times New Roman" w:hAnsi="Simplified Arabic" w:cs="Simplified Arabic"/>
          <w:kern w:val="0"/>
          <w:sz w:val="28"/>
          <w:szCs w:val="28"/>
          <w:rtl/>
          <w14:ligatures w14:val="none"/>
        </w:rPr>
        <w:lastRenderedPageBreak/>
        <w:t>من خلال دعم الاقتصاد المعرفي، مما يستوجب نظرة شمولية لسلسلة القيمة تتجاوز المقاييس التشغيلية التقليدية</w:t>
      </w:r>
      <w:r w:rsidRPr="00A5503B">
        <w:rPr>
          <w:rFonts w:ascii="Simplified Arabic" w:eastAsia="Times New Roman" w:hAnsi="Simplified Arabic" w:cs="Simplified Arabic"/>
          <w:kern w:val="0"/>
          <w:sz w:val="28"/>
          <w:szCs w:val="28"/>
          <w14:ligatures w14:val="none"/>
        </w:rPr>
        <w:t>.</w:t>
      </w:r>
    </w:p>
    <w:p w14:paraId="13A3C0D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ويُؤكد</w:t>
      </w:r>
      <w:r w:rsidRPr="00092108">
        <w:rPr>
          <w:rFonts w:ascii="Simplified Arabic" w:eastAsia="Times New Roman" w:hAnsi="Simplified Arabic" w:cs="Simplified Arabic"/>
          <w:kern w:val="0"/>
          <w:sz w:val="28"/>
          <w:szCs w:val="28"/>
          <w14:ligatures w14:val="none"/>
        </w:rPr>
        <w:t xml:space="preserve"> (Mboyo et al., 2025) </w:t>
      </w:r>
      <w:r w:rsidRPr="00092108">
        <w:rPr>
          <w:rFonts w:ascii="Simplified Arabic" w:eastAsia="Times New Roman" w:hAnsi="Simplified Arabic" w:cs="Simplified Arabic"/>
          <w:kern w:val="0"/>
          <w:sz w:val="28"/>
          <w:szCs w:val="28"/>
          <w:rtl/>
          <w14:ligatures w14:val="none"/>
        </w:rPr>
        <w:t xml:space="preserve">أنّ أهمية سلسلة القيمة التشغيلية تبرز بشكل خاص في بُعدها </w:t>
      </w:r>
      <w:proofErr w:type="spellStart"/>
      <w:r w:rsidRPr="00092108">
        <w:rPr>
          <w:rFonts w:ascii="Simplified Arabic" w:eastAsia="Times New Roman" w:hAnsi="Simplified Arabic" w:cs="Simplified Arabic"/>
          <w:kern w:val="0"/>
          <w:sz w:val="28"/>
          <w:szCs w:val="28"/>
          <w:rtl/>
          <w14:ligatures w14:val="none"/>
        </w:rPr>
        <w:t>التكاليفي</w:t>
      </w:r>
      <w:proofErr w:type="spellEnd"/>
      <w:r w:rsidRPr="00092108">
        <w:rPr>
          <w:rFonts w:ascii="Simplified Arabic" w:eastAsia="Times New Roman" w:hAnsi="Simplified Arabic" w:cs="Simplified Arabic"/>
          <w:kern w:val="0"/>
          <w:sz w:val="28"/>
          <w:szCs w:val="28"/>
          <w:rtl/>
          <w14:ligatures w14:val="none"/>
        </w:rPr>
        <w:t xml:space="preserve"> والتخطيطي، حيث يُوفّر تحليلها رؤى بالغة القيمة لصانعي القرار</w:t>
      </w:r>
      <w:r w:rsidRPr="00092108">
        <w:rPr>
          <w:rFonts w:ascii="Simplified Arabic" w:eastAsia="Times New Roman" w:hAnsi="Simplified Arabic" w:cs="Simplified Arabic"/>
          <w:kern w:val="0"/>
          <w:sz w:val="28"/>
          <w:szCs w:val="28"/>
          <w14:ligatures w14:val="none"/>
        </w:rPr>
        <w:t>:</w:t>
      </w:r>
    </w:p>
    <w:p w14:paraId="0C2A7883" w14:textId="325D1E13"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دعم التخطيط الاستراتيجي واتخاذ القرار المبني على البيانات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يُتيح تحليل توزيع التكاليف على امتداد حلقات السلسلة فهماً تفصيلياً لكيفية استهلاك الموارد في كل مرحلة، مما يُزوّد صانعي القرار في المؤسسات الحكومية بقاعدة معلوماتية موضوعية لتحديد أولويات التحسين وتوجيه الاستثمارات التقنية نحو الحلقات التي تُحقق أعلى عائد وأثر ملموس في تحسين الخدمة</w:t>
      </w:r>
      <w:r w:rsidRPr="00A5503B">
        <w:rPr>
          <w:rFonts w:ascii="Simplified Arabic" w:eastAsia="Times New Roman" w:hAnsi="Simplified Arabic" w:cs="Simplified Arabic"/>
          <w:kern w:val="0"/>
          <w:sz w:val="28"/>
          <w:szCs w:val="28"/>
          <w14:ligatures w14:val="none"/>
        </w:rPr>
        <w:t>.</w:t>
      </w:r>
    </w:p>
    <w:p w14:paraId="545E0318" w14:textId="50051256"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تحديد محركات التكلفة الرئيسة في كل وحدة تشغيلية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يكشف التحليل التفصيلي عن العوامل الأكثر تأثيراً في تكاليف كل حلقة من حلقات السلسلة سواء كانت تكاليف </w:t>
      </w:r>
      <w:proofErr w:type="gramStart"/>
      <w:r w:rsidRPr="00A5503B">
        <w:rPr>
          <w:rFonts w:ascii="Simplified Arabic" w:eastAsia="Times New Roman" w:hAnsi="Simplified Arabic" w:cs="Simplified Arabic"/>
          <w:kern w:val="0"/>
          <w:sz w:val="28"/>
          <w:szCs w:val="28"/>
          <w:rtl/>
          <w14:ligatures w14:val="none"/>
        </w:rPr>
        <w:t>طاقة</w:t>
      </w:r>
      <w:proofErr w:type="gramEnd"/>
      <w:r w:rsidRPr="00A5503B">
        <w:rPr>
          <w:rFonts w:ascii="Simplified Arabic" w:eastAsia="Times New Roman" w:hAnsi="Simplified Arabic" w:cs="Simplified Arabic"/>
          <w:kern w:val="0"/>
          <w:sz w:val="28"/>
          <w:szCs w:val="28"/>
          <w:rtl/>
          <w14:ligatures w14:val="none"/>
        </w:rPr>
        <w:t xml:space="preserve"> أو صيانة أو عمالة أو مواد استهلاكية مما يُمكّن المؤسسة من التدخل المستهدف لمعالجة المحركات الأعلى تكلفة بدلاً من اللجوء إلى إجراءات خفض عشوائية قد تُضعف جودة الخدمة</w:t>
      </w:r>
      <w:r w:rsidRPr="00A5503B">
        <w:rPr>
          <w:rFonts w:ascii="Simplified Arabic" w:eastAsia="Times New Roman" w:hAnsi="Simplified Arabic" w:cs="Simplified Arabic"/>
          <w:kern w:val="0"/>
          <w:sz w:val="28"/>
          <w:szCs w:val="28"/>
          <w14:ligatures w14:val="none"/>
        </w:rPr>
        <w:t>.</w:t>
      </w:r>
    </w:p>
    <w:p w14:paraId="35A990D4" w14:textId="49B03C81"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توفير أساس موضوعي للمقارنة المرجعية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يُمكّن تحليل سلسلة القيمة التشغيلية من مقارنة أداء المؤسسة بالمعايير المرجعية القطاعية والدولية، مما يُعزّز المساءلة والشفافية وهما ركيزتان أساسيتان في الحوكمة الحكومية الرشيدة ويُحدد الفجوات الأدائية التي تحتاج إلى معالجة، ويضع أهدافاً واقعية وقابلة للقياس لعملية التحسين المستمر</w:t>
      </w:r>
      <w:r w:rsidRPr="00A5503B">
        <w:rPr>
          <w:rFonts w:ascii="Simplified Arabic" w:eastAsia="Times New Roman" w:hAnsi="Simplified Arabic" w:cs="Simplified Arabic"/>
          <w:kern w:val="0"/>
          <w:sz w:val="28"/>
          <w:szCs w:val="28"/>
          <w14:ligatures w14:val="none"/>
        </w:rPr>
        <w:t>.</w:t>
      </w:r>
    </w:p>
    <w:p w14:paraId="57DF408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ويُضيف</w:t>
      </w:r>
      <w:r w:rsidRPr="00092108">
        <w:rPr>
          <w:rFonts w:ascii="Simplified Arabic" w:eastAsia="Times New Roman" w:hAnsi="Simplified Arabic" w:cs="Simplified Arabic"/>
          <w:kern w:val="0"/>
          <w:sz w:val="28"/>
          <w:szCs w:val="28"/>
          <w14:ligatures w14:val="none"/>
        </w:rPr>
        <w:t xml:space="preserve"> (Ghadir et al., 2024) </w:t>
      </w:r>
      <w:r w:rsidRPr="00092108">
        <w:rPr>
          <w:rFonts w:ascii="Simplified Arabic" w:eastAsia="Times New Roman" w:hAnsi="Simplified Arabic" w:cs="Simplified Arabic"/>
          <w:kern w:val="0"/>
          <w:sz w:val="28"/>
          <w:szCs w:val="28"/>
          <w:rtl/>
          <w14:ligatures w14:val="none"/>
        </w:rPr>
        <w:t>بُعداً معاصراً ونوعياً لأهمية سلسلة القيمة التشغيلية في ظل عصر التحول الرقمي والذكاء الاصطناعي</w:t>
      </w:r>
      <w:r w:rsidRPr="00092108">
        <w:rPr>
          <w:rFonts w:ascii="Simplified Arabic" w:eastAsia="Times New Roman" w:hAnsi="Simplified Arabic" w:cs="Simplified Arabic"/>
          <w:kern w:val="0"/>
          <w:sz w:val="28"/>
          <w:szCs w:val="28"/>
          <w14:ligatures w14:val="none"/>
        </w:rPr>
        <w:t>:</w:t>
      </w:r>
    </w:p>
    <w:p w14:paraId="2ABC0710" w14:textId="69B5371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التحوّل من التحليل الدوري إلى المراقبة الآنية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يُشير إلى أنّ التقنيات الرقمية والذكاء الاصطناعي أضافا طبقة جديدة من الأهمية لتحليل سلسلة القيمة، حيث أصبح بالإمكان مراقبة أداء كل حلقة في الزمن الحقيقي بدلاً من الاكتفاء بتقارير دورية متأخرة، مما يُحوّل سلسلة القيمة من أداة تحليلية ساكنة تُستخدم بشكل موسمي إلى منظومة حية تُنبّه صانع القرار لحظة حدوث أي انحراف</w:t>
      </w:r>
      <w:r w:rsidRPr="00A5503B">
        <w:rPr>
          <w:rFonts w:ascii="Simplified Arabic" w:eastAsia="Times New Roman" w:hAnsi="Simplified Arabic" w:cs="Simplified Arabic"/>
          <w:kern w:val="0"/>
          <w:sz w:val="28"/>
          <w:szCs w:val="28"/>
          <w14:ligatures w14:val="none"/>
        </w:rPr>
        <w:t>.</w:t>
      </w:r>
    </w:p>
    <w:p w14:paraId="0A67C03D" w14:textId="1403389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lastRenderedPageBreak/>
        <w:t xml:space="preserve"> </w:t>
      </w:r>
      <w:r w:rsidRPr="00A5503B">
        <w:rPr>
          <w:rFonts w:ascii="Simplified Arabic" w:eastAsia="Times New Roman" w:hAnsi="Simplified Arabic" w:cs="Simplified Arabic"/>
          <w:b/>
          <w:bCs/>
          <w:kern w:val="0"/>
          <w:sz w:val="28"/>
          <w:szCs w:val="28"/>
          <w:rtl/>
          <w14:ligatures w14:val="none"/>
        </w:rPr>
        <w:t>التنبؤ بالاختناقات قبل وقوعها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يوضح أنّ النماذج التنبؤية المدعومة بالذكاء الاصطناعي تُمكّن من رصد المؤشرات المبكرة لاختناقات السلسلة والتنبؤ بها قبل أن تتحول إلى مشكلات فعلية تُعطّل تقديم الخدمات، وهو ما يُحوّل نهج إدارة السلسلة من رد الفعل إلى الاستباق والوقاية</w:t>
      </w:r>
      <w:r w:rsidRPr="00A5503B">
        <w:rPr>
          <w:rFonts w:ascii="Simplified Arabic" w:eastAsia="Times New Roman" w:hAnsi="Simplified Arabic" w:cs="Simplified Arabic"/>
          <w:kern w:val="0"/>
          <w:sz w:val="28"/>
          <w:szCs w:val="28"/>
          <w14:ligatures w14:val="none"/>
        </w:rPr>
        <w:t>.</w:t>
      </w:r>
    </w:p>
    <w:p w14:paraId="4946AC51" w14:textId="7FBB7B6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تحسين تدفق العمليات تلقائياً وتخصيص تجربة المستفيد</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يُبيّن أنّ سلاسل القيمة الرقمية المدعومة بالذكاء الاصطناعي قادرة على إعادة ضبط تدفق العمليات تلقائياً استجابةً للتغيرات الآنية في أحجام الطلب أو توافر الموارد، فضلاً عن تخصيص قنوات تقديم الخدمة ومحتواها بحسب تفضيلات كل مستفيد، مما يُحقق مستويات غير مسبوقة من المرونة التشغيلية وجودة تجربة المستفيد</w:t>
      </w:r>
      <w:r w:rsidRPr="00A5503B">
        <w:rPr>
          <w:rFonts w:ascii="Simplified Arabic" w:eastAsia="Times New Roman" w:hAnsi="Simplified Arabic" w:cs="Simplified Arabic"/>
          <w:kern w:val="0"/>
          <w:sz w:val="28"/>
          <w:szCs w:val="28"/>
          <w14:ligatures w14:val="none"/>
        </w:rPr>
        <w:t>.</w:t>
      </w:r>
    </w:p>
    <w:p w14:paraId="38CB75F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t>ثالثاً: أهداف تحليل وتحسين سلسلة القيمة التشغيلية في المؤسسات الحكومية الكبرى</w:t>
      </w:r>
    </w:p>
    <w:p w14:paraId="7078F571" w14:textId="0AFE76D6"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لا يُعدّ تحليل سلسلة القيمة التشغيلية غاية في حد ذاته، بل هو وسيلة منهجية تُوظّفها المؤسسات الحكومية الكبرى لتحقيق مجموعة من الأهداف المتكاملة التي تمتد عبر المستويات التشغيلية والإدارية والاستراتيجية. وتتباين هذه الأهداف في طبيعتها وأفقها الزمني، إلا أنها تتقاطع جميعها في سعيها المشترك نحو تعظيم القيمة المُدرَكة لدى المستفيد وتحقيق أعلى مستويات الكفاءة في استخدام الموارد العامة. </w:t>
      </w:r>
    </w:p>
    <w:p w14:paraId="4CF942FB" w14:textId="63D0890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يُحدّد</w:t>
      </w:r>
      <w:r w:rsidRPr="00092108">
        <w:rPr>
          <w:rFonts w:ascii="Simplified Arabic" w:eastAsia="Times New Roman" w:hAnsi="Simplified Arabic" w:cs="Simplified Arabic"/>
          <w:kern w:val="0"/>
          <w:sz w:val="28"/>
          <w:szCs w:val="28"/>
          <w14:ligatures w14:val="none"/>
        </w:rPr>
        <w:t xml:space="preserve"> (Naas &amp; </w:t>
      </w:r>
      <w:proofErr w:type="spellStart"/>
      <w:r w:rsidRPr="00092108">
        <w:rPr>
          <w:rFonts w:ascii="Simplified Arabic" w:eastAsia="Times New Roman" w:hAnsi="Simplified Arabic" w:cs="Simplified Arabic"/>
          <w:kern w:val="0"/>
          <w:sz w:val="28"/>
          <w:szCs w:val="28"/>
          <w14:ligatures w14:val="none"/>
        </w:rPr>
        <w:t>Berass</w:t>
      </w:r>
      <w:proofErr w:type="spellEnd"/>
      <w:r w:rsidRPr="00092108">
        <w:rPr>
          <w:rFonts w:ascii="Simplified Arabic" w:eastAsia="Times New Roman" w:hAnsi="Simplified Arabic" w:cs="Simplified Arabic"/>
          <w:kern w:val="0"/>
          <w:sz w:val="28"/>
          <w:szCs w:val="28"/>
          <w14:ligatures w14:val="none"/>
        </w:rPr>
        <w:t xml:space="preserve">, 2024) </w:t>
      </w:r>
      <w:r w:rsidRPr="00092108">
        <w:rPr>
          <w:rFonts w:ascii="Simplified Arabic" w:eastAsia="Times New Roman" w:hAnsi="Simplified Arabic" w:cs="Simplified Arabic"/>
          <w:kern w:val="0"/>
          <w:sz w:val="28"/>
          <w:szCs w:val="28"/>
          <w:rtl/>
          <w14:ligatures w14:val="none"/>
        </w:rPr>
        <w:t>جملة من الأهداف التي يسعى تحليل سلسلة القيمة إلى تحقيقها من خلال توظيف أدوات الرقابة الإدارية</w:t>
      </w:r>
      <w:r w:rsidRPr="00092108">
        <w:rPr>
          <w:rFonts w:ascii="Simplified Arabic" w:eastAsia="Times New Roman" w:hAnsi="Simplified Arabic" w:cs="Simplified Arabic"/>
          <w:kern w:val="0"/>
          <w:sz w:val="28"/>
          <w:szCs w:val="28"/>
          <w14:ligatures w14:val="none"/>
        </w:rPr>
        <w:t>:</w:t>
      </w:r>
    </w:p>
    <w:p w14:paraId="118B77E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الكشف عن مناطق الهدر والأداء دون المستوى المطلوب</w:t>
      </w:r>
    </w:p>
    <w:p w14:paraId="2E8438F4" w14:textId="07953018"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تحليل سلسلة القيمة بالدرجة الأولى إجراء مسح شامل ودقيق للعمليات الداخلية بحثاً عن الأنشطة التي تستنزف الموارد دون أن تُضيف قيمة حقيقية للمستفيد</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الباحثان أنّ الرقابة الإدارية بوصفها أداة تحليلية تُمكّن من تحديد الاختناقات والأنشطة منخفضة العائد بدقة، ومن ثمّ تصميم حلول تصحيحية مُستهدفة تُعالج الأسباب الجذرية وليس الأعراض الظاهرية </w:t>
      </w:r>
      <w:proofErr w:type="gramStart"/>
      <w:r w:rsidRPr="00092108">
        <w:rPr>
          <w:rFonts w:ascii="Simplified Arabic" w:eastAsia="Times New Roman" w:hAnsi="Simplified Arabic" w:cs="Simplified Arabic"/>
          <w:kern w:val="0"/>
          <w:sz w:val="28"/>
          <w:szCs w:val="28"/>
          <w:rtl/>
          <w14:ligatures w14:val="none"/>
        </w:rPr>
        <w:t>فقط</w:t>
      </w:r>
      <w:r w:rsidR="00A5503B" w:rsidRPr="00092108">
        <w:rPr>
          <w:rFonts w:ascii="Simplified Arabic" w:eastAsia="Times New Roman" w:hAnsi="Simplified Arabic" w:cs="Simplified Arabic"/>
          <w:kern w:val="0"/>
          <w:sz w:val="28"/>
          <w:szCs w:val="28"/>
          <w:rtl/>
          <w14:ligatures w14:val="none"/>
        </w:rPr>
        <w:t xml:space="preserve"> </w:t>
      </w:r>
      <w:r w:rsidRPr="00092108">
        <w:rPr>
          <w:rFonts w:ascii="Simplified Arabic" w:eastAsia="Times New Roman" w:hAnsi="Simplified Arabic" w:cs="Simplified Arabic"/>
          <w:kern w:val="0"/>
          <w:sz w:val="28"/>
          <w:szCs w:val="28"/>
          <w:rtl/>
          <w14:ligatures w14:val="none"/>
        </w:rPr>
        <w:t>،</w:t>
      </w:r>
      <w:proofErr w:type="gramEnd"/>
      <w:r w:rsidRPr="00092108">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و</w:t>
      </w:r>
      <w:r w:rsidRPr="00092108">
        <w:rPr>
          <w:rFonts w:ascii="Simplified Arabic" w:eastAsia="Times New Roman" w:hAnsi="Simplified Arabic" w:cs="Simplified Arabic"/>
          <w:kern w:val="0"/>
          <w:sz w:val="28"/>
          <w:szCs w:val="28"/>
          <w:rtl/>
          <w14:ligatures w14:val="none"/>
        </w:rPr>
        <w:t xml:space="preserve">يتجسد هذا الهدف في تحديد الإجراءات البيروقراطية المكررة والخطوات التي لا تُضيف قيمة في مسار المعاملة، والعمل على حذفها أو دمجها أو </w:t>
      </w:r>
      <w:proofErr w:type="spellStart"/>
      <w:r w:rsidRPr="00092108">
        <w:rPr>
          <w:rFonts w:ascii="Simplified Arabic" w:eastAsia="Times New Roman" w:hAnsi="Simplified Arabic" w:cs="Simplified Arabic"/>
          <w:kern w:val="0"/>
          <w:sz w:val="28"/>
          <w:szCs w:val="28"/>
          <w:rtl/>
          <w14:ligatures w14:val="none"/>
        </w:rPr>
        <w:t>أتمتتها</w:t>
      </w:r>
      <w:proofErr w:type="spellEnd"/>
      <w:r w:rsidRPr="00092108">
        <w:rPr>
          <w:rFonts w:ascii="Simplified Arabic" w:eastAsia="Times New Roman" w:hAnsi="Simplified Arabic" w:cs="Simplified Arabic"/>
          <w:kern w:val="0"/>
          <w:sz w:val="28"/>
          <w:szCs w:val="28"/>
          <w14:ligatures w14:val="none"/>
        </w:rPr>
        <w:t>.</w:t>
      </w:r>
    </w:p>
    <w:p w14:paraId="2189C68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تنسيق الوظائف المؤسسية وتعزيز الكفاءة الجماعية</w:t>
      </w:r>
    </w:p>
    <w:p w14:paraId="3D91F35F" w14:textId="45E5C44C"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lastRenderedPageBreak/>
        <w:t>يتجاوز تحليل سلسلة القيمة مجرد تحسين الأنشطة المنفردة ليستهدف تحقيق التنسيق والتكامل بين مختلف وظائف المؤسسة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أكد الباحثان أنّ الرقابة الإدارية تلعب دوراً محورياً في تحقيق هذا التنسيق من خلال توفير مؤشرات أداء مشتركة وآليات تواصل شفافة، مما يُعزّز التعاون بين الإدارات ويُحوّل جهودها المتفرقة إلى منظومة عمل متسقة تُضاعف القدرة التنافسية للمؤسسة وفاعليتها في تقديم الخدمات</w:t>
      </w:r>
      <w:r w:rsidRPr="00092108">
        <w:rPr>
          <w:rFonts w:ascii="Simplified Arabic" w:eastAsia="Times New Roman" w:hAnsi="Simplified Arabic" w:cs="Simplified Arabic"/>
          <w:kern w:val="0"/>
          <w:sz w:val="28"/>
          <w:szCs w:val="28"/>
          <w14:ligatures w14:val="none"/>
        </w:rPr>
        <w:t>.</w:t>
      </w:r>
    </w:p>
    <w:p w14:paraId="2332648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تحويل البيانات إلى قرارات استراتيجية مدروسة</w:t>
      </w:r>
    </w:p>
    <w:p w14:paraId="5F480AF3" w14:textId="24D31BAF"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تحليل سلسلة القيمة إلى تزويد الإدارة العليا بقاعدة معلوماتية غنية ومُحدّثة تُمكّنها من اتخاذ قرارات استراتيجية مبنية على حقائق وأدلة وليس على حدس أو تقديرات </w:t>
      </w:r>
      <w:proofErr w:type="spellStart"/>
      <w:proofErr w:type="gramStart"/>
      <w:r w:rsidRPr="00092108">
        <w:rPr>
          <w:rFonts w:ascii="Simplified Arabic" w:eastAsia="Times New Roman" w:hAnsi="Simplified Arabic" w:cs="Simplified Arabic"/>
          <w:kern w:val="0"/>
          <w:sz w:val="28"/>
          <w:szCs w:val="28"/>
          <w:rtl/>
          <w14:ligatures w14:val="none"/>
        </w:rPr>
        <w:t>شخصية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وقد</w:t>
      </w:r>
      <w:proofErr w:type="spellEnd"/>
      <w:proofErr w:type="gramEnd"/>
      <w:r w:rsidRPr="00092108">
        <w:rPr>
          <w:rFonts w:ascii="Simplified Arabic" w:eastAsia="Times New Roman" w:hAnsi="Simplified Arabic" w:cs="Simplified Arabic"/>
          <w:kern w:val="0"/>
          <w:sz w:val="28"/>
          <w:szCs w:val="28"/>
          <w:rtl/>
          <w14:ligatures w14:val="none"/>
        </w:rPr>
        <w:t xml:space="preserve"> أظهر الباحثان في دراستهما الميدانية أنّ التكامل بين الرقابة الإدارية ونظام المعلومات في المؤسسة العمومية حقق مستوى إسهام بلغ 95% في نجاح المؤسسة، من خلال توفير مؤشرات مالية وتشغيلية رئيسة وتحليلات ملائمة تكشف عن </w:t>
      </w:r>
    </w:p>
    <w:p w14:paraId="4484DDD1" w14:textId="29A589AC"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092108" w:rsidRPr="00092108">
        <w:rPr>
          <w:rFonts w:ascii="Simplified Arabic" w:eastAsia="Times New Roman" w:hAnsi="Simplified Arabic" w:cs="Simplified Arabic"/>
          <w:kern w:val="0"/>
          <w:sz w:val="28"/>
          <w:szCs w:val="28"/>
          <w:rtl/>
          <w14:ligatures w14:val="none"/>
        </w:rPr>
        <w:t xml:space="preserve"> يُركّز</w:t>
      </w:r>
      <w:proofErr w:type="gramEnd"/>
      <w:r w:rsidR="00092108" w:rsidRPr="00092108">
        <w:rPr>
          <w:rFonts w:ascii="Simplified Arabic" w:eastAsia="Times New Roman" w:hAnsi="Simplified Arabic" w:cs="Simplified Arabic"/>
          <w:kern w:val="0"/>
          <w:sz w:val="28"/>
          <w:szCs w:val="28"/>
          <w14:ligatures w14:val="none"/>
        </w:rPr>
        <w:t xml:space="preserve"> (Mboyo et al., 2025) </w:t>
      </w:r>
      <w:r w:rsidR="00092108" w:rsidRPr="00092108">
        <w:rPr>
          <w:rFonts w:ascii="Simplified Arabic" w:eastAsia="Times New Roman" w:hAnsi="Simplified Arabic" w:cs="Simplified Arabic"/>
          <w:kern w:val="0"/>
          <w:sz w:val="28"/>
          <w:szCs w:val="28"/>
          <w:rtl/>
          <w14:ligatures w14:val="none"/>
        </w:rPr>
        <w:t>على أهداف ذات صلة مباشرة بترشيد الموارد وتحسين اقتصاديات التشغيل</w:t>
      </w:r>
      <w:r w:rsidR="00092108" w:rsidRPr="00092108">
        <w:rPr>
          <w:rFonts w:ascii="Simplified Arabic" w:eastAsia="Times New Roman" w:hAnsi="Simplified Arabic" w:cs="Simplified Arabic"/>
          <w:kern w:val="0"/>
          <w:sz w:val="28"/>
          <w:szCs w:val="28"/>
          <w14:ligatures w14:val="none"/>
        </w:rPr>
        <w:t>:</w:t>
      </w:r>
    </w:p>
    <w:p w14:paraId="383E734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 xml:space="preserve">تحديد الملامح </w:t>
      </w:r>
      <w:proofErr w:type="spellStart"/>
      <w:r w:rsidRPr="00092108">
        <w:rPr>
          <w:rFonts w:ascii="Simplified Arabic" w:eastAsia="Times New Roman" w:hAnsi="Simplified Arabic" w:cs="Simplified Arabic"/>
          <w:b/>
          <w:bCs/>
          <w:kern w:val="0"/>
          <w:sz w:val="28"/>
          <w:szCs w:val="28"/>
          <w:rtl/>
          <w14:ligatures w14:val="none"/>
        </w:rPr>
        <w:t>التكاليفية</w:t>
      </w:r>
      <w:proofErr w:type="spellEnd"/>
      <w:r w:rsidRPr="00092108">
        <w:rPr>
          <w:rFonts w:ascii="Simplified Arabic" w:eastAsia="Times New Roman" w:hAnsi="Simplified Arabic" w:cs="Simplified Arabic"/>
          <w:b/>
          <w:bCs/>
          <w:kern w:val="0"/>
          <w:sz w:val="28"/>
          <w:szCs w:val="28"/>
          <w:rtl/>
          <w14:ligatures w14:val="none"/>
        </w:rPr>
        <w:t xml:space="preserve"> لكل حلقة من حلقات السلسلة</w:t>
      </w:r>
    </w:p>
    <w:p w14:paraId="4ED8D77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يهدف تحليل سلسلة القيمة من هذا المنظور إلى رسم خريطة تفصيلية لتوزيع التكاليف التشغيلية عبر الوحدات المختلفة، بحيث يُعرَف بدقة نصيب كل حلقة من إجمالي التكاليف ونسبتها المئوية من المصروفات الكلية. وقد أوضح الباحثون أنّ هذا التحديد الدقيق يكشف عن حقائق قد تكون مخفية عن الإدارة، إذ قد تستحوذ حلقة واحدة على نسبة غير متناسبة من التكاليف الإجمالية دون أن يكون ذلك ظاهراً في التقارير المالية التقليدية</w:t>
      </w:r>
      <w:r w:rsidRPr="00092108">
        <w:rPr>
          <w:rFonts w:ascii="Simplified Arabic" w:eastAsia="Times New Roman" w:hAnsi="Simplified Arabic" w:cs="Simplified Arabic"/>
          <w:kern w:val="0"/>
          <w:sz w:val="28"/>
          <w:szCs w:val="28"/>
          <w14:ligatures w14:val="none"/>
        </w:rPr>
        <w:t>.</w:t>
      </w:r>
    </w:p>
    <w:p w14:paraId="6FCEA8F3"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تحديد محركات التكلفة الرئيسة واستهداف التدخل</w:t>
      </w:r>
    </w:p>
    <w:p w14:paraId="66345F5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يتجاوز التحليل مجرد معرفة التكلفة الإجمالية لكل حلقة ليستهدف الغوص في تفاصيل مكونات هذه التكلفة وتحديد المحركات الأكثر تأثيراً فيها. وقد بيّن الباحثون أنّ فهم ما إذا كانت التكلفة مدفوعة أساساً </w:t>
      </w:r>
      <w:proofErr w:type="gramStart"/>
      <w:r w:rsidRPr="00092108">
        <w:rPr>
          <w:rFonts w:ascii="Simplified Arabic" w:eastAsia="Times New Roman" w:hAnsi="Simplified Arabic" w:cs="Simplified Arabic"/>
          <w:kern w:val="0"/>
          <w:sz w:val="28"/>
          <w:szCs w:val="28"/>
          <w:rtl/>
          <w14:ligatures w14:val="none"/>
        </w:rPr>
        <w:t>بالطاقة</w:t>
      </w:r>
      <w:proofErr w:type="gramEnd"/>
      <w:r w:rsidRPr="00092108">
        <w:rPr>
          <w:rFonts w:ascii="Simplified Arabic" w:eastAsia="Times New Roman" w:hAnsi="Simplified Arabic" w:cs="Simplified Arabic"/>
          <w:kern w:val="0"/>
          <w:sz w:val="28"/>
          <w:szCs w:val="28"/>
          <w:rtl/>
          <w14:ligatures w14:val="none"/>
        </w:rPr>
        <w:t xml:space="preserve"> أو العمالة أو الصيانة أو المواد الاستهلاكية يُمكّن من تصميم تدخلات دقيقة تُعالج المحرك الأعلى تأثيراً، بدلاً من اللجوء إلى تخفيضات عشوائية قد تُؤثر سلباً على جودة الخدمة</w:t>
      </w:r>
      <w:r w:rsidRPr="00092108">
        <w:rPr>
          <w:rFonts w:ascii="Simplified Arabic" w:eastAsia="Times New Roman" w:hAnsi="Simplified Arabic" w:cs="Simplified Arabic"/>
          <w:kern w:val="0"/>
          <w:sz w:val="28"/>
          <w:szCs w:val="28"/>
          <w14:ligatures w14:val="none"/>
        </w:rPr>
        <w:t>.</w:t>
      </w:r>
    </w:p>
    <w:p w14:paraId="023BAB5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lastRenderedPageBreak/>
        <w:t>توفير أساس للمقارنة المرجعية وتحديد فرص خفض التكاليف</w:t>
      </w:r>
    </w:p>
    <w:p w14:paraId="4628C45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التحليل </w:t>
      </w:r>
      <w:proofErr w:type="spellStart"/>
      <w:r w:rsidRPr="00092108">
        <w:rPr>
          <w:rFonts w:ascii="Simplified Arabic" w:eastAsia="Times New Roman" w:hAnsi="Simplified Arabic" w:cs="Simplified Arabic"/>
          <w:kern w:val="0"/>
          <w:sz w:val="28"/>
          <w:szCs w:val="28"/>
          <w:rtl/>
          <w14:ligatures w14:val="none"/>
        </w:rPr>
        <w:t>التكاليفي</w:t>
      </w:r>
      <w:proofErr w:type="spellEnd"/>
      <w:r w:rsidRPr="00092108">
        <w:rPr>
          <w:rFonts w:ascii="Simplified Arabic" w:eastAsia="Times New Roman" w:hAnsi="Simplified Arabic" w:cs="Simplified Arabic"/>
          <w:kern w:val="0"/>
          <w:sz w:val="28"/>
          <w:szCs w:val="28"/>
          <w:rtl/>
          <w14:ligatures w14:val="none"/>
        </w:rPr>
        <w:t xml:space="preserve"> لسلسلة القيمة إلى إنشاء قاعدة بيانات مرجعية تُتيح مقارنة أداء المؤسسة بالمعايير القطاعية والدولية، وتحديد الفجوات التي تُشير إلى وجود فرص حقيقية لخفض التكاليف دون المساس بالجودة. وقد أشار الباحثون إلى أنّ هذه المقارنة المرجعية تُسهم في وضع أهداف تحسين واقعية وقابلة للقياس، كما تُوفّر أداة للمساءلة والحوكمة في القطاع الحكومي حيث يُعدّ ترشيد الإنفاق العام مسؤولية وطنية</w:t>
      </w:r>
      <w:r w:rsidRPr="00092108">
        <w:rPr>
          <w:rFonts w:ascii="Simplified Arabic" w:eastAsia="Times New Roman" w:hAnsi="Simplified Arabic" w:cs="Simplified Arabic"/>
          <w:kern w:val="0"/>
          <w:sz w:val="28"/>
          <w:szCs w:val="28"/>
          <w14:ligatures w14:val="none"/>
        </w:rPr>
        <w:t>.</w:t>
      </w:r>
    </w:p>
    <w:p w14:paraId="25DED207" w14:textId="268BCF80"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092108" w:rsidRPr="00092108">
        <w:rPr>
          <w:rFonts w:ascii="Simplified Arabic" w:eastAsia="Times New Roman" w:hAnsi="Simplified Arabic" w:cs="Simplified Arabic"/>
          <w:kern w:val="0"/>
          <w:sz w:val="28"/>
          <w:szCs w:val="28"/>
          <w:rtl/>
          <w14:ligatures w14:val="none"/>
        </w:rPr>
        <w:t xml:space="preserve"> يطرح</w:t>
      </w:r>
      <w:proofErr w:type="gramEnd"/>
      <w:r w:rsidR="00092108" w:rsidRPr="00092108">
        <w:rPr>
          <w:rFonts w:ascii="Simplified Arabic" w:eastAsia="Times New Roman" w:hAnsi="Simplified Arabic" w:cs="Simplified Arabic"/>
          <w:kern w:val="0"/>
          <w:sz w:val="28"/>
          <w:szCs w:val="28"/>
          <w14:ligatures w14:val="none"/>
        </w:rPr>
        <w:t xml:space="preserve"> (Ghadir et al., 2024) </w:t>
      </w:r>
      <w:r w:rsidR="00092108" w:rsidRPr="00092108">
        <w:rPr>
          <w:rFonts w:ascii="Simplified Arabic" w:eastAsia="Times New Roman" w:hAnsi="Simplified Arabic" w:cs="Simplified Arabic"/>
          <w:kern w:val="0"/>
          <w:sz w:val="28"/>
          <w:szCs w:val="28"/>
          <w:rtl/>
          <w14:ligatures w14:val="none"/>
        </w:rPr>
        <w:t>أهدافاً تعكس المرحلة المعاصرة من تطور سلسلة القيمة في ظل الثورة الرقمية</w:t>
      </w:r>
      <w:r w:rsidR="00092108" w:rsidRPr="00092108">
        <w:rPr>
          <w:rFonts w:ascii="Simplified Arabic" w:eastAsia="Times New Roman" w:hAnsi="Simplified Arabic" w:cs="Simplified Arabic"/>
          <w:kern w:val="0"/>
          <w:sz w:val="28"/>
          <w:szCs w:val="28"/>
          <w14:ligatures w14:val="none"/>
        </w:rPr>
        <w:t>:</w:t>
      </w:r>
    </w:p>
    <w:p w14:paraId="702C180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تحقيق الرؤية الشاملة والآنية لأداء السلسلة</w:t>
      </w:r>
    </w:p>
    <w:p w14:paraId="66A2BB4D" w14:textId="21D8FD8D"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تطبيق التقنيات الرقمية على سلسلة القيمة تحقيق مستوى غير مسبوق من الشفافية التشغيلية، بحيث يستطيع صانع القرار في أي لحظة الاطلاع على حالة كل حلقة من حلقات السلسلة ومؤشرات أدائها ومستوى تحميلها والتحديات التي تواجهها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الباحثون أنّ هذه الرؤية الآنية تُحوّل نمط الإدارة من الاستجابة المتأخرة للمشكلات بعد تفاقمها إلى التعامل الاستباقي معها لحظة ظهور مؤشراتها الأولى</w:t>
      </w:r>
      <w:r w:rsidRPr="00092108">
        <w:rPr>
          <w:rFonts w:ascii="Simplified Arabic" w:eastAsia="Times New Roman" w:hAnsi="Simplified Arabic" w:cs="Simplified Arabic"/>
          <w:kern w:val="0"/>
          <w:sz w:val="28"/>
          <w:szCs w:val="28"/>
          <w14:ligatures w14:val="none"/>
        </w:rPr>
        <w:t>.</w:t>
      </w:r>
    </w:p>
    <w:p w14:paraId="0BF8756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تمكين التحسين الذاتي والتكيف التلقائي</w:t>
      </w:r>
    </w:p>
    <w:p w14:paraId="55BDCB7C" w14:textId="0508AE1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يهدف دمج الذكاء الاصطناعي في سلسلة القيمة إلى بناء منظومة قادرة على تحسين ذاتها بشكل مستمر دون الحاجة إلى تدخل بشري في كل مرة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بيّن الباحثون أنّ الأنظمة الذكية تستطيع رصد أنماط الأداء واكتشاف فرص التحسين وتنفيذ التعديلات تلقائياً على تدفقات العمل واستجابةً للتغيرات في أحجام الطلب أو توافر الموارد، مما يُكسب السلسلة مرونة تشغيلية عالية</w:t>
      </w:r>
      <w:r w:rsidRPr="00092108">
        <w:rPr>
          <w:rFonts w:ascii="Simplified Arabic" w:eastAsia="Times New Roman" w:hAnsi="Simplified Arabic" w:cs="Simplified Arabic"/>
          <w:kern w:val="0"/>
          <w:sz w:val="28"/>
          <w:szCs w:val="28"/>
          <w14:ligatures w14:val="none"/>
        </w:rPr>
        <w:t>.</w:t>
      </w:r>
    </w:p>
    <w:p w14:paraId="6D343BA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تخصيص تجربة المستفيد وتعزيز القيمة المُدرَكة</w:t>
      </w:r>
    </w:p>
    <w:p w14:paraId="07E21758" w14:textId="0597D77E"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يسعى التحول الرقمي لسلسلة القيمة إلى الانتقال من نموذج الخدمة الموحدة للجميع إلى نموذج الخدمة المُخصّصة التي تتكيف مع احتياجات وتفضيلات كل مستفيد على حدة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أشار الباحثون إلى أنّ التحليلات المتقدمة والتوائم الرقمية تُتيح فهماً عميقاً لسلوك المستفيدين وأنماط تفاعلهم مع الخدمة، مما </w:t>
      </w:r>
      <w:r w:rsidRPr="00092108">
        <w:rPr>
          <w:rFonts w:ascii="Simplified Arabic" w:eastAsia="Times New Roman" w:hAnsi="Simplified Arabic" w:cs="Simplified Arabic"/>
          <w:kern w:val="0"/>
          <w:sz w:val="28"/>
          <w:szCs w:val="28"/>
          <w:rtl/>
          <w14:ligatures w14:val="none"/>
        </w:rPr>
        <w:lastRenderedPageBreak/>
        <w:t>يُمكّن من تقديم تجربة خدمة شخصية تُعزّز القيمة المُدرَكة لدى المستفيد وترفع مستوى رضاه وثقته في المؤسسة الحكومية</w:t>
      </w:r>
      <w:r w:rsidRPr="00092108">
        <w:rPr>
          <w:rFonts w:ascii="Simplified Arabic" w:eastAsia="Times New Roman" w:hAnsi="Simplified Arabic" w:cs="Simplified Arabic"/>
          <w:kern w:val="0"/>
          <w:sz w:val="28"/>
          <w:szCs w:val="28"/>
          <w14:ligatures w14:val="none"/>
        </w:rPr>
        <w:t>.</w:t>
      </w:r>
    </w:p>
    <w:p w14:paraId="03D2C854"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خامساً: محددات كفاءة سلسلة القيمة التشغيلية وعوامل نجاحها</w:t>
      </w:r>
    </w:p>
    <w:p w14:paraId="4B92783B" w14:textId="2F71D7A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تُجمع الأدبيات الإدارية والتنظيمية المعاصرة على أن وجود سلسلة قيمة تشغيلية واضحة المعالم لا يُفضي بالضرورة إلى تحقيق الكفاءة المرجوة، إذ إن الكفاءة ليست نتاجاً تلقائياً للتصميم الهيكلي، بل هي محصلة ديناميكية لتفاعل منظومة متشابكة من المحددات والعوامل التي تعمل بصورة تزامنية وتكاملية</w:t>
      </w:r>
      <w:r w:rsidR="00A5503B">
        <w:rPr>
          <w:rFonts w:ascii="Simplified Arabic" w:eastAsia="Times New Roman" w:hAnsi="Simplified Arabic" w:cs="Simplified Arabic" w:hint="cs"/>
          <w:kern w:val="0"/>
          <w:sz w:val="28"/>
          <w:szCs w:val="28"/>
          <w:rtl/>
          <w14:ligatures w14:val="none"/>
        </w:rPr>
        <w:t>، ف</w:t>
      </w:r>
      <w:r w:rsidRPr="008457E0">
        <w:rPr>
          <w:rFonts w:ascii="Simplified Arabic" w:eastAsia="Times New Roman" w:hAnsi="Simplified Arabic" w:cs="Simplified Arabic"/>
          <w:kern w:val="0"/>
          <w:sz w:val="28"/>
          <w:szCs w:val="28"/>
          <w:rtl/>
          <w14:ligatures w14:val="none"/>
        </w:rPr>
        <w:t xml:space="preserve">المؤسسات التي تتعامل مع هذه المحددات بمنظور شمولي هي الأقدر على تعظيم القيمة المُقدمة </w:t>
      </w:r>
      <w:proofErr w:type="spellStart"/>
      <w:r w:rsidRPr="008457E0">
        <w:rPr>
          <w:rFonts w:ascii="Simplified Arabic" w:eastAsia="Times New Roman" w:hAnsi="Simplified Arabic" w:cs="Simplified Arabic"/>
          <w:kern w:val="0"/>
          <w:sz w:val="28"/>
          <w:szCs w:val="28"/>
          <w:rtl/>
          <w14:ligatures w14:val="none"/>
        </w:rPr>
        <w:t>لمستفيديها</w:t>
      </w:r>
      <w:proofErr w:type="spellEnd"/>
      <w:r w:rsidRPr="008457E0">
        <w:rPr>
          <w:rFonts w:ascii="Simplified Arabic" w:eastAsia="Times New Roman" w:hAnsi="Simplified Arabic" w:cs="Simplified Arabic"/>
          <w:kern w:val="0"/>
          <w:sz w:val="28"/>
          <w:szCs w:val="28"/>
          <w:rtl/>
          <w14:ligatures w14:val="none"/>
        </w:rPr>
        <w:t xml:space="preserve"> وتحقيق التميز التشغيلي المستدام. وفيما يلي عرض لأبرز هذه المحددات والعوامل كما تناولتها الأدبيات</w:t>
      </w:r>
      <w:r w:rsidRPr="008457E0">
        <w:rPr>
          <w:rFonts w:ascii="Simplified Arabic" w:eastAsia="Times New Roman" w:hAnsi="Simplified Arabic" w:cs="Simplified Arabic"/>
          <w:kern w:val="0"/>
          <w:sz w:val="28"/>
          <w:szCs w:val="28"/>
          <w14:ligatures w14:val="none"/>
        </w:rPr>
        <w:t>:</w:t>
      </w:r>
    </w:p>
    <w:p w14:paraId="295B652D" w14:textId="575DBDD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يُشير </w:t>
      </w:r>
      <w:r w:rsidRPr="008457E0">
        <w:rPr>
          <w:rFonts w:ascii="Simplified Arabic" w:eastAsia="Times New Roman" w:hAnsi="Simplified Arabic" w:cs="Simplified Arabic"/>
          <w:kern w:val="0"/>
          <w:sz w:val="28"/>
          <w:szCs w:val="28"/>
          <w14:ligatures w14:val="none"/>
        </w:rPr>
        <w:t xml:space="preserve">(Naas &amp; </w:t>
      </w:r>
      <w:proofErr w:type="spellStart"/>
      <w:r w:rsidRPr="008457E0">
        <w:rPr>
          <w:rFonts w:ascii="Simplified Arabic" w:eastAsia="Times New Roman" w:hAnsi="Simplified Arabic" w:cs="Simplified Arabic"/>
          <w:kern w:val="0"/>
          <w:sz w:val="28"/>
          <w:szCs w:val="28"/>
          <w14:ligatures w14:val="none"/>
        </w:rPr>
        <w:t>Berass</w:t>
      </w:r>
      <w:proofErr w:type="spellEnd"/>
      <w:r w:rsidRPr="008457E0">
        <w:rPr>
          <w:rFonts w:ascii="Simplified Arabic" w:eastAsia="Times New Roman" w:hAnsi="Simplified Arabic" w:cs="Simplified Arabic"/>
          <w:kern w:val="0"/>
          <w:sz w:val="28"/>
          <w:szCs w:val="28"/>
          <w14:ligatures w14:val="none"/>
        </w:rPr>
        <w:t xml:space="preserve">, 2024) </w:t>
      </w:r>
      <w:r w:rsidRPr="008457E0">
        <w:rPr>
          <w:rFonts w:ascii="Simplified Arabic" w:eastAsia="Times New Roman" w:hAnsi="Simplified Arabic" w:cs="Simplified Arabic"/>
          <w:kern w:val="0"/>
          <w:sz w:val="28"/>
          <w:szCs w:val="28"/>
          <w:rtl/>
          <w14:ligatures w14:val="none"/>
        </w:rPr>
        <w:t>إلى أن محددات كفاءة سلسلة القيمة التشغيلية من المنظور الرقابي والإداري تتمثّل في</w:t>
      </w:r>
      <w:r w:rsidRPr="008457E0">
        <w:rPr>
          <w:rFonts w:ascii="Simplified Arabic" w:eastAsia="Times New Roman" w:hAnsi="Simplified Arabic" w:cs="Simplified Arabic"/>
          <w:kern w:val="0"/>
          <w:sz w:val="28"/>
          <w:szCs w:val="28"/>
          <w14:ligatures w14:val="none"/>
        </w:rPr>
        <w:t>:</w:t>
      </w:r>
    </w:p>
    <w:p w14:paraId="32452945" w14:textId="4248B480"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تكامل منظومة الرقابة الإدارية مع نظام المعلومات المؤسسي، بحيث تتحول الرقابة من أداة رصد لاحقة إلى آلية استباقية للتوجيه والتصحيح تُحوّل البيانات الخام إلى مؤشرات أداء دقيقة تُمكّن صانع القرار من التدخل في الوقت المناسب قبل تفاقم الانحرافات، وهو ما يُعدّ المحدد الأكثر تأثيراً في الكفاءة التشغيلية الشاملة للسلسلة</w:t>
      </w:r>
      <w:r w:rsidRPr="008457E0">
        <w:rPr>
          <w:rFonts w:ascii="Simplified Arabic" w:eastAsia="Times New Roman" w:hAnsi="Simplified Arabic" w:cs="Simplified Arabic"/>
          <w:kern w:val="0"/>
          <w:sz w:val="28"/>
          <w:szCs w:val="28"/>
          <w14:ligatures w14:val="none"/>
        </w:rPr>
        <w:t>.</w:t>
      </w:r>
    </w:p>
    <w:p w14:paraId="224CFF34" w14:textId="7A4172B4"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الالتزام بمعايير الجودة الشاملة عبر أتمتة عمليات الرقابة النوعية بما يُسهم في تقليص الأخطاء البشرية والحدّ من الهدر في الموارد إلى أدنى مستوياته، وتحقيق التزام شبه تام بمتطلبات المستفيدين وتوقعاتهم، مما يُعزّز الثقة المؤسسية ويرفع مستوى رضا المتعاملين</w:t>
      </w:r>
      <w:r w:rsidRPr="008457E0">
        <w:rPr>
          <w:rFonts w:ascii="Simplified Arabic" w:eastAsia="Times New Roman" w:hAnsi="Simplified Arabic" w:cs="Simplified Arabic"/>
          <w:kern w:val="0"/>
          <w:sz w:val="28"/>
          <w:szCs w:val="28"/>
          <w14:ligatures w14:val="none"/>
        </w:rPr>
        <w:t>.</w:t>
      </w:r>
    </w:p>
    <w:p w14:paraId="7EE73E23" w14:textId="3BDA6C49"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بناء شراكات استراتيجية طويلة الأمد مع الموردين وإخضاعهم لعمليات تدقيق منتظمة، مما يُخفّض </w:t>
      </w:r>
      <w:proofErr w:type="gramStart"/>
      <w:r w:rsidRPr="008457E0">
        <w:rPr>
          <w:rFonts w:ascii="Simplified Arabic" w:eastAsia="Times New Roman" w:hAnsi="Simplified Arabic" w:cs="Simplified Arabic"/>
          <w:kern w:val="0"/>
          <w:sz w:val="28"/>
          <w:szCs w:val="28"/>
          <w:rtl/>
          <w14:ligatures w14:val="none"/>
        </w:rPr>
        <w:t>مخاطر</w:t>
      </w:r>
      <w:proofErr w:type="gramEnd"/>
      <w:r w:rsidRPr="008457E0">
        <w:rPr>
          <w:rFonts w:ascii="Simplified Arabic" w:eastAsia="Times New Roman" w:hAnsi="Simplified Arabic" w:cs="Simplified Arabic"/>
          <w:kern w:val="0"/>
          <w:sz w:val="28"/>
          <w:szCs w:val="28"/>
          <w:rtl/>
          <w14:ligatures w14:val="none"/>
        </w:rPr>
        <w:t xml:space="preserve"> التأخير والعيوب ويُحقق وفورات ملموسة في التكاليف التشغيلية، فضلاً عن تقليص الآثار البيئية والاجتماعية السلبية المرتبطة بسلسلة التوريد</w:t>
      </w:r>
      <w:r w:rsidRPr="008457E0">
        <w:rPr>
          <w:rFonts w:ascii="Simplified Arabic" w:eastAsia="Times New Roman" w:hAnsi="Simplified Arabic" w:cs="Simplified Arabic"/>
          <w:kern w:val="0"/>
          <w:sz w:val="28"/>
          <w:szCs w:val="28"/>
          <w14:ligatures w14:val="none"/>
        </w:rPr>
        <w:t>.</w:t>
      </w:r>
    </w:p>
    <w:p w14:paraId="0847B32A" w14:textId="457900F7"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الاستثمار المنهجي والمستمر في تأهيل الكوادر البشرية وتدريبها من خلال تخصيص نسبة ثابتة من الإيرادات لبرامج التطوير المهني، وهو ما يُسهم في استقرار الأداء التشغيلي من خلال خفض معدل دوران العاملين ورفع مستوى كفاءاتهم وقدرتهم على التعامل مع المتغيرات بصورة مستمرة</w:t>
      </w:r>
      <w:r w:rsidRPr="008457E0">
        <w:rPr>
          <w:rFonts w:ascii="Simplified Arabic" w:eastAsia="Times New Roman" w:hAnsi="Simplified Arabic" w:cs="Simplified Arabic"/>
          <w:kern w:val="0"/>
          <w:sz w:val="28"/>
          <w:szCs w:val="28"/>
          <w14:ligatures w14:val="none"/>
        </w:rPr>
        <w:t>.</w:t>
      </w:r>
    </w:p>
    <w:p w14:paraId="3DBA600A" w14:textId="5EDFACCC" w:rsidR="008457E0" w:rsidRPr="008457E0" w:rsidRDefault="008457E0">
      <w:pPr>
        <w:pStyle w:val="a6"/>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تفعيل نظام حوافز مرتبط بمؤشرات الأداء والجودة يُحفّز العاملين على الالتزام بمعايير التميز التشغيلي ويربط بين الجهد الفردي والنتائج المؤسسية، مما يُعزّز ثقافة المساءلة والإنجاز داخل حلقات السلسلة</w:t>
      </w:r>
      <w:r w:rsidRPr="008457E0">
        <w:rPr>
          <w:rFonts w:ascii="Simplified Arabic" w:eastAsia="Times New Roman" w:hAnsi="Simplified Arabic" w:cs="Simplified Arabic"/>
          <w:kern w:val="0"/>
          <w:sz w:val="28"/>
          <w:szCs w:val="28"/>
          <w14:ligatures w14:val="none"/>
        </w:rPr>
        <w:t>.</w:t>
      </w:r>
    </w:p>
    <w:p w14:paraId="32033FEB" w14:textId="171A1851"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كما يُؤكد </w:t>
      </w:r>
      <w:r w:rsidRPr="008457E0">
        <w:rPr>
          <w:rFonts w:ascii="Simplified Arabic" w:eastAsia="Times New Roman" w:hAnsi="Simplified Arabic" w:cs="Simplified Arabic"/>
          <w:kern w:val="0"/>
          <w:sz w:val="28"/>
          <w:szCs w:val="28"/>
          <w14:ligatures w14:val="none"/>
        </w:rPr>
        <w:t>(</w:t>
      </w:r>
      <w:proofErr w:type="spellStart"/>
      <w:r w:rsidRPr="008457E0">
        <w:rPr>
          <w:rFonts w:ascii="Simplified Arabic" w:eastAsia="Times New Roman" w:hAnsi="Simplified Arabic" w:cs="Simplified Arabic"/>
          <w:kern w:val="0"/>
          <w:sz w:val="28"/>
          <w:szCs w:val="28"/>
          <w14:ligatures w14:val="none"/>
        </w:rPr>
        <w:t>Tyapukhin</w:t>
      </w:r>
      <w:proofErr w:type="spellEnd"/>
      <w:r w:rsidRPr="008457E0">
        <w:rPr>
          <w:rFonts w:ascii="Simplified Arabic" w:eastAsia="Times New Roman" w:hAnsi="Simplified Arabic" w:cs="Simplified Arabic"/>
          <w:kern w:val="0"/>
          <w:sz w:val="28"/>
          <w:szCs w:val="28"/>
          <w14:ligatures w14:val="none"/>
        </w:rPr>
        <w:t xml:space="preserve">, 2023) </w:t>
      </w:r>
      <w:r w:rsidRPr="008457E0">
        <w:rPr>
          <w:rFonts w:ascii="Simplified Arabic" w:eastAsia="Times New Roman" w:hAnsi="Simplified Arabic" w:cs="Simplified Arabic"/>
          <w:kern w:val="0"/>
          <w:sz w:val="28"/>
          <w:szCs w:val="28"/>
          <w:rtl/>
          <w14:ligatures w14:val="none"/>
        </w:rPr>
        <w:t>أن المحددات الهيكلية والتنظيمية تحتل مكانة محورية في تحقيق كفاءة السلسلة، ويُحدّدها في</w:t>
      </w:r>
      <w:r w:rsidRPr="008457E0">
        <w:rPr>
          <w:rFonts w:ascii="Simplified Arabic" w:eastAsia="Times New Roman" w:hAnsi="Simplified Arabic" w:cs="Simplified Arabic"/>
          <w:kern w:val="0"/>
          <w:sz w:val="28"/>
          <w:szCs w:val="28"/>
          <w14:ligatures w14:val="none"/>
        </w:rPr>
        <w:t>:</w:t>
      </w:r>
    </w:p>
    <w:p w14:paraId="41B7DD82" w14:textId="5F23ABF9"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إزالة الحواجز الوظيفية بين الوحدات التنظيمية وإعادة التوزيع العقلاني للصلاحيات والمسؤوليات، وهو شرط بنيوي لتقليل الفاقد وتحسين انسيابية تدفق المعلومات والموارد عبر حلقات السلسلة، إذ إن العزلة التنظيمية بين الإدارات تُنشئ مناطق رمادية تتراكم فيها الأخطاء وتتعطل فيها العمليات</w:t>
      </w:r>
      <w:r w:rsidRPr="008457E0">
        <w:rPr>
          <w:rFonts w:ascii="Simplified Arabic" w:eastAsia="Times New Roman" w:hAnsi="Simplified Arabic" w:cs="Simplified Arabic"/>
          <w:kern w:val="0"/>
          <w:sz w:val="28"/>
          <w:szCs w:val="28"/>
          <w14:ligatures w14:val="none"/>
        </w:rPr>
        <w:t>.</w:t>
      </w:r>
    </w:p>
    <w:p w14:paraId="45B9947A" w14:textId="76895369"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بناء إطار مفاهيمي ومصطلحي موحد لإدارة السلاسل المختلفة داخل المؤسسة، لأن غياب هذا الإطار يُفضي إلى سوء فهم متبادل بين الإدارات وتضارب في تحديد الأولويات وتفسير المؤشرات، مما يُضعف قدرة السلسلة على تحقيق أهدافها الاستراتيجية</w:t>
      </w:r>
      <w:r w:rsidRPr="008457E0">
        <w:rPr>
          <w:rFonts w:ascii="Simplified Arabic" w:eastAsia="Times New Roman" w:hAnsi="Simplified Arabic" w:cs="Simplified Arabic"/>
          <w:kern w:val="0"/>
          <w:sz w:val="28"/>
          <w:szCs w:val="28"/>
          <w14:ligatures w14:val="none"/>
        </w:rPr>
        <w:t>.</w:t>
      </w:r>
    </w:p>
    <w:p w14:paraId="7B81D466" w14:textId="0D51C8D3"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التمييز الواضح بين أنواع السلاسل المختلفة وهي سلسلة القيمة وسلسلة الإمداد وسلسلة الابتكار وسلسلة الطلب، لأن كل نوع يستلزم مؤشرات قياس مختلفة وأساليب إدارية متباينة، والخلط بينها يؤدي حتماً إلى تطبيق ممارسات غير ملائمة تُضعف الكفاءة الكلية للمنظومة</w:t>
      </w:r>
      <w:r w:rsidRPr="008457E0">
        <w:rPr>
          <w:rFonts w:ascii="Simplified Arabic" w:eastAsia="Times New Roman" w:hAnsi="Simplified Arabic" w:cs="Simplified Arabic"/>
          <w:kern w:val="0"/>
          <w:sz w:val="28"/>
          <w:szCs w:val="28"/>
          <w14:ligatures w14:val="none"/>
        </w:rPr>
        <w:t>.</w:t>
      </w:r>
    </w:p>
    <w:p w14:paraId="2425800E" w14:textId="7F7EB672" w:rsidR="008457E0" w:rsidRPr="008457E0" w:rsidRDefault="008457E0">
      <w:pPr>
        <w:pStyle w:val="a6"/>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إعادة تصميم الهياكل التنظيمية على أساس تدفق القيمة لا على أساس التخصص الوظيفي التقليدي، بما يُمكّن من تتبع مسار القيمة عبر الحلقات المختلفة وتحديد نقاط الاختناق والفاقد بدقة أكبر، وتشجيع التعاون الأفقي بين الوحدات بدلاً من العمل في صوامع منعزلة</w:t>
      </w:r>
      <w:r w:rsidRPr="008457E0">
        <w:rPr>
          <w:rFonts w:ascii="Simplified Arabic" w:eastAsia="Times New Roman" w:hAnsi="Simplified Arabic" w:cs="Simplified Arabic"/>
          <w:kern w:val="0"/>
          <w:sz w:val="28"/>
          <w:szCs w:val="28"/>
          <w14:ligatures w14:val="none"/>
        </w:rPr>
        <w:t>.</w:t>
      </w:r>
    </w:p>
    <w:p w14:paraId="4790D8D7" w14:textId="7777777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ويُقرّر غدير وآخرون</w:t>
      </w:r>
      <w:r w:rsidRPr="008457E0">
        <w:rPr>
          <w:rFonts w:ascii="Simplified Arabic" w:eastAsia="Times New Roman" w:hAnsi="Simplified Arabic" w:cs="Simplified Arabic"/>
          <w:kern w:val="0"/>
          <w:sz w:val="28"/>
          <w:szCs w:val="28"/>
          <w14:ligatures w14:val="none"/>
        </w:rPr>
        <w:t xml:space="preserve"> (Ghadir et al., 2024) </w:t>
      </w:r>
      <w:r w:rsidRPr="008457E0">
        <w:rPr>
          <w:rFonts w:ascii="Simplified Arabic" w:eastAsia="Times New Roman" w:hAnsi="Simplified Arabic" w:cs="Simplified Arabic"/>
          <w:kern w:val="0"/>
          <w:sz w:val="28"/>
          <w:szCs w:val="28"/>
          <w:rtl/>
          <w14:ligatures w14:val="none"/>
        </w:rPr>
        <w:t>أن المحددات التقنية والرقمية تضع السقف الأعلى للتحسين الممكن في السلسلة، ويُحدّدونها في</w:t>
      </w:r>
      <w:r w:rsidRPr="008457E0">
        <w:rPr>
          <w:rFonts w:ascii="Simplified Arabic" w:eastAsia="Times New Roman" w:hAnsi="Simplified Arabic" w:cs="Simplified Arabic"/>
          <w:kern w:val="0"/>
          <w:sz w:val="28"/>
          <w:szCs w:val="28"/>
          <w14:ligatures w14:val="none"/>
        </w:rPr>
        <w:t>:</w:t>
      </w:r>
    </w:p>
    <w:p w14:paraId="1ADB8334" w14:textId="23C1F3CA"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نضج البنية التقنية الرقمية للمؤسسة من حيث المنصات الإلكترونية والحوسبة السحابية وأدوات التحليلات المتقدمة، فمهما بلغت جودة التصميم التنظيمي والإداري فإن افتقار المؤسسة إلى بنية رقمية ناضجة يحول دون تحقيق رؤية آنية شاملة لأداء السلسلة ويحرم صانع القرار من أدوات الرصد والتنبؤ</w:t>
      </w:r>
      <w:r w:rsidRPr="008457E0">
        <w:rPr>
          <w:rFonts w:ascii="Simplified Arabic" w:eastAsia="Times New Roman" w:hAnsi="Simplified Arabic" w:cs="Simplified Arabic"/>
          <w:kern w:val="0"/>
          <w:sz w:val="28"/>
          <w:szCs w:val="28"/>
          <w14:ligatures w14:val="none"/>
        </w:rPr>
        <w:t>.</w:t>
      </w:r>
    </w:p>
    <w:p w14:paraId="72452639" w14:textId="62B25237"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دمج نظم المعلومات داخل الأنشطة الأساسية لا بوصفها أنشطة داعمة منفصلة، مما يخلق تدفقاً غير متقطع بين مراحل المعالجة والاعتماد والتسليم ويُحوّل السلسلة من نموذج خطي تتابعي إلى منظومة قادرة على التكيف الذاتي المستمر مع المتغيرات</w:t>
      </w:r>
      <w:r w:rsidRPr="008457E0">
        <w:rPr>
          <w:rFonts w:ascii="Simplified Arabic" w:eastAsia="Times New Roman" w:hAnsi="Simplified Arabic" w:cs="Simplified Arabic"/>
          <w:kern w:val="0"/>
          <w:sz w:val="28"/>
          <w:szCs w:val="28"/>
          <w14:ligatures w14:val="none"/>
        </w:rPr>
        <w:t>.</w:t>
      </w:r>
    </w:p>
    <w:p w14:paraId="61D84BB8" w14:textId="6E08ECE8"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القدرة على التنبؤ بالاختناقات قبل وقوعها من خلال النماذج التحليلية التنبؤية التي ترصد الأنماط غير الطبيعية في تدفق العمليات وتُنبّه صانع القرار إلى مواطن الخلل المحتملة في مراحلها المبكرة قبل أن تتحول إلى أزمات تشغيلية</w:t>
      </w:r>
      <w:r w:rsidRPr="008457E0">
        <w:rPr>
          <w:rFonts w:ascii="Simplified Arabic" w:eastAsia="Times New Roman" w:hAnsi="Simplified Arabic" w:cs="Simplified Arabic"/>
          <w:kern w:val="0"/>
          <w:sz w:val="28"/>
          <w:szCs w:val="28"/>
          <w14:ligatures w14:val="none"/>
        </w:rPr>
        <w:t>.</w:t>
      </w:r>
    </w:p>
    <w:p w14:paraId="41DDCB27" w14:textId="677573D2" w:rsidR="008457E0" w:rsidRPr="008457E0" w:rsidRDefault="008457E0">
      <w:pPr>
        <w:pStyle w:val="a6"/>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جاهزية البيانات المؤسسية من حيث النظافة والاكتمال والتكامل والتحديث المستمر، لأن أدوات التحليل والذكاء الاصطناعي مهما بلغت تطورها لا يمكنها إنتاج مخرجات موثوقة إذا كانت البيانات المُغذية لها غير دقيقة أو منقوصة أو متقادمة</w:t>
      </w:r>
      <w:r w:rsidRPr="008457E0">
        <w:rPr>
          <w:rFonts w:ascii="Simplified Arabic" w:eastAsia="Times New Roman" w:hAnsi="Simplified Arabic" w:cs="Simplified Arabic"/>
          <w:kern w:val="0"/>
          <w:sz w:val="28"/>
          <w:szCs w:val="28"/>
          <w14:ligatures w14:val="none"/>
        </w:rPr>
        <w:t>.</w:t>
      </w:r>
    </w:p>
    <w:p w14:paraId="21DFB8AB" w14:textId="3A2793AF"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سا</w:t>
      </w:r>
      <w:r w:rsidR="008457E0">
        <w:rPr>
          <w:rFonts w:ascii="Simplified Arabic" w:eastAsia="Times New Roman" w:hAnsi="Simplified Arabic" w:cs="Simplified Arabic" w:hint="cs"/>
          <w:b/>
          <w:bCs/>
          <w:kern w:val="0"/>
          <w:sz w:val="28"/>
          <w:szCs w:val="28"/>
          <w:rtl/>
          <w14:ligatures w14:val="none"/>
        </w:rPr>
        <w:t>دس</w:t>
      </w:r>
      <w:r w:rsidRPr="00841847">
        <w:rPr>
          <w:rFonts w:ascii="Simplified Arabic" w:eastAsia="Times New Roman" w:hAnsi="Simplified Arabic" w:cs="Simplified Arabic"/>
          <w:b/>
          <w:bCs/>
          <w:kern w:val="0"/>
          <w:sz w:val="28"/>
          <w:szCs w:val="28"/>
          <w:rtl/>
          <w14:ligatures w14:val="none"/>
        </w:rPr>
        <w:t>اً: سلسلة القيمة التشغيلية في ضوء رؤية المملكة العربية السعودية 2030</w:t>
      </w:r>
    </w:p>
    <w:p w14:paraId="1EBC48E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تحتل سلسلة القيمة التشغيلية في المؤسسات الحكومية الكبرى موقعاً محورياً في منظومة رؤية 2030 للمملكة العربية السعودية، وبشكل خاص في محور "حكومة فاعلة" الذي يستهدف تحقيق نقلة نوعية في مستوى الخدمات الحكومية وكفاءتها التشغيلية بما يُنافس أفضل الممارسات العالمية. وقد أدركت القيادة السعودية في وقت مبكر أنّ تحقيق الأهداف الطموحة للرؤية يتطلب إعادة هندسة شاملة وعميقة لسلاسل القيمة التشغيلية في جميع المؤسسات الحكومية الكبرى، بحيث تتحول من نماذج بيروقراطية تقليدية تتمحور حول الإجراءات إلى منظومات رشيقة ومؤتمتة تتمحور حول المستفيد وتُدار بالبيانات والذكاء الاصطناعي</w:t>
      </w:r>
      <w:r w:rsidRPr="00841847">
        <w:rPr>
          <w:rFonts w:ascii="Simplified Arabic" w:eastAsia="Times New Roman" w:hAnsi="Simplified Arabic" w:cs="Simplified Arabic"/>
          <w:kern w:val="0"/>
          <w:sz w:val="28"/>
          <w:szCs w:val="28"/>
          <w14:ligatures w14:val="none"/>
        </w:rPr>
        <w:t>.</w:t>
      </w:r>
    </w:p>
    <w:p w14:paraId="38455731"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ويُشير</w:t>
      </w:r>
      <w:r w:rsidRPr="00841847">
        <w:rPr>
          <w:rFonts w:ascii="Simplified Arabic" w:eastAsia="Times New Roman" w:hAnsi="Simplified Arabic" w:cs="Simplified Arabic"/>
          <w:kern w:val="0"/>
          <w:sz w:val="28"/>
          <w:szCs w:val="28"/>
          <w14:ligatures w14:val="none"/>
        </w:rPr>
        <w:t xml:space="preserve"> (Naas &amp; </w:t>
      </w:r>
      <w:proofErr w:type="spellStart"/>
      <w:r w:rsidRPr="00841847">
        <w:rPr>
          <w:rFonts w:ascii="Simplified Arabic" w:eastAsia="Times New Roman" w:hAnsi="Simplified Arabic" w:cs="Simplified Arabic"/>
          <w:kern w:val="0"/>
          <w:sz w:val="28"/>
          <w:szCs w:val="28"/>
          <w14:ligatures w14:val="none"/>
        </w:rPr>
        <w:t>Berass</w:t>
      </w:r>
      <w:proofErr w:type="spellEnd"/>
      <w:r w:rsidRPr="00841847">
        <w:rPr>
          <w:rFonts w:ascii="Simplified Arabic" w:eastAsia="Times New Roman" w:hAnsi="Simplified Arabic" w:cs="Simplified Arabic"/>
          <w:kern w:val="0"/>
          <w:sz w:val="28"/>
          <w:szCs w:val="28"/>
          <w14:ligatures w14:val="none"/>
        </w:rPr>
        <w:t xml:space="preserve">, 2024) </w:t>
      </w:r>
      <w:r w:rsidRPr="00841847">
        <w:rPr>
          <w:rFonts w:ascii="Simplified Arabic" w:eastAsia="Times New Roman" w:hAnsi="Simplified Arabic" w:cs="Simplified Arabic"/>
          <w:kern w:val="0"/>
          <w:sz w:val="28"/>
          <w:szCs w:val="28"/>
          <w:rtl/>
          <w14:ligatures w14:val="none"/>
        </w:rPr>
        <w:t xml:space="preserve">إلى أنّ المؤسسات العامة الكبرى التي تنجح في تحسين سلاسل قيمتها هي تلك التي تتبنى مقاربة شاملة تجمع بين تحليل سلسلة القيمة والرقابة الإدارية الفعّالة والاستثمار في التحول الرقمي والتحسين المستمر للعمليات، وهي المقاربة ذاتها التي تتبناها المملكة من خلال برامجها التنفيذية المتعددة. فبرنامج التحول الوطني يستهدف رفع كفاءة الإنفاق الحكومي وتحسين مستوى الخدمات وتمكين القطاع الخاص من المشاركة في تقديمها، وهو ما يتطلب بالضرورة إعادة تصميم سلاسل القيمة الحكومية لتحديد الأنشطة التي يُمكن </w:t>
      </w:r>
      <w:proofErr w:type="spellStart"/>
      <w:r w:rsidRPr="00841847">
        <w:rPr>
          <w:rFonts w:ascii="Simplified Arabic" w:eastAsia="Times New Roman" w:hAnsi="Simplified Arabic" w:cs="Simplified Arabic"/>
          <w:kern w:val="0"/>
          <w:sz w:val="28"/>
          <w:szCs w:val="28"/>
          <w:rtl/>
          <w14:ligatures w14:val="none"/>
        </w:rPr>
        <w:t>أتمتتها</w:t>
      </w:r>
      <w:proofErr w:type="spellEnd"/>
      <w:r w:rsidRPr="00841847">
        <w:rPr>
          <w:rFonts w:ascii="Simplified Arabic" w:eastAsia="Times New Roman" w:hAnsi="Simplified Arabic" w:cs="Simplified Arabic"/>
          <w:kern w:val="0"/>
          <w:sz w:val="28"/>
          <w:szCs w:val="28"/>
          <w:rtl/>
          <w14:ligatures w14:val="none"/>
        </w:rPr>
        <w:t xml:space="preserve"> أو إسنادها للقطاع الخاص أو دمجها مع أنشطة أخرى. كما أنّ برنامج الحكومة الرقمية الذي يسعى لتقديم الغالبية العظمى من الخدمات الحكومية إلكترونياً يستلزم </w:t>
      </w:r>
      <w:r w:rsidRPr="00841847">
        <w:rPr>
          <w:rFonts w:ascii="Simplified Arabic" w:eastAsia="Times New Roman" w:hAnsi="Simplified Arabic" w:cs="Simplified Arabic"/>
          <w:kern w:val="0"/>
          <w:sz w:val="28"/>
          <w:szCs w:val="28"/>
          <w:rtl/>
          <w14:ligatures w14:val="none"/>
        </w:rPr>
        <w:lastRenderedPageBreak/>
        <w:t>إعادة تشكيل حلقات السلسلة بأكملها لتتوافق مع البيئة الرقمية، وقد تجسّد هذا فعلياً في منصات مثل "توكلنا" التي أصبحت نقطة تقديم موحدة لخدمات متعددة من جهات حكومية مختلفة</w:t>
      </w:r>
      <w:r w:rsidRPr="00841847">
        <w:rPr>
          <w:rFonts w:ascii="Simplified Arabic" w:eastAsia="Times New Roman" w:hAnsi="Simplified Arabic" w:cs="Simplified Arabic"/>
          <w:kern w:val="0"/>
          <w:sz w:val="28"/>
          <w:szCs w:val="28"/>
          <w14:ligatures w14:val="none"/>
        </w:rPr>
        <w:t>.</w:t>
      </w:r>
    </w:p>
    <w:p w14:paraId="572EB46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ويرى</w:t>
      </w:r>
      <w:r w:rsidRPr="00841847">
        <w:rPr>
          <w:rFonts w:ascii="Simplified Arabic" w:eastAsia="Times New Roman" w:hAnsi="Simplified Arabic" w:cs="Simplified Arabic"/>
          <w:kern w:val="0"/>
          <w:sz w:val="28"/>
          <w:szCs w:val="28"/>
          <w14:ligatures w14:val="none"/>
        </w:rPr>
        <w:t xml:space="preserve"> (</w:t>
      </w:r>
      <w:proofErr w:type="spellStart"/>
      <w:r w:rsidRPr="00841847">
        <w:rPr>
          <w:rFonts w:ascii="Simplified Arabic" w:eastAsia="Times New Roman" w:hAnsi="Simplified Arabic" w:cs="Simplified Arabic"/>
          <w:kern w:val="0"/>
          <w:sz w:val="28"/>
          <w:szCs w:val="28"/>
          <w14:ligatures w14:val="none"/>
        </w:rPr>
        <w:t>Tyapukhin</w:t>
      </w:r>
      <w:proofErr w:type="spellEnd"/>
      <w:r w:rsidRPr="00841847">
        <w:rPr>
          <w:rFonts w:ascii="Simplified Arabic" w:eastAsia="Times New Roman" w:hAnsi="Simplified Arabic" w:cs="Simplified Arabic"/>
          <w:kern w:val="0"/>
          <w:sz w:val="28"/>
          <w:szCs w:val="28"/>
          <w14:ligatures w14:val="none"/>
        </w:rPr>
        <w:t xml:space="preserve">, 2023) </w:t>
      </w:r>
      <w:r w:rsidRPr="00841847">
        <w:rPr>
          <w:rFonts w:ascii="Simplified Arabic" w:eastAsia="Times New Roman" w:hAnsi="Simplified Arabic" w:cs="Simplified Arabic"/>
          <w:kern w:val="0"/>
          <w:sz w:val="28"/>
          <w:szCs w:val="28"/>
          <w:rtl/>
          <w14:ligatures w14:val="none"/>
        </w:rPr>
        <w:t>أنّ نجاح أي استراتيجية وطنية لتحسين سلاسل القيمة يتوقف على قدرة المؤسسات على التمييز بين أنواع السلاسل المختلفة وإدارة كل منها بالأسلوب المناسب، وهو ما ينطبق على التجربة السعودية التي تتطلب التمييز بين سلسلة قيمة الخدمة الحكومية التقليدية وسلسلة ابتكار الخدمات الجديدة وسلسلة إدارة الطلب المتنامي على الخدمات الرقمية. ويرتبط هذا بشكل مباشر بالاستراتيجية الوطنية للبيانات والذكاء الاصطناعي التي تقودها الهيئة السعودية للبيانات والذكاء الاصطناعي (</w:t>
      </w:r>
      <w:proofErr w:type="spellStart"/>
      <w:r w:rsidRPr="00841847">
        <w:rPr>
          <w:rFonts w:ascii="Simplified Arabic" w:eastAsia="Times New Roman" w:hAnsi="Simplified Arabic" w:cs="Simplified Arabic"/>
          <w:kern w:val="0"/>
          <w:sz w:val="28"/>
          <w:szCs w:val="28"/>
          <w:rtl/>
          <w14:ligatures w14:val="none"/>
        </w:rPr>
        <w:t>سدايا</w:t>
      </w:r>
      <w:proofErr w:type="spellEnd"/>
      <w:r w:rsidRPr="00841847">
        <w:rPr>
          <w:rFonts w:ascii="Simplified Arabic" w:eastAsia="Times New Roman" w:hAnsi="Simplified Arabic" w:cs="Simplified Arabic"/>
          <w:kern w:val="0"/>
          <w:sz w:val="28"/>
          <w:szCs w:val="28"/>
          <w:rtl/>
          <w14:ligatures w14:val="none"/>
        </w:rPr>
        <w:t>) والتي تستهدف توظيف التقنيات المتقدمة في تحسين العمليات الحكومية عبر جميع حلقات السلسلة</w:t>
      </w:r>
      <w:r w:rsidRPr="00841847">
        <w:rPr>
          <w:rFonts w:ascii="Simplified Arabic" w:eastAsia="Times New Roman" w:hAnsi="Simplified Arabic" w:cs="Simplified Arabic"/>
          <w:kern w:val="0"/>
          <w:sz w:val="28"/>
          <w:szCs w:val="28"/>
          <w14:ligatures w14:val="none"/>
        </w:rPr>
        <w:t>.</w:t>
      </w:r>
    </w:p>
    <w:p w14:paraId="35CB9B0D"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ويُؤكد</w:t>
      </w:r>
      <w:r w:rsidRPr="00841847">
        <w:rPr>
          <w:rFonts w:ascii="Simplified Arabic" w:eastAsia="Times New Roman" w:hAnsi="Simplified Arabic" w:cs="Simplified Arabic"/>
          <w:kern w:val="0"/>
          <w:sz w:val="28"/>
          <w:szCs w:val="28"/>
          <w14:ligatures w14:val="none"/>
        </w:rPr>
        <w:t xml:space="preserve"> (Mboyo et al., 2025) </w:t>
      </w:r>
      <w:r w:rsidRPr="00841847">
        <w:rPr>
          <w:rFonts w:ascii="Simplified Arabic" w:eastAsia="Times New Roman" w:hAnsi="Simplified Arabic" w:cs="Simplified Arabic"/>
          <w:kern w:val="0"/>
          <w:sz w:val="28"/>
          <w:szCs w:val="28"/>
          <w:rtl/>
          <w14:ligatures w14:val="none"/>
        </w:rPr>
        <w:t xml:space="preserve">أنّ منهجية تحليل توزيع التكاليف التشغيلية عبر حلقات السلسلة تُوفّر أداة عملية بالغة القيمة لقياس مدى تقدّم المؤسسات الحكومية في تحقيق أهداف ترشيد الإنفاق المنصوص عليها في رؤية 2030. فمن خلال قياس تكلفة كل حلقة قبل التحسين وبعده يُمكن حساب العائد الفعلي لمبادرات التطوير </w:t>
      </w:r>
      <w:proofErr w:type="spellStart"/>
      <w:r w:rsidRPr="00841847">
        <w:rPr>
          <w:rFonts w:ascii="Simplified Arabic" w:eastAsia="Times New Roman" w:hAnsi="Simplified Arabic" w:cs="Simplified Arabic"/>
          <w:kern w:val="0"/>
          <w:sz w:val="28"/>
          <w:szCs w:val="28"/>
          <w:rtl/>
          <w14:ligatures w14:val="none"/>
        </w:rPr>
        <w:t>والرقمنة</w:t>
      </w:r>
      <w:proofErr w:type="spellEnd"/>
      <w:r w:rsidRPr="00841847">
        <w:rPr>
          <w:rFonts w:ascii="Simplified Arabic" w:eastAsia="Times New Roman" w:hAnsi="Simplified Arabic" w:cs="Simplified Arabic"/>
          <w:kern w:val="0"/>
          <w:sz w:val="28"/>
          <w:szCs w:val="28"/>
          <w:rtl/>
          <w14:ligatures w14:val="none"/>
        </w:rPr>
        <w:t xml:space="preserve"> بشكل موضوعي وقابل للمقارنة، مما يُعزّز المساءلة والشفافية ويُتيح اتخاذ قرارات استثمارية مبنية على أدلة ونتائج ملموسة وليس على تقديرات نظرية</w:t>
      </w:r>
      <w:r w:rsidRPr="00841847">
        <w:rPr>
          <w:rFonts w:ascii="Simplified Arabic" w:eastAsia="Times New Roman" w:hAnsi="Simplified Arabic" w:cs="Simplified Arabic"/>
          <w:kern w:val="0"/>
          <w:sz w:val="28"/>
          <w:szCs w:val="28"/>
          <w14:ligatures w14:val="none"/>
        </w:rPr>
        <w:t>.</w:t>
      </w:r>
    </w:p>
    <w:p w14:paraId="5F080E13"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ويُضيف</w:t>
      </w:r>
      <w:r w:rsidRPr="00841847">
        <w:rPr>
          <w:rFonts w:ascii="Simplified Arabic" w:eastAsia="Times New Roman" w:hAnsi="Simplified Arabic" w:cs="Simplified Arabic"/>
          <w:kern w:val="0"/>
          <w:sz w:val="28"/>
          <w:szCs w:val="28"/>
          <w14:ligatures w14:val="none"/>
        </w:rPr>
        <w:t xml:space="preserve"> (Ghadir et al., 2024) </w:t>
      </w:r>
      <w:r w:rsidRPr="00841847">
        <w:rPr>
          <w:rFonts w:ascii="Simplified Arabic" w:eastAsia="Times New Roman" w:hAnsi="Simplified Arabic" w:cs="Simplified Arabic"/>
          <w:kern w:val="0"/>
          <w:sz w:val="28"/>
          <w:szCs w:val="28"/>
          <w:rtl/>
          <w14:ligatures w14:val="none"/>
        </w:rPr>
        <w:t>أنّ سلسلة القيمة التشغيلية المدعومة بالذكاء الاصطناعي تُمثّل النموذج المستقبلي الذي تتجه نحوه المؤسسات الحكومية الرائدة عالمياً، وأنّ المملكة العربية السعودية — بما حققته من تقدم ملحوظ في مجال الذكاء الاصطناعي حيث صُنّفت ضمن أفضل خمس دول عالمياً في مؤشر الذكاء الاصطناعي العالمي لعام 2025</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تمتلك الأساس التقني والمؤسسي اللازم لتحقيق هذا النموذج على أرض الواقع</w:t>
      </w:r>
      <w:r w:rsidRPr="00841847">
        <w:rPr>
          <w:rFonts w:ascii="Simplified Arabic" w:eastAsia="Times New Roman" w:hAnsi="Simplified Arabic" w:cs="Simplified Arabic"/>
          <w:kern w:val="0"/>
          <w:sz w:val="28"/>
          <w:szCs w:val="28"/>
          <w14:ligatures w14:val="none"/>
        </w:rPr>
        <w:t xml:space="preserve">. </w:t>
      </w:r>
      <w:r w:rsidRPr="00841847">
        <w:rPr>
          <w:rFonts w:ascii="Simplified Arabic" w:eastAsia="Times New Roman" w:hAnsi="Simplified Arabic" w:cs="Simplified Arabic"/>
          <w:kern w:val="0"/>
          <w:sz w:val="28"/>
          <w:szCs w:val="28"/>
          <w:rtl/>
          <w14:ligatures w14:val="none"/>
        </w:rPr>
        <w:t>فكل بُعد من أبعاد سلسلة القيمة التشغيلية الأربعة يُمكن تعزيزه بتقنيات الذكاء الاصطناعي: فاللوجستيات الداخلية تستفيد من أنظمة التصنيف والتوجيه الآلي للطلبات، والعمليات التشغيلية الأساسية تستفيد من أنظمة دعم القرار والأتمتة الذكية، وتقديم الخدمات يستفيد من التخصيص الذكي لقنوات التسليم، وخدمات ما بعد التقديم تستفيد من الروبوتات الحوارية وأنظمة تحليل المشاعر والتنبؤ بالشكاوى</w:t>
      </w:r>
      <w:r w:rsidRPr="00841847">
        <w:rPr>
          <w:rFonts w:ascii="Simplified Arabic" w:eastAsia="Times New Roman" w:hAnsi="Simplified Arabic" w:cs="Simplified Arabic"/>
          <w:kern w:val="0"/>
          <w:sz w:val="28"/>
          <w:szCs w:val="28"/>
          <w14:ligatures w14:val="none"/>
        </w:rPr>
        <w:t>.</w:t>
      </w:r>
    </w:p>
    <w:p w14:paraId="5310CC43" w14:textId="77777777" w:rsid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841847">
        <w:rPr>
          <w:rFonts w:ascii="Simplified Arabic" w:eastAsia="Times New Roman" w:hAnsi="Simplified Arabic" w:cs="Simplified Arabic"/>
          <w:kern w:val="0"/>
          <w:sz w:val="28"/>
          <w:szCs w:val="28"/>
          <w:rtl/>
          <w14:ligatures w14:val="none"/>
        </w:rPr>
        <w:lastRenderedPageBreak/>
        <w:t>وبذلك يتّضح أنّ العلاقة بين سلسلة القيمة التشغيلية ورؤية 2030 ليست علاقة عرضية أو ثانوية، بل هي علاقة عضوية وبنيوية، إذ تُمثّل سلسلة القيمة المُحسَّنة والمدعومة بالتقنيات الذكية الآلية التنفيذية التي تتحول من خلالها الأهداف الاستراتيجية للرؤية إلى واقع ملموس يشعر به المواطن والمقيم في تعاملاتهم اليومية مع المؤسسات الحكومية. وهذا السياق الاستراتيجي هو ما يمنح هذه الدراسة أهميتها العلمية والعملية، حيث تسعى لاختبار تأثير تقنيات الذكاء الاصطناعي بأبعادها الأربعة — جمع البيانات ومعالجتها والنماذج التنبؤية والأتمتة الذكية وأنظمة دعم القرار — على سلسلة القيمة التشغيلية بأبعادها الأربعة</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اللوجستيات الداخلية والعمليات التشغيلية الأساسية وتقديم الخدمات وخدمات ما بعد التقديم — في المؤسسات الحكومية الكبرى بالمملكة العربية السعودية</w:t>
      </w:r>
      <w:r w:rsidRPr="00841847">
        <w:rPr>
          <w:rFonts w:ascii="Simplified Arabic" w:eastAsia="Times New Roman" w:hAnsi="Simplified Arabic" w:cs="Simplified Arabic"/>
          <w:kern w:val="0"/>
          <w:sz w:val="28"/>
          <w:szCs w:val="28"/>
          <w14:ligatures w14:val="none"/>
        </w:rPr>
        <w:t>.</w:t>
      </w:r>
    </w:p>
    <w:p w14:paraId="0298B86A" w14:textId="0BBF726B" w:rsidR="005C44E0" w:rsidRDefault="005C44E0" w:rsidP="005C44E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44E0">
        <w:rPr>
          <w:rFonts w:ascii="Simplified Arabic" w:eastAsia="Times New Roman" w:hAnsi="Simplified Arabic" w:cs="Simplified Arabic"/>
          <w:kern w:val="0"/>
          <w:sz w:val="28"/>
          <w:szCs w:val="28"/>
          <w:rtl/>
          <w14:ligatures w14:val="none"/>
        </w:rPr>
        <w:t>شكل (4) حلقات سلسلة القيمة التشغيلية في المؤسسات الحكومية</w:t>
      </w:r>
    </w:p>
    <w:p w14:paraId="278E83C7" w14:textId="244EA02C" w:rsidR="005C44E0" w:rsidRDefault="005C44E0" w:rsidP="005C44E0">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Pr>
          <w:noProof/>
        </w:rPr>
        <w:drawing>
          <wp:inline distT="0" distB="0" distL="0" distR="0" wp14:anchorId="26B80B0B" wp14:editId="0D51F11C">
            <wp:extent cx="5731510" cy="3680460"/>
            <wp:effectExtent l="0" t="0" r="2540" b="0"/>
            <wp:docPr id="76314013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80460"/>
                    </a:xfrm>
                    <a:prstGeom prst="rect">
                      <a:avLst/>
                    </a:prstGeom>
                    <a:noFill/>
                    <a:ln>
                      <a:noFill/>
                    </a:ln>
                  </pic:spPr>
                </pic:pic>
              </a:graphicData>
            </a:graphic>
          </wp:inline>
        </w:drawing>
      </w:r>
    </w:p>
    <w:p w14:paraId="78DB6E90"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رابعاً: الرابط العضوي بين الإطار النظري الثلاثي وأدوات التحقق التجريبي</w:t>
      </w:r>
    </w:p>
    <w:p w14:paraId="152D874C"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 xml:space="preserve">إنّ الإطار النظري الثلاثي الذي تستند إليه هذه الدراسة (نظرية الموارد </w:t>
      </w:r>
      <w:r w:rsidRPr="00EE3287">
        <w:rPr>
          <w:rFonts w:ascii="Simplified Arabic" w:eastAsia="Times New Roman" w:hAnsi="Simplified Arabic" w:cs="Simplified Arabic"/>
          <w:color w:val="EE0000"/>
          <w:kern w:val="0"/>
          <w:sz w:val="28"/>
          <w:szCs w:val="28"/>
          <w:lang w:bidi="ar-EG"/>
          <w14:ligatures w14:val="none"/>
        </w:rPr>
        <w:t>RBV</w:t>
      </w:r>
      <w:r w:rsidRPr="00EE3287">
        <w:rPr>
          <w:rFonts w:ascii="Simplified Arabic" w:eastAsia="Times New Roman" w:hAnsi="Simplified Arabic" w:cs="Simplified Arabic"/>
          <w:color w:val="EE0000"/>
          <w:kern w:val="0"/>
          <w:sz w:val="28"/>
          <w:szCs w:val="28"/>
          <w:rtl/>
          <w14:ligatures w14:val="none"/>
        </w:rPr>
        <w:t xml:space="preserve">، وإطار </w:t>
      </w:r>
      <w:r w:rsidRPr="00EE3287">
        <w:rPr>
          <w:rFonts w:ascii="Simplified Arabic" w:eastAsia="Times New Roman" w:hAnsi="Simplified Arabic" w:cs="Simplified Arabic"/>
          <w:color w:val="EE0000"/>
          <w:kern w:val="0"/>
          <w:sz w:val="28"/>
          <w:szCs w:val="28"/>
          <w:lang w:bidi="ar-EG"/>
          <w14:ligatures w14:val="none"/>
        </w:rPr>
        <w:t>TOE</w:t>
      </w:r>
      <w:r w:rsidRPr="00EE3287">
        <w:rPr>
          <w:rFonts w:ascii="Simplified Arabic" w:eastAsia="Times New Roman" w:hAnsi="Simplified Arabic" w:cs="Simplified Arabic"/>
          <w:color w:val="EE0000"/>
          <w:kern w:val="0"/>
          <w:sz w:val="28"/>
          <w:szCs w:val="28"/>
          <w:rtl/>
          <w14:ligatures w14:val="none"/>
        </w:rPr>
        <w:t xml:space="preserve">، والنظرية المؤسسية) لا يُقصد به توفير خلفية سرديّة زخرفية للعلاقة بين المتغيرين، بل يمثّل بنية تحتية تُشتقّ منها فقرات القياس، ويُوجَّه بمقتضاها اختيار أساليب التحليل الإحصائي، ويُفسَّر في ضوئها التباين المتوقّع بين </w:t>
      </w:r>
      <w:r w:rsidRPr="00EE3287">
        <w:rPr>
          <w:rFonts w:ascii="Simplified Arabic" w:eastAsia="Times New Roman" w:hAnsi="Simplified Arabic" w:cs="Simplified Arabic"/>
          <w:color w:val="EE0000"/>
          <w:kern w:val="0"/>
          <w:sz w:val="28"/>
          <w:szCs w:val="28"/>
          <w:rtl/>
          <w14:ligatures w14:val="none"/>
        </w:rPr>
        <w:lastRenderedPageBreak/>
        <w:t xml:space="preserve">فئات المؤسسات. وقد كشف استقراء الأدبيات في المباحث الثلاثة السابقة عن قصور شائع يتمثّل في الاكتفاء بذكر النظريات دون ترجمتها إلى متغيرات قابلة للقياس؛ ومن ثمّ، تُبرز الباحثة هنا الجسر </w:t>
      </w:r>
      <w:proofErr w:type="spellStart"/>
      <w:r w:rsidRPr="00EE3287">
        <w:rPr>
          <w:rFonts w:ascii="Simplified Arabic" w:eastAsia="Times New Roman" w:hAnsi="Simplified Arabic" w:cs="Simplified Arabic"/>
          <w:color w:val="EE0000"/>
          <w:kern w:val="0"/>
          <w:sz w:val="28"/>
          <w:szCs w:val="28"/>
          <w:rtl/>
          <w14:ligatures w14:val="none"/>
        </w:rPr>
        <w:t>الترجمي</w:t>
      </w:r>
      <w:proofErr w:type="spellEnd"/>
      <w:r w:rsidRPr="00EE3287">
        <w:rPr>
          <w:rFonts w:ascii="Simplified Arabic" w:eastAsia="Times New Roman" w:hAnsi="Simplified Arabic" w:cs="Simplified Arabic"/>
          <w:color w:val="EE0000"/>
          <w:kern w:val="0"/>
          <w:sz w:val="28"/>
          <w:szCs w:val="28"/>
          <w:rtl/>
          <w14:ligatures w14:val="none"/>
        </w:rPr>
        <w:t xml:space="preserve"> الذي يربط كل مقاربة نظرية بأداة قياس محددة، وبأسلوب تحليل مخصّص، بما يُتيح للقارئ المتخصص تتبّع المسار الصريح من الافتراض النظري إلى الاختبار التجريبي.</w:t>
      </w:r>
    </w:p>
    <w:p w14:paraId="0EAC2130"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b/>
          <w:bCs/>
          <w:color w:val="EE0000"/>
          <w:kern w:val="0"/>
          <w:sz w:val="28"/>
          <w:szCs w:val="28"/>
          <w:rtl/>
          <w14:ligatures w14:val="none"/>
        </w:rPr>
        <w:t>جدول (9) مصفوفة ترجمة الإطار النظري الثلاثي إلى متغيرات قابلة للقياس وأساليب تحليل داخل النموذج المفاهيمي</w:t>
      </w:r>
    </w:p>
    <w:tbl>
      <w:tblPr>
        <w:tblStyle w:val="af1"/>
        <w:bidiVisual/>
        <w:tblW w:w="0" w:type="auto"/>
        <w:tblLook w:val="04A0" w:firstRow="1" w:lastRow="0" w:firstColumn="1" w:lastColumn="0" w:noHBand="0" w:noVBand="1"/>
      </w:tblPr>
      <w:tblGrid>
        <w:gridCol w:w="2040"/>
        <w:gridCol w:w="1526"/>
        <w:gridCol w:w="1637"/>
        <w:gridCol w:w="1604"/>
        <w:gridCol w:w="2209"/>
      </w:tblGrid>
      <w:tr w:rsidR="00EE3287" w:rsidRPr="00EE3287" w14:paraId="72158AD1" w14:textId="77777777" w:rsidTr="00EE3287">
        <w:tc>
          <w:tcPr>
            <w:tcW w:w="0" w:type="auto"/>
            <w:hideMark/>
          </w:tcPr>
          <w:p w14:paraId="7C81F936"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b/>
                <w:bCs/>
                <w:color w:val="EE0000"/>
                <w:kern w:val="0"/>
                <w:sz w:val="28"/>
                <w:szCs w:val="28"/>
                <w:rtl/>
                <w14:ligatures w14:val="none"/>
              </w:rPr>
            </w:pPr>
            <w:r w:rsidRPr="00EE3287">
              <w:rPr>
                <w:rFonts w:ascii="Simplified Arabic" w:eastAsia="Times New Roman" w:hAnsi="Simplified Arabic" w:cs="Simplified Arabic"/>
                <w:b/>
                <w:bCs/>
                <w:color w:val="EE0000"/>
                <w:kern w:val="0"/>
                <w:sz w:val="28"/>
                <w:szCs w:val="28"/>
                <w:rtl/>
                <w14:ligatures w14:val="none"/>
              </w:rPr>
              <w:t>النظرية</w:t>
            </w:r>
          </w:p>
        </w:tc>
        <w:tc>
          <w:tcPr>
            <w:tcW w:w="0" w:type="auto"/>
            <w:hideMark/>
          </w:tcPr>
          <w:p w14:paraId="21429776"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b/>
                <w:bCs/>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الافتراض النظري المركزي</w:t>
            </w:r>
          </w:p>
        </w:tc>
        <w:tc>
          <w:tcPr>
            <w:tcW w:w="0" w:type="auto"/>
            <w:hideMark/>
          </w:tcPr>
          <w:p w14:paraId="12B953AD"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b/>
                <w:bCs/>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التوظيف في متغيرات الدراسة</w:t>
            </w:r>
          </w:p>
        </w:tc>
        <w:tc>
          <w:tcPr>
            <w:tcW w:w="0" w:type="auto"/>
            <w:hideMark/>
          </w:tcPr>
          <w:p w14:paraId="6ACBC419"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b/>
                <w:bCs/>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مؤشرات القياس في أداة الدراسة</w:t>
            </w:r>
          </w:p>
        </w:tc>
        <w:tc>
          <w:tcPr>
            <w:tcW w:w="0" w:type="auto"/>
            <w:hideMark/>
          </w:tcPr>
          <w:p w14:paraId="262EF263"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b/>
                <w:bCs/>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أسلوب التحليل الإحصائي المقابل</w:t>
            </w:r>
          </w:p>
        </w:tc>
      </w:tr>
      <w:tr w:rsidR="00EE3287" w:rsidRPr="00EE3287" w14:paraId="2E84D0FE" w14:textId="77777777" w:rsidTr="00EE3287">
        <w:tc>
          <w:tcPr>
            <w:tcW w:w="0" w:type="auto"/>
            <w:hideMark/>
          </w:tcPr>
          <w:p w14:paraId="3F7B5F60"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نظرية الموارد</w:t>
            </w:r>
            <w:r w:rsidRPr="00EE3287">
              <w:rPr>
                <w:rFonts w:ascii="Simplified Arabic" w:eastAsia="Times New Roman" w:hAnsi="Simplified Arabic" w:cs="Simplified Arabic"/>
                <w:b/>
                <w:bCs/>
                <w:color w:val="EE0000"/>
                <w:kern w:val="0"/>
                <w:sz w:val="28"/>
                <w:szCs w:val="28"/>
                <w:lang w:bidi="ar-EG"/>
                <w14:ligatures w14:val="none"/>
              </w:rPr>
              <w:t xml:space="preserve"> (RBV)</w:t>
            </w:r>
          </w:p>
        </w:tc>
        <w:tc>
          <w:tcPr>
            <w:tcW w:w="0" w:type="auto"/>
            <w:hideMark/>
          </w:tcPr>
          <w:p w14:paraId="7B06ABA1"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الذكاء الاصطناعي مورد استراتيجي نادر، صعب التقليد، ذو قيمة تنظيمية تُحقق ميزة تشغيلية مستدامة</w:t>
            </w:r>
          </w:p>
        </w:tc>
        <w:tc>
          <w:tcPr>
            <w:tcW w:w="0" w:type="auto"/>
            <w:hideMark/>
          </w:tcPr>
          <w:p w14:paraId="49F343D0"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تأطير الأبعاد الأربعة للمتغير المستقل (جمع البيانات ومعالجتها، النماذج التنبؤية، الأتمتة الذكية، أنظمة دعم القرار) بوصفها موارد استراتيجية</w:t>
            </w:r>
          </w:p>
        </w:tc>
        <w:tc>
          <w:tcPr>
            <w:tcW w:w="0" w:type="auto"/>
            <w:hideMark/>
          </w:tcPr>
          <w:p w14:paraId="147D5403"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فقرات قياس ندرة المورد، صعوبة إحلاله، القيمة المُدرَكة، ومساهمته في الأداء التشغيلي داخل المؤسسة الحكومية</w:t>
            </w:r>
          </w:p>
        </w:tc>
        <w:tc>
          <w:tcPr>
            <w:tcW w:w="0" w:type="auto"/>
            <w:hideMark/>
          </w:tcPr>
          <w:p w14:paraId="270CBB93"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تحليل الأثر المباشر</w:t>
            </w:r>
            <w:r w:rsidRPr="00EE3287">
              <w:rPr>
                <w:rFonts w:ascii="Simplified Arabic" w:eastAsia="Times New Roman" w:hAnsi="Simplified Arabic" w:cs="Simplified Arabic"/>
                <w:color w:val="EE0000"/>
                <w:kern w:val="0"/>
                <w:sz w:val="28"/>
                <w:szCs w:val="28"/>
                <w:lang w:bidi="ar-EG"/>
                <w14:ligatures w14:val="none"/>
              </w:rPr>
              <w:t xml:space="preserve"> (Direct Path Analysis) </w:t>
            </w:r>
            <w:r w:rsidRPr="00EE3287">
              <w:rPr>
                <w:rFonts w:ascii="Simplified Arabic" w:eastAsia="Times New Roman" w:hAnsi="Simplified Arabic" w:cs="Simplified Arabic"/>
                <w:color w:val="EE0000"/>
                <w:kern w:val="0"/>
                <w:sz w:val="28"/>
                <w:szCs w:val="28"/>
                <w:rtl/>
                <w14:ligatures w14:val="none"/>
              </w:rPr>
              <w:t>بين المتغير المستقل والمتغير التابع في نموذج</w:t>
            </w:r>
            <w:r w:rsidRPr="00EE3287">
              <w:rPr>
                <w:rFonts w:ascii="Simplified Arabic" w:eastAsia="Times New Roman" w:hAnsi="Simplified Arabic" w:cs="Simplified Arabic"/>
                <w:color w:val="EE0000"/>
                <w:kern w:val="0"/>
                <w:sz w:val="28"/>
                <w:szCs w:val="28"/>
                <w:lang w:bidi="ar-EG"/>
                <w14:ligatures w14:val="none"/>
              </w:rPr>
              <w:t xml:space="preserve"> PLS-SEM</w:t>
            </w:r>
          </w:p>
        </w:tc>
      </w:tr>
      <w:tr w:rsidR="00EE3287" w:rsidRPr="00EE3287" w14:paraId="07033FD9" w14:textId="77777777" w:rsidTr="00EE3287">
        <w:tc>
          <w:tcPr>
            <w:tcW w:w="0" w:type="auto"/>
            <w:hideMark/>
          </w:tcPr>
          <w:p w14:paraId="38526AE7"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إطار</w:t>
            </w:r>
            <w:r w:rsidRPr="00EE3287">
              <w:rPr>
                <w:rFonts w:ascii="Simplified Arabic" w:eastAsia="Times New Roman" w:hAnsi="Simplified Arabic" w:cs="Simplified Arabic"/>
                <w:b/>
                <w:bCs/>
                <w:color w:val="EE0000"/>
                <w:kern w:val="0"/>
                <w:sz w:val="28"/>
                <w:szCs w:val="28"/>
                <w:lang w:bidi="ar-EG"/>
                <w14:ligatures w14:val="none"/>
              </w:rPr>
              <w:t xml:space="preserve"> TOE (Technology–Organization–Environment)</w:t>
            </w:r>
          </w:p>
        </w:tc>
        <w:tc>
          <w:tcPr>
            <w:tcW w:w="0" w:type="auto"/>
            <w:hideMark/>
          </w:tcPr>
          <w:p w14:paraId="4CDBF676"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 xml:space="preserve">تبنّي التقنية محكوم بتفاعل ثلاثي بين السياق التكنولوجي </w:t>
            </w:r>
            <w:r w:rsidRPr="00EE3287">
              <w:rPr>
                <w:rFonts w:ascii="Simplified Arabic" w:eastAsia="Times New Roman" w:hAnsi="Simplified Arabic" w:cs="Simplified Arabic"/>
                <w:color w:val="EE0000"/>
                <w:kern w:val="0"/>
                <w:sz w:val="28"/>
                <w:szCs w:val="28"/>
                <w:rtl/>
                <w14:ligatures w14:val="none"/>
              </w:rPr>
              <w:lastRenderedPageBreak/>
              <w:t>والتنظيمي والبيئي</w:t>
            </w:r>
          </w:p>
        </w:tc>
        <w:tc>
          <w:tcPr>
            <w:tcW w:w="0" w:type="auto"/>
            <w:hideMark/>
          </w:tcPr>
          <w:p w14:paraId="2D8ADED7"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lastRenderedPageBreak/>
              <w:t>تفكيك شروط تبنّي الذكاء الاصطناعي إلى ثلاثة سياقات تحتضن أبعاد المتغير المستقل</w:t>
            </w:r>
          </w:p>
        </w:tc>
        <w:tc>
          <w:tcPr>
            <w:tcW w:w="0" w:type="auto"/>
            <w:hideMark/>
          </w:tcPr>
          <w:p w14:paraId="4393AD01"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فقرات الجاهزية التكنولوجية</w:t>
            </w:r>
            <w:r w:rsidRPr="00EE3287">
              <w:rPr>
                <w:rFonts w:ascii="Simplified Arabic" w:eastAsia="Times New Roman" w:hAnsi="Simplified Arabic" w:cs="Simplified Arabic"/>
                <w:color w:val="EE0000"/>
                <w:kern w:val="0"/>
                <w:sz w:val="28"/>
                <w:szCs w:val="28"/>
                <w:lang w:bidi="ar-EG"/>
                <w14:ligatures w14:val="none"/>
              </w:rPr>
              <w:t xml:space="preserve"> (T)</w:t>
            </w:r>
            <w:r w:rsidRPr="00EE3287">
              <w:rPr>
                <w:rFonts w:ascii="Simplified Arabic" w:eastAsia="Times New Roman" w:hAnsi="Simplified Arabic" w:cs="Simplified Arabic"/>
                <w:color w:val="EE0000"/>
                <w:kern w:val="0"/>
                <w:sz w:val="28"/>
                <w:szCs w:val="28"/>
                <w:rtl/>
                <w14:ligatures w14:val="none"/>
              </w:rPr>
              <w:t>، والجاهزية التنظيمية والثقافة الرقمية</w:t>
            </w:r>
            <w:r w:rsidRPr="00EE3287">
              <w:rPr>
                <w:rFonts w:ascii="Simplified Arabic" w:eastAsia="Times New Roman" w:hAnsi="Simplified Arabic" w:cs="Simplified Arabic"/>
                <w:color w:val="EE0000"/>
                <w:kern w:val="0"/>
                <w:sz w:val="28"/>
                <w:szCs w:val="28"/>
                <w:lang w:bidi="ar-EG"/>
                <w14:ligatures w14:val="none"/>
              </w:rPr>
              <w:t xml:space="preserve"> (O)</w:t>
            </w:r>
            <w:r w:rsidRPr="00EE3287">
              <w:rPr>
                <w:rFonts w:ascii="Simplified Arabic" w:eastAsia="Times New Roman" w:hAnsi="Simplified Arabic" w:cs="Simplified Arabic"/>
                <w:color w:val="EE0000"/>
                <w:kern w:val="0"/>
                <w:sz w:val="28"/>
                <w:szCs w:val="28"/>
                <w:rtl/>
                <w14:ligatures w14:val="none"/>
              </w:rPr>
              <w:t xml:space="preserve">، والضغوط </w:t>
            </w:r>
            <w:r w:rsidRPr="00EE3287">
              <w:rPr>
                <w:rFonts w:ascii="Simplified Arabic" w:eastAsia="Times New Roman" w:hAnsi="Simplified Arabic" w:cs="Simplified Arabic"/>
                <w:color w:val="EE0000"/>
                <w:kern w:val="0"/>
                <w:sz w:val="28"/>
                <w:szCs w:val="28"/>
                <w:rtl/>
                <w14:ligatures w14:val="none"/>
              </w:rPr>
              <w:lastRenderedPageBreak/>
              <w:t xml:space="preserve">التشريعية الصادرة عن </w:t>
            </w:r>
            <w:proofErr w:type="spellStart"/>
            <w:r w:rsidRPr="00EE3287">
              <w:rPr>
                <w:rFonts w:ascii="Simplified Arabic" w:eastAsia="Times New Roman" w:hAnsi="Simplified Arabic" w:cs="Simplified Arabic"/>
                <w:color w:val="EE0000"/>
                <w:kern w:val="0"/>
                <w:sz w:val="28"/>
                <w:szCs w:val="28"/>
                <w:rtl/>
                <w14:ligatures w14:val="none"/>
              </w:rPr>
              <w:t>سدايا</w:t>
            </w:r>
            <w:proofErr w:type="spellEnd"/>
            <w:r w:rsidRPr="00EE3287">
              <w:rPr>
                <w:rFonts w:ascii="Simplified Arabic" w:eastAsia="Times New Roman" w:hAnsi="Simplified Arabic" w:cs="Simplified Arabic"/>
                <w:color w:val="EE0000"/>
                <w:kern w:val="0"/>
                <w:sz w:val="28"/>
                <w:szCs w:val="28"/>
                <w:rtl/>
                <w14:ligatures w14:val="none"/>
              </w:rPr>
              <w:t xml:space="preserve"> وهيئة الحكومة الرقمية</w:t>
            </w:r>
            <w:r w:rsidRPr="00EE3287">
              <w:rPr>
                <w:rFonts w:ascii="Simplified Arabic" w:eastAsia="Times New Roman" w:hAnsi="Simplified Arabic" w:cs="Simplified Arabic"/>
                <w:color w:val="EE0000"/>
                <w:kern w:val="0"/>
                <w:sz w:val="28"/>
                <w:szCs w:val="28"/>
                <w:lang w:bidi="ar-EG"/>
                <w14:ligatures w14:val="none"/>
              </w:rPr>
              <w:t xml:space="preserve"> (E)</w:t>
            </w:r>
          </w:p>
        </w:tc>
        <w:tc>
          <w:tcPr>
            <w:tcW w:w="0" w:type="auto"/>
            <w:hideMark/>
          </w:tcPr>
          <w:p w14:paraId="1360E378"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lastRenderedPageBreak/>
              <w:t>نمذجة العلاقات الهيكلية المتشعّبة</w:t>
            </w:r>
            <w:r w:rsidRPr="00EE3287">
              <w:rPr>
                <w:rFonts w:ascii="Simplified Arabic" w:eastAsia="Times New Roman" w:hAnsi="Simplified Arabic" w:cs="Simplified Arabic"/>
                <w:color w:val="EE0000"/>
                <w:kern w:val="0"/>
                <w:sz w:val="28"/>
                <w:szCs w:val="28"/>
                <w:lang w:bidi="ar-EG"/>
                <w14:ligatures w14:val="none"/>
              </w:rPr>
              <w:t xml:space="preserve"> (Structural Model) </w:t>
            </w:r>
            <w:r w:rsidRPr="00EE3287">
              <w:rPr>
                <w:rFonts w:ascii="Simplified Arabic" w:eastAsia="Times New Roman" w:hAnsi="Simplified Arabic" w:cs="Simplified Arabic"/>
                <w:color w:val="EE0000"/>
                <w:kern w:val="0"/>
                <w:sz w:val="28"/>
                <w:szCs w:val="28"/>
                <w:rtl/>
                <w14:ligatures w14:val="none"/>
              </w:rPr>
              <w:t>واختبار وسائط السياق التنظيمي</w:t>
            </w:r>
          </w:p>
        </w:tc>
      </w:tr>
      <w:tr w:rsidR="00EE3287" w:rsidRPr="00EE3287" w14:paraId="6D4C9523" w14:textId="77777777" w:rsidTr="00EE3287">
        <w:tc>
          <w:tcPr>
            <w:tcW w:w="0" w:type="auto"/>
            <w:hideMark/>
          </w:tcPr>
          <w:p w14:paraId="22B525BA"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النظرية المؤسسية</w:t>
            </w:r>
            <w:r w:rsidRPr="00EE3287">
              <w:rPr>
                <w:rFonts w:ascii="Simplified Arabic" w:eastAsia="Times New Roman" w:hAnsi="Simplified Arabic" w:cs="Simplified Arabic"/>
                <w:b/>
                <w:bCs/>
                <w:color w:val="EE0000"/>
                <w:kern w:val="0"/>
                <w:sz w:val="28"/>
                <w:szCs w:val="28"/>
                <w:lang w:bidi="ar-EG"/>
                <w14:ligatures w14:val="none"/>
              </w:rPr>
              <w:t xml:space="preserve"> (Institutional Theory)</w:t>
            </w:r>
          </w:p>
        </w:tc>
        <w:tc>
          <w:tcPr>
            <w:tcW w:w="0" w:type="auto"/>
            <w:hideMark/>
          </w:tcPr>
          <w:p w14:paraId="1A750566"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تستجيب المؤسسات لثلاثة أنماط ضغط: قسرية، تقليدية، ومعيارية، ينتج عنها تباين مؤسسي في التبني</w:t>
            </w:r>
          </w:p>
        </w:tc>
        <w:tc>
          <w:tcPr>
            <w:tcW w:w="0" w:type="auto"/>
            <w:hideMark/>
          </w:tcPr>
          <w:p w14:paraId="165CCFB5"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تفسير التباين المتوقّع في نتائج التبني والأثر بين الفئات الثلاث للمؤسسات الحكومية السعودية الكبرى</w:t>
            </w:r>
          </w:p>
        </w:tc>
        <w:tc>
          <w:tcPr>
            <w:tcW w:w="0" w:type="auto"/>
            <w:hideMark/>
          </w:tcPr>
          <w:p w14:paraId="01990855"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فقرات إدراك الإلزام التشريعي، محاكاة المؤسسات الرائدة، والالتزام بالمعايير المهنية الوطنية</w:t>
            </w:r>
          </w:p>
        </w:tc>
        <w:tc>
          <w:tcPr>
            <w:tcW w:w="0" w:type="auto"/>
            <w:hideMark/>
          </w:tcPr>
          <w:p w14:paraId="66E1537B"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تحليل متعدد المجموعات</w:t>
            </w:r>
            <w:r w:rsidRPr="00EE3287">
              <w:rPr>
                <w:rFonts w:ascii="Simplified Arabic" w:eastAsia="Times New Roman" w:hAnsi="Simplified Arabic" w:cs="Simplified Arabic"/>
                <w:b/>
                <w:bCs/>
                <w:color w:val="EE0000"/>
                <w:kern w:val="0"/>
                <w:sz w:val="28"/>
                <w:szCs w:val="28"/>
                <w:lang w:bidi="ar-EG"/>
                <w14:ligatures w14:val="none"/>
              </w:rPr>
              <w:t xml:space="preserve"> (Multi-Group SEM)</w:t>
            </w:r>
            <w:r w:rsidRPr="00EE3287">
              <w:rPr>
                <w:rFonts w:ascii="Simplified Arabic" w:eastAsia="Times New Roman" w:hAnsi="Simplified Arabic" w:cs="Simplified Arabic"/>
                <w:color w:val="EE0000"/>
                <w:kern w:val="0"/>
                <w:sz w:val="28"/>
                <w:szCs w:val="28"/>
                <w:lang w:bidi="ar-EG"/>
                <w14:ligatures w14:val="none"/>
              </w:rPr>
              <w:t xml:space="preserve"> </w:t>
            </w:r>
            <w:r w:rsidRPr="00EE3287">
              <w:rPr>
                <w:rFonts w:ascii="Simplified Arabic" w:eastAsia="Times New Roman" w:hAnsi="Simplified Arabic" w:cs="Simplified Arabic"/>
                <w:color w:val="EE0000"/>
                <w:kern w:val="0"/>
                <w:sz w:val="28"/>
                <w:szCs w:val="28"/>
                <w:rtl/>
                <w14:ligatures w14:val="none"/>
              </w:rPr>
              <w:t>لاختبار ثبات القياس</w:t>
            </w:r>
            <w:r w:rsidRPr="00EE3287">
              <w:rPr>
                <w:rFonts w:ascii="Simplified Arabic" w:eastAsia="Times New Roman" w:hAnsi="Simplified Arabic" w:cs="Simplified Arabic"/>
                <w:color w:val="EE0000"/>
                <w:kern w:val="0"/>
                <w:sz w:val="28"/>
                <w:szCs w:val="28"/>
                <w:lang w:bidi="ar-EG"/>
                <w14:ligatures w14:val="none"/>
              </w:rPr>
              <w:t xml:space="preserve"> (Measurement Invariance) </w:t>
            </w:r>
            <w:r w:rsidRPr="00EE3287">
              <w:rPr>
                <w:rFonts w:ascii="Simplified Arabic" w:eastAsia="Times New Roman" w:hAnsi="Simplified Arabic" w:cs="Simplified Arabic"/>
                <w:color w:val="EE0000"/>
                <w:kern w:val="0"/>
                <w:sz w:val="28"/>
                <w:szCs w:val="28"/>
                <w:rtl/>
                <w14:ligatures w14:val="none"/>
              </w:rPr>
              <w:t>والفروق البنيوية في معاملات المسار</w:t>
            </w:r>
          </w:p>
        </w:tc>
      </w:tr>
    </w:tbl>
    <w:p w14:paraId="2E0243E5"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EE3287">
        <w:rPr>
          <w:rFonts w:ascii="Simplified Arabic" w:eastAsia="Times New Roman" w:hAnsi="Simplified Arabic" w:cs="Simplified Arabic"/>
          <w:color w:val="EE0000"/>
          <w:kern w:val="0"/>
          <w:sz w:val="28"/>
          <w:szCs w:val="28"/>
          <w:rtl/>
          <w14:ligatures w14:val="none"/>
        </w:rPr>
        <w:t xml:space="preserve">يتضح من المصفوفة أعلاه أنّ تحليل </w:t>
      </w:r>
      <w:r w:rsidRPr="00EE3287">
        <w:rPr>
          <w:rFonts w:ascii="Simplified Arabic" w:eastAsia="Times New Roman" w:hAnsi="Simplified Arabic" w:cs="Simplified Arabic"/>
          <w:color w:val="EE0000"/>
          <w:kern w:val="0"/>
          <w:sz w:val="28"/>
          <w:szCs w:val="28"/>
          <w:lang w:bidi="ar-EG"/>
          <w14:ligatures w14:val="none"/>
        </w:rPr>
        <w:t>multi-group SEM</w:t>
      </w:r>
      <w:r w:rsidRPr="00EE3287">
        <w:rPr>
          <w:rFonts w:ascii="Simplified Arabic" w:eastAsia="Times New Roman" w:hAnsi="Simplified Arabic" w:cs="Simplified Arabic"/>
          <w:color w:val="EE0000"/>
          <w:kern w:val="0"/>
          <w:sz w:val="28"/>
          <w:szCs w:val="28"/>
          <w:rtl/>
          <w14:ligatures w14:val="none"/>
        </w:rPr>
        <w:t xml:space="preserve"> المستند إلى النظرية المؤسسية يُشكّل العمود الفقري الذي يُميّز هذه الدراسة عن سابقاتها التي اكتفت باختبار أثر متجانس عبر بيئات مؤسسية مختلفة، ويُتيح كشف الأنماط المؤسسية المتباينة لتوظيف الذكاء الاصطناعي في إعادة هندسة سلسلة القيمة التشغيلية</w:t>
      </w:r>
      <w:r w:rsidRPr="00EE3287">
        <w:rPr>
          <w:rFonts w:ascii="Simplified Arabic" w:eastAsia="Times New Roman" w:hAnsi="Simplified Arabic" w:cs="Simplified Arabic"/>
          <w:kern w:val="0"/>
          <w:sz w:val="28"/>
          <w:szCs w:val="28"/>
          <w:rtl/>
          <w14:ligatures w14:val="none"/>
        </w:rPr>
        <w:t>.</w:t>
      </w:r>
    </w:p>
    <w:p w14:paraId="1EFE552C"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lang w:bidi="ar-EG"/>
          <w14:ligatures w14:val="none"/>
        </w:rPr>
      </w:pPr>
      <w:r w:rsidRPr="00EE3287">
        <w:rPr>
          <w:rFonts w:ascii="Simplified Arabic" w:eastAsia="Times New Roman" w:hAnsi="Simplified Arabic" w:cs="Simplified Arabic"/>
          <w:b/>
          <w:bCs/>
          <w:color w:val="EE0000"/>
          <w:kern w:val="0"/>
          <w:sz w:val="28"/>
          <w:szCs w:val="28"/>
          <w:rtl/>
          <w14:ligatures w14:val="none"/>
        </w:rPr>
        <w:t xml:space="preserve">خامساً: التباين المؤسسي المتوقّع بين فئات المؤسسات الحكومية — إطار تفسيري لتحليل </w:t>
      </w:r>
      <w:r w:rsidRPr="00EE3287">
        <w:rPr>
          <w:rFonts w:ascii="Simplified Arabic" w:eastAsia="Times New Roman" w:hAnsi="Simplified Arabic" w:cs="Simplified Arabic"/>
          <w:b/>
          <w:bCs/>
          <w:color w:val="EE0000"/>
          <w:kern w:val="0"/>
          <w:sz w:val="28"/>
          <w:szCs w:val="28"/>
          <w:lang w:bidi="ar-EG"/>
          <w14:ligatures w14:val="none"/>
        </w:rPr>
        <w:t>multi-group</w:t>
      </w:r>
    </w:p>
    <w:p w14:paraId="1E164AE2"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 xml:space="preserve">لا تفترض الباحثة أثراً متجانساً للذكاء الاصطناعي على سلسلة القيمة التشغيلية عبر جميع المؤسسات الحكومية السعودية الكبرى، بل تفترض — استناداً إلى النظرية المؤسسية بمرتكزاتها الثلاثة (الضغوط القسرية والتقليدية والمعيارية) — وجود </w:t>
      </w:r>
      <w:r w:rsidRPr="00EE3287">
        <w:rPr>
          <w:rFonts w:ascii="Simplified Arabic" w:eastAsia="Times New Roman" w:hAnsi="Simplified Arabic" w:cs="Simplified Arabic"/>
          <w:b/>
          <w:bCs/>
          <w:color w:val="EE0000"/>
          <w:kern w:val="0"/>
          <w:sz w:val="28"/>
          <w:szCs w:val="28"/>
          <w:rtl/>
          <w14:ligatures w14:val="none"/>
        </w:rPr>
        <w:t>تباين مؤسسي دال إحصائياً</w:t>
      </w:r>
      <w:r w:rsidRPr="00EE3287">
        <w:rPr>
          <w:rFonts w:ascii="Simplified Arabic" w:eastAsia="Times New Roman" w:hAnsi="Simplified Arabic" w:cs="Simplified Arabic"/>
          <w:color w:val="EE0000"/>
          <w:kern w:val="0"/>
          <w:sz w:val="28"/>
          <w:szCs w:val="28"/>
          <w:rtl/>
          <w14:ligatures w14:val="none"/>
        </w:rPr>
        <w:t xml:space="preserve"> في قوة العلاقات وبنية النموذج بين ثلاث فئات مستهدفة من المؤسسات: المؤسسات السيادية والتنظيمية، والمؤسسات الخدمية المباشرة، </w:t>
      </w:r>
      <w:r w:rsidRPr="00EE3287">
        <w:rPr>
          <w:rFonts w:ascii="Simplified Arabic" w:eastAsia="Times New Roman" w:hAnsi="Simplified Arabic" w:cs="Simplified Arabic"/>
          <w:color w:val="EE0000"/>
          <w:kern w:val="0"/>
          <w:sz w:val="28"/>
          <w:szCs w:val="28"/>
          <w:rtl/>
          <w14:ligatures w14:val="none"/>
        </w:rPr>
        <w:lastRenderedPageBreak/>
        <w:t>والمؤسسات التنموية والاستثمارية. ويُعزى هذا التباين المتوقّع إلى اختلاف تركيبة الضغوط المؤسسية الفاعلة في كل فئة: إذ تخضع المؤسسات السيادية والتنظيمية لضغوط قسرية تشريعية أعلى تنبثق من وظيفتها التنظيمية، في حين تستجيب المؤسسات الخدمية المباشرة بشكل أوضح لضغوط تقليدية للمحاكاة بين نظيراتها الرائدة في التحول الرقمي، بينما تتقدم المؤسسات التنموية والاستثمارية استجابةً لضغوط معيارية تنبع من ثقافة التميّز المهني والريادة التقنية المُرتبطة بمهماتها الاستراتيجية.</w:t>
      </w:r>
    </w:p>
    <w:p w14:paraId="58438808" w14:textId="77777777" w:rsidR="00EE3287" w:rsidRPr="00EE3287" w:rsidRDefault="00EE3287" w:rsidP="00EE3287">
      <w:pPr>
        <w:spacing w:before="100" w:beforeAutospacing="1" w:after="100" w:afterAutospacing="1" w:line="276" w:lineRule="auto"/>
        <w:jc w:val="both"/>
        <w:rPr>
          <w:rFonts w:ascii="Simplified Arabic" w:eastAsia="Times New Roman" w:hAnsi="Simplified Arabic" w:cs="Simplified Arabic"/>
          <w:color w:val="EE0000"/>
          <w:kern w:val="0"/>
          <w:sz w:val="28"/>
          <w:szCs w:val="28"/>
          <w:rtl/>
          <w14:ligatures w14:val="none"/>
        </w:rPr>
      </w:pPr>
      <w:r w:rsidRPr="00EE3287">
        <w:rPr>
          <w:rFonts w:ascii="Simplified Arabic" w:eastAsia="Times New Roman" w:hAnsi="Simplified Arabic" w:cs="Simplified Arabic"/>
          <w:color w:val="EE0000"/>
          <w:kern w:val="0"/>
          <w:sz w:val="28"/>
          <w:szCs w:val="28"/>
          <w:rtl/>
          <w14:ligatures w14:val="none"/>
        </w:rPr>
        <w:t xml:space="preserve">وسيُختبر هذا الافتراض تجريبياً في الفصول التالية عبر </w:t>
      </w:r>
      <w:r w:rsidRPr="00EE3287">
        <w:rPr>
          <w:rFonts w:ascii="Simplified Arabic" w:eastAsia="Times New Roman" w:hAnsi="Simplified Arabic" w:cs="Simplified Arabic"/>
          <w:b/>
          <w:bCs/>
          <w:color w:val="EE0000"/>
          <w:kern w:val="0"/>
          <w:sz w:val="28"/>
          <w:szCs w:val="28"/>
          <w:rtl/>
          <w14:ligatures w14:val="none"/>
        </w:rPr>
        <w:t xml:space="preserve">تحليل </w:t>
      </w:r>
      <w:r w:rsidRPr="00EE3287">
        <w:rPr>
          <w:rFonts w:ascii="Simplified Arabic" w:eastAsia="Times New Roman" w:hAnsi="Simplified Arabic" w:cs="Simplified Arabic"/>
          <w:b/>
          <w:bCs/>
          <w:color w:val="EE0000"/>
          <w:kern w:val="0"/>
          <w:sz w:val="28"/>
          <w:szCs w:val="28"/>
          <w:lang w:bidi="ar-EG"/>
          <w14:ligatures w14:val="none"/>
        </w:rPr>
        <w:t>multi-group SEM</w:t>
      </w:r>
      <w:r w:rsidRPr="00EE3287">
        <w:rPr>
          <w:rFonts w:ascii="Simplified Arabic" w:eastAsia="Times New Roman" w:hAnsi="Simplified Arabic" w:cs="Simplified Arabic"/>
          <w:color w:val="EE0000"/>
          <w:kern w:val="0"/>
          <w:sz w:val="28"/>
          <w:szCs w:val="28"/>
          <w:rtl/>
          <w14:ligatures w14:val="none"/>
        </w:rPr>
        <w:t xml:space="preserve"> بخطواته المنهجية المعتمدة: أولاً اختبار ثبات القياس عبر المجموعات (</w:t>
      </w:r>
      <w:r w:rsidRPr="00EE3287">
        <w:rPr>
          <w:rFonts w:ascii="Simplified Arabic" w:eastAsia="Times New Roman" w:hAnsi="Simplified Arabic" w:cs="Simplified Arabic"/>
          <w:color w:val="EE0000"/>
          <w:kern w:val="0"/>
          <w:sz w:val="28"/>
          <w:szCs w:val="28"/>
          <w:lang w:bidi="ar-EG"/>
          <w14:ligatures w14:val="none"/>
        </w:rPr>
        <w:t>Measurement Invariance</w:t>
      </w:r>
      <w:r w:rsidRPr="00EE3287">
        <w:rPr>
          <w:rFonts w:ascii="Simplified Arabic" w:eastAsia="Times New Roman" w:hAnsi="Simplified Arabic" w:cs="Simplified Arabic"/>
          <w:color w:val="EE0000"/>
          <w:kern w:val="0"/>
          <w:sz w:val="28"/>
          <w:szCs w:val="28"/>
          <w:rtl/>
          <w14:ligatures w14:val="none"/>
        </w:rPr>
        <w:t>) بمستوياته المتدرّجة (</w:t>
      </w:r>
      <w:r w:rsidRPr="00EE3287">
        <w:rPr>
          <w:rFonts w:ascii="Simplified Arabic" w:eastAsia="Times New Roman" w:hAnsi="Simplified Arabic" w:cs="Simplified Arabic"/>
          <w:color w:val="EE0000"/>
          <w:kern w:val="0"/>
          <w:sz w:val="28"/>
          <w:szCs w:val="28"/>
          <w:lang w:bidi="ar-EG"/>
          <w14:ligatures w14:val="none"/>
        </w:rPr>
        <w:t>Configural, Metric, Scalar</w:t>
      </w:r>
      <w:r w:rsidRPr="00EE3287">
        <w:rPr>
          <w:rFonts w:ascii="Simplified Arabic" w:eastAsia="Times New Roman" w:hAnsi="Simplified Arabic" w:cs="Simplified Arabic"/>
          <w:color w:val="EE0000"/>
          <w:kern w:val="0"/>
          <w:sz w:val="28"/>
          <w:szCs w:val="28"/>
          <w:rtl/>
          <w14:ligatures w14:val="none"/>
        </w:rPr>
        <w:t>)، ثم اختبار الفروق في معاملات المسار البنيوي (</w:t>
      </w:r>
      <w:r w:rsidRPr="00EE3287">
        <w:rPr>
          <w:rFonts w:ascii="Simplified Arabic" w:eastAsia="Times New Roman" w:hAnsi="Simplified Arabic" w:cs="Simplified Arabic"/>
          <w:color w:val="EE0000"/>
          <w:kern w:val="0"/>
          <w:sz w:val="28"/>
          <w:szCs w:val="28"/>
          <w:lang w:bidi="ar-EG"/>
          <w14:ligatures w14:val="none"/>
        </w:rPr>
        <w:t>Path Coefficients</w:t>
      </w:r>
      <w:r w:rsidRPr="00EE3287">
        <w:rPr>
          <w:rFonts w:ascii="Simplified Arabic" w:eastAsia="Times New Roman" w:hAnsi="Simplified Arabic" w:cs="Simplified Arabic"/>
          <w:color w:val="EE0000"/>
          <w:kern w:val="0"/>
          <w:sz w:val="28"/>
          <w:szCs w:val="28"/>
          <w:rtl/>
          <w14:ligatures w14:val="none"/>
        </w:rPr>
        <w:t xml:space="preserve">) بين الفئات الثلاث باستخدام اختبار </w:t>
      </w:r>
      <w:r w:rsidRPr="00EE3287">
        <w:rPr>
          <w:rFonts w:ascii="Simplified Arabic" w:eastAsia="Times New Roman" w:hAnsi="Simplified Arabic" w:cs="Simplified Arabic"/>
          <w:color w:val="EE0000"/>
          <w:kern w:val="0"/>
          <w:sz w:val="28"/>
          <w:szCs w:val="28"/>
          <w:lang w:bidi="ar-EG"/>
          <w14:ligatures w14:val="none"/>
        </w:rPr>
        <w:t>Chi-Square Difference</w:t>
      </w:r>
      <w:r w:rsidRPr="00EE3287">
        <w:rPr>
          <w:rFonts w:ascii="Simplified Arabic" w:eastAsia="Times New Roman" w:hAnsi="Simplified Arabic" w:cs="Simplified Arabic"/>
          <w:color w:val="EE0000"/>
          <w:kern w:val="0"/>
          <w:sz w:val="28"/>
          <w:szCs w:val="28"/>
          <w:rtl/>
          <w14:ligatures w14:val="none"/>
        </w:rPr>
        <w:t xml:space="preserve"> أو نهج </w:t>
      </w:r>
      <w:r w:rsidRPr="00EE3287">
        <w:rPr>
          <w:rFonts w:ascii="Simplified Arabic" w:eastAsia="Times New Roman" w:hAnsi="Simplified Arabic" w:cs="Simplified Arabic"/>
          <w:color w:val="EE0000"/>
          <w:kern w:val="0"/>
          <w:sz w:val="28"/>
          <w:szCs w:val="28"/>
          <w:lang w:bidi="ar-EG"/>
          <w14:ligatures w14:val="none"/>
        </w:rPr>
        <w:t>PLS-MGA</w:t>
      </w:r>
      <w:r w:rsidRPr="00EE3287">
        <w:rPr>
          <w:rFonts w:ascii="Simplified Arabic" w:eastAsia="Times New Roman" w:hAnsi="Simplified Arabic" w:cs="Simplified Arabic"/>
          <w:color w:val="EE0000"/>
          <w:kern w:val="0"/>
          <w:sz w:val="28"/>
          <w:szCs w:val="28"/>
          <w:rtl/>
          <w14:ligatures w14:val="none"/>
        </w:rPr>
        <w:t xml:space="preserve"> وفقاً لمخرجات ثبات القياس. وسيُتيح هذا التحليل الكشف عمّا إذا كانت العلاقة بين الذكاء الاصطناعي وسلسلة القيمة التشغيلية تتخذ أنماطاً متباينة بحسب الطبيعة المؤسسية، وهو ما يُشكّل الإسهام النظري المميّز لهذه الدراسة في الأدبيات العربية والدولية على السواء، ويُترجم عملياً الرابط العضوي بين النظرية المؤسسية والتصميم المنهجي الذي أوضحته المصفوفة </w:t>
      </w:r>
      <w:proofErr w:type="spellStart"/>
      <w:r w:rsidRPr="00EE3287">
        <w:rPr>
          <w:rFonts w:ascii="Simplified Arabic" w:eastAsia="Times New Roman" w:hAnsi="Simplified Arabic" w:cs="Simplified Arabic"/>
          <w:color w:val="EE0000"/>
          <w:kern w:val="0"/>
          <w:sz w:val="28"/>
          <w:szCs w:val="28"/>
          <w:rtl/>
          <w14:ligatures w14:val="none"/>
        </w:rPr>
        <w:t>الترجمية</w:t>
      </w:r>
      <w:proofErr w:type="spellEnd"/>
      <w:r w:rsidRPr="00EE3287">
        <w:rPr>
          <w:rFonts w:ascii="Simplified Arabic" w:eastAsia="Times New Roman" w:hAnsi="Simplified Arabic" w:cs="Simplified Arabic"/>
          <w:color w:val="EE0000"/>
          <w:kern w:val="0"/>
          <w:sz w:val="28"/>
          <w:szCs w:val="28"/>
          <w:rtl/>
          <w14:ligatures w14:val="none"/>
        </w:rPr>
        <w:t xml:space="preserve"> في القسم السابق.</w:t>
      </w:r>
    </w:p>
    <w:p w14:paraId="1AFCF5E5" w14:textId="77777777" w:rsidR="00AF0FC2" w:rsidRPr="00EE3287" w:rsidRDefault="00AF0FC2" w:rsidP="00A5503B">
      <w:pPr>
        <w:spacing w:before="100" w:beforeAutospacing="1" w:after="100" w:afterAutospacing="1" w:line="276" w:lineRule="auto"/>
        <w:jc w:val="both"/>
        <w:rPr>
          <w:rFonts w:ascii="Simplified Arabic" w:eastAsia="Times New Roman" w:hAnsi="Simplified Arabic" w:cs="Simplified Arabic" w:hint="cs"/>
          <w:kern w:val="0"/>
          <w:sz w:val="28"/>
          <w:szCs w:val="28"/>
          <w:rtl/>
          <w14:ligatures w14:val="none"/>
        </w:rPr>
      </w:pPr>
    </w:p>
    <w:p w14:paraId="31C08943"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0DE45C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555B6F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B7AA35B"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lang w:bidi="ar-EG"/>
          <w14:ligatures w14:val="none"/>
        </w:rPr>
      </w:pPr>
    </w:p>
    <w:p w14:paraId="17336AE4" w14:textId="77777777" w:rsidR="005F1EB6" w:rsidRDefault="005F1EB6" w:rsidP="00841847">
      <w:pPr>
        <w:spacing w:before="100" w:beforeAutospacing="1" w:after="100" w:afterAutospacing="1" w:line="240" w:lineRule="auto"/>
        <w:jc w:val="both"/>
        <w:rPr>
          <w:rFonts w:ascii="Simplified Arabic" w:eastAsia="Times New Roman" w:hAnsi="Simplified Arabic" w:cs="Simplified Arabic"/>
          <w:kern w:val="0"/>
          <w:sz w:val="28"/>
          <w:szCs w:val="28"/>
          <w:rtl/>
          <w:lang w:bidi="ar-EG"/>
          <w14:ligatures w14:val="none"/>
        </w:rPr>
      </w:pPr>
    </w:p>
    <w:p w14:paraId="34992C27" w14:textId="77777777" w:rsidR="005F1EB6" w:rsidRDefault="005F1EB6" w:rsidP="00841847">
      <w:pPr>
        <w:spacing w:before="100" w:beforeAutospacing="1" w:after="100" w:afterAutospacing="1" w:line="240" w:lineRule="auto"/>
        <w:jc w:val="both"/>
        <w:rPr>
          <w:rFonts w:ascii="Simplified Arabic" w:eastAsia="Times New Roman" w:hAnsi="Simplified Arabic" w:cs="Simplified Arabic"/>
          <w:kern w:val="0"/>
          <w:sz w:val="28"/>
          <w:szCs w:val="28"/>
          <w:rtl/>
          <w:lang w:bidi="ar-EG"/>
          <w14:ligatures w14:val="none"/>
        </w:rPr>
      </w:pPr>
    </w:p>
    <w:p w14:paraId="6C0EFF64" w14:textId="77777777" w:rsidR="005F1EB6" w:rsidRDefault="005F1EB6" w:rsidP="00841847">
      <w:pPr>
        <w:spacing w:before="100" w:beforeAutospacing="1" w:after="100" w:afterAutospacing="1" w:line="240" w:lineRule="auto"/>
        <w:jc w:val="both"/>
        <w:rPr>
          <w:rFonts w:ascii="Simplified Arabic" w:eastAsia="Times New Roman" w:hAnsi="Simplified Arabic" w:cs="Simplified Arabic"/>
          <w:kern w:val="0"/>
          <w:sz w:val="28"/>
          <w:szCs w:val="28"/>
          <w:rtl/>
          <w:lang w:bidi="ar-EG"/>
          <w14:ligatures w14:val="none"/>
        </w:rPr>
      </w:pPr>
    </w:p>
    <w:p w14:paraId="610AA98F" w14:textId="77777777" w:rsidR="008B3166" w:rsidRDefault="008B3166" w:rsidP="00841847">
      <w:pPr>
        <w:spacing w:before="100" w:beforeAutospacing="1" w:after="100" w:afterAutospacing="1" w:line="240" w:lineRule="auto"/>
        <w:jc w:val="both"/>
        <w:rPr>
          <w:rFonts w:ascii="Simplified Arabic" w:eastAsia="Times New Roman" w:hAnsi="Simplified Arabic" w:cs="Simplified Arabic" w:hint="cs"/>
          <w:kern w:val="0"/>
          <w:sz w:val="28"/>
          <w:szCs w:val="28"/>
          <w:rtl/>
          <w:lang w:bidi="ar-EG"/>
          <w14:ligatures w14:val="none"/>
        </w:rPr>
      </w:pPr>
    </w:p>
    <w:p w14:paraId="391CFB2A"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A98143F"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المبحث الثالث</w:t>
      </w:r>
    </w:p>
    <w:p w14:paraId="174DA056"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العلاقة بين الذكاء الاصطناعي وسلسلة القيمة التشغيلية في المؤسسات الحكومية الكبرى</w:t>
      </w:r>
    </w:p>
    <w:p w14:paraId="180CC8D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تمهيد</w:t>
      </w:r>
    </w:p>
    <w:p w14:paraId="3D8223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يسعى هذا المبحث إلى تأصيل العلاقة النظرية بين المتغير المستقل للدراسة المتمثّل في الذكاء الاصطناعي والمتغير التابع المتمثّل في سلسلة القيمة التشغيلية، وذلك من خلال استقراء ما أفرزته الأدبيات الإدارية والتقنية المعاصرة من أُطر تفسيرية وتحليلية تكشف عن طبيعة هذه العلاقة ومساراتها واتجاهات تأثيرها. وتنبع أهمية هذا المبحث من كونه يُقدّم الجسر المفاهيمي الذي يربط بين الفصلين النظريين السابقين ويُمهّد لبناء الفرضيات واختبارها ميدانياً، انطلاقاً من أن الذكاء الاصطناعي لم يعد أداة تقنية </w:t>
      </w:r>
      <w:proofErr w:type="gramStart"/>
      <w:r w:rsidRPr="00AF0FC2">
        <w:rPr>
          <w:rFonts w:ascii="Simplified Arabic" w:eastAsia="Times New Roman" w:hAnsi="Simplified Arabic" w:cs="Simplified Arabic"/>
          <w:kern w:val="0"/>
          <w:sz w:val="28"/>
          <w:szCs w:val="28"/>
          <w:rtl/>
          <w14:ligatures w14:val="none"/>
        </w:rPr>
        <w:t>هامشية</w:t>
      </w:r>
      <w:proofErr w:type="gramEnd"/>
      <w:r w:rsidRPr="00AF0FC2">
        <w:rPr>
          <w:rFonts w:ascii="Simplified Arabic" w:eastAsia="Times New Roman" w:hAnsi="Simplified Arabic" w:cs="Simplified Arabic"/>
          <w:kern w:val="0"/>
          <w:sz w:val="28"/>
          <w:szCs w:val="28"/>
          <w:rtl/>
          <w14:ligatures w14:val="none"/>
        </w:rPr>
        <w:t xml:space="preserve"> بل تحوّل إلى قوة تحويلية بنيوية قادرة على إعادة تشكيل المنطق التشغيلي لسلسلة القيمة في المؤسسات الحكومية الكبرى</w:t>
      </w:r>
      <w:r w:rsidRPr="00AF0FC2">
        <w:rPr>
          <w:rFonts w:ascii="Simplified Arabic" w:eastAsia="Times New Roman" w:hAnsi="Simplified Arabic" w:cs="Simplified Arabic"/>
          <w:kern w:val="0"/>
          <w:sz w:val="28"/>
          <w:szCs w:val="28"/>
          <w14:ligatures w14:val="none"/>
        </w:rPr>
        <w:t>.</w:t>
      </w:r>
    </w:p>
    <w:p w14:paraId="14F85E44"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أولاً: الأساس النظري للعلاقة بين المتغيرين</w:t>
      </w:r>
    </w:p>
    <w:p w14:paraId="17451A3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تستند العلاقة بين الذكاء الاصطناعي وسلسلة القيمة التشغيلية إلى عدد من المرتكزات النظرية التي تناولتها الأدبيات من زوايا متكاملة. فقد أوضح غدير وآخرون أن الذكاء الاصطناعي يُعيد تعريف مفهوم القيمة ذاته داخل السلسلة، حيث لم تعد القيمة تقتصر على مجرد تحويل المدخلات إلى مخرجات بأقل تكلفة ممكنة، بل أصبحت تتضمن بُعداً تنبؤياً واستباقياً يجعل السلسلة قادرة على استشراف احتياجات المستفيدين قبل أن يُعبّروا عنها صراحةً، وتصميم استجابات مُخصصة تتجاوز حدود التوقعات المعتادة. وهذا التحوّل في مفهوم القيمة يستتبع بالضرورة تحوّلاً موازياً في البنية الداخلية للسلسلة ومنطق عملها وأساليب قياس أدائها</w:t>
      </w:r>
      <w:r w:rsidRPr="00AF0FC2">
        <w:rPr>
          <w:rFonts w:ascii="Simplified Arabic" w:eastAsia="Times New Roman" w:hAnsi="Simplified Arabic" w:cs="Simplified Arabic"/>
          <w:kern w:val="0"/>
          <w:sz w:val="28"/>
          <w:szCs w:val="28"/>
          <w14:ligatures w14:val="none"/>
        </w:rPr>
        <w:t xml:space="preserve"> (Ghadir et al., 2024).</w:t>
      </w:r>
    </w:p>
    <w:p w14:paraId="510B7CB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ويُضيف غدير وآخرون أن الذكاء الاصطناعي يُحوّل طبيعة الروابط بين حلقات السلسلة من علاقة تتابعية خطية ينتقل فيها العمل من حلقة إلى أخرى في اتجاه واحد، إلى علاقة شبكية ديناميكية تتدفق فيها </w:t>
      </w:r>
      <w:r w:rsidRPr="00AF0FC2">
        <w:rPr>
          <w:rFonts w:ascii="Simplified Arabic" w:eastAsia="Times New Roman" w:hAnsi="Simplified Arabic" w:cs="Simplified Arabic"/>
          <w:kern w:val="0"/>
          <w:sz w:val="28"/>
          <w:szCs w:val="28"/>
          <w:rtl/>
          <w14:ligatures w14:val="none"/>
        </w:rPr>
        <w:lastRenderedPageBreak/>
        <w:t>المعلومات والتغذية الراجعة بصورة آنية ومتزامنة بين جميع الحلقات</w:t>
      </w:r>
      <w:r w:rsidRPr="00AF0FC2">
        <w:rPr>
          <w:rFonts w:ascii="Simplified Arabic" w:eastAsia="Times New Roman" w:hAnsi="Simplified Arabic" w:cs="Simplified Arabic"/>
          <w:kern w:val="0"/>
          <w:sz w:val="28"/>
          <w:szCs w:val="28"/>
          <w14:ligatures w14:val="none"/>
        </w:rPr>
        <w:t xml:space="preserve">. </w:t>
      </w:r>
      <w:r w:rsidRPr="00AF0FC2">
        <w:rPr>
          <w:rFonts w:ascii="Simplified Arabic" w:eastAsia="Times New Roman" w:hAnsi="Simplified Arabic" w:cs="Simplified Arabic"/>
          <w:kern w:val="0"/>
          <w:sz w:val="28"/>
          <w:szCs w:val="28"/>
          <w:rtl/>
          <w14:ligatures w14:val="none"/>
        </w:rPr>
        <w:t>وهذا يعني أن كل حلقة تغدو قادرة على التكيف اللحظي مع أي تغيّر يطرأ على الحلقات الأخرى دون الحاجة إلى انتظار دورات مراجعة تقليدية تستهلك الوقت وتُبطئ الاستجابة. كما أن تقنيات الذكاء الاصطناعي من معالجة اللغة الطبيعية وتعلّم آلي وتوائم رقمية تندمج تدريجياً في صميم الأنشطة الأساسية للسلسلة، مما يُذوّب الحدود الفاصلة التقليدية بين الأنشطة الأساسية والأنشطة الداعمة ويُعيد تشكيل هندسة السلسلة بأكملها</w:t>
      </w:r>
      <w:r w:rsidRPr="00AF0FC2">
        <w:rPr>
          <w:rFonts w:ascii="Simplified Arabic" w:eastAsia="Times New Roman" w:hAnsi="Simplified Arabic" w:cs="Simplified Arabic"/>
          <w:kern w:val="0"/>
          <w:sz w:val="28"/>
          <w:szCs w:val="28"/>
          <w14:ligatures w14:val="none"/>
        </w:rPr>
        <w:t xml:space="preserve"> (Ghadir et al., 2024).</w:t>
      </w:r>
    </w:p>
    <w:p w14:paraId="40BC059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ومن جانبه يُؤكد </w:t>
      </w:r>
      <w:proofErr w:type="spellStart"/>
      <w:r w:rsidRPr="00AF0FC2">
        <w:rPr>
          <w:rFonts w:ascii="Simplified Arabic" w:eastAsia="Times New Roman" w:hAnsi="Simplified Arabic" w:cs="Simplified Arabic"/>
          <w:kern w:val="0"/>
          <w:sz w:val="28"/>
          <w:szCs w:val="28"/>
          <w:rtl/>
          <w14:ligatures w14:val="none"/>
        </w:rPr>
        <w:t>تيابوخين</w:t>
      </w:r>
      <w:proofErr w:type="spellEnd"/>
      <w:r w:rsidRPr="00AF0FC2">
        <w:rPr>
          <w:rFonts w:ascii="Simplified Arabic" w:eastAsia="Times New Roman" w:hAnsi="Simplified Arabic" w:cs="Simplified Arabic"/>
          <w:kern w:val="0"/>
          <w:sz w:val="28"/>
          <w:szCs w:val="28"/>
          <w:rtl/>
          <w14:ligatures w14:val="none"/>
        </w:rPr>
        <w:t xml:space="preserve"> أن الذكاء الاصطناعي يُسهم في معالجة واحدة من أعمق الإشكاليات البنيوية التي تُعيق كفاءة سلسلة القيمة في المؤسسات الكبرى، وهي الحواجز الوظيفية بين الوحدات التنظيمية. فمن خلال إنشاء فضاءات معلوماتية ذكية مشتركة تتدفق عبرها البيانات بسلاسة، يُمكن للذكاء الاصطناعي أن يُحوّل الوحدات التنظيمية المنعزلة إلى منظومة متكاملة يتشارك أعضاؤها الرؤية والمعلومات والمؤشرات ضمن إطار مفاهيمي موحد. وهذا التكامل المعلوماتي يُمكّن المؤسسة أيضاً من التمييز الدقيق بين أنواع السلاسل المختلفة داخلها وتطبيق مقاييس الأداء الملائمة لكل نوع، بدلاً من إخضاع جميع العمليات لمنطق إداري واحد قد لا يتناسب مع طبيعتها</w:t>
      </w:r>
      <w:r w:rsidRPr="00AF0FC2">
        <w:rPr>
          <w:rFonts w:ascii="Simplified Arabic" w:eastAsia="Times New Roman" w:hAnsi="Simplified Arabic" w:cs="Simplified Arabic"/>
          <w:kern w:val="0"/>
          <w:sz w:val="28"/>
          <w:szCs w:val="28"/>
          <w14:ligatures w14:val="none"/>
        </w:rPr>
        <w:t xml:space="preserve"> (</w:t>
      </w:r>
      <w:proofErr w:type="spellStart"/>
      <w:r w:rsidRPr="00AF0FC2">
        <w:rPr>
          <w:rFonts w:ascii="Simplified Arabic" w:eastAsia="Times New Roman" w:hAnsi="Simplified Arabic" w:cs="Simplified Arabic"/>
          <w:kern w:val="0"/>
          <w:sz w:val="28"/>
          <w:szCs w:val="28"/>
          <w14:ligatures w14:val="none"/>
        </w:rPr>
        <w:t>Tyapukhin</w:t>
      </w:r>
      <w:proofErr w:type="spellEnd"/>
      <w:r w:rsidRPr="00AF0FC2">
        <w:rPr>
          <w:rFonts w:ascii="Simplified Arabic" w:eastAsia="Times New Roman" w:hAnsi="Simplified Arabic" w:cs="Simplified Arabic"/>
          <w:kern w:val="0"/>
          <w:sz w:val="28"/>
          <w:szCs w:val="28"/>
          <w14:ligatures w14:val="none"/>
        </w:rPr>
        <w:t>, 2023).</w:t>
      </w:r>
    </w:p>
    <w:p w14:paraId="1DFE29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ثانياً: أثر الذكاء الاصطناعي على حلقات سلسلة القيمة التشغيلية</w:t>
      </w:r>
    </w:p>
    <w:p w14:paraId="3A801792"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تتجلّى العلاقة بين المتغيرين بصورة أكثر وضوحاً حين يُحلّل أثر الذكاء الاصطناعي على كل حلقة من حلقات سلسلة القيمة التشغيلية في السياق الحكومي. فعلى مستوى حلقة اللوجستيات الداخلية المتمثلة في استقبال طلبات المستفيدين وتصنيفها وتوجيهها، يُمكن للذكاء الاصطناعي أن يُحدث نقلة نوعية من خلال أنظمة التصنيف الذكي التي تُحلّل مضمون الطلب وتُحدّد مساره التشغيلي الأمثل بشكل تلقائي، وهو ما يختصر الزمن ويُقلّص الأخطاء الناجمة عن التصنيف اليدوي ويُحسّن توزيع أعباء العمل على الوحدات المعنية</w:t>
      </w:r>
      <w:r w:rsidRPr="00AF0FC2">
        <w:rPr>
          <w:rFonts w:ascii="Simplified Arabic" w:eastAsia="Times New Roman" w:hAnsi="Simplified Arabic" w:cs="Simplified Arabic"/>
          <w:kern w:val="0"/>
          <w:sz w:val="28"/>
          <w:szCs w:val="28"/>
          <w14:ligatures w14:val="none"/>
        </w:rPr>
        <w:t xml:space="preserve"> (Ghadir et al., 2024).</w:t>
      </w:r>
    </w:p>
    <w:p w14:paraId="5F1507C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أما على مستوى حلقة العمليات التشغيلية الأساسية التي تتضمن المعالجة والتدقيق والاعتماد، فإن نعاس وبراس يُوضّحان أن دمج الذكاء الاصطناعي مع منظومة الرقابة الإدارية يُحوّلها من نموذج رصد لاحق يكتشف الانحرافات بعد وقوعها إلى نموذج استباقي يتنبأ بالإشكاليات قبل حدوثها ويُطلق إجراءات تصحيحية آلية. وهذا التحوّل في طبيعة الرقابة يرفع مستوى الأداء المالي ويُحسّن هيكل التكاليف ويُعزّز جودة القرارات </w:t>
      </w:r>
      <w:r w:rsidRPr="00AF0FC2">
        <w:rPr>
          <w:rFonts w:ascii="Simplified Arabic" w:eastAsia="Times New Roman" w:hAnsi="Simplified Arabic" w:cs="Simplified Arabic"/>
          <w:kern w:val="0"/>
          <w:sz w:val="28"/>
          <w:szCs w:val="28"/>
          <w:rtl/>
          <w14:ligatures w14:val="none"/>
        </w:rPr>
        <w:lastRenderedPageBreak/>
        <w:t>المتخذة عبر مسار المعالجة بأكمله. كما أن أتمتة عمليات الرقابة النوعية بتقنيات الذكاء الاصطناعي تُتيح فحص مخرجات كل مرحلة بشكل شامل ومستمر بدلاً من الاكتفاء بالعينات العشوائية، مما يرفع مستوى الالتزام بمعايير الجودة ويُقلّص الأخطاء البشرية إلى حدودها الدنيا</w:t>
      </w:r>
      <w:r w:rsidRPr="00AF0FC2">
        <w:rPr>
          <w:rFonts w:ascii="Simplified Arabic" w:eastAsia="Times New Roman" w:hAnsi="Simplified Arabic" w:cs="Simplified Arabic"/>
          <w:kern w:val="0"/>
          <w:sz w:val="28"/>
          <w:szCs w:val="28"/>
          <w14:ligatures w14:val="none"/>
        </w:rPr>
        <w:t xml:space="preserve"> (Naas &amp; </w:t>
      </w:r>
      <w:proofErr w:type="spellStart"/>
      <w:r w:rsidRPr="00AF0FC2">
        <w:rPr>
          <w:rFonts w:ascii="Simplified Arabic" w:eastAsia="Times New Roman" w:hAnsi="Simplified Arabic" w:cs="Simplified Arabic"/>
          <w:kern w:val="0"/>
          <w:sz w:val="28"/>
          <w:szCs w:val="28"/>
          <w14:ligatures w14:val="none"/>
        </w:rPr>
        <w:t>Berass</w:t>
      </w:r>
      <w:proofErr w:type="spellEnd"/>
      <w:r w:rsidRPr="00AF0FC2">
        <w:rPr>
          <w:rFonts w:ascii="Simplified Arabic" w:eastAsia="Times New Roman" w:hAnsi="Simplified Arabic" w:cs="Simplified Arabic"/>
          <w:kern w:val="0"/>
          <w:sz w:val="28"/>
          <w:szCs w:val="28"/>
          <w14:ligatures w14:val="none"/>
        </w:rPr>
        <w:t>, 2024).</w:t>
      </w:r>
    </w:p>
    <w:p w14:paraId="44D8C2B9"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وعلى مستوى حلقة تقديم الخدمات وإيصالها للمستفيدين، فإن الذكاء الاصطناعي يُعزّز قدرة المؤسسة على تقديم خدمات متعددة القنوات تتسم بالدقة والسرعة والتخصيص. فمن خلال تحليل أنماط تفاعل المستفيدين وتفضيلاتهم، تستطيع الخوارزميات الذكية توجيه كل مستفيد نحو القناة الأنسب لحالته وتقديم استجابة مُخصصة تُراعي سياقه الفردي. وهذا ما يُؤكده </w:t>
      </w:r>
      <w:proofErr w:type="spellStart"/>
      <w:r w:rsidRPr="00AF0FC2">
        <w:rPr>
          <w:rFonts w:ascii="Simplified Arabic" w:eastAsia="Times New Roman" w:hAnsi="Simplified Arabic" w:cs="Simplified Arabic"/>
          <w:kern w:val="0"/>
          <w:sz w:val="28"/>
          <w:szCs w:val="28"/>
          <w:rtl/>
          <w14:ligatures w14:val="none"/>
        </w:rPr>
        <w:t>وانجاي</w:t>
      </w:r>
      <w:proofErr w:type="spellEnd"/>
      <w:r w:rsidRPr="00AF0FC2">
        <w:rPr>
          <w:rFonts w:ascii="Simplified Arabic" w:eastAsia="Times New Roman" w:hAnsi="Simplified Arabic" w:cs="Simplified Arabic"/>
          <w:kern w:val="0"/>
          <w:sz w:val="28"/>
          <w:szCs w:val="28"/>
          <w:rtl/>
          <w14:ligatures w14:val="none"/>
        </w:rPr>
        <w:t xml:space="preserve"> </w:t>
      </w:r>
      <w:proofErr w:type="spellStart"/>
      <w:r w:rsidRPr="00AF0FC2">
        <w:rPr>
          <w:rFonts w:ascii="Simplified Arabic" w:eastAsia="Times New Roman" w:hAnsi="Simplified Arabic" w:cs="Simplified Arabic"/>
          <w:kern w:val="0"/>
          <w:sz w:val="28"/>
          <w:szCs w:val="28"/>
          <w:rtl/>
          <w14:ligatures w14:val="none"/>
        </w:rPr>
        <w:t>وأوسورو</w:t>
      </w:r>
      <w:proofErr w:type="spellEnd"/>
      <w:r w:rsidRPr="00AF0FC2">
        <w:rPr>
          <w:rFonts w:ascii="Simplified Arabic" w:eastAsia="Times New Roman" w:hAnsi="Simplified Arabic" w:cs="Simplified Arabic"/>
          <w:kern w:val="0"/>
          <w:sz w:val="28"/>
          <w:szCs w:val="28"/>
          <w:rtl/>
          <w14:ligatures w14:val="none"/>
        </w:rPr>
        <w:t xml:space="preserve"> حين يُشيران إلى أن دمج تقنية المعلومات في رسم خرائط العمليات التشغيلية يُعدّل العلاقة بين كفاءة التشغيل والأداء المؤسسي تعديلاً جوهرياً، حيث ترتفع القدرة التفسيرية للنموذج بصورة ملحوظة عند إدخال متغير التكامل التقني</w:t>
      </w:r>
      <w:r w:rsidRPr="00AF0FC2">
        <w:rPr>
          <w:rFonts w:ascii="Simplified Arabic" w:eastAsia="Times New Roman" w:hAnsi="Simplified Arabic" w:cs="Simplified Arabic"/>
          <w:kern w:val="0"/>
          <w:sz w:val="28"/>
          <w:szCs w:val="28"/>
          <w14:ligatures w14:val="none"/>
        </w:rPr>
        <w:t xml:space="preserve"> (Wangai &amp; Osoro, 2026).</w:t>
      </w:r>
    </w:p>
    <w:p w14:paraId="4AB3141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أما على مستوى حلقة خدمات ما بعد التقديم المتضمنة لمعالجة الشكاوى وجمع التغذية الراجعة والمتابعة المستمرة، فإن الذكاء الاصطناعي يُوفّر إمكانات غير مسبوقة من خلال أنظمة المحادثة الذكية التي تستقبل استفسارات المستفيدين وشكاواهم على مدار الساعة وتُصنّفها وتُوجّهها تلقائياً، إضافة إلى أدوات تحليل المشاعر التي ترصد مستوى رضا المتعاملين من خلال تحليل نصوصهم وتعبيراتهم وتُنبّه الإدارة إلى أي تراجع في مؤشرات الرضا في مراحله المبكرة</w:t>
      </w:r>
      <w:r w:rsidRPr="00AF0FC2">
        <w:rPr>
          <w:rFonts w:ascii="Simplified Arabic" w:eastAsia="Times New Roman" w:hAnsi="Simplified Arabic" w:cs="Simplified Arabic"/>
          <w:kern w:val="0"/>
          <w:sz w:val="28"/>
          <w:szCs w:val="28"/>
          <w14:ligatures w14:val="none"/>
        </w:rPr>
        <w:t xml:space="preserve"> (Ghadir et al., 2024).</w:t>
      </w:r>
    </w:p>
    <w:p w14:paraId="22DA890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ثالثاً: الذكاء الاصطناعي بوصفه مُعزّزاً لمحددات كفاءة السلسلة</w:t>
      </w:r>
    </w:p>
    <w:p w14:paraId="34C74FE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لا تقتصر العلاقة بين المتغيرين على التأثير المباشر في حلقات السلسلة، بل تمتد لتشمل تعزيز المحددات الهيكلية </w:t>
      </w:r>
      <w:proofErr w:type="spellStart"/>
      <w:r w:rsidRPr="00AF0FC2">
        <w:rPr>
          <w:rFonts w:ascii="Simplified Arabic" w:eastAsia="Times New Roman" w:hAnsi="Simplified Arabic" w:cs="Simplified Arabic"/>
          <w:kern w:val="0"/>
          <w:sz w:val="28"/>
          <w:szCs w:val="28"/>
          <w:rtl/>
          <w14:ligatures w14:val="none"/>
        </w:rPr>
        <w:t>والتكاليفية</w:t>
      </w:r>
      <w:proofErr w:type="spellEnd"/>
      <w:r w:rsidRPr="00AF0FC2">
        <w:rPr>
          <w:rFonts w:ascii="Simplified Arabic" w:eastAsia="Times New Roman" w:hAnsi="Simplified Arabic" w:cs="Simplified Arabic"/>
          <w:kern w:val="0"/>
          <w:sz w:val="28"/>
          <w:szCs w:val="28"/>
          <w:rtl/>
          <w14:ligatures w14:val="none"/>
        </w:rPr>
        <w:t xml:space="preserve"> والتنظيمية التي تُشكّل البيئة التمكينية لكفاءة السلسلة بأكملها. </w:t>
      </w:r>
      <w:proofErr w:type="gramStart"/>
      <w:r w:rsidRPr="00AF0FC2">
        <w:rPr>
          <w:rFonts w:ascii="Simplified Arabic" w:eastAsia="Times New Roman" w:hAnsi="Simplified Arabic" w:cs="Simplified Arabic"/>
          <w:kern w:val="0"/>
          <w:sz w:val="28"/>
          <w:szCs w:val="28"/>
          <w:rtl/>
          <w14:ligatures w14:val="none"/>
        </w:rPr>
        <w:t>ففي ما</w:t>
      </w:r>
      <w:proofErr w:type="gramEnd"/>
      <w:r w:rsidRPr="00AF0FC2">
        <w:rPr>
          <w:rFonts w:ascii="Simplified Arabic" w:eastAsia="Times New Roman" w:hAnsi="Simplified Arabic" w:cs="Simplified Arabic"/>
          <w:kern w:val="0"/>
          <w:sz w:val="28"/>
          <w:szCs w:val="28"/>
          <w:rtl/>
          <w14:ligatures w14:val="none"/>
        </w:rPr>
        <w:t xml:space="preserve"> يتعلق بالمحددات </w:t>
      </w:r>
      <w:proofErr w:type="spellStart"/>
      <w:r w:rsidRPr="00AF0FC2">
        <w:rPr>
          <w:rFonts w:ascii="Simplified Arabic" w:eastAsia="Times New Roman" w:hAnsi="Simplified Arabic" w:cs="Simplified Arabic"/>
          <w:kern w:val="0"/>
          <w:sz w:val="28"/>
          <w:szCs w:val="28"/>
          <w:rtl/>
          <w14:ligatures w14:val="none"/>
        </w:rPr>
        <w:t>التكاليفية</w:t>
      </w:r>
      <w:proofErr w:type="spellEnd"/>
      <w:r w:rsidRPr="00AF0FC2">
        <w:rPr>
          <w:rFonts w:ascii="Simplified Arabic" w:eastAsia="Times New Roman" w:hAnsi="Simplified Arabic" w:cs="Simplified Arabic"/>
          <w:kern w:val="0"/>
          <w:sz w:val="28"/>
          <w:szCs w:val="28"/>
          <w:rtl/>
          <w14:ligatures w14:val="none"/>
        </w:rPr>
        <w:t xml:space="preserve">، يُبيّن </w:t>
      </w:r>
      <w:proofErr w:type="spellStart"/>
      <w:r w:rsidRPr="00AF0FC2">
        <w:rPr>
          <w:rFonts w:ascii="Simplified Arabic" w:eastAsia="Times New Roman" w:hAnsi="Simplified Arabic" w:cs="Simplified Arabic"/>
          <w:kern w:val="0"/>
          <w:sz w:val="28"/>
          <w:szCs w:val="28"/>
          <w:rtl/>
          <w14:ligatures w14:val="none"/>
        </w:rPr>
        <w:t>مبويو</w:t>
      </w:r>
      <w:proofErr w:type="spellEnd"/>
      <w:r w:rsidRPr="00AF0FC2">
        <w:rPr>
          <w:rFonts w:ascii="Simplified Arabic" w:eastAsia="Times New Roman" w:hAnsi="Simplified Arabic" w:cs="Simplified Arabic"/>
          <w:kern w:val="0"/>
          <w:sz w:val="28"/>
          <w:szCs w:val="28"/>
          <w:rtl/>
          <w14:ligatures w14:val="none"/>
        </w:rPr>
        <w:t xml:space="preserve"> وآخرون أن الذكاء الاصطناعي يُمكّن من رسم خريطة تفصيلية وآنية لتوزيع التكاليف التشغيلية على كل حلقة من حلقات السلسلة، بدلاً من الاعتماد على تقارير دورية متأخرة. كما تكشف خوارزميات التعلم الآلي عن علاقات خفية بين المتغيرات </w:t>
      </w:r>
      <w:proofErr w:type="spellStart"/>
      <w:r w:rsidRPr="00AF0FC2">
        <w:rPr>
          <w:rFonts w:ascii="Simplified Arabic" w:eastAsia="Times New Roman" w:hAnsi="Simplified Arabic" w:cs="Simplified Arabic"/>
          <w:kern w:val="0"/>
          <w:sz w:val="28"/>
          <w:szCs w:val="28"/>
          <w:rtl/>
          <w14:ligatures w14:val="none"/>
        </w:rPr>
        <w:t>التكاليفية</w:t>
      </w:r>
      <w:proofErr w:type="spellEnd"/>
      <w:r w:rsidRPr="00AF0FC2">
        <w:rPr>
          <w:rFonts w:ascii="Simplified Arabic" w:eastAsia="Times New Roman" w:hAnsi="Simplified Arabic" w:cs="Simplified Arabic"/>
          <w:kern w:val="0"/>
          <w:sz w:val="28"/>
          <w:szCs w:val="28"/>
          <w:rtl/>
          <w14:ligatures w14:val="none"/>
        </w:rPr>
        <w:t xml:space="preserve"> قد لا تتبدّى للمحللين البشريين، وتُمكّن من بناء نماذج تنبؤية لاتجاهات التكاليف المستقبلية تُحوّل إدارة التكاليف من نشاط رقابي سلبي إلى أداة تخطيط استراتيجي فاعلة</w:t>
      </w:r>
      <w:r w:rsidRPr="00AF0FC2">
        <w:rPr>
          <w:rFonts w:ascii="Simplified Arabic" w:eastAsia="Times New Roman" w:hAnsi="Simplified Arabic" w:cs="Simplified Arabic"/>
          <w:kern w:val="0"/>
          <w:sz w:val="28"/>
          <w:szCs w:val="28"/>
          <w14:ligatures w14:val="none"/>
        </w:rPr>
        <w:t xml:space="preserve"> (Mboyo et al., 2025).</w:t>
      </w:r>
    </w:p>
    <w:p w14:paraId="5D50DE2E"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sidRPr="00AF0FC2">
        <w:rPr>
          <w:rFonts w:ascii="Simplified Arabic" w:eastAsia="Times New Roman" w:hAnsi="Simplified Arabic" w:cs="Simplified Arabic"/>
          <w:kern w:val="0"/>
          <w:sz w:val="28"/>
          <w:szCs w:val="28"/>
          <w:rtl/>
          <w14:ligatures w14:val="none"/>
        </w:rPr>
        <w:lastRenderedPageBreak/>
        <w:t>وفي ما</w:t>
      </w:r>
      <w:proofErr w:type="gramEnd"/>
      <w:r w:rsidRPr="00AF0FC2">
        <w:rPr>
          <w:rFonts w:ascii="Simplified Arabic" w:eastAsia="Times New Roman" w:hAnsi="Simplified Arabic" w:cs="Simplified Arabic"/>
          <w:kern w:val="0"/>
          <w:sz w:val="28"/>
          <w:szCs w:val="28"/>
          <w:rtl/>
          <w14:ligatures w14:val="none"/>
        </w:rPr>
        <w:t xml:space="preserve"> يتعلق بالمحددات التنظيمية والثقافية، فإن </w:t>
      </w:r>
      <w:proofErr w:type="spellStart"/>
      <w:r w:rsidRPr="00AF0FC2">
        <w:rPr>
          <w:rFonts w:ascii="Simplified Arabic" w:eastAsia="Times New Roman" w:hAnsi="Simplified Arabic" w:cs="Simplified Arabic"/>
          <w:kern w:val="0"/>
          <w:sz w:val="28"/>
          <w:szCs w:val="28"/>
          <w:rtl/>
          <w14:ligatures w14:val="none"/>
        </w:rPr>
        <w:t>بامبريك</w:t>
      </w:r>
      <w:proofErr w:type="spellEnd"/>
      <w:r w:rsidRPr="00AF0FC2">
        <w:rPr>
          <w:rFonts w:ascii="Simplified Arabic" w:eastAsia="Times New Roman" w:hAnsi="Simplified Arabic" w:cs="Simplified Arabic"/>
          <w:kern w:val="0"/>
          <w:sz w:val="28"/>
          <w:szCs w:val="28"/>
          <w:rtl/>
          <w14:ligatures w14:val="none"/>
        </w:rPr>
        <w:t xml:space="preserve"> وآخرين يُؤكدون أن الذكاء الاصطناعي يُعزّز عوامل النجاح الحرجة لسلاسل القيمة وعلى رأسها الشفافية التي تُفسّر النسبة الأكبر من التباين في الأداء التشغيلي. فأدوات الذكاء الاصطناعي تُتيح رؤية شاملة وآنية لحركة العمليات عبر جميع حلقات السلسلة، مما يُعزّز ثقافة التكامل والتعاون بين الوحدات ويكشف أي انحراف أو تأخير في لحظة حدوثه. كما أن قدرة الذكاء الاصطناعي على الكشف المبكر عن التأخيرات المحتملة تُعدّ من أبرز عوامل النجاح في بُعد السرعة، حيث تُمكّن المؤسسة من اتخاذ إجراءات وقائية قبل أن تتحوّل المخاطر إلى أزمات تشغيلية فعلية</w:t>
      </w:r>
      <w:r w:rsidRPr="00AF0FC2">
        <w:rPr>
          <w:rFonts w:ascii="Simplified Arabic" w:eastAsia="Times New Roman" w:hAnsi="Simplified Arabic" w:cs="Simplified Arabic"/>
          <w:kern w:val="0"/>
          <w:sz w:val="28"/>
          <w:szCs w:val="28"/>
          <w14:ligatures w14:val="none"/>
        </w:rPr>
        <w:t xml:space="preserve"> (Bambrick et al., 2023).</w:t>
      </w:r>
    </w:p>
    <w:p w14:paraId="02686A53"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وفي السياق ذاته يُشير جوزيف </w:t>
      </w:r>
      <w:proofErr w:type="spellStart"/>
      <w:r w:rsidRPr="00AF0FC2">
        <w:rPr>
          <w:rFonts w:ascii="Simplified Arabic" w:eastAsia="Times New Roman" w:hAnsi="Simplified Arabic" w:cs="Simplified Arabic"/>
          <w:kern w:val="0"/>
          <w:sz w:val="28"/>
          <w:szCs w:val="28"/>
          <w:rtl/>
          <w14:ligatures w14:val="none"/>
        </w:rPr>
        <w:t>وكوبيرغ</w:t>
      </w:r>
      <w:proofErr w:type="spellEnd"/>
      <w:r w:rsidRPr="00AF0FC2">
        <w:rPr>
          <w:rFonts w:ascii="Simplified Arabic" w:eastAsia="Times New Roman" w:hAnsi="Simplified Arabic" w:cs="Simplified Arabic"/>
          <w:kern w:val="0"/>
          <w:sz w:val="28"/>
          <w:szCs w:val="28"/>
          <w:rtl/>
          <w14:ligatures w14:val="none"/>
        </w:rPr>
        <w:t xml:space="preserve"> إلى أن نجاح سلسلة قيمة نظم المعلومات في القطاع الحكومي يرتبط بتحقق مجموعة من العوامل الحرجة أبرزها جودة النظام المعلوماتي وجودة المعلومات المُنتجة ورضا المستخدمين والمنفعة الشاملة. والذكاء الاصطناعي بطبيعته يُعزّز كل واحد من هذه العوامل، فهو يرفع جودة النظام من خلال الأتمتة الذكية، ويُحسّن جودة المعلومات من خلال تنقية البيانات وتحليلها، ويُعزّز رضا المستخدمين من خلال التخصيص والاستجابة الفورية، ويُعظّم المنفعة الشاملة من خلال ربط مخرجات السلسلة بعمليات صنع القرار بصورة مباشرة وفورية </w:t>
      </w:r>
      <w:r w:rsidRPr="00AF0FC2">
        <w:rPr>
          <w:rFonts w:ascii="Simplified Arabic" w:eastAsia="Times New Roman" w:hAnsi="Simplified Arabic" w:cs="Simplified Arabic"/>
          <w:kern w:val="0"/>
          <w:sz w:val="28"/>
          <w:szCs w:val="28"/>
          <w14:ligatures w14:val="none"/>
        </w:rPr>
        <w:t>(Joseph &amp; Koeberg, 2022).</w:t>
      </w:r>
    </w:p>
    <w:p w14:paraId="6AF0910B" w14:textId="4F28B78C" w:rsidR="00AF0FC2" w:rsidRPr="00AF0FC2"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AF0FC2" w:rsidRPr="00AF0FC2">
        <w:rPr>
          <w:rFonts w:ascii="Simplified Arabic" w:eastAsia="Times New Roman" w:hAnsi="Simplified Arabic" w:cs="Simplified Arabic"/>
          <w:kern w:val="0"/>
          <w:sz w:val="28"/>
          <w:szCs w:val="28"/>
          <w:rtl/>
          <w14:ligatures w14:val="none"/>
        </w:rPr>
        <w:t xml:space="preserve">يتضح من مجمل ما سبق أن العلاقة بين الذكاء الاصطناعي وسلسلة القيمة التشغيلية هي علاقة تأثير إيجابي متعدد المسارات والمستويات. فالذكاء الاصطناعي لا يُؤثّر في السلسلة من مدخل </w:t>
      </w:r>
      <w:proofErr w:type="gramStart"/>
      <w:r w:rsidR="00AF0FC2" w:rsidRPr="00AF0FC2">
        <w:rPr>
          <w:rFonts w:ascii="Simplified Arabic" w:eastAsia="Times New Roman" w:hAnsi="Simplified Arabic" w:cs="Simplified Arabic"/>
          <w:kern w:val="0"/>
          <w:sz w:val="28"/>
          <w:szCs w:val="28"/>
          <w:rtl/>
          <w14:ligatures w14:val="none"/>
        </w:rPr>
        <w:t>واحد</w:t>
      </w:r>
      <w:proofErr w:type="gramEnd"/>
      <w:r w:rsidR="00AF0FC2" w:rsidRPr="00AF0FC2">
        <w:rPr>
          <w:rFonts w:ascii="Simplified Arabic" w:eastAsia="Times New Roman" w:hAnsi="Simplified Arabic" w:cs="Simplified Arabic"/>
          <w:kern w:val="0"/>
          <w:sz w:val="28"/>
          <w:szCs w:val="28"/>
          <w:rtl/>
          <w14:ligatures w14:val="none"/>
        </w:rPr>
        <w:t xml:space="preserve"> بل يتغلغل في جميع حلقاتها ومحدداتها في آن واحد، مما يُحدث أثراً تراكمياً يتجاوز مجموع التأثيرات الجزئية. وهذه العلاقة ليست أحادية الاتجاه بالمعنى المطلق، إذ إن مستوى نضج سلسلة القيمة التشغيلية ذاتها يُؤثّر بدوره في قدرة المؤسسة على توظيف الذكاء الاصطناعي بفاعلية، فالسلسلة التي تفتقر إلى بيانات منظمة وعمليات موثقة وكوادر مؤهلة ستواجه صعوبات جوهرية في الاستفادة من تقنيات الذكاء الاصطناعي مهما بلغ تطورها</w:t>
      </w:r>
      <w:r w:rsidR="00AF0FC2" w:rsidRPr="00AF0FC2">
        <w:rPr>
          <w:rFonts w:ascii="Simplified Arabic" w:eastAsia="Times New Roman" w:hAnsi="Simplified Arabic" w:cs="Simplified Arabic"/>
          <w:kern w:val="0"/>
          <w:sz w:val="28"/>
          <w:szCs w:val="28"/>
          <w14:ligatures w14:val="none"/>
        </w:rPr>
        <w:t>.</w:t>
      </w:r>
    </w:p>
    <w:p w14:paraId="29F94065" w14:textId="77777777" w:rsid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غير أن الاتجاه الأساسي للعلاقة في سياق هذه الدراسة ينطلق من الذكاء الاصطناعي بوصفه متغيراً مستقلاً نحو سلسلة القيمة التشغيلية بوصفها متغيراً تابعاً، استناداً إلى أن الأدبيات المُستعرضة تُجمع على أن إدخال تقنيات الذكاء الاصطناعي في حلقات السلسلة يُفضي إلى تحسينات قابلة للقياس في الكفاءة التشغيلية وجودة المخرجات ورضا المستفيدين وسرعة الاستجابة وشفافية العمليات. وهو ما يتسق مع </w:t>
      </w:r>
      <w:r w:rsidRPr="00AF0FC2">
        <w:rPr>
          <w:rFonts w:ascii="Simplified Arabic" w:eastAsia="Times New Roman" w:hAnsi="Simplified Arabic" w:cs="Simplified Arabic"/>
          <w:kern w:val="0"/>
          <w:sz w:val="28"/>
          <w:szCs w:val="28"/>
          <w:rtl/>
          <w14:ligatures w14:val="none"/>
        </w:rPr>
        <w:lastRenderedPageBreak/>
        <w:t>توجهات رؤية المملكة العربية السعودية 2030 التي تضع الذكاء الاصطناعي في صدارة أدوات تحقيق الحكومة الفاعلة والخدمات المتميزة</w:t>
      </w:r>
      <w:r w:rsidRPr="00AF0FC2">
        <w:rPr>
          <w:rFonts w:ascii="Simplified Arabic" w:eastAsia="Times New Roman" w:hAnsi="Simplified Arabic" w:cs="Simplified Arabic"/>
          <w:kern w:val="0"/>
          <w:sz w:val="28"/>
          <w:szCs w:val="28"/>
          <w14:ligatures w14:val="none"/>
        </w:rPr>
        <w:t xml:space="preserve"> (Ghadir et al., 2024; Naas &amp; </w:t>
      </w:r>
      <w:proofErr w:type="spellStart"/>
      <w:r w:rsidRPr="00AF0FC2">
        <w:rPr>
          <w:rFonts w:ascii="Simplified Arabic" w:eastAsia="Times New Roman" w:hAnsi="Simplified Arabic" w:cs="Simplified Arabic"/>
          <w:kern w:val="0"/>
          <w:sz w:val="28"/>
          <w:szCs w:val="28"/>
          <w14:ligatures w14:val="none"/>
        </w:rPr>
        <w:t>Berass</w:t>
      </w:r>
      <w:proofErr w:type="spellEnd"/>
      <w:r w:rsidRPr="00AF0FC2">
        <w:rPr>
          <w:rFonts w:ascii="Simplified Arabic" w:eastAsia="Times New Roman" w:hAnsi="Simplified Arabic" w:cs="Simplified Arabic"/>
          <w:kern w:val="0"/>
          <w:sz w:val="28"/>
          <w:szCs w:val="28"/>
          <w14:ligatures w14:val="none"/>
        </w:rPr>
        <w:t>, 2024; Bambrick et al., 2023).</w:t>
      </w:r>
    </w:p>
    <w:p w14:paraId="5A756087" w14:textId="77777777" w:rsidR="005C44E0" w:rsidRDefault="005C44E0" w:rsidP="00A5503B">
      <w:pPr>
        <w:spacing w:before="100" w:beforeAutospacing="1" w:after="100" w:afterAutospacing="1" w:line="276" w:lineRule="auto"/>
        <w:jc w:val="both"/>
        <w:rPr>
          <w:rFonts w:ascii="Simplified Arabic" w:eastAsia="Times New Roman" w:hAnsi="Simplified Arabic" w:cs="Simplified Arabic"/>
          <w:kern w:val="0"/>
          <w:sz w:val="28"/>
          <w:szCs w:val="28"/>
          <w:rtl/>
          <w:lang w:bidi="ar-EG"/>
          <w14:ligatures w14:val="none"/>
        </w:rPr>
      </w:pPr>
    </w:p>
    <w:p w14:paraId="07EFAA5C" w14:textId="131C8123"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rtl/>
          <w14:ligatures w14:val="none"/>
        </w:rPr>
      </w:pPr>
      <w:r w:rsidRPr="005C44E0">
        <w:rPr>
          <w:rFonts w:ascii="Simplified Arabic" w:eastAsia="Times New Roman" w:hAnsi="Simplified Arabic" w:cs="Simplified Arabic"/>
          <w:kern w:val="0"/>
          <w:sz w:val="28"/>
          <w:szCs w:val="28"/>
          <w:rtl/>
          <w14:ligatures w14:val="none"/>
        </w:rPr>
        <w:t>شكل (6) النموذج المفاهيمي المتكامل للعلاقة بين المتغيرين</w:t>
      </w:r>
    </w:p>
    <w:p w14:paraId="3689F078" w14:textId="77777777"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rtl/>
          <w14:ligatures w14:val="none"/>
        </w:rPr>
      </w:pPr>
    </w:p>
    <w:p w14:paraId="3E220AE4" w14:textId="1EC1DBCE" w:rsidR="005C44E0" w:rsidRDefault="005C44E0" w:rsidP="005C44E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Pr>
          <w:noProof/>
        </w:rPr>
        <w:drawing>
          <wp:inline distT="0" distB="0" distL="0" distR="0" wp14:anchorId="1784ED2F" wp14:editId="08C206A5">
            <wp:extent cx="5731510" cy="4023360"/>
            <wp:effectExtent l="0" t="0" r="2540" b="0"/>
            <wp:docPr id="177619055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23360"/>
                    </a:xfrm>
                    <a:prstGeom prst="rect">
                      <a:avLst/>
                    </a:prstGeom>
                    <a:noFill/>
                    <a:ln>
                      <a:noFill/>
                    </a:ln>
                  </pic:spPr>
                </pic:pic>
              </a:graphicData>
            </a:graphic>
          </wp:inline>
        </w:drawing>
      </w:r>
    </w:p>
    <w:p w14:paraId="580C437E" w14:textId="0B60E4CD" w:rsidR="005C44E0" w:rsidRPr="005C44E0" w:rsidRDefault="005C44E0" w:rsidP="005C44E0">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w:t>
      </w:r>
      <w:r w:rsidRPr="005C44E0">
        <w:rPr>
          <w:rFonts w:ascii="Simplified Arabic" w:eastAsia="Times New Roman" w:hAnsi="Simplified Arabic" w:cs="Simplified Arabic"/>
          <w:b/>
          <w:bCs/>
          <w:kern w:val="0"/>
          <w:sz w:val="28"/>
          <w:szCs w:val="28"/>
          <w:rtl/>
          <w14:ligatures w14:val="none"/>
        </w:rPr>
        <w:t>لمصدر</w:t>
      </w:r>
      <w:r w:rsidRPr="005C44E0">
        <w:rPr>
          <w:rFonts w:ascii="Simplified Arabic" w:eastAsia="Times New Roman" w:hAnsi="Simplified Arabic" w:cs="Simplified Arabic"/>
          <w:b/>
          <w:bCs/>
          <w:kern w:val="0"/>
          <w:sz w:val="28"/>
          <w:szCs w:val="28"/>
          <w14:ligatures w14:val="none"/>
        </w:rPr>
        <w:t xml:space="preserve">: </w:t>
      </w:r>
      <w:r w:rsidRPr="005C44E0">
        <w:rPr>
          <w:rFonts w:ascii="Simplified Arabic" w:eastAsia="Times New Roman" w:hAnsi="Simplified Arabic" w:cs="Simplified Arabic"/>
          <w:b/>
          <w:bCs/>
          <w:kern w:val="0"/>
          <w:sz w:val="28"/>
          <w:szCs w:val="28"/>
          <w:rtl/>
          <w14:ligatures w14:val="none"/>
        </w:rPr>
        <w:t>من إعداد الباحثة بناءً على النموذج المفاهيمي للدراسة</w:t>
      </w:r>
      <w:r w:rsidRPr="005C44E0">
        <w:rPr>
          <w:rFonts w:ascii="Simplified Arabic" w:eastAsia="Times New Roman" w:hAnsi="Simplified Arabic" w:cs="Simplified Arabic"/>
          <w:b/>
          <w:bCs/>
          <w:kern w:val="0"/>
          <w:sz w:val="28"/>
          <w:szCs w:val="28"/>
          <w14:ligatures w14:val="none"/>
        </w:rPr>
        <w:t>.</w:t>
      </w:r>
    </w:p>
    <w:p w14:paraId="2C4210B4" w14:textId="6D119EF6" w:rsidR="00C47BC4"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و</w:t>
      </w:r>
      <w:r w:rsidR="00AF0FC2" w:rsidRPr="00AF0FC2">
        <w:rPr>
          <w:rFonts w:ascii="Simplified Arabic" w:eastAsia="Times New Roman" w:hAnsi="Simplified Arabic" w:cs="Simplified Arabic"/>
          <w:kern w:val="0"/>
          <w:sz w:val="28"/>
          <w:szCs w:val="28"/>
          <w:rtl/>
          <w14:ligatures w14:val="none"/>
        </w:rPr>
        <w:t xml:space="preserve">ترى الباحثة أن العلاقة بين الذكاء الاصطناعي وسلسلة القيمة التشغيلية في المؤسسات الحكومية الكبرى بالمملكة العربية السعودية ليست علاقة خطية بسيطة يمكن اختزالها في معادلة سبب ونتيجة مباشرة، بل هي علاقة </w:t>
      </w:r>
      <w:proofErr w:type="spellStart"/>
      <w:r w:rsidR="00AF0FC2" w:rsidRPr="00AF0FC2">
        <w:rPr>
          <w:rFonts w:ascii="Simplified Arabic" w:eastAsia="Times New Roman" w:hAnsi="Simplified Arabic" w:cs="Simplified Arabic"/>
          <w:kern w:val="0"/>
          <w:sz w:val="28"/>
          <w:szCs w:val="28"/>
          <w:rtl/>
          <w14:ligatures w14:val="none"/>
        </w:rPr>
        <w:t>منظومية</w:t>
      </w:r>
      <w:proofErr w:type="spellEnd"/>
      <w:r w:rsidR="00AF0FC2" w:rsidRPr="00AF0FC2">
        <w:rPr>
          <w:rFonts w:ascii="Simplified Arabic" w:eastAsia="Times New Roman" w:hAnsi="Simplified Arabic" w:cs="Simplified Arabic"/>
          <w:kern w:val="0"/>
          <w:sz w:val="28"/>
          <w:szCs w:val="28"/>
          <w:rtl/>
          <w14:ligatures w14:val="none"/>
        </w:rPr>
        <w:t xml:space="preserve"> متعددة الطبقات يتفاعل فيها الذكاء الاصطناعي مع حلقات السلسلة ومحدداتها وعوامل نجاحها في آنٍ واحد. فالذكاء الاصطناعي يُؤثّر في اللوجستيات الداخلية عبر التصنيف الذكي للطلبات، </w:t>
      </w:r>
      <w:r w:rsidR="00AF0FC2" w:rsidRPr="00AF0FC2">
        <w:rPr>
          <w:rFonts w:ascii="Simplified Arabic" w:eastAsia="Times New Roman" w:hAnsi="Simplified Arabic" w:cs="Simplified Arabic"/>
          <w:kern w:val="0"/>
          <w:sz w:val="28"/>
          <w:szCs w:val="28"/>
          <w:rtl/>
          <w14:ligatures w14:val="none"/>
        </w:rPr>
        <w:lastRenderedPageBreak/>
        <w:t xml:space="preserve">ويُؤثّر في العمليات الأساسية عبر الأتمتة والرقابة الاستباقية، ويُؤثّر في تقديم الخدمات عبر التخصيص ومتعدد القنوات، ويُؤثّر في خدمات ما بعد التقديم عبر التحليل الذكي للتغذية الراجعة، وفي الوقت ذاته يُعزّز المحددات الرقابية والتنظيمية </w:t>
      </w:r>
      <w:proofErr w:type="spellStart"/>
      <w:r w:rsidR="00AF0FC2" w:rsidRPr="00AF0FC2">
        <w:rPr>
          <w:rFonts w:ascii="Simplified Arabic" w:eastAsia="Times New Roman" w:hAnsi="Simplified Arabic" w:cs="Simplified Arabic"/>
          <w:kern w:val="0"/>
          <w:sz w:val="28"/>
          <w:szCs w:val="28"/>
          <w:rtl/>
          <w14:ligatures w14:val="none"/>
        </w:rPr>
        <w:t>والتكاليفية</w:t>
      </w:r>
      <w:proofErr w:type="spellEnd"/>
      <w:r w:rsidR="00AF0FC2" w:rsidRPr="00AF0FC2">
        <w:rPr>
          <w:rFonts w:ascii="Simplified Arabic" w:eastAsia="Times New Roman" w:hAnsi="Simplified Arabic" w:cs="Simplified Arabic"/>
          <w:kern w:val="0"/>
          <w:sz w:val="28"/>
          <w:szCs w:val="28"/>
          <w:rtl/>
          <w14:ligatures w14:val="none"/>
        </w:rPr>
        <w:t xml:space="preserve"> والتقنية والبشرية التي تُشكّل البيئة التمكينية لكفاءة السلسلة. وهذا التأثير المتعدد المسارات والمستويات هو ما يمنح الذكاء الاصطناعي قدرته التحويلية الفريدة ويجعله الرافعة الاستراتيجية الأكثر تأثيراً في تحقيق التميز التشغيلي للمؤسسات الحكومية الكبرى في ضوء متطلبات رؤية 2030</w:t>
      </w:r>
      <w:r w:rsidR="00AF0FC2" w:rsidRPr="00AF0FC2">
        <w:rPr>
          <w:rFonts w:ascii="Simplified Arabic" w:eastAsia="Times New Roman" w:hAnsi="Simplified Arabic" w:cs="Simplified Arabic"/>
          <w:kern w:val="0"/>
          <w:sz w:val="28"/>
          <w:szCs w:val="28"/>
          <w14:ligatures w14:val="none"/>
        </w:rPr>
        <w:t>.</w:t>
      </w:r>
    </w:p>
    <w:p w14:paraId="7B3014AC" w14:textId="77777777" w:rsidR="00C47BC4" w:rsidRDefault="00C47BC4">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681E8189" w14:textId="77777777" w:rsidR="00C47BC4" w:rsidRPr="00B91104" w:rsidRDefault="00C47BC4" w:rsidP="00C47BC4">
      <w:pPr>
        <w:pStyle w:val="1"/>
        <w:rPr>
          <w:rFonts w:hint="cs"/>
          <w:rtl/>
        </w:rPr>
      </w:pPr>
      <w:r w:rsidRPr="00B91104">
        <w:rPr>
          <w:rtl/>
        </w:rPr>
        <w:lastRenderedPageBreak/>
        <w:t xml:space="preserve">الدراسات </w:t>
      </w:r>
      <w:bookmarkStart w:id="15" w:name="_Toc202053529"/>
      <w:proofErr w:type="gramStart"/>
      <w:r w:rsidRPr="00B91104">
        <w:rPr>
          <w:rtl/>
        </w:rPr>
        <w:t>ال</w:t>
      </w:r>
      <w:r>
        <w:rPr>
          <w:rFonts w:hint="cs"/>
          <w:rtl/>
        </w:rPr>
        <w:t xml:space="preserve">سابقة </w:t>
      </w:r>
      <w:r w:rsidRPr="00B91104">
        <w:rPr>
          <w:rtl/>
        </w:rPr>
        <w:t>:</w:t>
      </w:r>
      <w:bookmarkEnd w:id="15"/>
      <w:proofErr w:type="gramEnd"/>
    </w:p>
    <w:p w14:paraId="755C41FA" w14:textId="77777777" w:rsidR="00C47BC4" w:rsidRPr="00B91104" w:rsidRDefault="00C47BC4" w:rsidP="00C47BC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w:t>
      </w:r>
      <w:proofErr w:type="gramEnd"/>
      <w:r w:rsidRPr="00B91104">
        <w:rPr>
          <w:rFonts w:ascii="Simplified Arabic" w:hAnsi="Simplified Arabic" w:cs="Simplified Arabic"/>
          <w:sz w:val="28"/>
          <w:szCs w:val="28"/>
          <w:rtl/>
          <w:lang w:bidi="ar-EG"/>
        </w:rPr>
        <w:t xml:space="preserve"> وقد مت تقسيم تلك الدراسات إلى ثلاث مجموعات رئيسية، وهي:</w:t>
      </w:r>
    </w:p>
    <w:p w14:paraId="6F5C1286" w14:textId="77777777" w:rsidR="00C47BC4" w:rsidRPr="00B91104" w:rsidRDefault="00C47BC4" w:rsidP="00C47BC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 الدراسات التي تناولت</w:t>
      </w:r>
      <w:r w:rsidRPr="00644213">
        <w:rPr>
          <w:rFonts w:ascii="Simplified Arabic" w:hAnsi="Simplified Arabic" w:cs="Simplified Arabic"/>
          <w:b/>
          <w:bCs/>
          <w:sz w:val="28"/>
          <w:szCs w:val="28"/>
          <w:rtl/>
        </w:rPr>
        <w:t xml:space="preserve"> </w:t>
      </w:r>
      <w:r w:rsidRPr="00644213">
        <w:rPr>
          <w:rFonts w:ascii="Simplified Arabic" w:hAnsi="Simplified Arabic" w:cs="Simplified Arabic"/>
          <w:sz w:val="28"/>
          <w:szCs w:val="28"/>
          <w:rtl/>
        </w:rPr>
        <w:t xml:space="preserve">الذكاء </w:t>
      </w:r>
      <w:proofErr w:type="spellStart"/>
      <w:proofErr w:type="gramStart"/>
      <w:r w:rsidRPr="00644213">
        <w:rPr>
          <w:rFonts w:ascii="Simplified Arabic" w:hAnsi="Simplified Arabic" w:cs="Simplified Arabic"/>
          <w:sz w:val="28"/>
          <w:szCs w:val="28"/>
          <w:rtl/>
        </w:rPr>
        <w:t>الاصطناعى</w:t>
      </w:r>
      <w:proofErr w:type="spellEnd"/>
      <w:r w:rsidRPr="00644213">
        <w:rPr>
          <w:rFonts w:ascii="Simplified Arabic" w:hAnsi="Simplified Arabic" w:cs="Simplified Arabic"/>
          <w:b/>
          <w:bCs/>
          <w:sz w:val="28"/>
          <w:szCs w:val="28"/>
          <w:rtl/>
        </w:rPr>
        <w:t xml:space="preserve">  </w:t>
      </w:r>
      <w:r w:rsidRPr="00B91104">
        <w:rPr>
          <w:rFonts w:ascii="Simplified Arabic" w:hAnsi="Simplified Arabic" w:cs="Simplified Arabic"/>
          <w:sz w:val="28"/>
          <w:szCs w:val="28"/>
          <w:rtl/>
          <w:lang w:bidi="ar-EG"/>
        </w:rPr>
        <w:t>وعلاقته</w:t>
      </w:r>
      <w:proofErr w:type="gramEnd"/>
      <w:r w:rsidRPr="00B91104">
        <w:rPr>
          <w:rFonts w:ascii="Simplified Arabic" w:hAnsi="Simplified Arabic" w:cs="Simplified Arabic"/>
          <w:sz w:val="28"/>
          <w:szCs w:val="28"/>
          <w:rtl/>
          <w:lang w:bidi="ar-EG"/>
        </w:rPr>
        <w:t xml:space="preserve"> بالمتغيرات الأخرى.</w:t>
      </w:r>
    </w:p>
    <w:p w14:paraId="3A3F7E83" w14:textId="77777777" w:rsidR="00C47BC4" w:rsidRPr="00B91104" w:rsidRDefault="00C47BC4" w:rsidP="00C47BC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 xml:space="preserve">المجموعة الثانية: الدراسات التي تناولت </w:t>
      </w:r>
      <w:r w:rsidRPr="00602A7D">
        <w:rPr>
          <w:rFonts w:ascii="Simplified Arabic" w:hAnsi="Simplified Arabic" w:cs="Simplified Arabic"/>
          <w:sz w:val="28"/>
          <w:szCs w:val="28"/>
          <w:rtl/>
          <w:lang w:bidi="ar-EG"/>
        </w:rPr>
        <w:t>سلسلة القيمة التشغيلية</w:t>
      </w:r>
      <w:r>
        <w:rPr>
          <w:rFonts w:ascii="Simplified Arabic" w:hAnsi="Simplified Arabic" w:cs="Simplified Arabic" w:hint="cs"/>
          <w:sz w:val="28"/>
          <w:szCs w:val="28"/>
          <w:rtl/>
          <w:lang w:bidi="ar-EG"/>
        </w:rPr>
        <w:t xml:space="preserve"> </w:t>
      </w:r>
      <w:r w:rsidRPr="00B91104">
        <w:rPr>
          <w:rFonts w:ascii="Simplified Arabic" w:hAnsi="Simplified Arabic" w:cs="Simplified Arabic"/>
          <w:sz w:val="28"/>
          <w:szCs w:val="28"/>
          <w:rtl/>
          <w:lang w:bidi="ar-EG"/>
        </w:rPr>
        <w:t>وعلاقته بالمتغيرات الأخرى.</w:t>
      </w:r>
    </w:p>
    <w:p w14:paraId="30E54DB8" w14:textId="77777777" w:rsidR="00C47BC4" w:rsidRPr="00B91104" w:rsidRDefault="00C47BC4" w:rsidP="00C47BC4">
      <w:pPr>
        <w:pStyle w:val="a6"/>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المجموعة الثالثة: الدراسات التي تناولت </w:t>
      </w:r>
      <w:r w:rsidRPr="00602A7D">
        <w:rPr>
          <w:rFonts w:ascii="Simplified Arabic" w:hAnsi="Simplified Arabic" w:cs="Simplified Arabic"/>
          <w:sz w:val="28"/>
          <w:szCs w:val="28"/>
          <w:rtl/>
        </w:rPr>
        <w:t xml:space="preserve">الذكاء </w:t>
      </w:r>
      <w:proofErr w:type="spellStart"/>
      <w:proofErr w:type="gramStart"/>
      <w:r w:rsidRPr="00602A7D">
        <w:rPr>
          <w:rFonts w:ascii="Simplified Arabic" w:hAnsi="Simplified Arabic" w:cs="Simplified Arabic"/>
          <w:sz w:val="28"/>
          <w:szCs w:val="28"/>
          <w:rtl/>
        </w:rPr>
        <w:t>الاصطناعى</w:t>
      </w:r>
      <w:proofErr w:type="spellEnd"/>
      <w:r w:rsidRPr="00602A7D">
        <w:rPr>
          <w:rFonts w:ascii="Simplified Arabic" w:hAnsi="Simplified Arabic" w:cs="Simplified Arabic"/>
          <w:b/>
          <w:bCs/>
          <w:sz w:val="28"/>
          <w:szCs w:val="28"/>
          <w:rtl/>
        </w:rPr>
        <w:t xml:space="preserve">  </w:t>
      </w:r>
      <w:r>
        <w:rPr>
          <w:rFonts w:ascii="Simplified Arabic" w:hAnsi="Simplified Arabic" w:cs="Simplified Arabic" w:hint="cs"/>
          <w:sz w:val="28"/>
          <w:szCs w:val="28"/>
          <w:rtl/>
          <w:lang w:bidi="ar-EG"/>
        </w:rPr>
        <w:t>و</w:t>
      </w:r>
      <w:proofErr w:type="gramEnd"/>
      <w:r w:rsidRPr="00402E9C">
        <w:rPr>
          <w:rFonts w:ascii="Simplified Arabic" w:hAnsi="Simplified Arabic" w:cs="Simplified Arabic" w:hint="cs"/>
          <w:sz w:val="28"/>
          <w:szCs w:val="28"/>
          <w:rtl/>
          <w:lang w:bidi="ar-EG"/>
        </w:rPr>
        <w:t xml:space="preserve"> </w:t>
      </w:r>
      <w:r w:rsidRPr="00602A7D">
        <w:rPr>
          <w:rFonts w:ascii="Simplified Arabic" w:hAnsi="Simplified Arabic" w:cs="Simplified Arabic"/>
          <w:sz w:val="28"/>
          <w:szCs w:val="28"/>
          <w:rtl/>
          <w:lang w:bidi="ar-EG"/>
        </w:rPr>
        <w:t>سلسلة القيمة التشغيلية</w:t>
      </w:r>
      <w:r w:rsidRPr="00B91104">
        <w:rPr>
          <w:rFonts w:ascii="Simplified Arabic" w:hAnsi="Simplified Arabic" w:cs="Simplified Arabic"/>
          <w:sz w:val="28"/>
          <w:szCs w:val="28"/>
          <w:rtl/>
          <w:lang w:bidi="ar-EG"/>
        </w:rPr>
        <w:t>.</w:t>
      </w:r>
    </w:p>
    <w:p w14:paraId="67E3556C"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الأولى: الدراسات التي </w:t>
      </w:r>
      <w:r w:rsidRPr="00402E9C">
        <w:rPr>
          <w:rFonts w:ascii="Simplified Arabic" w:hAnsi="Simplified Arabic" w:cs="Simplified Arabic"/>
          <w:b/>
          <w:bCs/>
          <w:sz w:val="28"/>
          <w:szCs w:val="28"/>
          <w:rtl/>
          <w:lang w:bidi="ar-EG"/>
        </w:rPr>
        <w:t xml:space="preserve">تناولت </w:t>
      </w:r>
      <w:r w:rsidRPr="00602A7D">
        <w:rPr>
          <w:rFonts w:ascii="Simplified Arabic" w:hAnsi="Simplified Arabic" w:cs="Simplified Arabic"/>
          <w:b/>
          <w:bCs/>
          <w:sz w:val="28"/>
          <w:szCs w:val="28"/>
          <w:rtl/>
        </w:rPr>
        <w:t xml:space="preserve">الذكاء </w:t>
      </w:r>
      <w:proofErr w:type="spellStart"/>
      <w:proofErr w:type="gramStart"/>
      <w:r w:rsidRPr="00602A7D">
        <w:rPr>
          <w:rFonts w:ascii="Simplified Arabic" w:hAnsi="Simplified Arabic" w:cs="Simplified Arabic"/>
          <w:b/>
          <w:bCs/>
          <w:sz w:val="28"/>
          <w:szCs w:val="28"/>
          <w:rtl/>
        </w:rPr>
        <w:t>الاصطناعى</w:t>
      </w:r>
      <w:proofErr w:type="spellEnd"/>
      <w:r w:rsidRPr="00602A7D">
        <w:rPr>
          <w:rFonts w:ascii="Simplified Arabic" w:hAnsi="Simplified Arabic" w:cs="Simplified Arabic"/>
          <w:b/>
          <w:bCs/>
          <w:sz w:val="28"/>
          <w:szCs w:val="28"/>
          <w:rtl/>
        </w:rPr>
        <w:t xml:space="preserve">  </w:t>
      </w:r>
      <w:r w:rsidRPr="00B91104">
        <w:rPr>
          <w:rFonts w:ascii="Simplified Arabic" w:hAnsi="Simplified Arabic" w:cs="Simplified Arabic"/>
          <w:b/>
          <w:bCs/>
          <w:sz w:val="28"/>
          <w:szCs w:val="28"/>
          <w:rtl/>
          <w:lang w:bidi="ar-EG"/>
        </w:rPr>
        <w:t>وعلاقته</w:t>
      </w:r>
      <w:proofErr w:type="gramEnd"/>
      <w:r w:rsidRPr="00B91104">
        <w:rPr>
          <w:rFonts w:ascii="Simplified Arabic" w:hAnsi="Simplified Arabic" w:cs="Simplified Arabic"/>
          <w:b/>
          <w:bCs/>
          <w:sz w:val="28"/>
          <w:szCs w:val="28"/>
          <w:rtl/>
          <w:lang w:bidi="ar-EG"/>
        </w:rPr>
        <w:t xml:space="preserve"> بالمتغيرات الأخرى.</w:t>
      </w:r>
    </w:p>
    <w:p w14:paraId="1750F850" w14:textId="77777777" w:rsidR="00C47BC4" w:rsidRDefault="00C47BC4" w:rsidP="00C47BC4">
      <w:pPr>
        <w:jc w:val="both"/>
        <w:rPr>
          <w:rFonts w:ascii="Simplified Arabic" w:hAnsi="Simplified Arabic" w:cs="Simplified Arabic"/>
          <w:b/>
          <w:bCs/>
          <w:sz w:val="28"/>
          <w:szCs w:val="28"/>
          <w:rtl/>
        </w:rPr>
      </w:pPr>
      <w:r w:rsidRPr="00B91104">
        <w:rPr>
          <w:rFonts w:ascii="Simplified Arabic" w:hAnsi="Simplified Arabic" w:cs="Simplified Arabic"/>
          <w:b/>
          <w:bCs/>
          <w:sz w:val="28"/>
          <w:szCs w:val="28"/>
          <w:rtl/>
          <w:lang w:bidi="ar-EG"/>
        </w:rPr>
        <w:t>دراس</w:t>
      </w:r>
      <w:r>
        <w:rPr>
          <w:rFonts w:ascii="Simplified Arabic" w:hAnsi="Simplified Arabic" w:cs="Simplified Arabic" w:hint="cs"/>
          <w:b/>
          <w:bCs/>
          <w:sz w:val="28"/>
          <w:szCs w:val="28"/>
          <w:rtl/>
          <w:lang w:bidi="ar-EG"/>
        </w:rPr>
        <w:t xml:space="preserve">ة (المصاروة </w:t>
      </w:r>
      <w:proofErr w:type="gramStart"/>
      <w:r>
        <w:rPr>
          <w:rFonts w:ascii="Simplified Arabic" w:hAnsi="Simplified Arabic" w:cs="Simplified Arabic" w:hint="cs"/>
          <w:b/>
          <w:bCs/>
          <w:sz w:val="28"/>
          <w:szCs w:val="28"/>
          <w:rtl/>
          <w:lang w:bidi="ar-EG"/>
        </w:rPr>
        <w:t>و السرحان</w:t>
      </w:r>
      <w:proofErr w:type="gramEnd"/>
      <w:r>
        <w:rPr>
          <w:rFonts w:ascii="Simplified Arabic" w:hAnsi="Simplified Arabic" w:cs="Simplified Arabic" w:hint="cs"/>
          <w:b/>
          <w:bCs/>
          <w:sz w:val="28"/>
          <w:szCs w:val="28"/>
          <w:rtl/>
          <w:lang w:bidi="ar-EG"/>
        </w:rPr>
        <w:t xml:space="preserve">،2021) </w:t>
      </w:r>
      <w:r w:rsidRPr="00B91104">
        <w:rPr>
          <w:rFonts w:ascii="Simplified Arabic" w:hAnsi="Simplified Arabic" w:cs="Simplified Arabic"/>
          <w:b/>
          <w:bCs/>
          <w:sz w:val="28"/>
          <w:szCs w:val="28"/>
          <w:rtl/>
          <w:lang w:bidi="ar-EG"/>
        </w:rPr>
        <w:t>بعنوان</w:t>
      </w:r>
      <w:r w:rsidRPr="00643EEB">
        <w:rPr>
          <w:rFonts w:ascii="Simplified Arabic" w:hAnsi="Simplified Arabic" w:cs="Simplified Arabic"/>
          <w:b/>
          <w:bCs/>
          <w:sz w:val="28"/>
          <w:szCs w:val="28"/>
          <w:rtl/>
          <w:lang w:bidi="ar-EG"/>
        </w:rPr>
        <w:t xml:space="preserve">: </w:t>
      </w:r>
      <w:r w:rsidRPr="00643EEB">
        <w:rPr>
          <w:rFonts w:ascii="Simplified Arabic" w:hAnsi="Simplified Arabic" w:cs="Simplified Arabic"/>
          <w:b/>
          <w:bCs/>
          <w:sz w:val="28"/>
          <w:szCs w:val="28"/>
          <w:rtl/>
        </w:rPr>
        <w:t>أثر الذكاء الاصطناعي في الأداء المؤسسي: متغير وسيط رأس المال الفكري في البنوك التجارية في الأردن</w:t>
      </w:r>
    </w:p>
    <w:p w14:paraId="1852D401"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وتكون مجتمع الدراسة من العاملين في (16) بنكًا تجاريًا، واعتمدت الدراسة العينة الطبقية العشوائية المتناسبة من الإداريين (مدير، رئيس قسم، مشرف، إداري)، وبلغ حجم العينة (338) إداريًا. استخدمت الدراسة المنهج الوصفي التحليلي، وطورت استبانة مكوّنة من (38) فقرة، وتم تحليل البيانات باستخدام برنامج</w:t>
      </w:r>
      <w:r w:rsidRPr="00643EEB">
        <w:rPr>
          <w:rFonts w:ascii="Simplified Arabic" w:hAnsi="Simplified Arabic" w:cs="Simplified Arabic"/>
          <w:sz w:val="28"/>
          <w:szCs w:val="28"/>
        </w:rPr>
        <w:t xml:space="preserve"> SPSS </w:t>
      </w:r>
      <w:r w:rsidRPr="00643EEB">
        <w:rPr>
          <w:rFonts w:ascii="Simplified Arabic" w:hAnsi="Simplified Arabic" w:cs="Simplified Arabic"/>
          <w:sz w:val="28"/>
          <w:szCs w:val="28"/>
          <w:rtl/>
        </w:rPr>
        <w:t>واختبار الفرضيات، بالإضافة إلى تحليل المسار</w:t>
      </w:r>
      <w:r w:rsidRPr="00643EEB">
        <w:rPr>
          <w:rFonts w:ascii="Simplified Arabic" w:hAnsi="Simplified Arabic" w:cs="Simplified Arabic"/>
          <w:sz w:val="28"/>
          <w:szCs w:val="28"/>
        </w:rPr>
        <w:t xml:space="preserve"> (Path Analysis) </w:t>
      </w:r>
      <w:r w:rsidRPr="00643EEB">
        <w:rPr>
          <w:rFonts w:ascii="Simplified Arabic" w:hAnsi="Simplified Arabic" w:cs="Simplified Arabic"/>
          <w:sz w:val="28"/>
          <w:szCs w:val="28"/>
          <w:rtl/>
        </w:rPr>
        <w:t>باستخدام برنامج</w:t>
      </w:r>
      <w:r w:rsidRPr="00643EEB">
        <w:rPr>
          <w:rFonts w:ascii="Simplified Arabic" w:hAnsi="Simplified Arabic" w:cs="Simplified Arabic"/>
          <w:sz w:val="28"/>
          <w:szCs w:val="28"/>
        </w:rPr>
        <w:t xml:space="preserve"> Amos </w:t>
      </w:r>
      <w:r w:rsidRPr="00643EEB">
        <w:rPr>
          <w:rFonts w:ascii="Simplified Arabic" w:hAnsi="Simplified Arabic" w:cs="Simplified Arabic"/>
          <w:sz w:val="28"/>
          <w:szCs w:val="28"/>
          <w:rtl/>
        </w:rPr>
        <w:t>لبيان الأثر المباشر وغير المباشر لمتغيرات الدراسة. وتوصلت النتائج إلى وجود أثر لأبعاد الذكاء الاصطناعي على الأداء المؤسسي، ووجود أثر لها على رأس المال الفكري، إضافة إلى وجود أثر لرأس المال الفكري على الأداء المؤسسي، كما تبين وجود أثر غير مباشر للذكاء الاصطناعي على الأداء المؤسسي من خلال رأس المال الفكري. وأوصت الدراسة بضرورة تعزيز الاهتمام بالنظم الخبيرة لمعالجة المشكلات وتوظيف المعرفة المخزنة، وتطوير أنظمة قادرة على معالجة الأخطاء المحاسبية تلقائيًا، وإعادة تقييم العمليات الداخلية بما يتوافق مع تطورات البيئة المصرفية من خلال التكنولوجيا الحديثة ونقل المعرفة والبحث والتطوير</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3C9BF405" w14:textId="77777777" w:rsidR="00C47BC4" w:rsidRPr="00B91104" w:rsidRDefault="00C47BC4" w:rsidP="00C47BC4">
      <w:pPr>
        <w:jc w:val="both"/>
        <w:rPr>
          <w:rFonts w:ascii="Simplified Arabic" w:hAnsi="Simplified Arabic" w:cs="Simplified Arabic"/>
          <w:b/>
          <w:bCs/>
          <w:sz w:val="28"/>
          <w:szCs w:val="28"/>
          <w:rtl/>
          <w:lang w:bidi="ar-EG"/>
        </w:rPr>
      </w:pPr>
      <w:bookmarkStart w:id="16" w:name="_Hlk201962275"/>
      <w:r w:rsidRPr="00B91104">
        <w:rPr>
          <w:rFonts w:ascii="Simplified Arabic" w:hAnsi="Simplified Arabic" w:cs="Simplified Arabic"/>
          <w:b/>
          <w:bCs/>
          <w:sz w:val="28"/>
          <w:szCs w:val="28"/>
          <w:rtl/>
          <w:lang w:bidi="ar-EG"/>
        </w:rPr>
        <w:t xml:space="preserve">دراسة </w:t>
      </w:r>
      <w:r>
        <w:rPr>
          <w:rFonts w:ascii="Simplified Arabic" w:hAnsi="Simplified Arabic" w:cs="Simplified Arabic" w:hint="cs"/>
          <w:b/>
          <w:bCs/>
          <w:sz w:val="28"/>
          <w:szCs w:val="28"/>
          <w:rtl/>
          <w:lang w:bidi="ar-EG"/>
        </w:rPr>
        <w:t>(عبد المنعم ،2023)</w:t>
      </w:r>
      <w:r w:rsidRPr="00B91104">
        <w:rPr>
          <w:rFonts w:ascii="Simplified Arabic" w:hAnsi="Simplified Arabic" w:cs="Simplified Arabic"/>
          <w:b/>
          <w:bCs/>
          <w:sz w:val="28"/>
          <w:szCs w:val="28"/>
          <w:rtl/>
          <w:lang w:bidi="ar-EG"/>
        </w:rPr>
        <w:t xml:space="preserve"> بعنوان: </w:t>
      </w:r>
      <w:r w:rsidRPr="00643EEB">
        <w:rPr>
          <w:rFonts w:ascii="Simplified Arabic" w:hAnsi="Simplified Arabic" w:cs="Simplified Arabic"/>
          <w:b/>
          <w:bCs/>
          <w:sz w:val="28"/>
          <w:szCs w:val="28"/>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Pr="00B91104">
        <w:rPr>
          <w:rFonts w:ascii="Simplified Arabic" w:hAnsi="Simplified Arabic" w:cs="Simplified Arabic"/>
          <w:b/>
          <w:bCs/>
          <w:sz w:val="28"/>
          <w:szCs w:val="28"/>
          <w:rtl/>
          <w:lang w:bidi="ar-EG"/>
        </w:rPr>
        <w:t>.</w:t>
      </w:r>
    </w:p>
    <w:p w14:paraId="45ED2C7F" w14:textId="77777777" w:rsidR="00C47BC4" w:rsidRDefault="00C47BC4" w:rsidP="00C47BC4">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هدف</w:t>
      </w:r>
      <w:r w:rsidRPr="00643EEB">
        <w:rPr>
          <w:rFonts w:ascii="Simplified Arabic" w:hAnsi="Simplified Arabic" w:cs="Simplified Arabic"/>
          <w:sz w:val="28"/>
          <w:szCs w:val="28"/>
          <w:rtl/>
        </w:rPr>
        <w:t xml:space="preserve"> البحث إلى فحص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الاستراتيجية، القدرات الجوهرية، الأهداف الاستراتيجية) لدى العاملين بالجامعات الخاصة المصرية، وذلك من خلال توسيط ممارسات الجدارات الوظيفية الرقمية في الموارد البشرية</w:t>
      </w:r>
      <w:r>
        <w:rPr>
          <w:rFonts w:ascii="Simplified Arabic" w:hAnsi="Simplified Arabic" w:cs="Simplified Arabic" w:hint="cs"/>
          <w:sz w:val="28"/>
          <w:szCs w:val="28"/>
          <w:rtl/>
        </w:rPr>
        <w:t>، و</w:t>
      </w:r>
      <w:r w:rsidRPr="00643EEB">
        <w:rPr>
          <w:rFonts w:ascii="Simplified Arabic" w:hAnsi="Simplified Arabic" w:cs="Simplified Arabic"/>
          <w:sz w:val="28"/>
          <w:szCs w:val="28"/>
          <w:rtl/>
        </w:rPr>
        <w:t xml:space="preserve"> استخدم البحث المنهج الوصفي التحليلي الكمي من خلال تحليل الظاهرة وتوصيف متغيراتها، واعتمد على أداة الاستقصاء لجمع البيانات من عينة عشوائية احتمالية مكوّنة من (397) مفردة من العاملين في الجامعات الخاصة المصرية. </w:t>
      </w:r>
    </w:p>
    <w:p w14:paraId="36D0E552"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وجود علاقة ذات دلالة إحصائية لأبعاد الذكاء الاصطناعي على الرشاقة الاستراتيجية، في ظل وجود الجدارات الوظيفية الرقمية في الموارد البشرية كمتغير وسيط</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وأوصى البحث بضرورة تعزيز تطبيقات الذكاء الاصطناعي وتنمية الجدارات الرقمية لدعم الرشاقة الاستراتيجية في الجامعات الخاصة المصرية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06FA44D2" w14:textId="77777777" w:rsidR="00C47BC4" w:rsidRPr="00643EEB" w:rsidRDefault="00C47BC4" w:rsidP="00C47BC4">
      <w:pPr>
        <w:rPr>
          <w:rFonts w:ascii="Simplified Arabic" w:hAnsi="Simplified Arabic" w:cs="Simplified Arabic"/>
          <w:b/>
          <w:bCs/>
          <w:sz w:val="28"/>
          <w:szCs w:val="28"/>
          <w:rtl/>
        </w:rPr>
      </w:pPr>
      <w:proofErr w:type="gramStart"/>
      <w:r w:rsidRPr="00643EEB">
        <w:rPr>
          <w:rFonts w:ascii="Simplified Arabic" w:hAnsi="Simplified Arabic" w:cs="Simplified Arabic"/>
          <w:b/>
          <w:bCs/>
          <w:sz w:val="28"/>
          <w:szCs w:val="28"/>
          <w:rtl/>
          <w:lang w:bidi="ar-EG"/>
        </w:rPr>
        <w:t>دراسة</w:t>
      </w:r>
      <w:r w:rsidRPr="00643EEB">
        <w:rPr>
          <w:rFonts w:ascii="Simplified Arabic" w:hAnsi="Simplified Arabic" w:cs="Simplified Arabic" w:hint="cs"/>
          <w:b/>
          <w:bCs/>
          <w:sz w:val="28"/>
          <w:szCs w:val="28"/>
          <w:rtl/>
          <w:lang w:bidi="ar-EG"/>
        </w:rPr>
        <w:t>(</w:t>
      </w:r>
      <w:proofErr w:type="spellStart"/>
      <w:proofErr w:type="gramEnd"/>
      <w:r w:rsidRPr="00643EEB">
        <w:rPr>
          <w:rFonts w:ascii="Simplified Arabic" w:hAnsi="Simplified Arabic" w:cs="Simplified Arabic" w:hint="cs"/>
          <w:b/>
          <w:bCs/>
          <w:sz w:val="28"/>
          <w:szCs w:val="28"/>
          <w:rtl/>
          <w:lang w:bidi="ar-EG"/>
        </w:rPr>
        <w:t>طيبى</w:t>
      </w:r>
      <w:proofErr w:type="spellEnd"/>
      <w:r w:rsidRPr="00643EEB">
        <w:rPr>
          <w:rFonts w:ascii="Simplified Arabic" w:hAnsi="Simplified Arabic" w:cs="Simplified Arabic" w:hint="cs"/>
          <w:b/>
          <w:bCs/>
          <w:sz w:val="28"/>
          <w:szCs w:val="28"/>
          <w:rtl/>
          <w:lang w:bidi="ar-EG"/>
        </w:rPr>
        <w:t xml:space="preserve"> ومولاى،2023) </w:t>
      </w:r>
      <w:r w:rsidRPr="00643EEB">
        <w:rPr>
          <w:rFonts w:ascii="Simplified Arabic" w:hAnsi="Simplified Arabic" w:cs="Simplified Arabic"/>
          <w:b/>
          <w:bCs/>
          <w:sz w:val="28"/>
          <w:szCs w:val="28"/>
          <w:rtl/>
          <w:lang w:bidi="ar-EG"/>
        </w:rPr>
        <w:t>بعنوان:</w:t>
      </w:r>
      <w:r w:rsidRPr="00643EEB">
        <w:rPr>
          <w:b/>
          <w:bCs/>
          <w:rtl/>
        </w:rPr>
        <w:t xml:space="preserve"> </w:t>
      </w:r>
      <w:r w:rsidRPr="00643EEB">
        <w:rPr>
          <w:rFonts w:ascii="Simplified Arabic" w:hAnsi="Simplified Arabic" w:cs="Simplified Arabic"/>
          <w:b/>
          <w:bCs/>
          <w:sz w:val="28"/>
          <w:szCs w:val="28"/>
          <w:rtl/>
        </w:rPr>
        <w:t>أثر الذكاء الاصطناعي على أداء البنوك التجارية: دراسة حالة البنوك التجارية لولايتي البيض وتيارت</w:t>
      </w:r>
    </w:p>
    <w:p w14:paraId="4A2EF173" w14:textId="77777777" w:rsidR="00C47BC4" w:rsidRPr="00EC07BC" w:rsidRDefault="00C47BC4" w:rsidP="00C47BC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هذه الدراسة إلى التعريف بالذكاء الاصطناعي وبيان تأثيره في المجال المالي، وتحديد ما يمكن أن يسهم به في تحسين أداء البنوك التجارية بما ينعكس على زيادة </w:t>
      </w:r>
      <w:proofErr w:type="spellStart"/>
      <w:r w:rsidRPr="00643EEB">
        <w:rPr>
          <w:rFonts w:ascii="Simplified Arabic" w:hAnsi="Simplified Arabic" w:cs="Simplified Arabic"/>
          <w:sz w:val="28"/>
          <w:szCs w:val="28"/>
          <w:rtl/>
        </w:rPr>
        <w:t>ربحيتها</w:t>
      </w:r>
      <w:proofErr w:type="spellEnd"/>
      <w:r w:rsidRPr="00643EEB">
        <w:rPr>
          <w:rFonts w:ascii="Simplified Arabic" w:hAnsi="Simplified Arabic" w:cs="Simplified Arabic"/>
          <w:sz w:val="28"/>
          <w:szCs w:val="28"/>
          <w:rtl/>
        </w:rPr>
        <w:t>، وقد أُجريت الدراسة في البنوك التجارية بولايتي البيض وتيارت</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واعتمدت على </w:t>
      </w:r>
      <w:proofErr w:type="gramStart"/>
      <w:r w:rsidRPr="00643EEB">
        <w:rPr>
          <w:rFonts w:ascii="Simplified Arabic" w:hAnsi="Simplified Arabic" w:cs="Simplified Arabic"/>
          <w:sz w:val="28"/>
          <w:szCs w:val="28"/>
          <w:rtl/>
        </w:rPr>
        <w:t>استبيان</w:t>
      </w:r>
      <w:proofErr w:type="gramEnd"/>
      <w:r w:rsidRPr="00643EEB">
        <w:rPr>
          <w:rFonts w:ascii="Simplified Arabic" w:hAnsi="Simplified Arabic" w:cs="Simplified Arabic"/>
          <w:sz w:val="28"/>
          <w:szCs w:val="28"/>
          <w:rtl/>
        </w:rPr>
        <w:t xml:space="preserve"> وُزع على عينة مكوّنة من 100 موظف، كما استخدمت الدراسة برنامجي</w:t>
      </w:r>
      <w:r w:rsidRPr="00643EEB">
        <w:rPr>
          <w:rFonts w:ascii="Simplified Arabic" w:hAnsi="Simplified Arabic" w:cs="Simplified Arabic"/>
          <w:sz w:val="28"/>
          <w:szCs w:val="28"/>
        </w:rPr>
        <w:t xml:space="preserve"> SPSS v23 </w:t>
      </w:r>
      <w:r w:rsidRPr="00643EEB">
        <w:rPr>
          <w:rFonts w:ascii="Simplified Arabic" w:hAnsi="Simplified Arabic" w:cs="Simplified Arabic"/>
          <w:sz w:val="28"/>
          <w:szCs w:val="28"/>
          <w:rtl/>
        </w:rPr>
        <w:t>و</w:t>
      </w:r>
      <w:r w:rsidRPr="00643EEB">
        <w:rPr>
          <w:rFonts w:ascii="Simplified Arabic" w:hAnsi="Simplified Arabic" w:cs="Simplified Arabic"/>
          <w:sz w:val="28"/>
          <w:szCs w:val="28"/>
        </w:rPr>
        <w:t xml:space="preserve">AMOS v23 </w:t>
      </w:r>
      <w:r w:rsidRPr="00643EEB">
        <w:rPr>
          <w:rFonts w:ascii="Simplified Arabic" w:hAnsi="Simplified Arabic" w:cs="Simplified Arabic"/>
          <w:sz w:val="28"/>
          <w:szCs w:val="28"/>
          <w:rtl/>
        </w:rPr>
        <w:t>لاختبار فرضياتها بالاعتماد على نمذجة المعدلات الهيكلية. وتوصلت نتائج الدراسة إلى وجود أثر ذو دلالة معنوية للذكاء الاصطناعي على أداء البنوك التجارية. وأوصت الدراسة بأهمية تعزيز توظيف تقنيات الذكاء الاصطناعي داخل البنوك لدعم كفاءة الأداء وتحسين النتائج المالية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05F1955C" w14:textId="77777777" w:rsidR="00C47BC4" w:rsidRPr="00FA77D4" w:rsidRDefault="00C47BC4" w:rsidP="00C47BC4">
      <w:pPr>
        <w:jc w:val="both"/>
        <w:rPr>
          <w:rFonts w:ascii="Simplified Arabic" w:hAnsi="Simplified Arabic" w:cs="Simplified Arabic"/>
          <w:b/>
          <w:bCs/>
          <w:sz w:val="28"/>
          <w:szCs w:val="28"/>
          <w:rtl/>
          <w:lang w:bidi="ar-EG"/>
        </w:rPr>
      </w:pPr>
      <w:proofErr w:type="gramStart"/>
      <w:r w:rsidRPr="00FA77D4">
        <w:rPr>
          <w:rFonts w:ascii="Simplified Arabic" w:hAnsi="Simplified Arabic" w:cs="Simplified Arabic"/>
          <w:b/>
          <w:bCs/>
          <w:sz w:val="28"/>
          <w:szCs w:val="28"/>
          <w:rtl/>
          <w:lang w:bidi="ar-EG"/>
        </w:rPr>
        <w:t>دراسة</w:t>
      </w:r>
      <w:r w:rsidRPr="00FA77D4">
        <w:rPr>
          <w:rFonts w:ascii="Simplified Arabic" w:hAnsi="Simplified Arabic" w:cs="Simplified Arabic" w:hint="cs"/>
          <w:b/>
          <w:bCs/>
          <w:sz w:val="28"/>
          <w:szCs w:val="28"/>
          <w:rtl/>
          <w:lang w:bidi="ar-EG"/>
        </w:rPr>
        <w:t>(</w:t>
      </w:r>
      <w:proofErr w:type="gramEnd"/>
      <w:r w:rsidRPr="00FA77D4">
        <w:rPr>
          <w:rFonts w:ascii="Simplified Arabic" w:hAnsi="Simplified Arabic" w:cs="Simplified Arabic" w:hint="cs"/>
          <w:b/>
          <w:bCs/>
          <w:sz w:val="28"/>
          <w:szCs w:val="28"/>
          <w:rtl/>
          <w:lang w:bidi="ar-EG"/>
        </w:rPr>
        <w:t xml:space="preserve">صقر واخرون،2024) </w:t>
      </w:r>
      <w:r w:rsidRPr="00FA77D4">
        <w:rPr>
          <w:rFonts w:ascii="Simplified Arabic" w:hAnsi="Simplified Arabic" w:cs="Simplified Arabic"/>
          <w:b/>
          <w:bCs/>
          <w:sz w:val="28"/>
          <w:szCs w:val="28"/>
          <w:rtl/>
          <w:lang w:bidi="ar-EG"/>
        </w:rPr>
        <w:t>بعنوان:</w:t>
      </w:r>
      <w:r w:rsidRPr="00FA77D4">
        <w:rPr>
          <w:b/>
          <w:bCs/>
          <w:rtl/>
        </w:rPr>
        <w:t xml:space="preserve"> </w:t>
      </w:r>
      <w:r w:rsidRPr="00FA77D4">
        <w:rPr>
          <w:rFonts w:ascii="Simplified Arabic" w:hAnsi="Simplified Arabic" w:cs="Simplified Arabic"/>
          <w:b/>
          <w:bCs/>
          <w:sz w:val="28"/>
          <w:szCs w:val="28"/>
          <w:rtl/>
          <w:lang w:bidi="ar-EG"/>
        </w:rPr>
        <w:t>دور الذكاء الاصطناعي في تحسين ابتكار الخدمة: دراسة تطبيقية.</w:t>
      </w:r>
    </w:p>
    <w:p w14:paraId="1FFB8FF7" w14:textId="77777777" w:rsidR="00C47BC4" w:rsidRDefault="00C47BC4" w:rsidP="00C47BC4">
      <w:pPr>
        <w:bidi w:val="0"/>
        <w:jc w:val="right"/>
        <w:rPr>
          <w:rFonts w:ascii="Simplified Arabic" w:hAnsi="Simplified Arabic" w:cs="Simplified Arabic"/>
          <w:sz w:val="28"/>
          <w:szCs w:val="28"/>
          <w:rtl/>
        </w:rPr>
      </w:pPr>
      <w:r w:rsidRPr="00B9110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الدراسة تحديد دور الذكاء الاصطناعي بأبعاده في تحسين ابتكار الخدمات في البنوك التجارية المصرية، في ظل التطورات التكنولوجية الحديثة والتحول الرقمي، واستخدمت الدراسة منهجًا وصفيًا </w:t>
      </w:r>
      <w:r w:rsidRPr="00643EEB">
        <w:rPr>
          <w:rFonts w:ascii="Simplified Arabic" w:hAnsi="Simplified Arabic" w:cs="Simplified Arabic"/>
          <w:sz w:val="28"/>
          <w:szCs w:val="28"/>
          <w:rtl/>
        </w:rPr>
        <w:lastRenderedPageBreak/>
        <w:t>اعتمادًا على قائمة استقصاء وزِّعت على عينة قوامها (348) من عملاء البنوك التجارية المصرية بنسبة استجابة بلغت 84%.</w:t>
      </w:r>
    </w:p>
    <w:p w14:paraId="10CEAA49" w14:textId="77777777" w:rsidR="00C47BC4" w:rsidRPr="00EC07BC" w:rsidRDefault="00C47BC4" w:rsidP="00C47BC4">
      <w:pPr>
        <w:rPr>
          <w:rFonts w:ascii="Simplified Arabic" w:hAnsi="Simplified Arabic" w:cs="Simplified Arabic"/>
          <w:sz w:val="28"/>
          <w:szCs w:val="28"/>
          <w:lang w:bidi="ar-EG"/>
        </w:rPr>
      </w:pPr>
      <w:r w:rsidRPr="00643EEB">
        <w:rPr>
          <w:rFonts w:ascii="Simplified Arabic" w:hAnsi="Simplified Arabic" w:cs="Simplified Arabic"/>
          <w:sz w:val="28"/>
          <w:szCs w:val="28"/>
          <w:rtl/>
        </w:rPr>
        <w:t xml:space="preserve"> وتوصلت نتائج الدراسة إلى وجود علاقة إيجابية بين الذكاء الاصطناعي وتحسين ابتكار الخدمات، ووجود علاقة ارتباطية طردية بين أبعاد الذكاء الاصطناعي وابتكار الخدمات. وأوصت الدراسة بضرورة متابعة الإدارات العليا لأحدث التقنيات في مجال الذكاء الاصطناعي لتعزيز استخدامها في تحسين ابتكار الخدمات، وتوفير الحماية القانونية في تطبيقها، إضافة إلى وضع خطط استراتيجية مرنة لتفعيل هذه التقنيات داخل البنوك التجارية</w:t>
      </w:r>
      <w:r w:rsidRPr="00643EEB">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636764CB" w14:textId="77777777" w:rsidR="00C47BC4" w:rsidRPr="00BE066A" w:rsidRDefault="00C47BC4" w:rsidP="00C47BC4">
      <w:pPr>
        <w:jc w:val="both"/>
        <w:rPr>
          <w:rFonts w:ascii="Simplified Arabic" w:hAnsi="Simplified Arabic" w:cs="Simplified Arabic"/>
          <w:b/>
          <w:bCs/>
          <w:sz w:val="28"/>
          <w:szCs w:val="28"/>
          <w:rtl/>
        </w:rPr>
      </w:pPr>
      <w:proofErr w:type="gramStart"/>
      <w:r w:rsidRPr="002765C1">
        <w:rPr>
          <w:rFonts w:ascii="Simplified Arabic" w:hAnsi="Simplified Arabic" w:cs="Simplified Arabic"/>
          <w:b/>
          <w:bCs/>
          <w:sz w:val="28"/>
          <w:szCs w:val="28"/>
          <w:rtl/>
          <w:lang w:bidi="ar-EG"/>
        </w:rPr>
        <w:t xml:space="preserve">دراسة </w:t>
      </w:r>
      <w:r w:rsidRPr="002765C1">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w:t>
      </w:r>
      <w:proofErr w:type="gramEnd"/>
      <w:r>
        <w:rPr>
          <w:rFonts w:ascii="Simplified Arabic" w:hAnsi="Simplified Arabic" w:cs="Simplified Arabic" w:hint="cs"/>
          <w:b/>
          <w:bCs/>
          <w:sz w:val="28"/>
          <w:szCs w:val="28"/>
          <w:rtl/>
          <w:lang w:bidi="ar-EG"/>
        </w:rPr>
        <w:t>حسن واخرون،2024)</w:t>
      </w:r>
      <w:r w:rsidRPr="002765C1">
        <w:rPr>
          <w:rFonts w:ascii="Simplified Arabic" w:hAnsi="Simplified Arabic" w:cs="Simplified Arabic"/>
          <w:b/>
          <w:bCs/>
          <w:sz w:val="28"/>
          <w:szCs w:val="28"/>
          <w:rtl/>
          <w:lang w:bidi="ar-EG"/>
        </w:rPr>
        <w:t xml:space="preserve"> بعنوان: </w:t>
      </w:r>
      <w:r w:rsidRPr="00FA77D4">
        <w:rPr>
          <w:rFonts w:ascii="Simplified Arabic" w:hAnsi="Simplified Arabic" w:cs="Simplified Arabic"/>
          <w:b/>
          <w:bCs/>
          <w:sz w:val="28"/>
          <w:szCs w:val="28"/>
          <w:rtl/>
        </w:rPr>
        <w:t>دور الذكاء الاصطناعي من أجل التنمية المستدامة</w:t>
      </w:r>
    </w:p>
    <w:p w14:paraId="1092BB62" w14:textId="77777777" w:rsidR="00C47BC4" w:rsidRDefault="00C47BC4" w:rsidP="00C47BC4">
      <w:pPr>
        <w:jc w:val="both"/>
        <w:rPr>
          <w:rFonts w:ascii="Simplified Arabic" w:hAnsi="Simplified Arabic" w:cs="Simplified Arabic"/>
          <w:sz w:val="28"/>
          <w:szCs w:val="28"/>
          <w:rtl/>
        </w:rPr>
      </w:pPr>
      <w:r w:rsidRPr="00643EEB">
        <w:rPr>
          <w:rFonts w:ascii="Simplified Arabic" w:hAnsi="Simplified Arabic" w:cs="Simplified Arabic"/>
          <w:sz w:val="28"/>
          <w:szCs w:val="28"/>
          <w:rtl/>
        </w:rPr>
        <w:t xml:space="preserve">هدف هذا البحث إلى التعرف على الذكاء الاصطناعي ومجالاته وكيفية الاستفادة منه في التعليم، وبيان العلاقة بين الذكاء الاصطناعي والتنمية المستدامة بأبعادها، وتم استخدام المنهج الوصفي مع الاعتماد على عينة مكوّنة من (400) طالب من الفرق الأربعة (حضر–ريف–عرب)، و(25) عضوًا من أعضاء هيئة التدريس بمعهد العجمي العالي للعلوم الإدارية. </w:t>
      </w:r>
    </w:p>
    <w:p w14:paraId="682B46D6" w14:textId="77777777" w:rsidR="00C47BC4" w:rsidRPr="00EC07BC" w:rsidRDefault="00C47BC4" w:rsidP="00C47BC4">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توفير مصادر معرفية رقمية لدعم تبادل الأفكار بين أعضاء هيئة التدريس، وتبني القيادات الجامعية لاستراتيجية واضحة لتوظيف تطبيقات الذكاء الاصطناعي في تطوير الإدارة الجامعية بما يتوافق مع رؤية مصر 2030، ونشر الوعي بين أعضاء هيئة التدريس والقيادات الأكاديمية حول أهمية الذكاء الاصطناعي ودوره في تقديم خدمة تعليمية متميزة ورفع قدرات الجامعة في توظيف خريجيها</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كما توصل البحث إلى ضرورة ربط رؤية الجامعة واستراتيجيتها بأهداف التنمية المستدامة وتعزيز القاعدة العلمية لمفاهيمها، وقد تبين وجود علاقة ذات دلالة معنوية بين تطبيقات الذكاء الاصطناعي في التعليم والتنمية المستدامة. وأوصى البحث بزيادة تبني الجامعات لتطبيقات الذكاء الاصطناعي وتعزيز الوعي بممارسات التنمية المستدامة</w:t>
      </w:r>
      <w:r w:rsidRPr="00EC07BC">
        <w:rPr>
          <w:rFonts w:ascii="Simplified Arabic" w:hAnsi="Simplified Arabic" w:cs="Simplified Arabic"/>
          <w:sz w:val="28"/>
          <w:szCs w:val="28"/>
          <w:lang w:bidi="ar-EG"/>
        </w:rPr>
        <w:t>.</w:t>
      </w:r>
      <w:bookmarkEnd w:id="16"/>
    </w:p>
    <w:p w14:paraId="5F496E56" w14:textId="77777777" w:rsidR="00C47BC4" w:rsidRDefault="00C47BC4" w:rsidP="00C47BC4">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دراسة (الصفار،2024) </w:t>
      </w:r>
      <w:proofErr w:type="gramStart"/>
      <w:r>
        <w:rPr>
          <w:rFonts w:ascii="Simplified Arabic" w:hAnsi="Simplified Arabic" w:cs="Simplified Arabic" w:hint="cs"/>
          <w:b/>
          <w:bCs/>
          <w:sz w:val="28"/>
          <w:szCs w:val="28"/>
          <w:rtl/>
          <w:lang w:bidi="ar-EG"/>
        </w:rPr>
        <w:t>بعنوان :</w:t>
      </w:r>
      <w:proofErr w:type="gramEnd"/>
      <w:r w:rsidRPr="00FA77D4">
        <w:rPr>
          <w:rtl/>
        </w:rPr>
        <w:t xml:space="preserve"> </w:t>
      </w:r>
      <w:r w:rsidRPr="00FA77D4">
        <w:rPr>
          <w:rFonts w:ascii="Simplified Arabic" w:hAnsi="Simplified Arabic" w:cs="Simplified Arabic"/>
          <w:b/>
          <w:bCs/>
          <w:sz w:val="28"/>
          <w:szCs w:val="28"/>
          <w:rtl/>
          <w:lang w:bidi="ar-EG"/>
        </w:rPr>
        <w:t>دور الذكاء الاصطناعي في تحسين جودة الخدمات: دراسة تطبيقية على شركة الاتصالات السعودية.</w:t>
      </w:r>
    </w:p>
    <w:p w14:paraId="1F1AB6FB" w14:textId="77777777" w:rsidR="00C47BC4" w:rsidRDefault="00C47BC4" w:rsidP="00C47BC4">
      <w:pPr>
        <w:jc w:val="both"/>
        <w:rPr>
          <w:rFonts w:ascii="Simplified Arabic" w:hAnsi="Simplified Arabic" w:cs="Simplified Arabic"/>
          <w:sz w:val="28"/>
          <w:szCs w:val="28"/>
          <w:rtl/>
        </w:rPr>
      </w:pPr>
      <w:r w:rsidRPr="00643EEB">
        <w:rPr>
          <w:rFonts w:ascii="Simplified Arabic" w:hAnsi="Simplified Arabic" w:cs="Simplified Arabic"/>
          <w:sz w:val="28"/>
          <w:szCs w:val="28"/>
          <w:rtl/>
        </w:rPr>
        <w:lastRenderedPageBreak/>
        <w:t>هدفت الدراسة إلى التعرف على دور الذكاء الاصطناعي بأبعاده (الوكلاء الأذكياء وغيرها من الأبعاد) على جودة الخدمات في شركة الاتصالات السعودية، واستخدمت الدراسة المنهج الوصفي التحليلي، وتكونت العينة من (206) من العاملين في الخدمات بالشركة.</w:t>
      </w:r>
    </w:p>
    <w:p w14:paraId="5EEA7793" w14:textId="7117B733" w:rsidR="00C47BC4" w:rsidRDefault="00C47BC4" w:rsidP="00C47BC4">
      <w:pPr>
        <w:jc w:val="both"/>
        <w:rPr>
          <w:rFonts w:ascii="Simplified Arabic" w:hAnsi="Simplified Arabic" w:cs="Simplified Arabic"/>
          <w:sz w:val="28"/>
          <w:szCs w:val="28"/>
          <w:lang w:bidi="ar-EG"/>
        </w:rPr>
      </w:pPr>
      <w:r w:rsidRPr="00643EEB">
        <w:rPr>
          <w:rFonts w:ascii="Simplified Arabic" w:hAnsi="Simplified Arabic" w:cs="Simplified Arabic"/>
          <w:sz w:val="28"/>
          <w:szCs w:val="28"/>
          <w:rtl/>
        </w:rPr>
        <w:t xml:space="preserve"> وتوصلت نتائج الدراسة إلى وجود مستوى مرتفع لتقديرات الذكاء الاصطناعي وجودة الخدمات، بالإضافة إلى وجود أثر ذي دلالة إحصائية للذكاء الاصطناعي بأبعاده مجتمعة على جودة الخدمات، واتضح أن هذا الأثر ناتج بشكل رئيس من الوكلاء الأذكياء</w:t>
      </w:r>
      <w:r>
        <w:rPr>
          <w:rFonts w:ascii="Simplified Arabic" w:hAnsi="Simplified Arabic" w:cs="Simplified Arabic" w:hint="cs"/>
          <w:sz w:val="28"/>
          <w:szCs w:val="28"/>
          <w:rtl/>
        </w:rPr>
        <w:t xml:space="preserve">، </w:t>
      </w:r>
      <w:r w:rsidRPr="00643EEB">
        <w:rPr>
          <w:rFonts w:ascii="Simplified Arabic" w:hAnsi="Simplified Arabic" w:cs="Simplified Arabic"/>
          <w:sz w:val="28"/>
          <w:szCs w:val="28"/>
          <w:rtl/>
        </w:rPr>
        <w:t>وأوصت الدراسة بضرورة الاهتمام بتعزيز تطبيقات الذكاء الاصطناعي لما لها من دور جوهري في تطوير أداء الخدمات في شركة الاتصالات السعودية</w:t>
      </w:r>
      <w:r w:rsidRPr="00643EEB">
        <w:rPr>
          <w:rFonts w:ascii="Simplified Arabic" w:hAnsi="Simplified Arabic" w:cs="Simplified Arabic"/>
          <w:sz w:val="28"/>
          <w:szCs w:val="28"/>
        </w:rPr>
        <w:t>.</w:t>
      </w:r>
    </w:p>
    <w:p w14:paraId="4EB8F6A5" w14:textId="77777777" w:rsidR="008B3166" w:rsidRPr="008B3166" w:rsidRDefault="008B3166" w:rsidP="008B3166">
      <w:pPr>
        <w:jc w:val="both"/>
        <w:rPr>
          <w:rFonts w:ascii="Simplified Arabic" w:hAnsi="Simplified Arabic" w:cs="Simplified Arabic"/>
          <w:color w:val="EE0000"/>
          <w:sz w:val="28"/>
          <w:szCs w:val="28"/>
          <w:lang w:bidi="ar-EG"/>
        </w:rPr>
      </w:pPr>
      <w:r w:rsidRPr="008B3166">
        <w:rPr>
          <w:rFonts w:ascii="Simplified Arabic" w:hAnsi="Simplified Arabic" w:cs="Simplified Arabic"/>
          <w:color w:val="EE0000"/>
          <w:sz w:val="28"/>
          <w:szCs w:val="28"/>
          <w:rtl/>
        </w:rPr>
        <w:t>يُلاحَظ من استقراء دراسات المجموعة الأولى — على تعدد سياقاتها الجغرافية بين الأردن ومصر والجزائر — هيمنةُ نمطٍ منهجي واحد يتمثل في المنهج الوصفي التحليلي القائم على الاستبانة، مع إفراطٍ في الاعتماد على تحليل الانحدار المتعدد أو النمذجة الهيكلية الأحادية دون توظيف تحليل متعدد المجموعات (</w:t>
      </w:r>
      <w:r w:rsidRPr="008B3166">
        <w:rPr>
          <w:rFonts w:ascii="Simplified Arabic" w:hAnsi="Simplified Arabic" w:cs="Simplified Arabic"/>
          <w:color w:val="EE0000"/>
          <w:sz w:val="28"/>
          <w:szCs w:val="28"/>
          <w:lang w:bidi="ar-EG"/>
        </w:rPr>
        <w:t>Multi-Group SEM</w:t>
      </w:r>
      <w:r w:rsidRPr="008B3166">
        <w:rPr>
          <w:rFonts w:ascii="Simplified Arabic" w:hAnsi="Simplified Arabic" w:cs="Simplified Arabic"/>
          <w:color w:val="EE0000"/>
          <w:sz w:val="28"/>
          <w:szCs w:val="28"/>
          <w:rtl/>
        </w:rPr>
        <w:t>) الذي كان سيسمح باختبار التباين البنيوي بين فئات المستجيبين. وقد أفضى هذا النمط إلى نتائج ذات دلالة إحصائية عالية، غير أنها تفتقر إلى العمق التفسيري الكافي لفهم الآليات المؤسسية الكامنة خلف الأثر المرصود.</w:t>
      </w:r>
    </w:p>
    <w:p w14:paraId="28DB0171" w14:textId="77777777" w:rsidR="008B3166" w:rsidRPr="008B3166" w:rsidRDefault="008B3166" w:rsidP="008B3166">
      <w:pPr>
        <w:jc w:val="both"/>
        <w:rPr>
          <w:rFonts w:ascii="Simplified Arabic" w:hAnsi="Simplified Arabic" w:cs="Simplified Arabic"/>
          <w:color w:val="EE0000"/>
          <w:sz w:val="28"/>
          <w:szCs w:val="28"/>
          <w:rtl/>
        </w:rPr>
      </w:pPr>
      <w:r w:rsidRPr="008B3166">
        <w:rPr>
          <w:rFonts w:ascii="Simplified Arabic" w:hAnsi="Simplified Arabic" w:cs="Simplified Arabic"/>
          <w:color w:val="EE0000"/>
          <w:sz w:val="28"/>
          <w:szCs w:val="28"/>
          <w:rtl/>
        </w:rPr>
        <w:t xml:space="preserve">وعلى صعيد العينات، يتضح تحيّزٌ واضح نحو القطاع المصرفي والتعليمي الخاص (المصاروة والسرحان 2021؛ طيبي ومولاي 2023؛ عبد المنعم 2023؛ صقر وآخرون 2024)، وهو ما يُقلّص إلى حدٍّ بعيد إمكانية تعميم نتائجها على المؤسسات الحكومية الكبرى ذات الطبيعة البيروقراطية والقيود التشريعية المميزة. كما أنّ متوسط أحجام العينات (100–397 مفردة) لا يرقى إلى المستوى المطلوب لإجراء تحليلات </w:t>
      </w:r>
      <w:r w:rsidRPr="008B3166">
        <w:rPr>
          <w:rFonts w:ascii="Simplified Arabic" w:hAnsi="Simplified Arabic" w:cs="Simplified Arabic"/>
          <w:color w:val="EE0000"/>
          <w:sz w:val="28"/>
          <w:szCs w:val="28"/>
          <w:lang w:bidi="ar-EG"/>
        </w:rPr>
        <w:t>multi-group</w:t>
      </w:r>
      <w:r w:rsidRPr="008B3166">
        <w:rPr>
          <w:rFonts w:ascii="Simplified Arabic" w:hAnsi="Simplified Arabic" w:cs="Simplified Arabic"/>
          <w:color w:val="EE0000"/>
          <w:sz w:val="28"/>
          <w:szCs w:val="28"/>
          <w:rtl/>
        </w:rPr>
        <w:t xml:space="preserve"> موثوقة عبر فئات مؤسسية متعددة.</w:t>
      </w:r>
    </w:p>
    <w:p w14:paraId="74D31C4C" w14:textId="77777777" w:rsidR="008B3166" w:rsidRPr="008B3166" w:rsidRDefault="008B3166" w:rsidP="008B3166">
      <w:pPr>
        <w:jc w:val="both"/>
        <w:rPr>
          <w:rFonts w:ascii="Simplified Arabic" w:hAnsi="Simplified Arabic" w:cs="Simplified Arabic"/>
          <w:color w:val="EE0000"/>
          <w:sz w:val="28"/>
          <w:szCs w:val="28"/>
          <w:rtl/>
        </w:rPr>
      </w:pPr>
      <w:r w:rsidRPr="008B3166">
        <w:rPr>
          <w:rFonts w:ascii="Simplified Arabic" w:hAnsi="Simplified Arabic" w:cs="Simplified Arabic"/>
          <w:color w:val="EE0000"/>
          <w:sz w:val="28"/>
          <w:szCs w:val="28"/>
          <w:rtl/>
        </w:rPr>
        <w:t xml:space="preserve">وعلى الصعيد النظري، وقعت غالبية هذه الدراسات في فخ </w:t>
      </w:r>
      <w:r w:rsidRPr="008B3166">
        <w:rPr>
          <w:rFonts w:ascii="Simplified Arabic" w:hAnsi="Simplified Arabic" w:cs="Simplified Arabic"/>
          <w:b/>
          <w:bCs/>
          <w:color w:val="EE0000"/>
          <w:sz w:val="28"/>
          <w:szCs w:val="28"/>
          <w:rtl/>
        </w:rPr>
        <w:t>الاختزال النظري</w:t>
      </w:r>
      <w:r w:rsidRPr="008B3166">
        <w:rPr>
          <w:rFonts w:ascii="Simplified Arabic" w:hAnsi="Simplified Arabic" w:cs="Simplified Arabic"/>
          <w:color w:val="EE0000"/>
          <w:sz w:val="28"/>
          <w:szCs w:val="28"/>
          <w:rtl/>
        </w:rPr>
        <w:t xml:space="preserve"> (</w:t>
      </w:r>
      <w:r w:rsidRPr="008B3166">
        <w:rPr>
          <w:rFonts w:ascii="Simplified Arabic" w:hAnsi="Simplified Arabic" w:cs="Simplified Arabic"/>
          <w:color w:val="EE0000"/>
          <w:sz w:val="28"/>
          <w:szCs w:val="28"/>
          <w:lang w:bidi="ar-EG"/>
        </w:rPr>
        <w:t>Theoretical Reductionism</w:t>
      </w:r>
      <w:r w:rsidRPr="008B3166">
        <w:rPr>
          <w:rFonts w:ascii="Simplified Arabic" w:hAnsi="Simplified Arabic" w:cs="Simplified Arabic"/>
          <w:color w:val="EE0000"/>
          <w:sz w:val="28"/>
          <w:szCs w:val="28"/>
          <w:rtl/>
        </w:rPr>
        <w:t xml:space="preserve">) باكتفائها بإطار نظري واحد — كنظرية الموارد أو نظرية الرشاقة الاستراتيجية — لتفسير ظاهرة متعددة الأبعاد. كما استخدمت أبعاداً للذكاء الاصطناعي (النظم الخبيرة، سهولة الاستعمال، تعلم الآلة) دون تبرير أنطولوجي واضح لاختيارها، ودون ربطها بالسياق المؤسسي الحكومي الذي تحكمه دوافع تبنٍّ مغايرة تماماً للسياق التجاري. وهذه الثغرات مجتمعةً تُبرز الحاجة إلى دراسة تُوظّف إطاراً نظرياً </w:t>
      </w:r>
      <w:r w:rsidRPr="008B3166">
        <w:rPr>
          <w:rFonts w:ascii="Simplified Arabic" w:hAnsi="Simplified Arabic" w:cs="Simplified Arabic"/>
          <w:color w:val="EE0000"/>
          <w:sz w:val="28"/>
          <w:szCs w:val="28"/>
          <w:rtl/>
        </w:rPr>
        <w:lastRenderedPageBreak/>
        <w:t>ثلاثياً متكاملاً (</w:t>
      </w:r>
      <w:r w:rsidRPr="008B3166">
        <w:rPr>
          <w:rFonts w:ascii="Simplified Arabic" w:hAnsi="Simplified Arabic" w:cs="Simplified Arabic"/>
          <w:color w:val="EE0000"/>
          <w:sz w:val="28"/>
          <w:szCs w:val="28"/>
          <w:lang w:bidi="ar-EG"/>
        </w:rPr>
        <w:t>RBV + TOE</w:t>
      </w:r>
      <w:r w:rsidRPr="008B3166">
        <w:rPr>
          <w:rFonts w:ascii="Simplified Arabic" w:hAnsi="Simplified Arabic" w:cs="Simplified Arabic"/>
          <w:color w:val="EE0000"/>
          <w:sz w:val="28"/>
          <w:szCs w:val="28"/>
          <w:rtl/>
        </w:rPr>
        <w:t xml:space="preserve"> + النظرية المؤسسية) داخل بيئة القطاع الحكومي السعودي، وهو ما تسعى الدراسة الحالية إلى تحقيقه.</w:t>
      </w:r>
    </w:p>
    <w:p w14:paraId="63FA2BAD" w14:textId="77777777"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الثانية: الدراسات التي تناولت </w:t>
      </w:r>
      <w:r w:rsidRPr="005965AD">
        <w:rPr>
          <w:rFonts w:ascii="Simplified Arabic" w:hAnsi="Simplified Arabic" w:cs="Simplified Arabic"/>
          <w:b/>
          <w:bCs/>
          <w:sz w:val="28"/>
          <w:szCs w:val="28"/>
          <w:rtl/>
          <w:lang w:bidi="ar-EG"/>
        </w:rPr>
        <w:t xml:space="preserve">القيمة التشغيلية </w:t>
      </w:r>
      <w:r w:rsidRPr="00B91104">
        <w:rPr>
          <w:rFonts w:ascii="Simplified Arabic" w:hAnsi="Simplified Arabic" w:cs="Simplified Arabic"/>
          <w:b/>
          <w:bCs/>
          <w:sz w:val="28"/>
          <w:szCs w:val="28"/>
          <w:rtl/>
          <w:lang w:bidi="ar-EG"/>
        </w:rPr>
        <w:t>وعلاقته بالمتغيرات الأخرى.</w:t>
      </w:r>
    </w:p>
    <w:p w14:paraId="0F6A6D8F" w14:textId="77777777" w:rsidR="00C47BC4" w:rsidRDefault="00C47BC4" w:rsidP="00C47BC4">
      <w:pPr>
        <w:rPr>
          <w:rFonts w:ascii="Simplified Arabic" w:hAnsi="Simplified Arabic" w:cs="Simplified Arabic"/>
          <w:b/>
          <w:bCs/>
          <w:sz w:val="28"/>
          <w:szCs w:val="28"/>
          <w:rtl/>
          <w:lang w:bidi="ar-EG"/>
        </w:rPr>
      </w:pPr>
      <w:proofErr w:type="gramStart"/>
      <w:r w:rsidRPr="00B91104">
        <w:rPr>
          <w:rFonts w:ascii="Simplified Arabic" w:hAnsi="Simplified Arabic" w:cs="Simplified Arabic"/>
          <w:b/>
          <w:bCs/>
          <w:sz w:val="28"/>
          <w:szCs w:val="28"/>
          <w:rtl/>
          <w:lang w:bidi="ar-EG"/>
        </w:rPr>
        <w:t xml:space="preserve">دراسة </w:t>
      </w:r>
      <w:r>
        <w:rPr>
          <w:rFonts w:ascii="Simplified Arabic" w:hAnsi="Simplified Arabic" w:cs="Simplified Arabic"/>
          <w:b/>
          <w:bCs/>
          <w:sz w:val="28"/>
          <w:szCs w:val="28"/>
          <w:lang w:bidi="ar-EG"/>
        </w:rPr>
        <w:t>)</w:t>
      </w:r>
      <w:r>
        <w:rPr>
          <w:rFonts w:ascii="Simplified Arabic" w:hAnsi="Simplified Arabic" w:cs="Simplified Arabic" w:hint="cs"/>
          <w:b/>
          <w:bCs/>
          <w:sz w:val="28"/>
          <w:szCs w:val="28"/>
          <w:rtl/>
        </w:rPr>
        <w:t>جاد</w:t>
      </w:r>
      <w:proofErr w:type="gramEnd"/>
      <w:r>
        <w:rPr>
          <w:rFonts w:ascii="Simplified Arabic" w:hAnsi="Simplified Arabic" w:cs="Simplified Arabic" w:hint="cs"/>
          <w:b/>
          <w:bCs/>
          <w:sz w:val="28"/>
          <w:szCs w:val="28"/>
          <w:rtl/>
        </w:rPr>
        <w:t xml:space="preserve"> واخرون،2024) </w:t>
      </w:r>
      <w:r w:rsidRPr="00B91104">
        <w:rPr>
          <w:rFonts w:ascii="Simplified Arabic" w:hAnsi="Simplified Arabic" w:cs="Simplified Arabic"/>
          <w:b/>
          <w:bCs/>
          <w:sz w:val="28"/>
          <w:szCs w:val="28"/>
          <w:rtl/>
          <w:lang w:bidi="ar-EG"/>
        </w:rPr>
        <w:t>بعنوان:</w:t>
      </w:r>
      <w:r w:rsidRPr="005965AD">
        <w:rPr>
          <w:rtl/>
        </w:rPr>
        <w:t xml:space="preserve"> </w:t>
      </w:r>
      <w:r w:rsidRPr="005965AD">
        <w:rPr>
          <w:rFonts w:ascii="Simplified Arabic" w:hAnsi="Simplified Arabic" w:cs="Simplified Arabic"/>
          <w:b/>
          <w:bCs/>
          <w:sz w:val="28"/>
          <w:szCs w:val="28"/>
          <w:rtl/>
          <w:lang w:bidi="ar-EG"/>
        </w:rPr>
        <w:t>قياس أثر المفاضلة المعيارية على سلاسل القيمة: دراسة ميدانية في شركات تصنيع التحف والحلي بالقاهرة.</w:t>
      </w:r>
    </w:p>
    <w:p w14:paraId="00F9B509" w14:textId="77777777" w:rsidR="00C47BC4" w:rsidRDefault="00C47BC4" w:rsidP="00C47BC4">
      <w:pPr>
        <w:jc w:val="both"/>
        <w:rPr>
          <w:rFonts w:ascii="Simplified Arabic" w:hAnsi="Simplified Arabic" w:cs="Simplified Arabic"/>
          <w:b/>
          <w:bCs/>
          <w:sz w:val="28"/>
          <w:szCs w:val="28"/>
          <w:lang w:bidi="ar-EG"/>
        </w:rPr>
      </w:pPr>
      <w:r w:rsidRPr="005965AD">
        <w:rPr>
          <w:rFonts w:ascii="Simplified Arabic" w:hAnsi="Simplified Arabic" w:cs="Simplified Arabic"/>
          <w:sz w:val="28"/>
          <w:szCs w:val="28"/>
          <w:rtl/>
        </w:rPr>
        <w:t xml:space="preserve">هدف البحث إلى توضيح أثر تطبيق نموذج المفاضلة المعيارية بأبعاده (التخطيط، الإعداد، التحليل، التنفيذ) على تحسين أبعاد سلاسل القيمة في شركات صناعة التحف والحلي بالقاهرة، من خلال الكشف عن عناصر النجاح والتقدم في هذا القطاع. استخدم الباحث المنهج الوصفي التحليلي لتحديد مشكلة البحث المتمثلة في مدى إدراك شركات صناعة التحف والحلي بالقاهرة لمراحل نموذج المفاضلة المعيارية وقدرتها على توظيفها في تحسين سلاسل القيمة. وتمثّل مجتمع البحث في بعض شركات هذا القطاع، ولتحقيق أهداف الدراسة تم تطوير </w:t>
      </w:r>
      <w:proofErr w:type="gramStart"/>
      <w:r w:rsidRPr="005965AD">
        <w:rPr>
          <w:rFonts w:ascii="Simplified Arabic" w:hAnsi="Simplified Arabic" w:cs="Simplified Arabic"/>
          <w:sz w:val="28"/>
          <w:szCs w:val="28"/>
          <w:rtl/>
        </w:rPr>
        <w:t>استبيان</w:t>
      </w:r>
      <w:proofErr w:type="gramEnd"/>
      <w:r w:rsidRPr="005965AD">
        <w:rPr>
          <w:rFonts w:ascii="Simplified Arabic" w:hAnsi="Simplified Arabic" w:cs="Simplified Arabic"/>
          <w:sz w:val="28"/>
          <w:szCs w:val="28"/>
          <w:rtl/>
        </w:rPr>
        <w:t xml:space="preserve"> مكوّن من ثلاثة أقسام: خصائص ديموغرافية، قياس القدرة على استخدام نموذج المفاضلة المعيارية، وقياس مستوى سلاسل القيمة. وتوصلت الدراسة إلى وجود علاقة طردية ذات دلالة إحصائية بين استخدام مراحل نموذج المفاضلة المعيارية وتحسين أبعاد سلاسل القيمة، حيث يؤدي الاعتماد الأكبر على هذه المراحل إلى رفع كفاءة العمليات وتعزيز القدرة التنافسية. كما تبين وجود تأثير قوي للتخطيط السليم والتحليل الدقيق على تحسين الأداء التشغيلي في صناعة التحف والحلي. وأوصى الباحث بضرورة تبني استراتيجيات المفاضلة المعيارية كركيزة أساسية لتحسين سلاسل القيمة، واهتمام الشركات الصناعية بتصميم منتجاتها وفقًا للأهمية النسبية لمتطلبات العملاء لتعظيم القيمة وزيادة المبيعات</w:t>
      </w:r>
      <w:r w:rsidRPr="005965AD">
        <w:rPr>
          <w:rFonts w:ascii="Simplified Arabic" w:hAnsi="Simplified Arabic" w:cs="Simplified Arabic"/>
          <w:sz w:val="28"/>
          <w:szCs w:val="28"/>
          <w:lang w:bidi="ar-EG"/>
        </w:rPr>
        <w:t>.</w:t>
      </w:r>
    </w:p>
    <w:p w14:paraId="06A2C296" w14:textId="77777777" w:rsidR="00C47BC4" w:rsidRDefault="00C47BC4" w:rsidP="00C47BC4">
      <w:pPr>
        <w:rPr>
          <w:rFonts w:ascii="Simplified Arabic" w:hAnsi="Simplified Arabic" w:cs="Simplified Arabic"/>
          <w:b/>
          <w:bCs/>
          <w:sz w:val="28"/>
          <w:szCs w:val="28"/>
          <w:lang w:bidi="ar-EG"/>
        </w:rPr>
      </w:pPr>
      <w:proofErr w:type="gramStart"/>
      <w:r w:rsidRPr="00B91104">
        <w:rPr>
          <w:rFonts w:ascii="Simplified Arabic" w:hAnsi="Simplified Arabic" w:cs="Simplified Arabic"/>
          <w:b/>
          <w:bCs/>
          <w:sz w:val="28"/>
          <w:szCs w:val="28"/>
          <w:rtl/>
          <w:lang w:bidi="ar-EG"/>
        </w:rPr>
        <w:t>دراسة</w:t>
      </w:r>
      <w:r>
        <w:rPr>
          <w:rFonts w:ascii="Simplified Arabic" w:hAnsi="Simplified Arabic" w:cs="Simplified Arabic" w:hint="cs"/>
          <w:b/>
          <w:bCs/>
          <w:sz w:val="28"/>
          <w:szCs w:val="28"/>
          <w:rtl/>
          <w:lang w:bidi="ar-EG"/>
        </w:rPr>
        <w:t>(</w:t>
      </w:r>
      <w:proofErr w:type="gramEnd"/>
      <w:r>
        <w:rPr>
          <w:rFonts w:ascii="Simplified Arabic" w:hAnsi="Simplified Arabic" w:cs="Simplified Arabic" w:hint="cs"/>
          <w:b/>
          <w:bCs/>
          <w:sz w:val="28"/>
          <w:szCs w:val="28"/>
          <w:rtl/>
          <w:lang w:bidi="ar-EG"/>
        </w:rPr>
        <w:t xml:space="preserve">غدير واخرون،2024) </w:t>
      </w:r>
      <w:r w:rsidRPr="00B91104">
        <w:rPr>
          <w:rFonts w:ascii="Simplified Arabic" w:hAnsi="Simplified Arabic" w:cs="Simplified Arabic"/>
          <w:b/>
          <w:bCs/>
          <w:sz w:val="28"/>
          <w:szCs w:val="28"/>
          <w:rtl/>
          <w:lang w:bidi="ar-EG"/>
        </w:rPr>
        <w:t>بعنوان:</w:t>
      </w:r>
      <w:r w:rsidRPr="005965AD">
        <w:rPr>
          <w:rtl/>
        </w:rPr>
        <w:t xml:space="preserve"> </w:t>
      </w:r>
      <w:r w:rsidRPr="005965AD">
        <w:rPr>
          <w:rFonts w:ascii="Simplified Arabic" w:hAnsi="Simplified Arabic" w:cs="Simplified Arabic"/>
          <w:b/>
          <w:bCs/>
          <w:sz w:val="28"/>
          <w:szCs w:val="28"/>
          <w:rtl/>
          <w:lang w:bidi="ar-EG"/>
        </w:rPr>
        <w:t>تأثير نظام معالجة المعاملات في تحسين الكفاءة التشغيلية: دراسة ميدانية في سوق هال اللاذقية.</w:t>
      </w:r>
    </w:p>
    <w:p w14:paraId="2D0F9D55" w14:textId="77777777" w:rsidR="00C47BC4" w:rsidRPr="005965AD" w:rsidRDefault="00C47BC4" w:rsidP="00C47BC4">
      <w:pPr>
        <w:rPr>
          <w:rFonts w:ascii="Simplified Arabic" w:hAnsi="Simplified Arabic" w:cs="Simplified Arabic"/>
          <w:b/>
          <w:bCs/>
          <w:sz w:val="28"/>
          <w:szCs w:val="28"/>
          <w:rtl/>
          <w:lang w:bidi="ar-EG"/>
        </w:rPr>
      </w:pPr>
      <w:r w:rsidRPr="005965AD">
        <w:rPr>
          <w:rFonts w:ascii="Simplified Arabic" w:hAnsi="Simplified Arabic" w:cs="Simplified Arabic"/>
          <w:sz w:val="28"/>
          <w:szCs w:val="28"/>
          <w:rtl/>
        </w:rPr>
        <w:t>هدفت الدراسة إلى بيان تأثير نظام معالجة المعاملات بأبعاده (مستخدمو النظام، الأجهزة، البرمجيات، البيانات) على تحسين الكفاءة التشغيلية، وهي أحد أبعاد الأداء التشغيلي في سوق الهال بمحافظة اللاذقية</w:t>
      </w:r>
      <w:r>
        <w:rPr>
          <w:rFonts w:ascii="Simplified Arabic" w:hAnsi="Simplified Arabic" w:cs="Simplified Arabic" w:hint="cs"/>
          <w:sz w:val="28"/>
          <w:szCs w:val="28"/>
          <w:rtl/>
        </w:rPr>
        <w:t>،</w:t>
      </w:r>
      <w:r w:rsidRPr="005965AD">
        <w:rPr>
          <w:rFonts w:ascii="Simplified Arabic" w:hAnsi="Simplified Arabic" w:cs="Simplified Arabic"/>
          <w:sz w:val="28"/>
          <w:szCs w:val="28"/>
          <w:rtl/>
        </w:rPr>
        <w:t xml:space="preserve"> واستخدمت الدراسة المنهج الوصفي التحليلي من خلال جمع البيانات الأولية عبر دراسة ميدانية، اعتمادًا على استبانة صممت بالرجوع إلى الأدبيات السابقة. وتم تحليل البيانات باستخدام برنامج</w:t>
      </w:r>
      <w:r w:rsidRPr="005965AD">
        <w:rPr>
          <w:rFonts w:ascii="Simplified Arabic" w:hAnsi="Simplified Arabic" w:cs="Simplified Arabic"/>
          <w:sz w:val="28"/>
          <w:szCs w:val="28"/>
        </w:rPr>
        <w:t xml:space="preserve"> SPSS </w:t>
      </w:r>
      <w:r w:rsidRPr="005965AD">
        <w:rPr>
          <w:rFonts w:ascii="Simplified Arabic" w:hAnsi="Simplified Arabic" w:cs="Simplified Arabic"/>
          <w:sz w:val="28"/>
          <w:szCs w:val="28"/>
          <w:rtl/>
        </w:rPr>
        <w:t>إصدار 21 لاختبار فرضيات الدراسة.</w:t>
      </w:r>
    </w:p>
    <w:p w14:paraId="4B1384A0" w14:textId="77777777" w:rsidR="00C47BC4" w:rsidRPr="00EC07BC" w:rsidRDefault="00C47BC4" w:rsidP="00C47BC4">
      <w:pPr>
        <w:jc w:val="both"/>
        <w:rPr>
          <w:rFonts w:ascii="Simplified Arabic" w:hAnsi="Simplified Arabic" w:cs="Simplified Arabic"/>
          <w:sz w:val="28"/>
          <w:szCs w:val="28"/>
          <w:lang w:bidi="ar-EG"/>
        </w:rPr>
      </w:pPr>
      <w:r w:rsidRPr="005965AD">
        <w:rPr>
          <w:rFonts w:ascii="Simplified Arabic" w:hAnsi="Simplified Arabic" w:cs="Simplified Arabic"/>
          <w:sz w:val="28"/>
          <w:szCs w:val="28"/>
          <w:rtl/>
        </w:rPr>
        <w:lastRenderedPageBreak/>
        <w:t xml:space="preserve"> وتوصلت النتائج إلى وجود علاقة معنوية بين نظم معالجة المعاملات والكفاءة التشغيلية، حيث بلغت قيمة معامل ارتباط بيرسون (0.648)، وهو ما يشير إلى ارتباط مقبول بين المتغيرين. وأوصت الدراسة بضرورة تعزيز الاهتمام بنظم معالجة المعاملات ومكوناتها (مستخدمو النظام، الأجهزة، البرمجيات، البيانات) لما لها من دور مهم في تحسين الكفاءة التشغيلية</w:t>
      </w:r>
      <w:r w:rsidRPr="005965AD">
        <w:rPr>
          <w:rFonts w:ascii="Simplified Arabic" w:hAnsi="Simplified Arabic" w:cs="Simplified Arabic"/>
          <w:sz w:val="28"/>
          <w:szCs w:val="28"/>
        </w:rPr>
        <w:t>.</w:t>
      </w:r>
      <w:r w:rsidRPr="00EC07BC">
        <w:rPr>
          <w:rFonts w:ascii="Simplified Arabic" w:hAnsi="Simplified Arabic" w:cs="Simplified Arabic"/>
          <w:sz w:val="28"/>
          <w:szCs w:val="28"/>
          <w:lang w:bidi="ar-EG"/>
        </w:rPr>
        <w:t>.</w:t>
      </w:r>
    </w:p>
    <w:p w14:paraId="46D3D843" w14:textId="77777777" w:rsidR="00C47BC4" w:rsidRDefault="00C47BC4" w:rsidP="00C47BC4">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BE606B">
        <w:rPr>
          <w:rFonts w:ascii="Simplified Arabic" w:hAnsi="Simplified Arabic" w:cs="Simplified Arabic"/>
          <w:b/>
          <w:bCs/>
          <w:sz w:val="28"/>
          <w:szCs w:val="28"/>
          <w:lang w:bidi="ar-EG"/>
        </w:rPr>
        <w:t xml:space="preserve">(Mboyo et al., </w:t>
      </w:r>
      <w:r>
        <w:rPr>
          <w:rFonts w:ascii="Simplified Arabic" w:hAnsi="Simplified Arabic" w:cs="Simplified Arabic"/>
          <w:b/>
          <w:bCs/>
          <w:sz w:val="28"/>
          <w:szCs w:val="28"/>
          <w:lang w:bidi="ar-EG"/>
        </w:rPr>
        <w:t>2025</w:t>
      </w:r>
      <w:r w:rsidRPr="00BE606B">
        <w:rPr>
          <w:rFonts w:ascii="Simplified Arabic" w:hAnsi="Simplified Arabic" w:cs="Simplified Arabic"/>
          <w:b/>
          <w:bCs/>
          <w:sz w:val="28"/>
          <w:szCs w:val="28"/>
          <w:lang w:bidi="ar-EG"/>
        </w:rPr>
        <w:t>)</w:t>
      </w:r>
      <w:r w:rsidRPr="003C04ED">
        <w:rPr>
          <w:rFonts w:ascii="Simplified Arabic" w:hAnsi="Simplified Arabic" w:cs="Simplified Arabic"/>
          <w:b/>
          <w:bCs/>
          <w:sz w:val="28"/>
          <w:szCs w:val="28"/>
          <w:rtl/>
          <w:lang w:bidi="ar-EG"/>
        </w:rPr>
        <w:t xml:space="preserve"> </w:t>
      </w:r>
      <w:r w:rsidRPr="00B91104">
        <w:rPr>
          <w:rFonts w:ascii="Simplified Arabic" w:hAnsi="Simplified Arabic" w:cs="Simplified Arabic"/>
          <w:b/>
          <w:bCs/>
          <w:sz w:val="28"/>
          <w:szCs w:val="28"/>
          <w:rtl/>
          <w:lang w:bidi="ar-EG"/>
        </w:rPr>
        <w:t xml:space="preserve">بعنوان: </w:t>
      </w:r>
    </w:p>
    <w:p w14:paraId="481C5450" w14:textId="77777777" w:rsidR="00C47BC4" w:rsidRPr="00BE606B" w:rsidRDefault="00C47BC4" w:rsidP="00C47BC4">
      <w:pPr>
        <w:bidi w:val="0"/>
        <w:jc w:val="both"/>
        <w:rPr>
          <w:rFonts w:ascii="Simplified Arabic" w:hAnsi="Simplified Arabic" w:cs="Simplified Arabic"/>
          <w:b/>
          <w:bCs/>
          <w:sz w:val="28"/>
          <w:szCs w:val="28"/>
          <w:lang w:bidi="ar-EG"/>
        </w:rPr>
      </w:pPr>
      <w:r w:rsidRPr="00BE606B">
        <w:rPr>
          <w:rFonts w:ascii="Simplified Arabic" w:hAnsi="Simplified Arabic" w:cs="Simplified Arabic"/>
          <w:b/>
          <w:bCs/>
          <w:sz w:val="28"/>
          <w:szCs w:val="28"/>
          <w:lang w:bidi="ar-EG"/>
        </w:rPr>
        <w:t>Distribution of Operating Costs along the Value Chain of an Open-Pit Copper Mine</w:t>
      </w:r>
    </w:p>
    <w:p w14:paraId="01DB4FF7" w14:textId="77777777" w:rsidR="00C47BC4" w:rsidRPr="00CE08ED"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تحليل تكاليف التشغيل على طول سلسلة القيمة في منجم نحاس سطحي، من خلال تحديد أهم وحدات العمليات التشغيلية مثل الحفر، التفجير، التحميل، النقل، التخزين، المزج، التكسير، الطحن، والتعويم، واعتمدت الدراسة على أسلوب احتساب التكاليف لتحديد محركات التكلفة وقياس مساهمتها النسبية في إجمالي النفقات. وتكونت البيانات من قياسات تشغيلية فعلية لوحدات الإنتاج في المنجم. وتوصلت النتائج إلى أن عمليات التمزيق والطحن تُشكّل الجزء الأكبر من تكاليف التشغيل، حيث بلغ نصيب الطحن 6.18 دولار/طن (59.1% من إجمالي التكاليف)، في حين بلغت تكلفة التكسير 1.15 دولار/طن (11% من إجمالي النفقات). كما كشفت الدراسة عن فرص مهمة لخفض التكاليف وتعزيز الاستدامة التشغيلية من خلال تحسين استهلاك الطاقة، والاعتماد على مصادر طاقة بديلة، وتحسين تصميم عمليات التفجير. وأوصت الدراسة بضرورة تبني استراتيجيات تحليل البيانات واتخاذ القرارات المبنية على مؤشرات الأداء بهدف تحسين الكفاءة، وتعزيز الاستدامة، ووضع معايير مرجعية لأعمال التعدين المشابهة</w:t>
      </w:r>
      <w:r w:rsidRPr="00BE606B">
        <w:rPr>
          <w:rFonts w:ascii="Simplified Arabic" w:hAnsi="Simplified Arabic" w:cs="Simplified Arabic"/>
          <w:sz w:val="28"/>
          <w:szCs w:val="28"/>
        </w:rPr>
        <w:t>.</w:t>
      </w:r>
      <w:r w:rsidRPr="00CE08ED">
        <w:rPr>
          <w:rFonts w:ascii="Simplified Arabic" w:hAnsi="Simplified Arabic" w:cs="Simplified Arabic"/>
          <w:sz w:val="28"/>
          <w:szCs w:val="28"/>
          <w:rtl/>
          <w:lang w:bidi="ar-EG"/>
        </w:rPr>
        <w:t xml:space="preserve"> </w:t>
      </w:r>
    </w:p>
    <w:p w14:paraId="55977478" w14:textId="77777777" w:rsidR="00C47BC4" w:rsidRDefault="00C47BC4" w:rsidP="00C47BC4">
      <w:pPr>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Pr="00BE606B">
        <w:rPr>
          <w:rFonts w:ascii="Simplified Arabic" w:hAnsi="Simplified Arabic" w:cs="Simplified Arabic"/>
          <w:sz w:val="28"/>
          <w:szCs w:val="28"/>
          <w:lang w:bidi="ar-EG"/>
        </w:rPr>
        <w:t xml:space="preserve">(Naas &amp; </w:t>
      </w:r>
      <w:proofErr w:type="spellStart"/>
      <w:r w:rsidRPr="00BE606B">
        <w:rPr>
          <w:rFonts w:ascii="Simplified Arabic" w:hAnsi="Simplified Arabic" w:cs="Simplified Arabic"/>
          <w:sz w:val="28"/>
          <w:szCs w:val="28"/>
          <w:lang w:bidi="ar-EG"/>
        </w:rPr>
        <w:t>Berass</w:t>
      </w:r>
      <w:proofErr w:type="spellEnd"/>
      <w:r w:rsidRPr="00BE606B">
        <w:rPr>
          <w:rFonts w:ascii="Simplified Arabic" w:hAnsi="Simplified Arabic" w:cs="Simplified Arabic"/>
          <w:sz w:val="28"/>
          <w:szCs w:val="28"/>
          <w:lang w:bidi="ar-EG"/>
        </w:rPr>
        <w:t>, 2024)</w:t>
      </w:r>
      <w:r w:rsidRPr="003C04ED">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2E5C1336" w14:textId="77777777" w:rsidR="00C47BC4" w:rsidRPr="00B91104" w:rsidRDefault="00C47BC4" w:rsidP="00C47BC4">
      <w:pPr>
        <w:bidi w:val="0"/>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 xml:space="preserve"> </w:t>
      </w:r>
      <w:r w:rsidRPr="00BE606B">
        <w:rPr>
          <w:rFonts w:ascii="Simplified Arabic" w:hAnsi="Simplified Arabic" w:cs="Simplified Arabic"/>
          <w:sz w:val="28"/>
          <w:szCs w:val="28"/>
          <w:lang w:bidi="ar-EG"/>
        </w:rPr>
        <w:t>Optimization of the value chain through management control: case study of a public enterprise</w:t>
      </w:r>
    </w:p>
    <w:p w14:paraId="1D59D383" w14:textId="77777777" w:rsidR="00C47BC4" w:rsidRDefault="00C47BC4" w:rsidP="00C47BC4">
      <w:pPr>
        <w:rPr>
          <w:rFonts w:ascii="Simplified Arabic" w:hAnsi="Simplified Arabic" w:cs="Simplified Arabic"/>
          <w:b/>
          <w:bCs/>
          <w:sz w:val="28"/>
          <w:szCs w:val="28"/>
          <w:rtl/>
          <w:lang w:bidi="ar-EG"/>
        </w:rPr>
      </w:pPr>
      <w:r w:rsidRPr="00BE606B">
        <w:rPr>
          <w:rFonts w:ascii="Simplified Arabic" w:hAnsi="Simplified Arabic" w:cs="Simplified Arabic"/>
          <w:sz w:val="28"/>
          <w:szCs w:val="28"/>
          <w:rtl/>
        </w:rPr>
        <w:t>هدفت الدراسة إلى التعرف على دور الرقابة الإدارية بأبعادها (تحليل العمليات، تحديد أوجه القصور، المتابعة والتقييم) في تحسين سلسلة القيمة في المؤسسة، وتم استخدام المنهج الوصفي التحليلي لدراسة كيفية مساهمة الرقابة في كشف الاختناقات ورفع كفاءة الأداء. وتكوّنت عينة الدراسة من حالة عملية</w:t>
      </w:r>
      <w:r w:rsidRPr="00BE606B">
        <w:rPr>
          <w:rFonts w:ascii="Simplified Arabic" w:hAnsi="Simplified Arabic" w:cs="Simplified Arabic"/>
          <w:sz w:val="28"/>
          <w:szCs w:val="28"/>
        </w:rPr>
        <w:t xml:space="preserve"> </w:t>
      </w:r>
      <w:r w:rsidRPr="00BE606B">
        <w:rPr>
          <w:rFonts w:ascii="Simplified Arabic" w:hAnsi="Simplified Arabic" w:cs="Simplified Arabic"/>
          <w:sz w:val="28"/>
          <w:szCs w:val="28"/>
        </w:rPr>
        <w:lastRenderedPageBreak/>
        <w:t xml:space="preserve">(Case Study) </w:t>
      </w:r>
      <w:r w:rsidRPr="00BE606B">
        <w:rPr>
          <w:rFonts w:ascii="Simplified Arabic" w:hAnsi="Simplified Arabic" w:cs="Simplified Arabic"/>
          <w:sz w:val="28"/>
          <w:szCs w:val="28"/>
          <w:rtl/>
        </w:rPr>
        <w:t>طبقت فيها أساليب الرقابة على سلسلة القيمة داخل المنظمة. وتوصلت نتائج الدراسة إلى أن الرقابة الإدارية تمكّن الإدارة من اتخاذ قرارات مبنية على البيانات، ومعالجة الانحرافات، وتحسين الإنتاجية وتعزيز القدرة التنافسية في ظل بيئة متغيرة. وأوصت الدراسة بضرورة تعزيز نظم الرقابة القائمة على البيانات، ورفع مستوى المرونة والاستجابة للتغيرات السوقية، لضمان استدامة الأداء والنمو على المدى الطويل</w:t>
      </w:r>
      <w:r w:rsidRPr="00BE606B">
        <w:rPr>
          <w:rFonts w:ascii="Simplified Arabic" w:hAnsi="Simplified Arabic" w:cs="Simplified Arabic"/>
          <w:sz w:val="28"/>
          <w:szCs w:val="28"/>
        </w:rPr>
        <w:t>.</w:t>
      </w:r>
      <w:r w:rsidRPr="00BE606B">
        <w:rPr>
          <w:rFonts w:ascii="Simplified Arabic" w:hAnsi="Simplified Arabic" w:cs="Simplified Arabic" w:hint="cs"/>
          <w:b/>
          <w:bCs/>
          <w:sz w:val="28"/>
          <w:szCs w:val="28"/>
          <w:rtl/>
          <w:lang w:bidi="ar-EG"/>
        </w:rPr>
        <w:t xml:space="preserve"> </w:t>
      </w:r>
    </w:p>
    <w:p w14:paraId="1A141AB7" w14:textId="77777777" w:rsidR="00C47BC4" w:rsidRDefault="00C47BC4" w:rsidP="00C47BC4">
      <w:pPr>
        <w:rPr>
          <w:rFonts w:ascii="Simplified Arabic" w:hAnsi="Simplified Arabic" w:cs="Simplified Arabic"/>
          <w:b/>
          <w:bCs/>
          <w:sz w:val="28"/>
          <w:szCs w:val="28"/>
          <w:rtl/>
          <w:lang w:bidi="ar-EG"/>
        </w:rPr>
      </w:pPr>
      <w:r w:rsidRPr="00CE08ED">
        <w:rPr>
          <w:rFonts w:ascii="Simplified Arabic" w:hAnsi="Simplified Arabic" w:cs="Simplified Arabic" w:hint="cs"/>
          <w:b/>
          <w:bCs/>
          <w:sz w:val="28"/>
          <w:szCs w:val="28"/>
          <w:rtl/>
          <w:lang w:bidi="ar-EG"/>
        </w:rPr>
        <w:t>دراسة</w:t>
      </w:r>
      <w:r w:rsidRPr="00BE606B">
        <w:t xml:space="preserve"> </w:t>
      </w:r>
      <w:r w:rsidRPr="00BE606B">
        <w:rPr>
          <w:rFonts w:ascii="Simplified Arabic" w:hAnsi="Simplified Arabic" w:cs="Simplified Arabic"/>
          <w:b/>
          <w:bCs/>
          <w:sz w:val="28"/>
          <w:szCs w:val="28"/>
          <w:lang w:bidi="ar-EG"/>
        </w:rPr>
        <w:t>(</w:t>
      </w:r>
      <w:proofErr w:type="spellStart"/>
      <w:r w:rsidRPr="00BE606B">
        <w:rPr>
          <w:rFonts w:ascii="Simplified Arabic" w:hAnsi="Simplified Arabic" w:cs="Simplified Arabic"/>
          <w:b/>
          <w:bCs/>
          <w:sz w:val="28"/>
          <w:szCs w:val="28"/>
          <w:lang w:bidi="ar-EG"/>
        </w:rPr>
        <w:t>Tyapukhin</w:t>
      </w:r>
      <w:proofErr w:type="spellEnd"/>
      <w:r w:rsidRPr="00BE606B">
        <w:rPr>
          <w:rFonts w:ascii="Simplified Arabic" w:hAnsi="Simplified Arabic" w:cs="Simplified Arabic"/>
          <w:b/>
          <w:bCs/>
          <w:sz w:val="28"/>
          <w:szCs w:val="28"/>
          <w:lang w:bidi="ar-EG"/>
        </w:rPr>
        <w:t>, 2023)</w:t>
      </w:r>
      <w:r w:rsidRPr="00CE08ED">
        <w:rPr>
          <w:rFonts w:ascii="Simplified Arabic" w:hAnsi="Simplified Arabic" w:cs="Simplified Arabic" w:hint="cs"/>
          <w:b/>
          <w:bCs/>
          <w:sz w:val="28"/>
          <w:szCs w:val="28"/>
          <w:rtl/>
          <w:lang w:bidi="ar-EG"/>
        </w:rPr>
        <w:t xml:space="preserve"> </w:t>
      </w:r>
      <w:proofErr w:type="gramStart"/>
      <w:r w:rsidRPr="00CE08ED">
        <w:rPr>
          <w:rFonts w:ascii="Simplified Arabic" w:hAnsi="Simplified Arabic" w:cs="Simplified Arabic" w:hint="cs"/>
          <w:b/>
          <w:bCs/>
          <w:sz w:val="28"/>
          <w:szCs w:val="28"/>
          <w:rtl/>
          <w:lang w:bidi="ar-EG"/>
        </w:rPr>
        <w:t>بعنوان :</w:t>
      </w:r>
      <w:proofErr w:type="gramEnd"/>
    </w:p>
    <w:p w14:paraId="105194F5" w14:textId="77777777" w:rsidR="00C47BC4" w:rsidRPr="00CE08ED" w:rsidRDefault="00C47BC4" w:rsidP="00C47BC4">
      <w:pPr>
        <w:bidi w:val="0"/>
        <w:rPr>
          <w:rFonts w:ascii="Simplified Arabic" w:hAnsi="Simplified Arabic" w:cs="Simplified Arabic"/>
          <w:b/>
          <w:bCs/>
          <w:sz w:val="28"/>
          <w:szCs w:val="28"/>
          <w:rtl/>
          <w:lang w:bidi="ar-EG"/>
        </w:rPr>
      </w:pPr>
      <w:r w:rsidRPr="00CE08ED">
        <w:rPr>
          <w:b/>
          <w:bCs/>
        </w:rPr>
        <w:t xml:space="preserve"> </w:t>
      </w:r>
      <w:r w:rsidRPr="00BE606B">
        <w:rPr>
          <w:rFonts w:ascii="Simplified Arabic" w:hAnsi="Simplified Arabic" w:cs="Simplified Arabic"/>
          <w:b/>
          <w:bCs/>
          <w:sz w:val="28"/>
          <w:szCs w:val="28"/>
          <w:lang w:bidi="ar-EG"/>
        </w:rPr>
        <w:t xml:space="preserve">On the Issue of the Concept of Value Chain Management. </w:t>
      </w:r>
    </w:p>
    <w:p w14:paraId="24CC3081" w14:textId="77777777" w:rsidR="00C47BC4"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إطار إدارة السلاسل بأبعاده (سلاسل القيمة، سلاسل المستجدات، سلاسل الطلب، سلاسل الإمداد) وأثره في تحسين إدارة عمليات خلق القيمة للمستهلك النهائي، واستخدمت الدراسة المنهج الوصفي التحليلي مع الاعتماد على أساليب التصنيف والتحليل والتركيب والاستنباط والاستقراء، بالإضافة إلى استخدام المصفوفات الثنائية كأداة بحثية. وتكوّنت عينة الدراسة من تحليل منهجي لمحتوى المفاهيم والنماذج المرتبطة بإدارة السلاسل. وتوصلت نتائج الدراسة إلى تطوير تصنيفات جديدة لإدارة السلاسل، وتحديد تسلسل تكوين المصطلحات الأساسية والمشتقة، واقتراح هيكل متكامل لمفهوم إدارة السلاسل يركز على خلق أنواع مختلفة من القيمة للمستهلك النهائي، إلى جانب توضيح إدارة سلاسل جديدة مثل سلاسل التشكيل والاستهلاك وتعميم القيمة. وأوصت الدراسة بضرورة تبنّي إطار متكامل لإدارة السلاسل يقوم على التوزيع الرشيد للوظائف والصلاحيات والمسؤوليات، بما يقلل من فاقد الربحية ويحد من العوائق بين الوظائف المختلفة</w:t>
      </w:r>
      <w:r w:rsidRPr="00BE606B">
        <w:rPr>
          <w:rFonts w:ascii="Simplified Arabic" w:hAnsi="Simplified Arabic" w:cs="Simplified Arabic"/>
          <w:sz w:val="28"/>
          <w:szCs w:val="28"/>
        </w:rPr>
        <w:t>.</w:t>
      </w:r>
      <w:r w:rsidRPr="00BE606B">
        <w:rPr>
          <w:rFonts w:ascii="Simplified Arabic" w:hAnsi="Simplified Arabic" w:cs="Simplified Arabic" w:hint="cs"/>
          <w:sz w:val="28"/>
          <w:szCs w:val="28"/>
          <w:rtl/>
          <w:lang w:bidi="ar-EG"/>
        </w:rPr>
        <w:t xml:space="preserve"> </w:t>
      </w:r>
    </w:p>
    <w:p w14:paraId="486D92DD" w14:textId="77777777" w:rsidR="00C47BC4" w:rsidRDefault="00C47BC4" w:rsidP="00C47BC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Pr="00BE606B">
        <w:rPr>
          <w:rFonts w:ascii="Simplified Arabic" w:hAnsi="Simplified Arabic" w:cs="Simplified Arabic"/>
          <w:sz w:val="28"/>
          <w:szCs w:val="28"/>
          <w:lang w:bidi="ar-EG"/>
        </w:rPr>
        <w:t>(Fan et al., 2021)</w:t>
      </w:r>
      <w:r>
        <w:rPr>
          <w:rFonts w:ascii="Simplified Arabic" w:hAnsi="Simplified Arabic" w:cs="Simplified Arabic" w:hint="cs"/>
          <w:sz w:val="28"/>
          <w:szCs w:val="28"/>
          <w:rtl/>
          <w:lang w:bidi="ar-EG"/>
        </w:rPr>
        <w:t xml:space="preserve"> </w:t>
      </w:r>
      <w:proofErr w:type="gramStart"/>
      <w:r>
        <w:rPr>
          <w:rFonts w:ascii="Simplified Arabic" w:hAnsi="Simplified Arabic" w:cs="Simplified Arabic" w:hint="cs"/>
          <w:sz w:val="28"/>
          <w:szCs w:val="28"/>
          <w:rtl/>
          <w:lang w:bidi="ar-EG"/>
        </w:rPr>
        <w:t>بعنوان :</w:t>
      </w:r>
      <w:proofErr w:type="gramEnd"/>
    </w:p>
    <w:p w14:paraId="2EA8057F" w14:textId="77777777" w:rsidR="00C47BC4" w:rsidRPr="00BE606B" w:rsidRDefault="00C47BC4" w:rsidP="00C47BC4">
      <w:pPr>
        <w:bidi w:val="0"/>
        <w:spacing w:after="0" w:line="240" w:lineRule="auto"/>
        <w:rPr>
          <w:rFonts w:ascii="Simplified Arabic" w:hAnsi="Simplified Arabic" w:cs="Simplified Arabic"/>
          <w:b/>
          <w:bCs/>
          <w:sz w:val="28"/>
          <w:szCs w:val="28"/>
          <w:lang w:bidi="ar-EG"/>
        </w:rPr>
      </w:pPr>
      <w:r w:rsidRPr="00BE606B">
        <w:rPr>
          <w:rFonts w:ascii="Simplified Arabic" w:hAnsi="Simplified Arabic" w:cs="Simplified Arabic"/>
          <w:b/>
          <w:bCs/>
          <w:sz w:val="28"/>
          <w:szCs w:val="28"/>
          <w:lang w:bidi="ar-EG"/>
        </w:rPr>
        <w:t xml:space="preserve">Competitive Analysis of Operation Mode of Enterprise Value Chain under the Background of Green Economy. </w:t>
      </w:r>
    </w:p>
    <w:p w14:paraId="7EE7B179" w14:textId="77777777" w:rsidR="00C47BC4" w:rsidRPr="00C943D9" w:rsidRDefault="00C47BC4" w:rsidP="00C47BC4">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أثر نموذج تشغيل سلسلة القيمة بأبعاده (نموذج المنافسة، استراتيجيات التسعير، حجم المبيعات، معامل الاقتصاد الأخضر) على الأداء التسويقي للمؤسسات في ظل الاقتصاد الأخضر، واستخدمت الدراسة المنهج الوصفي التحليلي ونماذج المحاكاة بالألعاب الاقتصادية</w:t>
      </w:r>
      <w:r w:rsidRPr="00BE606B">
        <w:rPr>
          <w:rFonts w:ascii="Simplified Arabic" w:hAnsi="Simplified Arabic" w:cs="Simplified Arabic"/>
          <w:sz w:val="28"/>
          <w:szCs w:val="28"/>
        </w:rPr>
        <w:t xml:space="preserve"> (Cournot </w:t>
      </w:r>
      <w:r w:rsidRPr="00BE606B">
        <w:rPr>
          <w:rFonts w:ascii="Simplified Arabic" w:hAnsi="Simplified Arabic" w:cs="Simplified Arabic"/>
          <w:sz w:val="28"/>
          <w:szCs w:val="28"/>
          <w:rtl/>
        </w:rPr>
        <w:t>و</w:t>
      </w:r>
      <w:r w:rsidRPr="00BE606B">
        <w:rPr>
          <w:rFonts w:ascii="Simplified Arabic" w:hAnsi="Simplified Arabic" w:cs="Simplified Arabic"/>
          <w:sz w:val="28"/>
          <w:szCs w:val="28"/>
        </w:rPr>
        <w:t xml:space="preserve">Stackelberg) </w:t>
      </w:r>
      <w:r w:rsidRPr="00BE606B">
        <w:rPr>
          <w:rFonts w:ascii="Simplified Arabic" w:hAnsi="Simplified Arabic" w:cs="Simplified Arabic"/>
          <w:sz w:val="28"/>
          <w:szCs w:val="28"/>
          <w:rtl/>
        </w:rPr>
        <w:t xml:space="preserve">لتحليل استراتيجيات المنافسة. وتكوّنت عينة الدراسة من نموذج تحليلي قائم على بناء </w:t>
      </w:r>
      <w:r w:rsidRPr="00BE606B">
        <w:rPr>
          <w:rFonts w:ascii="Simplified Arabic" w:hAnsi="Simplified Arabic" w:cs="Simplified Arabic"/>
          <w:sz w:val="28"/>
          <w:szCs w:val="28"/>
          <w:rtl/>
        </w:rPr>
        <w:lastRenderedPageBreak/>
        <w:t>نموذج منافسة بين عدة تجار تجزئة لقياس أفضل سعر بيع وأفضل كمية مبيعات. وتوصلت نتائج الدراسة إلى أن معامل الاقتصاد الأخضر يؤثر بشكل مباشر في تحقيق أقصى حجم مبيعات، وأن تحويل نمط تشغيل سلسلة القيمة نحو نموذج الاقتصاد الأخضر أدى إلى زيادة معدل نمو الدخل الإجمالي بنسبة 9.03%. وأوصت الدراسة بضرورة تبني نماذج تشغيل قائمة على الاقتصاد الأخضر لرفع القدرة التنافسية وزيادة الحصة السوقية وتحقيق عوائد أعلى</w:t>
      </w:r>
      <w:r w:rsidRPr="00BE606B">
        <w:rPr>
          <w:rFonts w:ascii="Simplified Arabic" w:hAnsi="Simplified Arabic" w:cs="Simplified Arabic"/>
          <w:sz w:val="28"/>
          <w:szCs w:val="28"/>
        </w:rPr>
        <w:t>.</w:t>
      </w:r>
      <w:r w:rsidRPr="00C943D9">
        <w:rPr>
          <w:rFonts w:ascii="Simplified Arabic" w:hAnsi="Simplified Arabic" w:cs="Simplified Arabic"/>
          <w:sz w:val="28"/>
          <w:szCs w:val="28"/>
          <w:lang w:bidi="ar-EG"/>
        </w:rPr>
        <w:t>.</w:t>
      </w:r>
    </w:p>
    <w:p w14:paraId="565F740D" w14:textId="77777777" w:rsidR="008B3166" w:rsidRPr="008B3166" w:rsidRDefault="008B3166" w:rsidP="008B3166">
      <w:pPr>
        <w:jc w:val="both"/>
        <w:rPr>
          <w:rFonts w:ascii="Simplified Arabic" w:hAnsi="Simplified Arabic" w:cs="Simplified Arabic"/>
          <w:color w:val="EE0000"/>
          <w:sz w:val="28"/>
          <w:szCs w:val="28"/>
          <w:lang w:bidi="ar-EG"/>
        </w:rPr>
      </w:pPr>
      <w:r w:rsidRPr="008B3166">
        <w:rPr>
          <w:rFonts w:ascii="Simplified Arabic" w:hAnsi="Simplified Arabic" w:cs="Simplified Arabic"/>
          <w:color w:val="EE0000"/>
          <w:sz w:val="28"/>
          <w:szCs w:val="28"/>
          <w:rtl/>
        </w:rPr>
        <w:t>تكشف المراجعة النقدية لدراسات المجموعة الثانية عن ثلاث ملاحظات جوهرية. الأولى منهجية، تتمثل في تنامي الاعتماد على الدراسات المكتبية ومراجعات الأدبيات (</w:t>
      </w:r>
      <w:proofErr w:type="spellStart"/>
      <w:r w:rsidRPr="008B3166">
        <w:rPr>
          <w:rFonts w:ascii="Simplified Arabic" w:hAnsi="Simplified Arabic" w:cs="Simplified Arabic"/>
          <w:color w:val="EE0000"/>
          <w:sz w:val="28"/>
          <w:szCs w:val="28"/>
          <w:lang w:bidi="ar-EG"/>
        </w:rPr>
        <w:t>Nathany</w:t>
      </w:r>
      <w:proofErr w:type="spellEnd"/>
      <w:r w:rsidRPr="008B3166">
        <w:rPr>
          <w:rFonts w:ascii="Simplified Arabic" w:hAnsi="Simplified Arabic" w:cs="Simplified Arabic"/>
          <w:color w:val="EE0000"/>
          <w:sz w:val="28"/>
          <w:szCs w:val="28"/>
          <w:lang w:bidi="ar-EG"/>
        </w:rPr>
        <w:t xml:space="preserve"> 2022</w:t>
      </w:r>
      <w:r w:rsidRPr="008B3166">
        <w:rPr>
          <w:rFonts w:ascii="Simplified Arabic" w:hAnsi="Simplified Arabic" w:cs="Simplified Arabic"/>
          <w:color w:val="EE0000"/>
          <w:sz w:val="28"/>
          <w:szCs w:val="28"/>
          <w:rtl/>
        </w:rPr>
        <w:t xml:space="preserve">؛ </w:t>
      </w:r>
      <w:r w:rsidRPr="008B3166">
        <w:rPr>
          <w:rFonts w:ascii="Simplified Arabic" w:hAnsi="Simplified Arabic" w:cs="Simplified Arabic"/>
          <w:color w:val="EE0000"/>
          <w:sz w:val="28"/>
          <w:szCs w:val="28"/>
          <w:lang w:bidi="ar-EG"/>
        </w:rPr>
        <w:t>Thenmozhi</w:t>
      </w:r>
      <w:r w:rsidRPr="008B3166">
        <w:rPr>
          <w:rFonts w:ascii="Simplified Arabic" w:hAnsi="Simplified Arabic" w:cs="Simplified Arabic"/>
          <w:color w:val="EE0000"/>
          <w:sz w:val="28"/>
          <w:szCs w:val="28"/>
          <w:rtl/>
        </w:rPr>
        <w:t xml:space="preserve"> &amp; </w:t>
      </w:r>
      <w:proofErr w:type="spellStart"/>
      <w:r w:rsidRPr="008B3166">
        <w:rPr>
          <w:rFonts w:ascii="Simplified Arabic" w:hAnsi="Simplified Arabic" w:cs="Simplified Arabic"/>
          <w:color w:val="EE0000"/>
          <w:sz w:val="28"/>
          <w:szCs w:val="28"/>
          <w:lang w:bidi="ar-EG"/>
        </w:rPr>
        <w:t>Krisknakumari</w:t>
      </w:r>
      <w:proofErr w:type="spellEnd"/>
      <w:r w:rsidRPr="008B3166">
        <w:rPr>
          <w:rFonts w:ascii="Simplified Arabic" w:hAnsi="Simplified Arabic" w:cs="Simplified Arabic"/>
          <w:color w:val="EE0000"/>
          <w:sz w:val="28"/>
          <w:szCs w:val="28"/>
          <w:lang w:bidi="ar-EG"/>
        </w:rPr>
        <w:t xml:space="preserve"> 2024</w:t>
      </w:r>
      <w:r w:rsidRPr="008B3166">
        <w:rPr>
          <w:rFonts w:ascii="Simplified Arabic" w:hAnsi="Simplified Arabic" w:cs="Simplified Arabic"/>
          <w:color w:val="EE0000"/>
          <w:sz w:val="28"/>
          <w:szCs w:val="28"/>
          <w:rtl/>
        </w:rPr>
        <w:t xml:space="preserve">) على حساب الدراسات الميدانية الكمية، وهو ما يُضعف قدرة نتائج هذه الدراسات على تقديم أدلة تجريبية قابلة للتحقق. أما الدراسات الميدانية القليلة داخل هذه المجموعة فقد جاءت في سياقات صناعية ولوجستية (كقطاع السيارات في </w:t>
      </w:r>
      <w:r w:rsidRPr="008B3166">
        <w:rPr>
          <w:rFonts w:ascii="Simplified Arabic" w:hAnsi="Simplified Arabic" w:cs="Simplified Arabic"/>
          <w:color w:val="EE0000"/>
          <w:sz w:val="28"/>
          <w:szCs w:val="28"/>
          <w:lang w:bidi="ar-EG"/>
        </w:rPr>
        <w:t>Kumar et al. 2024</w:t>
      </w:r>
      <w:r w:rsidRPr="008B3166">
        <w:rPr>
          <w:rFonts w:ascii="Simplified Arabic" w:hAnsi="Simplified Arabic" w:cs="Simplified Arabic"/>
          <w:color w:val="EE0000"/>
          <w:sz w:val="28"/>
          <w:szCs w:val="28"/>
          <w:rtl/>
        </w:rPr>
        <w:t>)، مما يُخرجها من نطاق البيئة الحكومية الخدمية بأبعادها المختلفة جوهرياً في طبيعة المدخلات والمخرجات ومقاييس القيمة.</w:t>
      </w:r>
    </w:p>
    <w:p w14:paraId="26F3FFB3" w14:textId="77777777" w:rsidR="008B3166" w:rsidRPr="008B3166" w:rsidRDefault="008B3166" w:rsidP="008B3166">
      <w:pPr>
        <w:jc w:val="both"/>
        <w:rPr>
          <w:rFonts w:ascii="Simplified Arabic" w:hAnsi="Simplified Arabic" w:cs="Simplified Arabic"/>
          <w:color w:val="EE0000"/>
          <w:sz w:val="28"/>
          <w:szCs w:val="28"/>
          <w:rtl/>
        </w:rPr>
      </w:pPr>
      <w:r w:rsidRPr="008B3166">
        <w:rPr>
          <w:rFonts w:ascii="Simplified Arabic" w:hAnsi="Simplified Arabic" w:cs="Simplified Arabic"/>
          <w:color w:val="EE0000"/>
          <w:sz w:val="28"/>
          <w:szCs w:val="28"/>
          <w:rtl/>
        </w:rPr>
        <w:t>والملاحظة الثانية مفاهيمية، إذ تكشف الدراسات عن التباس مفاهيمي مستمر بين مصطلحات "سلسلة القيمة" (</w:t>
      </w:r>
      <w:r w:rsidRPr="008B3166">
        <w:rPr>
          <w:rFonts w:ascii="Simplified Arabic" w:hAnsi="Simplified Arabic" w:cs="Simplified Arabic"/>
          <w:color w:val="EE0000"/>
          <w:sz w:val="28"/>
          <w:szCs w:val="28"/>
          <w:lang w:bidi="ar-EG"/>
        </w:rPr>
        <w:t>Value Chain</w:t>
      </w:r>
      <w:r w:rsidRPr="008B3166">
        <w:rPr>
          <w:rFonts w:ascii="Simplified Arabic" w:hAnsi="Simplified Arabic" w:cs="Simplified Arabic"/>
          <w:color w:val="EE0000"/>
          <w:sz w:val="28"/>
          <w:szCs w:val="28"/>
          <w:rtl/>
        </w:rPr>
        <w:t>) و"سلسلة الإمداد" (</w:t>
      </w:r>
      <w:r w:rsidRPr="008B3166">
        <w:rPr>
          <w:rFonts w:ascii="Simplified Arabic" w:hAnsi="Simplified Arabic" w:cs="Simplified Arabic"/>
          <w:color w:val="EE0000"/>
          <w:sz w:val="28"/>
          <w:szCs w:val="28"/>
          <w:lang w:bidi="ar-EG"/>
        </w:rPr>
        <w:t>Supply Chain</w:t>
      </w:r>
      <w:r w:rsidRPr="008B3166">
        <w:rPr>
          <w:rFonts w:ascii="Simplified Arabic" w:hAnsi="Simplified Arabic" w:cs="Simplified Arabic"/>
          <w:color w:val="EE0000"/>
          <w:sz w:val="28"/>
          <w:szCs w:val="28"/>
          <w:rtl/>
        </w:rPr>
        <w:t>) و"سلسلة القيمة التشغيلية" (</w:t>
      </w:r>
      <w:r w:rsidRPr="008B3166">
        <w:rPr>
          <w:rFonts w:ascii="Simplified Arabic" w:hAnsi="Simplified Arabic" w:cs="Simplified Arabic"/>
          <w:color w:val="EE0000"/>
          <w:sz w:val="28"/>
          <w:szCs w:val="28"/>
          <w:lang w:bidi="ar-EG"/>
        </w:rPr>
        <w:t>Operational Value Chain</w:t>
      </w:r>
      <w:r w:rsidRPr="008B3166">
        <w:rPr>
          <w:rFonts w:ascii="Simplified Arabic" w:hAnsi="Simplified Arabic" w:cs="Simplified Arabic"/>
          <w:color w:val="EE0000"/>
          <w:sz w:val="28"/>
          <w:szCs w:val="28"/>
          <w:rtl/>
        </w:rPr>
        <w:t xml:space="preserve">)، حيث تُستخدم هذه المصطلحات أحياناً على نحو تبادلي دون تمييز نظري أو إجرائي، وهو ما يُشوّه المقارنة العلمية بين نتائج هذه الدراسات ويُصعّب البناء التراكمي عليها. كما لم تُقدّم هذه الدراسات تكييفاً واضحاً لأبعاد </w:t>
      </w:r>
      <w:proofErr w:type="spellStart"/>
      <w:r w:rsidRPr="008B3166">
        <w:rPr>
          <w:rFonts w:ascii="Simplified Arabic" w:hAnsi="Simplified Arabic" w:cs="Simplified Arabic"/>
          <w:color w:val="EE0000"/>
          <w:sz w:val="28"/>
          <w:szCs w:val="28"/>
          <w:rtl/>
        </w:rPr>
        <w:t>بورتر</w:t>
      </w:r>
      <w:proofErr w:type="spellEnd"/>
      <w:r w:rsidRPr="008B3166">
        <w:rPr>
          <w:rFonts w:ascii="Simplified Arabic" w:hAnsi="Simplified Arabic" w:cs="Simplified Arabic"/>
          <w:color w:val="EE0000"/>
          <w:sz w:val="28"/>
          <w:szCs w:val="28"/>
          <w:rtl/>
        </w:rPr>
        <w:t xml:space="preserve"> الكلاسيكية للأنشطة الأساسية والداعمة بما يتناسب مع طبيعة العمل الحكومي.</w:t>
      </w:r>
    </w:p>
    <w:p w14:paraId="79A53BDB" w14:textId="77777777" w:rsidR="008B3166" w:rsidRPr="008B3166" w:rsidRDefault="008B3166" w:rsidP="008B3166">
      <w:pPr>
        <w:jc w:val="both"/>
        <w:rPr>
          <w:rFonts w:ascii="Simplified Arabic" w:hAnsi="Simplified Arabic" w:cs="Simplified Arabic"/>
          <w:color w:val="EE0000"/>
          <w:sz w:val="28"/>
          <w:szCs w:val="28"/>
          <w:rtl/>
        </w:rPr>
      </w:pPr>
      <w:r w:rsidRPr="008B3166">
        <w:rPr>
          <w:rFonts w:ascii="Simplified Arabic" w:hAnsi="Simplified Arabic" w:cs="Simplified Arabic"/>
          <w:color w:val="EE0000"/>
          <w:sz w:val="28"/>
          <w:szCs w:val="28"/>
          <w:rtl/>
        </w:rPr>
        <w:t xml:space="preserve">والملاحظة الثالثة تتعلق بـغياب الوسائط والمعدّلات المؤسسية في نمذجة العلاقات؛ إذ اكتفت أغلب الدراسات بالعلاقات المباشرة الثنائية دون إدماج متغيرات مؤسسية وسيطة (كالجاهزية التنظيمية أو الضغوط التشريعية) قادرة على تفسير تباين الأثر بين البيئات المختلفة. وتشترك دراسات هذه المجموعة في إهمال البُعد التشريعي </w:t>
      </w:r>
      <w:proofErr w:type="spellStart"/>
      <w:r w:rsidRPr="008B3166">
        <w:rPr>
          <w:rFonts w:ascii="Simplified Arabic" w:hAnsi="Simplified Arabic" w:cs="Simplified Arabic"/>
          <w:color w:val="EE0000"/>
          <w:sz w:val="28"/>
          <w:szCs w:val="28"/>
          <w:rtl/>
        </w:rPr>
        <w:t>والحوكمي</w:t>
      </w:r>
      <w:proofErr w:type="spellEnd"/>
      <w:r w:rsidRPr="008B3166">
        <w:rPr>
          <w:rFonts w:ascii="Simplified Arabic" w:hAnsi="Simplified Arabic" w:cs="Simplified Arabic"/>
          <w:color w:val="EE0000"/>
          <w:sz w:val="28"/>
          <w:szCs w:val="28"/>
          <w:rtl/>
        </w:rPr>
        <w:t xml:space="preserve"> الذي يمثّل ركيزة أساسية في المؤسسات الحكومية السعودية الكبرى الخاضعة لتنظيمات هيئة الحكومة الرقمية </w:t>
      </w:r>
      <w:proofErr w:type="spellStart"/>
      <w:r w:rsidRPr="008B3166">
        <w:rPr>
          <w:rFonts w:ascii="Simplified Arabic" w:hAnsi="Simplified Arabic" w:cs="Simplified Arabic"/>
          <w:color w:val="EE0000"/>
          <w:sz w:val="28"/>
          <w:szCs w:val="28"/>
          <w:rtl/>
        </w:rPr>
        <w:t>وسدايا</w:t>
      </w:r>
      <w:proofErr w:type="spellEnd"/>
      <w:r w:rsidRPr="008B3166">
        <w:rPr>
          <w:rFonts w:ascii="Simplified Arabic" w:hAnsi="Simplified Arabic" w:cs="Simplified Arabic"/>
          <w:color w:val="EE0000"/>
          <w:sz w:val="28"/>
          <w:szCs w:val="28"/>
          <w:rtl/>
        </w:rPr>
        <w:t>.</w:t>
      </w:r>
    </w:p>
    <w:p w14:paraId="19907515" w14:textId="2869E163" w:rsidR="00C47BC4" w:rsidRPr="00B9110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الثالثة: الدراسات التي تناولت </w:t>
      </w:r>
      <w:r>
        <w:rPr>
          <w:rFonts w:ascii="Simplified Arabic" w:hAnsi="Simplified Arabic" w:cs="Simplified Arabic" w:hint="cs"/>
          <w:b/>
          <w:bCs/>
          <w:sz w:val="28"/>
          <w:szCs w:val="28"/>
          <w:rtl/>
          <w:lang w:bidi="ar-EG"/>
        </w:rPr>
        <w:t xml:space="preserve">الذكاء </w:t>
      </w:r>
      <w:proofErr w:type="spellStart"/>
      <w:r>
        <w:rPr>
          <w:rFonts w:ascii="Simplified Arabic" w:hAnsi="Simplified Arabic" w:cs="Simplified Arabic" w:hint="cs"/>
          <w:b/>
          <w:bCs/>
          <w:sz w:val="28"/>
          <w:szCs w:val="28"/>
          <w:rtl/>
          <w:lang w:bidi="ar-EG"/>
        </w:rPr>
        <w:t>الاصطناعى</w:t>
      </w:r>
      <w:proofErr w:type="spellEnd"/>
      <w:r>
        <w:rPr>
          <w:rFonts w:ascii="Simplified Arabic" w:hAnsi="Simplified Arabic" w:cs="Simplified Arabic" w:hint="cs"/>
          <w:b/>
          <w:bCs/>
          <w:sz w:val="28"/>
          <w:szCs w:val="28"/>
          <w:rtl/>
          <w:lang w:bidi="ar-EG"/>
        </w:rPr>
        <w:t xml:space="preserve"> </w:t>
      </w:r>
      <w:proofErr w:type="spellStart"/>
      <w:r>
        <w:rPr>
          <w:rFonts w:ascii="Simplified Arabic" w:hAnsi="Simplified Arabic" w:cs="Simplified Arabic" w:hint="cs"/>
          <w:b/>
          <w:bCs/>
          <w:sz w:val="28"/>
          <w:szCs w:val="28"/>
          <w:rtl/>
          <w:lang w:bidi="ar-EG"/>
        </w:rPr>
        <w:t>وعلاقتة</w:t>
      </w:r>
      <w:proofErr w:type="spellEnd"/>
      <w:r>
        <w:rPr>
          <w:rFonts w:ascii="Simplified Arabic" w:hAnsi="Simplified Arabic" w:cs="Simplified Arabic" w:hint="cs"/>
          <w:b/>
          <w:bCs/>
          <w:sz w:val="28"/>
          <w:szCs w:val="28"/>
          <w:rtl/>
          <w:lang w:bidi="ar-EG"/>
        </w:rPr>
        <w:t xml:space="preserve"> بالقيمة </w:t>
      </w:r>
      <w:proofErr w:type="gramStart"/>
      <w:r>
        <w:rPr>
          <w:rFonts w:ascii="Simplified Arabic" w:hAnsi="Simplified Arabic" w:cs="Simplified Arabic" w:hint="cs"/>
          <w:b/>
          <w:bCs/>
          <w:sz w:val="28"/>
          <w:szCs w:val="28"/>
          <w:rtl/>
          <w:lang w:bidi="ar-EG"/>
        </w:rPr>
        <w:t xml:space="preserve">التشغيلية </w:t>
      </w:r>
      <w:r w:rsidRPr="00B91104">
        <w:rPr>
          <w:rFonts w:ascii="Simplified Arabic" w:hAnsi="Simplified Arabic" w:cs="Simplified Arabic"/>
          <w:b/>
          <w:bCs/>
          <w:sz w:val="28"/>
          <w:szCs w:val="28"/>
          <w:rtl/>
          <w:lang w:bidi="ar-EG"/>
        </w:rPr>
        <w:t>.</w:t>
      </w:r>
      <w:proofErr w:type="gramEnd"/>
    </w:p>
    <w:p w14:paraId="55E85F80" w14:textId="77777777" w:rsidR="00C47BC4" w:rsidRDefault="00C47BC4" w:rsidP="00C47BC4">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 xml:space="preserve">(Yusuf et al., </w:t>
      </w:r>
      <w:proofErr w:type="gramStart"/>
      <w:r w:rsidRPr="006E5307">
        <w:rPr>
          <w:rFonts w:ascii="Simplified Arabic" w:hAnsi="Simplified Arabic" w:cs="Simplified Arabic"/>
          <w:b/>
          <w:bCs/>
          <w:sz w:val="28"/>
          <w:szCs w:val="28"/>
          <w:lang w:bidi="ar-EG"/>
        </w:rPr>
        <w:t>2025)</w:t>
      </w:r>
      <w:r w:rsidRPr="00B91104">
        <w:rPr>
          <w:rFonts w:ascii="Simplified Arabic" w:hAnsi="Simplified Arabic" w:cs="Simplified Arabic"/>
          <w:b/>
          <w:bCs/>
          <w:sz w:val="28"/>
          <w:szCs w:val="28"/>
          <w:rtl/>
          <w:lang w:bidi="ar-EG"/>
        </w:rPr>
        <w:t>بعنوان</w:t>
      </w:r>
      <w:proofErr w:type="gramEnd"/>
      <w:r w:rsidRPr="00B91104">
        <w:rPr>
          <w:rFonts w:ascii="Simplified Arabic" w:hAnsi="Simplified Arabic" w:cs="Simplified Arabic"/>
          <w:b/>
          <w:bCs/>
          <w:sz w:val="28"/>
          <w:szCs w:val="28"/>
          <w:rtl/>
          <w:lang w:bidi="ar-EG"/>
        </w:rPr>
        <w:t>:</w:t>
      </w:r>
    </w:p>
    <w:p w14:paraId="4EA4862B" w14:textId="77777777" w:rsidR="00C47BC4" w:rsidRPr="006E5307" w:rsidRDefault="00C47BC4" w:rsidP="00C47BC4">
      <w:pPr>
        <w:bidi w:val="0"/>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lastRenderedPageBreak/>
        <w:t xml:space="preserve">The Impact of AI on Supply Chain Operations: A comparative analysis of traditional vs AI-enabled Processes. </w:t>
      </w:r>
    </w:p>
    <w:p w14:paraId="18BC0334" w14:textId="77777777" w:rsidR="00C47BC4" w:rsidRPr="009B5EF9" w:rsidRDefault="00C47BC4" w:rsidP="00C47BC4">
      <w:pPr>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وخفض التكاليف، دعم اتخاذ القرار، شفافية السلسلة، تحسين تجربة العملاء) على أداء سلاسل الإمداد في المنظمات، واستخدمت الدراسة المنهج الوصفي التحليلي من خلال المقارنة بين العمليات التقليدية وتلك المعتمدة على الذكاء الاصطناعي. وتكوّنت عينة الدراسة من بيانات تحليلية وتقارير مقارنة لأداء سلاسل الإمداد قبل وبعد الاعتماد على الأنظمة الذكية. وتوصلت نتائج الدراسة إلى تفوق الأنظمة المعتمدة على الذكاء الاصطناعي، محققةً تحسناً في دقة التنبؤ بالطلب بنسبة 20–30%، وانخفاضاً في الاضطرابات التشغيلية بنسبة 25–40%، إضافةً إلى تعزيز القرارات الفورية ووضوح السلسلة اعتماداً على تقنيات إنترنت الأشياء والتعلم الآلي والبلوك تشين. كما كشفت الدراسة عن وجود معوقات تبني مهمة، أبرزها ارتفاع تكاليف التطبيق وصعوبات دمج البيانات ونقص مهارات القوى العاملة ومتطلبات التشريعات. وأوصت الدراسة بتطبيق الذكاء الاصطناعي بشكل مرحلي، وتحديث البنية التحتية للبيانات، وتبني برامج تأهيل رقمي للموظفين، ووضع أطر حوكمة أخلاقية للذكاء الاصطناعي لتعزيز مرونة واستدامة سلاسل الإمداد في البيئة العالمية المتغيرة</w:t>
      </w:r>
      <w:r w:rsidRPr="006E5307">
        <w:rPr>
          <w:rFonts w:ascii="Simplified Arabic" w:hAnsi="Simplified Arabic" w:cs="Simplified Arabic"/>
          <w:sz w:val="28"/>
          <w:szCs w:val="28"/>
        </w:rPr>
        <w:t>.</w:t>
      </w:r>
      <w:r>
        <w:rPr>
          <w:rFonts w:ascii="Simplified Arabic" w:hAnsi="Simplified Arabic" w:cs="Simplified Arabic" w:hint="cs"/>
          <w:sz w:val="28"/>
          <w:szCs w:val="28"/>
          <w:rtl/>
          <w:lang w:bidi="ar-EG"/>
        </w:rPr>
        <w:t>.</w:t>
      </w:r>
    </w:p>
    <w:p w14:paraId="7FD3A4B9" w14:textId="77777777" w:rsidR="00C47BC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w:t>
      </w:r>
      <w:proofErr w:type="spellStart"/>
      <w:r w:rsidRPr="006E5307">
        <w:rPr>
          <w:rFonts w:ascii="Simplified Arabic" w:hAnsi="Simplified Arabic" w:cs="Simplified Arabic"/>
          <w:b/>
          <w:bCs/>
          <w:sz w:val="28"/>
          <w:szCs w:val="28"/>
          <w:lang w:bidi="ar-EG"/>
        </w:rPr>
        <w:t>Pokamestov</w:t>
      </w:r>
      <w:proofErr w:type="spellEnd"/>
      <w:r w:rsidRPr="006E5307">
        <w:rPr>
          <w:rFonts w:ascii="Simplified Arabic" w:hAnsi="Simplified Arabic" w:cs="Simplified Arabic"/>
          <w:b/>
          <w:bCs/>
          <w:sz w:val="28"/>
          <w:szCs w:val="28"/>
          <w:lang w:bidi="ar-EG"/>
        </w:rPr>
        <w:t xml:space="preserve"> &amp; Nikitin, </w:t>
      </w:r>
      <w:proofErr w:type="gramStart"/>
      <w:r w:rsidRPr="006E5307">
        <w:rPr>
          <w:rFonts w:ascii="Simplified Arabic" w:hAnsi="Simplified Arabic" w:cs="Simplified Arabic"/>
          <w:b/>
          <w:bCs/>
          <w:sz w:val="28"/>
          <w:szCs w:val="28"/>
          <w:lang w:bidi="ar-EG"/>
        </w:rPr>
        <w:t>2024)</w:t>
      </w:r>
      <w:r w:rsidRPr="00B91104">
        <w:rPr>
          <w:rFonts w:ascii="Simplified Arabic" w:hAnsi="Simplified Arabic" w:cs="Simplified Arabic"/>
          <w:b/>
          <w:bCs/>
          <w:sz w:val="28"/>
          <w:szCs w:val="28"/>
          <w:rtl/>
          <w:lang w:bidi="ar-EG"/>
        </w:rPr>
        <w:t>بعنون</w:t>
      </w:r>
      <w:proofErr w:type="gramEnd"/>
      <w:r w:rsidRPr="00B91104">
        <w:rPr>
          <w:rFonts w:ascii="Simplified Arabic" w:hAnsi="Simplified Arabic" w:cs="Simplified Arabic"/>
          <w:b/>
          <w:bCs/>
          <w:sz w:val="28"/>
          <w:szCs w:val="28"/>
          <w:rtl/>
          <w:lang w:bidi="ar-EG"/>
        </w:rPr>
        <w:t>:</w:t>
      </w:r>
    </w:p>
    <w:p w14:paraId="75634E4E"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Modern Artificial Intelligence Technologies as a Tool of Transformation of Value Chains of Russian Commercial Banks. </w:t>
      </w:r>
    </w:p>
    <w:p w14:paraId="7DC00556" w14:textId="77777777" w:rsidR="00C47BC4" w:rsidRPr="009B5EF9"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إمكانية تطبيق تقنيات الذكاء الاصطناعي بأبعادها (التقنيات التطبيقية، التقنيات التوليدية، الجاهزية التكنولوجية، إدارة المخاطر) على مراحل سلسلة القيمة في البنوك التجارية، واستخدمت الدراسة المنهج الوصفي التحليلي بالاعتماد على أساليب التحليل والتركيب والاستنباط والاستقراء، إضافة إلى التحليلين الإحصائي والبياني ومنهجية بناء سلاسل القيمة. وتكوّنت عينة الدراسة من تحليل نماذج واقعية من مكتبة حالات الذكاء الاصطناعي في روسيا، شملت مراحل التسويق والمبيعات، دعم العملاء والاتصال، المعالجة التشغيلية، وإدارة المخاطر. وتوصلت نتائج الدراسة إلى أن نماذج الذكاء الاصطناعي تمثل عملية دعم مستقلة تؤثر بشكل مباشر في الأنشطة الأساسية للبنك، وأن تطبيقها يسهم </w:t>
      </w:r>
      <w:r w:rsidRPr="006E5307">
        <w:rPr>
          <w:rFonts w:ascii="Simplified Arabic" w:hAnsi="Simplified Arabic" w:cs="Simplified Arabic"/>
          <w:sz w:val="28"/>
          <w:szCs w:val="28"/>
          <w:rtl/>
        </w:rPr>
        <w:lastRenderedPageBreak/>
        <w:t>في رفع كفاءة العمليات وتعزيز القيمة المضافة عبر تحسين الفعالية التشغيلية وإدارة المخاطر. كما أكدت الدراسة أن إدخال الذكاء الاصطناعي يتطلب مستوى متقدماً من النضج التكنولوجي ووجود عمليات مساندة قوية. وأوصت الدراسة بضرورة تعزيز جاهزية البنوك التكنولوجية، واعتماد منهجيات تحليل أثر الذكاء الاصطناعي عند اتخاذ قرارات التطبيق لضمان فعالية التحول الرقمي ورفع القدرة التنافسية في القطاع المصرفي</w:t>
      </w:r>
      <w:r w:rsidRPr="006E5307">
        <w:rPr>
          <w:rFonts w:ascii="Simplified Arabic" w:hAnsi="Simplified Arabic" w:cs="Simplified Arabic"/>
          <w:sz w:val="28"/>
          <w:szCs w:val="28"/>
        </w:rPr>
        <w:t>.</w:t>
      </w:r>
    </w:p>
    <w:p w14:paraId="4A99AFF3" w14:textId="77777777" w:rsidR="00C47BC4" w:rsidRDefault="00C47BC4" w:rsidP="00C47BC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(Faisal, 2025)</w:t>
      </w:r>
      <w:r w:rsidRPr="00B91104">
        <w:rPr>
          <w:rFonts w:ascii="Simplified Arabic" w:hAnsi="Simplified Arabic" w:cs="Simplified Arabic"/>
          <w:b/>
          <w:bCs/>
          <w:sz w:val="28"/>
          <w:szCs w:val="28"/>
          <w:rtl/>
          <w:lang w:bidi="ar-EG"/>
        </w:rPr>
        <w:t xml:space="preserve"> بعنوان: </w:t>
      </w:r>
    </w:p>
    <w:p w14:paraId="04FFD2ED" w14:textId="77777777" w:rsidR="00C47BC4" w:rsidRPr="006E5307" w:rsidRDefault="00C47BC4" w:rsidP="00C47BC4">
      <w:pPr>
        <w:bidi w:val="0"/>
        <w:jc w:val="both"/>
        <w:rPr>
          <w:rFonts w:ascii="Simplified Arabic" w:hAnsi="Simplified Arabic" w:cs="Simplified Arabic"/>
          <w:b/>
          <w:bCs/>
          <w:sz w:val="28"/>
          <w:szCs w:val="28"/>
          <w:lang w:bidi="ar-EG"/>
        </w:rPr>
      </w:pPr>
      <w:r w:rsidRPr="006E5307">
        <w:rPr>
          <w:rFonts w:ascii="Simplified Arabic" w:hAnsi="Simplified Arabic" w:cs="Simplified Arabic"/>
          <w:b/>
          <w:bCs/>
          <w:sz w:val="28"/>
          <w:szCs w:val="28"/>
          <w:lang w:bidi="ar-EG"/>
        </w:rPr>
        <w:t xml:space="preserve">Artificial Intelligence in Supply Chains and Finance: Driving Efficiency and Risk Management. </w:t>
      </w:r>
    </w:p>
    <w:p w14:paraId="654B72D0" w14:textId="77777777" w:rsidR="00C47BC4" w:rsidRPr="009B5EF9"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التشغيلية، إدارة المخاطر، خلق القيمة، الاستجابة اللوجستية) على كفاءة العمليات واتخاذ القرارات المالية وإدارة سلاسل الإمداد في الشركات الهندية. واستخدمت الدراسة المنهج الكمي بالاعتماد على نموذج المعادلات الهيكلية</w:t>
      </w:r>
      <w:r w:rsidRPr="006E5307">
        <w:rPr>
          <w:rFonts w:ascii="Simplified Arabic" w:hAnsi="Simplified Arabic" w:cs="Simplified Arabic"/>
          <w:sz w:val="28"/>
          <w:szCs w:val="28"/>
        </w:rPr>
        <w:t xml:space="preserve"> (</w:t>
      </w:r>
      <w:proofErr w:type="spellStart"/>
      <w:r w:rsidRPr="006E5307">
        <w:rPr>
          <w:rFonts w:ascii="Simplified Arabic" w:hAnsi="Simplified Arabic" w:cs="Simplified Arabic"/>
          <w:sz w:val="28"/>
          <w:szCs w:val="28"/>
        </w:rPr>
        <w:t>SmartPLS</w:t>
      </w:r>
      <w:proofErr w:type="spellEnd"/>
      <w:r w:rsidRPr="006E5307">
        <w:rPr>
          <w:rFonts w:ascii="Simplified Arabic" w:hAnsi="Simplified Arabic" w:cs="Simplified Arabic"/>
          <w:sz w:val="28"/>
          <w:szCs w:val="28"/>
        </w:rPr>
        <w:t>)</w:t>
      </w:r>
      <w:r w:rsidRPr="006E5307">
        <w:rPr>
          <w:rFonts w:ascii="Simplified Arabic" w:hAnsi="Simplified Arabic" w:cs="Simplified Arabic"/>
          <w:sz w:val="28"/>
          <w:szCs w:val="28"/>
          <w:rtl/>
        </w:rPr>
        <w:t>، وتكوّنت العينة من 736 مفردة من أصل 850 محترفاً بنسبة استجابة بلغت 86%. وتوصلت نتائج الدراسة إلى وجود علاقات دالة بين دمج الذكاء الاصطناعي وتحسين الكفاءة التشغيلية، وتعزيز الاستجابة في سلاسل الإمداد، ودعم القرارات المالية، وظهور مقترحات قيمة جديدة للشركات. وأوصت الدراسة بضرورة تبني الذكاء الاصطناعي استراتيجياً لتعزيز القدرة التنافسية، وتطوير استراتيجيات مالية أكثر دقة، وفهم أعمق لتأثيراته المتغيرة في بيئة الأعمال الهندية</w:t>
      </w:r>
      <w:r w:rsidRPr="006E5307">
        <w:rPr>
          <w:rFonts w:ascii="Simplified Arabic" w:hAnsi="Simplified Arabic" w:cs="Simplified Arabic"/>
          <w:sz w:val="28"/>
          <w:szCs w:val="28"/>
        </w:rPr>
        <w:t>.</w:t>
      </w:r>
      <w:r w:rsidRPr="009B5EF9">
        <w:rPr>
          <w:rFonts w:ascii="Simplified Arabic" w:hAnsi="Simplified Arabic" w:cs="Simplified Arabic"/>
          <w:sz w:val="28"/>
          <w:szCs w:val="28"/>
          <w:lang w:bidi="ar-EG"/>
        </w:rPr>
        <w:t>.</w:t>
      </w:r>
    </w:p>
    <w:p w14:paraId="1A806F8E" w14:textId="77777777" w:rsidR="00C47BC4" w:rsidRDefault="00C47BC4" w:rsidP="00C47BC4">
      <w:pPr>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دراسة </w:t>
      </w:r>
      <w:r w:rsidRPr="006E5307">
        <w:rPr>
          <w:rFonts w:ascii="Simplified Arabic" w:hAnsi="Simplified Arabic" w:cs="Simplified Arabic"/>
          <w:b/>
          <w:bCs/>
          <w:sz w:val="28"/>
          <w:szCs w:val="28"/>
          <w:lang w:bidi="ar-EG"/>
        </w:rPr>
        <w:t>(</w:t>
      </w:r>
      <w:proofErr w:type="spellStart"/>
      <w:r w:rsidRPr="006E5307">
        <w:rPr>
          <w:rFonts w:ascii="Simplified Arabic" w:hAnsi="Simplified Arabic" w:cs="Simplified Arabic"/>
          <w:b/>
          <w:bCs/>
          <w:sz w:val="28"/>
          <w:szCs w:val="28"/>
          <w:lang w:bidi="ar-EG"/>
        </w:rPr>
        <w:t>Nathany</w:t>
      </w:r>
      <w:proofErr w:type="spellEnd"/>
      <w:r w:rsidRPr="006E5307">
        <w:rPr>
          <w:rFonts w:ascii="Simplified Arabic" w:hAnsi="Simplified Arabic" w:cs="Simplified Arabic"/>
          <w:b/>
          <w:bCs/>
          <w:sz w:val="28"/>
          <w:szCs w:val="28"/>
          <w:lang w:bidi="ar-EG"/>
        </w:rPr>
        <w:t xml:space="preserve">, </w:t>
      </w:r>
      <w:proofErr w:type="gramStart"/>
      <w:r w:rsidRPr="006E5307">
        <w:rPr>
          <w:rFonts w:ascii="Simplified Arabic" w:hAnsi="Simplified Arabic" w:cs="Simplified Arabic"/>
          <w:b/>
          <w:bCs/>
          <w:sz w:val="28"/>
          <w:szCs w:val="28"/>
          <w:lang w:bidi="ar-EG"/>
        </w:rPr>
        <w:t>2022)</w:t>
      </w:r>
      <w:r w:rsidRPr="009B5EF9">
        <w:rPr>
          <w:rFonts w:ascii="Simplified Arabic" w:hAnsi="Simplified Arabic" w:cs="Simplified Arabic"/>
          <w:b/>
          <w:bCs/>
          <w:sz w:val="28"/>
          <w:szCs w:val="28"/>
          <w:rtl/>
          <w:lang w:bidi="ar-EG"/>
        </w:rPr>
        <w:t>بعنوان</w:t>
      </w:r>
      <w:proofErr w:type="gramEnd"/>
      <w:r w:rsidRPr="009B5EF9">
        <w:rPr>
          <w:rFonts w:ascii="Simplified Arabic" w:hAnsi="Simplified Arabic" w:cs="Simplified Arabic"/>
          <w:b/>
          <w:bCs/>
          <w:sz w:val="28"/>
          <w:szCs w:val="28"/>
          <w:rtl/>
          <w:lang w:bidi="ar-EG"/>
        </w:rPr>
        <w:t>:</w:t>
      </w:r>
    </w:p>
    <w:p w14:paraId="4C4453D5" w14:textId="77777777" w:rsidR="00C47BC4" w:rsidRPr="009B5EF9" w:rsidRDefault="00C47BC4" w:rsidP="00C47BC4">
      <w:pPr>
        <w:bidi w:val="0"/>
        <w:jc w:val="both"/>
        <w:rPr>
          <w:rFonts w:ascii="Simplified Arabic" w:hAnsi="Simplified Arabic" w:cs="Simplified Arabic"/>
          <w:b/>
          <w:bCs/>
          <w:sz w:val="28"/>
          <w:szCs w:val="28"/>
          <w:lang w:bidi="ar-EG"/>
        </w:rPr>
      </w:pPr>
      <w:r w:rsidRPr="009B5EF9">
        <w:rPr>
          <w:rFonts w:ascii="Simplified Arabic" w:hAnsi="Simplified Arabic" w:cs="Simplified Arabic"/>
          <w:b/>
          <w:bCs/>
          <w:sz w:val="28"/>
          <w:szCs w:val="28"/>
          <w:rtl/>
          <w:lang w:bidi="ar-EG"/>
        </w:rPr>
        <w:t xml:space="preserve"> </w:t>
      </w:r>
      <w:r w:rsidRPr="006E5307">
        <w:rPr>
          <w:rFonts w:ascii="Simplified Arabic" w:hAnsi="Simplified Arabic" w:cs="Simplified Arabic"/>
          <w:b/>
          <w:bCs/>
          <w:sz w:val="28"/>
          <w:szCs w:val="28"/>
          <w:lang w:bidi="ar-EG"/>
        </w:rPr>
        <w:t xml:space="preserve">Artificial Intelligence in Supply Chain: A Comprehensive Analysis of Applications, Impacts, and Future Directions. </w:t>
      </w:r>
    </w:p>
    <w:p w14:paraId="7450E386" w14:textId="77777777" w:rsidR="00C47BC4" w:rsidRPr="006E5307"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أثر الذكاء الاصطناعي بأبعاده (التنبؤ بالطلب، إدارة المخزون، تحسين اللوجستيات، إدارة المخاطر، دعم الاستدامة) على إدارة سلاسل الإمداد، واستخدمت الدراسة المنهج الوصفي التحليلي من خلال مراجعة منهجية للأدبيات شملت بحوثاً محكّمة وتقارير صناعية ودراسات حالة نُشرت بين 2015 و2021. وتكوّنت عينة الدراسة من مجموعة من الدراسات السابقة التي تناولت تطبيقات الذكاء الاصطناعي في سلاسل الإمداد. وتوصلت نتائج الدراسة إلى أن الذكاء الاصطناعي يسهم بفاعلية في </w:t>
      </w:r>
      <w:r w:rsidRPr="006E5307">
        <w:rPr>
          <w:rFonts w:ascii="Simplified Arabic" w:hAnsi="Simplified Arabic" w:cs="Simplified Arabic"/>
          <w:sz w:val="28"/>
          <w:szCs w:val="28"/>
          <w:rtl/>
        </w:rPr>
        <w:lastRenderedPageBreak/>
        <w:t>تعزيز كفاءة العمليات عبر تحسين دقة التنبؤ بالطلب، وتطوير أنظمة إدارة المخزون، وتحسين العمليات اللوجستية، بالإضافة إلى تعزيز استراتيجيات إدارة المخاطر ودعم ممارسات الاستدامة. وأوصت الدراسة بضرورة توسيع تبني تقنيات الذكاء الاصطناعي في سلاسل الإمداد ودعم البنى التحتية الرقمية لتحقيق كفاءة تشغيلية أعلى واستدامة طويلة المدى</w:t>
      </w:r>
      <w:r w:rsidRPr="006E5307">
        <w:rPr>
          <w:rFonts w:ascii="Simplified Arabic" w:hAnsi="Simplified Arabic" w:cs="Simplified Arabic"/>
          <w:sz w:val="28"/>
          <w:szCs w:val="28"/>
        </w:rPr>
        <w:t>.</w:t>
      </w:r>
    </w:p>
    <w:p w14:paraId="5E358104" w14:textId="77777777" w:rsidR="00C47BC4" w:rsidRPr="009B5EF9" w:rsidRDefault="00C47BC4" w:rsidP="00C47BC4">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(Kumar et al., 2024</w:t>
      </w:r>
      <w:proofErr w:type="gramStart"/>
      <w:r w:rsidRPr="006E5307">
        <w:rPr>
          <w:rFonts w:ascii="Simplified Arabic" w:hAnsi="Simplified Arabic" w:cs="Simplified Arabic"/>
          <w:b/>
          <w:bCs/>
          <w:sz w:val="28"/>
          <w:szCs w:val="28"/>
          <w:lang w:bidi="ar-EG"/>
        </w:rPr>
        <w:t>)</w:t>
      </w:r>
      <w:r w:rsidRPr="009B5EF9">
        <w:rPr>
          <w:rFonts w:ascii="Simplified Arabic" w:hAnsi="Simplified Arabic" w:cs="Simplified Arabic" w:hint="cs"/>
          <w:b/>
          <w:bCs/>
          <w:sz w:val="28"/>
          <w:szCs w:val="28"/>
          <w:rtl/>
          <w:lang w:bidi="ar-EG"/>
        </w:rPr>
        <w:t xml:space="preserve">  بعنوان</w:t>
      </w:r>
      <w:proofErr w:type="gramEnd"/>
      <w:r w:rsidRPr="009B5EF9">
        <w:rPr>
          <w:rFonts w:ascii="Simplified Arabic" w:hAnsi="Simplified Arabic" w:cs="Simplified Arabic" w:hint="cs"/>
          <w:b/>
          <w:bCs/>
          <w:sz w:val="28"/>
          <w:szCs w:val="28"/>
          <w:rtl/>
          <w:lang w:bidi="ar-EG"/>
        </w:rPr>
        <w:t xml:space="preserve"> :</w:t>
      </w:r>
      <w:r w:rsidRPr="009B5EF9">
        <w:rPr>
          <w:rFonts w:ascii="Segoe UI" w:hAnsi="Segoe UI" w:cs="Segoe UI"/>
          <w:b/>
          <w:bCs/>
          <w:color w:val="505050"/>
          <w:bdr w:val="single" w:sz="2" w:space="0" w:color="E4E6E8" w:frame="1"/>
          <w:shd w:val="clear" w:color="auto" w:fill="FFFFFF"/>
        </w:rPr>
        <w:t xml:space="preserve"> </w:t>
      </w:r>
    </w:p>
    <w:p w14:paraId="45A361AD"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Impact of AI on Operations Management. </w:t>
      </w:r>
    </w:p>
    <w:p w14:paraId="27E700EB" w14:textId="7D44CF46" w:rsidR="00C47BC4"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(خوارزميات التعلم الآلي، نماذج التنبؤ، الأتمتة، تحسين اتخاذ القرار) على إدارة العمليات، ولا سيما التنبؤ بالطلب في سلاسل الإمداد. واستخدمت الدراسة المنهج الوصفي التحليلي مع تطبيق مقارنة كمية بين خوارزميات التعلم الآلي مثل آلات المتجهات الداعمة</w:t>
      </w:r>
      <w:r w:rsidRPr="006E5307">
        <w:rPr>
          <w:rFonts w:ascii="Simplified Arabic" w:hAnsi="Simplified Arabic" w:cs="Simplified Arabic"/>
          <w:sz w:val="28"/>
          <w:szCs w:val="28"/>
        </w:rPr>
        <w:t xml:space="preserve"> (SVM) </w:t>
      </w:r>
      <w:r w:rsidRPr="006E5307">
        <w:rPr>
          <w:rFonts w:ascii="Simplified Arabic" w:hAnsi="Simplified Arabic" w:cs="Simplified Arabic"/>
          <w:sz w:val="28"/>
          <w:szCs w:val="28"/>
          <w:rtl/>
        </w:rPr>
        <w:t>والشبكات العصبية الاصطناعية</w:t>
      </w:r>
      <w:r w:rsidRPr="006E5307">
        <w:rPr>
          <w:rFonts w:ascii="Simplified Arabic" w:hAnsi="Simplified Arabic" w:cs="Simplified Arabic"/>
          <w:sz w:val="28"/>
          <w:szCs w:val="28"/>
        </w:rPr>
        <w:t xml:space="preserve"> (ANN)</w:t>
      </w:r>
      <w:r w:rsidRPr="006E5307">
        <w:rPr>
          <w:rFonts w:ascii="Simplified Arabic" w:hAnsi="Simplified Arabic" w:cs="Simplified Arabic"/>
          <w:sz w:val="28"/>
          <w:szCs w:val="28"/>
          <w:rtl/>
        </w:rPr>
        <w:t>، وبين الأساليب التقليدية في التنبؤ كسلاسل الزمن والتمهيد الأسي والمتوسطات المتحركة. وتكوّنت عينة الدراسة من بيانات مورد رئيسي لمكونات أكبر شركة سيارات في الهند. وتوصلت نتائج الدراسة إلى تفوق نماذج التعلم الآلي في دقة التنبؤ، إذ جاءت توقعاتها أقرب إلى البيانات الحقيقية مق</w:t>
      </w:r>
      <w:r w:rsidR="005C44E0">
        <w:rPr>
          <w:rFonts w:ascii="Simplified Arabic" w:hAnsi="Simplified Arabic" w:cs="Simplified Arabic" w:hint="cs"/>
          <w:sz w:val="28"/>
          <w:szCs w:val="28"/>
          <w:rtl/>
          <w:lang w:bidi="ar-EG"/>
        </w:rPr>
        <w:t>-</w:t>
      </w:r>
      <w:proofErr w:type="spellStart"/>
      <w:r w:rsidRPr="006E5307">
        <w:rPr>
          <w:rFonts w:ascii="Simplified Arabic" w:hAnsi="Simplified Arabic" w:cs="Simplified Arabic"/>
          <w:sz w:val="28"/>
          <w:szCs w:val="28"/>
          <w:rtl/>
        </w:rPr>
        <w:t>ارنة</w:t>
      </w:r>
      <w:proofErr w:type="spellEnd"/>
      <w:r w:rsidRPr="006E5307">
        <w:rPr>
          <w:rFonts w:ascii="Simplified Arabic" w:hAnsi="Simplified Arabic" w:cs="Simplified Arabic"/>
          <w:sz w:val="28"/>
          <w:szCs w:val="28"/>
          <w:rtl/>
        </w:rPr>
        <w:t xml:space="preserve"> بالطرق التقليدية. وأوصت الدراسة بضرورة اعتماد خوارزميات الذكاء الاصطناعي في التنبؤ بالطلب لدعم القرارات التشغيلية وتحسين الكفاءة وتقليل الأخطاء في سلاسل الإمداد</w:t>
      </w:r>
      <w:r w:rsidRPr="006E5307">
        <w:rPr>
          <w:rFonts w:ascii="Simplified Arabic" w:hAnsi="Simplified Arabic" w:cs="Simplified Arabic"/>
          <w:sz w:val="28"/>
          <w:szCs w:val="28"/>
        </w:rPr>
        <w:t>.</w:t>
      </w:r>
      <w:r w:rsidRPr="009B5EF9">
        <w:rPr>
          <w:rFonts w:ascii="Simplified Arabic" w:hAnsi="Simplified Arabic" w:cs="Simplified Arabic"/>
          <w:sz w:val="28"/>
          <w:szCs w:val="28"/>
          <w:lang w:bidi="ar-EG"/>
        </w:rPr>
        <w:t>.</w:t>
      </w:r>
    </w:p>
    <w:p w14:paraId="641AED64" w14:textId="77777777" w:rsidR="00C47BC4" w:rsidRPr="009B5EF9" w:rsidRDefault="00C47BC4" w:rsidP="00C47BC4">
      <w:pPr>
        <w:jc w:val="both"/>
        <w:rPr>
          <w:rFonts w:ascii="Simplified Arabic" w:hAnsi="Simplified Arabic" w:cs="Simplified Arabic" w:hint="cs"/>
          <w:b/>
          <w:bCs/>
          <w:sz w:val="28"/>
          <w:szCs w:val="28"/>
          <w:rtl/>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 xml:space="preserve">(Thenmozhi &amp; </w:t>
      </w:r>
      <w:proofErr w:type="spellStart"/>
      <w:r w:rsidRPr="006E5307">
        <w:rPr>
          <w:rFonts w:ascii="Simplified Arabic" w:hAnsi="Simplified Arabic" w:cs="Simplified Arabic"/>
          <w:b/>
          <w:bCs/>
          <w:sz w:val="28"/>
          <w:szCs w:val="28"/>
          <w:lang w:bidi="ar-EG"/>
        </w:rPr>
        <w:t>Krisknakumari</w:t>
      </w:r>
      <w:proofErr w:type="spellEnd"/>
      <w:r w:rsidRPr="006E5307">
        <w:rPr>
          <w:rFonts w:ascii="Simplified Arabic" w:hAnsi="Simplified Arabic" w:cs="Simplified Arabic"/>
          <w:b/>
          <w:bCs/>
          <w:sz w:val="28"/>
          <w:szCs w:val="28"/>
          <w:lang w:bidi="ar-EG"/>
        </w:rPr>
        <w:t>, 2024</w:t>
      </w:r>
      <w:proofErr w:type="gramStart"/>
      <w:r w:rsidRPr="006E5307">
        <w:rPr>
          <w:rFonts w:ascii="Simplified Arabic" w:hAnsi="Simplified Arabic" w:cs="Simplified Arabic"/>
          <w:b/>
          <w:bCs/>
          <w:sz w:val="28"/>
          <w:szCs w:val="28"/>
          <w:lang w:bidi="ar-EG"/>
        </w:rPr>
        <w:t>)</w:t>
      </w:r>
      <w:r w:rsidRPr="009B5EF9">
        <w:rPr>
          <w:rFonts w:ascii="Simplified Arabic" w:hAnsi="Simplified Arabic" w:cs="Simplified Arabic" w:hint="cs"/>
          <w:b/>
          <w:bCs/>
          <w:sz w:val="28"/>
          <w:szCs w:val="28"/>
          <w:rtl/>
          <w:lang w:bidi="ar-EG"/>
        </w:rPr>
        <w:t xml:space="preserve">  بعنوان</w:t>
      </w:r>
      <w:proofErr w:type="gramEnd"/>
      <w:r w:rsidRPr="009B5EF9">
        <w:rPr>
          <w:rFonts w:ascii="Simplified Arabic" w:hAnsi="Simplified Arabic" w:cs="Simplified Arabic" w:hint="cs"/>
          <w:b/>
          <w:bCs/>
          <w:sz w:val="28"/>
          <w:szCs w:val="28"/>
          <w:rtl/>
          <w:lang w:bidi="ar-EG"/>
        </w:rPr>
        <w:t xml:space="preserve"> :</w:t>
      </w:r>
      <w:r w:rsidRPr="009B5EF9">
        <w:rPr>
          <w:rFonts w:ascii="Segoe UI" w:hAnsi="Segoe UI" w:cs="Segoe UI"/>
          <w:b/>
          <w:bCs/>
          <w:color w:val="505050"/>
          <w:bdr w:val="single" w:sz="2" w:space="0" w:color="E4E6E8" w:frame="1"/>
          <w:shd w:val="clear" w:color="auto" w:fill="FFFFFF"/>
        </w:rPr>
        <w:t xml:space="preserve"> </w:t>
      </w:r>
    </w:p>
    <w:p w14:paraId="7812141B" w14:textId="77777777" w:rsidR="00C47BC4" w:rsidRPr="006E5307" w:rsidRDefault="00C47BC4" w:rsidP="00C47BC4">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Artificial Intelligence in Enhancing Operational Efficiency in Logistics and SCM</w:t>
      </w:r>
    </w:p>
    <w:p w14:paraId="689A3688" w14:textId="77777777" w:rsidR="00C47BC4" w:rsidRDefault="00C47BC4" w:rsidP="00C47BC4">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أثر الذكاء الاصطناعي بأبعاده (التنبؤ بالطلب، إدارة المخزون، تخطيط المسارات، الصيانة التنبؤية، تحسين تجربة العملاء) على الكفاءة التشغيلية في مجال اللوجستيات وإدارة سلاسل الإمداد. واستخدمت الدراسة المنهج الوصفي التحليلي من خلال مراجعة الأدبيات وتحليل التطبيقات الحديثة للذكاء الاصطناعي في هذا المجال. وتكوّنت عينة الدراسة من مجموعة من الدراسات والتقارير التي تناولت تطبيقات الذكاء الاصطناعي في اللوجستيات وسلاسل الإمداد. وتوصلت نتائج الدراسة إلى أن الذكاء الاصطناعي يسهم في أتمتة العمليات، وتحسين دقة التنبؤ بالطلب، ورفع كفاءة إدارة المخزون، </w:t>
      </w:r>
      <w:r w:rsidRPr="006E5307">
        <w:rPr>
          <w:rFonts w:ascii="Simplified Arabic" w:hAnsi="Simplified Arabic" w:cs="Simplified Arabic"/>
          <w:sz w:val="28"/>
          <w:szCs w:val="28"/>
          <w:rtl/>
        </w:rPr>
        <w:lastRenderedPageBreak/>
        <w:t>وتعزيز تخطيط المسارات، بالإضافة إلى دعمه الصيانة التنبؤية وتحسين تجربة العملاء عبر التتبع الفوري والدردشة الآلية. وأوصت الدراسة بضرورة تبني المؤسسات لتقنيات الذكاء الاصطناعي بشكل استراتيجي لخفض التكاليف وتحسين المرونة التشغيلية وتعزيز الميزة التنافسية</w:t>
      </w:r>
      <w:r w:rsidRPr="006E5307">
        <w:rPr>
          <w:rFonts w:ascii="Simplified Arabic" w:hAnsi="Simplified Arabic" w:cs="Simplified Arabic"/>
          <w:sz w:val="28"/>
          <w:szCs w:val="28"/>
        </w:rPr>
        <w:t>.</w:t>
      </w:r>
    </w:p>
    <w:p w14:paraId="514E104C" w14:textId="77777777" w:rsidR="008B3166" w:rsidRPr="008B3166" w:rsidRDefault="008B3166" w:rsidP="008B3166">
      <w:pPr>
        <w:jc w:val="both"/>
        <w:rPr>
          <w:rFonts w:ascii="Simplified Arabic" w:hAnsi="Simplified Arabic" w:cs="Simplified Arabic"/>
          <w:color w:val="EE0000"/>
          <w:sz w:val="28"/>
          <w:szCs w:val="28"/>
          <w:lang w:bidi="ar-EG"/>
        </w:rPr>
      </w:pPr>
      <w:r w:rsidRPr="008B3166">
        <w:rPr>
          <w:rFonts w:ascii="Simplified Arabic" w:hAnsi="Simplified Arabic" w:cs="Simplified Arabic"/>
          <w:color w:val="EE0000"/>
          <w:sz w:val="28"/>
          <w:szCs w:val="28"/>
          <w:rtl/>
        </w:rPr>
        <w:t xml:space="preserve">تُمثّل دراسات المجموعة الثالثة الأقرب موضوعياً إلى الدراسة الحالية، غير أنّ فحصها التفصيلي يكشف قصوراً نظرياً ومنهجياً </w:t>
      </w:r>
      <w:proofErr w:type="spellStart"/>
      <w:r w:rsidRPr="008B3166">
        <w:rPr>
          <w:rFonts w:ascii="Simplified Arabic" w:hAnsi="Simplified Arabic" w:cs="Simplified Arabic"/>
          <w:color w:val="EE0000"/>
          <w:sz w:val="28"/>
          <w:szCs w:val="28"/>
          <w:rtl/>
        </w:rPr>
        <w:t>وسياقياً</w:t>
      </w:r>
      <w:proofErr w:type="spellEnd"/>
      <w:r w:rsidRPr="008B3166">
        <w:rPr>
          <w:rFonts w:ascii="Simplified Arabic" w:hAnsi="Simplified Arabic" w:cs="Simplified Arabic"/>
          <w:color w:val="EE0000"/>
          <w:sz w:val="28"/>
          <w:szCs w:val="28"/>
          <w:rtl/>
        </w:rPr>
        <w:t xml:space="preserve"> يُبرّر مساءلة نتائجها. فمن الناحية النظرية، تعتمد هذه الدراسات — في معظمها — على تصورات وصفية للعلاقة بين الذكاء الاصطناعي وسلسلة القيمة دون تأصيل نظري صريح يُترجم أبعاد الذكاء الاصطناعي إلى موارد استراتيجية وفق منطق </w:t>
      </w:r>
      <w:r w:rsidRPr="008B3166">
        <w:rPr>
          <w:rFonts w:ascii="Simplified Arabic" w:hAnsi="Simplified Arabic" w:cs="Simplified Arabic"/>
          <w:color w:val="EE0000"/>
          <w:sz w:val="28"/>
          <w:szCs w:val="28"/>
          <w:lang w:bidi="ar-EG"/>
        </w:rPr>
        <w:t>RBV</w:t>
      </w:r>
      <w:r w:rsidRPr="008B3166">
        <w:rPr>
          <w:rFonts w:ascii="Simplified Arabic" w:hAnsi="Simplified Arabic" w:cs="Simplified Arabic"/>
          <w:color w:val="EE0000"/>
          <w:sz w:val="28"/>
          <w:szCs w:val="28"/>
          <w:rtl/>
        </w:rPr>
        <w:t xml:space="preserve">، أو يُحلّل شروط التبني وفق منطق </w:t>
      </w:r>
      <w:r w:rsidRPr="008B3166">
        <w:rPr>
          <w:rFonts w:ascii="Simplified Arabic" w:hAnsi="Simplified Arabic" w:cs="Simplified Arabic"/>
          <w:color w:val="EE0000"/>
          <w:sz w:val="28"/>
          <w:szCs w:val="28"/>
          <w:lang w:bidi="ar-EG"/>
        </w:rPr>
        <w:t>TOE</w:t>
      </w:r>
      <w:r w:rsidRPr="008B3166">
        <w:rPr>
          <w:rFonts w:ascii="Simplified Arabic" w:hAnsi="Simplified Arabic" w:cs="Simplified Arabic"/>
          <w:color w:val="EE0000"/>
          <w:sz w:val="28"/>
          <w:szCs w:val="28"/>
          <w:rtl/>
        </w:rPr>
        <w:t>، أو يُفسّر تباين التطبيق بين المؤسسات وفق منطق النظرية المؤسسية. وهذا الفراغ النظري جعل نتائجها ذات طابع عمومي يصعب توظيفه في بناء نموذج تفسيري قابل للتعميم على بيئات محددة.</w:t>
      </w:r>
    </w:p>
    <w:p w14:paraId="3AD40E59" w14:textId="77777777" w:rsidR="008B3166" w:rsidRPr="008B3166" w:rsidRDefault="008B3166" w:rsidP="008B3166">
      <w:pPr>
        <w:jc w:val="both"/>
        <w:rPr>
          <w:rFonts w:ascii="Simplified Arabic" w:hAnsi="Simplified Arabic" w:cs="Simplified Arabic"/>
          <w:color w:val="EE0000"/>
          <w:sz w:val="28"/>
          <w:szCs w:val="28"/>
          <w:rtl/>
        </w:rPr>
      </w:pPr>
      <w:r w:rsidRPr="008B3166">
        <w:rPr>
          <w:rFonts w:ascii="Simplified Arabic" w:hAnsi="Simplified Arabic" w:cs="Simplified Arabic"/>
          <w:color w:val="EE0000"/>
          <w:sz w:val="28"/>
          <w:szCs w:val="28"/>
          <w:rtl/>
        </w:rPr>
        <w:t xml:space="preserve">ومن الناحية المنهجية، يُلاحَظ أنّ الدراسات الميدانية في هذه المجموعة (كدراسة </w:t>
      </w:r>
      <w:r w:rsidRPr="008B3166">
        <w:rPr>
          <w:rFonts w:ascii="Simplified Arabic" w:hAnsi="Simplified Arabic" w:cs="Simplified Arabic"/>
          <w:color w:val="EE0000"/>
          <w:sz w:val="28"/>
          <w:szCs w:val="28"/>
          <w:lang w:bidi="ar-EG"/>
        </w:rPr>
        <w:t>Faisal 2025</w:t>
      </w:r>
      <w:r w:rsidRPr="008B3166">
        <w:rPr>
          <w:rFonts w:ascii="Simplified Arabic" w:hAnsi="Simplified Arabic" w:cs="Simplified Arabic"/>
          <w:color w:val="EE0000"/>
          <w:sz w:val="28"/>
          <w:szCs w:val="28"/>
          <w:rtl/>
        </w:rPr>
        <w:t>) اعتمدت على عينات من القطاع الخاص في سياقات دولية (الهند)، مما يُضعف قابلية النتائج للنقل إلى السياق الحكومي السعودي المختلف من حيث الحوكمة والدوافع والقيود. كما اقتصرت أدوات القياس على استبانات ذاتية دون تعزيزها بمقابلات معمقة أو تحليل وثائقي يكشف التباين المؤسسي في التطبيق، وهو ما يُقلّص من عمق الفهم للظاهرة.</w:t>
      </w:r>
    </w:p>
    <w:p w14:paraId="743744E5" w14:textId="77777777" w:rsidR="008B3166" w:rsidRPr="008B3166" w:rsidRDefault="008B3166" w:rsidP="008B3166">
      <w:pPr>
        <w:jc w:val="both"/>
        <w:rPr>
          <w:rFonts w:ascii="Simplified Arabic" w:hAnsi="Simplified Arabic" w:cs="Simplified Arabic"/>
          <w:color w:val="EE0000"/>
          <w:sz w:val="28"/>
          <w:szCs w:val="28"/>
          <w:rtl/>
        </w:rPr>
      </w:pPr>
      <w:r w:rsidRPr="008B3166">
        <w:rPr>
          <w:rFonts w:ascii="Simplified Arabic" w:hAnsi="Simplified Arabic" w:cs="Simplified Arabic"/>
          <w:color w:val="EE0000"/>
          <w:sz w:val="28"/>
          <w:szCs w:val="28"/>
          <w:rtl/>
        </w:rPr>
        <w:t xml:space="preserve">ومن الناحية السياقية، تكشف المجموعة عن </w:t>
      </w:r>
      <w:r w:rsidRPr="008B3166">
        <w:rPr>
          <w:rFonts w:ascii="Simplified Arabic" w:hAnsi="Simplified Arabic" w:cs="Simplified Arabic"/>
          <w:b/>
          <w:bCs/>
          <w:color w:val="EE0000"/>
          <w:sz w:val="28"/>
          <w:szCs w:val="28"/>
          <w:rtl/>
        </w:rPr>
        <w:t>غياب شبه تام للدراسات المتعلقة بالسياق الحكومي السعودي</w:t>
      </w:r>
      <w:r w:rsidRPr="008B3166">
        <w:rPr>
          <w:rFonts w:ascii="Simplified Arabic" w:hAnsi="Simplified Arabic" w:cs="Simplified Arabic"/>
          <w:color w:val="EE0000"/>
          <w:sz w:val="28"/>
          <w:szCs w:val="28"/>
          <w:rtl/>
        </w:rPr>
        <w:t xml:space="preserve"> الذي يتميز بخصوصية مركّبة تجمع بين طموحات رؤية 2030، وإلزامية تبنّي مخرجات الهيئة السعودية للبيانات والذكاء الاصطناعي (</w:t>
      </w:r>
      <w:proofErr w:type="spellStart"/>
      <w:r w:rsidRPr="008B3166">
        <w:rPr>
          <w:rFonts w:ascii="Simplified Arabic" w:hAnsi="Simplified Arabic" w:cs="Simplified Arabic"/>
          <w:color w:val="EE0000"/>
          <w:sz w:val="28"/>
          <w:szCs w:val="28"/>
          <w:rtl/>
        </w:rPr>
        <w:t>سدايا</w:t>
      </w:r>
      <w:proofErr w:type="spellEnd"/>
      <w:r w:rsidRPr="008B3166">
        <w:rPr>
          <w:rFonts w:ascii="Simplified Arabic" w:hAnsi="Simplified Arabic" w:cs="Simplified Arabic"/>
          <w:color w:val="EE0000"/>
          <w:sz w:val="28"/>
          <w:szCs w:val="28"/>
          <w:rtl/>
        </w:rPr>
        <w:t xml:space="preserve">)، والقيود التشريعية لنظام المنافسات والمشتريات الحكومية، وحوكمة هيئة الحكومة الرقمية. وهذا الغياب المنهجي </w:t>
      </w:r>
      <w:proofErr w:type="spellStart"/>
      <w:r w:rsidRPr="008B3166">
        <w:rPr>
          <w:rFonts w:ascii="Simplified Arabic" w:hAnsi="Simplified Arabic" w:cs="Simplified Arabic"/>
          <w:color w:val="EE0000"/>
          <w:sz w:val="28"/>
          <w:szCs w:val="28"/>
          <w:rtl/>
        </w:rPr>
        <w:t>والسياقي</w:t>
      </w:r>
      <w:proofErr w:type="spellEnd"/>
      <w:r w:rsidRPr="008B3166">
        <w:rPr>
          <w:rFonts w:ascii="Simplified Arabic" w:hAnsi="Simplified Arabic" w:cs="Simplified Arabic"/>
          <w:color w:val="EE0000"/>
          <w:sz w:val="28"/>
          <w:szCs w:val="28"/>
          <w:rtl/>
        </w:rPr>
        <w:t xml:space="preserve"> يُشكّل الفجوة البحثية المركزية التي تنطلق منها الدراسة الحالية.</w:t>
      </w:r>
    </w:p>
    <w:p w14:paraId="01AE87A6" w14:textId="77777777" w:rsidR="005C44E0" w:rsidRPr="005C44E0" w:rsidRDefault="005C44E0" w:rsidP="005C44E0">
      <w:pPr>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r w:rsidRPr="005C44E0">
        <w:rPr>
          <w:rFonts w:ascii="Times New Roman" w:eastAsia="Times New Roman" w:hAnsi="Times New Roman" w:cs="Times New Roman"/>
          <w:b/>
          <w:bCs/>
          <w:kern w:val="0"/>
          <w:sz w:val="27"/>
          <w:szCs w:val="27"/>
          <w:rtl/>
          <w14:ligatures w14:val="none"/>
        </w:rPr>
        <w:t>جدول (8) المقارنة التحليلية للدراسات السابقة</w:t>
      </w:r>
    </w:p>
    <w:tbl>
      <w:tblPr>
        <w:tblStyle w:val="af1"/>
        <w:bidiVisual/>
        <w:tblW w:w="0" w:type="auto"/>
        <w:tblLayout w:type="fixed"/>
        <w:tblLook w:val="04A0" w:firstRow="1" w:lastRow="0" w:firstColumn="1" w:lastColumn="0" w:noHBand="0" w:noVBand="1"/>
      </w:tblPr>
      <w:tblGrid>
        <w:gridCol w:w="654"/>
        <w:gridCol w:w="993"/>
        <w:gridCol w:w="1787"/>
        <w:gridCol w:w="1018"/>
        <w:gridCol w:w="1086"/>
        <w:gridCol w:w="1296"/>
        <w:gridCol w:w="1029"/>
        <w:gridCol w:w="1153"/>
      </w:tblGrid>
      <w:tr w:rsidR="005C44E0" w:rsidRPr="005C44E0" w14:paraId="708F81AF" w14:textId="77777777" w:rsidTr="005C44E0">
        <w:tc>
          <w:tcPr>
            <w:tcW w:w="654" w:type="dxa"/>
            <w:hideMark/>
          </w:tcPr>
          <w:p w14:paraId="1F96A740"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14:ligatures w14:val="none"/>
              </w:rPr>
              <w:t>#</w:t>
            </w:r>
          </w:p>
        </w:tc>
        <w:tc>
          <w:tcPr>
            <w:tcW w:w="993" w:type="dxa"/>
            <w:hideMark/>
          </w:tcPr>
          <w:p w14:paraId="719B01B7"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الباحث/السنة</w:t>
            </w:r>
          </w:p>
        </w:tc>
        <w:tc>
          <w:tcPr>
            <w:tcW w:w="1787" w:type="dxa"/>
            <w:hideMark/>
          </w:tcPr>
          <w:p w14:paraId="629DB48D"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عنوان الدراسة</w:t>
            </w:r>
          </w:p>
        </w:tc>
        <w:tc>
          <w:tcPr>
            <w:tcW w:w="1018" w:type="dxa"/>
            <w:hideMark/>
          </w:tcPr>
          <w:p w14:paraId="572474CA"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الهدف الرئيس</w:t>
            </w:r>
          </w:p>
        </w:tc>
        <w:tc>
          <w:tcPr>
            <w:tcW w:w="1086" w:type="dxa"/>
            <w:hideMark/>
          </w:tcPr>
          <w:p w14:paraId="2CA154FB"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المتغيرات الرئيسة</w:t>
            </w:r>
          </w:p>
        </w:tc>
        <w:tc>
          <w:tcPr>
            <w:tcW w:w="1296" w:type="dxa"/>
            <w:hideMark/>
          </w:tcPr>
          <w:p w14:paraId="4445F4BB"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المنهج والأداة</w:t>
            </w:r>
          </w:p>
        </w:tc>
        <w:tc>
          <w:tcPr>
            <w:tcW w:w="1029" w:type="dxa"/>
            <w:hideMark/>
          </w:tcPr>
          <w:p w14:paraId="4ACA71B7"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أبرز النتائج</w:t>
            </w:r>
          </w:p>
        </w:tc>
        <w:tc>
          <w:tcPr>
            <w:tcW w:w="1153" w:type="dxa"/>
            <w:hideMark/>
          </w:tcPr>
          <w:p w14:paraId="537953C5" w14:textId="77777777" w:rsidR="005C44E0" w:rsidRPr="005C44E0" w:rsidRDefault="005C44E0" w:rsidP="005C44E0">
            <w:pPr>
              <w:jc w:val="center"/>
              <w:rPr>
                <w:rFonts w:ascii="Simplified Arabic" w:eastAsia="Times New Roman" w:hAnsi="Simplified Arabic" w:cs="Simplified Arabic"/>
                <w:b/>
                <w:bCs/>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أوجه الاتفاق والاختلاف مع الدراسة الحالية</w:t>
            </w:r>
          </w:p>
        </w:tc>
      </w:tr>
      <w:tr w:rsidR="005C44E0" w:rsidRPr="005C44E0" w14:paraId="61821275" w14:textId="77777777" w:rsidTr="005C44E0">
        <w:tc>
          <w:tcPr>
            <w:tcW w:w="654" w:type="dxa"/>
            <w:hideMark/>
          </w:tcPr>
          <w:p w14:paraId="4C6EFD9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lastRenderedPageBreak/>
              <w:t>المجموعة الأولى: دراسات الذكاء الاصطناعي</w:t>
            </w:r>
          </w:p>
        </w:tc>
        <w:tc>
          <w:tcPr>
            <w:tcW w:w="993" w:type="dxa"/>
            <w:hideMark/>
          </w:tcPr>
          <w:p w14:paraId="5903CD7E"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01EF3EB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52464B3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6DC19C62"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37994D0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0F2D792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5E8CFAE5"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5CA20249" w14:textId="77777777" w:rsidTr="005C44E0">
        <w:tc>
          <w:tcPr>
            <w:tcW w:w="654" w:type="dxa"/>
            <w:hideMark/>
          </w:tcPr>
          <w:p w14:paraId="560B089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w:t>
            </w:r>
          </w:p>
        </w:tc>
        <w:tc>
          <w:tcPr>
            <w:tcW w:w="993" w:type="dxa"/>
            <w:hideMark/>
          </w:tcPr>
          <w:p w14:paraId="00556CE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المصاروة والسرحان</w:t>
            </w:r>
            <w:r w:rsidRPr="005C44E0">
              <w:rPr>
                <w:rFonts w:ascii="Simplified Arabic" w:eastAsia="Times New Roman" w:hAnsi="Simplified Arabic" w:cs="Simplified Arabic" w:hint="cs"/>
                <w:kern w:val="0"/>
                <w:sz w:val="22"/>
                <w:szCs w:val="22"/>
                <w14:ligatures w14:val="none"/>
              </w:rPr>
              <w:t xml:space="preserve"> (2021)</w:t>
            </w:r>
          </w:p>
        </w:tc>
        <w:tc>
          <w:tcPr>
            <w:tcW w:w="1787" w:type="dxa"/>
            <w:hideMark/>
          </w:tcPr>
          <w:p w14:paraId="683F06B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في الأداء المؤسسي في البنوك التجارية الأردنية</w:t>
            </w:r>
          </w:p>
        </w:tc>
        <w:tc>
          <w:tcPr>
            <w:tcW w:w="1018" w:type="dxa"/>
            <w:hideMark/>
          </w:tcPr>
          <w:p w14:paraId="54F2B5C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الذكاء الاصطناعي على الأداء المؤسسي بوساطة رأس المال الفكري</w:t>
            </w:r>
          </w:p>
        </w:tc>
        <w:tc>
          <w:tcPr>
            <w:tcW w:w="1086" w:type="dxa"/>
            <w:hideMark/>
          </w:tcPr>
          <w:p w14:paraId="7E33E30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مستقل: الذكاء الاصطناعي (نظم خبيرة، تعلم آلي، سهولة </w:t>
            </w:r>
            <w:proofErr w:type="gramStart"/>
            <w:r w:rsidRPr="005C44E0">
              <w:rPr>
                <w:rFonts w:ascii="Simplified Arabic" w:eastAsia="Times New Roman" w:hAnsi="Simplified Arabic" w:cs="Simplified Arabic" w:hint="cs"/>
                <w:kern w:val="0"/>
                <w:sz w:val="22"/>
                <w:szCs w:val="22"/>
                <w:rtl/>
                <w14:ligatures w14:val="none"/>
              </w:rPr>
              <w:t>استعمال)/</w:t>
            </w:r>
            <w:proofErr w:type="gramEnd"/>
            <w:r w:rsidRPr="005C44E0">
              <w:rPr>
                <w:rFonts w:ascii="Simplified Arabic" w:eastAsia="Times New Roman" w:hAnsi="Simplified Arabic" w:cs="Simplified Arabic" w:hint="cs"/>
                <w:kern w:val="0"/>
                <w:sz w:val="22"/>
                <w:szCs w:val="22"/>
                <w:rtl/>
                <w14:ligatures w14:val="none"/>
              </w:rPr>
              <w:t xml:space="preserve"> تابع: الأداء المؤسسي/ وسيط: رأس المال الفكري</w:t>
            </w:r>
          </w:p>
        </w:tc>
        <w:tc>
          <w:tcPr>
            <w:tcW w:w="1296" w:type="dxa"/>
            <w:hideMark/>
          </w:tcPr>
          <w:p w14:paraId="2799D15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 (338 إداري)</w:t>
            </w:r>
          </w:p>
        </w:tc>
        <w:tc>
          <w:tcPr>
            <w:tcW w:w="1029" w:type="dxa"/>
            <w:hideMark/>
          </w:tcPr>
          <w:p w14:paraId="530202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وجود أثر مباشر وغير مباشر للذكاء الاصطناعي على الأداء المؤسسي عبر رأس المال الفكري</w:t>
            </w:r>
          </w:p>
        </w:tc>
        <w:tc>
          <w:tcPr>
            <w:tcW w:w="1153" w:type="dxa"/>
            <w:hideMark/>
          </w:tcPr>
          <w:p w14:paraId="0F1967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الذكاء الاصطناعي بأبعاد متعددة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القطاع المصرفي الأردني، أما الحالية فتتناول القطاع الحكومي السعودي ومتغيرها التابع مختلف</w:t>
            </w:r>
          </w:p>
        </w:tc>
      </w:tr>
      <w:tr w:rsidR="005C44E0" w:rsidRPr="005C44E0" w14:paraId="678A4848" w14:textId="77777777" w:rsidTr="005C44E0">
        <w:tc>
          <w:tcPr>
            <w:tcW w:w="654" w:type="dxa"/>
            <w:hideMark/>
          </w:tcPr>
          <w:p w14:paraId="4E3E991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2</w:t>
            </w:r>
          </w:p>
        </w:tc>
        <w:tc>
          <w:tcPr>
            <w:tcW w:w="993" w:type="dxa"/>
            <w:hideMark/>
          </w:tcPr>
          <w:p w14:paraId="5284CB45"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gramStart"/>
            <w:r w:rsidRPr="005C44E0">
              <w:rPr>
                <w:rFonts w:ascii="Simplified Arabic" w:eastAsia="Times New Roman" w:hAnsi="Simplified Arabic" w:cs="Simplified Arabic" w:hint="cs"/>
                <w:kern w:val="0"/>
                <w:sz w:val="22"/>
                <w:szCs w:val="22"/>
                <w:rtl/>
                <w14:ligatures w14:val="none"/>
              </w:rPr>
              <w:t>عبدالمنعم</w:t>
            </w:r>
            <w:proofErr w:type="gramEnd"/>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4B76F8D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الرشاقة الاستراتيجية في الجامعات الخاصة المصرية</w:t>
            </w:r>
          </w:p>
        </w:tc>
        <w:tc>
          <w:tcPr>
            <w:tcW w:w="1018" w:type="dxa"/>
            <w:hideMark/>
          </w:tcPr>
          <w:p w14:paraId="2E34799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فحص التأثير المباشر وغير المباشر للذكاء الاصطناعي على الرشاقة الاستراتيجية</w:t>
            </w:r>
          </w:p>
        </w:tc>
        <w:tc>
          <w:tcPr>
            <w:tcW w:w="1086" w:type="dxa"/>
            <w:hideMark/>
          </w:tcPr>
          <w:p w14:paraId="2E286B0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مستقل: الذكاء الاصطناعي (الإدراك، تعلم الآلة، الأتمتة، المعلومات </w:t>
            </w:r>
            <w:proofErr w:type="gramStart"/>
            <w:r w:rsidRPr="005C44E0">
              <w:rPr>
                <w:rFonts w:ascii="Simplified Arabic" w:eastAsia="Times New Roman" w:hAnsi="Simplified Arabic" w:cs="Simplified Arabic" w:hint="cs"/>
                <w:kern w:val="0"/>
                <w:sz w:val="22"/>
                <w:szCs w:val="22"/>
                <w:rtl/>
                <w14:ligatures w14:val="none"/>
              </w:rPr>
              <w:t>العصبية)/</w:t>
            </w:r>
            <w:proofErr w:type="gramEnd"/>
            <w:r w:rsidRPr="005C44E0">
              <w:rPr>
                <w:rFonts w:ascii="Simplified Arabic" w:eastAsia="Times New Roman" w:hAnsi="Simplified Arabic" w:cs="Simplified Arabic" w:hint="cs"/>
                <w:kern w:val="0"/>
                <w:sz w:val="22"/>
                <w:szCs w:val="22"/>
                <w:rtl/>
                <w14:ligatures w14:val="none"/>
              </w:rPr>
              <w:t xml:space="preserve"> تابع: الرشاقة الاستراتيجية/ وسيط: </w:t>
            </w:r>
            <w:r w:rsidRPr="005C44E0">
              <w:rPr>
                <w:rFonts w:ascii="Simplified Arabic" w:eastAsia="Times New Roman" w:hAnsi="Simplified Arabic" w:cs="Simplified Arabic" w:hint="cs"/>
                <w:kern w:val="0"/>
                <w:sz w:val="22"/>
                <w:szCs w:val="22"/>
                <w:rtl/>
                <w14:ligatures w14:val="none"/>
              </w:rPr>
              <w:lastRenderedPageBreak/>
              <w:t>الجدارات الرقمية</w:t>
            </w:r>
          </w:p>
        </w:tc>
        <w:tc>
          <w:tcPr>
            <w:tcW w:w="1296" w:type="dxa"/>
            <w:hideMark/>
          </w:tcPr>
          <w:p w14:paraId="5F9E734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وصفي تحليلي كمي – استبانة (397 مفردة)</w:t>
            </w:r>
          </w:p>
        </w:tc>
        <w:tc>
          <w:tcPr>
            <w:tcW w:w="1029" w:type="dxa"/>
            <w:hideMark/>
          </w:tcPr>
          <w:p w14:paraId="5CB8A00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ذات دلالة إحصائية بين الذكاء الاصطناعي والرشاقة الاستراتيجية بوساطة الجدارات الرقمية</w:t>
            </w:r>
          </w:p>
        </w:tc>
        <w:tc>
          <w:tcPr>
            <w:tcW w:w="1153" w:type="dxa"/>
            <w:hideMark/>
          </w:tcPr>
          <w:p w14:paraId="31DF88A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استخدام المنهج الكمي والاستبانة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 xml:space="preserve">تناولت الرشاقة الاستراتيجية في القطاع التعليمي، أما الحالية </w:t>
            </w:r>
            <w:r w:rsidRPr="005C44E0">
              <w:rPr>
                <w:rFonts w:ascii="Simplified Arabic" w:eastAsia="Times New Roman" w:hAnsi="Simplified Arabic" w:cs="Simplified Arabic" w:hint="cs"/>
                <w:kern w:val="0"/>
                <w:sz w:val="22"/>
                <w:szCs w:val="22"/>
                <w:rtl/>
                <w14:ligatures w14:val="none"/>
              </w:rPr>
              <w:lastRenderedPageBreak/>
              <w:t>فتتناول سلسلة القيمة التشغيلية في القطاع الحكومي</w:t>
            </w:r>
          </w:p>
        </w:tc>
      </w:tr>
      <w:tr w:rsidR="005C44E0" w:rsidRPr="005C44E0" w14:paraId="5D366698" w14:textId="77777777" w:rsidTr="005C44E0">
        <w:tc>
          <w:tcPr>
            <w:tcW w:w="654" w:type="dxa"/>
            <w:hideMark/>
          </w:tcPr>
          <w:p w14:paraId="3F03D54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3</w:t>
            </w:r>
          </w:p>
        </w:tc>
        <w:tc>
          <w:tcPr>
            <w:tcW w:w="993" w:type="dxa"/>
            <w:hideMark/>
          </w:tcPr>
          <w:p w14:paraId="111A374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طيبي ومولاي</w:t>
            </w:r>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35C7458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أداء البنوك التجارية بولايتي البيض وتيارت</w:t>
            </w:r>
          </w:p>
        </w:tc>
        <w:tc>
          <w:tcPr>
            <w:tcW w:w="1018" w:type="dxa"/>
            <w:hideMark/>
          </w:tcPr>
          <w:p w14:paraId="38C348B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بيان تأثير الذكاء الاصطناعي في تحسين أداء البنوك التجارية</w:t>
            </w:r>
          </w:p>
        </w:tc>
        <w:tc>
          <w:tcPr>
            <w:tcW w:w="1086" w:type="dxa"/>
            <w:hideMark/>
          </w:tcPr>
          <w:p w14:paraId="36C9C4A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أداء البنوك التجارية</w:t>
            </w:r>
          </w:p>
        </w:tc>
        <w:tc>
          <w:tcPr>
            <w:tcW w:w="1296" w:type="dxa"/>
            <w:hideMark/>
          </w:tcPr>
          <w:p w14:paraId="75897C7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كمي – استبانة (100 موظف) – نمذجة معادلات هيكلية</w:t>
            </w:r>
          </w:p>
        </w:tc>
        <w:tc>
          <w:tcPr>
            <w:tcW w:w="1029" w:type="dxa"/>
            <w:hideMark/>
          </w:tcPr>
          <w:p w14:paraId="3679374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وجود أثر ذي دلالة معنوية للذكاء الاصطناعي على أداء البنوك التجارية</w:t>
            </w:r>
          </w:p>
        </w:tc>
        <w:tc>
          <w:tcPr>
            <w:tcW w:w="1153" w:type="dxa"/>
            <w:hideMark/>
          </w:tcPr>
          <w:p w14:paraId="634B5CD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إثبات الأثر الإيجابي للذكاء الاصطناعي</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حجم عينة أصغر، وسياق مصرفي جزائري، ومتغير تابع مختلف</w:t>
            </w:r>
          </w:p>
        </w:tc>
      </w:tr>
      <w:tr w:rsidR="005C44E0" w:rsidRPr="005C44E0" w14:paraId="21D593FE" w14:textId="77777777" w:rsidTr="005C44E0">
        <w:tc>
          <w:tcPr>
            <w:tcW w:w="654" w:type="dxa"/>
            <w:hideMark/>
          </w:tcPr>
          <w:p w14:paraId="0B0ACD0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4</w:t>
            </w:r>
          </w:p>
        </w:tc>
        <w:tc>
          <w:tcPr>
            <w:tcW w:w="993" w:type="dxa"/>
            <w:hideMark/>
          </w:tcPr>
          <w:p w14:paraId="3868706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صقر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19AC86E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في تحسين ابتكار الخدمة في البنوك المصرية</w:t>
            </w:r>
          </w:p>
        </w:tc>
        <w:tc>
          <w:tcPr>
            <w:tcW w:w="1018" w:type="dxa"/>
            <w:hideMark/>
          </w:tcPr>
          <w:p w14:paraId="0AC0B00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تحديد دور الذكاء الاصطناعي في تحسين ابتكار الخدمات المصرفية</w:t>
            </w:r>
          </w:p>
        </w:tc>
        <w:tc>
          <w:tcPr>
            <w:tcW w:w="1086" w:type="dxa"/>
            <w:hideMark/>
          </w:tcPr>
          <w:p w14:paraId="1D2CC68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بأبعاده/ تابع: ابتكار الخدمة</w:t>
            </w:r>
          </w:p>
        </w:tc>
        <w:tc>
          <w:tcPr>
            <w:tcW w:w="1296" w:type="dxa"/>
            <w:hideMark/>
          </w:tcPr>
          <w:p w14:paraId="59C994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استقصاء (348 عميلاً)</w:t>
            </w:r>
          </w:p>
        </w:tc>
        <w:tc>
          <w:tcPr>
            <w:tcW w:w="1029" w:type="dxa"/>
            <w:hideMark/>
          </w:tcPr>
          <w:p w14:paraId="25518E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ارتباطية طردية بين أبعاد الذكاء الاصطناعي وابتكار الخدمات</w:t>
            </w:r>
          </w:p>
        </w:tc>
        <w:tc>
          <w:tcPr>
            <w:tcW w:w="1153" w:type="dxa"/>
            <w:hideMark/>
          </w:tcPr>
          <w:p w14:paraId="44D45BE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الذكاء الاصطناعي بأبعاد متعددة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تناولت ابتكار الخدمة من منظور العملاء، أما الحالية فتتناول سلسلة القيمة التشغيلية من منظور الموظفين</w:t>
            </w:r>
          </w:p>
        </w:tc>
      </w:tr>
      <w:tr w:rsidR="005C44E0" w:rsidRPr="005C44E0" w14:paraId="4BE36D12" w14:textId="77777777" w:rsidTr="005C44E0">
        <w:tc>
          <w:tcPr>
            <w:tcW w:w="654" w:type="dxa"/>
            <w:hideMark/>
          </w:tcPr>
          <w:p w14:paraId="199B352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5</w:t>
            </w:r>
          </w:p>
        </w:tc>
        <w:tc>
          <w:tcPr>
            <w:tcW w:w="993" w:type="dxa"/>
            <w:hideMark/>
          </w:tcPr>
          <w:p w14:paraId="725367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حسن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4B45C6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من أجل التنمية المستدامة</w:t>
            </w:r>
          </w:p>
        </w:tc>
        <w:tc>
          <w:tcPr>
            <w:tcW w:w="1018" w:type="dxa"/>
            <w:hideMark/>
          </w:tcPr>
          <w:p w14:paraId="164A9D8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الذكاء الاصطناع</w:t>
            </w:r>
            <w:r w:rsidRPr="005C44E0">
              <w:rPr>
                <w:rFonts w:ascii="Simplified Arabic" w:eastAsia="Times New Roman" w:hAnsi="Simplified Arabic" w:cs="Simplified Arabic" w:hint="cs"/>
                <w:kern w:val="0"/>
                <w:sz w:val="22"/>
                <w:szCs w:val="22"/>
                <w:rtl/>
                <w14:ligatures w14:val="none"/>
              </w:rPr>
              <w:lastRenderedPageBreak/>
              <w:t>ي في التعليم والتنمية المستدامة</w:t>
            </w:r>
          </w:p>
        </w:tc>
        <w:tc>
          <w:tcPr>
            <w:tcW w:w="1086" w:type="dxa"/>
            <w:hideMark/>
          </w:tcPr>
          <w:p w14:paraId="478A65B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 xml:space="preserve">مستقل: الذكاء الاصطناعي/ تابع: </w:t>
            </w:r>
            <w:r w:rsidRPr="005C44E0">
              <w:rPr>
                <w:rFonts w:ascii="Simplified Arabic" w:eastAsia="Times New Roman" w:hAnsi="Simplified Arabic" w:cs="Simplified Arabic" w:hint="cs"/>
                <w:kern w:val="0"/>
                <w:sz w:val="22"/>
                <w:szCs w:val="22"/>
                <w:rtl/>
                <w14:ligatures w14:val="none"/>
              </w:rPr>
              <w:lastRenderedPageBreak/>
              <w:t>التنمية المستدامة</w:t>
            </w:r>
          </w:p>
        </w:tc>
        <w:tc>
          <w:tcPr>
            <w:tcW w:w="1296" w:type="dxa"/>
            <w:hideMark/>
          </w:tcPr>
          <w:p w14:paraId="236DDCC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 xml:space="preserve">وصفي – استبانة (400 طالب + 25 </w:t>
            </w:r>
            <w:r w:rsidRPr="005C44E0">
              <w:rPr>
                <w:rFonts w:ascii="Simplified Arabic" w:eastAsia="Times New Roman" w:hAnsi="Simplified Arabic" w:cs="Simplified Arabic" w:hint="cs"/>
                <w:kern w:val="0"/>
                <w:sz w:val="22"/>
                <w:szCs w:val="22"/>
                <w:rtl/>
                <w14:ligatures w14:val="none"/>
              </w:rPr>
              <w:lastRenderedPageBreak/>
              <w:t>عضو هيئة تدريس)</w:t>
            </w:r>
          </w:p>
        </w:tc>
        <w:tc>
          <w:tcPr>
            <w:tcW w:w="1029" w:type="dxa"/>
            <w:hideMark/>
          </w:tcPr>
          <w:p w14:paraId="48BA8A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 xml:space="preserve">وجود علاقة معنوية بين تطبيقات الذكاء </w:t>
            </w:r>
            <w:r w:rsidRPr="005C44E0">
              <w:rPr>
                <w:rFonts w:ascii="Simplified Arabic" w:eastAsia="Times New Roman" w:hAnsi="Simplified Arabic" w:cs="Simplified Arabic" w:hint="cs"/>
                <w:kern w:val="0"/>
                <w:sz w:val="22"/>
                <w:szCs w:val="22"/>
                <w:rtl/>
                <w14:ligatures w14:val="none"/>
              </w:rPr>
              <w:lastRenderedPageBreak/>
              <w:t>الاصطناعي والتنمية المستدامة</w:t>
            </w:r>
          </w:p>
        </w:tc>
        <w:tc>
          <w:tcPr>
            <w:tcW w:w="1153" w:type="dxa"/>
            <w:hideMark/>
          </w:tcPr>
          <w:p w14:paraId="375ED3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lastRenderedPageBreak/>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بالرؤى الوطنية للتنمية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lastRenderedPageBreak/>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سياق تعليمي مصري، ومتغير تابع مختلف كلياً عن سلسلة القيمة التشغيلية</w:t>
            </w:r>
          </w:p>
        </w:tc>
      </w:tr>
      <w:tr w:rsidR="005C44E0" w:rsidRPr="005C44E0" w14:paraId="6BABDB61" w14:textId="77777777" w:rsidTr="005C44E0">
        <w:tc>
          <w:tcPr>
            <w:tcW w:w="654" w:type="dxa"/>
            <w:hideMark/>
          </w:tcPr>
          <w:p w14:paraId="6EDC3A8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6</w:t>
            </w:r>
          </w:p>
        </w:tc>
        <w:tc>
          <w:tcPr>
            <w:tcW w:w="993" w:type="dxa"/>
            <w:hideMark/>
          </w:tcPr>
          <w:p w14:paraId="11BD677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الصفار</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2A36283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دور الذكاء الاصطناعي في تحسين جودة الخدمات في شركة الاتصالات السعودية</w:t>
            </w:r>
          </w:p>
        </w:tc>
        <w:tc>
          <w:tcPr>
            <w:tcW w:w="1018" w:type="dxa"/>
            <w:hideMark/>
          </w:tcPr>
          <w:p w14:paraId="7AB117A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دور الذكاء الاصطناعي في جودة الخدمات</w:t>
            </w:r>
          </w:p>
        </w:tc>
        <w:tc>
          <w:tcPr>
            <w:tcW w:w="1086" w:type="dxa"/>
            <w:hideMark/>
          </w:tcPr>
          <w:p w14:paraId="76E617F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مستقل: الذكاء الاصطناعي (الوكلاء </w:t>
            </w:r>
            <w:proofErr w:type="gramStart"/>
            <w:r w:rsidRPr="005C44E0">
              <w:rPr>
                <w:rFonts w:ascii="Simplified Arabic" w:eastAsia="Times New Roman" w:hAnsi="Simplified Arabic" w:cs="Simplified Arabic" w:hint="cs"/>
                <w:kern w:val="0"/>
                <w:sz w:val="22"/>
                <w:szCs w:val="22"/>
                <w:rtl/>
                <w14:ligatures w14:val="none"/>
              </w:rPr>
              <w:t>الأذكياء)/</w:t>
            </w:r>
            <w:proofErr w:type="gramEnd"/>
            <w:r w:rsidRPr="005C44E0">
              <w:rPr>
                <w:rFonts w:ascii="Simplified Arabic" w:eastAsia="Times New Roman" w:hAnsi="Simplified Arabic" w:cs="Simplified Arabic" w:hint="cs"/>
                <w:kern w:val="0"/>
                <w:sz w:val="22"/>
                <w:szCs w:val="22"/>
                <w:rtl/>
                <w14:ligatures w14:val="none"/>
              </w:rPr>
              <w:t xml:space="preserve"> تابع: جودة الخدمات</w:t>
            </w:r>
          </w:p>
        </w:tc>
        <w:tc>
          <w:tcPr>
            <w:tcW w:w="1296" w:type="dxa"/>
            <w:hideMark/>
          </w:tcPr>
          <w:p w14:paraId="74317F7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 (206 عاملين)</w:t>
            </w:r>
          </w:p>
        </w:tc>
        <w:tc>
          <w:tcPr>
            <w:tcW w:w="1029" w:type="dxa"/>
            <w:hideMark/>
          </w:tcPr>
          <w:p w14:paraId="29F50A3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ذو دلالة إحصائية للذكاء الاصطناعي مجتمعة على جودة الخدمات</w:t>
            </w:r>
          </w:p>
        </w:tc>
        <w:tc>
          <w:tcPr>
            <w:tcW w:w="1153" w:type="dxa"/>
            <w:hideMark/>
          </w:tcPr>
          <w:p w14:paraId="3895F38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السياق السعودي</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الاتصالات الخاص، ومتغير تابع (جودة الخدمة) مختلف عن سلسلة القيمة التشغيلية</w:t>
            </w:r>
          </w:p>
        </w:tc>
      </w:tr>
      <w:tr w:rsidR="005C44E0" w:rsidRPr="005C44E0" w14:paraId="45E6A5A9" w14:textId="77777777" w:rsidTr="005C44E0">
        <w:tc>
          <w:tcPr>
            <w:tcW w:w="654" w:type="dxa"/>
            <w:hideMark/>
          </w:tcPr>
          <w:p w14:paraId="3B0BFC9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المجموعة الثانية: دراسات سلسلة القيمة التشغيلية</w:t>
            </w:r>
          </w:p>
        </w:tc>
        <w:tc>
          <w:tcPr>
            <w:tcW w:w="993" w:type="dxa"/>
            <w:hideMark/>
          </w:tcPr>
          <w:p w14:paraId="55E528E8"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535F2B2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0506DC46"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733D14E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09572FCB"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70D144CD"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2749664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27E4C0A1" w14:textId="77777777" w:rsidTr="005C44E0">
        <w:tc>
          <w:tcPr>
            <w:tcW w:w="654" w:type="dxa"/>
            <w:hideMark/>
          </w:tcPr>
          <w:p w14:paraId="3C6E30B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7</w:t>
            </w:r>
          </w:p>
        </w:tc>
        <w:tc>
          <w:tcPr>
            <w:tcW w:w="993" w:type="dxa"/>
            <w:hideMark/>
          </w:tcPr>
          <w:p w14:paraId="6A50B58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جاد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3550C0F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قياس أثر المفاضلة المعيارية على سلاسل القيمة في شركات التحف بالقاهرة</w:t>
            </w:r>
          </w:p>
        </w:tc>
        <w:tc>
          <w:tcPr>
            <w:tcW w:w="1018" w:type="dxa"/>
            <w:hideMark/>
          </w:tcPr>
          <w:p w14:paraId="760814D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توضيح أثر المفاضلة المعيارية على تحسين </w:t>
            </w:r>
            <w:r w:rsidRPr="005C44E0">
              <w:rPr>
                <w:rFonts w:ascii="Simplified Arabic" w:eastAsia="Times New Roman" w:hAnsi="Simplified Arabic" w:cs="Simplified Arabic" w:hint="cs"/>
                <w:kern w:val="0"/>
                <w:sz w:val="22"/>
                <w:szCs w:val="22"/>
                <w:rtl/>
                <w14:ligatures w14:val="none"/>
              </w:rPr>
              <w:lastRenderedPageBreak/>
              <w:t>سلاسل القيمة</w:t>
            </w:r>
          </w:p>
        </w:tc>
        <w:tc>
          <w:tcPr>
            <w:tcW w:w="1086" w:type="dxa"/>
            <w:hideMark/>
          </w:tcPr>
          <w:p w14:paraId="2F14EDD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مستقل: المفاضلة المعيارية/ تابع: سلاسل القيمة</w:t>
            </w:r>
          </w:p>
        </w:tc>
        <w:tc>
          <w:tcPr>
            <w:tcW w:w="1296" w:type="dxa"/>
            <w:hideMark/>
          </w:tcPr>
          <w:p w14:paraId="50F4909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w:t>
            </w:r>
          </w:p>
        </w:tc>
        <w:tc>
          <w:tcPr>
            <w:tcW w:w="1029" w:type="dxa"/>
            <w:hideMark/>
          </w:tcPr>
          <w:p w14:paraId="515BE1F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علاقة طردية بين استخدام المفاضلة المعيارية وتحسين </w:t>
            </w:r>
            <w:r w:rsidRPr="005C44E0">
              <w:rPr>
                <w:rFonts w:ascii="Simplified Arabic" w:eastAsia="Times New Roman" w:hAnsi="Simplified Arabic" w:cs="Simplified Arabic" w:hint="cs"/>
                <w:kern w:val="0"/>
                <w:sz w:val="22"/>
                <w:szCs w:val="22"/>
                <w:rtl/>
                <w14:ligatures w14:val="none"/>
              </w:rPr>
              <w:lastRenderedPageBreak/>
              <w:t>سلاسل القيمة</w:t>
            </w:r>
          </w:p>
        </w:tc>
        <w:tc>
          <w:tcPr>
            <w:tcW w:w="1153" w:type="dxa"/>
            <w:hideMark/>
          </w:tcPr>
          <w:p w14:paraId="4CF9D81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lastRenderedPageBreak/>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كمتغير تابع</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 xml:space="preserve">المتغير </w:t>
            </w:r>
            <w:r w:rsidRPr="005C44E0">
              <w:rPr>
                <w:rFonts w:ascii="Simplified Arabic" w:eastAsia="Times New Roman" w:hAnsi="Simplified Arabic" w:cs="Simplified Arabic" w:hint="cs"/>
                <w:kern w:val="0"/>
                <w:sz w:val="22"/>
                <w:szCs w:val="22"/>
                <w:rtl/>
                <w14:ligatures w14:val="none"/>
              </w:rPr>
              <w:lastRenderedPageBreak/>
              <w:t>المستقل مختلف (المفاضلة المعيارية بدل الذكاء الاصطناعي)، والسياق صناعي مصري</w:t>
            </w:r>
          </w:p>
        </w:tc>
      </w:tr>
      <w:tr w:rsidR="005C44E0" w:rsidRPr="005C44E0" w14:paraId="020EBEC0" w14:textId="77777777" w:rsidTr="005C44E0">
        <w:tc>
          <w:tcPr>
            <w:tcW w:w="654" w:type="dxa"/>
            <w:hideMark/>
          </w:tcPr>
          <w:p w14:paraId="0DBEB02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8</w:t>
            </w:r>
          </w:p>
        </w:tc>
        <w:tc>
          <w:tcPr>
            <w:tcW w:w="993" w:type="dxa"/>
            <w:hideMark/>
          </w:tcPr>
          <w:p w14:paraId="67780BC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غدير وآخرون</w:t>
            </w:r>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3689BB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تأثير نظام معالجة المعاملات على الكفاءة التشغيلية في سوق الهال باللاذقية</w:t>
            </w:r>
          </w:p>
        </w:tc>
        <w:tc>
          <w:tcPr>
            <w:tcW w:w="1018" w:type="dxa"/>
            <w:hideMark/>
          </w:tcPr>
          <w:p w14:paraId="5F29E3A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بيان تأثير نظام معالجة المعاملات على الكفاءة التشغيلية</w:t>
            </w:r>
          </w:p>
        </w:tc>
        <w:tc>
          <w:tcPr>
            <w:tcW w:w="1086" w:type="dxa"/>
            <w:hideMark/>
          </w:tcPr>
          <w:p w14:paraId="650FCF1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نظام معالجة المعاملات/ تابع: الكفاءة التشغيلية</w:t>
            </w:r>
          </w:p>
        </w:tc>
        <w:tc>
          <w:tcPr>
            <w:tcW w:w="1296" w:type="dxa"/>
            <w:hideMark/>
          </w:tcPr>
          <w:p w14:paraId="2A8899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استبانة</w:t>
            </w:r>
          </w:p>
        </w:tc>
        <w:tc>
          <w:tcPr>
            <w:tcW w:w="1029" w:type="dxa"/>
            <w:hideMark/>
          </w:tcPr>
          <w:p w14:paraId="5575657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علاقة معنوية بين نظم معالجة المعاملات والكفاءة التشغيلية (ر = 0.648)</w:t>
            </w:r>
          </w:p>
        </w:tc>
        <w:tc>
          <w:tcPr>
            <w:tcW w:w="1153" w:type="dxa"/>
            <w:hideMark/>
          </w:tcPr>
          <w:p w14:paraId="13C184C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الكفاءة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متغير مستقل تقليدي (نظم معلومات) وليس ذكاءً اصطناعياً، والسياق تجاري سوري</w:t>
            </w:r>
          </w:p>
        </w:tc>
      </w:tr>
      <w:tr w:rsidR="005C44E0" w:rsidRPr="005C44E0" w14:paraId="7FCCEDC1" w14:textId="77777777" w:rsidTr="005C44E0">
        <w:tc>
          <w:tcPr>
            <w:tcW w:w="654" w:type="dxa"/>
            <w:hideMark/>
          </w:tcPr>
          <w:p w14:paraId="0AB88F0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9</w:t>
            </w:r>
          </w:p>
        </w:tc>
        <w:tc>
          <w:tcPr>
            <w:tcW w:w="993" w:type="dxa"/>
            <w:hideMark/>
          </w:tcPr>
          <w:p w14:paraId="65542A7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Mboyo et al. (2025)</w:t>
            </w:r>
          </w:p>
        </w:tc>
        <w:tc>
          <w:tcPr>
            <w:tcW w:w="1787" w:type="dxa"/>
            <w:hideMark/>
          </w:tcPr>
          <w:p w14:paraId="68EDA15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توزيع تكاليف التشغيل على طول سلسلة القيمة في منجم نحاس سطحي</w:t>
            </w:r>
          </w:p>
        </w:tc>
        <w:tc>
          <w:tcPr>
            <w:tcW w:w="1018" w:type="dxa"/>
            <w:hideMark/>
          </w:tcPr>
          <w:p w14:paraId="7F533EC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تحليل تكاليف التشغيل عبر حلقات سلسلة القيمة</w:t>
            </w:r>
          </w:p>
        </w:tc>
        <w:tc>
          <w:tcPr>
            <w:tcW w:w="1086" w:type="dxa"/>
            <w:hideMark/>
          </w:tcPr>
          <w:p w14:paraId="379D21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التوزيع </w:t>
            </w:r>
            <w:proofErr w:type="spellStart"/>
            <w:r w:rsidRPr="005C44E0">
              <w:rPr>
                <w:rFonts w:ascii="Simplified Arabic" w:eastAsia="Times New Roman" w:hAnsi="Simplified Arabic" w:cs="Simplified Arabic" w:hint="cs"/>
                <w:kern w:val="0"/>
                <w:sz w:val="22"/>
                <w:szCs w:val="22"/>
                <w:rtl/>
                <w14:ligatures w14:val="none"/>
              </w:rPr>
              <w:t>التكاليفي</w:t>
            </w:r>
            <w:proofErr w:type="spellEnd"/>
            <w:r w:rsidRPr="005C44E0">
              <w:rPr>
                <w:rFonts w:ascii="Simplified Arabic" w:eastAsia="Times New Roman" w:hAnsi="Simplified Arabic" w:cs="Simplified Arabic" w:hint="cs"/>
                <w:kern w:val="0"/>
                <w:sz w:val="22"/>
                <w:szCs w:val="22"/>
                <w:rtl/>
                <w14:ligatures w14:val="none"/>
              </w:rPr>
              <w:t xml:space="preserve"> على حلقات السلسلة</w:t>
            </w:r>
          </w:p>
        </w:tc>
        <w:tc>
          <w:tcPr>
            <w:tcW w:w="1296" w:type="dxa"/>
            <w:hideMark/>
          </w:tcPr>
          <w:p w14:paraId="220DB78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تحليل تكاليف – قياسات تشغيلية فعلية</w:t>
            </w:r>
          </w:p>
        </w:tc>
        <w:tc>
          <w:tcPr>
            <w:tcW w:w="1029" w:type="dxa"/>
            <w:hideMark/>
          </w:tcPr>
          <w:p w14:paraId="034762A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التمزيق والطحن يمثلان 70% من إجمالي التكاليف</w:t>
            </w:r>
          </w:p>
        </w:tc>
        <w:tc>
          <w:tcPr>
            <w:tcW w:w="1153" w:type="dxa"/>
            <w:hideMark/>
          </w:tcPr>
          <w:p w14:paraId="64A096F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المنهج التحليلي لسلسلة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تعديني، ومنهج تكاليفي بحت، دون تناول الذكاء الاصطناعي</w:t>
            </w:r>
          </w:p>
        </w:tc>
      </w:tr>
      <w:tr w:rsidR="005C44E0" w:rsidRPr="005C44E0" w14:paraId="04A64274" w14:textId="77777777" w:rsidTr="005C44E0">
        <w:tc>
          <w:tcPr>
            <w:tcW w:w="654" w:type="dxa"/>
            <w:hideMark/>
          </w:tcPr>
          <w:p w14:paraId="73C9FC6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10</w:t>
            </w:r>
          </w:p>
        </w:tc>
        <w:tc>
          <w:tcPr>
            <w:tcW w:w="993" w:type="dxa"/>
            <w:hideMark/>
          </w:tcPr>
          <w:p w14:paraId="26E4B57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 xml:space="preserve">Naas &amp; </w:t>
            </w:r>
            <w:proofErr w:type="spellStart"/>
            <w:r w:rsidRPr="005C44E0">
              <w:rPr>
                <w:rFonts w:ascii="Simplified Arabic" w:eastAsia="Times New Roman" w:hAnsi="Simplified Arabic" w:cs="Simplified Arabic" w:hint="cs"/>
                <w:kern w:val="0"/>
                <w:sz w:val="22"/>
                <w:szCs w:val="22"/>
                <w14:ligatures w14:val="none"/>
              </w:rPr>
              <w:t>Berass</w:t>
            </w:r>
            <w:proofErr w:type="spellEnd"/>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2F134D8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تحسين سلسلة القيمة من خلال الرقابة الإدارية في مؤسسة عامة</w:t>
            </w:r>
          </w:p>
        </w:tc>
        <w:tc>
          <w:tcPr>
            <w:tcW w:w="1018" w:type="dxa"/>
            <w:hideMark/>
          </w:tcPr>
          <w:p w14:paraId="129335E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التعرف على دور الرقابة الإدارية في تحسين </w:t>
            </w:r>
            <w:r w:rsidRPr="005C44E0">
              <w:rPr>
                <w:rFonts w:ascii="Simplified Arabic" w:eastAsia="Times New Roman" w:hAnsi="Simplified Arabic" w:cs="Simplified Arabic" w:hint="cs"/>
                <w:kern w:val="0"/>
                <w:sz w:val="22"/>
                <w:szCs w:val="22"/>
                <w:rtl/>
                <w14:ligatures w14:val="none"/>
              </w:rPr>
              <w:lastRenderedPageBreak/>
              <w:t>سلسلة القيمة</w:t>
            </w:r>
          </w:p>
        </w:tc>
        <w:tc>
          <w:tcPr>
            <w:tcW w:w="1086" w:type="dxa"/>
            <w:hideMark/>
          </w:tcPr>
          <w:p w14:paraId="348889C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مستقل: الرقابة الإدارية/ تابع: سلسلة القيمة</w:t>
            </w:r>
          </w:p>
        </w:tc>
        <w:tc>
          <w:tcPr>
            <w:tcW w:w="1296" w:type="dxa"/>
            <w:hideMark/>
          </w:tcPr>
          <w:p w14:paraId="751B9354"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دراسة حالة</w:t>
            </w:r>
          </w:p>
        </w:tc>
        <w:tc>
          <w:tcPr>
            <w:tcW w:w="1029" w:type="dxa"/>
            <w:hideMark/>
          </w:tcPr>
          <w:p w14:paraId="3DEFE22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الرقابة الإدارية تُمكّن من قرارات مبنية على </w:t>
            </w:r>
            <w:r w:rsidRPr="005C44E0">
              <w:rPr>
                <w:rFonts w:ascii="Simplified Arabic" w:eastAsia="Times New Roman" w:hAnsi="Simplified Arabic" w:cs="Simplified Arabic" w:hint="cs"/>
                <w:kern w:val="0"/>
                <w:sz w:val="22"/>
                <w:szCs w:val="22"/>
                <w:rtl/>
                <w14:ligatures w14:val="none"/>
              </w:rPr>
              <w:lastRenderedPageBreak/>
              <w:t>البيانات وتعزز القدرة التنافسية</w:t>
            </w:r>
          </w:p>
        </w:tc>
        <w:tc>
          <w:tcPr>
            <w:tcW w:w="1153" w:type="dxa"/>
            <w:hideMark/>
          </w:tcPr>
          <w:p w14:paraId="36C37D2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lastRenderedPageBreak/>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في مؤسسة عامة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lastRenderedPageBreak/>
              <w:t>متغير مستقل مختلف (رقابة إدارية بدل ذكاء اصطناعي)، ومنهج نوعي (دراسة حالة)</w:t>
            </w:r>
          </w:p>
        </w:tc>
      </w:tr>
      <w:tr w:rsidR="005C44E0" w:rsidRPr="005C44E0" w14:paraId="0DDB6478" w14:textId="77777777" w:rsidTr="005C44E0">
        <w:tc>
          <w:tcPr>
            <w:tcW w:w="654" w:type="dxa"/>
            <w:hideMark/>
          </w:tcPr>
          <w:p w14:paraId="79500F7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11</w:t>
            </w:r>
          </w:p>
        </w:tc>
        <w:tc>
          <w:tcPr>
            <w:tcW w:w="993" w:type="dxa"/>
            <w:hideMark/>
          </w:tcPr>
          <w:p w14:paraId="0F6E3255"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spellStart"/>
            <w:r w:rsidRPr="005C44E0">
              <w:rPr>
                <w:rFonts w:ascii="Simplified Arabic" w:eastAsia="Times New Roman" w:hAnsi="Simplified Arabic" w:cs="Simplified Arabic" w:hint="cs"/>
                <w:kern w:val="0"/>
                <w:sz w:val="22"/>
                <w:szCs w:val="22"/>
                <w14:ligatures w14:val="none"/>
              </w:rPr>
              <w:t>Tyapukhin</w:t>
            </w:r>
            <w:proofErr w:type="spellEnd"/>
            <w:r w:rsidRPr="005C44E0">
              <w:rPr>
                <w:rFonts w:ascii="Simplified Arabic" w:eastAsia="Times New Roman" w:hAnsi="Simplified Arabic" w:cs="Simplified Arabic" w:hint="cs"/>
                <w:kern w:val="0"/>
                <w:sz w:val="22"/>
                <w:szCs w:val="22"/>
                <w14:ligatures w14:val="none"/>
              </w:rPr>
              <w:t xml:space="preserve"> (2023)</w:t>
            </w:r>
          </w:p>
        </w:tc>
        <w:tc>
          <w:tcPr>
            <w:tcW w:w="1787" w:type="dxa"/>
            <w:hideMark/>
          </w:tcPr>
          <w:p w14:paraId="118DA22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مفهوم إدارة سلسلة القيمة</w:t>
            </w:r>
          </w:p>
        </w:tc>
        <w:tc>
          <w:tcPr>
            <w:tcW w:w="1018" w:type="dxa"/>
            <w:hideMark/>
          </w:tcPr>
          <w:p w14:paraId="0192594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تطوير إطار متكامل لإدارة السلاسل</w:t>
            </w:r>
          </w:p>
        </w:tc>
        <w:tc>
          <w:tcPr>
            <w:tcW w:w="1086" w:type="dxa"/>
            <w:hideMark/>
          </w:tcPr>
          <w:p w14:paraId="6677F1F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إطار مفاهيمي لأنواع السلاسل</w:t>
            </w:r>
          </w:p>
        </w:tc>
        <w:tc>
          <w:tcPr>
            <w:tcW w:w="1296" w:type="dxa"/>
            <w:hideMark/>
          </w:tcPr>
          <w:p w14:paraId="2289EC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مصفوفات ثنائية</w:t>
            </w:r>
          </w:p>
        </w:tc>
        <w:tc>
          <w:tcPr>
            <w:tcW w:w="1029" w:type="dxa"/>
            <w:hideMark/>
          </w:tcPr>
          <w:p w14:paraId="204179D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تصنيفات جديدة وهيكل متكامل لمفهوم إدارة السلاسل</w:t>
            </w:r>
          </w:p>
        </w:tc>
        <w:tc>
          <w:tcPr>
            <w:tcW w:w="1153" w:type="dxa"/>
            <w:hideMark/>
          </w:tcPr>
          <w:p w14:paraId="0AEBA9B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الأساس المفاهيمي لسلسلة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نظرية مفاهيمية دون تطبيق ميداني، ودون ربط بالذكاء الاصطناعي</w:t>
            </w:r>
          </w:p>
        </w:tc>
      </w:tr>
      <w:tr w:rsidR="005C44E0" w:rsidRPr="005C44E0" w14:paraId="4A9B995C" w14:textId="77777777" w:rsidTr="005C44E0">
        <w:tc>
          <w:tcPr>
            <w:tcW w:w="654" w:type="dxa"/>
            <w:hideMark/>
          </w:tcPr>
          <w:p w14:paraId="34AA1AE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12</w:t>
            </w:r>
          </w:p>
        </w:tc>
        <w:tc>
          <w:tcPr>
            <w:tcW w:w="993" w:type="dxa"/>
            <w:hideMark/>
          </w:tcPr>
          <w:p w14:paraId="7CD6B21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Fan et al. (2021)</w:t>
            </w:r>
          </w:p>
        </w:tc>
        <w:tc>
          <w:tcPr>
            <w:tcW w:w="1787" w:type="dxa"/>
            <w:hideMark/>
          </w:tcPr>
          <w:p w14:paraId="537AC93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التحليل التنافسي لنمط تشغيل سلسلة القيمة في الاقتصاد الأخضر</w:t>
            </w:r>
          </w:p>
        </w:tc>
        <w:tc>
          <w:tcPr>
            <w:tcW w:w="1018" w:type="dxa"/>
            <w:hideMark/>
          </w:tcPr>
          <w:p w14:paraId="2886FB8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نموذج التشغيل على الأداء التسويقي</w:t>
            </w:r>
          </w:p>
        </w:tc>
        <w:tc>
          <w:tcPr>
            <w:tcW w:w="1086" w:type="dxa"/>
            <w:hideMark/>
          </w:tcPr>
          <w:p w14:paraId="5D6B759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نموذج تشغيل سلسلة القيمة/ الأداء التسويقي</w:t>
            </w:r>
          </w:p>
        </w:tc>
        <w:tc>
          <w:tcPr>
            <w:tcW w:w="1296" w:type="dxa"/>
            <w:hideMark/>
          </w:tcPr>
          <w:p w14:paraId="7E8B8AC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 نماذج محاكاة اقتصادية</w:t>
            </w:r>
            <w:r w:rsidRPr="005C44E0">
              <w:rPr>
                <w:rFonts w:ascii="Simplified Arabic" w:eastAsia="Times New Roman" w:hAnsi="Simplified Arabic" w:cs="Simplified Arabic" w:hint="cs"/>
                <w:kern w:val="0"/>
                <w:sz w:val="22"/>
                <w:szCs w:val="22"/>
                <w14:ligatures w14:val="none"/>
              </w:rPr>
              <w:t xml:space="preserve"> (Cournot &amp; Stackelberg)</w:t>
            </w:r>
          </w:p>
        </w:tc>
        <w:tc>
          <w:tcPr>
            <w:tcW w:w="1029" w:type="dxa"/>
            <w:hideMark/>
          </w:tcPr>
          <w:p w14:paraId="4A58F65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تحويل النمط للاقتصاد الأخضر يزيد نمو الدخل بنسبة 9.03</w:t>
            </w:r>
            <w:r w:rsidRPr="005C44E0">
              <w:rPr>
                <w:rFonts w:ascii="Simplified Arabic" w:eastAsia="Times New Roman" w:hAnsi="Simplified Arabic" w:cs="Simplified Arabic" w:hint="cs"/>
                <w:kern w:val="0"/>
                <w:sz w:val="22"/>
                <w:szCs w:val="22"/>
                <w14:ligatures w14:val="none"/>
              </w:rPr>
              <w:t>%</w:t>
            </w:r>
          </w:p>
        </w:tc>
        <w:tc>
          <w:tcPr>
            <w:tcW w:w="1153" w:type="dxa"/>
            <w:hideMark/>
          </w:tcPr>
          <w:p w14:paraId="51EEA0C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تناول سلسلة القيمة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منهج محاكاة اقتصادية، وسياق الاقتصاد الأخضر، دون تناول الذكاء الاصطناعي</w:t>
            </w:r>
          </w:p>
        </w:tc>
      </w:tr>
      <w:tr w:rsidR="005C44E0" w:rsidRPr="005C44E0" w14:paraId="3DC4D994" w14:textId="77777777" w:rsidTr="005C44E0">
        <w:tc>
          <w:tcPr>
            <w:tcW w:w="654" w:type="dxa"/>
            <w:hideMark/>
          </w:tcPr>
          <w:p w14:paraId="4E5743C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 xml:space="preserve">المجموعة الثالثة: دراسات الذكاء </w:t>
            </w:r>
            <w:r w:rsidRPr="005C44E0">
              <w:rPr>
                <w:rFonts w:ascii="Simplified Arabic" w:eastAsia="Times New Roman" w:hAnsi="Simplified Arabic" w:cs="Simplified Arabic" w:hint="cs"/>
                <w:b/>
                <w:bCs/>
                <w:kern w:val="0"/>
                <w:sz w:val="22"/>
                <w:szCs w:val="22"/>
                <w:rtl/>
                <w14:ligatures w14:val="none"/>
              </w:rPr>
              <w:lastRenderedPageBreak/>
              <w:t>الاصطناعي وسلسلة القيمة معاً</w:t>
            </w:r>
          </w:p>
        </w:tc>
        <w:tc>
          <w:tcPr>
            <w:tcW w:w="993" w:type="dxa"/>
            <w:hideMark/>
          </w:tcPr>
          <w:p w14:paraId="04D0E019"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787" w:type="dxa"/>
            <w:hideMark/>
          </w:tcPr>
          <w:p w14:paraId="5C31E3A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18" w:type="dxa"/>
            <w:hideMark/>
          </w:tcPr>
          <w:p w14:paraId="00F6EC24"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86" w:type="dxa"/>
            <w:hideMark/>
          </w:tcPr>
          <w:p w14:paraId="1BCDC13A"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296" w:type="dxa"/>
            <w:hideMark/>
          </w:tcPr>
          <w:p w14:paraId="3F7A7EA0"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029" w:type="dxa"/>
            <w:hideMark/>
          </w:tcPr>
          <w:p w14:paraId="59589A13" w14:textId="77777777" w:rsidR="005C44E0" w:rsidRPr="005C44E0" w:rsidRDefault="005C44E0" w:rsidP="005C44E0">
            <w:pPr>
              <w:rPr>
                <w:rFonts w:ascii="Simplified Arabic" w:eastAsia="Times New Roman" w:hAnsi="Simplified Arabic" w:cs="Simplified Arabic"/>
                <w:kern w:val="0"/>
                <w:sz w:val="22"/>
                <w:szCs w:val="22"/>
                <w14:ligatures w14:val="none"/>
              </w:rPr>
            </w:pPr>
          </w:p>
        </w:tc>
        <w:tc>
          <w:tcPr>
            <w:tcW w:w="1153" w:type="dxa"/>
            <w:hideMark/>
          </w:tcPr>
          <w:p w14:paraId="371BBA3F" w14:textId="77777777" w:rsidR="005C44E0" w:rsidRPr="005C44E0" w:rsidRDefault="005C44E0" w:rsidP="005C44E0">
            <w:pPr>
              <w:rPr>
                <w:rFonts w:ascii="Simplified Arabic" w:eastAsia="Times New Roman" w:hAnsi="Simplified Arabic" w:cs="Simplified Arabic"/>
                <w:kern w:val="0"/>
                <w:sz w:val="22"/>
                <w:szCs w:val="22"/>
                <w14:ligatures w14:val="none"/>
              </w:rPr>
            </w:pPr>
          </w:p>
        </w:tc>
      </w:tr>
      <w:tr w:rsidR="005C44E0" w:rsidRPr="005C44E0" w14:paraId="505BD70C" w14:textId="77777777" w:rsidTr="005C44E0">
        <w:tc>
          <w:tcPr>
            <w:tcW w:w="654" w:type="dxa"/>
            <w:hideMark/>
          </w:tcPr>
          <w:p w14:paraId="43DBE2A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13</w:t>
            </w:r>
          </w:p>
        </w:tc>
        <w:tc>
          <w:tcPr>
            <w:tcW w:w="993" w:type="dxa"/>
            <w:hideMark/>
          </w:tcPr>
          <w:p w14:paraId="6593CD81"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Yusuf et al. (2025)</w:t>
            </w:r>
          </w:p>
        </w:tc>
        <w:tc>
          <w:tcPr>
            <w:tcW w:w="1787" w:type="dxa"/>
            <w:hideMark/>
          </w:tcPr>
          <w:p w14:paraId="723FB2B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عمليات سلسلة الإمداد</w:t>
            </w:r>
          </w:p>
        </w:tc>
        <w:tc>
          <w:tcPr>
            <w:tcW w:w="1018" w:type="dxa"/>
            <w:hideMark/>
          </w:tcPr>
          <w:p w14:paraId="10B8030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مقارنة العمليات التقليدية بالمعتمدة على الذكاء الاصطناعي</w:t>
            </w:r>
          </w:p>
        </w:tc>
        <w:tc>
          <w:tcPr>
            <w:tcW w:w="1086" w:type="dxa"/>
            <w:hideMark/>
          </w:tcPr>
          <w:p w14:paraId="7E59EB3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الإمداد</w:t>
            </w:r>
          </w:p>
        </w:tc>
        <w:tc>
          <w:tcPr>
            <w:tcW w:w="1296" w:type="dxa"/>
            <w:hideMark/>
          </w:tcPr>
          <w:p w14:paraId="5AA10FC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مقارنة تحليلية</w:t>
            </w:r>
          </w:p>
        </w:tc>
        <w:tc>
          <w:tcPr>
            <w:tcW w:w="1029" w:type="dxa"/>
            <w:hideMark/>
          </w:tcPr>
          <w:p w14:paraId="6FE7B9C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تحسن دقة التنبؤ بالطلب 20-30% وانخفاض الاضطرابات 25-40</w:t>
            </w:r>
            <w:r w:rsidRPr="005C44E0">
              <w:rPr>
                <w:rFonts w:ascii="Simplified Arabic" w:eastAsia="Times New Roman" w:hAnsi="Simplified Arabic" w:cs="Simplified Arabic" w:hint="cs"/>
                <w:kern w:val="0"/>
                <w:sz w:val="22"/>
                <w:szCs w:val="22"/>
                <w14:ligatures w14:val="none"/>
              </w:rPr>
              <w:t>%</w:t>
            </w:r>
          </w:p>
        </w:tc>
        <w:tc>
          <w:tcPr>
            <w:tcW w:w="1153" w:type="dxa"/>
            <w:hideMark/>
          </w:tcPr>
          <w:p w14:paraId="27CF221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الذكاء الاصطناعي وسلسلة القيمة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سلسلة إمداد صناعية عالمية، أما الحالية فسلسلة قيمة تشغيلية حكومية سعودية</w:t>
            </w:r>
          </w:p>
        </w:tc>
      </w:tr>
      <w:tr w:rsidR="005C44E0" w:rsidRPr="005C44E0" w14:paraId="5879F41E" w14:textId="77777777" w:rsidTr="005C44E0">
        <w:tc>
          <w:tcPr>
            <w:tcW w:w="654" w:type="dxa"/>
            <w:hideMark/>
          </w:tcPr>
          <w:p w14:paraId="6E55C98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14</w:t>
            </w:r>
          </w:p>
        </w:tc>
        <w:tc>
          <w:tcPr>
            <w:tcW w:w="993" w:type="dxa"/>
            <w:hideMark/>
          </w:tcPr>
          <w:p w14:paraId="6C20A4D7"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spellStart"/>
            <w:r w:rsidRPr="005C44E0">
              <w:rPr>
                <w:rFonts w:ascii="Simplified Arabic" w:eastAsia="Times New Roman" w:hAnsi="Simplified Arabic" w:cs="Simplified Arabic" w:hint="cs"/>
                <w:kern w:val="0"/>
                <w:sz w:val="22"/>
                <w:szCs w:val="22"/>
                <w14:ligatures w14:val="none"/>
              </w:rPr>
              <w:t>Pokamestov</w:t>
            </w:r>
            <w:proofErr w:type="spellEnd"/>
            <w:r w:rsidRPr="005C44E0">
              <w:rPr>
                <w:rFonts w:ascii="Simplified Arabic" w:eastAsia="Times New Roman" w:hAnsi="Simplified Arabic" w:cs="Simplified Arabic" w:hint="cs"/>
                <w:kern w:val="0"/>
                <w:sz w:val="22"/>
                <w:szCs w:val="22"/>
                <w14:ligatures w14:val="none"/>
              </w:rPr>
              <w:t xml:space="preserve"> &amp; Nikitin (2024)</w:t>
            </w:r>
          </w:p>
        </w:tc>
        <w:tc>
          <w:tcPr>
            <w:tcW w:w="1787" w:type="dxa"/>
            <w:hideMark/>
          </w:tcPr>
          <w:p w14:paraId="3B60CED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تقنيات الذكاء الاصطناعي كأداة لتحويل سلاسل القيمة في البنوك التجارية الروسية</w:t>
            </w:r>
          </w:p>
        </w:tc>
        <w:tc>
          <w:tcPr>
            <w:tcW w:w="1018" w:type="dxa"/>
            <w:hideMark/>
          </w:tcPr>
          <w:p w14:paraId="0BEC800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إمكانية تطبيق الذكاء الاصطناعي في سلاسل القيمة المصرفية</w:t>
            </w:r>
          </w:p>
        </w:tc>
        <w:tc>
          <w:tcPr>
            <w:tcW w:w="1086" w:type="dxa"/>
            <w:hideMark/>
          </w:tcPr>
          <w:p w14:paraId="0AF93A0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القيمة المصرفية</w:t>
            </w:r>
          </w:p>
        </w:tc>
        <w:tc>
          <w:tcPr>
            <w:tcW w:w="1296" w:type="dxa"/>
            <w:hideMark/>
          </w:tcPr>
          <w:p w14:paraId="163501E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تحليل حالات واقعية</w:t>
            </w:r>
          </w:p>
        </w:tc>
        <w:tc>
          <w:tcPr>
            <w:tcW w:w="1029" w:type="dxa"/>
            <w:hideMark/>
          </w:tcPr>
          <w:p w14:paraId="0A97CEF2"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نماذج الذكاء الاصطناعي تُشكّل عملية دعم مستقلة ترفع كفاءة الأنشطة الأساسية</w:t>
            </w:r>
          </w:p>
        </w:tc>
        <w:tc>
          <w:tcPr>
            <w:tcW w:w="1153" w:type="dxa"/>
            <w:hideMark/>
          </w:tcPr>
          <w:p w14:paraId="7CEAD85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قطاع مصرفي روسي، ومنهج تحليل حالات، أما الحالية فقطاع حكومي سعودي بمنهج كمي</w:t>
            </w:r>
          </w:p>
        </w:tc>
      </w:tr>
      <w:tr w:rsidR="005C44E0" w:rsidRPr="005C44E0" w14:paraId="449037C0" w14:textId="77777777" w:rsidTr="005C44E0">
        <w:tc>
          <w:tcPr>
            <w:tcW w:w="654" w:type="dxa"/>
            <w:hideMark/>
          </w:tcPr>
          <w:p w14:paraId="5997086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15</w:t>
            </w:r>
          </w:p>
        </w:tc>
        <w:tc>
          <w:tcPr>
            <w:tcW w:w="993" w:type="dxa"/>
            <w:hideMark/>
          </w:tcPr>
          <w:p w14:paraId="122B1C2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Faisal (2025)</w:t>
            </w:r>
          </w:p>
        </w:tc>
        <w:tc>
          <w:tcPr>
            <w:tcW w:w="1787" w:type="dxa"/>
            <w:hideMark/>
          </w:tcPr>
          <w:p w14:paraId="1AE40D3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سلاسل الإمداد والمالية</w:t>
            </w:r>
          </w:p>
        </w:tc>
        <w:tc>
          <w:tcPr>
            <w:tcW w:w="1018" w:type="dxa"/>
            <w:hideMark/>
          </w:tcPr>
          <w:p w14:paraId="39DBB2E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تحديد أثر الذكاء الاصطناعي على </w:t>
            </w:r>
            <w:r w:rsidRPr="005C44E0">
              <w:rPr>
                <w:rFonts w:ascii="Simplified Arabic" w:eastAsia="Times New Roman" w:hAnsi="Simplified Arabic" w:cs="Simplified Arabic" w:hint="cs"/>
                <w:kern w:val="0"/>
                <w:sz w:val="22"/>
                <w:szCs w:val="22"/>
                <w:rtl/>
                <w14:ligatures w14:val="none"/>
              </w:rPr>
              <w:lastRenderedPageBreak/>
              <w:t>الكفاءة وإدارة المخاطر</w:t>
            </w:r>
          </w:p>
        </w:tc>
        <w:tc>
          <w:tcPr>
            <w:tcW w:w="1086" w:type="dxa"/>
            <w:hideMark/>
          </w:tcPr>
          <w:p w14:paraId="3C6BED9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 xml:space="preserve">مستقل: الذكاء الاصطناعي/ تابع: </w:t>
            </w:r>
            <w:r w:rsidRPr="005C44E0">
              <w:rPr>
                <w:rFonts w:ascii="Simplified Arabic" w:eastAsia="Times New Roman" w:hAnsi="Simplified Arabic" w:cs="Simplified Arabic" w:hint="cs"/>
                <w:kern w:val="0"/>
                <w:sz w:val="22"/>
                <w:szCs w:val="22"/>
                <w:rtl/>
                <w14:ligatures w14:val="none"/>
              </w:rPr>
              <w:lastRenderedPageBreak/>
              <w:t>الكفاءة التشغيلية وإدارة المخاطر</w:t>
            </w:r>
          </w:p>
        </w:tc>
        <w:tc>
          <w:tcPr>
            <w:tcW w:w="1296" w:type="dxa"/>
            <w:hideMark/>
          </w:tcPr>
          <w:p w14:paraId="13858163"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كمي – نموذج معادلات هيكلية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14:ligatures w14:val="none"/>
              </w:rPr>
              <w:lastRenderedPageBreak/>
              <w:t>(</w:t>
            </w:r>
            <w:proofErr w:type="spellStart"/>
            <w:r w:rsidRPr="005C44E0">
              <w:rPr>
                <w:rFonts w:ascii="Simplified Arabic" w:eastAsia="Times New Roman" w:hAnsi="Simplified Arabic" w:cs="Simplified Arabic" w:hint="cs"/>
                <w:kern w:val="0"/>
                <w:sz w:val="22"/>
                <w:szCs w:val="22"/>
                <w14:ligatures w14:val="none"/>
              </w:rPr>
              <w:t>SmartPLS</w:t>
            </w:r>
            <w:proofErr w:type="spellEnd"/>
            <w:r w:rsidRPr="005C44E0">
              <w:rPr>
                <w:rFonts w:ascii="Simplified Arabic" w:eastAsia="Times New Roman" w:hAnsi="Simplified Arabic" w:cs="Simplified Arabic" w:hint="cs"/>
                <w:kern w:val="0"/>
                <w:sz w:val="22"/>
                <w:szCs w:val="22"/>
                <w14:ligatures w14:val="none"/>
              </w:rPr>
              <w:t xml:space="preserve">) – 736 </w:t>
            </w:r>
            <w:r w:rsidRPr="005C44E0">
              <w:rPr>
                <w:rFonts w:ascii="Simplified Arabic" w:eastAsia="Times New Roman" w:hAnsi="Simplified Arabic" w:cs="Simplified Arabic" w:hint="cs"/>
                <w:kern w:val="0"/>
                <w:sz w:val="22"/>
                <w:szCs w:val="22"/>
                <w:rtl/>
                <w14:ligatures w14:val="none"/>
              </w:rPr>
              <w:t>مفردة</w:t>
            </w:r>
          </w:p>
        </w:tc>
        <w:tc>
          <w:tcPr>
            <w:tcW w:w="1029" w:type="dxa"/>
            <w:hideMark/>
          </w:tcPr>
          <w:p w14:paraId="03C15EC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lastRenderedPageBreak/>
              <w:t>علاقات دالة بين دمج الذكاء الاصطناع</w:t>
            </w:r>
            <w:r w:rsidRPr="005C44E0">
              <w:rPr>
                <w:rFonts w:ascii="Simplified Arabic" w:eastAsia="Times New Roman" w:hAnsi="Simplified Arabic" w:cs="Simplified Arabic" w:hint="cs"/>
                <w:kern w:val="0"/>
                <w:sz w:val="22"/>
                <w:szCs w:val="22"/>
                <w:rtl/>
                <w14:ligatures w14:val="none"/>
              </w:rPr>
              <w:lastRenderedPageBreak/>
              <w:t>ي وتحسين الكفاءة التشغيلية</w:t>
            </w:r>
          </w:p>
        </w:tc>
        <w:tc>
          <w:tcPr>
            <w:tcW w:w="1153" w:type="dxa"/>
            <w:hideMark/>
          </w:tcPr>
          <w:p w14:paraId="2C5E9BE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lastRenderedPageBreak/>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المنهج الكمي والربط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lastRenderedPageBreak/>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سياق هندي في قطاع خاص، أما الحالية فسياق حكومي سعودي</w:t>
            </w:r>
          </w:p>
        </w:tc>
      </w:tr>
      <w:tr w:rsidR="005C44E0" w:rsidRPr="005C44E0" w14:paraId="52672862" w14:textId="77777777" w:rsidTr="005C44E0">
        <w:tc>
          <w:tcPr>
            <w:tcW w:w="654" w:type="dxa"/>
            <w:hideMark/>
          </w:tcPr>
          <w:p w14:paraId="6BB78F1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lastRenderedPageBreak/>
              <w:t>16</w:t>
            </w:r>
          </w:p>
        </w:tc>
        <w:tc>
          <w:tcPr>
            <w:tcW w:w="993" w:type="dxa"/>
            <w:hideMark/>
          </w:tcPr>
          <w:p w14:paraId="7BFA9850" w14:textId="77777777" w:rsidR="005C44E0" w:rsidRPr="005C44E0" w:rsidRDefault="005C44E0" w:rsidP="005C44E0">
            <w:pPr>
              <w:rPr>
                <w:rFonts w:ascii="Simplified Arabic" w:eastAsia="Times New Roman" w:hAnsi="Simplified Arabic" w:cs="Simplified Arabic"/>
                <w:kern w:val="0"/>
                <w:sz w:val="22"/>
                <w:szCs w:val="22"/>
                <w14:ligatures w14:val="none"/>
              </w:rPr>
            </w:pPr>
            <w:proofErr w:type="spellStart"/>
            <w:r w:rsidRPr="005C44E0">
              <w:rPr>
                <w:rFonts w:ascii="Simplified Arabic" w:eastAsia="Times New Roman" w:hAnsi="Simplified Arabic" w:cs="Simplified Arabic" w:hint="cs"/>
                <w:kern w:val="0"/>
                <w:sz w:val="22"/>
                <w:szCs w:val="22"/>
                <w14:ligatures w14:val="none"/>
              </w:rPr>
              <w:t>Nathany</w:t>
            </w:r>
            <w:proofErr w:type="spellEnd"/>
            <w:r w:rsidRPr="005C44E0">
              <w:rPr>
                <w:rFonts w:ascii="Simplified Arabic" w:eastAsia="Times New Roman" w:hAnsi="Simplified Arabic" w:cs="Simplified Arabic" w:hint="cs"/>
                <w:kern w:val="0"/>
                <w:sz w:val="22"/>
                <w:szCs w:val="22"/>
                <w14:ligatures w14:val="none"/>
              </w:rPr>
              <w:t xml:space="preserve"> (2022)</w:t>
            </w:r>
          </w:p>
        </w:tc>
        <w:tc>
          <w:tcPr>
            <w:tcW w:w="1787" w:type="dxa"/>
            <w:hideMark/>
          </w:tcPr>
          <w:p w14:paraId="57B21F3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سلسلة الإمداد</w:t>
            </w:r>
          </w:p>
        </w:tc>
        <w:tc>
          <w:tcPr>
            <w:tcW w:w="1018" w:type="dxa"/>
            <w:hideMark/>
          </w:tcPr>
          <w:p w14:paraId="6765297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تطبيقات الذكاء الاصطناعي في سلاسل الإمداد</w:t>
            </w:r>
          </w:p>
        </w:tc>
        <w:tc>
          <w:tcPr>
            <w:tcW w:w="1086" w:type="dxa"/>
            <w:hideMark/>
          </w:tcPr>
          <w:p w14:paraId="2EF4D748"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سلسلة الإمداد</w:t>
            </w:r>
          </w:p>
        </w:tc>
        <w:tc>
          <w:tcPr>
            <w:tcW w:w="1296" w:type="dxa"/>
            <w:hideMark/>
          </w:tcPr>
          <w:p w14:paraId="01F3B43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مراجعة منهجية للأدبيات</w:t>
            </w:r>
          </w:p>
        </w:tc>
        <w:tc>
          <w:tcPr>
            <w:tcW w:w="1029" w:type="dxa"/>
            <w:hideMark/>
          </w:tcPr>
          <w:p w14:paraId="7D5520E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يعزز كفاءة العمليات ودقة التنبؤ وإدارة المخزون</w:t>
            </w:r>
          </w:p>
        </w:tc>
        <w:tc>
          <w:tcPr>
            <w:tcW w:w="1153" w:type="dxa"/>
            <w:hideMark/>
          </w:tcPr>
          <w:p w14:paraId="45DD35D6"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المتغيرين</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دراسة مكتبية وليست ميدانية، وسياق سلاسل إمداد صناعية</w:t>
            </w:r>
          </w:p>
        </w:tc>
      </w:tr>
      <w:tr w:rsidR="005C44E0" w:rsidRPr="005C44E0" w14:paraId="5C09D6CE" w14:textId="77777777" w:rsidTr="005C44E0">
        <w:tc>
          <w:tcPr>
            <w:tcW w:w="654" w:type="dxa"/>
            <w:hideMark/>
          </w:tcPr>
          <w:p w14:paraId="5A85290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17</w:t>
            </w:r>
          </w:p>
        </w:tc>
        <w:tc>
          <w:tcPr>
            <w:tcW w:w="993" w:type="dxa"/>
            <w:hideMark/>
          </w:tcPr>
          <w:p w14:paraId="418464F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Kumar et al. (2024)</w:t>
            </w:r>
          </w:p>
        </w:tc>
        <w:tc>
          <w:tcPr>
            <w:tcW w:w="1787" w:type="dxa"/>
            <w:hideMark/>
          </w:tcPr>
          <w:p w14:paraId="0F22F729"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أثر الذكاء الاصطناعي على إدارة العمليات</w:t>
            </w:r>
          </w:p>
        </w:tc>
        <w:tc>
          <w:tcPr>
            <w:tcW w:w="1018" w:type="dxa"/>
            <w:hideMark/>
          </w:tcPr>
          <w:p w14:paraId="4B708AAE"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مقارنة خوارزميات التعلم الآلي بالأساليب التقليدية في التنبؤ</w:t>
            </w:r>
          </w:p>
        </w:tc>
        <w:tc>
          <w:tcPr>
            <w:tcW w:w="1086" w:type="dxa"/>
            <w:hideMark/>
          </w:tcPr>
          <w:p w14:paraId="3785043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خوارزميات التعلم الآلي/ تابع: التنبؤ بالطلب</w:t>
            </w:r>
          </w:p>
        </w:tc>
        <w:tc>
          <w:tcPr>
            <w:tcW w:w="1296" w:type="dxa"/>
            <w:hideMark/>
          </w:tcPr>
          <w:p w14:paraId="04FE6A27"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مقارنة كمية بين خوارزميات</w:t>
            </w:r>
          </w:p>
        </w:tc>
        <w:tc>
          <w:tcPr>
            <w:tcW w:w="1029" w:type="dxa"/>
            <w:hideMark/>
          </w:tcPr>
          <w:p w14:paraId="2F3AFCF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تفوق نماذج التعلم الآلي في دقة التنبؤ على الأساليب التقليدية</w:t>
            </w:r>
          </w:p>
        </w:tc>
        <w:tc>
          <w:tcPr>
            <w:tcW w:w="1153" w:type="dxa"/>
            <w:hideMark/>
          </w:tcPr>
          <w:p w14:paraId="05064175"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استخدام الذكاء الاصطناعي في العمليات</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تركيز على التنبؤ بالطلب في قطاع السيارات الهندي، دون تناول شامل لسلسلة القيمة</w:t>
            </w:r>
          </w:p>
        </w:tc>
      </w:tr>
      <w:tr w:rsidR="005C44E0" w:rsidRPr="005C44E0" w14:paraId="0C130EA5" w14:textId="77777777" w:rsidTr="005C44E0">
        <w:tc>
          <w:tcPr>
            <w:tcW w:w="654" w:type="dxa"/>
            <w:hideMark/>
          </w:tcPr>
          <w:p w14:paraId="00828A9C"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18</w:t>
            </w:r>
          </w:p>
        </w:tc>
        <w:tc>
          <w:tcPr>
            <w:tcW w:w="993" w:type="dxa"/>
            <w:hideMark/>
          </w:tcPr>
          <w:p w14:paraId="2B0C3A1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14:ligatures w14:val="none"/>
              </w:rPr>
              <w:t xml:space="preserve">Thenmozhi &amp; </w:t>
            </w:r>
            <w:proofErr w:type="spellStart"/>
            <w:r w:rsidRPr="005C44E0">
              <w:rPr>
                <w:rFonts w:ascii="Simplified Arabic" w:eastAsia="Times New Roman" w:hAnsi="Simplified Arabic" w:cs="Simplified Arabic" w:hint="cs"/>
                <w:kern w:val="0"/>
                <w:sz w:val="22"/>
                <w:szCs w:val="22"/>
                <w14:ligatures w14:val="none"/>
              </w:rPr>
              <w:t>Krisknakumari</w:t>
            </w:r>
            <w:proofErr w:type="spellEnd"/>
            <w:r w:rsidRPr="005C44E0">
              <w:rPr>
                <w:rFonts w:ascii="Simplified Arabic" w:eastAsia="Times New Roman" w:hAnsi="Simplified Arabic" w:cs="Simplified Arabic" w:hint="cs"/>
                <w:kern w:val="0"/>
                <w:sz w:val="22"/>
                <w:szCs w:val="22"/>
                <w14:ligatures w14:val="none"/>
              </w:rPr>
              <w:t xml:space="preserve"> (2024)</w:t>
            </w:r>
          </w:p>
        </w:tc>
        <w:tc>
          <w:tcPr>
            <w:tcW w:w="1787" w:type="dxa"/>
            <w:hideMark/>
          </w:tcPr>
          <w:p w14:paraId="0F1E7AA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الذكاء الاصطناعي في تعزيز الكفاءة التشغيلية في اللوجستيات</w:t>
            </w:r>
          </w:p>
        </w:tc>
        <w:tc>
          <w:tcPr>
            <w:tcW w:w="1018" w:type="dxa"/>
            <w:hideMark/>
          </w:tcPr>
          <w:p w14:paraId="1F53166B"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التعرف على أثر الذكاء الاصطناعي في الكفاءة التشغيلية</w:t>
            </w:r>
          </w:p>
        </w:tc>
        <w:tc>
          <w:tcPr>
            <w:tcW w:w="1086" w:type="dxa"/>
            <w:hideMark/>
          </w:tcPr>
          <w:p w14:paraId="518FD13D"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مستقل: الذكاء الاصطناعي/ تابع: الكفاءة التشغيلية</w:t>
            </w:r>
          </w:p>
        </w:tc>
        <w:tc>
          <w:tcPr>
            <w:tcW w:w="1296" w:type="dxa"/>
            <w:hideMark/>
          </w:tcPr>
          <w:p w14:paraId="155AE27F"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وصفي تحليلي – مراجعة أدبيات</w:t>
            </w:r>
          </w:p>
        </w:tc>
        <w:tc>
          <w:tcPr>
            <w:tcW w:w="1029" w:type="dxa"/>
            <w:hideMark/>
          </w:tcPr>
          <w:p w14:paraId="5AAFEF50"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kern w:val="0"/>
                <w:sz w:val="22"/>
                <w:szCs w:val="22"/>
                <w:rtl/>
                <w14:ligatures w14:val="none"/>
              </w:rPr>
              <w:t xml:space="preserve">الذكاء الاصطناعي يُسهم في الأتمتة ودقة التنبؤ وتحسين </w:t>
            </w:r>
            <w:r w:rsidRPr="005C44E0">
              <w:rPr>
                <w:rFonts w:ascii="Simplified Arabic" w:eastAsia="Times New Roman" w:hAnsi="Simplified Arabic" w:cs="Simplified Arabic" w:hint="cs"/>
                <w:kern w:val="0"/>
                <w:sz w:val="22"/>
                <w:szCs w:val="22"/>
                <w:rtl/>
                <w14:ligatures w14:val="none"/>
              </w:rPr>
              <w:lastRenderedPageBreak/>
              <w:t>تجربة العملاء</w:t>
            </w:r>
          </w:p>
        </w:tc>
        <w:tc>
          <w:tcPr>
            <w:tcW w:w="1153" w:type="dxa"/>
            <w:hideMark/>
          </w:tcPr>
          <w:p w14:paraId="2A7CAD5A" w14:textId="77777777" w:rsidR="005C44E0" w:rsidRPr="005C44E0" w:rsidRDefault="005C44E0" w:rsidP="005C44E0">
            <w:pPr>
              <w:rPr>
                <w:rFonts w:ascii="Simplified Arabic" w:eastAsia="Times New Roman" w:hAnsi="Simplified Arabic" w:cs="Simplified Arabic"/>
                <w:kern w:val="0"/>
                <w:sz w:val="22"/>
                <w:szCs w:val="22"/>
                <w14:ligatures w14:val="none"/>
              </w:rPr>
            </w:pPr>
            <w:r w:rsidRPr="005C44E0">
              <w:rPr>
                <w:rFonts w:ascii="Simplified Arabic" w:eastAsia="Times New Roman" w:hAnsi="Simplified Arabic" w:cs="Simplified Arabic" w:hint="cs"/>
                <w:b/>
                <w:bCs/>
                <w:kern w:val="0"/>
                <w:sz w:val="22"/>
                <w:szCs w:val="22"/>
                <w:rtl/>
                <w14:ligatures w14:val="none"/>
              </w:rPr>
              <w:lastRenderedPageBreak/>
              <w:t>اتفاق</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الربط بين الذكاء الاصطناعي والكفاءة التشغيلية</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b/>
                <w:bCs/>
                <w:kern w:val="0"/>
                <w:sz w:val="22"/>
                <w:szCs w:val="22"/>
                <w:rtl/>
                <w14:ligatures w14:val="none"/>
              </w:rPr>
              <w:t>اختلاف</w:t>
            </w:r>
            <w:r w:rsidRPr="005C44E0">
              <w:rPr>
                <w:rFonts w:ascii="Simplified Arabic" w:eastAsia="Times New Roman" w:hAnsi="Simplified Arabic" w:cs="Simplified Arabic" w:hint="cs"/>
                <w:b/>
                <w:bCs/>
                <w:kern w:val="0"/>
                <w:sz w:val="22"/>
                <w:szCs w:val="22"/>
                <w14:ligatures w14:val="none"/>
              </w:rPr>
              <w:t>:</w:t>
            </w:r>
            <w:r w:rsidRPr="005C44E0">
              <w:rPr>
                <w:rFonts w:ascii="Simplified Arabic" w:eastAsia="Times New Roman" w:hAnsi="Simplified Arabic" w:cs="Simplified Arabic" w:hint="cs"/>
                <w:kern w:val="0"/>
                <w:sz w:val="22"/>
                <w:szCs w:val="22"/>
                <w14:ligatures w14:val="none"/>
              </w:rPr>
              <w:t xml:space="preserve"> </w:t>
            </w:r>
            <w:r w:rsidRPr="005C44E0">
              <w:rPr>
                <w:rFonts w:ascii="Simplified Arabic" w:eastAsia="Times New Roman" w:hAnsi="Simplified Arabic" w:cs="Simplified Arabic" w:hint="cs"/>
                <w:kern w:val="0"/>
                <w:sz w:val="22"/>
                <w:szCs w:val="22"/>
                <w:rtl/>
                <w14:ligatures w14:val="none"/>
              </w:rPr>
              <w:t xml:space="preserve">دراسة مكتبية </w:t>
            </w:r>
            <w:r w:rsidRPr="005C44E0">
              <w:rPr>
                <w:rFonts w:ascii="Simplified Arabic" w:eastAsia="Times New Roman" w:hAnsi="Simplified Arabic" w:cs="Simplified Arabic" w:hint="cs"/>
                <w:kern w:val="0"/>
                <w:sz w:val="22"/>
                <w:szCs w:val="22"/>
                <w:rtl/>
                <w14:ligatures w14:val="none"/>
              </w:rPr>
              <w:lastRenderedPageBreak/>
              <w:t>دون تطبيق ميداني، وسياق لوجستي وليس حكومي</w:t>
            </w:r>
          </w:p>
        </w:tc>
      </w:tr>
    </w:tbl>
    <w:p w14:paraId="216B33AF" w14:textId="77777777" w:rsidR="005C44E0" w:rsidRPr="005C44E0" w:rsidRDefault="005C44E0" w:rsidP="00C47BC4">
      <w:pPr>
        <w:jc w:val="both"/>
        <w:rPr>
          <w:rFonts w:ascii="Simplified Arabic" w:hAnsi="Simplified Arabic" w:cs="Simplified Arabic"/>
          <w:sz w:val="28"/>
          <w:szCs w:val="28"/>
          <w:rtl/>
          <w:lang w:bidi="ar-EG"/>
        </w:rPr>
      </w:pPr>
    </w:p>
    <w:p w14:paraId="7F2B00CE" w14:textId="1C6AF8D0" w:rsidR="00C47BC4" w:rsidRDefault="00C47BC4" w:rsidP="00C47BC4">
      <w:pPr>
        <w:pStyle w:val="1"/>
        <w:rPr>
          <w:rtl/>
        </w:rPr>
      </w:pPr>
      <w:bookmarkStart w:id="17" w:name="_Toc202053530"/>
      <w:r>
        <w:rPr>
          <w:rFonts w:hint="cs"/>
          <w:rtl/>
        </w:rPr>
        <w:t>الفجوة البحثية</w:t>
      </w:r>
      <w:bookmarkEnd w:id="17"/>
      <w:r>
        <w:rPr>
          <w:rFonts w:hint="cs"/>
          <w:rtl/>
        </w:rPr>
        <w:t xml:space="preserve"> </w:t>
      </w:r>
    </w:p>
    <w:p w14:paraId="4BA9434E"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يكشف استعراض الدراسات السابقة في مجموعاتها الثلاث عن اتجاه عام يؤكد أهمية الذكاء الاصطناعي في تحسين الأداء المؤسسي وسلاسل القيمة، إلا أن هذه الدراسات مجتمعةً تترك فجوات بحثية واضحة تسعى الدراسة الحالية إلى معالجتها بشكل مباشر</w:t>
      </w:r>
      <w:r w:rsidRPr="00071EE4">
        <w:rPr>
          <w:rFonts w:ascii="Simplified Arabic" w:hAnsi="Simplified Arabic" w:cs="Simplified Arabic"/>
          <w:sz w:val="28"/>
          <w:szCs w:val="28"/>
          <w:highlight w:val="yellow"/>
        </w:rPr>
        <w:t>.</w:t>
      </w:r>
    </w:p>
    <w:p w14:paraId="3787D2CA"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أولاً: الفجوة في السياق التطبيقي</w:t>
      </w:r>
      <w:r w:rsidRPr="00071EE4">
        <w:rPr>
          <w:rFonts w:ascii="Simplified Arabic" w:hAnsi="Simplified Arabic" w:cs="Simplified Arabic"/>
          <w:b/>
          <w:bCs/>
          <w:sz w:val="28"/>
          <w:szCs w:val="28"/>
          <w:highlight w:val="yellow"/>
        </w:rPr>
        <w:t>:</w:t>
      </w:r>
    </w:p>
    <w:p w14:paraId="70AE65D9"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ركّزت الدراسات السابقة على قطاعات محددة كالبنوك (المصاروة والسرحان 2021؛ طيبي ومولاي 2023؛ صقر وآخرون 2024)، والتعليم (حسن وآخرون 2024)، والاتصالات (الصفار 2024)، والصناعة (جاد وآخرون 2024)، واللوجستيات</w:t>
      </w:r>
      <w:r w:rsidRPr="00071EE4">
        <w:rPr>
          <w:rFonts w:ascii="Simplified Arabic" w:hAnsi="Simplified Arabic" w:cs="Simplified Arabic"/>
          <w:sz w:val="28"/>
          <w:szCs w:val="28"/>
          <w:highlight w:val="yellow"/>
        </w:rPr>
        <w:t xml:space="preserve"> (Yusuf et al., 2025</w:t>
      </w:r>
      <w:r w:rsidRPr="00071EE4">
        <w:rPr>
          <w:rFonts w:ascii="Simplified Arabic" w:hAnsi="Simplified Arabic" w:cs="Simplified Arabic"/>
          <w:sz w:val="28"/>
          <w:szCs w:val="28"/>
          <w:highlight w:val="yellow"/>
          <w:rtl/>
        </w:rPr>
        <w:t>؛</w:t>
      </w:r>
      <w:r w:rsidRPr="00071EE4">
        <w:rPr>
          <w:rFonts w:ascii="Simplified Arabic" w:hAnsi="Simplified Arabic" w:cs="Simplified Arabic"/>
          <w:sz w:val="28"/>
          <w:szCs w:val="28"/>
          <w:highlight w:val="yellow"/>
        </w:rPr>
        <w:t xml:space="preserve"> </w:t>
      </w:r>
      <w:proofErr w:type="spellStart"/>
      <w:r w:rsidRPr="00071EE4">
        <w:rPr>
          <w:rFonts w:ascii="Simplified Arabic" w:hAnsi="Simplified Arabic" w:cs="Simplified Arabic"/>
          <w:sz w:val="28"/>
          <w:szCs w:val="28"/>
          <w:highlight w:val="yellow"/>
        </w:rPr>
        <w:t>Nathany</w:t>
      </w:r>
      <w:proofErr w:type="spellEnd"/>
      <w:r w:rsidRPr="00071EE4">
        <w:rPr>
          <w:rFonts w:ascii="Simplified Arabic" w:hAnsi="Simplified Arabic" w:cs="Simplified Arabic"/>
          <w:sz w:val="28"/>
          <w:szCs w:val="28"/>
          <w:highlight w:val="yellow"/>
        </w:rPr>
        <w:t xml:space="preserve"> 2022). </w:t>
      </w:r>
      <w:r w:rsidRPr="00071EE4">
        <w:rPr>
          <w:rFonts w:ascii="Simplified Arabic" w:hAnsi="Simplified Arabic" w:cs="Simplified Arabic"/>
          <w:sz w:val="28"/>
          <w:szCs w:val="28"/>
          <w:highlight w:val="yellow"/>
          <w:rtl/>
        </w:rPr>
        <w:t>ولم تتناول أي منها المؤسسات الحكومية الكبرى في المملكة العربية السعودية، رغم أن هذه المؤسسات تختلف عن القطاعات المذكورة في طبيعة عملها والقيود التي تحكمها ونوعية القيمة التي تسعى لتحقيقها. وتسد الدراسة الحالية هذه الفجوة من خلال التركيز على القطاع الحكومي السعودي مع مراعاة خصوصيته النظرية، لا مجرد اعتباره ميداناً جديداً لتطبيق نتائج جاهزة</w:t>
      </w:r>
      <w:r w:rsidRPr="00071EE4">
        <w:rPr>
          <w:rFonts w:ascii="Simplified Arabic" w:hAnsi="Simplified Arabic" w:cs="Simplified Arabic"/>
          <w:sz w:val="28"/>
          <w:szCs w:val="28"/>
          <w:highlight w:val="yellow"/>
        </w:rPr>
        <w:t>.</w:t>
      </w:r>
    </w:p>
    <w:p w14:paraId="6D862732"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ثانياً: الفجوة في المتغير التابع</w:t>
      </w:r>
      <w:r w:rsidRPr="00071EE4">
        <w:rPr>
          <w:rFonts w:ascii="Simplified Arabic" w:hAnsi="Simplified Arabic" w:cs="Simplified Arabic"/>
          <w:b/>
          <w:bCs/>
          <w:sz w:val="28"/>
          <w:szCs w:val="28"/>
          <w:highlight w:val="yellow"/>
        </w:rPr>
        <w:t>:</w:t>
      </w:r>
    </w:p>
    <w:p w14:paraId="4E9AA29F"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تعاملت معظم الدراسات السابقة مع نتائج الذكاء الاصطناعي بوصفها متغيرات متعددة كالأداء المؤسسي، والرشاقة الاستراتيجية، وابتكار الخدمة، وجودة الخدمات. وحين تناولت بعض الدراسات سلسلة القيمة أو الكفاءة التشغيلية، فقد فعلت ذلك من زوايا جزئية كالتكاليف</w:t>
      </w:r>
      <w:r w:rsidRPr="00071EE4">
        <w:rPr>
          <w:rFonts w:ascii="Simplified Arabic" w:hAnsi="Simplified Arabic" w:cs="Simplified Arabic"/>
          <w:sz w:val="28"/>
          <w:szCs w:val="28"/>
          <w:highlight w:val="yellow"/>
        </w:rPr>
        <w:t xml:space="preserve"> (Mboyo et al., 2025)</w:t>
      </w:r>
      <w:r w:rsidRPr="00071EE4">
        <w:rPr>
          <w:rFonts w:ascii="Simplified Arabic" w:hAnsi="Simplified Arabic" w:cs="Simplified Arabic"/>
          <w:sz w:val="28"/>
          <w:szCs w:val="28"/>
          <w:highlight w:val="yellow"/>
          <w:rtl/>
        </w:rPr>
        <w:t>، أو الرقابة الإدارية</w:t>
      </w:r>
      <w:r w:rsidRPr="00071EE4">
        <w:rPr>
          <w:rFonts w:ascii="Simplified Arabic" w:hAnsi="Simplified Arabic" w:cs="Simplified Arabic"/>
          <w:sz w:val="28"/>
          <w:szCs w:val="28"/>
          <w:highlight w:val="yellow"/>
        </w:rPr>
        <w:t xml:space="preserve"> (Naas &amp; </w:t>
      </w:r>
      <w:proofErr w:type="spellStart"/>
      <w:r w:rsidRPr="00071EE4">
        <w:rPr>
          <w:rFonts w:ascii="Simplified Arabic" w:hAnsi="Simplified Arabic" w:cs="Simplified Arabic"/>
          <w:sz w:val="28"/>
          <w:szCs w:val="28"/>
          <w:highlight w:val="yellow"/>
        </w:rPr>
        <w:t>Berass</w:t>
      </w:r>
      <w:proofErr w:type="spellEnd"/>
      <w:r w:rsidRPr="00071EE4">
        <w:rPr>
          <w:rFonts w:ascii="Simplified Arabic" w:hAnsi="Simplified Arabic" w:cs="Simplified Arabic"/>
          <w:sz w:val="28"/>
          <w:szCs w:val="28"/>
          <w:highlight w:val="yellow"/>
        </w:rPr>
        <w:t>, 2024)</w:t>
      </w:r>
      <w:r w:rsidRPr="00071EE4">
        <w:rPr>
          <w:rFonts w:ascii="Simplified Arabic" w:hAnsi="Simplified Arabic" w:cs="Simplified Arabic"/>
          <w:sz w:val="28"/>
          <w:szCs w:val="28"/>
          <w:highlight w:val="yellow"/>
          <w:rtl/>
        </w:rPr>
        <w:t>، أو نظم معالجة المعاملات (غدير وآخرون 2024). وتُقدّم الدراسة الحالية إسهاماً أصيلاً في هذا الجانب من خلال تناول سلسلة القيمة التشغيلية بوصفها متغيراً تابعاً متكاملاً بأبعاد أربعة تعكس منظومة العمل الحكومي من مرحلة استقبال الطلب إلى مرحلة ما بعد تقديم الخدمة</w:t>
      </w:r>
      <w:r w:rsidRPr="00071EE4">
        <w:rPr>
          <w:rFonts w:ascii="Simplified Arabic" w:hAnsi="Simplified Arabic" w:cs="Simplified Arabic"/>
          <w:sz w:val="28"/>
          <w:szCs w:val="28"/>
          <w:highlight w:val="yellow"/>
        </w:rPr>
        <w:t>.</w:t>
      </w:r>
    </w:p>
    <w:p w14:paraId="1D5D9889"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lastRenderedPageBreak/>
        <w:t>ثالثاً: الفجوة في الإطار النظري</w:t>
      </w:r>
      <w:r w:rsidRPr="00071EE4">
        <w:rPr>
          <w:rFonts w:ascii="Simplified Arabic" w:hAnsi="Simplified Arabic" w:cs="Simplified Arabic"/>
          <w:b/>
          <w:bCs/>
          <w:sz w:val="28"/>
          <w:szCs w:val="28"/>
          <w:highlight w:val="yellow"/>
        </w:rPr>
        <w:t>:</w:t>
      </w:r>
    </w:p>
    <w:p w14:paraId="2AB19364"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اعتمدت الدراسات السابقة في الغالب على إطار نظري واحد لتفسير أثر الذكاء الاصطناعي، سواء كان نظرية الموارد أو نموذج قبول التقنية أو نظرية الابتكار. وتُقدّم الدراسة الحالية إسهاماً نظرياً من خلال الدمج بين ثلاث نظريات هي نظرية الموارد وإطار</w:t>
      </w:r>
      <w:r w:rsidRPr="00071EE4">
        <w:rPr>
          <w:rFonts w:ascii="Simplified Arabic" w:hAnsi="Simplified Arabic" w:cs="Simplified Arabic"/>
          <w:sz w:val="28"/>
          <w:szCs w:val="28"/>
          <w:highlight w:val="yellow"/>
        </w:rPr>
        <w:t xml:space="preserve"> TOE </w:t>
      </w:r>
      <w:r w:rsidRPr="00071EE4">
        <w:rPr>
          <w:rFonts w:ascii="Simplified Arabic" w:hAnsi="Simplified Arabic" w:cs="Simplified Arabic"/>
          <w:sz w:val="28"/>
          <w:szCs w:val="28"/>
          <w:highlight w:val="yellow"/>
          <w:rtl/>
        </w:rPr>
        <w:t>والنظرية المؤسسية في نموذج واحد يُفسّر كيف يتحول الذكاء الاصطناعي من مورد تقني إلى قدرة تشغيلية داخل بيئة حكومية لها قيودها وضغوطها الخاصة، وهو ما لم تُقدّمه أي من الدراسات السابقة</w:t>
      </w:r>
      <w:r w:rsidRPr="00071EE4">
        <w:rPr>
          <w:rFonts w:ascii="Simplified Arabic" w:hAnsi="Simplified Arabic" w:cs="Simplified Arabic"/>
          <w:sz w:val="28"/>
          <w:szCs w:val="28"/>
          <w:highlight w:val="yellow"/>
        </w:rPr>
        <w:t>.</w:t>
      </w:r>
    </w:p>
    <w:p w14:paraId="79703213"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رابعاً: الفجوة في التمييز بين فئات المؤسسات الحكومية</w:t>
      </w:r>
      <w:r w:rsidRPr="00071EE4">
        <w:rPr>
          <w:rFonts w:ascii="Simplified Arabic" w:hAnsi="Simplified Arabic" w:cs="Simplified Arabic"/>
          <w:b/>
          <w:bCs/>
          <w:sz w:val="28"/>
          <w:szCs w:val="28"/>
          <w:highlight w:val="yellow"/>
        </w:rPr>
        <w:t>:</w:t>
      </w:r>
    </w:p>
    <w:p w14:paraId="603DFF6E"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تعاملت الدراسات القليلة التي تناولت القطاع العام مع المؤسسات الحكومية بوصفها كتلة واحدة متجانسة. وتُقدّم الدراسة الحالية إسهاماً تحليلياً من خلال التمييز بين ثلاث فئات مختلفة من المؤسسات الحكومية (خدمية، سيادية، متخصصة)، واختبار ما إذا كان أثر الذكاء الاصطناعي على سلسلة القيمة يختلف بين هذه الفئات باستخدام تحليل المجموعات المتعددة، وهو مدخل تحليلي جديد في هذا الحقل</w:t>
      </w:r>
      <w:r w:rsidRPr="00071EE4">
        <w:rPr>
          <w:rFonts w:ascii="Simplified Arabic" w:hAnsi="Simplified Arabic" w:cs="Simplified Arabic"/>
          <w:sz w:val="28"/>
          <w:szCs w:val="28"/>
          <w:highlight w:val="yellow"/>
        </w:rPr>
        <w:t>.</w:t>
      </w:r>
    </w:p>
    <w:p w14:paraId="457D1AF8"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b/>
          <w:bCs/>
          <w:sz w:val="28"/>
          <w:szCs w:val="28"/>
          <w:highlight w:val="yellow"/>
          <w:rtl/>
        </w:rPr>
        <w:t>خامساً: الفجوة في الإسهام التطبيقي</w:t>
      </w:r>
      <w:r w:rsidRPr="00071EE4">
        <w:rPr>
          <w:rFonts w:ascii="Simplified Arabic" w:hAnsi="Simplified Arabic" w:cs="Simplified Arabic"/>
          <w:b/>
          <w:bCs/>
          <w:sz w:val="28"/>
          <w:szCs w:val="28"/>
          <w:highlight w:val="yellow"/>
        </w:rPr>
        <w:t>:</w:t>
      </w:r>
    </w:p>
    <w:p w14:paraId="6B80672B" w14:textId="77777777" w:rsidR="00071EE4" w:rsidRPr="00071EE4" w:rsidRDefault="00071EE4" w:rsidP="00071EE4">
      <w:pPr>
        <w:jc w:val="both"/>
        <w:rPr>
          <w:rFonts w:ascii="Simplified Arabic" w:hAnsi="Simplified Arabic" w:cs="Simplified Arabic"/>
          <w:sz w:val="28"/>
          <w:szCs w:val="28"/>
          <w:highlight w:val="yellow"/>
        </w:rPr>
      </w:pPr>
      <w:r w:rsidRPr="00071EE4">
        <w:rPr>
          <w:rFonts w:ascii="Simplified Arabic" w:hAnsi="Simplified Arabic" w:cs="Simplified Arabic"/>
          <w:sz w:val="28"/>
          <w:szCs w:val="28"/>
          <w:highlight w:val="yellow"/>
          <w:rtl/>
        </w:rPr>
        <w:t>اكتفت معظم الدراسات السابقة بتقديم توصيات عامة في نهاية نتائجها. وتسعى الدراسة الحالية إلى تجاوز هذا المستوى من خلال بناء مقياس متخصص لسلسلة القيمة التشغيلية الحكومية يمكن للباحثين اللاحقين استخدامه، إضافة إلى تطوير مؤشر تشخيصي لجاهزية المؤسسات الحكومية لتكامل الذكاء الاصطناعي مع سلسلة قيمتها التشغيلية، بحيث تصبح نتائج الدراسة أداة عملية قابلة للتطبيق لا مجرد توصيات نظرية</w:t>
      </w:r>
      <w:r w:rsidRPr="00071EE4">
        <w:rPr>
          <w:rFonts w:ascii="Simplified Arabic" w:hAnsi="Simplified Arabic" w:cs="Simplified Arabic"/>
          <w:sz w:val="28"/>
          <w:szCs w:val="28"/>
          <w:highlight w:val="yellow"/>
        </w:rPr>
        <w:t>.</w:t>
      </w:r>
    </w:p>
    <w:p w14:paraId="3802DCF9" w14:textId="77777777" w:rsidR="00071EE4" w:rsidRDefault="00071EE4" w:rsidP="00071EE4">
      <w:pPr>
        <w:jc w:val="both"/>
        <w:rPr>
          <w:rFonts w:ascii="Simplified Arabic" w:hAnsi="Simplified Arabic" w:cs="Simplified Arabic"/>
          <w:sz w:val="28"/>
          <w:szCs w:val="28"/>
          <w:rtl/>
        </w:rPr>
      </w:pPr>
      <w:r w:rsidRPr="00071EE4">
        <w:rPr>
          <w:rFonts w:ascii="Simplified Arabic" w:hAnsi="Simplified Arabic" w:cs="Simplified Arabic"/>
          <w:sz w:val="28"/>
          <w:szCs w:val="28"/>
          <w:highlight w:val="yellow"/>
          <w:rtl/>
        </w:rPr>
        <w:t>وبناءً على ما سبق، لا تسعى الدراسة الحالية إلى ملء فراغ بحثي فحسب، بل تُقدّم إسهامات محددة على أربعة مستويات</w:t>
      </w:r>
      <w:r w:rsidRPr="00071EE4">
        <w:rPr>
          <w:rFonts w:ascii="Simplified Arabic" w:hAnsi="Simplified Arabic" w:cs="Simplified Arabic"/>
          <w:sz w:val="28"/>
          <w:szCs w:val="28"/>
          <w:highlight w:val="yellow"/>
        </w:rPr>
        <w:t xml:space="preserve">: </w:t>
      </w:r>
      <w:proofErr w:type="spellStart"/>
      <w:r w:rsidRPr="00071EE4">
        <w:rPr>
          <w:rFonts w:ascii="Simplified Arabic" w:hAnsi="Simplified Arabic" w:cs="Simplified Arabic"/>
          <w:sz w:val="28"/>
          <w:szCs w:val="28"/>
          <w:highlight w:val="yellow"/>
          <w:rtl/>
        </w:rPr>
        <w:t>سياقياً</w:t>
      </w:r>
      <w:proofErr w:type="spellEnd"/>
      <w:r w:rsidRPr="00071EE4">
        <w:rPr>
          <w:rFonts w:ascii="Simplified Arabic" w:hAnsi="Simplified Arabic" w:cs="Simplified Arabic"/>
          <w:sz w:val="28"/>
          <w:szCs w:val="28"/>
          <w:highlight w:val="yellow"/>
          <w:rtl/>
        </w:rPr>
        <w:t xml:space="preserve"> بتناولها القطاع الحكومي السعودي بخصوصيته، ونظرياً بدمجها ثلاث نظريات في نموذج واحد، ومنهجياً بتطوير مقياس متخصص وإجراء تحليل مقارن بين فئات المؤسسات، وتطبيقياً ببناء مؤشر تشخيصي عملي</w:t>
      </w:r>
      <w:r w:rsidRPr="00071EE4">
        <w:rPr>
          <w:rFonts w:ascii="Simplified Arabic" w:hAnsi="Simplified Arabic" w:cs="Simplified Arabic"/>
          <w:sz w:val="28"/>
          <w:szCs w:val="28"/>
          <w:highlight w:val="yellow"/>
        </w:rPr>
        <w:t>.</w:t>
      </w:r>
    </w:p>
    <w:p w14:paraId="31C26D14" w14:textId="33F7154A"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b/>
          <w:bCs/>
          <w:color w:val="EE0000"/>
          <w:sz w:val="28"/>
          <w:szCs w:val="28"/>
          <w:rtl/>
        </w:rPr>
        <w:t xml:space="preserve">جدول (11) التحليل النقدي للدراسات السابقة </w:t>
      </w:r>
    </w:p>
    <w:tbl>
      <w:tblPr>
        <w:tblStyle w:val="af1"/>
        <w:bidiVisual/>
        <w:tblW w:w="0" w:type="auto"/>
        <w:tblLook w:val="04A0" w:firstRow="1" w:lastRow="0" w:firstColumn="1" w:lastColumn="0" w:noHBand="0" w:noVBand="1"/>
      </w:tblPr>
      <w:tblGrid>
        <w:gridCol w:w="511"/>
        <w:gridCol w:w="1829"/>
        <w:gridCol w:w="1671"/>
        <w:gridCol w:w="1298"/>
        <w:gridCol w:w="2405"/>
        <w:gridCol w:w="1302"/>
      </w:tblGrid>
      <w:tr w:rsidR="00EE3287" w:rsidRPr="00EE3287" w14:paraId="04A4F107" w14:textId="77777777" w:rsidTr="00EE3287">
        <w:tc>
          <w:tcPr>
            <w:tcW w:w="0" w:type="auto"/>
            <w:hideMark/>
          </w:tcPr>
          <w:p w14:paraId="0ADF78DA" w14:textId="77777777" w:rsidR="00EE3287" w:rsidRPr="00EE3287" w:rsidRDefault="00EE3287" w:rsidP="00EE3287">
            <w:pPr>
              <w:spacing w:after="160" w:line="278" w:lineRule="auto"/>
              <w:jc w:val="both"/>
              <w:rPr>
                <w:rFonts w:ascii="Simplified Arabic" w:hAnsi="Simplified Arabic" w:cs="Simplified Arabic"/>
                <w:b/>
                <w:bCs/>
                <w:color w:val="EE0000"/>
                <w:sz w:val="28"/>
                <w:szCs w:val="28"/>
                <w:rtl/>
              </w:rPr>
            </w:pPr>
            <w:r w:rsidRPr="00EE3287">
              <w:rPr>
                <w:rFonts w:ascii="Simplified Arabic" w:hAnsi="Simplified Arabic" w:cs="Simplified Arabic"/>
                <w:b/>
                <w:bCs/>
                <w:color w:val="EE0000"/>
                <w:sz w:val="28"/>
                <w:szCs w:val="28"/>
              </w:rPr>
              <w:t>#</w:t>
            </w:r>
          </w:p>
        </w:tc>
        <w:tc>
          <w:tcPr>
            <w:tcW w:w="0" w:type="auto"/>
            <w:hideMark/>
          </w:tcPr>
          <w:p w14:paraId="3A2C0758" w14:textId="77777777" w:rsidR="00EE3287" w:rsidRPr="00EE3287" w:rsidRDefault="00EE3287" w:rsidP="00EE3287">
            <w:pPr>
              <w:spacing w:after="160" w:line="278" w:lineRule="auto"/>
              <w:jc w:val="both"/>
              <w:rPr>
                <w:rFonts w:ascii="Simplified Arabic" w:hAnsi="Simplified Arabic" w:cs="Simplified Arabic"/>
                <w:b/>
                <w:bCs/>
                <w:color w:val="EE0000"/>
                <w:sz w:val="28"/>
                <w:szCs w:val="28"/>
              </w:rPr>
            </w:pPr>
            <w:r w:rsidRPr="00EE3287">
              <w:rPr>
                <w:rFonts w:ascii="Simplified Arabic" w:hAnsi="Simplified Arabic" w:cs="Simplified Arabic"/>
                <w:b/>
                <w:bCs/>
                <w:color w:val="EE0000"/>
                <w:sz w:val="28"/>
                <w:szCs w:val="28"/>
                <w:rtl/>
              </w:rPr>
              <w:t>الدراسة</w:t>
            </w:r>
          </w:p>
        </w:tc>
        <w:tc>
          <w:tcPr>
            <w:tcW w:w="0" w:type="auto"/>
            <w:hideMark/>
          </w:tcPr>
          <w:p w14:paraId="46228962" w14:textId="77777777" w:rsidR="00EE3287" w:rsidRPr="00EE3287" w:rsidRDefault="00EE3287" w:rsidP="00EE3287">
            <w:pPr>
              <w:spacing w:after="160" w:line="278" w:lineRule="auto"/>
              <w:jc w:val="both"/>
              <w:rPr>
                <w:rFonts w:ascii="Simplified Arabic" w:hAnsi="Simplified Arabic" w:cs="Simplified Arabic"/>
                <w:b/>
                <w:bCs/>
                <w:color w:val="EE0000"/>
                <w:sz w:val="28"/>
                <w:szCs w:val="28"/>
              </w:rPr>
            </w:pPr>
            <w:r w:rsidRPr="00EE3287">
              <w:rPr>
                <w:rFonts w:ascii="Simplified Arabic" w:hAnsi="Simplified Arabic" w:cs="Simplified Arabic"/>
                <w:b/>
                <w:bCs/>
                <w:color w:val="EE0000"/>
                <w:sz w:val="28"/>
                <w:szCs w:val="28"/>
                <w:rtl/>
              </w:rPr>
              <w:t>القصور المنهجي</w:t>
            </w:r>
          </w:p>
        </w:tc>
        <w:tc>
          <w:tcPr>
            <w:tcW w:w="0" w:type="auto"/>
            <w:hideMark/>
          </w:tcPr>
          <w:p w14:paraId="35FD3EA2" w14:textId="77777777" w:rsidR="00EE3287" w:rsidRPr="00EE3287" w:rsidRDefault="00EE3287" w:rsidP="00EE3287">
            <w:pPr>
              <w:spacing w:after="160" w:line="278" w:lineRule="auto"/>
              <w:jc w:val="both"/>
              <w:rPr>
                <w:rFonts w:ascii="Simplified Arabic" w:hAnsi="Simplified Arabic" w:cs="Simplified Arabic"/>
                <w:b/>
                <w:bCs/>
                <w:color w:val="EE0000"/>
                <w:sz w:val="28"/>
                <w:szCs w:val="28"/>
              </w:rPr>
            </w:pPr>
            <w:r w:rsidRPr="00EE3287">
              <w:rPr>
                <w:rFonts w:ascii="Simplified Arabic" w:hAnsi="Simplified Arabic" w:cs="Simplified Arabic"/>
                <w:b/>
                <w:bCs/>
                <w:color w:val="EE0000"/>
                <w:sz w:val="28"/>
                <w:szCs w:val="28"/>
                <w:rtl/>
              </w:rPr>
              <w:t>حدود العيّنة</w:t>
            </w:r>
          </w:p>
        </w:tc>
        <w:tc>
          <w:tcPr>
            <w:tcW w:w="0" w:type="auto"/>
            <w:hideMark/>
          </w:tcPr>
          <w:p w14:paraId="4F589203" w14:textId="77777777" w:rsidR="00EE3287" w:rsidRPr="00EE3287" w:rsidRDefault="00EE3287" w:rsidP="00EE3287">
            <w:pPr>
              <w:spacing w:after="160" w:line="278" w:lineRule="auto"/>
              <w:jc w:val="both"/>
              <w:rPr>
                <w:rFonts w:ascii="Simplified Arabic" w:hAnsi="Simplified Arabic" w:cs="Simplified Arabic"/>
                <w:b/>
                <w:bCs/>
                <w:color w:val="EE0000"/>
                <w:sz w:val="28"/>
                <w:szCs w:val="28"/>
              </w:rPr>
            </w:pPr>
            <w:r w:rsidRPr="00EE3287">
              <w:rPr>
                <w:rFonts w:ascii="Simplified Arabic" w:hAnsi="Simplified Arabic" w:cs="Simplified Arabic"/>
                <w:b/>
                <w:bCs/>
                <w:color w:val="EE0000"/>
                <w:sz w:val="28"/>
                <w:szCs w:val="28"/>
                <w:rtl/>
              </w:rPr>
              <w:t>ثغرات الإطار النظري</w:t>
            </w:r>
          </w:p>
        </w:tc>
        <w:tc>
          <w:tcPr>
            <w:tcW w:w="0" w:type="auto"/>
            <w:hideMark/>
          </w:tcPr>
          <w:p w14:paraId="13E649AB" w14:textId="77777777" w:rsidR="00EE3287" w:rsidRPr="00EE3287" w:rsidRDefault="00EE3287" w:rsidP="00EE3287">
            <w:pPr>
              <w:spacing w:after="160" w:line="278" w:lineRule="auto"/>
              <w:jc w:val="both"/>
              <w:rPr>
                <w:rFonts w:ascii="Simplified Arabic" w:hAnsi="Simplified Arabic" w:cs="Simplified Arabic"/>
                <w:b/>
                <w:bCs/>
                <w:color w:val="EE0000"/>
                <w:sz w:val="28"/>
                <w:szCs w:val="28"/>
              </w:rPr>
            </w:pPr>
            <w:r w:rsidRPr="00EE3287">
              <w:rPr>
                <w:rFonts w:ascii="Simplified Arabic" w:hAnsi="Simplified Arabic" w:cs="Simplified Arabic"/>
                <w:b/>
                <w:bCs/>
                <w:color w:val="EE0000"/>
                <w:sz w:val="28"/>
                <w:szCs w:val="28"/>
                <w:rtl/>
              </w:rPr>
              <w:t xml:space="preserve">محدودية الملاءمة </w:t>
            </w:r>
            <w:r w:rsidRPr="00EE3287">
              <w:rPr>
                <w:rFonts w:ascii="Simplified Arabic" w:hAnsi="Simplified Arabic" w:cs="Simplified Arabic"/>
                <w:b/>
                <w:bCs/>
                <w:color w:val="EE0000"/>
                <w:sz w:val="28"/>
                <w:szCs w:val="28"/>
                <w:rtl/>
              </w:rPr>
              <w:lastRenderedPageBreak/>
              <w:t>للسياق الحكومي السعودي</w:t>
            </w:r>
          </w:p>
        </w:tc>
      </w:tr>
      <w:tr w:rsidR="00EE3287" w:rsidRPr="00EE3287" w14:paraId="7DC35DF6" w14:textId="77777777" w:rsidTr="00EE3287">
        <w:tc>
          <w:tcPr>
            <w:tcW w:w="0" w:type="auto"/>
            <w:hideMark/>
          </w:tcPr>
          <w:p w14:paraId="46BF4D18" w14:textId="77777777" w:rsidR="00EE3287" w:rsidRPr="00EE3287" w:rsidRDefault="00EE3287" w:rsidP="00EE3287">
            <w:pPr>
              <w:spacing w:after="160" w:line="278" w:lineRule="auto"/>
              <w:jc w:val="both"/>
              <w:rPr>
                <w:rFonts w:ascii="Simplified Arabic" w:hAnsi="Simplified Arabic" w:cs="Simplified Arabic"/>
                <w:b/>
                <w:bCs/>
                <w:color w:val="EE0000"/>
                <w:sz w:val="28"/>
                <w:szCs w:val="28"/>
              </w:rPr>
            </w:pPr>
          </w:p>
        </w:tc>
        <w:tc>
          <w:tcPr>
            <w:tcW w:w="0" w:type="auto"/>
            <w:hideMark/>
          </w:tcPr>
          <w:p w14:paraId="33FD6A5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b/>
                <w:bCs/>
                <w:color w:val="EE0000"/>
                <w:sz w:val="28"/>
                <w:szCs w:val="28"/>
                <w:rtl/>
              </w:rPr>
              <w:t>المجموعة الأولى — الذكاء الاصطناعي وعلاقته بمتغيرات أخرى</w:t>
            </w:r>
          </w:p>
        </w:tc>
        <w:tc>
          <w:tcPr>
            <w:tcW w:w="0" w:type="auto"/>
            <w:hideMark/>
          </w:tcPr>
          <w:p w14:paraId="1BE620B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6680F4E6"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7C400A2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3FD2318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r>
      <w:tr w:rsidR="00EE3287" w:rsidRPr="00EE3287" w14:paraId="0FD4916C" w14:textId="77777777" w:rsidTr="00EE3287">
        <w:tc>
          <w:tcPr>
            <w:tcW w:w="0" w:type="auto"/>
            <w:hideMark/>
          </w:tcPr>
          <w:p w14:paraId="4AF8969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1</w:t>
            </w:r>
          </w:p>
        </w:tc>
        <w:tc>
          <w:tcPr>
            <w:tcW w:w="0" w:type="auto"/>
            <w:hideMark/>
          </w:tcPr>
          <w:p w14:paraId="3DB6BC68"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المصاروة والسرحان</w:t>
            </w:r>
            <w:r w:rsidRPr="00EE3287">
              <w:rPr>
                <w:rFonts w:ascii="Simplified Arabic" w:hAnsi="Simplified Arabic" w:cs="Simplified Arabic"/>
                <w:color w:val="EE0000"/>
                <w:sz w:val="28"/>
                <w:szCs w:val="28"/>
              </w:rPr>
              <w:t xml:space="preserve"> (2021)</w:t>
            </w:r>
          </w:p>
        </w:tc>
        <w:tc>
          <w:tcPr>
            <w:tcW w:w="0" w:type="auto"/>
            <w:hideMark/>
          </w:tcPr>
          <w:p w14:paraId="2666C48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اقتصار على الانحدار وتحليل المسار الأحادي دون</w:t>
            </w:r>
            <w:r w:rsidRPr="00EE3287">
              <w:rPr>
                <w:rFonts w:ascii="Simplified Arabic" w:hAnsi="Simplified Arabic" w:cs="Simplified Arabic"/>
                <w:color w:val="EE0000"/>
                <w:sz w:val="28"/>
                <w:szCs w:val="28"/>
              </w:rPr>
              <w:t xml:space="preserve"> Multi-Group SEM</w:t>
            </w:r>
            <w:r w:rsidRPr="00EE3287">
              <w:rPr>
                <w:rFonts w:ascii="Simplified Arabic" w:hAnsi="Simplified Arabic" w:cs="Simplified Arabic"/>
                <w:color w:val="EE0000"/>
                <w:sz w:val="28"/>
                <w:szCs w:val="28"/>
                <w:rtl/>
              </w:rPr>
              <w:t>؛ استبانة ذاتية دون تثليث بمقابلات أو تحليل وثائقي</w:t>
            </w:r>
          </w:p>
        </w:tc>
        <w:tc>
          <w:tcPr>
            <w:tcW w:w="0" w:type="auto"/>
            <w:hideMark/>
          </w:tcPr>
          <w:p w14:paraId="4F8EA50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حصر بالبنوك التجارية الأردنية</w:t>
            </w:r>
            <w:r w:rsidRPr="00EE3287">
              <w:rPr>
                <w:rFonts w:ascii="Simplified Arabic" w:hAnsi="Simplified Arabic" w:cs="Simplified Arabic"/>
                <w:color w:val="EE0000"/>
                <w:sz w:val="28"/>
                <w:szCs w:val="28"/>
              </w:rPr>
              <w:t xml:space="preserve"> (n=338)</w:t>
            </w:r>
            <w:r w:rsidRPr="00EE3287">
              <w:rPr>
                <w:rFonts w:ascii="Simplified Arabic" w:hAnsi="Simplified Arabic" w:cs="Simplified Arabic"/>
                <w:color w:val="EE0000"/>
                <w:sz w:val="28"/>
                <w:szCs w:val="28"/>
                <w:rtl/>
              </w:rPr>
              <w:t>؛ عدم تمثيل مستويات إدارية متباينة أو قطاعات مؤسسية أخرى</w:t>
            </w:r>
          </w:p>
        </w:tc>
        <w:tc>
          <w:tcPr>
            <w:tcW w:w="0" w:type="auto"/>
            <w:hideMark/>
          </w:tcPr>
          <w:p w14:paraId="2E5E78B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اعتماد نظرية رأس المال الفكري منفردةً كمتغير وسيط؛ إغفال البُعد المؤسسي والبيئي في تفسير التبني</w:t>
            </w:r>
          </w:p>
        </w:tc>
        <w:tc>
          <w:tcPr>
            <w:tcW w:w="0" w:type="auto"/>
            <w:hideMark/>
          </w:tcPr>
          <w:p w14:paraId="794965D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قطاع مصرفي ربحي بدوافع تبنٍّ تجارية بحتة، وبيئة قانونية تجارية غير قابلة للنقل إلى منظومة حوكمة حكومية سيادية</w:t>
            </w:r>
          </w:p>
        </w:tc>
      </w:tr>
      <w:tr w:rsidR="00EE3287" w:rsidRPr="00EE3287" w14:paraId="303CDB65" w14:textId="77777777" w:rsidTr="00EE3287">
        <w:tc>
          <w:tcPr>
            <w:tcW w:w="0" w:type="auto"/>
            <w:hideMark/>
          </w:tcPr>
          <w:p w14:paraId="68DB8538"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2</w:t>
            </w:r>
          </w:p>
        </w:tc>
        <w:tc>
          <w:tcPr>
            <w:tcW w:w="0" w:type="auto"/>
            <w:hideMark/>
          </w:tcPr>
          <w:p w14:paraId="48929CE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عبد المنعم</w:t>
            </w:r>
            <w:r w:rsidRPr="00EE3287">
              <w:rPr>
                <w:rFonts w:ascii="Simplified Arabic" w:hAnsi="Simplified Arabic" w:cs="Simplified Arabic"/>
                <w:color w:val="EE0000"/>
                <w:sz w:val="28"/>
                <w:szCs w:val="28"/>
              </w:rPr>
              <w:t xml:space="preserve"> (2023)</w:t>
            </w:r>
          </w:p>
        </w:tc>
        <w:tc>
          <w:tcPr>
            <w:tcW w:w="0" w:type="auto"/>
            <w:hideMark/>
          </w:tcPr>
          <w:p w14:paraId="3B99D81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 xml:space="preserve">تصميم مقطعي أحادي دون قياس تتبعي؛ غياب المتغيرات </w:t>
            </w:r>
            <w:r w:rsidRPr="00EE3287">
              <w:rPr>
                <w:rFonts w:ascii="Simplified Arabic" w:hAnsi="Simplified Arabic" w:cs="Simplified Arabic"/>
                <w:color w:val="EE0000"/>
                <w:sz w:val="28"/>
                <w:szCs w:val="28"/>
                <w:rtl/>
              </w:rPr>
              <w:lastRenderedPageBreak/>
              <w:t>المعدِّلة التي تفسّر التباين بين المؤسسات</w:t>
            </w:r>
          </w:p>
        </w:tc>
        <w:tc>
          <w:tcPr>
            <w:tcW w:w="0" w:type="auto"/>
            <w:hideMark/>
          </w:tcPr>
          <w:p w14:paraId="18035DC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lastRenderedPageBreak/>
              <w:t>العاملون في جامعات خاصة مصرية</w:t>
            </w:r>
            <w:r w:rsidRPr="00EE3287">
              <w:rPr>
                <w:rFonts w:ascii="Simplified Arabic" w:hAnsi="Simplified Arabic" w:cs="Simplified Arabic"/>
                <w:color w:val="EE0000"/>
                <w:sz w:val="28"/>
                <w:szCs w:val="28"/>
              </w:rPr>
              <w:t xml:space="preserve"> </w:t>
            </w:r>
            <w:r w:rsidRPr="00EE3287">
              <w:rPr>
                <w:rFonts w:ascii="Simplified Arabic" w:hAnsi="Simplified Arabic" w:cs="Simplified Arabic"/>
                <w:color w:val="EE0000"/>
                <w:sz w:val="28"/>
                <w:szCs w:val="28"/>
              </w:rPr>
              <w:lastRenderedPageBreak/>
              <w:t>(n=397)</w:t>
            </w:r>
            <w:r w:rsidRPr="00EE3287">
              <w:rPr>
                <w:rFonts w:ascii="Simplified Arabic" w:hAnsi="Simplified Arabic" w:cs="Simplified Arabic"/>
                <w:color w:val="EE0000"/>
                <w:sz w:val="28"/>
                <w:szCs w:val="28"/>
                <w:rtl/>
              </w:rPr>
              <w:t>؛ استبعاد كلي للقطاع الحكومي التعليمي والوزارات المشرفة</w:t>
            </w:r>
          </w:p>
        </w:tc>
        <w:tc>
          <w:tcPr>
            <w:tcW w:w="0" w:type="auto"/>
            <w:hideMark/>
          </w:tcPr>
          <w:p w14:paraId="543114A0"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lastRenderedPageBreak/>
              <w:t>إطار الرشاقة الاستراتيجية وحده دون تأصيل نظري ثلاثي</w:t>
            </w:r>
            <w:r w:rsidRPr="00EE3287">
              <w:rPr>
                <w:rFonts w:ascii="Simplified Arabic" w:hAnsi="Simplified Arabic" w:cs="Simplified Arabic"/>
                <w:color w:val="EE0000"/>
                <w:sz w:val="28"/>
                <w:szCs w:val="28"/>
              </w:rPr>
              <w:t xml:space="preserve"> (RBV/TOE/</w:t>
            </w:r>
            <w:r w:rsidRPr="00EE3287">
              <w:rPr>
                <w:rFonts w:ascii="Simplified Arabic" w:hAnsi="Simplified Arabic" w:cs="Simplified Arabic"/>
                <w:color w:val="EE0000"/>
                <w:sz w:val="28"/>
                <w:szCs w:val="28"/>
                <w:rtl/>
              </w:rPr>
              <w:t>مؤسسية</w:t>
            </w:r>
            <w:r w:rsidRPr="00EE3287">
              <w:rPr>
                <w:rFonts w:ascii="Simplified Arabic" w:hAnsi="Simplified Arabic" w:cs="Simplified Arabic"/>
                <w:color w:val="EE0000"/>
                <w:sz w:val="28"/>
                <w:szCs w:val="28"/>
              </w:rPr>
              <w:t xml:space="preserve">) </w:t>
            </w:r>
            <w:r w:rsidRPr="00EE3287">
              <w:rPr>
                <w:rFonts w:ascii="Simplified Arabic" w:hAnsi="Simplified Arabic" w:cs="Simplified Arabic"/>
                <w:color w:val="EE0000"/>
                <w:sz w:val="28"/>
                <w:szCs w:val="28"/>
                <w:rtl/>
              </w:rPr>
              <w:lastRenderedPageBreak/>
              <w:t>يُفسّر شروط التبني والتباين</w:t>
            </w:r>
          </w:p>
        </w:tc>
        <w:tc>
          <w:tcPr>
            <w:tcW w:w="0" w:type="auto"/>
            <w:hideMark/>
          </w:tcPr>
          <w:p w14:paraId="79F11198"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lastRenderedPageBreak/>
              <w:t xml:space="preserve">مؤسسات تعليم خاص ذات مرونة تشريعية </w:t>
            </w:r>
            <w:r w:rsidRPr="00EE3287">
              <w:rPr>
                <w:rFonts w:ascii="Simplified Arabic" w:hAnsi="Simplified Arabic" w:cs="Simplified Arabic"/>
                <w:color w:val="EE0000"/>
                <w:sz w:val="28"/>
                <w:szCs w:val="28"/>
                <w:rtl/>
              </w:rPr>
              <w:lastRenderedPageBreak/>
              <w:t>عالية، بخلاف صرامة أنظمة المنافسات والحوكمة الرقمية الحكومية</w:t>
            </w:r>
          </w:p>
        </w:tc>
      </w:tr>
      <w:tr w:rsidR="00EE3287" w:rsidRPr="00EE3287" w14:paraId="2CFEB21B" w14:textId="77777777" w:rsidTr="00EE3287">
        <w:tc>
          <w:tcPr>
            <w:tcW w:w="0" w:type="auto"/>
            <w:hideMark/>
          </w:tcPr>
          <w:p w14:paraId="29B9902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lastRenderedPageBreak/>
              <w:t>3</w:t>
            </w:r>
          </w:p>
        </w:tc>
        <w:tc>
          <w:tcPr>
            <w:tcW w:w="0" w:type="auto"/>
            <w:hideMark/>
          </w:tcPr>
          <w:p w14:paraId="4EDCEA0F"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طيبي ومولاي</w:t>
            </w:r>
            <w:r w:rsidRPr="00EE3287">
              <w:rPr>
                <w:rFonts w:ascii="Simplified Arabic" w:hAnsi="Simplified Arabic" w:cs="Simplified Arabic"/>
                <w:color w:val="EE0000"/>
                <w:sz w:val="28"/>
                <w:szCs w:val="28"/>
              </w:rPr>
              <w:t xml:space="preserve"> (2023)</w:t>
            </w:r>
          </w:p>
        </w:tc>
        <w:tc>
          <w:tcPr>
            <w:tcW w:w="0" w:type="auto"/>
            <w:hideMark/>
          </w:tcPr>
          <w:p w14:paraId="0C0C27E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حجم عيّنة صغير جداً</w:t>
            </w:r>
            <w:r w:rsidRPr="00EE3287">
              <w:rPr>
                <w:rFonts w:ascii="Simplified Arabic" w:hAnsi="Simplified Arabic" w:cs="Simplified Arabic"/>
                <w:color w:val="EE0000"/>
                <w:sz w:val="28"/>
                <w:szCs w:val="28"/>
              </w:rPr>
              <w:t xml:space="preserve"> (n=100) </w:t>
            </w:r>
            <w:r w:rsidRPr="00EE3287">
              <w:rPr>
                <w:rFonts w:ascii="Simplified Arabic" w:hAnsi="Simplified Arabic" w:cs="Simplified Arabic"/>
                <w:color w:val="EE0000"/>
                <w:sz w:val="28"/>
                <w:szCs w:val="28"/>
                <w:rtl/>
              </w:rPr>
              <w:t>لنمذجة المعادلات الهيكلية بصورة موثوقة؛ اقتصار جغرافي على ولايتين</w:t>
            </w:r>
          </w:p>
        </w:tc>
        <w:tc>
          <w:tcPr>
            <w:tcW w:w="0" w:type="auto"/>
            <w:hideMark/>
          </w:tcPr>
          <w:p w14:paraId="4962A1D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بنوك تجارية جزائرية محدودة جغرافياً (البيض وتيارت)؛ ضعف تمثيلية التعميم القطاعي والوطني</w:t>
            </w:r>
          </w:p>
        </w:tc>
        <w:tc>
          <w:tcPr>
            <w:tcW w:w="0" w:type="auto"/>
            <w:hideMark/>
          </w:tcPr>
          <w:p w14:paraId="67E7199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افتقار للإطار النظري الصريح؛ عرض وصفي للأثر دون تفسير مؤسسي أو استراتيجي</w:t>
            </w:r>
          </w:p>
        </w:tc>
        <w:tc>
          <w:tcPr>
            <w:tcW w:w="0" w:type="auto"/>
            <w:hideMark/>
          </w:tcPr>
          <w:p w14:paraId="27CE361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سياق مصرفي جزائري ذو خصوصية اقتصادية تختلف كلياً عن بيئة رؤية 2030 والحوكمة السعودية</w:t>
            </w:r>
          </w:p>
        </w:tc>
      </w:tr>
      <w:tr w:rsidR="00EE3287" w:rsidRPr="00EE3287" w14:paraId="48680059" w14:textId="77777777" w:rsidTr="00EE3287">
        <w:tc>
          <w:tcPr>
            <w:tcW w:w="0" w:type="auto"/>
            <w:hideMark/>
          </w:tcPr>
          <w:p w14:paraId="420378C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4</w:t>
            </w:r>
          </w:p>
        </w:tc>
        <w:tc>
          <w:tcPr>
            <w:tcW w:w="0" w:type="auto"/>
            <w:hideMark/>
          </w:tcPr>
          <w:p w14:paraId="1A3DEC6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صقر وآخرون</w:t>
            </w:r>
            <w:r w:rsidRPr="00EE3287">
              <w:rPr>
                <w:rFonts w:ascii="Simplified Arabic" w:hAnsi="Simplified Arabic" w:cs="Simplified Arabic"/>
                <w:color w:val="EE0000"/>
                <w:sz w:val="28"/>
                <w:szCs w:val="28"/>
              </w:rPr>
              <w:t xml:space="preserve"> (2024)</w:t>
            </w:r>
          </w:p>
        </w:tc>
        <w:tc>
          <w:tcPr>
            <w:tcW w:w="0" w:type="auto"/>
            <w:hideMark/>
          </w:tcPr>
          <w:p w14:paraId="54A3BB8E"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الاعتماد على عيّنة عملاء</w:t>
            </w:r>
            <w:r w:rsidRPr="00EE3287">
              <w:rPr>
                <w:rFonts w:ascii="Simplified Arabic" w:hAnsi="Simplified Arabic" w:cs="Simplified Arabic"/>
                <w:color w:val="EE0000"/>
                <w:sz w:val="28"/>
                <w:szCs w:val="28"/>
              </w:rPr>
              <w:t xml:space="preserve"> (n=348) </w:t>
            </w:r>
            <w:r w:rsidRPr="00EE3287">
              <w:rPr>
                <w:rFonts w:ascii="Simplified Arabic" w:hAnsi="Simplified Arabic" w:cs="Simplified Arabic"/>
                <w:color w:val="EE0000"/>
                <w:sz w:val="28"/>
                <w:szCs w:val="28"/>
                <w:rtl/>
              </w:rPr>
              <w:t xml:space="preserve">لقياس ظاهرة تنظيمية داخلية (تبنّي الذكاء </w:t>
            </w:r>
            <w:r w:rsidRPr="00EE3287">
              <w:rPr>
                <w:rFonts w:ascii="Simplified Arabic" w:hAnsi="Simplified Arabic" w:cs="Simplified Arabic"/>
                <w:color w:val="EE0000"/>
                <w:sz w:val="28"/>
                <w:szCs w:val="28"/>
                <w:rtl/>
              </w:rPr>
              <w:lastRenderedPageBreak/>
              <w:t>الاصطناعي وابتكار الخدمة) — خطأ في مصدر البيانات</w:t>
            </w:r>
          </w:p>
        </w:tc>
        <w:tc>
          <w:tcPr>
            <w:tcW w:w="0" w:type="auto"/>
            <w:hideMark/>
          </w:tcPr>
          <w:p w14:paraId="285F2C00"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lastRenderedPageBreak/>
              <w:t xml:space="preserve">تحيّز إدراكي واضح: العملاء يُقيّمون تجربتهم لا العملية </w:t>
            </w:r>
            <w:r w:rsidRPr="00EE3287">
              <w:rPr>
                <w:rFonts w:ascii="Simplified Arabic" w:hAnsi="Simplified Arabic" w:cs="Simplified Arabic"/>
                <w:color w:val="EE0000"/>
                <w:sz w:val="28"/>
                <w:szCs w:val="28"/>
                <w:rtl/>
              </w:rPr>
              <w:lastRenderedPageBreak/>
              <w:t>التنظيمية داخل البنك</w:t>
            </w:r>
          </w:p>
        </w:tc>
        <w:tc>
          <w:tcPr>
            <w:tcW w:w="0" w:type="auto"/>
            <w:hideMark/>
          </w:tcPr>
          <w:p w14:paraId="6627C7A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lastRenderedPageBreak/>
              <w:t>إغفال أبعاد التبني التنظيمي وشروط الجاهزية؛ تركيز على المخرَج الظاهر دون تحليل العملية الداخلية</w:t>
            </w:r>
          </w:p>
        </w:tc>
        <w:tc>
          <w:tcPr>
            <w:tcW w:w="0" w:type="auto"/>
            <w:hideMark/>
          </w:tcPr>
          <w:p w14:paraId="1F242339"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 xml:space="preserve">سياق مصرفي مصري خدمي-ربحي، يختلف في </w:t>
            </w:r>
            <w:r w:rsidRPr="00EE3287">
              <w:rPr>
                <w:rFonts w:ascii="Simplified Arabic" w:hAnsi="Simplified Arabic" w:cs="Simplified Arabic"/>
                <w:color w:val="EE0000"/>
                <w:sz w:val="28"/>
                <w:szCs w:val="28"/>
                <w:rtl/>
              </w:rPr>
              <w:lastRenderedPageBreak/>
              <w:t>الحوكمة والدوافع عن السياق الحكومي السيادي السعودي</w:t>
            </w:r>
          </w:p>
        </w:tc>
      </w:tr>
      <w:tr w:rsidR="00EE3287" w:rsidRPr="00EE3287" w14:paraId="310CC115" w14:textId="77777777" w:rsidTr="00EE3287">
        <w:tc>
          <w:tcPr>
            <w:tcW w:w="0" w:type="auto"/>
            <w:hideMark/>
          </w:tcPr>
          <w:p w14:paraId="58E22A7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lastRenderedPageBreak/>
              <w:t>5</w:t>
            </w:r>
          </w:p>
        </w:tc>
        <w:tc>
          <w:tcPr>
            <w:tcW w:w="0" w:type="auto"/>
            <w:hideMark/>
          </w:tcPr>
          <w:p w14:paraId="7784637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حسن وآخرون</w:t>
            </w:r>
            <w:r w:rsidRPr="00EE3287">
              <w:rPr>
                <w:rFonts w:ascii="Simplified Arabic" w:hAnsi="Simplified Arabic" w:cs="Simplified Arabic"/>
                <w:color w:val="EE0000"/>
                <w:sz w:val="28"/>
                <w:szCs w:val="28"/>
              </w:rPr>
              <w:t xml:space="preserve"> (2024)</w:t>
            </w:r>
          </w:p>
        </w:tc>
        <w:tc>
          <w:tcPr>
            <w:tcW w:w="0" w:type="auto"/>
            <w:hideMark/>
          </w:tcPr>
          <w:p w14:paraId="2CE96BB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دمج عيّنتين متباينتين (طلاب + هيئة تدريس) دون ضبط منهجي كافٍ؛ خلط بين مستويات وحدة التحليل</w:t>
            </w:r>
          </w:p>
        </w:tc>
        <w:tc>
          <w:tcPr>
            <w:tcW w:w="0" w:type="auto"/>
            <w:hideMark/>
          </w:tcPr>
          <w:p w14:paraId="11D6BD2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معهد أهلي واحد (400 طالب + 25 عضو هيئة تدريس)؛ حجم متواضع وتمثيلية ضعيفة</w:t>
            </w:r>
          </w:p>
        </w:tc>
        <w:tc>
          <w:tcPr>
            <w:tcW w:w="0" w:type="auto"/>
            <w:hideMark/>
          </w:tcPr>
          <w:p w14:paraId="76224672"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إطار وصفي دون بناء نظري صريح للعلاقة بين المتغيرين؛ اقتصار على العرض السردي</w:t>
            </w:r>
          </w:p>
        </w:tc>
        <w:tc>
          <w:tcPr>
            <w:tcW w:w="0" w:type="auto"/>
            <w:hideMark/>
          </w:tcPr>
          <w:p w14:paraId="1BF56ABE"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سياق أكاديمي خاص (معهد العجمي)، لا يُمثّل المؤسسات الحكومية الكبرى ذات البنية البيروقراطية المعقدة</w:t>
            </w:r>
          </w:p>
        </w:tc>
      </w:tr>
      <w:tr w:rsidR="00EE3287" w:rsidRPr="00EE3287" w14:paraId="410382D6" w14:textId="77777777" w:rsidTr="00EE3287">
        <w:tc>
          <w:tcPr>
            <w:tcW w:w="0" w:type="auto"/>
            <w:hideMark/>
          </w:tcPr>
          <w:p w14:paraId="51581619"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3B54A442"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b/>
                <w:bCs/>
                <w:color w:val="EE0000"/>
                <w:sz w:val="28"/>
                <w:szCs w:val="28"/>
                <w:rtl/>
              </w:rPr>
              <w:t>المجموعة الثانية — سلسلة القيمة التشغيلية وعلاقتها بمتغيرات أخرى</w:t>
            </w:r>
          </w:p>
        </w:tc>
        <w:tc>
          <w:tcPr>
            <w:tcW w:w="0" w:type="auto"/>
            <w:hideMark/>
          </w:tcPr>
          <w:p w14:paraId="392E5663"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41B4E8B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5450524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2872390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r>
      <w:tr w:rsidR="00EE3287" w:rsidRPr="00EE3287" w14:paraId="183FB9EA" w14:textId="77777777" w:rsidTr="00EE3287">
        <w:tc>
          <w:tcPr>
            <w:tcW w:w="0" w:type="auto"/>
            <w:hideMark/>
          </w:tcPr>
          <w:p w14:paraId="3EBF20C9"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lastRenderedPageBreak/>
              <w:t>6</w:t>
            </w:r>
          </w:p>
        </w:tc>
        <w:tc>
          <w:tcPr>
            <w:tcW w:w="0" w:type="auto"/>
            <w:hideMark/>
          </w:tcPr>
          <w:p w14:paraId="45599F1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جاد وآخرون</w:t>
            </w:r>
            <w:r w:rsidRPr="00EE3287">
              <w:rPr>
                <w:rFonts w:ascii="Simplified Arabic" w:hAnsi="Simplified Arabic" w:cs="Simplified Arabic"/>
                <w:color w:val="EE0000"/>
                <w:sz w:val="28"/>
                <w:szCs w:val="28"/>
              </w:rPr>
              <w:t xml:space="preserve"> (2024)</w:t>
            </w:r>
          </w:p>
        </w:tc>
        <w:tc>
          <w:tcPr>
            <w:tcW w:w="0" w:type="auto"/>
            <w:hideMark/>
          </w:tcPr>
          <w:p w14:paraId="1A3896D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اقتصار على المنهج الوصفي التحليلي دون تحليل مسار أو نمذجة هيكلية تكشف قوة الأثر بين الأبعاد</w:t>
            </w:r>
          </w:p>
        </w:tc>
        <w:tc>
          <w:tcPr>
            <w:tcW w:w="0" w:type="auto"/>
            <w:hideMark/>
          </w:tcPr>
          <w:p w14:paraId="08005289"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شركات صناعة التحف والحلي بالقاهرة — قطاع حرفي صغير بخصوصية عالية</w:t>
            </w:r>
          </w:p>
        </w:tc>
        <w:tc>
          <w:tcPr>
            <w:tcW w:w="0" w:type="auto"/>
            <w:hideMark/>
          </w:tcPr>
          <w:p w14:paraId="0F6B18B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إطار المفاضلة المعيارية وحده دون ربط بأدبيات القيمة العامة أو الحوكمة المؤسسية</w:t>
            </w:r>
          </w:p>
        </w:tc>
        <w:tc>
          <w:tcPr>
            <w:tcW w:w="0" w:type="auto"/>
            <w:hideMark/>
          </w:tcPr>
          <w:p w14:paraId="1AA071F0"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قطاع صناعي حرفي خاص بمنطق ربحية-سوق، لا يتقاطع مع طبيعة الخدمة الحكومية السيادية والتشريعية</w:t>
            </w:r>
          </w:p>
        </w:tc>
      </w:tr>
      <w:tr w:rsidR="00EE3287" w:rsidRPr="00EE3287" w14:paraId="5BADF80B" w14:textId="77777777" w:rsidTr="00EE3287">
        <w:tc>
          <w:tcPr>
            <w:tcW w:w="0" w:type="auto"/>
            <w:hideMark/>
          </w:tcPr>
          <w:p w14:paraId="5FCC028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7</w:t>
            </w:r>
          </w:p>
        </w:tc>
        <w:tc>
          <w:tcPr>
            <w:tcW w:w="0" w:type="auto"/>
            <w:hideMark/>
          </w:tcPr>
          <w:p w14:paraId="308AAC12"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غدير وآخرون</w:t>
            </w:r>
            <w:r w:rsidRPr="00EE3287">
              <w:rPr>
                <w:rFonts w:ascii="Simplified Arabic" w:hAnsi="Simplified Arabic" w:cs="Simplified Arabic"/>
                <w:color w:val="EE0000"/>
                <w:sz w:val="28"/>
                <w:szCs w:val="28"/>
              </w:rPr>
              <w:t xml:space="preserve"> (2024)</w:t>
            </w:r>
          </w:p>
        </w:tc>
        <w:tc>
          <w:tcPr>
            <w:tcW w:w="0" w:type="auto"/>
            <w:hideMark/>
          </w:tcPr>
          <w:p w14:paraId="52F8080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اقتصار على معامل ارتباط بيرسون</w:t>
            </w:r>
            <w:r w:rsidRPr="00EE3287">
              <w:rPr>
                <w:rFonts w:ascii="Simplified Arabic" w:hAnsi="Simplified Arabic" w:cs="Simplified Arabic"/>
                <w:color w:val="EE0000"/>
                <w:sz w:val="28"/>
                <w:szCs w:val="28"/>
              </w:rPr>
              <w:t xml:space="preserve"> (r=0.648) </w:t>
            </w:r>
            <w:r w:rsidRPr="00EE3287">
              <w:rPr>
                <w:rFonts w:ascii="Simplified Arabic" w:hAnsi="Simplified Arabic" w:cs="Simplified Arabic"/>
                <w:color w:val="EE0000"/>
                <w:sz w:val="28"/>
                <w:szCs w:val="28"/>
                <w:rtl/>
              </w:rPr>
              <w:t>دون تحليل هيكلي متعدد المتغيرات؛ ضعف عمق التحليل</w:t>
            </w:r>
          </w:p>
        </w:tc>
        <w:tc>
          <w:tcPr>
            <w:tcW w:w="0" w:type="auto"/>
            <w:hideMark/>
          </w:tcPr>
          <w:p w14:paraId="1057E38F"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سوق الهال بمحافظة اللاذقية — سوق تجاري محلي محدود جغرافياً وقطاعياً</w:t>
            </w:r>
          </w:p>
        </w:tc>
        <w:tc>
          <w:tcPr>
            <w:tcW w:w="0" w:type="auto"/>
            <w:hideMark/>
          </w:tcPr>
          <w:p w14:paraId="16C1AC9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إطار نظم المعلومات وحده دون تكامل مع أطر تفسر التباين بين المؤسسات أو دوافع التبني</w:t>
            </w:r>
          </w:p>
        </w:tc>
        <w:tc>
          <w:tcPr>
            <w:tcW w:w="0" w:type="auto"/>
            <w:hideMark/>
          </w:tcPr>
          <w:p w14:paraId="1F069C7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سياق سوق زراعي سوري في بيئة اقتصادية استثنائية، لا يُنتج نتائج قابلة للنقل إلى المؤسسات الحكومية السعودية</w:t>
            </w:r>
          </w:p>
        </w:tc>
      </w:tr>
      <w:tr w:rsidR="00EE3287" w:rsidRPr="00EE3287" w14:paraId="6B182990" w14:textId="77777777" w:rsidTr="00EE3287">
        <w:tc>
          <w:tcPr>
            <w:tcW w:w="0" w:type="auto"/>
            <w:hideMark/>
          </w:tcPr>
          <w:p w14:paraId="3C11A446"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lastRenderedPageBreak/>
              <w:t>8</w:t>
            </w:r>
          </w:p>
        </w:tc>
        <w:tc>
          <w:tcPr>
            <w:tcW w:w="0" w:type="auto"/>
            <w:hideMark/>
          </w:tcPr>
          <w:p w14:paraId="0BD7E8F3"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Mboyo et al. (2025)</w:t>
            </w:r>
          </w:p>
        </w:tc>
        <w:tc>
          <w:tcPr>
            <w:tcW w:w="0" w:type="auto"/>
            <w:hideMark/>
          </w:tcPr>
          <w:p w14:paraId="75106BBF"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تحليل تكاليفي محاسبي بحت دون قياس أثر تنظيمي أو إداري لسلسلة القيمة على أداء العاملين والمستفيدين</w:t>
            </w:r>
          </w:p>
        </w:tc>
        <w:tc>
          <w:tcPr>
            <w:tcW w:w="0" w:type="auto"/>
            <w:hideMark/>
          </w:tcPr>
          <w:p w14:paraId="1202647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بيانات وحدات تشغيل صناعية بحتة (منجم نحاس سطحي)؛ عيّنة إنتاجية غير قابلة للتعميم قطاعياً</w:t>
            </w:r>
          </w:p>
        </w:tc>
        <w:tc>
          <w:tcPr>
            <w:tcW w:w="0" w:type="auto"/>
            <w:hideMark/>
          </w:tcPr>
          <w:p w14:paraId="00D405D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غياب أي إطار نظري إداري</w:t>
            </w:r>
            <w:r w:rsidRPr="00EE3287">
              <w:rPr>
                <w:rFonts w:ascii="Simplified Arabic" w:hAnsi="Simplified Arabic" w:cs="Simplified Arabic"/>
                <w:color w:val="EE0000"/>
                <w:sz w:val="28"/>
                <w:szCs w:val="28"/>
              </w:rPr>
              <w:t xml:space="preserve"> (RBV/TOE/</w:t>
            </w:r>
            <w:r w:rsidRPr="00EE3287">
              <w:rPr>
                <w:rFonts w:ascii="Simplified Arabic" w:hAnsi="Simplified Arabic" w:cs="Simplified Arabic"/>
                <w:color w:val="EE0000"/>
                <w:sz w:val="28"/>
                <w:szCs w:val="28"/>
                <w:rtl/>
              </w:rPr>
              <w:t>مؤسسية</w:t>
            </w:r>
            <w:r w:rsidRPr="00EE3287">
              <w:rPr>
                <w:rFonts w:ascii="Simplified Arabic" w:hAnsi="Simplified Arabic" w:cs="Simplified Arabic"/>
                <w:color w:val="EE0000"/>
                <w:sz w:val="28"/>
                <w:szCs w:val="28"/>
              </w:rPr>
              <w:t>)</w:t>
            </w:r>
            <w:r w:rsidRPr="00EE3287">
              <w:rPr>
                <w:rFonts w:ascii="Simplified Arabic" w:hAnsi="Simplified Arabic" w:cs="Simplified Arabic"/>
                <w:color w:val="EE0000"/>
                <w:sz w:val="28"/>
                <w:szCs w:val="28"/>
                <w:rtl/>
              </w:rPr>
              <w:t>؛ اقتصار على منطق محركات التكلفة</w:t>
            </w:r>
          </w:p>
        </w:tc>
        <w:tc>
          <w:tcPr>
            <w:tcW w:w="0" w:type="auto"/>
            <w:hideMark/>
          </w:tcPr>
          <w:p w14:paraId="60EFD05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قطاع تعديني إنتاجي بيئته اقتصادية-هندسية، بعيدة كلياً عن طبيعة الخدمة الحكومية القائمة على القيمة العامة</w:t>
            </w:r>
          </w:p>
        </w:tc>
      </w:tr>
      <w:tr w:rsidR="00EE3287" w:rsidRPr="00EE3287" w14:paraId="66FEE81D" w14:textId="77777777" w:rsidTr="00EE3287">
        <w:tc>
          <w:tcPr>
            <w:tcW w:w="0" w:type="auto"/>
            <w:hideMark/>
          </w:tcPr>
          <w:p w14:paraId="18FF791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9</w:t>
            </w:r>
          </w:p>
        </w:tc>
        <w:tc>
          <w:tcPr>
            <w:tcW w:w="0" w:type="auto"/>
            <w:hideMark/>
          </w:tcPr>
          <w:p w14:paraId="1BD44F7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 xml:space="preserve">Naas &amp; </w:t>
            </w:r>
            <w:proofErr w:type="spellStart"/>
            <w:r w:rsidRPr="00EE3287">
              <w:rPr>
                <w:rFonts w:ascii="Simplified Arabic" w:hAnsi="Simplified Arabic" w:cs="Simplified Arabic"/>
                <w:color w:val="EE0000"/>
                <w:sz w:val="28"/>
                <w:szCs w:val="28"/>
              </w:rPr>
              <w:t>Berass</w:t>
            </w:r>
            <w:proofErr w:type="spellEnd"/>
            <w:r w:rsidRPr="00EE3287">
              <w:rPr>
                <w:rFonts w:ascii="Simplified Arabic" w:hAnsi="Simplified Arabic" w:cs="Simplified Arabic"/>
                <w:color w:val="EE0000"/>
                <w:sz w:val="28"/>
                <w:szCs w:val="28"/>
              </w:rPr>
              <w:t xml:space="preserve"> (2024)</w:t>
            </w:r>
          </w:p>
        </w:tc>
        <w:tc>
          <w:tcPr>
            <w:tcW w:w="0" w:type="auto"/>
            <w:hideMark/>
          </w:tcPr>
          <w:p w14:paraId="3AF9CE0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دراسة حالة فردية</w:t>
            </w:r>
            <w:r w:rsidRPr="00EE3287">
              <w:rPr>
                <w:rFonts w:ascii="Simplified Arabic" w:hAnsi="Simplified Arabic" w:cs="Simplified Arabic"/>
                <w:color w:val="EE0000"/>
                <w:sz w:val="28"/>
                <w:szCs w:val="28"/>
              </w:rPr>
              <w:t xml:space="preserve"> (Case Study) </w:t>
            </w:r>
            <w:r w:rsidRPr="00EE3287">
              <w:rPr>
                <w:rFonts w:ascii="Simplified Arabic" w:hAnsi="Simplified Arabic" w:cs="Simplified Arabic"/>
                <w:color w:val="EE0000"/>
                <w:sz w:val="28"/>
                <w:szCs w:val="28"/>
                <w:rtl/>
              </w:rPr>
              <w:t>دون تعميم إحصائي أو تعدد حالات مقارَنة</w:t>
            </w:r>
          </w:p>
        </w:tc>
        <w:tc>
          <w:tcPr>
            <w:tcW w:w="0" w:type="auto"/>
            <w:hideMark/>
          </w:tcPr>
          <w:p w14:paraId="1C6243D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مؤسسة عامة واحدة كحالة تطبيقية؛ تعميم محدود جداً</w:t>
            </w:r>
          </w:p>
        </w:tc>
        <w:tc>
          <w:tcPr>
            <w:tcW w:w="0" w:type="auto"/>
            <w:hideMark/>
          </w:tcPr>
          <w:p w14:paraId="00D1E375"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تركيز على إطار الرقابة الإدارية دون إدماج نظريات التبني التقني أو المؤسسي</w:t>
            </w:r>
          </w:p>
        </w:tc>
        <w:tc>
          <w:tcPr>
            <w:tcW w:w="0" w:type="auto"/>
            <w:hideMark/>
          </w:tcPr>
          <w:p w14:paraId="0F0FAA2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مع كون الحالة "مؤسسة عامة"، إلا أنها لا تُعالج التحول الرقمي بالذكاء الاصطناعي ولا الخصوصية التشريعية السعودية</w:t>
            </w:r>
          </w:p>
        </w:tc>
      </w:tr>
      <w:tr w:rsidR="00EE3287" w:rsidRPr="00EE3287" w14:paraId="7A83894C" w14:textId="77777777" w:rsidTr="00EE3287">
        <w:tc>
          <w:tcPr>
            <w:tcW w:w="0" w:type="auto"/>
            <w:hideMark/>
          </w:tcPr>
          <w:p w14:paraId="5C1B9F5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lastRenderedPageBreak/>
              <w:t>10</w:t>
            </w:r>
          </w:p>
        </w:tc>
        <w:tc>
          <w:tcPr>
            <w:tcW w:w="0" w:type="auto"/>
            <w:hideMark/>
          </w:tcPr>
          <w:p w14:paraId="2ABD16C3"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roofErr w:type="spellStart"/>
            <w:r w:rsidRPr="00EE3287">
              <w:rPr>
                <w:rFonts w:ascii="Simplified Arabic" w:hAnsi="Simplified Arabic" w:cs="Simplified Arabic"/>
                <w:color w:val="EE0000"/>
                <w:sz w:val="28"/>
                <w:szCs w:val="28"/>
              </w:rPr>
              <w:t>Tyapukhin</w:t>
            </w:r>
            <w:proofErr w:type="spellEnd"/>
            <w:r w:rsidRPr="00EE3287">
              <w:rPr>
                <w:rFonts w:ascii="Simplified Arabic" w:hAnsi="Simplified Arabic" w:cs="Simplified Arabic"/>
                <w:color w:val="EE0000"/>
                <w:sz w:val="28"/>
                <w:szCs w:val="28"/>
              </w:rPr>
              <w:t xml:space="preserve"> (2023)</w:t>
            </w:r>
          </w:p>
        </w:tc>
        <w:tc>
          <w:tcPr>
            <w:tcW w:w="0" w:type="auto"/>
            <w:hideMark/>
          </w:tcPr>
          <w:p w14:paraId="331F133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ورقة مفاهيمية-تصنيفية دون تحقق تجريبي؛ اعتماد على المصفوفات الثنائية كأداة تحليل نظري</w:t>
            </w:r>
          </w:p>
        </w:tc>
        <w:tc>
          <w:tcPr>
            <w:tcW w:w="0" w:type="auto"/>
            <w:hideMark/>
          </w:tcPr>
          <w:p w14:paraId="4A31707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لا توجد عيّنة ميدانية؛ الاقتصار على تحليل محتوى المفاهيم</w:t>
            </w:r>
          </w:p>
        </w:tc>
        <w:tc>
          <w:tcPr>
            <w:tcW w:w="0" w:type="auto"/>
            <w:hideMark/>
          </w:tcPr>
          <w:p w14:paraId="65B52BC6"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إسهام تصنيفي نظري دون اختبار العلاقات أو ربطها بمتغيرات مؤسسية قابلة للقياس</w:t>
            </w:r>
          </w:p>
        </w:tc>
        <w:tc>
          <w:tcPr>
            <w:tcW w:w="0" w:type="auto"/>
            <w:hideMark/>
          </w:tcPr>
          <w:p w14:paraId="725D25E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يُقدّم تصنيفاً نظرياً عاماً لسلاسل القيمة دون تكييف مع أي سياق حكومي محدد أو منظومة تشريعية بعينها</w:t>
            </w:r>
          </w:p>
        </w:tc>
      </w:tr>
      <w:tr w:rsidR="00EE3287" w:rsidRPr="00EE3287" w14:paraId="460E9659" w14:textId="77777777" w:rsidTr="00EE3287">
        <w:tc>
          <w:tcPr>
            <w:tcW w:w="0" w:type="auto"/>
            <w:hideMark/>
          </w:tcPr>
          <w:p w14:paraId="233710F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11</w:t>
            </w:r>
          </w:p>
        </w:tc>
        <w:tc>
          <w:tcPr>
            <w:tcW w:w="0" w:type="auto"/>
            <w:hideMark/>
          </w:tcPr>
          <w:p w14:paraId="12936E70"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Fan et al. (2021)</w:t>
            </w:r>
          </w:p>
        </w:tc>
        <w:tc>
          <w:tcPr>
            <w:tcW w:w="0" w:type="auto"/>
            <w:hideMark/>
          </w:tcPr>
          <w:p w14:paraId="3D007ED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اعتماد على نماذج محاكاة رياضية</w:t>
            </w:r>
            <w:r w:rsidRPr="00EE3287">
              <w:rPr>
                <w:rFonts w:ascii="Simplified Arabic" w:hAnsi="Simplified Arabic" w:cs="Simplified Arabic"/>
                <w:color w:val="EE0000"/>
                <w:sz w:val="28"/>
                <w:szCs w:val="28"/>
              </w:rPr>
              <w:t xml:space="preserve"> (Cournot &amp; Stackelberg) </w:t>
            </w:r>
            <w:r w:rsidRPr="00EE3287">
              <w:rPr>
                <w:rFonts w:ascii="Simplified Arabic" w:hAnsi="Simplified Arabic" w:cs="Simplified Arabic"/>
                <w:color w:val="EE0000"/>
                <w:sz w:val="28"/>
                <w:szCs w:val="28"/>
                <w:rtl/>
              </w:rPr>
              <w:t>دون بيانات ميدانية من مؤسسات فعلية</w:t>
            </w:r>
          </w:p>
        </w:tc>
        <w:tc>
          <w:tcPr>
            <w:tcW w:w="0" w:type="auto"/>
            <w:hideMark/>
          </w:tcPr>
          <w:p w14:paraId="570E5113"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نموذج تحليلي افتراضي لمنافسة تجار التجزئة؛ لا توجد عيّنة تنظيمية حقيقية</w:t>
            </w:r>
          </w:p>
        </w:tc>
        <w:tc>
          <w:tcPr>
            <w:tcW w:w="0" w:type="auto"/>
            <w:hideMark/>
          </w:tcPr>
          <w:p w14:paraId="5B49195F"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إطار الاقتصاد الأخضر ونظرية الألعاب الاقتصادية؛ لا يُعالج البُعد المؤسسي أو التقني للتبني</w:t>
            </w:r>
          </w:p>
        </w:tc>
        <w:tc>
          <w:tcPr>
            <w:tcW w:w="0" w:type="auto"/>
            <w:hideMark/>
          </w:tcPr>
          <w:p w14:paraId="1E5F38B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نموذج منافسة سوقية تجارية بحتة، لا يتقاطع مع منطق الاحتكار الحكومي أو تقديم الخدمة العامة</w:t>
            </w:r>
          </w:p>
        </w:tc>
      </w:tr>
      <w:tr w:rsidR="00EE3287" w:rsidRPr="00EE3287" w14:paraId="3D5AC00A" w14:textId="77777777" w:rsidTr="00EE3287">
        <w:tc>
          <w:tcPr>
            <w:tcW w:w="0" w:type="auto"/>
            <w:hideMark/>
          </w:tcPr>
          <w:p w14:paraId="38AAA91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0625287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b/>
                <w:bCs/>
                <w:color w:val="EE0000"/>
                <w:sz w:val="28"/>
                <w:szCs w:val="28"/>
                <w:rtl/>
              </w:rPr>
              <w:t xml:space="preserve">المجموعة الثالثة — الذكاء الاصطناعي </w:t>
            </w:r>
            <w:r w:rsidRPr="00EE3287">
              <w:rPr>
                <w:rFonts w:ascii="Simplified Arabic" w:hAnsi="Simplified Arabic" w:cs="Simplified Arabic"/>
                <w:b/>
                <w:bCs/>
                <w:color w:val="EE0000"/>
                <w:sz w:val="28"/>
                <w:szCs w:val="28"/>
                <w:rtl/>
              </w:rPr>
              <w:lastRenderedPageBreak/>
              <w:t>وعلاقته بسلسلة القيمة التشغيلية</w:t>
            </w:r>
          </w:p>
        </w:tc>
        <w:tc>
          <w:tcPr>
            <w:tcW w:w="0" w:type="auto"/>
            <w:hideMark/>
          </w:tcPr>
          <w:p w14:paraId="5A8DA8D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0793B4A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4886FF87"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c>
          <w:tcPr>
            <w:tcW w:w="0" w:type="auto"/>
            <w:hideMark/>
          </w:tcPr>
          <w:p w14:paraId="7E05BE19"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
        </w:tc>
      </w:tr>
      <w:tr w:rsidR="00EE3287" w:rsidRPr="00EE3287" w14:paraId="3494E749" w14:textId="77777777" w:rsidTr="00EE3287">
        <w:tc>
          <w:tcPr>
            <w:tcW w:w="0" w:type="auto"/>
            <w:hideMark/>
          </w:tcPr>
          <w:p w14:paraId="5D861C5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12</w:t>
            </w:r>
          </w:p>
        </w:tc>
        <w:tc>
          <w:tcPr>
            <w:tcW w:w="0" w:type="auto"/>
            <w:hideMark/>
          </w:tcPr>
          <w:p w14:paraId="7CF943B6"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Yusuf et al. (2025)</w:t>
            </w:r>
          </w:p>
        </w:tc>
        <w:tc>
          <w:tcPr>
            <w:tcW w:w="0" w:type="auto"/>
            <w:hideMark/>
          </w:tcPr>
          <w:p w14:paraId="01A799B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منهج وصفي مقارَن دون بيانات ميدانية أولية؛ اعتماد على تقارير جاهزة وبيانات ثانوية</w:t>
            </w:r>
          </w:p>
        </w:tc>
        <w:tc>
          <w:tcPr>
            <w:tcW w:w="0" w:type="auto"/>
            <w:hideMark/>
          </w:tcPr>
          <w:p w14:paraId="15C12ABF"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بيانات وتقارير مقارنة عامة دون عيّنة تنظيمية محددة أو محددة السياق</w:t>
            </w:r>
          </w:p>
        </w:tc>
        <w:tc>
          <w:tcPr>
            <w:tcW w:w="0" w:type="auto"/>
            <w:hideMark/>
          </w:tcPr>
          <w:p w14:paraId="2E91A16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إغفال الأطر النظرية الثلاثة</w:t>
            </w:r>
            <w:r w:rsidRPr="00EE3287">
              <w:rPr>
                <w:rFonts w:ascii="Simplified Arabic" w:hAnsi="Simplified Arabic" w:cs="Simplified Arabic"/>
                <w:color w:val="EE0000"/>
                <w:sz w:val="28"/>
                <w:szCs w:val="28"/>
              </w:rPr>
              <w:t xml:space="preserve"> (RBV/TOE/</w:t>
            </w:r>
            <w:r w:rsidRPr="00EE3287">
              <w:rPr>
                <w:rFonts w:ascii="Simplified Arabic" w:hAnsi="Simplified Arabic" w:cs="Simplified Arabic"/>
                <w:color w:val="EE0000"/>
                <w:sz w:val="28"/>
                <w:szCs w:val="28"/>
                <w:rtl/>
              </w:rPr>
              <w:t>مؤسسية</w:t>
            </w:r>
            <w:r w:rsidRPr="00EE3287">
              <w:rPr>
                <w:rFonts w:ascii="Simplified Arabic" w:hAnsi="Simplified Arabic" w:cs="Simplified Arabic"/>
                <w:color w:val="EE0000"/>
                <w:sz w:val="28"/>
                <w:szCs w:val="28"/>
              </w:rPr>
              <w:t>)</w:t>
            </w:r>
            <w:r w:rsidRPr="00EE3287">
              <w:rPr>
                <w:rFonts w:ascii="Simplified Arabic" w:hAnsi="Simplified Arabic" w:cs="Simplified Arabic"/>
                <w:color w:val="EE0000"/>
                <w:sz w:val="28"/>
                <w:szCs w:val="28"/>
                <w:rtl/>
              </w:rPr>
              <w:t>؛ عرض وصفي للنتائج دون تأصيل نظري لتفسير الأثر</w:t>
            </w:r>
          </w:p>
        </w:tc>
        <w:tc>
          <w:tcPr>
            <w:tcW w:w="0" w:type="auto"/>
            <w:hideMark/>
          </w:tcPr>
          <w:p w14:paraId="23E8C9D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نتائج عامة عبر قطاعات دولية متنوعة دون تخصيص للسياق الحكومي أو للبيئة التشريعية السعودية</w:t>
            </w:r>
          </w:p>
        </w:tc>
      </w:tr>
      <w:tr w:rsidR="00EE3287" w:rsidRPr="00EE3287" w14:paraId="189BFE57" w14:textId="77777777" w:rsidTr="00EE3287">
        <w:tc>
          <w:tcPr>
            <w:tcW w:w="0" w:type="auto"/>
            <w:hideMark/>
          </w:tcPr>
          <w:p w14:paraId="4F799BFF"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13</w:t>
            </w:r>
          </w:p>
        </w:tc>
        <w:tc>
          <w:tcPr>
            <w:tcW w:w="0" w:type="auto"/>
            <w:hideMark/>
          </w:tcPr>
          <w:p w14:paraId="076257E0"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roofErr w:type="spellStart"/>
            <w:r w:rsidRPr="00EE3287">
              <w:rPr>
                <w:rFonts w:ascii="Simplified Arabic" w:hAnsi="Simplified Arabic" w:cs="Simplified Arabic"/>
                <w:color w:val="EE0000"/>
                <w:sz w:val="28"/>
                <w:szCs w:val="28"/>
              </w:rPr>
              <w:t>Pokamestov</w:t>
            </w:r>
            <w:proofErr w:type="spellEnd"/>
            <w:r w:rsidRPr="00EE3287">
              <w:rPr>
                <w:rFonts w:ascii="Simplified Arabic" w:hAnsi="Simplified Arabic" w:cs="Simplified Arabic"/>
                <w:color w:val="EE0000"/>
                <w:sz w:val="28"/>
                <w:szCs w:val="28"/>
              </w:rPr>
              <w:t xml:space="preserve"> &amp; Nikitin (2024)</w:t>
            </w:r>
          </w:p>
        </w:tc>
        <w:tc>
          <w:tcPr>
            <w:tcW w:w="0" w:type="auto"/>
            <w:hideMark/>
          </w:tcPr>
          <w:p w14:paraId="62D1DA1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اعتماد على تحليل نماذج حالات</w:t>
            </w:r>
            <w:r w:rsidRPr="00EE3287">
              <w:rPr>
                <w:rFonts w:ascii="Simplified Arabic" w:hAnsi="Simplified Arabic" w:cs="Simplified Arabic"/>
                <w:color w:val="EE0000"/>
                <w:sz w:val="28"/>
                <w:szCs w:val="28"/>
              </w:rPr>
              <w:t xml:space="preserve"> (Case Library) </w:t>
            </w:r>
            <w:r w:rsidRPr="00EE3287">
              <w:rPr>
                <w:rFonts w:ascii="Simplified Arabic" w:hAnsi="Simplified Arabic" w:cs="Simplified Arabic"/>
                <w:color w:val="EE0000"/>
                <w:sz w:val="28"/>
                <w:szCs w:val="28"/>
                <w:rtl/>
              </w:rPr>
              <w:t>دون بيانات ميدانية مسحية أو استبانة مؤسسية</w:t>
            </w:r>
          </w:p>
        </w:tc>
        <w:tc>
          <w:tcPr>
            <w:tcW w:w="0" w:type="auto"/>
            <w:hideMark/>
          </w:tcPr>
          <w:p w14:paraId="27A829D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نماذج مأخوذة من مكتبة حالات الذكاء الاصطناعي في روسيا؛ اقتصار على القطاع المصرفي الروسي</w:t>
            </w:r>
          </w:p>
        </w:tc>
        <w:tc>
          <w:tcPr>
            <w:tcW w:w="0" w:type="auto"/>
            <w:hideMark/>
          </w:tcPr>
          <w:p w14:paraId="7959677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إطار وصفي-تحليلي دون توظيف صريح لنظريات التبني التقني أو النظرية المؤسسية</w:t>
            </w:r>
          </w:p>
        </w:tc>
        <w:tc>
          <w:tcPr>
            <w:tcW w:w="0" w:type="auto"/>
            <w:hideMark/>
          </w:tcPr>
          <w:p w14:paraId="75E2CB3E"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 xml:space="preserve">سياق بنوك تجارية روسية ذات نضج تكنولوجي وطبيعة ربحية، بعيد عن السياق الحكومي السيادي السعودي </w:t>
            </w:r>
            <w:r w:rsidRPr="00EE3287">
              <w:rPr>
                <w:rFonts w:ascii="Simplified Arabic" w:hAnsi="Simplified Arabic" w:cs="Simplified Arabic"/>
                <w:color w:val="EE0000"/>
                <w:sz w:val="28"/>
                <w:szCs w:val="28"/>
                <w:rtl/>
              </w:rPr>
              <w:lastRenderedPageBreak/>
              <w:t xml:space="preserve">وحوكمة </w:t>
            </w:r>
            <w:proofErr w:type="spellStart"/>
            <w:r w:rsidRPr="00EE3287">
              <w:rPr>
                <w:rFonts w:ascii="Simplified Arabic" w:hAnsi="Simplified Arabic" w:cs="Simplified Arabic"/>
                <w:color w:val="EE0000"/>
                <w:sz w:val="28"/>
                <w:szCs w:val="28"/>
                <w:rtl/>
              </w:rPr>
              <w:t>سدايا</w:t>
            </w:r>
            <w:proofErr w:type="spellEnd"/>
          </w:p>
        </w:tc>
      </w:tr>
      <w:tr w:rsidR="00EE3287" w:rsidRPr="00EE3287" w14:paraId="16837382" w14:textId="77777777" w:rsidTr="00EE3287">
        <w:tc>
          <w:tcPr>
            <w:tcW w:w="0" w:type="auto"/>
            <w:hideMark/>
          </w:tcPr>
          <w:p w14:paraId="337909FA"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lastRenderedPageBreak/>
              <w:t>14</w:t>
            </w:r>
          </w:p>
        </w:tc>
        <w:tc>
          <w:tcPr>
            <w:tcW w:w="0" w:type="auto"/>
            <w:hideMark/>
          </w:tcPr>
          <w:p w14:paraId="45808267"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Faisal (2025)</w:t>
            </w:r>
          </w:p>
        </w:tc>
        <w:tc>
          <w:tcPr>
            <w:tcW w:w="0" w:type="auto"/>
            <w:hideMark/>
          </w:tcPr>
          <w:p w14:paraId="6E17874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استبانة ذاتية دون تثليث كيفي؛ عدم اختبار الفروق بين مجموعات مؤسسية عبر</w:t>
            </w:r>
            <w:r w:rsidRPr="00EE3287">
              <w:rPr>
                <w:rFonts w:ascii="Simplified Arabic" w:hAnsi="Simplified Arabic" w:cs="Simplified Arabic"/>
                <w:color w:val="EE0000"/>
                <w:sz w:val="28"/>
                <w:szCs w:val="28"/>
              </w:rPr>
              <w:t xml:space="preserve"> Multi-Group SEM</w:t>
            </w:r>
          </w:p>
        </w:tc>
        <w:tc>
          <w:tcPr>
            <w:tcW w:w="0" w:type="auto"/>
            <w:hideMark/>
          </w:tcPr>
          <w:p w14:paraId="17AE85A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 xml:space="preserve">736 </w:t>
            </w:r>
            <w:r w:rsidRPr="00EE3287">
              <w:rPr>
                <w:rFonts w:ascii="Simplified Arabic" w:hAnsi="Simplified Arabic" w:cs="Simplified Arabic"/>
                <w:color w:val="EE0000"/>
                <w:sz w:val="28"/>
                <w:szCs w:val="28"/>
                <w:rtl/>
              </w:rPr>
              <w:t>مفردة في قطاع خاص هندي متجانس؛ عدم تمثيل الفئات المؤسسية المتباينة</w:t>
            </w:r>
          </w:p>
        </w:tc>
        <w:tc>
          <w:tcPr>
            <w:tcW w:w="0" w:type="auto"/>
            <w:hideMark/>
          </w:tcPr>
          <w:p w14:paraId="1D4AABC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استخدام رمزي للنظرية دون ترجمة صريحة إلى فرضيات مؤسسية قابلة للاختبار</w:t>
            </w:r>
          </w:p>
        </w:tc>
        <w:tc>
          <w:tcPr>
            <w:tcW w:w="0" w:type="auto"/>
            <w:hideMark/>
          </w:tcPr>
          <w:p w14:paraId="54AD46D6"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سياق سلاسل إمداد صناعية-مالية خاصة، ودوافع تبنٍّ ربحية بحتة تختلف كلياً عن الحوكمة الحكومية السعودية</w:t>
            </w:r>
          </w:p>
        </w:tc>
      </w:tr>
      <w:tr w:rsidR="00EE3287" w:rsidRPr="00EE3287" w14:paraId="560B3905" w14:textId="77777777" w:rsidTr="00EE3287">
        <w:tc>
          <w:tcPr>
            <w:tcW w:w="0" w:type="auto"/>
            <w:hideMark/>
          </w:tcPr>
          <w:p w14:paraId="4BF30E0E"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15</w:t>
            </w:r>
          </w:p>
        </w:tc>
        <w:tc>
          <w:tcPr>
            <w:tcW w:w="0" w:type="auto"/>
            <w:hideMark/>
          </w:tcPr>
          <w:p w14:paraId="466F0208"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proofErr w:type="spellStart"/>
            <w:r w:rsidRPr="00EE3287">
              <w:rPr>
                <w:rFonts w:ascii="Simplified Arabic" w:hAnsi="Simplified Arabic" w:cs="Simplified Arabic"/>
                <w:color w:val="EE0000"/>
                <w:sz w:val="28"/>
                <w:szCs w:val="28"/>
              </w:rPr>
              <w:t>Nathany</w:t>
            </w:r>
            <w:proofErr w:type="spellEnd"/>
            <w:r w:rsidRPr="00EE3287">
              <w:rPr>
                <w:rFonts w:ascii="Simplified Arabic" w:hAnsi="Simplified Arabic" w:cs="Simplified Arabic"/>
                <w:color w:val="EE0000"/>
                <w:sz w:val="28"/>
                <w:szCs w:val="28"/>
              </w:rPr>
              <w:t xml:space="preserve"> (2022)</w:t>
            </w:r>
          </w:p>
        </w:tc>
        <w:tc>
          <w:tcPr>
            <w:tcW w:w="0" w:type="auto"/>
            <w:hideMark/>
          </w:tcPr>
          <w:p w14:paraId="2BADC9AB"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مراجعة أدبية مكتبية دون تحقق تجريبي أو بيانات ميدانية</w:t>
            </w:r>
          </w:p>
        </w:tc>
        <w:tc>
          <w:tcPr>
            <w:tcW w:w="0" w:type="auto"/>
            <w:hideMark/>
          </w:tcPr>
          <w:p w14:paraId="451E7A0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لا توجد عيّنة ميدانية؛ اقتصار على تركيب دراسات سابقة</w:t>
            </w:r>
          </w:p>
        </w:tc>
        <w:tc>
          <w:tcPr>
            <w:tcW w:w="0" w:type="auto"/>
            <w:hideMark/>
          </w:tcPr>
          <w:p w14:paraId="3D3BBD93"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تجميع سردي دون بناء نظري تكاملي أو إطار تحليلي موحّد</w:t>
            </w:r>
          </w:p>
        </w:tc>
        <w:tc>
          <w:tcPr>
            <w:tcW w:w="0" w:type="auto"/>
            <w:hideMark/>
          </w:tcPr>
          <w:p w14:paraId="37E48D3D"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 xml:space="preserve">سياق سلاسل إمداد صناعية دولية عامة، بلا تخصيص للقطاع الحكومي أو للسياق </w:t>
            </w:r>
            <w:r w:rsidRPr="00EE3287">
              <w:rPr>
                <w:rFonts w:ascii="Simplified Arabic" w:hAnsi="Simplified Arabic" w:cs="Simplified Arabic"/>
                <w:color w:val="EE0000"/>
                <w:sz w:val="28"/>
                <w:szCs w:val="28"/>
                <w:rtl/>
              </w:rPr>
              <w:lastRenderedPageBreak/>
              <w:t>التشريعي السعودي</w:t>
            </w:r>
          </w:p>
        </w:tc>
      </w:tr>
      <w:tr w:rsidR="00EE3287" w:rsidRPr="00EE3287" w14:paraId="260BA0FC" w14:textId="77777777" w:rsidTr="00EE3287">
        <w:tc>
          <w:tcPr>
            <w:tcW w:w="0" w:type="auto"/>
            <w:hideMark/>
          </w:tcPr>
          <w:p w14:paraId="0797692F"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lastRenderedPageBreak/>
              <w:t>16</w:t>
            </w:r>
          </w:p>
        </w:tc>
        <w:tc>
          <w:tcPr>
            <w:tcW w:w="0" w:type="auto"/>
            <w:hideMark/>
          </w:tcPr>
          <w:p w14:paraId="56AAE6E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Kumar et al. (2024)</w:t>
            </w:r>
          </w:p>
        </w:tc>
        <w:tc>
          <w:tcPr>
            <w:tcW w:w="0" w:type="auto"/>
            <w:hideMark/>
          </w:tcPr>
          <w:p w14:paraId="7569C412"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مقارنة خوارزمية بين نماذج تعلم آلي</w:t>
            </w:r>
            <w:r w:rsidRPr="00EE3287">
              <w:rPr>
                <w:rFonts w:ascii="Simplified Arabic" w:hAnsi="Simplified Arabic" w:cs="Simplified Arabic"/>
                <w:color w:val="EE0000"/>
                <w:sz w:val="28"/>
                <w:szCs w:val="28"/>
              </w:rPr>
              <w:t xml:space="preserve"> (SVM/ANN) </w:t>
            </w:r>
            <w:r w:rsidRPr="00EE3287">
              <w:rPr>
                <w:rFonts w:ascii="Simplified Arabic" w:hAnsi="Simplified Arabic" w:cs="Simplified Arabic"/>
                <w:color w:val="EE0000"/>
                <w:sz w:val="28"/>
                <w:szCs w:val="28"/>
                <w:rtl/>
              </w:rPr>
              <w:t>والأساليب التقليدية دون قياس أثر تنظيمي أو مؤسسي</w:t>
            </w:r>
          </w:p>
        </w:tc>
        <w:tc>
          <w:tcPr>
            <w:tcW w:w="0" w:type="auto"/>
            <w:hideMark/>
          </w:tcPr>
          <w:p w14:paraId="7593ECA8"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بيانات مورد واحد لأكبر شركة سيارات في الهند؛ عيّنة تقنية بحتة</w:t>
            </w:r>
          </w:p>
        </w:tc>
        <w:tc>
          <w:tcPr>
            <w:tcW w:w="0" w:type="auto"/>
            <w:hideMark/>
          </w:tcPr>
          <w:p w14:paraId="46EAEEA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غياب الأطر النظرية التنظيمية؛ تركيز على الأداء الخوارزمي دون تفسير مؤسسي للتبني</w:t>
            </w:r>
          </w:p>
        </w:tc>
        <w:tc>
          <w:tcPr>
            <w:tcW w:w="0" w:type="auto"/>
            <w:hideMark/>
          </w:tcPr>
          <w:p w14:paraId="3DD16B3C"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تركيز تقني-إحصائي بحت لا يتقاطع مع بيئة الحوكمة الحكومية أو منطق القيمة العامة</w:t>
            </w:r>
          </w:p>
        </w:tc>
      </w:tr>
      <w:tr w:rsidR="00EE3287" w:rsidRPr="00EE3287" w14:paraId="46103F00" w14:textId="77777777" w:rsidTr="00EE3287">
        <w:tc>
          <w:tcPr>
            <w:tcW w:w="0" w:type="auto"/>
            <w:hideMark/>
          </w:tcPr>
          <w:p w14:paraId="272BA24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17</w:t>
            </w:r>
          </w:p>
        </w:tc>
        <w:tc>
          <w:tcPr>
            <w:tcW w:w="0" w:type="auto"/>
            <w:hideMark/>
          </w:tcPr>
          <w:p w14:paraId="4FFCBF74"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t xml:space="preserve">Thenmozhi &amp; </w:t>
            </w:r>
            <w:proofErr w:type="spellStart"/>
            <w:r w:rsidRPr="00EE3287">
              <w:rPr>
                <w:rFonts w:ascii="Simplified Arabic" w:hAnsi="Simplified Arabic" w:cs="Simplified Arabic"/>
                <w:color w:val="EE0000"/>
                <w:sz w:val="28"/>
                <w:szCs w:val="28"/>
              </w:rPr>
              <w:t>Krisknakumari</w:t>
            </w:r>
            <w:proofErr w:type="spellEnd"/>
            <w:r w:rsidRPr="00EE3287">
              <w:rPr>
                <w:rFonts w:ascii="Simplified Arabic" w:hAnsi="Simplified Arabic" w:cs="Simplified Arabic"/>
                <w:color w:val="EE0000"/>
                <w:sz w:val="28"/>
                <w:szCs w:val="28"/>
              </w:rPr>
              <w:t xml:space="preserve"> (2024)</w:t>
            </w:r>
          </w:p>
        </w:tc>
        <w:tc>
          <w:tcPr>
            <w:tcW w:w="0" w:type="auto"/>
            <w:hideMark/>
          </w:tcPr>
          <w:p w14:paraId="2E499A30"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مراجعة أدبية دون منهج تجريبي؛ اقتصار على تحليل التطبيقات الحديثة نظرياً</w:t>
            </w:r>
          </w:p>
        </w:tc>
        <w:tc>
          <w:tcPr>
            <w:tcW w:w="0" w:type="auto"/>
            <w:hideMark/>
          </w:tcPr>
          <w:p w14:paraId="58ACDD22"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لا توجد بيانات ميدانية؛ استعراض دراسات وتقارير سابقة</w:t>
            </w:r>
          </w:p>
        </w:tc>
        <w:tc>
          <w:tcPr>
            <w:tcW w:w="0" w:type="auto"/>
            <w:hideMark/>
          </w:tcPr>
          <w:p w14:paraId="7AAC35F1"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إطار وصفي عام دون تأصيل نظري ثلاثي أو ربط بأطر التبني التقني المعروفة</w:t>
            </w:r>
          </w:p>
        </w:tc>
        <w:tc>
          <w:tcPr>
            <w:tcW w:w="0" w:type="auto"/>
            <w:hideMark/>
          </w:tcPr>
          <w:p w14:paraId="3B9E6187" w14:textId="77777777" w:rsidR="00EE3287" w:rsidRPr="00EE3287" w:rsidRDefault="00EE3287" w:rsidP="00EE3287">
            <w:pPr>
              <w:spacing w:after="160" w:line="278" w:lineRule="auto"/>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tl/>
              </w:rPr>
              <w:t xml:space="preserve">سياق لوجستي خاص عبر قطاعات متعددة، لا يُخصّص للقطاع الحكومي ولا يعالج القيود التشريعية </w:t>
            </w:r>
            <w:proofErr w:type="spellStart"/>
            <w:r w:rsidRPr="00EE3287">
              <w:rPr>
                <w:rFonts w:ascii="Simplified Arabic" w:hAnsi="Simplified Arabic" w:cs="Simplified Arabic"/>
                <w:color w:val="EE0000"/>
                <w:sz w:val="28"/>
                <w:szCs w:val="28"/>
                <w:rtl/>
              </w:rPr>
              <w:t>والحوكمية</w:t>
            </w:r>
            <w:proofErr w:type="spellEnd"/>
            <w:r w:rsidRPr="00EE3287">
              <w:rPr>
                <w:rFonts w:ascii="Simplified Arabic" w:hAnsi="Simplified Arabic" w:cs="Simplified Arabic"/>
                <w:color w:val="EE0000"/>
                <w:sz w:val="28"/>
                <w:szCs w:val="28"/>
                <w:rtl/>
              </w:rPr>
              <w:t xml:space="preserve"> المحلية</w:t>
            </w:r>
          </w:p>
        </w:tc>
      </w:tr>
    </w:tbl>
    <w:p w14:paraId="784DBD5C" w14:textId="77777777" w:rsidR="00EE3287" w:rsidRPr="00EE3287" w:rsidRDefault="00EE3287" w:rsidP="00EE3287">
      <w:pPr>
        <w:jc w:val="both"/>
        <w:rPr>
          <w:rFonts w:ascii="Simplified Arabic" w:hAnsi="Simplified Arabic" w:cs="Simplified Arabic"/>
          <w:color w:val="EE0000"/>
          <w:sz w:val="28"/>
          <w:szCs w:val="28"/>
        </w:rPr>
      </w:pPr>
      <w:r w:rsidRPr="00EE3287">
        <w:rPr>
          <w:rFonts w:ascii="Simplified Arabic" w:hAnsi="Simplified Arabic" w:cs="Simplified Arabic"/>
          <w:color w:val="EE0000"/>
          <w:sz w:val="28"/>
          <w:szCs w:val="28"/>
        </w:rPr>
        <w:pict w14:anchorId="46AD4ABC">
          <v:rect id="_x0000_i1025" style="width:0;height:1.5pt" o:hralign="center" o:hrstd="t" o:hr="t" fillcolor="#a0a0a0" stroked="f"/>
        </w:pict>
      </w:r>
    </w:p>
    <w:p w14:paraId="596674DF" w14:textId="77777777" w:rsidR="00EE3287" w:rsidRPr="00EE3287" w:rsidRDefault="00EE3287" w:rsidP="00EE3287">
      <w:pPr>
        <w:jc w:val="both"/>
        <w:rPr>
          <w:rFonts w:ascii="Simplified Arabic" w:hAnsi="Simplified Arabic" w:cs="Simplified Arabic"/>
          <w:b/>
          <w:bCs/>
          <w:color w:val="EE0000"/>
          <w:sz w:val="28"/>
          <w:szCs w:val="28"/>
        </w:rPr>
      </w:pPr>
      <w:r w:rsidRPr="00EE3287">
        <w:rPr>
          <w:rFonts w:ascii="Simplified Arabic" w:hAnsi="Simplified Arabic" w:cs="Simplified Arabic"/>
          <w:b/>
          <w:bCs/>
          <w:color w:val="EE0000"/>
          <w:sz w:val="28"/>
          <w:szCs w:val="28"/>
          <w:rtl/>
        </w:rPr>
        <w:lastRenderedPageBreak/>
        <w:t>الفقرة الختامية التركيبية للجدول</w:t>
      </w:r>
    </w:p>
    <w:p w14:paraId="4A9E71FE" w14:textId="77777777"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color w:val="EE0000"/>
          <w:sz w:val="28"/>
          <w:szCs w:val="28"/>
          <w:rtl/>
        </w:rPr>
        <w:t xml:space="preserve">يتضح من التحليل النقدي المكثّف أعلاه — الذي شمل الدراسات </w:t>
      </w:r>
      <w:proofErr w:type="spellStart"/>
      <w:r w:rsidRPr="00EE3287">
        <w:rPr>
          <w:rFonts w:ascii="Simplified Arabic" w:hAnsi="Simplified Arabic" w:cs="Simplified Arabic"/>
          <w:color w:val="EE0000"/>
          <w:sz w:val="28"/>
          <w:szCs w:val="28"/>
          <w:rtl/>
        </w:rPr>
        <w:t>الـ</w:t>
      </w:r>
      <w:proofErr w:type="spellEnd"/>
      <w:r w:rsidRPr="00EE3287">
        <w:rPr>
          <w:rFonts w:ascii="Simplified Arabic" w:hAnsi="Simplified Arabic" w:cs="Simplified Arabic"/>
          <w:color w:val="EE0000"/>
          <w:sz w:val="28"/>
          <w:szCs w:val="28"/>
          <w:rtl/>
        </w:rPr>
        <w:t xml:space="preserve"> 17 مجتمعةً — أنّ نقاط الضعف المشتركة تنتظم في </w:t>
      </w:r>
      <w:r w:rsidRPr="00EE3287">
        <w:rPr>
          <w:rFonts w:ascii="Simplified Arabic" w:hAnsi="Simplified Arabic" w:cs="Simplified Arabic"/>
          <w:b/>
          <w:bCs/>
          <w:color w:val="EE0000"/>
          <w:sz w:val="28"/>
          <w:szCs w:val="28"/>
          <w:rtl/>
        </w:rPr>
        <w:t>خمسة أنماط قصور متكررة</w:t>
      </w:r>
      <w:r w:rsidRPr="00EE3287">
        <w:rPr>
          <w:rFonts w:ascii="Simplified Arabic" w:hAnsi="Simplified Arabic" w:cs="Simplified Arabic"/>
          <w:color w:val="EE0000"/>
          <w:sz w:val="28"/>
          <w:szCs w:val="28"/>
          <w:rtl/>
        </w:rPr>
        <w:t xml:space="preserve"> يمكن تصنيفها كالتالي:</w:t>
      </w:r>
    </w:p>
    <w:p w14:paraId="3B87F517" w14:textId="77777777"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b/>
          <w:bCs/>
          <w:color w:val="EE0000"/>
          <w:sz w:val="28"/>
          <w:szCs w:val="28"/>
          <w:rtl/>
        </w:rPr>
        <w:t>النمط الأول: الاختزال النظري (</w:t>
      </w:r>
      <w:r w:rsidRPr="00EE3287">
        <w:rPr>
          <w:rFonts w:ascii="Simplified Arabic" w:hAnsi="Simplified Arabic" w:cs="Simplified Arabic"/>
          <w:b/>
          <w:bCs/>
          <w:color w:val="EE0000"/>
          <w:sz w:val="28"/>
          <w:szCs w:val="28"/>
        </w:rPr>
        <w:t>Theoretical Reductionism</w:t>
      </w:r>
      <w:r w:rsidRPr="00EE3287">
        <w:rPr>
          <w:rFonts w:ascii="Simplified Arabic" w:hAnsi="Simplified Arabic" w:cs="Simplified Arabic"/>
          <w:b/>
          <w:bCs/>
          <w:color w:val="EE0000"/>
          <w:sz w:val="28"/>
          <w:szCs w:val="28"/>
          <w:rtl/>
        </w:rPr>
        <w:t>)</w:t>
      </w:r>
      <w:r w:rsidRPr="00EE3287">
        <w:rPr>
          <w:rFonts w:ascii="Simplified Arabic" w:hAnsi="Simplified Arabic" w:cs="Simplified Arabic"/>
          <w:color w:val="EE0000"/>
          <w:sz w:val="28"/>
          <w:szCs w:val="28"/>
          <w:rtl/>
        </w:rPr>
        <w:t xml:space="preserve"> — إذ اعتمد نحو ثلثي الدراسات (11 من 17) على إطار نظري واحد لتفسير ظاهرة متعددة الأبعاد، دون توظيف تكاملي لنظريات الموارد والتبني التقني والنظرية المؤسسية معاً، مما أنتج نتائج ذات دلالة إحصائية عالية لكنها فقيرة العمق التفسيري.</w:t>
      </w:r>
    </w:p>
    <w:p w14:paraId="69D248B2" w14:textId="77777777"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b/>
          <w:bCs/>
          <w:color w:val="EE0000"/>
          <w:sz w:val="28"/>
          <w:szCs w:val="28"/>
          <w:rtl/>
        </w:rPr>
        <w:t>النمط الثاني: التحيّز القطاعي والقطاعي-الجغرافي</w:t>
      </w:r>
      <w:r w:rsidRPr="00EE3287">
        <w:rPr>
          <w:rFonts w:ascii="Simplified Arabic" w:hAnsi="Simplified Arabic" w:cs="Simplified Arabic"/>
          <w:color w:val="EE0000"/>
          <w:sz w:val="28"/>
          <w:szCs w:val="28"/>
          <w:rtl/>
        </w:rPr>
        <w:t xml:space="preserve"> — حيث تركّزت البيئات المدروسة في القطاعات المصرفية (5 دراسات)، والصناعية-اللوجستية الخاصة (6 دراسات)، والأكاديمية الخاصة (دراستان)، مع </w:t>
      </w:r>
      <w:r w:rsidRPr="00EE3287">
        <w:rPr>
          <w:rFonts w:ascii="Simplified Arabic" w:hAnsi="Simplified Arabic" w:cs="Simplified Arabic"/>
          <w:b/>
          <w:bCs/>
          <w:color w:val="EE0000"/>
          <w:sz w:val="28"/>
          <w:szCs w:val="28"/>
          <w:rtl/>
        </w:rPr>
        <w:t>غياب شبه تام للمؤسسات الحكومية السيادية الكبرى</w:t>
      </w:r>
      <w:r w:rsidRPr="00EE3287">
        <w:rPr>
          <w:rFonts w:ascii="Simplified Arabic" w:hAnsi="Simplified Arabic" w:cs="Simplified Arabic"/>
          <w:color w:val="EE0000"/>
          <w:sz w:val="28"/>
          <w:szCs w:val="28"/>
          <w:rtl/>
        </w:rPr>
        <w:t>، وهو ما يُقلّص جذرياً قابلية النتائج للنقل إلى السياق الحكومي السعودي.</w:t>
      </w:r>
    </w:p>
    <w:p w14:paraId="433BD098" w14:textId="77777777"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b/>
          <w:bCs/>
          <w:color w:val="EE0000"/>
          <w:sz w:val="28"/>
          <w:szCs w:val="28"/>
          <w:rtl/>
        </w:rPr>
        <w:t>النمط الثالث: الاقتصار على الأدوات الكمية الوصفية دون تثليث كيفي معمّق</w:t>
      </w:r>
      <w:r w:rsidRPr="00EE3287">
        <w:rPr>
          <w:rFonts w:ascii="Simplified Arabic" w:hAnsi="Simplified Arabic" w:cs="Simplified Arabic"/>
          <w:color w:val="EE0000"/>
          <w:sz w:val="28"/>
          <w:szCs w:val="28"/>
          <w:rtl/>
        </w:rPr>
        <w:t xml:space="preserve"> — إذ اكتفت الدراسات الميدانية غالباً بالاستبانة الذاتية، فيما اعتمدت 5 دراسات على المنهج المكتبي التصنيفي أو مراجعة الأدبيات دون أي تحقق تجريبي، وهو ما يُضعف صلابة الأدلة المستخلصة.</w:t>
      </w:r>
    </w:p>
    <w:p w14:paraId="68BE41B1" w14:textId="77777777"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b/>
          <w:bCs/>
          <w:color w:val="EE0000"/>
          <w:sz w:val="28"/>
          <w:szCs w:val="28"/>
          <w:rtl/>
        </w:rPr>
        <w:t>النمط الرابع: غياب المعالجة المؤسسية للتباين بين فئات المؤسسات</w:t>
      </w:r>
      <w:r w:rsidRPr="00EE3287">
        <w:rPr>
          <w:rFonts w:ascii="Simplified Arabic" w:hAnsi="Simplified Arabic" w:cs="Simplified Arabic"/>
          <w:color w:val="EE0000"/>
          <w:sz w:val="28"/>
          <w:szCs w:val="28"/>
          <w:rtl/>
        </w:rPr>
        <w:t xml:space="preserve"> — إذ لم توظّف أي دراسة من الدراسات المستعرضة تحليل </w:t>
      </w:r>
      <w:r w:rsidRPr="00EE3287">
        <w:rPr>
          <w:rFonts w:ascii="Simplified Arabic" w:hAnsi="Simplified Arabic" w:cs="Simplified Arabic"/>
          <w:color w:val="EE0000"/>
          <w:sz w:val="28"/>
          <w:szCs w:val="28"/>
        </w:rPr>
        <w:t>multi-group SEM</w:t>
      </w:r>
      <w:r w:rsidRPr="00EE3287">
        <w:rPr>
          <w:rFonts w:ascii="Simplified Arabic" w:hAnsi="Simplified Arabic" w:cs="Simplified Arabic"/>
          <w:color w:val="EE0000"/>
          <w:sz w:val="28"/>
          <w:szCs w:val="28"/>
          <w:rtl/>
        </w:rPr>
        <w:t xml:space="preserve"> لكشف التباين البنيوي بين فئات مؤسسية متعددة، مما ترك فراغاً منهجياً وتفسيرياً في فهم التباين المؤسسي في التبني والأثر.</w:t>
      </w:r>
    </w:p>
    <w:p w14:paraId="65EB0169" w14:textId="77777777"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b/>
          <w:bCs/>
          <w:color w:val="EE0000"/>
          <w:sz w:val="28"/>
          <w:szCs w:val="28"/>
          <w:rtl/>
        </w:rPr>
        <w:t>النمط الخامس: الفجوة السياقية-التشريعية</w:t>
      </w:r>
      <w:r w:rsidRPr="00EE3287">
        <w:rPr>
          <w:rFonts w:ascii="Simplified Arabic" w:hAnsi="Simplified Arabic" w:cs="Simplified Arabic"/>
          <w:color w:val="EE0000"/>
          <w:sz w:val="28"/>
          <w:szCs w:val="28"/>
          <w:rtl/>
        </w:rPr>
        <w:t xml:space="preserve"> — حيث لم تُعالج أي دراسة من </w:t>
      </w:r>
      <w:proofErr w:type="spellStart"/>
      <w:r w:rsidRPr="00EE3287">
        <w:rPr>
          <w:rFonts w:ascii="Simplified Arabic" w:hAnsi="Simplified Arabic" w:cs="Simplified Arabic"/>
          <w:color w:val="EE0000"/>
          <w:sz w:val="28"/>
          <w:szCs w:val="28"/>
          <w:rtl/>
        </w:rPr>
        <w:t>الـ</w:t>
      </w:r>
      <w:proofErr w:type="spellEnd"/>
      <w:r w:rsidRPr="00EE3287">
        <w:rPr>
          <w:rFonts w:ascii="Simplified Arabic" w:hAnsi="Simplified Arabic" w:cs="Simplified Arabic"/>
          <w:color w:val="EE0000"/>
          <w:sz w:val="28"/>
          <w:szCs w:val="28"/>
          <w:rtl/>
        </w:rPr>
        <w:t xml:space="preserve"> 17 خصوصية البيئة الحكومية السعودية بمنظومتها التشريعية المميّزة (نظام المنافسات والمشتريات، لوائح هيئة الحكومة الرقمية، ضوابط </w:t>
      </w:r>
      <w:proofErr w:type="spellStart"/>
      <w:r w:rsidRPr="00EE3287">
        <w:rPr>
          <w:rFonts w:ascii="Simplified Arabic" w:hAnsi="Simplified Arabic" w:cs="Simplified Arabic"/>
          <w:color w:val="EE0000"/>
          <w:sz w:val="28"/>
          <w:szCs w:val="28"/>
          <w:rtl/>
        </w:rPr>
        <w:t>سدايا</w:t>
      </w:r>
      <w:proofErr w:type="spellEnd"/>
      <w:r w:rsidRPr="00EE3287">
        <w:rPr>
          <w:rFonts w:ascii="Simplified Arabic" w:hAnsi="Simplified Arabic" w:cs="Simplified Arabic"/>
          <w:color w:val="EE0000"/>
          <w:sz w:val="28"/>
          <w:szCs w:val="28"/>
          <w:rtl/>
        </w:rPr>
        <w:t xml:space="preserve">)، ولم تُدرج القيود </w:t>
      </w:r>
      <w:proofErr w:type="spellStart"/>
      <w:r w:rsidRPr="00EE3287">
        <w:rPr>
          <w:rFonts w:ascii="Simplified Arabic" w:hAnsi="Simplified Arabic" w:cs="Simplified Arabic"/>
          <w:color w:val="EE0000"/>
          <w:sz w:val="28"/>
          <w:szCs w:val="28"/>
          <w:rtl/>
        </w:rPr>
        <w:t>الحوكمية</w:t>
      </w:r>
      <w:proofErr w:type="spellEnd"/>
      <w:r w:rsidRPr="00EE3287">
        <w:rPr>
          <w:rFonts w:ascii="Simplified Arabic" w:hAnsi="Simplified Arabic" w:cs="Simplified Arabic"/>
          <w:color w:val="EE0000"/>
          <w:sz w:val="28"/>
          <w:szCs w:val="28"/>
          <w:rtl/>
        </w:rPr>
        <w:t xml:space="preserve"> بوصفها متغيرات وسيطة أو معدِّلة في نموذج التحليل.</w:t>
      </w:r>
    </w:p>
    <w:p w14:paraId="03A1F862" w14:textId="77777777" w:rsidR="00EE3287" w:rsidRPr="00EE3287" w:rsidRDefault="00EE3287" w:rsidP="00EE3287">
      <w:pPr>
        <w:jc w:val="both"/>
        <w:rPr>
          <w:rFonts w:ascii="Simplified Arabic" w:hAnsi="Simplified Arabic" w:cs="Simplified Arabic"/>
          <w:color w:val="EE0000"/>
          <w:sz w:val="28"/>
          <w:szCs w:val="28"/>
          <w:rtl/>
        </w:rPr>
      </w:pPr>
      <w:r w:rsidRPr="00EE3287">
        <w:rPr>
          <w:rFonts w:ascii="Simplified Arabic" w:hAnsi="Simplified Arabic" w:cs="Simplified Arabic"/>
          <w:color w:val="EE0000"/>
          <w:sz w:val="28"/>
          <w:szCs w:val="28"/>
          <w:rtl/>
        </w:rPr>
        <w:t xml:space="preserve">وقد صُمّمت الدراسة الحالية لمعالجة هذه الأنماط الخمسة مجتمعةً، من خلال: (1) اعتماد إطار نظري ثلاثي متكامل يجمع بين </w:t>
      </w:r>
      <w:r w:rsidRPr="00EE3287">
        <w:rPr>
          <w:rFonts w:ascii="Simplified Arabic" w:hAnsi="Simplified Arabic" w:cs="Simplified Arabic"/>
          <w:color w:val="EE0000"/>
          <w:sz w:val="28"/>
          <w:szCs w:val="28"/>
        </w:rPr>
        <w:t>RBV</w:t>
      </w:r>
      <w:r w:rsidRPr="00EE3287">
        <w:rPr>
          <w:rFonts w:ascii="Simplified Arabic" w:hAnsi="Simplified Arabic" w:cs="Simplified Arabic"/>
          <w:color w:val="EE0000"/>
          <w:sz w:val="28"/>
          <w:szCs w:val="28"/>
          <w:rtl/>
        </w:rPr>
        <w:t xml:space="preserve"> و</w:t>
      </w:r>
      <w:r w:rsidRPr="00EE3287">
        <w:rPr>
          <w:rFonts w:ascii="Simplified Arabic" w:hAnsi="Simplified Arabic" w:cs="Simplified Arabic"/>
          <w:color w:val="EE0000"/>
          <w:sz w:val="28"/>
          <w:szCs w:val="28"/>
        </w:rPr>
        <w:t>TOE</w:t>
      </w:r>
      <w:r w:rsidRPr="00EE3287">
        <w:rPr>
          <w:rFonts w:ascii="Simplified Arabic" w:hAnsi="Simplified Arabic" w:cs="Simplified Arabic"/>
          <w:color w:val="EE0000"/>
          <w:sz w:val="28"/>
          <w:szCs w:val="28"/>
          <w:rtl/>
        </w:rPr>
        <w:t xml:space="preserve"> والنظرية المؤسسية، (2) استهداف المؤسسات الحكومية السعودية الكبرى بفئاتها الثلاث، (3) تبنّي تصميم تفسيري متتابع يجمع بين الاستبانة الميدانية والمقابلات المعمّقة </w:t>
      </w:r>
      <w:r w:rsidRPr="00EE3287">
        <w:rPr>
          <w:rFonts w:ascii="Simplified Arabic" w:hAnsi="Simplified Arabic" w:cs="Simplified Arabic"/>
          <w:color w:val="EE0000"/>
          <w:sz w:val="28"/>
          <w:szCs w:val="28"/>
          <w:rtl/>
        </w:rPr>
        <w:lastRenderedPageBreak/>
        <w:t xml:space="preserve">والتحليل الوثائقي، (4) توظيف تحليل </w:t>
      </w:r>
      <w:r w:rsidRPr="00EE3287">
        <w:rPr>
          <w:rFonts w:ascii="Simplified Arabic" w:hAnsi="Simplified Arabic" w:cs="Simplified Arabic"/>
          <w:color w:val="EE0000"/>
          <w:sz w:val="28"/>
          <w:szCs w:val="28"/>
        </w:rPr>
        <w:t>multi-group SEM</w:t>
      </w:r>
      <w:r w:rsidRPr="00EE3287">
        <w:rPr>
          <w:rFonts w:ascii="Simplified Arabic" w:hAnsi="Simplified Arabic" w:cs="Simplified Arabic"/>
          <w:color w:val="EE0000"/>
          <w:sz w:val="28"/>
          <w:szCs w:val="28"/>
          <w:rtl/>
        </w:rPr>
        <w:t xml:space="preserve"> عبر ثلاث فئات مؤسسية لكشف التباين البنيوي، (5) إدماج القيود التشريعية </w:t>
      </w:r>
      <w:proofErr w:type="spellStart"/>
      <w:r w:rsidRPr="00EE3287">
        <w:rPr>
          <w:rFonts w:ascii="Simplified Arabic" w:hAnsi="Simplified Arabic" w:cs="Simplified Arabic"/>
          <w:color w:val="EE0000"/>
          <w:sz w:val="28"/>
          <w:szCs w:val="28"/>
          <w:rtl/>
        </w:rPr>
        <w:t>والحوكمية</w:t>
      </w:r>
      <w:proofErr w:type="spellEnd"/>
      <w:r w:rsidRPr="00EE3287">
        <w:rPr>
          <w:rFonts w:ascii="Simplified Arabic" w:hAnsi="Simplified Arabic" w:cs="Simplified Arabic"/>
          <w:color w:val="EE0000"/>
          <w:sz w:val="28"/>
          <w:szCs w:val="28"/>
          <w:rtl/>
        </w:rPr>
        <w:t xml:space="preserve"> السعودية بوصفها عناصر تفسيرية جوهرية في نموذج الدراسة. وبهذا التصميم المتعدد المستويات، تتموضع الدراسة الحالية بوصفها استجابة منهجية ونظرية وسياقية للفجوات المرصودة في الأدبيات العربية والدولية على السواء.</w:t>
      </w:r>
    </w:p>
    <w:p w14:paraId="6CF5029B" w14:textId="77777777" w:rsidR="00C47BC4" w:rsidRPr="0081357B" w:rsidRDefault="00C47BC4" w:rsidP="00C47BC4">
      <w:pPr>
        <w:pStyle w:val="1"/>
        <w:rPr>
          <w:rtl/>
        </w:rPr>
      </w:pPr>
      <w:r w:rsidRPr="0081357B">
        <w:rPr>
          <w:rtl/>
        </w:rPr>
        <w:t>الاعتبارات والقيود الأخلاقية</w:t>
      </w:r>
    </w:p>
    <w:p w14:paraId="0E71E54E" w14:textId="77777777" w:rsidR="00C47BC4" w:rsidRPr="0081357B" w:rsidRDefault="00C47BC4" w:rsidP="00C47BC4">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81357B">
        <w:rPr>
          <w:rFonts w:ascii="Simplified Arabic" w:eastAsia="Times New Roman" w:hAnsi="Simplified Arabic" w:cs="Simplified Arabic" w:hint="cs"/>
          <w:b/>
          <w:bCs/>
          <w:kern w:val="0"/>
          <w:sz w:val="28"/>
          <w:szCs w:val="28"/>
          <w:rtl/>
          <w14:ligatures w14:val="none"/>
        </w:rPr>
        <w:t>أولاً: الاعتبارات الأخلاقية</w:t>
      </w:r>
    </w:p>
    <w:p w14:paraId="42769184" w14:textId="77777777" w:rsidR="00C47BC4" w:rsidRPr="0081357B" w:rsidRDefault="00C47BC4" w:rsidP="00C47BC4">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ستحرص الدراسة على تطبيق منظومة أخلاقية صارمة تشمل ما يلي</w:t>
      </w:r>
      <w:r w:rsidRPr="0081357B">
        <w:rPr>
          <w:rFonts w:ascii="Simplified Arabic" w:eastAsia="Times New Roman" w:hAnsi="Simplified Arabic" w:cs="Simplified Arabic" w:hint="cs"/>
          <w:kern w:val="0"/>
          <w:sz w:val="28"/>
          <w:szCs w:val="28"/>
          <w14:ligatures w14:val="none"/>
        </w:rPr>
        <w:t>:</w:t>
      </w:r>
    </w:p>
    <w:p w14:paraId="59B946EC"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سيُزوَّد المشاركون بوثيقة تفصيلية توضّح أهداف الدراسة، وإجراءاتها، وطبيعة الأسئلة، وحدود استخدام البيانات، بما يتيح لهم اتخاذ قرار واعٍ بشأن المشاركة</w:t>
      </w:r>
      <w:r w:rsidRPr="0081357B">
        <w:rPr>
          <w:rFonts w:ascii="Simplified Arabic" w:eastAsia="Times New Roman" w:hAnsi="Simplified Arabic" w:cs="Simplified Arabic" w:hint="cs"/>
          <w:kern w:val="0"/>
          <w:sz w:val="28"/>
          <w:szCs w:val="28"/>
          <w14:ligatures w14:val="none"/>
        </w:rPr>
        <w:t>.</w:t>
      </w:r>
    </w:p>
    <w:p w14:paraId="33E2C100"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ستؤكد الدراسة على أن المشاركة اختيارية بالكامل، وأن للمشارك الحق في الانسحاب دون الحاجة إلى تبرير، ودون أن تترتب على ذلك أي آثار مباشرة أو غير مباشرة</w:t>
      </w:r>
      <w:r w:rsidRPr="0081357B">
        <w:rPr>
          <w:rFonts w:ascii="Simplified Arabic" w:eastAsia="Times New Roman" w:hAnsi="Simplified Arabic" w:cs="Simplified Arabic" w:hint="cs"/>
          <w:kern w:val="0"/>
          <w:sz w:val="28"/>
          <w:szCs w:val="28"/>
          <w14:ligatures w14:val="none"/>
        </w:rPr>
        <w:t>.</w:t>
      </w:r>
    </w:p>
    <w:p w14:paraId="1D12DABE"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ستُتّخذ إجراءات لحماية خصوصية المشاركين، عبر فصل بيانات الهوية عن الأدوات البحثية، والتعامل مع جميع الاستجابات بصورة غير مرتبطة بأي معلومات شخصية أو وظيفية حساسة</w:t>
      </w:r>
      <w:r w:rsidRPr="0081357B">
        <w:rPr>
          <w:rFonts w:ascii="Simplified Arabic" w:eastAsia="Times New Roman" w:hAnsi="Simplified Arabic" w:cs="Simplified Arabic" w:hint="cs"/>
          <w:kern w:val="0"/>
          <w:sz w:val="28"/>
          <w:szCs w:val="28"/>
          <w14:ligatures w14:val="none"/>
        </w:rPr>
        <w:t>.</w:t>
      </w:r>
    </w:p>
    <w:p w14:paraId="775E7845"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لن تُعرض أي نتائج تسمح بتحديد هوية أفراد أو إدارات أو مؤسسات. وسيُستخدم الأسلوب التجميعي والإحصائي في جميع مراحل التحليل والعرض لضمان عدم الكشف عن أي مشارك</w:t>
      </w:r>
      <w:r w:rsidRPr="0081357B">
        <w:rPr>
          <w:rFonts w:ascii="Simplified Arabic" w:eastAsia="Times New Roman" w:hAnsi="Simplified Arabic" w:cs="Simplified Arabic" w:hint="cs"/>
          <w:kern w:val="0"/>
          <w:sz w:val="28"/>
          <w:szCs w:val="28"/>
          <w14:ligatures w14:val="none"/>
        </w:rPr>
        <w:t>.</w:t>
      </w:r>
    </w:p>
    <w:p w14:paraId="7E38F9AE"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ستُخزَّن البيانات في بيئة رقمية محمية بكلمات مرور وأنظمة تشفير، ولن يُسمح بالوصول إليها إلا للباحثين المخولين رسميًا</w:t>
      </w:r>
      <w:r w:rsidRPr="0081357B">
        <w:rPr>
          <w:rFonts w:ascii="Simplified Arabic" w:eastAsia="Times New Roman" w:hAnsi="Simplified Arabic" w:cs="Simplified Arabic" w:hint="cs"/>
          <w:kern w:val="0"/>
          <w:sz w:val="28"/>
          <w:szCs w:val="28"/>
          <w14:ligatures w14:val="none"/>
        </w:rPr>
        <w:t>.</w:t>
      </w:r>
    </w:p>
    <w:p w14:paraId="6ACF89E9"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ستلتزم الدراسة بجميع الإجراءات الأخلاقية المعتمدة في لجان أخلاقيات البحث العلمي، بما في ذلك الحصول على الموافقات اللازمة قبل بدء جمع البيانات</w:t>
      </w:r>
      <w:r w:rsidRPr="0081357B">
        <w:rPr>
          <w:rFonts w:ascii="Simplified Arabic" w:eastAsia="Times New Roman" w:hAnsi="Simplified Arabic" w:cs="Simplified Arabic" w:hint="cs"/>
          <w:kern w:val="0"/>
          <w:sz w:val="28"/>
          <w:szCs w:val="28"/>
          <w14:ligatures w14:val="none"/>
        </w:rPr>
        <w:t>.</w:t>
      </w:r>
    </w:p>
    <w:p w14:paraId="36EA99AB" w14:textId="77777777" w:rsidR="00C47BC4" w:rsidRPr="0081357B" w:rsidRDefault="00C47BC4">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سيجري التأكيد على حياد الباحث واستقلالية التحليل، وتجنب أي تأثيرات مهنية أو مؤسسية قد تُوجّه المشاركين أو تُحرّف البيانات</w:t>
      </w:r>
      <w:r w:rsidRPr="0081357B">
        <w:rPr>
          <w:rFonts w:ascii="Simplified Arabic" w:eastAsia="Times New Roman" w:hAnsi="Simplified Arabic" w:cs="Simplified Arabic" w:hint="cs"/>
          <w:kern w:val="0"/>
          <w:sz w:val="28"/>
          <w:szCs w:val="28"/>
          <w14:ligatures w14:val="none"/>
        </w:rPr>
        <w:t>.</w:t>
      </w:r>
    </w:p>
    <w:p w14:paraId="61160FDC" w14:textId="77777777" w:rsidR="00C47BC4" w:rsidRPr="0081357B" w:rsidRDefault="00C47BC4" w:rsidP="00C47BC4">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81357B">
        <w:rPr>
          <w:rFonts w:ascii="Simplified Arabic" w:eastAsia="Times New Roman" w:hAnsi="Simplified Arabic" w:cs="Simplified Arabic" w:hint="cs"/>
          <w:b/>
          <w:bCs/>
          <w:kern w:val="0"/>
          <w:sz w:val="28"/>
          <w:szCs w:val="28"/>
          <w:rtl/>
          <w14:ligatures w14:val="none"/>
        </w:rPr>
        <w:t>ثانياً: قيود الدراسة</w:t>
      </w:r>
    </w:p>
    <w:p w14:paraId="266B437D" w14:textId="77777777" w:rsidR="00C47BC4" w:rsidRPr="0081357B" w:rsidRDefault="00C47BC4" w:rsidP="00C47BC4">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ستُقر الدراسة بمجموعة من القيود المنهجية والعملية التي قد تؤثر على تفسير النتائج أو تعميمها، وتشمل</w:t>
      </w:r>
      <w:r w:rsidRPr="0081357B">
        <w:rPr>
          <w:rFonts w:ascii="Simplified Arabic" w:eastAsia="Times New Roman" w:hAnsi="Simplified Arabic" w:cs="Simplified Arabic" w:hint="cs"/>
          <w:kern w:val="0"/>
          <w:sz w:val="28"/>
          <w:szCs w:val="28"/>
          <w14:ligatures w14:val="none"/>
        </w:rPr>
        <w:t>:</w:t>
      </w:r>
    </w:p>
    <w:p w14:paraId="7C08E0B5"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lastRenderedPageBreak/>
        <w:t>محدودية الوصول إلى البيانات الحساسة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تفرض بعض المؤسسات الحكومية قيودًا على مشاركة بيانات تشغيلية أو معلومات تقنية دقيقة، مما قد يحدّ من عمق التحليل في بعض الجوانب</w:t>
      </w:r>
      <w:r w:rsidRPr="0081357B">
        <w:rPr>
          <w:rFonts w:ascii="Simplified Arabic" w:eastAsia="Times New Roman" w:hAnsi="Simplified Arabic" w:cs="Simplified Arabic" w:hint="cs"/>
          <w:kern w:val="0"/>
          <w:sz w:val="28"/>
          <w:szCs w:val="28"/>
          <w14:ligatures w14:val="none"/>
        </w:rPr>
        <w:t>.</w:t>
      </w:r>
    </w:p>
    <w:p w14:paraId="7BA178D6"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التفاوت في تبنّي التقنيات الرقمية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اختلاف مستويات الجاهزية الرقمية بين المؤسسات الحكومية سيُعد متغيرًا مؤثرًا قد يحدّ من إمكانية تعميم النتائج على القطاع الحكومي بالكامل</w:t>
      </w:r>
      <w:r w:rsidRPr="0081357B">
        <w:rPr>
          <w:rFonts w:ascii="Simplified Arabic" w:eastAsia="Times New Roman" w:hAnsi="Simplified Arabic" w:cs="Simplified Arabic" w:hint="cs"/>
          <w:kern w:val="0"/>
          <w:sz w:val="28"/>
          <w:szCs w:val="28"/>
          <w14:ligatures w14:val="none"/>
        </w:rPr>
        <w:t>.</w:t>
      </w:r>
    </w:p>
    <w:p w14:paraId="7CA597F5"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الحساسية التنظيمية للمقابلات النوعية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يتردد بعض القياديين أو الموظفين في الإفصاح عن تحديات داخلية تتعلق بالحوكمة أو التشغيل، مما قد يؤثر على شمولية البيانات النوعية</w:t>
      </w:r>
      <w:r w:rsidRPr="0081357B">
        <w:rPr>
          <w:rFonts w:ascii="Simplified Arabic" w:eastAsia="Times New Roman" w:hAnsi="Simplified Arabic" w:cs="Simplified Arabic" w:hint="cs"/>
          <w:kern w:val="0"/>
          <w:sz w:val="28"/>
          <w:szCs w:val="28"/>
          <w14:ligatures w14:val="none"/>
        </w:rPr>
        <w:t>.</w:t>
      </w:r>
    </w:p>
    <w:p w14:paraId="77C399B2"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قيود العينة النوعية</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تعتمد المقابلات المعمقة على توافر القيادات التنفيذية وذوي الخبرة، وهو ما قد يقلّص حجم العينة النوعية مقارنة بالعينة الكمية الواسعة</w:t>
      </w:r>
      <w:r w:rsidRPr="0081357B">
        <w:rPr>
          <w:rFonts w:ascii="Simplified Arabic" w:eastAsia="Times New Roman" w:hAnsi="Simplified Arabic" w:cs="Simplified Arabic" w:hint="cs"/>
          <w:kern w:val="0"/>
          <w:sz w:val="28"/>
          <w:szCs w:val="28"/>
          <w14:ligatures w14:val="none"/>
        </w:rPr>
        <w:t>.</w:t>
      </w:r>
    </w:p>
    <w:p w14:paraId="25EC4012"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التغيرات السريعة في سياسات التحول الرقمي</w:t>
      </w:r>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نظراً للتطور المتسارع في مبادرات التحول الرقمي الحكومية، قد تتغير البيئة المؤسسية أثناء فترة البحث، مما قد يؤثر على صلاحية بعض النتائج بمرور الوقت</w:t>
      </w:r>
      <w:r w:rsidRPr="0081357B">
        <w:rPr>
          <w:rFonts w:ascii="Simplified Arabic" w:eastAsia="Times New Roman" w:hAnsi="Simplified Arabic" w:cs="Simplified Arabic" w:hint="cs"/>
          <w:kern w:val="0"/>
          <w:sz w:val="28"/>
          <w:szCs w:val="28"/>
          <w14:ligatures w14:val="none"/>
        </w:rPr>
        <w:t>.</w:t>
      </w:r>
    </w:p>
    <w:p w14:paraId="7362B67F" w14:textId="77777777" w:rsidR="00C47BC4" w:rsidRPr="0081357B" w:rsidRDefault="00C47BC4">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1357B">
        <w:rPr>
          <w:rFonts w:ascii="Simplified Arabic" w:eastAsia="Times New Roman" w:hAnsi="Simplified Arabic" w:cs="Simplified Arabic" w:hint="cs"/>
          <w:kern w:val="0"/>
          <w:sz w:val="28"/>
          <w:szCs w:val="28"/>
          <w:rtl/>
          <w14:ligatures w14:val="none"/>
        </w:rPr>
        <w:t xml:space="preserve">إمكان وجود تحيز </w:t>
      </w:r>
      <w:proofErr w:type="spellStart"/>
      <w:r w:rsidRPr="0081357B">
        <w:rPr>
          <w:rFonts w:ascii="Simplified Arabic" w:eastAsia="Times New Roman" w:hAnsi="Simplified Arabic" w:cs="Simplified Arabic" w:hint="cs"/>
          <w:kern w:val="0"/>
          <w:sz w:val="28"/>
          <w:szCs w:val="28"/>
          <w:rtl/>
          <w14:ligatures w14:val="none"/>
        </w:rPr>
        <w:t>استجابي</w:t>
      </w:r>
      <w:proofErr w:type="spellEnd"/>
      <w:r w:rsidRPr="0081357B">
        <w:rPr>
          <w:rFonts w:ascii="Simplified Arabic" w:eastAsia="Times New Roman" w:hAnsi="Simplified Arabic" w:cs="Simplified Arabic" w:hint="cs"/>
          <w:kern w:val="0"/>
          <w:sz w:val="28"/>
          <w:szCs w:val="28"/>
          <w14:ligatures w14:val="none"/>
        </w:rPr>
        <w:t xml:space="preserve">: </w:t>
      </w:r>
      <w:r w:rsidRPr="0081357B">
        <w:rPr>
          <w:rFonts w:ascii="Simplified Arabic" w:eastAsia="Times New Roman" w:hAnsi="Simplified Arabic" w:cs="Simplified Arabic" w:hint="cs"/>
          <w:kern w:val="0"/>
          <w:sz w:val="28"/>
          <w:szCs w:val="28"/>
          <w:rtl/>
          <w14:ligatures w14:val="none"/>
        </w:rPr>
        <w:t>قد يُظهر بعض المشاركين ميلاً للاستجابة بطريقة أكثر إيجابية أو تحفظًا، بما يتماشى مع توقعات مؤسساتهم، وهو ما يُعد أحد التحديات المعروفة في البحوث الإدارية</w:t>
      </w:r>
      <w:r w:rsidRPr="0081357B">
        <w:rPr>
          <w:rFonts w:ascii="Simplified Arabic" w:eastAsia="Times New Roman" w:hAnsi="Simplified Arabic" w:cs="Simplified Arabic" w:hint="cs"/>
          <w:kern w:val="0"/>
          <w:sz w:val="28"/>
          <w:szCs w:val="28"/>
          <w14:ligatures w14:val="none"/>
        </w:rPr>
        <w:t>.</w:t>
      </w:r>
    </w:p>
    <w:p w14:paraId="4ED778C2" w14:textId="54F82B4F" w:rsidR="00DE18A5" w:rsidRPr="00B91104" w:rsidRDefault="00DE18A5" w:rsidP="00D439AC">
      <w:pPr>
        <w:pStyle w:val="1"/>
        <w:rPr>
          <w:rtl/>
        </w:rPr>
      </w:pPr>
      <w:r w:rsidRPr="00B91104">
        <w:rPr>
          <w:rtl/>
        </w:rPr>
        <w:t>قائمة المراجع:</w:t>
      </w:r>
      <w:bookmarkEnd w:id="14"/>
    </w:p>
    <w:p w14:paraId="36187114" w14:textId="77777777" w:rsidR="00332430" w:rsidRDefault="00332430" w:rsidP="00332430">
      <w:pPr>
        <w:jc w:val="both"/>
        <w:rPr>
          <w:rFonts w:ascii="Simplified Arabic" w:hAnsi="Simplified Arabic" w:cs="Simplified Arabic"/>
          <w:sz w:val="28"/>
          <w:szCs w:val="28"/>
          <w:rtl/>
          <w:lang w:bidi="ar-EG"/>
        </w:rPr>
      </w:pPr>
    </w:p>
    <w:p w14:paraId="62B6CCA1"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حسن، محمد محسن رمضان، الضبع، عمرو رمضان علي إمام، عزازي، محمد فتحي محمد، </w:t>
      </w:r>
      <w:proofErr w:type="gramStart"/>
      <w:r w:rsidRPr="00332430">
        <w:rPr>
          <w:rFonts w:ascii="Simplified Arabic" w:hAnsi="Simplified Arabic" w:cs="Simplified Arabic"/>
          <w:sz w:val="28"/>
          <w:szCs w:val="28"/>
          <w:rtl/>
          <w:lang w:bidi="ar-EG"/>
        </w:rPr>
        <w:t>و يوسف</w:t>
      </w:r>
      <w:proofErr w:type="gramEnd"/>
      <w:r w:rsidRPr="00332430">
        <w:rPr>
          <w:rFonts w:ascii="Simplified Arabic" w:hAnsi="Simplified Arabic" w:cs="Simplified Arabic"/>
          <w:sz w:val="28"/>
          <w:szCs w:val="28"/>
          <w:rtl/>
          <w:lang w:bidi="ar-EG"/>
        </w:rPr>
        <w:t xml:space="preserve">، محمد وجدي </w:t>
      </w:r>
      <w:proofErr w:type="gramStart"/>
      <w:r w:rsidRPr="00332430">
        <w:rPr>
          <w:rFonts w:ascii="Simplified Arabic" w:hAnsi="Simplified Arabic" w:cs="Simplified Arabic"/>
          <w:sz w:val="28"/>
          <w:szCs w:val="28"/>
          <w:rtl/>
          <w:lang w:bidi="ar-EG"/>
        </w:rPr>
        <w:t>عبدالفتاح</w:t>
      </w:r>
      <w:proofErr w:type="gramEnd"/>
      <w:r w:rsidRPr="00332430">
        <w:rPr>
          <w:rFonts w:ascii="Simplified Arabic" w:hAnsi="Simplified Arabic" w:cs="Simplified Arabic"/>
          <w:sz w:val="28"/>
          <w:szCs w:val="28"/>
          <w:rtl/>
          <w:lang w:bidi="ar-EG"/>
        </w:rPr>
        <w:t>. (2024). دور الذكاء الاصطناعي من أجل التنمية المستدامة. مجلة راية الدولية للعلوم التجارية، مج3, ع</w:t>
      </w:r>
      <w:proofErr w:type="gramStart"/>
      <w:r w:rsidRPr="00332430">
        <w:rPr>
          <w:rFonts w:ascii="Simplified Arabic" w:hAnsi="Simplified Arabic" w:cs="Simplified Arabic"/>
          <w:sz w:val="28"/>
          <w:szCs w:val="28"/>
          <w:rtl/>
          <w:lang w:bidi="ar-EG"/>
        </w:rPr>
        <w:t>10 ،</w:t>
      </w:r>
      <w:proofErr w:type="gramEnd"/>
      <w:r w:rsidRPr="00332430">
        <w:rPr>
          <w:rFonts w:ascii="Simplified Arabic" w:hAnsi="Simplified Arabic" w:cs="Simplified Arabic"/>
          <w:sz w:val="28"/>
          <w:szCs w:val="28"/>
          <w:rtl/>
          <w:lang w:bidi="ar-EG"/>
        </w:rPr>
        <w:t xml:space="preserve"> 1435 - 1472. مسترجع من </w:t>
      </w:r>
      <w:hyperlink r:id="rId14" w:history="1">
        <w:r w:rsidRPr="00332430">
          <w:rPr>
            <w:rStyle w:val="Hyperlink"/>
            <w:rFonts w:ascii="Simplified Arabic" w:hAnsi="Simplified Arabic" w:cs="Simplified Arabic"/>
            <w:sz w:val="28"/>
            <w:szCs w:val="28"/>
            <w:lang w:bidi="ar-EG"/>
          </w:rPr>
          <w:t>http://search.mandumah.com/Record/1524908</w:t>
        </w:r>
      </w:hyperlink>
    </w:p>
    <w:p w14:paraId="19D51774"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rPr>
        <w:t xml:space="preserve">الصفار، عادل محمد </w:t>
      </w:r>
      <w:proofErr w:type="gramStart"/>
      <w:r w:rsidRPr="00332430">
        <w:rPr>
          <w:rFonts w:ascii="Simplified Arabic" w:hAnsi="Simplified Arabic" w:cs="Simplified Arabic"/>
          <w:sz w:val="28"/>
          <w:szCs w:val="28"/>
          <w:rtl/>
        </w:rPr>
        <w:t>عبدالعزيز</w:t>
      </w:r>
      <w:proofErr w:type="gramEnd"/>
      <w:r w:rsidRPr="00332430">
        <w:rPr>
          <w:rFonts w:ascii="Simplified Arabic" w:hAnsi="Simplified Arabic" w:cs="Simplified Arabic"/>
          <w:sz w:val="28"/>
          <w:szCs w:val="28"/>
          <w:rtl/>
        </w:rPr>
        <w:t>. (2024). دور الذكاء الاصطناعي في تحسين جودة الخدمات: دراسة تطبيقية على شركة الاتصالات السعودية. مجلة رماح للبحوث والدراسات، ع</w:t>
      </w:r>
      <w:proofErr w:type="gramStart"/>
      <w:r w:rsidRPr="00332430">
        <w:rPr>
          <w:rFonts w:ascii="Simplified Arabic" w:hAnsi="Simplified Arabic" w:cs="Simplified Arabic"/>
          <w:sz w:val="28"/>
          <w:szCs w:val="28"/>
          <w:rtl/>
        </w:rPr>
        <w:t>95 ،</w:t>
      </w:r>
      <w:proofErr w:type="gramEnd"/>
      <w:r w:rsidRPr="00332430">
        <w:rPr>
          <w:rFonts w:ascii="Simplified Arabic" w:hAnsi="Simplified Arabic" w:cs="Simplified Arabic"/>
          <w:sz w:val="28"/>
          <w:szCs w:val="28"/>
          <w:rtl/>
        </w:rPr>
        <w:t xml:space="preserve"> 341 - 367. مسترجع من </w:t>
      </w:r>
      <w:hyperlink r:id="rId15" w:history="1">
        <w:r w:rsidRPr="00332430">
          <w:rPr>
            <w:rStyle w:val="Hyperlink"/>
            <w:rFonts w:ascii="Simplified Arabic" w:hAnsi="Simplified Arabic" w:cs="Simplified Arabic"/>
            <w:sz w:val="28"/>
            <w:szCs w:val="28"/>
          </w:rPr>
          <w:t>http://search.mandumah.com/Record/1473185</w:t>
        </w:r>
      </w:hyperlink>
    </w:p>
    <w:p w14:paraId="1EF18440"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صقر، محمود ماجد محمود </w:t>
      </w:r>
      <w:proofErr w:type="spellStart"/>
      <w:r w:rsidRPr="00332430">
        <w:rPr>
          <w:rFonts w:ascii="Simplified Arabic" w:hAnsi="Simplified Arabic" w:cs="Simplified Arabic"/>
          <w:sz w:val="28"/>
          <w:szCs w:val="28"/>
          <w:rtl/>
          <w:lang w:bidi="ar-EG"/>
        </w:rPr>
        <w:t>عبدالجيد</w:t>
      </w:r>
      <w:proofErr w:type="spellEnd"/>
      <w:r w:rsidRPr="00332430">
        <w:rPr>
          <w:rFonts w:ascii="Simplified Arabic" w:hAnsi="Simplified Arabic" w:cs="Simplified Arabic"/>
          <w:sz w:val="28"/>
          <w:szCs w:val="28"/>
          <w:rtl/>
          <w:lang w:bidi="ar-EG"/>
        </w:rPr>
        <w:t xml:space="preserve">، إسماعيل، عمار فتحي موسى، </w:t>
      </w:r>
      <w:proofErr w:type="gramStart"/>
      <w:r w:rsidRPr="00332430">
        <w:rPr>
          <w:rFonts w:ascii="Simplified Arabic" w:hAnsi="Simplified Arabic" w:cs="Simplified Arabic"/>
          <w:sz w:val="28"/>
          <w:szCs w:val="28"/>
          <w:rtl/>
          <w:lang w:bidi="ar-EG"/>
        </w:rPr>
        <w:t>و مرزوق</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عبدالعزيز</w:t>
      </w:r>
      <w:proofErr w:type="gramEnd"/>
      <w:r w:rsidRPr="00332430">
        <w:rPr>
          <w:rFonts w:ascii="Simplified Arabic" w:hAnsi="Simplified Arabic" w:cs="Simplified Arabic"/>
          <w:sz w:val="28"/>
          <w:szCs w:val="28"/>
          <w:rtl/>
          <w:lang w:bidi="ar-EG"/>
        </w:rPr>
        <w:t xml:space="preserve"> علي. (2024). دور الذكاء الاصطناعي في تحسين ابتكار الخدمة: دراسة تطبيقية. مجلة راية الدولية </w:t>
      </w:r>
      <w:r w:rsidRPr="00332430">
        <w:rPr>
          <w:rFonts w:ascii="Simplified Arabic" w:hAnsi="Simplified Arabic" w:cs="Simplified Arabic"/>
          <w:sz w:val="28"/>
          <w:szCs w:val="28"/>
          <w:rtl/>
          <w:lang w:bidi="ar-EG"/>
        </w:rPr>
        <w:lastRenderedPageBreak/>
        <w:t>للعلوم التجارية، مج3, ع</w:t>
      </w:r>
      <w:proofErr w:type="gramStart"/>
      <w:r w:rsidRPr="00332430">
        <w:rPr>
          <w:rFonts w:ascii="Simplified Arabic" w:hAnsi="Simplified Arabic" w:cs="Simplified Arabic"/>
          <w:sz w:val="28"/>
          <w:szCs w:val="28"/>
          <w:rtl/>
          <w:lang w:bidi="ar-EG"/>
        </w:rPr>
        <w:t>11 ،</w:t>
      </w:r>
      <w:proofErr w:type="gramEnd"/>
      <w:r w:rsidRPr="00332430">
        <w:rPr>
          <w:rFonts w:ascii="Simplified Arabic" w:hAnsi="Simplified Arabic" w:cs="Simplified Arabic"/>
          <w:sz w:val="28"/>
          <w:szCs w:val="28"/>
          <w:rtl/>
          <w:lang w:bidi="ar-EG"/>
        </w:rPr>
        <w:t xml:space="preserve"> 801 - 872. مسترجع من </w:t>
      </w:r>
      <w:hyperlink r:id="rId16" w:history="1">
        <w:r w:rsidRPr="00332430">
          <w:rPr>
            <w:rStyle w:val="Hyperlink"/>
            <w:rFonts w:ascii="Simplified Arabic" w:hAnsi="Simplified Arabic" w:cs="Simplified Arabic"/>
            <w:sz w:val="28"/>
            <w:szCs w:val="28"/>
            <w:lang w:bidi="ar-EG"/>
          </w:rPr>
          <w:t>http://search.mandumah.com/Record/1524722</w:t>
        </w:r>
      </w:hyperlink>
    </w:p>
    <w:p w14:paraId="326B4D30" w14:textId="77777777" w:rsidR="00332430" w:rsidRP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طيبي، إكرام، </w:t>
      </w:r>
      <w:proofErr w:type="gramStart"/>
      <w:r w:rsidRPr="00332430">
        <w:rPr>
          <w:rFonts w:ascii="Simplified Arabic" w:hAnsi="Simplified Arabic" w:cs="Simplified Arabic"/>
          <w:sz w:val="28"/>
          <w:szCs w:val="28"/>
          <w:rtl/>
          <w:lang w:bidi="ar-EG"/>
        </w:rPr>
        <w:t>و مولاي</w:t>
      </w:r>
      <w:proofErr w:type="gramEnd"/>
      <w:r w:rsidRPr="00332430">
        <w:rPr>
          <w:rFonts w:ascii="Simplified Arabic" w:hAnsi="Simplified Arabic" w:cs="Simplified Arabic"/>
          <w:sz w:val="28"/>
          <w:szCs w:val="28"/>
          <w:rtl/>
          <w:lang w:bidi="ar-EG"/>
        </w:rPr>
        <w:t>، أمينة. (2023). أثر الذكاء الاصطناعي على أداء البنوك التجارية: دراسة حالة البنوك التجارية لولايتي البيض وتيارت. دراسات اقتصادية، مج23, ع</w:t>
      </w:r>
      <w:proofErr w:type="gramStart"/>
      <w:r w:rsidRPr="00332430">
        <w:rPr>
          <w:rFonts w:ascii="Simplified Arabic" w:hAnsi="Simplified Arabic" w:cs="Simplified Arabic"/>
          <w:sz w:val="28"/>
          <w:szCs w:val="28"/>
          <w:rtl/>
          <w:lang w:bidi="ar-EG"/>
        </w:rPr>
        <w:t>1 ،</w:t>
      </w:r>
      <w:proofErr w:type="gramEnd"/>
      <w:r w:rsidRPr="00332430">
        <w:rPr>
          <w:rFonts w:ascii="Simplified Arabic" w:hAnsi="Simplified Arabic" w:cs="Simplified Arabic"/>
          <w:sz w:val="28"/>
          <w:szCs w:val="28"/>
          <w:rtl/>
          <w:lang w:bidi="ar-EG"/>
        </w:rPr>
        <w:t xml:space="preserve"> 33 - 48. مسترجع من </w:t>
      </w:r>
      <w:hyperlink r:id="rId17" w:history="1">
        <w:r w:rsidRPr="00332430">
          <w:rPr>
            <w:rStyle w:val="Hyperlink"/>
            <w:rFonts w:ascii="Simplified Arabic" w:hAnsi="Simplified Arabic" w:cs="Simplified Arabic"/>
            <w:sz w:val="28"/>
            <w:szCs w:val="28"/>
            <w:lang w:bidi="ar-EG"/>
          </w:rPr>
          <w:t>http://search.mandumah.com/Record/1393074</w:t>
        </w:r>
      </w:hyperlink>
    </w:p>
    <w:p w14:paraId="597CFE48" w14:textId="77777777" w:rsidR="00332430" w:rsidRPr="00332430" w:rsidRDefault="00332430">
      <w:pPr>
        <w:pStyle w:val="a6"/>
        <w:numPr>
          <w:ilvl w:val="0"/>
          <w:numId w:val="9"/>
        </w:numPr>
        <w:jc w:val="both"/>
        <w:rPr>
          <w:rFonts w:ascii="Simplified Arabic" w:hAnsi="Simplified Arabic" w:cs="Simplified Arabic"/>
          <w:sz w:val="28"/>
          <w:szCs w:val="28"/>
          <w:lang w:bidi="ar-EG"/>
        </w:rPr>
      </w:pPr>
      <w:proofErr w:type="gramStart"/>
      <w:r w:rsidRPr="00332430">
        <w:rPr>
          <w:rFonts w:ascii="Simplified Arabic" w:hAnsi="Simplified Arabic" w:cs="Simplified Arabic"/>
          <w:sz w:val="28"/>
          <w:szCs w:val="28"/>
          <w:rtl/>
          <w:lang w:bidi="ar-EG"/>
        </w:rPr>
        <w:t>عبدالمنعم</w:t>
      </w:r>
      <w:proofErr w:type="gramEnd"/>
      <w:r w:rsidRPr="00332430">
        <w:rPr>
          <w:rFonts w:ascii="Simplified Arabic" w:hAnsi="Simplified Arabic" w:cs="Simplified Arabic"/>
          <w:sz w:val="28"/>
          <w:szCs w:val="28"/>
          <w:rtl/>
          <w:lang w:bidi="ar-EG"/>
        </w:rPr>
        <w:t>،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w:t>
      </w:r>
      <w:proofErr w:type="gramStart"/>
      <w:r w:rsidRPr="00332430">
        <w:rPr>
          <w:rFonts w:ascii="Simplified Arabic" w:hAnsi="Simplified Arabic" w:cs="Simplified Arabic"/>
          <w:sz w:val="28"/>
          <w:szCs w:val="28"/>
          <w:rtl/>
          <w:lang w:bidi="ar-EG"/>
        </w:rPr>
        <w:t>4 ،</w:t>
      </w:r>
      <w:proofErr w:type="gramEnd"/>
      <w:r w:rsidRPr="00332430">
        <w:rPr>
          <w:rFonts w:ascii="Simplified Arabic" w:hAnsi="Simplified Arabic" w:cs="Simplified Arabic"/>
          <w:sz w:val="28"/>
          <w:szCs w:val="28"/>
          <w:rtl/>
          <w:lang w:bidi="ar-EG"/>
        </w:rPr>
        <w:t xml:space="preserve"> 319 - 378. مسترجع من </w:t>
      </w:r>
      <w:hyperlink r:id="rId18" w:history="1">
        <w:r w:rsidRPr="00332430">
          <w:rPr>
            <w:rStyle w:val="Hyperlink"/>
            <w:rFonts w:ascii="Simplified Arabic" w:hAnsi="Simplified Arabic" w:cs="Simplified Arabic"/>
            <w:sz w:val="28"/>
            <w:szCs w:val="28"/>
            <w:lang w:bidi="ar-EG"/>
          </w:rPr>
          <w:t>http://search.mandumah.com/Record/1442263</w:t>
        </w:r>
      </w:hyperlink>
    </w:p>
    <w:p w14:paraId="2B33F3D0" w14:textId="55D359DC" w:rsidR="00332430" w:rsidRDefault="00332430">
      <w:pPr>
        <w:pStyle w:val="a6"/>
        <w:numPr>
          <w:ilvl w:val="0"/>
          <w:numId w:val="9"/>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المصاروة، مهند كساب </w:t>
      </w:r>
      <w:proofErr w:type="gramStart"/>
      <w:r w:rsidRPr="00332430">
        <w:rPr>
          <w:rFonts w:ascii="Simplified Arabic" w:hAnsi="Simplified Arabic" w:cs="Simplified Arabic"/>
          <w:sz w:val="28"/>
          <w:szCs w:val="28"/>
          <w:rtl/>
          <w:lang w:bidi="ar-EG"/>
        </w:rPr>
        <w:t>عبدالله</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و السرحان</w:t>
      </w:r>
      <w:proofErr w:type="gramEnd"/>
      <w:r w:rsidRPr="00332430">
        <w:rPr>
          <w:rFonts w:ascii="Simplified Arabic" w:hAnsi="Simplified Arabic" w:cs="Simplified Arabic"/>
          <w:sz w:val="28"/>
          <w:szCs w:val="28"/>
          <w:rtl/>
          <w:lang w:bidi="ar-EG"/>
        </w:rPr>
        <w:t xml:space="preserve">،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 مسترجع من </w:t>
      </w:r>
      <w:hyperlink r:id="rId19" w:history="1">
        <w:r w:rsidR="000B00AD" w:rsidRPr="002A3222">
          <w:rPr>
            <w:rStyle w:val="Hyperlink"/>
            <w:rFonts w:ascii="Simplified Arabic" w:hAnsi="Simplified Arabic" w:cs="Simplified Arabic"/>
            <w:sz w:val="28"/>
            <w:szCs w:val="28"/>
            <w:lang w:bidi="ar-EG"/>
          </w:rPr>
          <w:t>http://search.mandumah.com/Record/1250188</w:t>
        </w:r>
      </w:hyperlink>
    </w:p>
    <w:p w14:paraId="03E6CBF4" w14:textId="20855BE6"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العرداوى</w:t>
      </w:r>
      <w:proofErr w:type="spellEnd"/>
      <w:r w:rsidRPr="000B00AD">
        <w:rPr>
          <w:rFonts w:ascii="Simplified Arabic" w:hAnsi="Simplified Arabic" w:cs="Simplified Arabic"/>
          <w:sz w:val="28"/>
          <w:szCs w:val="28"/>
          <w:rtl/>
          <w:lang w:bidi="ar-EG"/>
        </w:rPr>
        <w:t xml:space="preserve">، أمير عقيد كاظم، </w:t>
      </w:r>
      <w:proofErr w:type="gramStart"/>
      <w:r w:rsidRPr="000B00AD">
        <w:rPr>
          <w:rFonts w:ascii="Simplified Arabic" w:hAnsi="Simplified Arabic" w:cs="Simplified Arabic"/>
          <w:sz w:val="28"/>
          <w:szCs w:val="28"/>
          <w:rtl/>
          <w:lang w:bidi="ar-EG"/>
        </w:rPr>
        <w:t>و الجبوري</w:t>
      </w:r>
      <w:proofErr w:type="gramEnd"/>
      <w:r w:rsidRPr="000B00AD">
        <w:rPr>
          <w:rFonts w:ascii="Simplified Arabic" w:hAnsi="Simplified Arabic" w:cs="Simplified Arabic"/>
          <w:sz w:val="28"/>
          <w:szCs w:val="28"/>
          <w:rtl/>
          <w:lang w:bidi="ar-EG"/>
        </w:rPr>
        <w:t xml:space="preserve">، حسن طاهر </w:t>
      </w:r>
      <w:proofErr w:type="spellStart"/>
      <w:r w:rsidRPr="000B00AD">
        <w:rPr>
          <w:rFonts w:ascii="Simplified Arabic" w:hAnsi="Simplified Arabic" w:cs="Simplified Arabic"/>
          <w:sz w:val="28"/>
          <w:szCs w:val="28"/>
          <w:rtl/>
          <w:lang w:bidi="ar-EG"/>
        </w:rPr>
        <w:t>بريبر</w:t>
      </w:r>
      <w:proofErr w:type="spellEnd"/>
      <w:r w:rsidRPr="000B00AD">
        <w:rPr>
          <w:rFonts w:ascii="Simplified Arabic" w:hAnsi="Simplified Arabic" w:cs="Simplified Arabic"/>
          <w:sz w:val="28"/>
          <w:szCs w:val="28"/>
          <w:rtl/>
          <w:lang w:bidi="ar-EG"/>
        </w:rPr>
        <w:t>. (2021). قياس، أثر نظام سلسلة القيمة الرشيقة والمستهدف في تخفيض التكاليف التشغيلية: دراسة حالة في مديرية ماء محافظة النجف الأشرف. مجلة كلية الإدارة والاقتصاد للدراسات الاقتصادية والإدارية والمالية، مج13, ع</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243 - 257. مسترجع من </w:t>
      </w:r>
      <w:hyperlink r:id="rId20" w:history="1">
        <w:r w:rsidRPr="002A3222">
          <w:rPr>
            <w:rStyle w:val="Hyperlink"/>
            <w:rFonts w:ascii="Simplified Arabic" w:hAnsi="Simplified Arabic" w:cs="Simplified Arabic"/>
            <w:sz w:val="28"/>
            <w:szCs w:val="28"/>
            <w:lang w:bidi="ar-EG"/>
          </w:rPr>
          <w:t>http://search.mandumah.com/Record/1264779</w:t>
        </w:r>
      </w:hyperlink>
    </w:p>
    <w:p w14:paraId="6E562DA6" w14:textId="0DB97037"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حبيشي، نهى عصام علي حسن، دعيه، هادي محسن السيد، </w:t>
      </w:r>
      <w:proofErr w:type="gramStart"/>
      <w:r w:rsidRPr="000B00AD">
        <w:rPr>
          <w:rFonts w:ascii="Simplified Arabic" w:hAnsi="Simplified Arabic" w:cs="Simplified Arabic"/>
          <w:sz w:val="28"/>
          <w:szCs w:val="28"/>
          <w:rtl/>
          <w:lang w:bidi="ar-EG"/>
        </w:rPr>
        <w:t>و العايدي</w:t>
      </w:r>
      <w:proofErr w:type="gramEnd"/>
      <w:r w:rsidRPr="000B00AD">
        <w:rPr>
          <w:rFonts w:ascii="Simplified Arabic" w:hAnsi="Simplified Arabic" w:cs="Simplified Arabic"/>
          <w:sz w:val="28"/>
          <w:szCs w:val="28"/>
          <w:rtl/>
          <w:lang w:bidi="ar-EG"/>
        </w:rPr>
        <w:t xml:space="preserve">، محمد </w:t>
      </w:r>
      <w:proofErr w:type="gramStart"/>
      <w:r w:rsidRPr="000B00AD">
        <w:rPr>
          <w:rFonts w:ascii="Simplified Arabic" w:hAnsi="Simplified Arabic" w:cs="Simplified Arabic"/>
          <w:sz w:val="28"/>
          <w:szCs w:val="28"/>
          <w:rtl/>
          <w:lang w:bidi="ar-EG"/>
        </w:rPr>
        <w:t>عبدالرحمن</w:t>
      </w:r>
      <w:proofErr w:type="gramEnd"/>
      <w:r w:rsidRPr="000B00AD">
        <w:rPr>
          <w:rFonts w:ascii="Simplified Arabic" w:hAnsi="Simplified Arabic" w:cs="Simplified Arabic"/>
          <w:sz w:val="28"/>
          <w:szCs w:val="28"/>
          <w:rtl/>
          <w:lang w:bidi="ar-EG"/>
        </w:rPr>
        <w:t>. (2021). تقييم استخدام إدارة المخاطر في المحاسبة الإدارية الحديثة بهدف إدارة تكلفة سلسلة القيمة: دراسة تطبيقية. مجلة البحوث المالية والتجارية، ع</w:t>
      </w:r>
      <w:proofErr w:type="gramStart"/>
      <w:r w:rsidRPr="000B00AD">
        <w:rPr>
          <w:rFonts w:ascii="Simplified Arabic" w:hAnsi="Simplified Arabic" w:cs="Simplified Arabic"/>
          <w:sz w:val="28"/>
          <w:szCs w:val="28"/>
          <w:rtl/>
          <w:lang w:bidi="ar-EG"/>
        </w:rPr>
        <w:t>3 ،</w:t>
      </w:r>
      <w:proofErr w:type="gramEnd"/>
      <w:r w:rsidRPr="000B00AD">
        <w:rPr>
          <w:rFonts w:ascii="Simplified Arabic" w:hAnsi="Simplified Arabic" w:cs="Simplified Arabic"/>
          <w:sz w:val="28"/>
          <w:szCs w:val="28"/>
          <w:rtl/>
          <w:lang w:bidi="ar-EG"/>
        </w:rPr>
        <w:t xml:space="preserve"> 1240 - 1265. مسترجع من </w:t>
      </w:r>
      <w:hyperlink r:id="rId21" w:history="1">
        <w:r w:rsidRPr="002A3222">
          <w:rPr>
            <w:rStyle w:val="Hyperlink"/>
            <w:rFonts w:ascii="Simplified Arabic" w:hAnsi="Simplified Arabic" w:cs="Simplified Arabic"/>
            <w:sz w:val="28"/>
            <w:szCs w:val="28"/>
            <w:lang w:bidi="ar-EG"/>
          </w:rPr>
          <w:t>http://search.mandumah.com/Record/1179471</w:t>
        </w:r>
      </w:hyperlink>
    </w:p>
    <w:p w14:paraId="1683CC97" w14:textId="08BE38F2"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حسن، انتصار محمد صابون، الموسوي، </w:t>
      </w:r>
      <w:proofErr w:type="gramStart"/>
      <w:r w:rsidRPr="000B00AD">
        <w:rPr>
          <w:rFonts w:ascii="Simplified Arabic" w:hAnsi="Simplified Arabic" w:cs="Simplified Arabic"/>
          <w:sz w:val="28"/>
          <w:szCs w:val="28"/>
          <w:rtl/>
          <w:lang w:bidi="ar-EG"/>
        </w:rPr>
        <w:t>عبدالوهاب</w:t>
      </w:r>
      <w:proofErr w:type="gramEnd"/>
      <w:r w:rsidRPr="000B00AD">
        <w:rPr>
          <w:rFonts w:ascii="Simplified Arabic" w:hAnsi="Simplified Arabic" w:cs="Simplified Arabic"/>
          <w:sz w:val="28"/>
          <w:szCs w:val="28"/>
          <w:rtl/>
          <w:lang w:bidi="ar-EG"/>
        </w:rPr>
        <w:t xml:space="preserve"> محمد جواد، </w:t>
      </w:r>
      <w:proofErr w:type="gramStart"/>
      <w:r w:rsidRPr="000B00AD">
        <w:rPr>
          <w:rFonts w:ascii="Simplified Arabic" w:hAnsi="Simplified Arabic" w:cs="Simplified Arabic"/>
          <w:sz w:val="28"/>
          <w:szCs w:val="28"/>
          <w:rtl/>
          <w:lang w:bidi="ar-EG"/>
        </w:rPr>
        <w:t>و الخزرجي</w:t>
      </w:r>
      <w:proofErr w:type="gramEnd"/>
      <w:r w:rsidRPr="000B00AD">
        <w:rPr>
          <w:rFonts w:ascii="Simplified Arabic" w:hAnsi="Simplified Arabic" w:cs="Simplified Arabic"/>
          <w:sz w:val="28"/>
          <w:szCs w:val="28"/>
          <w:rtl/>
          <w:lang w:bidi="ar-EG"/>
        </w:rPr>
        <w:t xml:space="preserve">، مازن رشيد يوسف. (2024). تحليل سلسلة القيمة للصمغ العربي: دراسة حالة منطقة كردفان - السودان. مجلة الغري للعلوم الاقتصادية والإدارية، مج20, عدد </w:t>
      </w:r>
      <w:proofErr w:type="gramStart"/>
      <w:r w:rsidRPr="000B00AD">
        <w:rPr>
          <w:rFonts w:ascii="Simplified Arabic" w:hAnsi="Simplified Arabic" w:cs="Simplified Arabic"/>
          <w:sz w:val="28"/>
          <w:szCs w:val="28"/>
          <w:rtl/>
          <w:lang w:bidi="ar-EG"/>
        </w:rPr>
        <w:t>خاص ،</w:t>
      </w:r>
      <w:proofErr w:type="gramEnd"/>
      <w:r w:rsidRPr="000B00AD">
        <w:rPr>
          <w:rFonts w:ascii="Simplified Arabic" w:hAnsi="Simplified Arabic" w:cs="Simplified Arabic"/>
          <w:sz w:val="28"/>
          <w:szCs w:val="28"/>
          <w:rtl/>
          <w:lang w:bidi="ar-EG"/>
        </w:rPr>
        <w:t xml:space="preserve"> 324 - 351. مسترجع من </w:t>
      </w:r>
      <w:hyperlink r:id="rId22" w:history="1">
        <w:r w:rsidRPr="002A3222">
          <w:rPr>
            <w:rStyle w:val="Hyperlink"/>
            <w:rFonts w:ascii="Simplified Arabic" w:hAnsi="Simplified Arabic" w:cs="Simplified Arabic"/>
            <w:sz w:val="28"/>
            <w:szCs w:val="28"/>
            <w:lang w:bidi="ar-EG"/>
          </w:rPr>
          <w:t>http://search.mandumah.com/Record/1572942</w:t>
        </w:r>
      </w:hyperlink>
    </w:p>
    <w:p w14:paraId="08145615" w14:textId="26E7F6E0"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lastRenderedPageBreak/>
        <w:t xml:space="preserve">خميس، فاضل حسن،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البلداوي</w:t>
      </w:r>
      <w:proofErr w:type="spellEnd"/>
      <w:proofErr w:type="gramEnd"/>
      <w:r w:rsidRPr="000B00AD">
        <w:rPr>
          <w:rFonts w:ascii="Simplified Arabic" w:hAnsi="Simplified Arabic" w:cs="Simplified Arabic"/>
          <w:sz w:val="28"/>
          <w:szCs w:val="28"/>
          <w:rtl/>
          <w:lang w:bidi="ar-EG"/>
        </w:rPr>
        <w:t xml:space="preserve">، شاكر </w:t>
      </w:r>
      <w:proofErr w:type="gramStart"/>
      <w:r w:rsidRPr="000B00AD">
        <w:rPr>
          <w:rFonts w:ascii="Simplified Arabic" w:hAnsi="Simplified Arabic" w:cs="Simplified Arabic"/>
          <w:sz w:val="28"/>
          <w:szCs w:val="28"/>
          <w:rtl/>
          <w:lang w:bidi="ar-EG"/>
        </w:rPr>
        <w:t>عبدالكريم</w:t>
      </w:r>
      <w:proofErr w:type="gramEnd"/>
      <w:r w:rsidRPr="000B00AD">
        <w:rPr>
          <w:rFonts w:ascii="Simplified Arabic" w:hAnsi="Simplified Arabic" w:cs="Simplified Arabic"/>
          <w:sz w:val="28"/>
          <w:szCs w:val="28"/>
          <w:rtl/>
          <w:lang w:bidi="ar-EG"/>
        </w:rPr>
        <w:t xml:space="preserve"> هادي. (2024). استخدام سلسلة القيمة في تخفيض التكاليف: دراسة تطبيقية في الشركة العامة لصناعة البطاريات. مجلة الدراسات المستدامة، مج6, </w:t>
      </w:r>
      <w:proofErr w:type="gramStart"/>
      <w:r w:rsidRPr="000B00AD">
        <w:rPr>
          <w:rFonts w:ascii="Simplified Arabic" w:hAnsi="Simplified Arabic" w:cs="Simplified Arabic"/>
          <w:sz w:val="28"/>
          <w:szCs w:val="28"/>
          <w:rtl/>
          <w:lang w:bidi="ar-EG"/>
        </w:rPr>
        <w:t>ملحق ،</w:t>
      </w:r>
      <w:proofErr w:type="gramEnd"/>
      <w:r w:rsidRPr="000B00AD">
        <w:rPr>
          <w:rFonts w:ascii="Simplified Arabic" w:hAnsi="Simplified Arabic" w:cs="Simplified Arabic"/>
          <w:sz w:val="28"/>
          <w:szCs w:val="28"/>
          <w:rtl/>
          <w:lang w:bidi="ar-EG"/>
        </w:rPr>
        <w:t xml:space="preserve"> 2432 - 2458. مسترجع من </w:t>
      </w:r>
      <w:hyperlink r:id="rId23" w:history="1">
        <w:r w:rsidRPr="002A3222">
          <w:rPr>
            <w:rStyle w:val="Hyperlink"/>
            <w:rFonts w:ascii="Simplified Arabic" w:hAnsi="Simplified Arabic" w:cs="Simplified Arabic"/>
            <w:sz w:val="28"/>
            <w:szCs w:val="28"/>
            <w:lang w:bidi="ar-EG"/>
          </w:rPr>
          <w:t>http://search.mandumah.com/Record/1468234</w:t>
        </w:r>
      </w:hyperlink>
    </w:p>
    <w:p w14:paraId="6DCF0B84" w14:textId="370D5251"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العازمى</w:t>
      </w:r>
      <w:proofErr w:type="spellEnd"/>
      <w:r w:rsidRPr="000B00AD">
        <w:rPr>
          <w:rFonts w:ascii="Simplified Arabic" w:hAnsi="Simplified Arabic" w:cs="Simplified Arabic"/>
          <w:sz w:val="28"/>
          <w:szCs w:val="28"/>
          <w:rtl/>
          <w:lang w:bidi="ar-EG"/>
        </w:rPr>
        <w:t xml:space="preserve">، أحمد على فالح، </w:t>
      </w:r>
      <w:proofErr w:type="gramStart"/>
      <w:r w:rsidRPr="000B00AD">
        <w:rPr>
          <w:rFonts w:ascii="Simplified Arabic" w:hAnsi="Simplified Arabic" w:cs="Simplified Arabic"/>
          <w:sz w:val="28"/>
          <w:szCs w:val="28"/>
          <w:rtl/>
          <w:lang w:bidi="ar-EG"/>
        </w:rPr>
        <w:t>و المطارنة</w:t>
      </w:r>
      <w:proofErr w:type="gramEnd"/>
      <w:r w:rsidRPr="000B00AD">
        <w:rPr>
          <w:rFonts w:ascii="Simplified Arabic" w:hAnsi="Simplified Arabic" w:cs="Simplified Arabic"/>
          <w:sz w:val="28"/>
          <w:szCs w:val="28"/>
          <w:rtl/>
          <w:lang w:bidi="ar-EG"/>
        </w:rPr>
        <w:t xml:space="preserve">، علاء جبر قاسم. (2021). أثر أنظمة التكاليف في بناء سلسلة القيمة: الدور الوسيط لنظم تخطيط الموارد (رسالة دكتوراه غير منشورة). جامعة العلوم الإسلامية العالمية، عمان. مسترجع من </w:t>
      </w:r>
      <w:hyperlink r:id="rId24" w:history="1">
        <w:r w:rsidRPr="002A3222">
          <w:rPr>
            <w:rStyle w:val="Hyperlink"/>
            <w:rFonts w:ascii="Simplified Arabic" w:hAnsi="Simplified Arabic" w:cs="Simplified Arabic"/>
            <w:sz w:val="28"/>
            <w:szCs w:val="28"/>
            <w:lang w:bidi="ar-EG"/>
          </w:rPr>
          <w:t>http://search.mandumah.com/Record/1216924</w:t>
        </w:r>
      </w:hyperlink>
    </w:p>
    <w:p w14:paraId="572ED12A" w14:textId="770A1EB0"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زاير، وافية،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الزغيمي</w:t>
      </w:r>
      <w:proofErr w:type="spellEnd"/>
      <w:proofErr w:type="gramEnd"/>
      <w:r w:rsidRPr="000B00AD">
        <w:rPr>
          <w:rFonts w:ascii="Simplified Arabic" w:hAnsi="Simplified Arabic" w:cs="Simplified Arabic"/>
          <w:sz w:val="28"/>
          <w:szCs w:val="28"/>
          <w:rtl/>
          <w:lang w:bidi="ar-EG"/>
        </w:rPr>
        <w:t>، صورية طيب. (2021). سلسلة القيمة وأثرها على أداء المؤسسات الاقتصادية: دراسة عينة من المؤسسات الاقتصادية. مجلة الاستراتيجية والتنمية، مج11, ع</w:t>
      </w:r>
      <w:proofErr w:type="gramStart"/>
      <w:r w:rsidRPr="000B00AD">
        <w:rPr>
          <w:rFonts w:ascii="Simplified Arabic" w:hAnsi="Simplified Arabic" w:cs="Simplified Arabic"/>
          <w:sz w:val="28"/>
          <w:szCs w:val="28"/>
          <w:rtl/>
          <w:lang w:bidi="ar-EG"/>
        </w:rPr>
        <w:t>1 ،</w:t>
      </w:r>
      <w:proofErr w:type="gramEnd"/>
      <w:r w:rsidRPr="000B00AD">
        <w:rPr>
          <w:rFonts w:ascii="Simplified Arabic" w:hAnsi="Simplified Arabic" w:cs="Simplified Arabic"/>
          <w:sz w:val="28"/>
          <w:szCs w:val="28"/>
          <w:rtl/>
          <w:lang w:bidi="ar-EG"/>
        </w:rPr>
        <w:t xml:space="preserve"> 325 - 344. مسترجع من </w:t>
      </w:r>
      <w:hyperlink r:id="rId25" w:history="1">
        <w:r w:rsidRPr="002A3222">
          <w:rPr>
            <w:rStyle w:val="Hyperlink"/>
            <w:rFonts w:ascii="Simplified Arabic" w:hAnsi="Simplified Arabic" w:cs="Simplified Arabic"/>
            <w:sz w:val="28"/>
            <w:szCs w:val="28"/>
            <w:lang w:bidi="ar-EG"/>
          </w:rPr>
          <w:t>http://search.mandumah.com/Record/1105458</w:t>
        </w:r>
      </w:hyperlink>
    </w:p>
    <w:p w14:paraId="2F2D1C92" w14:textId="3D625754"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الخنبشية</w:t>
      </w:r>
      <w:proofErr w:type="spellEnd"/>
      <w:r w:rsidRPr="000B00AD">
        <w:rPr>
          <w:rFonts w:ascii="Simplified Arabic" w:hAnsi="Simplified Arabic" w:cs="Simplified Arabic"/>
          <w:sz w:val="28"/>
          <w:szCs w:val="28"/>
          <w:rtl/>
          <w:lang w:bidi="ar-EG"/>
        </w:rPr>
        <w:t xml:space="preserve">، خولة بنت خليفة بن محمد، </w:t>
      </w:r>
      <w:proofErr w:type="gramStart"/>
      <w:r w:rsidRPr="000B00AD">
        <w:rPr>
          <w:rFonts w:ascii="Simplified Arabic" w:hAnsi="Simplified Arabic" w:cs="Simplified Arabic"/>
          <w:sz w:val="28"/>
          <w:szCs w:val="28"/>
          <w:rtl/>
          <w:lang w:bidi="ar-EG"/>
        </w:rPr>
        <w:t>و العمري</w:t>
      </w:r>
      <w:proofErr w:type="gramEnd"/>
      <w:r w:rsidRPr="000B00AD">
        <w:rPr>
          <w:rFonts w:ascii="Simplified Arabic" w:hAnsi="Simplified Arabic" w:cs="Simplified Arabic"/>
          <w:sz w:val="28"/>
          <w:szCs w:val="28"/>
          <w:rtl/>
          <w:lang w:bidi="ar-EG"/>
        </w:rPr>
        <w:t>، أيمن أحمد إبراهيم. (2023). سلسلة القيمة كمدخل لتعزيز الميزة التنافسية في مؤسسات التعليم العالي: دراسة تحليلية. المجلة الدولية للدراسات التربوية والنفسية، مج12,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321 - 341. مسترجع من </w:t>
      </w:r>
      <w:hyperlink r:id="rId26" w:history="1">
        <w:r w:rsidRPr="002A3222">
          <w:rPr>
            <w:rStyle w:val="Hyperlink"/>
            <w:rFonts w:ascii="Simplified Arabic" w:hAnsi="Simplified Arabic" w:cs="Simplified Arabic"/>
            <w:sz w:val="28"/>
            <w:szCs w:val="28"/>
            <w:lang w:bidi="ar-EG"/>
          </w:rPr>
          <w:t>http://search.mandumah.com/Record/1377031</w:t>
        </w:r>
      </w:hyperlink>
    </w:p>
    <w:p w14:paraId="177759D3" w14:textId="1504AF2B" w:rsidR="000B00AD" w:rsidRDefault="000B00AD">
      <w:pPr>
        <w:pStyle w:val="a6"/>
        <w:numPr>
          <w:ilvl w:val="0"/>
          <w:numId w:val="9"/>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العيداني</w:t>
      </w:r>
      <w:proofErr w:type="spellEnd"/>
      <w:r w:rsidRPr="000B00AD">
        <w:rPr>
          <w:rFonts w:ascii="Simplified Arabic" w:hAnsi="Simplified Arabic" w:cs="Simplified Arabic"/>
          <w:sz w:val="28"/>
          <w:szCs w:val="28"/>
          <w:rtl/>
          <w:lang w:bidi="ar-EG"/>
        </w:rPr>
        <w:t>، إلياس. (2024). دور تحليل سلسلة القيمة في تعزيز القدرة التنافسية لمنظمات الأعمال. مجلة المعيار، مج15,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479 - 495. مسترجع من </w:t>
      </w:r>
      <w:hyperlink r:id="rId27" w:history="1">
        <w:r w:rsidRPr="002A3222">
          <w:rPr>
            <w:rStyle w:val="Hyperlink"/>
            <w:rFonts w:ascii="Simplified Arabic" w:hAnsi="Simplified Arabic" w:cs="Simplified Arabic"/>
            <w:sz w:val="28"/>
            <w:szCs w:val="28"/>
            <w:lang w:bidi="ar-EG"/>
          </w:rPr>
          <w:t>http://search.mandumah.com/Record/1542913</w:t>
        </w:r>
      </w:hyperlink>
    </w:p>
    <w:p w14:paraId="68276ED0" w14:textId="31165853" w:rsidR="000B00AD" w:rsidRDefault="000B00AD">
      <w:pPr>
        <w:pStyle w:val="a6"/>
        <w:numPr>
          <w:ilvl w:val="0"/>
          <w:numId w:val="9"/>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عبد، زياد سامي، </w:t>
      </w:r>
      <w:proofErr w:type="gramStart"/>
      <w:r w:rsidRPr="000B00AD">
        <w:rPr>
          <w:rFonts w:ascii="Simplified Arabic" w:hAnsi="Simplified Arabic" w:cs="Simplified Arabic"/>
          <w:sz w:val="28"/>
          <w:szCs w:val="28"/>
          <w:rtl/>
          <w:lang w:bidi="ar-EG"/>
        </w:rPr>
        <w:t>و حسين</w:t>
      </w:r>
      <w:proofErr w:type="gramEnd"/>
      <w:r w:rsidRPr="000B00AD">
        <w:rPr>
          <w:rFonts w:ascii="Simplified Arabic" w:hAnsi="Simplified Arabic" w:cs="Simplified Arabic"/>
          <w:sz w:val="28"/>
          <w:szCs w:val="28"/>
          <w:rtl/>
          <w:lang w:bidi="ar-EG"/>
        </w:rPr>
        <w:t>، علي إبراهيم. (2021). دور تقنية تحليل سلسلة القيمة في إدارة التكاليف اللوجستية: دراسة حالة. مجلة تكريت للعلوم الإدارية والاقتصادية، مج17, ع</w:t>
      </w:r>
      <w:proofErr w:type="gramStart"/>
      <w:r w:rsidRPr="000B00AD">
        <w:rPr>
          <w:rFonts w:ascii="Simplified Arabic" w:hAnsi="Simplified Arabic" w:cs="Simplified Arabic"/>
          <w:sz w:val="28"/>
          <w:szCs w:val="28"/>
          <w:rtl/>
          <w:lang w:bidi="ar-EG"/>
        </w:rPr>
        <w:t>56 ،</w:t>
      </w:r>
      <w:proofErr w:type="gramEnd"/>
      <w:r w:rsidRPr="000B00AD">
        <w:rPr>
          <w:rFonts w:ascii="Simplified Arabic" w:hAnsi="Simplified Arabic" w:cs="Simplified Arabic"/>
          <w:sz w:val="28"/>
          <w:szCs w:val="28"/>
          <w:rtl/>
          <w:lang w:bidi="ar-EG"/>
        </w:rPr>
        <w:t xml:space="preserve"> 24 - 39. مسترجع من </w:t>
      </w:r>
      <w:hyperlink r:id="rId28" w:history="1">
        <w:r w:rsidRPr="002A3222">
          <w:rPr>
            <w:rStyle w:val="Hyperlink"/>
            <w:rFonts w:ascii="Simplified Arabic" w:hAnsi="Simplified Arabic" w:cs="Simplified Arabic"/>
            <w:sz w:val="28"/>
            <w:szCs w:val="28"/>
            <w:lang w:bidi="ar-EG"/>
          </w:rPr>
          <w:t>http://search.mandumah.com/Record/1255621</w:t>
        </w:r>
      </w:hyperlink>
    </w:p>
    <w:p w14:paraId="1287A218"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مرعي، ياسمين سمير كمال. (2024). استراتيجيات تطبيق الذكاء الاصطناعي في وزارة التضامن الاجتماعي. المجلة العلمية للخدمة الاجتماعية - دراسات وبحوث تطبيقية، ع28, مج</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200 - 220. مسترجع من </w:t>
      </w:r>
      <w:r w:rsidRPr="000B00AD">
        <w:rPr>
          <w:rFonts w:ascii="Simplified Arabic" w:hAnsi="Simplified Arabic" w:cs="Simplified Arabic"/>
          <w:sz w:val="28"/>
          <w:szCs w:val="28"/>
          <w:lang w:bidi="ar-EG"/>
        </w:rPr>
        <w:t>http://search.mandumah.com/Record/1560378</w:t>
      </w:r>
    </w:p>
    <w:p w14:paraId="78622B5D"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lastRenderedPageBreak/>
        <w:t>السمان، هاني إبراهيم محمد. (2024). تقنيات الذكاء الاصطناعي بشركات الاتصالات المصرية ودورها في إدارة علاقات العملاء: دراسة ميدانية. مجلة البحوث الإعلامية، ع72, ج</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2583 - 2662. مسترجع من </w:t>
      </w:r>
      <w:r w:rsidRPr="000B00AD">
        <w:rPr>
          <w:rFonts w:ascii="Simplified Arabic" w:hAnsi="Simplified Arabic" w:cs="Simplified Arabic"/>
          <w:sz w:val="28"/>
          <w:szCs w:val="28"/>
          <w:lang w:bidi="ar-EG"/>
        </w:rPr>
        <w:t>http://search.mandumah.com/Record/1508809</w:t>
      </w:r>
    </w:p>
    <w:p w14:paraId="692674E9"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محمد، عادل أحمد حسن. (2024). الذكاء الاصطناعي وعلاقته بجودة الأداء الإداري بوزارة الشباب والرياضة المصرية. مجلة أسيوط لعلوم وفنون التربية الرياضية، ع68, ج</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2095 - 2136. مسترجع من </w:t>
      </w:r>
      <w:r w:rsidRPr="000B00AD">
        <w:rPr>
          <w:rFonts w:ascii="Simplified Arabic" w:hAnsi="Simplified Arabic" w:cs="Simplified Arabic"/>
          <w:sz w:val="28"/>
          <w:szCs w:val="28"/>
          <w:lang w:bidi="ar-EG"/>
        </w:rPr>
        <w:t>http://search.mandumah.com/Record/1477623</w:t>
      </w:r>
    </w:p>
    <w:p w14:paraId="035FFEAB"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غرابة، أحمد محمد كامل توفق. (2024). دور الذكاء الاصطناعي في مواجهة العبء الاقتصادي لمشكلة الغذاء في مصر. مجلة العلوم القانونية والاقتصادية، مج66, عدد </w:t>
      </w:r>
      <w:proofErr w:type="gramStart"/>
      <w:r w:rsidRPr="000B00AD">
        <w:rPr>
          <w:rFonts w:ascii="Simplified Arabic" w:hAnsi="Simplified Arabic" w:cs="Simplified Arabic"/>
          <w:sz w:val="28"/>
          <w:szCs w:val="28"/>
          <w:rtl/>
          <w:lang w:bidi="ar-EG"/>
        </w:rPr>
        <w:t>خاص ،</w:t>
      </w:r>
      <w:proofErr w:type="gramEnd"/>
      <w:r w:rsidRPr="000B00AD">
        <w:rPr>
          <w:rFonts w:ascii="Simplified Arabic" w:hAnsi="Simplified Arabic" w:cs="Simplified Arabic"/>
          <w:sz w:val="28"/>
          <w:szCs w:val="28"/>
          <w:rtl/>
          <w:lang w:bidi="ar-EG"/>
        </w:rPr>
        <w:t xml:space="preserve"> 885 - 916. مسترجع من </w:t>
      </w:r>
      <w:r w:rsidRPr="000B00AD">
        <w:rPr>
          <w:rFonts w:ascii="Simplified Arabic" w:hAnsi="Simplified Arabic" w:cs="Simplified Arabic"/>
          <w:sz w:val="28"/>
          <w:szCs w:val="28"/>
          <w:lang w:bidi="ar-EG"/>
        </w:rPr>
        <w:t>http://search.mandumah.com/Record/1555072</w:t>
      </w:r>
    </w:p>
    <w:p w14:paraId="14B98871" w14:textId="77777777" w:rsidR="000B00AD" w:rsidRPr="000B00AD" w:rsidRDefault="000B00AD">
      <w:pPr>
        <w:pStyle w:val="a6"/>
        <w:numPr>
          <w:ilvl w:val="0"/>
          <w:numId w:val="9"/>
        </w:numPr>
        <w:jc w:val="both"/>
        <w:rPr>
          <w:rFonts w:ascii="Simplified Arabic" w:hAnsi="Simplified Arabic" w:cs="Simplified Arabic"/>
          <w:sz w:val="28"/>
          <w:szCs w:val="28"/>
          <w:rtl/>
          <w:lang w:bidi="ar-EG"/>
        </w:rPr>
      </w:pPr>
      <w:proofErr w:type="gramStart"/>
      <w:r w:rsidRPr="000B00AD">
        <w:rPr>
          <w:rFonts w:ascii="Simplified Arabic" w:hAnsi="Simplified Arabic" w:cs="Simplified Arabic"/>
          <w:sz w:val="28"/>
          <w:szCs w:val="28"/>
          <w:rtl/>
          <w:lang w:bidi="ar-EG"/>
        </w:rPr>
        <w:t>عبدالرحمن</w:t>
      </w:r>
      <w:proofErr w:type="gramEnd"/>
      <w:r w:rsidRPr="000B00AD">
        <w:rPr>
          <w:rFonts w:ascii="Simplified Arabic" w:hAnsi="Simplified Arabic" w:cs="Simplified Arabic"/>
          <w:sz w:val="28"/>
          <w:szCs w:val="28"/>
          <w:rtl/>
          <w:lang w:bidi="ar-EG"/>
        </w:rPr>
        <w:t xml:space="preserve">، عمرو أبو العز سعودي، </w:t>
      </w:r>
      <w:proofErr w:type="gramStart"/>
      <w:r w:rsidRPr="000B00AD">
        <w:rPr>
          <w:rFonts w:ascii="Simplified Arabic" w:hAnsi="Simplified Arabic" w:cs="Simplified Arabic"/>
          <w:sz w:val="28"/>
          <w:szCs w:val="28"/>
          <w:rtl/>
          <w:lang w:bidi="ar-EG"/>
        </w:rPr>
        <w:t>عبدالحميد</w:t>
      </w:r>
      <w:proofErr w:type="gramEnd"/>
      <w:r w:rsidRPr="000B00AD">
        <w:rPr>
          <w:rFonts w:ascii="Simplified Arabic" w:hAnsi="Simplified Arabic" w:cs="Simplified Arabic"/>
          <w:sz w:val="28"/>
          <w:szCs w:val="28"/>
          <w:rtl/>
          <w:lang w:bidi="ar-EG"/>
        </w:rPr>
        <w:t xml:space="preserve">، طلعت أسعد،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السماديسي</w:t>
      </w:r>
      <w:proofErr w:type="spellEnd"/>
      <w:proofErr w:type="gramEnd"/>
      <w:r w:rsidRPr="000B00AD">
        <w:rPr>
          <w:rFonts w:ascii="Simplified Arabic" w:hAnsi="Simplified Arabic" w:cs="Simplified Arabic"/>
          <w:sz w:val="28"/>
          <w:szCs w:val="28"/>
          <w:rtl/>
          <w:lang w:bidi="ar-EG"/>
        </w:rPr>
        <w:t>، أحمد موسى. (2022). تأثير تقنيات الذكاء الاصطناعي على الميزة التنافسية للبنك "بالتطبيق على قطاع البنوك التجارية في مصر". المجلة العلمية للدراسات التجارية والبيئية، مج13,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247 - 264. مسترجع من </w:t>
      </w:r>
      <w:r w:rsidRPr="000B00AD">
        <w:rPr>
          <w:rFonts w:ascii="Simplified Arabic" w:hAnsi="Simplified Arabic" w:cs="Simplified Arabic"/>
          <w:sz w:val="28"/>
          <w:szCs w:val="28"/>
          <w:lang w:bidi="ar-EG"/>
        </w:rPr>
        <w:t>http://search.mandumah.com/Record/1295336</w:t>
      </w:r>
    </w:p>
    <w:p w14:paraId="347FA344" w14:textId="2CB411DF" w:rsidR="000B00AD" w:rsidRPr="00332430" w:rsidRDefault="000B00AD">
      <w:pPr>
        <w:pStyle w:val="a6"/>
        <w:numPr>
          <w:ilvl w:val="0"/>
          <w:numId w:val="9"/>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خفاجي، نهال حسين السيد، </w:t>
      </w:r>
      <w:proofErr w:type="gramStart"/>
      <w:r w:rsidRPr="000B00AD">
        <w:rPr>
          <w:rFonts w:ascii="Simplified Arabic" w:hAnsi="Simplified Arabic" w:cs="Simplified Arabic"/>
          <w:sz w:val="28"/>
          <w:szCs w:val="28"/>
          <w:rtl/>
          <w:lang w:bidi="ar-EG"/>
        </w:rPr>
        <w:t>و إبراهيم</w:t>
      </w:r>
      <w:proofErr w:type="gramEnd"/>
      <w:r w:rsidRPr="000B00AD">
        <w:rPr>
          <w:rFonts w:ascii="Simplified Arabic" w:hAnsi="Simplified Arabic" w:cs="Simplified Arabic"/>
          <w:sz w:val="28"/>
          <w:szCs w:val="28"/>
          <w:rtl/>
          <w:lang w:bidi="ar-EG"/>
        </w:rPr>
        <w:t xml:space="preserve">، علي يونس. (2023). تأثير استخدام تطبيقات الذكاء الاصطناعي في تحقيق التميز المؤسسي بالتطبيق على العاملين بالبنوك العامة التجارية بمحافظة الدقهلية (رسالة ماجستير غير منشورة). جامعة المنصورة، المنصورة. مسترجع من </w:t>
      </w:r>
      <w:r w:rsidRPr="000B00AD">
        <w:rPr>
          <w:rFonts w:ascii="Simplified Arabic" w:hAnsi="Simplified Arabic" w:cs="Simplified Arabic"/>
          <w:sz w:val="28"/>
          <w:szCs w:val="28"/>
          <w:lang w:bidi="ar-EG"/>
        </w:rPr>
        <w:t>http://search.mandumah.com/Record/1535867</w:t>
      </w:r>
    </w:p>
    <w:p w14:paraId="2015BC3C" w14:textId="77777777" w:rsidR="00332430" w:rsidRPr="006E5307" w:rsidRDefault="00332430" w:rsidP="006E5307">
      <w:pPr>
        <w:pStyle w:val="a6"/>
        <w:bidi w:val="0"/>
        <w:jc w:val="both"/>
        <w:rPr>
          <w:rFonts w:ascii="Simplified Arabic" w:hAnsi="Simplified Arabic" w:cs="Simplified Arabic"/>
          <w:sz w:val="28"/>
          <w:szCs w:val="28"/>
          <w:rtl/>
          <w:lang w:bidi="ar-EG"/>
        </w:rPr>
      </w:pPr>
    </w:p>
    <w:p w14:paraId="7CE31A6B" w14:textId="77777777" w:rsidR="00332430" w:rsidRPr="006E5307" w:rsidRDefault="00332430" w:rsidP="006E5307">
      <w:pPr>
        <w:pStyle w:val="a6"/>
        <w:bidi w:val="0"/>
        <w:jc w:val="both"/>
        <w:rPr>
          <w:rFonts w:ascii="Simplified Arabic" w:hAnsi="Simplified Arabic" w:cs="Simplified Arabic"/>
          <w:sz w:val="28"/>
          <w:szCs w:val="28"/>
        </w:rPr>
      </w:pPr>
    </w:p>
    <w:p w14:paraId="2F7965CC"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Faisal, S. (2025). Artificial Intelligence in Supply Chains and Finance: Driving Efficiency and Risk Management. Al-</w:t>
      </w:r>
      <w:proofErr w:type="spellStart"/>
      <w:r w:rsidRPr="006E5307">
        <w:rPr>
          <w:rFonts w:ascii="Simplified Arabic" w:hAnsi="Simplified Arabic" w:cs="Simplified Arabic"/>
          <w:sz w:val="28"/>
          <w:szCs w:val="28"/>
          <w:lang w:bidi="ar-EG"/>
        </w:rPr>
        <w:t>Migalat</w:t>
      </w:r>
      <w:proofErr w:type="spellEnd"/>
      <w:r w:rsidRPr="006E5307">
        <w:rPr>
          <w:rFonts w:ascii="Simplified Arabic" w:hAnsi="Simplified Arabic" w:cs="Simplified Arabic"/>
          <w:sz w:val="28"/>
          <w:szCs w:val="28"/>
          <w:lang w:bidi="ar-EG"/>
        </w:rPr>
        <w:t xml:space="preserve"> al-</w:t>
      </w:r>
      <w:proofErr w:type="spellStart"/>
      <w:r w:rsidRPr="006E5307">
        <w:rPr>
          <w:rFonts w:ascii="Simplified Arabic" w:hAnsi="Simplified Arabic" w:cs="Simplified Arabic"/>
          <w:sz w:val="28"/>
          <w:szCs w:val="28"/>
          <w:lang w:bidi="ar-EG"/>
        </w:rPr>
        <w:t>Ilmayat</w:t>
      </w:r>
      <w:proofErr w:type="spellEnd"/>
      <w:r w:rsidRPr="006E5307">
        <w:rPr>
          <w:rFonts w:ascii="Simplified Arabic" w:hAnsi="Simplified Arabic" w:cs="Simplified Arabic"/>
          <w:sz w:val="28"/>
          <w:szCs w:val="28"/>
          <w:lang w:bidi="ar-EG"/>
        </w:rPr>
        <w:t xml:space="preserve"> Li-</w:t>
      </w:r>
      <w:proofErr w:type="spellStart"/>
      <w:r w:rsidRPr="006E5307">
        <w:rPr>
          <w:rFonts w:ascii="Simplified Arabic" w:hAnsi="Simplified Arabic" w:cs="Simplified Arabic"/>
          <w:sz w:val="28"/>
          <w:szCs w:val="28"/>
          <w:lang w:bidi="ar-EG"/>
        </w:rPr>
        <w:t>Gamiat</w:t>
      </w:r>
      <w:proofErr w:type="spellEnd"/>
      <w:r w:rsidRPr="006E5307">
        <w:rPr>
          <w:rFonts w:ascii="Simplified Arabic" w:hAnsi="Simplified Arabic" w:cs="Simplified Arabic"/>
          <w:sz w:val="28"/>
          <w:szCs w:val="28"/>
          <w:lang w:bidi="ar-EG"/>
        </w:rPr>
        <w:t xml:space="preserve"> al-Malik Faisal, 62–67. </w:t>
      </w:r>
      <w:hyperlink r:id="rId29" w:history="1">
        <w:r w:rsidRPr="006E5307">
          <w:rPr>
            <w:rStyle w:val="Hyperlink"/>
            <w:rFonts w:ascii="Simplified Arabic" w:hAnsi="Simplified Arabic" w:cs="Simplified Arabic"/>
            <w:sz w:val="28"/>
            <w:szCs w:val="28"/>
            <w:lang w:bidi="ar-EG"/>
          </w:rPr>
          <w:t>https://doi.org/10.37575/h/mng/250025</w:t>
        </w:r>
      </w:hyperlink>
    </w:p>
    <w:p w14:paraId="5F42FE60"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Fan, P., Wang, Y., &amp; Dong, Y. (2021). Competitive analysis of operation mode of enterprise value chain under the background of green economy. Mathematical Problems in Engineering, 2021(1), 6681545</w:t>
      </w:r>
      <w:r w:rsidRPr="00BE606B">
        <w:rPr>
          <w:rFonts w:ascii="Simplified Arabic" w:hAnsi="Simplified Arabic" w:cs="Simplified Arabic"/>
          <w:sz w:val="28"/>
          <w:szCs w:val="28"/>
          <w:lang w:bidi="ar-EG"/>
        </w:rPr>
        <w:t xml:space="preserve">. </w:t>
      </w:r>
      <w:hyperlink r:id="rId30" w:history="1">
        <w:r w:rsidRPr="00BE606B">
          <w:rPr>
            <w:rStyle w:val="Hyperlink"/>
            <w:rFonts w:ascii="Simplified Arabic" w:hAnsi="Simplified Arabic" w:cs="Simplified Arabic"/>
            <w:sz w:val="28"/>
            <w:szCs w:val="28"/>
            <w:lang w:bidi="ar-EG"/>
          </w:rPr>
          <w:t>https://doi.org/10.1155/2021/6681545</w:t>
        </w:r>
      </w:hyperlink>
    </w:p>
    <w:p w14:paraId="28259CB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lastRenderedPageBreak/>
        <w:t xml:space="preserve">Kumar, K. S., Gupta, V., Patil, Y., Jindal, G., Cheepurupalli, N. R., &amp; Bhanushali, M. M. (2025). Impact of AI on Operations Management. In Recent Trends </w:t>
      </w:r>
      <w:proofErr w:type="gramStart"/>
      <w:r w:rsidRPr="00332430">
        <w:rPr>
          <w:rFonts w:ascii="Simplified Arabic" w:hAnsi="Simplified Arabic" w:cs="Simplified Arabic"/>
          <w:sz w:val="28"/>
          <w:szCs w:val="28"/>
          <w:lang w:bidi="ar-EG"/>
        </w:rPr>
        <w:t>In</w:t>
      </w:r>
      <w:proofErr w:type="gramEnd"/>
      <w:r w:rsidRPr="00332430">
        <w:rPr>
          <w:rFonts w:ascii="Simplified Arabic" w:hAnsi="Simplified Arabic" w:cs="Simplified Arabic"/>
          <w:sz w:val="28"/>
          <w:szCs w:val="28"/>
          <w:lang w:bidi="ar-EG"/>
        </w:rPr>
        <w:t xml:space="preserve"> Engineering and Science for Resource Optimization and Sustainable Development (pp. 414-418). CRC Press.</w:t>
      </w:r>
      <w:r w:rsidRPr="00332430">
        <w:rPr>
          <w:rFonts w:ascii="Simplified Arabic" w:hAnsi="Simplified Arabic" w:cs="Simplified Arabic"/>
          <w:sz w:val="28"/>
          <w:szCs w:val="28"/>
          <w:rtl/>
          <w:lang w:bidi="ar-EG"/>
        </w:rPr>
        <w:t>‏</w:t>
      </w:r>
    </w:p>
    <w:p w14:paraId="45F9EB4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proofErr w:type="spellStart"/>
      <w:r w:rsidRPr="00332430">
        <w:rPr>
          <w:rFonts w:ascii="Simplified Arabic" w:hAnsi="Simplified Arabic" w:cs="Simplified Arabic"/>
          <w:sz w:val="28"/>
          <w:szCs w:val="28"/>
          <w:lang w:bidi="ar-EG"/>
        </w:rPr>
        <w:t>Losaladjome</w:t>
      </w:r>
      <w:proofErr w:type="spellEnd"/>
      <w:r w:rsidRPr="00332430">
        <w:rPr>
          <w:rFonts w:ascii="Simplified Arabic" w:hAnsi="Simplified Arabic" w:cs="Simplified Arabic"/>
          <w:sz w:val="28"/>
          <w:szCs w:val="28"/>
          <w:lang w:bidi="ar-EG"/>
        </w:rPr>
        <w:t xml:space="preserve"> Mboyo, H., Huo, B., Mulenga, F. K., Mabe Fogang, P., &amp; </w:t>
      </w:r>
      <w:proofErr w:type="spellStart"/>
      <w:r w:rsidRPr="00332430">
        <w:rPr>
          <w:rFonts w:ascii="Simplified Arabic" w:hAnsi="Simplified Arabic" w:cs="Simplified Arabic"/>
          <w:sz w:val="28"/>
          <w:szCs w:val="28"/>
          <w:lang w:bidi="ar-EG"/>
        </w:rPr>
        <w:t>Kaunde</w:t>
      </w:r>
      <w:proofErr w:type="spellEnd"/>
      <w:r w:rsidRPr="00332430">
        <w:rPr>
          <w:rFonts w:ascii="Simplified Arabic" w:hAnsi="Simplified Arabic" w:cs="Simplified Arabic"/>
          <w:sz w:val="28"/>
          <w:szCs w:val="28"/>
          <w:lang w:bidi="ar-EG"/>
        </w:rPr>
        <w:t xml:space="preserve"> Kasongo, J. K. (2025). Distribution of Operating Costs Along the Value Chain of </w:t>
      </w:r>
      <w:proofErr w:type="gramStart"/>
      <w:r w:rsidRPr="00332430">
        <w:rPr>
          <w:rFonts w:ascii="Simplified Arabic" w:hAnsi="Simplified Arabic" w:cs="Simplified Arabic"/>
          <w:sz w:val="28"/>
          <w:szCs w:val="28"/>
          <w:lang w:bidi="ar-EG"/>
        </w:rPr>
        <w:t>an Open</w:t>
      </w:r>
      <w:proofErr w:type="gramEnd"/>
      <w:r w:rsidRPr="00332430">
        <w:rPr>
          <w:rFonts w:ascii="Simplified Arabic" w:hAnsi="Simplified Arabic" w:cs="Simplified Arabic"/>
          <w:sz w:val="28"/>
          <w:szCs w:val="28"/>
          <w:lang w:bidi="ar-EG"/>
        </w:rPr>
        <w:t xml:space="preserve">-Pit Copper Mine. Applied Sciences, 15(3), </w:t>
      </w:r>
      <w:proofErr w:type="gramStart"/>
      <w:r w:rsidRPr="00332430">
        <w:rPr>
          <w:rFonts w:ascii="Simplified Arabic" w:hAnsi="Simplified Arabic" w:cs="Simplified Arabic"/>
          <w:sz w:val="28"/>
          <w:szCs w:val="28"/>
          <w:lang w:bidi="ar-EG"/>
        </w:rPr>
        <w:t>1602.</w:t>
      </w:r>
      <w:r w:rsidRPr="00BE606B">
        <w:rPr>
          <w:rFonts w:ascii="Simplified Arabic" w:hAnsi="Simplified Arabic" w:cs="Simplified Arabic"/>
          <w:sz w:val="28"/>
          <w:szCs w:val="28"/>
          <w:lang w:bidi="ar-EG"/>
        </w:rPr>
        <w:t>.</w:t>
      </w:r>
      <w:proofErr w:type="gramEnd"/>
      <w:r w:rsidRPr="00BE606B">
        <w:rPr>
          <w:rFonts w:ascii="Simplified Arabic" w:hAnsi="Simplified Arabic" w:cs="Simplified Arabic"/>
          <w:sz w:val="28"/>
          <w:szCs w:val="28"/>
          <w:lang w:bidi="ar-EG"/>
        </w:rPr>
        <w:t xml:space="preserve"> </w:t>
      </w:r>
      <w:hyperlink r:id="rId31" w:history="1">
        <w:r w:rsidRPr="00BE606B">
          <w:rPr>
            <w:rStyle w:val="Hyperlink"/>
            <w:rFonts w:ascii="Simplified Arabic" w:hAnsi="Simplified Arabic" w:cs="Simplified Arabic"/>
            <w:sz w:val="28"/>
            <w:szCs w:val="28"/>
            <w:lang w:bidi="ar-EG"/>
          </w:rPr>
          <w:t>https://doi.org/10.3390/app15031602</w:t>
        </w:r>
      </w:hyperlink>
    </w:p>
    <w:p w14:paraId="1FC3D19F" w14:textId="77777777" w:rsidR="00332430" w:rsidRPr="00332430" w:rsidRDefault="00332430">
      <w:pPr>
        <w:pStyle w:val="a6"/>
        <w:numPr>
          <w:ilvl w:val="0"/>
          <w:numId w:val="9"/>
        </w:numPr>
        <w:bidi w:val="0"/>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 xml:space="preserve">Naas, A., &amp; </w:t>
      </w:r>
      <w:proofErr w:type="spellStart"/>
      <w:r w:rsidRPr="00BE606B">
        <w:rPr>
          <w:rFonts w:ascii="Simplified Arabic" w:hAnsi="Simplified Arabic" w:cs="Simplified Arabic"/>
          <w:sz w:val="28"/>
          <w:szCs w:val="28"/>
          <w:lang w:bidi="ar-EG"/>
        </w:rPr>
        <w:t>Berass</w:t>
      </w:r>
      <w:proofErr w:type="spellEnd"/>
      <w:r w:rsidRPr="00BE606B">
        <w:rPr>
          <w:rFonts w:ascii="Simplified Arabic" w:hAnsi="Simplified Arabic" w:cs="Simplified Arabic"/>
          <w:sz w:val="28"/>
          <w:szCs w:val="28"/>
          <w:lang w:bidi="ar-EG"/>
        </w:rPr>
        <w:t>, D. (2024). Optimization of the value chain through management control: case study of a public enterprise. Economics and Finance.</w:t>
      </w:r>
      <w:r w:rsidRPr="00332430">
        <w:t xml:space="preserve"> </w:t>
      </w:r>
      <w:r w:rsidRPr="00332430">
        <w:rPr>
          <w:rFonts w:ascii="Simplified Arabic" w:hAnsi="Simplified Arabic" w:cs="Simplified Arabic"/>
          <w:sz w:val="28"/>
          <w:szCs w:val="28"/>
          <w:lang w:bidi="ar-EG"/>
        </w:rPr>
        <w:t xml:space="preserve">Volume </w:t>
      </w:r>
      <w:proofErr w:type="gramStart"/>
      <w:r w:rsidRPr="00332430">
        <w:rPr>
          <w:rFonts w:ascii="Simplified Arabic" w:hAnsi="Simplified Arabic" w:cs="Simplified Arabic"/>
          <w:sz w:val="28"/>
          <w:szCs w:val="28"/>
          <w:lang w:bidi="ar-EG"/>
        </w:rPr>
        <w:t>13</w:t>
      </w:r>
      <w:r w:rsidRPr="00332430">
        <w:rPr>
          <w:rFonts w:ascii="Simplified Arabic" w:hAnsi="Simplified Arabic" w:cs="Simplified Arabic"/>
          <w:sz w:val="28"/>
          <w:szCs w:val="28"/>
          <w:rtl/>
          <w:lang w:bidi="ar-EG"/>
        </w:rPr>
        <w:t>,</w:t>
      </w:r>
      <w:r w:rsidRPr="00332430">
        <w:rPr>
          <w:rFonts w:ascii="Simplified Arabic" w:hAnsi="Simplified Arabic" w:cs="Simplified Arabic"/>
          <w:sz w:val="28"/>
          <w:szCs w:val="28"/>
          <w:lang w:bidi="ar-EG"/>
        </w:rPr>
        <w:t>Issue</w:t>
      </w:r>
      <w:proofErr w:type="gramEnd"/>
      <w:r w:rsidRPr="00332430">
        <w:rPr>
          <w:rFonts w:ascii="Simplified Arabic" w:hAnsi="Simplified Arabic" w:cs="Simplified Arabic"/>
          <w:sz w:val="28"/>
          <w:szCs w:val="28"/>
          <w:lang w:bidi="ar-EG"/>
        </w:rPr>
        <w:t xml:space="preserve"> 1, 98. </w:t>
      </w:r>
      <w:r w:rsidRPr="00BE606B">
        <w:rPr>
          <w:rFonts w:ascii="Simplified Arabic" w:hAnsi="Simplified Arabic" w:cs="Simplified Arabic"/>
          <w:sz w:val="28"/>
          <w:szCs w:val="28"/>
          <w:lang w:bidi="ar-EG"/>
        </w:rPr>
        <w:t xml:space="preserve"> </w:t>
      </w:r>
      <w:hyperlink r:id="rId32" w:history="1">
        <w:r w:rsidRPr="00BE606B">
          <w:rPr>
            <w:rStyle w:val="Hyperlink"/>
            <w:rFonts w:ascii="Simplified Arabic" w:hAnsi="Simplified Arabic" w:cs="Simplified Arabic"/>
            <w:sz w:val="28"/>
            <w:szCs w:val="28"/>
            <w:lang w:bidi="ar-EG"/>
          </w:rPr>
          <w:t>https://doi.org/10.51586/2754-6209.2025.13.1(98)</w:t>
        </w:r>
      </w:hyperlink>
    </w:p>
    <w:p w14:paraId="364D7789"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Nathany</w:t>
      </w:r>
      <w:proofErr w:type="spellEnd"/>
      <w:r w:rsidRPr="006E5307">
        <w:rPr>
          <w:rFonts w:ascii="Simplified Arabic" w:hAnsi="Simplified Arabic" w:cs="Simplified Arabic"/>
          <w:sz w:val="28"/>
          <w:szCs w:val="28"/>
          <w:lang w:bidi="ar-EG"/>
        </w:rPr>
        <w:t xml:space="preserve">, D. (2022). Artificial Intelligence in Supply Chain: A Comprehensive Analysis of Applications, Impacts, and Future Directions. Indian Scientific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Research </w:t>
      </w:r>
      <w:proofErr w:type="gramStart"/>
      <w:r w:rsidRPr="006E5307">
        <w:rPr>
          <w:rFonts w:ascii="Simplified Arabic" w:hAnsi="Simplified Arabic" w:cs="Simplified Arabic"/>
          <w:sz w:val="28"/>
          <w:szCs w:val="28"/>
          <w:lang w:bidi="ar-EG"/>
        </w:rPr>
        <w:t>In</w:t>
      </w:r>
      <w:proofErr w:type="gramEnd"/>
      <w:r w:rsidRPr="006E5307">
        <w:rPr>
          <w:rFonts w:ascii="Simplified Arabic" w:hAnsi="Simplified Arabic" w:cs="Simplified Arabic"/>
          <w:sz w:val="28"/>
          <w:szCs w:val="28"/>
          <w:lang w:bidi="ar-EG"/>
        </w:rPr>
        <w:t xml:space="preserve"> Engineering </w:t>
      </w:r>
      <w:proofErr w:type="gramStart"/>
      <w:r w:rsidRPr="006E5307">
        <w:rPr>
          <w:rFonts w:ascii="Simplified Arabic" w:hAnsi="Simplified Arabic" w:cs="Simplified Arabic"/>
          <w:sz w:val="28"/>
          <w:szCs w:val="28"/>
          <w:lang w:bidi="ar-EG"/>
        </w:rPr>
        <w:t>And</w:t>
      </w:r>
      <w:proofErr w:type="gramEnd"/>
      <w:r w:rsidRPr="006E5307">
        <w:rPr>
          <w:rFonts w:ascii="Simplified Arabic" w:hAnsi="Simplified Arabic" w:cs="Simplified Arabic"/>
          <w:sz w:val="28"/>
          <w:szCs w:val="28"/>
          <w:lang w:bidi="ar-EG"/>
        </w:rPr>
        <w:t xml:space="preserve"> Management, 06(07), 1–8. </w:t>
      </w:r>
      <w:hyperlink r:id="rId33" w:history="1">
        <w:r w:rsidRPr="006E5307">
          <w:rPr>
            <w:rStyle w:val="Hyperlink"/>
            <w:rFonts w:ascii="Simplified Arabic" w:hAnsi="Simplified Arabic" w:cs="Simplified Arabic"/>
            <w:sz w:val="28"/>
            <w:szCs w:val="28"/>
            <w:lang w:bidi="ar-EG"/>
          </w:rPr>
          <w:t>https://doi.org/10.55041/ijsrem15629</w:t>
        </w:r>
      </w:hyperlink>
    </w:p>
    <w:p w14:paraId="54EF9424"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Pokamestov</w:t>
      </w:r>
      <w:proofErr w:type="spellEnd"/>
      <w:r w:rsidRPr="006E5307">
        <w:rPr>
          <w:rFonts w:ascii="Simplified Arabic" w:hAnsi="Simplified Arabic" w:cs="Simplified Arabic"/>
          <w:sz w:val="28"/>
          <w:szCs w:val="28"/>
          <w:lang w:bidi="ar-EG"/>
        </w:rPr>
        <w:t xml:space="preserve">, I. E., &amp; Nikitin, N. A. (2024). Modern Artificial Intelligence Technologies as a Tool of Transformation of Value Chains of Russian Commercial Banks. </w:t>
      </w:r>
      <w:proofErr w:type="spellStart"/>
      <w:r w:rsidRPr="006E5307">
        <w:rPr>
          <w:rFonts w:ascii="Simplified Arabic" w:hAnsi="Simplified Arabic" w:cs="Simplified Arabic"/>
          <w:sz w:val="28"/>
          <w:szCs w:val="28"/>
          <w:lang w:bidi="ar-EG"/>
        </w:rPr>
        <w:t>Finansy</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Teoriâ</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i</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Praktika</w:t>
      </w:r>
      <w:proofErr w:type="spellEnd"/>
      <w:r w:rsidRPr="006E5307">
        <w:rPr>
          <w:rFonts w:ascii="Simplified Arabic" w:hAnsi="Simplified Arabic" w:cs="Simplified Arabic"/>
          <w:sz w:val="28"/>
          <w:szCs w:val="28"/>
          <w:lang w:bidi="ar-EG"/>
        </w:rPr>
        <w:t xml:space="preserve">, 28(4), 122–135. </w:t>
      </w:r>
      <w:hyperlink r:id="rId34" w:history="1">
        <w:r w:rsidRPr="006E5307">
          <w:rPr>
            <w:rStyle w:val="Hyperlink"/>
            <w:rFonts w:ascii="Simplified Arabic" w:hAnsi="Simplified Arabic" w:cs="Simplified Arabic"/>
            <w:sz w:val="28"/>
            <w:szCs w:val="28"/>
            <w:lang w:bidi="ar-EG"/>
          </w:rPr>
          <w:t>https://doi.org/10.26794/2587-5671-2024-28-4-122-135</w:t>
        </w:r>
      </w:hyperlink>
    </w:p>
    <w:p w14:paraId="06130CF6"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Thenmozhi, V., &amp; </w:t>
      </w:r>
      <w:proofErr w:type="spellStart"/>
      <w:r w:rsidRPr="006E5307">
        <w:rPr>
          <w:rFonts w:ascii="Simplified Arabic" w:hAnsi="Simplified Arabic" w:cs="Simplified Arabic"/>
          <w:sz w:val="28"/>
          <w:szCs w:val="28"/>
          <w:lang w:bidi="ar-EG"/>
        </w:rPr>
        <w:t>Krisknakumari</w:t>
      </w:r>
      <w:proofErr w:type="spellEnd"/>
      <w:r w:rsidRPr="006E5307">
        <w:rPr>
          <w:rFonts w:ascii="Simplified Arabic" w:hAnsi="Simplified Arabic" w:cs="Simplified Arabic"/>
          <w:sz w:val="28"/>
          <w:szCs w:val="28"/>
          <w:lang w:bidi="ar-EG"/>
        </w:rPr>
        <w:t xml:space="preserve">, S. (2024). Artificial Intelligence in Enhancing Operational Efficiency in Logistics and SCM. International Journal of Scientific Research in Science and Technology, 11(5), 316–323. </w:t>
      </w:r>
      <w:hyperlink r:id="rId35" w:history="1">
        <w:r w:rsidRPr="006E5307">
          <w:rPr>
            <w:rStyle w:val="Hyperlink"/>
            <w:rFonts w:ascii="Simplified Arabic" w:hAnsi="Simplified Arabic" w:cs="Simplified Arabic"/>
            <w:sz w:val="28"/>
            <w:szCs w:val="28"/>
            <w:lang w:bidi="ar-EG"/>
          </w:rPr>
          <w:t>https://doi.org/10.32628/ijsrst24115107</w:t>
        </w:r>
      </w:hyperlink>
    </w:p>
    <w:p w14:paraId="23E4F1B7" w14:textId="77777777" w:rsidR="00332430" w:rsidRPr="00332430" w:rsidRDefault="00332430">
      <w:pPr>
        <w:pStyle w:val="a6"/>
        <w:numPr>
          <w:ilvl w:val="0"/>
          <w:numId w:val="9"/>
        </w:numPr>
        <w:bidi w:val="0"/>
        <w:jc w:val="both"/>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lastRenderedPageBreak/>
        <w:t xml:space="preserve">Tyapukhin, A. P. (2023). On the Issue of the Concept of Value Chain Management. </w:t>
      </w:r>
      <w:proofErr w:type="spellStart"/>
      <w:r w:rsidRPr="00BE606B">
        <w:rPr>
          <w:rFonts w:ascii="Cambria" w:hAnsi="Cambria" w:cs="Cambria"/>
          <w:sz w:val="28"/>
          <w:szCs w:val="28"/>
          <w:lang w:bidi="ar-EG"/>
        </w:rPr>
        <w:t>Управленческое</w:t>
      </w:r>
      <w:proofErr w:type="spellEnd"/>
      <w:r w:rsidRPr="00BE606B">
        <w:rPr>
          <w:rFonts w:ascii="Simplified Arabic" w:hAnsi="Simplified Arabic" w:cs="Simplified Arabic"/>
          <w:sz w:val="28"/>
          <w:szCs w:val="28"/>
          <w:lang w:bidi="ar-EG"/>
        </w:rPr>
        <w:t xml:space="preserve"> </w:t>
      </w:r>
      <w:proofErr w:type="spellStart"/>
      <w:r w:rsidRPr="00BE606B">
        <w:rPr>
          <w:rFonts w:ascii="Cambria" w:hAnsi="Cambria" w:cs="Cambria"/>
          <w:sz w:val="28"/>
          <w:szCs w:val="28"/>
          <w:lang w:bidi="ar-EG"/>
        </w:rPr>
        <w:t>Консультирование</w:t>
      </w:r>
      <w:proofErr w:type="spellEnd"/>
      <w:r w:rsidRPr="00BE606B">
        <w:rPr>
          <w:rFonts w:ascii="Simplified Arabic" w:hAnsi="Simplified Arabic" w:cs="Simplified Arabic"/>
          <w:sz w:val="28"/>
          <w:szCs w:val="28"/>
          <w:lang w:bidi="ar-EG"/>
        </w:rPr>
        <w:t xml:space="preserve">, 11, 46–59. </w:t>
      </w:r>
      <w:hyperlink r:id="rId36" w:history="1">
        <w:r w:rsidRPr="00BE606B">
          <w:rPr>
            <w:rStyle w:val="Hyperlink"/>
            <w:rFonts w:ascii="Simplified Arabic" w:hAnsi="Simplified Arabic" w:cs="Simplified Arabic"/>
            <w:sz w:val="28"/>
            <w:szCs w:val="28"/>
            <w:lang w:bidi="ar-EG"/>
          </w:rPr>
          <w:t>https://doi.org/10.22394/1726-1139-2023-11-46-59</w:t>
        </w:r>
      </w:hyperlink>
    </w:p>
    <w:p w14:paraId="2119C3BD" w14:textId="77777777" w:rsidR="00332430" w:rsidRDefault="00332430">
      <w:pPr>
        <w:pStyle w:val="a6"/>
        <w:numPr>
          <w:ilvl w:val="0"/>
          <w:numId w:val="9"/>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Yusuf, S. O., </w:t>
      </w:r>
      <w:proofErr w:type="spellStart"/>
      <w:r w:rsidRPr="006E5307">
        <w:rPr>
          <w:rFonts w:ascii="Simplified Arabic" w:hAnsi="Simplified Arabic" w:cs="Simplified Arabic"/>
          <w:sz w:val="28"/>
          <w:szCs w:val="28"/>
          <w:lang w:bidi="ar-EG"/>
        </w:rPr>
        <w:t>Ikhine</w:t>
      </w:r>
      <w:proofErr w:type="spellEnd"/>
      <w:r w:rsidRPr="006E5307">
        <w:rPr>
          <w:rFonts w:ascii="Simplified Arabic" w:hAnsi="Simplified Arabic" w:cs="Simplified Arabic"/>
          <w:sz w:val="28"/>
          <w:szCs w:val="28"/>
          <w:lang w:bidi="ar-EG"/>
        </w:rPr>
        <w:t xml:space="preserve">, I. V., Nyamekeh, R., Oluwadare, O. E., </w:t>
      </w:r>
      <w:proofErr w:type="spellStart"/>
      <w:r w:rsidRPr="006E5307">
        <w:rPr>
          <w:rFonts w:ascii="Simplified Arabic" w:hAnsi="Simplified Arabic" w:cs="Simplified Arabic"/>
          <w:sz w:val="28"/>
          <w:szCs w:val="28"/>
          <w:lang w:bidi="ar-EG"/>
        </w:rPr>
        <w:t>Afoakwah</w:t>
      </w:r>
      <w:proofErr w:type="spellEnd"/>
      <w:r w:rsidRPr="006E5307">
        <w:rPr>
          <w:rFonts w:ascii="Simplified Arabic" w:hAnsi="Simplified Arabic" w:cs="Simplified Arabic"/>
          <w:sz w:val="28"/>
          <w:szCs w:val="28"/>
          <w:lang w:bidi="ar-EG"/>
        </w:rPr>
        <w:t xml:space="preserve">, B., &amp; Yusuf, N. (2025). The Impact of AI on Supply Chain Operations: A comparative analysis of traditional vs AI-enabled Processes. World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Advanced Research and Reviews, 27(2), 1688–1700. </w:t>
      </w:r>
      <w:hyperlink r:id="rId37" w:history="1">
        <w:r w:rsidRPr="006E5307">
          <w:rPr>
            <w:rStyle w:val="Hyperlink"/>
            <w:rFonts w:ascii="Simplified Arabic" w:hAnsi="Simplified Arabic" w:cs="Simplified Arabic"/>
            <w:sz w:val="28"/>
            <w:szCs w:val="28"/>
            <w:lang w:bidi="ar-EG"/>
          </w:rPr>
          <w:t>https://doi.org/10.30574/wjarr.2025.27.2.3027</w:t>
        </w:r>
      </w:hyperlink>
    </w:p>
    <w:p w14:paraId="505D6EA1"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Musleh Al-</w:t>
      </w:r>
      <w:proofErr w:type="spellStart"/>
      <w:r w:rsidRPr="000B00AD">
        <w:rPr>
          <w:rFonts w:ascii="Simplified Arabic" w:hAnsi="Simplified Arabic" w:cs="Simplified Arabic"/>
          <w:sz w:val="28"/>
          <w:szCs w:val="28"/>
          <w:lang w:bidi="ar-EG"/>
        </w:rPr>
        <w:t>Sartawi</w:t>
      </w:r>
      <w:proofErr w:type="spellEnd"/>
      <w:r w:rsidRPr="000B00AD">
        <w:rPr>
          <w:rFonts w:ascii="Simplified Arabic" w:hAnsi="Simplified Arabic" w:cs="Simplified Arabic"/>
          <w:sz w:val="28"/>
          <w:szCs w:val="28"/>
          <w:lang w:bidi="ar-EG"/>
        </w:rPr>
        <w:t xml:space="preserve">, A. M. A., </w:t>
      </w:r>
      <w:proofErr w:type="spellStart"/>
      <w:r w:rsidRPr="000B00AD">
        <w:rPr>
          <w:rFonts w:ascii="Simplified Arabic" w:hAnsi="Simplified Arabic" w:cs="Simplified Arabic"/>
          <w:sz w:val="28"/>
          <w:szCs w:val="28"/>
          <w:lang w:bidi="ar-EG"/>
        </w:rPr>
        <w:t>Hussainey</w:t>
      </w:r>
      <w:proofErr w:type="spellEnd"/>
      <w:r w:rsidRPr="000B00AD">
        <w:rPr>
          <w:rFonts w:ascii="Simplified Arabic" w:hAnsi="Simplified Arabic" w:cs="Simplified Arabic"/>
          <w:sz w:val="28"/>
          <w:szCs w:val="28"/>
          <w:lang w:bidi="ar-EG"/>
        </w:rPr>
        <w:t>, K., &amp; Razzaque, A. (2022). The role of artificial intelligence in sustainable finance. Journal of Sustainable Finance &amp; Investment, 1–6. https://doi.org/10.1080/20430795.2022.2057405</w:t>
      </w:r>
    </w:p>
    <w:p w14:paraId="2B6A0310"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lang w:bidi="ar-EG"/>
        </w:rPr>
        <w:t>Kureljusic</w:t>
      </w:r>
      <w:proofErr w:type="spellEnd"/>
      <w:r w:rsidRPr="000B00AD">
        <w:rPr>
          <w:rFonts w:ascii="Simplified Arabic" w:hAnsi="Simplified Arabic" w:cs="Simplified Arabic"/>
          <w:sz w:val="28"/>
          <w:szCs w:val="28"/>
          <w:lang w:bidi="ar-EG"/>
        </w:rPr>
        <w:t>, M. and Karger, E. (2024), "Forecasting in financial accounting with artificial intelligence – A systematic literature review and future research agenda", Journal of Applied Accounting Research, Vol. 25 No. 1, pp. 81-104. https://doi.org/10.1108/JAAR-06-2022-0146</w:t>
      </w:r>
    </w:p>
    <w:p w14:paraId="1D0437DC"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r w:rsidRPr="000B00AD">
        <w:rPr>
          <w:rFonts w:ascii="Simplified Arabic" w:hAnsi="Simplified Arabic" w:cs="Simplified Arabic"/>
          <w:sz w:val="28"/>
          <w:szCs w:val="28"/>
          <w:lang w:bidi="ar-EG"/>
        </w:rPr>
        <w:t>Peng, Y., Ahmad, S. F., Ahmad, A. Y. B., Al Shaikh, M. S., Daoud, M. K., &amp; Alhamdi, F. M. H. (2023). Riding the waves of artificial intelligence in advancing accounting and its implications for sustainable development goals. Sustainability, 15(19), 14165; https://doi.org/10.3390/su151914165</w:t>
      </w:r>
    </w:p>
    <w:p w14:paraId="45DFAB7E"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proofErr w:type="spellStart"/>
      <w:r w:rsidRPr="000B00AD">
        <w:rPr>
          <w:rFonts w:ascii="Simplified Arabic" w:hAnsi="Simplified Arabic" w:cs="Simplified Arabic"/>
          <w:sz w:val="28"/>
          <w:szCs w:val="28"/>
          <w:lang w:bidi="ar-EG"/>
        </w:rPr>
        <w:t>Odonkor</w:t>
      </w:r>
      <w:proofErr w:type="spellEnd"/>
      <w:r w:rsidRPr="000B00AD">
        <w:rPr>
          <w:rFonts w:ascii="Simplified Arabic" w:hAnsi="Simplified Arabic" w:cs="Simplified Arabic"/>
          <w:sz w:val="28"/>
          <w:szCs w:val="28"/>
          <w:lang w:bidi="ar-EG"/>
        </w:rPr>
        <w:t xml:space="preserve">, B., Kaggwa, S., </w:t>
      </w:r>
      <w:proofErr w:type="spellStart"/>
      <w:r w:rsidRPr="000B00AD">
        <w:rPr>
          <w:rFonts w:ascii="Simplified Arabic" w:hAnsi="Simplified Arabic" w:cs="Simplified Arabic"/>
          <w:sz w:val="28"/>
          <w:szCs w:val="28"/>
          <w:lang w:bidi="ar-EG"/>
        </w:rPr>
        <w:t>Uwaoma</w:t>
      </w:r>
      <w:proofErr w:type="spellEnd"/>
      <w:r w:rsidRPr="000B00AD">
        <w:rPr>
          <w:rFonts w:ascii="Simplified Arabic" w:hAnsi="Simplified Arabic" w:cs="Simplified Arabic"/>
          <w:sz w:val="28"/>
          <w:szCs w:val="28"/>
          <w:lang w:bidi="ar-EG"/>
        </w:rPr>
        <w:t xml:space="preserve">, P. U., Hassan, A. O., &amp; </w:t>
      </w:r>
      <w:proofErr w:type="spellStart"/>
      <w:r w:rsidRPr="000B00AD">
        <w:rPr>
          <w:rFonts w:ascii="Simplified Arabic" w:hAnsi="Simplified Arabic" w:cs="Simplified Arabic"/>
          <w:sz w:val="28"/>
          <w:szCs w:val="28"/>
          <w:lang w:bidi="ar-EG"/>
        </w:rPr>
        <w:t>Farayola</w:t>
      </w:r>
      <w:proofErr w:type="spellEnd"/>
      <w:r w:rsidRPr="000B00AD">
        <w:rPr>
          <w:rFonts w:ascii="Simplified Arabic" w:hAnsi="Simplified Arabic" w:cs="Simplified Arabic"/>
          <w:sz w:val="28"/>
          <w:szCs w:val="28"/>
          <w:lang w:bidi="ar-EG"/>
        </w:rPr>
        <w:t>, O. A. (2024). The impact of AI on accounting practices: A review: Exploring how artificial intelligence is transforming traditional accounting methods and financial reporting. World Journal of Advanced Research and Reviews, 21(1), 172-188 doi.org/10.30574/wjarr.2024.21.1.2721</w:t>
      </w:r>
    </w:p>
    <w:p w14:paraId="30C2DFEF"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lastRenderedPageBreak/>
        <w:t xml:space="preserve">‏ </w:t>
      </w:r>
      <w:r w:rsidRPr="000B00AD">
        <w:rPr>
          <w:rFonts w:ascii="Simplified Arabic" w:hAnsi="Simplified Arabic" w:cs="Simplified Arabic"/>
          <w:sz w:val="28"/>
          <w:szCs w:val="28"/>
          <w:lang w:bidi="ar-EG"/>
        </w:rPr>
        <w:t xml:space="preserve">Ahmed, S., </w:t>
      </w:r>
      <w:proofErr w:type="spellStart"/>
      <w:r w:rsidRPr="000B00AD">
        <w:rPr>
          <w:rFonts w:ascii="Simplified Arabic" w:hAnsi="Simplified Arabic" w:cs="Simplified Arabic"/>
          <w:sz w:val="28"/>
          <w:szCs w:val="28"/>
          <w:lang w:bidi="ar-EG"/>
        </w:rPr>
        <w:t>Alshater</w:t>
      </w:r>
      <w:proofErr w:type="spellEnd"/>
      <w:r w:rsidRPr="000B00AD">
        <w:rPr>
          <w:rFonts w:ascii="Simplified Arabic" w:hAnsi="Simplified Arabic" w:cs="Simplified Arabic"/>
          <w:sz w:val="28"/>
          <w:szCs w:val="28"/>
          <w:lang w:bidi="ar-EG"/>
        </w:rPr>
        <w:t>, M. M., El Ammari, A., &amp; Hammami, H. (2022). Artificial intelligence and machine learning in finance: A bibliometric review. Research in International Business and Finance, 61, 101646 https://doi.org/10.1016/j.ribaf.2022.101646</w:t>
      </w:r>
    </w:p>
    <w:p w14:paraId="3F15A186" w14:textId="77777777" w:rsidR="000B00AD" w:rsidRPr="000B00AD" w:rsidRDefault="000B00AD">
      <w:pPr>
        <w:pStyle w:val="a6"/>
        <w:numPr>
          <w:ilvl w:val="0"/>
          <w:numId w:val="9"/>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 xml:space="preserve">Sadok, H., Sakka, F., &amp; El </w:t>
      </w:r>
      <w:proofErr w:type="spellStart"/>
      <w:r w:rsidRPr="000B00AD">
        <w:rPr>
          <w:rFonts w:ascii="Simplified Arabic" w:hAnsi="Simplified Arabic" w:cs="Simplified Arabic"/>
          <w:sz w:val="28"/>
          <w:szCs w:val="28"/>
          <w:lang w:bidi="ar-EG"/>
        </w:rPr>
        <w:t>Maknouzi</w:t>
      </w:r>
      <w:proofErr w:type="spellEnd"/>
      <w:r w:rsidRPr="000B00AD">
        <w:rPr>
          <w:rFonts w:ascii="Simplified Arabic" w:hAnsi="Simplified Arabic" w:cs="Simplified Arabic"/>
          <w:sz w:val="28"/>
          <w:szCs w:val="28"/>
          <w:lang w:bidi="ar-EG"/>
        </w:rPr>
        <w:t>, M. E. H. (2022). Artificial intelligence and bank credit analysis: A review. Cogent Economics &amp; Finance, 10(1). https://doi.org/10.1080/23322039.2021.2023262</w:t>
      </w:r>
    </w:p>
    <w:p w14:paraId="0A7EA6EE" w14:textId="3BE27962" w:rsidR="000B00AD" w:rsidRDefault="000B00AD">
      <w:pPr>
        <w:pStyle w:val="a6"/>
        <w:numPr>
          <w:ilvl w:val="0"/>
          <w:numId w:val="9"/>
        </w:numPr>
        <w:bidi w:val="0"/>
        <w:jc w:val="both"/>
        <w:rPr>
          <w:rFonts w:ascii="Simplified Arabic" w:hAnsi="Simplified Arabic" w:cs="Simplified Arabic"/>
          <w:sz w:val="28"/>
          <w:szCs w:val="28"/>
          <w:lang w:bidi="ar-EG"/>
        </w:rPr>
      </w:pPr>
      <w:r w:rsidRPr="00C47BC4">
        <w:rPr>
          <w:rFonts w:ascii="Simplified Arabic" w:hAnsi="Simplified Arabic" w:cs="Simplified Arabic"/>
          <w:sz w:val="28"/>
          <w:szCs w:val="28"/>
          <w:lang w:val="pl-PL" w:bidi="ar-EG"/>
        </w:rPr>
        <w:t xml:space="preserve">Garanina, T., Ranta, M., &amp; Dumay, J. (2022). </w:t>
      </w:r>
      <w:r w:rsidRPr="000B00AD">
        <w:rPr>
          <w:rFonts w:ascii="Simplified Arabic" w:hAnsi="Simplified Arabic" w:cs="Simplified Arabic"/>
          <w:sz w:val="28"/>
          <w:szCs w:val="28"/>
          <w:lang w:bidi="ar-EG"/>
        </w:rPr>
        <w:t>Blockchain in accounting research: current trends and emerging topics. Accounting, Auditing &amp; Accountability Journal, 35(7), 1507-1533.</w:t>
      </w:r>
      <w:r w:rsidRPr="000B00AD">
        <w:rPr>
          <w:rFonts w:ascii="Simplified Arabic" w:hAnsi="Simplified Arabic" w:cs="Simplified Arabic"/>
          <w:sz w:val="28"/>
          <w:szCs w:val="28"/>
          <w:rtl/>
          <w:lang w:bidi="ar-EG"/>
        </w:rPr>
        <w:t>‏</w:t>
      </w:r>
    </w:p>
    <w:p w14:paraId="79EF192E" w14:textId="157EBE85"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Eisenreich, A., Füller, J., </w:t>
      </w:r>
      <w:proofErr w:type="spellStart"/>
      <w:r w:rsidRPr="00B32BDC">
        <w:rPr>
          <w:rFonts w:ascii="Simplified Arabic" w:hAnsi="Simplified Arabic" w:cs="Simplified Arabic"/>
          <w:sz w:val="28"/>
          <w:szCs w:val="28"/>
          <w:lang w:bidi="ar-EG"/>
        </w:rPr>
        <w:t>Stuchtey</w:t>
      </w:r>
      <w:proofErr w:type="spellEnd"/>
      <w:r w:rsidRPr="00B32BDC">
        <w:rPr>
          <w:rFonts w:ascii="Simplified Arabic" w:hAnsi="Simplified Arabic" w:cs="Simplified Arabic"/>
          <w:sz w:val="28"/>
          <w:szCs w:val="28"/>
          <w:lang w:bidi="ar-EG"/>
        </w:rPr>
        <w:t>, M., &amp; Gimenez-Jimenez, D. (2022). Toward a circular value chain: Impact of the circular economy on a company's value chain processes. Journal of Cleaner Production, 378, 134375.</w:t>
      </w:r>
      <w:r w:rsidRPr="00B32BDC">
        <w:rPr>
          <w:rFonts w:ascii="Simplified Arabic" w:hAnsi="Simplified Arabic" w:cs="Simplified Arabic"/>
          <w:sz w:val="28"/>
          <w:szCs w:val="28"/>
          <w:rtl/>
          <w:lang w:bidi="ar-EG"/>
        </w:rPr>
        <w:t>‏</w:t>
      </w:r>
    </w:p>
    <w:p w14:paraId="066C5D9D" w14:textId="6F1FBA65"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Hayakawa, K., &amp; </w:t>
      </w:r>
      <w:proofErr w:type="spellStart"/>
      <w:r w:rsidRPr="00B32BDC">
        <w:rPr>
          <w:rFonts w:ascii="Simplified Arabic" w:hAnsi="Simplified Arabic" w:cs="Simplified Arabic"/>
          <w:sz w:val="28"/>
          <w:szCs w:val="28"/>
          <w:lang w:bidi="ar-EG"/>
        </w:rPr>
        <w:t>Mukunoki</w:t>
      </w:r>
      <w:proofErr w:type="spellEnd"/>
      <w:r w:rsidRPr="00B32BDC">
        <w:rPr>
          <w:rFonts w:ascii="Simplified Arabic" w:hAnsi="Simplified Arabic" w:cs="Simplified Arabic"/>
          <w:sz w:val="28"/>
          <w:szCs w:val="28"/>
          <w:lang w:bidi="ar-EG"/>
        </w:rPr>
        <w:t>, H. (2021). Impacts of COVID</w:t>
      </w:r>
      <w:r w:rsidRPr="00B32BDC">
        <w:rPr>
          <w:rFonts w:ascii="Cambria Math" w:hAnsi="Cambria Math" w:cs="Cambria Math"/>
          <w:sz w:val="28"/>
          <w:szCs w:val="28"/>
          <w:lang w:bidi="ar-EG"/>
        </w:rPr>
        <w:t>‐</w:t>
      </w:r>
      <w:r w:rsidRPr="00B32BDC">
        <w:rPr>
          <w:rFonts w:ascii="Simplified Arabic" w:hAnsi="Simplified Arabic" w:cs="Simplified Arabic"/>
          <w:sz w:val="28"/>
          <w:szCs w:val="28"/>
          <w:lang w:bidi="ar-EG"/>
        </w:rPr>
        <w:t xml:space="preserve">19 on global value chains. </w:t>
      </w:r>
      <w:proofErr w:type="gramStart"/>
      <w:r w:rsidRPr="00B32BDC">
        <w:rPr>
          <w:rFonts w:ascii="Simplified Arabic" w:hAnsi="Simplified Arabic" w:cs="Simplified Arabic"/>
          <w:sz w:val="28"/>
          <w:szCs w:val="28"/>
          <w:lang w:bidi="ar-EG"/>
        </w:rPr>
        <w:t>The Developing</w:t>
      </w:r>
      <w:proofErr w:type="gramEnd"/>
      <w:r w:rsidRPr="00B32BDC">
        <w:rPr>
          <w:rFonts w:ascii="Simplified Arabic" w:hAnsi="Simplified Arabic" w:cs="Simplified Arabic"/>
          <w:sz w:val="28"/>
          <w:szCs w:val="28"/>
          <w:lang w:bidi="ar-EG"/>
        </w:rPr>
        <w:t xml:space="preserve"> Economies, 59(2), 154-177.</w:t>
      </w:r>
      <w:r w:rsidRPr="00B32BDC">
        <w:rPr>
          <w:rFonts w:ascii="Simplified Arabic" w:hAnsi="Simplified Arabic" w:cs="Simplified Arabic"/>
          <w:sz w:val="28"/>
          <w:szCs w:val="28"/>
          <w:rtl/>
          <w:lang w:bidi="ar-EG"/>
        </w:rPr>
        <w:t>‏</w:t>
      </w:r>
    </w:p>
    <w:p w14:paraId="110DE534" w14:textId="414C669E"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Helo, P., &amp; Hao, Y. (2022). Artificial intelligence in operations management and supply chain management: an exploratory case study. Production planning &amp; control, 33(16), 1573-1590.</w:t>
      </w:r>
    </w:p>
    <w:p w14:paraId="27F74A9F" w14:textId="669B429F"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Ismaeil, M. K. A. (2024). The role and impact of artificial intelligence on supply chain management: Efficiency, challenges, and strategic implementation. Journal of </w:t>
      </w:r>
      <w:proofErr w:type="spellStart"/>
      <w:r w:rsidRPr="00B32BDC">
        <w:rPr>
          <w:rFonts w:ascii="Simplified Arabic" w:hAnsi="Simplified Arabic" w:cs="Simplified Arabic"/>
          <w:sz w:val="28"/>
          <w:szCs w:val="28"/>
          <w:lang w:bidi="ar-EG"/>
        </w:rPr>
        <w:t>Ecohumanism</w:t>
      </w:r>
      <w:proofErr w:type="spellEnd"/>
      <w:r w:rsidRPr="00B32BDC">
        <w:rPr>
          <w:rFonts w:ascii="Simplified Arabic" w:hAnsi="Simplified Arabic" w:cs="Simplified Arabic"/>
          <w:sz w:val="28"/>
          <w:szCs w:val="28"/>
          <w:lang w:bidi="ar-EG"/>
        </w:rPr>
        <w:t>, 3(4), 89-106.</w:t>
      </w:r>
      <w:r w:rsidRPr="00B32BDC">
        <w:rPr>
          <w:rFonts w:ascii="Simplified Arabic" w:hAnsi="Simplified Arabic" w:cs="Simplified Arabic"/>
          <w:sz w:val="28"/>
          <w:szCs w:val="28"/>
          <w:rtl/>
          <w:lang w:bidi="ar-EG"/>
        </w:rPr>
        <w:t>‏</w:t>
      </w:r>
    </w:p>
    <w:p w14:paraId="5C8DEE03" w14:textId="2D290DD6"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Mohsen, B. M. (2023). Impact of artificial intelligence on supply chain management performance. Journal of Service Science and Management, 16(1), 44-58</w:t>
      </w:r>
    </w:p>
    <w:p w14:paraId="19CF14F6" w14:textId="5BDAA29E"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lastRenderedPageBreak/>
        <w:t xml:space="preserve">Cannas, V. G., Ciano, M. P., Saltalamacchia, M., &amp; Secchi, R. (2024). Artificial intelligence in supply chain and operations management: </w:t>
      </w:r>
      <w:proofErr w:type="gramStart"/>
      <w:r w:rsidRPr="00B32BDC">
        <w:rPr>
          <w:rFonts w:ascii="Simplified Arabic" w:hAnsi="Simplified Arabic" w:cs="Simplified Arabic"/>
          <w:sz w:val="28"/>
          <w:szCs w:val="28"/>
          <w:lang w:bidi="ar-EG"/>
        </w:rPr>
        <w:t>a multiple case study research</w:t>
      </w:r>
      <w:proofErr w:type="gramEnd"/>
      <w:r w:rsidRPr="00B32BDC">
        <w:rPr>
          <w:rFonts w:ascii="Simplified Arabic" w:hAnsi="Simplified Arabic" w:cs="Simplified Arabic"/>
          <w:sz w:val="28"/>
          <w:szCs w:val="28"/>
          <w:lang w:bidi="ar-EG"/>
        </w:rPr>
        <w:t>. International journal of production research, 62(9), 3333-3360.</w:t>
      </w:r>
    </w:p>
    <w:p w14:paraId="49DED060" w14:textId="22152DAC"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Fosso Wamba, S., Queiroz, M. M., Guthrie, C., &amp; Braganza, A. (2022). Industry experiences of artificial intelligence (AI): benefits and challenges in operations and supply chain management. Production planning &amp; control, 33(16), 1493-1497</w:t>
      </w:r>
    </w:p>
    <w:p w14:paraId="29D7CC8D" w14:textId="6D943282" w:rsidR="00B32BDC" w:rsidRDefault="00B32BDC">
      <w:pPr>
        <w:pStyle w:val="a6"/>
        <w:numPr>
          <w:ilvl w:val="0"/>
          <w:numId w:val="9"/>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Jackson, I., Ivanov, D., </w:t>
      </w:r>
      <w:proofErr w:type="spellStart"/>
      <w:r w:rsidRPr="00B32BDC">
        <w:rPr>
          <w:rFonts w:ascii="Simplified Arabic" w:hAnsi="Simplified Arabic" w:cs="Simplified Arabic"/>
          <w:sz w:val="28"/>
          <w:szCs w:val="28"/>
          <w:lang w:bidi="ar-EG"/>
        </w:rPr>
        <w:t>Dolgui</w:t>
      </w:r>
      <w:proofErr w:type="spellEnd"/>
      <w:r w:rsidRPr="00B32BDC">
        <w:rPr>
          <w:rFonts w:ascii="Simplified Arabic" w:hAnsi="Simplified Arabic" w:cs="Simplified Arabic"/>
          <w:sz w:val="28"/>
          <w:szCs w:val="28"/>
          <w:lang w:bidi="ar-EG"/>
        </w:rPr>
        <w:t>, A., &amp; Namdar, J. (2024). Generative artificial intelligence in supply chain and operations management: a capability-based framework for analysis and implementation. International Journal of Production Research, 62(17), 6120-6145</w:t>
      </w:r>
    </w:p>
    <w:p w14:paraId="05498321" w14:textId="77777777" w:rsidR="00B32BDC" w:rsidRPr="00332430" w:rsidRDefault="00B32BDC" w:rsidP="00B32BDC">
      <w:pPr>
        <w:pStyle w:val="a6"/>
        <w:bidi w:val="0"/>
        <w:jc w:val="both"/>
        <w:rPr>
          <w:rFonts w:ascii="Simplified Arabic" w:hAnsi="Simplified Arabic" w:cs="Simplified Arabic"/>
          <w:sz w:val="28"/>
          <w:szCs w:val="28"/>
          <w:lang w:bidi="ar-EG"/>
        </w:rPr>
      </w:pPr>
    </w:p>
    <w:p w14:paraId="54C66D4A" w14:textId="77777777" w:rsidR="006E5307" w:rsidRDefault="006E5307" w:rsidP="006E5307">
      <w:pPr>
        <w:pStyle w:val="a6"/>
        <w:bidi w:val="0"/>
        <w:jc w:val="both"/>
        <w:rPr>
          <w:rFonts w:ascii="Simplified Arabic" w:hAnsi="Simplified Arabic" w:cs="Simplified Arabic"/>
          <w:sz w:val="28"/>
          <w:szCs w:val="28"/>
          <w:lang w:bidi="ar-EG"/>
        </w:rPr>
      </w:pPr>
    </w:p>
    <w:p w14:paraId="59735745"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18339DB7"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025F168B"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7E86B311" w14:textId="77777777" w:rsidR="006E5307" w:rsidRDefault="006E5307" w:rsidP="006E5307">
      <w:pPr>
        <w:pStyle w:val="a6"/>
        <w:bidi w:val="0"/>
        <w:jc w:val="both"/>
        <w:rPr>
          <w:rFonts w:ascii="Simplified Arabic" w:hAnsi="Simplified Arabic" w:cs="Simplified Arabic"/>
          <w:sz w:val="28"/>
          <w:szCs w:val="28"/>
          <w:lang w:bidi="ar-EG"/>
        </w:rPr>
      </w:pPr>
    </w:p>
    <w:p w14:paraId="4955AD88"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655AA049"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4F15531F"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0AE8D26F" w14:textId="77777777" w:rsidR="00BE606B" w:rsidRDefault="00BE606B" w:rsidP="00BE606B">
      <w:pPr>
        <w:pStyle w:val="a6"/>
        <w:bidi w:val="0"/>
        <w:jc w:val="both"/>
        <w:rPr>
          <w:rFonts w:ascii="Simplified Arabic" w:hAnsi="Simplified Arabic" w:cs="Simplified Arabic"/>
          <w:sz w:val="28"/>
          <w:szCs w:val="28"/>
          <w:lang w:bidi="ar-EG"/>
        </w:rPr>
      </w:pPr>
    </w:p>
    <w:p w14:paraId="40B76207"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5AD6E3B7" w14:textId="77777777" w:rsidR="00576E87" w:rsidRDefault="00576E87" w:rsidP="00BE606B">
      <w:pPr>
        <w:pStyle w:val="a6"/>
        <w:bidi w:val="0"/>
        <w:jc w:val="both"/>
        <w:rPr>
          <w:rFonts w:ascii="Simplified Arabic" w:hAnsi="Simplified Arabic" w:cs="Simplified Arabic"/>
          <w:sz w:val="28"/>
          <w:szCs w:val="28"/>
          <w:rtl/>
        </w:rPr>
      </w:pPr>
    </w:p>
    <w:p w14:paraId="749F4B9E" w14:textId="77777777" w:rsidR="00BE606B" w:rsidRPr="000236E3" w:rsidRDefault="00BE606B" w:rsidP="005D0A6D">
      <w:pPr>
        <w:pStyle w:val="a6"/>
        <w:jc w:val="both"/>
        <w:rPr>
          <w:rFonts w:ascii="Simplified Arabic" w:hAnsi="Simplified Arabic" w:cs="Simplified Arabic"/>
          <w:sz w:val="28"/>
          <w:szCs w:val="28"/>
        </w:rPr>
      </w:pPr>
    </w:p>
    <w:sectPr w:rsidR="00BE606B" w:rsidRPr="000236E3" w:rsidSect="00CB6D93">
      <w:footerReference w:type="default" r:id="rId38"/>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07442" w14:textId="77777777" w:rsidR="005243BB" w:rsidRDefault="005243BB" w:rsidP="00621DED">
      <w:pPr>
        <w:spacing w:after="0" w:line="240" w:lineRule="auto"/>
      </w:pPr>
      <w:r>
        <w:separator/>
      </w:r>
    </w:p>
  </w:endnote>
  <w:endnote w:type="continuationSeparator" w:id="0">
    <w:p w14:paraId="524C2D37" w14:textId="77777777" w:rsidR="005243BB" w:rsidRDefault="005243BB"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16600" w14:textId="77777777" w:rsidR="005243BB" w:rsidRDefault="005243BB" w:rsidP="00621DED">
      <w:pPr>
        <w:spacing w:after="0" w:line="240" w:lineRule="auto"/>
      </w:pPr>
      <w:r>
        <w:separator/>
      </w:r>
    </w:p>
  </w:footnote>
  <w:footnote w:type="continuationSeparator" w:id="0">
    <w:p w14:paraId="1ECFB791" w14:textId="77777777" w:rsidR="005243BB" w:rsidRDefault="005243BB"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6475B"/>
    <w:multiLevelType w:val="multilevel"/>
    <w:tmpl w:val="455AD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37FAD"/>
    <w:multiLevelType w:val="multilevel"/>
    <w:tmpl w:val="BA2EE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C2C25"/>
    <w:multiLevelType w:val="hybridMultilevel"/>
    <w:tmpl w:val="7FB0E27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C41EB9"/>
    <w:multiLevelType w:val="hybridMultilevel"/>
    <w:tmpl w:val="8BB8B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752D98"/>
    <w:multiLevelType w:val="multilevel"/>
    <w:tmpl w:val="C172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482BDC"/>
    <w:multiLevelType w:val="multilevel"/>
    <w:tmpl w:val="9342C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F21727"/>
    <w:multiLevelType w:val="multilevel"/>
    <w:tmpl w:val="E9D2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3058C"/>
    <w:multiLevelType w:val="multilevel"/>
    <w:tmpl w:val="D820E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2031E5"/>
    <w:multiLevelType w:val="hybridMultilevel"/>
    <w:tmpl w:val="AAC4C1F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120EEC"/>
    <w:multiLevelType w:val="multilevel"/>
    <w:tmpl w:val="67FA3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0C75FD"/>
    <w:multiLevelType w:val="multilevel"/>
    <w:tmpl w:val="53962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253A52"/>
    <w:multiLevelType w:val="multilevel"/>
    <w:tmpl w:val="2BD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E06B81"/>
    <w:multiLevelType w:val="multilevel"/>
    <w:tmpl w:val="0FF4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737364"/>
    <w:multiLevelType w:val="multilevel"/>
    <w:tmpl w:val="2C9A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B4276D"/>
    <w:multiLevelType w:val="hybridMultilevel"/>
    <w:tmpl w:val="974A936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BF1A5C"/>
    <w:multiLevelType w:val="multilevel"/>
    <w:tmpl w:val="DCB2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6154D0"/>
    <w:multiLevelType w:val="multilevel"/>
    <w:tmpl w:val="DCF2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1204FA"/>
    <w:multiLevelType w:val="hybridMultilevel"/>
    <w:tmpl w:val="4E1E244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EF3323"/>
    <w:multiLevelType w:val="hybridMultilevel"/>
    <w:tmpl w:val="E35CD88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0001994">
    <w:abstractNumId w:val="19"/>
  </w:num>
  <w:num w:numId="2" w16cid:durableId="1196456994">
    <w:abstractNumId w:val="18"/>
  </w:num>
  <w:num w:numId="3" w16cid:durableId="1230456850">
    <w:abstractNumId w:val="7"/>
  </w:num>
  <w:num w:numId="4" w16cid:durableId="939215101">
    <w:abstractNumId w:val="25"/>
  </w:num>
  <w:num w:numId="5" w16cid:durableId="22947908">
    <w:abstractNumId w:val="17"/>
  </w:num>
  <w:num w:numId="6" w16cid:durableId="382796019">
    <w:abstractNumId w:val="13"/>
  </w:num>
  <w:num w:numId="7" w16cid:durableId="503012899">
    <w:abstractNumId w:val="0"/>
  </w:num>
  <w:num w:numId="8" w16cid:durableId="1172140132">
    <w:abstractNumId w:val="23"/>
  </w:num>
  <w:num w:numId="9" w16cid:durableId="907181241">
    <w:abstractNumId w:val="3"/>
  </w:num>
  <w:num w:numId="10" w16cid:durableId="835608117">
    <w:abstractNumId w:val="16"/>
  </w:num>
  <w:num w:numId="11" w16cid:durableId="190342653">
    <w:abstractNumId w:val="14"/>
  </w:num>
  <w:num w:numId="12" w16cid:durableId="1318220249">
    <w:abstractNumId w:val="22"/>
  </w:num>
  <w:num w:numId="13" w16cid:durableId="1341346507">
    <w:abstractNumId w:val="15"/>
  </w:num>
  <w:num w:numId="14" w16cid:durableId="1051877540">
    <w:abstractNumId w:val="1"/>
  </w:num>
  <w:num w:numId="15" w16cid:durableId="1768844349">
    <w:abstractNumId w:val="5"/>
  </w:num>
  <w:num w:numId="16" w16cid:durableId="201864712">
    <w:abstractNumId w:val="6"/>
  </w:num>
  <w:num w:numId="17" w16cid:durableId="1627851115">
    <w:abstractNumId w:val="11"/>
  </w:num>
  <w:num w:numId="18" w16cid:durableId="1167939090">
    <w:abstractNumId w:val="2"/>
  </w:num>
  <w:num w:numId="19" w16cid:durableId="1871727142">
    <w:abstractNumId w:val="9"/>
  </w:num>
  <w:num w:numId="20" w16cid:durableId="1504666960">
    <w:abstractNumId w:val="20"/>
  </w:num>
  <w:num w:numId="21" w16cid:durableId="496842416">
    <w:abstractNumId w:val="10"/>
  </w:num>
  <w:num w:numId="22" w16cid:durableId="1181432798">
    <w:abstractNumId w:val="24"/>
  </w:num>
  <w:num w:numId="23" w16cid:durableId="1406731704">
    <w:abstractNumId w:val="8"/>
  </w:num>
  <w:num w:numId="24" w16cid:durableId="1493370440">
    <w:abstractNumId w:val="4"/>
  </w:num>
  <w:num w:numId="25" w16cid:durableId="2091928239">
    <w:abstractNumId w:val="12"/>
  </w:num>
  <w:num w:numId="26" w16cid:durableId="1087189376">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B9"/>
    <w:rsid w:val="00021FD1"/>
    <w:rsid w:val="000236E3"/>
    <w:rsid w:val="000508AF"/>
    <w:rsid w:val="000672A4"/>
    <w:rsid w:val="00071EE4"/>
    <w:rsid w:val="00092108"/>
    <w:rsid w:val="000B00AD"/>
    <w:rsid w:val="000D1962"/>
    <w:rsid w:val="000E0033"/>
    <w:rsid w:val="001705A9"/>
    <w:rsid w:val="001B43EF"/>
    <w:rsid w:val="001D2387"/>
    <w:rsid w:val="001E3435"/>
    <w:rsid w:val="001F4120"/>
    <w:rsid w:val="00234A82"/>
    <w:rsid w:val="00234EE9"/>
    <w:rsid w:val="002765C1"/>
    <w:rsid w:val="00297B1D"/>
    <w:rsid w:val="002A5D5B"/>
    <w:rsid w:val="002B5492"/>
    <w:rsid w:val="0030015D"/>
    <w:rsid w:val="0032684C"/>
    <w:rsid w:val="00332430"/>
    <w:rsid w:val="003372C0"/>
    <w:rsid w:val="003374BD"/>
    <w:rsid w:val="0034535E"/>
    <w:rsid w:val="00395C32"/>
    <w:rsid w:val="003A2075"/>
    <w:rsid w:val="003A2D4F"/>
    <w:rsid w:val="003C04ED"/>
    <w:rsid w:val="003C3523"/>
    <w:rsid w:val="003D06DF"/>
    <w:rsid w:val="00402E9C"/>
    <w:rsid w:val="004035A0"/>
    <w:rsid w:val="004875D2"/>
    <w:rsid w:val="004A7FE3"/>
    <w:rsid w:val="004D35D3"/>
    <w:rsid w:val="005243BB"/>
    <w:rsid w:val="005673FD"/>
    <w:rsid w:val="00571E2D"/>
    <w:rsid w:val="00576E87"/>
    <w:rsid w:val="00593280"/>
    <w:rsid w:val="005965AD"/>
    <w:rsid w:val="005B79EF"/>
    <w:rsid w:val="005C3640"/>
    <w:rsid w:val="005C44E0"/>
    <w:rsid w:val="005D0A6D"/>
    <w:rsid w:val="005D3BB8"/>
    <w:rsid w:val="005E52A1"/>
    <w:rsid w:val="005E6DFF"/>
    <w:rsid w:val="005F1EB6"/>
    <w:rsid w:val="005F3A85"/>
    <w:rsid w:val="00602A7D"/>
    <w:rsid w:val="006114F7"/>
    <w:rsid w:val="00621DED"/>
    <w:rsid w:val="0063138F"/>
    <w:rsid w:val="006349D7"/>
    <w:rsid w:val="00643EEB"/>
    <w:rsid w:val="00644213"/>
    <w:rsid w:val="00681CD5"/>
    <w:rsid w:val="006C2178"/>
    <w:rsid w:val="006E5307"/>
    <w:rsid w:val="006F66D2"/>
    <w:rsid w:val="007543D1"/>
    <w:rsid w:val="00761E9B"/>
    <w:rsid w:val="008019E7"/>
    <w:rsid w:val="00804576"/>
    <w:rsid w:val="00804FE9"/>
    <w:rsid w:val="0081357B"/>
    <w:rsid w:val="00813640"/>
    <w:rsid w:val="00813BCB"/>
    <w:rsid w:val="00841847"/>
    <w:rsid w:val="008457E0"/>
    <w:rsid w:val="00860640"/>
    <w:rsid w:val="00881070"/>
    <w:rsid w:val="008B3166"/>
    <w:rsid w:val="008D1C82"/>
    <w:rsid w:val="0091397D"/>
    <w:rsid w:val="00917C1F"/>
    <w:rsid w:val="009421C9"/>
    <w:rsid w:val="0095065B"/>
    <w:rsid w:val="00951C20"/>
    <w:rsid w:val="00955C78"/>
    <w:rsid w:val="00975E90"/>
    <w:rsid w:val="009B5EF9"/>
    <w:rsid w:val="009C14F2"/>
    <w:rsid w:val="009C399E"/>
    <w:rsid w:val="009D3DFA"/>
    <w:rsid w:val="009E740B"/>
    <w:rsid w:val="00A24D1C"/>
    <w:rsid w:val="00A5503B"/>
    <w:rsid w:val="00A96935"/>
    <w:rsid w:val="00AF0FC2"/>
    <w:rsid w:val="00B04F4C"/>
    <w:rsid w:val="00B13F94"/>
    <w:rsid w:val="00B30CCE"/>
    <w:rsid w:val="00B32BDC"/>
    <w:rsid w:val="00B3427B"/>
    <w:rsid w:val="00B41819"/>
    <w:rsid w:val="00B51EAA"/>
    <w:rsid w:val="00B729F2"/>
    <w:rsid w:val="00B91104"/>
    <w:rsid w:val="00BE066A"/>
    <w:rsid w:val="00BE606B"/>
    <w:rsid w:val="00C01A90"/>
    <w:rsid w:val="00C04DCA"/>
    <w:rsid w:val="00C47709"/>
    <w:rsid w:val="00C47BC4"/>
    <w:rsid w:val="00C72033"/>
    <w:rsid w:val="00C943D9"/>
    <w:rsid w:val="00CB6D93"/>
    <w:rsid w:val="00CC209D"/>
    <w:rsid w:val="00CD4D05"/>
    <w:rsid w:val="00CE08ED"/>
    <w:rsid w:val="00CE3A56"/>
    <w:rsid w:val="00D12910"/>
    <w:rsid w:val="00D15B17"/>
    <w:rsid w:val="00D23D27"/>
    <w:rsid w:val="00D41B42"/>
    <w:rsid w:val="00D42274"/>
    <w:rsid w:val="00D439AC"/>
    <w:rsid w:val="00D567E6"/>
    <w:rsid w:val="00D61485"/>
    <w:rsid w:val="00D8772F"/>
    <w:rsid w:val="00DB17F3"/>
    <w:rsid w:val="00DC5C8A"/>
    <w:rsid w:val="00DE18A5"/>
    <w:rsid w:val="00E24AD3"/>
    <w:rsid w:val="00E819C0"/>
    <w:rsid w:val="00E931BE"/>
    <w:rsid w:val="00EC07BC"/>
    <w:rsid w:val="00EC2DAD"/>
    <w:rsid w:val="00EC46FD"/>
    <w:rsid w:val="00EC79A3"/>
    <w:rsid w:val="00ED3794"/>
    <w:rsid w:val="00EE3287"/>
    <w:rsid w:val="00EE3447"/>
    <w:rsid w:val="00EE4C90"/>
    <w:rsid w:val="00EF6BCE"/>
    <w:rsid w:val="00F036C9"/>
    <w:rsid w:val="00F10871"/>
    <w:rsid w:val="00F178E3"/>
    <w:rsid w:val="00F2181C"/>
    <w:rsid w:val="00F21AAC"/>
    <w:rsid w:val="00F373DC"/>
    <w:rsid w:val="00F40CAA"/>
    <w:rsid w:val="00F41775"/>
    <w:rsid w:val="00F43D1B"/>
    <w:rsid w:val="00F515BC"/>
    <w:rsid w:val="00F65998"/>
    <w:rsid w:val="00F67029"/>
    <w:rsid w:val="00F754CF"/>
    <w:rsid w:val="00F83102"/>
    <w:rsid w:val="00FA77D4"/>
    <w:rsid w:val="00FB666C"/>
    <w:rsid w:val="00FC1EC9"/>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BE606B"/>
    <w:rPr>
      <w:color w:val="954F72" w:themeColor="followedHyperlink"/>
      <w:u w:val="single"/>
    </w:rPr>
  </w:style>
  <w:style w:type="character" w:styleId="af0">
    <w:name w:val="Strong"/>
    <w:basedOn w:val="a0"/>
    <w:uiPriority w:val="22"/>
    <w:qFormat/>
    <w:rsid w:val="00602A7D"/>
    <w:rPr>
      <w:b/>
      <w:bCs/>
    </w:rPr>
  </w:style>
  <w:style w:type="table" w:styleId="af1">
    <w:name w:val="Table Grid"/>
    <w:basedOn w:val="a1"/>
    <w:uiPriority w:val="39"/>
    <w:rsid w:val="005C4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4467">
      <w:bodyDiv w:val="1"/>
      <w:marLeft w:val="0"/>
      <w:marRight w:val="0"/>
      <w:marTop w:val="0"/>
      <w:marBottom w:val="0"/>
      <w:divBdr>
        <w:top w:val="none" w:sz="0" w:space="0" w:color="auto"/>
        <w:left w:val="none" w:sz="0" w:space="0" w:color="auto"/>
        <w:bottom w:val="none" w:sz="0" w:space="0" w:color="auto"/>
        <w:right w:val="none" w:sz="0" w:space="0" w:color="auto"/>
      </w:divBdr>
      <w:divsChild>
        <w:div w:id="716322376">
          <w:marLeft w:val="0"/>
          <w:marRight w:val="0"/>
          <w:marTop w:val="0"/>
          <w:marBottom w:val="0"/>
          <w:divBdr>
            <w:top w:val="none" w:sz="0" w:space="0" w:color="auto"/>
            <w:left w:val="none" w:sz="0" w:space="0" w:color="auto"/>
            <w:bottom w:val="none" w:sz="0" w:space="0" w:color="auto"/>
            <w:right w:val="none" w:sz="0" w:space="0" w:color="auto"/>
          </w:divBdr>
          <w:divsChild>
            <w:div w:id="1579245182">
              <w:marLeft w:val="0"/>
              <w:marRight w:val="0"/>
              <w:marTop w:val="0"/>
              <w:marBottom w:val="0"/>
              <w:divBdr>
                <w:top w:val="none" w:sz="0" w:space="0" w:color="auto"/>
                <w:left w:val="none" w:sz="0" w:space="0" w:color="auto"/>
                <w:bottom w:val="none" w:sz="0" w:space="0" w:color="auto"/>
                <w:right w:val="none" w:sz="0" w:space="0" w:color="auto"/>
              </w:divBdr>
              <w:divsChild>
                <w:div w:id="650332000">
                  <w:marLeft w:val="0"/>
                  <w:marRight w:val="0"/>
                  <w:marTop w:val="0"/>
                  <w:marBottom w:val="0"/>
                  <w:divBdr>
                    <w:top w:val="none" w:sz="0" w:space="0" w:color="auto"/>
                    <w:left w:val="none" w:sz="0" w:space="0" w:color="auto"/>
                    <w:bottom w:val="none" w:sz="0" w:space="0" w:color="auto"/>
                    <w:right w:val="none" w:sz="0" w:space="0" w:color="auto"/>
                  </w:divBdr>
                  <w:divsChild>
                    <w:div w:id="2124221985">
                      <w:marLeft w:val="0"/>
                      <w:marRight w:val="0"/>
                      <w:marTop w:val="0"/>
                      <w:marBottom w:val="0"/>
                      <w:divBdr>
                        <w:top w:val="none" w:sz="0" w:space="0" w:color="auto"/>
                        <w:left w:val="none" w:sz="0" w:space="0" w:color="auto"/>
                        <w:bottom w:val="none" w:sz="0" w:space="0" w:color="auto"/>
                        <w:right w:val="none" w:sz="0" w:space="0" w:color="auto"/>
                      </w:divBdr>
                      <w:divsChild>
                        <w:div w:id="1100569606">
                          <w:marLeft w:val="0"/>
                          <w:marRight w:val="0"/>
                          <w:marTop w:val="0"/>
                          <w:marBottom w:val="0"/>
                          <w:divBdr>
                            <w:top w:val="none" w:sz="0" w:space="0" w:color="auto"/>
                            <w:left w:val="none" w:sz="0" w:space="0" w:color="auto"/>
                            <w:bottom w:val="none" w:sz="0" w:space="0" w:color="auto"/>
                            <w:right w:val="none" w:sz="0" w:space="0" w:color="auto"/>
                          </w:divBdr>
                          <w:divsChild>
                            <w:div w:id="252248443">
                              <w:marLeft w:val="0"/>
                              <w:marRight w:val="0"/>
                              <w:marTop w:val="0"/>
                              <w:marBottom w:val="0"/>
                              <w:divBdr>
                                <w:top w:val="none" w:sz="0" w:space="0" w:color="auto"/>
                                <w:left w:val="none" w:sz="0" w:space="0" w:color="auto"/>
                                <w:bottom w:val="none" w:sz="0" w:space="0" w:color="auto"/>
                                <w:right w:val="none" w:sz="0" w:space="0" w:color="auto"/>
                              </w:divBdr>
                              <w:divsChild>
                                <w:div w:id="210949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639064">
          <w:marLeft w:val="0"/>
          <w:marRight w:val="0"/>
          <w:marTop w:val="0"/>
          <w:marBottom w:val="0"/>
          <w:divBdr>
            <w:top w:val="none" w:sz="0" w:space="0" w:color="auto"/>
            <w:left w:val="none" w:sz="0" w:space="0" w:color="auto"/>
            <w:bottom w:val="none" w:sz="0" w:space="0" w:color="auto"/>
            <w:right w:val="none" w:sz="0" w:space="0" w:color="auto"/>
          </w:divBdr>
          <w:divsChild>
            <w:div w:id="1149637543">
              <w:marLeft w:val="0"/>
              <w:marRight w:val="0"/>
              <w:marTop w:val="0"/>
              <w:marBottom w:val="0"/>
              <w:divBdr>
                <w:top w:val="none" w:sz="0" w:space="0" w:color="auto"/>
                <w:left w:val="none" w:sz="0" w:space="0" w:color="auto"/>
                <w:bottom w:val="none" w:sz="0" w:space="0" w:color="auto"/>
                <w:right w:val="none" w:sz="0" w:space="0" w:color="auto"/>
              </w:divBdr>
              <w:divsChild>
                <w:div w:id="1971397049">
                  <w:marLeft w:val="0"/>
                  <w:marRight w:val="0"/>
                  <w:marTop w:val="0"/>
                  <w:marBottom w:val="0"/>
                  <w:divBdr>
                    <w:top w:val="none" w:sz="0" w:space="0" w:color="auto"/>
                    <w:left w:val="none" w:sz="0" w:space="0" w:color="auto"/>
                    <w:bottom w:val="none" w:sz="0" w:space="0" w:color="auto"/>
                    <w:right w:val="none" w:sz="0" w:space="0" w:color="auto"/>
                  </w:divBdr>
                  <w:divsChild>
                    <w:div w:id="424349590">
                      <w:marLeft w:val="0"/>
                      <w:marRight w:val="0"/>
                      <w:marTop w:val="0"/>
                      <w:marBottom w:val="0"/>
                      <w:divBdr>
                        <w:top w:val="none" w:sz="0" w:space="0" w:color="auto"/>
                        <w:left w:val="none" w:sz="0" w:space="0" w:color="auto"/>
                        <w:bottom w:val="none" w:sz="0" w:space="0" w:color="auto"/>
                        <w:right w:val="none" w:sz="0" w:space="0" w:color="auto"/>
                      </w:divBdr>
                      <w:divsChild>
                        <w:div w:id="1077871153">
                          <w:marLeft w:val="0"/>
                          <w:marRight w:val="0"/>
                          <w:marTop w:val="0"/>
                          <w:marBottom w:val="0"/>
                          <w:divBdr>
                            <w:top w:val="none" w:sz="0" w:space="0" w:color="auto"/>
                            <w:left w:val="none" w:sz="0" w:space="0" w:color="auto"/>
                            <w:bottom w:val="none" w:sz="0" w:space="0" w:color="auto"/>
                            <w:right w:val="none" w:sz="0" w:space="0" w:color="auto"/>
                          </w:divBdr>
                          <w:divsChild>
                            <w:div w:id="224295399">
                              <w:marLeft w:val="0"/>
                              <w:marRight w:val="0"/>
                              <w:marTop w:val="0"/>
                              <w:marBottom w:val="0"/>
                              <w:divBdr>
                                <w:top w:val="none" w:sz="0" w:space="0" w:color="auto"/>
                                <w:left w:val="none" w:sz="0" w:space="0" w:color="auto"/>
                                <w:bottom w:val="none" w:sz="0" w:space="0" w:color="auto"/>
                                <w:right w:val="none" w:sz="0" w:space="0" w:color="auto"/>
                              </w:divBdr>
                              <w:divsChild>
                                <w:div w:id="202567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211107">
          <w:marLeft w:val="0"/>
          <w:marRight w:val="0"/>
          <w:marTop w:val="0"/>
          <w:marBottom w:val="0"/>
          <w:divBdr>
            <w:top w:val="none" w:sz="0" w:space="0" w:color="auto"/>
            <w:left w:val="none" w:sz="0" w:space="0" w:color="auto"/>
            <w:bottom w:val="none" w:sz="0" w:space="0" w:color="auto"/>
            <w:right w:val="none" w:sz="0" w:space="0" w:color="auto"/>
          </w:divBdr>
          <w:divsChild>
            <w:div w:id="1133135763">
              <w:marLeft w:val="0"/>
              <w:marRight w:val="0"/>
              <w:marTop w:val="0"/>
              <w:marBottom w:val="0"/>
              <w:divBdr>
                <w:top w:val="none" w:sz="0" w:space="0" w:color="auto"/>
                <w:left w:val="none" w:sz="0" w:space="0" w:color="auto"/>
                <w:bottom w:val="none" w:sz="0" w:space="0" w:color="auto"/>
                <w:right w:val="none" w:sz="0" w:space="0" w:color="auto"/>
              </w:divBdr>
              <w:divsChild>
                <w:div w:id="770273096">
                  <w:marLeft w:val="0"/>
                  <w:marRight w:val="0"/>
                  <w:marTop w:val="0"/>
                  <w:marBottom w:val="0"/>
                  <w:divBdr>
                    <w:top w:val="none" w:sz="0" w:space="0" w:color="auto"/>
                    <w:left w:val="none" w:sz="0" w:space="0" w:color="auto"/>
                    <w:bottom w:val="none" w:sz="0" w:space="0" w:color="auto"/>
                    <w:right w:val="none" w:sz="0" w:space="0" w:color="auto"/>
                  </w:divBdr>
                  <w:divsChild>
                    <w:div w:id="89354956">
                      <w:marLeft w:val="0"/>
                      <w:marRight w:val="0"/>
                      <w:marTop w:val="0"/>
                      <w:marBottom w:val="0"/>
                      <w:divBdr>
                        <w:top w:val="none" w:sz="0" w:space="0" w:color="auto"/>
                        <w:left w:val="none" w:sz="0" w:space="0" w:color="auto"/>
                        <w:bottom w:val="none" w:sz="0" w:space="0" w:color="auto"/>
                        <w:right w:val="none" w:sz="0" w:space="0" w:color="auto"/>
                      </w:divBdr>
                      <w:divsChild>
                        <w:div w:id="79602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921377">
          <w:marLeft w:val="0"/>
          <w:marRight w:val="0"/>
          <w:marTop w:val="0"/>
          <w:marBottom w:val="0"/>
          <w:divBdr>
            <w:top w:val="none" w:sz="0" w:space="0" w:color="auto"/>
            <w:left w:val="none" w:sz="0" w:space="0" w:color="auto"/>
            <w:bottom w:val="none" w:sz="0" w:space="0" w:color="auto"/>
            <w:right w:val="none" w:sz="0" w:space="0" w:color="auto"/>
          </w:divBdr>
          <w:divsChild>
            <w:div w:id="996568872">
              <w:marLeft w:val="0"/>
              <w:marRight w:val="0"/>
              <w:marTop w:val="0"/>
              <w:marBottom w:val="0"/>
              <w:divBdr>
                <w:top w:val="none" w:sz="0" w:space="0" w:color="auto"/>
                <w:left w:val="none" w:sz="0" w:space="0" w:color="auto"/>
                <w:bottom w:val="none" w:sz="0" w:space="0" w:color="auto"/>
                <w:right w:val="none" w:sz="0" w:space="0" w:color="auto"/>
              </w:divBdr>
              <w:divsChild>
                <w:div w:id="1003553827">
                  <w:marLeft w:val="0"/>
                  <w:marRight w:val="0"/>
                  <w:marTop w:val="0"/>
                  <w:marBottom w:val="0"/>
                  <w:divBdr>
                    <w:top w:val="none" w:sz="0" w:space="0" w:color="auto"/>
                    <w:left w:val="none" w:sz="0" w:space="0" w:color="auto"/>
                    <w:bottom w:val="none" w:sz="0" w:space="0" w:color="auto"/>
                    <w:right w:val="none" w:sz="0" w:space="0" w:color="auto"/>
                  </w:divBdr>
                  <w:divsChild>
                    <w:div w:id="807279426">
                      <w:marLeft w:val="0"/>
                      <w:marRight w:val="0"/>
                      <w:marTop w:val="0"/>
                      <w:marBottom w:val="0"/>
                      <w:divBdr>
                        <w:top w:val="none" w:sz="0" w:space="0" w:color="auto"/>
                        <w:left w:val="none" w:sz="0" w:space="0" w:color="auto"/>
                        <w:bottom w:val="none" w:sz="0" w:space="0" w:color="auto"/>
                        <w:right w:val="none" w:sz="0" w:space="0" w:color="auto"/>
                      </w:divBdr>
                      <w:divsChild>
                        <w:div w:id="1142040997">
                          <w:marLeft w:val="0"/>
                          <w:marRight w:val="0"/>
                          <w:marTop w:val="0"/>
                          <w:marBottom w:val="0"/>
                          <w:divBdr>
                            <w:top w:val="none" w:sz="0" w:space="0" w:color="auto"/>
                            <w:left w:val="none" w:sz="0" w:space="0" w:color="auto"/>
                            <w:bottom w:val="none" w:sz="0" w:space="0" w:color="auto"/>
                            <w:right w:val="none" w:sz="0" w:space="0" w:color="auto"/>
                          </w:divBdr>
                          <w:divsChild>
                            <w:div w:id="665675031">
                              <w:marLeft w:val="0"/>
                              <w:marRight w:val="0"/>
                              <w:marTop w:val="0"/>
                              <w:marBottom w:val="0"/>
                              <w:divBdr>
                                <w:top w:val="none" w:sz="0" w:space="0" w:color="auto"/>
                                <w:left w:val="none" w:sz="0" w:space="0" w:color="auto"/>
                                <w:bottom w:val="none" w:sz="0" w:space="0" w:color="auto"/>
                                <w:right w:val="none" w:sz="0" w:space="0" w:color="auto"/>
                              </w:divBdr>
                              <w:divsChild>
                                <w:div w:id="5658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90742">
      <w:bodyDiv w:val="1"/>
      <w:marLeft w:val="0"/>
      <w:marRight w:val="0"/>
      <w:marTop w:val="0"/>
      <w:marBottom w:val="0"/>
      <w:divBdr>
        <w:top w:val="none" w:sz="0" w:space="0" w:color="auto"/>
        <w:left w:val="none" w:sz="0" w:space="0" w:color="auto"/>
        <w:bottom w:val="none" w:sz="0" w:space="0" w:color="auto"/>
        <w:right w:val="none" w:sz="0" w:space="0" w:color="auto"/>
      </w:divBdr>
    </w:div>
    <w:div w:id="53747195">
      <w:bodyDiv w:val="1"/>
      <w:marLeft w:val="0"/>
      <w:marRight w:val="0"/>
      <w:marTop w:val="0"/>
      <w:marBottom w:val="0"/>
      <w:divBdr>
        <w:top w:val="none" w:sz="0" w:space="0" w:color="auto"/>
        <w:left w:val="none" w:sz="0" w:space="0" w:color="auto"/>
        <w:bottom w:val="none" w:sz="0" w:space="0" w:color="auto"/>
        <w:right w:val="none" w:sz="0" w:space="0" w:color="auto"/>
      </w:divBdr>
    </w:div>
    <w:div w:id="70859317">
      <w:bodyDiv w:val="1"/>
      <w:marLeft w:val="0"/>
      <w:marRight w:val="0"/>
      <w:marTop w:val="0"/>
      <w:marBottom w:val="0"/>
      <w:divBdr>
        <w:top w:val="none" w:sz="0" w:space="0" w:color="auto"/>
        <w:left w:val="none" w:sz="0" w:space="0" w:color="auto"/>
        <w:bottom w:val="none" w:sz="0" w:space="0" w:color="auto"/>
        <w:right w:val="none" w:sz="0" w:space="0" w:color="auto"/>
      </w:divBdr>
    </w:div>
    <w:div w:id="105006730">
      <w:bodyDiv w:val="1"/>
      <w:marLeft w:val="0"/>
      <w:marRight w:val="0"/>
      <w:marTop w:val="0"/>
      <w:marBottom w:val="0"/>
      <w:divBdr>
        <w:top w:val="none" w:sz="0" w:space="0" w:color="auto"/>
        <w:left w:val="none" w:sz="0" w:space="0" w:color="auto"/>
        <w:bottom w:val="none" w:sz="0" w:space="0" w:color="auto"/>
        <w:right w:val="none" w:sz="0" w:space="0" w:color="auto"/>
      </w:divBdr>
    </w:div>
    <w:div w:id="113989546">
      <w:bodyDiv w:val="1"/>
      <w:marLeft w:val="0"/>
      <w:marRight w:val="0"/>
      <w:marTop w:val="0"/>
      <w:marBottom w:val="0"/>
      <w:divBdr>
        <w:top w:val="none" w:sz="0" w:space="0" w:color="auto"/>
        <w:left w:val="none" w:sz="0" w:space="0" w:color="auto"/>
        <w:bottom w:val="none" w:sz="0" w:space="0" w:color="auto"/>
        <w:right w:val="none" w:sz="0" w:space="0" w:color="auto"/>
      </w:divBdr>
    </w:div>
    <w:div w:id="119228899">
      <w:bodyDiv w:val="1"/>
      <w:marLeft w:val="0"/>
      <w:marRight w:val="0"/>
      <w:marTop w:val="0"/>
      <w:marBottom w:val="0"/>
      <w:divBdr>
        <w:top w:val="none" w:sz="0" w:space="0" w:color="auto"/>
        <w:left w:val="none" w:sz="0" w:space="0" w:color="auto"/>
        <w:bottom w:val="none" w:sz="0" w:space="0" w:color="auto"/>
        <w:right w:val="none" w:sz="0" w:space="0" w:color="auto"/>
      </w:divBdr>
      <w:divsChild>
        <w:div w:id="1432817321">
          <w:marLeft w:val="0"/>
          <w:marRight w:val="0"/>
          <w:marTop w:val="0"/>
          <w:marBottom w:val="0"/>
          <w:divBdr>
            <w:top w:val="none" w:sz="0" w:space="0" w:color="auto"/>
            <w:left w:val="none" w:sz="0" w:space="0" w:color="auto"/>
            <w:bottom w:val="none" w:sz="0" w:space="0" w:color="auto"/>
            <w:right w:val="none" w:sz="0" w:space="0" w:color="auto"/>
          </w:divBdr>
        </w:div>
      </w:divsChild>
    </w:div>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65025052">
      <w:bodyDiv w:val="1"/>
      <w:marLeft w:val="0"/>
      <w:marRight w:val="0"/>
      <w:marTop w:val="0"/>
      <w:marBottom w:val="0"/>
      <w:divBdr>
        <w:top w:val="none" w:sz="0" w:space="0" w:color="auto"/>
        <w:left w:val="none" w:sz="0" w:space="0" w:color="auto"/>
        <w:bottom w:val="none" w:sz="0" w:space="0" w:color="auto"/>
        <w:right w:val="none" w:sz="0" w:space="0" w:color="auto"/>
      </w:divBdr>
      <w:divsChild>
        <w:div w:id="862136773">
          <w:marLeft w:val="0"/>
          <w:marRight w:val="0"/>
          <w:marTop w:val="0"/>
          <w:marBottom w:val="0"/>
          <w:divBdr>
            <w:top w:val="none" w:sz="0" w:space="0" w:color="auto"/>
            <w:left w:val="none" w:sz="0" w:space="0" w:color="auto"/>
            <w:bottom w:val="none" w:sz="0" w:space="0" w:color="auto"/>
            <w:right w:val="none" w:sz="0" w:space="0" w:color="auto"/>
          </w:divBdr>
        </w:div>
      </w:divsChild>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173687087">
      <w:bodyDiv w:val="1"/>
      <w:marLeft w:val="0"/>
      <w:marRight w:val="0"/>
      <w:marTop w:val="0"/>
      <w:marBottom w:val="0"/>
      <w:divBdr>
        <w:top w:val="none" w:sz="0" w:space="0" w:color="auto"/>
        <w:left w:val="none" w:sz="0" w:space="0" w:color="auto"/>
        <w:bottom w:val="none" w:sz="0" w:space="0" w:color="auto"/>
        <w:right w:val="none" w:sz="0" w:space="0" w:color="auto"/>
      </w:divBdr>
    </w:div>
    <w:div w:id="194468699">
      <w:bodyDiv w:val="1"/>
      <w:marLeft w:val="0"/>
      <w:marRight w:val="0"/>
      <w:marTop w:val="0"/>
      <w:marBottom w:val="0"/>
      <w:divBdr>
        <w:top w:val="none" w:sz="0" w:space="0" w:color="auto"/>
        <w:left w:val="none" w:sz="0" w:space="0" w:color="auto"/>
        <w:bottom w:val="none" w:sz="0" w:space="0" w:color="auto"/>
        <w:right w:val="none" w:sz="0" w:space="0" w:color="auto"/>
      </w:divBdr>
      <w:divsChild>
        <w:div w:id="153448096">
          <w:marLeft w:val="0"/>
          <w:marRight w:val="0"/>
          <w:marTop w:val="0"/>
          <w:marBottom w:val="0"/>
          <w:divBdr>
            <w:top w:val="none" w:sz="0" w:space="0" w:color="auto"/>
            <w:left w:val="none" w:sz="0" w:space="0" w:color="auto"/>
            <w:bottom w:val="none" w:sz="0" w:space="0" w:color="auto"/>
            <w:right w:val="none" w:sz="0" w:space="0" w:color="auto"/>
          </w:divBdr>
        </w:div>
      </w:divsChild>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96903524">
      <w:bodyDiv w:val="1"/>
      <w:marLeft w:val="0"/>
      <w:marRight w:val="0"/>
      <w:marTop w:val="0"/>
      <w:marBottom w:val="0"/>
      <w:divBdr>
        <w:top w:val="none" w:sz="0" w:space="0" w:color="auto"/>
        <w:left w:val="none" w:sz="0" w:space="0" w:color="auto"/>
        <w:bottom w:val="none" w:sz="0" w:space="0" w:color="auto"/>
        <w:right w:val="none" w:sz="0" w:space="0" w:color="auto"/>
      </w:divBdr>
      <w:divsChild>
        <w:div w:id="1676376236">
          <w:marLeft w:val="0"/>
          <w:marRight w:val="0"/>
          <w:marTop w:val="0"/>
          <w:marBottom w:val="0"/>
          <w:divBdr>
            <w:top w:val="none" w:sz="0" w:space="0" w:color="auto"/>
            <w:left w:val="none" w:sz="0" w:space="0" w:color="auto"/>
            <w:bottom w:val="none" w:sz="0" w:space="0" w:color="auto"/>
            <w:right w:val="none" w:sz="0" w:space="0" w:color="auto"/>
          </w:divBdr>
        </w:div>
      </w:divsChild>
    </w:div>
    <w:div w:id="460540870">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22675613">
      <w:bodyDiv w:val="1"/>
      <w:marLeft w:val="0"/>
      <w:marRight w:val="0"/>
      <w:marTop w:val="0"/>
      <w:marBottom w:val="0"/>
      <w:divBdr>
        <w:top w:val="none" w:sz="0" w:space="0" w:color="auto"/>
        <w:left w:val="none" w:sz="0" w:space="0" w:color="auto"/>
        <w:bottom w:val="none" w:sz="0" w:space="0" w:color="auto"/>
        <w:right w:val="none" w:sz="0" w:space="0" w:color="auto"/>
      </w:divBdr>
    </w:div>
    <w:div w:id="54807803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38153198">
      <w:bodyDiv w:val="1"/>
      <w:marLeft w:val="0"/>
      <w:marRight w:val="0"/>
      <w:marTop w:val="0"/>
      <w:marBottom w:val="0"/>
      <w:divBdr>
        <w:top w:val="none" w:sz="0" w:space="0" w:color="auto"/>
        <w:left w:val="none" w:sz="0" w:space="0" w:color="auto"/>
        <w:bottom w:val="none" w:sz="0" w:space="0" w:color="auto"/>
        <w:right w:val="none" w:sz="0" w:space="0" w:color="auto"/>
      </w:divBdr>
      <w:divsChild>
        <w:div w:id="1090740185">
          <w:marLeft w:val="0"/>
          <w:marRight w:val="0"/>
          <w:marTop w:val="0"/>
          <w:marBottom w:val="0"/>
          <w:divBdr>
            <w:top w:val="none" w:sz="0" w:space="0" w:color="auto"/>
            <w:left w:val="none" w:sz="0" w:space="0" w:color="auto"/>
            <w:bottom w:val="none" w:sz="0" w:space="0" w:color="auto"/>
            <w:right w:val="none" w:sz="0" w:space="0" w:color="auto"/>
          </w:divBdr>
        </w:div>
      </w:divsChild>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30920">
      <w:bodyDiv w:val="1"/>
      <w:marLeft w:val="0"/>
      <w:marRight w:val="0"/>
      <w:marTop w:val="0"/>
      <w:marBottom w:val="0"/>
      <w:divBdr>
        <w:top w:val="none" w:sz="0" w:space="0" w:color="auto"/>
        <w:left w:val="none" w:sz="0" w:space="0" w:color="auto"/>
        <w:bottom w:val="none" w:sz="0" w:space="0" w:color="auto"/>
        <w:right w:val="none" w:sz="0" w:space="0" w:color="auto"/>
      </w:divBdr>
    </w:div>
    <w:div w:id="713625477">
      <w:bodyDiv w:val="1"/>
      <w:marLeft w:val="0"/>
      <w:marRight w:val="0"/>
      <w:marTop w:val="0"/>
      <w:marBottom w:val="0"/>
      <w:divBdr>
        <w:top w:val="none" w:sz="0" w:space="0" w:color="auto"/>
        <w:left w:val="none" w:sz="0" w:space="0" w:color="auto"/>
        <w:bottom w:val="none" w:sz="0" w:space="0" w:color="auto"/>
        <w:right w:val="none" w:sz="0" w:space="0" w:color="auto"/>
      </w:divBdr>
      <w:divsChild>
        <w:div w:id="1348605834">
          <w:marLeft w:val="0"/>
          <w:marRight w:val="0"/>
          <w:marTop w:val="0"/>
          <w:marBottom w:val="0"/>
          <w:divBdr>
            <w:top w:val="none" w:sz="0" w:space="0" w:color="auto"/>
            <w:left w:val="none" w:sz="0" w:space="0" w:color="auto"/>
            <w:bottom w:val="none" w:sz="0" w:space="0" w:color="auto"/>
            <w:right w:val="none" w:sz="0" w:space="0" w:color="auto"/>
          </w:divBdr>
        </w:div>
      </w:divsChild>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787429648">
      <w:bodyDiv w:val="1"/>
      <w:marLeft w:val="0"/>
      <w:marRight w:val="0"/>
      <w:marTop w:val="0"/>
      <w:marBottom w:val="0"/>
      <w:divBdr>
        <w:top w:val="none" w:sz="0" w:space="0" w:color="auto"/>
        <w:left w:val="none" w:sz="0" w:space="0" w:color="auto"/>
        <w:bottom w:val="none" w:sz="0" w:space="0" w:color="auto"/>
        <w:right w:val="none" w:sz="0" w:space="0" w:color="auto"/>
      </w:divBdr>
      <w:divsChild>
        <w:div w:id="1590308375">
          <w:marLeft w:val="0"/>
          <w:marRight w:val="0"/>
          <w:marTop w:val="0"/>
          <w:marBottom w:val="0"/>
          <w:divBdr>
            <w:top w:val="none" w:sz="0" w:space="0" w:color="auto"/>
            <w:left w:val="none" w:sz="0" w:space="0" w:color="auto"/>
            <w:bottom w:val="none" w:sz="0" w:space="0" w:color="auto"/>
            <w:right w:val="none" w:sz="0" w:space="0" w:color="auto"/>
          </w:divBdr>
        </w:div>
      </w:divsChild>
    </w:div>
    <w:div w:id="839999974">
      <w:bodyDiv w:val="1"/>
      <w:marLeft w:val="0"/>
      <w:marRight w:val="0"/>
      <w:marTop w:val="0"/>
      <w:marBottom w:val="0"/>
      <w:divBdr>
        <w:top w:val="none" w:sz="0" w:space="0" w:color="auto"/>
        <w:left w:val="none" w:sz="0" w:space="0" w:color="auto"/>
        <w:bottom w:val="none" w:sz="0" w:space="0" w:color="auto"/>
        <w:right w:val="none" w:sz="0" w:space="0" w:color="auto"/>
      </w:divBdr>
      <w:divsChild>
        <w:div w:id="573975413">
          <w:marLeft w:val="0"/>
          <w:marRight w:val="0"/>
          <w:marTop w:val="0"/>
          <w:marBottom w:val="0"/>
          <w:divBdr>
            <w:top w:val="none" w:sz="0" w:space="0" w:color="auto"/>
            <w:left w:val="none" w:sz="0" w:space="0" w:color="auto"/>
            <w:bottom w:val="none" w:sz="0" w:space="0" w:color="auto"/>
            <w:right w:val="none" w:sz="0" w:space="0" w:color="auto"/>
          </w:divBdr>
        </w:div>
      </w:divsChild>
    </w:div>
    <w:div w:id="874386351">
      <w:bodyDiv w:val="1"/>
      <w:marLeft w:val="0"/>
      <w:marRight w:val="0"/>
      <w:marTop w:val="0"/>
      <w:marBottom w:val="0"/>
      <w:divBdr>
        <w:top w:val="none" w:sz="0" w:space="0" w:color="auto"/>
        <w:left w:val="none" w:sz="0" w:space="0" w:color="auto"/>
        <w:bottom w:val="none" w:sz="0" w:space="0" w:color="auto"/>
        <w:right w:val="none" w:sz="0" w:space="0" w:color="auto"/>
      </w:divBdr>
      <w:divsChild>
        <w:div w:id="595476336">
          <w:marLeft w:val="0"/>
          <w:marRight w:val="0"/>
          <w:marTop w:val="0"/>
          <w:marBottom w:val="0"/>
          <w:divBdr>
            <w:top w:val="none" w:sz="0" w:space="0" w:color="auto"/>
            <w:left w:val="none" w:sz="0" w:space="0" w:color="auto"/>
            <w:bottom w:val="none" w:sz="0" w:space="0" w:color="auto"/>
            <w:right w:val="none" w:sz="0" w:space="0" w:color="auto"/>
          </w:divBdr>
        </w:div>
      </w:divsChild>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050198">
      <w:bodyDiv w:val="1"/>
      <w:marLeft w:val="0"/>
      <w:marRight w:val="0"/>
      <w:marTop w:val="0"/>
      <w:marBottom w:val="0"/>
      <w:divBdr>
        <w:top w:val="none" w:sz="0" w:space="0" w:color="auto"/>
        <w:left w:val="none" w:sz="0" w:space="0" w:color="auto"/>
        <w:bottom w:val="none" w:sz="0" w:space="0" w:color="auto"/>
        <w:right w:val="none" w:sz="0" w:space="0" w:color="auto"/>
      </w:divBdr>
      <w:divsChild>
        <w:div w:id="913859586">
          <w:marLeft w:val="0"/>
          <w:marRight w:val="0"/>
          <w:marTop w:val="0"/>
          <w:marBottom w:val="0"/>
          <w:divBdr>
            <w:top w:val="none" w:sz="0" w:space="0" w:color="auto"/>
            <w:left w:val="none" w:sz="0" w:space="0" w:color="auto"/>
            <w:bottom w:val="none" w:sz="0" w:space="0" w:color="auto"/>
            <w:right w:val="none" w:sz="0" w:space="0" w:color="auto"/>
          </w:divBdr>
        </w:div>
      </w:divsChild>
    </w:div>
    <w:div w:id="961762103">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14038966">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032537588">
      <w:bodyDiv w:val="1"/>
      <w:marLeft w:val="0"/>
      <w:marRight w:val="0"/>
      <w:marTop w:val="0"/>
      <w:marBottom w:val="0"/>
      <w:divBdr>
        <w:top w:val="none" w:sz="0" w:space="0" w:color="auto"/>
        <w:left w:val="none" w:sz="0" w:space="0" w:color="auto"/>
        <w:bottom w:val="none" w:sz="0" w:space="0" w:color="auto"/>
        <w:right w:val="none" w:sz="0" w:space="0" w:color="auto"/>
      </w:divBdr>
    </w:div>
    <w:div w:id="1084032226">
      <w:bodyDiv w:val="1"/>
      <w:marLeft w:val="0"/>
      <w:marRight w:val="0"/>
      <w:marTop w:val="0"/>
      <w:marBottom w:val="0"/>
      <w:divBdr>
        <w:top w:val="none" w:sz="0" w:space="0" w:color="auto"/>
        <w:left w:val="none" w:sz="0" w:space="0" w:color="auto"/>
        <w:bottom w:val="none" w:sz="0" w:space="0" w:color="auto"/>
        <w:right w:val="none" w:sz="0" w:space="0" w:color="auto"/>
      </w:divBdr>
      <w:divsChild>
        <w:div w:id="1502810805">
          <w:marLeft w:val="0"/>
          <w:marRight w:val="0"/>
          <w:marTop w:val="0"/>
          <w:marBottom w:val="0"/>
          <w:divBdr>
            <w:top w:val="none" w:sz="0" w:space="0" w:color="auto"/>
            <w:left w:val="none" w:sz="0" w:space="0" w:color="auto"/>
            <w:bottom w:val="none" w:sz="0" w:space="0" w:color="auto"/>
            <w:right w:val="none" w:sz="0" w:space="0" w:color="auto"/>
          </w:divBdr>
        </w:div>
      </w:divsChild>
    </w:div>
    <w:div w:id="1137452513">
      <w:bodyDiv w:val="1"/>
      <w:marLeft w:val="0"/>
      <w:marRight w:val="0"/>
      <w:marTop w:val="0"/>
      <w:marBottom w:val="0"/>
      <w:divBdr>
        <w:top w:val="none" w:sz="0" w:space="0" w:color="auto"/>
        <w:left w:val="none" w:sz="0" w:space="0" w:color="auto"/>
        <w:bottom w:val="none" w:sz="0" w:space="0" w:color="auto"/>
        <w:right w:val="none" w:sz="0" w:space="0" w:color="auto"/>
      </w:divBdr>
    </w:div>
    <w:div w:id="1171726036">
      <w:bodyDiv w:val="1"/>
      <w:marLeft w:val="0"/>
      <w:marRight w:val="0"/>
      <w:marTop w:val="0"/>
      <w:marBottom w:val="0"/>
      <w:divBdr>
        <w:top w:val="none" w:sz="0" w:space="0" w:color="auto"/>
        <w:left w:val="none" w:sz="0" w:space="0" w:color="auto"/>
        <w:bottom w:val="none" w:sz="0" w:space="0" w:color="auto"/>
        <w:right w:val="none" w:sz="0" w:space="0" w:color="auto"/>
      </w:divBdr>
    </w:div>
    <w:div w:id="1174416729">
      <w:bodyDiv w:val="1"/>
      <w:marLeft w:val="0"/>
      <w:marRight w:val="0"/>
      <w:marTop w:val="0"/>
      <w:marBottom w:val="0"/>
      <w:divBdr>
        <w:top w:val="none" w:sz="0" w:space="0" w:color="auto"/>
        <w:left w:val="none" w:sz="0" w:space="0" w:color="auto"/>
        <w:bottom w:val="none" w:sz="0" w:space="0" w:color="auto"/>
        <w:right w:val="none" w:sz="0" w:space="0" w:color="auto"/>
      </w:divBdr>
      <w:divsChild>
        <w:div w:id="1402368844">
          <w:marLeft w:val="0"/>
          <w:marRight w:val="0"/>
          <w:marTop w:val="0"/>
          <w:marBottom w:val="0"/>
          <w:divBdr>
            <w:top w:val="none" w:sz="0" w:space="0" w:color="auto"/>
            <w:left w:val="none" w:sz="0" w:space="0" w:color="auto"/>
            <w:bottom w:val="none" w:sz="0" w:space="0" w:color="auto"/>
            <w:right w:val="none" w:sz="0" w:space="0" w:color="auto"/>
          </w:divBdr>
        </w:div>
      </w:divsChild>
    </w:div>
    <w:div w:id="1180125142">
      <w:bodyDiv w:val="1"/>
      <w:marLeft w:val="0"/>
      <w:marRight w:val="0"/>
      <w:marTop w:val="0"/>
      <w:marBottom w:val="0"/>
      <w:divBdr>
        <w:top w:val="none" w:sz="0" w:space="0" w:color="auto"/>
        <w:left w:val="none" w:sz="0" w:space="0" w:color="auto"/>
        <w:bottom w:val="none" w:sz="0" w:space="0" w:color="auto"/>
        <w:right w:val="none" w:sz="0" w:space="0" w:color="auto"/>
      </w:divBdr>
    </w:div>
    <w:div w:id="1193877614">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11919427">
      <w:bodyDiv w:val="1"/>
      <w:marLeft w:val="0"/>
      <w:marRight w:val="0"/>
      <w:marTop w:val="0"/>
      <w:marBottom w:val="0"/>
      <w:divBdr>
        <w:top w:val="none" w:sz="0" w:space="0" w:color="auto"/>
        <w:left w:val="none" w:sz="0" w:space="0" w:color="auto"/>
        <w:bottom w:val="none" w:sz="0" w:space="0" w:color="auto"/>
        <w:right w:val="none" w:sz="0" w:space="0" w:color="auto"/>
      </w:divBdr>
      <w:divsChild>
        <w:div w:id="327944485">
          <w:marLeft w:val="0"/>
          <w:marRight w:val="0"/>
          <w:marTop w:val="0"/>
          <w:marBottom w:val="0"/>
          <w:divBdr>
            <w:top w:val="none" w:sz="0" w:space="0" w:color="auto"/>
            <w:left w:val="none" w:sz="0" w:space="0" w:color="auto"/>
            <w:bottom w:val="none" w:sz="0" w:space="0" w:color="auto"/>
            <w:right w:val="none" w:sz="0" w:space="0" w:color="auto"/>
          </w:divBdr>
        </w:div>
      </w:divsChild>
    </w:div>
    <w:div w:id="1231962517">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23914527">
      <w:bodyDiv w:val="1"/>
      <w:marLeft w:val="0"/>
      <w:marRight w:val="0"/>
      <w:marTop w:val="0"/>
      <w:marBottom w:val="0"/>
      <w:divBdr>
        <w:top w:val="none" w:sz="0" w:space="0" w:color="auto"/>
        <w:left w:val="none" w:sz="0" w:space="0" w:color="auto"/>
        <w:bottom w:val="none" w:sz="0" w:space="0" w:color="auto"/>
        <w:right w:val="none" w:sz="0" w:space="0" w:color="auto"/>
      </w:divBdr>
      <w:divsChild>
        <w:div w:id="2032104575">
          <w:marLeft w:val="0"/>
          <w:marRight w:val="0"/>
          <w:marTop w:val="0"/>
          <w:marBottom w:val="0"/>
          <w:divBdr>
            <w:top w:val="none" w:sz="0" w:space="0" w:color="auto"/>
            <w:left w:val="none" w:sz="0" w:space="0" w:color="auto"/>
            <w:bottom w:val="none" w:sz="0" w:space="0" w:color="auto"/>
            <w:right w:val="none" w:sz="0" w:space="0" w:color="auto"/>
          </w:divBdr>
        </w:div>
      </w:divsChild>
    </w:div>
    <w:div w:id="1435053626">
      <w:bodyDiv w:val="1"/>
      <w:marLeft w:val="0"/>
      <w:marRight w:val="0"/>
      <w:marTop w:val="0"/>
      <w:marBottom w:val="0"/>
      <w:divBdr>
        <w:top w:val="none" w:sz="0" w:space="0" w:color="auto"/>
        <w:left w:val="none" w:sz="0" w:space="0" w:color="auto"/>
        <w:bottom w:val="none" w:sz="0" w:space="0" w:color="auto"/>
        <w:right w:val="none" w:sz="0" w:space="0" w:color="auto"/>
      </w:divBdr>
    </w:div>
    <w:div w:id="1457216759">
      <w:bodyDiv w:val="1"/>
      <w:marLeft w:val="0"/>
      <w:marRight w:val="0"/>
      <w:marTop w:val="0"/>
      <w:marBottom w:val="0"/>
      <w:divBdr>
        <w:top w:val="none" w:sz="0" w:space="0" w:color="auto"/>
        <w:left w:val="none" w:sz="0" w:space="0" w:color="auto"/>
        <w:bottom w:val="none" w:sz="0" w:space="0" w:color="auto"/>
        <w:right w:val="none" w:sz="0" w:space="0" w:color="auto"/>
      </w:divBdr>
      <w:divsChild>
        <w:div w:id="979111399">
          <w:marLeft w:val="0"/>
          <w:marRight w:val="0"/>
          <w:marTop w:val="0"/>
          <w:marBottom w:val="0"/>
          <w:divBdr>
            <w:top w:val="none" w:sz="0" w:space="0" w:color="auto"/>
            <w:left w:val="none" w:sz="0" w:space="0" w:color="auto"/>
            <w:bottom w:val="none" w:sz="0" w:space="0" w:color="auto"/>
            <w:right w:val="none" w:sz="0" w:space="0" w:color="auto"/>
          </w:divBdr>
        </w:div>
      </w:divsChild>
    </w:div>
    <w:div w:id="1475414242">
      <w:bodyDiv w:val="1"/>
      <w:marLeft w:val="0"/>
      <w:marRight w:val="0"/>
      <w:marTop w:val="0"/>
      <w:marBottom w:val="0"/>
      <w:divBdr>
        <w:top w:val="none" w:sz="0" w:space="0" w:color="auto"/>
        <w:left w:val="none" w:sz="0" w:space="0" w:color="auto"/>
        <w:bottom w:val="none" w:sz="0" w:space="0" w:color="auto"/>
        <w:right w:val="none" w:sz="0" w:space="0" w:color="auto"/>
      </w:divBdr>
    </w:div>
    <w:div w:id="1481193149">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581596991">
      <w:bodyDiv w:val="1"/>
      <w:marLeft w:val="0"/>
      <w:marRight w:val="0"/>
      <w:marTop w:val="0"/>
      <w:marBottom w:val="0"/>
      <w:divBdr>
        <w:top w:val="none" w:sz="0" w:space="0" w:color="auto"/>
        <w:left w:val="none" w:sz="0" w:space="0" w:color="auto"/>
        <w:bottom w:val="none" w:sz="0" w:space="0" w:color="auto"/>
        <w:right w:val="none" w:sz="0" w:space="0" w:color="auto"/>
      </w:divBdr>
    </w:div>
    <w:div w:id="1585063843">
      <w:bodyDiv w:val="1"/>
      <w:marLeft w:val="0"/>
      <w:marRight w:val="0"/>
      <w:marTop w:val="0"/>
      <w:marBottom w:val="0"/>
      <w:divBdr>
        <w:top w:val="none" w:sz="0" w:space="0" w:color="auto"/>
        <w:left w:val="none" w:sz="0" w:space="0" w:color="auto"/>
        <w:bottom w:val="none" w:sz="0" w:space="0" w:color="auto"/>
        <w:right w:val="none" w:sz="0" w:space="0" w:color="auto"/>
      </w:divBdr>
      <w:divsChild>
        <w:div w:id="684793524">
          <w:marLeft w:val="0"/>
          <w:marRight w:val="0"/>
          <w:marTop w:val="0"/>
          <w:marBottom w:val="0"/>
          <w:divBdr>
            <w:top w:val="none" w:sz="0" w:space="0" w:color="auto"/>
            <w:left w:val="none" w:sz="0" w:space="0" w:color="auto"/>
            <w:bottom w:val="none" w:sz="0" w:space="0" w:color="auto"/>
            <w:right w:val="none" w:sz="0" w:space="0" w:color="auto"/>
          </w:divBdr>
        </w:div>
      </w:divsChild>
    </w:div>
    <w:div w:id="1588659438">
      <w:bodyDiv w:val="1"/>
      <w:marLeft w:val="0"/>
      <w:marRight w:val="0"/>
      <w:marTop w:val="0"/>
      <w:marBottom w:val="0"/>
      <w:divBdr>
        <w:top w:val="none" w:sz="0" w:space="0" w:color="auto"/>
        <w:left w:val="none" w:sz="0" w:space="0" w:color="auto"/>
        <w:bottom w:val="none" w:sz="0" w:space="0" w:color="auto"/>
        <w:right w:val="none" w:sz="0" w:space="0" w:color="auto"/>
      </w:divBdr>
    </w:div>
    <w:div w:id="1599750543">
      <w:bodyDiv w:val="1"/>
      <w:marLeft w:val="0"/>
      <w:marRight w:val="0"/>
      <w:marTop w:val="0"/>
      <w:marBottom w:val="0"/>
      <w:divBdr>
        <w:top w:val="none" w:sz="0" w:space="0" w:color="auto"/>
        <w:left w:val="none" w:sz="0" w:space="0" w:color="auto"/>
        <w:bottom w:val="none" w:sz="0" w:space="0" w:color="auto"/>
        <w:right w:val="none" w:sz="0" w:space="0" w:color="auto"/>
      </w:divBdr>
    </w:div>
    <w:div w:id="1613976275">
      <w:bodyDiv w:val="1"/>
      <w:marLeft w:val="0"/>
      <w:marRight w:val="0"/>
      <w:marTop w:val="0"/>
      <w:marBottom w:val="0"/>
      <w:divBdr>
        <w:top w:val="none" w:sz="0" w:space="0" w:color="auto"/>
        <w:left w:val="none" w:sz="0" w:space="0" w:color="auto"/>
        <w:bottom w:val="none" w:sz="0" w:space="0" w:color="auto"/>
        <w:right w:val="none" w:sz="0" w:space="0" w:color="auto"/>
      </w:divBdr>
    </w:div>
    <w:div w:id="1646079782">
      <w:bodyDiv w:val="1"/>
      <w:marLeft w:val="0"/>
      <w:marRight w:val="0"/>
      <w:marTop w:val="0"/>
      <w:marBottom w:val="0"/>
      <w:divBdr>
        <w:top w:val="none" w:sz="0" w:space="0" w:color="auto"/>
        <w:left w:val="none" w:sz="0" w:space="0" w:color="auto"/>
        <w:bottom w:val="none" w:sz="0" w:space="0" w:color="auto"/>
        <w:right w:val="none" w:sz="0" w:space="0" w:color="auto"/>
      </w:divBdr>
    </w:div>
    <w:div w:id="164773739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21247252">
      <w:bodyDiv w:val="1"/>
      <w:marLeft w:val="0"/>
      <w:marRight w:val="0"/>
      <w:marTop w:val="0"/>
      <w:marBottom w:val="0"/>
      <w:divBdr>
        <w:top w:val="none" w:sz="0" w:space="0" w:color="auto"/>
        <w:left w:val="none" w:sz="0" w:space="0" w:color="auto"/>
        <w:bottom w:val="none" w:sz="0" w:space="0" w:color="auto"/>
        <w:right w:val="none" w:sz="0" w:space="0" w:color="auto"/>
      </w:divBdr>
      <w:divsChild>
        <w:div w:id="1295597652">
          <w:marLeft w:val="0"/>
          <w:marRight w:val="0"/>
          <w:marTop w:val="0"/>
          <w:marBottom w:val="0"/>
          <w:divBdr>
            <w:top w:val="none" w:sz="0" w:space="0" w:color="auto"/>
            <w:left w:val="none" w:sz="0" w:space="0" w:color="auto"/>
            <w:bottom w:val="none" w:sz="0" w:space="0" w:color="auto"/>
            <w:right w:val="none" w:sz="0" w:space="0" w:color="auto"/>
          </w:divBdr>
        </w:div>
      </w:divsChild>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761289554">
      <w:bodyDiv w:val="1"/>
      <w:marLeft w:val="0"/>
      <w:marRight w:val="0"/>
      <w:marTop w:val="0"/>
      <w:marBottom w:val="0"/>
      <w:divBdr>
        <w:top w:val="none" w:sz="0" w:space="0" w:color="auto"/>
        <w:left w:val="none" w:sz="0" w:space="0" w:color="auto"/>
        <w:bottom w:val="none" w:sz="0" w:space="0" w:color="auto"/>
        <w:right w:val="none" w:sz="0" w:space="0" w:color="auto"/>
      </w:divBdr>
      <w:divsChild>
        <w:div w:id="1460413992">
          <w:marLeft w:val="0"/>
          <w:marRight w:val="0"/>
          <w:marTop w:val="0"/>
          <w:marBottom w:val="0"/>
          <w:divBdr>
            <w:top w:val="none" w:sz="0" w:space="0" w:color="auto"/>
            <w:left w:val="none" w:sz="0" w:space="0" w:color="auto"/>
            <w:bottom w:val="none" w:sz="0" w:space="0" w:color="auto"/>
            <w:right w:val="none" w:sz="0" w:space="0" w:color="auto"/>
          </w:divBdr>
        </w:div>
      </w:divsChild>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19303024">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71145324">
      <w:bodyDiv w:val="1"/>
      <w:marLeft w:val="0"/>
      <w:marRight w:val="0"/>
      <w:marTop w:val="0"/>
      <w:marBottom w:val="0"/>
      <w:divBdr>
        <w:top w:val="none" w:sz="0" w:space="0" w:color="auto"/>
        <w:left w:val="none" w:sz="0" w:space="0" w:color="auto"/>
        <w:bottom w:val="none" w:sz="0" w:space="0" w:color="auto"/>
        <w:right w:val="none" w:sz="0" w:space="0" w:color="auto"/>
      </w:divBdr>
      <w:divsChild>
        <w:div w:id="806553346">
          <w:marLeft w:val="0"/>
          <w:marRight w:val="0"/>
          <w:marTop w:val="0"/>
          <w:marBottom w:val="0"/>
          <w:divBdr>
            <w:top w:val="none" w:sz="0" w:space="0" w:color="auto"/>
            <w:left w:val="none" w:sz="0" w:space="0" w:color="auto"/>
            <w:bottom w:val="none" w:sz="0" w:space="0" w:color="auto"/>
            <w:right w:val="none" w:sz="0" w:space="0" w:color="auto"/>
          </w:divBdr>
        </w:div>
      </w:divsChild>
    </w:div>
    <w:div w:id="1871452039">
      <w:bodyDiv w:val="1"/>
      <w:marLeft w:val="0"/>
      <w:marRight w:val="0"/>
      <w:marTop w:val="0"/>
      <w:marBottom w:val="0"/>
      <w:divBdr>
        <w:top w:val="none" w:sz="0" w:space="0" w:color="auto"/>
        <w:left w:val="none" w:sz="0" w:space="0" w:color="auto"/>
        <w:bottom w:val="none" w:sz="0" w:space="0" w:color="auto"/>
        <w:right w:val="none" w:sz="0" w:space="0" w:color="auto"/>
      </w:divBdr>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23637335">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1951889524">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874911">
      <w:bodyDiv w:val="1"/>
      <w:marLeft w:val="0"/>
      <w:marRight w:val="0"/>
      <w:marTop w:val="0"/>
      <w:marBottom w:val="0"/>
      <w:divBdr>
        <w:top w:val="none" w:sz="0" w:space="0" w:color="auto"/>
        <w:left w:val="none" w:sz="0" w:space="0" w:color="auto"/>
        <w:bottom w:val="none" w:sz="0" w:space="0" w:color="auto"/>
        <w:right w:val="none" w:sz="0" w:space="0" w:color="auto"/>
      </w:divBdr>
      <w:divsChild>
        <w:div w:id="169806525">
          <w:marLeft w:val="0"/>
          <w:marRight w:val="0"/>
          <w:marTop w:val="0"/>
          <w:marBottom w:val="0"/>
          <w:divBdr>
            <w:top w:val="none" w:sz="0" w:space="0" w:color="auto"/>
            <w:left w:val="none" w:sz="0" w:space="0" w:color="auto"/>
            <w:bottom w:val="none" w:sz="0" w:space="0" w:color="auto"/>
            <w:right w:val="none" w:sz="0" w:space="0" w:color="auto"/>
          </w:divBdr>
        </w:div>
      </w:divsChild>
    </w:div>
    <w:div w:id="2077509060">
      <w:bodyDiv w:val="1"/>
      <w:marLeft w:val="0"/>
      <w:marRight w:val="0"/>
      <w:marTop w:val="0"/>
      <w:marBottom w:val="0"/>
      <w:divBdr>
        <w:top w:val="none" w:sz="0" w:space="0" w:color="auto"/>
        <w:left w:val="none" w:sz="0" w:space="0" w:color="auto"/>
        <w:bottom w:val="none" w:sz="0" w:space="0" w:color="auto"/>
        <w:right w:val="none" w:sz="0" w:space="0" w:color="auto"/>
      </w:divBdr>
    </w:div>
    <w:div w:id="212442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arch.mandumah.com/Record/1442263" TargetMode="External"/><Relationship Id="rId26" Type="http://schemas.openxmlformats.org/officeDocument/2006/relationships/hyperlink" Target="http://search.mandumah.com/Record/1377031" TargetMode="External"/><Relationship Id="rId39" Type="http://schemas.openxmlformats.org/officeDocument/2006/relationships/fontTable" Target="fontTable.xml"/><Relationship Id="rId21" Type="http://schemas.openxmlformats.org/officeDocument/2006/relationships/hyperlink" Target="http://search.mandumah.com/Record/1179471" TargetMode="External"/><Relationship Id="rId34" Type="http://schemas.openxmlformats.org/officeDocument/2006/relationships/hyperlink" Target="https://doi.org/10.26794/2587-5671-2024-28-4-122-13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arch.mandumah.com/Record/1393074" TargetMode="External"/><Relationship Id="rId25" Type="http://schemas.openxmlformats.org/officeDocument/2006/relationships/hyperlink" Target="http://search.mandumah.com/Record/1105458" TargetMode="External"/><Relationship Id="rId33" Type="http://schemas.openxmlformats.org/officeDocument/2006/relationships/hyperlink" Target="https://doi.org/10.55041/ijsrem15629"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arch.mandumah.com/Record/1524722" TargetMode="External"/><Relationship Id="rId20" Type="http://schemas.openxmlformats.org/officeDocument/2006/relationships/hyperlink" Target="http://search.mandumah.com/Record/1264779" TargetMode="External"/><Relationship Id="rId29" Type="http://schemas.openxmlformats.org/officeDocument/2006/relationships/hyperlink" Target="https://doi.org/10.37575/h/mng/250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216924" TargetMode="External"/><Relationship Id="rId32" Type="http://schemas.openxmlformats.org/officeDocument/2006/relationships/hyperlink" Target="https://doi.org/10.51586/2754-6209.2025.13.1(98)" TargetMode="External"/><Relationship Id="rId37" Type="http://schemas.openxmlformats.org/officeDocument/2006/relationships/hyperlink" Target="https://doi.org/10.30574/wjarr.2025.27.2.3027"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473185" TargetMode="External"/><Relationship Id="rId23" Type="http://schemas.openxmlformats.org/officeDocument/2006/relationships/hyperlink" Target="http://search.mandumah.com/Record/1468234" TargetMode="External"/><Relationship Id="rId28" Type="http://schemas.openxmlformats.org/officeDocument/2006/relationships/hyperlink" Target="http://search.mandumah.com/Record/1255621" TargetMode="External"/><Relationship Id="rId36" Type="http://schemas.openxmlformats.org/officeDocument/2006/relationships/hyperlink" Target="https://doi.org/10.22394/1726-1139-2023-11-46-59" TargetMode="External"/><Relationship Id="rId10" Type="http://schemas.openxmlformats.org/officeDocument/2006/relationships/image" Target="media/image3.png"/><Relationship Id="rId19" Type="http://schemas.openxmlformats.org/officeDocument/2006/relationships/hyperlink" Target="http://search.mandumah.com/Record/1250188" TargetMode="External"/><Relationship Id="rId31" Type="http://schemas.openxmlformats.org/officeDocument/2006/relationships/hyperlink" Target="https://doi.org/10.3390/app150316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24908" TargetMode="External"/><Relationship Id="rId22" Type="http://schemas.openxmlformats.org/officeDocument/2006/relationships/hyperlink" Target="http://search.mandumah.com/Record/1572942" TargetMode="External"/><Relationship Id="rId27" Type="http://schemas.openxmlformats.org/officeDocument/2006/relationships/hyperlink" Target="http://search.mandumah.com/Record/1542913" TargetMode="External"/><Relationship Id="rId30" Type="http://schemas.openxmlformats.org/officeDocument/2006/relationships/hyperlink" Target="https://doi.org/10.1155/2021/6681545" TargetMode="External"/><Relationship Id="rId35" Type="http://schemas.openxmlformats.org/officeDocument/2006/relationships/hyperlink" Target="https://doi.org/10.32628/ijsrst24115107"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120</Pages>
  <Words>28033</Words>
  <Characters>159792</Characters>
  <Application>Microsoft Office Word</Application>
  <DocSecurity>0</DocSecurity>
  <Lines>1331</Lines>
  <Paragraphs>374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wessam ayman</cp:lastModifiedBy>
  <cp:revision>3</cp:revision>
  <cp:lastPrinted>2025-11-29T15:02:00Z</cp:lastPrinted>
  <dcterms:created xsi:type="dcterms:W3CDTF">2026-07-19T01:11:00Z</dcterms:created>
  <dcterms:modified xsi:type="dcterms:W3CDTF">2026-08-15T14:42:00Z</dcterms:modified>
</cp:coreProperties>
</file>