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bookmarkStart w:id="0" w:name="_Hlk223011904"/>
      <w:bookmarkEnd w:id="0"/>
      <w:r w:rsidRPr="001C5D93">
        <w:rPr>
          <w:rFonts w:ascii="Traditional Arabic" w:hAnsi="Traditional Arabic" w:cs="Traditional Arabic"/>
          <w:bCs/>
          <w:noProof/>
          <w:sz w:val="32"/>
          <w:szCs w:val="32"/>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p>
    <w:p w14:paraId="4BD266F7"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5C59FD04"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281805E5"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6CCF2B33"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77069E82" w14:textId="77777777" w:rsidR="00280594" w:rsidRPr="001C5D93" w:rsidRDefault="00280594" w:rsidP="00A02194">
      <w:pPr>
        <w:bidi/>
        <w:spacing w:after="120" w:line="240" w:lineRule="auto"/>
        <w:ind w:left="534"/>
        <w:jc w:val="center"/>
        <w:rPr>
          <w:rFonts w:ascii="Traditional Arabic" w:eastAsia="Times New Roman" w:hAnsi="Traditional Arabic" w:cs="Traditional Arabic"/>
          <w:bCs/>
          <w:sz w:val="32"/>
          <w:szCs w:val="32"/>
          <w:rtl/>
        </w:rPr>
      </w:pPr>
    </w:p>
    <w:p w14:paraId="022C1D77" w14:textId="77777777" w:rsidR="00280594" w:rsidRPr="00E74640" w:rsidRDefault="00280594" w:rsidP="00A02194">
      <w:pPr>
        <w:bidi/>
        <w:spacing w:after="120" w:line="240" w:lineRule="auto"/>
        <w:ind w:left="534"/>
        <w:jc w:val="center"/>
        <w:rPr>
          <w:rFonts w:ascii="Traditional Arabic" w:eastAsia="Times New Roman" w:hAnsi="Traditional Arabic" w:cs="Traditional Arabic"/>
          <w:bCs/>
          <w:sz w:val="36"/>
          <w:szCs w:val="36"/>
          <w:rtl/>
        </w:rPr>
      </w:pPr>
    </w:p>
    <w:p w14:paraId="16B47777" w14:textId="71731CB8" w:rsidR="00F1616D" w:rsidRPr="00E74640" w:rsidRDefault="00F1616D" w:rsidP="00A02194">
      <w:pPr>
        <w:bidi/>
        <w:spacing w:after="120" w:line="240" w:lineRule="auto"/>
        <w:ind w:left="534"/>
        <w:jc w:val="center"/>
        <w:rPr>
          <w:rFonts w:ascii="Traditional Arabic" w:hAnsi="Traditional Arabic" w:cs="Traditional Arabic"/>
          <w:bCs/>
          <w:noProof/>
          <w:sz w:val="36"/>
          <w:szCs w:val="36"/>
          <w:rtl/>
        </w:rPr>
      </w:pPr>
      <w:r w:rsidRPr="00E74640">
        <w:rPr>
          <w:rFonts w:ascii="Traditional Arabic" w:eastAsia="Times New Roman" w:hAnsi="Traditional Arabic" w:cs="Traditional Arabic"/>
          <w:bCs/>
          <w:sz w:val="36"/>
          <w:szCs w:val="36"/>
          <w:rtl/>
        </w:rPr>
        <w:t>أثر التطوير التنظيمي على إدارة المخاطر: الدور الوسيط للتكنولوجيا الذكية</w:t>
      </w:r>
      <w:r w:rsidR="00DA1AFC" w:rsidRPr="00E74640">
        <w:rPr>
          <w:rFonts w:ascii="Traditional Arabic" w:eastAsia="Times New Roman" w:hAnsi="Traditional Arabic" w:cs="Traditional Arabic"/>
          <w:bCs/>
          <w:sz w:val="36"/>
          <w:szCs w:val="36"/>
          <w:rtl/>
        </w:rPr>
        <w:t xml:space="preserve"> - </w:t>
      </w:r>
      <w:r w:rsidRPr="00E74640">
        <w:rPr>
          <w:rFonts w:ascii="Traditional Arabic" w:eastAsia="Times New Roman" w:hAnsi="Traditional Arabic" w:cs="Traditional Arabic"/>
          <w:bCs/>
          <w:sz w:val="36"/>
          <w:szCs w:val="36"/>
          <w:rtl/>
        </w:rPr>
        <w:t>دراسة تطبيقية على مستشفى الملك فهد المركزي بمنطقة الباحة أنموذجا.</w:t>
      </w:r>
    </w:p>
    <w:p w14:paraId="5A1ACFF7" w14:textId="555247AE" w:rsidR="00F1616D" w:rsidRPr="001C5D93" w:rsidRDefault="00F1616D" w:rsidP="00A02194">
      <w:pPr>
        <w:bidi/>
        <w:spacing w:after="120" w:line="240" w:lineRule="auto"/>
        <w:jc w:val="center"/>
        <w:rPr>
          <w:rFonts w:ascii="Traditional Arabic" w:eastAsia="Times New Roman" w:hAnsi="Traditional Arabic" w:cs="Traditional Arabic"/>
          <w:bCs/>
          <w:sz w:val="32"/>
          <w:szCs w:val="32"/>
        </w:rPr>
      </w:pPr>
      <w:r w:rsidRPr="001C5D93">
        <w:rPr>
          <w:rFonts w:ascii="Traditional Arabic" w:eastAsia="Times New Roman" w:hAnsi="Traditional Arabic" w:cs="Traditional Arabic"/>
          <w:bCs/>
          <w:sz w:val="32"/>
          <w:szCs w:val="32"/>
        </w:rPr>
        <w:t>"The Effect of Organizational Development on Health Risk Management: The Mediating Role of Smart Technology — An Applied Study on King Fahad Central Hospital in the Al-Baha Region"</w:t>
      </w:r>
    </w:p>
    <w:p w14:paraId="51A91D28" w14:textId="77777777" w:rsidR="00F1616D" w:rsidRPr="001C5D93" w:rsidRDefault="00F1616D" w:rsidP="00A02194">
      <w:pPr>
        <w:bidi/>
        <w:spacing w:after="120" w:line="240" w:lineRule="auto"/>
        <w:jc w:val="center"/>
        <w:rPr>
          <w:rFonts w:ascii="Traditional Arabic" w:eastAsia="Times New Roman" w:hAnsi="Traditional Arabic" w:cs="Traditional Arabic"/>
          <w:bCs/>
          <w:color w:val="0070C0"/>
          <w:sz w:val="32"/>
          <w:szCs w:val="32"/>
        </w:rPr>
      </w:pPr>
    </w:p>
    <w:p w14:paraId="5FD06CFC" w14:textId="77777777" w:rsidR="00F1616D" w:rsidRPr="001C5D93" w:rsidRDefault="00F1616D" w:rsidP="00A02194">
      <w:pPr>
        <w:bidi/>
        <w:spacing w:after="120" w:line="240" w:lineRule="auto"/>
        <w:jc w:val="center"/>
        <w:rPr>
          <w:rFonts w:ascii="Traditional Arabic" w:eastAsia="Times New Roman" w:hAnsi="Traditional Arabic" w:cs="Traditional Arabic"/>
          <w:bCs/>
          <w:color w:val="0070C0"/>
          <w:sz w:val="32"/>
          <w:szCs w:val="32"/>
        </w:rPr>
      </w:pPr>
    </w:p>
    <w:p w14:paraId="59F1D723" w14:textId="77777777" w:rsidR="00F1616D" w:rsidRPr="001C5D93" w:rsidRDefault="00F1616D" w:rsidP="00A02194">
      <w:pPr>
        <w:bidi/>
        <w:spacing w:after="120" w:line="240" w:lineRule="auto"/>
        <w:jc w:val="center"/>
        <w:rPr>
          <w:rFonts w:ascii="Traditional Arabic" w:eastAsia="Times New Roman" w:hAnsi="Traditional Arabic" w:cs="Traditional Arabic"/>
          <w:bCs/>
          <w:color w:val="0070C0"/>
          <w:sz w:val="32"/>
          <w:szCs w:val="32"/>
          <w:rtl/>
        </w:rPr>
      </w:pPr>
    </w:p>
    <w:p w14:paraId="2DD74085" w14:textId="77777777" w:rsidR="00F1616D" w:rsidRPr="001C5D93" w:rsidRDefault="00F1616D" w:rsidP="00A02194">
      <w:pPr>
        <w:pStyle w:val="ab"/>
        <w:bidi/>
        <w:spacing w:before="0" w:beforeAutospacing="0" w:after="120" w:afterAutospacing="0"/>
        <w:ind w:right="-270"/>
        <w:jc w:val="both"/>
        <w:rPr>
          <w:rFonts w:ascii="Traditional Arabic" w:hAnsi="Traditional Arabic" w:cs="Traditional Arabic"/>
          <w:bCs/>
          <w:color w:val="0070C0"/>
          <w:sz w:val="32"/>
          <w:szCs w:val="32"/>
          <w:rtl/>
        </w:rPr>
      </w:pPr>
    </w:p>
    <w:p w14:paraId="3D9871EF" w14:textId="77777777"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p>
    <w:p w14:paraId="6C3F05A7" w14:textId="77777777"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p>
    <w:p w14:paraId="58488336" w14:textId="77777777" w:rsidR="00F1616D" w:rsidRPr="001C5D93" w:rsidRDefault="00F1616D" w:rsidP="00A02194">
      <w:pPr>
        <w:bidi/>
        <w:spacing w:after="120" w:line="240" w:lineRule="auto"/>
        <w:jc w:val="both"/>
        <w:rPr>
          <w:rFonts w:ascii="Traditional Arabic" w:hAnsi="Traditional Arabic" w:cs="Traditional Arabic"/>
          <w:bCs/>
          <w:color w:val="00B0F0"/>
          <w:sz w:val="32"/>
          <w:szCs w:val="32"/>
          <w:u w:val="single"/>
          <w:rtl/>
        </w:rPr>
      </w:pPr>
    </w:p>
    <w:p w14:paraId="34A7DF6A" w14:textId="77777777" w:rsidR="00042498" w:rsidRDefault="00042498" w:rsidP="00A02194">
      <w:pPr>
        <w:bidi/>
        <w:spacing w:after="120" w:line="240" w:lineRule="auto"/>
        <w:jc w:val="both"/>
        <w:rPr>
          <w:rFonts w:ascii="Traditional Arabic" w:hAnsi="Traditional Arabic" w:cs="Traditional Arabic"/>
          <w:bCs/>
          <w:color w:val="00B0F0"/>
          <w:sz w:val="32"/>
          <w:szCs w:val="32"/>
          <w:u w:val="single"/>
          <w:rtl/>
        </w:rPr>
      </w:pPr>
    </w:p>
    <w:p w14:paraId="11C5E348" w14:textId="77777777" w:rsidR="006D63D8" w:rsidRPr="001C5D93" w:rsidRDefault="006D63D8" w:rsidP="006D63D8">
      <w:pPr>
        <w:bidi/>
        <w:spacing w:after="120" w:line="240" w:lineRule="auto"/>
        <w:jc w:val="both"/>
        <w:rPr>
          <w:rFonts w:ascii="Traditional Arabic" w:hAnsi="Traditional Arabic" w:cs="Traditional Arabic"/>
          <w:b/>
          <w:sz w:val="32"/>
          <w:szCs w:val="32"/>
          <w:rtl/>
        </w:rPr>
      </w:pPr>
    </w:p>
    <w:p w14:paraId="2731A144" w14:textId="77777777" w:rsidR="00123AC6" w:rsidRPr="001C5D93" w:rsidRDefault="00123AC6" w:rsidP="00A02194">
      <w:pPr>
        <w:bidi/>
        <w:spacing w:after="120" w:line="240" w:lineRule="auto"/>
        <w:jc w:val="center"/>
        <w:rPr>
          <w:rFonts w:ascii="Traditional Arabic" w:hAnsi="Traditional Arabic" w:cs="Traditional Arabic"/>
          <w:bCs/>
          <w:sz w:val="36"/>
          <w:szCs w:val="36"/>
          <w:rtl/>
        </w:rPr>
      </w:pPr>
      <w:r w:rsidRPr="001C5D93">
        <w:rPr>
          <w:rFonts w:ascii="Traditional Arabic" w:hAnsi="Traditional Arabic" w:cs="Traditional Arabic" w:hint="cs"/>
          <w:bCs/>
          <w:sz w:val="36"/>
          <w:szCs w:val="36"/>
          <w:rtl/>
        </w:rPr>
        <w:lastRenderedPageBreak/>
        <w:t xml:space="preserve">الفصل الثاني: </w:t>
      </w:r>
    </w:p>
    <w:p w14:paraId="357D336A" w14:textId="0CFB7E86" w:rsidR="00123AC6" w:rsidRPr="001C5D93" w:rsidRDefault="00123AC6" w:rsidP="00A02194">
      <w:pPr>
        <w:bidi/>
        <w:spacing w:after="120" w:line="240" w:lineRule="auto"/>
        <w:jc w:val="center"/>
        <w:rPr>
          <w:rFonts w:ascii="Traditional Arabic" w:hAnsi="Traditional Arabic" w:cs="Traditional Arabic"/>
          <w:bCs/>
          <w:sz w:val="36"/>
          <w:szCs w:val="36"/>
          <w:rtl/>
        </w:rPr>
      </w:pPr>
      <w:r w:rsidRPr="001C5D93">
        <w:rPr>
          <w:rFonts w:ascii="Traditional Arabic" w:hAnsi="Traditional Arabic" w:cs="Traditional Arabic" w:hint="cs"/>
          <w:bCs/>
          <w:sz w:val="36"/>
          <w:szCs w:val="36"/>
          <w:rtl/>
        </w:rPr>
        <w:t>الإطار النظري والدراسات السابقة</w:t>
      </w:r>
    </w:p>
    <w:p w14:paraId="6B799CCD" w14:textId="69CBF5BF" w:rsidR="001C5D93" w:rsidRPr="006D63D8" w:rsidRDefault="001C5D93" w:rsidP="001C5D93">
      <w:pPr>
        <w:bidi/>
        <w:spacing w:after="120" w:line="240" w:lineRule="auto"/>
        <w:jc w:val="both"/>
        <w:rPr>
          <w:rFonts w:ascii="Traditional Arabic" w:hAnsi="Traditional Arabic" w:cs="Traditional Arabic"/>
          <w:bCs/>
          <w:sz w:val="36"/>
          <w:szCs w:val="36"/>
          <w:rtl/>
        </w:rPr>
      </w:pPr>
      <w:r w:rsidRPr="006D63D8">
        <w:rPr>
          <w:rFonts w:ascii="Traditional Arabic" w:hAnsi="Traditional Arabic" w:cs="Traditional Arabic" w:hint="cs"/>
          <w:bCs/>
          <w:sz w:val="36"/>
          <w:szCs w:val="36"/>
          <w:rtl/>
        </w:rPr>
        <w:t>تمهيد:</w:t>
      </w:r>
    </w:p>
    <w:p w14:paraId="76D5BE99" w14:textId="77777777" w:rsidR="00254B75" w:rsidRDefault="001C5D93" w:rsidP="001C5D93">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 xml:space="preserve">يهدف هذا الفصل إلى بناء الأساس النظري والتحليلي للدراسة الحالية من خلال مراجعة الأدبيات ذات الصلة بمتغيراتها الرئيسة، وهي: التطوير التنظيمي، والتكنولوجيا الذكية، وإدارة المخاطر في المؤسسات الصحية، تمهيدًا لتفسير العلاقات المفترضة بينها وصياغة الفجوة البحثية التي تنطلق منها الدراسة. </w:t>
      </w:r>
    </w:p>
    <w:p w14:paraId="319AA646" w14:textId="3770A0CE" w:rsidR="001C5D93" w:rsidRPr="001C5D93" w:rsidRDefault="001C5D93" w:rsidP="00254B75">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ولا يقتصر هذا الفصل على عرض المفاهيم والتعريفات، بل يسعى إلى تنظيم المعرفة السابقة وتحليلها بصورة نقدية تكشف كيف تناولت الأدبيات هذه المتغيرات منفردة ومجتمعة، وما الذي أضافته الدراسات السابقة، وما أوجه القصور التي ما تزال قائمة، ولا سيما في البيئة الصحية السعودية</w:t>
      </w:r>
      <w:r w:rsidRPr="001C5D93">
        <w:rPr>
          <w:rFonts w:ascii="Traditional Arabic" w:hAnsi="Traditional Arabic" w:cs="Traditional Arabic"/>
          <w:b/>
          <w:sz w:val="32"/>
          <w:szCs w:val="32"/>
        </w:rPr>
        <w:t>.</w:t>
      </w:r>
    </w:p>
    <w:p w14:paraId="61DDC097" w14:textId="7D2F5988" w:rsidR="001C5D93" w:rsidRDefault="001C5D93" w:rsidP="001C5D93">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واعتمد الباحث في هذا الفصل على مراجعة الدراسات والنماذج النظرية الأكثر اتصالًا بمتغيرات الدراسة وعلاقاتها، مع التركيز على الأدبيات الحديثة ذات الصلة بالقطاع الصحي، دون إغفال بعض المراجع التأسيسية التي تُعد ضرورية لتأصيل المفاهيم وبناء الحجة النظرية. وقد تم اختيار الأدبيات وفق معايير رئيسة تتمثل في: الصلة المباشرة بمتغيرات الدراسة أو بالعلاقات بينها، والحداثة النسبية للمصدر، والارتباط بالسياق الصحي كلما أمكن، والقيمة التفسيرية أو المنهجية للدراسة في دعم بناء الفرضيات وتحديد الفجوة البحثية</w:t>
      </w:r>
      <w:r w:rsidRPr="001C5D93">
        <w:rPr>
          <w:rFonts w:ascii="Traditional Arabic" w:hAnsi="Traditional Arabic" w:cs="Traditional Arabic"/>
          <w:b/>
          <w:sz w:val="32"/>
          <w:szCs w:val="32"/>
        </w:rPr>
        <w:t>.</w:t>
      </w:r>
    </w:p>
    <w:p w14:paraId="0CEDC334" w14:textId="509F93A0" w:rsidR="001C5D93" w:rsidRPr="001C5D93" w:rsidRDefault="001C5D93" w:rsidP="001C5D93">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وتسترشد الدراسة الحالية بإطار نظري تكاملي واضح؛ إذ تعتمد على نظرية النظم المفتوحة بوصفها النظرية القائدة التي تفسر العلاقات المباشرة بين متغيرات الدراسة، من خلال النظر إلى المستشفى باعتباره نظامًا تنظيميًا مفتوحًا يتفاعل مع بيئته الداخلية والخارجية، وتتحدد كفاءته بمدى انسجام بنيته وعملياته وموارده البشرية وقدرته على معالجة المعلومات والاستجابة للتغيرات. كما تعتمد الدراسة على منطق الوساطة بوصفه الآلية التفسيرية التي توضح كيف يمكن أن ينتقل أثر التطوير التنظيمي إلى إدارة المخاطر عبر التكنولوجيا الذكية بوصفها المتغير الوسيط في النموذج؛ حيث أن الدراسة لا تختبر علاقة مباشرة بين التطوير التنظيمي وإدارة المخاطر فحسب، بل تفترض أيضًا أن هذا الأثر يزداد تفسيرًا عندما يُفهم من خلال الدور الذي تؤديه التكنولوجيا الذكية في دعم القرار، وتحسين الرصد، وتعزيز الاستجابة الوقائية</w:t>
      </w:r>
      <w:r w:rsidRPr="001C5D93">
        <w:rPr>
          <w:rFonts w:ascii="Traditional Arabic" w:hAnsi="Traditional Arabic" w:cs="Traditional Arabic"/>
          <w:b/>
          <w:sz w:val="32"/>
          <w:szCs w:val="32"/>
        </w:rPr>
        <w:t>.</w:t>
      </w:r>
    </w:p>
    <w:p w14:paraId="1866687A" w14:textId="366DD5A9" w:rsidR="001C5D93" w:rsidRDefault="001C5D93" w:rsidP="001C5D93">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 xml:space="preserve">وانطلاقًا </w:t>
      </w:r>
      <w:r>
        <w:rPr>
          <w:rFonts w:ascii="Traditional Arabic" w:hAnsi="Traditional Arabic" w:cs="Traditional Arabic" w:hint="cs"/>
          <w:b/>
          <w:sz w:val="32"/>
          <w:szCs w:val="32"/>
          <w:rtl/>
        </w:rPr>
        <w:t xml:space="preserve">مما سبق، فقد </w:t>
      </w:r>
      <w:r w:rsidRPr="001C5D93">
        <w:rPr>
          <w:rFonts w:ascii="Traditional Arabic" w:hAnsi="Traditional Arabic" w:cs="Traditional Arabic"/>
          <w:b/>
          <w:sz w:val="32"/>
          <w:szCs w:val="32"/>
          <w:rtl/>
        </w:rPr>
        <w:t>تم تنظيم الفصل على النحو التالي: يبدأ الفصل أولًا بعرض الإطار النظري المتمثل في نظرية النظم المفتوحة ونموذج الوساطة، اللذين يشكلان الأساس التفسيري للعلاقات بين المتغيرات</w:t>
      </w:r>
      <w:r>
        <w:rPr>
          <w:rFonts w:ascii="Traditional Arabic" w:hAnsi="Traditional Arabic" w:cs="Traditional Arabic" w:hint="cs"/>
          <w:b/>
          <w:sz w:val="32"/>
          <w:szCs w:val="32"/>
          <w:rtl/>
        </w:rPr>
        <w:t>، و</w:t>
      </w:r>
      <w:r w:rsidRPr="001C5D93">
        <w:rPr>
          <w:rFonts w:ascii="Traditional Arabic" w:hAnsi="Traditional Arabic" w:cs="Traditional Arabic"/>
          <w:b/>
          <w:sz w:val="32"/>
          <w:szCs w:val="32"/>
          <w:rtl/>
        </w:rPr>
        <w:t>ثانيًا، يُعرض نموذج الدراسة المفاهيمي الذي يترجم هذه النظريات إلى علاقات سببية مصورة بين المتغيرات</w:t>
      </w:r>
      <w:r>
        <w:rPr>
          <w:rFonts w:ascii="Traditional Arabic" w:hAnsi="Traditional Arabic" w:cs="Traditional Arabic" w:hint="cs"/>
          <w:b/>
          <w:sz w:val="32"/>
          <w:szCs w:val="32"/>
          <w:rtl/>
        </w:rPr>
        <w:t>،</w:t>
      </w:r>
      <w:r w:rsidRPr="001C5D93">
        <w:rPr>
          <w:rFonts w:ascii="Traditional Arabic" w:hAnsi="Traditional Arabic" w:cs="Traditional Arabic"/>
          <w:b/>
          <w:sz w:val="32"/>
          <w:szCs w:val="32"/>
          <w:rtl/>
        </w:rPr>
        <w:t xml:space="preserve"> </w:t>
      </w:r>
      <w:r>
        <w:rPr>
          <w:rFonts w:ascii="Traditional Arabic" w:hAnsi="Traditional Arabic" w:cs="Traditional Arabic" w:hint="cs"/>
          <w:b/>
          <w:sz w:val="32"/>
          <w:szCs w:val="32"/>
          <w:rtl/>
        </w:rPr>
        <w:t>و</w:t>
      </w:r>
      <w:r w:rsidRPr="001C5D93">
        <w:rPr>
          <w:rFonts w:ascii="Traditional Arabic" w:hAnsi="Traditional Arabic" w:cs="Traditional Arabic"/>
          <w:b/>
          <w:sz w:val="32"/>
          <w:szCs w:val="32"/>
          <w:rtl/>
        </w:rPr>
        <w:t xml:space="preserve">ثالثًا، يتناول الفصل الإطار المفاهيمي لمتغيرات الدراسة من خلال عرض التعريفات المعتمدة والأبعاد الرئيسة لكل من التطوير </w:t>
      </w:r>
      <w:r w:rsidRPr="001C5D93">
        <w:rPr>
          <w:rFonts w:ascii="Traditional Arabic" w:hAnsi="Traditional Arabic" w:cs="Traditional Arabic"/>
          <w:b/>
          <w:sz w:val="32"/>
          <w:szCs w:val="32"/>
          <w:rtl/>
        </w:rPr>
        <w:lastRenderedPageBreak/>
        <w:t>التنظيمي، والتكنولوجيا الذكية، وإدارة المخاطر، مع توضيح آلية تأثير كل متغير في النموذج</w:t>
      </w:r>
      <w:r>
        <w:rPr>
          <w:rFonts w:ascii="Traditional Arabic" w:hAnsi="Traditional Arabic" w:cs="Traditional Arabic" w:hint="cs"/>
          <w:b/>
          <w:sz w:val="32"/>
          <w:szCs w:val="32"/>
          <w:rtl/>
        </w:rPr>
        <w:t>، و</w:t>
      </w:r>
      <w:r w:rsidRPr="001C5D93">
        <w:rPr>
          <w:rFonts w:ascii="Traditional Arabic" w:hAnsi="Traditional Arabic" w:cs="Traditional Arabic"/>
          <w:b/>
          <w:sz w:val="32"/>
          <w:szCs w:val="32"/>
          <w:rtl/>
        </w:rPr>
        <w:t xml:space="preserve"> رابعًا، يستعرض الدراسات السابقة</w:t>
      </w:r>
      <w:r w:rsidR="00D25920">
        <w:rPr>
          <w:rFonts w:ascii="Traditional Arabic" w:hAnsi="Traditional Arabic" w:cs="Traditional Arabic" w:hint="cs"/>
          <w:b/>
          <w:sz w:val="32"/>
          <w:szCs w:val="32"/>
          <w:rtl/>
        </w:rPr>
        <w:t xml:space="preserve"> والتعقيب عليها </w:t>
      </w:r>
      <w:r w:rsidRPr="001C5D93">
        <w:rPr>
          <w:rFonts w:ascii="Traditional Arabic" w:hAnsi="Traditional Arabic" w:cs="Traditional Arabic"/>
          <w:b/>
          <w:sz w:val="32"/>
          <w:szCs w:val="32"/>
          <w:rtl/>
        </w:rPr>
        <w:t>تمهيدًا لاستخلاص أوجه الاتفاق والتعارض والحدود المنهجية والسياقية</w:t>
      </w:r>
      <w:r>
        <w:rPr>
          <w:rFonts w:ascii="Traditional Arabic" w:hAnsi="Traditional Arabic" w:cs="Traditional Arabic" w:hint="cs"/>
          <w:b/>
          <w:sz w:val="32"/>
          <w:szCs w:val="32"/>
          <w:rtl/>
        </w:rPr>
        <w:t xml:space="preserve">، </w:t>
      </w:r>
      <w:r w:rsidR="00D25920">
        <w:rPr>
          <w:rFonts w:ascii="Traditional Arabic" w:hAnsi="Traditional Arabic" w:cs="Traditional Arabic" w:hint="cs"/>
          <w:b/>
          <w:sz w:val="32"/>
          <w:szCs w:val="32"/>
          <w:rtl/>
        </w:rPr>
        <w:t>و</w:t>
      </w:r>
      <w:r w:rsidRPr="001C5D93">
        <w:rPr>
          <w:rFonts w:ascii="Traditional Arabic" w:hAnsi="Traditional Arabic" w:cs="Traditional Arabic"/>
          <w:b/>
          <w:sz w:val="32"/>
          <w:szCs w:val="32"/>
          <w:rtl/>
        </w:rPr>
        <w:t>تحديد الفجوة البحثية و</w:t>
      </w:r>
      <w:r w:rsidR="00D25920">
        <w:rPr>
          <w:rFonts w:ascii="Traditional Arabic" w:hAnsi="Traditional Arabic" w:cs="Traditional Arabic" w:hint="cs"/>
          <w:b/>
          <w:sz w:val="32"/>
          <w:szCs w:val="32"/>
          <w:rtl/>
        </w:rPr>
        <w:t>خامسًا ،</w:t>
      </w:r>
      <w:r w:rsidRPr="001C5D93">
        <w:rPr>
          <w:rFonts w:ascii="Traditional Arabic" w:hAnsi="Traditional Arabic" w:cs="Traditional Arabic"/>
          <w:b/>
          <w:sz w:val="32"/>
          <w:szCs w:val="32"/>
          <w:rtl/>
        </w:rPr>
        <w:t xml:space="preserve">صياغة الفرضيات بناءً على </w:t>
      </w:r>
      <w:r w:rsidR="00D25920">
        <w:rPr>
          <w:rFonts w:ascii="Traditional Arabic" w:hAnsi="Traditional Arabic" w:cs="Traditional Arabic" w:hint="cs"/>
          <w:b/>
          <w:sz w:val="32"/>
          <w:szCs w:val="32"/>
          <w:rtl/>
        </w:rPr>
        <w:t>الفجوة البحثية</w:t>
      </w:r>
      <w:r>
        <w:rPr>
          <w:rFonts w:ascii="Traditional Arabic" w:hAnsi="Traditional Arabic" w:cs="Traditional Arabic" w:hint="cs"/>
          <w:b/>
          <w:sz w:val="32"/>
          <w:szCs w:val="32"/>
          <w:rtl/>
        </w:rPr>
        <w:t>، و</w:t>
      </w:r>
      <w:r w:rsidRPr="001C5D93">
        <w:rPr>
          <w:rFonts w:ascii="Traditional Arabic" w:hAnsi="Traditional Arabic" w:cs="Traditional Arabic"/>
          <w:b/>
          <w:sz w:val="32"/>
          <w:szCs w:val="32"/>
          <w:rtl/>
        </w:rPr>
        <w:t>سادسًا وأخيرًا، يُلخص الفصل التعريفات الإجرائية المعتمدة ومواصفات القياس تمهيدًا لبناء أداة الدراسة في الفصل الثالث</w:t>
      </w:r>
      <w:r w:rsidRPr="001C5D93">
        <w:rPr>
          <w:rFonts w:ascii="Traditional Arabic" w:hAnsi="Traditional Arabic" w:cs="Traditional Arabic"/>
          <w:b/>
          <w:sz w:val="32"/>
          <w:szCs w:val="32"/>
        </w:rPr>
        <w:t>.</w:t>
      </w:r>
    </w:p>
    <w:p w14:paraId="5D08D1D3"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6"/>
          <w:szCs w:val="36"/>
          <w:rtl/>
        </w:rPr>
      </w:pPr>
      <w:r w:rsidRPr="001C5D93">
        <w:rPr>
          <w:rFonts w:ascii="Traditional Arabic" w:hAnsi="Traditional Arabic" w:cs="Traditional Arabic"/>
          <w:b/>
          <w:bCs/>
          <w:sz w:val="36"/>
          <w:szCs w:val="36"/>
          <w:rtl/>
        </w:rPr>
        <w:t>أولاً: الإطار النظري للدراسة</w:t>
      </w:r>
    </w:p>
    <w:p w14:paraId="4D8030AF" w14:textId="15DC0836"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يستعرض هذا الجزء أبرز النظريات والنماذج التي تفسر العلاقات السببية بين متغيرات الدراسة، وذلك بهدف تأصيل الإطار الفكري الذي يستند إليه النموذج المقترح</w:t>
      </w:r>
      <w:r>
        <w:rPr>
          <w:rFonts w:ascii="Traditional Arabic" w:hAnsi="Traditional Arabic" w:cs="Traditional Arabic" w:hint="cs"/>
          <w:sz w:val="32"/>
          <w:szCs w:val="32"/>
          <w:rtl/>
        </w:rPr>
        <w:t>،</w:t>
      </w:r>
      <w:r w:rsidRPr="001C5D93">
        <w:rPr>
          <w:rFonts w:ascii="Traditional Arabic" w:hAnsi="Traditional Arabic" w:cs="Traditional Arabic"/>
          <w:sz w:val="32"/>
          <w:szCs w:val="32"/>
          <w:rtl/>
        </w:rPr>
        <w:t xml:space="preserve"> ويُسهم هذا العرض في توضيح الأساس العلمي الذي يبرر الربط بين التطوير التنظيمي، والتكنولوجيا الذكية، وإدارة المخاطر في البيئة الصحية</w:t>
      </w:r>
      <w:r>
        <w:rPr>
          <w:rFonts w:ascii="Traditional Arabic" w:hAnsi="Traditional Arabic" w:cs="Traditional Arabic" w:hint="cs"/>
          <w:sz w:val="32"/>
          <w:szCs w:val="32"/>
          <w:rtl/>
        </w:rPr>
        <w:t xml:space="preserve"> كما يلي:</w:t>
      </w:r>
    </w:p>
    <w:p w14:paraId="49D879F9" w14:textId="48A020D9" w:rsidR="001C5D93" w:rsidRPr="001C5D93" w:rsidRDefault="001C5D93" w:rsidP="006D63D8">
      <w:pPr>
        <w:pStyle w:val="ab"/>
        <w:numPr>
          <w:ilvl w:val="0"/>
          <w:numId w:val="111"/>
        </w:numPr>
        <w:bidi/>
        <w:spacing w:before="0" w:beforeAutospacing="0" w:after="120" w:afterAutospacing="0"/>
        <w:jc w:val="both"/>
        <w:rPr>
          <w:rFonts w:ascii="Traditional Arabic" w:hAnsi="Traditional Arabic" w:cs="Traditional Arabic"/>
          <w:b/>
          <w:bCs/>
          <w:sz w:val="32"/>
          <w:szCs w:val="32"/>
        </w:rPr>
      </w:pPr>
      <w:r w:rsidRPr="001C5D93">
        <w:rPr>
          <w:rFonts w:ascii="Traditional Arabic" w:hAnsi="Traditional Arabic" w:cs="Traditional Arabic"/>
          <w:b/>
          <w:bCs/>
          <w:sz w:val="32"/>
          <w:szCs w:val="32"/>
          <w:rtl/>
        </w:rPr>
        <w:t>نظرية النظم المفتوحة</w:t>
      </w:r>
      <w:r w:rsidRPr="001C5D93">
        <w:rPr>
          <w:rFonts w:ascii="Traditional Arabic" w:hAnsi="Traditional Arabic" w:cs="Traditional Arabic" w:hint="cs"/>
          <w:b/>
          <w:bCs/>
          <w:sz w:val="32"/>
          <w:szCs w:val="32"/>
          <w:rtl/>
        </w:rPr>
        <w:t xml:space="preserve"> </w:t>
      </w:r>
    </w:p>
    <w:p w14:paraId="323785D5" w14:textId="1E291F3A" w:rsidR="002C04D6" w:rsidRPr="002C04D6" w:rsidRDefault="001C5D93" w:rsidP="002C04D6">
      <w:pPr>
        <w:pStyle w:val="ab"/>
        <w:bidi/>
        <w:spacing w:before="0" w:beforeAutospacing="0" w:after="120" w:afterAutospacing="0"/>
        <w:jc w:val="both"/>
        <w:rPr>
          <w:rFonts w:ascii="Traditional Arabic" w:hAnsi="Traditional Arabic" w:cs="Traditional Arabic" w:hint="cs"/>
          <w:sz w:val="32"/>
          <w:szCs w:val="32"/>
          <w:rtl/>
        </w:rPr>
      </w:pPr>
      <w:r w:rsidRPr="001C5D93">
        <w:rPr>
          <w:rFonts w:ascii="Traditional Arabic" w:hAnsi="Traditional Arabic" w:cs="Traditional Arabic"/>
          <w:sz w:val="32"/>
          <w:szCs w:val="32"/>
          <w:rtl/>
        </w:rPr>
        <w:t>تُعد نظرية النظم المفتوحة من النظريات الأساسية في الفكر التنظيمي الحديث، إذ تنظر إلى المنظمة باعتبارها نظامًا اجتماعيًا ديناميكيًا يتفاعل بصورة مستمرة مع البيئة الخارجية، ويتأثر بها ويؤثر فيها في الوقت ذاته</w:t>
      </w:r>
      <w:r w:rsidR="002C04D6">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وترجع الجذور الفكرية لهذه النظرية إلى النظرية العامة للنظم التي طرحها بيرتالانفي</w:t>
      </w:r>
      <w:r w:rsidR="006D14B9">
        <w:rPr>
          <w:rFonts w:ascii="Traditional Arabic" w:hAnsi="Traditional Arabic" w:cs="Traditional Arabic"/>
          <w:sz w:val="32"/>
          <w:szCs w:val="32"/>
        </w:rPr>
        <w:t xml:space="preserve"> </w:t>
      </w:r>
      <w:r w:rsidR="006D14B9">
        <w:rPr>
          <w:rFonts w:ascii="Traditional Arabic" w:hAnsi="Traditional Arabic" w:cs="Traditional Arabic" w:hint="cs"/>
          <w:sz w:val="32"/>
          <w:szCs w:val="32"/>
          <w:rtl/>
        </w:rPr>
        <w:t>عام 1968</w:t>
      </w:r>
      <w:r w:rsidR="002C04D6">
        <w:rPr>
          <w:rFonts w:ascii="Traditional Arabic" w:hAnsi="Traditional Arabic" w:cs="Traditional Arabic" w:hint="cs"/>
          <w:sz w:val="32"/>
          <w:szCs w:val="32"/>
          <w:rtl/>
        </w:rPr>
        <w:t xml:space="preserve">م، </w:t>
      </w:r>
      <w:r w:rsidR="002C04D6" w:rsidRPr="001C5D93">
        <w:rPr>
          <w:rFonts w:ascii="Traditional Arabic" w:hAnsi="Traditional Arabic" w:cs="Traditional Arabic"/>
          <w:sz w:val="32"/>
          <w:szCs w:val="32"/>
          <w:rtl/>
        </w:rPr>
        <w:t>والتي أكدت أن الكيانات الحية والاجتماعية لا يمكن فهمها من خلال تحليل أجزائها بصورة منفصلة، بل من خلال دراسة العلاقات والتفاعلات المتبادلة بين مكوناتها</w:t>
      </w:r>
      <w:r w:rsidR="002C04D6">
        <w:rPr>
          <w:rFonts w:ascii="Traditional Arabic" w:hAnsi="Traditional Arabic" w:cs="Traditional Arabic" w:hint="cs"/>
          <w:sz w:val="32"/>
          <w:szCs w:val="32"/>
          <w:rtl/>
        </w:rPr>
        <w:t xml:space="preserve"> </w:t>
      </w:r>
      <w:r w:rsidR="002C04D6" w:rsidRPr="002C04D6">
        <w:rPr>
          <w:rFonts w:ascii="Traditional Arabic" w:hAnsi="Traditional Arabic" w:cs="Traditional Arabic"/>
          <w:sz w:val="32"/>
          <w:szCs w:val="32"/>
        </w:rPr>
        <w:t>Bertalanffy,</w:t>
      </w:r>
      <w:r w:rsidR="002C04D6">
        <w:rPr>
          <w:rFonts w:ascii="Traditional Arabic" w:hAnsi="Traditional Arabic" w:cs="Traditional Arabic"/>
          <w:sz w:val="32"/>
          <w:szCs w:val="32"/>
        </w:rPr>
        <w:t>1986)</w:t>
      </w:r>
      <w:r w:rsidR="002C04D6">
        <w:rPr>
          <w:rFonts w:ascii="Traditional Arabic" w:hAnsi="Traditional Arabic" w:cs="Traditional Arabic" w:hint="cs"/>
          <w:sz w:val="32"/>
          <w:szCs w:val="32"/>
          <w:rtl/>
        </w:rPr>
        <w:t>).</w:t>
      </w:r>
    </w:p>
    <w:p w14:paraId="0146DEE2" w14:textId="61168665" w:rsidR="001C5D93" w:rsidRPr="001C5D93" w:rsidRDefault="001C5D93" w:rsidP="002C04D6">
      <w:pPr>
        <w:pStyle w:val="ab"/>
        <w:bidi/>
        <w:spacing w:before="0" w:beforeAutospacing="0" w:after="120" w:afterAutospacing="0"/>
        <w:jc w:val="both"/>
        <w:rPr>
          <w:rFonts w:ascii="Traditional Arabic" w:hAnsi="Traditional Arabic" w:cs="Traditional Arabic" w:hint="cs"/>
          <w:sz w:val="32"/>
          <w:szCs w:val="32"/>
          <w:rtl/>
        </w:rPr>
      </w:pPr>
      <w:r w:rsidRPr="001C5D93">
        <w:rPr>
          <w:rFonts w:ascii="Traditional Arabic" w:hAnsi="Traditional Arabic" w:cs="Traditional Arabic"/>
          <w:sz w:val="32"/>
          <w:szCs w:val="32"/>
          <w:rtl/>
        </w:rPr>
        <w:t>وقد قام كل</w:t>
      </w:r>
      <w:r w:rsidR="006D14B9">
        <w:rPr>
          <w:rFonts w:ascii="Traditional Arabic" w:hAnsi="Traditional Arabic" w:cs="Traditional Arabic" w:hint="cs"/>
          <w:sz w:val="32"/>
          <w:szCs w:val="32"/>
          <w:rtl/>
        </w:rPr>
        <w:t xml:space="preserve"> م</w:t>
      </w:r>
      <w:r w:rsidR="002C04D6">
        <w:rPr>
          <w:rFonts w:ascii="Traditional Arabic" w:hAnsi="Traditional Arabic" w:cs="Traditional Arabic" w:hint="cs"/>
          <w:sz w:val="32"/>
          <w:szCs w:val="32"/>
          <w:rtl/>
        </w:rPr>
        <w:t xml:space="preserve">ن </w:t>
      </w:r>
      <w:r w:rsidR="002C04D6" w:rsidRPr="002C04D6">
        <w:rPr>
          <w:rFonts w:ascii="Traditional Arabic" w:hAnsi="Traditional Arabic" w:cs="Traditional Arabic"/>
          <w:sz w:val="32"/>
          <w:szCs w:val="32"/>
          <w:rtl/>
        </w:rPr>
        <w:t>كاتز وكان</w:t>
      </w:r>
      <w:r w:rsidR="002C04D6">
        <w:rPr>
          <w:rFonts w:ascii="Traditional Arabic" w:hAnsi="Traditional Arabic" w:cs="Traditional Arabic" w:hint="cs"/>
          <w:sz w:val="32"/>
          <w:szCs w:val="32"/>
          <w:rtl/>
        </w:rPr>
        <w:t xml:space="preserve">ن عام 1978م </w:t>
      </w:r>
      <w:r w:rsidRPr="001C5D93">
        <w:rPr>
          <w:rFonts w:ascii="Traditional Arabic" w:hAnsi="Traditional Arabic" w:cs="Traditional Arabic"/>
          <w:sz w:val="32"/>
          <w:szCs w:val="32"/>
          <w:rtl/>
        </w:rPr>
        <w:t>بتطوير هذا الطرح في المجال التنظيمي، حيث أكدا أن المنظمات أنظمة مفتوحة تعتمد في بقائها واستمرارها على قدرتها على استيراد الموارد من البيئة، ومعالجتها، ثم إعادة تصديرها في صورة مخرجات</w:t>
      </w:r>
      <w:r w:rsidRPr="001C5D93">
        <w:rPr>
          <w:rFonts w:ascii="Traditional Arabic" w:hAnsi="Traditional Arabic" w:cs="Traditional Arabic"/>
          <w:sz w:val="32"/>
          <w:szCs w:val="32"/>
        </w:rPr>
        <w:t>.</w:t>
      </w:r>
      <w:r w:rsidR="002C04D6">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 xml:space="preserve">وتفترض النظرية </w:t>
      </w:r>
      <w:r w:rsidR="002C04D6">
        <w:rPr>
          <w:rFonts w:ascii="Traditional Arabic" w:hAnsi="Traditional Arabic" w:cs="Traditional Arabic" w:hint="cs"/>
          <w:sz w:val="32"/>
          <w:szCs w:val="32"/>
          <w:rtl/>
        </w:rPr>
        <w:t xml:space="preserve">بموجب طرحهما </w:t>
      </w:r>
      <w:r w:rsidRPr="001C5D93">
        <w:rPr>
          <w:rFonts w:ascii="Traditional Arabic" w:hAnsi="Traditional Arabic" w:cs="Traditional Arabic"/>
          <w:sz w:val="32"/>
          <w:szCs w:val="32"/>
          <w:rtl/>
        </w:rPr>
        <w:t xml:space="preserve">أن المنظمة تتكون من </w:t>
      </w:r>
      <w:r w:rsidRPr="001C5D93">
        <w:rPr>
          <w:rFonts w:ascii="Traditional Arabic" w:hAnsi="Traditional Arabic" w:cs="Traditional Arabic" w:hint="cs"/>
          <w:sz w:val="32"/>
          <w:szCs w:val="32"/>
          <w:rtl/>
        </w:rPr>
        <w:t>أربع</w:t>
      </w:r>
      <w:r w:rsidRPr="001C5D93">
        <w:rPr>
          <w:rFonts w:ascii="Traditional Arabic" w:hAnsi="Traditional Arabic" w:cs="Traditional Arabic"/>
          <w:sz w:val="32"/>
          <w:szCs w:val="32"/>
          <w:rtl/>
        </w:rPr>
        <w:t xml:space="preserve"> مكونات رئيسة</w:t>
      </w:r>
      <w:r w:rsidRPr="001C5D93">
        <w:rPr>
          <w:rFonts w:ascii="Traditional Arabic" w:hAnsi="Traditional Arabic" w:cs="Traditional Arabic"/>
          <w:sz w:val="32"/>
          <w:szCs w:val="32"/>
        </w:rPr>
        <w:t xml:space="preserve">: </w:t>
      </w:r>
      <w:r w:rsidRPr="001C5D93">
        <w:rPr>
          <w:rFonts w:ascii="Traditional Arabic" w:eastAsiaTheme="majorEastAsia" w:hAnsi="Traditional Arabic" w:cs="Traditional Arabic"/>
          <w:sz w:val="32"/>
          <w:szCs w:val="32"/>
          <w:rtl/>
        </w:rPr>
        <w:t>المدخلات، وعمليات التحويل، والمخرجات، والتغذية الراجعة</w:t>
      </w:r>
      <w:r w:rsidR="00E74640">
        <w:rPr>
          <w:rFonts w:ascii="Traditional Arabic" w:eastAsiaTheme="majorEastAsia" w:hAnsi="Traditional Arabic" w:cs="Traditional Arabic" w:hint="cs"/>
          <w:sz w:val="32"/>
          <w:szCs w:val="32"/>
          <w:rtl/>
        </w:rPr>
        <w:t>؛</w:t>
      </w:r>
      <w:r w:rsidRPr="001C5D93">
        <w:rPr>
          <w:rFonts w:ascii="Traditional Arabic" w:hAnsi="Traditional Arabic" w:cs="Traditional Arabic"/>
          <w:sz w:val="32"/>
          <w:szCs w:val="32"/>
        </w:rPr>
        <w:t xml:space="preserve"> </w:t>
      </w:r>
      <w:r w:rsidRPr="001C5D93">
        <w:rPr>
          <w:rFonts w:ascii="Traditional Arabic" w:hAnsi="Traditional Arabic" w:cs="Traditional Arabic"/>
          <w:sz w:val="32"/>
          <w:szCs w:val="32"/>
          <w:rtl/>
        </w:rPr>
        <w:t>فالمدخلات تشمل الموارد البشرية، والمعلومات، والتكنولوجيا، ورأس المال، في حين تمثل عمليات التحويل الأنشطة والإجراءات التي تُستخدم لتحويل هذه الموارد إلى منتجات أو خدمات</w:t>
      </w:r>
      <w:r w:rsidR="00E74640">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أما المخرجات فتتمثل في النتائج النهائية للنظام، بينما تؤدي التغذية الراجعة دورًا أساسيًا في تقييم الأداء وتصحيح الانحرافات بما يضمن استمرارية النظام وتحقيق التوازن الديناميكي</w:t>
      </w:r>
      <w:r w:rsidRPr="001C5D93">
        <w:rPr>
          <w:rFonts w:ascii="Traditional Arabic" w:hAnsi="Traditional Arabic" w:cs="Traditional Arabic"/>
          <w:sz w:val="32"/>
          <w:szCs w:val="32"/>
        </w:rPr>
        <w:t xml:space="preserve"> </w:t>
      </w:r>
      <w:r w:rsidR="006D14B9">
        <w:rPr>
          <w:rFonts w:ascii="Traditional Arabic" w:hAnsi="Traditional Arabic" w:cs="Traditional Arabic"/>
          <w:sz w:val="32"/>
          <w:szCs w:val="32"/>
        </w:rPr>
        <w:t>.</w:t>
      </w:r>
      <w:r w:rsidRPr="001C5D93">
        <w:rPr>
          <w:rFonts w:ascii="Traditional Arabic" w:hAnsi="Traditional Arabic" w:cs="Traditional Arabic"/>
          <w:sz w:val="32"/>
          <w:szCs w:val="32"/>
        </w:rPr>
        <w:t>(Katz &amp; Kahn, 1978)</w:t>
      </w:r>
    </w:p>
    <w:p w14:paraId="16E12320" w14:textId="6442DB56"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 xml:space="preserve">كما تؤكد النظرية على مبدأ </w:t>
      </w:r>
      <w:r w:rsidRPr="001C5D93">
        <w:rPr>
          <w:rFonts w:ascii="Traditional Arabic" w:eastAsiaTheme="majorEastAsia" w:hAnsi="Traditional Arabic" w:cs="Traditional Arabic"/>
          <w:sz w:val="32"/>
          <w:szCs w:val="32"/>
          <w:rtl/>
        </w:rPr>
        <w:t>الاعتماد المتبادل</w:t>
      </w:r>
      <w:r w:rsidRPr="001C5D93">
        <w:rPr>
          <w:rFonts w:ascii="Traditional Arabic" w:hAnsi="Traditional Arabic" w:cs="Traditional Arabic"/>
          <w:sz w:val="32"/>
          <w:szCs w:val="32"/>
          <w:rtl/>
        </w:rPr>
        <w:t xml:space="preserve"> بين مكونات النظام، بحيث يؤثر أي خلل في أحد الأجزاء على بقية الأجزاء، الأمر الذي يستلزم وجود تنسيق وتكامل داخليين. وتشير كذلك إلى مفهوم </w:t>
      </w:r>
      <w:r w:rsidRPr="001C5D93">
        <w:rPr>
          <w:rFonts w:ascii="Traditional Arabic" w:eastAsiaTheme="majorEastAsia" w:hAnsi="Traditional Arabic" w:cs="Traditional Arabic"/>
          <w:sz w:val="32"/>
          <w:szCs w:val="32"/>
          <w:rtl/>
        </w:rPr>
        <w:t>التكيف التنظيمي</w:t>
      </w:r>
      <w:r w:rsidRPr="001C5D93">
        <w:rPr>
          <w:rFonts w:ascii="Traditional Arabic" w:hAnsi="Traditional Arabic" w:cs="Traditional Arabic"/>
          <w:sz w:val="32"/>
          <w:szCs w:val="32"/>
          <w:rtl/>
        </w:rPr>
        <w:t>، حيث إن استمرارية المنظمة لا تتحقق عبر الثبات، بل عبر القدرة على التكيف مع المتغيرات البيئية المتسارعة</w:t>
      </w:r>
      <w:r w:rsidRPr="001C5D93">
        <w:rPr>
          <w:rFonts w:ascii="Traditional Arabic" w:hAnsi="Traditional Arabic" w:cs="Traditional Arabic"/>
          <w:sz w:val="32"/>
          <w:szCs w:val="32"/>
        </w:rPr>
        <w:t xml:space="preserve"> </w:t>
      </w:r>
      <w:r w:rsidR="006D63D8">
        <w:rPr>
          <w:rFonts w:ascii="Traditional Arabic" w:hAnsi="Traditional Arabic" w:cs="Traditional Arabic"/>
          <w:sz w:val="32"/>
          <w:szCs w:val="32"/>
        </w:rPr>
        <w:t>.</w:t>
      </w:r>
      <w:r w:rsidRPr="001C5D93">
        <w:rPr>
          <w:rFonts w:ascii="Traditional Arabic" w:hAnsi="Traditional Arabic" w:cs="Traditional Arabic"/>
          <w:sz w:val="32"/>
          <w:szCs w:val="32"/>
        </w:rPr>
        <w:t>(Scott &amp; Davis, 2016)</w:t>
      </w:r>
      <w:r w:rsidR="006D63D8">
        <w:rPr>
          <w:rFonts w:ascii="Traditional Arabic" w:hAnsi="Traditional Arabic" w:cs="Traditional Arabic"/>
          <w:sz w:val="32"/>
          <w:szCs w:val="32"/>
        </w:rPr>
        <w:t xml:space="preserve"> </w:t>
      </w:r>
    </w:p>
    <w:p w14:paraId="560D3DBE" w14:textId="6B7E6165"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lastRenderedPageBreak/>
        <w:t>وفي سياق المؤسسات الصحية، يمكن النظر إلى المستشفى كنظام مفتوح يتعامل مع بيئة معقدة تشمل المرضى، والتطورات الطبية، والتشريعات الصحية، والتكنولوجيا الحديثة</w:t>
      </w:r>
      <w:r>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فالمستشفى يستقبل مدخلات متعددة مثل البيانات الصحية والكوادر الطبية والأجهزة، ويحولها عبر عمليات تشخيصية وعلاجية إلى خدمات صحية تمثل مخرجات النظام. وتُعد التغذية الراجعة، مثل تقارير الجودة وسلامة المرضى، أداة مهمة لتحسين الأداء وتقليل المخاطر</w:t>
      </w:r>
      <w:r w:rsidRPr="001C5D93">
        <w:rPr>
          <w:rFonts w:ascii="Traditional Arabic" w:hAnsi="Traditional Arabic" w:cs="Traditional Arabic"/>
          <w:sz w:val="32"/>
          <w:szCs w:val="32"/>
        </w:rPr>
        <w:t>.</w:t>
      </w:r>
    </w:p>
    <w:p w14:paraId="5506936D"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ومن هذا المنطلق، يُفسَّر التطوير التنظيمي بوصفه آلية لإعادة ضبط مكونات النظام الداخلي (الهيكل، العمليات، الموارد البشرية) بما يعزز قدرة النظام على التكيف</w:t>
      </w:r>
      <w:r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 xml:space="preserve">كما تمثل التكنولوجيا الذكية أداة لرفع كفاءة معالجة المعلومات داخل النظام وتقليل الغموض، في حين تعكس إدارة المخاطر مستوى قدرة النظام على الحفاظ على استقراره وتحقيق أهدافه. </w:t>
      </w:r>
    </w:p>
    <w:p w14:paraId="7852A63E"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وعليه، توفر نظرية النظم المفتوحة إطارًا تفسيريًا ملائمًا لفهم العلاقات بين التطوير التنظيمي، والتكنولوجيا الذكية، وإدارة المخاطر داخل المستشفيات</w:t>
      </w:r>
      <w:r w:rsidRPr="001C5D93">
        <w:rPr>
          <w:rFonts w:ascii="Traditional Arabic" w:hAnsi="Traditional Arabic" w:cs="Traditional Arabic"/>
          <w:sz w:val="32"/>
          <w:szCs w:val="32"/>
        </w:rPr>
        <w:t>.</w:t>
      </w:r>
    </w:p>
    <w:p w14:paraId="15C09D13" w14:textId="187E6A5F" w:rsidR="001C5D93" w:rsidRPr="001C5D93" w:rsidRDefault="00E74640" w:rsidP="00E74640">
      <w:pPr>
        <w:pStyle w:val="ab"/>
        <w:bidi/>
        <w:spacing w:before="0" w:beforeAutospacing="0" w:after="120" w:afterAutospacing="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2)</w:t>
      </w:r>
      <w:r w:rsidR="001C5D93" w:rsidRPr="001C5D93">
        <w:rPr>
          <w:rFonts w:ascii="Traditional Arabic" w:hAnsi="Traditional Arabic" w:cs="Traditional Arabic" w:hint="cs"/>
          <w:b/>
          <w:bCs/>
          <w:sz w:val="32"/>
          <w:szCs w:val="32"/>
          <w:rtl/>
        </w:rPr>
        <w:t xml:space="preserve"> </w:t>
      </w:r>
      <w:r w:rsidR="001C5D93" w:rsidRPr="001C5D93">
        <w:rPr>
          <w:rFonts w:ascii="Traditional Arabic" w:hAnsi="Traditional Arabic" w:cs="Traditional Arabic"/>
          <w:b/>
          <w:bCs/>
          <w:sz w:val="32"/>
          <w:szCs w:val="32"/>
          <w:rtl/>
        </w:rPr>
        <w:t>نموذج الوساطة</w:t>
      </w:r>
      <w:r w:rsidR="001C5D93" w:rsidRPr="001C5D93">
        <w:rPr>
          <w:rFonts w:ascii="Traditional Arabic" w:hAnsi="Traditional Arabic" w:cs="Traditional Arabic" w:hint="cs"/>
          <w:b/>
          <w:bCs/>
          <w:sz w:val="32"/>
          <w:szCs w:val="32"/>
          <w:rtl/>
        </w:rPr>
        <w:t xml:space="preserve"> </w:t>
      </w:r>
      <w:r w:rsidR="001C5D93" w:rsidRPr="001C5D93">
        <w:rPr>
          <w:rFonts w:ascii="Traditional Arabic" w:hAnsi="Traditional Arabic" w:cs="Traditional Arabic"/>
          <w:b/>
          <w:bCs/>
          <w:sz w:val="32"/>
          <w:szCs w:val="32"/>
        </w:rPr>
        <w:t xml:space="preserve"> (Mediation Model)</w:t>
      </w:r>
    </w:p>
    <w:p w14:paraId="1956A1D2"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يُعد نموذج الوساطة أحد النماذج التفسيرية المهمة في الدراسات السلوكية والإدارية، حيث يُستخدم لتوضيح الآلية التي ينتقل من خلالها تأثير متغير مستقل إلى متغير تابع عبر متغير ثالث يُعرف بالمتغير الوسيط. ويهدف هذا النموذج إلى تفسير ليس فقط ما إذا كان هناك تأثير بين المتغيرات، بل كيف ولماذا يحدث هذا التأثير</w:t>
      </w:r>
      <w:r w:rsidRPr="001C5D93">
        <w:rPr>
          <w:rFonts w:ascii="Traditional Arabic" w:hAnsi="Traditional Arabic" w:cs="Traditional Arabic"/>
          <w:sz w:val="32"/>
          <w:szCs w:val="32"/>
        </w:rPr>
        <w:t>.</w:t>
      </w:r>
    </w:p>
    <w:p w14:paraId="2B8AA672" w14:textId="7EFB58D0" w:rsidR="001C5D93" w:rsidRPr="001C5D93" w:rsidRDefault="001C5D93" w:rsidP="001C5D93">
      <w:pPr>
        <w:pStyle w:val="ab"/>
        <w:bidi/>
        <w:spacing w:before="0" w:beforeAutospacing="0" w:after="120" w:afterAutospacing="0"/>
        <w:jc w:val="both"/>
        <w:rPr>
          <w:rFonts w:ascii="Traditional Arabic" w:hAnsi="Traditional Arabic" w:cs="Traditional Arabic" w:hint="cs"/>
          <w:sz w:val="32"/>
          <w:szCs w:val="32"/>
          <w:rtl/>
        </w:rPr>
      </w:pPr>
      <w:r w:rsidRPr="001C5D93">
        <w:rPr>
          <w:rFonts w:ascii="Traditional Arabic" w:hAnsi="Traditional Arabic" w:cs="Traditional Arabic"/>
          <w:sz w:val="32"/>
          <w:szCs w:val="32"/>
          <w:rtl/>
        </w:rPr>
        <w:t>وقد قدم</w:t>
      </w:r>
      <w:r w:rsidRPr="001C5D93">
        <w:rPr>
          <w:rFonts w:ascii="Traditional Arabic" w:hAnsi="Traditional Arabic" w:cs="Traditional Arabic"/>
          <w:sz w:val="32"/>
          <w:szCs w:val="32"/>
        </w:rPr>
        <w:t xml:space="preserve"> Baron</w:t>
      </w:r>
      <w:r w:rsidR="003A3B70">
        <w:rPr>
          <w:rFonts w:ascii="Traditional Arabic" w:hAnsi="Traditional Arabic" w:cs="Traditional Arabic"/>
          <w:sz w:val="32"/>
          <w:szCs w:val="32"/>
        </w:rPr>
        <w:t xml:space="preserve"> &amp;</w:t>
      </w:r>
      <w:r w:rsidRPr="001C5D93">
        <w:rPr>
          <w:rFonts w:ascii="Traditional Arabic" w:hAnsi="Traditional Arabic" w:cs="Traditional Arabic"/>
          <w:sz w:val="32"/>
          <w:szCs w:val="32"/>
        </w:rPr>
        <w:t xml:space="preserve">Kenny (1986) </w:t>
      </w:r>
      <w:r w:rsidRPr="001C5D93">
        <w:rPr>
          <w:rFonts w:ascii="Traditional Arabic" w:hAnsi="Traditional Arabic" w:cs="Traditional Arabic"/>
          <w:sz w:val="32"/>
          <w:szCs w:val="32"/>
          <w:rtl/>
        </w:rPr>
        <w:t>الإطار الكلاسيكي لتحليل الوساطة، موضحين أن الوساطة تتحقق عندما يؤثر المتغير المستقل في المتغير الوسيط، والذي بدوره يؤثر في المتغير التابع. ووفقًا لهذا النموذج، يمكن أن يكون التأثير</w:t>
      </w:r>
      <w:r w:rsidRPr="001C5D93">
        <w:rPr>
          <w:rFonts w:ascii="Traditional Arabic" w:hAnsi="Traditional Arabic" w:cs="Traditional Arabic"/>
          <w:sz w:val="32"/>
          <w:szCs w:val="32"/>
        </w:rPr>
        <w:t>:</w:t>
      </w:r>
    </w:p>
    <w:p w14:paraId="01201CE3" w14:textId="77777777" w:rsidR="001C5D93" w:rsidRPr="001C5D93" w:rsidRDefault="001C5D93" w:rsidP="001C5D93">
      <w:pPr>
        <w:pStyle w:val="ab"/>
        <w:numPr>
          <w:ilvl w:val="0"/>
          <w:numId w:val="78"/>
        </w:numPr>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وساطة كاملة</w:t>
      </w:r>
      <w:r w:rsidRPr="001C5D93">
        <w:rPr>
          <w:rFonts w:ascii="Traditional Arabic" w:hAnsi="Traditional Arabic" w:cs="Traditional Arabic"/>
          <w:sz w:val="32"/>
          <w:szCs w:val="32"/>
        </w:rPr>
        <w:t xml:space="preserve"> (Full Mediation): </w:t>
      </w:r>
      <w:r w:rsidRPr="001C5D93">
        <w:rPr>
          <w:rFonts w:ascii="Traditional Arabic" w:hAnsi="Traditional Arabic" w:cs="Traditional Arabic"/>
          <w:sz w:val="32"/>
          <w:szCs w:val="32"/>
          <w:rtl/>
        </w:rPr>
        <w:t>عندما يختفي التأثير المباشر للمتغير المستقل على المتغير التابع بعد إدخال المتغير الوسيط</w:t>
      </w:r>
      <w:r w:rsidRPr="001C5D93">
        <w:rPr>
          <w:rFonts w:ascii="Traditional Arabic" w:hAnsi="Traditional Arabic" w:cs="Traditional Arabic"/>
          <w:sz w:val="32"/>
          <w:szCs w:val="32"/>
        </w:rPr>
        <w:t>.</w:t>
      </w:r>
    </w:p>
    <w:p w14:paraId="4800F027" w14:textId="77777777" w:rsidR="001C5D93" w:rsidRPr="001C5D93" w:rsidRDefault="001C5D93" w:rsidP="001C5D93">
      <w:pPr>
        <w:pStyle w:val="ab"/>
        <w:numPr>
          <w:ilvl w:val="0"/>
          <w:numId w:val="78"/>
        </w:numPr>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وساطة جزئية</w:t>
      </w:r>
      <w:r w:rsidRPr="001C5D93">
        <w:rPr>
          <w:rFonts w:ascii="Traditional Arabic" w:hAnsi="Traditional Arabic" w:cs="Traditional Arabic"/>
          <w:sz w:val="32"/>
          <w:szCs w:val="32"/>
        </w:rPr>
        <w:t xml:space="preserve"> (Partial Mediation): </w:t>
      </w:r>
      <w:r w:rsidRPr="001C5D93">
        <w:rPr>
          <w:rFonts w:ascii="Traditional Arabic" w:hAnsi="Traditional Arabic" w:cs="Traditional Arabic"/>
          <w:sz w:val="32"/>
          <w:szCs w:val="32"/>
          <w:rtl/>
        </w:rPr>
        <w:t>عندما يظل التأثير المباشر موجودًا، لكنه ينخفض في القوة بعد إدخال المتغير الوسيط</w:t>
      </w:r>
      <w:r w:rsidRPr="001C5D93">
        <w:rPr>
          <w:rFonts w:ascii="Traditional Arabic" w:hAnsi="Traditional Arabic" w:cs="Traditional Arabic"/>
          <w:sz w:val="32"/>
          <w:szCs w:val="32"/>
        </w:rPr>
        <w:t>.</w:t>
      </w:r>
    </w:p>
    <w:p w14:paraId="6709F124"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t>ويرتكز نموذج الوساطة على افتراض أن العلاقة بين المتغيرات لا تكون دائمًا مباشرة، بل قد تمر عبر آليات تنظيمية أو سلوكية أو تكنولوجية تفسر طبيعة التأثير. وفي الدراسات التنظيمية، يُستخدم هذا النموذج لفهم الكيفية التي تُترجم بها التغيرات الهيكلية أو الإدارية إلى نتائج تشغيلية ملموسة</w:t>
      </w:r>
      <w:r w:rsidRPr="001C5D93">
        <w:rPr>
          <w:rFonts w:ascii="Traditional Arabic" w:hAnsi="Traditional Arabic" w:cs="Traditional Arabic"/>
          <w:sz w:val="32"/>
          <w:szCs w:val="32"/>
        </w:rPr>
        <w:t>.</w:t>
      </w:r>
    </w:p>
    <w:p w14:paraId="0374E9BE" w14:textId="1C24F29F"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Pr>
      </w:pPr>
      <w:r w:rsidRPr="001C5D93">
        <w:rPr>
          <w:rFonts w:ascii="Traditional Arabic" w:hAnsi="Traditional Arabic" w:cs="Traditional Arabic"/>
          <w:sz w:val="32"/>
          <w:szCs w:val="32"/>
          <w:rtl/>
        </w:rPr>
        <w:lastRenderedPageBreak/>
        <w:t>وفي سياق الدراسة الحالية، يمثل التطوير التنظيمي المتغير المستقل، وتمثل إدارة المخاطر المتغير التابع، في حين تمثل التكنولوجيا الذكية المتغير الوسيط الذي يفسر كيفية انتقال تأثير التطوير التنظيمي إلى تحسين إدارة المخاطر داخل المستشفى</w:t>
      </w:r>
      <w:r>
        <w:rPr>
          <w:rFonts w:ascii="Traditional Arabic" w:hAnsi="Traditional Arabic" w:cs="Traditional Arabic" w:hint="cs"/>
          <w:sz w:val="32"/>
          <w:szCs w:val="32"/>
          <w:rtl/>
        </w:rPr>
        <w:t>؛</w:t>
      </w:r>
      <w:r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فالتطوير التنظيمي</w:t>
      </w:r>
      <w:r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من خلال تحديث الهيكل التنظيمي وإعادة هندسة العمليات وتمكين العاملين، لا يؤدي مباشرة فقط إلى تحسين إدارة المخاطر</w:t>
      </w:r>
      <w:r>
        <w:rPr>
          <w:rFonts w:ascii="Traditional Arabic" w:hAnsi="Traditional Arabic" w:cs="Traditional Arabic" w:hint="cs"/>
          <w:sz w:val="32"/>
          <w:szCs w:val="32"/>
          <w:rtl/>
        </w:rPr>
        <w:t>؛</w:t>
      </w:r>
      <w:r w:rsidRPr="001C5D93">
        <w:rPr>
          <w:rFonts w:ascii="Traditional Arabic" w:hAnsi="Traditional Arabic" w:cs="Traditional Arabic"/>
          <w:sz w:val="32"/>
          <w:szCs w:val="32"/>
          <w:rtl/>
        </w:rPr>
        <w:t xml:space="preserve"> بل يعزز أولًا من مستوى تبني التكنولوجيا الذكية</w:t>
      </w:r>
      <w:r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وهذه التكنولوجيا ممثلة في أنظمة دعم القرار السريري، وأنظمة الإنذار المبكر، وأنظمة التحليلات التنبؤية تسهم بدورها في تحسين التخطيط للمخاطر، وتعزيز الممارسات الوقائية، وتطوير الموقف التنظيمي تجاه المخاطر</w:t>
      </w:r>
      <w:r w:rsidRPr="001C5D93">
        <w:rPr>
          <w:rFonts w:ascii="Traditional Arabic" w:hAnsi="Traditional Arabic" w:cs="Traditional Arabic"/>
          <w:sz w:val="32"/>
          <w:szCs w:val="32"/>
        </w:rPr>
        <w:t>.</w:t>
      </w:r>
    </w:p>
    <w:p w14:paraId="3737D492" w14:textId="77777777" w:rsidR="001C5D93" w:rsidRP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hAnsi="Traditional Arabic" w:cs="Traditional Arabic"/>
          <w:sz w:val="32"/>
          <w:szCs w:val="32"/>
          <w:rtl/>
        </w:rPr>
        <w:t>وبذلك، فإن نموذج الوساطة يفسر العلاقة بين متغيرات الدراسة باعتبارها علاقة سببية غير مباشرة، تنتقل من خلال قناة تكنولوجية تسهم في تحويل الجهود التنظيمية إلى نتائج عملية في مجال إدارة المخاطر. ويُعد اعتماد هذا النموذج مناسبًا في البيئة الصحية، حيث إن التحسينات التنظيمية غالبًا ما تُترجم إلى نتائج تشغيلية عبر أدوات رقمية وتقنية تعزز جودة القرار وتقلل درجة عدم اليقين</w:t>
      </w:r>
      <w:r w:rsidRPr="001C5D93">
        <w:rPr>
          <w:rFonts w:ascii="Traditional Arabic" w:hAnsi="Traditional Arabic" w:cs="Traditional Arabic"/>
          <w:sz w:val="32"/>
          <w:szCs w:val="32"/>
        </w:rPr>
        <w:t>.</w:t>
      </w:r>
    </w:p>
    <w:p w14:paraId="73E2C7DE" w14:textId="03C84520" w:rsidR="001C5D93" w:rsidRPr="001C5D93" w:rsidRDefault="001C5D93" w:rsidP="001C5D93">
      <w:pPr>
        <w:pStyle w:val="ab"/>
        <w:bidi/>
        <w:spacing w:before="0" w:beforeAutospacing="0" w:after="120" w:afterAutospacing="0"/>
        <w:jc w:val="both"/>
        <w:rPr>
          <w:rFonts w:ascii="Traditional Arabic" w:hAnsi="Traditional Arabic" w:cs="Traditional Arabic"/>
          <w:b/>
          <w:bCs/>
          <w:sz w:val="36"/>
          <w:szCs w:val="36"/>
          <w:rtl/>
        </w:rPr>
      </w:pPr>
      <w:r w:rsidRPr="001C5D93">
        <w:rPr>
          <w:rFonts w:ascii="Traditional Arabic" w:hAnsi="Traditional Arabic" w:cs="Traditional Arabic" w:hint="cs"/>
          <w:b/>
          <w:bCs/>
          <w:sz w:val="36"/>
          <w:szCs w:val="36"/>
          <w:rtl/>
        </w:rPr>
        <w:t xml:space="preserve">ثانيًا: </w:t>
      </w:r>
      <w:r>
        <w:rPr>
          <w:rFonts w:ascii="Traditional Arabic" w:hAnsi="Traditional Arabic" w:cs="Traditional Arabic" w:hint="cs"/>
          <w:b/>
          <w:bCs/>
          <w:sz w:val="36"/>
          <w:szCs w:val="36"/>
          <w:rtl/>
        </w:rPr>
        <w:t>ال</w:t>
      </w:r>
      <w:r w:rsidRPr="001C5D93">
        <w:rPr>
          <w:rFonts w:ascii="Traditional Arabic" w:hAnsi="Traditional Arabic" w:cs="Traditional Arabic" w:hint="cs"/>
          <w:b/>
          <w:bCs/>
          <w:sz w:val="36"/>
          <w:szCs w:val="36"/>
          <w:rtl/>
        </w:rPr>
        <w:t>نموذج</w:t>
      </w:r>
      <w:r>
        <w:rPr>
          <w:rFonts w:ascii="Traditional Arabic" w:hAnsi="Traditional Arabic" w:cs="Traditional Arabic" w:hint="cs"/>
          <w:b/>
          <w:bCs/>
          <w:sz w:val="36"/>
          <w:szCs w:val="36"/>
          <w:rtl/>
        </w:rPr>
        <w:t xml:space="preserve"> المفاهيمي</w:t>
      </w:r>
      <w:r w:rsidRPr="001C5D93">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لل</w:t>
      </w:r>
      <w:r w:rsidRPr="001C5D93">
        <w:rPr>
          <w:rFonts w:ascii="Traditional Arabic" w:hAnsi="Traditional Arabic" w:cs="Traditional Arabic" w:hint="cs"/>
          <w:b/>
          <w:bCs/>
          <w:sz w:val="36"/>
          <w:szCs w:val="36"/>
          <w:rtl/>
        </w:rPr>
        <w:t>دراسة</w:t>
      </w:r>
    </w:p>
    <w:p w14:paraId="5E1A7FE4" w14:textId="71D323CD" w:rsidR="001C5D93" w:rsidRDefault="001C5D93" w:rsidP="001C5D93">
      <w:pPr>
        <w:pStyle w:val="ab"/>
        <w:bidi/>
        <w:spacing w:before="0" w:beforeAutospacing="0" w:after="120" w:afterAutospacing="0"/>
        <w:jc w:val="both"/>
        <w:rPr>
          <w:rFonts w:ascii="Traditional Arabic" w:hAnsi="Traditional Arabic" w:cs="Traditional Arabic"/>
          <w:sz w:val="32"/>
          <w:szCs w:val="32"/>
          <w:rtl/>
        </w:rPr>
      </w:pPr>
      <w:r w:rsidRPr="001C5D93">
        <w:rPr>
          <w:rFonts w:ascii="Traditional Arabic" w:eastAsiaTheme="minorHAnsi" w:hAnsi="Traditional Arabic" w:cs="Traditional Arabic"/>
          <w:b/>
          <w:bCs/>
          <w:noProof/>
          <w:sz w:val="32"/>
          <w:szCs w:val="32"/>
          <w14:ligatures w14:val="standardContextual"/>
        </w:rPr>
        <mc:AlternateContent>
          <mc:Choice Requires="wps">
            <w:drawing>
              <wp:anchor distT="0" distB="0" distL="114300" distR="114300" simplePos="0" relativeHeight="251688960" behindDoc="0" locked="0" layoutInCell="1" allowOverlap="1" wp14:anchorId="41D2DCC6" wp14:editId="67DE5710">
                <wp:simplePos x="0" y="0"/>
                <wp:positionH relativeFrom="column">
                  <wp:posOffset>1907631</wp:posOffset>
                </wp:positionH>
                <wp:positionV relativeFrom="paragraph">
                  <wp:posOffset>466000</wp:posOffset>
                </wp:positionV>
                <wp:extent cx="2047875" cy="428625"/>
                <wp:effectExtent l="0" t="0" r="9525" b="9525"/>
                <wp:wrapNone/>
                <wp:docPr id="1194704761" name="مربع نص 9"/>
                <wp:cNvGraphicFramePr/>
                <a:graphic xmlns:a="http://schemas.openxmlformats.org/drawingml/2006/main">
                  <a:graphicData uri="http://schemas.microsoft.com/office/word/2010/wordprocessingShape">
                    <wps:wsp>
                      <wps:cNvSpPr txBox="1"/>
                      <wps:spPr>
                        <a:xfrm>
                          <a:off x="0" y="0"/>
                          <a:ext cx="2047875" cy="428625"/>
                        </a:xfrm>
                        <a:prstGeom prst="rect">
                          <a:avLst/>
                        </a:prstGeom>
                        <a:solidFill>
                          <a:schemeClr val="lt1"/>
                        </a:solidFill>
                        <a:ln w="6350">
                          <a:noFill/>
                        </a:ln>
                      </wps:spPr>
                      <wps:txbx>
                        <w:txbxContent>
                          <w:p w14:paraId="2F7AA333" w14:textId="77777777" w:rsidR="001C5D93" w:rsidRPr="00D9415E" w:rsidRDefault="001C5D93" w:rsidP="001C5D93">
                            <w:pPr>
                              <w:rPr>
                                <w:rFonts w:ascii="Agency FB" w:hAnsi="Agency FB" w:cs="Sakkal Majalla"/>
                                <w:b/>
                                <w:bCs/>
                                <w:color w:val="808080" w:themeColor="background1" w:themeShade="80"/>
                                <w:sz w:val="24"/>
                                <w:szCs w:val="24"/>
                                <w:rtl/>
                              </w:rPr>
                            </w:pPr>
                            <w:r w:rsidRPr="00D9415E">
                              <w:rPr>
                                <w:rFonts w:ascii="Agency FB" w:hAnsi="Agency FB" w:cs="Sakkal Majalla"/>
                                <w:b/>
                                <w:bCs/>
                                <w:color w:val="808080" w:themeColor="background1" w:themeShade="80"/>
                                <w:sz w:val="24"/>
                                <w:szCs w:val="24"/>
                              </w:rPr>
                              <w:t>H4 :(H2</w:t>
                            </w:r>
                            <w:r w:rsidRPr="00D9415E">
                              <w:rPr>
                                <w:rFonts w:hint="cs"/>
                                <w:b/>
                                <w:bCs/>
                                <w:rtl/>
                              </w:rPr>
                              <w:t>ت</w:t>
                            </w:r>
                            <w:r w:rsidRPr="00D9415E">
                              <w:rPr>
                                <w:rFonts w:hint="cs"/>
                                <w:b/>
                                <w:bCs/>
                                <w:color w:val="323E4F" w:themeColor="text2" w:themeShade="BF"/>
                                <w:rtl/>
                              </w:rPr>
                              <w:t>أثير الوساطة</w:t>
                            </w:r>
                            <w:r>
                              <w:rPr>
                                <w:rFonts w:hint="cs"/>
                                <w:b/>
                                <w:bCs/>
                                <w:color w:val="323E4F" w:themeColor="text2" w:themeShade="BF"/>
                                <w:rtl/>
                              </w:rPr>
                              <w:t xml:space="preserve">           </w:t>
                            </w:r>
                            <w:r>
                              <w:rPr>
                                <w:rFonts w:ascii="Agency FB" w:hAnsi="Agency FB" w:cs="Sakkal Majalla"/>
                                <w:b/>
                                <w:bCs/>
                                <w:color w:val="808080" w:themeColor="background1" w:themeShade="80"/>
                                <w:sz w:val="24"/>
                                <w:szCs w:val="24"/>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2DCC6" id="_x0000_t202" coordsize="21600,21600" o:spt="202" path="m,l,21600r21600,l21600,xe">
                <v:stroke joinstyle="miter"/>
                <v:path gradientshapeok="t" o:connecttype="rect"/>
              </v:shapetype>
              <v:shape id="مربع نص 9" o:spid="_x0000_s1026" type="#_x0000_t202" style="position:absolute;left:0;text-align:left;margin-left:150.2pt;margin-top:36.7pt;width:161.25pt;height:3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" fillcolor="white [3201]" stroked="f" strokeweight=".5pt">
                <v:textbox>
                  <w:txbxContent>
                    <w:p w14:paraId="2F7AA333" w14:textId="77777777" w:rsidR="001C5D93" w:rsidRPr="00D9415E" w:rsidRDefault="001C5D93" w:rsidP="001C5D93">
                      <w:pPr>
                        <w:rPr>
                          <w:rFonts w:ascii="Agency FB" w:hAnsi="Agency FB" w:cs="Sakkal Majalla"/>
                          <w:b/>
                          <w:bCs/>
                          <w:color w:val="808080" w:themeColor="background1" w:themeShade="80"/>
                          <w:sz w:val="24"/>
                          <w:szCs w:val="24"/>
                          <w:rtl/>
                        </w:rPr>
                      </w:pPr>
                      <w:r w:rsidRPr="00D9415E">
                        <w:rPr>
                          <w:rFonts w:ascii="Agency FB" w:hAnsi="Agency FB" w:cs="Sakkal Majalla"/>
                          <w:b/>
                          <w:bCs/>
                          <w:color w:val="808080" w:themeColor="background1" w:themeShade="80"/>
                          <w:sz w:val="24"/>
                          <w:szCs w:val="24"/>
                        </w:rPr>
                        <w:t>H4 :(H2</w:t>
                      </w:r>
                      <w:r w:rsidRPr="00D9415E">
                        <w:rPr>
                          <w:rFonts w:hint="cs"/>
                          <w:b/>
                          <w:bCs/>
                          <w:rtl/>
                        </w:rPr>
                        <w:t>ت</w:t>
                      </w:r>
                      <w:r w:rsidRPr="00D9415E">
                        <w:rPr>
                          <w:rFonts w:hint="cs"/>
                          <w:b/>
                          <w:bCs/>
                          <w:color w:val="323E4F" w:themeColor="text2" w:themeShade="BF"/>
                          <w:rtl/>
                        </w:rPr>
                        <w:t>أثير الوساطة</w:t>
                      </w:r>
                      <w:r>
                        <w:rPr>
                          <w:rFonts w:hint="cs"/>
                          <w:b/>
                          <w:bCs/>
                          <w:color w:val="323E4F" w:themeColor="text2" w:themeShade="BF"/>
                          <w:rtl/>
                        </w:rPr>
                        <w:t xml:space="preserve">           </w:t>
                      </w:r>
                      <w:r>
                        <w:rPr>
                          <w:rFonts w:ascii="Agency FB" w:hAnsi="Agency FB" w:cs="Sakkal Majalla"/>
                          <w:b/>
                          <w:bCs/>
                          <w:color w:val="808080" w:themeColor="background1" w:themeShade="80"/>
                          <w:sz w:val="24"/>
                          <w:szCs w:val="24"/>
                        </w:rPr>
                        <w:t>)</w:t>
                      </w:r>
                    </w:p>
                  </w:txbxContent>
                </v:textbox>
              </v:shape>
            </w:pict>
          </mc:Fallback>
        </mc:AlternateContent>
      </w:r>
      <w:r w:rsidRPr="001C5D93">
        <w:rPr>
          <w:rFonts w:ascii="Traditional Arabic" w:eastAsiaTheme="minorHAnsi" w:hAnsi="Traditional Arabic" w:cs="Traditional Arabic"/>
          <w:b/>
          <w:bCs/>
          <w:noProof/>
          <w:sz w:val="32"/>
          <w:szCs w:val="32"/>
          <w14:ligatures w14:val="standardContextual"/>
        </w:rPr>
        <mc:AlternateContent>
          <mc:Choice Requires="wps">
            <w:drawing>
              <wp:anchor distT="0" distB="0" distL="114300" distR="114300" simplePos="0" relativeHeight="251693056" behindDoc="0" locked="0" layoutInCell="1" allowOverlap="1" wp14:anchorId="23A90F92" wp14:editId="413E807C">
                <wp:simplePos x="0" y="0"/>
                <wp:positionH relativeFrom="column">
                  <wp:posOffset>2423795</wp:posOffset>
                </wp:positionH>
                <wp:positionV relativeFrom="paragraph">
                  <wp:posOffset>618490</wp:posOffset>
                </wp:positionV>
                <wp:extent cx="352425" cy="0"/>
                <wp:effectExtent l="0" t="0" r="0" b="0"/>
                <wp:wrapNone/>
                <wp:docPr id="1729087412" name="رابط مستقيم 12"/>
                <wp:cNvGraphicFramePr/>
                <a:graphic xmlns:a="http://schemas.openxmlformats.org/drawingml/2006/main">
                  <a:graphicData uri="http://schemas.microsoft.com/office/word/2010/wordprocessingShape">
                    <wps:wsp>
                      <wps:cNvCnPr/>
                      <wps:spPr>
                        <a:xfrm>
                          <a:off x="0" y="0"/>
                          <a:ext cx="352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8E765D" id="رابط مستقيم 12" o:spid="_x0000_s1026" style="position:absolute;left:0;text-align:left;z-index:251693056;visibility:visible;mso-wrap-style:square;mso-wrap-distance-left:9pt;mso-wrap-distance-top:0;mso-wrap-distance-right:9pt;mso-wrap-distance-bottom:0;mso-position-horizontal:absolute;mso-position-horizontal-relative:text;mso-position-vertical:absolute;mso-position-vertical-relative:text" from="190.85pt,48.7pt" to="218.6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" strokecolor="#4472c4 [3204]" strokeweight=".5pt">
                <v:stroke joinstyle="miter"/>
              </v:line>
            </w:pict>
          </mc:Fallback>
        </mc:AlternateContent>
      </w:r>
      <w:r w:rsidRPr="001C5D93">
        <w:rPr>
          <w:rFonts w:ascii="Traditional Arabic" w:eastAsiaTheme="minorHAnsi" w:hAnsi="Traditional Arabic" w:cs="Traditional Arabic"/>
          <w:b/>
          <w:bCs/>
          <w:noProof/>
          <w:sz w:val="32"/>
          <w:szCs w:val="32"/>
          <w14:ligatures w14:val="standardContextual"/>
        </w:rPr>
        <mc:AlternateContent>
          <mc:Choice Requires="wps">
            <w:drawing>
              <wp:anchor distT="0" distB="0" distL="114300" distR="114300" simplePos="0" relativeHeight="251692032" behindDoc="0" locked="0" layoutInCell="1" allowOverlap="1" wp14:anchorId="1BE228D3" wp14:editId="2356BF1C">
                <wp:simplePos x="0" y="0"/>
                <wp:positionH relativeFrom="column">
                  <wp:posOffset>2385695</wp:posOffset>
                </wp:positionH>
                <wp:positionV relativeFrom="paragraph">
                  <wp:posOffset>618490</wp:posOffset>
                </wp:positionV>
                <wp:extent cx="0" cy="0"/>
                <wp:effectExtent l="0" t="0" r="0" b="0"/>
                <wp:wrapNone/>
                <wp:docPr id="1586037438" name="رابط مستقيم 1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E938FD" id="رابط مستقيم 11" o:spid="_x0000_s1026" style="position:absolute;left:0;text-align:left;z-index:251692032;visibility:visible;mso-wrap-style:square;mso-wrap-distance-left:9pt;mso-wrap-distance-top:0;mso-wrap-distance-right:9pt;mso-wrap-distance-bottom:0;mso-position-horizontal:absolute;mso-position-horizontal-relative:text;mso-position-vertical:absolute;mso-position-vertical-relative:text" from="187.85pt,48.7pt" to="187.8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" strokecolor="#4472c4 [3204]" strokeweight=".5pt">
                <v:stroke joinstyle="miter"/>
              </v:line>
            </w:pict>
          </mc:Fallback>
        </mc:AlternateContent>
      </w:r>
      <w:r w:rsidRPr="001C5D93">
        <w:rPr>
          <w:rFonts w:ascii="Traditional Arabic" w:hAnsi="Traditional Arabic" w:cs="Traditional Arabic"/>
          <w:sz w:val="32"/>
          <w:szCs w:val="32"/>
          <w:rtl/>
        </w:rPr>
        <w:t xml:space="preserve">في ضوء ما سبق عرضه من نظريات ونماذج تفسيرية، يتبلور الإطار المفاهيمي الذي تستند إليه الدراسة في صياغة نموذجها </w:t>
      </w:r>
      <w:r w:rsidRPr="001C5D93">
        <w:rPr>
          <w:rFonts w:ascii="Traditional Arabic" w:hAnsi="Traditional Arabic" w:cs="Traditional Arabic" w:hint="cs"/>
          <w:sz w:val="32"/>
          <w:szCs w:val="32"/>
          <w:rtl/>
        </w:rPr>
        <w:t>النظري كما يلي:</w:t>
      </w:r>
    </w:p>
    <w:p w14:paraId="39A92B90" w14:textId="77777777" w:rsidR="001C5D93" w:rsidRPr="001C5D93" w:rsidRDefault="001C5D93" w:rsidP="001C5D93">
      <w:pPr>
        <w:pStyle w:val="ab"/>
        <w:bidi/>
        <w:spacing w:before="0" w:beforeAutospacing="0" w:after="120" w:afterAutospacing="0"/>
        <w:ind w:left="360"/>
        <w:jc w:val="center"/>
        <w:rPr>
          <w:rFonts w:ascii="Traditional Arabic" w:hAnsi="Traditional Arabic" w:cs="Traditional Arabic"/>
          <w:b/>
          <w:bCs/>
          <w:sz w:val="32"/>
          <w:szCs w:val="32"/>
          <w:rtl/>
        </w:rPr>
      </w:pPr>
      <w:r w:rsidRPr="001C5D93">
        <w:rPr>
          <w:rFonts w:ascii="Traditional Arabic" w:hAnsi="Traditional Arabic" w:cs="Traditional Arabic" w:hint="cs"/>
          <w:noProof/>
          <w:sz w:val="32"/>
          <w:szCs w:val="32"/>
          <w14:ligatures w14:val="standardContextual"/>
        </w:rPr>
        <mc:AlternateContent>
          <mc:Choice Requires="wps">
            <w:drawing>
              <wp:anchor distT="0" distB="0" distL="114300" distR="114300" simplePos="0" relativeHeight="251691008" behindDoc="0" locked="0" layoutInCell="1" allowOverlap="1" wp14:anchorId="47BD0B18" wp14:editId="3A5F6558">
                <wp:simplePos x="0" y="0"/>
                <wp:positionH relativeFrom="column">
                  <wp:posOffset>2214245</wp:posOffset>
                </wp:positionH>
                <wp:positionV relativeFrom="paragraph">
                  <wp:posOffset>442595</wp:posOffset>
                </wp:positionV>
                <wp:extent cx="1323975" cy="1371600"/>
                <wp:effectExtent l="0" t="0" r="9525" b="0"/>
                <wp:wrapNone/>
                <wp:docPr id="1222539631" name="مستطيل 6"/>
                <wp:cNvGraphicFramePr/>
                <a:graphic xmlns:a="http://schemas.openxmlformats.org/drawingml/2006/main">
                  <a:graphicData uri="http://schemas.microsoft.com/office/word/2010/wordprocessingShape">
                    <wps:wsp>
                      <wps:cNvSpPr/>
                      <wps:spPr>
                        <a:xfrm>
                          <a:off x="0" y="0"/>
                          <a:ext cx="1323975" cy="1371600"/>
                        </a:xfrm>
                        <a:prstGeom prst="rect">
                          <a:avLst/>
                        </a:prstGeom>
                        <a:solidFill>
                          <a:srgbClr val="FFC000">
                            <a:lumMod val="75000"/>
                          </a:srgbClr>
                        </a:solidFill>
                        <a:ln w="12700" cap="flat" cmpd="sng" algn="ctr">
                          <a:noFill/>
                          <a:prstDash val="solid"/>
                          <a:miter lim="800000"/>
                        </a:ln>
                        <a:effectLst/>
                      </wps:spPr>
                      <wps:txbx>
                        <w:txbxContent>
                          <w:p w14:paraId="667ADB84" w14:textId="77777777" w:rsidR="001C5D93" w:rsidRPr="001B59C1" w:rsidRDefault="001C5D93" w:rsidP="001C5D93">
                            <w:pPr>
                              <w:jc w:val="center"/>
                              <w:rPr>
                                <w:b/>
                                <w:bCs/>
                                <w:color w:val="FFFFFF"/>
                                <w:rtl/>
                              </w:rPr>
                            </w:pPr>
                            <w:r w:rsidRPr="001B59C1">
                              <w:rPr>
                                <w:rFonts w:hint="cs"/>
                                <w:b/>
                                <w:bCs/>
                                <w:color w:val="FFFFFF"/>
                                <w:rtl/>
                              </w:rPr>
                              <w:t xml:space="preserve">المتغير الوسيط </w:t>
                            </w:r>
                          </w:p>
                          <w:p w14:paraId="1244348B" w14:textId="77777777" w:rsidR="001C5D93" w:rsidRPr="001B59C1" w:rsidRDefault="001C5D93" w:rsidP="001C5D93">
                            <w:pPr>
                              <w:jc w:val="center"/>
                              <w:rPr>
                                <w:b/>
                                <w:bCs/>
                                <w:color w:val="FFFFFF"/>
                                <w:rtl/>
                              </w:rPr>
                            </w:pPr>
                            <w:r w:rsidRPr="001B59C1">
                              <w:rPr>
                                <w:rFonts w:hint="cs"/>
                                <w:b/>
                                <w:bCs/>
                                <w:color w:val="FFFFFF"/>
                                <w:rtl/>
                              </w:rPr>
                              <w:t>التكنولوجيا الذكية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D0B18" id="مستطيل 6" o:spid="_x0000_s1027" style="position:absolute;left:0;text-align:left;margin-left:174.35pt;margin-top:34.85pt;width:104.25pt;height:10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" fillcolor="#bf9000" stroked="f" strokeweight="1pt">
                <v:textbox>
                  <w:txbxContent>
                    <w:p w14:paraId="667ADB84" w14:textId="77777777" w:rsidR="001C5D93" w:rsidRPr="001B59C1" w:rsidRDefault="001C5D93" w:rsidP="001C5D93">
                      <w:pPr>
                        <w:jc w:val="center"/>
                        <w:rPr>
                          <w:b/>
                          <w:bCs/>
                          <w:color w:val="FFFFFF"/>
                          <w:rtl/>
                        </w:rPr>
                      </w:pPr>
                      <w:r w:rsidRPr="001B59C1">
                        <w:rPr>
                          <w:rFonts w:hint="cs"/>
                          <w:b/>
                          <w:bCs/>
                          <w:color w:val="FFFFFF"/>
                          <w:rtl/>
                        </w:rPr>
                        <w:t xml:space="preserve">المتغير الوسيط </w:t>
                      </w:r>
                    </w:p>
                    <w:p w14:paraId="1244348B" w14:textId="77777777" w:rsidR="001C5D93" w:rsidRPr="001B59C1" w:rsidRDefault="001C5D93" w:rsidP="001C5D93">
                      <w:pPr>
                        <w:jc w:val="center"/>
                        <w:rPr>
                          <w:b/>
                          <w:bCs/>
                          <w:color w:val="FFFFFF"/>
                          <w:rtl/>
                        </w:rPr>
                      </w:pPr>
                      <w:r w:rsidRPr="001B59C1">
                        <w:rPr>
                          <w:rFonts w:hint="cs"/>
                          <w:b/>
                          <w:bCs/>
                          <w:color w:val="FFFFFF"/>
                          <w:rtl/>
                        </w:rPr>
                        <w:t>التكنولوجيا الذكية</w:t>
                      </w:r>
                    </w:p>
                  </w:txbxContent>
                </v:textbox>
              </v:rect>
            </w:pict>
          </mc:Fallback>
        </mc:AlternateContent>
      </w:r>
      <w:r w:rsidRPr="001C5D93">
        <w:rPr>
          <w:rFonts w:ascii="Traditional Arabic" w:eastAsiaTheme="minorHAnsi" w:hAnsi="Traditional Arabic" w:cs="Traditional Arabic"/>
          <w:b/>
          <w:bCs/>
          <w:noProof/>
          <w:sz w:val="32"/>
          <w:szCs w:val="32"/>
        </w:rPr>
        <w:drawing>
          <wp:anchor distT="0" distB="0" distL="114300" distR="114300" simplePos="0" relativeHeight="251689984" behindDoc="1" locked="0" layoutInCell="1" allowOverlap="1" wp14:anchorId="78BFC1B3" wp14:editId="6F76DCF8">
            <wp:simplePos x="0" y="0"/>
            <wp:positionH relativeFrom="column">
              <wp:posOffset>1604645</wp:posOffset>
            </wp:positionH>
            <wp:positionV relativeFrom="paragraph">
              <wp:posOffset>185420</wp:posOffset>
            </wp:positionV>
            <wp:extent cx="2533650" cy="1943100"/>
            <wp:effectExtent l="0" t="0" r="0" b="0"/>
            <wp:wrapTight wrapText="bothSides">
              <wp:wrapPolygon edited="0">
                <wp:start x="0" y="0"/>
                <wp:lineTo x="0" y="21388"/>
                <wp:lineTo x="21438" y="21388"/>
                <wp:lineTo x="21438" y="0"/>
                <wp:lineTo x="0" y="0"/>
              </wp:wrapPolygon>
            </wp:wrapTight>
            <wp:docPr id="2028632396"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533650" cy="1943100"/>
                    </a:xfrm>
                    <a:prstGeom prst="rect">
                      <a:avLst/>
                    </a:prstGeom>
                    <a:noFill/>
                  </pic:spPr>
                </pic:pic>
              </a:graphicData>
            </a:graphic>
            <wp14:sizeRelH relativeFrom="page">
              <wp14:pctWidth>0</wp14:pctWidth>
            </wp14:sizeRelH>
            <wp14:sizeRelV relativeFrom="page">
              <wp14:pctHeight>0</wp14:pctHeight>
            </wp14:sizeRelV>
          </wp:anchor>
        </w:drawing>
      </w:r>
      <w:r w:rsidRPr="001C5D93">
        <w:rPr>
          <w:rFonts w:ascii="Traditional Arabic" w:hAnsi="Traditional Arabic" w:cs="Traditional Arabic" w:hint="cs"/>
          <w:noProof/>
          <w:sz w:val="32"/>
          <w:szCs w:val="32"/>
          <w14:ligatures w14:val="standardContextual"/>
        </w:rPr>
        <mc:AlternateContent>
          <mc:Choice Requires="wps">
            <w:drawing>
              <wp:anchor distT="0" distB="0" distL="114300" distR="114300" simplePos="0" relativeHeight="251686912" behindDoc="0" locked="0" layoutInCell="1" allowOverlap="1" wp14:anchorId="3E081A7E" wp14:editId="57ED2C1D">
                <wp:simplePos x="0" y="0"/>
                <wp:positionH relativeFrom="column">
                  <wp:posOffset>356870</wp:posOffset>
                </wp:positionH>
                <wp:positionV relativeFrom="paragraph">
                  <wp:posOffset>433070</wp:posOffset>
                </wp:positionV>
                <wp:extent cx="1247775" cy="1314450"/>
                <wp:effectExtent l="0" t="0" r="9525" b="0"/>
                <wp:wrapNone/>
                <wp:docPr id="399389913" name="مستطيل 6"/>
                <wp:cNvGraphicFramePr/>
                <a:graphic xmlns:a="http://schemas.openxmlformats.org/drawingml/2006/main">
                  <a:graphicData uri="http://schemas.microsoft.com/office/word/2010/wordprocessingShape">
                    <wps:wsp>
                      <wps:cNvSpPr/>
                      <wps:spPr>
                        <a:xfrm>
                          <a:off x="0" y="0"/>
                          <a:ext cx="1247775" cy="1314450"/>
                        </a:xfrm>
                        <a:prstGeom prst="rect">
                          <a:avLst/>
                        </a:prstGeom>
                        <a:solidFill>
                          <a:schemeClr val="accent6">
                            <a:lumMod val="60000"/>
                            <a:lumOff val="40000"/>
                          </a:schemeClr>
                        </a:solidFill>
                        <a:ln w="12700" cap="flat" cmpd="sng" algn="ctr">
                          <a:noFill/>
                          <a:prstDash val="solid"/>
                          <a:miter lim="800000"/>
                        </a:ln>
                        <a:effectLst/>
                      </wps:spPr>
                      <wps:txbx>
                        <w:txbxContent>
                          <w:p w14:paraId="6D9A69CB" w14:textId="77777777" w:rsidR="001C5D93" w:rsidRPr="001B59C1" w:rsidRDefault="001C5D93" w:rsidP="001C5D93">
                            <w:pPr>
                              <w:jc w:val="center"/>
                              <w:rPr>
                                <w:b/>
                                <w:bCs/>
                                <w:color w:val="FFFFFF"/>
                              </w:rPr>
                            </w:pPr>
                            <w:r w:rsidRPr="001B59C1">
                              <w:rPr>
                                <w:rFonts w:hint="cs"/>
                                <w:b/>
                                <w:bCs/>
                                <w:color w:val="FFFFFF"/>
                                <w:rtl/>
                              </w:rPr>
                              <w:t>المتغير التابع / إدارة المخاطر</w:t>
                            </w:r>
                          </w:p>
                          <w:p w14:paraId="57D971B4" w14:textId="77777777" w:rsidR="001C5D93" w:rsidRPr="001B59C1" w:rsidRDefault="001C5D93" w:rsidP="001C5D93">
                            <w:pPr>
                              <w:bidi/>
                              <w:jc w:val="center"/>
                              <w:rPr>
                                <w:color w:val="FFFFFF"/>
                                <w:rtl/>
                              </w:rPr>
                            </w:pPr>
                            <w:r w:rsidRPr="001B59C1">
                              <w:rPr>
                                <w:rFonts w:hint="cs"/>
                                <w:color w:val="FFFFFF"/>
                                <w:rtl/>
                              </w:rPr>
                              <w:t>الهيكل التنظيمي</w:t>
                            </w:r>
                          </w:p>
                          <w:p w14:paraId="4BEBE207" w14:textId="77777777" w:rsidR="001C5D93" w:rsidRPr="001B59C1" w:rsidRDefault="001C5D93" w:rsidP="001C5D93">
                            <w:pPr>
                              <w:bidi/>
                              <w:jc w:val="center"/>
                              <w:rPr>
                                <w:color w:val="FFFFFF"/>
                                <w:rtl/>
                              </w:rPr>
                            </w:pPr>
                            <w:r w:rsidRPr="001B59C1">
                              <w:rPr>
                                <w:rFonts w:hint="cs"/>
                                <w:color w:val="FFFFFF"/>
                                <w:rtl/>
                              </w:rPr>
                              <w:t>إعادة هندسة العمليات</w:t>
                            </w:r>
                          </w:p>
                          <w:p w14:paraId="334B0601" w14:textId="77777777" w:rsidR="001C5D93" w:rsidRPr="001B59C1" w:rsidRDefault="001C5D93" w:rsidP="001C5D93">
                            <w:pPr>
                              <w:bidi/>
                              <w:jc w:val="center"/>
                              <w:rPr>
                                <w:color w:val="FFFFFF"/>
                                <w:rtl/>
                              </w:rPr>
                            </w:pPr>
                            <w:r w:rsidRPr="001B59C1">
                              <w:rPr>
                                <w:rFonts w:hint="cs"/>
                                <w:color w:val="FFFFFF"/>
                                <w:rtl/>
                              </w:rPr>
                              <w:t xml:space="preserve">تمكين العاملين </w:t>
                            </w:r>
                          </w:p>
                          <w:p w14:paraId="60321793" w14:textId="77777777" w:rsidR="001C5D93" w:rsidRPr="001B59C1" w:rsidRDefault="001C5D93" w:rsidP="001C5D93">
                            <w:pPr>
                              <w:jc w:val="center"/>
                              <w:rPr>
                                <w:color w:val="FFFFFF"/>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81A7E" id="_x0000_s1028" style="position:absolute;left:0;text-align:left;margin-left:28.1pt;margin-top:34.1pt;width:98.25pt;height:10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" fillcolor="#a8d08d [1945]" stroked="f" strokeweight="1pt">
                <v:textbox>
                  <w:txbxContent>
                    <w:p w14:paraId="6D9A69CB" w14:textId="77777777" w:rsidR="001C5D93" w:rsidRPr="001B59C1" w:rsidRDefault="001C5D93" w:rsidP="001C5D93">
                      <w:pPr>
                        <w:jc w:val="center"/>
                        <w:rPr>
                          <w:b/>
                          <w:bCs/>
                          <w:color w:val="FFFFFF"/>
                        </w:rPr>
                      </w:pPr>
                      <w:r w:rsidRPr="001B59C1">
                        <w:rPr>
                          <w:rFonts w:hint="cs"/>
                          <w:b/>
                          <w:bCs/>
                          <w:color w:val="FFFFFF"/>
                          <w:rtl/>
                        </w:rPr>
                        <w:t>المتغير التابع / إدارة المخاطر</w:t>
                      </w:r>
                    </w:p>
                    <w:p w14:paraId="57D971B4" w14:textId="77777777" w:rsidR="001C5D93" w:rsidRPr="001B59C1" w:rsidRDefault="001C5D93" w:rsidP="001C5D93">
                      <w:pPr>
                        <w:bidi/>
                        <w:jc w:val="center"/>
                        <w:rPr>
                          <w:color w:val="FFFFFF"/>
                          <w:rtl/>
                        </w:rPr>
                      </w:pPr>
                      <w:r w:rsidRPr="001B59C1">
                        <w:rPr>
                          <w:rFonts w:hint="cs"/>
                          <w:color w:val="FFFFFF"/>
                          <w:rtl/>
                        </w:rPr>
                        <w:t>الهيكل التنظيمي</w:t>
                      </w:r>
                    </w:p>
                    <w:p w14:paraId="4BEBE207" w14:textId="77777777" w:rsidR="001C5D93" w:rsidRPr="001B59C1" w:rsidRDefault="001C5D93" w:rsidP="001C5D93">
                      <w:pPr>
                        <w:bidi/>
                        <w:jc w:val="center"/>
                        <w:rPr>
                          <w:color w:val="FFFFFF"/>
                          <w:rtl/>
                        </w:rPr>
                      </w:pPr>
                      <w:r w:rsidRPr="001B59C1">
                        <w:rPr>
                          <w:rFonts w:hint="cs"/>
                          <w:color w:val="FFFFFF"/>
                          <w:rtl/>
                        </w:rPr>
                        <w:t>إعادة هندسة العمليات</w:t>
                      </w:r>
                    </w:p>
                    <w:p w14:paraId="334B0601" w14:textId="77777777" w:rsidR="001C5D93" w:rsidRPr="001B59C1" w:rsidRDefault="001C5D93" w:rsidP="001C5D93">
                      <w:pPr>
                        <w:bidi/>
                        <w:jc w:val="center"/>
                        <w:rPr>
                          <w:color w:val="FFFFFF"/>
                          <w:rtl/>
                        </w:rPr>
                      </w:pPr>
                      <w:r w:rsidRPr="001B59C1">
                        <w:rPr>
                          <w:rFonts w:hint="cs"/>
                          <w:color w:val="FFFFFF"/>
                          <w:rtl/>
                        </w:rPr>
                        <w:t xml:space="preserve">تمكين العاملين </w:t>
                      </w:r>
                    </w:p>
                    <w:p w14:paraId="60321793" w14:textId="77777777" w:rsidR="001C5D93" w:rsidRPr="001B59C1" w:rsidRDefault="001C5D93" w:rsidP="001C5D93">
                      <w:pPr>
                        <w:jc w:val="center"/>
                        <w:rPr>
                          <w:color w:val="FFFFFF"/>
                        </w:rPr>
                      </w:pPr>
                    </w:p>
                  </w:txbxContent>
                </v:textbox>
              </v:rect>
            </w:pict>
          </mc:Fallback>
        </mc:AlternateContent>
      </w:r>
      <w:r w:rsidRPr="001C5D93">
        <w:rPr>
          <w:rFonts w:ascii="Traditional Arabic" w:hAnsi="Traditional Arabic" w:cs="Traditional Arabic" w:hint="cs"/>
          <w:noProof/>
          <w:sz w:val="32"/>
          <w:szCs w:val="32"/>
          <w14:ligatures w14:val="standardContextual"/>
        </w:rPr>
        <mc:AlternateContent>
          <mc:Choice Requires="wps">
            <w:drawing>
              <wp:anchor distT="0" distB="0" distL="114300" distR="114300" simplePos="0" relativeHeight="251685888" behindDoc="0" locked="0" layoutInCell="1" allowOverlap="1" wp14:anchorId="40C2344B" wp14:editId="755D0054">
                <wp:simplePos x="0" y="0"/>
                <wp:positionH relativeFrom="column">
                  <wp:posOffset>4138295</wp:posOffset>
                </wp:positionH>
                <wp:positionV relativeFrom="paragraph">
                  <wp:posOffset>433070</wp:posOffset>
                </wp:positionV>
                <wp:extent cx="1304925" cy="1304925"/>
                <wp:effectExtent l="0" t="0" r="9525" b="9525"/>
                <wp:wrapNone/>
                <wp:docPr id="930993584" name="مستطيل 6"/>
                <wp:cNvGraphicFramePr/>
                <a:graphic xmlns:a="http://schemas.openxmlformats.org/drawingml/2006/main">
                  <a:graphicData uri="http://schemas.microsoft.com/office/word/2010/wordprocessingShape">
                    <wps:wsp>
                      <wps:cNvSpPr/>
                      <wps:spPr>
                        <a:xfrm>
                          <a:off x="0" y="0"/>
                          <a:ext cx="1304925" cy="1304925"/>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F124CB9" w14:textId="77777777" w:rsidR="001C5D93" w:rsidRDefault="001C5D93" w:rsidP="001C5D93">
                            <w:pPr>
                              <w:jc w:val="center"/>
                              <w:rPr>
                                <w:b/>
                                <w:bCs/>
                              </w:rPr>
                            </w:pPr>
                            <w:r>
                              <w:rPr>
                                <w:rFonts w:hint="cs"/>
                                <w:b/>
                                <w:bCs/>
                                <w:rtl/>
                              </w:rPr>
                              <w:t xml:space="preserve">المتغير المستقل / </w:t>
                            </w:r>
                            <w:r w:rsidRPr="001954EF">
                              <w:rPr>
                                <w:rFonts w:hint="cs"/>
                                <w:b/>
                                <w:bCs/>
                                <w:rtl/>
                              </w:rPr>
                              <w:t>التطوير التنظيمي</w:t>
                            </w:r>
                          </w:p>
                          <w:p w14:paraId="0C162575" w14:textId="77777777" w:rsidR="001C5D93" w:rsidRDefault="001C5D93" w:rsidP="001C5D93">
                            <w:pPr>
                              <w:jc w:val="center"/>
                              <w:rPr>
                                <w:rtl/>
                              </w:rPr>
                            </w:pPr>
                            <w:r w:rsidRPr="00723A89">
                              <w:rPr>
                                <w:rFonts w:hint="cs"/>
                                <w:rtl/>
                              </w:rPr>
                              <w:t>الهيكل التنظيمي</w:t>
                            </w:r>
                          </w:p>
                          <w:p w14:paraId="48A7C196" w14:textId="77777777" w:rsidR="001C5D93" w:rsidRDefault="001C5D93" w:rsidP="001C5D93">
                            <w:pPr>
                              <w:jc w:val="center"/>
                              <w:rPr>
                                <w:rtl/>
                              </w:rPr>
                            </w:pPr>
                            <w:r w:rsidRPr="00723A89">
                              <w:rPr>
                                <w:rFonts w:hint="cs"/>
                                <w:rtl/>
                              </w:rPr>
                              <w:t>إعادة هندسة العمليات</w:t>
                            </w:r>
                          </w:p>
                          <w:p w14:paraId="66BA674A" w14:textId="77777777" w:rsidR="001C5D93" w:rsidRPr="00723A89" w:rsidRDefault="001C5D93" w:rsidP="001C5D93">
                            <w:pPr>
                              <w:jc w:val="center"/>
                              <w:rPr>
                                <w:rtl/>
                              </w:rPr>
                            </w:pPr>
                            <w:r>
                              <w:rPr>
                                <w:rFonts w:hint="cs"/>
                                <w:rtl/>
                              </w:rPr>
                              <w:t>تمكين العاملين</w:t>
                            </w:r>
                            <w:r w:rsidRPr="00723A89">
                              <w:rPr>
                                <w:rFonts w:hint="cs"/>
                                <w:rtl/>
                              </w:rPr>
                              <w:t xml:space="preserve"> </w:t>
                            </w:r>
                          </w:p>
                          <w:p w14:paraId="18196CE2" w14:textId="77777777" w:rsidR="001C5D93" w:rsidRPr="001954EF" w:rsidRDefault="001C5D93" w:rsidP="001C5D93">
                            <w:pPr>
                              <w:rPr>
                                <w:b/>
                                <w:bCs/>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2344B" id="_x0000_s1029" style="position:absolute;left:0;text-align:left;margin-left:325.85pt;margin-top:34.1pt;width:102.75pt;height:10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" fillcolor="#4472c4 [3204]" stroked="f" strokeweight="1pt">
                <v:textbox>
                  <w:txbxContent>
                    <w:p w14:paraId="4F124CB9" w14:textId="77777777" w:rsidR="001C5D93" w:rsidRDefault="001C5D93" w:rsidP="001C5D93">
                      <w:pPr>
                        <w:jc w:val="center"/>
                        <w:rPr>
                          <w:b/>
                          <w:bCs/>
                        </w:rPr>
                      </w:pPr>
                      <w:r>
                        <w:rPr>
                          <w:rFonts w:hint="cs"/>
                          <w:b/>
                          <w:bCs/>
                          <w:rtl/>
                        </w:rPr>
                        <w:t xml:space="preserve">المتغير المستقل / </w:t>
                      </w:r>
                      <w:r w:rsidRPr="001954EF">
                        <w:rPr>
                          <w:rFonts w:hint="cs"/>
                          <w:b/>
                          <w:bCs/>
                          <w:rtl/>
                        </w:rPr>
                        <w:t>التطوير التنظيمي</w:t>
                      </w:r>
                    </w:p>
                    <w:p w14:paraId="0C162575" w14:textId="77777777" w:rsidR="001C5D93" w:rsidRDefault="001C5D93" w:rsidP="001C5D93">
                      <w:pPr>
                        <w:jc w:val="center"/>
                        <w:rPr>
                          <w:rtl/>
                        </w:rPr>
                      </w:pPr>
                      <w:r w:rsidRPr="00723A89">
                        <w:rPr>
                          <w:rFonts w:hint="cs"/>
                          <w:rtl/>
                        </w:rPr>
                        <w:t>الهيكل التنظيمي</w:t>
                      </w:r>
                    </w:p>
                    <w:p w14:paraId="48A7C196" w14:textId="77777777" w:rsidR="001C5D93" w:rsidRDefault="001C5D93" w:rsidP="001C5D93">
                      <w:pPr>
                        <w:jc w:val="center"/>
                        <w:rPr>
                          <w:rtl/>
                        </w:rPr>
                      </w:pPr>
                      <w:r w:rsidRPr="00723A89">
                        <w:rPr>
                          <w:rFonts w:hint="cs"/>
                          <w:rtl/>
                        </w:rPr>
                        <w:t>إعادة هندسة العمليات</w:t>
                      </w:r>
                    </w:p>
                    <w:p w14:paraId="66BA674A" w14:textId="77777777" w:rsidR="001C5D93" w:rsidRPr="00723A89" w:rsidRDefault="001C5D93" w:rsidP="001C5D93">
                      <w:pPr>
                        <w:jc w:val="center"/>
                        <w:rPr>
                          <w:rtl/>
                        </w:rPr>
                      </w:pPr>
                      <w:r>
                        <w:rPr>
                          <w:rFonts w:hint="cs"/>
                          <w:rtl/>
                        </w:rPr>
                        <w:t>تمكين العاملين</w:t>
                      </w:r>
                      <w:r w:rsidRPr="00723A89">
                        <w:rPr>
                          <w:rFonts w:hint="cs"/>
                          <w:rtl/>
                        </w:rPr>
                        <w:t xml:space="preserve"> </w:t>
                      </w:r>
                    </w:p>
                    <w:p w14:paraId="18196CE2" w14:textId="77777777" w:rsidR="001C5D93" w:rsidRPr="001954EF" w:rsidRDefault="001C5D93" w:rsidP="001C5D93">
                      <w:pPr>
                        <w:rPr>
                          <w:b/>
                          <w:bCs/>
                          <w:rtl/>
                        </w:rPr>
                      </w:pPr>
                    </w:p>
                  </w:txbxContent>
                </v:textbox>
              </v:rect>
            </w:pict>
          </mc:Fallback>
        </mc:AlternateContent>
      </w:r>
    </w:p>
    <w:p w14:paraId="29F91612" w14:textId="77777777"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Pr>
      </w:pPr>
    </w:p>
    <w:p w14:paraId="53D07373" w14:textId="77777777"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Pr>
      </w:pPr>
    </w:p>
    <w:p w14:paraId="7EE9E47B" w14:textId="77777777"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Pr>
      </w:pPr>
    </w:p>
    <w:p w14:paraId="6DEF3D7D" w14:textId="65E91C6D"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tl/>
        </w:rPr>
      </w:pPr>
    </w:p>
    <w:p w14:paraId="0E16D987" w14:textId="3AF46301"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tl/>
        </w:rPr>
      </w:pPr>
      <w:r w:rsidRPr="001C5D93">
        <w:rPr>
          <w:rFonts w:ascii="Traditional Arabic" w:hAnsi="Traditional Arabic" w:cs="Traditional Arabic" w:hint="cs"/>
          <w:noProof/>
          <w:sz w:val="32"/>
          <w:szCs w:val="32"/>
          <w14:ligatures w14:val="standardContextual"/>
        </w:rPr>
        <mc:AlternateContent>
          <mc:Choice Requires="wps">
            <w:drawing>
              <wp:anchor distT="0" distB="0" distL="114300" distR="114300" simplePos="0" relativeHeight="251684864" behindDoc="0" locked="0" layoutInCell="1" allowOverlap="1" wp14:anchorId="0BE2839D" wp14:editId="41DB4E58">
                <wp:simplePos x="0" y="0"/>
                <wp:positionH relativeFrom="column">
                  <wp:posOffset>1147445</wp:posOffset>
                </wp:positionH>
                <wp:positionV relativeFrom="paragraph">
                  <wp:posOffset>229326</wp:posOffset>
                </wp:positionV>
                <wp:extent cx="3495675" cy="552450"/>
                <wp:effectExtent l="0" t="0" r="28575" b="19050"/>
                <wp:wrapNone/>
                <wp:docPr id="563365407" name="مستطيل 5"/>
                <wp:cNvGraphicFramePr/>
                <a:graphic xmlns:a="http://schemas.openxmlformats.org/drawingml/2006/main">
                  <a:graphicData uri="http://schemas.microsoft.com/office/word/2010/wordprocessingShape">
                    <wps:wsp>
                      <wps:cNvSpPr/>
                      <wps:spPr>
                        <a:xfrm>
                          <a:off x="0" y="0"/>
                          <a:ext cx="3495675" cy="552450"/>
                        </a:xfrm>
                        <a:prstGeom prst="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78DF17" w14:textId="77777777" w:rsidR="001C5D93" w:rsidRPr="0069194B" w:rsidRDefault="001C5D93" w:rsidP="001C5D93">
                            <w:pPr>
                              <w:spacing w:after="0" w:line="240" w:lineRule="auto"/>
                              <w:jc w:val="center"/>
                              <w:rPr>
                                <w:b/>
                                <w:bCs/>
                              </w:rPr>
                            </w:pPr>
                            <w:r w:rsidRPr="0069194B">
                              <w:rPr>
                                <w:rFonts w:hint="cs"/>
                                <w:b/>
                                <w:bCs/>
                                <w:rtl/>
                              </w:rPr>
                              <w:t xml:space="preserve">المتغيرات الضابطة </w:t>
                            </w:r>
                          </w:p>
                          <w:p w14:paraId="57134CA5" w14:textId="77777777" w:rsidR="001C5D93" w:rsidRDefault="001C5D93" w:rsidP="001C5D93">
                            <w:pPr>
                              <w:spacing w:after="0" w:line="240" w:lineRule="auto"/>
                              <w:jc w:val="center"/>
                              <w:rPr>
                                <w:rtl/>
                              </w:rPr>
                            </w:pPr>
                            <w:r>
                              <w:rPr>
                                <w:rFonts w:hint="cs"/>
                                <w:rtl/>
                              </w:rPr>
                              <w:t>الخبرة الوظيفية - المسمى الوظيفي- طبيعة المناوبة - المستوى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2839D" id="مستطيل 5" o:spid="_x0000_s1030" style="position:absolute;left:0;text-align:left;margin-left:90.35pt;margin-top:18.05pt;width:275.25pt;height:4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" fillcolor="#5a5a5a [2109]" strokecolor="#09101d [484]" strokeweight="1pt">
                <v:textbox>
                  <w:txbxContent>
                    <w:p w14:paraId="2B78DF17" w14:textId="77777777" w:rsidR="001C5D93" w:rsidRPr="0069194B" w:rsidRDefault="001C5D93" w:rsidP="001C5D93">
                      <w:pPr>
                        <w:spacing w:after="0" w:line="240" w:lineRule="auto"/>
                        <w:jc w:val="center"/>
                        <w:rPr>
                          <w:b/>
                          <w:bCs/>
                        </w:rPr>
                      </w:pPr>
                      <w:r w:rsidRPr="0069194B">
                        <w:rPr>
                          <w:rFonts w:hint="cs"/>
                          <w:b/>
                          <w:bCs/>
                          <w:rtl/>
                        </w:rPr>
                        <w:t xml:space="preserve">المتغيرات الضابطة </w:t>
                      </w:r>
                    </w:p>
                    <w:p w14:paraId="57134CA5" w14:textId="77777777" w:rsidR="001C5D93" w:rsidRDefault="001C5D93" w:rsidP="001C5D93">
                      <w:pPr>
                        <w:spacing w:after="0" w:line="240" w:lineRule="auto"/>
                        <w:jc w:val="center"/>
                        <w:rPr>
                          <w:rtl/>
                        </w:rPr>
                      </w:pPr>
                      <w:r>
                        <w:rPr>
                          <w:rFonts w:hint="cs"/>
                          <w:rtl/>
                        </w:rPr>
                        <w:t>الخبرة الوظيفية - المسمى الوظيفي- طبيعة المناوبة - المستوى الوظيفي</w:t>
                      </w:r>
                    </w:p>
                  </w:txbxContent>
                </v:textbox>
              </v:rect>
            </w:pict>
          </mc:Fallback>
        </mc:AlternateContent>
      </w:r>
    </w:p>
    <w:p w14:paraId="1DA3BFED" w14:textId="7E2B24D8"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tl/>
        </w:rPr>
      </w:pPr>
    </w:p>
    <w:p w14:paraId="2E069D33" w14:textId="58316D33"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32"/>
          <w:szCs w:val="32"/>
          <w:rtl/>
        </w:rPr>
      </w:pPr>
      <w:r w:rsidRPr="001C5D93">
        <w:rPr>
          <w:noProof/>
          <w:sz w:val="32"/>
          <w:szCs w:val="32"/>
          <w:rtl/>
        </w:rPr>
        <w:drawing>
          <wp:anchor distT="0" distB="0" distL="114300" distR="114300" simplePos="0" relativeHeight="251687936" behindDoc="1" locked="0" layoutInCell="1" allowOverlap="1" wp14:anchorId="2727413A" wp14:editId="41154947">
            <wp:simplePos x="0" y="0"/>
            <wp:positionH relativeFrom="column">
              <wp:posOffset>28938</wp:posOffset>
            </wp:positionH>
            <wp:positionV relativeFrom="paragraph">
              <wp:posOffset>213088</wp:posOffset>
            </wp:positionV>
            <wp:extent cx="5486400" cy="516255"/>
            <wp:effectExtent l="0" t="0" r="0" b="0"/>
            <wp:wrapTight wrapText="bothSides">
              <wp:wrapPolygon edited="0">
                <wp:start x="16650" y="0"/>
                <wp:lineTo x="15900" y="1594"/>
                <wp:lineTo x="14325" y="10362"/>
                <wp:lineTo x="14250" y="15941"/>
                <wp:lineTo x="14625" y="18332"/>
                <wp:lineTo x="15000" y="19926"/>
                <wp:lineTo x="20250" y="19926"/>
                <wp:lineTo x="21525" y="16738"/>
                <wp:lineTo x="21525" y="6376"/>
                <wp:lineTo x="21225" y="3188"/>
                <wp:lineTo x="20250" y="0"/>
                <wp:lineTo x="16650" y="0"/>
              </wp:wrapPolygon>
            </wp:wrapTight>
            <wp:docPr id="93461629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60206"/>
                    <a:stretch>
                      <a:fillRect/>
                    </a:stretch>
                  </pic:blipFill>
                  <pic:spPr bwMode="auto">
                    <a:xfrm>
                      <a:off x="0" y="0"/>
                      <a:ext cx="5486400" cy="516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EBB0F1" w14:textId="77777777" w:rsidR="001C5D93" w:rsidRDefault="001C5D93" w:rsidP="001C5D93">
      <w:pPr>
        <w:pStyle w:val="ab"/>
        <w:bidi/>
        <w:spacing w:before="0" w:beforeAutospacing="0" w:after="0" w:afterAutospacing="0" w:line="144" w:lineRule="auto"/>
        <w:jc w:val="center"/>
        <w:rPr>
          <w:rFonts w:ascii="Traditional Arabic" w:eastAsiaTheme="minorHAnsi" w:hAnsi="Traditional Arabic" w:cs="Traditional Arabic"/>
          <w:b/>
          <w:bCs/>
          <w:sz w:val="32"/>
          <w:szCs w:val="32"/>
          <w:rtl/>
        </w:rPr>
      </w:pPr>
    </w:p>
    <w:p w14:paraId="28406941" w14:textId="77777777" w:rsid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28"/>
          <w:szCs w:val="28"/>
          <w:rtl/>
        </w:rPr>
      </w:pPr>
    </w:p>
    <w:p w14:paraId="4EC9668C" w14:textId="70668670" w:rsidR="001C5D93" w:rsidRPr="001C5D93" w:rsidRDefault="001C5D93" w:rsidP="001C5D93">
      <w:pPr>
        <w:pStyle w:val="ab"/>
        <w:bidi/>
        <w:spacing w:before="0" w:beforeAutospacing="0" w:after="120" w:afterAutospacing="0"/>
        <w:jc w:val="center"/>
        <w:rPr>
          <w:rFonts w:ascii="Traditional Arabic" w:eastAsiaTheme="minorHAnsi" w:hAnsi="Traditional Arabic" w:cs="Traditional Arabic"/>
          <w:b/>
          <w:bCs/>
          <w:sz w:val="28"/>
          <w:szCs w:val="28"/>
          <w:rtl/>
        </w:rPr>
      </w:pPr>
      <w:r w:rsidRPr="001C5D93">
        <w:rPr>
          <w:rFonts w:ascii="Traditional Arabic" w:eastAsiaTheme="minorHAnsi" w:hAnsi="Traditional Arabic" w:cs="Traditional Arabic" w:hint="cs"/>
          <w:b/>
          <w:bCs/>
          <w:sz w:val="28"/>
          <w:szCs w:val="28"/>
          <w:rtl/>
        </w:rPr>
        <w:t>شكل رقم (1): نموذج الدراسة</w:t>
      </w:r>
    </w:p>
    <w:p w14:paraId="7632968F" w14:textId="1E66C717" w:rsidR="001C5D93" w:rsidRPr="001C5D93" w:rsidRDefault="001C5D93" w:rsidP="006D63D8">
      <w:pPr>
        <w:pStyle w:val="ab"/>
        <w:bidi/>
        <w:spacing w:before="0" w:beforeAutospacing="0" w:after="120" w:afterAutospacing="0"/>
        <w:jc w:val="both"/>
        <w:rPr>
          <w:rFonts w:ascii="Traditional Arabic" w:eastAsiaTheme="minorHAnsi" w:hAnsi="Traditional Arabic" w:cs="Traditional Arabic"/>
          <w:sz w:val="32"/>
          <w:szCs w:val="32"/>
          <w:rtl/>
        </w:rPr>
      </w:pPr>
      <w:r w:rsidRPr="001C5D93">
        <w:rPr>
          <w:rFonts w:ascii="Traditional Arabic" w:eastAsiaTheme="minorHAnsi" w:hAnsi="Traditional Arabic" w:cs="Traditional Arabic" w:hint="cs"/>
          <w:b/>
          <w:bCs/>
          <w:sz w:val="32"/>
          <w:szCs w:val="32"/>
          <w:rtl/>
        </w:rPr>
        <w:t>المصدر:</w:t>
      </w:r>
      <w:r w:rsidRPr="001C5D93">
        <w:rPr>
          <w:rFonts w:ascii="Traditional Arabic" w:eastAsiaTheme="minorHAnsi" w:hAnsi="Traditional Arabic" w:cs="Traditional Arabic" w:hint="cs"/>
          <w:sz w:val="32"/>
          <w:szCs w:val="32"/>
          <w:rtl/>
        </w:rPr>
        <w:t xml:space="preserve"> من اعداد الباحث بالاستناد إلى الدراسات السابق</w:t>
      </w:r>
      <w:r w:rsidR="006D63D8">
        <w:rPr>
          <w:rFonts w:ascii="Traditional Arabic" w:eastAsiaTheme="minorHAnsi" w:hAnsi="Traditional Arabic" w:cs="Traditional Arabic" w:hint="cs"/>
          <w:sz w:val="32"/>
          <w:szCs w:val="32"/>
          <w:rtl/>
        </w:rPr>
        <w:t>ة.</w:t>
      </w:r>
    </w:p>
    <w:p w14:paraId="6EB9F9EA" w14:textId="2E7A7A13" w:rsidR="00280594" w:rsidRPr="001C5D93" w:rsidRDefault="001C5D93" w:rsidP="001C5D93">
      <w:pPr>
        <w:bidi/>
        <w:spacing w:after="120" w:line="240" w:lineRule="auto"/>
        <w:jc w:val="both"/>
        <w:rPr>
          <w:rFonts w:ascii="Traditional Arabic" w:hAnsi="Traditional Arabic" w:cs="Traditional Arabic"/>
          <w:bCs/>
          <w:sz w:val="36"/>
          <w:szCs w:val="36"/>
          <w:rtl/>
          <w:lang w:bidi="ar-EG"/>
        </w:rPr>
      </w:pPr>
      <w:r>
        <w:rPr>
          <w:rFonts w:ascii="Traditional Arabic" w:hAnsi="Traditional Arabic" w:cs="Traditional Arabic" w:hint="cs"/>
          <w:bCs/>
          <w:sz w:val="36"/>
          <w:szCs w:val="36"/>
          <w:rtl/>
          <w:lang w:bidi="ar-EG"/>
        </w:rPr>
        <w:lastRenderedPageBreak/>
        <w:t xml:space="preserve">ثالثًا: </w:t>
      </w:r>
      <w:r w:rsidR="0090086B" w:rsidRPr="001C5D93">
        <w:rPr>
          <w:rFonts w:ascii="Traditional Arabic" w:hAnsi="Traditional Arabic" w:cs="Traditional Arabic" w:hint="cs"/>
          <w:bCs/>
          <w:sz w:val="36"/>
          <w:szCs w:val="36"/>
          <w:rtl/>
          <w:lang w:bidi="ar-EG"/>
        </w:rPr>
        <w:t>الإط</w:t>
      </w:r>
      <w:r>
        <w:rPr>
          <w:rFonts w:ascii="Traditional Arabic" w:hAnsi="Traditional Arabic" w:cs="Traditional Arabic" w:hint="cs"/>
          <w:bCs/>
          <w:sz w:val="36"/>
          <w:szCs w:val="36"/>
          <w:rtl/>
          <w:lang w:bidi="ar-EG"/>
        </w:rPr>
        <w:t xml:space="preserve">ار </w:t>
      </w:r>
      <w:r w:rsidR="00280594" w:rsidRPr="001C5D93">
        <w:rPr>
          <w:rFonts w:ascii="Traditional Arabic" w:hAnsi="Traditional Arabic" w:cs="Traditional Arabic" w:hint="cs"/>
          <w:bCs/>
          <w:sz w:val="36"/>
          <w:szCs w:val="36"/>
          <w:rtl/>
          <w:lang w:bidi="ar-EG"/>
        </w:rPr>
        <w:t xml:space="preserve">المفاهيمي </w:t>
      </w:r>
      <w:r w:rsidR="0090086B" w:rsidRPr="001C5D93">
        <w:rPr>
          <w:rFonts w:ascii="Traditional Arabic" w:hAnsi="Traditional Arabic" w:cs="Traditional Arabic" w:hint="cs"/>
          <w:bCs/>
          <w:sz w:val="36"/>
          <w:szCs w:val="36"/>
          <w:rtl/>
          <w:lang w:bidi="ar-EG"/>
        </w:rPr>
        <w:t>لمتغيرات الدراسة</w:t>
      </w:r>
    </w:p>
    <w:p w14:paraId="5752608A" w14:textId="26240FC7" w:rsidR="00042498" w:rsidRPr="00E95A56" w:rsidRDefault="00E95A56" w:rsidP="00A02194">
      <w:pPr>
        <w:bidi/>
        <w:spacing w:after="120" w:line="240" w:lineRule="auto"/>
        <w:jc w:val="both"/>
        <w:rPr>
          <w:rFonts w:ascii="Traditional Arabic" w:hAnsi="Traditional Arabic" w:cs="Traditional Arabic"/>
          <w:bCs/>
          <w:sz w:val="36"/>
          <w:szCs w:val="36"/>
          <w:rtl/>
          <w:lang w:bidi="ar-EG"/>
        </w:rPr>
      </w:pPr>
      <w:bookmarkStart w:id="1" w:name="_Toc190043412"/>
      <w:r w:rsidRPr="00E95A56">
        <w:rPr>
          <w:rFonts w:ascii="Traditional Arabic" w:hAnsi="Traditional Arabic" w:cs="Traditional Arabic" w:hint="cs"/>
          <w:bCs/>
          <w:sz w:val="36"/>
          <w:szCs w:val="36"/>
          <w:rtl/>
          <w:lang w:bidi="ar-EG"/>
        </w:rPr>
        <w:t xml:space="preserve">المبحث الأول: </w:t>
      </w:r>
      <w:r w:rsidR="00042498" w:rsidRPr="00E95A56">
        <w:rPr>
          <w:rFonts w:ascii="Traditional Arabic" w:hAnsi="Traditional Arabic" w:cs="Traditional Arabic"/>
          <w:bCs/>
          <w:sz w:val="36"/>
          <w:szCs w:val="36"/>
          <w:rtl/>
          <w:lang w:bidi="ar-EG"/>
        </w:rPr>
        <w:t>التطوير التنظيمي</w:t>
      </w:r>
      <w:bookmarkEnd w:id="1"/>
    </w:p>
    <w:p w14:paraId="4A8494A6" w14:textId="35B3A751" w:rsidR="007C19C9" w:rsidRPr="001C5D93" w:rsidRDefault="007C19C9" w:rsidP="00A02194">
      <w:pPr>
        <w:bidi/>
        <w:spacing w:after="120" w:line="240" w:lineRule="auto"/>
        <w:jc w:val="both"/>
        <w:rPr>
          <w:rFonts w:ascii="Traditional Arabic" w:hAnsi="Traditional Arabic" w:cs="Traditional Arabic"/>
          <w:b/>
          <w:sz w:val="32"/>
          <w:szCs w:val="32"/>
          <w:rtl/>
        </w:rPr>
      </w:pPr>
      <w:bookmarkStart w:id="2" w:name="_Toc190043419"/>
      <w:r w:rsidRPr="001C5D93">
        <w:rPr>
          <w:rFonts w:ascii="Traditional Arabic" w:hAnsi="Traditional Arabic" w:cs="Traditional Arabic" w:hint="cs"/>
          <w:b/>
          <w:sz w:val="32"/>
          <w:szCs w:val="32"/>
          <w:rtl/>
        </w:rPr>
        <w:t xml:space="preserve">تشير الأدبيات المعاصرة </w:t>
      </w:r>
      <w:r w:rsidRPr="001C5D93">
        <w:rPr>
          <w:rFonts w:ascii="Traditional Arabic" w:hAnsi="Traditional Arabic" w:cs="Traditional Arabic"/>
          <w:b/>
          <w:sz w:val="32"/>
          <w:szCs w:val="32"/>
          <w:rtl/>
        </w:rPr>
        <w:t>إلى أن التطوير التنظيمي لم يعد خيارًا تحسينيا ثانويًا، بل أصبح مدخلًا استراتيجيًا ضروريًا لرفع قدرة المنظمات على التكيف مع التغيرات البيئية والتقنية والتشغيلية، خصوصًا في القطاعات الخدمية المعقدة مثل القطاع الصحي. وقد دعمت هذا الاتجاه أدبيات تناولت التطوير التنظيمي بوصفه جهدًا مخططًا لإعادة ترتيب المكونات الداخلية للمنظمة وتحسين فعاليتها وقدرتها على الاستجابة، مثل</w:t>
      </w:r>
      <w:r w:rsidR="005B684E">
        <w:rPr>
          <w:rFonts w:ascii="Traditional Arabic" w:hAnsi="Traditional Arabic" w:cs="Traditional Arabic" w:hint="cs"/>
          <w:b/>
          <w:sz w:val="32"/>
          <w:szCs w:val="32"/>
          <w:rtl/>
        </w:rPr>
        <w:t>:</w:t>
      </w:r>
      <w:r w:rsidRPr="001C5D93">
        <w:rPr>
          <w:rFonts w:ascii="Traditional Arabic" w:hAnsi="Traditional Arabic" w:cs="Traditional Arabic"/>
          <w:b/>
          <w:sz w:val="32"/>
          <w:szCs w:val="32"/>
          <w:rtl/>
        </w:rPr>
        <w:t xml:space="preserve"> خضري وسفياني (2022)، وحسن وآخرون (2022)، ومعمر (2023). </w:t>
      </w:r>
    </w:p>
    <w:p w14:paraId="1E054BD2" w14:textId="34722B25" w:rsidR="007C19C9" w:rsidRPr="001C5D93" w:rsidRDefault="007C19C9" w:rsidP="00A02194">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ويمكن تفسير هذا الاتفاق بأن المنظمات الصحية تعمل في بيئات عالية الحساسية، ما يجعل أي قصور في الهيكل أو العمليات أو الموارد البشرية ينعكس مباشرة على جودة الخدمة وسلامة المستفيدين. وبناءً على ذلك، يتناول هذا المبحث التطوير التنظيمي من الزاوية التي تخدم الدراسة الحالية مباشرة، من خلال حسم تعريفه المعتمد، وتحديد أبعاده، وبيان آلية تأثيره في التكنولوجيا الذكية وإدارة المخاطر</w:t>
      </w:r>
      <w:r w:rsidRPr="001C5D93">
        <w:rPr>
          <w:rFonts w:ascii="Traditional Arabic" w:hAnsi="Traditional Arabic" w:cs="Traditional Arabic"/>
          <w:b/>
          <w:sz w:val="32"/>
          <w:szCs w:val="32"/>
        </w:rPr>
        <w:t>.</w:t>
      </w:r>
    </w:p>
    <w:p w14:paraId="7E902322" w14:textId="1B21E64E" w:rsidR="007C19C9" w:rsidRPr="00E95A56" w:rsidRDefault="007C19C9" w:rsidP="00E95A56">
      <w:pPr>
        <w:pStyle w:val="a6"/>
        <w:numPr>
          <w:ilvl w:val="0"/>
          <w:numId w:val="101"/>
        </w:numPr>
        <w:bidi/>
        <w:spacing w:after="120" w:line="240" w:lineRule="auto"/>
        <w:jc w:val="both"/>
        <w:rPr>
          <w:rFonts w:ascii="Traditional Arabic" w:hAnsi="Traditional Arabic" w:cs="Traditional Arabic"/>
          <w:bCs/>
          <w:sz w:val="32"/>
          <w:szCs w:val="32"/>
          <w:rtl/>
        </w:rPr>
      </w:pPr>
      <w:r w:rsidRPr="00E95A56">
        <w:rPr>
          <w:rFonts w:ascii="Traditional Arabic" w:hAnsi="Traditional Arabic" w:cs="Traditional Arabic" w:hint="cs"/>
          <w:bCs/>
          <w:sz w:val="32"/>
          <w:szCs w:val="32"/>
          <w:rtl/>
        </w:rPr>
        <w:t>مفهوم التطوير التنظيمي:</w:t>
      </w:r>
    </w:p>
    <w:p w14:paraId="2E6C63FE" w14:textId="77777777" w:rsidR="00E95A56" w:rsidRDefault="007C19C9" w:rsidP="00A02194">
      <w:pPr>
        <w:bidi/>
        <w:spacing w:after="120" w:line="240" w:lineRule="auto"/>
        <w:jc w:val="both"/>
        <w:rPr>
          <w:rFonts w:ascii="Traditional Arabic" w:hAnsi="Traditional Arabic" w:cs="Traditional Arabic"/>
          <w:sz w:val="32"/>
          <w:szCs w:val="32"/>
          <w:rtl/>
        </w:rPr>
      </w:pPr>
      <w:r w:rsidRPr="001C5D93">
        <w:rPr>
          <w:rFonts w:ascii="Traditional Arabic" w:hAnsi="Traditional Arabic" w:cs="Traditional Arabic"/>
          <w:sz w:val="32"/>
          <w:szCs w:val="32"/>
          <w:rtl/>
        </w:rPr>
        <w:t>تشير الأدبيات إلى وجود تداخل شائع بين مفهوم التطوير التنظيمي ومفاهيم قريبة مثل التغيير التنظيمي، والإصلاح</w:t>
      </w:r>
      <w:r w:rsidRPr="001C5D93">
        <w:rPr>
          <w:rFonts w:ascii="Traditional Arabic" w:hAnsi="Traditional Arabic" w:cs="Traditional Arabic"/>
          <w:b/>
          <w:bCs/>
          <w:sz w:val="32"/>
          <w:szCs w:val="32"/>
          <w:rtl/>
        </w:rPr>
        <w:t xml:space="preserve"> </w:t>
      </w:r>
      <w:r w:rsidRPr="001C5D93">
        <w:rPr>
          <w:rFonts w:ascii="Traditional Arabic" w:hAnsi="Traditional Arabic" w:cs="Traditional Arabic"/>
          <w:sz w:val="32"/>
          <w:szCs w:val="32"/>
          <w:rtl/>
        </w:rPr>
        <w:t>الإداري، والتحسين المستمر، إلا أن الدراسة الحالية لا تستخدم التطوير التنظيمي بهذا المعنى الواسع أو الفضفاض</w:t>
      </w:r>
      <w:r w:rsidR="00E95A56">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 xml:space="preserve">فبينما قد يشير التغيير التنظيمي إلى أي تحول قد يطرأ على المنظمة، مخططًا كان أو </w:t>
      </w:r>
      <w:r w:rsidR="00E95A56">
        <w:rPr>
          <w:rFonts w:ascii="Traditional Arabic" w:hAnsi="Traditional Arabic" w:cs="Traditional Arabic" w:hint="cs"/>
          <w:sz w:val="32"/>
          <w:szCs w:val="32"/>
          <w:rtl/>
        </w:rPr>
        <w:t xml:space="preserve"> كاستجابة لأحداث طارئة في بيئة عمل المنظمة</w:t>
      </w:r>
      <w:r w:rsidRPr="001C5D93">
        <w:rPr>
          <w:rFonts w:ascii="Traditional Arabic" w:hAnsi="Traditional Arabic" w:cs="Traditional Arabic"/>
          <w:sz w:val="32"/>
          <w:szCs w:val="32"/>
          <w:rtl/>
        </w:rPr>
        <w:t xml:space="preserve">، فإن التطوير التنظيمي هنا يُفهم بوصفه تدخلًا مؤسسيًا مخططًا ومقصودًا يركز على إعادة مواءمة عناصر المنظمة الداخلية بما يرفع فعاليتها واستعدادها للتكيف. </w:t>
      </w:r>
    </w:p>
    <w:p w14:paraId="73847C84" w14:textId="0C86D7AE" w:rsidR="007C19C9" w:rsidRPr="001C5D93" w:rsidRDefault="007C19C9" w:rsidP="005B684E">
      <w:pPr>
        <w:bidi/>
        <w:spacing w:after="120" w:line="240" w:lineRule="auto"/>
        <w:jc w:val="both"/>
        <w:rPr>
          <w:rFonts w:ascii="Traditional Arabic" w:hAnsi="Traditional Arabic" w:cs="Traditional Arabic"/>
          <w:sz w:val="32"/>
          <w:szCs w:val="32"/>
        </w:rPr>
      </w:pPr>
      <w:r w:rsidRPr="001C5D93">
        <w:rPr>
          <w:rFonts w:ascii="Traditional Arabic" w:hAnsi="Traditional Arabic" w:cs="Traditional Arabic"/>
          <w:sz w:val="32"/>
          <w:szCs w:val="32"/>
          <w:rtl/>
        </w:rPr>
        <w:t>وتدعم هذا التمييز الأدبيات التي ربطت التطوير التنظيمي بالتدخلات المخططة على مستوى المنظمة ككل، وبالاعتماد على القيم والعلوم السلوكية وتحسين الهياكل والعمليات والثقافة التنظيمية، مثل</w:t>
      </w:r>
      <w:r w:rsidR="005B684E">
        <w:rPr>
          <w:rFonts w:ascii="Traditional Arabic" w:hAnsi="Traditional Arabic" w:cs="Traditional Arabic" w:hint="cs"/>
          <w:sz w:val="32"/>
          <w:szCs w:val="32"/>
          <w:rtl/>
        </w:rPr>
        <w:t>:</w:t>
      </w:r>
      <w:r w:rsidRPr="001C5D93">
        <w:rPr>
          <w:rFonts w:ascii="Traditional Arabic" w:hAnsi="Traditional Arabic" w:cs="Traditional Arabic"/>
          <w:sz w:val="32"/>
          <w:szCs w:val="32"/>
        </w:rPr>
        <w:t xml:space="preserve"> Burke (2022)</w:t>
      </w:r>
      <w:r w:rsidR="005B684E">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وبن عبد الله وضيف (2022)، و</w:t>
      </w:r>
      <w:r w:rsidR="003A3B70">
        <w:rPr>
          <w:rFonts w:ascii="Traditional Arabic" w:hAnsi="Traditional Arabic" w:cs="Traditional Arabic" w:hint="cs"/>
          <w:sz w:val="32"/>
          <w:szCs w:val="32"/>
          <w:rtl/>
        </w:rPr>
        <w:t>(</w:t>
      </w:r>
      <w:r w:rsidRPr="001C5D93">
        <w:rPr>
          <w:rFonts w:ascii="Traditional Arabic" w:hAnsi="Traditional Arabic" w:cs="Traditional Arabic"/>
          <w:sz w:val="32"/>
          <w:szCs w:val="32"/>
        </w:rPr>
        <w:t>Schroeder (2023</w:t>
      </w:r>
      <w:r w:rsidR="001E0356" w:rsidRPr="001C5D93">
        <w:rPr>
          <w:rFonts w:ascii="Traditional Arabic" w:hAnsi="Traditional Arabic" w:cs="Traditional Arabic" w:hint="cs"/>
          <w:sz w:val="32"/>
          <w:szCs w:val="32"/>
          <w:rtl/>
        </w:rPr>
        <w:t xml:space="preserve">؛ حيث أن </w:t>
      </w:r>
      <w:r w:rsidRPr="001C5D93">
        <w:rPr>
          <w:rFonts w:ascii="Traditional Arabic" w:hAnsi="Traditional Arabic" w:cs="Traditional Arabic"/>
          <w:sz w:val="32"/>
          <w:szCs w:val="32"/>
          <w:rtl/>
        </w:rPr>
        <w:t>الدراسة الحالية لا تختبر مفهومًا عامًا للتحديث الإداري، بل تختبر ممارسات محددة قابلة للقياس في بيئة المستشفى، هي</w:t>
      </w:r>
      <w:r w:rsidRPr="001C5D93">
        <w:rPr>
          <w:rFonts w:ascii="Traditional Arabic" w:hAnsi="Traditional Arabic" w:cs="Traditional Arabic"/>
          <w:sz w:val="32"/>
          <w:szCs w:val="32"/>
        </w:rPr>
        <w:t xml:space="preserve">: </w:t>
      </w:r>
      <w:r w:rsidRPr="001C5D93">
        <w:rPr>
          <w:rFonts w:ascii="Traditional Arabic" w:hAnsi="Traditional Arabic" w:cs="Traditional Arabic"/>
          <w:sz w:val="32"/>
          <w:szCs w:val="32"/>
          <w:rtl/>
        </w:rPr>
        <w:t>الهيكل التنظيمي، وإعادة هندسة العمليات، وتمكين العاملين</w:t>
      </w:r>
      <w:r w:rsidR="005B684E">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ومن ثم</w:t>
      </w:r>
      <w:r w:rsidR="005B684E">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فإن التطوير التنظيمي في هذه الدراسة ليس مرادفًا عامًا للتغيير، بل متغير مستقل محدد البنية والأبعاد والوظيفة داخل النموذج المفاهيمي</w:t>
      </w:r>
      <w:r w:rsidRPr="001C5D93">
        <w:rPr>
          <w:rFonts w:ascii="Traditional Arabic" w:hAnsi="Traditional Arabic" w:cs="Traditional Arabic"/>
          <w:sz w:val="32"/>
          <w:szCs w:val="32"/>
        </w:rPr>
        <w:t>.</w:t>
      </w:r>
    </w:p>
    <w:p w14:paraId="3CA9CFA9" w14:textId="59FD504D" w:rsidR="007C19C9" w:rsidRPr="001C5D93" w:rsidRDefault="007C19C9" w:rsidP="00A02194">
      <w:pPr>
        <w:bidi/>
        <w:spacing w:after="120" w:line="240" w:lineRule="auto"/>
        <w:jc w:val="both"/>
        <w:rPr>
          <w:rFonts w:ascii="Traditional Arabic" w:hAnsi="Traditional Arabic" w:cs="Traditional Arabic"/>
          <w:sz w:val="32"/>
          <w:szCs w:val="32"/>
        </w:rPr>
      </w:pPr>
      <w:r w:rsidRPr="001C5D93">
        <w:rPr>
          <w:rFonts w:ascii="Traditional Arabic" w:hAnsi="Traditional Arabic" w:cs="Traditional Arabic"/>
          <w:sz w:val="32"/>
          <w:szCs w:val="32"/>
          <w:rtl/>
        </w:rPr>
        <w:t>وتتفق الأدبيات على أن التطوير التنظيمي هو عملية مخططة وشاملة وطويلة الأمد تستهدف تحسين فعالية المنظمة من خلال التدخل في هياكلها وعملياتها وسلوك أعضائها بما يعزز قدرتها على التكيف مع البيئة</w:t>
      </w:r>
      <w:r w:rsidR="00E95A56">
        <w:rPr>
          <w:rFonts w:ascii="Traditional Arabic" w:hAnsi="Traditional Arabic" w:cs="Traditional Arabic" w:hint="cs"/>
          <w:sz w:val="32"/>
          <w:szCs w:val="32"/>
          <w:rtl/>
        </w:rPr>
        <w:t>،</w:t>
      </w:r>
      <w:r w:rsidRPr="001C5D93">
        <w:rPr>
          <w:rFonts w:ascii="Traditional Arabic" w:hAnsi="Traditional Arabic" w:cs="Traditional Arabic"/>
          <w:sz w:val="32"/>
          <w:szCs w:val="32"/>
          <w:rtl/>
        </w:rPr>
        <w:t xml:space="preserve"> وقد دعمت هذا الفهم تعريفات متعددة؛ إذ عرفه عليق (2024) بوصفه عملية منظمة ومخططة لإحداث تعديلات </w:t>
      </w:r>
      <w:r w:rsidRPr="001C5D93">
        <w:rPr>
          <w:rFonts w:ascii="Traditional Arabic" w:hAnsi="Traditional Arabic" w:cs="Traditional Arabic"/>
          <w:sz w:val="32"/>
          <w:szCs w:val="32"/>
          <w:rtl/>
        </w:rPr>
        <w:lastRenderedPageBreak/>
        <w:t>على مستوى المنظمة لتحسين أداء العاملين والتكيف مع التغيرات، بينما نظر إليه هيشور (2021) باعتباره جهدًا منظمًا وشاملًا لتحسين جميع جوانب المنظمة، وأكد تونسي (2022) و</w:t>
      </w:r>
      <w:r w:rsidRPr="001C5D93">
        <w:rPr>
          <w:rFonts w:ascii="Traditional Arabic" w:hAnsi="Traditional Arabic" w:cs="Traditional Arabic"/>
          <w:sz w:val="32"/>
          <w:szCs w:val="32"/>
        </w:rPr>
        <w:t xml:space="preserve">Burke (2022) </w:t>
      </w:r>
      <w:r w:rsidR="001E0356"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أنه</w:t>
      </w:r>
      <w:r w:rsidR="001E0356"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تغيير مدروس وطويل الأمد يستند إلى العلوم السلوكية، في حين أبرز</w:t>
      </w:r>
      <w:r w:rsidRPr="001C5D93">
        <w:rPr>
          <w:rFonts w:ascii="Traditional Arabic" w:hAnsi="Traditional Arabic" w:cs="Traditional Arabic"/>
          <w:sz w:val="32"/>
          <w:szCs w:val="32"/>
        </w:rPr>
        <w:t xml:space="preserve"> Stevenson (2021) </w:t>
      </w:r>
      <w:r w:rsidR="001E0356" w:rsidRPr="001C5D93">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w:t>
      </w:r>
      <w:r w:rsidRPr="001C5D93">
        <w:rPr>
          <w:rFonts w:ascii="Traditional Arabic" w:hAnsi="Traditional Arabic" w:cs="Traditional Arabic"/>
          <w:sz w:val="32"/>
          <w:szCs w:val="32"/>
        </w:rPr>
        <w:t xml:space="preserve">van Vulpen (2024) </w:t>
      </w:r>
      <w:r w:rsidR="008E7428">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بعده العملي بوصفه مسارًا لتحسين العمليات والهياكل وتعظيم فعالية الأفراد والمنظمة</w:t>
      </w:r>
      <w:r w:rsidR="008E7428">
        <w:rPr>
          <w:rFonts w:ascii="Traditional Arabic" w:hAnsi="Traditional Arabic" w:cs="Traditional Arabic" w:hint="cs"/>
          <w:sz w:val="32"/>
          <w:szCs w:val="32"/>
          <w:rtl/>
        </w:rPr>
        <w:t xml:space="preserve">، </w:t>
      </w:r>
      <w:r w:rsidRPr="001C5D93">
        <w:rPr>
          <w:rFonts w:ascii="Traditional Arabic" w:hAnsi="Traditional Arabic" w:cs="Traditional Arabic"/>
          <w:sz w:val="32"/>
          <w:szCs w:val="32"/>
          <w:rtl/>
        </w:rPr>
        <w:t>ويكشف هذا التوافق أن الاختلاف بين التعريفات ليس اختلافًا جوهريًا، بل اختلاف في زاوية التركيز؛ فبعضها يبرز البعد السلوكي، وبعضها يركز على التغيير الهيكلي أو المؤسسي، لكنها جميعًا تلتقي عند فكرة التغيير المخطط لتحسين الفاعلية والتكيف</w:t>
      </w:r>
      <w:r w:rsidRPr="001C5D93">
        <w:rPr>
          <w:rFonts w:ascii="Traditional Arabic" w:hAnsi="Traditional Arabic" w:cs="Traditional Arabic"/>
          <w:sz w:val="32"/>
          <w:szCs w:val="32"/>
        </w:rPr>
        <w:t>.</w:t>
      </w:r>
    </w:p>
    <w:p w14:paraId="19D2EA8A" w14:textId="54C1A9B5" w:rsidR="007C19C9" w:rsidRPr="001C5D93" w:rsidRDefault="007C19C9" w:rsidP="00A02194">
      <w:pPr>
        <w:bidi/>
        <w:spacing w:after="120" w:line="240" w:lineRule="auto"/>
        <w:jc w:val="both"/>
        <w:rPr>
          <w:rFonts w:ascii="Traditional Arabic" w:hAnsi="Traditional Arabic" w:cs="Traditional Arabic"/>
          <w:sz w:val="32"/>
          <w:szCs w:val="32"/>
        </w:rPr>
      </w:pPr>
      <w:r w:rsidRPr="001C5D93">
        <w:rPr>
          <w:rFonts w:ascii="Traditional Arabic" w:hAnsi="Traditional Arabic" w:cs="Traditional Arabic"/>
          <w:sz w:val="32"/>
          <w:szCs w:val="32"/>
          <w:rtl/>
        </w:rPr>
        <w:t>وعليه، يمكن تعريف التطوير التنظيمي في هذه الدراسة بوصف</w:t>
      </w:r>
      <w:r w:rsidR="003A3B70">
        <w:rPr>
          <w:rFonts w:ascii="Traditional Arabic" w:hAnsi="Traditional Arabic" w:cs="Traditional Arabic" w:hint="cs"/>
          <w:sz w:val="32"/>
          <w:szCs w:val="32"/>
          <w:rtl/>
        </w:rPr>
        <w:t xml:space="preserve">ه: </w:t>
      </w:r>
      <w:r w:rsidRPr="001C5D93">
        <w:rPr>
          <w:rFonts w:ascii="Traditional Arabic" w:hAnsi="Traditional Arabic" w:cs="Traditional Arabic"/>
          <w:sz w:val="32"/>
          <w:szCs w:val="32"/>
        </w:rPr>
        <w:t xml:space="preserve"> "</w:t>
      </w:r>
      <w:r w:rsidRPr="001C5D93">
        <w:rPr>
          <w:rFonts w:ascii="Traditional Arabic" w:hAnsi="Traditional Arabic" w:cs="Traditional Arabic"/>
          <w:sz w:val="32"/>
          <w:szCs w:val="32"/>
          <w:rtl/>
        </w:rPr>
        <w:t>عملية تنظيمية مخططة وشاملة تستهدف تحسين فعالية المستشفى وقدرته على التكيف والاستجابة من خلال تطوير الهيكل التنظيمي، وإعادة هندسة العمليات، وتمكين العاملين، بما يدعم تبني التكنولوجيا الذكية ويحسن إدارة المخاطر</w:t>
      </w:r>
      <w:r w:rsidRPr="001C5D93">
        <w:rPr>
          <w:rFonts w:ascii="Traditional Arabic" w:hAnsi="Traditional Arabic" w:cs="Traditional Arabic"/>
          <w:sz w:val="32"/>
          <w:szCs w:val="32"/>
        </w:rPr>
        <w:t>"</w:t>
      </w:r>
      <w:r w:rsidR="008E7428">
        <w:rPr>
          <w:rFonts w:ascii="Traditional Arabic" w:hAnsi="Traditional Arabic" w:cs="Traditional Arabic" w:hint="cs"/>
          <w:sz w:val="32"/>
          <w:szCs w:val="32"/>
          <w:rtl/>
        </w:rPr>
        <w:t>.</w:t>
      </w:r>
    </w:p>
    <w:p w14:paraId="2AA61C52" w14:textId="0BC609A0" w:rsidR="007C19C9" w:rsidRPr="00E74640" w:rsidRDefault="00E74640" w:rsidP="00E74640">
      <w:pPr>
        <w:bidi/>
        <w:spacing w:after="120" w:line="240" w:lineRule="auto"/>
        <w:jc w:val="both"/>
        <w:rPr>
          <w:rFonts w:ascii="Traditional Arabic" w:hAnsi="Traditional Arabic" w:cs="Traditional Arabic"/>
          <w:bCs/>
          <w:sz w:val="32"/>
          <w:szCs w:val="32"/>
        </w:rPr>
      </w:pPr>
      <w:r>
        <w:rPr>
          <w:rFonts w:ascii="Traditional Arabic" w:hAnsi="Traditional Arabic" w:cs="Traditional Arabic" w:hint="cs"/>
          <w:bCs/>
          <w:sz w:val="32"/>
          <w:szCs w:val="32"/>
          <w:rtl/>
        </w:rPr>
        <w:t xml:space="preserve">- </w:t>
      </w:r>
      <w:r w:rsidR="007C19C9" w:rsidRPr="00E74640">
        <w:rPr>
          <w:rFonts w:ascii="Traditional Arabic" w:hAnsi="Traditional Arabic" w:cs="Traditional Arabic"/>
          <w:bCs/>
          <w:sz w:val="32"/>
          <w:szCs w:val="32"/>
          <w:rtl/>
        </w:rPr>
        <w:t>أبعاد التطوير التنظيمي في الدراسة الحالية</w:t>
      </w:r>
      <w:r w:rsidR="001E0356" w:rsidRPr="00E74640">
        <w:rPr>
          <w:rFonts w:ascii="Traditional Arabic" w:hAnsi="Traditional Arabic" w:cs="Traditional Arabic" w:hint="cs"/>
          <w:bCs/>
          <w:sz w:val="32"/>
          <w:szCs w:val="32"/>
          <w:rtl/>
        </w:rPr>
        <w:t>:</w:t>
      </w:r>
    </w:p>
    <w:p w14:paraId="43CFC50D" w14:textId="2C0270F5" w:rsidR="00773E36" w:rsidRDefault="007C19C9" w:rsidP="00773E36">
      <w:pPr>
        <w:bidi/>
        <w:spacing w:after="120" w:line="240" w:lineRule="auto"/>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تشير الأدبيات إلى أن التطوير التنظيمي مفهوم متعدد الأبعاد، إلا أن الدراسات تختلف في تحديد الأبعاد الأكثر تمثيلًا له تبعًا لطبيعة السياق وهدف الدراسة. وفي هذه ال</w:t>
      </w:r>
      <w:r w:rsidR="00E74640">
        <w:rPr>
          <w:rFonts w:ascii="Traditional Arabic" w:hAnsi="Traditional Arabic" w:cs="Traditional Arabic" w:hint="cs"/>
          <w:b/>
          <w:sz w:val="32"/>
          <w:szCs w:val="32"/>
          <w:rtl/>
        </w:rPr>
        <w:t xml:space="preserve">دراسة </w:t>
      </w:r>
      <w:r w:rsidRPr="001C5D93">
        <w:rPr>
          <w:rFonts w:ascii="Traditional Arabic" w:hAnsi="Traditional Arabic" w:cs="Traditional Arabic"/>
          <w:b/>
          <w:sz w:val="32"/>
          <w:szCs w:val="32"/>
          <w:rtl/>
        </w:rPr>
        <w:t xml:space="preserve">، جرى اعتماد ثلاثة أبعاد </w:t>
      </w:r>
      <w:r w:rsidR="00773E36">
        <w:rPr>
          <w:rFonts w:ascii="Traditional Arabic" w:hAnsi="Traditional Arabic" w:cs="Traditional Arabic" w:hint="cs"/>
          <w:b/>
          <w:sz w:val="32"/>
          <w:szCs w:val="32"/>
          <w:rtl/>
        </w:rPr>
        <w:t xml:space="preserve"> للتطوير التنظيمي </w:t>
      </w:r>
      <w:r w:rsidR="00AE23F5" w:rsidRPr="001C5D93">
        <w:rPr>
          <w:rFonts w:ascii="Traditional Arabic" w:hAnsi="Traditional Arabic" w:cs="Traditional Arabic" w:hint="cs"/>
          <w:b/>
          <w:sz w:val="32"/>
          <w:szCs w:val="32"/>
          <w:rtl/>
        </w:rPr>
        <w:t>بما يتسق مع</w:t>
      </w:r>
      <w:r w:rsidRPr="001C5D93">
        <w:rPr>
          <w:rFonts w:ascii="Traditional Arabic" w:hAnsi="Traditional Arabic" w:cs="Traditional Arabic"/>
          <w:b/>
          <w:sz w:val="32"/>
          <w:szCs w:val="32"/>
          <w:rtl/>
        </w:rPr>
        <w:t xml:space="preserve"> أهداف الدراسة وأسئلتها وفرضياتها</w:t>
      </w:r>
      <w:r w:rsidR="00773E36">
        <w:rPr>
          <w:rFonts w:ascii="Traditional Arabic" w:hAnsi="Traditional Arabic" w:cs="Traditional Arabic" w:hint="cs"/>
          <w:b/>
          <w:sz w:val="32"/>
          <w:szCs w:val="32"/>
          <w:rtl/>
        </w:rPr>
        <w:t>. والأبعاد هي:</w:t>
      </w:r>
    </w:p>
    <w:p w14:paraId="0A66BA31" w14:textId="2E9BC632" w:rsidR="007C19C9" w:rsidRPr="001C5D93" w:rsidRDefault="00773E36" w:rsidP="00773E36">
      <w:pPr>
        <w:bidi/>
        <w:spacing w:after="120" w:line="240" w:lineRule="auto"/>
        <w:ind w:left="720"/>
        <w:jc w:val="both"/>
        <w:rPr>
          <w:rFonts w:ascii="Traditional Arabic" w:hAnsi="Traditional Arabic" w:cs="Traditional Arabic"/>
          <w:bCs/>
          <w:sz w:val="32"/>
          <w:szCs w:val="32"/>
        </w:rPr>
      </w:pPr>
      <w:r>
        <w:rPr>
          <w:rFonts w:ascii="Traditional Arabic" w:hAnsi="Traditional Arabic" w:cs="Traditional Arabic" w:hint="cs"/>
          <w:bCs/>
          <w:sz w:val="32"/>
          <w:szCs w:val="32"/>
          <w:rtl/>
        </w:rPr>
        <w:t xml:space="preserve">1) </w:t>
      </w:r>
      <w:r w:rsidR="007C19C9" w:rsidRPr="001C5D93">
        <w:rPr>
          <w:rFonts w:ascii="Traditional Arabic" w:hAnsi="Traditional Arabic" w:cs="Traditional Arabic"/>
          <w:bCs/>
          <w:sz w:val="32"/>
          <w:szCs w:val="32"/>
          <w:rtl/>
        </w:rPr>
        <w:t>الهيكل التنظيمي</w:t>
      </w:r>
      <w:r w:rsidR="00AE23F5" w:rsidRPr="001C5D93">
        <w:rPr>
          <w:rFonts w:ascii="Traditional Arabic" w:hAnsi="Traditional Arabic" w:cs="Traditional Arabic" w:hint="cs"/>
          <w:bCs/>
          <w:sz w:val="32"/>
          <w:szCs w:val="32"/>
          <w:rtl/>
        </w:rPr>
        <w:t>:</w:t>
      </w:r>
    </w:p>
    <w:p w14:paraId="71C24E2C" w14:textId="22AAB2E7" w:rsidR="00AE23F5" w:rsidRPr="001C5D93" w:rsidRDefault="007C19C9" w:rsidP="00773E36">
      <w:pPr>
        <w:bidi/>
        <w:spacing w:after="120" w:line="240" w:lineRule="auto"/>
        <w:ind w:left="720"/>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تؤكد الأدبيات أن الهيكل التنظيمي يمثل أحد المدخلات الحاكمة لفعالية المنظمة، لأنه يحدد توزيع الأدوار والصلاحيات، وأنماط التنسيق، ومسارات تدفق المعلومات واتخاذ القرار. وقد دعمت هذا الاتجاه دراسات عدة؛ إذ أشار عبد اللاوي وقيزة (2020) إلى مركزية الهيكل التنظيمي في الفكر الإداري، ورأى</w:t>
      </w:r>
      <w:r w:rsidRPr="001C5D93">
        <w:rPr>
          <w:rFonts w:ascii="Traditional Arabic" w:hAnsi="Traditional Arabic" w:cs="Traditional Arabic"/>
          <w:bCs/>
          <w:sz w:val="32"/>
          <w:szCs w:val="32"/>
        </w:rPr>
        <w:t xml:space="preserve"> Kenton (2024) </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أنه الإطار الذي ينظم الأنشطة والأدوار وتدفق المعلومات، بينما بيّن</w:t>
      </w:r>
      <w:r w:rsidRPr="001C5D93">
        <w:rPr>
          <w:rFonts w:ascii="Traditional Arabic" w:hAnsi="Traditional Arabic" w:cs="Traditional Arabic"/>
          <w:b/>
          <w:sz w:val="32"/>
          <w:szCs w:val="32"/>
        </w:rPr>
        <w:t xml:space="preserve"> </w:t>
      </w:r>
      <w:r w:rsidRPr="001C5D93">
        <w:rPr>
          <w:rFonts w:ascii="Traditional Arabic" w:hAnsi="Traditional Arabic" w:cs="Traditional Arabic"/>
          <w:bCs/>
          <w:sz w:val="32"/>
          <w:szCs w:val="32"/>
        </w:rPr>
        <w:t xml:space="preserve">Robbins &amp; Judge (2017) </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و</w:t>
      </w:r>
      <w:r w:rsidRPr="001C5D93">
        <w:rPr>
          <w:rFonts w:ascii="Traditional Arabic" w:hAnsi="Traditional Arabic" w:cs="Traditional Arabic"/>
          <w:bCs/>
          <w:sz w:val="32"/>
          <w:szCs w:val="32"/>
        </w:rPr>
        <w:t xml:space="preserve">Cooks-Campbell (2022) </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أن وضوح الهيكل يدعم التنسيق واتخاذ القرار بفعالية أكبر، وأكد</w:t>
      </w:r>
      <w:r w:rsidRPr="001C5D93">
        <w:rPr>
          <w:rFonts w:ascii="Traditional Arabic" w:hAnsi="Traditional Arabic" w:cs="Traditional Arabic"/>
          <w:bCs/>
          <w:sz w:val="32"/>
          <w:szCs w:val="32"/>
        </w:rPr>
        <w:t xml:space="preserve"> Asbari (2024) </w:t>
      </w:r>
      <w:r w:rsidRPr="001C5D93">
        <w:rPr>
          <w:rFonts w:ascii="Traditional Arabic" w:hAnsi="Traditional Arabic" w:cs="Traditional Arabic"/>
          <w:b/>
          <w:sz w:val="32"/>
          <w:szCs w:val="32"/>
          <w:rtl/>
        </w:rPr>
        <w:t>و</w:t>
      </w:r>
      <w:r w:rsidRPr="001C5D93">
        <w:rPr>
          <w:rFonts w:ascii="Traditional Arabic" w:hAnsi="Traditional Arabic" w:cs="Traditional Arabic"/>
          <w:bCs/>
          <w:sz w:val="32"/>
          <w:szCs w:val="32"/>
        </w:rPr>
        <w:t>Sciulli (2024)</w:t>
      </w:r>
      <w:r w:rsidRPr="001C5D93">
        <w:rPr>
          <w:rFonts w:ascii="Traditional Arabic" w:hAnsi="Traditional Arabic" w:cs="Traditional Arabic"/>
          <w:b/>
          <w:sz w:val="32"/>
          <w:szCs w:val="32"/>
        </w:rPr>
        <w:t xml:space="preserve"> </w:t>
      </w:r>
      <w:r w:rsidR="00AE23F5" w:rsidRPr="001C5D93">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أ</w:t>
      </w:r>
      <w:r w:rsidR="00AE23F5" w:rsidRPr="001C5D93">
        <w:rPr>
          <w:rFonts w:ascii="Traditional Arabic" w:hAnsi="Traditional Arabic" w:cs="Traditional Arabic" w:hint="cs"/>
          <w:b/>
          <w:sz w:val="32"/>
          <w:szCs w:val="32"/>
          <w:rtl/>
        </w:rPr>
        <w:t>ن</w:t>
      </w:r>
      <w:r w:rsidRPr="001C5D93">
        <w:rPr>
          <w:rFonts w:ascii="Traditional Arabic" w:hAnsi="Traditional Arabic" w:cs="Traditional Arabic"/>
          <w:b/>
          <w:sz w:val="32"/>
          <w:szCs w:val="32"/>
          <w:rtl/>
        </w:rPr>
        <w:t xml:space="preserve"> الهيكل الملائم يسهم في استثمار الموارد وتحسين الأداء المؤسسي</w:t>
      </w:r>
      <w:r w:rsidR="00AE23F5" w:rsidRPr="001C5D93">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 xml:space="preserve">ويمكن تفسير هذا الاتفاق بأن الهيكل التنظيمي ليس مجرد رسم إداري، بل آلية تنظيمية تؤثر في سرعة الاستجابة، ووضوح المسؤوليات، ومرونة المؤسسة في التعامل مع التغيرات. </w:t>
      </w:r>
    </w:p>
    <w:p w14:paraId="22019509" w14:textId="6FB0EEB3" w:rsidR="007C19C9" w:rsidRPr="001C5D93" w:rsidRDefault="007C19C9" w:rsidP="00773E36">
      <w:pPr>
        <w:bidi/>
        <w:spacing w:after="120" w:line="240" w:lineRule="auto"/>
        <w:ind w:left="720"/>
        <w:jc w:val="both"/>
        <w:rPr>
          <w:rFonts w:ascii="Traditional Arabic" w:hAnsi="Traditional Arabic" w:cs="Traditional Arabic"/>
          <w:b/>
          <w:sz w:val="32"/>
          <w:szCs w:val="32"/>
        </w:rPr>
      </w:pPr>
      <w:r w:rsidRPr="001C5D93">
        <w:rPr>
          <w:rFonts w:ascii="Traditional Arabic" w:hAnsi="Traditional Arabic" w:cs="Traditional Arabic"/>
          <w:b/>
          <w:sz w:val="32"/>
          <w:szCs w:val="32"/>
          <w:rtl/>
        </w:rPr>
        <w:t xml:space="preserve">وفي السياق الصحي تحديدًا، تكتسب هذه الخصائص أهمية مضاعفة؛ لأن ضعف التنسيق أو غموض الصلاحيات قد يؤدي إلى تأخر الاستجابة للمخاطر أو تكرار الأخطاء التشغيلية. وعليه، يُعد الهيكل التنظيمي في الدراسة الحالية بعدًا جوهريًا من أبعاد التطوير التنظيمي؛ لأنه يفسر كيف يمكن لإعادة </w:t>
      </w:r>
      <w:r w:rsidRPr="001C5D93">
        <w:rPr>
          <w:rFonts w:ascii="Traditional Arabic" w:hAnsi="Traditional Arabic" w:cs="Traditional Arabic"/>
          <w:b/>
          <w:sz w:val="32"/>
          <w:szCs w:val="32"/>
          <w:rtl/>
        </w:rPr>
        <w:lastRenderedPageBreak/>
        <w:t>تنظيم العلاقات الرسمية داخل المستشفى أن تدعم كلًا من تبني التكنولوجيا الذكية وتحسين إدارة المخاطر</w:t>
      </w:r>
      <w:r w:rsidRPr="001C5D93">
        <w:rPr>
          <w:rFonts w:ascii="Traditional Arabic" w:hAnsi="Traditional Arabic" w:cs="Traditional Arabic"/>
          <w:b/>
          <w:sz w:val="32"/>
          <w:szCs w:val="32"/>
        </w:rPr>
        <w:t xml:space="preserve">. </w:t>
      </w:r>
    </w:p>
    <w:p w14:paraId="12EDF4A6" w14:textId="626CA0D2" w:rsidR="007C19C9" w:rsidRPr="00773E36" w:rsidRDefault="007C19C9" w:rsidP="00773E36">
      <w:pPr>
        <w:pStyle w:val="a6"/>
        <w:numPr>
          <w:ilvl w:val="0"/>
          <w:numId w:val="111"/>
        </w:numPr>
        <w:bidi/>
        <w:spacing w:after="120" w:line="240" w:lineRule="auto"/>
        <w:ind w:left="1080"/>
        <w:jc w:val="both"/>
        <w:rPr>
          <w:rFonts w:ascii="Traditional Arabic" w:hAnsi="Traditional Arabic" w:cs="Traditional Arabic"/>
          <w:bCs/>
          <w:sz w:val="32"/>
          <w:szCs w:val="32"/>
        </w:rPr>
      </w:pPr>
      <w:r w:rsidRPr="00773E36">
        <w:rPr>
          <w:rFonts w:ascii="Traditional Arabic" w:hAnsi="Traditional Arabic" w:cs="Traditional Arabic"/>
          <w:bCs/>
          <w:sz w:val="32"/>
          <w:szCs w:val="32"/>
          <w:rtl/>
        </w:rPr>
        <w:t>إعادة هندسة العمليات</w:t>
      </w:r>
      <w:r w:rsidR="00AE23F5" w:rsidRPr="00773E36">
        <w:rPr>
          <w:rFonts w:ascii="Traditional Arabic" w:hAnsi="Traditional Arabic" w:cs="Traditional Arabic" w:hint="cs"/>
          <w:bCs/>
          <w:sz w:val="32"/>
          <w:szCs w:val="32"/>
          <w:rtl/>
        </w:rPr>
        <w:t>:</w:t>
      </w:r>
    </w:p>
    <w:p w14:paraId="7D9B8AFC" w14:textId="77777777" w:rsidR="00773E36" w:rsidRDefault="007C19C9" w:rsidP="00773E36">
      <w:pPr>
        <w:bidi/>
        <w:spacing w:after="120" w:line="240" w:lineRule="auto"/>
        <w:ind w:left="720"/>
        <w:jc w:val="both"/>
        <w:rPr>
          <w:rFonts w:ascii="Traditional Arabic" w:hAnsi="Traditional Arabic" w:cs="Traditional Arabic"/>
          <w:b/>
          <w:sz w:val="32"/>
          <w:szCs w:val="32"/>
          <w:rtl/>
        </w:rPr>
      </w:pPr>
      <w:r w:rsidRPr="001C5D93">
        <w:rPr>
          <w:rFonts w:ascii="Traditional Arabic" w:hAnsi="Traditional Arabic" w:cs="Traditional Arabic"/>
          <w:b/>
          <w:sz w:val="32"/>
          <w:szCs w:val="32"/>
          <w:rtl/>
        </w:rPr>
        <w:t>تشير الأدبيات إلى أن إعادة هندسة العمليات تمثل بُعدًا تحويليًا في التطوير التنظيمي، لأنها تستهدف إعادة التفكير الجذري في إجراءات العمل وتصميمها بما يحقق تحسينات جوهرية في الكلفة والسرعة والجودة والخدمة</w:t>
      </w:r>
      <w:r w:rsidR="008E742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 xml:space="preserve">وقد دعمت هذا الفهم دراسات أوضحت أن الهندرة جاءت استجابة لقصور الأساليب التقليدية في مواجهة المتغيرات الحديثة، كما </w:t>
      </w:r>
      <w:r w:rsidR="008E7428">
        <w:rPr>
          <w:rFonts w:ascii="Traditional Arabic" w:hAnsi="Traditional Arabic" w:cs="Traditional Arabic" w:hint="cs"/>
          <w:b/>
          <w:sz w:val="32"/>
          <w:szCs w:val="32"/>
          <w:rtl/>
        </w:rPr>
        <w:t xml:space="preserve">جاء </w:t>
      </w:r>
      <w:r w:rsidRPr="001C5D93">
        <w:rPr>
          <w:rFonts w:ascii="Traditional Arabic" w:hAnsi="Traditional Arabic" w:cs="Traditional Arabic"/>
          <w:b/>
          <w:sz w:val="32"/>
          <w:szCs w:val="32"/>
          <w:rtl/>
        </w:rPr>
        <w:t>في عليش (2022)، وأنها تعني إعادة تصميم المهام والعمليات بصورة جذرية، كما في</w:t>
      </w:r>
      <w:r w:rsidRPr="001C5D93">
        <w:rPr>
          <w:rFonts w:ascii="Traditional Arabic" w:hAnsi="Traditional Arabic" w:cs="Traditional Arabic"/>
          <w:b/>
          <w:sz w:val="32"/>
          <w:szCs w:val="32"/>
        </w:rPr>
        <w:t xml:space="preserve"> </w:t>
      </w:r>
      <w:r w:rsidRPr="001C5D93">
        <w:rPr>
          <w:rFonts w:ascii="Traditional Arabic" w:hAnsi="Traditional Arabic" w:cs="Traditional Arabic"/>
          <w:bCs/>
          <w:sz w:val="32"/>
          <w:szCs w:val="32"/>
        </w:rPr>
        <w:t>Tucci (2022</w:t>
      </w:r>
      <w:r w:rsidRPr="001C5D93">
        <w:rPr>
          <w:rFonts w:ascii="Traditional Arabic" w:hAnsi="Traditional Arabic" w:cs="Traditional Arabic"/>
          <w:b/>
          <w:sz w:val="32"/>
          <w:szCs w:val="32"/>
        </w:rPr>
        <w:t xml:space="preserve">) </w:t>
      </w:r>
      <w:r w:rsidRPr="001C5D93">
        <w:rPr>
          <w:rFonts w:ascii="Traditional Arabic" w:hAnsi="Traditional Arabic" w:cs="Traditional Arabic"/>
          <w:b/>
          <w:sz w:val="32"/>
          <w:szCs w:val="32"/>
          <w:rtl/>
        </w:rPr>
        <w:t>و</w:t>
      </w:r>
      <w:r w:rsidRPr="001C5D93">
        <w:rPr>
          <w:rFonts w:ascii="Traditional Arabic" w:hAnsi="Traditional Arabic" w:cs="Traditional Arabic"/>
          <w:bCs/>
          <w:sz w:val="32"/>
          <w:szCs w:val="32"/>
        </w:rPr>
        <w:t>Kenebara (2016</w:t>
      </w:r>
      <w:r w:rsidRPr="001C5D93">
        <w:rPr>
          <w:rFonts w:ascii="Traditional Arabic" w:hAnsi="Traditional Arabic" w:cs="Traditional Arabic"/>
          <w:b/>
          <w:sz w:val="32"/>
          <w:szCs w:val="32"/>
        </w:rPr>
        <w:t>)</w:t>
      </w:r>
      <w:r w:rsidRPr="001C5D93">
        <w:rPr>
          <w:rFonts w:ascii="Traditional Arabic" w:hAnsi="Traditional Arabic" w:cs="Traditional Arabic"/>
          <w:b/>
          <w:sz w:val="32"/>
          <w:szCs w:val="32"/>
          <w:rtl/>
        </w:rPr>
        <w:t>، وأنها تسهم في رفع الكفاءة وتقليل التكرار وتحسين القيمة المضافة، كما في</w:t>
      </w:r>
      <w:r w:rsidRPr="001C5D93">
        <w:rPr>
          <w:rFonts w:ascii="Traditional Arabic" w:hAnsi="Traditional Arabic" w:cs="Traditional Arabic"/>
          <w:bCs/>
          <w:sz w:val="32"/>
          <w:szCs w:val="32"/>
        </w:rPr>
        <w:t xml:space="preserve"> Brun (2020)</w:t>
      </w:r>
      <w:r w:rsidRPr="001C5D93">
        <w:rPr>
          <w:rFonts w:ascii="Traditional Arabic" w:hAnsi="Traditional Arabic" w:cs="Traditional Arabic"/>
          <w:b/>
          <w:sz w:val="32"/>
          <w:szCs w:val="32"/>
        </w:rPr>
        <w:t xml:space="preserve"> </w:t>
      </w:r>
      <w:r w:rsidRPr="001C5D93">
        <w:rPr>
          <w:rFonts w:ascii="Traditional Arabic" w:hAnsi="Traditional Arabic" w:cs="Traditional Arabic"/>
          <w:bCs/>
          <w:sz w:val="32"/>
          <w:szCs w:val="32"/>
          <w:rtl/>
        </w:rPr>
        <w:t>و</w:t>
      </w:r>
      <w:r w:rsidRPr="001C5D93">
        <w:rPr>
          <w:rFonts w:ascii="Traditional Arabic" w:hAnsi="Traditional Arabic" w:cs="Traditional Arabic"/>
          <w:bCs/>
          <w:sz w:val="32"/>
          <w:szCs w:val="32"/>
        </w:rPr>
        <w:t>Abdellatif et al. (2018)</w:t>
      </w:r>
      <w:r w:rsidR="00AE23F5" w:rsidRPr="001C5D93">
        <w:rPr>
          <w:rFonts w:ascii="Traditional Arabic" w:hAnsi="Traditional Arabic" w:cs="Traditional Arabic" w:hint="cs"/>
          <w:b/>
          <w:sz w:val="32"/>
          <w:szCs w:val="32"/>
          <w:rtl/>
        </w:rPr>
        <w:t xml:space="preserve"> </w:t>
      </w:r>
      <w:r w:rsidR="006D63D8">
        <w:rPr>
          <w:rFonts w:ascii="Traditional Arabic" w:hAnsi="Traditional Arabic" w:cs="Traditional Arabic" w:hint="cs"/>
          <w:b/>
          <w:sz w:val="32"/>
          <w:szCs w:val="32"/>
          <w:rtl/>
        </w:rPr>
        <w:t xml:space="preserve">، </w:t>
      </w:r>
      <w:r w:rsidRPr="001C5D93">
        <w:rPr>
          <w:rFonts w:ascii="Traditional Arabic" w:hAnsi="Traditional Arabic" w:cs="Traditional Arabic"/>
          <w:b/>
          <w:sz w:val="32"/>
          <w:szCs w:val="32"/>
          <w:rtl/>
        </w:rPr>
        <w:t xml:space="preserve">ويمكن تفسير هذا التوافق بأن المنظمات المعاصرة، ولا سيما المستشفيات، لا تستطيع تحقيق قفزات في الأداء من خلال التحسينات الجزئية وحدها، بل تحتاج في بعض الأحيان إلى إعادة تصميم العمليات نفسها لتصبح أكثر انسيابًا وتكاملًا وقابلية للرقمنة. </w:t>
      </w:r>
    </w:p>
    <w:p w14:paraId="4DCF4FAF" w14:textId="32E7B1C4" w:rsidR="007C19C9" w:rsidRPr="001C5D93" w:rsidRDefault="007C19C9" w:rsidP="00773E36">
      <w:pPr>
        <w:bidi/>
        <w:spacing w:after="120" w:line="240" w:lineRule="auto"/>
        <w:ind w:left="720"/>
        <w:jc w:val="both"/>
        <w:rPr>
          <w:rFonts w:ascii="Traditional Arabic" w:hAnsi="Traditional Arabic" w:cs="Traditional Arabic"/>
          <w:b/>
          <w:sz w:val="32"/>
          <w:szCs w:val="32"/>
        </w:rPr>
      </w:pPr>
      <w:r w:rsidRPr="001C5D93">
        <w:rPr>
          <w:rFonts w:ascii="Traditional Arabic" w:hAnsi="Traditional Arabic" w:cs="Traditional Arabic"/>
          <w:b/>
          <w:sz w:val="32"/>
          <w:szCs w:val="32"/>
          <w:rtl/>
        </w:rPr>
        <w:t>ومن هذا المنطلق، فإن إعادة هندسة العمليات في الدراسة الحالية لا تُفهم بوصفها تحديثًا إجرائيًا محدودًا، بل بوصفها مسارًا تنظيميًا يهيئ المؤسسة لرفع كفاءة الأداء وتبني الحلول الذكية وتحسين قدرتها على إدارة المخاطر بصورة استباقية ومنهجية</w:t>
      </w:r>
      <w:r w:rsidRPr="001C5D93">
        <w:rPr>
          <w:rFonts w:ascii="Traditional Arabic" w:hAnsi="Traditional Arabic" w:cs="Traditional Arabic"/>
          <w:b/>
          <w:sz w:val="32"/>
          <w:szCs w:val="32"/>
        </w:rPr>
        <w:t xml:space="preserve">. </w:t>
      </w:r>
    </w:p>
    <w:p w14:paraId="16300F1F" w14:textId="77777777" w:rsidR="00773E36" w:rsidRDefault="00AE23F5" w:rsidP="00773E36">
      <w:pPr>
        <w:pStyle w:val="a6"/>
        <w:numPr>
          <w:ilvl w:val="0"/>
          <w:numId w:val="111"/>
        </w:numPr>
        <w:bidi/>
        <w:spacing w:after="120" w:line="240" w:lineRule="auto"/>
        <w:ind w:left="1080"/>
        <w:jc w:val="both"/>
        <w:rPr>
          <w:rFonts w:ascii="Traditional Arabic" w:hAnsi="Traditional Arabic" w:cs="Traditional Arabic"/>
          <w:bCs/>
          <w:sz w:val="32"/>
          <w:szCs w:val="32"/>
        </w:rPr>
      </w:pPr>
      <w:r w:rsidRPr="001C5D93">
        <w:rPr>
          <w:rFonts w:ascii="Traditional Arabic" w:hAnsi="Traditional Arabic" w:cs="Traditional Arabic" w:hint="cs"/>
          <w:bCs/>
          <w:sz w:val="32"/>
          <w:szCs w:val="32"/>
          <w:rtl/>
        </w:rPr>
        <w:t>تمكين العاملين:</w:t>
      </w:r>
    </w:p>
    <w:p w14:paraId="495A7856" w14:textId="77777777" w:rsidR="00AF30A4" w:rsidRDefault="007C19C9" w:rsidP="00AF30A4">
      <w:pPr>
        <w:bidi/>
        <w:spacing w:after="120" w:line="240" w:lineRule="auto"/>
        <w:ind w:left="720"/>
        <w:jc w:val="both"/>
        <w:rPr>
          <w:rFonts w:ascii="Traditional Arabic" w:hAnsi="Traditional Arabic" w:cs="Traditional Arabic"/>
          <w:bCs/>
          <w:sz w:val="32"/>
          <w:szCs w:val="32"/>
          <w:rtl/>
        </w:rPr>
      </w:pPr>
      <w:r w:rsidRPr="00773E36">
        <w:rPr>
          <w:rFonts w:ascii="Traditional Arabic" w:hAnsi="Traditional Arabic" w:cs="Traditional Arabic"/>
          <w:b/>
          <w:sz w:val="32"/>
          <w:szCs w:val="32"/>
          <w:rtl/>
        </w:rPr>
        <w:t>تذهب الأدبيات إلى أن تمكين العاملين يمثل البعد البشري الحاسم في التطوير التنظيمي؛ لأنه يعكس مدى انتقال المنظمة من التحكم الصارم إلى المشاركة والثقة وتفويض الصلاحيات. وقد دعمت هذا الاتجاه عدة دراسات؛ إذ بينت العنزي وآخرون (2024) أن التمكين يعكس اهتمام المؤسسة بالمورد البشري، ورأى</w:t>
      </w:r>
      <w:r w:rsidRPr="00773E36">
        <w:rPr>
          <w:rFonts w:ascii="Traditional Arabic" w:hAnsi="Traditional Arabic" w:cs="Traditional Arabic"/>
          <w:b/>
          <w:sz w:val="32"/>
          <w:szCs w:val="32"/>
        </w:rPr>
        <w:t xml:space="preserve"> </w:t>
      </w:r>
      <w:r w:rsidRPr="00773E36">
        <w:rPr>
          <w:rFonts w:ascii="Traditional Arabic" w:hAnsi="Traditional Arabic" w:cs="Traditional Arabic"/>
          <w:bCs/>
          <w:sz w:val="32"/>
          <w:szCs w:val="32"/>
        </w:rPr>
        <w:t>Wagner &amp; Hollenbeck (2020</w:t>
      </w:r>
      <w:r w:rsidR="00D25920" w:rsidRPr="00773E36">
        <w:rPr>
          <w:rFonts w:ascii="Traditional Arabic" w:hAnsi="Traditional Arabic" w:cs="Traditional Arabic"/>
          <w:b/>
          <w:sz w:val="32"/>
          <w:szCs w:val="32"/>
        </w:rPr>
        <w:t>)</w:t>
      </w:r>
      <w:r w:rsidR="00D25920" w:rsidRPr="00773E36">
        <w:rPr>
          <w:rFonts w:ascii="Traditional Arabic" w:hAnsi="Traditional Arabic" w:cs="Traditional Arabic" w:hint="cs"/>
          <w:b/>
          <w:sz w:val="32"/>
          <w:szCs w:val="32"/>
          <w:rtl/>
        </w:rPr>
        <w:t xml:space="preserve"> </w:t>
      </w:r>
      <w:r w:rsidRPr="00773E36">
        <w:rPr>
          <w:rFonts w:ascii="Traditional Arabic" w:hAnsi="Traditional Arabic" w:cs="Traditional Arabic"/>
          <w:b/>
          <w:sz w:val="32"/>
          <w:szCs w:val="32"/>
          <w:rtl/>
        </w:rPr>
        <w:t>أنه مؤشر على القدرة على النجاح في البيئات التنافسية، وأكد</w:t>
      </w:r>
      <w:r w:rsidRPr="00773E36">
        <w:rPr>
          <w:rFonts w:ascii="Traditional Arabic" w:hAnsi="Traditional Arabic" w:cs="Traditional Arabic"/>
          <w:b/>
          <w:sz w:val="32"/>
          <w:szCs w:val="32"/>
        </w:rPr>
        <w:t xml:space="preserve"> </w:t>
      </w:r>
      <w:r w:rsidRPr="00773E36">
        <w:rPr>
          <w:rFonts w:ascii="Traditional Arabic" w:hAnsi="Traditional Arabic" w:cs="Traditional Arabic"/>
          <w:bCs/>
          <w:sz w:val="32"/>
          <w:szCs w:val="32"/>
        </w:rPr>
        <w:t>Aboramadan &amp; Dahleez (2020)</w:t>
      </w:r>
      <w:r w:rsidR="008E7428" w:rsidRPr="00773E36">
        <w:rPr>
          <w:rFonts w:ascii="Traditional Arabic" w:hAnsi="Traditional Arabic" w:cs="Traditional Arabic" w:hint="cs"/>
          <w:b/>
          <w:sz w:val="32"/>
          <w:szCs w:val="32"/>
          <w:rtl/>
        </w:rPr>
        <w:t xml:space="preserve"> </w:t>
      </w:r>
      <w:r w:rsidRPr="00773E36">
        <w:rPr>
          <w:rFonts w:ascii="Traditional Arabic" w:hAnsi="Traditional Arabic" w:cs="Traditional Arabic"/>
          <w:b/>
          <w:sz w:val="32"/>
          <w:szCs w:val="32"/>
          <w:rtl/>
        </w:rPr>
        <w:t xml:space="preserve">أثره في الأداء الفردي والتنظيمي، في حين أبرزت علاوة وبن </w:t>
      </w:r>
      <w:proofErr w:type="spellStart"/>
      <w:r w:rsidRPr="00773E36">
        <w:rPr>
          <w:rFonts w:ascii="Traditional Arabic" w:hAnsi="Traditional Arabic" w:cs="Traditional Arabic"/>
          <w:b/>
          <w:sz w:val="32"/>
          <w:szCs w:val="32"/>
          <w:rtl/>
        </w:rPr>
        <w:t>زرطيحة</w:t>
      </w:r>
      <w:proofErr w:type="spellEnd"/>
      <w:r w:rsidRPr="00773E36">
        <w:rPr>
          <w:rFonts w:ascii="Traditional Arabic" w:hAnsi="Traditional Arabic" w:cs="Traditional Arabic"/>
          <w:b/>
          <w:sz w:val="32"/>
          <w:szCs w:val="32"/>
          <w:rtl/>
        </w:rPr>
        <w:t xml:space="preserve"> (2022) وأحمد (2022) وحسن (2021) علاقته بالمشاركة والمسؤولية وتقليل الأخطاء ورفع الرضا</w:t>
      </w:r>
      <w:r w:rsidR="00AE23F5" w:rsidRPr="00773E36">
        <w:rPr>
          <w:rFonts w:ascii="Traditional Arabic" w:hAnsi="Traditional Arabic" w:cs="Traditional Arabic" w:hint="cs"/>
          <w:b/>
          <w:sz w:val="32"/>
          <w:szCs w:val="32"/>
          <w:rtl/>
        </w:rPr>
        <w:t xml:space="preserve">، وهو ما يمكن  تفسيره </w:t>
      </w:r>
      <w:r w:rsidRPr="00773E36">
        <w:rPr>
          <w:rFonts w:ascii="Traditional Arabic" w:hAnsi="Traditional Arabic" w:cs="Traditional Arabic"/>
          <w:b/>
          <w:sz w:val="32"/>
          <w:szCs w:val="32"/>
          <w:rtl/>
        </w:rPr>
        <w:t xml:space="preserve">بأن أي تطوير تنظيمي يظل محدود الأثر إذا اقتصر على إعادة ترتيب الهيكل أو تعديل الإجراءات دون تمكين فعلي للعاملين القادرين على تنفيذ التغيير والتفاعل معه. </w:t>
      </w:r>
    </w:p>
    <w:p w14:paraId="3C74B348" w14:textId="630EC9A4" w:rsidR="00773E36" w:rsidRPr="00AF30A4" w:rsidRDefault="007C19C9" w:rsidP="00AF30A4">
      <w:pPr>
        <w:bidi/>
        <w:spacing w:after="120" w:line="240" w:lineRule="auto"/>
        <w:ind w:left="720"/>
        <w:jc w:val="both"/>
        <w:rPr>
          <w:rFonts w:ascii="Traditional Arabic" w:hAnsi="Traditional Arabic" w:cs="Traditional Arabic"/>
          <w:bCs/>
          <w:sz w:val="32"/>
          <w:szCs w:val="32"/>
        </w:rPr>
      </w:pPr>
      <w:r w:rsidRPr="001C5D93">
        <w:rPr>
          <w:rFonts w:ascii="Traditional Arabic" w:hAnsi="Traditional Arabic" w:cs="Traditional Arabic"/>
          <w:b/>
          <w:sz w:val="32"/>
          <w:szCs w:val="32"/>
          <w:rtl/>
        </w:rPr>
        <w:t xml:space="preserve">وفي بيئة المستشفى، يصبح تمكين العاملين أكثر أهمية لأنه يرتبط بسرعة الإبلاغ عن المخاطر، والمبادرة في التعامل معها، واستخدام الأنظمة الذكية بفاعلية، وتحمل المسؤولية عن نتائج القرارات والإجراءات. </w:t>
      </w:r>
      <w:r w:rsidRPr="001C5D93">
        <w:rPr>
          <w:rFonts w:ascii="Traditional Arabic" w:hAnsi="Traditional Arabic" w:cs="Traditional Arabic"/>
          <w:b/>
          <w:sz w:val="32"/>
          <w:szCs w:val="32"/>
          <w:rtl/>
        </w:rPr>
        <w:lastRenderedPageBreak/>
        <w:t>لذلك، يُعد تمكين العاملين في هذه الدراسة بعدًا أساسيًا يربط بين التطوير التنظيمي وبين القدرة التشغيلية للمستشفى على الاستجابة للمخاطر وتبني التكنولوجيا الذكية</w:t>
      </w:r>
    </w:p>
    <w:p w14:paraId="34BD8331" w14:textId="23B40D3A" w:rsidR="007C19C9" w:rsidRDefault="00773E36" w:rsidP="00773E36">
      <w:pPr>
        <w:bidi/>
        <w:spacing w:after="120" w:line="240" w:lineRule="auto"/>
        <w:jc w:val="both"/>
        <w:rPr>
          <w:rFonts w:ascii="Traditional Arabic" w:hAnsi="Traditional Arabic" w:cs="Traditional Arabic" w:hint="cs"/>
          <w:b/>
          <w:sz w:val="32"/>
          <w:szCs w:val="32"/>
          <w:rtl/>
        </w:rPr>
      </w:pPr>
      <w:r w:rsidRPr="00773E36">
        <w:rPr>
          <w:rFonts w:ascii="Traditional Arabic" w:hAnsi="Traditional Arabic" w:cs="Traditional Arabic"/>
          <w:b/>
          <w:sz w:val="32"/>
          <w:szCs w:val="32"/>
          <w:rtl/>
        </w:rPr>
        <w:t>وقد تم اختيار هذه الأبعاد لكونها تمثل المكونات الأكثر تفسيرًا للتطوير التنظيمي في السياق الصحي، حيث تعكس بصورة متكاملة حلقات التغيير الأساسية داخل المستشفى، والمتمثلة في البنية الرسمية، والعمليات التشغيلية، والقدرة البشرية</w:t>
      </w:r>
      <w:r>
        <w:rPr>
          <w:rFonts w:ascii="Traditional Arabic" w:hAnsi="Traditional Arabic" w:cs="Traditional Arabic" w:hint="cs"/>
          <w:b/>
          <w:sz w:val="32"/>
          <w:szCs w:val="32"/>
          <w:rtl/>
        </w:rPr>
        <w:t xml:space="preserve">، كما </w:t>
      </w:r>
      <w:r w:rsidRPr="00773E36">
        <w:rPr>
          <w:rFonts w:ascii="Traditional Arabic" w:hAnsi="Traditional Arabic" w:cs="Traditional Arabic"/>
          <w:b/>
          <w:sz w:val="32"/>
          <w:szCs w:val="32"/>
          <w:rtl/>
        </w:rPr>
        <w:t>يستند هذا الاختيار إلى منطق تفسيري يتسق مع طبيعة النموذج المقترح</w:t>
      </w:r>
      <w:r>
        <w:rPr>
          <w:rFonts w:ascii="Traditional Arabic" w:hAnsi="Traditional Arabic" w:cs="Traditional Arabic" w:hint="cs"/>
          <w:b/>
          <w:sz w:val="32"/>
          <w:szCs w:val="32"/>
          <w:rtl/>
        </w:rPr>
        <w:t xml:space="preserve"> للدراسة</w:t>
      </w:r>
      <w:r w:rsidRPr="00773E36">
        <w:rPr>
          <w:rFonts w:ascii="Traditional Arabic" w:hAnsi="Traditional Arabic" w:cs="Traditional Arabic"/>
          <w:b/>
          <w:sz w:val="32"/>
          <w:szCs w:val="32"/>
          <w:rtl/>
        </w:rPr>
        <w:t>، بما يجعل قياس التطوير التنظيمي في الدراسة الحالية أكثر اتساقًا مع الإطار المفاهيمي، وأكثر قدرة على تفسير علاقته بكل من التكنولوجيا الذكية وإدارة المخاطر</w:t>
      </w:r>
      <w:r w:rsidRPr="00773E36">
        <w:rPr>
          <w:rFonts w:ascii="Traditional Arabic" w:hAnsi="Traditional Arabic" w:cs="Traditional Arabic"/>
          <w:b/>
          <w:sz w:val="32"/>
          <w:szCs w:val="32"/>
        </w:rPr>
        <w:t>.</w:t>
      </w:r>
    </w:p>
    <w:p w14:paraId="7C86D850" w14:textId="0299443D" w:rsidR="007C19C9" w:rsidRPr="001C5D93" w:rsidRDefault="007C19C9" w:rsidP="00773E36">
      <w:pPr>
        <w:pStyle w:val="a6"/>
        <w:numPr>
          <w:ilvl w:val="0"/>
          <w:numId w:val="101"/>
        </w:numPr>
        <w:bidi/>
        <w:spacing w:after="120" w:line="240" w:lineRule="auto"/>
        <w:jc w:val="both"/>
        <w:rPr>
          <w:rFonts w:ascii="Traditional Arabic" w:hAnsi="Traditional Arabic" w:cs="Traditional Arabic"/>
          <w:bCs/>
          <w:sz w:val="32"/>
          <w:szCs w:val="32"/>
        </w:rPr>
      </w:pPr>
      <w:r w:rsidRPr="001C5D93">
        <w:rPr>
          <w:rFonts w:ascii="Traditional Arabic" w:hAnsi="Traditional Arabic" w:cs="Traditional Arabic"/>
          <w:bCs/>
          <w:sz w:val="32"/>
          <w:szCs w:val="32"/>
          <w:rtl/>
        </w:rPr>
        <w:t>آلية تأثير التطوير التنظيمي في نموذج الدراسة</w:t>
      </w:r>
      <w:r w:rsidR="00E95A56">
        <w:rPr>
          <w:rFonts w:ascii="Traditional Arabic" w:hAnsi="Traditional Arabic" w:cs="Traditional Arabic" w:hint="cs"/>
          <w:bCs/>
          <w:sz w:val="32"/>
          <w:szCs w:val="32"/>
          <w:rtl/>
        </w:rPr>
        <w:t>:</w:t>
      </w:r>
    </w:p>
    <w:p w14:paraId="7FCA03F4" w14:textId="0DE33580" w:rsidR="00E95A56" w:rsidRPr="00E95A56" w:rsidRDefault="00E95A56" w:rsidP="00E95A56">
      <w:pPr>
        <w:bidi/>
        <w:spacing w:after="120" w:line="240" w:lineRule="auto"/>
        <w:jc w:val="both"/>
        <w:rPr>
          <w:rFonts w:ascii="Traditional Arabic" w:hAnsi="Traditional Arabic" w:cs="Traditional Arabic"/>
          <w:b/>
          <w:sz w:val="32"/>
          <w:szCs w:val="32"/>
          <w:rtl/>
        </w:rPr>
      </w:pPr>
      <w:r>
        <w:rPr>
          <w:rFonts w:ascii="Traditional Arabic" w:hAnsi="Traditional Arabic" w:cs="Traditional Arabic" w:hint="cs"/>
          <w:b/>
          <w:sz w:val="32"/>
          <w:szCs w:val="32"/>
          <w:rtl/>
        </w:rPr>
        <w:t>ا</w:t>
      </w:r>
      <w:r w:rsidRPr="00E95A56">
        <w:rPr>
          <w:rFonts w:ascii="Traditional Arabic" w:hAnsi="Traditional Arabic" w:cs="Traditional Arabic"/>
          <w:b/>
          <w:sz w:val="32"/>
          <w:szCs w:val="32"/>
          <w:rtl/>
        </w:rPr>
        <w:t>نطلاقًا من الإطار النظري ونموذج الدراسة الذي سبق عرضهما، يمكن القول إن التطوير التنظيمي يُمارس تأثيره في نموذج الدراسة الحالية من خلال مسارين مترابطين: مسار مباشر، وآخر غير مباشر عبر التكنولوجيا الذكية</w:t>
      </w:r>
      <w:r w:rsidRPr="00E95A56">
        <w:rPr>
          <w:rFonts w:ascii="Traditional Arabic" w:hAnsi="Traditional Arabic" w:cs="Traditional Arabic"/>
          <w:b/>
          <w:sz w:val="32"/>
          <w:szCs w:val="32"/>
        </w:rPr>
        <w:t>.</w:t>
      </w:r>
    </w:p>
    <w:p w14:paraId="5CCC5730" w14:textId="36736E1C" w:rsidR="00E95A56" w:rsidRPr="00E95A56" w:rsidRDefault="00E95A56" w:rsidP="00E95A56">
      <w:pPr>
        <w:bidi/>
        <w:spacing w:after="120" w:line="240" w:lineRule="auto"/>
        <w:jc w:val="both"/>
        <w:rPr>
          <w:rFonts w:ascii="Traditional Arabic" w:hAnsi="Traditional Arabic" w:cs="Traditional Arabic"/>
          <w:b/>
          <w:sz w:val="32"/>
          <w:szCs w:val="32"/>
          <w:rtl/>
        </w:rPr>
      </w:pPr>
      <w:r w:rsidRPr="00E95A56">
        <w:rPr>
          <w:rFonts w:ascii="Traditional Arabic" w:hAnsi="Traditional Arabic" w:cs="Traditional Arabic"/>
          <w:b/>
          <w:sz w:val="32"/>
          <w:szCs w:val="32"/>
          <w:rtl/>
        </w:rPr>
        <w:t>فالتأثير المباشر يتمثل في قدرة التطوير التنظيمي  بأبعاده المتمثلة في تحديث الهيكل، وإعادة هندسة العمليات، وتمكين العاملين</w:t>
      </w:r>
      <w:r>
        <w:rPr>
          <w:rFonts w:ascii="Traditional Arabic" w:hAnsi="Traditional Arabic" w:cs="Traditional Arabic" w:hint="cs"/>
          <w:b/>
          <w:sz w:val="32"/>
          <w:szCs w:val="32"/>
          <w:rtl/>
        </w:rPr>
        <w:t xml:space="preserve"> </w:t>
      </w:r>
      <w:r w:rsidRPr="00E95A56">
        <w:rPr>
          <w:rFonts w:ascii="Traditional Arabic" w:hAnsi="Traditional Arabic" w:cs="Traditional Arabic"/>
          <w:b/>
          <w:sz w:val="32"/>
          <w:szCs w:val="32"/>
          <w:rtl/>
        </w:rPr>
        <w:t>على تحسين البيئة التنظيمية الداخلية للمستشفى، مما ينعكس إيجابًا على كفاءة التعامل مع المخاطر التشغيلية والسريرية بشكل مباشر</w:t>
      </w:r>
      <w:r w:rsidRPr="00E95A56">
        <w:rPr>
          <w:rFonts w:ascii="Traditional Arabic" w:hAnsi="Traditional Arabic" w:cs="Traditional Arabic"/>
          <w:b/>
          <w:sz w:val="32"/>
          <w:szCs w:val="32"/>
        </w:rPr>
        <w:t xml:space="preserve"> </w:t>
      </w:r>
      <w:r w:rsidRPr="00E95A56">
        <w:rPr>
          <w:rFonts w:ascii="Traditional Arabic" w:hAnsi="Traditional Arabic" w:cs="Traditional Arabic"/>
          <w:bCs/>
          <w:sz w:val="32"/>
          <w:szCs w:val="32"/>
        </w:rPr>
        <w:t>.(Awwad et al., 2022)</w:t>
      </w:r>
      <w:r>
        <w:rPr>
          <w:rFonts w:ascii="Traditional Arabic" w:hAnsi="Traditional Arabic" w:cs="Traditional Arabic" w:hint="cs"/>
          <w:b/>
          <w:sz w:val="32"/>
          <w:szCs w:val="32"/>
          <w:rtl/>
        </w:rPr>
        <w:t xml:space="preserve"> </w:t>
      </w:r>
    </w:p>
    <w:p w14:paraId="0B366E89" w14:textId="77777777" w:rsidR="00B074B7" w:rsidRDefault="00E95A56" w:rsidP="00B074B7">
      <w:pPr>
        <w:bidi/>
        <w:spacing w:after="120" w:line="240" w:lineRule="auto"/>
        <w:jc w:val="both"/>
        <w:rPr>
          <w:rFonts w:ascii="Traditional Arabic" w:hAnsi="Traditional Arabic" w:cs="Traditional Arabic"/>
          <w:b/>
          <w:sz w:val="32"/>
          <w:szCs w:val="32"/>
          <w:rtl/>
        </w:rPr>
      </w:pPr>
      <w:r w:rsidRPr="00E95A56">
        <w:rPr>
          <w:rFonts w:ascii="Traditional Arabic" w:hAnsi="Traditional Arabic" w:cs="Traditional Arabic"/>
          <w:b/>
          <w:sz w:val="32"/>
          <w:szCs w:val="32"/>
          <w:rtl/>
        </w:rPr>
        <w:t xml:space="preserve">أما التأثير غير المباشر، فيتمثل في أن التطوير التنظيمي يُهيئ المستشفى لتبني التكنولوجيا الذكية (أنظمة دعم القرار، الإنذار المبكر، والتحليلات التنبؤية)، وهذه التكنولوجيا بدورها تنقل هذا الأثر إلى تحسين إدارة المخاطر عبر دقة الرصد، وسرعة الاستجابة، وقوة التنبؤ. وبذلك، يؤدي التطوير التنظيمي وظيفة مزدوجة: تحسين مباشر لإدارة المخاطر، وتهيئة لتبني وسيط تكنولوجي يُعزز هذا التحسين </w:t>
      </w:r>
      <w:r w:rsidRPr="00E95A56">
        <w:rPr>
          <w:rFonts w:ascii="Traditional Arabic" w:hAnsi="Traditional Arabic" w:cs="Traditional Arabic"/>
          <w:bCs/>
          <w:sz w:val="32"/>
          <w:szCs w:val="32"/>
          <w:rtl/>
        </w:rPr>
        <w:t>(</w:t>
      </w:r>
      <w:r w:rsidRPr="00E95A56">
        <w:rPr>
          <w:rFonts w:ascii="Traditional Arabic" w:hAnsi="Traditional Arabic" w:cs="Traditional Arabic"/>
          <w:bCs/>
          <w:sz w:val="32"/>
          <w:szCs w:val="32"/>
        </w:rPr>
        <w:t>Somera &amp; Petrov, 2024</w:t>
      </w:r>
      <w:r w:rsidRPr="00E95A56">
        <w:rPr>
          <w:rFonts w:ascii="Traditional Arabic" w:hAnsi="Traditional Arabic" w:cs="Traditional Arabic"/>
          <w:b/>
          <w:sz w:val="32"/>
          <w:szCs w:val="32"/>
          <w:rtl/>
        </w:rPr>
        <w:t>).</w:t>
      </w:r>
    </w:p>
    <w:p w14:paraId="2ACC7008" w14:textId="0737A11B" w:rsidR="00A02194" w:rsidRPr="00B074B7" w:rsidRDefault="00042498" w:rsidP="00E74640">
      <w:pPr>
        <w:bidi/>
        <w:spacing w:after="120" w:line="240" w:lineRule="auto"/>
        <w:jc w:val="both"/>
        <w:rPr>
          <w:rFonts w:ascii="Traditional Arabic" w:hAnsi="Traditional Arabic" w:cs="Traditional Arabic"/>
          <w:b/>
          <w:sz w:val="32"/>
          <w:szCs w:val="32"/>
          <w:rtl/>
        </w:rPr>
      </w:pPr>
      <w:r w:rsidRPr="00E95A56">
        <w:rPr>
          <w:rFonts w:ascii="Traditional Arabic" w:hAnsi="Traditional Arabic" w:cs="Traditional Arabic"/>
          <w:bCs/>
          <w:sz w:val="36"/>
          <w:szCs w:val="36"/>
          <w:rtl/>
          <w:lang w:bidi="ar-EG"/>
        </w:rPr>
        <w:t>المبحث الثاني</w:t>
      </w:r>
      <w:r w:rsidR="00B44F65" w:rsidRPr="00E95A56">
        <w:rPr>
          <w:rFonts w:ascii="Traditional Arabic" w:hAnsi="Traditional Arabic" w:cs="Traditional Arabic" w:hint="cs"/>
          <w:bCs/>
          <w:sz w:val="36"/>
          <w:szCs w:val="36"/>
          <w:rtl/>
          <w:lang w:bidi="ar-EG"/>
        </w:rPr>
        <w:t xml:space="preserve">: </w:t>
      </w:r>
      <w:r w:rsidRPr="00E95A56">
        <w:rPr>
          <w:rFonts w:ascii="Traditional Arabic" w:hAnsi="Traditional Arabic" w:cs="Traditional Arabic"/>
          <w:bCs/>
          <w:sz w:val="36"/>
          <w:szCs w:val="36"/>
          <w:rtl/>
          <w:lang w:bidi="ar-EG"/>
        </w:rPr>
        <w:t>التكنولوجيا الذكية</w:t>
      </w:r>
      <w:bookmarkEnd w:id="2"/>
    </w:p>
    <w:p w14:paraId="1D7E8F0B" w14:textId="77777777" w:rsidR="00C72D37" w:rsidRPr="00C72D37" w:rsidRDefault="00C72D37" w:rsidP="00C72D37">
      <w:pPr>
        <w:bidi/>
        <w:spacing w:after="120" w:line="240" w:lineRule="auto"/>
        <w:jc w:val="both"/>
        <w:rPr>
          <w:rFonts w:ascii="Traditional Arabic" w:hAnsi="Traditional Arabic" w:cs="Traditional Arabic" w:hint="cs"/>
          <w:sz w:val="32"/>
          <w:szCs w:val="32"/>
          <w:rtl/>
        </w:rPr>
      </w:pPr>
      <w:r w:rsidRPr="00C72D37">
        <w:rPr>
          <w:rFonts w:ascii="Traditional Arabic" w:hAnsi="Traditional Arabic" w:cs="Traditional Arabic"/>
          <w:sz w:val="32"/>
          <w:szCs w:val="32"/>
          <w:rtl/>
        </w:rPr>
        <w:t>شهد القطاع الصحي خلال العقد الأخير تحولًا جوهريًا في أنماط تقديم الرعاية، حيث لم تعد التكنولوجيا مجرد أدوات مساندة، بل أصبحت عنصرًا استراتيجيًا يعيد تشكيل منظومة العلاقة بين مقدمي الخدمة والمستفيدين. وقد أسهمت تقنيات الثورة الصناعية الرابعة، ولا سيما الذكاء الاصطناعي وإنترنت الأشياء، في رفع كفاءة التشخيص وتقليل معدلات الخطأ الطبي، بما جعلها محورًا رئيسًا في تطوير النظم الصحية عالميًا</w:t>
      </w:r>
      <w:r w:rsidRPr="00C72D37">
        <w:rPr>
          <w:rFonts w:ascii="Traditional Arabic" w:hAnsi="Traditional Arabic" w:cs="Traditional Arabic"/>
          <w:sz w:val="32"/>
          <w:szCs w:val="32"/>
        </w:rPr>
        <w:t xml:space="preserve"> (Sinha, 2024).</w:t>
      </w:r>
    </w:p>
    <w:p w14:paraId="1B425E88" w14:textId="6173D9AA" w:rsidR="00C72D37" w:rsidRPr="00C72D37" w:rsidRDefault="00C72D37" w:rsidP="00C72D37">
      <w:pPr>
        <w:bidi/>
        <w:spacing w:after="120" w:line="240" w:lineRule="auto"/>
        <w:jc w:val="both"/>
        <w:rPr>
          <w:rFonts w:ascii="Traditional Arabic" w:hAnsi="Traditional Arabic" w:cs="Traditional Arabic" w:hint="cs"/>
          <w:sz w:val="32"/>
          <w:szCs w:val="32"/>
          <w:rtl/>
        </w:rPr>
      </w:pPr>
      <w:r w:rsidRPr="00C72D37">
        <w:rPr>
          <w:rFonts w:ascii="Traditional Arabic" w:hAnsi="Traditional Arabic" w:cs="Traditional Arabic"/>
          <w:sz w:val="32"/>
          <w:szCs w:val="32"/>
          <w:rtl/>
        </w:rPr>
        <w:t xml:space="preserve">وفي هذا السياق، تبرز التكنولوجيا الذكية بوصفها آلية تحويلية تمكّن المؤسسات الصحية من الانتقال من نمط الاستجابة اللاحقة إلى النمط الاستباقي، خصوصًا في مجال إدارة المخاطر. إذ تتيح هذه التقنيات رصد المؤشرات </w:t>
      </w:r>
      <w:r w:rsidRPr="00C72D37">
        <w:rPr>
          <w:rFonts w:ascii="Traditional Arabic" w:hAnsi="Traditional Arabic" w:cs="Traditional Arabic"/>
          <w:sz w:val="32"/>
          <w:szCs w:val="32"/>
          <w:rtl/>
        </w:rPr>
        <w:lastRenderedPageBreak/>
        <w:t>الحيوية وتحليل البيانات بشكل لحظي، بما يسهم في تقليص زمن الاستجابة للأحداث الحرجة وتحسين مخرجات الرعاية الصحية</w:t>
      </w:r>
      <w:r>
        <w:rPr>
          <w:rFonts w:ascii="Traditional Arabic" w:hAnsi="Traditional Arabic" w:cs="Traditional Arabic" w:hint="cs"/>
          <w:sz w:val="32"/>
          <w:szCs w:val="32"/>
          <w:rtl/>
        </w:rPr>
        <w:t xml:space="preserve"> </w:t>
      </w:r>
      <w:r w:rsidRPr="00C72D37">
        <w:rPr>
          <w:rFonts w:ascii="Traditional Arabic" w:hAnsi="Traditional Arabic" w:cs="Traditional Arabic"/>
          <w:sz w:val="32"/>
          <w:szCs w:val="32"/>
        </w:rPr>
        <w:t xml:space="preserve"> </w:t>
      </w:r>
      <w:r>
        <w:rPr>
          <w:rFonts w:ascii="Traditional Arabic" w:hAnsi="Traditional Arabic" w:cs="Traditional Arabic"/>
          <w:sz w:val="32"/>
          <w:szCs w:val="32"/>
        </w:rPr>
        <w:t>.</w:t>
      </w:r>
      <w:r w:rsidRPr="00C72D37">
        <w:rPr>
          <w:rFonts w:ascii="Traditional Arabic" w:hAnsi="Traditional Arabic" w:cs="Traditional Arabic"/>
          <w:sz w:val="32"/>
          <w:szCs w:val="32"/>
        </w:rPr>
        <w:t>(Lowe et al., 2022)</w:t>
      </w:r>
      <w:r>
        <w:rPr>
          <w:rFonts w:ascii="Traditional Arabic" w:hAnsi="Traditional Arabic" w:cs="Traditional Arabic" w:hint="cs"/>
          <w:sz w:val="32"/>
          <w:szCs w:val="32"/>
          <w:rtl/>
        </w:rPr>
        <w:t xml:space="preserve"> </w:t>
      </w:r>
    </w:p>
    <w:p w14:paraId="5C315076" w14:textId="77777777" w:rsidR="00C72D37" w:rsidRPr="00C72D37" w:rsidRDefault="00C72D37" w:rsidP="00C72D37">
      <w:pPr>
        <w:bidi/>
        <w:spacing w:after="120" w:line="240" w:lineRule="auto"/>
        <w:jc w:val="both"/>
        <w:rPr>
          <w:rFonts w:ascii="Traditional Arabic" w:hAnsi="Traditional Arabic" w:cs="Traditional Arabic"/>
          <w:sz w:val="32"/>
          <w:szCs w:val="32"/>
        </w:rPr>
      </w:pPr>
      <w:r w:rsidRPr="00C72D37">
        <w:rPr>
          <w:rFonts w:ascii="Traditional Arabic" w:hAnsi="Traditional Arabic" w:cs="Traditional Arabic"/>
          <w:sz w:val="32"/>
          <w:szCs w:val="32"/>
          <w:rtl/>
        </w:rPr>
        <w:t>وانطلاقًا من هذا الدور المحوري، تتعامل هذه الدراسة مع التكنولوجيا الذكية بوصفها متغيرًا وسيطًا يفسر الآلية التي ينتقل من خلالها أثر التطوير التنظيمي إلى تحسين إدارة المخاطر. وفي ضوء ذلك، يتناول هذا المبحث تعريفًا إجرائيًا للتكنولوجيا الذكية، ويحدد أبعادها الرئيسة ذات الصلة بالبيئة الصحية، ثم يوضح الأساس النظري الذي يبرر دورها الوسيط ضمن النموذج المقترح</w:t>
      </w:r>
      <w:r w:rsidRPr="00C72D37">
        <w:rPr>
          <w:rFonts w:ascii="Traditional Arabic" w:hAnsi="Traditional Arabic" w:cs="Traditional Arabic"/>
          <w:sz w:val="32"/>
          <w:szCs w:val="32"/>
        </w:rPr>
        <w:t>.</w:t>
      </w:r>
    </w:p>
    <w:p w14:paraId="5C66140F" w14:textId="25E9E86F" w:rsidR="00A02194" w:rsidRDefault="00A02194" w:rsidP="00E95A56">
      <w:pPr>
        <w:pStyle w:val="1"/>
        <w:numPr>
          <w:ilvl w:val="0"/>
          <w:numId w:val="101"/>
        </w:numPr>
        <w:bidi/>
        <w:spacing w:before="0" w:after="120" w:line="240" w:lineRule="auto"/>
        <w:jc w:val="both"/>
        <w:rPr>
          <w:rFonts w:ascii="Traditional Arabic" w:hAnsi="Traditional Arabic" w:cs="Traditional Arabic"/>
          <w:b/>
          <w:bCs/>
          <w:color w:val="auto"/>
          <w:sz w:val="32"/>
          <w:szCs w:val="32"/>
          <w:rtl/>
        </w:rPr>
      </w:pPr>
      <w:r w:rsidRPr="00A02194">
        <w:rPr>
          <w:rFonts w:ascii="Traditional Arabic" w:hAnsi="Traditional Arabic" w:cs="Traditional Arabic"/>
          <w:b/>
          <w:bCs/>
          <w:color w:val="auto"/>
          <w:sz w:val="32"/>
          <w:szCs w:val="32"/>
          <w:rtl/>
        </w:rPr>
        <w:t>مفهوم التكنولوجيا الذكية</w:t>
      </w:r>
      <w:r w:rsidR="00E95A56">
        <w:rPr>
          <w:rFonts w:ascii="Traditional Arabic" w:hAnsi="Traditional Arabic" w:cs="Traditional Arabic" w:hint="cs"/>
          <w:b/>
          <w:bCs/>
          <w:color w:val="auto"/>
          <w:sz w:val="32"/>
          <w:szCs w:val="32"/>
          <w:rtl/>
        </w:rPr>
        <w:t>:</w:t>
      </w:r>
    </w:p>
    <w:p w14:paraId="0FFE0600" w14:textId="4D1BE651" w:rsidR="002A5BF8" w:rsidRPr="002A5BF8" w:rsidRDefault="002A5BF8" w:rsidP="002A5BF8">
      <w:pPr>
        <w:bidi/>
        <w:spacing w:after="120" w:line="240" w:lineRule="auto"/>
        <w:jc w:val="both"/>
        <w:rPr>
          <w:rFonts w:ascii="Traditional Arabic" w:hAnsi="Traditional Arabic" w:cs="Traditional Arabic" w:hint="cs"/>
          <w:sz w:val="32"/>
          <w:szCs w:val="32"/>
          <w:rtl/>
        </w:rPr>
      </w:pPr>
      <w:r w:rsidRPr="002A5BF8">
        <w:rPr>
          <w:rFonts w:ascii="Traditional Arabic" w:hAnsi="Traditional Arabic" w:cs="Traditional Arabic"/>
          <w:sz w:val="32"/>
          <w:szCs w:val="32"/>
          <w:rtl/>
        </w:rPr>
        <w:t>تتعدد التعريفات التي تناولت التكنولوجيا في الأدبيات الإدارية، إلا أنها تتفق في جوهرها على أنها التطبيق العملي للمعرفة العلمية بهدف تطوير الأدوات والعمليات بما يسهم في تحسين الأداء وحل المشكلات. ويُميز الأدب الحديث بين التكنولوجيا التقليدية القائمة على الأتمتة، والتكنولوجيا الذكية التي تتميز بقدرتها على التعلم والتكيف</w:t>
      </w:r>
      <w:r w:rsidRPr="002A5BF8">
        <w:rPr>
          <w:rFonts w:ascii="Traditional Arabic" w:hAnsi="Traditional Arabic" w:cs="Traditional Arabic"/>
          <w:sz w:val="32"/>
          <w:szCs w:val="32"/>
        </w:rPr>
        <w:t xml:space="preserve"> (Beldiq et al., 2024)</w:t>
      </w:r>
      <w:r>
        <w:rPr>
          <w:rFonts w:ascii="Traditional Arabic" w:hAnsi="Traditional Arabic" w:cs="Traditional Arabic" w:hint="cs"/>
          <w:sz w:val="32"/>
          <w:szCs w:val="32"/>
          <w:rtl/>
        </w:rPr>
        <w:t>.</w:t>
      </w:r>
    </w:p>
    <w:p w14:paraId="4AFD28FA" w14:textId="77777777" w:rsidR="002A5BF8" w:rsidRDefault="002A5BF8" w:rsidP="002A5BF8">
      <w:pPr>
        <w:bidi/>
        <w:spacing w:after="120" w:line="240" w:lineRule="auto"/>
        <w:jc w:val="both"/>
        <w:rPr>
          <w:rFonts w:ascii="Traditional Arabic" w:hAnsi="Traditional Arabic" w:cs="Traditional Arabic"/>
          <w:sz w:val="32"/>
          <w:szCs w:val="32"/>
          <w:rtl/>
        </w:rPr>
      </w:pPr>
      <w:r w:rsidRPr="002A5BF8">
        <w:rPr>
          <w:rFonts w:ascii="Traditional Arabic" w:hAnsi="Traditional Arabic" w:cs="Traditional Arabic"/>
          <w:sz w:val="32"/>
          <w:szCs w:val="32"/>
          <w:rtl/>
        </w:rPr>
        <w:t xml:space="preserve">وفي السياق الصحي، </w:t>
      </w:r>
      <w:r>
        <w:rPr>
          <w:rFonts w:ascii="Traditional Arabic" w:hAnsi="Traditional Arabic" w:cs="Traditional Arabic" w:hint="cs"/>
          <w:sz w:val="32"/>
          <w:szCs w:val="32"/>
          <w:rtl/>
        </w:rPr>
        <w:t xml:space="preserve">فقد عرف </w:t>
      </w:r>
      <w:r w:rsidRPr="002A5BF8">
        <w:rPr>
          <w:rFonts w:ascii="Traditional Arabic" w:hAnsi="Traditional Arabic" w:cs="Traditional Arabic"/>
          <w:sz w:val="32"/>
          <w:szCs w:val="32"/>
        </w:rPr>
        <w:t>Elhaddad &amp; Hamam</w:t>
      </w:r>
      <w:r>
        <w:rPr>
          <w:rFonts w:ascii="Traditional Arabic" w:hAnsi="Traditional Arabic" w:cs="Traditional Arabic"/>
          <w:sz w:val="32"/>
          <w:szCs w:val="32"/>
        </w:rPr>
        <w:t xml:space="preserve"> (2024)</w:t>
      </w:r>
      <w:r w:rsidRPr="002A5BF8">
        <w:rPr>
          <w:rFonts w:ascii="Traditional Arabic" w:hAnsi="Traditional Arabic" w:cs="Traditional Arabic"/>
          <w:sz w:val="32"/>
          <w:szCs w:val="32"/>
          <w:rtl/>
        </w:rPr>
        <w:t xml:space="preserve"> التكنولوجيا الذكية بأنها منظومة من التقنيات المتقدمة التي توظف الذكاء الاصطناعي، وتحليل البيانات الضخمة، وإنترنت الأشياء، بهدف جمع البيانات السريرية والإدارية وتحليلها بشكل تكاملي، بما يدعم اتخاذ القرار الطبي والإداري</w:t>
      </w:r>
      <w:r>
        <w:rPr>
          <w:rFonts w:ascii="Traditional Arabic" w:hAnsi="Traditional Arabic" w:cs="Traditional Arabic" w:hint="cs"/>
          <w:sz w:val="32"/>
          <w:szCs w:val="32"/>
          <w:rtl/>
        </w:rPr>
        <w:t>.</w:t>
      </w:r>
    </w:p>
    <w:p w14:paraId="1F38DA49" w14:textId="512EFA38" w:rsidR="002A5BF8" w:rsidRPr="002A5BF8" w:rsidRDefault="002A5BF8" w:rsidP="002A5BF8">
      <w:pPr>
        <w:bidi/>
        <w:spacing w:after="120" w:line="240" w:lineRule="auto"/>
        <w:jc w:val="both"/>
        <w:rPr>
          <w:rFonts w:ascii="Traditional Arabic" w:hAnsi="Traditional Arabic" w:cs="Traditional Arabic"/>
          <w:sz w:val="32"/>
          <w:szCs w:val="32"/>
        </w:rPr>
      </w:pPr>
      <w:r w:rsidRPr="002A5BF8">
        <w:rPr>
          <w:rFonts w:ascii="Traditional Arabic" w:hAnsi="Traditional Arabic" w:cs="Traditional Arabic"/>
          <w:sz w:val="32"/>
          <w:szCs w:val="32"/>
        </w:rPr>
        <w:t xml:space="preserve"> </w:t>
      </w:r>
      <w:r w:rsidRPr="002A5BF8">
        <w:rPr>
          <w:rFonts w:ascii="Traditional Arabic" w:hAnsi="Traditional Arabic" w:cs="Traditional Arabic"/>
          <w:sz w:val="32"/>
          <w:szCs w:val="32"/>
          <w:rtl/>
        </w:rPr>
        <w:t>ويُميز هذا المفهوم</w:t>
      </w:r>
      <w:r>
        <w:rPr>
          <w:rFonts w:ascii="Traditional Arabic" w:hAnsi="Traditional Arabic" w:cs="Traditional Arabic" w:hint="cs"/>
          <w:sz w:val="32"/>
          <w:szCs w:val="32"/>
          <w:rtl/>
        </w:rPr>
        <w:t xml:space="preserve"> التكنولوجيا الذكية</w:t>
      </w:r>
      <w:r w:rsidRPr="002A5BF8">
        <w:rPr>
          <w:rFonts w:ascii="Traditional Arabic" w:hAnsi="Traditional Arabic" w:cs="Traditional Arabic"/>
          <w:sz w:val="32"/>
          <w:szCs w:val="32"/>
          <w:rtl/>
        </w:rPr>
        <w:t xml:space="preserve"> عن التحول الرقمي كونه يركز على البعد التقني التحليلي أكثر من البعد التنظيمي الشامل</w:t>
      </w:r>
      <w:r w:rsidRPr="002A5BF8">
        <w:rPr>
          <w:rFonts w:ascii="Traditional Arabic" w:hAnsi="Traditional Arabic" w:cs="Traditional Arabic"/>
          <w:sz w:val="32"/>
          <w:szCs w:val="32"/>
        </w:rPr>
        <w:t>.</w:t>
      </w:r>
    </w:p>
    <w:p w14:paraId="631AE368" w14:textId="33D3E522" w:rsidR="002A5BF8" w:rsidRPr="002A5BF8" w:rsidRDefault="002A5BF8" w:rsidP="002A5BF8">
      <w:pPr>
        <w:bidi/>
        <w:spacing w:after="120" w:line="24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من جهة أخرى، </w:t>
      </w:r>
      <w:r w:rsidRPr="002A5BF8">
        <w:rPr>
          <w:rFonts w:ascii="Traditional Arabic" w:hAnsi="Traditional Arabic" w:cs="Traditional Arabic"/>
          <w:sz w:val="32"/>
          <w:szCs w:val="32"/>
          <w:rtl/>
        </w:rPr>
        <w:t>تتسم التكنولوجيا الذكية بقدرتها على تجاوز وظيفة تخزين البيانات إلى إنتاج رؤى تنبؤية تعتمد على خوارزميات التعلم الآلي، بما يتيح التنبؤ بالأحداث قبل وقوعها</w:t>
      </w:r>
      <w:r>
        <w:rPr>
          <w:rFonts w:ascii="Traditional Arabic" w:hAnsi="Traditional Arabic" w:cs="Traditional Arabic" w:hint="cs"/>
          <w:sz w:val="32"/>
          <w:szCs w:val="32"/>
          <w:rtl/>
        </w:rPr>
        <w:t>،</w:t>
      </w:r>
      <w:r w:rsidRPr="002A5BF8">
        <w:rPr>
          <w:rFonts w:ascii="Traditional Arabic" w:hAnsi="Traditional Arabic" w:cs="Traditional Arabic"/>
          <w:sz w:val="32"/>
          <w:szCs w:val="32"/>
          <w:rtl/>
        </w:rPr>
        <w:t xml:space="preserve"> وتُعد هذه الخاصية جوهر أهميتها في مجال إدارة المخاطر، حيث تتحول البيانات التاريخية إلى مؤشرات استباقية تدعم الإنذار المبكر واتخاذ القرار</w:t>
      </w:r>
      <w:r w:rsidRPr="002A5BF8">
        <w:rPr>
          <w:rFonts w:ascii="Traditional Arabic" w:hAnsi="Traditional Arabic" w:cs="Traditional Arabic"/>
          <w:sz w:val="32"/>
          <w:szCs w:val="32"/>
        </w:rPr>
        <w:t xml:space="preserve"> (Yazdi et al., 2024).</w:t>
      </w:r>
    </w:p>
    <w:p w14:paraId="07027B7B" w14:textId="4B523F68" w:rsidR="00A02194" w:rsidRDefault="00A02194" w:rsidP="00A02194">
      <w:pPr>
        <w:bidi/>
        <w:spacing w:after="120" w:line="240" w:lineRule="auto"/>
        <w:jc w:val="both"/>
        <w:rPr>
          <w:rFonts w:ascii="Traditional Arabic" w:hAnsi="Traditional Arabic" w:cs="Traditional Arabic"/>
          <w:sz w:val="32"/>
          <w:szCs w:val="32"/>
          <w:rtl/>
          <w:lang w:bidi="ar-EG"/>
        </w:rPr>
      </w:pPr>
      <w:r w:rsidRPr="00A02194">
        <w:rPr>
          <w:rFonts w:ascii="Traditional Arabic" w:hAnsi="Traditional Arabic" w:cs="Traditional Arabic"/>
          <w:sz w:val="32"/>
          <w:szCs w:val="32"/>
          <w:rtl/>
        </w:rPr>
        <w:t>وبناءً على ذلك، تتبنى هذه الدراسة تعريفًا إجرائيًا مفاده أن التكنولوجيا الذكية هي: مجموعة الأنظمة التقنية المتقدمة القائمة على الذكاء الاصطناعي وتحليل البيانات، والمطبقة في البيئة الصحية لدعم القرارات السريرية والإدارية، ورصد المخاطر بشكل مستمر، والتنبؤ بالأحداث الصحية الحرجة، بهدف رفع كفاءة الأداء وسلامة المرضى</w:t>
      </w:r>
      <w:r w:rsidRPr="00A02194">
        <w:rPr>
          <w:rFonts w:ascii="Traditional Arabic" w:hAnsi="Traditional Arabic" w:cs="Traditional Arabic"/>
          <w:sz w:val="32"/>
          <w:szCs w:val="32"/>
          <w:lang w:bidi="ar-EG"/>
        </w:rPr>
        <w:t>.</w:t>
      </w:r>
    </w:p>
    <w:p w14:paraId="30E10F40" w14:textId="77777777" w:rsidR="00AF30A4" w:rsidRPr="001C5D93" w:rsidRDefault="00AF30A4" w:rsidP="00AF30A4">
      <w:pPr>
        <w:bidi/>
        <w:spacing w:after="120" w:line="240" w:lineRule="auto"/>
        <w:jc w:val="both"/>
        <w:rPr>
          <w:rFonts w:ascii="Traditional Arabic" w:hAnsi="Traditional Arabic" w:cs="Traditional Arabic"/>
          <w:sz w:val="32"/>
          <w:szCs w:val="32"/>
          <w:rtl/>
          <w:lang w:bidi="ar-EG"/>
        </w:rPr>
      </w:pPr>
    </w:p>
    <w:p w14:paraId="66C1A0CF" w14:textId="0547D4AF" w:rsidR="00A02194" w:rsidRDefault="00A02194" w:rsidP="00E95A56">
      <w:pPr>
        <w:pStyle w:val="1"/>
        <w:numPr>
          <w:ilvl w:val="0"/>
          <w:numId w:val="101"/>
        </w:numPr>
        <w:bidi/>
        <w:spacing w:before="0" w:after="120" w:line="240" w:lineRule="auto"/>
        <w:jc w:val="both"/>
        <w:rPr>
          <w:rFonts w:ascii="Traditional Arabic" w:hAnsi="Traditional Arabic" w:cs="Traditional Arabic"/>
          <w:b/>
          <w:bCs/>
          <w:color w:val="auto"/>
          <w:sz w:val="32"/>
          <w:szCs w:val="32"/>
          <w:rtl/>
          <w:lang w:bidi="ar-EG"/>
        </w:rPr>
      </w:pPr>
      <w:r w:rsidRPr="00A02194">
        <w:rPr>
          <w:rFonts w:ascii="Traditional Arabic" w:hAnsi="Traditional Arabic" w:cs="Traditional Arabic"/>
          <w:b/>
          <w:bCs/>
          <w:color w:val="auto"/>
          <w:sz w:val="32"/>
          <w:szCs w:val="32"/>
          <w:rtl/>
        </w:rPr>
        <w:lastRenderedPageBreak/>
        <w:t>أبعاد التكنولوجيا الذكية في الدراسة الحالية</w:t>
      </w:r>
      <w:r w:rsidRPr="00E95A56">
        <w:rPr>
          <w:rFonts w:ascii="Traditional Arabic" w:hAnsi="Traditional Arabic" w:cs="Traditional Arabic" w:hint="cs"/>
          <w:b/>
          <w:bCs/>
          <w:color w:val="auto"/>
          <w:sz w:val="32"/>
          <w:szCs w:val="32"/>
          <w:rtl/>
          <w:lang w:bidi="ar-EG"/>
        </w:rPr>
        <w:t>:</w:t>
      </w:r>
    </w:p>
    <w:p w14:paraId="50B19028" w14:textId="3E59FAB3" w:rsidR="00AF30A4" w:rsidRPr="00AF30A4" w:rsidRDefault="00AF30A4" w:rsidP="00AF30A4">
      <w:pPr>
        <w:bidi/>
        <w:spacing w:after="120" w:line="240" w:lineRule="auto"/>
        <w:jc w:val="both"/>
        <w:rPr>
          <w:rFonts w:ascii="Traditional Arabic" w:hAnsi="Traditional Arabic" w:cs="Traditional Arabic"/>
          <w:sz w:val="32"/>
          <w:szCs w:val="32"/>
        </w:rPr>
      </w:pPr>
      <w:r w:rsidRPr="00AF30A4">
        <w:rPr>
          <w:rFonts w:ascii="Traditional Arabic" w:hAnsi="Traditional Arabic" w:cs="Traditional Arabic"/>
          <w:sz w:val="32"/>
          <w:szCs w:val="32"/>
          <w:rtl/>
        </w:rPr>
        <w:t>تشير الأدبيات الحديثة إلى أن التكنولوجيا الذكية تمثل مفهومًا مركبًا متعدد الأبعاد، إلا أن تحديد مكوناته يظل رهينًا بطبيعة السياق التطبيقي وأهداف الدراسة. وانطلاقًا من ذلك، اعتمدت هذه الدراسة ثلاثة أبعاد رئيسة تعكس تجليات التكنولوجيا الذكية في البيئة الصحية، وذلك بما يتسق مع الإطار المفاهيمي وفرضيات الدراسة، وبما يمكن من تفسير دورها في دعم القرار والتنبؤ بالمخاطر وتحسين كفاءة الأداء. وتتمثل هذه الأبعاد في</w:t>
      </w:r>
      <w:r>
        <w:rPr>
          <w:rFonts w:ascii="Traditional Arabic" w:hAnsi="Traditional Arabic" w:cs="Traditional Arabic" w:hint="cs"/>
          <w:sz w:val="32"/>
          <w:szCs w:val="32"/>
          <w:rtl/>
        </w:rPr>
        <w:t>:</w:t>
      </w:r>
    </w:p>
    <w:p w14:paraId="2D431272" w14:textId="4FE60525" w:rsidR="00A02194" w:rsidRPr="002A5BF8" w:rsidRDefault="002A5BF8" w:rsidP="002A5BF8">
      <w:pPr>
        <w:bidi/>
        <w:spacing w:after="120" w:line="240" w:lineRule="auto"/>
        <w:ind w:left="36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rPr>
        <w:t xml:space="preserve">1) </w:t>
      </w:r>
      <w:r w:rsidR="00A02194" w:rsidRPr="002A5BF8">
        <w:rPr>
          <w:rFonts w:ascii="Traditional Arabic" w:hAnsi="Traditional Arabic" w:cs="Traditional Arabic"/>
          <w:b/>
          <w:bCs/>
          <w:sz w:val="32"/>
          <w:szCs w:val="32"/>
          <w:rtl/>
        </w:rPr>
        <w:t>أنظمة دعم القرار السريري</w:t>
      </w:r>
      <w:r w:rsidR="00E95A56" w:rsidRPr="002A5BF8">
        <w:rPr>
          <w:rFonts w:ascii="Traditional Arabic" w:hAnsi="Traditional Arabic" w:cs="Traditional Arabic" w:hint="cs"/>
          <w:b/>
          <w:bCs/>
          <w:sz w:val="32"/>
          <w:szCs w:val="32"/>
          <w:rtl/>
        </w:rPr>
        <w:t>:</w:t>
      </w:r>
    </w:p>
    <w:p w14:paraId="012772D0" w14:textId="0A31FDB1" w:rsidR="00A02194" w:rsidRPr="00A02194" w:rsidRDefault="00A02194" w:rsidP="002A5BF8">
      <w:pPr>
        <w:bidi/>
        <w:spacing w:after="120" w:line="240" w:lineRule="auto"/>
        <w:ind w:left="36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تُعد أنظمة دعم القرار السريري من أكثر التطبيقات انتشارًا في المستشفيات الذكية، حيث تقدم توصيات قائمة على الأدلة للأطباء ومقدمي الرعاية في لحظة اتخاذ القرار. وتعتمد هذه الأنظمة على قواعد بيانات طبية متكاملة وخوارزميات ذكاء اصطناعي تحلل الأعراض والفحوصات لتقترح التشخيصات المحتملة والخطط العلاجية المناسبة</w:t>
      </w:r>
      <w:r w:rsidR="002A5BF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lang w:bidi="ar-EG"/>
        </w:rPr>
        <w:t xml:space="preserve"> </w:t>
      </w:r>
      <w:r w:rsidRPr="001C5D93">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(Sutton et al., 2020)</w:t>
      </w:r>
    </w:p>
    <w:p w14:paraId="616C4F68" w14:textId="115E8427" w:rsidR="00A02194" w:rsidRPr="00A02194" w:rsidRDefault="00A02194" w:rsidP="002A5BF8">
      <w:pPr>
        <w:bidi/>
        <w:spacing w:after="120" w:line="240" w:lineRule="auto"/>
        <w:ind w:left="36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وتشير الدراسات إلى أن استخدام هذه الأنظمة يؤدي إلى تقليل الأخطاء الطبية بنسبة ملحوظة، خاصة في مجالات وصف الأدوية وتشخيص الحالات الحرجة</w:t>
      </w:r>
      <w:r w:rsidR="002A5BF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كما أنها تدعم القرارات الإدارية المتعلقة بقبول المرضى وتوزيع الموارد في أوقات الطوارئ، مما يعزز سلامة المرضى ويقلل المخاطر التشغيلية</w:t>
      </w:r>
      <w:r w:rsidR="008E742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lang w:bidi="ar-EG"/>
        </w:rPr>
        <w:t xml:space="preserve"> </w:t>
      </w:r>
      <w:r w:rsidR="008E7428">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(Almadani et al., 2025)</w:t>
      </w:r>
    </w:p>
    <w:p w14:paraId="132F2B51" w14:textId="1F571AA0" w:rsidR="00A02194" w:rsidRPr="002A5BF8" w:rsidRDefault="00A02194" w:rsidP="002A5BF8">
      <w:pPr>
        <w:pStyle w:val="a6"/>
        <w:numPr>
          <w:ilvl w:val="0"/>
          <w:numId w:val="111"/>
        </w:numPr>
        <w:bidi/>
        <w:spacing w:after="120" w:line="240" w:lineRule="auto"/>
        <w:ind w:left="720"/>
        <w:jc w:val="both"/>
        <w:rPr>
          <w:rFonts w:ascii="Traditional Arabic" w:hAnsi="Traditional Arabic" w:cs="Traditional Arabic"/>
          <w:b/>
          <w:bCs/>
          <w:sz w:val="32"/>
          <w:szCs w:val="32"/>
        </w:rPr>
      </w:pPr>
      <w:r w:rsidRPr="002A5BF8">
        <w:rPr>
          <w:rFonts w:ascii="Traditional Arabic" w:hAnsi="Traditional Arabic" w:cs="Traditional Arabic"/>
          <w:b/>
          <w:bCs/>
          <w:sz w:val="32"/>
          <w:szCs w:val="32"/>
          <w:rtl/>
        </w:rPr>
        <w:t>أنظمة الإنذار المبكر والمراقبة</w:t>
      </w:r>
      <w:r w:rsidR="008E7428" w:rsidRPr="002A5BF8">
        <w:rPr>
          <w:rFonts w:ascii="Traditional Arabic" w:hAnsi="Traditional Arabic" w:cs="Traditional Arabic" w:hint="cs"/>
          <w:b/>
          <w:bCs/>
          <w:sz w:val="32"/>
          <w:szCs w:val="32"/>
          <w:rtl/>
        </w:rPr>
        <w:t>:</w:t>
      </w:r>
    </w:p>
    <w:p w14:paraId="139D7BE6" w14:textId="14241EB3" w:rsidR="00A02194" w:rsidRPr="00A02194" w:rsidRDefault="00A02194" w:rsidP="002A5BF8">
      <w:pPr>
        <w:bidi/>
        <w:spacing w:after="120" w:line="240" w:lineRule="auto"/>
        <w:ind w:left="36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تعتمد أنظمة الإنذار المبكر على شبكات من أجهزة الاستشعار المتصلة التي تراقب العلامات الحيوية للمرضى بشكل مستمر، وتُصدر تنبيهات فورية عند رصد أي انحراف عن المعدلات الطبيعية</w:t>
      </w:r>
      <w:r w:rsidR="002A5BF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ويمكن لهذه الأنظمة أيضًا مراقبة البيئة المحيطة مثل مستويات التلوث أو انتشار العدوى، مما يتيح التدخل المبكر قبل تحول الحالة إلى أزمة</w:t>
      </w:r>
      <w:r w:rsidRPr="00A02194">
        <w:rPr>
          <w:rFonts w:ascii="Traditional Arabic" w:hAnsi="Traditional Arabic" w:cs="Traditional Arabic"/>
          <w:sz w:val="32"/>
          <w:szCs w:val="32"/>
          <w:lang w:bidi="ar-EG"/>
        </w:rPr>
        <w:t xml:space="preserve"> (World Health Organization, 2022)</w:t>
      </w:r>
      <w:r w:rsidR="008E7428">
        <w:rPr>
          <w:rFonts w:ascii="Traditional Arabic" w:hAnsi="Traditional Arabic" w:cs="Traditional Arabic" w:hint="cs"/>
          <w:sz w:val="32"/>
          <w:szCs w:val="32"/>
          <w:rtl/>
          <w:lang w:bidi="ar-EG"/>
        </w:rPr>
        <w:t>.</w:t>
      </w:r>
    </w:p>
    <w:p w14:paraId="1BA6E63F" w14:textId="6216FD4C" w:rsidR="00A02194" w:rsidRPr="00A02194" w:rsidRDefault="00A02194" w:rsidP="002A5BF8">
      <w:pPr>
        <w:bidi/>
        <w:spacing w:after="120" w:line="240" w:lineRule="auto"/>
        <w:ind w:left="36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وقد أثبتت التجارب الميدانية أن تطبيق هذه الأنظمة في أقسام الطوارئ والعناية المركزة يقلل من معدلات الوفيات والمضاعفات، لأنها تمنح الفرق الطبية وقتًا أطول للاستعداد واتخاذ الإجراءات الوقائية. وبهذا المعنى، تمثل هذه الأنظمة جوهر الاستجابة الاستباقية للمخاطر في البيئة الصحية</w:t>
      </w:r>
      <w:r w:rsidR="006D63D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lang w:bidi="ar-EG"/>
        </w:rPr>
        <w:t xml:space="preserve"> </w:t>
      </w:r>
      <w:r w:rsidR="006D63D8">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(Hui Lian et al., 2022)</w:t>
      </w:r>
    </w:p>
    <w:p w14:paraId="6CDBC17F" w14:textId="49402997" w:rsidR="00A02194" w:rsidRPr="00A02194" w:rsidRDefault="00A02194" w:rsidP="002A5BF8">
      <w:pPr>
        <w:pStyle w:val="a6"/>
        <w:numPr>
          <w:ilvl w:val="0"/>
          <w:numId w:val="111"/>
        </w:numPr>
        <w:bidi/>
        <w:spacing w:after="120" w:line="240" w:lineRule="auto"/>
        <w:ind w:left="720"/>
        <w:jc w:val="both"/>
        <w:rPr>
          <w:rFonts w:ascii="Traditional Arabic" w:hAnsi="Traditional Arabic" w:cs="Traditional Arabic"/>
          <w:b/>
          <w:bCs/>
          <w:sz w:val="32"/>
          <w:szCs w:val="32"/>
        </w:rPr>
      </w:pPr>
      <w:r w:rsidRPr="00A02194">
        <w:rPr>
          <w:rFonts w:ascii="Traditional Arabic" w:hAnsi="Traditional Arabic" w:cs="Traditional Arabic"/>
          <w:b/>
          <w:bCs/>
          <w:sz w:val="32"/>
          <w:szCs w:val="32"/>
          <w:rtl/>
        </w:rPr>
        <w:t>أنظمة التحليلات التنبؤية وتكامل البيانات</w:t>
      </w:r>
      <w:r w:rsidR="008E7428">
        <w:rPr>
          <w:rFonts w:ascii="Traditional Arabic" w:hAnsi="Traditional Arabic" w:cs="Traditional Arabic" w:hint="cs"/>
          <w:b/>
          <w:bCs/>
          <w:sz w:val="32"/>
          <w:szCs w:val="32"/>
          <w:rtl/>
        </w:rPr>
        <w:t>:</w:t>
      </w:r>
    </w:p>
    <w:p w14:paraId="459B1155" w14:textId="1920DC24" w:rsidR="00A02194" w:rsidRPr="00A02194" w:rsidRDefault="00A02194" w:rsidP="002A5BF8">
      <w:pPr>
        <w:bidi/>
        <w:spacing w:after="120" w:line="240" w:lineRule="auto"/>
        <w:ind w:left="360"/>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 xml:space="preserve">تتجاوز أنظمة التحليلات التنبؤية فكرة الرصد والإنذار إلى مستوى التخطيط الاستباقي، حيث تجمع البيانات من مصادر متعددة داخل المستشفى (السجلات الإلكترونية، المختبر، الأشعة، وإدارة الموارد) وتحللها </w:t>
      </w:r>
      <w:r w:rsidRPr="00A02194">
        <w:rPr>
          <w:rFonts w:ascii="Traditional Arabic" w:hAnsi="Traditional Arabic" w:cs="Traditional Arabic"/>
          <w:sz w:val="32"/>
          <w:szCs w:val="32"/>
          <w:rtl/>
        </w:rPr>
        <w:lastRenderedPageBreak/>
        <w:t>باستخدام تقنيات التعلم الآلي للتنبؤ بالاتجاهات المستقبلية</w:t>
      </w:r>
      <w:r w:rsidR="002A5BF8">
        <w:rPr>
          <w:rFonts w:ascii="Traditional Arabic" w:hAnsi="Traditional Arabic" w:cs="Traditional Arabic" w:hint="cs"/>
          <w:sz w:val="32"/>
          <w:szCs w:val="32"/>
          <w:rtl/>
        </w:rPr>
        <w:t>،</w:t>
      </w:r>
      <w:r w:rsidRPr="00A02194">
        <w:rPr>
          <w:rFonts w:ascii="Traditional Arabic" w:hAnsi="Traditional Arabic" w:cs="Traditional Arabic"/>
          <w:sz w:val="32"/>
          <w:szCs w:val="32"/>
          <w:rtl/>
        </w:rPr>
        <w:t xml:space="preserve"> فعلى سبيل المثال يمكنها التنبؤ باحتمالية إعادة قبول المريض، أو تفشي عدوى معينة، أو الطلب على الأسرة الحرجة خلال الأيام القادمة</w:t>
      </w:r>
      <w:r w:rsidRPr="00A02194">
        <w:rPr>
          <w:rFonts w:ascii="Traditional Arabic" w:hAnsi="Traditional Arabic" w:cs="Traditional Arabic"/>
          <w:sz w:val="32"/>
          <w:szCs w:val="32"/>
          <w:lang w:bidi="ar-EG"/>
        </w:rPr>
        <w:t xml:space="preserve"> (Myat Cho &amp; Thandar, 2022).</w:t>
      </w:r>
    </w:p>
    <w:p w14:paraId="68F4CECE" w14:textId="6397254F" w:rsidR="00A02194" w:rsidRPr="00A02194" w:rsidRDefault="00A02194" w:rsidP="002A5BF8">
      <w:pPr>
        <w:bidi/>
        <w:spacing w:after="120" w:line="240" w:lineRule="auto"/>
        <w:ind w:left="360"/>
        <w:jc w:val="both"/>
        <w:rPr>
          <w:rFonts w:ascii="Traditional Arabic" w:hAnsi="Traditional Arabic" w:cs="Traditional Arabic" w:hint="cs"/>
          <w:sz w:val="32"/>
          <w:szCs w:val="32"/>
          <w:rtl/>
        </w:rPr>
      </w:pPr>
      <w:r w:rsidRPr="00A02194">
        <w:rPr>
          <w:rFonts w:ascii="Traditional Arabic" w:hAnsi="Traditional Arabic" w:cs="Traditional Arabic"/>
          <w:sz w:val="32"/>
          <w:szCs w:val="32"/>
          <w:rtl/>
        </w:rPr>
        <w:t>وتسهم هذه الأنظمة في تحسين كفاءة استخدام الموارد وتقليل الهدر، كما تدعم التخطيط الاستراتيجي للمستشفى من خلال توفير رؤية مستقبلية للتحديات المحتملة. وبذلك، فإنها تعكس مستوى نضج المستشفى في تحويل البيانات الضخمة إلى معرفة تنبؤية تخدم إدارة المخاطر</w:t>
      </w:r>
      <w:r w:rsidRPr="00A02194">
        <w:rPr>
          <w:rFonts w:ascii="Traditional Arabic" w:hAnsi="Traditional Arabic" w:cs="Traditional Arabic"/>
          <w:sz w:val="32"/>
          <w:szCs w:val="32"/>
          <w:lang w:bidi="ar-EG"/>
        </w:rPr>
        <w:t xml:space="preserve"> </w:t>
      </w:r>
      <w:r w:rsidR="00E95A56">
        <w:rPr>
          <w:rFonts w:ascii="Traditional Arabic" w:hAnsi="Traditional Arabic" w:cs="Traditional Arabic"/>
          <w:sz w:val="32"/>
          <w:szCs w:val="32"/>
          <w:lang w:bidi="ar-EG"/>
        </w:rPr>
        <w:t>.</w:t>
      </w:r>
      <w:r w:rsidRPr="00A02194">
        <w:rPr>
          <w:rFonts w:ascii="Traditional Arabic" w:hAnsi="Traditional Arabic" w:cs="Traditional Arabic"/>
          <w:sz w:val="32"/>
          <w:szCs w:val="32"/>
          <w:lang w:bidi="ar-EG"/>
        </w:rPr>
        <w:t>(Acharjya, 201</w:t>
      </w:r>
      <w:r w:rsidR="00E95A56">
        <w:rPr>
          <w:rFonts w:ascii="Traditional Arabic" w:hAnsi="Traditional Arabic" w:cs="Traditional Arabic"/>
          <w:sz w:val="32"/>
          <w:szCs w:val="32"/>
          <w:lang w:bidi="ar-EG"/>
        </w:rPr>
        <w:t>6)</w:t>
      </w:r>
    </w:p>
    <w:p w14:paraId="12AEA861" w14:textId="10097CEA" w:rsidR="00A02194" w:rsidRPr="00A02194" w:rsidRDefault="00A02194" w:rsidP="00A02194">
      <w:pPr>
        <w:bidi/>
        <w:spacing w:after="120" w:line="240" w:lineRule="auto"/>
        <w:jc w:val="both"/>
        <w:rPr>
          <w:rFonts w:ascii="Traditional Arabic" w:hAnsi="Traditional Arabic" w:cs="Traditional Arabic"/>
          <w:sz w:val="32"/>
          <w:szCs w:val="32"/>
          <w:lang w:bidi="ar-EG"/>
        </w:rPr>
      </w:pPr>
      <w:r w:rsidRPr="00A02194">
        <w:rPr>
          <w:rFonts w:ascii="Traditional Arabic" w:hAnsi="Traditional Arabic" w:cs="Traditional Arabic"/>
          <w:sz w:val="32"/>
          <w:szCs w:val="32"/>
          <w:rtl/>
        </w:rPr>
        <w:t>وقد تم اختيار هذه الأبعاد الثلاثة لأنها تمثل سلسلة متكاملة</w:t>
      </w:r>
      <w:r w:rsidR="00292F40">
        <w:rPr>
          <w:rFonts w:ascii="Traditional Arabic" w:hAnsi="Traditional Arabic" w:cs="Traditional Arabic" w:hint="cs"/>
          <w:sz w:val="32"/>
          <w:szCs w:val="32"/>
          <w:rtl/>
        </w:rPr>
        <w:t xml:space="preserve"> تشمل:</w:t>
      </w:r>
      <w:r w:rsidRPr="00A02194">
        <w:rPr>
          <w:rFonts w:ascii="Traditional Arabic" w:hAnsi="Traditional Arabic" w:cs="Traditional Arabic"/>
          <w:sz w:val="32"/>
          <w:szCs w:val="32"/>
          <w:rtl/>
        </w:rPr>
        <w:t xml:space="preserve"> دعم القرار </w:t>
      </w:r>
      <w:r w:rsidR="00E95A56">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 xml:space="preserve">والإنذار المبكر </w:t>
      </w:r>
      <w:r w:rsidR="00E95A56">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والتحليلات التنبؤية</w:t>
      </w:r>
      <w:r w:rsidR="00E95A56">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وهي معًا تعكس قدرة التكنولوجيا الذكية على تحويل البيئة الصحية من نمط رد الفعل إلى نمط الاستباقية، وهو ما يجعلها وسيطًا فاعلًا بين التطوير التنظيمي وإدارة المخاطر</w:t>
      </w:r>
      <w:r w:rsidRPr="00A02194">
        <w:rPr>
          <w:rFonts w:ascii="Traditional Arabic" w:hAnsi="Traditional Arabic" w:cs="Traditional Arabic"/>
          <w:sz w:val="32"/>
          <w:szCs w:val="32"/>
          <w:lang w:bidi="ar-EG"/>
        </w:rPr>
        <w:t>.</w:t>
      </w:r>
    </w:p>
    <w:p w14:paraId="1E04B45C" w14:textId="77777777" w:rsidR="00E95A56" w:rsidRPr="008E7428" w:rsidRDefault="00A02194" w:rsidP="008E7428">
      <w:pPr>
        <w:pStyle w:val="1"/>
        <w:numPr>
          <w:ilvl w:val="0"/>
          <w:numId w:val="101"/>
        </w:numPr>
        <w:bidi/>
        <w:spacing w:before="0" w:after="120" w:line="240" w:lineRule="auto"/>
        <w:jc w:val="both"/>
        <w:rPr>
          <w:rFonts w:ascii="Traditional Arabic" w:hAnsi="Traditional Arabic" w:cs="Traditional Arabic"/>
          <w:b/>
          <w:bCs/>
          <w:color w:val="auto"/>
          <w:sz w:val="32"/>
          <w:szCs w:val="32"/>
          <w:rtl/>
          <w:lang w:bidi="ar-EG"/>
        </w:rPr>
      </w:pPr>
      <w:r w:rsidRPr="00A02194">
        <w:rPr>
          <w:rFonts w:ascii="Traditional Arabic" w:hAnsi="Traditional Arabic" w:cs="Traditional Arabic"/>
          <w:b/>
          <w:bCs/>
          <w:color w:val="auto"/>
          <w:sz w:val="32"/>
          <w:szCs w:val="32"/>
          <w:rtl/>
        </w:rPr>
        <w:t>آلية تأثير التكنولوجيا الذكية في نموذج الدراسة</w:t>
      </w:r>
      <w:r w:rsidRPr="008E7428">
        <w:rPr>
          <w:rFonts w:ascii="Traditional Arabic" w:hAnsi="Traditional Arabic" w:cs="Traditional Arabic" w:hint="cs"/>
          <w:b/>
          <w:bCs/>
          <w:color w:val="auto"/>
          <w:sz w:val="32"/>
          <w:szCs w:val="32"/>
          <w:rtl/>
          <w:lang w:bidi="ar-EG"/>
        </w:rPr>
        <w:t>:</w:t>
      </w:r>
    </w:p>
    <w:p w14:paraId="64A96763" w14:textId="061A4256" w:rsidR="00E95A56" w:rsidRPr="00E95A56" w:rsidRDefault="00E95A56" w:rsidP="00E95A56">
      <w:pPr>
        <w:bidi/>
        <w:spacing w:after="120" w:line="240" w:lineRule="auto"/>
        <w:jc w:val="both"/>
        <w:rPr>
          <w:rFonts w:ascii="Traditional Arabic" w:hAnsi="Traditional Arabic" w:cs="Traditional Arabic"/>
          <w:b/>
          <w:bCs/>
          <w:sz w:val="32"/>
          <w:szCs w:val="32"/>
          <w:lang w:bidi="ar-EG"/>
        </w:rPr>
      </w:pPr>
      <w:r w:rsidRPr="00E95A56">
        <w:rPr>
          <w:rFonts w:ascii="Traditional Arabic" w:hAnsi="Traditional Arabic" w:cs="Traditional Arabic"/>
          <w:sz w:val="32"/>
          <w:szCs w:val="32"/>
          <w:rtl/>
        </w:rPr>
        <w:t>انطلاقًا من الإطار النظري ونموذج الدراسة الذي سبق عرضهما (نظرية النظم المفتوحة ومنطق الوساطة)، يمكن تفسير دور التكنولوجيا الذكية كمتغير وسيط من خلال مسارين متكاملين</w:t>
      </w:r>
      <w:r w:rsidR="008E7428">
        <w:rPr>
          <w:rFonts w:ascii="Traditional Arabic" w:hAnsi="Traditional Arabic" w:cs="Traditional Arabic" w:hint="cs"/>
          <w:sz w:val="32"/>
          <w:szCs w:val="32"/>
          <w:rtl/>
        </w:rPr>
        <w:t xml:space="preserve"> كما يلي:</w:t>
      </w:r>
    </w:p>
    <w:p w14:paraId="60251729" w14:textId="77777777" w:rsidR="00292F40" w:rsidRDefault="00E95A56" w:rsidP="00461CDA">
      <w:pPr>
        <w:bidi/>
        <w:spacing w:after="120" w:line="240" w:lineRule="auto"/>
        <w:jc w:val="both"/>
        <w:rPr>
          <w:rFonts w:ascii="Traditional Arabic" w:hAnsi="Traditional Arabic" w:cs="Traditional Arabic"/>
          <w:sz w:val="32"/>
          <w:szCs w:val="32"/>
          <w:rtl/>
        </w:rPr>
      </w:pPr>
      <w:r w:rsidRPr="00292F40">
        <w:rPr>
          <w:rFonts w:ascii="Traditional Arabic" w:hAnsi="Traditional Arabic" w:cs="Traditional Arabic"/>
          <w:b/>
          <w:bCs/>
          <w:sz w:val="32"/>
          <w:szCs w:val="32"/>
          <w:rtl/>
        </w:rPr>
        <w:t>أولاً: من منظور نظرية النظم المفتوحة</w:t>
      </w:r>
    </w:p>
    <w:p w14:paraId="6AC59DE6" w14:textId="009B47FB" w:rsidR="00461CDA" w:rsidRPr="00E95A56" w:rsidRDefault="00E95A56" w:rsidP="00292F40">
      <w:pPr>
        <w:bidi/>
        <w:spacing w:after="120" w:line="240" w:lineRule="auto"/>
        <w:jc w:val="both"/>
        <w:rPr>
          <w:rFonts w:ascii="Traditional Arabic" w:hAnsi="Traditional Arabic" w:cs="Traditional Arabic" w:hint="cs"/>
          <w:sz w:val="32"/>
          <w:szCs w:val="32"/>
          <w:rtl/>
        </w:rPr>
      </w:pPr>
      <w:r w:rsidRPr="00E95A56">
        <w:rPr>
          <w:rFonts w:ascii="Traditional Arabic" w:hAnsi="Traditional Arabic" w:cs="Traditional Arabic"/>
          <w:sz w:val="32"/>
          <w:szCs w:val="32"/>
          <w:rtl/>
        </w:rPr>
        <w:t xml:space="preserve"> تمثل التكنولوجيا الذكية أداة تحويل رئيسة داخل النظام الصحي، حيث تعزز كفاءة معالجة المعلومات وتحويل المدخلات (البيانات السريرية والإدارية) إلى مخرجات أكثر دقة (قرارات، تنبيهات، خطط استباقية)، مما يزيد من قدرة المستشفى على التكيف مع المخاطر</w:t>
      </w:r>
      <w:r w:rsidR="00461CDA" w:rsidRPr="00E95A56">
        <w:rPr>
          <w:rFonts w:ascii="Traditional Arabic" w:hAnsi="Traditional Arabic" w:cs="Traditional Arabic"/>
          <w:sz w:val="32"/>
          <w:szCs w:val="32"/>
        </w:rPr>
        <w:t xml:space="preserve"> </w:t>
      </w:r>
      <w:r w:rsidR="00461CDA">
        <w:rPr>
          <w:rFonts w:ascii="Traditional Arabic" w:hAnsi="Traditional Arabic" w:cs="Traditional Arabic"/>
          <w:sz w:val="32"/>
          <w:szCs w:val="32"/>
        </w:rPr>
        <w:t>.</w:t>
      </w:r>
      <w:r w:rsidR="00461CDA" w:rsidRPr="00E95A56">
        <w:rPr>
          <w:rFonts w:ascii="Traditional Arabic" w:hAnsi="Traditional Arabic" w:cs="Traditional Arabic"/>
          <w:sz w:val="32"/>
          <w:szCs w:val="32"/>
        </w:rPr>
        <w:t>(Scott &amp; Davis, 2016)</w:t>
      </w:r>
    </w:p>
    <w:p w14:paraId="14664289" w14:textId="77777777" w:rsidR="00292F40" w:rsidRDefault="00E95A56" w:rsidP="00E95A56">
      <w:pPr>
        <w:bidi/>
        <w:spacing w:after="120" w:line="240" w:lineRule="auto"/>
        <w:jc w:val="both"/>
        <w:rPr>
          <w:rFonts w:ascii="Traditional Arabic" w:hAnsi="Traditional Arabic" w:cs="Traditional Arabic"/>
          <w:sz w:val="32"/>
          <w:szCs w:val="32"/>
          <w:rtl/>
        </w:rPr>
      </w:pPr>
      <w:r w:rsidRPr="00292F40">
        <w:rPr>
          <w:rFonts w:ascii="Traditional Arabic" w:hAnsi="Traditional Arabic" w:cs="Traditional Arabic"/>
          <w:b/>
          <w:bCs/>
          <w:sz w:val="32"/>
          <w:szCs w:val="32"/>
          <w:rtl/>
        </w:rPr>
        <w:t>ثانيًا: من منظور منطق الوساطة</w:t>
      </w:r>
    </w:p>
    <w:p w14:paraId="47FB67C3" w14:textId="6CDE87DA" w:rsidR="002A5BF8" w:rsidRPr="002A5BF8" w:rsidRDefault="002A5BF8" w:rsidP="002A5BF8">
      <w:pPr>
        <w:bidi/>
        <w:spacing w:after="120" w:line="240" w:lineRule="auto"/>
        <w:jc w:val="both"/>
        <w:rPr>
          <w:rFonts w:ascii="Traditional Arabic" w:hAnsi="Traditional Arabic" w:cs="Traditional Arabic"/>
          <w:sz w:val="32"/>
          <w:szCs w:val="32"/>
          <w:rtl/>
        </w:rPr>
      </w:pPr>
      <w:r w:rsidRPr="002A5BF8">
        <w:rPr>
          <w:rFonts w:ascii="Traditional Arabic" w:hAnsi="Traditional Arabic" w:cs="Traditional Arabic"/>
          <w:sz w:val="32"/>
          <w:szCs w:val="32"/>
          <w:rtl/>
        </w:rPr>
        <w:t>تفترض الدراسة أن التطوير التنظيمي لا يؤثر في إدارة المخاطر بصورة مباشرة فحسب، بل يمتد تأثيره عبر التكنولوجيا الذكية بوصفها متغيرًا وسيطًا</w:t>
      </w:r>
      <w:r>
        <w:rPr>
          <w:rFonts w:ascii="Traditional Arabic" w:hAnsi="Traditional Arabic" w:cs="Traditional Arabic" w:hint="cs"/>
          <w:sz w:val="32"/>
          <w:szCs w:val="32"/>
          <w:rtl/>
        </w:rPr>
        <w:t xml:space="preserve">؛ </w:t>
      </w:r>
      <w:r w:rsidRPr="002A5BF8">
        <w:rPr>
          <w:rFonts w:ascii="Traditional Arabic" w:hAnsi="Traditional Arabic" w:cs="Traditional Arabic"/>
          <w:sz w:val="32"/>
          <w:szCs w:val="32"/>
          <w:rtl/>
        </w:rPr>
        <w:t>إذ يسهم التطوير التنظيمي في تهيئة بيئة المستشفى من حيث الهيكل التنظيمي المرن، وكفاءة العمليات، ورفع جاهزية الكوادر، بما يعزز قابلية تبني الأنظمة الذكية. وتؤدي هذه الأنظمة دورًا محوريًا في تحسين إدارة المخاطر من خلال رفع دقة التنبؤ، وتسريع الإنذار المبكر، وتعزيز فعالية دعم القرار</w:t>
      </w:r>
      <w:r w:rsidRPr="002A5BF8">
        <w:rPr>
          <w:rFonts w:ascii="Traditional Arabic" w:hAnsi="Traditional Arabic" w:cs="Traditional Arabic"/>
          <w:sz w:val="32"/>
          <w:szCs w:val="32"/>
        </w:rPr>
        <w:t xml:space="preserve"> (Baron &amp; Kenny, 1986; Awwad et al., 2022)</w:t>
      </w:r>
      <w:r>
        <w:rPr>
          <w:rFonts w:ascii="Traditional Arabic" w:hAnsi="Traditional Arabic" w:cs="Traditional Arabic" w:hint="cs"/>
          <w:sz w:val="32"/>
          <w:szCs w:val="32"/>
          <w:rtl/>
        </w:rPr>
        <w:t>.</w:t>
      </w:r>
    </w:p>
    <w:p w14:paraId="300BD393" w14:textId="10A56F83" w:rsidR="002A5BF8" w:rsidRPr="002A5BF8" w:rsidRDefault="002A5BF8" w:rsidP="005B684E">
      <w:pPr>
        <w:bidi/>
        <w:spacing w:after="120" w:line="240" w:lineRule="auto"/>
        <w:jc w:val="both"/>
        <w:rPr>
          <w:rFonts w:ascii="Traditional Arabic" w:hAnsi="Traditional Arabic" w:cs="Traditional Arabic"/>
          <w:sz w:val="32"/>
          <w:szCs w:val="32"/>
          <w:rtl/>
        </w:rPr>
      </w:pPr>
      <w:r w:rsidRPr="002A5BF8">
        <w:rPr>
          <w:rFonts w:ascii="Traditional Arabic" w:hAnsi="Traditional Arabic" w:cs="Traditional Arabic"/>
          <w:sz w:val="32"/>
          <w:szCs w:val="32"/>
          <w:rtl/>
        </w:rPr>
        <w:t>وتشير الأدبيات إلى أن المستشفيات التي تستثمر في تطوير بنيتها التنظيمية وتمكين مواردها البشرية تكون أكثر قدرة على توظيف تقنيات التحليلات التنبؤية وأنظمة الإنذار المبكر، بما ينعكس إيجابًا على خفض معدلات الأخطاء والمخاطر</w:t>
      </w:r>
      <w:r w:rsidRPr="002A5BF8">
        <w:rPr>
          <w:rFonts w:ascii="Traditional Arabic" w:hAnsi="Traditional Arabic" w:cs="Traditional Arabic"/>
          <w:sz w:val="32"/>
          <w:szCs w:val="32"/>
        </w:rPr>
        <w:t xml:space="preserve"> </w:t>
      </w:r>
      <w:r>
        <w:rPr>
          <w:rFonts w:ascii="Traditional Arabic" w:hAnsi="Traditional Arabic" w:cs="Traditional Arabic"/>
          <w:sz w:val="32"/>
          <w:szCs w:val="32"/>
        </w:rPr>
        <w:t>.</w:t>
      </w:r>
      <w:r w:rsidRPr="002A5BF8">
        <w:rPr>
          <w:rFonts w:ascii="Traditional Arabic" w:hAnsi="Traditional Arabic" w:cs="Traditional Arabic"/>
          <w:sz w:val="32"/>
          <w:szCs w:val="32"/>
        </w:rPr>
        <w:t>(Kwateng et al., 2022)</w:t>
      </w:r>
    </w:p>
    <w:p w14:paraId="59AEE784" w14:textId="77777777" w:rsidR="002A5BF8" w:rsidRPr="002A5BF8" w:rsidRDefault="002A5BF8" w:rsidP="002A5BF8">
      <w:pPr>
        <w:bidi/>
        <w:spacing w:after="120" w:line="240" w:lineRule="auto"/>
        <w:jc w:val="both"/>
        <w:rPr>
          <w:rFonts w:ascii="Traditional Arabic" w:hAnsi="Traditional Arabic" w:cs="Traditional Arabic"/>
          <w:sz w:val="32"/>
          <w:szCs w:val="32"/>
          <w:rtl/>
        </w:rPr>
      </w:pPr>
      <w:r w:rsidRPr="002A5BF8">
        <w:rPr>
          <w:rFonts w:ascii="Traditional Arabic" w:hAnsi="Traditional Arabic" w:cs="Traditional Arabic"/>
          <w:sz w:val="32"/>
          <w:szCs w:val="32"/>
          <w:rtl/>
        </w:rPr>
        <w:lastRenderedPageBreak/>
        <w:t>وبناءً عليه، تؤدي التكنولوجيا الذكية وظيفة تفسيرية وسيطة تشرح كيفية انتقال أثر التطوير التنظيمي إلى نتائج تشغيلية ملموسة تتعلق بسلامة المرضى واستمرارية الخدمة، وهو ما يدعم تبني فرضية الوساطة في النموذج المفاهيمي للدراسة.</w:t>
      </w:r>
    </w:p>
    <w:p w14:paraId="2F7A6807" w14:textId="0393D715" w:rsidR="00A02194" w:rsidRPr="008E7428" w:rsidRDefault="005A291C" w:rsidP="002A5BF8">
      <w:pPr>
        <w:bidi/>
        <w:spacing w:after="120" w:line="240" w:lineRule="auto"/>
        <w:jc w:val="both"/>
        <w:rPr>
          <w:rFonts w:ascii="Traditional Arabic" w:hAnsi="Traditional Arabic" w:cs="Traditional Arabic"/>
          <w:b/>
          <w:bCs/>
          <w:sz w:val="36"/>
          <w:szCs w:val="36"/>
          <w:rtl/>
          <w:lang w:bidi="ar-EG"/>
        </w:rPr>
      </w:pPr>
      <w:r w:rsidRPr="008E7428">
        <w:rPr>
          <w:rFonts w:ascii="Traditional Arabic" w:hAnsi="Traditional Arabic" w:cs="Traditional Arabic" w:hint="cs"/>
          <w:b/>
          <w:bCs/>
          <w:sz w:val="36"/>
          <w:szCs w:val="36"/>
          <w:rtl/>
          <w:lang w:bidi="ar-EG"/>
        </w:rPr>
        <w:t xml:space="preserve">المبحث الثالث: </w:t>
      </w:r>
      <w:bookmarkStart w:id="3" w:name="_Toc190043429"/>
      <w:r w:rsidRPr="008E7428">
        <w:rPr>
          <w:rFonts w:ascii="Traditional Arabic" w:hAnsi="Traditional Arabic" w:cs="Traditional Arabic" w:hint="cs"/>
          <w:b/>
          <w:bCs/>
          <w:sz w:val="36"/>
          <w:szCs w:val="36"/>
          <w:rtl/>
          <w:lang w:bidi="ar-EG"/>
        </w:rPr>
        <w:t xml:space="preserve">إدارة المخاطر </w:t>
      </w:r>
      <w:bookmarkEnd w:id="3"/>
    </w:p>
    <w:p w14:paraId="42CD580A" w14:textId="11A4F1BA" w:rsidR="00A02194" w:rsidRPr="00A02194" w:rsidRDefault="00A02194" w:rsidP="00A02194">
      <w:pPr>
        <w:pStyle w:val="ab"/>
        <w:bidi/>
        <w:spacing w:before="0" w:after="12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تعد إدارة المخاطر في المؤسسات الصحية من الوظائف الحيوية التي تحدد مدى قدرة المستشفى على حماية سلامة المرضى والعاملين، وضمان استمرارية الخدمات في بيئة تتسم بالتغير السريع والتعقيد التشغيلي. فالمستشفيات تتعامل يوميًا مع مخاطر متعددة تتراوح بين الأخطاء الطبية، ومخاطر العدوى، والتهديدات التقنية، مما يجعل وجود نظام منهجي لإدارة هذه المخاطر ضرورة استراتيجية وليس خيارًا تحسينيًا</w:t>
      </w:r>
      <w:r w:rsidRPr="00A02194">
        <w:rPr>
          <w:rFonts w:ascii="Traditional Arabic" w:hAnsi="Traditional Arabic" w:cs="Traditional Arabic"/>
          <w:sz w:val="32"/>
          <w:szCs w:val="32"/>
        </w:rPr>
        <w:t xml:space="preserve"> </w:t>
      </w:r>
      <w:r w:rsidR="008E7428">
        <w:rPr>
          <w:rFonts w:ascii="Traditional Arabic" w:hAnsi="Traditional Arabic" w:cs="Traditional Arabic"/>
          <w:sz w:val="32"/>
          <w:szCs w:val="32"/>
        </w:rPr>
        <w:t>.</w:t>
      </w:r>
      <w:r w:rsidRPr="00A02194">
        <w:rPr>
          <w:rFonts w:ascii="Traditional Arabic" w:hAnsi="Traditional Arabic" w:cs="Traditional Arabic"/>
          <w:sz w:val="32"/>
          <w:szCs w:val="32"/>
        </w:rPr>
        <w:t>(Jaber, 2020)</w:t>
      </w:r>
      <w:r w:rsidR="008E7428">
        <w:rPr>
          <w:rFonts w:ascii="Traditional Arabic" w:hAnsi="Traditional Arabic" w:cs="Traditional Arabic"/>
          <w:sz w:val="32"/>
          <w:szCs w:val="32"/>
        </w:rPr>
        <w:t xml:space="preserve"> </w:t>
      </w:r>
      <w:r w:rsidR="008E7428">
        <w:rPr>
          <w:rFonts w:ascii="Traditional Arabic" w:hAnsi="Traditional Arabic" w:cs="Traditional Arabic" w:hint="cs"/>
          <w:sz w:val="32"/>
          <w:szCs w:val="32"/>
          <w:rtl/>
        </w:rPr>
        <w:t xml:space="preserve"> </w:t>
      </w:r>
    </w:p>
    <w:p w14:paraId="5AB73EBD" w14:textId="6324BE7E" w:rsidR="00A02194" w:rsidRPr="00A02194" w:rsidRDefault="00A02194" w:rsidP="00A02194">
      <w:pPr>
        <w:pStyle w:val="ab"/>
        <w:bidi/>
        <w:spacing w:before="0" w:after="12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وتشير الأدبيات إلى أن نجاح المؤسسات الصحية في تحقيق أهدافها يرتبط ارتباطًا وثيقًا بفعالية ممارساتها في إدارة المخاطر، حيث تسهم هذه الممارسات في تقليل الخسائر البشرية والمادية، وتعزيز ثقة المرضى، وتحسين السمعة المؤسسية. وقد ازدادت أهمية هذا الدور في ظل التحولات التكنولوجية المتسارعة التي فرضت أنماطًا جديدة من المخاطر المرتبطة بأمن المعلومات وسلامة الأجهزة الطبية</w:t>
      </w:r>
      <w:r w:rsidRPr="00A02194">
        <w:rPr>
          <w:rFonts w:ascii="Traditional Arabic" w:hAnsi="Traditional Arabic" w:cs="Traditional Arabic"/>
          <w:sz w:val="32"/>
          <w:szCs w:val="32"/>
        </w:rPr>
        <w:t xml:space="preserve"> </w:t>
      </w:r>
      <w:r w:rsidR="008E7428">
        <w:rPr>
          <w:rFonts w:ascii="Traditional Arabic" w:hAnsi="Traditional Arabic" w:cs="Traditional Arabic"/>
          <w:sz w:val="32"/>
          <w:szCs w:val="32"/>
        </w:rPr>
        <w:t>.</w:t>
      </w:r>
      <w:r w:rsidRPr="00A02194">
        <w:rPr>
          <w:rFonts w:ascii="Traditional Arabic" w:hAnsi="Traditional Arabic" w:cs="Traditional Arabic"/>
          <w:sz w:val="32"/>
          <w:szCs w:val="32"/>
        </w:rPr>
        <w:t>(Fink et al., 2022)</w:t>
      </w:r>
      <w:r w:rsidR="008E7428">
        <w:rPr>
          <w:rFonts w:ascii="Traditional Arabic" w:hAnsi="Traditional Arabic" w:cs="Traditional Arabic"/>
          <w:sz w:val="32"/>
          <w:szCs w:val="32"/>
        </w:rPr>
        <w:t xml:space="preserve"> </w:t>
      </w:r>
      <w:r w:rsidR="008E7428">
        <w:rPr>
          <w:rFonts w:ascii="Traditional Arabic" w:hAnsi="Traditional Arabic" w:cs="Traditional Arabic" w:hint="cs"/>
          <w:sz w:val="32"/>
          <w:szCs w:val="32"/>
          <w:rtl/>
        </w:rPr>
        <w:t xml:space="preserve"> </w:t>
      </w:r>
    </w:p>
    <w:p w14:paraId="541727DB" w14:textId="0D33290B" w:rsidR="005B684E" w:rsidRPr="00A02194" w:rsidRDefault="00A02194" w:rsidP="00AF30A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وفي سياق الدراسة الحالية، تُعالج إدارة المخاطر كمتغير تابع يتأثر مباشرة بالتطوير التنظيمي، ويتأثر أيضًا بشكل غير مباشر عبر التكنولوجيا الذكية كمتغير وسيط. ولذلك، يهدف هذا المبحث إلى تقديم إطار مفاهيمي محدد لإدارة المخاطر في البيئة الصحية، مع التركيز على الأبعاد الثلاثة الأكثر ارتباطًا بنموذج الدراسة، ثم شرح الآلية التي تجعلها قابلة للتأثر بالمتغيرين المستقل والوسيط</w:t>
      </w:r>
      <w:r w:rsidR="00AF30A4">
        <w:rPr>
          <w:rFonts w:ascii="Traditional Arabic" w:hAnsi="Traditional Arabic" w:cs="Traditional Arabic"/>
          <w:sz w:val="32"/>
          <w:szCs w:val="32"/>
        </w:rPr>
        <w:t>.</w:t>
      </w:r>
    </w:p>
    <w:p w14:paraId="5C6D7136" w14:textId="13ACD579" w:rsidR="00A02194" w:rsidRPr="00A02194" w:rsidRDefault="00A02194" w:rsidP="008E7428">
      <w:pPr>
        <w:pStyle w:val="ab"/>
        <w:numPr>
          <w:ilvl w:val="0"/>
          <w:numId w:val="101"/>
        </w:numPr>
        <w:bidi/>
        <w:spacing w:before="0" w:after="120"/>
        <w:jc w:val="both"/>
        <w:rPr>
          <w:rFonts w:ascii="Traditional Arabic" w:hAnsi="Traditional Arabic" w:cs="Traditional Arabic"/>
          <w:b/>
          <w:bCs/>
          <w:sz w:val="32"/>
          <w:szCs w:val="32"/>
        </w:rPr>
      </w:pPr>
      <w:r w:rsidRPr="00A02194">
        <w:rPr>
          <w:rFonts w:ascii="Traditional Arabic" w:hAnsi="Traditional Arabic" w:cs="Traditional Arabic"/>
          <w:b/>
          <w:bCs/>
          <w:sz w:val="32"/>
          <w:szCs w:val="32"/>
          <w:rtl/>
        </w:rPr>
        <w:t>مفهوم إدارة المخاطر</w:t>
      </w:r>
      <w:r w:rsidR="008E7428">
        <w:rPr>
          <w:rFonts w:ascii="Traditional Arabic" w:hAnsi="Traditional Arabic" w:cs="Traditional Arabic" w:hint="cs"/>
          <w:b/>
          <w:bCs/>
          <w:sz w:val="32"/>
          <w:szCs w:val="32"/>
          <w:rtl/>
        </w:rPr>
        <w:t>:</w:t>
      </w:r>
    </w:p>
    <w:p w14:paraId="6D9D0845" w14:textId="5912C64D"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تتعدد التعريفات التي تناولت مفهوم إدارة المخاطر في الأدبيات الإدارية، إلا أن أغلبها يتفق على أنها عملية منهجية تهدف إلى تحديد المخاطر المحتملة التي قد تواجه المنظمة، وتحليلها، وتقييمها، ثم اتخاذ الإجراءات المناسبة للتعامل معها بأقل تكلفة ممكنة. وهذا الفهم الواسع يميز إدارة المخاطر عن ردود الفعل العشوائية أو الإجراءات المؤقتة التي قد تُتخذ عند وقوع الأزمة</w:t>
      </w:r>
      <w:r w:rsidRPr="00A02194">
        <w:rPr>
          <w:rFonts w:ascii="Traditional Arabic" w:hAnsi="Traditional Arabic" w:cs="Traditional Arabic"/>
          <w:sz w:val="32"/>
          <w:szCs w:val="32"/>
        </w:rPr>
        <w:t xml:space="preserve"> </w:t>
      </w:r>
      <w:r w:rsidR="008E7428">
        <w:rPr>
          <w:rFonts w:ascii="Traditional Arabic" w:hAnsi="Traditional Arabic" w:cs="Traditional Arabic"/>
          <w:sz w:val="32"/>
          <w:szCs w:val="32"/>
        </w:rPr>
        <w:t>.</w:t>
      </w:r>
      <w:r w:rsidRPr="00A02194">
        <w:rPr>
          <w:rFonts w:ascii="Traditional Arabic" w:hAnsi="Traditional Arabic" w:cs="Traditional Arabic"/>
          <w:sz w:val="32"/>
          <w:szCs w:val="32"/>
        </w:rPr>
        <w:t>(Dvorsky et al., 2021</w:t>
      </w:r>
      <w:r w:rsidR="00292F40">
        <w:rPr>
          <w:rFonts w:ascii="Traditional Arabic" w:hAnsi="Traditional Arabic" w:cs="Traditional Arabic"/>
          <w:sz w:val="32"/>
          <w:szCs w:val="32"/>
        </w:rPr>
        <w:t xml:space="preserve">) </w:t>
      </w:r>
    </w:p>
    <w:p w14:paraId="3C532F3C" w14:textId="2180F67D" w:rsidR="00A02194" w:rsidRPr="00A02194" w:rsidRDefault="00A02194" w:rsidP="00A02194">
      <w:pPr>
        <w:pStyle w:val="ab"/>
        <w:bidi/>
        <w:spacing w:before="0" w:after="12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 xml:space="preserve">وفي المجال الصحي، تتخذ إدارة المخاطر طابعًا خاصًا نظرًا لارتباطها المباشر بحياة المرضى وسلامتهم، حيث تُعرَّف بأنها الإطار التنظيمي الذي يعمل على حماية المرضى والعاملين والممتلكات من خلال تحديد مصادر </w:t>
      </w:r>
      <w:r w:rsidRPr="00A02194">
        <w:rPr>
          <w:rFonts w:ascii="Traditional Arabic" w:hAnsi="Traditional Arabic" w:cs="Traditional Arabic"/>
          <w:sz w:val="32"/>
          <w:szCs w:val="32"/>
          <w:rtl/>
        </w:rPr>
        <w:lastRenderedPageBreak/>
        <w:t>الخطر، وتقييم احتمالية حدوثها، وتصميم استراتيجيات للوقاية منها أو التخفيف من آثارها. وهذا المفهوم يتجاوز مجرد التأمين أو التعويض إلى جوهر الجودة والسلامة</w:t>
      </w:r>
      <w:r w:rsidR="00F01D30">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Pr>
        <w:t xml:space="preserve"> </w:t>
      </w:r>
      <w:r w:rsidR="00F01D30">
        <w:rPr>
          <w:rFonts w:ascii="Traditional Arabic" w:hAnsi="Traditional Arabic" w:cs="Traditional Arabic"/>
          <w:sz w:val="32"/>
          <w:szCs w:val="32"/>
        </w:rPr>
        <w:t>.</w:t>
      </w:r>
      <w:r w:rsidRPr="00A02194">
        <w:rPr>
          <w:rFonts w:ascii="Traditional Arabic" w:hAnsi="Traditional Arabic" w:cs="Traditional Arabic"/>
          <w:sz w:val="32"/>
          <w:szCs w:val="32"/>
        </w:rPr>
        <w:t>(Muayad &amp; Abumandil, 2021)</w:t>
      </w:r>
    </w:p>
    <w:p w14:paraId="5E47E77D" w14:textId="0C6107C6" w:rsidR="00A02194" w:rsidRPr="00A02194" w:rsidRDefault="00A02194" w:rsidP="00A02194">
      <w:pPr>
        <w:pStyle w:val="ab"/>
        <w:bidi/>
        <w:spacing w:before="0" w:after="12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كما يبرز الباحثون أن إدارة المخاطر في المستشفيات لا تقتصر على الجوانب السريرية فقط، بل تشمل المخاطر التشغيلية والإدارية والتقنية والقانونية. وتتطلب هذه الشمولية وجود ثقافة تنظيمية واعية بالمخاطر، ونظامًا متكاملاً يجمع بين التخطيط الاستباقي، والاستجابة السريعة، والتقييم المستمر للفعالي</w:t>
      </w:r>
      <w:r w:rsidR="00F01D30">
        <w:rPr>
          <w:rFonts w:ascii="Traditional Arabic" w:hAnsi="Traditional Arabic" w:cs="Traditional Arabic" w:hint="cs"/>
          <w:sz w:val="32"/>
          <w:szCs w:val="32"/>
          <w:rtl/>
        </w:rPr>
        <w:t xml:space="preserve">ة </w:t>
      </w:r>
      <w:r w:rsidRPr="00A02194">
        <w:rPr>
          <w:rFonts w:ascii="Traditional Arabic" w:hAnsi="Traditional Arabic" w:cs="Traditional Arabic"/>
          <w:sz w:val="32"/>
          <w:szCs w:val="32"/>
        </w:rPr>
        <w:t xml:space="preserve"> </w:t>
      </w:r>
      <w:r w:rsidR="00F01D30">
        <w:rPr>
          <w:rFonts w:ascii="Traditional Arabic" w:hAnsi="Traditional Arabic" w:cs="Traditional Arabic"/>
          <w:sz w:val="32"/>
          <w:szCs w:val="32"/>
        </w:rPr>
        <w:t>.</w:t>
      </w:r>
      <w:r w:rsidRPr="00A02194">
        <w:rPr>
          <w:rFonts w:ascii="Traditional Arabic" w:hAnsi="Traditional Arabic" w:cs="Traditional Arabic"/>
          <w:sz w:val="32"/>
          <w:szCs w:val="32"/>
        </w:rPr>
        <w:t>(Kamiya et al., 2021)</w:t>
      </w:r>
    </w:p>
    <w:p w14:paraId="07888652" w14:textId="77777777" w:rsidR="00A02194" w:rsidRPr="00A02194" w:rsidRDefault="00A02194" w:rsidP="00A02194">
      <w:pPr>
        <w:pStyle w:val="ab"/>
        <w:bidi/>
        <w:spacing w:before="0" w:after="120"/>
        <w:jc w:val="both"/>
        <w:rPr>
          <w:rFonts w:ascii="Traditional Arabic" w:hAnsi="Traditional Arabic" w:cs="Traditional Arabic"/>
          <w:sz w:val="32"/>
          <w:szCs w:val="32"/>
        </w:rPr>
      </w:pPr>
      <w:r w:rsidRPr="00A02194">
        <w:rPr>
          <w:rFonts w:ascii="Traditional Arabic" w:hAnsi="Traditional Arabic" w:cs="Traditional Arabic"/>
          <w:sz w:val="32"/>
          <w:szCs w:val="32"/>
          <w:rtl/>
        </w:rPr>
        <w:t>وبناءً على ذلك، تتبنى هذه الدراسة تعريفًا إجرائيًا لإدارة المخاطر بأنها: العملية المنظمة التي تهدف إلى تحديد وتحليل وتقييم المخاطر المحتملة في المستشفى، وتصميم وتنفيذ خطط استباقية للتعامل معها، مع متابعة فعالية هذه الإجراءات بشكل دوري، وذلك بهدف ضمان سلامة المرضى والعاملين واستمرارية الخدمات الصحية</w:t>
      </w:r>
      <w:r w:rsidRPr="00A02194">
        <w:rPr>
          <w:rFonts w:ascii="Traditional Arabic" w:hAnsi="Traditional Arabic" w:cs="Traditional Arabic"/>
          <w:sz w:val="32"/>
          <w:szCs w:val="32"/>
        </w:rPr>
        <w:t>.</w:t>
      </w:r>
    </w:p>
    <w:p w14:paraId="1B95BE73" w14:textId="2F8029A1" w:rsidR="00A02194" w:rsidRDefault="00A02194" w:rsidP="00F01D30">
      <w:pPr>
        <w:pStyle w:val="ab"/>
        <w:numPr>
          <w:ilvl w:val="0"/>
          <w:numId w:val="101"/>
        </w:numPr>
        <w:bidi/>
        <w:spacing w:before="0" w:after="120"/>
        <w:jc w:val="both"/>
        <w:rPr>
          <w:rFonts w:ascii="Traditional Arabic" w:hAnsi="Traditional Arabic" w:cs="Traditional Arabic"/>
          <w:b/>
          <w:bCs/>
          <w:sz w:val="32"/>
          <w:szCs w:val="32"/>
        </w:rPr>
      </w:pPr>
      <w:r w:rsidRPr="00A02194">
        <w:rPr>
          <w:rFonts w:ascii="Traditional Arabic" w:hAnsi="Traditional Arabic" w:cs="Traditional Arabic"/>
          <w:b/>
          <w:bCs/>
          <w:sz w:val="32"/>
          <w:szCs w:val="32"/>
          <w:rtl/>
        </w:rPr>
        <w:t>أبعاد إدارة المخاطر في الدراسة الحالية</w:t>
      </w:r>
      <w:r w:rsidR="00F01D30">
        <w:rPr>
          <w:rFonts w:ascii="Traditional Arabic" w:hAnsi="Traditional Arabic" w:cs="Traditional Arabic" w:hint="cs"/>
          <w:b/>
          <w:bCs/>
          <w:sz w:val="32"/>
          <w:szCs w:val="32"/>
          <w:rtl/>
        </w:rPr>
        <w:t>:</w:t>
      </w:r>
    </w:p>
    <w:p w14:paraId="568EB7F4" w14:textId="7EC6D029" w:rsidR="00AF30A4" w:rsidRPr="00AF30A4" w:rsidRDefault="00AF30A4" w:rsidP="00AF30A4">
      <w:pPr>
        <w:pStyle w:val="ab"/>
        <w:bidi/>
        <w:spacing w:before="0" w:after="120"/>
        <w:jc w:val="both"/>
        <w:rPr>
          <w:rFonts w:ascii="Traditional Arabic" w:hAnsi="Traditional Arabic" w:cs="Traditional Arabic"/>
          <w:sz w:val="32"/>
          <w:szCs w:val="32"/>
        </w:rPr>
      </w:pPr>
      <w:r w:rsidRPr="00AF30A4">
        <w:rPr>
          <w:rFonts w:ascii="Traditional Arabic" w:hAnsi="Traditional Arabic" w:cs="Traditional Arabic"/>
          <w:sz w:val="32"/>
          <w:szCs w:val="32"/>
          <w:rtl/>
        </w:rPr>
        <w:t>تُعد إدارة المخاطر من المفاهيم الم</w:t>
      </w:r>
      <w:r>
        <w:rPr>
          <w:rFonts w:ascii="Traditional Arabic" w:hAnsi="Traditional Arabic" w:cs="Traditional Arabic" w:hint="cs"/>
          <w:sz w:val="32"/>
          <w:szCs w:val="32"/>
          <w:rtl/>
        </w:rPr>
        <w:t xml:space="preserve">حورية </w:t>
      </w:r>
      <w:r w:rsidRPr="00AF30A4">
        <w:rPr>
          <w:rFonts w:ascii="Traditional Arabic" w:hAnsi="Traditional Arabic" w:cs="Traditional Arabic"/>
          <w:sz w:val="32"/>
          <w:szCs w:val="32"/>
          <w:rtl/>
        </w:rPr>
        <w:t>في الأدبيات الحديثة، لما لها من دور محوري في دعم استمرارية المؤسسات وتعزيز قدرتها على التعامل مع عدم اليقين. وبالنظر إلى طبيعتها المركبة، فإنها تُفهم عادةً ضمن إطار متعدد الأبعاد يعكس المراحل المختلفة للتعامل مع المخاطر داخل المنظمة. وفي ضوء ذلك، اعتمدت هذه الدراسة مجموعة من الأبعاد التي تجسد العمليات الأساسية لإدارة المخاطر في البيئة الصحية، وذلك بما يتسق مع الإطار المفاهيمي وفرضيات الدراسة، وبما يسمح بقياس قدرة المستشفى على التعامل مع المخاطر بصورة منهجية واستباقية. وتتمثل هذه الأبعاد في:</w:t>
      </w:r>
    </w:p>
    <w:p w14:paraId="5AB80044" w14:textId="219D8518" w:rsidR="00A02194" w:rsidRPr="00A02194" w:rsidRDefault="00A02194" w:rsidP="00F01D30">
      <w:pPr>
        <w:pStyle w:val="ab"/>
        <w:numPr>
          <w:ilvl w:val="0"/>
          <w:numId w:val="103"/>
        </w:numPr>
        <w:bidi/>
        <w:spacing w:before="0" w:after="120"/>
        <w:jc w:val="both"/>
        <w:rPr>
          <w:rFonts w:ascii="Traditional Arabic" w:hAnsi="Traditional Arabic" w:cs="Traditional Arabic"/>
          <w:sz w:val="32"/>
          <w:szCs w:val="32"/>
        </w:rPr>
      </w:pPr>
      <w:r w:rsidRPr="00A02194">
        <w:rPr>
          <w:rFonts w:ascii="Traditional Arabic" w:eastAsiaTheme="majorEastAsia" w:hAnsi="Traditional Arabic" w:cs="Traditional Arabic"/>
          <w:b/>
          <w:bCs/>
          <w:sz w:val="32"/>
          <w:szCs w:val="32"/>
          <w:rtl/>
        </w:rPr>
        <w:t>التخطيط للمخاطر</w:t>
      </w:r>
      <w:r w:rsidR="00F01D30">
        <w:rPr>
          <w:rFonts w:ascii="Traditional Arabic" w:hAnsi="Traditional Arabic" w:cs="Traditional Arabic" w:hint="cs"/>
          <w:sz w:val="32"/>
          <w:szCs w:val="32"/>
          <w:rtl/>
        </w:rPr>
        <w:t>:</w:t>
      </w:r>
    </w:p>
    <w:p w14:paraId="5FEF1D46" w14:textId="3133B801" w:rsidR="00A02194" w:rsidRPr="00A02194" w:rsidRDefault="00A02194" w:rsidP="00AF30A4">
      <w:pPr>
        <w:pStyle w:val="ab"/>
        <w:bidi/>
        <w:spacing w:before="0" w:after="120"/>
        <w:ind w:left="425"/>
        <w:jc w:val="both"/>
        <w:rPr>
          <w:rFonts w:ascii="Traditional Arabic" w:hAnsi="Traditional Arabic" w:cs="Traditional Arabic"/>
          <w:sz w:val="32"/>
          <w:szCs w:val="32"/>
          <w:rtl/>
        </w:rPr>
      </w:pPr>
      <w:r w:rsidRPr="00A02194">
        <w:rPr>
          <w:rFonts w:ascii="Traditional Arabic" w:hAnsi="Traditional Arabic" w:cs="Traditional Arabic"/>
          <w:sz w:val="32"/>
          <w:szCs w:val="32"/>
          <w:rtl/>
        </w:rPr>
        <w:t>يُعد التخطيط للمخاطر المرحلة الأساسية التي تحدد مدى استعداد المستشفى لمواجهة الأحداث غير المتوقعة، حيث يتضمن وضع إرشادات واضحة للكوادر الصحية والإدارية تحدد الإجراءات الواجب اتباعها عند حدوث الخطر، وتوقيت تنفيذها، والموارد البشرية والمادية اللازمة</w:t>
      </w:r>
      <w:r w:rsidR="006D63D8">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tl/>
        </w:rPr>
        <w:t>وتشير الدراسات إلى أن المستويات العالية من التخطيط ترتبط بانخفاض كبير في حجم الخسائر عند وقوع الأزمات</w:t>
      </w:r>
      <w:r w:rsidR="00F01D30">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Pr>
        <w:t xml:space="preserve"> </w:t>
      </w:r>
      <w:r w:rsidR="00F01D30">
        <w:rPr>
          <w:rFonts w:ascii="Traditional Arabic" w:hAnsi="Traditional Arabic" w:cs="Traditional Arabic"/>
          <w:sz w:val="32"/>
          <w:szCs w:val="32"/>
        </w:rPr>
        <w:t>.</w:t>
      </w:r>
      <w:r w:rsidRPr="00A02194">
        <w:rPr>
          <w:rFonts w:ascii="Traditional Arabic" w:hAnsi="Traditional Arabic" w:cs="Traditional Arabic"/>
          <w:sz w:val="32"/>
          <w:szCs w:val="32"/>
        </w:rPr>
        <w:t>(Zwikael &amp; Ahn, 2011)</w:t>
      </w:r>
    </w:p>
    <w:p w14:paraId="7342E7D5" w14:textId="79DE5646" w:rsidR="00A02194" w:rsidRPr="00A02194" w:rsidRDefault="00A02194" w:rsidP="00AF30A4">
      <w:pPr>
        <w:pStyle w:val="ab"/>
        <w:bidi/>
        <w:spacing w:before="0" w:after="120"/>
        <w:ind w:left="425"/>
        <w:jc w:val="both"/>
        <w:rPr>
          <w:rFonts w:ascii="Traditional Arabic" w:hAnsi="Traditional Arabic" w:cs="Traditional Arabic"/>
          <w:sz w:val="32"/>
          <w:szCs w:val="32"/>
          <w:rtl/>
        </w:rPr>
      </w:pPr>
      <w:r w:rsidRPr="00A02194">
        <w:rPr>
          <w:rFonts w:ascii="Traditional Arabic" w:hAnsi="Traditional Arabic" w:cs="Traditional Arabic"/>
          <w:sz w:val="32"/>
          <w:szCs w:val="32"/>
          <w:rtl/>
        </w:rPr>
        <w:t xml:space="preserve">ويتضمن هذا البعد أيضًا ترجمة السياسات الصحية إلى خطط تنفيذية قابلة للتطبيق، مع تحديد الجوانب التشغيلية والتنظيمية وآليات توزيع الأدوار والمسؤوليات بما يضمن التكامل بين الأقسام المختلفة. ففي </w:t>
      </w:r>
      <w:r w:rsidRPr="00A02194">
        <w:rPr>
          <w:rFonts w:ascii="Traditional Arabic" w:hAnsi="Traditional Arabic" w:cs="Traditional Arabic"/>
          <w:sz w:val="32"/>
          <w:szCs w:val="32"/>
          <w:rtl/>
        </w:rPr>
        <w:lastRenderedPageBreak/>
        <w:t>البيئات عالية المخاطر مثل المستشفيات، يزداد الاهتمام بالتخطيط الاستباقي الذي يعتمد على تحليل السيناريوهات المحتملة والاستعداد لها مسبقًا</w:t>
      </w:r>
      <w:r w:rsidR="00F01D30">
        <w:rPr>
          <w:rFonts w:ascii="Traditional Arabic" w:hAnsi="Traditional Arabic" w:cs="Traditional Arabic" w:hint="cs"/>
          <w:sz w:val="32"/>
          <w:szCs w:val="32"/>
          <w:rtl/>
        </w:rPr>
        <w:t xml:space="preserve"> </w:t>
      </w:r>
      <w:r w:rsidRPr="00A02194">
        <w:rPr>
          <w:rFonts w:ascii="Traditional Arabic" w:hAnsi="Traditional Arabic" w:cs="Traditional Arabic"/>
          <w:sz w:val="32"/>
          <w:szCs w:val="32"/>
        </w:rPr>
        <w:t xml:space="preserve"> </w:t>
      </w:r>
      <w:r w:rsidR="00F01D30">
        <w:rPr>
          <w:rFonts w:ascii="Traditional Arabic" w:hAnsi="Traditional Arabic" w:cs="Traditional Arabic"/>
          <w:sz w:val="32"/>
          <w:szCs w:val="32"/>
        </w:rPr>
        <w:t>.</w:t>
      </w:r>
      <w:r w:rsidRPr="00A02194">
        <w:rPr>
          <w:rFonts w:ascii="Traditional Arabic" w:hAnsi="Traditional Arabic" w:cs="Traditional Arabic"/>
          <w:sz w:val="32"/>
          <w:szCs w:val="32"/>
        </w:rPr>
        <w:t>(Laroche, 2024)</w:t>
      </w:r>
    </w:p>
    <w:p w14:paraId="68C4DBAD" w14:textId="3D3C63E8" w:rsidR="00A02194" w:rsidRPr="00A02194" w:rsidRDefault="00A02194" w:rsidP="00F01D30">
      <w:pPr>
        <w:pStyle w:val="ab"/>
        <w:numPr>
          <w:ilvl w:val="0"/>
          <w:numId w:val="103"/>
        </w:numPr>
        <w:bidi/>
        <w:spacing w:before="0" w:after="120"/>
        <w:jc w:val="both"/>
        <w:rPr>
          <w:rFonts w:ascii="Traditional Arabic" w:eastAsiaTheme="majorEastAsia" w:hAnsi="Traditional Arabic" w:cs="Traditional Arabic"/>
          <w:b/>
          <w:bCs/>
          <w:sz w:val="32"/>
          <w:szCs w:val="32"/>
        </w:rPr>
      </w:pPr>
      <w:r w:rsidRPr="00A02194">
        <w:rPr>
          <w:rFonts w:ascii="Traditional Arabic" w:eastAsiaTheme="majorEastAsia" w:hAnsi="Traditional Arabic" w:cs="Traditional Arabic"/>
          <w:b/>
          <w:bCs/>
          <w:sz w:val="32"/>
          <w:szCs w:val="32"/>
          <w:rtl/>
        </w:rPr>
        <w:t>الموقف من المخاطر</w:t>
      </w:r>
      <w:r w:rsidR="00F01D30">
        <w:rPr>
          <w:rFonts w:ascii="Traditional Arabic" w:eastAsiaTheme="majorEastAsia" w:hAnsi="Traditional Arabic" w:cs="Traditional Arabic" w:hint="cs"/>
          <w:b/>
          <w:bCs/>
          <w:sz w:val="32"/>
          <w:szCs w:val="32"/>
          <w:rtl/>
        </w:rPr>
        <w:t>:</w:t>
      </w:r>
    </w:p>
    <w:p w14:paraId="632C5B14" w14:textId="77777777" w:rsidR="00A02194" w:rsidRPr="00A02194" w:rsidRDefault="00A02194" w:rsidP="00AF30A4">
      <w:pPr>
        <w:pStyle w:val="ab"/>
        <w:bidi/>
        <w:spacing w:before="0" w:after="120"/>
        <w:ind w:left="425"/>
        <w:jc w:val="both"/>
        <w:rPr>
          <w:rFonts w:ascii="Traditional Arabic" w:hAnsi="Traditional Arabic" w:cs="Traditional Arabic"/>
          <w:sz w:val="32"/>
          <w:szCs w:val="32"/>
        </w:rPr>
      </w:pPr>
      <w:r w:rsidRPr="00A02194">
        <w:rPr>
          <w:rFonts w:ascii="Traditional Arabic" w:hAnsi="Traditional Arabic" w:cs="Traditional Arabic"/>
          <w:sz w:val="32"/>
          <w:szCs w:val="32"/>
          <w:rtl/>
        </w:rPr>
        <w:t>يعبر الموقف من المخاطر عن الاتجاه العام الذي تتبناه المؤسسة في التعامل مع التهديدات المحتملة، وهو يشير إلى مدى الاستعداد لقبول هذه المخاطر أو تجنبها أو إدارتها. وتتحدد طبيعة هذا الموقف بعوامل متعددة مثل الثقافة التنظيمية، والأهداف الاستراتيجية، والموارد المتاحة، وهو ما يؤثر في القرارات المتخذة عند مواجهة الخطر (أسعد ويعقوب، 2023)</w:t>
      </w:r>
      <w:r w:rsidRPr="00A02194">
        <w:rPr>
          <w:rFonts w:ascii="Traditional Arabic" w:hAnsi="Traditional Arabic" w:cs="Traditional Arabic"/>
          <w:sz w:val="32"/>
          <w:szCs w:val="32"/>
        </w:rPr>
        <w:t>.</w:t>
      </w:r>
    </w:p>
    <w:p w14:paraId="37AF094C" w14:textId="2334272A" w:rsidR="00A02194" w:rsidRPr="00A02194" w:rsidRDefault="00A02194" w:rsidP="00AF30A4">
      <w:pPr>
        <w:pStyle w:val="ab"/>
        <w:bidi/>
        <w:spacing w:before="0" w:after="120"/>
        <w:ind w:left="425"/>
        <w:jc w:val="both"/>
        <w:rPr>
          <w:rFonts w:ascii="Traditional Arabic" w:hAnsi="Traditional Arabic" w:cs="Traditional Arabic"/>
          <w:sz w:val="32"/>
          <w:szCs w:val="32"/>
        </w:rPr>
      </w:pPr>
      <w:r w:rsidRPr="00A02194">
        <w:rPr>
          <w:rFonts w:ascii="Traditional Arabic" w:hAnsi="Traditional Arabic" w:cs="Traditional Arabic"/>
          <w:sz w:val="32"/>
          <w:szCs w:val="32"/>
          <w:rtl/>
        </w:rPr>
        <w:t>وتتعدد أنماط المواقف من المخاطر لتشمل موقف التجنب الذي تسعى من خلاله المنظمة إلى الابتعاد عن الأنشطة ذات المخاطر العالية، وموقف القبول الذي يعترف بوجود المخاطر ضمن حدود معينة، وموقف التحويل الذي ينقل عبء المخاطر إلى طرف آخر مثل التأمين، وأخيرًا موقف التخفيف الذي يعتمد على إجراءات وقائية استباقية</w:t>
      </w:r>
      <w:r w:rsidR="00F01D30">
        <w:rPr>
          <w:rFonts w:ascii="Traditional Arabic" w:hAnsi="Traditional Arabic" w:cs="Traditional Arabic" w:hint="cs"/>
          <w:sz w:val="32"/>
          <w:szCs w:val="32"/>
          <w:rtl/>
        </w:rPr>
        <w:t>،</w:t>
      </w:r>
      <w:r w:rsidRPr="00A02194">
        <w:rPr>
          <w:rFonts w:ascii="Traditional Arabic" w:hAnsi="Traditional Arabic" w:cs="Traditional Arabic"/>
          <w:sz w:val="32"/>
          <w:szCs w:val="32"/>
          <w:rtl/>
        </w:rPr>
        <w:t xml:space="preserve"> وفي البيئة الصحية، غالبًا ما يتم الجمع بين هذه الأنماط حسب طبيعة الخطر (المهدي، 2013)</w:t>
      </w:r>
      <w:r w:rsidRPr="00A02194">
        <w:rPr>
          <w:rFonts w:ascii="Traditional Arabic" w:hAnsi="Traditional Arabic" w:cs="Traditional Arabic"/>
          <w:sz w:val="32"/>
          <w:szCs w:val="32"/>
        </w:rPr>
        <w:t>.</w:t>
      </w:r>
    </w:p>
    <w:p w14:paraId="51048C30" w14:textId="34D3D4A8" w:rsidR="00A02194" w:rsidRPr="00A02194" w:rsidRDefault="00A02194" w:rsidP="00F01D30">
      <w:pPr>
        <w:pStyle w:val="ab"/>
        <w:numPr>
          <w:ilvl w:val="0"/>
          <w:numId w:val="103"/>
        </w:numPr>
        <w:bidi/>
        <w:spacing w:before="0" w:after="120"/>
        <w:jc w:val="both"/>
        <w:rPr>
          <w:rFonts w:ascii="Traditional Arabic" w:hAnsi="Traditional Arabic" w:cs="Traditional Arabic"/>
          <w:sz w:val="32"/>
          <w:szCs w:val="32"/>
        </w:rPr>
      </w:pPr>
      <w:r w:rsidRPr="00A02194">
        <w:rPr>
          <w:rFonts w:ascii="Traditional Arabic" w:eastAsiaTheme="majorEastAsia" w:hAnsi="Traditional Arabic" w:cs="Traditional Arabic"/>
          <w:b/>
          <w:bCs/>
          <w:sz w:val="32"/>
          <w:szCs w:val="32"/>
          <w:rtl/>
        </w:rPr>
        <w:t>الممارسات الوقائية</w:t>
      </w:r>
      <w:r w:rsidR="00F01D30">
        <w:rPr>
          <w:rFonts w:ascii="Traditional Arabic" w:hAnsi="Traditional Arabic" w:cs="Traditional Arabic" w:hint="cs"/>
          <w:sz w:val="32"/>
          <w:szCs w:val="32"/>
          <w:rtl/>
        </w:rPr>
        <w:t>:</w:t>
      </w:r>
    </w:p>
    <w:p w14:paraId="5AE22E5D" w14:textId="77777777" w:rsidR="00AF30A4" w:rsidRDefault="00A02194" w:rsidP="00AF30A4">
      <w:pPr>
        <w:pStyle w:val="ab"/>
        <w:bidi/>
        <w:spacing w:before="0" w:after="120"/>
        <w:ind w:left="425"/>
        <w:jc w:val="both"/>
        <w:rPr>
          <w:rFonts w:ascii="Traditional Arabic" w:hAnsi="Traditional Arabic" w:cs="Traditional Arabic"/>
          <w:sz w:val="32"/>
          <w:szCs w:val="32"/>
          <w:rtl/>
        </w:rPr>
      </w:pPr>
      <w:r w:rsidRPr="00A02194">
        <w:rPr>
          <w:rFonts w:ascii="Traditional Arabic" w:hAnsi="Traditional Arabic" w:cs="Traditional Arabic"/>
          <w:sz w:val="32"/>
          <w:szCs w:val="32"/>
          <w:rtl/>
        </w:rPr>
        <w:t>تمثل الممارسات الوقائية الجانب التطبيقي لاستراتيجية إدارة المخاطر، حيث تتضمن مجموعة الإجراءات والسياسات التي تنفذها المؤسسة لتقليل احتمالية حدوث المخاطر أو الحد من آثارها قبل أن تتحول إلى تهديد فعلي. وتشمل هذه الممارسات تطبيق أنظمة الرقابة الداخلية، وتدريب العاملين، واستخدام أدوات تحليلية مساعدة مثل التقييم الدوري للمخاطر (هيئة الوقاية والسلامة، 2021)</w:t>
      </w:r>
      <w:r w:rsidRPr="00A02194">
        <w:rPr>
          <w:rFonts w:ascii="Traditional Arabic" w:hAnsi="Traditional Arabic" w:cs="Traditional Arabic"/>
          <w:sz w:val="32"/>
          <w:szCs w:val="32"/>
        </w:rPr>
        <w:t>.</w:t>
      </w:r>
    </w:p>
    <w:p w14:paraId="593CA5F4" w14:textId="474C72F0" w:rsidR="00A02194" w:rsidRPr="00A02194" w:rsidRDefault="00A02194" w:rsidP="00AF30A4">
      <w:pPr>
        <w:pStyle w:val="ab"/>
        <w:bidi/>
        <w:spacing w:before="0" w:after="120"/>
        <w:ind w:left="425"/>
        <w:jc w:val="both"/>
        <w:rPr>
          <w:rFonts w:ascii="Traditional Arabic" w:hAnsi="Traditional Arabic" w:cs="Traditional Arabic"/>
          <w:sz w:val="32"/>
          <w:szCs w:val="32"/>
        </w:rPr>
      </w:pPr>
      <w:r w:rsidRPr="00A02194">
        <w:rPr>
          <w:rFonts w:ascii="Traditional Arabic" w:hAnsi="Traditional Arabic" w:cs="Traditional Arabic"/>
          <w:sz w:val="32"/>
          <w:szCs w:val="32"/>
          <w:rtl/>
        </w:rPr>
        <w:t>وفي المؤسسات الصحية، تتضمن الممارسات الوقائية بروتوكولات صارمة لمكافحة العدوى، وفحوصات دورية للأجهزة الطبية، وتدريب الكوادر على إجراءات التعامل مع الحالات الطارئة، بالإضافة إلى استخدام سجلات مخاطر محدثة تحتوي على وصف الخطر وطرق التعامل معه والدروس المستفادة. وهذه الإجراءات تسهم في بناء منظومة استباقية تقلل من تأثير المخاطر المحتملة (مركز إدارة المخاطر، 2024)</w:t>
      </w:r>
      <w:r w:rsidRPr="00A02194">
        <w:rPr>
          <w:rFonts w:ascii="Traditional Arabic" w:hAnsi="Traditional Arabic" w:cs="Traditional Arabic"/>
          <w:sz w:val="32"/>
          <w:szCs w:val="32"/>
        </w:rPr>
        <w:t>.</w:t>
      </w:r>
    </w:p>
    <w:p w14:paraId="06B75A36" w14:textId="13F7BC89" w:rsidR="00A02194" w:rsidRDefault="00A02194" w:rsidP="00A02194">
      <w:pPr>
        <w:pStyle w:val="ab"/>
        <w:bidi/>
        <w:spacing w:before="0" w:after="120"/>
        <w:jc w:val="both"/>
        <w:rPr>
          <w:rFonts w:ascii="Traditional Arabic" w:hAnsi="Traditional Arabic" w:cs="Traditional Arabic"/>
          <w:sz w:val="32"/>
          <w:szCs w:val="32"/>
          <w:rtl/>
        </w:rPr>
      </w:pPr>
      <w:r w:rsidRPr="00A02194">
        <w:rPr>
          <w:rFonts w:ascii="Traditional Arabic" w:hAnsi="Traditional Arabic" w:cs="Traditional Arabic"/>
          <w:sz w:val="32"/>
          <w:szCs w:val="32"/>
          <w:rtl/>
        </w:rPr>
        <w:t>وقد تم اختيار هذه الأبعاد الثلاثة لأنها تمثل دورة متكاملة لإدارة المخاطر</w:t>
      </w:r>
      <w:r w:rsidR="005B684E">
        <w:rPr>
          <w:rFonts w:ascii="Traditional Arabic" w:hAnsi="Traditional Arabic" w:cs="Traditional Arabic" w:hint="cs"/>
          <w:sz w:val="32"/>
          <w:szCs w:val="32"/>
          <w:rtl/>
        </w:rPr>
        <w:t>؛ ف</w:t>
      </w:r>
      <w:r w:rsidRPr="00A02194">
        <w:rPr>
          <w:rFonts w:ascii="Traditional Arabic" w:hAnsi="Traditional Arabic" w:cs="Traditional Arabic"/>
          <w:sz w:val="32"/>
          <w:szCs w:val="32"/>
          <w:rtl/>
        </w:rPr>
        <w:t xml:space="preserve">التخطيط (الاستعداد المسبق)، والموقف (التوجه الاستراتيجي)، والممارسات (التنفيذ الفعلي) تعكس </w:t>
      </w:r>
      <w:r w:rsidR="005B684E" w:rsidRPr="00A02194">
        <w:rPr>
          <w:rFonts w:ascii="Traditional Arabic" w:hAnsi="Traditional Arabic" w:cs="Traditional Arabic"/>
          <w:sz w:val="32"/>
          <w:szCs w:val="32"/>
          <w:rtl/>
        </w:rPr>
        <w:t xml:space="preserve">معًا </w:t>
      </w:r>
      <w:r w:rsidRPr="00A02194">
        <w:rPr>
          <w:rFonts w:ascii="Traditional Arabic" w:hAnsi="Traditional Arabic" w:cs="Traditional Arabic"/>
          <w:sz w:val="32"/>
          <w:szCs w:val="32"/>
          <w:rtl/>
        </w:rPr>
        <w:t xml:space="preserve">قدرة المستشفى على الانتقال من رد </w:t>
      </w:r>
      <w:r w:rsidRPr="00A02194">
        <w:rPr>
          <w:rFonts w:ascii="Traditional Arabic" w:hAnsi="Traditional Arabic" w:cs="Traditional Arabic"/>
          <w:sz w:val="32"/>
          <w:szCs w:val="32"/>
          <w:rtl/>
        </w:rPr>
        <w:lastRenderedPageBreak/>
        <w:t>الفعل إلى الاستباقية في التعامل مع المخاطر، وهو ما يجعلها متغيرًا تابعًا مناسبًا لقياس تأثير التطوير التنظيمي والتكنولوجيا الذكية</w:t>
      </w:r>
      <w:r w:rsidRPr="00A02194">
        <w:rPr>
          <w:rFonts w:ascii="Traditional Arabic" w:hAnsi="Traditional Arabic" w:cs="Traditional Arabic"/>
          <w:sz w:val="32"/>
          <w:szCs w:val="32"/>
        </w:rPr>
        <w:t>.</w:t>
      </w:r>
    </w:p>
    <w:p w14:paraId="17C628DA" w14:textId="77777777" w:rsidR="00AF30A4" w:rsidRPr="00A02194" w:rsidRDefault="00AF30A4" w:rsidP="00AF30A4">
      <w:pPr>
        <w:pStyle w:val="ab"/>
        <w:bidi/>
        <w:spacing w:before="0" w:after="120"/>
        <w:jc w:val="both"/>
        <w:rPr>
          <w:rFonts w:ascii="Traditional Arabic" w:hAnsi="Traditional Arabic" w:cs="Traditional Arabic"/>
          <w:sz w:val="32"/>
          <w:szCs w:val="32"/>
        </w:rPr>
      </w:pPr>
    </w:p>
    <w:p w14:paraId="308D7B98" w14:textId="159431B4" w:rsidR="00A02194" w:rsidRDefault="00292F40" w:rsidP="00292F40">
      <w:pPr>
        <w:pStyle w:val="ab"/>
        <w:bidi/>
        <w:spacing w:before="0" w:after="120"/>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 </w:t>
      </w:r>
      <w:r w:rsidR="00A02194" w:rsidRPr="00A02194">
        <w:rPr>
          <w:rFonts w:ascii="Traditional Arabic" w:hAnsi="Traditional Arabic" w:cs="Traditional Arabic"/>
          <w:b/>
          <w:bCs/>
          <w:sz w:val="32"/>
          <w:szCs w:val="32"/>
          <w:rtl/>
        </w:rPr>
        <w:t>آلية تأثير التطوير التنظيمي والتكنولوجيا الذكية في إدارة المخاطر</w:t>
      </w:r>
      <w:r w:rsidR="00F01D30">
        <w:rPr>
          <w:rFonts w:ascii="Traditional Arabic" w:hAnsi="Traditional Arabic" w:cs="Traditional Arabic" w:hint="cs"/>
          <w:b/>
          <w:bCs/>
          <w:sz w:val="32"/>
          <w:szCs w:val="32"/>
          <w:rtl/>
        </w:rPr>
        <w:t>:</w:t>
      </w:r>
    </w:p>
    <w:p w14:paraId="3E65934C" w14:textId="77777777" w:rsidR="00AF30A4" w:rsidRDefault="00B074B7" w:rsidP="00AF30A4">
      <w:pPr>
        <w:pStyle w:val="ab"/>
        <w:bidi/>
        <w:spacing w:before="0" w:after="120"/>
        <w:jc w:val="both"/>
        <w:rPr>
          <w:rFonts w:ascii="Traditional Arabic" w:hAnsi="Traditional Arabic" w:cs="Traditional Arabic"/>
          <w:sz w:val="32"/>
          <w:szCs w:val="32"/>
          <w:rtl/>
        </w:rPr>
      </w:pPr>
      <w:r w:rsidRPr="00B074B7">
        <w:rPr>
          <w:rFonts w:ascii="Traditional Arabic" w:hAnsi="Traditional Arabic" w:cs="Traditional Arabic"/>
          <w:sz w:val="32"/>
          <w:szCs w:val="32"/>
          <w:rtl/>
        </w:rPr>
        <w:t>انطلاقًا من الإطار النظري ونموذج الدراسة الذي سبق عرضهما، تتأثر إدارة المخاطر في هذه الدراسة بمسارين رئيسين: مسار مباشر من التطوير التنظيمي، ومسار غير مباشر عبر التكنولوجيا الذكية كمتغير وسيط</w:t>
      </w:r>
      <w:r>
        <w:rPr>
          <w:rFonts w:ascii="Traditional Arabic" w:hAnsi="Traditional Arabic" w:cs="Traditional Arabic" w:hint="cs"/>
          <w:sz w:val="32"/>
          <w:szCs w:val="32"/>
          <w:rtl/>
        </w:rPr>
        <w:t xml:space="preserve">؛ </w:t>
      </w:r>
      <w:r w:rsidRPr="00B074B7">
        <w:rPr>
          <w:rFonts w:ascii="Traditional Arabic" w:hAnsi="Traditional Arabic" w:cs="Traditional Arabic"/>
          <w:sz w:val="32"/>
          <w:szCs w:val="32"/>
          <w:rtl/>
        </w:rPr>
        <w:t>فالتأثير المباشر للتطوير التنظيمي ينبع من قدرته على تحسين الهيكل، وتبسيط العمليات، وتمكين العاملين، مما يعزز قدرة المستشفى على تحديد المخاطر مبكرًا والاستجابة لها بسرعة</w:t>
      </w:r>
      <w:r w:rsidRPr="00B074B7">
        <w:rPr>
          <w:rFonts w:ascii="Traditional Arabic" w:hAnsi="Traditional Arabic" w:cs="Traditional Arabic"/>
          <w:sz w:val="32"/>
          <w:szCs w:val="32"/>
        </w:rPr>
        <w:t xml:space="preserve"> </w:t>
      </w:r>
      <w:r>
        <w:rPr>
          <w:rFonts w:ascii="Traditional Arabic" w:hAnsi="Traditional Arabic" w:cs="Traditional Arabic"/>
          <w:sz w:val="32"/>
          <w:szCs w:val="32"/>
        </w:rPr>
        <w:t>.</w:t>
      </w:r>
      <w:r w:rsidRPr="00B074B7">
        <w:rPr>
          <w:rFonts w:ascii="Traditional Arabic" w:hAnsi="Traditional Arabic" w:cs="Traditional Arabic"/>
          <w:sz w:val="32"/>
          <w:szCs w:val="32"/>
        </w:rPr>
        <w:t>(Awwad et al., 2022)</w:t>
      </w:r>
      <w:r>
        <w:rPr>
          <w:rFonts w:ascii="Traditional Arabic" w:hAnsi="Traditional Arabic" w:cs="Traditional Arabic"/>
          <w:sz w:val="32"/>
          <w:szCs w:val="32"/>
        </w:rPr>
        <w:t xml:space="preserve"> </w:t>
      </w:r>
    </w:p>
    <w:p w14:paraId="35022DA6" w14:textId="04F8230E" w:rsidR="00B074B7" w:rsidRPr="00B074B7" w:rsidRDefault="00B074B7" w:rsidP="00AF30A4">
      <w:pPr>
        <w:pStyle w:val="ab"/>
        <w:bidi/>
        <w:spacing w:before="0" w:after="120"/>
        <w:jc w:val="both"/>
        <w:rPr>
          <w:rFonts w:ascii="Traditional Arabic" w:hAnsi="Traditional Arabic" w:cs="Traditional Arabic" w:hint="cs"/>
          <w:sz w:val="32"/>
          <w:szCs w:val="32"/>
          <w:rtl/>
        </w:rPr>
      </w:pPr>
      <w:r w:rsidRPr="00B074B7">
        <w:rPr>
          <w:rFonts w:ascii="Traditional Arabic" w:hAnsi="Traditional Arabic" w:cs="Traditional Arabic"/>
          <w:sz w:val="32"/>
          <w:szCs w:val="32"/>
          <w:rtl/>
        </w:rPr>
        <w:t>أما التأثير المباشر للتكنولوجيا الذكية، فيتمثل في توفير معلومات دقيقة وفي الوقت المناسب عبر أنظمة دعم القرار، والإنذار المبكر، والتحليلات التنبؤية، مما يقلل عدم اليقين ويحسن الاستجابة للمخاطر</w:t>
      </w:r>
      <w:r w:rsidRPr="00B074B7">
        <w:rPr>
          <w:rFonts w:ascii="Traditional Arabic" w:hAnsi="Traditional Arabic" w:cs="Traditional Arabic"/>
          <w:sz w:val="32"/>
          <w:szCs w:val="32"/>
        </w:rPr>
        <w:t xml:space="preserve"> (Sutton et al., 2020)</w:t>
      </w:r>
      <w:r w:rsidR="00292F40">
        <w:rPr>
          <w:rFonts w:ascii="Traditional Arabic" w:hAnsi="Traditional Arabic" w:cs="Traditional Arabic" w:hint="cs"/>
          <w:sz w:val="32"/>
          <w:szCs w:val="32"/>
          <w:rtl/>
        </w:rPr>
        <w:t>.</w:t>
      </w:r>
    </w:p>
    <w:p w14:paraId="54EEE2AF" w14:textId="7A2A03E0" w:rsidR="00C12072" w:rsidRPr="00292F40" w:rsidRDefault="00B074B7" w:rsidP="00292F40">
      <w:pPr>
        <w:pStyle w:val="ab"/>
        <w:bidi/>
        <w:spacing w:before="0" w:after="120"/>
        <w:jc w:val="both"/>
        <w:rPr>
          <w:rFonts w:ascii="Traditional Arabic" w:hAnsi="Traditional Arabic" w:cs="Traditional Arabic" w:hint="cs"/>
          <w:sz w:val="32"/>
          <w:szCs w:val="32"/>
          <w:rtl/>
        </w:rPr>
      </w:pPr>
      <w:r w:rsidRPr="00B074B7">
        <w:rPr>
          <w:rFonts w:ascii="Traditional Arabic" w:hAnsi="Traditional Arabic" w:cs="Traditional Arabic"/>
          <w:sz w:val="32"/>
          <w:szCs w:val="32"/>
          <w:rtl/>
        </w:rPr>
        <w:t>أما الدور الوسيط للتكنولوجيا الذكية، فيعني أن التطوير التنظيمي يُهيئ البيئة المناسبة لتبني الأنظمة الذكية، وهذه الأنظمة بدورها تنقل هذا الأثر إلى تحسين إدارة المخاطر، مما يزيد القوة التفسيرية للنموذج مقارنة بالعلاقة المباشرة فقط</w:t>
      </w:r>
      <w:r>
        <w:rPr>
          <w:rFonts w:ascii="Traditional Arabic" w:hAnsi="Traditional Arabic" w:cs="Traditional Arabic" w:hint="cs"/>
          <w:sz w:val="32"/>
          <w:szCs w:val="32"/>
          <w:rtl/>
        </w:rPr>
        <w:t xml:space="preserve"> </w:t>
      </w:r>
      <w:r w:rsidRPr="00B074B7">
        <w:rPr>
          <w:rFonts w:ascii="Traditional Arabic" w:hAnsi="Traditional Arabic" w:cs="Traditional Arabic"/>
          <w:sz w:val="32"/>
          <w:szCs w:val="32"/>
        </w:rPr>
        <w:t xml:space="preserve"> </w:t>
      </w:r>
      <w:r>
        <w:rPr>
          <w:rFonts w:ascii="Traditional Arabic" w:hAnsi="Traditional Arabic" w:cs="Traditional Arabic"/>
          <w:sz w:val="32"/>
          <w:szCs w:val="32"/>
        </w:rPr>
        <w:t>.</w:t>
      </w:r>
      <w:r w:rsidRPr="00B074B7">
        <w:rPr>
          <w:rFonts w:ascii="Traditional Arabic" w:hAnsi="Traditional Arabic" w:cs="Traditional Arabic"/>
          <w:sz w:val="32"/>
          <w:szCs w:val="32"/>
        </w:rPr>
        <w:t>(Baron &amp; Kenny, 1986; Kwateng et al., 2022)</w:t>
      </w:r>
      <w:r>
        <w:rPr>
          <w:rFonts w:ascii="Traditional Arabic" w:hAnsi="Traditional Arabic" w:cs="Traditional Arabic" w:hint="cs"/>
          <w:sz w:val="32"/>
          <w:szCs w:val="32"/>
          <w:rtl/>
        </w:rPr>
        <w:t xml:space="preserve"> </w:t>
      </w:r>
    </w:p>
    <w:p w14:paraId="4D99F3A7" w14:textId="58AF3772" w:rsidR="005C5B95" w:rsidRDefault="00B074B7" w:rsidP="00C12072">
      <w:pPr>
        <w:pStyle w:val="ab"/>
        <w:bidi/>
        <w:spacing w:before="0" w:beforeAutospacing="0" w:after="120" w:afterAutospacing="0"/>
        <w:jc w:val="both"/>
        <w:rPr>
          <w:rFonts w:ascii="Traditional Arabic" w:hAnsi="Traditional Arabic" w:cs="Traditional Arabic"/>
          <w:b/>
          <w:bCs/>
          <w:sz w:val="36"/>
          <w:szCs w:val="36"/>
        </w:rPr>
      </w:pPr>
      <w:r w:rsidRPr="00B074B7">
        <w:rPr>
          <w:rFonts w:ascii="Traditional Arabic" w:hAnsi="Traditional Arabic" w:cs="Traditional Arabic"/>
          <w:b/>
          <w:bCs/>
          <w:sz w:val="36"/>
          <w:szCs w:val="36"/>
          <w:rtl/>
        </w:rPr>
        <w:t>رابعاً: الدراسات السابقة</w:t>
      </w:r>
      <w:r>
        <w:rPr>
          <w:rFonts w:ascii="Traditional Arabic" w:hAnsi="Traditional Arabic" w:cs="Traditional Arabic" w:hint="cs"/>
          <w:b/>
          <w:bCs/>
          <w:sz w:val="36"/>
          <w:szCs w:val="36"/>
          <w:rtl/>
        </w:rPr>
        <w:t xml:space="preserve"> </w:t>
      </w:r>
      <w:r w:rsidR="00EA6969">
        <w:rPr>
          <w:rFonts w:ascii="Traditional Arabic" w:hAnsi="Traditional Arabic" w:cs="Traditional Arabic" w:hint="cs"/>
          <w:b/>
          <w:bCs/>
          <w:sz w:val="36"/>
          <w:szCs w:val="36"/>
          <w:rtl/>
        </w:rPr>
        <w:t>والفجوة البحثية</w:t>
      </w:r>
    </w:p>
    <w:p w14:paraId="5161C159" w14:textId="59D0A1D3" w:rsidR="00C12072" w:rsidRPr="00C12072" w:rsidRDefault="00AF30A4" w:rsidP="00C12072">
      <w:pPr>
        <w:bidi/>
        <w:spacing w:after="120" w:line="24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ي</w:t>
      </w:r>
      <w:r w:rsidR="00C12072" w:rsidRPr="00C12072">
        <w:rPr>
          <w:rFonts w:ascii="Traditional Arabic" w:eastAsia="Times New Roman" w:hAnsi="Traditional Arabic" w:cs="Traditional Arabic"/>
          <w:sz w:val="32"/>
          <w:szCs w:val="32"/>
          <w:rtl/>
        </w:rPr>
        <w:t>ستعرض الباحث فيما يلي الأدبيات ذات الصلة بمتغيرات الدراسة، وذلك وفقًا للتصنيف الآتي: (1) الدراسات التي تناولت العلاقة بين التطوير التنظيمي وإدارة المخاطر، (2) الدراسات التي تناولت العلاقة بين التطوير التنظيمي والتكنولوجيا الذكية، (3) الدراسات التي تناولت العلاقة بين التكنولوجيا الذكية وإدارة المخاطر، (4) الدراسات التي تناولت المتغيرات بصورة منفردة، وذلك مع إبراز أوجه الاتفاق والتعارض بين الدراسات، وتحديد حدودها المنهجية والسياقية، تمهيدًا لتحديد الفجوة البحثية التي تنطلق منها الدراسة الحالية. وقد روعي في تنظيم محاور الدراسات السابقة تحقيق الاتساق مع فرضيات الدراسة وبنيتها المفاهيمية</w:t>
      </w:r>
      <w:r w:rsidR="00C12072" w:rsidRPr="00C12072">
        <w:rPr>
          <w:rFonts w:ascii="Traditional Arabic" w:eastAsia="Times New Roman" w:hAnsi="Traditional Arabic" w:cs="Traditional Arabic"/>
          <w:sz w:val="32"/>
          <w:szCs w:val="32"/>
        </w:rPr>
        <w:t>.</w:t>
      </w:r>
    </w:p>
    <w:p w14:paraId="2E435317" w14:textId="2983CDC4" w:rsidR="00C12072" w:rsidRPr="00C12072" w:rsidRDefault="00C12072" w:rsidP="00C12072">
      <w:pPr>
        <w:bidi/>
        <w:spacing w:after="120" w:line="240" w:lineRule="auto"/>
        <w:jc w:val="both"/>
        <w:rPr>
          <w:rFonts w:ascii="Traditional Arabic" w:eastAsia="Times New Roman" w:hAnsi="Traditional Arabic" w:cs="Traditional Arabic"/>
          <w:sz w:val="32"/>
          <w:szCs w:val="32"/>
        </w:rPr>
      </w:pPr>
      <w:r w:rsidRPr="00C12072">
        <w:rPr>
          <w:rFonts w:ascii="Traditional Arabic" w:eastAsia="Times New Roman" w:hAnsi="Traditional Arabic" w:cs="Traditional Arabic"/>
          <w:sz w:val="32"/>
          <w:szCs w:val="32"/>
          <w:rtl/>
        </w:rPr>
        <w:t>كما اعتمدت الدراسة في مراجعة الأدبيات على منهجية منظمة تهدف إلى ضمان الشمولية والدقة في اختيار الدراسات ذات الصلة، حيث تم الرجوع إلى قواعد بيانات علمية محكمة، مثل</w:t>
      </w:r>
      <w:r>
        <w:rPr>
          <w:rFonts w:ascii="Traditional Arabic" w:eastAsia="Times New Roman" w:hAnsi="Traditional Arabic" w:cs="Traditional Arabic" w:hint="cs"/>
          <w:sz w:val="32"/>
          <w:szCs w:val="32"/>
          <w:rtl/>
        </w:rPr>
        <w:t xml:space="preserve">: </w:t>
      </w:r>
      <w:r w:rsidRPr="00C12072">
        <w:rPr>
          <w:rFonts w:ascii="Traditional Arabic" w:eastAsia="Times New Roman" w:hAnsi="Traditional Arabic" w:cs="Traditional Arabic"/>
          <w:sz w:val="32"/>
          <w:szCs w:val="32"/>
        </w:rPr>
        <w:t>Scopus</w:t>
      </w:r>
      <w:r w:rsidRPr="00C12072">
        <w:rPr>
          <w:rFonts w:ascii="Traditional Arabic" w:eastAsia="Times New Roman" w:hAnsi="Traditional Arabic" w:cs="Traditional Arabic"/>
          <w:sz w:val="32"/>
          <w:szCs w:val="32"/>
          <w:rtl/>
        </w:rPr>
        <w:t>، و</w:t>
      </w:r>
      <w:r w:rsidRPr="00C12072">
        <w:rPr>
          <w:rFonts w:ascii="Traditional Arabic" w:eastAsia="Times New Roman" w:hAnsi="Traditional Arabic" w:cs="Traditional Arabic"/>
          <w:sz w:val="32"/>
          <w:szCs w:val="32"/>
        </w:rPr>
        <w:t>Web of Science</w:t>
      </w:r>
      <w:r w:rsidRPr="00C12072">
        <w:rPr>
          <w:rFonts w:ascii="Traditional Arabic" w:eastAsia="Times New Roman" w:hAnsi="Traditional Arabic" w:cs="Traditional Arabic"/>
          <w:sz w:val="32"/>
          <w:szCs w:val="32"/>
          <w:rtl/>
        </w:rPr>
        <w:t>، و</w:t>
      </w:r>
      <w:r w:rsidRPr="00C12072">
        <w:rPr>
          <w:rFonts w:ascii="Traditional Arabic" w:eastAsia="Times New Roman" w:hAnsi="Traditional Arabic" w:cs="Traditional Arabic"/>
          <w:sz w:val="32"/>
          <w:szCs w:val="32"/>
        </w:rPr>
        <w:t>Google Scholar</w:t>
      </w:r>
      <w:r w:rsidRPr="00C12072">
        <w:rPr>
          <w:rFonts w:ascii="Traditional Arabic" w:eastAsia="Times New Roman" w:hAnsi="Traditional Arabic" w:cs="Traditional Arabic"/>
          <w:sz w:val="32"/>
          <w:szCs w:val="32"/>
          <w:rtl/>
        </w:rPr>
        <w:t xml:space="preserve">، بالإضافة إلى قواعد البيانات العربية مثل دار المنظومة. وتم استخدام </w:t>
      </w:r>
      <w:r w:rsidRPr="00C12072">
        <w:rPr>
          <w:rFonts w:ascii="Traditional Arabic" w:eastAsia="Times New Roman" w:hAnsi="Traditional Arabic" w:cs="Traditional Arabic"/>
          <w:sz w:val="32"/>
          <w:szCs w:val="32"/>
          <w:rtl/>
        </w:rPr>
        <w:lastRenderedPageBreak/>
        <w:t xml:space="preserve">مجموعة من الكلمات المفتاحية المرتبطة بمتغيرات الدراسة، </w:t>
      </w:r>
      <w:r>
        <w:rPr>
          <w:rFonts w:ascii="Traditional Arabic" w:eastAsia="Times New Roman" w:hAnsi="Traditional Arabic" w:cs="Traditional Arabic" w:hint="cs"/>
          <w:sz w:val="32"/>
          <w:szCs w:val="32"/>
          <w:rtl/>
        </w:rPr>
        <w:t>و</w:t>
      </w:r>
      <w:r w:rsidRPr="00C12072">
        <w:rPr>
          <w:rFonts w:ascii="Traditional Arabic" w:eastAsia="Times New Roman" w:hAnsi="Traditional Arabic" w:cs="Traditional Arabic"/>
          <w:sz w:val="32"/>
          <w:szCs w:val="32"/>
          <w:rtl/>
        </w:rPr>
        <w:t>من أبرزها: "التطوير التنظيمي"، "التكنولوجيا الذكية"، "إدارة المخاطر"، "المستشفيات"، و"الذكاء الاصطناعي في الرعاية الصحية"، وذلك باللغتين العربية والإنجليزية</w:t>
      </w:r>
      <w:r w:rsidRPr="00C12072">
        <w:rPr>
          <w:rFonts w:ascii="Traditional Arabic" w:eastAsia="Times New Roman" w:hAnsi="Traditional Arabic" w:cs="Traditional Arabic"/>
          <w:sz w:val="32"/>
          <w:szCs w:val="32"/>
        </w:rPr>
        <w:t>.</w:t>
      </w:r>
    </w:p>
    <w:p w14:paraId="7213AFF3" w14:textId="1396F0E0" w:rsidR="00C12072" w:rsidRPr="00C12072" w:rsidRDefault="00C12072" w:rsidP="00C12072">
      <w:pPr>
        <w:bidi/>
        <w:spacing w:after="120" w:line="240" w:lineRule="auto"/>
        <w:jc w:val="both"/>
        <w:rPr>
          <w:rFonts w:ascii="Traditional Arabic" w:eastAsia="Times New Roman" w:hAnsi="Traditional Arabic" w:cs="Traditional Arabic"/>
          <w:sz w:val="32"/>
          <w:szCs w:val="32"/>
          <w:rtl/>
        </w:rPr>
      </w:pPr>
      <w:r w:rsidRPr="00C12072">
        <w:rPr>
          <w:rFonts w:ascii="Traditional Arabic" w:eastAsia="Times New Roman" w:hAnsi="Traditional Arabic" w:cs="Traditional Arabic"/>
          <w:sz w:val="32"/>
          <w:szCs w:val="32"/>
          <w:rtl/>
        </w:rPr>
        <w:t>كما تم تحديد فترة زمنية للدراسات الحديثة الممتدة من (2015–2025)، مع الاستعانة ببعض الدراسات التأسيسية عند الحاجة، بما يضمن تحقيق التوازن بين الحداثة والأصالة العلمية. وتم اعتماد معايير شمول تضمنت: الصلة المباشرة بمتغيرات الدراسة، والارتباط بالسياق الصحي، والقيمة التفسيرية أو المنهجية للدراسات. وفي المقابل، تم استبعاد الدراسات التي لا ترتبط ارتباطًا مباشرًا بموضوع الدراسة، أو التي تفتقر إلى الموثوقية العلمية، أو لا تتمتع بالحداثة النسبية المطلوبة</w:t>
      </w:r>
      <w:r w:rsidRPr="00C12072">
        <w:rPr>
          <w:rFonts w:ascii="Traditional Arabic" w:eastAsia="Times New Roman" w:hAnsi="Traditional Arabic" w:cs="Traditional Arabic"/>
          <w:sz w:val="32"/>
          <w:szCs w:val="32"/>
        </w:rPr>
        <w:t>.</w:t>
      </w:r>
    </w:p>
    <w:p w14:paraId="29325985" w14:textId="77777777" w:rsidR="00B34478" w:rsidRPr="005C5B95" w:rsidRDefault="00B34478" w:rsidP="00B34478">
      <w:pPr>
        <w:pStyle w:val="ab"/>
        <w:numPr>
          <w:ilvl w:val="0"/>
          <w:numId w:val="108"/>
        </w:numPr>
        <w:bidi/>
        <w:spacing w:before="0" w:beforeAutospacing="0" w:after="120" w:afterAutospacing="0"/>
        <w:jc w:val="both"/>
        <w:rPr>
          <w:rFonts w:ascii="Traditional Arabic" w:hAnsi="Traditional Arabic" w:cs="Traditional Arabic"/>
          <w:b/>
          <w:bCs/>
          <w:sz w:val="32"/>
          <w:szCs w:val="32"/>
        </w:rPr>
      </w:pPr>
      <w:r w:rsidRPr="005C5B95">
        <w:rPr>
          <w:rFonts w:ascii="Traditional Arabic" w:hAnsi="Traditional Arabic" w:cs="Traditional Arabic"/>
          <w:b/>
          <w:bCs/>
          <w:sz w:val="32"/>
          <w:szCs w:val="32"/>
          <w:rtl/>
        </w:rPr>
        <w:t>الدراسات التي تناولت العلاقة بين التطوير التنظيمي وإدارة المخاطر</w:t>
      </w:r>
      <w:r>
        <w:rPr>
          <w:rFonts w:ascii="Traditional Arabic" w:hAnsi="Traditional Arabic" w:cs="Traditional Arabic" w:hint="cs"/>
          <w:b/>
          <w:bCs/>
          <w:sz w:val="32"/>
          <w:szCs w:val="32"/>
          <w:rtl/>
        </w:rPr>
        <w:t>:</w:t>
      </w:r>
    </w:p>
    <w:p w14:paraId="0BA1087B" w14:textId="77777777" w:rsidR="00B34478" w:rsidRPr="005C5B95" w:rsidRDefault="00B34478" w:rsidP="00B34478">
      <w:pPr>
        <w:pStyle w:val="ab"/>
        <w:bidi/>
        <w:spacing w:before="0" w:beforeAutospacing="0" w:after="120" w:afterAutospacing="0"/>
        <w:jc w:val="both"/>
        <w:rPr>
          <w:rFonts w:ascii="Traditional Arabic" w:hAnsi="Traditional Arabic" w:cs="Traditional Arabic" w:hint="cs"/>
          <w:sz w:val="32"/>
          <w:szCs w:val="32"/>
          <w:rtl/>
        </w:rPr>
      </w:pPr>
      <w:r w:rsidRPr="005C5B95">
        <w:rPr>
          <w:rFonts w:ascii="Traditional Arabic" w:hAnsi="Traditional Arabic" w:cs="Traditional Arabic"/>
          <w:sz w:val="32"/>
          <w:szCs w:val="32"/>
          <w:rtl/>
        </w:rPr>
        <w:t>تناولت بعض الدراسات العلاقة المباشرة بين التطوير التنظيمي وإدارة المخاطر، وإن كانت أقل من المجموعتين السابقتين</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فدراسة السبيعي (2019) هدفت إلى قياس أثر ممارسات إدارة المخاطر الاستراتيجية على نجاح التطوير التنظيمي في وزارة الداخلية الكويتية، وتوصلت إلى وجود تأثير ذي دلالة إحصائية لممارسات إدارة المخاطر (مخاطر الوثائق والمعلومات، مخاطر السمعة التنظيمية، مخاطر الثقافة التنظيمية، مخاطر الموارد البشرية) في نجاح التطوير التنظيمي</w:t>
      </w:r>
      <w:r w:rsidRPr="005C5B95">
        <w:rPr>
          <w:rFonts w:ascii="Traditional Arabic" w:hAnsi="Traditional Arabic" w:cs="Traditional Arabic"/>
          <w:sz w:val="32"/>
          <w:szCs w:val="32"/>
        </w:rPr>
        <w:t>.</w:t>
      </w:r>
    </w:p>
    <w:p w14:paraId="3BCEFCE6" w14:textId="77777777" w:rsidR="00B34478" w:rsidRPr="005C5B95" w:rsidRDefault="00B34478" w:rsidP="00B34478">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كما أشارت دراسة</w:t>
      </w:r>
      <w:r w:rsidRPr="005C5B95">
        <w:rPr>
          <w:rFonts w:ascii="Traditional Arabic" w:hAnsi="Traditional Arabic" w:cs="Traditional Arabic"/>
          <w:sz w:val="32"/>
          <w:szCs w:val="32"/>
        </w:rPr>
        <w:t xml:space="preserve"> Rosita et al. (2023) </w:t>
      </w:r>
      <w:r w:rsidRPr="005C5B95">
        <w:rPr>
          <w:rFonts w:ascii="Traditional Arabic" w:hAnsi="Traditional Arabic" w:cs="Traditional Arabic"/>
          <w:sz w:val="32"/>
          <w:szCs w:val="32"/>
          <w:rtl/>
        </w:rPr>
        <w:t>إلى أن اتخاذ القرار يتوسط جزئيًا العلاقة بين قوة القائد والتطوير التنظيمي، وأن التأثيرات المباشرة لسلطة القائد وصنع القرار على التطوير التنظيمي أكثر أهمية. وفي سياق مشابه، توصلت دراسة صحراوي ومسعودي (2023) إلى وجود علاقة ارتباط معنوية متوسطة بين القيادة التحويلية والتطوير التنظيمي</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كما أظهرت دراسة</w:t>
      </w:r>
      <w:r w:rsidRPr="005C5B95">
        <w:rPr>
          <w:rFonts w:ascii="Traditional Arabic" w:hAnsi="Traditional Arabic" w:cs="Traditional Arabic"/>
          <w:sz w:val="32"/>
          <w:szCs w:val="32"/>
        </w:rPr>
        <w:t xml:space="preserve"> Le &amp; Phong (2021) </w:t>
      </w:r>
      <w:r w:rsidRPr="005C5B95">
        <w:rPr>
          <w:rFonts w:ascii="Traditional Arabic" w:hAnsi="Traditional Arabic" w:cs="Traditional Arabic"/>
          <w:sz w:val="32"/>
          <w:szCs w:val="32"/>
          <w:rtl/>
        </w:rPr>
        <w:t>أن القدرة على التغيير تتوسط بشكل كبير تأثير قائد الفريق على الأداء التشغيلي والمالي، مع وجود تأثير إيجابي للقيادة التحويلية على التطوير التنظيمي وتحسين الأداء</w:t>
      </w:r>
      <w:r w:rsidRPr="005C5B95">
        <w:rPr>
          <w:rFonts w:ascii="Traditional Arabic" w:hAnsi="Traditional Arabic" w:cs="Traditional Arabic"/>
          <w:sz w:val="32"/>
          <w:szCs w:val="32"/>
        </w:rPr>
        <w:t>.</w:t>
      </w:r>
    </w:p>
    <w:p w14:paraId="1AAE3BA1" w14:textId="43CF42CF" w:rsidR="00B34478" w:rsidRPr="005C5B95" w:rsidRDefault="00B34478" w:rsidP="00B34478">
      <w:pPr>
        <w:pStyle w:val="ab"/>
        <w:bidi/>
        <w:spacing w:before="0" w:beforeAutospacing="0" w:after="120" w:afterAutospacing="0"/>
        <w:jc w:val="both"/>
        <w:rPr>
          <w:rFonts w:ascii="Traditional Arabic" w:hAnsi="Traditional Arabic" w:cs="Traditional Arabic"/>
          <w:sz w:val="32"/>
          <w:szCs w:val="32"/>
        </w:rPr>
      </w:pPr>
      <w:r>
        <w:rPr>
          <w:rFonts w:ascii="Traditional Arabic" w:hAnsi="Traditional Arabic" w:cs="Traditional Arabic" w:hint="cs"/>
          <w:b/>
          <w:bCs/>
          <w:sz w:val="32"/>
          <w:szCs w:val="32"/>
          <w:rtl/>
        </w:rPr>
        <w:t>و</w:t>
      </w:r>
      <w:r w:rsidRPr="005C5B95">
        <w:rPr>
          <w:rFonts w:ascii="Traditional Arabic" w:hAnsi="Traditional Arabic" w:cs="Traditional Arabic"/>
          <w:sz w:val="32"/>
          <w:szCs w:val="32"/>
          <w:rtl/>
        </w:rPr>
        <w:t>تتجه الدراسات في هذا المحور إلى اختبار أثر إدارة المخاطر أو القيادة أو القدرة على التغيير في التطوير التنظيمي، مما يعني أن معظمها نظر إلى إدارة المخاطر كمتغير مستقل أو وسيط، وليس كمتغير تابع كما هو الحال في الدراسة الحالية</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وهذا يشكل فارقًا جوهريًا، حيث أن الدراسة الحالية تختبر أثر التطوير التنظيمي في إدارة المخاطر وليس العكس</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 xml:space="preserve">كما أن هذه الدراسات </w:t>
      </w:r>
      <w:r>
        <w:rPr>
          <w:rFonts w:ascii="Traditional Arabic" w:hAnsi="Traditional Arabic" w:cs="Traditional Arabic" w:hint="cs"/>
          <w:sz w:val="32"/>
          <w:szCs w:val="32"/>
          <w:rtl/>
        </w:rPr>
        <w:t>أجريت في سياقات مختلفة</w:t>
      </w:r>
      <w:r w:rsidRPr="005C5B95">
        <w:rPr>
          <w:rFonts w:ascii="Traditional Arabic" w:hAnsi="Traditional Arabic" w:cs="Traditional Arabic"/>
          <w:sz w:val="32"/>
          <w:szCs w:val="32"/>
          <w:rtl/>
        </w:rPr>
        <w:t xml:space="preserve"> تتنوع بين الوزارات (الكويت)، والشركات (فيتنام)، والمؤسسات الرياضية (بغداد)، والصناعات المساهمة (الأردن)، مما يجعل تطبيقها على القطاع الصحي السعودي محدودًا</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إضافة إلى ذلك، لم تختبر أي من هذه الدراسات الدور الوسيط للتكنولوجيا الذكية في هذه العلاقة</w:t>
      </w:r>
      <w:r w:rsidRPr="005C5B95">
        <w:rPr>
          <w:rFonts w:ascii="Traditional Arabic" w:hAnsi="Traditional Arabic" w:cs="Traditional Arabic"/>
          <w:sz w:val="32"/>
          <w:szCs w:val="32"/>
        </w:rPr>
        <w:t>.</w:t>
      </w:r>
    </w:p>
    <w:p w14:paraId="3FC22BCF" w14:textId="268D9860" w:rsidR="005C5B95" w:rsidRPr="005C5B95" w:rsidRDefault="005C5B95" w:rsidP="005C5B95">
      <w:pPr>
        <w:pStyle w:val="ab"/>
        <w:numPr>
          <w:ilvl w:val="0"/>
          <w:numId w:val="108"/>
        </w:numPr>
        <w:bidi/>
        <w:spacing w:before="0" w:beforeAutospacing="0" w:after="120" w:afterAutospacing="0"/>
        <w:jc w:val="both"/>
        <w:rPr>
          <w:rFonts w:ascii="Traditional Arabic" w:hAnsi="Traditional Arabic" w:cs="Traditional Arabic"/>
          <w:b/>
          <w:bCs/>
          <w:sz w:val="32"/>
          <w:szCs w:val="32"/>
        </w:rPr>
      </w:pPr>
      <w:bookmarkStart w:id="4" w:name="_Hlk225849291"/>
      <w:r w:rsidRPr="005C5B95">
        <w:rPr>
          <w:rFonts w:ascii="Traditional Arabic" w:hAnsi="Traditional Arabic" w:cs="Traditional Arabic"/>
          <w:b/>
          <w:bCs/>
          <w:sz w:val="32"/>
          <w:szCs w:val="32"/>
          <w:rtl/>
        </w:rPr>
        <w:t>الدراسات التي تناولت العلاقة بين التطوير التنظيمي والتكنولوجيا الذكية</w:t>
      </w:r>
      <w:r>
        <w:rPr>
          <w:rFonts w:ascii="Traditional Arabic" w:hAnsi="Traditional Arabic" w:cs="Traditional Arabic" w:hint="cs"/>
          <w:b/>
          <w:bCs/>
          <w:sz w:val="32"/>
          <w:szCs w:val="32"/>
          <w:rtl/>
        </w:rPr>
        <w:t>:</w:t>
      </w:r>
    </w:p>
    <w:bookmarkEnd w:id="4"/>
    <w:p w14:paraId="17177679" w14:textId="23BAFEBE" w:rsidR="005C5B95" w:rsidRPr="005C5B95" w:rsidRDefault="005C5B95" w:rsidP="00292F40">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lastRenderedPageBreak/>
        <w:t>تشير الأدبيات إلى وجود اهتمام متزايد بدراسة العلاقة بين التطوير التنظيمي والتكنولوجيا الحديثة، حيث أكدت دراسة جنيدي (2024) أن ضعف تطبيقات الذكاء الاصطناعي يؤدي إلى قصور في التطوير التنظيمي في شركة مصر للتأمين، وذلك نتيجة لضعف الإمكانيات البشرية والمادية والتقنيات الفنية</w:t>
      </w:r>
      <w:r>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كما توصلت دراسة</w:t>
      </w:r>
      <w:r w:rsidRPr="005C5B95">
        <w:rPr>
          <w:rFonts w:ascii="Traditional Arabic" w:hAnsi="Traditional Arabic" w:cs="Traditional Arabic"/>
          <w:sz w:val="32"/>
          <w:szCs w:val="32"/>
        </w:rPr>
        <w:t xml:space="preserve"> Mazur &amp; Partacz (2023) </w:t>
      </w:r>
      <w:r w:rsidR="00292F40">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إلى وجود تأثير إيجابي قوي للتطورات التكنولوجية الذكية في إحداث التطوير التنظيمي وتحقيق الميزة التنافسية وتحسين الكفاءة</w:t>
      </w:r>
      <w:r w:rsidRPr="005C5B95">
        <w:rPr>
          <w:rFonts w:ascii="Traditional Arabic" w:hAnsi="Traditional Arabic" w:cs="Traditional Arabic"/>
          <w:sz w:val="32"/>
          <w:szCs w:val="32"/>
        </w:rPr>
        <w:t>.</w:t>
      </w:r>
    </w:p>
    <w:p w14:paraId="7A28C45D" w14:textId="77777777"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ومن جهة أخرى، أظهرت دراسة</w:t>
      </w:r>
      <w:r w:rsidRPr="005C5B95">
        <w:rPr>
          <w:rFonts w:ascii="Traditional Arabic" w:hAnsi="Traditional Arabic" w:cs="Traditional Arabic"/>
          <w:sz w:val="32"/>
          <w:szCs w:val="32"/>
        </w:rPr>
        <w:t xml:space="preserve"> Zeebaree et al. (2020) </w:t>
      </w:r>
      <w:r w:rsidRPr="005C5B95">
        <w:rPr>
          <w:rFonts w:ascii="Traditional Arabic" w:hAnsi="Traditional Arabic" w:cs="Traditional Arabic"/>
          <w:sz w:val="32"/>
          <w:szCs w:val="32"/>
          <w:rtl/>
        </w:rPr>
        <w:t>أن التطبيقات الحديثة (مثل الذكاء الاصطناعي، وإنترنت الأشياء، وذكاء الأعمال) تعزز القدرات الابتكارية وتؤثر إيجابًا في أساليب الكفاءة وعملية صنع القرار داخل المنظمات. كما توصلت دراسة</w:t>
      </w:r>
      <w:r w:rsidRPr="005C5B95">
        <w:rPr>
          <w:rFonts w:ascii="Traditional Arabic" w:hAnsi="Traditional Arabic" w:cs="Traditional Arabic"/>
          <w:sz w:val="32"/>
          <w:szCs w:val="32"/>
        </w:rPr>
        <w:t xml:space="preserve"> Husna (2017) </w:t>
      </w:r>
      <w:r w:rsidRPr="005C5B95">
        <w:rPr>
          <w:rFonts w:ascii="Traditional Arabic" w:hAnsi="Traditional Arabic" w:cs="Traditional Arabic"/>
          <w:sz w:val="32"/>
          <w:szCs w:val="32"/>
          <w:rtl/>
        </w:rPr>
        <w:t>إلى وجود علاقة إيجابية قوية ذات دلالة إحصائية بين الاستخدام الصحيح للتقنيات الحديثة المكتبية والتطوير التنظيمي والتغيير الإيجابي في الأداء الإداري</w:t>
      </w:r>
      <w:r w:rsidRPr="005C5B95">
        <w:rPr>
          <w:rFonts w:ascii="Traditional Arabic" w:hAnsi="Traditional Arabic" w:cs="Traditional Arabic"/>
          <w:sz w:val="32"/>
          <w:szCs w:val="32"/>
        </w:rPr>
        <w:t>.</w:t>
      </w:r>
    </w:p>
    <w:p w14:paraId="09021DC6" w14:textId="74DA3831" w:rsidR="005C5B95" w:rsidRDefault="005C5B95" w:rsidP="005C5B95">
      <w:pPr>
        <w:pStyle w:val="ab"/>
        <w:bidi/>
        <w:spacing w:before="0" w:beforeAutospacing="0" w:after="120" w:afterAutospacing="0"/>
        <w:jc w:val="both"/>
        <w:rPr>
          <w:rFonts w:ascii="Traditional Arabic" w:hAnsi="Traditional Arabic" w:cs="Traditional Arabic"/>
          <w:sz w:val="32"/>
          <w:szCs w:val="32"/>
          <w:rtl/>
        </w:rPr>
      </w:pPr>
      <w:r w:rsidRPr="005C5B95">
        <w:rPr>
          <w:rFonts w:ascii="Traditional Arabic" w:hAnsi="Traditional Arabic" w:cs="Traditional Arabic" w:hint="cs"/>
          <w:sz w:val="32"/>
          <w:szCs w:val="32"/>
          <w:rtl/>
        </w:rPr>
        <w:t>و</w:t>
      </w:r>
      <w:r w:rsidRPr="005C5B95">
        <w:rPr>
          <w:rFonts w:ascii="Traditional Arabic" w:hAnsi="Traditional Arabic" w:cs="Traditional Arabic"/>
          <w:sz w:val="32"/>
          <w:szCs w:val="32"/>
          <w:rtl/>
        </w:rPr>
        <w:t xml:space="preserve">تتفق هذه الدراسات على وجود علاقة إيجابية بين التكنولوجيا الحديثة </w:t>
      </w:r>
      <w:r w:rsidR="00292F40">
        <w:rPr>
          <w:rFonts w:ascii="Traditional Arabic" w:hAnsi="Traditional Arabic" w:cs="Traditional Arabic" w:hint="cs"/>
          <w:sz w:val="32"/>
          <w:szCs w:val="32"/>
          <w:rtl/>
        </w:rPr>
        <w:t>-</w:t>
      </w:r>
      <w:r w:rsidRPr="005C5B95">
        <w:rPr>
          <w:rFonts w:ascii="Traditional Arabic" w:hAnsi="Traditional Arabic" w:cs="Traditional Arabic"/>
          <w:sz w:val="32"/>
          <w:szCs w:val="32"/>
          <w:rtl/>
        </w:rPr>
        <w:t>بما فيها الذكية</w:t>
      </w:r>
      <w:r w:rsidR="00292F40">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والتطوير التنظيمي، إلا أنها تختلف في اتجاه العلاقة؛ فبعضها نظر إلى التكنولوجيا كمؤثر في التطوير التنظيمي</w:t>
      </w:r>
      <w:r w:rsidRPr="005C5B95">
        <w:rPr>
          <w:rFonts w:ascii="Traditional Arabic" w:hAnsi="Traditional Arabic" w:cs="Traditional Arabic"/>
          <w:sz w:val="32"/>
          <w:szCs w:val="32"/>
        </w:rPr>
        <w:t xml:space="preserve"> (Mazur &amp; Partacz, 2023; Zeebaree et al., 2020; Husna, 2017)</w:t>
      </w:r>
      <w:r w:rsidRPr="005C5B95">
        <w:rPr>
          <w:rFonts w:ascii="Traditional Arabic" w:hAnsi="Traditional Arabic" w:cs="Traditional Arabic"/>
          <w:sz w:val="32"/>
          <w:szCs w:val="32"/>
          <w:rtl/>
        </w:rPr>
        <w:t xml:space="preserve">، بينما </w:t>
      </w:r>
      <w:r w:rsidR="006D63D8">
        <w:rPr>
          <w:rFonts w:ascii="Traditional Arabic" w:hAnsi="Traditional Arabic" w:cs="Traditional Arabic" w:hint="cs"/>
          <w:sz w:val="32"/>
          <w:szCs w:val="32"/>
          <w:rtl/>
        </w:rPr>
        <w:t>ركزت</w:t>
      </w:r>
      <w:r w:rsidRPr="005C5B95">
        <w:rPr>
          <w:rFonts w:ascii="Traditional Arabic" w:hAnsi="Traditional Arabic" w:cs="Traditional Arabic"/>
          <w:sz w:val="32"/>
          <w:szCs w:val="32"/>
          <w:rtl/>
        </w:rPr>
        <w:t xml:space="preserve"> دراسة جنيدي (2024) إلى أثر الذكاء الاصطناعي في التطوير التنظيمي</w:t>
      </w:r>
      <w:r w:rsidR="006D63D8">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كما تتباين هذه الدراسات في سياقاتها التطبيقية (شركة تأمين، شركات عامة، مؤسسات تعليمية، إدارة أعمال)</w:t>
      </w:r>
      <w:r w:rsidR="006D63D8">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وفي منهجياتها (بعضها وصفي تحليلي، وبعضها استقرائي)</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 xml:space="preserve"> ومع ذلك، فإن أبرز حدود هذه الدراسات هو أنها لم تتناول الدور الوسيط لأي من المتغيرات، كما أنها لم تطبق في القطاع الصحي السعودي، مما يشير إلى وجود فجوة بحثية يمكن للدراسة الحالية معالجتها</w:t>
      </w:r>
      <w:r w:rsidRPr="005C5B95">
        <w:rPr>
          <w:rFonts w:ascii="Traditional Arabic" w:hAnsi="Traditional Arabic" w:cs="Traditional Arabic"/>
          <w:sz w:val="32"/>
          <w:szCs w:val="32"/>
        </w:rPr>
        <w:t>.</w:t>
      </w:r>
    </w:p>
    <w:p w14:paraId="313CDD51" w14:textId="328CC9B8" w:rsidR="005C5B95" w:rsidRPr="005C5B95" w:rsidRDefault="005C5B95" w:rsidP="007958E2">
      <w:pPr>
        <w:pStyle w:val="ab"/>
        <w:numPr>
          <w:ilvl w:val="0"/>
          <w:numId w:val="108"/>
        </w:numPr>
        <w:bidi/>
        <w:spacing w:before="0" w:beforeAutospacing="0" w:after="120" w:afterAutospacing="0"/>
        <w:jc w:val="both"/>
        <w:rPr>
          <w:rFonts w:ascii="Traditional Arabic" w:hAnsi="Traditional Arabic" w:cs="Traditional Arabic"/>
          <w:b/>
          <w:bCs/>
          <w:sz w:val="32"/>
          <w:szCs w:val="32"/>
        </w:rPr>
      </w:pPr>
      <w:bookmarkStart w:id="5" w:name="_Hlk225849331"/>
      <w:r w:rsidRPr="005C5B95">
        <w:rPr>
          <w:rFonts w:ascii="Traditional Arabic" w:hAnsi="Traditional Arabic" w:cs="Traditional Arabic"/>
          <w:b/>
          <w:bCs/>
          <w:sz w:val="32"/>
          <w:szCs w:val="32"/>
          <w:rtl/>
        </w:rPr>
        <w:t>الدراسات التي تناولت العلاقة بين التكنولوجيا الذكية وإدارة المخاطر</w:t>
      </w:r>
      <w:r w:rsidR="007958E2">
        <w:rPr>
          <w:rFonts w:ascii="Traditional Arabic" w:hAnsi="Traditional Arabic" w:cs="Traditional Arabic" w:hint="cs"/>
          <w:b/>
          <w:bCs/>
          <w:sz w:val="32"/>
          <w:szCs w:val="32"/>
          <w:rtl/>
        </w:rPr>
        <w:t>:</w:t>
      </w:r>
    </w:p>
    <w:bookmarkEnd w:id="5"/>
    <w:p w14:paraId="07034299" w14:textId="1D767A60"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ركزت مجموعة من الدراسات على اختبار تأثير التكنولوجيا في إدارة المخاطر، خاصة في القطاعين المالي والصحي</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فدراسة</w:t>
      </w:r>
      <w:r w:rsidRPr="005C5B95">
        <w:rPr>
          <w:rFonts w:ascii="Traditional Arabic" w:hAnsi="Traditional Arabic" w:cs="Traditional Arabic"/>
          <w:sz w:val="32"/>
          <w:szCs w:val="32"/>
        </w:rPr>
        <w:t xml:space="preserve"> Kwateng et al. (2022) </w:t>
      </w:r>
      <w:r w:rsidRPr="005C5B95">
        <w:rPr>
          <w:rFonts w:ascii="Traditional Arabic" w:hAnsi="Traditional Arabic" w:cs="Traditional Arabic"/>
          <w:sz w:val="32"/>
          <w:szCs w:val="32"/>
          <w:rtl/>
        </w:rPr>
        <w:t>أظهرت أن إدارة مخاطر المؤسسات لها تأثير كبير وإيجابي على أمن تكنولوجيا المعلومات داخل المؤسسات المالية، وأن المخاطر التي تُدار بشكل جيد تساعد في القضاء على التكنولوجيا غير الفعالة</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كما توصلت دراسة وزانب وحاج (2021) إلى وجود علاقة ارتباطية بين استخدام تكنولوجيا المعلومات والاتصال في البنوك التجارية والمخاطر التشغيلية، مع وجود أثر إيجابي لهذه التكنولوجيا على المخاطر التشغيلية</w:t>
      </w:r>
      <w:r w:rsidRPr="005C5B95">
        <w:rPr>
          <w:rFonts w:ascii="Traditional Arabic" w:hAnsi="Traditional Arabic" w:cs="Traditional Arabic"/>
          <w:sz w:val="32"/>
          <w:szCs w:val="32"/>
        </w:rPr>
        <w:t>.</w:t>
      </w:r>
    </w:p>
    <w:p w14:paraId="231E96B7" w14:textId="07A7471C"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وفي السياق الصحي، أظهرت دراسة</w:t>
      </w:r>
      <w:r w:rsidRPr="005C5B95">
        <w:rPr>
          <w:rFonts w:ascii="Traditional Arabic" w:hAnsi="Traditional Arabic" w:cs="Traditional Arabic"/>
          <w:sz w:val="32"/>
          <w:szCs w:val="32"/>
        </w:rPr>
        <w:t xml:space="preserve"> Lumb et al. (2023) </w:t>
      </w:r>
      <w:r w:rsidRPr="005C5B95">
        <w:rPr>
          <w:rFonts w:ascii="Traditional Arabic" w:hAnsi="Traditional Arabic" w:cs="Traditional Arabic"/>
          <w:sz w:val="32"/>
          <w:szCs w:val="32"/>
          <w:rtl/>
        </w:rPr>
        <w:t>وجود تأثير إيجابي ذي دلالة إحصائية لاستخدام التكنولوجيا الذكية في دعم رعاية جيدة لمرضى السكري داخل المستشفى، وإحداث تحسينات في سلامة وفعالية الرعاية</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كما توصلت دراسة</w:t>
      </w:r>
      <w:r w:rsidRPr="005C5B95">
        <w:rPr>
          <w:rFonts w:ascii="Traditional Arabic" w:hAnsi="Traditional Arabic" w:cs="Traditional Arabic"/>
          <w:sz w:val="32"/>
          <w:szCs w:val="32"/>
        </w:rPr>
        <w:t xml:space="preserve"> Sabra et al. (2023) </w:t>
      </w:r>
      <w:r w:rsidRPr="005C5B95">
        <w:rPr>
          <w:rFonts w:ascii="Traditional Arabic" w:hAnsi="Traditional Arabic" w:cs="Traditional Arabic"/>
          <w:sz w:val="32"/>
          <w:szCs w:val="32"/>
          <w:rtl/>
        </w:rPr>
        <w:t xml:space="preserve">إلى أن 92% من المشاركين لديهم تصور معتدل تجاه استخدام تطبيقات الذكاء الاصطناعي في الرعاية الصحية، وأن 64% منهم لهم موقف إيجابي </w:t>
      </w:r>
      <w:r w:rsidRPr="005C5B95">
        <w:rPr>
          <w:rFonts w:ascii="Traditional Arabic" w:hAnsi="Traditional Arabic" w:cs="Traditional Arabic"/>
          <w:sz w:val="32"/>
          <w:szCs w:val="32"/>
          <w:rtl/>
        </w:rPr>
        <w:lastRenderedPageBreak/>
        <w:t>تجاه استخدامها</w:t>
      </w:r>
      <w:r w:rsidR="006D63D8">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كذلك أشارت دراسة</w:t>
      </w:r>
      <w:r w:rsidRPr="005C5B95">
        <w:rPr>
          <w:rFonts w:ascii="Traditional Arabic" w:hAnsi="Traditional Arabic" w:cs="Traditional Arabic"/>
          <w:sz w:val="32"/>
          <w:szCs w:val="32"/>
        </w:rPr>
        <w:t xml:space="preserve"> Lee &amp; Yoon (2021) </w:t>
      </w:r>
      <w:r w:rsidRPr="005C5B95">
        <w:rPr>
          <w:rFonts w:ascii="Traditional Arabic" w:hAnsi="Traditional Arabic" w:cs="Traditional Arabic"/>
          <w:sz w:val="32"/>
          <w:szCs w:val="32"/>
          <w:rtl/>
        </w:rPr>
        <w:t>إلى وجود علاقة إيجابية بين استخدام التكنولوجيا الذكية وزيادة قدرة الطاقم الطبي على التشخيص والعلاج، وتحسين كفاءة الأنشطة التمريضية والإدارية</w:t>
      </w:r>
      <w:r>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كما أوضحت دراسة</w:t>
      </w:r>
      <w:r w:rsidRPr="005C5B95">
        <w:rPr>
          <w:rFonts w:ascii="Traditional Arabic" w:hAnsi="Traditional Arabic" w:cs="Traditional Arabic"/>
          <w:sz w:val="32"/>
          <w:szCs w:val="32"/>
        </w:rPr>
        <w:t xml:space="preserve"> Haleem et al. (2021) </w:t>
      </w:r>
      <w:r w:rsidRPr="005C5B95">
        <w:rPr>
          <w:rFonts w:ascii="Traditional Arabic" w:hAnsi="Traditional Arabic" w:cs="Traditional Arabic"/>
          <w:sz w:val="32"/>
          <w:szCs w:val="32"/>
          <w:rtl/>
        </w:rPr>
        <w:t xml:space="preserve">أن استخدام التطبيقات الصحية عن بعد </w:t>
      </w:r>
      <w:r>
        <w:rPr>
          <w:rFonts w:ascii="Traditional Arabic" w:hAnsi="Traditional Arabic" w:cs="Traditional Arabic" w:hint="cs"/>
          <w:sz w:val="32"/>
          <w:szCs w:val="32"/>
          <w:rtl/>
        </w:rPr>
        <w:t xml:space="preserve">يحسن فعالية أداء </w:t>
      </w:r>
      <w:r w:rsidRPr="005C5B95">
        <w:rPr>
          <w:rFonts w:ascii="Traditional Arabic" w:hAnsi="Traditional Arabic" w:cs="Traditional Arabic"/>
          <w:sz w:val="32"/>
          <w:szCs w:val="32"/>
          <w:rtl/>
        </w:rPr>
        <w:t>الأطباء والمرضى</w:t>
      </w:r>
      <w:r>
        <w:rPr>
          <w:rFonts w:ascii="Traditional Arabic" w:hAnsi="Traditional Arabic" w:cs="Traditional Arabic" w:hint="cs"/>
          <w:sz w:val="32"/>
          <w:szCs w:val="32"/>
          <w:rtl/>
        </w:rPr>
        <w:t xml:space="preserve">، كما يرفع </w:t>
      </w:r>
      <w:r w:rsidRPr="005C5B95">
        <w:rPr>
          <w:rFonts w:ascii="Traditional Arabic" w:hAnsi="Traditional Arabic" w:cs="Traditional Arabic"/>
          <w:sz w:val="32"/>
          <w:szCs w:val="32"/>
          <w:rtl/>
        </w:rPr>
        <w:t>احتمالية المتابعة</w:t>
      </w:r>
      <w:r>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ويقلل المواعيد المفقودة</w:t>
      </w:r>
      <w:r w:rsidRPr="005C5B95">
        <w:rPr>
          <w:rFonts w:ascii="Traditional Arabic" w:hAnsi="Traditional Arabic" w:cs="Traditional Arabic"/>
          <w:sz w:val="32"/>
          <w:szCs w:val="32"/>
        </w:rPr>
        <w:t>.</w:t>
      </w:r>
    </w:p>
    <w:p w14:paraId="6788A79F" w14:textId="77777777"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ومن الدراسات التي تناولت العوامل المؤثرة في تبني التكنولوجيا، توصلت دراسة</w:t>
      </w:r>
      <w:r w:rsidRPr="005C5B95">
        <w:rPr>
          <w:rFonts w:ascii="Traditional Arabic" w:hAnsi="Traditional Arabic" w:cs="Traditional Arabic"/>
          <w:sz w:val="32"/>
          <w:szCs w:val="32"/>
        </w:rPr>
        <w:t xml:space="preserve"> Chau et al. (2019) </w:t>
      </w:r>
      <w:r w:rsidRPr="005C5B95">
        <w:rPr>
          <w:rFonts w:ascii="Traditional Arabic" w:hAnsi="Traditional Arabic" w:cs="Traditional Arabic"/>
          <w:sz w:val="32"/>
          <w:szCs w:val="32"/>
          <w:rtl/>
        </w:rPr>
        <w:t>إلى أن الراحة الملموسة وعدم إمكانية الاستبدال هي مؤشرات رئيسية للفائدة الملموسة، والتي تعزز بدورها نية تبني التكنولوجيا الذكية في الخدمة الصحية</w:t>
      </w:r>
      <w:r w:rsidRPr="005C5B95">
        <w:rPr>
          <w:rFonts w:ascii="Traditional Arabic" w:hAnsi="Traditional Arabic" w:cs="Traditional Arabic"/>
          <w:sz w:val="32"/>
          <w:szCs w:val="32"/>
        </w:rPr>
        <w:t>.</w:t>
      </w:r>
    </w:p>
    <w:p w14:paraId="01ED0F1B" w14:textId="38B649C9" w:rsidR="007958E2" w:rsidRPr="00B34478" w:rsidRDefault="00A45E46" w:rsidP="00B34478">
      <w:pPr>
        <w:pStyle w:val="ab"/>
        <w:bidi/>
        <w:spacing w:before="0" w:beforeAutospacing="0" w:after="120" w:afterAutospacing="0"/>
        <w:jc w:val="both"/>
        <w:rPr>
          <w:rFonts w:ascii="Traditional Arabic" w:hAnsi="Traditional Arabic" w:cs="Traditional Arabic"/>
          <w:sz w:val="32"/>
          <w:szCs w:val="32"/>
          <w:rtl/>
        </w:rPr>
      </w:pPr>
      <w:r w:rsidRPr="007958E2">
        <w:rPr>
          <w:rFonts w:ascii="Traditional Arabic" w:hAnsi="Traditional Arabic" w:cs="Traditional Arabic" w:hint="cs"/>
          <w:sz w:val="32"/>
          <w:szCs w:val="32"/>
          <w:rtl/>
        </w:rPr>
        <w:t>و</w:t>
      </w:r>
      <w:r w:rsidR="005C5B95" w:rsidRPr="005C5B95">
        <w:rPr>
          <w:rFonts w:ascii="Traditional Arabic" w:hAnsi="Traditional Arabic" w:cs="Traditional Arabic"/>
          <w:sz w:val="32"/>
          <w:szCs w:val="32"/>
          <w:rtl/>
        </w:rPr>
        <w:t>تتفق الدراسات السابقة على وجود تأثير إيجابي للتكنولوجيا سواء كانت معلوماتية، ذكية، أو تطبيقات صحية في تحسين إدارة المخاطر أو تقليلها، سواء في القطاع المالي أو الصحي. ومع ذلك، تظهر بعض الاختلافات</w:t>
      </w:r>
      <w:r>
        <w:rPr>
          <w:rFonts w:ascii="Traditional Arabic" w:hAnsi="Traditional Arabic" w:cs="Traditional Arabic" w:hint="cs"/>
          <w:sz w:val="32"/>
          <w:szCs w:val="32"/>
          <w:rtl/>
        </w:rPr>
        <w:t>؛</w:t>
      </w:r>
      <w:r w:rsidR="005C5B95" w:rsidRPr="005C5B95">
        <w:rPr>
          <w:rFonts w:ascii="Traditional Arabic" w:hAnsi="Traditional Arabic" w:cs="Traditional Arabic"/>
          <w:sz w:val="32"/>
          <w:szCs w:val="32"/>
          <w:rtl/>
        </w:rPr>
        <w:t xml:space="preserve"> فبعض الدراسات ركزت على التكنولوجيا كمتغير مستقل يؤثر في المخاطر</w:t>
      </w:r>
      <w:r w:rsidR="005C5B95" w:rsidRPr="005C5B95">
        <w:rPr>
          <w:rFonts w:ascii="Traditional Arabic" w:hAnsi="Traditional Arabic" w:cs="Traditional Arabic"/>
          <w:sz w:val="32"/>
          <w:szCs w:val="32"/>
        </w:rPr>
        <w:t xml:space="preserve"> (Kwateng et al., 2022; </w:t>
      </w:r>
      <w:r w:rsidR="005C5B95" w:rsidRPr="005C5B95">
        <w:rPr>
          <w:rFonts w:ascii="Traditional Arabic" w:hAnsi="Traditional Arabic" w:cs="Traditional Arabic"/>
          <w:sz w:val="32"/>
          <w:szCs w:val="32"/>
          <w:rtl/>
        </w:rPr>
        <w:t>وزانب وحاج، 2021</w:t>
      </w:r>
      <w:r w:rsidR="006D63D8">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005C5B95" w:rsidRPr="005C5B95">
        <w:rPr>
          <w:rFonts w:ascii="Traditional Arabic" w:hAnsi="Traditional Arabic" w:cs="Traditional Arabic"/>
          <w:sz w:val="32"/>
          <w:szCs w:val="32"/>
          <w:rtl/>
        </w:rPr>
        <w:t>، بينما ركزت أخرى على دور التكنولوجيا في تحسين الرعاية الصحية كمدخل لتقليل المخاطر</w:t>
      </w:r>
      <w:r w:rsidR="005C5B95" w:rsidRPr="005C5B95">
        <w:rPr>
          <w:rFonts w:ascii="Traditional Arabic" w:hAnsi="Traditional Arabic" w:cs="Traditional Arabic"/>
          <w:sz w:val="32"/>
          <w:szCs w:val="32"/>
        </w:rPr>
        <w:t xml:space="preserve"> (Lumb et al., 2023; Lee &amp; Yoon, 2021)</w:t>
      </w:r>
      <w:r>
        <w:rPr>
          <w:rFonts w:ascii="Traditional Arabic" w:hAnsi="Traditional Arabic" w:cs="Traditional Arabic" w:hint="cs"/>
          <w:sz w:val="32"/>
          <w:szCs w:val="32"/>
          <w:rtl/>
        </w:rPr>
        <w:t xml:space="preserve">، </w:t>
      </w:r>
      <w:r w:rsidR="005C5B95" w:rsidRPr="005C5B95">
        <w:rPr>
          <w:rFonts w:ascii="Traditional Arabic" w:hAnsi="Traditional Arabic" w:cs="Traditional Arabic"/>
          <w:sz w:val="32"/>
          <w:szCs w:val="32"/>
          <w:rtl/>
        </w:rPr>
        <w:t xml:space="preserve">كما أن معظم هذه الدراسات طبقت في سياقات غير سعودية </w:t>
      </w:r>
      <w:r w:rsidR="00292F40">
        <w:rPr>
          <w:rFonts w:ascii="Traditional Arabic" w:hAnsi="Traditional Arabic" w:cs="Traditional Arabic" w:hint="cs"/>
          <w:sz w:val="32"/>
          <w:szCs w:val="32"/>
          <w:rtl/>
        </w:rPr>
        <w:t xml:space="preserve">مثل: </w:t>
      </w:r>
      <w:r w:rsidR="005C5B95" w:rsidRPr="005C5B95">
        <w:rPr>
          <w:rFonts w:ascii="Traditional Arabic" w:hAnsi="Traditional Arabic" w:cs="Traditional Arabic"/>
          <w:sz w:val="32"/>
          <w:szCs w:val="32"/>
          <w:rtl/>
        </w:rPr>
        <w:t xml:space="preserve">المملكة المتحدة، غانا، الجزائر، هونغ كونغ، </w:t>
      </w:r>
      <w:r w:rsidR="00292F40">
        <w:rPr>
          <w:rFonts w:ascii="Traditional Arabic" w:hAnsi="Traditional Arabic" w:cs="Traditional Arabic" w:hint="cs"/>
          <w:sz w:val="32"/>
          <w:szCs w:val="32"/>
          <w:rtl/>
        </w:rPr>
        <w:t>و</w:t>
      </w:r>
      <w:r w:rsidR="005C5B95" w:rsidRPr="005C5B95">
        <w:rPr>
          <w:rFonts w:ascii="Traditional Arabic" w:hAnsi="Traditional Arabic" w:cs="Traditional Arabic"/>
          <w:sz w:val="32"/>
          <w:szCs w:val="32"/>
          <w:rtl/>
        </w:rPr>
        <w:t>كوريا، مما يحد من تعميم نتائجها على البيئة الصحية السعودية</w:t>
      </w:r>
      <w:r>
        <w:rPr>
          <w:rFonts w:ascii="Traditional Arabic" w:hAnsi="Traditional Arabic" w:cs="Traditional Arabic" w:hint="cs"/>
          <w:sz w:val="32"/>
          <w:szCs w:val="32"/>
          <w:rtl/>
        </w:rPr>
        <w:t xml:space="preserve">، </w:t>
      </w:r>
      <w:r w:rsidR="005C5B95" w:rsidRPr="005C5B95">
        <w:rPr>
          <w:rFonts w:ascii="Traditional Arabic" w:hAnsi="Traditional Arabic" w:cs="Traditional Arabic"/>
          <w:sz w:val="32"/>
          <w:szCs w:val="32"/>
          <w:rtl/>
        </w:rPr>
        <w:t>إضافة إلى ذلك، لم تختبر أي من هذه الدراسات الدور الوسيط للتكنولوجيا الذكية بين التطوير التنظيمي وإدارة المخاطر، بل اقتصرت على العلاقات المباشرة</w:t>
      </w:r>
      <w:r w:rsidR="005C5B95" w:rsidRPr="005C5B95">
        <w:rPr>
          <w:rFonts w:ascii="Traditional Arabic" w:hAnsi="Traditional Arabic" w:cs="Traditional Arabic"/>
          <w:sz w:val="32"/>
          <w:szCs w:val="32"/>
        </w:rPr>
        <w:t>.</w:t>
      </w:r>
    </w:p>
    <w:p w14:paraId="39794740" w14:textId="3D971F57" w:rsidR="005C5B95" w:rsidRPr="005C5B95" w:rsidRDefault="005C5B95" w:rsidP="007958E2">
      <w:pPr>
        <w:pStyle w:val="ab"/>
        <w:numPr>
          <w:ilvl w:val="0"/>
          <w:numId w:val="108"/>
        </w:numPr>
        <w:bidi/>
        <w:spacing w:before="0" w:beforeAutospacing="0" w:after="120" w:afterAutospacing="0"/>
        <w:jc w:val="both"/>
        <w:rPr>
          <w:rFonts w:ascii="Traditional Arabic" w:hAnsi="Traditional Arabic" w:cs="Traditional Arabic"/>
          <w:b/>
          <w:bCs/>
          <w:sz w:val="32"/>
          <w:szCs w:val="32"/>
        </w:rPr>
      </w:pPr>
      <w:r w:rsidRPr="005C5B95">
        <w:rPr>
          <w:rFonts w:ascii="Traditional Arabic" w:hAnsi="Traditional Arabic" w:cs="Traditional Arabic"/>
          <w:b/>
          <w:bCs/>
          <w:sz w:val="32"/>
          <w:szCs w:val="32"/>
          <w:rtl/>
        </w:rPr>
        <w:t>الدراسات التي تناولت المتغيرات منفردة</w:t>
      </w:r>
      <w:r w:rsidR="007958E2">
        <w:rPr>
          <w:rFonts w:ascii="Traditional Arabic" w:hAnsi="Traditional Arabic" w:cs="Traditional Arabic" w:hint="cs"/>
          <w:b/>
          <w:bCs/>
          <w:sz w:val="32"/>
          <w:szCs w:val="32"/>
          <w:rtl/>
        </w:rPr>
        <w:t>:</w:t>
      </w:r>
    </w:p>
    <w:p w14:paraId="7CAF2CA7" w14:textId="77777777" w:rsidR="005C5B95" w:rsidRPr="005C5B95" w:rsidRDefault="005C5B95" w:rsidP="005C5B95">
      <w:pPr>
        <w:pStyle w:val="ab"/>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sz w:val="32"/>
          <w:szCs w:val="32"/>
          <w:rtl/>
        </w:rPr>
        <w:t>إلى جانب الدراسات التي تناولت العلاقات الثنائية، هناك دراسات اهتمت بتحليل المتغيرات بشكل منفرد، أو في سياقات مختلفة، منها</w:t>
      </w:r>
      <w:r w:rsidRPr="005C5B95">
        <w:rPr>
          <w:rFonts w:ascii="Traditional Arabic" w:hAnsi="Traditional Arabic" w:cs="Traditional Arabic"/>
          <w:sz w:val="32"/>
          <w:szCs w:val="32"/>
        </w:rPr>
        <w:t>:</w:t>
      </w:r>
    </w:p>
    <w:p w14:paraId="6750EAAB" w14:textId="77777777" w:rsidR="005C5B95" w:rsidRPr="005C5B95" w:rsidRDefault="005C5B95" w:rsidP="005C5B95">
      <w:pPr>
        <w:pStyle w:val="ab"/>
        <w:numPr>
          <w:ilvl w:val="0"/>
          <w:numId w:val="106"/>
        </w:numPr>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b/>
          <w:bCs/>
          <w:sz w:val="32"/>
          <w:szCs w:val="32"/>
          <w:rtl/>
        </w:rPr>
        <w:t>دراسات التطوير التنظيمي</w:t>
      </w:r>
      <w:r w:rsidRPr="005C5B95">
        <w:rPr>
          <w:rFonts w:ascii="Traditional Arabic" w:hAnsi="Traditional Arabic" w:cs="Traditional Arabic"/>
          <w:b/>
          <w:bCs/>
          <w:sz w:val="32"/>
          <w:szCs w:val="32"/>
        </w:rPr>
        <w:t>:</w:t>
      </w:r>
      <w:r w:rsidRPr="005C5B95">
        <w:rPr>
          <w:rFonts w:ascii="Traditional Arabic" w:hAnsi="Traditional Arabic" w:cs="Traditional Arabic"/>
          <w:sz w:val="32"/>
          <w:szCs w:val="32"/>
        </w:rPr>
        <w:t> </w:t>
      </w:r>
      <w:r w:rsidRPr="005C5B95">
        <w:rPr>
          <w:rFonts w:ascii="Traditional Arabic" w:hAnsi="Traditional Arabic" w:cs="Traditional Arabic"/>
          <w:sz w:val="32"/>
          <w:szCs w:val="32"/>
          <w:rtl/>
        </w:rPr>
        <w:t>دراسة</w:t>
      </w:r>
      <w:r w:rsidRPr="005C5B95">
        <w:rPr>
          <w:rFonts w:ascii="Traditional Arabic" w:hAnsi="Traditional Arabic" w:cs="Traditional Arabic"/>
          <w:sz w:val="32"/>
          <w:szCs w:val="32"/>
        </w:rPr>
        <w:t xml:space="preserve"> Rija et al. (2023) </w:t>
      </w:r>
      <w:r w:rsidRPr="005C5B95">
        <w:rPr>
          <w:rFonts w:ascii="Traditional Arabic" w:hAnsi="Traditional Arabic" w:cs="Traditional Arabic"/>
          <w:sz w:val="32"/>
          <w:szCs w:val="32"/>
          <w:rtl/>
        </w:rPr>
        <w:t>التي أظهرت دورًا إيجابيًا قويًا للتطوير التنظيمي في تحسين أداء إدارة الأندية الرياضية في بغداد، ودراسة</w:t>
      </w:r>
      <w:r w:rsidRPr="005C5B95">
        <w:rPr>
          <w:rFonts w:ascii="Traditional Arabic" w:hAnsi="Traditional Arabic" w:cs="Traditional Arabic"/>
          <w:sz w:val="32"/>
          <w:szCs w:val="32"/>
        </w:rPr>
        <w:t xml:space="preserve"> Alabaddi (2019) </w:t>
      </w:r>
      <w:r w:rsidRPr="005C5B95">
        <w:rPr>
          <w:rFonts w:ascii="Traditional Arabic" w:hAnsi="Traditional Arabic" w:cs="Traditional Arabic"/>
          <w:sz w:val="32"/>
          <w:szCs w:val="32"/>
          <w:rtl/>
        </w:rPr>
        <w:t>التي وجدت أثرًا ذا دلالة إحصائية للتطوير التنظيمي في تعظيم ذكاء الأعمال في الشركات الأردنية</w:t>
      </w:r>
      <w:r w:rsidRPr="005C5B95">
        <w:rPr>
          <w:rFonts w:ascii="Traditional Arabic" w:hAnsi="Traditional Arabic" w:cs="Traditional Arabic"/>
          <w:sz w:val="32"/>
          <w:szCs w:val="32"/>
        </w:rPr>
        <w:t>.</w:t>
      </w:r>
    </w:p>
    <w:p w14:paraId="26478075" w14:textId="3B60C3A3" w:rsidR="005C5B95" w:rsidRPr="005C5B95" w:rsidRDefault="005C5B95" w:rsidP="005C5B95">
      <w:pPr>
        <w:pStyle w:val="ab"/>
        <w:numPr>
          <w:ilvl w:val="0"/>
          <w:numId w:val="106"/>
        </w:numPr>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b/>
          <w:bCs/>
          <w:sz w:val="32"/>
          <w:szCs w:val="32"/>
          <w:rtl/>
        </w:rPr>
        <w:t>دراسات التكنولوجيا الذكية</w:t>
      </w:r>
      <w:r w:rsidRPr="005C5B95">
        <w:rPr>
          <w:rFonts w:ascii="Traditional Arabic" w:hAnsi="Traditional Arabic" w:cs="Traditional Arabic"/>
          <w:b/>
          <w:bCs/>
          <w:sz w:val="32"/>
          <w:szCs w:val="32"/>
        </w:rPr>
        <w:t>:</w:t>
      </w:r>
      <w:r w:rsidRPr="005C5B95">
        <w:rPr>
          <w:rFonts w:ascii="Traditional Arabic" w:hAnsi="Traditional Arabic" w:cs="Traditional Arabic"/>
          <w:sz w:val="32"/>
          <w:szCs w:val="32"/>
        </w:rPr>
        <w:t> </w:t>
      </w:r>
      <w:r w:rsidRPr="005C5B95">
        <w:rPr>
          <w:rFonts w:ascii="Traditional Arabic" w:hAnsi="Traditional Arabic" w:cs="Traditional Arabic"/>
          <w:sz w:val="32"/>
          <w:szCs w:val="32"/>
          <w:rtl/>
        </w:rPr>
        <w:t>دراسة هادي (2024) التي أظهرت وجود علاقة إيجابية بين استخدام التكنولوجيا الحديثة وتعزيز التجديد الحضري المستدام، ودراسة</w:t>
      </w:r>
      <w:r w:rsidRPr="005C5B95">
        <w:rPr>
          <w:rFonts w:ascii="Traditional Arabic" w:hAnsi="Traditional Arabic" w:cs="Traditional Arabic"/>
          <w:sz w:val="32"/>
          <w:szCs w:val="32"/>
        </w:rPr>
        <w:t xml:space="preserve"> Ghory &amp; Ghafory (2021) </w:t>
      </w:r>
      <w:r w:rsidRPr="005C5B95">
        <w:rPr>
          <w:rFonts w:ascii="Traditional Arabic" w:hAnsi="Traditional Arabic" w:cs="Traditional Arabic"/>
          <w:sz w:val="32"/>
          <w:szCs w:val="32"/>
          <w:rtl/>
        </w:rPr>
        <w:t>التي أكدت أن إتقان التكنولوجيا الذكية له دور إيجابي في تحقيق الفعالية التعليمية، ودراسة</w:t>
      </w:r>
      <w:r w:rsidRPr="005C5B95">
        <w:rPr>
          <w:rFonts w:ascii="Traditional Arabic" w:hAnsi="Traditional Arabic" w:cs="Traditional Arabic"/>
          <w:sz w:val="32"/>
          <w:szCs w:val="32"/>
        </w:rPr>
        <w:t xml:space="preserve"> Mohammed &amp; Abdullah (2021)</w:t>
      </w:r>
      <w:r w:rsidR="00292F40">
        <w:rPr>
          <w:rFonts w:ascii="Traditional Arabic" w:hAnsi="Traditional Arabic" w:cs="Traditional Arabic" w:hint="cs"/>
          <w:sz w:val="32"/>
          <w:szCs w:val="32"/>
          <w:rtl/>
        </w:rPr>
        <w:t xml:space="preserve"> </w:t>
      </w:r>
      <w:r w:rsidRPr="005C5B95">
        <w:rPr>
          <w:rFonts w:ascii="Traditional Arabic" w:hAnsi="Traditional Arabic" w:cs="Traditional Arabic"/>
          <w:sz w:val="32"/>
          <w:szCs w:val="32"/>
          <w:rtl/>
        </w:rPr>
        <w:t>التي أشارت إلى أن استخدام تقنيات الذكاء الاصطناعي في تطوير برامج إعداد المعلمين جاء بدرجة متوسطة مع وجود عقبات مادية وإدارية</w:t>
      </w:r>
      <w:r w:rsidRPr="005C5B95">
        <w:rPr>
          <w:rFonts w:ascii="Traditional Arabic" w:hAnsi="Traditional Arabic" w:cs="Traditional Arabic"/>
          <w:sz w:val="32"/>
          <w:szCs w:val="32"/>
        </w:rPr>
        <w:t>.</w:t>
      </w:r>
    </w:p>
    <w:p w14:paraId="2017D648" w14:textId="4BF28FC3" w:rsidR="005C5B95" w:rsidRPr="005C5B95" w:rsidRDefault="005C5B95" w:rsidP="005C5B95">
      <w:pPr>
        <w:pStyle w:val="ab"/>
        <w:numPr>
          <w:ilvl w:val="0"/>
          <w:numId w:val="106"/>
        </w:numPr>
        <w:bidi/>
        <w:spacing w:before="0" w:beforeAutospacing="0" w:after="120" w:afterAutospacing="0"/>
        <w:jc w:val="both"/>
        <w:rPr>
          <w:rFonts w:ascii="Traditional Arabic" w:hAnsi="Traditional Arabic" w:cs="Traditional Arabic"/>
          <w:sz w:val="32"/>
          <w:szCs w:val="32"/>
        </w:rPr>
      </w:pPr>
      <w:r w:rsidRPr="005C5B95">
        <w:rPr>
          <w:rFonts w:ascii="Traditional Arabic" w:hAnsi="Traditional Arabic" w:cs="Traditional Arabic"/>
          <w:b/>
          <w:bCs/>
          <w:sz w:val="32"/>
          <w:szCs w:val="32"/>
          <w:rtl/>
        </w:rPr>
        <w:lastRenderedPageBreak/>
        <w:t>دراسات إدارة المخاطر</w:t>
      </w:r>
      <w:r w:rsidRPr="005C5B95">
        <w:rPr>
          <w:rFonts w:ascii="Traditional Arabic" w:hAnsi="Traditional Arabic" w:cs="Traditional Arabic"/>
          <w:b/>
          <w:bCs/>
          <w:sz w:val="32"/>
          <w:szCs w:val="32"/>
        </w:rPr>
        <w:t>:</w:t>
      </w:r>
      <w:r w:rsidRPr="005C5B95">
        <w:rPr>
          <w:rFonts w:ascii="Traditional Arabic" w:hAnsi="Traditional Arabic" w:cs="Traditional Arabic"/>
          <w:sz w:val="32"/>
          <w:szCs w:val="32"/>
        </w:rPr>
        <w:t> </w:t>
      </w:r>
      <w:r w:rsidRPr="005C5B95">
        <w:rPr>
          <w:rFonts w:ascii="Traditional Arabic" w:hAnsi="Traditional Arabic" w:cs="Traditional Arabic"/>
          <w:sz w:val="32"/>
          <w:szCs w:val="32"/>
          <w:rtl/>
        </w:rPr>
        <w:t>دراسة</w:t>
      </w:r>
      <w:r w:rsidRPr="005C5B95">
        <w:rPr>
          <w:rFonts w:ascii="Traditional Arabic" w:hAnsi="Traditional Arabic" w:cs="Traditional Arabic"/>
          <w:sz w:val="32"/>
          <w:szCs w:val="32"/>
        </w:rPr>
        <w:t xml:space="preserve"> Getenet et al. (2023) </w:t>
      </w:r>
      <w:r w:rsidRPr="005C5B95">
        <w:rPr>
          <w:rFonts w:ascii="Traditional Arabic" w:hAnsi="Traditional Arabic" w:cs="Traditional Arabic"/>
          <w:sz w:val="32"/>
          <w:szCs w:val="32"/>
          <w:rtl/>
        </w:rPr>
        <w:t>التي أظهرت أن 64% من العاملين في الرعاية الصحية لديهم مستوى ضعيف من المعرفة بإدارة المخاطر، و89% لديهم مستوى ضعيف من الممارسة، بينما 93.6% لديهم موقف إيجابي</w:t>
      </w:r>
      <w:r w:rsidR="006D63D8">
        <w:rPr>
          <w:rFonts w:ascii="Traditional Arabic" w:hAnsi="Traditional Arabic" w:cs="Traditional Arabic" w:hint="cs"/>
          <w:sz w:val="32"/>
          <w:szCs w:val="32"/>
          <w:rtl/>
        </w:rPr>
        <w:t>،</w:t>
      </w:r>
      <w:r w:rsidRPr="005C5B95">
        <w:rPr>
          <w:rFonts w:ascii="Traditional Arabic" w:hAnsi="Traditional Arabic" w:cs="Traditional Arabic"/>
          <w:sz w:val="32"/>
          <w:szCs w:val="32"/>
          <w:rtl/>
        </w:rPr>
        <w:t xml:space="preserve"> ودراسة رقطي وكركار (2022) التي أشارت إلى افتقار المؤسسة الصحية الجزائرية إلى قسم لإدارة المخاطر وعدم وجود تقنيات حديثة لمواجهتها</w:t>
      </w:r>
      <w:r w:rsidR="006D63D8">
        <w:rPr>
          <w:rFonts w:ascii="Traditional Arabic" w:hAnsi="Traditional Arabic" w:cs="Traditional Arabic" w:hint="cs"/>
          <w:sz w:val="32"/>
          <w:szCs w:val="32"/>
          <w:rtl/>
        </w:rPr>
        <w:t>،</w:t>
      </w:r>
      <w:r w:rsidRPr="005C5B95">
        <w:rPr>
          <w:rFonts w:ascii="Traditional Arabic" w:hAnsi="Traditional Arabic" w:cs="Traditional Arabic"/>
          <w:sz w:val="32"/>
          <w:szCs w:val="32"/>
          <w:rtl/>
        </w:rPr>
        <w:t>كما أظهرت دراسة</w:t>
      </w:r>
      <w:r w:rsidRPr="005C5B95">
        <w:rPr>
          <w:rFonts w:ascii="Traditional Arabic" w:hAnsi="Traditional Arabic" w:cs="Traditional Arabic"/>
          <w:sz w:val="32"/>
          <w:szCs w:val="32"/>
        </w:rPr>
        <w:t xml:space="preserve"> Damayanty &amp; Hipta (2022) </w:t>
      </w:r>
      <w:r w:rsidRPr="005C5B95">
        <w:rPr>
          <w:rFonts w:ascii="Traditional Arabic" w:hAnsi="Traditional Arabic" w:cs="Traditional Arabic"/>
          <w:sz w:val="32"/>
          <w:szCs w:val="32"/>
          <w:rtl/>
        </w:rPr>
        <w:t>وجود مخاطر محتملة في المستشفيات تتعلق بالافتقار إلى تجهيزات السلامة والصحة المهنية</w:t>
      </w:r>
      <w:r w:rsidRPr="005C5B95">
        <w:rPr>
          <w:rFonts w:ascii="Traditional Arabic" w:hAnsi="Traditional Arabic" w:cs="Traditional Arabic"/>
          <w:sz w:val="32"/>
          <w:szCs w:val="32"/>
        </w:rPr>
        <w:t>.</w:t>
      </w:r>
    </w:p>
    <w:p w14:paraId="4DF21933" w14:textId="1A3A7FC5" w:rsidR="00461974" w:rsidRDefault="00461974" w:rsidP="00EA6969">
      <w:pPr>
        <w:pStyle w:val="ab"/>
        <w:bidi/>
        <w:spacing w:before="0" w:beforeAutospacing="0" w:after="120" w:afterAutospacing="0"/>
        <w:jc w:val="both"/>
        <w:rPr>
          <w:rFonts w:ascii="Traditional Arabic" w:hAnsi="Traditional Arabic" w:cs="Traditional Arabic"/>
          <w:b/>
          <w:bCs/>
          <w:sz w:val="32"/>
          <w:szCs w:val="32"/>
          <w:rtl/>
        </w:rPr>
      </w:pPr>
      <w:r w:rsidRPr="00461974">
        <w:rPr>
          <w:rFonts w:ascii="Traditional Arabic" w:hAnsi="Traditional Arabic" w:cs="Traditional Arabic" w:hint="cs"/>
          <w:b/>
          <w:bCs/>
          <w:sz w:val="32"/>
          <w:szCs w:val="32"/>
          <w:rtl/>
        </w:rPr>
        <w:t>التعقيب على الدراسات السابقة والفجوة البحثية:</w:t>
      </w:r>
    </w:p>
    <w:p w14:paraId="2A630EA1" w14:textId="59BF0812" w:rsidR="00D25920" w:rsidRPr="00F6277B" w:rsidRDefault="00F6277B" w:rsidP="005B684E">
      <w:pPr>
        <w:pStyle w:val="ab"/>
        <w:bidi/>
        <w:spacing w:before="0" w:beforeAutospacing="0" w:after="120" w:afterAutospacing="0"/>
        <w:jc w:val="both"/>
        <w:rPr>
          <w:rFonts w:ascii="Traditional Arabic" w:hAnsi="Traditional Arabic" w:cs="Traditional Arabic"/>
          <w:sz w:val="32"/>
          <w:szCs w:val="32"/>
        </w:rPr>
      </w:pPr>
      <w:r w:rsidRPr="00F6277B">
        <w:rPr>
          <w:rFonts w:ascii="Traditional Arabic" w:hAnsi="Traditional Arabic" w:cs="Traditional Arabic"/>
          <w:sz w:val="32"/>
          <w:szCs w:val="32"/>
          <w:rtl/>
        </w:rPr>
        <w:t>في ضوء ما تم عرضه ومناقشته من دراسات سابقة ذات صلة بموضوع الدراسة، تم تنظيم أبرز نتائجها وتحليلها وفق محاور العلاقة الرئيسة بين متغيرات البحث، وذلك بهدف إبراز أوجه الاتفاق والاختلاف والحدود المنهجية والسياقية التي ميّزت كل محور. ويعرض الجدول الآتي خلاصة تحليلية منظمة لهذه الدراسات بما يسهم في توضيح موقع الدراسة الحالية ضمن الأدبيات السابقة، والكشف عن جوانب القصور التي تسعى هذه الدراسة إلى معالجتها</w:t>
      </w:r>
      <w:r w:rsidRPr="00F6277B">
        <w:rPr>
          <w:rFonts w:ascii="Traditional Arabic" w:hAnsi="Traditional Arabic" w:cs="Traditional Arabic"/>
          <w:sz w:val="32"/>
          <w:szCs w:val="32"/>
        </w:rPr>
        <w:t>.</w:t>
      </w:r>
    </w:p>
    <w:p w14:paraId="42F42B40" w14:textId="3EF4A7E3" w:rsidR="00EA6969" w:rsidRPr="00EA6969" w:rsidRDefault="00EA6969" w:rsidP="00EA6969">
      <w:pPr>
        <w:pStyle w:val="ab"/>
        <w:bidi/>
        <w:spacing w:before="0"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جدول (</w:t>
      </w:r>
      <w:r w:rsidR="00B34478">
        <w:rPr>
          <w:rFonts w:ascii="Traditional Arabic" w:hAnsi="Traditional Arabic" w:cs="Traditional Arabic" w:hint="cs"/>
          <w:b/>
          <w:bCs/>
          <w:sz w:val="28"/>
          <w:szCs w:val="28"/>
          <w:rtl/>
        </w:rPr>
        <w:t>2</w:t>
      </w:r>
      <w:r w:rsidRPr="00EA6969">
        <w:rPr>
          <w:rFonts w:ascii="Traditional Arabic" w:hAnsi="Traditional Arabic" w:cs="Traditional Arabic"/>
          <w:b/>
          <w:bCs/>
          <w:sz w:val="28"/>
          <w:szCs w:val="28"/>
          <w:rtl/>
        </w:rPr>
        <w:t>.</w:t>
      </w:r>
      <w:r w:rsidR="006D63D8">
        <w:rPr>
          <w:rFonts w:ascii="Traditional Arabic" w:hAnsi="Traditional Arabic" w:cs="Traditional Arabic" w:hint="cs"/>
          <w:b/>
          <w:bCs/>
          <w:sz w:val="28"/>
          <w:szCs w:val="28"/>
          <w:rtl/>
        </w:rPr>
        <w:t>1</w:t>
      </w:r>
      <w:r w:rsidRPr="00EA6969">
        <w:rPr>
          <w:rFonts w:ascii="Traditional Arabic" w:hAnsi="Traditional Arabic" w:cs="Traditional Arabic"/>
          <w:b/>
          <w:bCs/>
          <w:sz w:val="28"/>
          <w:szCs w:val="28"/>
          <w:rtl/>
        </w:rPr>
        <w:t>): خلاصة تحليلية للدراسات السابقة حسب محاور العلاقة</w:t>
      </w:r>
    </w:p>
    <w:tbl>
      <w:tblPr>
        <w:tblStyle w:val="TableGrid1"/>
        <w:tblW w:w="0" w:type="auto"/>
        <w:tblLook w:val="04A0" w:firstRow="1" w:lastRow="0" w:firstColumn="1" w:lastColumn="0" w:noHBand="0" w:noVBand="1"/>
      </w:tblPr>
      <w:tblGrid>
        <w:gridCol w:w="2400"/>
        <w:gridCol w:w="2537"/>
        <w:gridCol w:w="2086"/>
        <w:gridCol w:w="1754"/>
      </w:tblGrid>
      <w:tr w:rsidR="00EA6969" w:rsidRPr="00EA6969" w14:paraId="161D24B0" w14:textId="77777777" w:rsidTr="00EA6969">
        <w:tc>
          <w:tcPr>
            <w:tcW w:w="0" w:type="auto"/>
            <w:hideMark/>
          </w:tcPr>
          <w:p w14:paraId="5E251CF6" w14:textId="77777777" w:rsidR="00EA6969" w:rsidRPr="00EA6969" w:rsidRDefault="00EA6969" w:rsidP="00EA6969">
            <w:pPr>
              <w:pStyle w:val="ab"/>
              <w:bidi/>
              <w:spacing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الحدود المنهجية والسياقية</w:t>
            </w:r>
          </w:p>
        </w:tc>
        <w:tc>
          <w:tcPr>
            <w:tcW w:w="0" w:type="auto"/>
            <w:hideMark/>
          </w:tcPr>
          <w:p w14:paraId="50D4EF6B" w14:textId="77777777" w:rsidR="00EA6969" w:rsidRPr="00EA6969" w:rsidRDefault="00EA6969" w:rsidP="00EA6969">
            <w:pPr>
              <w:pStyle w:val="ab"/>
              <w:bidi/>
              <w:spacing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أوجه التعارض</w:t>
            </w:r>
          </w:p>
        </w:tc>
        <w:tc>
          <w:tcPr>
            <w:tcW w:w="0" w:type="auto"/>
            <w:hideMark/>
          </w:tcPr>
          <w:p w14:paraId="13F1C4D9" w14:textId="77777777" w:rsidR="00EA6969" w:rsidRPr="00EA6969" w:rsidRDefault="00EA6969" w:rsidP="00EA6969">
            <w:pPr>
              <w:pStyle w:val="ab"/>
              <w:bidi/>
              <w:spacing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أوجه الاتفاق</w:t>
            </w:r>
          </w:p>
        </w:tc>
        <w:tc>
          <w:tcPr>
            <w:tcW w:w="0" w:type="auto"/>
            <w:hideMark/>
          </w:tcPr>
          <w:p w14:paraId="3D197EAA" w14:textId="77777777" w:rsidR="00EA6969" w:rsidRPr="00EA6969" w:rsidRDefault="00EA6969" w:rsidP="00EA6969">
            <w:pPr>
              <w:pStyle w:val="ab"/>
              <w:bidi/>
              <w:spacing w:after="120"/>
              <w:jc w:val="center"/>
              <w:rPr>
                <w:rFonts w:ascii="Traditional Arabic" w:hAnsi="Traditional Arabic" w:cs="Traditional Arabic"/>
                <w:b/>
                <w:bCs/>
                <w:sz w:val="28"/>
                <w:szCs w:val="28"/>
              </w:rPr>
            </w:pPr>
            <w:r w:rsidRPr="00EA6969">
              <w:rPr>
                <w:rFonts w:ascii="Traditional Arabic" w:hAnsi="Traditional Arabic" w:cs="Traditional Arabic"/>
                <w:b/>
                <w:bCs/>
                <w:sz w:val="28"/>
                <w:szCs w:val="28"/>
                <w:rtl/>
              </w:rPr>
              <w:t>المحور</w:t>
            </w:r>
          </w:p>
        </w:tc>
      </w:tr>
      <w:tr w:rsidR="00B34478" w:rsidRPr="00EA6969" w14:paraId="089EF186" w14:textId="77777777" w:rsidTr="00EA6969">
        <w:tc>
          <w:tcPr>
            <w:tcW w:w="0" w:type="auto"/>
          </w:tcPr>
          <w:p w14:paraId="1A47B3AA" w14:textId="1A7BF6E6" w:rsidR="00B34478" w:rsidRPr="00EA6969" w:rsidRDefault="00B34478" w:rsidP="00F6277B">
            <w:pPr>
              <w:pStyle w:val="ab"/>
              <w:bidi/>
              <w:spacing w:after="120"/>
              <w:jc w:val="both"/>
              <w:rPr>
                <w:rFonts w:ascii="Traditional Arabic" w:hAnsi="Traditional Arabic" w:cs="Traditional Arabic"/>
                <w:b/>
                <w:bCs/>
                <w:sz w:val="28"/>
                <w:szCs w:val="28"/>
                <w:rtl/>
              </w:rPr>
            </w:pPr>
            <w:r w:rsidRPr="00EA6969">
              <w:rPr>
                <w:rFonts w:ascii="Traditional Arabic" w:hAnsi="Traditional Arabic" w:cs="Traditional Arabic"/>
                <w:sz w:val="28"/>
                <w:szCs w:val="28"/>
                <w:rtl/>
              </w:rPr>
              <w:t>تنوع سياقات غير صحية،</w:t>
            </w:r>
            <w:r>
              <w:rPr>
                <w:rFonts w:ascii="Traditional Arabic" w:hAnsi="Traditional Arabic" w:cs="Traditional Arabic" w:hint="cs"/>
                <w:sz w:val="28"/>
                <w:szCs w:val="28"/>
                <w:rtl/>
              </w:rPr>
              <w:t xml:space="preserve"> </w:t>
            </w:r>
            <w:r w:rsidRPr="00EA6969">
              <w:rPr>
                <w:rFonts w:ascii="Traditional Arabic" w:hAnsi="Traditional Arabic" w:cs="Traditional Arabic"/>
                <w:sz w:val="28"/>
                <w:szCs w:val="28"/>
                <w:rtl/>
              </w:rPr>
              <w:t>وعدم وجود متغير وسيط</w:t>
            </w:r>
          </w:p>
        </w:tc>
        <w:tc>
          <w:tcPr>
            <w:tcW w:w="0" w:type="auto"/>
          </w:tcPr>
          <w:p w14:paraId="4BC44791" w14:textId="5F50E4D8" w:rsidR="00B34478" w:rsidRPr="00EA6969" w:rsidRDefault="00B34478" w:rsidP="00B34478">
            <w:pPr>
              <w:pStyle w:val="ab"/>
              <w:bidi/>
              <w:spacing w:after="120"/>
              <w:rPr>
                <w:rFonts w:ascii="Traditional Arabic" w:hAnsi="Traditional Arabic" w:cs="Traditional Arabic"/>
                <w:b/>
                <w:bCs/>
                <w:sz w:val="28"/>
                <w:szCs w:val="28"/>
                <w:rtl/>
              </w:rPr>
            </w:pPr>
            <w:r w:rsidRPr="00EA6969">
              <w:rPr>
                <w:rFonts w:ascii="Traditional Arabic" w:hAnsi="Traditional Arabic" w:cs="Traditional Arabic"/>
                <w:sz w:val="28"/>
                <w:szCs w:val="28"/>
                <w:rtl/>
              </w:rPr>
              <w:t>معظم الدراسات نظرت إلى إدارة المخاطر كمؤثر في التطوير، وليس العكس</w:t>
            </w:r>
          </w:p>
        </w:tc>
        <w:tc>
          <w:tcPr>
            <w:tcW w:w="0" w:type="auto"/>
          </w:tcPr>
          <w:p w14:paraId="43FA691B" w14:textId="3D682615" w:rsidR="00B34478" w:rsidRPr="00EA6969" w:rsidRDefault="00B34478" w:rsidP="00F6277B">
            <w:pPr>
              <w:pStyle w:val="ab"/>
              <w:bidi/>
              <w:spacing w:after="120"/>
              <w:rPr>
                <w:rFonts w:ascii="Traditional Arabic" w:hAnsi="Traditional Arabic" w:cs="Traditional Arabic"/>
                <w:b/>
                <w:bCs/>
                <w:sz w:val="28"/>
                <w:szCs w:val="28"/>
                <w:rtl/>
              </w:rPr>
            </w:pPr>
            <w:r w:rsidRPr="00EA6969">
              <w:rPr>
                <w:rFonts w:ascii="Traditional Arabic" w:hAnsi="Traditional Arabic" w:cs="Traditional Arabic"/>
                <w:sz w:val="28"/>
                <w:szCs w:val="28"/>
                <w:rtl/>
              </w:rPr>
              <w:t>وجود تأثير ذي دلالة</w:t>
            </w:r>
          </w:p>
        </w:tc>
        <w:tc>
          <w:tcPr>
            <w:tcW w:w="0" w:type="auto"/>
          </w:tcPr>
          <w:p w14:paraId="789F0C11" w14:textId="5F89D7E2" w:rsidR="00B34478" w:rsidRPr="00F6277B" w:rsidRDefault="00B34478" w:rsidP="00F6277B">
            <w:pPr>
              <w:pStyle w:val="ab"/>
              <w:bidi/>
              <w:spacing w:after="120"/>
              <w:rPr>
                <w:rFonts w:ascii="Traditional Arabic" w:hAnsi="Traditional Arabic" w:cs="Traditional Arabic"/>
                <w:b/>
                <w:bCs/>
                <w:sz w:val="28"/>
                <w:szCs w:val="28"/>
                <w:rtl/>
              </w:rPr>
            </w:pPr>
            <w:r w:rsidRPr="00F6277B">
              <w:rPr>
                <w:rFonts w:ascii="Traditional Arabic" w:hAnsi="Traditional Arabic" w:cs="Traditional Arabic"/>
                <w:b/>
                <w:bCs/>
                <w:sz w:val="28"/>
                <w:szCs w:val="28"/>
                <w:rtl/>
              </w:rPr>
              <w:t>التطوير التنظيمي وإدارة المخاطر</w:t>
            </w:r>
          </w:p>
        </w:tc>
      </w:tr>
      <w:tr w:rsidR="00EA6969" w:rsidRPr="00EA6969" w14:paraId="3D7C1BB2" w14:textId="77777777" w:rsidTr="00EA6969">
        <w:tc>
          <w:tcPr>
            <w:tcW w:w="0" w:type="auto"/>
            <w:hideMark/>
          </w:tcPr>
          <w:p w14:paraId="7715411C"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معظمها في قطاعات غير صحية، وخارج السعودية، ولم تختبر الوساطة</w:t>
            </w:r>
          </w:p>
        </w:tc>
        <w:tc>
          <w:tcPr>
            <w:tcW w:w="0" w:type="auto"/>
            <w:hideMark/>
          </w:tcPr>
          <w:p w14:paraId="056FD2D3"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 xml:space="preserve">اختلاف في اتجاه العلاقة (تكنولوجيا </w:t>
            </w:r>
            <w:r w:rsidRPr="00EA6969">
              <w:rPr>
                <w:rFonts w:hint="cs"/>
                <w:sz w:val="28"/>
                <w:szCs w:val="28"/>
                <w:rtl/>
              </w:rPr>
              <w:t>←</w:t>
            </w:r>
            <w:r w:rsidRPr="00EA6969">
              <w:rPr>
                <w:rFonts w:ascii="Traditional Arabic" w:hAnsi="Traditional Arabic" w:cs="Traditional Arabic"/>
                <w:sz w:val="28"/>
                <w:szCs w:val="28"/>
                <w:rtl/>
              </w:rPr>
              <w:t xml:space="preserve"> </w:t>
            </w:r>
            <w:r w:rsidRPr="00EA6969">
              <w:rPr>
                <w:rFonts w:ascii="Traditional Arabic" w:hAnsi="Traditional Arabic" w:cs="Traditional Arabic" w:hint="cs"/>
                <w:sz w:val="28"/>
                <w:szCs w:val="28"/>
                <w:rtl/>
              </w:rPr>
              <w:t>تطوير،</w:t>
            </w:r>
            <w:r w:rsidRPr="00EA6969">
              <w:rPr>
                <w:rFonts w:ascii="Traditional Arabic" w:hAnsi="Traditional Arabic" w:cs="Traditional Arabic"/>
                <w:sz w:val="28"/>
                <w:szCs w:val="28"/>
                <w:rtl/>
              </w:rPr>
              <w:t xml:space="preserve"> </w:t>
            </w:r>
            <w:r w:rsidRPr="00EA6969">
              <w:rPr>
                <w:rFonts w:ascii="Traditional Arabic" w:hAnsi="Traditional Arabic" w:cs="Traditional Arabic" w:hint="cs"/>
                <w:sz w:val="28"/>
                <w:szCs w:val="28"/>
                <w:rtl/>
              </w:rPr>
              <w:t>أم</w:t>
            </w:r>
            <w:r w:rsidRPr="00EA6969">
              <w:rPr>
                <w:rFonts w:ascii="Traditional Arabic" w:hAnsi="Traditional Arabic" w:cs="Traditional Arabic"/>
                <w:sz w:val="28"/>
                <w:szCs w:val="28"/>
                <w:rtl/>
              </w:rPr>
              <w:t xml:space="preserve"> </w:t>
            </w:r>
            <w:r w:rsidRPr="00EA6969">
              <w:rPr>
                <w:rFonts w:ascii="Traditional Arabic" w:hAnsi="Traditional Arabic" w:cs="Traditional Arabic" w:hint="cs"/>
                <w:sz w:val="28"/>
                <w:szCs w:val="28"/>
                <w:rtl/>
              </w:rPr>
              <w:t>تطوير</w:t>
            </w:r>
            <w:r w:rsidRPr="00EA6969">
              <w:rPr>
                <w:rFonts w:ascii="Traditional Arabic" w:hAnsi="Traditional Arabic" w:cs="Traditional Arabic"/>
                <w:sz w:val="28"/>
                <w:szCs w:val="28"/>
                <w:rtl/>
              </w:rPr>
              <w:t xml:space="preserve"> </w:t>
            </w:r>
            <w:r w:rsidRPr="00EA6969">
              <w:rPr>
                <w:rFonts w:hint="cs"/>
                <w:sz w:val="28"/>
                <w:szCs w:val="28"/>
                <w:rtl/>
              </w:rPr>
              <w:t>←</w:t>
            </w:r>
            <w:r w:rsidRPr="00EA6969">
              <w:rPr>
                <w:rFonts w:ascii="Traditional Arabic" w:hAnsi="Traditional Arabic" w:cs="Traditional Arabic"/>
                <w:sz w:val="28"/>
                <w:szCs w:val="28"/>
                <w:rtl/>
              </w:rPr>
              <w:t xml:space="preserve"> </w:t>
            </w:r>
            <w:r w:rsidRPr="00EA6969">
              <w:rPr>
                <w:rFonts w:ascii="Traditional Arabic" w:hAnsi="Traditional Arabic" w:cs="Traditional Arabic" w:hint="cs"/>
                <w:sz w:val="28"/>
                <w:szCs w:val="28"/>
                <w:rtl/>
              </w:rPr>
              <w:t>تكنولوجيا</w:t>
            </w:r>
            <w:r w:rsidRPr="00EA6969">
              <w:rPr>
                <w:rFonts w:ascii="Traditional Arabic" w:hAnsi="Traditional Arabic" w:cs="Traditional Arabic"/>
                <w:sz w:val="28"/>
                <w:szCs w:val="28"/>
                <w:rtl/>
              </w:rPr>
              <w:t>)</w:t>
            </w:r>
          </w:p>
        </w:tc>
        <w:tc>
          <w:tcPr>
            <w:tcW w:w="0" w:type="auto"/>
            <w:hideMark/>
          </w:tcPr>
          <w:p w14:paraId="2DF7A1AD" w14:textId="77777777" w:rsidR="00EA6969" w:rsidRPr="00EA6969" w:rsidRDefault="00EA6969" w:rsidP="00F6277B">
            <w:pPr>
              <w:pStyle w:val="ab"/>
              <w:bidi/>
              <w:spacing w:after="120"/>
              <w:rPr>
                <w:rFonts w:ascii="Traditional Arabic" w:hAnsi="Traditional Arabic" w:cs="Traditional Arabic"/>
                <w:sz w:val="28"/>
                <w:szCs w:val="28"/>
              </w:rPr>
            </w:pPr>
            <w:r w:rsidRPr="00EA6969">
              <w:rPr>
                <w:rFonts w:ascii="Traditional Arabic" w:hAnsi="Traditional Arabic" w:cs="Traditional Arabic"/>
                <w:sz w:val="28"/>
                <w:szCs w:val="28"/>
                <w:rtl/>
              </w:rPr>
              <w:t>اتفاق على وجود علاقة إيجابية بين المتغيرين</w:t>
            </w:r>
          </w:p>
        </w:tc>
        <w:tc>
          <w:tcPr>
            <w:tcW w:w="0" w:type="auto"/>
            <w:hideMark/>
          </w:tcPr>
          <w:p w14:paraId="10022618" w14:textId="77777777" w:rsidR="00EA6969" w:rsidRPr="00F6277B" w:rsidRDefault="00EA6969" w:rsidP="00F6277B">
            <w:pPr>
              <w:pStyle w:val="ab"/>
              <w:bidi/>
              <w:spacing w:after="120"/>
              <w:rPr>
                <w:rFonts w:ascii="Traditional Arabic" w:hAnsi="Traditional Arabic" w:cs="Traditional Arabic"/>
                <w:b/>
                <w:bCs/>
                <w:sz w:val="28"/>
                <w:szCs w:val="28"/>
              </w:rPr>
            </w:pPr>
            <w:r w:rsidRPr="00F6277B">
              <w:rPr>
                <w:rFonts w:ascii="Traditional Arabic" w:hAnsi="Traditional Arabic" w:cs="Traditional Arabic"/>
                <w:b/>
                <w:bCs/>
                <w:sz w:val="28"/>
                <w:szCs w:val="28"/>
                <w:rtl/>
              </w:rPr>
              <w:t>التطوير التنظيمي والتكنولوجيا الذكية</w:t>
            </w:r>
          </w:p>
        </w:tc>
      </w:tr>
      <w:tr w:rsidR="00EA6969" w:rsidRPr="00EA6969" w14:paraId="1476276D" w14:textId="77777777" w:rsidTr="00EA6969">
        <w:tc>
          <w:tcPr>
            <w:tcW w:w="0" w:type="auto"/>
            <w:hideMark/>
          </w:tcPr>
          <w:p w14:paraId="5D3F3F3F"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غياب السياق السعودي، وعدم اختبار التكنولوجيا كوسيط</w:t>
            </w:r>
          </w:p>
        </w:tc>
        <w:tc>
          <w:tcPr>
            <w:tcW w:w="0" w:type="auto"/>
            <w:hideMark/>
          </w:tcPr>
          <w:p w14:paraId="5E6A4DF2"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بعضها ركز على المخاطر المالية، وبعضها على المخاطر الصحية</w:t>
            </w:r>
          </w:p>
        </w:tc>
        <w:tc>
          <w:tcPr>
            <w:tcW w:w="0" w:type="auto"/>
            <w:hideMark/>
          </w:tcPr>
          <w:p w14:paraId="2F3D12A2" w14:textId="77777777" w:rsidR="00EA6969" w:rsidRPr="00EA6969" w:rsidRDefault="00EA6969" w:rsidP="00F6277B">
            <w:pPr>
              <w:pStyle w:val="ab"/>
              <w:bidi/>
              <w:spacing w:after="120"/>
              <w:rPr>
                <w:rFonts w:ascii="Traditional Arabic" w:hAnsi="Traditional Arabic" w:cs="Traditional Arabic"/>
                <w:sz w:val="28"/>
                <w:szCs w:val="28"/>
              </w:rPr>
            </w:pPr>
            <w:r w:rsidRPr="00EA6969">
              <w:rPr>
                <w:rFonts w:ascii="Traditional Arabic" w:hAnsi="Traditional Arabic" w:cs="Traditional Arabic"/>
                <w:sz w:val="28"/>
                <w:szCs w:val="28"/>
                <w:rtl/>
              </w:rPr>
              <w:t>اتفاق على أن التكنولوجيا تحسن إدارة المخاطر أو تقللها</w:t>
            </w:r>
          </w:p>
        </w:tc>
        <w:tc>
          <w:tcPr>
            <w:tcW w:w="0" w:type="auto"/>
            <w:hideMark/>
          </w:tcPr>
          <w:p w14:paraId="5500A2E6" w14:textId="77777777" w:rsidR="00EA6969" w:rsidRPr="00F6277B" w:rsidRDefault="00EA6969" w:rsidP="00F6277B">
            <w:pPr>
              <w:pStyle w:val="ab"/>
              <w:bidi/>
              <w:spacing w:after="120"/>
              <w:rPr>
                <w:rFonts w:ascii="Traditional Arabic" w:hAnsi="Traditional Arabic" w:cs="Traditional Arabic"/>
                <w:b/>
                <w:bCs/>
                <w:sz w:val="28"/>
                <w:szCs w:val="28"/>
              </w:rPr>
            </w:pPr>
            <w:r w:rsidRPr="00F6277B">
              <w:rPr>
                <w:rFonts w:ascii="Traditional Arabic" w:hAnsi="Traditional Arabic" w:cs="Traditional Arabic"/>
                <w:b/>
                <w:bCs/>
                <w:sz w:val="28"/>
                <w:szCs w:val="28"/>
                <w:rtl/>
              </w:rPr>
              <w:t>التكنولوجيا الذكية وإدارة المخاطر</w:t>
            </w:r>
          </w:p>
        </w:tc>
      </w:tr>
      <w:tr w:rsidR="00EA6969" w:rsidRPr="00EA6969" w14:paraId="45A288F0" w14:textId="77777777" w:rsidTr="00EA6969">
        <w:tc>
          <w:tcPr>
            <w:tcW w:w="0" w:type="auto"/>
            <w:hideMark/>
          </w:tcPr>
          <w:p w14:paraId="3ACC8CEC"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قطاعات متعددة، منهجيات وصفية في الغالب</w:t>
            </w:r>
          </w:p>
        </w:tc>
        <w:tc>
          <w:tcPr>
            <w:tcW w:w="0" w:type="auto"/>
            <w:hideMark/>
          </w:tcPr>
          <w:p w14:paraId="54471AC4" w14:textId="77777777" w:rsidR="00EA6969" w:rsidRPr="00EA6969" w:rsidRDefault="00EA6969" w:rsidP="00EA6969">
            <w:pPr>
              <w:pStyle w:val="ab"/>
              <w:bidi/>
              <w:spacing w:after="120"/>
              <w:jc w:val="both"/>
              <w:rPr>
                <w:rFonts w:ascii="Traditional Arabic" w:hAnsi="Traditional Arabic" w:cs="Traditional Arabic"/>
                <w:sz w:val="28"/>
                <w:szCs w:val="28"/>
              </w:rPr>
            </w:pPr>
            <w:r w:rsidRPr="00EA6969">
              <w:rPr>
                <w:rFonts w:ascii="Traditional Arabic" w:hAnsi="Traditional Arabic" w:cs="Traditional Arabic"/>
                <w:sz w:val="28"/>
                <w:szCs w:val="28"/>
                <w:rtl/>
              </w:rPr>
              <w:t>لم تختبر علاقات سببية بين المتغيرات</w:t>
            </w:r>
          </w:p>
        </w:tc>
        <w:tc>
          <w:tcPr>
            <w:tcW w:w="0" w:type="auto"/>
            <w:hideMark/>
          </w:tcPr>
          <w:p w14:paraId="46DAB3A9" w14:textId="77777777" w:rsidR="00EA6969" w:rsidRPr="00EA6969" w:rsidRDefault="00EA6969" w:rsidP="00F6277B">
            <w:pPr>
              <w:pStyle w:val="ab"/>
              <w:bidi/>
              <w:spacing w:after="120"/>
              <w:rPr>
                <w:rFonts w:ascii="Traditional Arabic" w:hAnsi="Traditional Arabic" w:cs="Traditional Arabic"/>
                <w:sz w:val="28"/>
                <w:szCs w:val="28"/>
              </w:rPr>
            </w:pPr>
            <w:r w:rsidRPr="00EA6969">
              <w:rPr>
                <w:rFonts w:ascii="Traditional Arabic" w:hAnsi="Traditional Arabic" w:cs="Traditional Arabic"/>
                <w:sz w:val="28"/>
                <w:szCs w:val="28"/>
                <w:rtl/>
              </w:rPr>
              <w:t>قدمت تأصيلاً مفاهيميًا جيدًا</w:t>
            </w:r>
          </w:p>
        </w:tc>
        <w:tc>
          <w:tcPr>
            <w:tcW w:w="0" w:type="auto"/>
            <w:hideMark/>
          </w:tcPr>
          <w:p w14:paraId="4F2B27CB" w14:textId="77777777" w:rsidR="00EA6969" w:rsidRPr="00F6277B" w:rsidRDefault="00EA6969" w:rsidP="00F6277B">
            <w:pPr>
              <w:pStyle w:val="ab"/>
              <w:bidi/>
              <w:spacing w:after="120"/>
              <w:rPr>
                <w:rFonts w:ascii="Traditional Arabic" w:hAnsi="Traditional Arabic" w:cs="Traditional Arabic"/>
                <w:b/>
                <w:bCs/>
                <w:sz w:val="28"/>
                <w:szCs w:val="28"/>
              </w:rPr>
            </w:pPr>
            <w:r w:rsidRPr="00F6277B">
              <w:rPr>
                <w:rFonts w:ascii="Traditional Arabic" w:hAnsi="Traditional Arabic" w:cs="Traditional Arabic"/>
                <w:b/>
                <w:bCs/>
                <w:sz w:val="28"/>
                <w:szCs w:val="28"/>
                <w:rtl/>
              </w:rPr>
              <w:t>الدراسات المنفردة</w:t>
            </w:r>
          </w:p>
        </w:tc>
      </w:tr>
    </w:tbl>
    <w:p w14:paraId="47F5C906" w14:textId="472BCD0E" w:rsidR="00425BA9" w:rsidRPr="00425BA9" w:rsidRDefault="00425BA9" w:rsidP="00425BA9">
      <w:pPr>
        <w:pStyle w:val="ab"/>
        <w:bidi/>
        <w:spacing w:before="0" w:beforeAutospacing="0" w:after="120" w:afterAutospacing="0"/>
        <w:jc w:val="both"/>
        <w:rPr>
          <w:rFonts w:ascii="Traditional Arabic" w:hAnsi="Traditional Arabic" w:cs="Traditional Arabic"/>
          <w:sz w:val="32"/>
          <w:szCs w:val="32"/>
        </w:rPr>
      </w:pPr>
      <w:r w:rsidRPr="00425BA9">
        <w:rPr>
          <w:rFonts w:ascii="Traditional Arabic" w:hAnsi="Traditional Arabic" w:cs="Traditional Arabic"/>
          <w:sz w:val="32"/>
          <w:szCs w:val="32"/>
          <w:rtl/>
        </w:rPr>
        <w:t>يتضح</w:t>
      </w:r>
      <w:r>
        <w:rPr>
          <w:rFonts w:ascii="Traditional Arabic" w:hAnsi="Traditional Arabic" w:cs="Traditional Arabic" w:hint="cs"/>
          <w:sz w:val="32"/>
          <w:szCs w:val="32"/>
          <w:rtl/>
        </w:rPr>
        <w:t xml:space="preserve"> من خلال عرض الأدبيات </w:t>
      </w:r>
      <w:r w:rsidRPr="00425BA9">
        <w:rPr>
          <w:rFonts w:ascii="Traditional Arabic" w:hAnsi="Traditional Arabic" w:cs="Traditional Arabic"/>
          <w:sz w:val="32"/>
          <w:szCs w:val="32"/>
          <w:rtl/>
        </w:rPr>
        <w:t>ذات الصلة</w:t>
      </w:r>
      <w:r>
        <w:rPr>
          <w:rFonts w:ascii="Traditional Arabic" w:hAnsi="Traditional Arabic" w:cs="Traditional Arabic" w:hint="cs"/>
          <w:sz w:val="32"/>
          <w:szCs w:val="32"/>
          <w:rtl/>
        </w:rPr>
        <w:t xml:space="preserve">، وتحليلها السابق أنه </w:t>
      </w:r>
      <w:r w:rsidRPr="00425BA9">
        <w:rPr>
          <w:rFonts w:ascii="Traditional Arabic" w:hAnsi="Traditional Arabic" w:cs="Traditional Arabic"/>
          <w:sz w:val="32"/>
          <w:szCs w:val="32"/>
          <w:rtl/>
        </w:rPr>
        <w:t xml:space="preserve">على الرغم من إسهامها في بناء قاعدة معرفية </w:t>
      </w:r>
      <w:r>
        <w:rPr>
          <w:rFonts w:ascii="Traditional Arabic" w:hAnsi="Traditional Arabic" w:cs="Traditional Arabic" w:hint="cs"/>
          <w:sz w:val="32"/>
          <w:szCs w:val="32"/>
          <w:rtl/>
        </w:rPr>
        <w:t xml:space="preserve">غنية </w:t>
      </w:r>
      <w:r w:rsidRPr="00425BA9">
        <w:rPr>
          <w:rFonts w:ascii="Traditional Arabic" w:hAnsi="Traditional Arabic" w:cs="Traditional Arabic"/>
          <w:sz w:val="32"/>
          <w:szCs w:val="32"/>
          <w:rtl/>
        </w:rPr>
        <w:t>حول متغيرات الدراسة، إلا أنها لا تزال محكومة بعدد من المحددات النظرية والمنهجية التي حالت دون تقديم تفسير تكاملي للعلاقات بين هذه المتغيرا</w:t>
      </w:r>
      <w:r>
        <w:rPr>
          <w:rFonts w:ascii="Traditional Arabic" w:hAnsi="Traditional Arabic" w:cs="Traditional Arabic" w:hint="cs"/>
          <w:sz w:val="32"/>
          <w:szCs w:val="32"/>
          <w:rtl/>
        </w:rPr>
        <w:t xml:space="preserve">ت؛ </w:t>
      </w:r>
      <w:r w:rsidRPr="00425BA9">
        <w:rPr>
          <w:rFonts w:ascii="Traditional Arabic" w:hAnsi="Traditional Arabic" w:cs="Traditional Arabic"/>
          <w:sz w:val="32"/>
          <w:szCs w:val="32"/>
          <w:rtl/>
        </w:rPr>
        <w:t xml:space="preserve">إذ يلاحظ أن الغالبية العظمى من الدراسات قد ركزت على اختبار </w:t>
      </w:r>
      <w:r w:rsidRPr="00425BA9">
        <w:rPr>
          <w:rFonts w:ascii="Traditional Arabic" w:hAnsi="Traditional Arabic" w:cs="Traditional Arabic"/>
          <w:sz w:val="32"/>
          <w:szCs w:val="32"/>
          <w:rtl/>
        </w:rPr>
        <w:lastRenderedPageBreak/>
        <w:t>علاقات ثنائية مباشرة بين المتغيرات، دون الانتقال إلى بناء نماذج تفسيرية مركبة تعكس الطبيعة الديناميكية والتفاعلية للعلاقة بين التطوير التنظيمي والتكنولوجيا الذكية وإدارة المخاطر</w:t>
      </w:r>
      <w:r w:rsidRPr="00425BA9">
        <w:rPr>
          <w:rFonts w:ascii="Traditional Arabic" w:hAnsi="Traditional Arabic" w:cs="Traditional Arabic"/>
          <w:sz w:val="32"/>
          <w:szCs w:val="32"/>
        </w:rPr>
        <w:t>.</w:t>
      </w:r>
    </w:p>
    <w:p w14:paraId="3B2DB50F" w14:textId="77777777" w:rsidR="00425BA9" w:rsidRPr="00425BA9" w:rsidRDefault="00425BA9" w:rsidP="00425BA9">
      <w:pPr>
        <w:pStyle w:val="ab"/>
        <w:bidi/>
        <w:spacing w:before="0" w:beforeAutospacing="0" w:after="120" w:afterAutospacing="0"/>
        <w:jc w:val="both"/>
        <w:rPr>
          <w:rFonts w:ascii="Traditional Arabic" w:hAnsi="Traditional Arabic" w:cs="Traditional Arabic"/>
          <w:sz w:val="32"/>
          <w:szCs w:val="32"/>
        </w:rPr>
      </w:pPr>
      <w:r w:rsidRPr="00425BA9">
        <w:rPr>
          <w:rFonts w:ascii="Traditional Arabic" w:hAnsi="Traditional Arabic" w:cs="Traditional Arabic"/>
          <w:sz w:val="32"/>
          <w:szCs w:val="32"/>
          <w:rtl/>
        </w:rPr>
        <w:t>كما تكشف القراءة النقدية عن وجود تباين واضح في تحديد اتجاه العلاقة السببية بين المتغيرات؛ حيث اعتبرت بعض الدراسات إدارة المخاطر متغيرًا مؤثرًا في التطوير التنظيمي، بينما افترضت دراسات أخرى الاتجاه العكسي، وهو ما يعكس غياب إطار نظري موحد يضبط منطق السببية ويحدد اتجاهات التأثير بصورة مستقرة. إضافة إلى ذلك، فقد انصرفت بعض الدراسات إلى تناول أنواع محددة من المخاطر، لا سيما المالية أو التشغيلية، دون تبني منظور شامل لإدارة المخاطر، خصوصًا في السياق الصحي</w:t>
      </w:r>
      <w:r w:rsidRPr="00425BA9">
        <w:rPr>
          <w:rFonts w:ascii="Traditional Arabic" w:hAnsi="Traditional Arabic" w:cs="Traditional Arabic"/>
          <w:sz w:val="32"/>
          <w:szCs w:val="32"/>
        </w:rPr>
        <w:t>.</w:t>
      </w:r>
    </w:p>
    <w:p w14:paraId="6387DE08" w14:textId="77777777" w:rsidR="00425BA9" w:rsidRPr="00425BA9" w:rsidRDefault="00425BA9" w:rsidP="00425BA9">
      <w:pPr>
        <w:pStyle w:val="ab"/>
        <w:bidi/>
        <w:spacing w:before="0" w:beforeAutospacing="0" w:after="120" w:afterAutospacing="0"/>
        <w:jc w:val="both"/>
        <w:rPr>
          <w:rFonts w:ascii="Traditional Arabic" w:hAnsi="Traditional Arabic" w:cs="Traditional Arabic"/>
          <w:sz w:val="32"/>
          <w:szCs w:val="32"/>
        </w:rPr>
      </w:pPr>
      <w:r w:rsidRPr="00425BA9">
        <w:rPr>
          <w:rFonts w:ascii="Traditional Arabic" w:hAnsi="Traditional Arabic" w:cs="Traditional Arabic"/>
          <w:sz w:val="32"/>
          <w:szCs w:val="32"/>
          <w:rtl/>
        </w:rPr>
        <w:t>ومن جهة أخرى، يتضح أن التكنولوجيا الذكية لم تُدمج بشكل كافٍ ضمن البنية التفسيرية للنماذج السابقة، إذ غالبًا ما تم التعامل معها كمتغير مستقل أو عامل داعم، دون اختبار موقعها كمتغير وسيط يفسر آلية انتقال أثر التطوير التنظيمي إلى إدارة المخاطر، وهو ما يمثل فجوة مفاهيمية مهمة في بناء النماذج السابقة. ويُضاف إلى ذلك أن غالبية الدراسات قد أُجريت في سياقات غير صحية أو خارج البيئة السعودية، مما يحد من إمكانية تعميم نتائجها على المؤسسات الصحية المحلية</w:t>
      </w:r>
      <w:r w:rsidRPr="00425BA9">
        <w:rPr>
          <w:rFonts w:ascii="Traditional Arabic" w:hAnsi="Traditional Arabic" w:cs="Traditional Arabic"/>
          <w:sz w:val="32"/>
          <w:szCs w:val="32"/>
        </w:rPr>
        <w:t>.</w:t>
      </w:r>
    </w:p>
    <w:p w14:paraId="432BA1D7" w14:textId="331C693C" w:rsidR="00042CD3" w:rsidRPr="00042CD3" w:rsidRDefault="00F6277B" w:rsidP="00425BA9">
      <w:pPr>
        <w:pStyle w:val="ab"/>
        <w:bidi/>
        <w:spacing w:before="0" w:beforeAutospacing="0" w:after="120" w:afterAutospacing="0"/>
        <w:jc w:val="both"/>
        <w:rPr>
          <w:rFonts w:ascii="Traditional Arabic" w:hAnsi="Traditional Arabic" w:cs="Traditional Arabic"/>
          <w:sz w:val="32"/>
          <w:szCs w:val="32"/>
        </w:rPr>
      </w:pPr>
      <w:r>
        <w:rPr>
          <w:rFonts w:ascii="Traditional Arabic" w:hAnsi="Traditional Arabic" w:cs="Traditional Arabic" w:hint="cs"/>
          <w:sz w:val="32"/>
          <w:szCs w:val="32"/>
          <w:rtl/>
        </w:rPr>
        <w:t>و</w:t>
      </w:r>
      <w:r w:rsidR="00042CD3" w:rsidRPr="00042CD3">
        <w:rPr>
          <w:rFonts w:ascii="Traditional Arabic" w:hAnsi="Traditional Arabic" w:cs="Traditional Arabic"/>
          <w:sz w:val="32"/>
          <w:szCs w:val="32"/>
          <w:rtl/>
        </w:rPr>
        <w:t xml:space="preserve">بناءً على </w:t>
      </w:r>
      <w:r>
        <w:rPr>
          <w:rFonts w:ascii="Traditional Arabic" w:hAnsi="Traditional Arabic" w:cs="Traditional Arabic" w:hint="cs"/>
          <w:sz w:val="32"/>
          <w:szCs w:val="32"/>
          <w:rtl/>
        </w:rPr>
        <w:t xml:space="preserve">ما سبق </w:t>
      </w:r>
      <w:r w:rsidR="00042CD3" w:rsidRPr="00042CD3">
        <w:rPr>
          <w:rFonts w:ascii="Traditional Arabic" w:hAnsi="Traditional Arabic" w:cs="Traditional Arabic"/>
          <w:sz w:val="32"/>
          <w:szCs w:val="32"/>
          <w:rtl/>
        </w:rPr>
        <w:t>يمكن تحديد الفجوة البحثية في</w:t>
      </w:r>
      <w:r>
        <w:rPr>
          <w:rFonts w:ascii="Traditional Arabic" w:hAnsi="Traditional Arabic" w:cs="Traditional Arabic" w:hint="cs"/>
          <w:sz w:val="32"/>
          <w:szCs w:val="32"/>
          <w:rtl/>
        </w:rPr>
        <w:t xml:space="preserve"> الدراسات السابقة في</w:t>
      </w:r>
      <w:r w:rsidR="00042CD3" w:rsidRPr="00042CD3">
        <w:rPr>
          <w:rFonts w:ascii="Traditional Arabic" w:hAnsi="Traditional Arabic" w:cs="Traditional Arabic"/>
          <w:sz w:val="32"/>
          <w:szCs w:val="32"/>
          <w:rtl/>
        </w:rPr>
        <w:t xml:space="preserve"> ثلاثة مستويات مترابطة</w:t>
      </w:r>
      <w:r>
        <w:rPr>
          <w:rFonts w:ascii="Traditional Arabic" w:hAnsi="Traditional Arabic" w:cs="Traditional Arabic" w:hint="cs"/>
          <w:sz w:val="32"/>
          <w:szCs w:val="32"/>
          <w:rtl/>
        </w:rPr>
        <w:t xml:space="preserve"> كما يلي:</w:t>
      </w:r>
    </w:p>
    <w:p w14:paraId="7BEC8D25" w14:textId="6C243CFF" w:rsidR="00042CD3" w:rsidRPr="00042CD3" w:rsidRDefault="00042CD3" w:rsidP="00042CD3">
      <w:pPr>
        <w:pStyle w:val="ab"/>
        <w:numPr>
          <w:ilvl w:val="0"/>
          <w:numId w:val="116"/>
        </w:numPr>
        <w:bidi/>
        <w:spacing w:before="0" w:after="120"/>
        <w:jc w:val="both"/>
        <w:rPr>
          <w:rFonts w:ascii="Traditional Arabic" w:hAnsi="Traditional Arabic" w:cs="Traditional Arabic"/>
          <w:sz w:val="32"/>
          <w:szCs w:val="32"/>
        </w:rPr>
      </w:pPr>
      <w:r w:rsidRPr="00042CD3">
        <w:rPr>
          <w:rFonts w:ascii="Traditional Arabic" w:hAnsi="Traditional Arabic" w:cs="Traditional Arabic"/>
          <w:b/>
          <w:bCs/>
          <w:sz w:val="32"/>
          <w:szCs w:val="32"/>
          <w:rtl/>
        </w:rPr>
        <w:t>فجوة نظرية</w:t>
      </w:r>
      <w:r w:rsidRPr="00042CD3">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042CD3">
        <w:rPr>
          <w:rFonts w:ascii="Traditional Arabic" w:hAnsi="Traditional Arabic" w:cs="Traditional Arabic"/>
          <w:sz w:val="32"/>
          <w:szCs w:val="32"/>
          <w:rtl/>
        </w:rPr>
        <w:t>تتمثل في ندرة الدراسات التي جمعت المتغيرات الثلاثة معًا (التطوير التنظيمي، التكنولوجيا الذكية، إدارة المخاطر) ضمن نموذج سببي متكامل يختبر العلاقات المباشرة وغير المباشرة، رغم أن الأدبيات المستندة إلى نظرية النظم المفتوحة ومنطق الوساطة تشير إلى وجود دور وسيط محتمل للتكنولوجيا الذكية في</w:t>
      </w:r>
      <w:r>
        <w:rPr>
          <w:rFonts w:ascii="Traditional Arabic" w:hAnsi="Traditional Arabic" w:cs="Traditional Arabic" w:hint="cs"/>
          <w:sz w:val="32"/>
          <w:szCs w:val="32"/>
          <w:rtl/>
        </w:rPr>
        <w:t xml:space="preserve"> </w:t>
      </w:r>
      <w:r w:rsidRPr="00042CD3">
        <w:rPr>
          <w:rFonts w:ascii="Traditional Arabic" w:hAnsi="Traditional Arabic" w:cs="Traditional Arabic"/>
          <w:sz w:val="32"/>
          <w:szCs w:val="32"/>
          <w:rtl/>
        </w:rPr>
        <w:t>هذه العلاقة دون تناول هذا الدور بشكل صريح ومتكامل</w:t>
      </w:r>
      <w:r w:rsidRPr="00042CD3">
        <w:rPr>
          <w:rFonts w:ascii="Traditional Arabic" w:hAnsi="Traditional Arabic" w:cs="Traditional Arabic"/>
          <w:sz w:val="32"/>
          <w:szCs w:val="32"/>
        </w:rPr>
        <w:t xml:space="preserve">. </w:t>
      </w:r>
    </w:p>
    <w:p w14:paraId="3CEFAEB1" w14:textId="2CC0B852" w:rsidR="00042CD3" w:rsidRPr="00042CD3" w:rsidRDefault="00042CD3" w:rsidP="00042CD3">
      <w:pPr>
        <w:pStyle w:val="ab"/>
        <w:numPr>
          <w:ilvl w:val="0"/>
          <w:numId w:val="116"/>
        </w:numPr>
        <w:bidi/>
        <w:spacing w:before="0" w:after="120"/>
        <w:jc w:val="both"/>
        <w:rPr>
          <w:rFonts w:ascii="Traditional Arabic" w:hAnsi="Traditional Arabic" w:cs="Traditional Arabic"/>
          <w:sz w:val="32"/>
          <w:szCs w:val="32"/>
        </w:rPr>
      </w:pPr>
      <w:r w:rsidRPr="00042CD3">
        <w:rPr>
          <w:rFonts w:ascii="Traditional Arabic" w:hAnsi="Traditional Arabic" w:cs="Traditional Arabic"/>
          <w:b/>
          <w:bCs/>
          <w:sz w:val="32"/>
          <w:szCs w:val="32"/>
          <w:rtl/>
        </w:rPr>
        <w:t>فجوة تطبيقية/سياقي</w:t>
      </w:r>
      <w:r>
        <w:rPr>
          <w:rFonts w:ascii="Traditional Arabic" w:hAnsi="Traditional Arabic" w:cs="Traditional Arabic" w:hint="cs"/>
          <w:b/>
          <w:bCs/>
          <w:sz w:val="32"/>
          <w:szCs w:val="32"/>
          <w:rtl/>
        </w:rPr>
        <w:t xml:space="preserve">ة: </w:t>
      </w:r>
      <w:r w:rsidRPr="00042CD3">
        <w:rPr>
          <w:rFonts w:ascii="Traditional Arabic" w:hAnsi="Traditional Arabic" w:cs="Traditional Arabic"/>
          <w:sz w:val="32"/>
          <w:szCs w:val="32"/>
          <w:rtl/>
        </w:rPr>
        <w:t>تتمثل في قلة الدراسات الميدانية التي طُبقت على القطاع الصحي السعودي، خاصة في مستشفيات منطقة الباحة، مما يحد من فهم طبيعة هذه المتغيرات في سياق محلي يتميز بخصوصيته التنظيمية</w:t>
      </w:r>
      <w:r>
        <w:rPr>
          <w:rFonts w:ascii="Traditional Arabic" w:hAnsi="Traditional Arabic" w:cs="Traditional Arabic" w:hint="cs"/>
          <w:sz w:val="32"/>
          <w:szCs w:val="32"/>
          <w:rtl/>
        </w:rPr>
        <w:t xml:space="preserve"> </w:t>
      </w:r>
      <w:r w:rsidRPr="00042CD3">
        <w:rPr>
          <w:rFonts w:ascii="Traditional Arabic" w:hAnsi="Traditional Arabic" w:cs="Traditional Arabic"/>
          <w:sz w:val="32"/>
          <w:szCs w:val="32"/>
          <w:rtl/>
        </w:rPr>
        <w:t>والتشغيلية</w:t>
      </w:r>
      <w:r w:rsidRPr="00042CD3">
        <w:rPr>
          <w:rFonts w:ascii="Traditional Arabic" w:hAnsi="Traditional Arabic" w:cs="Traditional Arabic"/>
          <w:sz w:val="32"/>
          <w:szCs w:val="32"/>
        </w:rPr>
        <w:t xml:space="preserve">. </w:t>
      </w:r>
    </w:p>
    <w:p w14:paraId="7B9C3A6A" w14:textId="77777777" w:rsidR="00E05749" w:rsidRDefault="00042CD3" w:rsidP="00E05749">
      <w:pPr>
        <w:pStyle w:val="ab"/>
        <w:numPr>
          <w:ilvl w:val="0"/>
          <w:numId w:val="116"/>
        </w:numPr>
        <w:bidi/>
        <w:spacing w:before="0" w:after="120"/>
        <w:jc w:val="both"/>
        <w:rPr>
          <w:rFonts w:ascii="Traditional Arabic" w:hAnsi="Traditional Arabic" w:cs="Traditional Arabic"/>
          <w:sz w:val="32"/>
          <w:szCs w:val="32"/>
        </w:rPr>
      </w:pPr>
      <w:r w:rsidRPr="00042CD3">
        <w:rPr>
          <w:rFonts w:ascii="Traditional Arabic" w:hAnsi="Traditional Arabic" w:cs="Traditional Arabic"/>
          <w:b/>
          <w:bCs/>
          <w:sz w:val="32"/>
          <w:szCs w:val="32"/>
          <w:rtl/>
        </w:rPr>
        <w:t>فجوة منهجية</w:t>
      </w:r>
      <w:r>
        <w:rPr>
          <w:rFonts w:ascii="Traditional Arabic" w:hAnsi="Traditional Arabic" w:cs="Traditional Arabic" w:hint="cs"/>
          <w:b/>
          <w:bCs/>
          <w:sz w:val="32"/>
          <w:szCs w:val="32"/>
          <w:rtl/>
        </w:rPr>
        <w:t xml:space="preserve">: </w:t>
      </w:r>
      <w:r w:rsidRPr="00042CD3">
        <w:rPr>
          <w:rFonts w:ascii="Traditional Arabic" w:hAnsi="Traditional Arabic" w:cs="Traditional Arabic"/>
          <w:sz w:val="32"/>
          <w:szCs w:val="32"/>
          <w:rtl/>
        </w:rPr>
        <w:t>تتمثل في تركيز معظم الدراسات السابقة على اختبار العلاقات المباشرة بين المتغيرات، مع إغفال النماذج التي تقيس التأثيرات غير المباشرة (الوساطة)، مما يحد من تفسير الآليات التي تنتقل من خلالها التأثيرات بين المتغيرات</w:t>
      </w:r>
      <w:r w:rsidR="00F6277B">
        <w:rPr>
          <w:rFonts w:ascii="Traditional Arabic" w:hAnsi="Traditional Arabic" w:cs="Traditional Arabic" w:hint="cs"/>
          <w:sz w:val="32"/>
          <w:szCs w:val="32"/>
          <w:rtl/>
        </w:rPr>
        <w:t>.</w:t>
      </w:r>
    </w:p>
    <w:p w14:paraId="445FFC75" w14:textId="4121772F" w:rsidR="00E05749" w:rsidRPr="00E05749" w:rsidRDefault="00E05749" w:rsidP="00E05749">
      <w:pPr>
        <w:pStyle w:val="ab"/>
        <w:bidi/>
        <w:spacing w:before="0" w:after="120"/>
        <w:jc w:val="both"/>
        <w:rPr>
          <w:rFonts w:ascii="Traditional Arabic" w:hAnsi="Traditional Arabic" w:cs="Traditional Arabic"/>
          <w:sz w:val="32"/>
          <w:szCs w:val="32"/>
        </w:rPr>
      </w:pPr>
      <w:r w:rsidRPr="00E05749">
        <w:rPr>
          <w:rFonts w:ascii="Traditional Arabic" w:hAnsi="Traditional Arabic" w:cs="Traditional Arabic" w:hint="cs"/>
          <w:sz w:val="32"/>
          <w:szCs w:val="32"/>
          <w:rtl/>
        </w:rPr>
        <w:t xml:space="preserve">وفي </w:t>
      </w:r>
      <w:r w:rsidRPr="00E05749">
        <w:rPr>
          <w:rFonts w:ascii="Traditional Arabic" w:hAnsi="Traditional Arabic" w:cs="Traditional Arabic"/>
          <w:sz w:val="32"/>
          <w:szCs w:val="32"/>
          <w:rtl/>
        </w:rPr>
        <w:t xml:space="preserve">ضوء </w:t>
      </w:r>
      <w:r w:rsidRPr="00E05749">
        <w:rPr>
          <w:rFonts w:ascii="Traditional Arabic" w:hAnsi="Traditional Arabic" w:cs="Traditional Arabic" w:hint="cs"/>
          <w:sz w:val="32"/>
          <w:szCs w:val="32"/>
          <w:rtl/>
        </w:rPr>
        <w:t xml:space="preserve">ما سبق، </w:t>
      </w:r>
      <w:r w:rsidRPr="00E05749">
        <w:rPr>
          <w:rFonts w:ascii="Traditional Arabic" w:hAnsi="Traditional Arabic" w:cs="Traditional Arabic"/>
          <w:sz w:val="32"/>
          <w:szCs w:val="32"/>
          <w:rtl/>
        </w:rPr>
        <w:t>يتضح أن تفسير العلاقات بين متغيرات الدراسة لا ينبغي أن يُبنى على مستوى العلاقات الثنائية المعزولة، بل على مستوى بنيوي تكاملي يعكس منطق التفاعل النظامي بين التطوير التنظيمي والتكنولوجيا الذكية وإدارة المخاطر داخل البيئة الصحية</w:t>
      </w:r>
      <w:r w:rsidR="00E74640">
        <w:rPr>
          <w:rFonts w:ascii="Traditional Arabic" w:hAnsi="Traditional Arabic" w:cs="Traditional Arabic" w:hint="cs"/>
          <w:sz w:val="32"/>
          <w:szCs w:val="32"/>
          <w:rtl/>
        </w:rPr>
        <w:t xml:space="preserve">؛ </w:t>
      </w:r>
      <w:r w:rsidRPr="00E05749">
        <w:rPr>
          <w:rFonts w:ascii="Traditional Arabic" w:hAnsi="Traditional Arabic" w:cs="Traditional Arabic"/>
          <w:sz w:val="32"/>
          <w:szCs w:val="32"/>
          <w:rtl/>
        </w:rPr>
        <w:t xml:space="preserve">ففي هذا الإطار، يُمثل التطوير التنظيمي البنية التحتية التنظيمية التي </w:t>
      </w:r>
      <w:r w:rsidRPr="00E05749">
        <w:rPr>
          <w:rFonts w:ascii="Traditional Arabic" w:hAnsi="Traditional Arabic" w:cs="Traditional Arabic"/>
          <w:sz w:val="32"/>
          <w:szCs w:val="32"/>
          <w:rtl/>
        </w:rPr>
        <w:lastRenderedPageBreak/>
        <w:t>تُعاد من خلالها هندسة العمليات والهياكل الداخلية للمستشفى، في حين تُجسد التكنولوجيا الذكية البعد التشغيلي-التحويلي الذي يترجم هذا التطوير إلى قدرات تحليلية وتنبؤية متقدمة، بينما تُعبر إدارة المخاطر عن الناتج الوظيفي النهائي لهذا التفاعل المركب بما يعكس مستوى الجاهزية المؤسسية في التعامل مع التهديدات التشغيلية والتنظيمية</w:t>
      </w:r>
      <w:r w:rsidRPr="00E05749">
        <w:rPr>
          <w:rFonts w:ascii="Traditional Arabic" w:hAnsi="Traditional Arabic" w:cs="Traditional Arabic"/>
          <w:sz w:val="32"/>
          <w:szCs w:val="32"/>
        </w:rPr>
        <w:t>.</w:t>
      </w:r>
    </w:p>
    <w:p w14:paraId="3164FF94" w14:textId="656D5FDF" w:rsidR="00E05749" w:rsidRPr="00E05749" w:rsidRDefault="00E05749" w:rsidP="00E05749">
      <w:pPr>
        <w:pStyle w:val="ab"/>
        <w:bidi/>
        <w:spacing w:before="0" w:beforeAutospacing="0" w:after="120" w:afterAutospacing="0"/>
        <w:jc w:val="both"/>
        <w:rPr>
          <w:rFonts w:ascii="Traditional Arabic" w:hAnsi="Traditional Arabic" w:cs="Traditional Arabic"/>
          <w:sz w:val="32"/>
          <w:szCs w:val="32"/>
        </w:rPr>
      </w:pPr>
      <w:r w:rsidRPr="00E05749">
        <w:rPr>
          <w:rFonts w:ascii="Traditional Arabic" w:hAnsi="Traditional Arabic" w:cs="Traditional Arabic"/>
          <w:sz w:val="32"/>
          <w:szCs w:val="32"/>
          <w:rtl/>
        </w:rPr>
        <w:t>وبناءً على هذا التصور، فإن العلاقة بين هذه المتغيرات لا تُفهم بوصفها علاقات خطية مباشرة، بل باعتبارها منظومة سببية ديناميكية تتكامل فيها المدخلات التنظيمية مع الوسائط التكنولوجية لإنتاج مخرجات أكثر فاعلية في إدارة المخاطر</w:t>
      </w:r>
      <w:r w:rsidR="00E74640">
        <w:rPr>
          <w:rFonts w:ascii="Traditional Arabic" w:hAnsi="Traditional Arabic" w:cs="Traditional Arabic" w:hint="cs"/>
          <w:sz w:val="32"/>
          <w:szCs w:val="32"/>
          <w:rtl/>
        </w:rPr>
        <w:t xml:space="preserve">؛ </w:t>
      </w:r>
      <w:r w:rsidRPr="00E05749">
        <w:rPr>
          <w:rFonts w:ascii="Traditional Arabic" w:hAnsi="Traditional Arabic" w:cs="Traditional Arabic"/>
          <w:sz w:val="32"/>
          <w:szCs w:val="32"/>
          <w:rtl/>
        </w:rPr>
        <w:t>إذ يُسهم التطوير التنظيمي في إعادة تشكيل البنية المؤسسية والموارد البشرية بما يهيئ بيئة داعمة لاعتماد التكنولوجيا الذكية، والتي بدورها تعمل كآلية وسيطة تُعزز قدرات الاستشعار المبكر والتنبؤ بالمخاطر والاستجابة لها، بما ينعكس في تحسين كفاءة وفاعلية ممارسات إدارة المخاطر</w:t>
      </w:r>
      <w:r w:rsidRPr="00E05749">
        <w:rPr>
          <w:rFonts w:ascii="Traditional Arabic" w:hAnsi="Traditional Arabic" w:cs="Traditional Arabic"/>
          <w:sz w:val="32"/>
          <w:szCs w:val="32"/>
        </w:rPr>
        <w:t>.</w:t>
      </w:r>
    </w:p>
    <w:p w14:paraId="741C3581" w14:textId="0A3E27A6" w:rsidR="00F6277B" w:rsidRPr="00425BA9" w:rsidRDefault="00E05749" w:rsidP="00292F40">
      <w:pPr>
        <w:pStyle w:val="ab"/>
        <w:bidi/>
        <w:spacing w:before="0" w:beforeAutospacing="0" w:after="120" w:afterAutospacing="0"/>
        <w:jc w:val="both"/>
        <w:rPr>
          <w:rFonts w:ascii="Traditional Arabic" w:hAnsi="Traditional Arabic" w:cs="Traditional Arabic"/>
          <w:sz w:val="32"/>
          <w:szCs w:val="32"/>
          <w:rtl/>
        </w:rPr>
      </w:pPr>
      <w:r w:rsidRPr="00E05749">
        <w:rPr>
          <w:rFonts w:ascii="Traditional Arabic" w:hAnsi="Traditional Arabic" w:cs="Traditional Arabic"/>
          <w:sz w:val="32"/>
          <w:szCs w:val="32"/>
          <w:rtl/>
        </w:rPr>
        <w:t>ومن هذا المنظور، فإن منطق الوساطة لا يُعد افتراضًا إحصائيًا مجردًا، بل يمثل بنية تفسيرية سببية تعكس آلية انتقال الأثر من المستوى البنيوي التنظيمي إلى المستوى التشغيلي عبر وسيط تكنولوجي ذكي، الأمر الذي يعزز الاتساق المفاهيمي للنموذج المقترح، ويؤسس لتفسير أكثر شمولًا ودقة لطبيعة العلاقات بين متغيرات الدراسة في السياق الصحي محل التطبيق</w:t>
      </w:r>
      <w:r w:rsidRPr="00E05749">
        <w:rPr>
          <w:rFonts w:ascii="Traditional Arabic" w:hAnsi="Traditional Arabic" w:cs="Traditional Arabic"/>
          <w:sz w:val="32"/>
          <w:szCs w:val="32"/>
        </w:rPr>
        <w:t>.</w:t>
      </w:r>
    </w:p>
    <w:p w14:paraId="6A02259C" w14:textId="77777777" w:rsidR="00F6277B" w:rsidRDefault="004A406E" w:rsidP="00F6277B">
      <w:pPr>
        <w:pStyle w:val="ab"/>
        <w:bidi/>
        <w:spacing w:before="0" w:beforeAutospacing="0" w:after="120" w:afterAutospacing="0"/>
        <w:jc w:val="both"/>
        <w:rPr>
          <w:rFonts w:ascii="Traditional Arabic" w:hAnsi="Traditional Arabic" w:cs="Traditional Arabic"/>
          <w:b/>
          <w:bCs/>
          <w:sz w:val="36"/>
          <w:szCs w:val="36"/>
          <w:rtl/>
        </w:rPr>
      </w:pPr>
      <w:r w:rsidRPr="004A406E">
        <w:rPr>
          <w:rFonts w:ascii="Traditional Arabic" w:hAnsi="Traditional Arabic" w:cs="Traditional Arabic" w:hint="cs"/>
          <w:b/>
          <w:bCs/>
          <w:sz w:val="36"/>
          <w:szCs w:val="36"/>
          <w:rtl/>
        </w:rPr>
        <w:t>خامسًا: فرضيات الدراس</w:t>
      </w:r>
      <w:r>
        <w:rPr>
          <w:rFonts w:ascii="Traditional Arabic" w:hAnsi="Traditional Arabic" w:cs="Traditional Arabic" w:hint="cs"/>
          <w:b/>
          <w:bCs/>
          <w:sz w:val="36"/>
          <w:szCs w:val="36"/>
          <w:rtl/>
        </w:rPr>
        <w:t>ة</w:t>
      </w:r>
    </w:p>
    <w:p w14:paraId="08F4E28E" w14:textId="56BE8D23" w:rsidR="00CF3AD5" w:rsidRPr="00CF3AD5" w:rsidRDefault="00CF3AD5" w:rsidP="00CF3AD5">
      <w:pPr>
        <w:pStyle w:val="ab"/>
        <w:bidi/>
        <w:spacing w:before="0" w:beforeAutospacing="0" w:after="120" w:afterAutospacing="0"/>
        <w:jc w:val="both"/>
        <w:rPr>
          <w:rFonts w:ascii="Traditional Arabic" w:hAnsi="Traditional Arabic" w:cs="Traditional Arabic"/>
          <w:sz w:val="32"/>
          <w:szCs w:val="32"/>
          <w:rtl/>
        </w:rPr>
      </w:pPr>
      <w:r w:rsidRPr="00CF3AD5">
        <w:rPr>
          <w:rFonts w:ascii="Traditional Arabic" w:hAnsi="Traditional Arabic" w:cs="Traditional Arabic"/>
          <w:sz w:val="32"/>
          <w:szCs w:val="32"/>
          <w:rtl/>
        </w:rPr>
        <w:t>انطلاقًا من الفجوات البحثية التي تم تحديدها في الدراسات السابقة، وما كشفت عنه من قصور نظري ومنهجي وسياقي في تفسير العلاقات بين متغيرات الدراسة، تسعى هذه الدراسة إلى تقديم نموذج سببي متكامل لاختبار أثر التطوير التنظيمي على إدارة المخاطر من خلال الدور الوسيط للتكنولوجيا الذكية في مستشفى الملك فهد المركزي بالباحة. وفي هذا السياق، يمكن ربط الفجوات البحثية بمسارات الفرضيات على النحو الذي يعكس البنية التفسيرية للدراسة؛ حيث تُجسد الفجوة النظرية الحاجة إلى اختبار العلاقات المباشرة بين التطوير التنظيمي وإدارة المخاطر، بما ينعكس في الفرضيات</w:t>
      </w:r>
      <w:r w:rsidRPr="00CF3AD5">
        <w:rPr>
          <w:rFonts w:ascii="Traditional Arabic" w:hAnsi="Traditional Arabic" w:cs="Traditional Arabic"/>
          <w:sz w:val="32"/>
          <w:szCs w:val="32"/>
        </w:rPr>
        <w:t xml:space="preserve"> (H1–H2)</w:t>
      </w:r>
      <w:r w:rsidRPr="00CF3AD5">
        <w:rPr>
          <w:rFonts w:ascii="Traditional Arabic" w:hAnsi="Traditional Arabic" w:cs="Traditional Arabic"/>
          <w:sz w:val="32"/>
          <w:szCs w:val="32"/>
          <w:rtl/>
        </w:rPr>
        <w:t>، بينما تعكس الفجوة المنهجية ضرورة اختبار الدور الوسيط للتكنولوجيا الذكية في هذه العلاقة، وهو ما تعالجه الفرضية</w:t>
      </w:r>
      <w:r w:rsidRPr="00CF3AD5">
        <w:rPr>
          <w:rFonts w:ascii="Traditional Arabic" w:hAnsi="Traditional Arabic" w:cs="Traditional Arabic"/>
          <w:sz w:val="32"/>
          <w:szCs w:val="32"/>
        </w:rPr>
        <w:t xml:space="preserve"> (H3) </w:t>
      </w:r>
      <w:r>
        <w:rPr>
          <w:rFonts w:ascii="Traditional Arabic" w:hAnsi="Traditional Arabic" w:cs="Traditional Arabic" w:hint="cs"/>
          <w:sz w:val="32"/>
          <w:szCs w:val="32"/>
          <w:rtl/>
        </w:rPr>
        <w:t xml:space="preserve">، </w:t>
      </w:r>
      <w:r w:rsidRPr="00CF3AD5">
        <w:rPr>
          <w:rFonts w:ascii="Traditional Arabic" w:hAnsi="Traditional Arabic" w:cs="Traditional Arabic"/>
          <w:sz w:val="32"/>
          <w:szCs w:val="32"/>
          <w:rtl/>
        </w:rPr>
        <w:t>أما الفجوة التطبيقية فتتمثل في الحاجة إلى اختبار هذا النموذج داخل السياق الصحي السعودي، بما يبرر تطبيق الفرضية</w:t>
      </w:r>
      <w:r w:rsidRPr="00CF3AD5">
        <w:rPr>
          <w:rFonts w:ascii="Traditional Arabic" w:hAnsi="Traditional Arabic" w:cs="Traditional Arabic"/>
          <w:sz w:val="32"/>
          <w:szCs w:val="32"/>
        </w:rPr>
        <w:t xml:space="preserve"> (H4) </w:t>
      </w:r>
      <w:r w:rsidRPr="00CF3AD5">
        <w:rPr>
          <w:rFonts w:ascii="Traditional Arabic" w:hAnsi="Traditional Arabic" w:cs="Traditional Arabic"/>
          <w:sz w:val="32"/>
          <w:szCs w:val="32"/>
          <w:rtl/>
        </w:rPr>
        <w:t>في مستشفى الملك فهد المركزي بالباحة</w:t>
      </w:r>
      <w:r w:rsidRPr="00CF3AD5">
        <w:rPr>
          <w:rFonts w:ascii="Traditional Arabic" w:hAnsi="Traditional Arabic" w:cs="Traditional Arabic"/>
          <w:sz w:val="32"/>
          <w:szCs w:val="32"/>
        </w:rPr>
        <w:t>.</w:t>
      </w:r>
      <w:r>
        <w:rPr>
          <w:rFonts w:ascii="Traditional Arabic" w:hAnsi="Traditional Arabic" w:cs="Traditional Arabic" w:hint="cs"/>
          <w:sz w:val="32"/>
          <w:szCs w:val="32"/>
          <w:rtl/>
        </w:rPr>
        <w:t xml:space="preserve"> وبناءً على ما سبق تفترض الدراسة ما يلي:</w:t>
      </w:r>
    </w:p>
    <w:p w14:paraId="6771BF1C" w14:textId="33DD05FA" w:rsidR="005B684E" w:rsidRDefault="00FC1F7D" w:rsidP="00AF30A4">
      <w:pPr>
        <w:pStyle w:val="ab"/>
        <w:bidi/>
        <w:spacing w:before="0" w:after="120"/>
        <w:jc w:val="both"/>
        <w:rPr>
          <w:rFonts w:ascii="Traditional Arabic" w:hAnsi="Traditional Arabic" w:cs="Traditional Arabic"/>
          <w:color w:val="000000" w:themeColor="text1"/>
          <w:sz w:val="28"/>
          <w:szCs w:val="28"/>
          <w:rtl/>
        </w:rPr>
      </w:pPr>
      <w:r w:rsidRPr="00B34478">
        <w:rPr>
          <w:rFonts w:ascii="Traditional Arabic" w:hAnsi="Traditional Arabic" w:cs="Traditional Arabic"/>
          <w:b/>
          <w:bCs/>
          <w:color w:val="000000" w:themeColor="text1"/>
          <w:sz w:val="32"/>
          <w:szCs w:val="32"/>
          <w:rtl/>
        </w:rPr>
        <w:t>الفرضية الرئيسية</w:t>
      </w:r>
      <w:r w:rsidRPr="00B34478">
        <w:rPr>
          <w:rFonts w:ascii="Traditional Arabic" w:hAnsi="Traditional Arabic" w:cs="Traditional Arabic"/>
          <w:b/>
          <w:bCs/>
          <w:color w:val="000000" w:themeColor="text1"/>
          <w:sz w:val="32"/>
          <w:szCs w:val="32"/>
        </w:rPr>
        <w:t xml:space="preserve"> H</w:t>
      </w:r>
      <w:r w:rsidRPr="00B34478">
        <w:rPr>
          <w:rFonts w:ascii="Cambria Math" w:hAnsi="Cambria Math" w:cs="Cambria Math"/>
          <w:b/>
          <w:bCs/>
          <w:color w:val="000000" w:themeColor="text1"/>
          <w:sz w:val="32"/>
          <w:szCs w:val="32"/>
        </w:rPr>
        <w:t>₁</w:t>
      </w:r>
      <w:r w:rsidRPr="00B34478">
        <w:rPr>
          <w:rFonts w:ascii="Traditional Arabic" w:hAnsi="Traditional Arabic" w:cs="Traditional Arabic"/>
          <w:b/>
          <w:bCs/>
          <w:color w:val="000000" w:themeColor="text1"/>
          <w:sz w:val="32"/>
          <w:szCs w:val="32"/>
        </w:rPr>
        <w:t> </w:t>
      </w:r>
      <w:r w:rsidRPr="00B34478">
        <w:rPr>
          <w:rFonts w:ascii="Traditional Arabic" w:hAnsi="Traditional Arabic" w:cs="Traditional Arabic" w:hint="cs"/>
          <w:b/>
          <w:bCs/>
          <w:color w:val="000000" w:themeColor="text1"/>
          <w:sz w:val="32"/>
          <w:szCs w:val="32"/>
          <w:rtl/>
        </w:rPr>
        <w:t xml:space="preserve">: </w:t>
      </w:r>
      <w:r w:rsidRPr="00B34478">
        <w:rPr>
          <w:rFonts w:ascii="Traditional Arabic" w:hAnsi="Traditional Arabic" w:cs="Traditional Arabic"/>
          <w:b/>
          <w:bCs/>
          <w:color w:val="000000" w:themeColor="text1"/>
          <w:sz w:val="32"/>
          <w:szCs w:val="32"/>
          <w:rtl/>
        </w:rPr>
        <w:t>يؤثر التطوير التنظيمي إيجابيًا في إدارة المخاطر</w:t>
      </w:r>
      <w:r w:rsidRPr="00B34478">
        <w:rPr>
          <w:rFonts w:ascii="Traditional Arabic" w:hAnsi="Traditional Arabic" w:cs="Traditional Arabic" w:hint="cs"/>
          <w:b/>
          <w:bCs/>
          <w:color w:val="000000" w:themeColor="text1"/>
          <w:sz w:val="32"/>
          <w:szCs w:val="32"/>
          <w:rtl/>
        </w:rPr>
        <w:t xml:space="preserve"> في مستشفى الملك فهد المركزي بالباحة.</w:t>
      </w:r>
      <w:r w:rsidRPr="00B34478">
        <w:rPr>
          <w:rFonts w:ascii="Traditional Arabic" w:hAnsi="Traditional Arabic" w:cs="Traditional Arabic" w:hint="cs"/>
          <w:color w:val="000000" w:themeColor="text1"/>
          <w:sz w:val="28"/>
          <w:szCs w:val="28"/>
          <w:rtl/>
        </w:rPr>
        <w:t xml:space="preserve"> ويتفرع عنها الفرضيات التالية:</w:t>
      </w:r>
    </w:p>
    <w:p w14:paraId="131452C1" w14:textId="77777777" w:rsidR="00AF30A4" w:rsidRDefault="00AF30A4" w:rsidP="00AF30A4">
      <w:pPr>
        <w:pStyle w:val="ab"/>
        <w:bidi/>
        <w:spacing w:before="0" w:after="120"/>
        <w:jc w:val="both"/>
        <w:rPr>
          <w:rFonts w:ascii="Traditional Arabic" w:hAnsi="Traditional Arabic" w:cs="Traditional Arabic"/>
          <w:color w:val="000000" w:themeColor="text1"/>
          <w:sz w:val="28"/>
          <w:szCs w:val="28"/>
          <w:rtl/>
        </w:rPr>
      </w:pPr>
    </w:p>
    <w:p w14:paraId="643B12DE" w14:textId="77777777" w:rsidR="00AF30A4" w:rsidRPr="00B34478" w:rsidRDefault="00AF30A4" w:rsidP="00AF30A4">
      <w:pPr>
        <w:pStyle w:val="ab"/>
        <w:bidi/>
        <w:spacing w:before="0" w:after="120"/>
        <w:jc w:val="both"/>
        <w:rPr>
          <w:rFonts w:ascii="Traditional Arabic" w:hAnsi="Traditional Arabic" w:cs="Traditional Arabic"/>
          <w:color w:val="000000" w:themeColor="text1"/>
          <w:sz w:val="28"/>
          <w:szCs w:val="28"/>
          <w:rtl/>
        </w:rPr>
      </w:pPr>
    </w:p>
    <w:tbl>
      <w:tblPr>
        <w:tblStyle w:val="aa"/>
        <w:tblW w:w="0" w:type="auto"/>
        <w:tblLook w:val="04A0" w:firstRow="1" w:lastRow="0" w:firstColumn="1" w:lastColumn="0" w:noHBand="0" w:noVBand="1"/>
      </w:tblPr>
      <w:tblGrid>
        <w:gridCol w:w="4106"/>
        <w:gridCol w:w="1985"/>
        <w:gridCol w:w="1988"/>
        <w:gridCol w:w="698"/>
      </w:tblGrid>
      <w:tr w:rsidR="00FC1F7D" w:rsidRPr="00833BCD" w14:paraId="00C7BA9E" w14:textId="77777777" w:rsidTr="00CC1EA7">
        <w:tc>
          <w:tcPr>
            <w:tcW w:w="4106" w:type="dxa"/>
            <w:hideMark/>
          </w:tcPr>
          <w:p w14:paraId="15E23E8F" w14:textId="77777777" w:rsidR="00FC1F7D" w:rsidRPr="00833BCD" w:rsidRDefault="00FC1F7D" w:rsidP="00CC1EA7">
            <w:pPr>
              <w:bidi/>
              <w:spacing w:line="276" w:lineRule="auto"/>
              <w:jc w:val="center"/>
              <w:rPr>
                <w:rFonts w:ascii="Traditional Arabic" w:eastAsia="Times New Roman" w:hAnsi="Traditional Arabic" w:cs="Traditional Arabic"/>
                <w:b/>
                <w:bCs/>
                <w:sz w:val="28"/>
                <w:szCs w:val="28"/>
              </w:rPr>
            </w:pPr>
            <w:bookmarkStart w:id="6" w:name="_Hlk215938589"/>
            <w:r w:rsidRPr="00833BCD">
              <w:rPr>
                <w:rFonts w:ascii="Traditional Arabic" w:eastAsia="Times New Roman" w:hAnsi="Traditional Arabic" w:cs="Traditional Arabic"/>
                <w:b/>
                <w:bCs/>
                <w:sz w:val="28"/>
                <w:szCs w:val="28"/>
                <w:rtl/>
              </w:rPr>
              <w:t>الفرضية الفرعية</w:t>
            </w:r>
          </w:p>
        </w:tc>
        <w:tc>
          <w:tcPr>
            <w:tcW w:w="1985" w:type="dxa"/>
            <w:hideMark/>
          </w:tcPr>
          <w:p w14:paraId="2386B9DC" w14:textId="77777777" w:rsidR="00FC1F7D" w:rsidRPr="00833BCD" w:rsidRDefault="00FC1F7D" w:rsidP="00CC1EA7">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88" w:type="dxa"/>
            <w:hideMark/>
          </w:tcPr>
          <w:p w14:paraId="0294F276" w14:textId="77777777" w:rsidR="00FC1F7D" w:rsidRPr="00833BCD" w:rsidRDefault="00FC1F7D" w:rsidP="00CC1EA7">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27263B90" w14:textId="77777777" w:rsidR="00FC1F7D" w:rsidRPr="00833BCD" w:rsidRDefault="00FC1F7D" w:rsidP="00CC1EA7">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FC1F7D" w:rsidRPr="00833BCD" w14:paraId="46429EC7" w14:textId="77777777" w:rsidTr="00CC1EA7">
        <w:tc>
          <w:tcPr>
            <w:tcW w:w="4106" w:type="dxa"/>
            <w:hideMark/>
          </w:tcPr>
          <w:p w14:paraId="094EE577"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يؤثر ا</w:t>
            </w:r>
            <w:r w:rsidRPr="00833BCD">
              <w:rPr>
                <w:rFonts w:ascii="Traditional Arabic" w:eastAsia="Times New Roman" w:hAnsi="Traditional Arabic" w:cs="Traditional Arabic"/>
                <w:sz w:val="28"/>
                <w:szCs w:val="28"/>
                <w:rtl/>
              </w:rPr>
              <w:t xml:space="preserve">لهيكل التنظيمي </w:t>
            </w:r>
            <w:r>
              <w:rPr>
                <w:rFonts w:ascii="Traditional Arabic" w:eastAsia="Times New Roman" w:hAnsi="Traditional Arabic" w:cs="Traditional Arabic" w:hint="cs"/>
                <w:sz w:val="28"/>
                <w:szCs w:val="28"/>
                <w:rtl/>
              </w:rPr>
              <w:t xml:space="preserve">إيجابيًا </w:t>
            </w:r>
            <w:r w:rsidRPr="00833BCD">
              <w:rPr>
                <w:rFonts w:ascii="Traditional Arabic" w:eastAsia="Times New Roman" w:hAnsi="Traditional Arabic" w:cs="Traditional Arabic"/>
                <w:sz w:val="28"/>
                <w:szCs w:val="28"/>
                <w:rtl/>
              </w:rPr>
              <w:t>في التخطيط للمخاطر</w:t>
            </w:r>
            <w:r w:rsidRPr="00833BCD">
              <w:rPr>
                <w:rFonts w:ascii="Traditional Arabic" w:eastAsia="Times New Roman" w:hAnsi="Traditional Arabic" w:cs="Traditional Arabic"/>
                <w:sz w:val="28"/>
                <w:szCs w:val="28"/>
              </w:rPr>
              <w:t>.</w:t>
            </w:r>
          </w:p>
        </w:tc>
        <w:tc>
          <w:tcPr>
            <w:tcW w:w="1985" w:type="dxa"/>
            <w:hideMark/>
          </w:tcPr>
          <w:p w14:paraId="32C5C433"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68049FD2"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147421D5"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a</w:t>
            </w:r>
            <w:proofErr w:type="spellEnd"/>
          </w:p>
        </w:tc>
      </w:tr>
      <w:tr w:rsidR="00FC1F7D" w:rsidRPr="00833BCD" w14:paraId="64E94440" w14:textId="77777777" w:rsidTr="00CC1EA7">
        <w:tc>
          <w:tcPr>
            <w:tcW w:w="4106" w:type="dxa"/>
            <w:hideMark/>
          </w:tcPr>
          <w:p w14:paraId="04D20D31"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الموقف من المخاطر</w:t>
            </w:r>
            <w:r w:rsidRPr="00833BCD">
              <w:rPr>
                <w:rFonts w:ascii="Traditional Arabic" w:eastAsia="Times New Roman" w:hAnsi="Traditional Arabic" w:cs="Traditional Arabic"/>
                <w:sz w:val="28"/>
                <w:szCs w:val="28"/>
              </w:rPr>
              <w:t>.</w:t>
            </w:r>
          </w:p>
        </w:tc>
        <w:tc>
          <w:tcPr>
            <w:tcW w:w="1985" w:type="dxa"/>
            <w:hideMark/>
          </w:tcPr>
          <w:p w14:paraId="0950BC90"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795E96C8"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3CCB78E2"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b</w:t>
            </w:r>
            <w:proofErr w:type="spellEnd"/>
          </w:p>
        </w:tc>
      </w:tr>
      <w:tr w:rsidR="00FC1F7D" w:rsidRPr="00833BCD" w14:paraId="088D2DB8" w14:textId="77777777" w:rsidTr="00CC1EA7">
        <w:tc>
          <w:tcPr>
            <w:tcW w:w="4106" w:type="dxa"/>
            <w:hideMark/>
          </w:tcPr>
          <w:p w14:paraId="63EC3665"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الممارسات الوقائية</w:t>
            </w:r>
            <w:r w:rsidRPr="00833BCD">
              <w:rPr>
                <w:rFonts w:ascii="Traditional Arabic" w:eastAsia="Times New Roman" w:hAnsi="Traditional Arabic" w:cs="Traditional Arabic"/>
                <w:sz w:val="28"/>
                <w:szCs w:val="28"/>
              </w:rPr>
              <w:t>.</w:t>
            </w:r>
          </w:p>
        </w:tc>
        <w:tc>
          <w:tcPr>
            <w:tcW w:w="1985" w:type="dxa"/>
            <w:hideMark/>
          </w:tcPr>
          <w:p w14:paraId="77EFB726"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425233AD"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66954BE3"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c</w:t>
            </w:r>
            <w:proofErr w:type="spellEnd"/>
          </w:p>
        </w:tc>
      </w:tr>
      <w:tr w:rsidR="00FC1F7D" w:rsidRPr="00833BCD" w14:paraId="12077A9A" w14:textId="77777777" w:rsidTr="00CC1EA7">
        <w:tc>
          <w:tcPr>
            <w:tcW w:w="4106" w:type="dxa"/>
            <w:hideMark/>
          </w:tcPr>
          <w:p w14:paraId="2B1F8EB0"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التخطيط للمخاطر</w:t>
            </w:r>
            <w:r w:rsidRPr="00833BCD">
              <w:rPr>
                <w:rFonts w:ascii="Traditional Arabic" w:eastAsia="Times New Roman" w:hAnsi="Traditional Arabic" w:cs="Traditional Arabic"/>
                <w:sz w:val="28"/>
                <w:szCs w:val="28"/>
              </w:rPr>
              <w:t>.</w:t>
            </w:r>
          </w:p>
        </w:tc>
        <w:tc>
          <w:tcPr>
            <w:tcW w:w="1985" w:type="dxa"/>
            <w:hideMark/>
          </w:tcPr>
          <w:p w14:paraId="74B1BB2B"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61665A87"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2EABDB44"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d</w:t>
            </w:r>
            <w:proofErr w:type="spellEnd"/>
          </w:p>
        </w:tc>
      </w:tr>
      <w:tr w:rsidR="00FC1F7D" w:rsidRPr="00833BCD" w14:paraId="7DAA1E32" w14:textId="77777777" w:rsidTr="00CC1EA7">
        <w:tc>
          <w:tcPr>
            <w:tcW w:w="4106" w:type="dxa"/>
            <w:hideMark/>
          </w:tcPr>
          <w:p w14:paraId="43F71094"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تؤثر إ</w:t>
            </w:r>
            <w:r w:rsidRPr="00833BCD">
              <w:rPr>
                <w:rFonts w:ascii="Traditional Arabic" w:eastAsia="Times New Roman" w:hAnsi="Traditional Arabic" w:cs="Traditional Arabic"/>
                <w:sz w:val="28"/>
                <w:szCs w:val="28"/>
                <w:rtl/>
              </w:rPr>
              <w:t>عادة هندسة العمليات</w:t>
            </w:r>
            <w:r>
              <w:rPr>
                <w:rFonts w:ascii="Traditional Arabic" w:eastAsia="Times New Roman" w:hAnsi="Traditional Arabic" w:cs="Traditional Arabic" w:hint="cs"/>
                <w:sz w:val="28"/>
                <w:szCs w:val="28"/>
                <w:rtl/>
              </w:rPr>
              <w:t xml:space="preserve"> إيجابيًا</w:t>
            </w:r>
            <w:r w:rsidRPr="00833BCD">
              <w:rPr>
                <w:rFonts w:ascii="Traditional Arabic" w:eastAsia="Times New Roman" w:hAnsi="Traditional Arabic" w:cs="Traditional Arabic"/>
                <w:sz w:val="28"/>
                <w:szCs w:val="28"/>
                <w:rtl/>
              </w:rPr>
              <w:t xml:space="preserve"> في الموقف من المخاطر</w:t>
            </w:r>
            <w:r w:rsidRPr="00833BCD">
              <w:rPr>
                <w:rFonts w:ascii="Traditional Arabic" w:eastAsia="Times New Roman" w:hAnsi="Traditional Arabic" w:cs="Traditional Arabic"/>
                <w:sz w:val="28"/>
                <w:szCs w:val="28"/>
              </w:rPr>
              <w:t>.</w:t>
            </w:r>
          </w:p>
        </w:tc>
        <w:tc>
          <w:tcPr>
            <w:tcW w:w="1985" w:type="dxa"/>
            <w:hideMark/>
          </w:tcPr>
          <w:p w14:paraId="7843E52A"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5FBB6F92"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34B422DC"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e</w:t>
            </w:r>
            <w:proofErr w:type="spellEnd"/>
          </w:p>
        </w:tc>
      </w:tr>
      <w:tr w:rsidR="00FC1F7D" w:rsidRPr="00833BCD" w14:paraId="440526F7" w14:textId="77777777" w:rsidTr="00CC1EA7">
        <w:tc>
          <w:tcPr>
            <w:tcW w:w="4106" w:type="dxa"/>
            <w:hideMark/>
          </w:tcPr>
          <w:p w14:paraId="025560EC"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الممارسات الوقائية</w:t>
            </w:r>
            <w:r w:rsidRPr="00833BCD">
              <w:rPr>
                <w:rFonts w:ascii="Traditional Arabic" w:eastAsia="Times New Roman" w:hAnsi="Traditional Arabic" w:cs="Traditional Arabic"/>
                <w:sz w:val="28"/>
                <w:szCs w:val="28"/>
              </w:rPr>
              <w:t>.</w:t>
            </w:r>
          </w:p>
        </w:tc>
        <w:tc>
          <w:tcPr>
            <w:tcW w:w="1985" w:type="dxa"/>
            <w:hideMark/>
          </w:tcPr>
          <w:p w14:paraId="207401D9"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1D779995"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104BB901"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f</w:t>
            </w:r>
            <w:proofErr w:type="spellEnd"/>
          </w:p>
        </w:tc>
      </w:tr>
      <w:tr w:rsidR="00FC1F7D" w:rsidRPr="00833BCD" w14:paraId="4AB87DAA" w14:textId="77777777" w:rsidTr="00CC1EA7">
        <w:tc>
          <w:tcPr>
            <w:tcW w:w="4106" w:type="dxa"/>
            <w:hideMark/>
          </w:tcPr>
          <w:p w14:paraId="14B4B623"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يؤثر </w:t>
            </w:r>
            <w:r w:rsidRPr="00833BCD">
              <w:rPr>
                <w:rFonts w:ascii="Traditional Arabic" w:eastAsia="Times New Roman" w:hAnsi="Traditional Arabic" w:cs="Traditional Arabic"/>
                <w:sz w:val="28"/>
                <w:szCs w:val="28"/>
                <w:rtl/>
              </w:rPr>
              <w:t xml:space="preserve">تمكين </w:t>
            </w:r>
            <w:r w:rsidRPr="00833BCD">
              <w:rPr>
                <w:rFonts w:ascii="Traditional Arabic" w:eastAsia="Times New Roman" w:hAnsi="Traditional Arabic" w:cs="Traditional Arabic" w:hint="cs"/>
                <w:sz w:val="28"/>
                <w:szCs w:val="28"/>
                <w:rtl/>
              </w:rPr>
              <w:t xml:space="preserve">العاملين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التخطيط للمخاطر</w:t>
            </w:r>
            <w:r w:rsidRPr="00833BCD">
              <w:rPr>
                <w:rFonts w:ascii="Traditional Arabic" w:eastAsia="Times New Roman" w:hAnsi="Traditional Arabic" w:cs="Traditional Arabic"/>
                <w:sz w:val="28"/>
                <w:szCs w:val="28"/>
              </w:rPr>
              <w:t>.</w:t>
            </w:r>
          </w:p>
        </w:tc>
        <w:tc>
          <w:tcPr>
            <w:tcW w:w="1985" w:type="dxa"/>
            <w:hideMark/>
          </w:tcPr>
          <w:p w14:paraId="73BC1F79"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13105F18"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761CD230"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g</w:t>
            </w:r>
            <w:proofErr w:type="spellEnd"/>
          </w:p>
        </w:tc>
      </w:tr>
      <w:tr w:rsidR="00FC1F7D" w:rsidRPr="00833BCD" w14:paraId="6275990B" w14:textId="77777777" w:rsidTr="00CC1EA7">
        <w:tc>
          <w:tcPr>
            <w:tcW w:w="4106" w:type="dxa"/>
            <w:hideMark/>
          </w:tcPr>
          <w:p w14:paraId="22B9B0E9"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يؤثر تمكين العاملين إيجابيًا</w:t>
            </w:r>
            <w:r w:rsidRPr="00833BCD">
              <w:rPr>
                <w:rFonts w:ascii="Traditional Arabic" w:eastAsia="Times New Roman" w:hAnsi="Traditional Arabic" w:cs="Traditional Arabic"/>
                <w:sz w:val="28"/>
                <w:szCs w:val="28"/>
                <w:rtl/>
              </w:rPr>
              <w:t xml:space="preserve"> في الموقف من المخاطر</w:t>
            </w:r>
            <w:r w:rsidRPr="00833BCD">
              <w:rPr>
                <w:rFonts w:ascii="Traditional Arabic" w:eastAsia="Times New Roman" w:hAnsi="Traditional Arabic" w:cs="Traditional Arabic"/>
                <w:sz w:val="28"/>
                <w:szCs w:val="28"/>
              </w:rPr>
              <w:t>.</w:t>
            </w:r>
          </w:p>
        </w:tc>
        <w:tc>
          <w:tcPr>
            <w:tcW w:w="1985" w:type="dxa"/>
            <w:hideMark/>
          </w:tcPr>
          <w:p w14:paraId="48C49F6E"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3A250F0F"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ABF92F5"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h</w:t>
            </w:r>
            <w:proofErr w:type="spellEnd"/>
          </w:p>
        </w:tc>
      </w:tr>
      <w:tr w:rsidR="00FC1F7D" w:rsidRPr="00833BCD" w14:paraId="2F2CA938" w14:textId="77777777" w:rsidTr="00CC1EA7">
        <w:tc>
          <w:tcPr>
            <w:tcW w:w="4106" w:type="dxa"/>
            <w:hideMark/>
          </w:tcPr>
          <w:p w14:paraId="547D253E" w14:textId="77777777" w:rsidR="00FC1F7D" w:rsidRPr="00833BCD" w:rsidRDefault="00FC1F7D" w:rsidP="00CC1EA7">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 xml:space="preserve">يؤثر تمكين العاملين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في الممارسات الوقائية</w:t>
            </w:r>
            <w:r w:rsidRPr="00833BCD">
              <w:rPr>
                <w:rFonts w:ascii="Traditional Arabic" w:eastAsia="Times New Roman" w:hAnsi="Traditional Arabic" w:cs="Traditional Arabic"/>
                <w:sz w:val="28"/>
                <w:szCs w:val="28"/>
              </w:rPr>
              <w:t>.</w:t>
            </w:r>
          </w:p>
        </w:tc>
        <w:tc>
          <w:tcPr>
            <w:tcW w:w="1985" w:type="dxa"/>
            <w:hideMark/>
          </w:tcPr>
          <w:p w14:paraId="600AAB17"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14527CF5" w14:textId="77777777" w:rsidR="00FC1F7D" w:rsidRPr="00833BCD" w:rsidRDefault="00FC1F7D" w:rsidP="00CC1EA7">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B907030" w14:textId="77777777" w:rsidR="00FC1F7D" w:rsidRPr="00833BCD" w:rsidRDefault="00FC1F7D" w:rsidP="00CC1EA7">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i</w:t>
            </w:r>
            <w:proofErr w:type="spellEnd"/>
          </w:p>
        </w:tc>
      </w:tr>
      <w:bookmarkEnd w:id="6"/>
    </w:tbl>
    <w:p w14:paraId="5F64A3A1" w14:textId="77777777" w:rsidR="00FC1F7D" w:rsidRDefault="00FC1F7D" w:rsidP="00B34478">
      <w:pPr>
        <w:bidi/>
        <w:spacing w:after="0" w:line="120" w:lineRule="auto"/>
        <w:jc w:val="both"/>
        <w:rPr>
          <w:rFonts w:ascii="Traditional Arabic" w:hAnsi="Traditional Arabic" w:cs="Traditional Arabic"/>
          <w:b/>
          <w:bCs/>
          <w:color w:val="000000" w:themeColor="text1"/>
          <w:sz w:val="28"/>
          <w:szCs w:val="28"/>
          <w:rtl/>
        </w:rPr>
      </w:pPr>
    </w:p>
    <w:p w14:paraId="32E652F9" w14:textId="18518F5E" w:rsidR="00FC1F7D" w:rsidRPr="004A406E" w:rsidRDefault="00FC1F7D" w:rsidP="004A406E">
      <w:pPr>
        <w:bidi/>
        <w:spacing w:after="0" w:line="276" w:lineRule="auto"/>
        <w:jc w:val="both"/>
        <w:rPr>
          <w:rFonts w:ascii="Traditional Arabic" w:hAnsi="Traditional Arabic" w:cs="Traditional Arabic"/>
          <w:b/>
          <w:bCs/>
          <w:color w:val="000000" w:themeColor="text1"/>
          <w:sz w:val="28"/>
          <w:szCs w:val="28"/>
          <w:rtl/>
        </w:rPr>
      </w:pPr>
      <w:r w:rsidRPr="004A406E">
        <w:rPr>
          <w:rFonts w:ascii="Traditional Arabic" w:hAnsi="Traditional Arabic" w:cs="Traditional Arabic"/>
          <w:b/>
          <w:bCs/>
          <w:color w:val="000000" w:themeColor="text1"/>
          <w:sz w:val="32"/>
          <w:szCs w:val="32"/>
          <w:rtl/>
        </w:rPr>
        <w:t>الفرضية الرئيسية</w:t>
      </w:r>
      <w:r w:rsidRPr="004A406E">
        <w:rPr>
          <w:rFonts w:ascii="Traditional Arabic" w:hAnsi="Traditional Arabic" w:cs="Traditional Arabic"/>
          <w:b/>
          <w:bCs/>
          <w:color w:val="000000" w:themeColor="text1"/>
          <w:sz w:val="32"/>
          <w:szCs w:val="32"/>
        </w:rPr>
        <w:t xml:space="preserve"> H</w:t>
      </w:r>
      <w:r w:rsidRPr="004A406E">
        <w:rPr>
          <w:rFonts w:ascii="Cambria Math" w:hAnsi="Cambria Math" w:cs="Cambria Math"/>
          <w:b/>
          <w:bCs/>
          <w:color w:val="000000" w:themeColor="text1"/>
          <w:sz w:val="32"/>
          <w:szCs w:val="32"/>
        </w:rPr>
        <w:t>₂</w:t>
      </w:r>
      <w:r w:rsidRPr="004A406E">
        <w:rPr>
          <w:rFonts w:ascii="Traditional Arabic" w:hAnsi="Traditional Arabic" w:cs="Traditional Arabic"/>
          <w:b/>
          <w:bCs/>
          <w:color w:val="000000" w:themeColor="text1"/>
          <w:sz w:val="32"/>
          <w:szCs w:val="32"/>
        </w:rPr>
        <w:t> </w:t>
      </w:r>
      <w:r w:rsidRPr="004A406E">
        <w:rPr>
          <w:rFonts w:ascii="Traditional Arabic" w:hAnsi="Traditional Arabic" w:cs="Traditional Arabic" w:hint="cs"/>
          <w:b/>
          <w:bCs/>
          <w:color w:val="000000" w:themeColor="text1"/>
          <w:sz w:val="32"/>
          <w:szCs w:val="32"/>
          <w:rtl/>
        </w:rPr>
        <w:t xml:space="preserve">: </w:t>
      </w:r>
      <w:r w:rsidRPr="004A406E">
        <w:rPr>
          <w:rFonts w:ascii="Traditional Arabic" w:hAnsi="Traditional Arabic" w:cs="Traditional Arabic"/>
          <w:b/>
          <w:bCs/>
          <w:color w:val="000000" w:themeColor="text1"/>
          <w:sz w:val="32"/>
          <w:szCs w:val="32"/>
          <w:rtl/>
        </w:rPr>
        <w:t xml:space="preserve">يؤثر التطوير التنظيمي إيجابيًا </w:t>
      </w:r>
      <w:r w:rsidRPr="004A406E">
        <w:rPr>
          <w:rFonts w:ascii="Traditional Arabic" w:hAnsi="Traditional Arabic" w:cs="Traditional Arabic" w:hint="cs"/>
          <w:b/>
          <w:bCs/>
          <w:color w:val="000000" w:themeColor="text1"/>
          <w:sz w:val="32"/>
          <w:szCs w:val="32"/>
          <w:rtl/>
        </w:rPr>
        <w:t xml:space="preserve">في </w:t>
      </w:r>
      <w:r w:rsidRPr="004A406E">
        <w:rPr>
          <w:rFonts w:ascii="Traditional Arabic" w:hAnsi="Traditional Arabic" w:cs="Traditional Arabic"/>
          <w:b/>
          <w:bCs/>
          <w:color w:val="000000" w:themeColor="text1"/>
          <w:sz w:val="32"/>
          <w:szCs w:val="32"/>
          <w:rtl/>
        </w:rPr>
        <w:t>تبني التكنولوجيا الذكية في مستشفى الملك فهد المركزي</w:t>
      </w:r>
      <w:r w:rsidRPr="004A406E">
        <w:rPr>
          <w:rFonts w:ascii="Traditional Arabic" w:hAnsi="Traditional Arabic" w:cs="Traditional Arabic"/>
          <w:b/>
          <w:bCs/>
          <w:color w:val="000000" w:themeColor="text1"/>
          <w:sz w:val="28"/>
          <w:szCs w:val="28"/>
          <w:rtl/>
        </w:rPr>
        <w:t xml:space="preserve"> بالباحة</w:t>
      </w:r>
      <w:r w:rsidRPr="004A406E">
        <w:rPr>
          <w:rFonts w:ascii="Traditional Arabic" w:hAnsi="Traditional Arabic" w:cs="Traditional Arabic"/>
          <w:b/>
          <w:bCs/>
          <w:color w:val="000000" w:themeColor="text1"/>
          <w:sz w:val="28"/>
          <w:szCs w:val="28"/>
        </w:rPr>
        <w:t>.</w:t>
      </w:r>
      <w:r w:rsidRPr="004A406E">
        <w:rPr>
          <w:rFonts w:ascii="Traditional Arabic" w:hAnsi="Traditional Arabic" w:cs="Traditional Arabic" w:hint="cs"/>
          <w:b/>
          <w:bCs/>
          <w:color w:val="000000" w:themeColor="text1"/>
          <w:sz w:val="28"/>
          <w:szCs w:val="28"/>
          <w:rtl/>
        </w:rPr>
        <w:t xml:space="preserve"> </w:t>
      </w:r>
      <w:r w:rsidRPr="004A406E">
        <w:rPr>
          <w:rFonts w:ascii="Traditional Arabic" w:hAnsi="Traditional Arabic" w:cs="Traditional Arabic" w:hint="cs"/>
          <w:color w:val="000000" w:themeColor="text1"/>
          <w:sz w:val="28"/>
          <w:szCs w:val="28"/>
          <w:rtl/>
        </w:rPr>
        <w:t>ويتفرع عنها الفرضيات التالية:</w:t>
      </w:r>
    </w:p>
    <w:tbl>
      <w:tblPr>
        <w:tblStyle w:val="aa"/>
        <w:tblW w:w="0" w:type="auto"/>
        <w:tblLook w:val="04A0" w:firstRow="1" w:lastRow="0" w:firstColumn="1" w:lastColumn="0" w:noHBand="0" w:noVBand="1"/>
      </w:tblPr>
      <w:tblGrid>
        <w:gridCol w:w="4106"/>
        <w:gridCol w:w="1985"/>
        <w:gridCol w:w="1988"/>
        <w:gridCol w:w="698"/>
      </w:tblGrid>
      <w:tr w:rsidR="00FC1F7D" w:rsidRPr="00833BCD" w14:paraId="5F24A8C3" w14:textId="77777777" w:rsidTr="00CC1EA7">
        <w:tc>
          <w:tcPr>
            <w:tcW w:w="4106" w:type="dxa"/>
            <w:hideMark/>
          </w:tcPr>
          <w:p w14:paraId="4909DB1F" w14:textId="77777777" w:rsidR="00FC1F7D" w:rsidRPr="00833BCD" w:rsidRDefault="00FC1F7D" w:rsidP="00CC1EA7">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الفرضية الفرعية</w:t>
            </w:r>
          </w:p>
        </w:tc>
        <w:tc>
          <w:tcPr>
            <w:tcW w:w="1985" w:type="dxa"/>
            <w:hideMark/>
          </w:tcPr>
          <w:p w14:paraId="1A2804BD" w14:textId="77777777" w:rsidR="00FC1F7D" w:rsidRPr="00833BCD" w:rsidRDefault="00FC1F7D" w:rsidP="00CC1EA7">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88" w:type="dxa"/>
            <w:hideMark/>
          </w:tcPr>
          <w:p w14:paraId="0C4A7D49" w14:textId="77777777" w:rsidR="00FC1F7D" w:rsidRPr="00833BCD" w:rsidRDefault="00FC1F7D" w:rsidP="00CC1EA7">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20B51CF5" w14:textId="77777777" w:rsidR="00FC1F7D" w:rsidRPr="00833BCD" w:rsidRDefault="00FC1F7D" w:rsidP="00CC1EA7">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FC1F7D" w:rsidRPr="00833BCD" w14:paraId="54CF5E0C" w14:textId="77777777" w:rsidTr="00CC1EA7">
        <w:tc>
          <w:tcPr>
            <w:tcW w:w="4106" w:type="dxa"/>
            <w:hideMark/>
          </w:tcPr>
          <w:p w14:paraId="1C6B1ECD" w14:textId="77777777" w:rsidR="00FC1F7D" w:rsidRPr="00833BCD" w:rsidRDefault="00FC1F7D" w:rsidP="00CC1EA7">
            <w:pPr>
              <w:bidi/>
              <w:rPr>
                <w:rFonts w:ascii="Traditional Arabic" w:eastAsia="Times New Roman" w:hAnsi="Traditional Arabic" w:cs="Traditional Arabic"/>
                <w:sz w:val="28"/>
                <w:szCs w:val="28"/>
                <w:rtl/>
              </w:rPr>
            </w:pPr>
            <w:r w:rsidRPr="00CD1986">
              <w:rPr>
                <w:rFonts w:ascii="Traditional Arabic" w:eastAsia="Times New Roman" w:hAnsi="Traditional Arabic" w:cs="Traditional Arabic"/>
                <w:sz w:val="28"/>
                <w:szCs w:val="28"/>
                <w:rtl/>
              </w:rPr>
              <w:t>يؤثر الهيكل التنظيمي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54896FC5"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3791B57A"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6BEBEC26"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a</w:t>
            </w:r>
            <w:proofErr w:type="spellEnd"/>
          </w:p>
        </w:tc>
      </w:tr>
      <w:tr w:rsidR="00FC1F7D" w:rsidRPr="00833BCD" w14:paraId="4DB92878" w14:textId="77777777" w:rsidTr="00CC1EA7">
        <w:tc>
          <w:tcPr>
            <w:tcW w:w="4106" w:type="dxa"/>
            <w:hideMark/>
          </w:tcPr>
          <w:p w14:paraId="3257D019"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6DD70B79"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6DE00A3B"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46F55B37"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b</w:t>
            </w:r>
            <w:proofErr w:type="spellEnd"/>
          </w:p>
        </w:tc>
      </w:tr>
      <w:tr w:rsidR="00FC1F7D" w:rsidRPr="00833BCD" w14:paraId="37CCDD5C" w14:textId="77777777" w:rsidTr="00CC1EA7">
        <w:tc>
          <w:tcPr>
            <w:tcW w:w="4106" w:type="dxa"/>
            <w:hideMark/>
          </w:tcPr>
          <w:p w14:paraId="5352551D"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18982B5B"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20C3F22A"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182E0044"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c</w:t>
            </w:r>
            <w:proofErr w:type="spellEnd"/>
          </w:p>
        </w:tc>
      </w:tr>
      <w:tr w:rsidR="00FC1F7D" w:rsidRPr="00833BCD" w14:paraId="0687331C" w14:textId="77777777" w:rsidTr="00CC1EA7">
        <w:tc>
          <w:tcPr>
            <w:tcW w:w="4106" w:type="dxa"/>
            <w:hideMark/>
          </w:tcPr>
          <w:p w14:paraId="4954F627"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5B7406F0"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0D3B1E0D"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2FFC8BAD"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d</w:t>
            </w:r>
            <w:proofErr w:type="spellEnd"/>
          </w:p>
        </w:tc>
      </w:tr>
      <w:tr w:rsidR="00FC1F7D" w:rsidRPr="00833BCD" w14:paraId="2A53E825" w14:textId="77777777" w:rsidTr="00CC1EA7">
        <w:tc>
          <w:tcPr>
            <w:tcW w:w="4106" w:type="dxa"/>
            <w:hideMark/>
          </w:tcPr>
          <w:p w14:paraId="0BC062B0"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6E969F2D"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236565C1"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03FD5FE1"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e</w:t>
            </w:r>
            <w:proofErr w:type="spellEnd"/>
          </w:p>
        </w:tc>
      </w:tr>
      <w:tr w:rsidR="00FC1F7D" w:rsidRPr="00833BCD" w14:paraId="28099660" w14:textId="77777777" w:rsidTr="00CC1EA7">
        <w:tc>
          <w:tcPr>
            <w:tcW w:w="4106" w:type="dxa"/>
            <w:hideMark/>
          </w:tcPr>
          <w:p w14:paraId="6FFDB020"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lastRenderedPageBreak/>
              <w:t>تؤثر إعادة هندسة العمليات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725AAFE9"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1C1B7A41"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652DC5C9"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f</w:t>
            </w:r>
            <w:proofErr w:type="spellEnd"/>
          </w:p>
        </w:tc>
      </w:tr>
      <w:tr w:rsidR="00FC1F7D" w:rsidRPr="00833BCD" w14:paraId="39ABCB0E" w14:textId="77777777" w:rsidTr="00CC1EA7">
        <w:tc>
          <w:tcPr>
            <w:tcW w:w="4106" w:type="dxa"/>
            <w:hideMark/>
          </w:tcPr>
          <w:p w14:paraId="12DA9900"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672C4A59"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292D1EC3"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4301DDEE"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g</w:t>
            </w:r>
            <w:proofErr w:type="spellEnd"/>
          </w:p>
        </w:tc>
      </w:tr>
      <w:tr w:rsidR="00FC1F7D" w:rsidRPr="00833BCD" w14:paraId="0787BA1A" w14:textId="77777777" w:rsidTr="00CC1EA7">
        <w:tc>
          <w:tcPr>
            <w:tcW w:w="4106" w:type="dxa"/>
            <w:hideMark/>
          </w:tcPr>
          <w:p w14:paraId="0E999887"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357D2E9D"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1E720006"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1677A87E"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h</w:t>
            </w:r>
            <w:proofErr w:type="spellEnd"/>
          </w:p>
        </w:tc>
      </w:tr>
      <w:tr w:rsidR="00FC1F7D" w:rsidRPr="00833BCD" w14:paraId="4D3AFC04" w14:textId="77777777" w:rsidTr="00CC1EA7">
        <w:tc>
          <w:tcPr>
            <w:tcW w:w="4106" w:type="dxa"/>
            <w:hideMark/>
          </w:tcPr>
          <w:p w14:paraId="7CFB2021" w14:textId="77777777" w:rsidR="00FC1F7D" w:rsidRPr="00833BCD" w:rsidRDefault="00FC1F7D" w:rsidP="00CC1EA7">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490C8407" w14:textId="77777777" w:rsidR="00FC1F7D" w:rsidRPr="00833BCD" w:rsidRDefault="00FC1F7D" w:rsidP="00CC1EA7">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0031EC12" w14:textId="77777777" w:rsidR="00FC1F7D" w:rsidRPr="00833BCD" w:rsidRDefault="00FC1F7D" w:rsidP="00CC1EA7">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163A14C1" w14:textId="77777777" w:rsidR="00FC1F7D" w:rsidRPr="00833BCD" w:rsidRDefault="00FC1F7D" w:rsidP="00CC1EA7">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i</w:t>
            </w:r>
            <w:proofErr w:type="spellEnd"/>
          </w:p>
        </w:tc>
      </w:tr>
    </w:tbl>
    <w:p w14:paraId="6AE30DBB" w14:textId="77777777" w:rsidR="00FC1F7D" w:rsidRPr="00833BCD" w:rsidRDefault="00FC1F7D" w:rsidP="00FC1F7D">
      <w:pPr>
        <w:bidi/>
        <w:spacing w:after="0" w:line="120" w:lineRule="auto"/>
        <w:jc w:val="both"/>
        <w:rPr>
          <w:rFonts w:ascii="Traditional Arabic" w:hAnsi="Traditional Arabic" w:cs="Traditional Arabic"/>
          <w:b/>
          <w:bCs/>
          <w:color w:val="000000" w:themeColor="text1"/>
          <w:sz w:val="28"/>
          <w:szCs w:val="28"/>
        </w:rPr>
      </w:pPr>
    </w:p>
    <w:p w14:paraId="2392C103" w14:textId="1CD55103" w:rsidR="00FC1F7D" w:rsidRPr="004A406E" w:rsidRDefault="00FC1F7D" w:rsidP="004A406E">
      <w:pPr>
        <w:bidi/>
        <w:spacing w:after="0" w:line="276" w:lineRule="auto"/>
        <w:rPr>
          <w:rFonts w:ascii="Traditional Arabic" w:hAnsi="Traditional Arabic" w:cs="Traditional Arabic"/>
          <w:b/>
          <w:bCs/>
          <w:color w:val="000000" w:themeColor="text1"/>
          <w:sz w:val="28"/>
          <w:szCs w:val="28"/>
          <w:rtl/>
        </w:rPr>
      </w:pPr>
      <w:r w:rsidRPr="004A406E">
        <w:rPr>
          <w:rFonts w:ascii="Traditional Arabic" w:hAnsi="Traditional Arabic" w:cs="Traditional Arabic"/>
          <w:b/>
          <w:bCs/>
          <w:color w:val="000000" w:themeColor="text1"/>
          <w:sz w:val="32"/>
          <w:szCs w:val="32"/>
          <w:rtl/>
        </w:rPr>
        <w:t>الفرضية الرئيسية</w:t>
      </w:r>
      <w:r w:rsidRPr="004A406E">
        <w:rPr>
          <w:rFonts w:ascii="Traditional Arabic" w:hAnsi="Traditional Arabic" w:cs="Traditional Arabic"/>
          <w:b/>
          <w:bCs/>
          <w:color w:val="000000" w:themeColor="text1"/>
          <w:sz w:val="32"/>
          <w:szCs w:val="32"/>
        </w:rPr>
        <w:t xml:space="preserve"> H</w:t>
      </w:r>
      <w:r w:rsidRPr="004A406E">
        <w:rPr>
          <w:rFonts w:ascii="Cambria Math" w:hAnsi="Cambria Math" w:cs="Cambria Math"/>
          <w:b/>
          <w:bCs/>
          <w:color w:val="000000" w:themeColor="text1"/>
          <w:sz w:val="32"/>
          <w:szCs w:val="32"/>
        </w:rPr>
        <w:t>₃</w:t>
      </w:r>
      <w:r w:rsidRPr="004A406E">
        <w:rPr>
          <w:rFonts w:ascii="Traditional Arabic" w:hAnsi="Traditional Arabic" w:cs="Traditional Arabic"/>
          <w:b/>
          <w:bCs/>
          <w:color w:val="000000" w:themeColor="text1"/>
          <w:sz w:val="32"/>
          <w:szCs w:val="32"/>
        </w:rPr>
        <w:t> </w:t>
      </w:r>
      <w:r w:rsidRPr="004A406E">
        <w:rPr>
          <w:rFonts w:ascii="Traditional Arabic" w:hAnsi="Traditional Arabic" w:cs="Traditional Arabic" w:hint="cs"/>
          <w:b/>
          <w:bCs/>
          <w:color w:val="000000" w:themeColor="text1"/>
          <w:sz w:val="32"/>
          <w:szCs w:val="32"/>
          <w:rtl/>
        </w:rPr>
        <w:t xml:space="preserve">: </w:t>
      </w:r>
      <w:r w:rsidRPr="004A406E">
        <w:rPr>
          <w:rFonts w:ascii="Traditional Arabic" w:hAnsi="Traditional Arabic" w:cs="Traditional Arabic"/>
          <w:b/>
          <w:bCs/>
          <w:color w:val="000000" w:themeColor="text1"/>
          <w:sz w:val="32"/>
          <w:szCs w:val="32"/>
          <w:rtl/>
        </w:rPr>
        <w:t>تؤثر التكنولوجيا الذكية إيجابيًا في</w:t>
      </w:r>
      <w:r w:rsidRPr="004A406E">
        <w:rPr>
          <w:rFonts w:ascii="Traditional Arabic" w:hAnsi="Traditional Arabic" w:cs="Traditional Arabic" w:hint="cs"/>
          <w:b/>
          <w:bCs/>
          <w:color w:val="000000" w:themeColor="text1"/>
          <w:sz w:val="32"/>
          <w:szCs w:val="32"/>
          <w:rtl/>
        </w:rPr>
        <w:t xml:space="preserve"> </w:t>
      </w:r>
      <w:r w:rsidRPr="004A406E">
        <w:rPr>
          <w:rFonts w:ascii="Traditional Arabic" w:hAnsi="Traditional Arabic" w:cs="Traditional Arabic"/>
          <w:b/>
          <w:bCs/>
          <w:color w:val="000000" w:themeColor="text1"/>
          <w:sz w:val="32"/>
          <w:szCs w:val="32"/>
          <w:rtl/>
        </w:rPr>
        <w:t>إدارة المخاطر في مستشفى الملك فهد المركزي بالباحة</w:t>
      </w:r>
      <w:r w:rsidRPr="004A406E">
        <w:rPr>
          <w:rFonts w:ascii="Traditional Arabic" w:hAnsi="Traditional Arabic" w:cs="Traditional Arabic" w:hint="cs"/>
          <w:b/>
          <w:bCs/>
          <w:color w:val="000000" w:themeColor="text1"/>
          <w:sz w:val="32"/>
          <w:szCs w:val="32"/>
          <w:rtl/>
        </w:rPr>
        <w:t>.</w:t>
      </w:r>
      <w:r w:rsidRPr="004A406E">
        <w:rPr>
          <w:rFonts w:ascii="Traditional Arabic" w:hAnsi="Traditional Arabic" w:cs="Traditional Arabic"/>
          <w:b/>
          <w:bCs/>
          <w:color w:val="000000" w:themeColor="text1"/>
          <w:sz w:val="28"/>
          <w:szCs w:val="28"/>
        </w:rPr>
        <w:t xml:space="preserve"> </w:t>
      </w:r>
      <w:r w:rsidRPr="004A406E">
        <w:rPr>
          <w:rFonts w:ascii="Traditional Arabic" w:hAnsi="Traditional Arabic" w:cs="Traditional Arabic" w:hint="cs"/>
          <w:color w:val="000000" w:themeColor="text1"/>
          <w:sz w:val="28"/>
          <w:szCs w:val="28"/>
          <w:rtl/>
        </w:rPr>
        <w:t>ويتفرع عنها الفرضيات التالية:</w:t>
      </w:r>
    </w:p>
    <w:tbl>
      <w:tblPr>
        <w:tblStyle w:val="aa"/>
        <w:tblW w:w="0" w:type="auto"/>
        <w:jc w:val="center"/>
        <w:tblLook w:val="04A0" w:firstRow="1" w:lastRow="0" w:firstColumn="1" w:lastColumn="0" w:noHBand="0" w:noVBand="1"/>
      </w:tblPr>
      <w:tblGrid>
        <w:gridCol w:w="4106"/>
        <w:gridCol w:w="1985"/>
        <w:gridCol w:w="1962"/>
        <w:gridCol w:w="698"/>
      </w:tblGrid>
      <w:tr w:rsidR="00FC1F7D" w:rsidRPr="00833BCD" w14:paraId="6F5B2511" w14:textId="77777777" w:rsidTr="00CC1EA7">
        <w:trPr>
          <w:jc w:val="center"/>
        </w:trPr>
        <w:tc>
          <w:tcPr>
            <w:tcW w:w="4106" w:type="dxa"/>
            <w:hideMark/>
          </w:tcPr>
          <w:p w14:paraId="50035027" w14:textId="77777777" w:rsidR="00FC1F7D" w:rsidRPr="00833BCD" w:rsidRDefault="00FC1F7D" w:rsidP="00CC1EA7">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الفرضية الفرعية</w:t>
            </w:r>
          </w:p>
        </w:tc>
        <w:tc>
          <w:tcPr>
            <w:tcW w:w="1985" w:type="dxa"/>
            <w:hideMark/>
          </w:tcPr>
          <w:p w14:paraId="2A26CD9F" w14:textId="77777777" w:rsidR="00FC1F7D" w:rsidRPr="00833BCD" w:rsidRDefault="00FC1F7D" w:rsidP="00CC1EA7">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62" w:type="dxa"/>
            <w:hideMark/>
          </w:tcPr>
          <w:p w14:paraId="2DAB245B" w14:textId="77777777" w:rsidR="00FC1F7D" w:rsidRPr="00833BCD" w:rsidRDefault="00FC1F7D" w:rsidP="00CC1EA7">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199E7780" w14:textId="77777777" w:rsidR="00FC1F7D" w:rsidRPr="00833BCD" w:rsidRDefault="00FC1F7D" w:rsidP="00CC1EA7">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الرقم</w:t>
            </w:r>
          </w:p>
        </w:tc>
      </w:tr>
      <w:tr w:rsidR="00FC1F7D" w:rsidRPr="00833BCD" w14:paraId="1BA63AC1" w14:textId="77777777" w:rsidTr="00CC1EA7">
        <w:trPr>
          <w:jc w:val="center"/>
        </w:trPr>
        <w:tc>
          <w:tcPr>
            <w:tcW w:w="4106" w:type="dxa"/>
            <w:hideMark/>
          </w:tcPr>
          <w:p w14:paraId="16A9E687"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0EFD8B82"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2FDDB220"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67073C6E"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a</w:t>
            </w:r>
            <w:proofErr w:type="spellEnd"/>
          </w:p>
        </w:tc>
      </w:tr>
      <w:tr w:rsidR="00FC1F7D" w:rsidRPr="00833BCD" w14:paraId="2A56D3A3" w14:textId="77777777" w:rsidTr="00CC1EA7">
        <w:trPr>
          <w:jc w:val="center"/>
        </w:trPr>
        <w:tc>
          <w:tcPr>
            <w:tcW w:w="4106" w:type="dxa"/>
            <w:hideMark/>
          </w:tcPr>
          <w:p w14:paraId="5328BC14"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5CC42D6C"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6D0F601F"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01E787F1"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b</w:t>
            </w:r>
            <w:proofErr w:type="spellEnd"/>
          </w:p>
        </w:tc>
      </w:tr>
      <w:tr w:rsidR="00FC1F7D" w:rsidRPr="00833BCD" w14:paraId="74E3B436" w14:textId="77777777" w:rsidTr="00CC1EA7">
        <w:trPr>
          <w:jc w:val="center"/>
        </w:trPr>
        <w:tc>
          <w:tcPr>
            <w:tcW w:w="4106" w:type="dxa"/>
            <w:hideMark/>
          </w:tcPr>
          <w:p w14:paraId="6001D8B3"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الممارسات الوقائية</w:t>
            </w:r>
            <w:r w:rsidRPr="00CE265E">
              <w:rPr>
                <w:rFonts w:ascii="Traditional Arabic" w:hAnsi="Traditional Arabic" w:cs="Traditional Arabic"/>
                <w:color w:val="000000" w:themeColor="text1"/>
                <w:sz w:val="28"/>
                <w:szCs w:val="28"/>
              </w:rPr>
              <w:t>.</w:t>
            </w:r>
          </w:p>
        </w:tc>
        <w:tc>
          <w:tcPr>
            <w:tcW w:w="1985" w:type="dxa"/>
            <w:hideMark/>
          </w:tcPr>
          <w:p w14:paraId="41E33C9E"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45996153"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28378485"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c</w:t>
            </w:r>
            <w:proofErr w:type="spellEnd"/>
          </w:p>
        </w:tc>
      </w:tr>
      <w:tr w:rsidR="00FC1F7D" w:rsidRPr="00833BCD" w14:paraId="6336D1F4" w14:textId="77777777" w:rsidTr="00CC1EA7">
        <w:trPr>
          <w:jc w:val="center"/>
        </w:trPr>
        <w:tc>
          <w:tcPr>
            <w:tcW w:w="4106" w:type="dxa"/>
            <w:hideMark/>
          </w:tcPr>
          <w:p w14:paraId="5E8569E9"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3F3CF7DF"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20FDF2E4"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495BD63E"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d</w:t>
            </w:r>
            <w:proofErr w:type="spellEnd"/>
          </w:p>
        </w:tc>
      </w:tr>
      <w:tr w:rsidR="00FC1F7D" w:rsidRPr="00833BCD" w14:paraId="0E229498" w14:textId="77777777" w:rsidTr="00CC1EA7">
        <w:trPr>
          <w:jc w:val="center"/>
        </w:trPr>
        <w:tc>
          <w:tcPr>
            <w:tcW w:w="4106" w:type="dxa"/>
            <w:hideMark/>
          </w:tcPr>
          <w:p w14:paraId="492157C7"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1F315AD7"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4376B303"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3BBE49D0"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e</w:t>
            </w:r>
            <w:proofErr w:type="spellEnd"/>
          </w:p>
        </w:tc>
      </w:tr>
      <w:tr w:rsidR="00FC1F7D" w:rsidRPr="00833BCD" w14:paraId="004F45A4" w14:textId="77777777" w:rsidTr="00CC1EA7">
        <w:trPr>
          <w:jc w:val="center"/>
        </w:trPr>
        <w:tc>
          <w:tcPr>
            <w:tcW w:w="4106" w:type="dxa"/>
            <w:hideMark/>
          </w:tcPr>
          <w:p w14:paraId="5FAB5180"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الممارسات الوقائية</w:t>
            </w:r>
            <w:r w:rsidRPr="00CE265E">
              <w:rPr>
                <w:rFonts w:ascii="Traditional Arabic" w:hAnsi="Traditional Arabic" w:cs="Traditional Arabic"/>
                <w:color w:val="000000" w:themeColor="text1"/>
                <w:sz w:val="28"/>
                <w:szCs w:val="28"/>
              </w:rPr>
              <w:t>.</w:t>
            </w:r>
          </w:p>
        </w:tc>
        <w:tc>
          <w:tcPr>
            <w:tcW w:w="1985" w:type="dxa"/>
            <w:hideMark/>
          </w:tcPr>
          <w:p w14:paraId="4A6283E0"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406A0330"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3E0927F9"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f</w:t>
            </w:r>
            <w:proofErr w:type="spellEnd"/>
          </w:p>
        </w:tc>
      </w:tr>
      <w:tr w:rsidR="00FC1F7D" w:rsidRPr="00833BCD" w14:paraId="486C8813" w14:textId="77777777" w:rsidTr="00CC1EA7">
        <w:trPr>
          <w:jc w:val="center"/>
        </w:trPr>
        <w:tc>
          <w:tcPr>
            <w:tcW w:w="4106" w:type="dxa"/>
            <w:hideMark/>
          </w:tcPr>
          <w:p w14:paraId="7C2F514F"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3E4F2E66"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7EB3DA17"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54C298CB"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g</w:t>
            </w:r>
            <w:proofErr w:type="spellEnd"/>
          </w:p>
        </w:tc>
      </w:tr>
      <w:tr w:rsidR="00FC1F7D" w:rsidRPr="00833BCD" w14:paraId="1FE6F7C7" w14:textId="77777777" w:rsidTr="00CC1EA7">
        <w:trPr>
          <w:jc w:val="center"/>
        </w:trPr>
        <w:tc>
          <w:tcPr>
            <w:tcW w:w="4106" w:type="dxa"/>
            <w:hideMark/>
          </w:tcPr>
          <w:p w14:paraId="06AD2310"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3B26CE57"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5AC6BBEA"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1523F7D2"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h</w:t>
            </w:r>
            <w:proofErr w:type="spellEnd"/>
          </w:p>
        </w:tc>
      </w:tr>
      <w:tr w:rsidR="00FC1F7D" w:rsidRPr="00833BCD" w14:paraId="477CDC38" w14:textId="77777777" w:rsidTr="00CC1EA7">
        <w:trPr>
          <w:jc w:val="center"/>
        </w:trPr>
        <w:tc>
          <w:tcPr>
            <w:tcW w:w="4106" w:type="dxa"/>
            <w:hideMark/>
          </w:tcPr>
          <w:p w14:paraId="7ABC4184" w14:textId="77777777" w:rsidR="00FC1F7D" w:rsidRPr="00833BCD" w:rsidRDefault="00FC1F7D" w:rsidP="00CC1EA7">
            <w:pPr>
              <w:bidi/>
              <w:spacing w:line="276" w:lineRule="auto"/>
              <w:jc w:val="both"/>
              <w:rPr>
                <w:rFonts w:ascii="Traditional Arabic" w:hAnsi="Traditional Arabic" w:cs="Traditional Arabic"/>
                <w:color w:val="000000" w:themeColor="text1"/>
                <w:sz w:val="28"/>
                <w:szCs w:val="28"/>
                <w:rtl/>
              </w:rPr>
            </w:pPr>
            <w:r w:rsidRPr="00CE265E">
              <w:rPr>
                <w:rFonts w:ascii="Traditional Arabic" w:hAnsi="Traditional Arabic" w:cs="Traditional Arabic"/>
                <w:color w:val="000000" w:themeColor="text1"/>
                <w:sz w:val="28"/>
                <w:szCs w:val="28"/>
                <w:rtl/>
              </w:rPr>
              <w:lastRenderedPageBreak/>
              <w:t>تؤثر </w:t>
            </w:r>
            <w:r w:rsidRPr="00BF56C4">
              <w:rPr>
                <w:rFonts w:ascii="Traditional Arabic" w:hAnsi="Traditional Arabic" w:cs="Traditional Arabic"/>
                <w:color w:val="000000" w:themeColor="text1"/>
                <w:sz w:val="28"/>
                <w:szCs w:val="28"/>
                <w:rtl/>
              </w:rPr>
              <w:t>أنظمة التحليلات التنبؤية وتكامل البيانات</w:t>
            </w:r>
            <w:r w:rsidRPr="00CE265E">
              <w:rPr>
                <w:rFonts w:ascii="Traditional Arabic" w:hAnsi="Traditional Arabic" w:cs="Traditional Arabic"/>
                <w:color w:val="000000" w:themeColor="text1"/>
                <w:sz w:val="28"/>
                <w:szCs w:val="28"/>
                <w:rtl/>
              </w:rPr>
              <w:t xml:space="preserve"> </w:t>
            </w:r>
            <w:r w:rsidRPr="00BF56C4">
              <w:rPr>
                <w:rFonts w:ascii="Traditional Arabic" w:hAnsi="Traditional Arabic" w:cs="Traditional Arabic"/>
                <w:color w:val="000000" w:themeColor="text1"/>
                <w:sz w:val="28"/>
                <w:szCs w:val="28"/>
                <w:rtl/>
              </w:rPr>
              <w:t>إيجابيًا في الممارسات الوقائية.</w:t>
            </w:r>
          </w:p>
        </w:tc>
        <w:tc>
          <w:tcPr>
            <w:tcW w:w="1985" w:type="dxa"/>
            <w:hideMark/>
          </w:tcPr>
          <w:p w14:paraId="232A55F2"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2A2FFB75" w14:textId="77777777" w:rsidR="00FC1F7D" w:rsidRPr="00833BCD" w:rsidRDefault="00FC1F7D" w:rsidP="00CC1EA7">
            <w:pPr>
              <w:bidi/>
              <w:spacing w:line="276" w:lineRule="auto"/>
              <w:jc w:val="center"/>
              <w:rPr>
                <w:rFonts w:ascii="Traditional Arabic" w:hAnsi="Traditional Arabic" w:cs="Traditional Arabic"/>
                <w:color w:val="000000" w:themeColor="text1"/>
                <w:sz w:val="28"/>
                <w:szCs w:val="28"/>
              </w:rPr>
            </w:pPr>
            <w:r w:rsidRPr="00BF56C4">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0DCE897B" w14:textId="77777777" w:rsidR="00FC1F7D" w:rsidRPr="0034470A" w:rsidRDefault="00FC1F7D" w:rsidP="00CC1EA7">
            <w:pPr>
              <w:bidi/>
              <w:spacing w:line="276" w:lineRule="auto"/>
              <w:jc w:val="both"/>
              <w:rPr>
                <w:rFonts w:ascii="Traditional Arabic" w:hAnsi="Traditional Arabic" w:cs="Traditional Arabic"/>
                <w:color w:val="000000" w:themeColor="text1"/>
                <w:sz w:val="28"/>
                <w:szCs w:val="28"/>
              </w:rPr>
            </w:pPr>
            <w:proofErr w:type="spellStart"/>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i</w:t>
            </w:r>
            <w:proofErr w:type="spellEnd"/>
          </w:p>
        </w:tc>
      </w:tr>
    </w:tbl>
    <w:p w14:paraId="1C193473" w14:textId="77777777" w:rsidR="00FC1F7D" w:rsidRDefault="00FC1F7D" w:rsidP="00FC1F7D">
      <w:pPr>
        <w:bidi/>
        <w:spacing w:after="0" w:line="120" w:lineRule="auto"/>
        <w:jc w:val="both"/>
        <w:rPr>
          <w:rFonts w:ascii="Traditional Arabic" w:hAnsi="Traditional Arabic" w:cs="Traditional Arabic"/>
          <w:b/>
          <w:bCs/>
          <w:color w:val="000000" w:themeColor="text1"/>
          <w:sz w:val="28"/>
          <w:szCs w:val="28"/>
          <w:rtl/>
        </w:rPr>
      </w:pPr>
    </w:p>
    <w:p w14:paraId="0DFDED08" w14:textId="5B286A35" w:rsidR="00FC1F7D" w:rsidRPr="004A406E" w:rsidRDefault="00FC1F7D" w:rsidP="004A406E">
      <w:pPr>
        <w:bidi/>
        <w:spacing w:after="0" w:line="276" w:lineRule="auto"/>
        <w:jc w:val="both"/>
        <w:rPr>
          <w:rFonts w:ascii="Traditional Arabic" w:hAnsi="Traditional Arabic" w:cs="Traditional Arabic"/>
          <w:b/>
          <w:bCs/>
          <w:color w:val="000000" w:themeColor="text1"/>
          <w:sz w:val="32"/>
          <w:szCs w:val="32"/>
          <w:rtl/>
        </w:rPr>
      </w:pPr>
      <w:r w:rsidRPr="004A406E">
        <w:rPr>
          <w:rFonts w:ascii="Traditional Arabic" w:hAnsi="Traditional Arabic" w:cs="Traditional Arabic" w:hint="cs"/>
          <w:b/>
          <w:bCs/>
          <w:color w:val="000000" w:themeColor="text1"/>
          <w:sz w:val="32"/>
          <w:szCs w:val="32"/>
          <w:rtl/>
        </w:rPr>
        <w:t xml:space="preserve">الفرضية الرئيسية الرابعة </w:t>
      </w:r>
      <w:r w:rsidRPr="004A406E">
        <w:rPr>
          <w:rFonts w:ascii="Traditional Arabic" w:hAnsi="Traditional Arabic" w:cs="Traditional Arabic"/>
          <w:b/>
          <w:bCs/>
          <w:color w:val="000000" w:themeColor="text1"/>
          <w:sz w:val="32"/>
          <w:szCs w:val="32"/>
        </w:rPr>
        <w:t>H4 </w:t>
      </w:r>
      <w:r w:rsidRPr="004A406E">
        <w:rPr>
          <w:rFonts w:ascii="Traditional Arabic" w:hAnsi="Traditional Arabic" w:cs="Traditional Arabic" w:hint="cs"/>
          <w:b/>
          <w:bCs/>
          <w:color w:val="000000" w:themeColor="text1"/>
          <w:sz w:val="32"/>
          <w:szCs w:val="32"/>
          <w:rtl/>
        </w:rPr>
        <w:t xml:space="preserve">: </w:t>
      </w:r>
      <w:r w:rsidRPr="004A406E">
        <w:rPr>
          <w:rFonts w:ascii="Traditional Arabic" w:hAnsi="Traditional Arabic" w:cs="Traditional Arabic"/>
          <w:b/>
          <w:bCs/>
          <w:color w:val="000000" w:themeColor="text1"/>
          <w:sz w:val="32"/>
          <w:szCs w:val="32"/>
          <w:rtl/>
        </w:rPr>
        <w:t xml:space="preserve">تتوسط التكنولوجيا </w:t>
      </w:r>
      <w:r w:rsidRPr="004A406E">
        <w:rPr>
          <w:rFonts w:ascii="Traditional Arabic" w:hAnsi="Traditional Arabic" w:cs="Traditional Arabic" w:hint="cs"/>
          <w:b/>
          <w:bCs/>
          <w:color w:val="000000" w:themeColor="text1"/>
          <w:sz w:val="32"/>
          <w:szCs w:val="32"/>
          <w:rtl/>
        </w:rPr>
        <w:t xml:space="preserve">الذكية جزئيًا </w:t>
      </w:r>
      <w:r w:rsidRPr="004A406E">
        <w:rPr>
          <w:rFonts w:ascii="Traditional Arabic" w:hAnsi="Traditional Arabic" w:cs="Traditional Arabic"/>
          <w:b/>
          <w:bCs/>
          <w:color w:val="000000" w:themeColor="text1"/>
          <w:sz w:val="32"/>
          <w:szCs w:val="32"/>
          <w:rtl/>
        </w:rPr>
        <w:t xml:space="preserve">العلاقة بين التطوير التنظيمي </w:t>
      </w:r>
      <w:r w:rsidRPr="004A406E">
        <w:rPr>
          <w:rFonts w:ascii="Traditional Arabic" w:hAnsi="Traditional Arabic" w:cs="Traditional Arabic" w:hint="cs"/>
          <w:b/>
          <w:bCs/>
          <w:color w:val="000000" w:themeColor="text1"/>
          <w:sz w:val="32"/>
          <w:szCs w:val="32"/>
          <w:rtl/>
        </w:rPr>
        <w:t>وإدارة</w:t>
      </w:r>
      <w:r w:rsidRPr="004A406E">
        <w:rPr>
          <w:rFonts w:ascii="Traditional Arabic" w:hAnsi="Traditional Arabic" w:cs="Traditional Arabic"/>
          <w:b/>
          <w:bCs/>
          <w:color w:val="000000" w:themeColor="text1"/>
          <w:sz w:val="32"/>
          <w:szCs w:val="32"/>
          <w:rtl/>
        </w:rPr>
        <w:t xml:space="preserve"> المخاطر </w:t>
      </w:r>
      <w:r w:rsidRPr="004A406E">
        <w:rPr>
          <w:rFonts w:ascii="Traditional Arabic" w:hAnsi="Traditional Arabic" w:cs="Traditional Arabic" w:hint="cs"/>
          <w:b/>
          <w:bCs/>
          <w:color w:val="000000" w:themeColor="text1"/>
          <w:sz w:val="32"/>
          <w:szCs w:val="32"/>
          <w:rtl/>
        </w:rPr>
        <w:t xml:space="preserve">في مستشفى الملك فهد المركزي بالباحة. </w:t>
      </w:r>
    </w:p>
    <w:p w14:paraId="617B09CC" w14:textId="77777777" w:rsidR="00FC1F7D" w:rsidRPr="00B34478" w:rsidRDefault="00FC1F7D" w:rsidP="00FC1F7D">
      <w:pPr>
        <w:bidi/>
        <w:spacing w:after="0" w:line="276" w:lineRule="auto"/>
        <w:jc w:val="both"/>
        <w:rPr>
          <w:rFonts w:ascii="Traditional Arabic" w:hAnsi="Traditional Arabic" w:cs="Traditional Arabic"/>
          <w:b/>
          <w:bCs/>
          <w:color w:val="000000" w:themeColor="text1"/>
          <w:sz w:val="32"/>
          <w:szCs w:val="32"/>
        </w:rPr>
      </w:pPr>
      <w:r w:rsidRPr="00B34478">
        <w:rPr>
          <w:rFonts w:ascii="Traditional Arabic" w:hAnsi="Traditional Arabic" w:cs="Traditional Arabic" w:hint="cs"/>
          <w:color w:val="000000" w:themeColor="text1"/>
          <w:sz w:val="32"/>
          <w:szCs w:val="32"/>
          <w:rtl/>
        </w:rPr>
        <w:t>و</w:t>
      </w:r>
      <w:r w:rsidRPr="00B34478">
        <w:rPr>
          <w:rFonts w:ascii="Traditional Arabic" w:hAnsi="Traditional Arabic" w:cs="Traditional Arabic"/>
          <w:color w:val="000000" w:themeColor="text1"/>
          <w:sz w:val="32"/>
          <w:szCs w:val="32"/>
          <w:rtl/>
        </w:rPr>
        <w:t xml:space="preserve">لضبط مصادر التباين الخارجية غير المرغوب فيها وزيادة الصرامة الإحصائية لاختبار الفرضيات، سيتم التحكم إحصائياً في مجموعة من المتغيرات التي قد تؤثر على تصورات الأفراد أو سلوكياتهم تجاه المتغيرات الرئيسية للدراسة. </w:t>
      </w:r>
      <w:r w:rsidRPr="00B34478">
        <w:rPr>
          <w:rFonts w:ascii="Traditional Arabic" w:hAnsi="Traditional Arabic" w:cs="Traditional Arabic" w:hint="cs"/>
          <w:color w:val="000000" w:themeColor="text1"/>
          <w:sz w:val="32"/>
          <w:szCs w:val="32"/>
          <w:rtl/>
        </w:rPr>
        <w:t>و</w:t>
      </w:r>
      <w:r w:rsidRPr="00B34478">
        <w:rPr>
          <w:rFonts w:ascii="Traditional Arabic" w:hAnsi="Traditional Arabic" w:cs="Traditional Arabic"/>
          <w:color w:val="000000" w:themeColor="text1"/>
          <w:sz w:val="32"/>
          <w:szCs w:val="32"/>
          <w:rtl/>
        </w:rPr>
        <w:t>سيتم التعامل مع هذه المتغيرات كـ متغيرات ضابطة في نماذج التحليل الإحصائي، وخاصة عند اختبار الفرضيات المتعلقة بالعلاقات المباشرة</w:t>
      </w:r>
      <w:r w:rsidRPr="00B34478">
        <w:rPr>
          <w:rFonts w:ascii="Traditional Arabic" w:hAnsi="Traditional Arabic" w:cs="Traditional Arabic"/>
          <w:color w:val="000000" w:themeColor="text1"/>
          <w:sz w:val="32"/>
          <w:szCs w:val="32"/>
        </w:rPr>
        <w:t xml:space="preserve"> (H</w:t>
      </w:r>
      <w:r w:rsidRPr="00B34478">
        <w:rPr>
          <w:rFonts w:ascii="Cambria Math" w:hAnsi="Cambria Math" w:cs="Cambria Math"/>
          <w:color w:val="000000" w:themeColor="text1"/>
          <w:sz w:val="32"/>
          <w:szCs w:val="32"/>
        </w:rPr>
        <w:t>₁</w:t>
      </w:r>
      <w:r w:rsidRPr="00B34478">
        <w:rPr>
          <w:rFonts w:ascii="Traditional Arabic" w:hAnsi="Traditional Arabic" w:cs="Traditional Arabic"/>
          <w:color w:val="000000" w:themeColor="text1"/>
          <w:sz w:val="32"/>
          <w:szCs w:val="32"/>
        </w:rPr>
        <w:t>, H</w:t>
      </w:r>
      <w:r w:rsidRPr="00B34478">
        <w:rPr>
          <w:rFonts w:ascii="Cambria Math" w:hAnsi="Cambria Math" w:cs="Cambria Math"/>
          <w:color w:val="000000" w:themeColor="text1"/>
          <w:sz w:val="32"/>
          <w:szCs w:val="32"/>
        </w:rPr>
        <w:t>₂</w:t>
      </w:r>
      <w:r w:rsidRPr="00B34478">
        <w:rPr>
          <w:rFonts w:ascii="Traditional Arabic" w:hAnsi="Traditional Arabic" w:cs="Traditional Arabic"/>
          <w:color w:val="000000" w:themeColor="text1"/>
          <w:sz w:val="32"/>
          <w:szCs w:val="32"/>
        </w:rPr>
        <w:t>, H</w:t>
      </w:r>
      <w:r w:rsidRPr="00B34478">
        <w:rPr>
          <w:rFonts w:ascii="Cambria Math" w:hAnsi="Cambria Math" w:cs="Cambria Math"/>
          <w:color w:val="000000" w:themeColor="text1"/>
          <w:sz w:val="32"/>
          <w:szCs w:val="32"/>
        </w:rPr>
        <w:t>₃</w:t>
      </w:r>
      <w:r w:rsidRPr="00B34478">
        <w:rPr>
          <w:rFonts w:ascii="Traditional Arabic" w:hAnsi="Traditional Arabic" w:cs="Traditional Arabic"/>
          <w:color w:val="000000" w:themeColor="text1"/>
          <w:sz w:val="32"/>
          <w:szCs w:val="32"/>
        </w:rPr>
        <w:t>)</w:t>
      </w:r>
      <w:r w:rsidRPr="00B34478">
        <w:rPr>
          <w:rFonts w:ascii="Traditional Arabic" w:hAnsi="Traditional Arabic" w:cs="Traditional Arabic" w:hint="cs"/>
          <w:b/>
          <w:bCs/>
          <w:color w:val="000000" w:themeColor="text1"/>
          <w:sz w:val="32"/>
          <w:szCs w:val="32"/>
          <w:rtl/>
        </w:rPr>
        <w:t>.</w:t>
      </w:r>
    </w:p>
    <w:p w14:paraId="4833B24C" w14:textId="77777777" w:rsidR="00FC1F7D" w:rsidRPr="00B34478" w:rsidRDefault="00FC1F7D" w:rsidP="00FC1F7D">
      <w:p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hint="cs"/>
          <w:color w:val="000000" w:themeColor="text1"/>
          <w:sz w:val="32"/>
          <w:szCs w:val="32"/>
          <w:rtl/>
        </w:rPr>
        <w:t>و</w:t>
      </w:r>
      <w:r w:rsidRPr="00B34478">
        <w:rPr>
          <w:rFonts w:ascii="Traditional Arabic" w:hAnsi="Traditional Arabic" w:cs="Traditional Arabic"/>
          <w:color w:val="000000" w:themeColor="text1"/>
          <w:sz w:val="32"/>
          <w:szCs w:val="32"/>
          <w:rtl/>
        </w:rPr>
        <w:t>تشمل هذه المتغيرات الضابطة ما يلي</w:t>
      </w:r>
      <w:r w:rsidRPr="00B34478">
        <w:rPr>
          <w:rFonts w:ascii="Traditional Arabic" w:hAnsi="Traditional Arabic" w:cs="Traditional Arabic"/>
          <w:color w:val="000000" w:themeColor="text1"/>
          <w:sz w:val="32"/>
          <w:szCs w:val="32"/>
        </w:rPr>
        <w:t>:</w:t>
      </w:r>
    </w:p>
    <w:p w14:paraId="024BE9A0" w14:textId="77777777" w:rsidR="00FC1F7D" w:rsidRPr="00B34478" w:rsidRDefault="00FC1F7D" w:rsidP="00FC1F7D">
      <w:pPr>
        <w:numPr>
          <w:ilvl w:val="0"/>
          <w:numId w:val="15"/>
        </w:num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color w:val="000000" w:themeColor="text1"/>
          <w:sz w:val="32"/>
          <w:szCs w:val="32"/>
          <w:rtl/>
        </w:rPr>
        <w:t>الخبرة الوظيفية</w:t>
      </w:r>
      <w:r w:rsidRPr="00B34478">
        <w:rPr>
          <w:rFonts w:ascii="Traditional Arabic" w:hAnsi="Traditional Arabic" w:cs="Traditional Arabic"/>
          <w:color w:val="000000" w:themeColor="text1"/>
          <w:sz w:val="32"/>
          <w:szCs w:val="32"/>
        </w:rPr>
        <w:t xml:space="preserve">: </w:t>
      </w:r>
      <w:r w:rsidRPr="00B34478">
        <w:rPr>
          <w:rFonts w:ascii="Traditional Arabic" w:hAnsi="Traditional Arabic" w:cs="Traditional Arabic"/>
          <w:color w:val="000000" w:themeColor="text1"/>
          <w:sz w:val="32"/>
          <w:szCs w:val="32"/>
          <w:rtl/>
        </w:rPr>
        <w:t>يُقاس بعدد سنوات العمل في القطاع الصحي أو في المستشفى مباشرة</w:t>
      </w:r>
      <w:r w:rsidRPr="00B34478">
        <w:rPr>
          <w:rFonts w:ascii="Traditional Arabic" w:hAnsi="Traditional Arabic" w:cs="Traditional Arabic" w:hint="cs"/>
          <w:color w:val="000000" w:themeColor="text1"/>
          <w:sz w:val="32"/>
          <w:szCs w:val="32"/>
          <w:rtl/>
        </w:rPr>
        <w:t>، حيث ي</w:t>
      </w:r>
      <w:r w:rsidRPr="00B34478">
        <w:rPr>
          <w:rFonts w:ascii="Traditional Arabic" w:hAnsi="Traditional Arabic" w:cs="Traditional Arabic"/>
          <w:color w:val="000000" w:themeColor="text1"/>
          <w:sz w:val="32"/>
          <w:szCs w:val="32"/>
          <w:rtl/>
        </w:rPr>
        <w:t>ُفترض أن الخبرة الأطول قد ترتبط بفهم أعمق لإجراءات المستشفى وبروتوكولات إدارة المخاطر، أو قد تؤثر على تقبل التقنيات الجديدة</w:t>
      </w:r>
      <w:r w:rsidRPr="00B34478">
        <w:rPr>
          <w:rFonts w:ascii="Traditional Arabic" w:hAnsi="Traditional Arabic" w:cs="Traditional Arabic"/>
          <w:color w:val="000000" w:themeColor="text1"/>
          <w:sz w:val="32"/>
          <w:szCs w:val="32"/>
        </w:rPr>
        <w:t>.</w:t>
      </w:r>
    </w:p>
    <w:p w14:paraId="354E54B3" w14:textId="77777777" w:rsidR="00FC1F7D" w:rsidRPr="00B34478" w:rsidRDefault="00FC1F7D" w:rsidP="00FC1F7D">
      <w:pPr>
        <w:numPr>
          <w:ilvl w:val="0"/>
          <w:numId w:val="15"/>
        </w:num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color w:val="000000" w:themeColor="text1"/>
          <w:sz w:val="32"/>
          <w:szCs w:val="32"/>
          <w:rtl/>
        </w:rPr>
        <w:t>المسمى الوظيفي/القسم الإداري</w:t>
      </w:r>
      <w:r w:rsidRPr="00B34478">
        <w:rPr>
          <w:rFonts w:ascii="Traditional Arabic" w:hAnsi="Traditional Arabic" w:cs="Traditional Arabic"/>
          <w:color w:val="000000" w:themeColor="text1"/>
          <w:sz w:val="32"/>
          <w:szCs w:val="32"/>
        </w:rPr>
        <w:t xml:space="preserve">: </w:t>
      </w:r>
      <w:r w:rsidRPr="00B34478">
        <w:rPr>
          <w:rFonts w:ascii="Traditional Arabic" w:hAnsi="Traditional Arabic" w:cs="Traditional Arabic"/>
          <w:color w:val="000000" w:themeColor="text1"/>
          <w:sz w:val="32"/>
          <w:szCs w:val="32"/>
          <w:rtl/>
        </w:rPr>
        <w:t>يُصنف إلى فئات رئيسية (طبي، تمريض، إداري، فني). نظرًا لاختلاف طبيعة المهام والتعرض للمخاطر ودرجة التفاعل مع الأنظمة التكنولوجية بين هذه الفئات بشكل جوهري</w:t>
      </w:r>
      <w:r w:rsidRPr="00B34478">
        <w:rPr>
          <w:rFonts w:ascii="Traditional Arabic" w:hAnsi="Traditional Arabic" w:cs="Traditional Arabic"/>
          <w:color w:val="000000" w:themeColor="text1"/>
          <w:sz w:val="32"/>
          <w:szCs w:val="32"/>
        </w:rPr>
        <w:t>.</w:t>
      </w:r>
    </w:p>
    <w:p w14:paraId="19142C00" w14:textId="77777777" w:rsidR="00FC1F7D" w:rsidRPr="00B34478" w:rsidRDefault="00FC1F7D" w:rsidP="00FC1F7D">
      <w:pPr>
        <w:numPr>
          <w:ilvl w:val="0"/>
          <w:numId w:val="15"/>
        </w:num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color w:val="000000" w:themeColor="text1"/>
          <w:sz w:val="32"/>
          <w:szCs w:val="32"/>
          <w:rtl/>
        </w:rPr>
        <w:t>طبيعة المناوبة</w:t>
      </w:r>
      <w:r w:rsidRPr="00B34478">
        <w:rPr>
          <w:rFonts w:ascii="Traditional Arabic" w:hAnsi="Traditional Arabic" w:cs="Traditional Arabic"/>
          <w:color w:val="000000" w:themeColor="text1"/>
          <w:sz w:val="32"/>
          <w:szCs w:val="32"/>
        </w:rPr>
        <w:t xml:space="preserve">: </w:t>
      </w:r>
      <w:r w:rsidRPr="00B34478">
        <w:rPr>
          <w:rFonts w:ascii="Traditional Arabic" w:hAnsi="Traditional Arabic" w:cs="Traditional Arabic"/>
          <w:color w:val="000000" w:themeColor="text1"/>
          <w:sz w:val="32"/>
          <w:szCs w:val="32"/>
          <w:rtl/>
        </w:rPr>
        <w:t>(صباحية، مسائية، ليلية). قد تختلف وتيرة العمل وتوفر الدعم الإداري أو التقني وكثافة المهام بين المناوبات، مما يمكن أن يؤثر على تطبيق إجراءات السلامة وتبني التكنولوجيا</w:t>
      </w:r>
      <w:r w:rsidRPr="00B34478">
        <w:rPr>
          <w:rFonts w:ascii="Traditional Arabic" w:hAnsi="Traditional Arabic" w:cs="Traditional Arabic"/>
          <w:color w:val="000000" w:themeColor="text1"/>
          <w:sz w:val="32"/>
          <w:szCs w:val="32"/>
        </w:rPr>
        <w:t>.</w:t>
      </w:r>
    </w:p>
    <w:p w14:paraId="3E54B508" w14:textId="766DF758" w:rsidR="00FC1F7D" w:rsidRDefault="00FC1F7D" w:rsidP="00B34478">
      <w:pPr>
        <w:numPr>
          <w:ilvl w:val="0"/>
          <w:numId w:val="15"/>
        </w:numPr>
        <w:bidi/>
        <w:spacing w:after="0" w:line="276" w:lineRule="auto"/>
        <w:jc w:val="both"/>
        <w:rPr>
          <w:rFonts w:ascii="Traditional Arabic" w:hAnsi="Traditional Arabic" w:cs="Traditional Arabic"/>
          <w:color w:val="000000" w:themeColor="text1"/>
          <w:sz w:val="32"/>
          <w:szCs w:val="32"/>
        </w:rPr>
      </w:pPr>
      <w:r w:rsidRPr="00B34478">
        <w:rPr>
          <w:rFonts w:ascii="Traditional Arabic" w:hAnsi="Traditional Arabic" w:cs="Traditional Arabic"/>
          <w:color w:val="000000" w:themeColor="text1"/>
          <w:sz w:val="32"/>
          <w:szCs w:val="32"/>
          <w:rtl/>
        </w:rPr>
        <w:t>المستوى التعليمي</w:t>
      </w:r>
      <w:r w:rsidRPr="00B34478">
        <w:rPr>
          <w:rFonts w:ascii="Traditional Arabic" w:hAnsi="Traditional Arabic" w:cs="Traditional Arabic"/>
          <w:color w:val="000000" w:themeColor="text1"/>
          <w:sz w:val="32"/>
          <w:szCs w:val="32"/>
        </w:rPr>
        <w:t xml:space="preserve">: </w:t>
      </w:r>
      <w:r w:rsidRPr="00B34478">
        <w:rPr>
          <w:rFonts w:ascii="Traditional Arabic" w:hAnsi="Traditional Arabic" w:cs="Traditional Arabic"/>
          <w:color w:val="000000" w:themeColor="text1"/>
          <w:sz w:val="32"/>
          <w:szCs w:val="32"/>
          <w:rtl/>
        </w:rPr>
        <w:t>قد يؤثر مستوى المؤهل العلمي على القدرة على التعامل مع الأنظمة التكنولوجية المعقدة أو على الفهم النظري لمبادئ إدارة المخاطر</w:t>
      </w:r>
      <w:r w:rsidRPr="00B34478">
        <w:rPr>
          <w:rFonts w:ascii="Traditional Arabic" w:hAnsi="Traditional Arabic" w:cs="Traditional Arabic"/>
          <w:color w:val="000000" w:themeColor="text1"/>
          <w:sz w:val="32"/>
          <w:szCs w:val="32"/>
        </w:rPr>
        <w:t>.</w:t>
      </w:r>
    </w:p>
    <w:p w14:paraId="2653A2C9" w14:textId="42314ED8" w:rsidR="006D63D8" w:rsidRPr="006D63D8" w:rsidRDefault="006D63D8" w:rsidP="006D63D8">
      <w:pPr>
        <w:pStyle w:val="ab"/>
        <w:bidi/>
        <w:spacing w:before="0" w:after="120"/>
        <w:jc w:val="both"/>
        <w:rPr>
          <w:rFonts w:ascii="Traditional Arabic" w:hAnsi="Traditional Arabic" w:cs="Traditional Arabic"/>
          <w:b/>
          <w:bCs/>
          <w:sz w:val="36"/>
          <w:szCs w:val="36"/>
        </w:rPr>
      </w:pPr>
      <w:r w:rsidRPr="006D63D8">
        <w:rPr>
          <w:rFonts w:ascii="Traditional Arabic" w:hAnsi="Traditional Arabic" w:cs="Traditional Arabic"/>
          <w:b/>
          <w:bCs/>
          <w:sz w:val="36"/>
          <w:szCs w:val="36"/>
          <w:rtl/>
        </w:rPr>
        <w:t>سادساً: ملخص التعريفات الإجرائية والقياس</w:t>
      </w:r>
      <w:r>
        <w:rPr>
          <w:rFonts w:ascii="Traditional Arabic" w:hAnsi="Traditional Arabic" w:cs="Traditional Arabic" w:hint="cs"/>
          <w:b/>
          <w:bCs/>
          <w:sz w:val="36"/>
          <w:szCs w:val="36"/>
          <w:rtl/>
        </w:rPr>
        <w:t>:</w:t>
      </w:r>
    </w:p>
    <w:p w14:paraId="3005CEF9" w14:textId="58D44580" w:rsidR="005B684E" w:rsidRDefault="006D63D8" w:rsidP="00B41A30">
      <w:pPr>
        <w:bidi/>
        <w:spacing w:after="0" w:line="276" w:lineRule="auto"/>
        <w:jc w:val="both"/>
        <w:rPr>
          <w:rFonts w:ascii="Traditional Arabic" w:hAnsi="Traditional Arabic" w:cs="Traditional Arabic"/>
          <w:color w:val="000000" w:themeColor="text1"/>
          <w:sz w:val="32"/>
          <w:szCs w:val="32"/>
        </w:rPr>
      </w:pPr>
      <w:r w:rsidRPr="006D63D8">
        <w:rPr>
          <w:rFonts w:ascii="Traditional Arabic" w:hAnsi="Traditional Arabic" w:cs="Traditional Arabic"/>
          <w:color w:val="000000" w:themeColor="text1"/>
          <w:sz w:val="32"/>
          <w:szCs w:val="32"/>
          <w:rtl/>
        </w:rPr>
        <w:t xml:space="preserve">بعد استعراض الإطار النظري والمفاهيمي للمتغيرات الثلاثة (التطوير التنظيمي، التكنولوجيا الذكية، إدارة المخاطر)، يُلخص الجدولان التاليان التعريفات الإجرائية المعتمدة لكل متغير وأبعاده وحدوده المفاهيمية، إلى </w:t>
      </w:r>
      <w:r w:rsidRPr="006D63D8">
        <w:rPr>
          <w:rFonts w:ascii="Traditional Arabic" w:hAnsi="Traditional Arabic" w:cs="Traditional Arabic"/>
          <w:color w:val="000000" w:themeColor="text1"/>
          <w:sz w:val="32"/>
          <w:szCs w:val="32"/>
          <w:rtl/>
        </w:rPr>
        <w:lastRenderedPageBreak/>
        <w:t>جانب مواصفات أداة القياس التي ستُستخدم في جمع البيانات الميدانية</w:t>
      </w:r>
      <w:r>
        <w:rPr>
          <w:rFonts w:ascii="Traditional Arabic" w:hAnsi="Traditional Arabic" w:cs="Traditional Arabic" w:hint="cs"/>
          <w:color w:val="000000" w:themeColor="text1"/>
          <w:sz w:val="32"/>
          <w:szCs w:val="32"/>
          <w:rtl/>
        </w:rPr>
        <w:t xml:space="preserve">، </w:t>
      </w:r>
      <w:r w:rsidRPr="006D63D8">
        <w:rPr>
          <w:rFonts w:ascii="Traditional Arabic" w:hAnsi="Traditional Arabic" w:cs="Traditional Arabic"/>
          <w:color w:val="000000" w:themeColor="text1"/>
          <w:sz w:val="32"/>
          <w:szCs w:val="32"/>
          <w:rtl/>
        </w:rPr>
        <w:t>تمهيدًا لبناء الاستبانة</w:t>
      </w:r>
      <w:r>
        <w:rPr>
          <w:rFonts w:ascii="Traditional Arabic" w:hAnsi="Traditional Arabic" w:cs="Traditional Arabic" w:hint="cs"/>
          <w:color w:val="000000" w:themeColor="text1"/>
          <w:sz w:val="32"/>
          <w:szCs w:val="32"/>
          <w:rtl/>
        </w:rPr>
        <w:t xml:space="preserve"> في</w:t>
      </w:r>
      <w:r w:rsidRPr="006D63D8">
        <w:rPr>
          <w:rFonts w:ascii="Traditional Arabic" w:hAnsi="Traditional Arabic" w:cs="Traditional Arabic"/>
          <w:color w:val="000000" w:themeColor="text1"/>
          <w:sz w:val="32"/>
          <w:szCs w:val="32"/>
          <w:rtl/>
        </w:rPr>
        <w:t xml:space="preserve"> الفصل الثالث</w:t>
      </w:r>
      <w:r>
        <w:rPr>
          <w:rFonts w:ascii="Traditional Arabic" w:hAnsi="Traditional Arabic" w:cs="Traditional Arabic" w:hint="cs"/>
          <w:color w:val="000000" w:themeColor="text1"/>
          <w:sz w:val="32"/>
          <w:szCs w:val="32"/>
          <w:rtl/>
        </w:rPr>
        <w:t xml:space="preserve">، </w:t>
      </w:r>
      <w:r w:rsidRPr="006D63D8">
        <w:rPr>
          <w:rFonts w:ascii="Traditional Arabic" w:hAnsi="Traditional Arabic" w:cs="Traditional Arabic"/>
          <w:color w:val="000000" w:themeColor="text1"/>
          <w:sz w:val="32"/>
          <w:szCs w:val="32"/>
          <w:rtl/>
        </w:rPr>
        <w:t>وتطبيقها في</w:t>
      </w:r>
      <w:r w:rsidR="00AF30A4">
        <w:rPr>
          <w:rFonts w:ascii="Traditional Arabic" w:hAnsi="Traditional Arabic" w:cs="Traditional Arabic" w:hint="cs"/>
          <w:color w:val="000000" w:themeColor="text1"/>
          <w:sz w:val="32"/>
          <w:szCs w:val="32"/>
          <w:rtl/>
        </w:rPr>
        <w:t xml:space="preserve"> الفصل</w:t>
      </w:r>
      <w:r>
        <w:rPr>
          <w:rFonts w:ascii="Traditional Arabic" w:hAnsi="Traditional Arabic" w:cs="Traditional Arabic" w:hint="cs"/>
          <w:color w:val="000000" w:themeColor="text1"/>
          <w:sz w:val="32"/>
          <w:szCs w:val="32"/>
          <w:rtl/>
        </w:rPr>
        <w:t xml:space="preserve"> الرابع</w:t>
      </w:r>
      <w:r w:rsidR="00AF30A4">
        <w:rPr>
          <w:rFonts w:ascii="Traditional Arabic" w:hAnsi="Traditional Arabic" w:cs="Traditional Arabic" w:hint="cs"/>
          <w:color w:val="000000" w:themeColor="text1"/>
          <w:sz w:val="32"/>
          <w:szCs w:val="32"/>
          <w:rtl/>
        </w:rPr>
        <w:t>.</w:t>
      </w:r>
    </w:p>
    <w:p w14:paraId="43657FE9" w14:textId="467B471D" w:rsidR="0013680C" w:rsidRPr="0013680C" w:rsidRDefault="00A02194" w:rsidP="0013680C">
      <w:pPr>
        <w:pStyle w:val="ab"/>
        <w:bidi/>
        <w:spacing w:before="0" w:after="120"/>
        <w:jc w:val="center"/>
        <w:rPr>
          <w:rFonts w:ascii="Traditional Arabic" w:eastAsiaTheme="majorEastAsia" w:hAnsi="Traditional Arabic" w:cs="Traditional Arabic"/>
          <w:b/>
          <w:bCs/>
          <w:sz w:val="28"/>
          <w:szCs w:val="28"/>
        </w:rPr>
      </w:pPr>
      <w:r w:rsidRPr="00A02194">
        <w:rPr>
          <w:rFonts w:ascii="Traditional Arabic" w:eastAsiaTheme="majorEastAsia" w:hAnsi="Traditional Arabic" w:cs="Traditional Arabic"/>
          <w:b/>
          <w:bCs/>
          <w:sz w:val="28"/>
          <w:szCs w:val="28"/>
          <w:rtl/>
        </w:rPr>
        <w:t>الجدول (</w:t>
      </w:r>
      <w:r w:rsidRPr="00B074B7">
        <w:rPr>
          <w:rFonts w:ascii="Traditional Arabic" w:eastAsiaTheme="majorEastAsia" w:hAnsi="Traditional Arabic" w:cs="Traditional Arabic" w:hint="cs"/>
          <w:b/>
          <w:bCs/>
          <w:sz w:val="28"/>
          <w:szCs w:val="28"/>
          <w:rtl/>
        </w:rPr>
        <w:t>2</w:t>
      </w:r>
      <w:r w:rsidRPr="00A02194">
        <w:rPr>
          <w:rFonts w:ascii="Traditional Arabic" w:eastAsiaTheme="majorEastAsia" w:hAnsi="Traditional Arabic" w:cs="Traditional Arabic"/>
          <w:b/>
          <w:bCs/>
          <w:sz w:val="28"/>
          <w:szCs w:val="28"/>
          <w:rtl/>
        </w:rPr>
        <w:t>.</w:t>
      </w:r>
      <w:r w:rsidR="006D63D8">
        <w:rPr>
          <w:rFonts w:ascii="Traditional Arabic" w:eastAsiaTheme="majorEastAsia" w:hAnsi="Traditional Arabic" w:cs="Traditional Arabic" w:hint="cs"/>
          <w:b/>
          <w:bCs/>
          <w:sz w:val="28"/>
          <w:szCs w:val="28"/>
          <w:rtl/>
        </w:rPr>
        <w:t>2</w:t>
      </w:r>
      <w:r w:rsidRPr="00A02194">
        <w:rPr>
          <w:rFonts w:ascii="Traditional Arabic" w:eastAsiaTheme="majorEastAsia" w:hAnsi="Traditional Arabic" w:cs="Traditional Arabic"/>
          <w:b/>
          <w:bCs/>
          <w:sz w:val="28"/>
          <w:szCs w:val="28"/>
          <w:rtl/>
        </w:rPr>
        <w:t>): تعريفات المتغيرات المعتمدة وأبعادها وحدودها المفاهيمية</w:t>
      </w:r>
    </w:p>
    <w:tbl>
      <w:tblPr>
        <w:tblStyle w:val="TableGrid1"/>
        <w:tblW w:w="0" w:type="auto"/>
        <w:tblLook w:val="04A0" w:firstRow="1" w:lastRow="0" w:firstColumn="1" w:lastColumn="0" w:noHBand="0" w:noVBand="1"/>
      </w:tblPr>
      <w:tblGrid>
        <w:gridCol w:w="2547"/>
        <w:gridCol w:w="1843"/>
        <w:gridCol w:w="2772"/>
        <w:gridCol w:w="1615"/>
      </w:tblGrid>
      <w:tr w:rsidR="00B074B7" w:rsidRPr="0013680C" w14:paraId="333E852C" w14:textId="77777777" w:rsidTr="00B074B7">
        <w:tc>
          <w:tcPr>
            <w:tcW w:w="2547" w:type="dxa"/>
            <w:hideMark/>
          </w:tcPr>
          <w:p w14:paraId="27E8F8CB" w14:textId="77777777" w:rsidR="0013680C" w:rsidRPr="0013680C" w:rsidRDefault="0013680C" w:rsidP="0013680C">
            <w:pPr>
              <w:pStyle w:val="ab"/>
              <w:bidi/>
              <w:spacing w:after="120"/>
              <w:jc w:val="both"/>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التمييز عن المفاهيم القريبة (الحدود المفاهيمية)</w:t>
            </w:r>
          </w:p>
        </w:tc>
        <w:tc>
          <w:tcPr>
            <w:tcW w:w="1843" w:type="dxa"/>
            <w:hideMark/>
          </w:tcPr>
          <w:p w14:paraId="2F9D53D9" w14:textId="77777777" w:rsidR="0013680C" w:rsidRPr="0013680C" w:rsidRDefault="0013680C" w:rsidP="00B074B7">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الأبعاد</w:t>
            </w:r>
          </w:p>
        </w:tc>
        <w:tc>
          <w:tcPr>
            <w:tcW w:w="2772" w:type="dxa"/>
            <w:hideMark/>
          </w:tcPr>
          <w:p w14:paraId="41A665FA" w14:textId="45D3A826" w:rsidR="0013680C" w:rsidRPr="0013680C" w:rsidRDefault="0013680C" w:rsidP="00B074B7">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التعريف الإجرائي</w:t>
            </w:r>
          </w:p>
        </w:tc>
        <w:tc>
          <w:tcPr>
            <w:tcW w:w="0" w:type="auto"/>
            <w:hideMark/>
          </w:tcPr>
          <w:p w14:paraId="27A2FFDD" w14:textId="77777777" w:rsidR="0013680C" w:rsidRPr="0013680C" w:rsidRDefault="0013680C" w:rsidP="00B074B7">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المتغير</w:t>
            </w:r>
          </w:p>
        </w:tc>
      </w:tr>
      <w:tr w:rsidR="00B074B7" w:rsidRPr="0013680C" w14:paraId="7CB009FE" w14:textId="77777777" w:rsidTr="00B074B7">
        <w:tc>
          <w:tcPr>
            <w:tcW w:w="2547" w:type="dxa"/>
            <w:hideMark/>
          </w:tcPr>
          <w:p w14:paraId="0087B232"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يختلف عن التغيير التنظيمي العشوائي أو الاستجابي، وعن الإصلاح الإداري الفضفاض؛ فهو تدخل مؤسسي مخطط ومقصود يركز على إعادة مواءمة العناصر الداخلية (الهيكل، العمليات، البشر) وليس مجرد تحديث إداري عام. كما أنه ليس مرادفًا للتحسين المستمر البسيط، بل يتضمن إعادة تصميم جذرية</w:t>
            </w:r>
            <w:r w:rsidRPr="0013680C">
              <w:rPr>
                <w:rFonts w:ascii="Traditional Arabic" w:eastAsiaTheme="majorEastAsia" w:hAnsi="Traditional Arabic" w:cs="Traditional Arabic"/>
                <w:sz w:val="28"/>
                <w:szCs w:val="28"/>
              </w:rPr>
              <w:t>.</w:t>
            </w:r>
          </w:p>
        </w:tc>
        <w:tc>
          <w:tcPr>
            <w:tcW w:w="1843" w:type="dxa"/>
            <w:hideMark/>
          </w:tcPr>
          <w:p w14:paraId="1EADEABF" w14:textId="77777777" w:rsidR="00B074B7" w:rsidRPr="00B074B7" w:rsidRDefault="00B074B7" w:rsidP="00B074B7">
            <w:pPr>
              <w:pStyle w:val="ab"/>
              <w:bidi/>
              <w:spacing w:before="0" w:beforeAutospacing="0" w:after="0" w:afterAutospacing="0"/>
              <w:jc w:val="both"/>
              <w:rPr>
                <w:rFonts w:ascii="Traditional Arabic" w:eastAsiaTheme="majorEastAsia" w:hAnsi="Traditional Arabic" w:cs="Traditional Arabic"/>
                <w:sz w:val="28"/>
                <w:szCs w:val="28"/>
                <w:rtl/>
              </w:rPr>
            </w:pPr>
            <w:r w:rsidRPr="00B074B7">
              <w:rPr>
                <w:rFonts w:ascii="Traditional Arabic" w:eastAsiaTheme="majorEastAsia" w:hAnsi="Traditional Arabic" w:cs="Traditional Arabic" w:hint="cs"/>
                <w:sz w:val="28"/>
                <w:szCs w:val="28"/>
                <w:rtl/>
              </w:rPr>
              <w:t xml:space="preserve">1. </w:t>
            </w:r>
            <w:r w:rsidR="0013680C" w:rsidRPr="0013680C">
              <w:rPr>
                <w:rFonts w:ascii="Traditional Arabic" w:eastAsiaTheme="majorEastAsia" w:hAnsi="Traditional Arabic" w:cs="Traditional Arabic"/>
                <w:sz w:val="28"/>
                <w:szCs w:val="28"/>
                <w:rtl/>
              </w:rPr>
              <w:t>الهيكل التنظيمي</w:t>
            </w:r>
          </w:p>
          <w:p w14:paraId="66251925" w14:textId="5704AF1E" w:rsidR="00B074B7" w:rsidRPr="00B074B7" w:rsidRDefault="00B074B7" w:rsidP="00B074B7">
            <w:pPr>
              <w:pStyle w:val="ab"/>
              <w:bidi/>
              <w:spacing w:before="0" w:beforeAutospacing="0" w:after="0" w:afterAutospacing="0"/>
              <w:jc w:val="both"/>
              <w:rPr>
                <w:rFonts w:ascii="Traditional Arabic" w:eastAsiaTheme="majorEastAsia" w:hAnsi="Traditional Arabic" w:cs="Traditional Arabic"/>
                <w:sz w:val="28"/>
                <w:szCs w:val="28"/>
                <w:rtl/>
              </w:rPr>
            </w:pPr>
            <w:r w:rsidRPr="00B074B7">
              <w:rPr>
                <w:rFonts w:ascii="Traditional Arabic" w:eastAsiaTheme="majorEastAsia" w:hAnsi="Traditional Arabic" w:cs="Traditional Arabic" w:hint="cs"/>
                <w:sz w:val="28"/>
                <w:szCs w:val="28"/>
                <w:rtl/>
              </w:rPr>
              <w:t xml:space="preserve">2. </w:t>
            </w:r>
            <w:r w:rsidR="0013680C" w:rsidRPr="0013680C">
              <w:rPr>
                <w:rFonts w:ascii="Traditional Arabic" w:eastAsiaTheme="majorEastAsia" w:hAnsi="Traditional Arabic" w:cs="Traditional Arabic"/>
                <w:sz w:val="28"/>
                <w:szCs w:val="28"/>
                <w:rtl/>
              </w:rPr>
              <w:t>إعادة هندسة العمليات</w:t>
            </w:r>
          </w:p>
          <w:p w14:paraId="70CBC708" w14:textId="1A2D4EA4" w:rsidR="0013680C" w:rsidRPr="0013680C" w:rsidRDefault="00B074B7" w:rsidP="00B074B7">
            <w:pPr>
              <w:pStyle w:val="ab"/>
              <w:bidi/>
              <w:spacing w:before="0" w:beforeAutospacing="0" w:after="0" w:afterAutospacing="0"/>
              <w:jc w:val="both"/>
              <w:rPr>
                <w:rFonts w:ascii="Traditional Arabic" w:eastAsiaTheme="majorEastAsia" w:hAnsi="Traditional Arabic" w:cs="Traditional Arabic"/>
                <w:sz w:val="28"/>
                <w:szCs w:val="28"/>
              </w:rPr>
            </w:pPr>
            <w:r w:rsidRPr="00B074B7">
              <w:rPr>
                <w:rFonts w:ascii="Traditional Arabic" w:eastAsiaTheme="majorEastAsia" w:hAnsi="Traditional Arabic" w:cs="Traditional Arabic" w:hint="cs"/>
                <w:sz w:val="28"/>
                <w:szCs w:val="28"/>
                <w:rtl/>
              </w:rPr>
              <w:t xml:space="preserve">3. </w:t>
            </w:r>
            <w:r w:rsidR="0013680C" w:rsidRPr="0013680C">
              <w:rPr>
                <w:rFonts w:ascii="Traditional Arabic" w:eastAsiaTheme="majorEastAsia" w:hAnsi="Traditional Arabic" w:cs="Traditional Arabic"/>
                <w:sz w:val="28"/>
                <w:szCs w:val="28"/>
                <w:rtl/>
              </w:rPr>
              <w:t>تمكين العاملين</w:t>
            </w:r>
          </w:p>
        </w:tc>
        <w:tc>
          <w:tcPr>
            <w:tcW w:w="2772" w:type="dxa"/>
            <w:hideMark/>
          </w:tcPr>
          <w:p w14:paraId="549F77D1"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w:t>
            </w:r>
            <w:r w:rsidRPr="0013680C">
              <w:rPr>
                <w:rFonts w:ascii="Traditional Arabic" w:eastAsiaTheme="majorEastAsia" w:hAnsi="Traditional Arabic" w:cs="Traditional Arabic"/>
                <w:sz w:val="28"/>
                <w:szCs w:val="28"/>
                <w:rtl/>
              </w:rPr>
              <w:t>عملية تنظيمية مخططة وشاملة تستهدف تحسين فعالية المستشفى وقدرته على التكيف والاستجابة من خلال تطوير الهيكل التنظيمي، وإعادة هندسة العمليات، وتمكين العاملين، بما يدعم تبني التكنولوجيا الذكية ويحسن إدارة المخاطر</w:t>
            </w:r>
            <w:r w:rsidRPr="0013680C">
              <w:rPr>
                <w:rFonts w:ascii="Traditional Arabic" w:eastAsiaTheme="majorEastAsia" w:hAnsi="Traditional Arabic" w:cs="Traditional Arabic"/>
                <w:sz w:val="28"/>
                <w:szCs w:val="28"/>
              </w:rPr>
              <w:t>."</w:t>
            </w:r>
          </w:p>
        </w:tc>
        <w:tc>
          <w:tcPr>
            <w:tcW w:w="0" w:type="auto"/>
            <w:hideMark/>
          </w:tcPr>
          <w:p w14:paraId="72D08684" w14:textId="77777777" w:rsidR="00B074B7" w:rsidRPr="00292F40" w:rsidRDefault="0013680C" w:rsidP="00B074B7">
            <w:pPr>
              <w:pStyle w:val="ab"/>
              <w:bidi/>
              <w:spacing w:before="0" w:beforeAutospacing="0" w:after="0" w:afterAutospacing="0"/>
              <w:jc w:val="center"/>
              <w:rPr>
                <w:rFonts w:ascii="Traditional Arabic" w:eastAsiaTheme="majorEastAsia" w:hAnsi="Traditional Arabic" w:cs="Traditional Arabic"/>
                <w:b/>
                <w:bCs/>
                <w:sz w:val="28"/>
                <w:szCs w:val="28"/>
                <w:rtl/>
              </w:rPr>
            </w:pPr>
            <w:r w:rsidRPr="00292F40">
              <w:rPr>
                <w:rFonts w:ascii="Traditional Arabic" w:eastAsiaTheme="majorEastAsia" w:hAnsi="Traditional Arabic" w:cs="Traditional Arabic"/>
                <w:b/>
                <w:bCs/>
                <w:sz w:val="28"/>
                <w:szCs w:val="28"/>
                <w:rtl/>
              </w:rPr>
              <w:t>التطوير التنظيمي </w:t>
            </w:r>
          </w:p>
          <w:p w14:paraId="04C46053" w14:textId="5CE25B2C" w:rsidR="0013680C" w:rsidRPr="00292F40" w:rsidRDefault="0013680C" w:rsidP="00B074B7">
            <w:pPr>
              <w:pStyle w:val="ab"/>
              <w:bidi/>
              <w:spacing w:before="0" w:beforeAutospacing="0" w:after="0" w:afterAutospacing="0"/>
              <w:jc w:val="center"/>
              <w:rPr>
                <w:rFonts w:ascii="Traditional Arabic" w:eastAsiaTheme="majorEastAsia" w:hAnsi="Traditional Arabic" w:cs="Traditional Arabic"/>
                <w:b/>
                <w:bCs/>
                <w:sz w:val="28"/>
                <w:szCs w:val="28"/>
              </w:rPr>
            </w:pPr>
            <w:r w:rsidRPr="00292F40">
              <w:rPr>
                <w:rFonts w:ascii="Traditional Arabic" w:eastAsiaTheme="majorEastAsia" w:hAnsi="Traditional Arabic" w:cs="Traditional Arabic" w:hint="cs"/>
                <w:b/>
                <w:bCs/>
                <w:sz w:val="28"/>
                <w:szCs w:val="28"/>
                <w:rtl/>
              </w:rPr>
              <w:t>(</w:t>
            </w:r>
            <w:r w:rsidRPr="00292F40">
              <w:rPr>
                <w:rFonts w:ascii="Traditional Arabic" w:eastAsiaTheme="majorEastAsia" w:hAnsi="Traditional Arabic" w:cs="Traditional Arabic"/>
                <w:b/>
                <w:bCs/>
                <w:sz w:val="28"/>
                <w:szCs w:val="28"/>
                <w:rtl/>
              </w:rPr>
              <w:t>المتغير المستقل</w:t>
            </w:r>
            <w:r w:rsidRPr="00292F40">
              <w:rPr>
                <w:rFonts w:ascii="Traditional Arabic" w:eastAsiaTheme="majorEastAsia" w:hAnsi="Traditional Arabic" w:cs="Traditional Arabic" w:hint="cs"/>
                <w:b/>
                <w:bCs/>
                <w:sz w:val="28"/>
                <w:szCs w:val="28"/>
                <w:rtl/>
              </w:rPr>
              <w:t>)</w:t>
            </w:r>
          </w:p>
        </w:tc>
      </w:tr>
      <w:tr w:rsidR="00B074B7" w:rsidRPr="0013680C" w14:paraId="74A8144E" w14:textId="77777777" w:rsidTr="00B074B7">
        <w:tc>
          <w:tcPr>
            <w:tcW w:w="2547" w:type="dxa"/>
            <w:hideMark/>
          </w:tcPr>
          <w:p w14:paraId="087C5E2C"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تختلف عن التكنولوجيا التقليدية التي تقتصر على الأتمتة والتخزين (مثل السجلات الإلكترونية البسيطة)، وعن مفهوم "التحول الرقمي" الأوسع الذي يشمل الجوانب الثقافية والتنظيمية والاستراتيجية؛ فهي تركز تحديدًا على الأنظمة ذات القدرات التحليلية والتنبؤية والتعلم الآلي</w:t>
            </w:r>
            <w:r w:rsidRPr="0013680C">
              <w:rPr>
                <w:rFonts w:ascii="Traditional Arabic" w:eastAsiaTheme="majorEastAsia" w:hAnsi="Traditional Arabic" w:cs="Traditional Arabic"/>
                <w:sz w:val="28"/>
                <w:szCs w:val="28"/>
              </w:rPr>
              <w:t>.</w:t>
            </w:r>
          </w:p>
        </w:tc>
        <w:tc>
          <w:tcPr>
            <w:tcW w:w="1843" w:type="dxa"/>
            <w:hideMark/>
          </w:tcPr>
          <w:p w14:paraId="2B497564" w14:textId="3C2940FD" w:rsidR="00B074B7" w:rsidRPr="00B074B7" w:rsidRDefault="0013680C" w:rsidP="00B074B7">
            <w:pPr>
              <w:pStyle w:val="ab"/>
              <w:numPr>
                <w:ilvl w:val="0"/>
                <w:numId w:val="105"/>
              </w:numPr>
              <w:bidi/>
              <w:spacing w:after="120"/>
              <w:rPr>
                <w:rFonts w:ascii="Traditional Arabic" w:eastAsiaTheme="majorEastAsia" w:hAnsi="Traditional Arabic" w:cs="Traditional Arabic"/>
                <w:sz w:val="28"/>
                <w:szCs w:val="28"/>
                <w:rtl/>
              </w:rPr>
            </w:pPr>
            <w:r w:rsidRPr="0013680C">
              <w:rPr>
                <w:rFonts w:ascii="Traditional Arabic" w:eastAsiaTheme="majorEastAsia" w:hAnsi="Traditional Arabic" w:cs="Traditional Arabic"/>
                <w:sz w:val="28"/>
                <w:szCs w:val="28"/>
                <w:rtl/>
              </w:rPr>
              <w:t>أنظمة دعم القرار السرير</w:t>
            </w:r>
          </w:p>
          <w:p w14:paraId="0E4C2A3F" w14:textId="77777777" w:rsidR="00B074B7" w:rsidRPr="00B074B7" w:rsidRDefault="0013680C" w:rsidP="00B074B7">
            <w:pPr>
              <w:pStyle w:val="ab"/>
              <w:numPr>
                <w:ilvl w:val="0"/>
                <w:numId w:val="105"/>
              </w:numPr>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الإنذار المبكر والمراقبة</w:t>
            </w:r>
          </w:p>
          <w:p w14:paraId="26356C11" w14:textId="649DA191" w:rsidR="0013680C" w:rsidRPr="0013680C" w:rsidRDefault="0013680C" w:rsidP="00B074B7">
            <w:pPr>
              <w:pStyle w:val="ab"/>
              <w:numPr>
                <w:ilvl w:val="0"/>
                <w:numId w:val="105"/>
              </w:numPr>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التحليلات التنبؤية وتكامل البيانات</w:t>
            </w:r>
          </w:p>
        </w:tc>
        <w:tc>
          <w:tcPr>
            <w:tcW w:w="2772" w:type="dxa"/>
            <w:hideMark/>
          </w:tcPr>
          <w:p w14:paraId="6A7F96D9"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w:t>
            </w:r>
            <w:r w:rsidRPr="0013680C">
              <w:rPr>
                <w:rFonts w:ascii="Traditional Arabic" w:eastAsiaTheme="majorEastAsia" w:hAnsi="Traditional Arabic" w:cs="Traditional Arabic"/>
                <w:sz w:val="28"/>
                <w:szCs w:val="28"/>
                <w:rtl/>
              </w:rPr>
              <w:t>مجموعة الأنظمة التقنية المتقدمة، القائمة على الذكاء الاصطناعي، وتحليل البيانات الضخمة، وإنترنت الأشياء، والمطبقة في البيئة الصحية لدعم القرارات السريرية والإدارية، ورصد المخاطر بشكل مستمر، والتنبؤ بالأحداث الصحية الحرجة، بهدف رفع كفاءة الأداء، وجودة الرعاية، وسلامة المرضى</w:t>
            </w:r>
            <w:r w:rsidRPr="0013680C">
              <w:rPr>
                <w:rFonts w:ascii="Traditional Arabic" w:eastAsiaTheme="majorEastAsia" w:hAnsi="Traditional Arabic" w:cs="Traditional Arabic"/>
                <w:sz w:val="28"/>
                <w:szCs w:val="28"/>
              </w:rPr>
              <w:t>."</w:t>
            </w:r>
          </w:p>
        </w:tc>
        <w:tc>
          <w:tcPr>
            <w:tcW w:w="0" w:type="auto"/>
            <w:hideMark/>
          </w:tcPr>
          <w:p w14:paraId="153A5353" w14:textId="77777777" w:rsidR="00B074B7" w:rsidRPr="00292F40" w:rsidRDefault="0013680C" w:rsidP="00B074B7">
            <w:pPr>
              <w:pStyle w:val="ab"/>
              <w:bidi/>
              <w:spacing w:before="0" w:beforeAutospacing="0" w:after="0" w:afterAutospacing="0"/>
              <w:jc w:val="center"/>
              <w:rPr>
                <w:rFonts w:ascii="Traditional Arabic" w:eastAsiaTheme="majorEastAsia" w:hAnsi="Traditional Arabic" w:cs="Traditional Arabic"/>
                <w:b/>
                <w:bCs/>
                <w:sz w:val="28"/>
                <w:szCs w:val="28"/>
                <w:rtl/>
              </w:rPr>
            </w:pPr>
            <w:r w:rsidRPr="00292F40">
              <w:rPr>
                <w:rFonts w:ascii="Traditional Arabic" w:eastAsiaTheme="majorEastAsia" w:hAnsi="Traditional Arabic" w:cs="Traditional Arabic"/>
                <w:b/>
                <w:bCs/>
                <w:sz w:val="28"/>
                <w:szCs w:val="28"/>
                <w:rtl/>
              </w:rPr>
              <w:t>التكنولوجيا الذكية </w:t>
            </w:r>
          </w:p>
          <w:p w14:paraId="3BCAF865" w14:textId="70129DBD" w:rsidR="0013680C" w:rsidRPr="00292F40" w:rsidRDefault="00B074B7" w:rsidP="00B074B7">
            <w:pPr>
              <w:pStyle w:val="ab"/>
              <w:bidi/>
              <w:spacing w:before="0" w:beforeAutospacing="0" w:after="0" w:afterAutospacing="0"/>
              <w:jc w:val="center"/>
              <w:rPr>
                <w:rFonts w:ascii="Traditional Arabic" w:eastAsiaTheme="majorEastAsia" w:hAnsi="Traditional Arabic" w:cs="Traditional Arabic"/>
                <w:b/>
                <w:bCs/>
                <w:sz w:val="28"/>
                <w:szCs w:val="28"/>
              </w:rPr>
            </w:pPr>
            <w:r w:rsidRPr="00292F40">
              <w:rPr>
                <w:rFonts w:ascii="Traditional Arabic" w:eastAsiaTheme="majorEastAsia" w:hAnsi="Traditional Arabic" w:cs="Traditional Arabic" w:hint="cs"/>
                <w:b/>
                <w:bCs/>
                <w:sz w:val="28"/>
                <w:szCs w:val="28"/>
                <w:rtl/>
              </w:rPr>
              <w:t>(</w:t>
            </w:r>
            <w:r w:rsidR="0013680C" w:rsidRPr="00292F40">
              <w:rPr>
                <w:rFonts w:ascii="Traditional Arabic" w:eastAsiaTheme="majorEastAsia" w:hAnsi="Traditional Arabic" w:cs="Traditional Arabic"/>
                <w:b/>
                <w:bCs/>
                <w:sz w:val="28"/>
                <w:szCs w:val="28"/>
                <w:rtl/>
              </w:rPr>
              <w:t>المتغير الوسيط</w:t>
            </w:r>
            <w:r w:rsidRPr="00292F40">
              <w:rPr>
                <w:rFonts w:ascii="Traditional Arabic" w:eastAsiaTheme="majorEastAsia" w:hAnsi="Traditional Arabic" w:cs="Traditional Arabic" w:hint="cs"/>
                <w:b/>
                <w:bCs/>
                <w:sz w:val="28"/>
                <w:szCs w:val="28"/>
                <w:rtl/>
              </w:rPr>
              <w:t>)</w:t>
            </w:r>
          </w:p>
        </w:tc>
      </w:tr>
      <w:tr w:rsidR="00B074B7" w:rsidRPr="0013680C" w14:paraId="60DAC849" w14:textId="77777777" w:rsidTr="00B074B7">
        <w:tc>
          <w:tcPr>
            <w:tcW w:w="2547" w:type="dxa"/>
            <w:hideMark/>
          </w:tcPr>
          <w:p w14:paraId="6F1FD777"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 xml:space="preserve">تختلف عن إدارة الأزمات التي تركز على الاستجابة بعد وقوع الحدث (رد الفعل)، وعن التأمين الذي ينقل المخاطر فقط؛ فهذا المفهوم يشمل الاستباقية والوقاية والتخطيط المسبق والتحليل </w:t>
            </w:r>
            <w:r w:rsidRPr="0013680C">
              <w:rPr>
                <w:rFonts w:ascii="Traditional Arabic" w:eastAsiaTheme="majorEastAsia" w:hAnsi="Traditional Arabic" w:cs="Traditional Arabic"/>
                <w:sz w:val="28"/>
                <w:szCs w:val="28"/>
                <w:rtl/>
              </w:rPr>
              <w:lastRenderedPageBreak/>
              <w:t>المنهجي، ويمتد إلى جوهر الجودة والسلامة في البيئة الصحية</w:t>
            </w:r>
            <w:r w:rsidRPr="0013680C">
              <w:rPr>
                <w:rFonts w:ascii="Traditional Arabic" w:eastAsiaTheme="majorEastAsia" w:hAnsi="Traditional Arabic" w:cs="Traditional Arabic"/>
                <w:sz w:val="28"/>
                <w:szCs w:val="28"/>
              </w:rPr>
              <w:t>.</w:t>
            </w:r>
          </w:p>
        </w:tc>
        <w:tc>
          <w:tcPr>
            <w:tcW w:w="1843" w:type="dxa"/>
            <w:hideMark/>
          </w:tcPr>
          <w:p w14:paraId="3399D60F" w14:textId="055E0367" w:rsidR="0013680C" w:rsidRPr="0013680C" w:rsidRDefault="00B074B7" w:rsidP="00B074B7">
            <w:pPr>
              <w:pStyle w:val="ab"/>
              <w:bidi/>
              <w:spacing w:after="120"/>
              <w:rPr>
                <w:rFonts w:ascii="Traditional Arabic" w:eastAsiaTheme="majorEastAsia" w:hAnsi="Traditional Arabic" w:cs="Traditional Arabic"/>
                <w:sz w:val="28"/>
                <w:szCs w:val="28"/>
              </w:rPr>
            </w:pPr>
            <w:r w:rsidRPr="00B074B7">
              <w:rPr>
                <w:rFonts w:ascii="Traditional Arabic" w:eastAsiaTheme="majorEastAsia" w:hAnsi="Traditional Arabic" w:cs="Traditional Arabic" w:hint="cs"/>
                <w:sz w:val="28"/>
                <w:szCs w:val="28"/>
                <w:rtl/>
              </w:rPr>
              <w:lastRenderedPageBreak/>
              <w:t xml:space="preserve">1. </w:t>
            </w:r>
            <w:r w:rsidR="0013680C" w:rsidRPr="0013680C">
              <w:rPr>
                <w:rFonts w:ascii="Traditional Arabic" w:eastAsiaTheme="majorEastAsia" w:hAnsi="Traditional Arabic" w:cs="Traditional Arabic"/>
                <w:sz w:val="28"/>
                <w:szCs w:val="28"/>
                <w:rtl/>
              </w:rPr>
              <w:t>التخطيط للمخاطر</w:t>
            </w:r>
            <w:r w:rsidR="0013680C" w:rsidRPr="0013680C">
              <w:rPr>
                <w:rFonts w:ascii="Traditional Arabic" w:eastAsiaTheme="majorEastAsia" w:hAnsi="Traditional Arabic" w:cs="Traditional Arabic"/>
                <w:sz w:val="28"/>
                <w:szCs w:val="28"/>
              </w:rPr>
              <w:br/>
            </w:r>
            <w:r w:rsidRPr="00B074B7">
              <w:rPr>
                <w:rFonts w:ascii="Traditional Arabic" w:eastAsiaTheme="majorEastAsia" w:hAnsi="Traditional Arabic" w:cs="Traditional Arabic" w:hint="cs"/>
                <w:sz w:val="28"/>
                <w:szCs w:val="28"/>
                <w:rtl/>
              </w:rPr>
              <w:t xml:space="preserve">2. </w:t>
            </w:r>
            <w:r w:rsidR="0013680C" w:rsidRPr="0013680C">
              <w:rPr>
                <w:rFonts w:ascii="Traditional Arabic" w:eastAsiaTheme="majorEastAsia" w:hAnsi="Traditional Arabic" w:cs="Traditional Arabic"/>
                <w:sz w:val="28"/>
                <w:szCs w:val="28"/>
                <w:rtl/>
              </w:rPr>
              <w:t>الموقف من المخاطر</w:t>
            </w:r>
            <w:r w:rsidR="0013680C" w:rsidRPr="0013680C">
              <w:rPr>
                <w:rFonts w:ascii="Traditional Arabic" w:eastAsiaTheme="majorEastAsia" w:hAnsi="Traditional Arabic" w:cs="Traditional Arabic"/>
                <w:sz w:val="28"/>
                <w:szCs w:val="28"/>
              </w:rPr>
              <w:br/>
            </w:r>
            <w:r w:rsidRPr="00B074B7">
              <w:rPr>
                <w:rFonts w:ascii="Traditional Arabic" w:eastAsiaTheme="majorEastAsia" w:hAnsi="Traditional Arabic" w:cs="Traditional Arabic" w:hint="cs"/>
                <w:sz w:val="28"/>
                <w:szCs w:val="28"/>
                <w:rtl/>
              </w:rPr>
              <w:t xml:space="preserve">3. </w:t>
            </w:r>
            <w:r w:rsidR="0013680C" w:rsidRPr="0013680C">
              <w:rPr>
                <w:rFonts w:ascii="Traditional Arabic" w:eastAsiaTheme="majorEastAsia" w:hAnsi="Traditional Arabic" w:cs="Traditional Arabic"/>
                <w:sz w:val="28"/>
                <w:szCs w:val="28"/>
                <w:rtl/>
              </w:rPr>
              <w:t>الممارسات الوقائية</w:t>
            </w:r>
          </w:p>
        </w:tc>
        <w:tc>
          <w:tcPr>
            <w:tcW w:w="2772" w:type="dxa"/>
            <w:hideMark/>
          </w:tcPr>
          <w:p w14:paraId="2FB5D198"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w:t>
            </w:r>
            <w:r w:rsidRPr="0013680C">
              <w:rPr>
                <w:rFonts w:ascii="Traditional Arabic" w:eastAsiaTheme="majorEastAsia" w:hAnsi="Traditional Arabic" w:cs="Traditional Arabic"/>
                <w:sz w:val="28"/>
                <w:szCs w:val="28"/>
                <w:rtl/>
              </w:rPr>
              <w:t xml:space="preserve">العملية المنظمة التي تهدف إلى تحديد وتحليل وتقييم المخاطر المحتملة في المستشفى، وتصميم وتنفيذ خطط استباقية للتعامل معها، مع متابعة فعالية هذه الإجراءات بشكل دوري، وذلك بهدف ضمان سلامة المرضى </w:t>
            </w:r>
            <w:r w:rsidRPr="0013680C">
              <w:rPr>
                <w:rFonts w:ascii="Traditional Arabic" w:eastAsiaTheme="majorEastAsia" w:hAnsi="Traditional Arabic" w:cs="Traditional Arabic"/>
                <w:sz w:val="28"/>
                <w:szCs w:val="28"/>
                <w:rtl/>
              </w:rPr>
              <w:lastRenderedPageBreak/>
              <w:t>والعاملين واستمرارية الخدمات الصحية</w:t>
            </w:r>
            <w:r w:rsidRPr="0013680C">
              <w:rPr>
                <w:rFonts w:ascii="Traditional Arabic" w:eastAsiaTheme="majorEastAsia" w:hAnsi="Traditional Arabic" w:cs="Traditional Arabic"/>
                <w:sz w:val="28"/>
                <w:szCs w:val="28"/>
              </w:rPr>
              <w:t>."</w:t>
            </w:r>
          </w:p>
        </w:tc>
        <w:tc>
          <w:tcPr>
            <w:tcW w:w="0" w:type="auto"/>
            <w:hideMark/>
          </w:tcPr>
          <w:p w14:paraId="75FF440B" w14:textId="77777777" w:rsidR="00B074B7" w:rsidRPr="00292F40" w:rsidRDefault="0013680C" w:rsidP="00B074B7">
            <w:pPr>
              <w:pStyle w:val="ab"/>
              <w:bidi/>
              <w:spacing w:before="0" w:beforeAutospacing="0" w:after="0" w:afterAutospacing="0"/>
              <w:jc w:val="center"/>
              <w:rPr>
                <w:rFonts w:ascii="Traditional Arabic" w:eastAsiaTheme="majorEastAsia" w:hAnsi="Traditional Arabic" w:cs="Traditional Arabic"/>
                <w:b/>
                <w:bCs/>
                <w:sz w:val="28"/>
                <w:szCs w:val="28"/>
                <w:rtl/>
              </w:rPr>
            </w:pPr>
            <w:r w:rsidRPr="00292F40">
              <w:rPr>
                <w:rFonts w:ascii="Traditional Arabic" w:eastAsiaTheme="majorEastAsia" w:hAnsi="Traditional Arabic" w:cs="Traditional Arabic"/>
                <w:b/>
                <w:bCs/>
                <w:sz w:val="28"/>
                <w:szCs w:val="28"/>
                <w:rtl/>
              </w:rPr>
              <w:lastRenderedPageBreak/>
              <w:t>إدارة المخاطر </w:t>
            </w:r>
          </w:p>
          <w:p w14:paraId="6D368D62" w14:textId="1941379D" w:rsidR="0013680C" w:rsidRPr="00292F40" w:rsidRDefault="00B074B7" w:rsidP="00B074B7">
            <w:pPr>
              <w:pStyle w:val="ab"/>
              <w:bidi/>
              <w:spacing w:before="0" w:beforeAutospacing="0" w:after="0" w:afterAutospacing="0"/>
              <w:jc w:val="center"/>
              <w:rPr>
                <w:rFonts w:ascii="Traditional Arabic" w:eastAsiaTheme="majorEastAsia" w:hAnsi="Traditional Arabic" w:cs="Traditional Arabic"/>
                <w:b/>
                <w:bCs/>
                <w:sz w:val="28"/>
                <w:szCs w:val="28"/>
              </w:rPr>
            </w:pPr>
            <w:r w:rsidRPr="00292F40">
              <w:rPr>
                <w:rFonts w:ascii="Traditional Arabic" w:eastAsiaTheme="majorEastAsia" w:hAnsi="Traditional Arabic" w:cs="Traditional Arabic" w:hint="cs"/>
                <w:b/>
                <w:bCs/>
                <w:sz w:val="28"/>
                <w:szCs w:val="28"/>
                <w:rtl/>
              </w:rPr>
              <w:t>(</w:t>
            </w:r>
            <w:r w:rsidR="0013680C" w:rsidRPr="00292F40">
              <w:rPr>
                <w:rFonts w:ascii="Traditional Arabic" w:eastAsiaTheme="majorEastAsia" w:hAnsi="Traditional Arabic" w:cs="Traditional Arabic"/>
                <w:b/>
                <w:bCs/>
                <w:sz w:val="28"/>
                <w:szCs w:val="28"/>
                <w:rtl/>
              </w:rPr>
              <w:t>المتغير التابع</w:t>
            </w:r>
            <w:r w:rsidRPr="00292F40">
              <w:rPr>
                <w:rFonts w:ascii="Traditional Arabic" w:eastAsiaTheme="majorEastAsia" w:hAnsi="Traditional Arabic" w:cs="Traditional Arabic" w:hint="cs"/>
                <w:b/>
                <w:bCs/>
                <w:sz w:val="28"/>
                <w:szCs w:val="28"/>
                <w:rtl/>
              </w:rPr>
              <w:t>)</w:t>
            </w:r>
          </w:p>
        </w:tc>
      </w:tr>
    </w:tbl>
    <w:p w14:paraId="7E9B59FB" w14:textId="7C86393E" w:rsidR="0013680C" w:rsidRPr="0013680C" w:rsidRDefault="0013680C" w:rsidP="005B684E">
      <w:pPr>
        <w:pStyle w:val="ab"/>
        <w:bidi/>
        <w:spacing w:before="0"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جدول (</w:t>
      </w:r>
      <w:r w:rsidR="006D63D8">
        <w:rPr>
          <w:rFonts w:ascii="Traditional Arabic" w:eastAsiaTheme="majorEastAsia" w:hAnsi="Traditional Arabic" w:cs="Traditional Arabic" w:hint="cs"/>
          <w:b/>
          <w:bCs/>
          <w:sz w:val="28"/>
          <w:szCs w:val="28"/>
          <w:rtl/>
        </w:rPr>
        <w:t>2</w:t>
      </w:r>
      <w:r w:rsidRPr="0013680C">
        <w:rPr>
          <w:rFonts w:ascii="Traditional Arabic" w:eastAsiaTheme="majorEastAsia" w:hAnsi="Traditional Arabic" w:cs="Traditional Arabic"/>
          <w:b/>
          <w:bCs/>
          <w:sz w:val="28"/>
          <w:szCs w:val="28"/>
          <w:rtl/>
        </w:rPr>
        <w:t>.</w:t>
      </w:r>
      <w:r w:rsidR="006D63D8">
        <w:rPr>
          <w:rFonts w:ascii="Traditional Arabic" w:eastAsiaTheme="majorEastAsia" w:hAnsi="Traditional Arabic" w:cs="Traditional Arabic" w:hint="cs"/>
          <w:b/>
          <w:bCs/>
          <w:sz w:val="28"/>
          <w:szCs w:val="28"/>
          <w:rtl/>
        </w:rPr>
        <w:t>3</w:t>
      </w:r>
      <w:r w:rsidRPr="0013680C">
        <w:rPr>
          <w:rFonts w:ascii="Traditional Arabic" w:eastAsiaTheme="majorEastAsia" w:hAnsi="Traditional Arabic" w:cs="Traditional Arabic"/>
          <w:b/>
          <w:bCs/>
          <w:sz w:val="28"/>
          <w:szCs w:val="28"/>
          <w:rtl/>
        </w:rPr>
        <w:t xml:space="preserve">): </w:t>
      </w:r>
      <w:r w:rsidR="006D63D8">
        <w:rPr>
          <w:rFonts w:ascii="Traditional Arabic" w:eastAsiaTheme="majorEastAsia" w:hAnsi="Traditional Arabic" w:cs="Traditional Arabic" w:hint="cs"/>
          <w:b/>
          <w:bCs/>
          <w:sz w:val="28"/>
          <w:szCs w:val="28"/>
          <w:rtl/>
        </w:rPr>
        <w:t xml:space="preserve">خطة </w:t>
      </w:r>
      <w:r w:rsidRPr="006D63D8">
        <w:rPr>
          <w:rFonts w:ascii="Traditional Arabic" w:eastAsiaTheme="majorEastAsia" w:hAnsi="Traditional Arabic" w:cs="Traditional Arabic"/>
          <w:b/>
          <w:bCs/>
          <w:sz w:val="28"/>
          <w:szCs w:val="28"/>
          <w:rtl/>
        </w:rPr>
        <w:t>القياس الإجرائية</w:t>
      </w:r>
      <w:r w:rsidRPr="006D63D8">
        <w:rPr>
          <w:rFonts w:ascii="Traditional Arabic" w:eastAsiaTheme="majorEastAsia" w:hAnsi="Traditional Arabic" w:cs="Traditional Arabic" w:hint="cs"/>
          <w:b/>
          <w:bCs/>
          <w:sz w:val="28"/>
          <w:szCs w:val="28"/>
          <w:rtl/>
        </w:rPr>
        <w:t xml:space="preserve"> للمتغيرات وأبعادها</w:t>
      </w:r>
    </w:p>
    <w:tbl>
      <w:tblPr>
        <w:tblStyle w:val="TableGrid1"/>
        <w:tblW w:w="0" w:type="auto"/>
        <w:tblLook w:val="04A0" w:firstRow="1" w:lastRow="0" w:firstColumn="1" w:lastColumn="0" w:noHBand="0" w:noVBand="1"/>
      </w:tblPr>
      <w:tblGrid>
        <w:gridCol w:w="3277"/>
        <w:gridCol w:w="1363"/>
        <w:gridCol w:w="1192"/>
        <w:gridCol w:w="1722"/>
        <w:gridCol w:w="1223"/>
      </w:tblGrid>
      <w:tr w:rsidR="0013680C" w:rsidRPr="001C5D93" w14:paraId="0F18CEDB" w14:textId="77777777" w:rsidTr="0013680C">
        <w:tc>
          <w:tcPr>
            <w:tcW w:w="0" w:type="auto"/>
            <w:hideMark/>
          </w:tcPr>
          <w:p w14:paraId="28D7E1D4" w14:textId="77777777" w:rsidR="0013680C" w:rsidRPr="0013680C" w:rsidRDefault="0013680C" w:rsidP="0013680C">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ملاحظات التكييف للسياق السعودي</w:t>
            </w:r>
          </w:p>
        </w:tc>
        <w:tc>
          <w:tcPr>
            <w:tcW w:w="1363" w:type="dxa"/>
            <w:hideMark/>
          </w:tcPr>
          <w:p w14:paraId="7CFF4E5D" w14:textId="79446BFF" w:rsidR="0013680C" w:rsidRPr="0013680C" w:rsidRDefault="0013680C" w:rsidP="0013680C">
            <w:pPr>
              <w:pStyle w:val="ab"/>
              <w:bidi/>
              <w:spacing w:after="120"/>
              <w:jc w:val="center"/>
              <w:rPr>
                <w:rFonts w:ascii="Traditional Arabic" w:eastAsiaTheme="majorEastAsia" w:hAnsi="Traditional Arabic" w:cs="Traditional Arabic"/>
                <w:b/>
                <w:bCs/>
                <w:sz w:val="28"/>
                <w:szCs w:val="28"/>
              </w:rPr>
            </w:pPr>
            <w:r w:rsidRPr="006D63D8">
              <w:rPr>
                <w:rFonts w:ascii="Traditional Arabic" w:eastAsiaTheme="majorEastAsia" w:hAnsi="Traditional Arabic" w:cs="Traditional Arabic" w:hint="cs"/>
                <w:b/>
                <w:bCs/>
                <w:sz w:val="28"/>
                <w:szCs w:val="28"/>
                <w:rtl/>
              </w:rPr>
              <w:t>مصدر القياس</w:t>
            </w:r>
          </w:p>
        </w:tc>
        <w:tc>
          <w:tcPr>
            <w:tcW w:w="1192" w:type="dxa"/>
            <w:hideMark/>
          </w:tcPr>
          <w:p w14:paraId="696E4982" w14:textId="7FEE1963" w:rsidR="0013680C" w:rsidRPr="0013680C" w:rsidRDefault="0013680C" w:rsidP="0013680C">
            <w:pPr>
              <w:pStyle w:val="ab"/>
              <w:bidi/>
              <w:spacing w:after="120"/>
              <w:jc w:val="center"/>
              <w:rPr>
                <w:rFonts w:ascii="Traditional Arabic" w:eastAsiaTheme="majorEastAsia" w:hAnsi="Traditional Arabic" w:cs="Traditional Arabic"/>
                <w:b/>
                <w:bCs/>
                <w:sz w:val="28"/>
                <w:szCs w:val="28"/>
                <w:rtl/>
              </w:rPr>
            </w:pPr>
            <w:r w:rsidRPr="0013680C">
              <w:rPr>
                <w:rFonts w:ascii="Traditional Arabic" w:eastAsiaTheme="majorEastAsia" w:hAnsi="Traditional Arabic" w:cs="Traditional Arabic"/>
                <w:b/>
                <w:bCs/>
                <w:sz w:val="28"/>
                <w:szCs w:val="28"/>
                <w:rtl/>
              </w:rPr>
              <w:t xml:space="preserve">عدد العبارات </w:t>
            </w:r>
          </w:p>
        </w:tc>
        <w:tc>
          <w:tcPr>
            <w:tcW w:w="1722" w:type="dxa"/>
            <w:hideMark/>
          </w:tcPr>
          <w:p w14:paraId="4706E6A7" w14:textId="77777777" w:rsidR="0013680C" w:rsidRPr="0013680C" w:rsidRDefault="0013680C" w:rsidP="0013680C">
            <w:pPr>
              <w:pStyle w:val="ab"/>
              <w:bidi/>
              <w:spacing w:after="120"/>
              <w:jc w:val="center"/>
              <w:rPr>
                <w:rFonts w:ascii="Traditional Arabic" w:eastAsiaTheme="majorEastAsia" w:hAnsi="Traditional Arabic" w:cs="Traditional Arabic"/>
                <w:b/>
                <w:bCs/>
                <w:sz w:val="28"/>
                <w:szCs w:val="28"/>
              </w:rPr>
            </w:pPr>
            <w:r w:rsidRPr="0013680C">
              <w:rPr>
                <w:rFonts w:ascii="Traditional Arabic" w:eastAsiaTheme="majorEastAsia" w:hAnsi="Traditional Arabic" w:cs="Traditional Arabic"/>
                <w:b/>
                <w:bCs/>
                <w:sz w:val="28"/>
                <w:szCs w:val="28"/>
                <w:rtl/>
              </w:rPr>
              <w:t>البُعد</w:t>
            </w:r>
          </w:p>
        </w:tc>
        <w:tc>
          <w:tcPr>
            <w:tcW w:w="0" w:type="auto"/>
            <w:hideMark/>
          </w:tcPr>
          <w:p w14:paraId="6ECB7A1E" w14:textId="77777777" w:rsidR="0013680C" w:rsidRPr="0013680C" w:rsidRDefault="0013680C" w:rsidP="0013680C">
            <w:pPr>
              <w:pStyle w:val="ab"/>
              <w:bidi/>
              <w:spacing w:after="120"/>
              <w:jc w:val="center"/>
              <w:rPr>
                <w:rFonts w:ascii="Traditional Arabic" w:eastAsiaTheme="majorEastAsia" w:hAnsi="Traditional Arabic" w:cs="Traditional Arabic"/>
                <w:b/>
                <w:bCs/>
                <w:sz w:val="32"/>
                <w:szCs w:val="32"/>
              </w:rPr>
            </w:pPr>
            <w:r w:rsidRPr="0013680C">
              <w:rPr>
                <w:rFonts w:ascii="Traditional Arabic" w:eastAsiaTheme="majorEastAsia" w:hAnsi="Traditional Arabic" w:cs="Traditional Arabic"/>
                <w:b/>
                <w:bCs/>
                <w:sz w:val="32"/>
                <w:szCs w:val="32"/>
                <w:rtl/>
              </w:rPr>
              <w:t>المتغير</w:t>
            </w:r>
          </w:p>
        </w:tc>
      </w:tr>
      <w:tr w:rsidR="0013680C" w:rsidRPr="001C5D93" w14:paraId="059E5210" w14:textId="77777777" w:rsidTr="0013680C">
        <w:tc>
          <w:tcPr>
            <w:tcW w:w="0" w:type="auto"/>
            <w:hideMark/>
          </w:tcPr>
          <w:p w14:paraId="45C46812"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تعديل صياغات العبارات لتناسب الهيكل الإداري في مستشفيات وزارة الصحة السعودية، مع التركيز على وضوح التدرج الوظيفي وآليات التنسيق بين الأقسام في مستشفى الملك فهد المركزي بالباحة</w:t>
            </w:r>
            <w:r w:rsidRPr="0013680C">
              <w:rPr>
                <w:rFonts w:ascii="Traditional Arabic" w:eastAsiaTheme="majorEastAsia" w:hAnsi="Traditional Arabic" w:cs="Traditional Arabic"/>
                <w:sz w:val="28"/>
                <w:szCs w:val="28"/>
              </w:rPr>
              <w:t>.</w:t>
            </w:r>
          </w:p>
        </w:tc>
        <w:tc>
          <w:tcPr>
            <w:tcW w:w="1363" w:type="dxa"/>
            <w:hideMark/>
          </w:tcPr>
          <w:p w14:paraId="1AD96371" w14:textId="77777777" w:rsidR="0013680C" w:rsidRPr="0013680C" w:rsidRDefault="0013680C" w:rsidP="0013680C">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سليمان</w:t>
            </w:r>
            <w:r w:rsidRPr="0013680C">
              <w:rPr>
                <w:rFonts w:ascii="Traditional Arabic" w:eastAsiaTheme="majorEastAsia" w:hAnsi="Traditional Arabic" w:cs="Traditional Arabic"/>
                <w:sz w:val="28"/>
                <w:szCs w:val="28"/>
              </w:rPr>
              <w:t xml:space="preserve"> (2021)</w:t>
            </w:r>
          </w:p>
        </w:tc>
        <w:tc>
          <w:tcPr>
            <w:tcW w:w="1192" w:type="dxa"/>
            <w:hideMark/>
          </w:tcPr>
          <w:p w14:paraId="20C8A4EB"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4C6B8E0F" w14:textId="4EECCB31"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الهيكل التنظيمي</w:t>
            </w:r>
          </w:p>
        </w:tc>
        <w:tc>
          <w:tcPr>
            <w:tcW w:w="0" w:type="auto"/>
            <w:vMerge w:val="restart"/>
            <w:hideMark/>
          </w:tcPr>
          <w:p w14:paraId="0A3BBA43" w14:textId="77777777" w:rsidR="0013680C" w:rsidRPr="001C5D93" w:rsidRDefault="0013680C" w:rsidP="0013680C">
            <w:pPr>
              <w:pStyle w:val="ab"/>
              <w:bidi/>
              <w:spacing w:after="120"/>
              <w:jc w:val="center"/>
              <w:rPr>
                <w:rFonts w:ascii="Traditional Arabic" w:eastAsiaTheme="majorEastAsia" w:hAnsi="Traditional Arabic" w:cs="Traditional Arabic"/>
                <w:b/>
                <w:bCs/>
                <w:sz w:val="32"/>
                <w:szCs w:val="32"/>
              </w:rPr>
            </w:pPr>
            <w:r w:rsidRPr="0013680C">
              <w:rPr>
                <w:rFonts w:ascii="Traditional Arabic" w:eastAsiaTheme="majorEastAsia" w:hAnsi="Traditional Arabic" w:cs="Traditional Arabic"/>
                <w:b/>
                <w:bCs/>
                <w:sz w:val="32"/>
                <w:szCs w:val="32"/>
                <w:rtl/>
              </w:rPr>
              <w:t>التطوير التنظيمي</w:t>
            </w:r>
          </w:p>
          <w:p w14:paraId="5535A240" w14:textId="6757B0AC"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62C7DBDB" w14:textId="77777777" w:rsidTr="0013680C">
        <w:tc>
          <w:tcPr>
            <w:tcW w:w="0" w:type="auto"/>
            <w:hideMark/>
          </w:tcPr>
          <w:p w14:paraId="25BED700"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 xml:space="preserve">تم تكييف العبارات لتعكس إجراءات تحسين العمليات في المستشفيات السعودية، مثل تبسيط مسار المريض، وتقليل الإجراءات الورقية، </w:t>
            </w:r>
            <w:proofErr w:type="spellStart"/>
            <w:r w:rsidRPr="0013680C">
              <w:rPr>
                <w:rFonts w:ascii="Traditional Arabic" w:eastAsiaTheme="majorEastAsia" w:hAnsi="Traditional Arabic" w:cs="Traditional Arabic"/>
                <w:sz w:val="28"/>
                <w:szCs w:val="28"/>
                <w:rtl/>
              </w:rPr>
              <w:t>ورقمنة</w:t>
            </w:r>
            <w:proofErr w:type="spellEnd"/>
            <w:r w:rsidRPr="0013680C">
              <w:rPr>
                <w:rFonts w:ascii="Traditional Arabic" w:eastAsiaTheme="majorEastAsia" w:hAnsi="Traditional Arabic" w:cs="Traditional Arabic"/>
                <w:sz w:val="28"/>
                <w:szCs w:val="28"/>
                <w:rtl/>
              </w:rPr>
              <w:t xml:space="preserve"> الموافقات الإدارية بما يتوافق مع رؤية السعودية 2030</w:t>
            </w:r>
            <w:r w:rsidRPr="0013680C">
              <w:rPr>
                <w:rFonts w:ascii="Traditional Arabic" w:eastAsiaTheme="majorEastAsia" w:hAnsi="Traditional Arabic" w:cs="Traditional Arabic"/>
                <w:sz w:val="28"/>
                <w:szCs w:val="28"/>
              </w:rPr>
              <w:t>.</w:t>
            </w:r>
          </w:p>
        </w:tc>
        <w:tc>
          <w:tcPr>
            <w:tcW w:w="1363" w:type="dxa"/>
            <w:hideMark/>
          </w:tcPr>
          <w:p w14:paraId="254AF4C4" w14:textId="77777777" w:rsidR="0013680C" w:rsidRPr="0013680C" w:rsidRDefault="0013680C" w:rsidP="0013680C">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إبراهيم والمحمدي</w:t>
            </w:r>
            <w:r w:rsidRPr="0013680C">
              <w:rPr>
                <w:rFonts w:ascii="Traditional Arabic" w:eastAsiaTheme="majorEastAsia" w:hAnsi="Traditional Arabic" w:cs="Traditional Arabic"/>
                <w:sz w:val="28"/>
                <w:szCs w:val="28"/>
              </w:rPr>
              <w:t xml:space="preserve"> (2024)</w:t>
            </w:r>
          </w:p>
        </w:tc>
        <w:tc>
          <w:tcPr>
            <w:tcW w:w="1192" w:type="dxa"/>
            <w:hideMark/>
          </w:tcPr>
          <w:p w14:paraId="479CCDE8"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65941ACA" w14:textId="50F0061A"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إعادة هندسة العمليات</w:t>
            </w:r>
          </w:p>
        </w:tc>
        <w:tc>
          <w:tcPr>
            <w:tcW w:w="0" w:type="auto"/>
            <w:vMerge/>
            <w:hideMark/>
          </w:tcPr>
          <w:p w14:paraId="7DD4AB98" w14:textId="41CDAB91"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490AF8D4" w14:textId="77777777" w:rsidTr="0013680C">
        <w:tc>
          <w:tcPr>
            <w:tcW w:w="0" w:type="auto"/>
            <w:hideMark/>
          </w:tcPr>
          <w:p w14:paraId="284A414B"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تعديل العبارات لتناسب الثقافة التنظيمية السعودية في القطاع الصحي، مع مراعاة الخصوصية الدينية والاجتماعية، والتركيز على تفويض الصلاحيات للممرضين والأطباء السعوديين في حدود الأوصاف الوظيفية</w:t>
            </w:r>
            <w:r w:rsidRPr="0013680C">
              <w:rPr>
                <w:rFonts w:ascii="Traditional Arabic" w:eastAsiaTheme="majorEastAsia" w:hAnsi="Traditional Arabic" w:cs="Traditional Arabic"/>
                <w:sz w:val="28"/>
                <w:szCs w:val="28"/>
              </w:rPr>
              <w:t>.</w:t>
            </w:r>
          </w:p>
        </w:tc>
        <w:tc>
          <w:tcPr>
            <w:tcW w:w="1363" w:type="dxa"/>
            <w:hideMark/>
          </w:tcPr>
          <w:p w14:paraId="43B7A0D4"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Spreitzer (1995)</w:t>
            </w:r>
          </w:p>
        </w:tc>
        <w:tc>
          <w:tcPr>
            <w:tcW w:w="1192" w:type="dxa"/>
            <w:hideMark/>
          </w:tcPr>
          <w:p w14:paraId="76A1C2E6"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36BEE23F" w14:textId="7BEBF4F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6D63D8">
              <w:rPr>
                <w:rFonts w:ascii="Traditional Arabic" w:eastAsiaTheme="majorEastAsia" w:hAnsi="Traditional Arabic" w:cs="Traditional Arabic" w:hint="cs"/>
                <w:sz w:val="28"/>
                <w:szCs w:val="28"/>
                <w:rtl/>
              </w:rPr>
              <w:t>ت</w:t>
            </w:r>
            <w:r w:rsidRPr="0013680C">
              <w:rPr>
                <w:rFonts w:ascii="Traditional Arabic" w:eastAsiaTheme="majorEastAsia" w:hAnsi="Traditional Arabic" w:cs="Traditional Arabic"/>
                <w:sz w:val="28"/>
                <w:szCs w:val="28"/>
                <w:rtl/>
              </w:rPr>
              <w:t>مكين العاملين</w:t>
            </w:r>
          </w:p>
        </w:tc>
        <w:tc>
          <w:tcPr>
            <w:tcW w:w="0" w:type="auto"/>
            <w:vMerge/>
            <w:hideMark/>
          </w:tcPr>
          <w:p w14:paraId="53FA6BEB" w14:textId="183C1E35" w:rsidR="0013680C" w:rsidRPr="0013680C" w:rsidRDefault="0013680C" w:rsidP="0013680C">
            <w:pPr>
              <w:pStyle w:val="ab"/>
              <w:bidi/>
              <w:spacing w:after="120"/>
              <w:jc w:val="both"/>
              <w:rPr>
                <w:rFonts w:ascii="Traditional Arabic" w:eastAsiaTheme="majorEastAsia" w:hAnsi="Traditional Arabic" w:cs="Traditional Arabic"/>
                <w:b/>
                <w:bCs/>
                <w:sz w:val="32"/>
                <w:szCs w:val="32"/>
              </w:rPr>
            </w:pPr>
          </w:p>
        </w:tc>
      </w:tr>
      <w:tr w:rsidR="0013680C" w:rsidRPr="001C5D93" w14:paraId="4F70AF48" w14:textId="77777777" w:rsidTr="0013680C">
        <w:tc>
          <w:tcPr>
            <w:tcW w:w="0" w:type="auto"/>
            <w:hideMark/>
          </w:tcPr>
          <w:p w14:paraId="44F8AA6B"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 xml:space="preserve">تم تكييف العبارات لقياس مدى توفر واستخدام أنظمة دعم القرار (مثل تنبيهات التفاعلات الدوائية، </w:t>
            </w:r>
            <w:proofErr w:type="spellStart"/>
            <w:r w:rsidRPr="0013680C">
              <w:rPr>
                <w:rFonts w:ascii="Traditional Arabic" w:eastAsiaTheme="majorEastAsia" w:hAnsi="Traditional Arabic" w:cs="Traditional Arabic"/>
                <w:sz w:val="28"/>
                <w:szCs w:val="28"/>
                <w:rtl/>
              </w:rPr>
              <w:t>والتذكيرات</w:t>
            </w:r>
            <w:proofErr w:type="spellEnd"/>
            <w:r w:rsidRPr="0013680C">
              <w:rPr>
                <w:rFonts w:ascii="Traditional Arabic" w:eastAsiaTheme="majorEastAsia" w:hAnsi="Traditional Arabic" w:cs="Traditional Arabic"/>
                <w:sz w:val="28"/>
                <w:szCs w:val="28"/>
                <w:rtl/>
              </w:rPr>
              <w:t xml:space="preserve"> السريرية) في مستشفى الملك فهد المركزي، مع الأخذ في الاعتبار محدودية بعض الأنظمة في المستشفيات الحكومية السعودية</w:t>
            </w:r>
            <w:r w:rsidRPr="0013680C">
              <w:rPr>
                <w:rFonts w:ascii="Traditional Arabic" w:eastAsiaTheme="majorEastAsia" w:hAnsi="Traditional Arabic" w:cs="Traditional Arabic"/>
                <w:sz w:val="28"/>
                <w:szCs w:val="28"/>
              </w:rPr>
              <w:t>.</w:t>
            </w:r>
          </w:p>
        </w:tc>
        <w:tc>
          <w:tcPr>
            <w:tcW w:w="1363" w:type="dxa"/>
            <w:hideMark/>
          </w:tcPr>
          <w:p w14:paraId="12AE96B4" w14:textId="77777777" w:rsidR="0013680C" w:rsidRPr="0013680C" w:rsidRDefault="0013680C" w:rsidP="0013680C">
            <w:pPr>
              <w:pStyle w:val="ab"/>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Holden &amp; Karsh (2010)</w:t>
            </w:r>
          </w:p>
        </w:tc>
        <w:tc>
          <w:tcPr>
            <w:tcW w:w="1192" w:type="dxa"/>
            <w:hideMark/>
          </w:tcPr>
          <w:p w14:paraId="4ED823F9"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5</w:t>
            </w:r>
          </w:p>
        </w:tc>
        <w:tc>
          <w:tcPr>
            <w:tcW w:w="1722" w:type="dxa"/>
            <w:hideMark/>
          </w:tcPr>
          <w:p w14:paraId="54E8E438" w14:textId="26219F18" w:rsidR="0013680C" w:rsidRPr="0013680C" w:rsidRDefault="0013680C" w:rsidP="0013680C">
            <w:pPr>
              <w:pStyle w:val="ab"/>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دعم القرار السريري</w:t>
            </w:r>
          </w:p>
        </w:tc>
        <w:tc>
          <w:tcPr>
            <w:tcW w:w="0" w:type="auto"/>
            <w:vMerge w:val="restart"/>
            <w:hideMark/>
          </w:tcPr>
          <w:p w14:paraId="59DDE084" w14:textId="77777777" w:rsidR="0013680C" w:rsidRPr="001C5D93" w:rsidRDefault="0013680C" w:rsidP="0013680C">
            <w:pPr>
              <w:pStyle w:val="ab"/>
              <w:bidi/>
              <w:spacing w:after="120"/>
              <w:jc w:val="center"/>
              <w:rPr>
                <w:rFonts w:ascii="Traditional Arabic" w:eastAsiaTheme="majorEastAsia" w:hAnsi="Traditional Arabic" w:cs="Traditional Arabic"/>
                <w:b/>
                <w:bCs/>
                <w:sz w:val="32"/>
                <w:szCs w:val="32"/>
              </w:rPr>
            </w:pPr>
            <w:r w:rsidRPr="0013680C">
              <w:rPr>
                <w:rFonts w:ascii="Traditional Arabic" w:eastAsiaTheme="majorEastAsia" w:hAnsi="Traditional Arabic" w:cs="Traditional Arabic"/>
                <w:b/>
                <w:bCs/>
                <w:sz w:val="32"/>
                <w:szCs w:val="32"/>
                <w:rtl/>
              </w:rPr>
              <w:t>التكنولوجيا الذكية</w:t>
            </w:r>
          </w:p>
          <w:p w14:paraId="05880D3E" w14:textId="2B12B9B6" w:rsidR="0013680C" w:rsidRPr="0013680C" w:rsidRDefault="0013680C" w:rsidP="0013680C">
            <w:pPr>
              <w:pStyle w:val="ab"/>
              <w:bidi/>
              <w:spacing w:after="120"/>
              <w:jc w:val="both"/>
              <w:rPr>
                <w:rFonts w:ascii="Traditional Arabic" w:eastAsiaTheme="majorEastAsia" w:hAnsi="Traditional Arabic" w:cs="Traditional Arabic"/>
                <w:b/>
                <w:bCs/>
                <w:sz w:val="32"/>
                <w:szCs w:val="32"/>
              </w:rPr>
            </w:pPr>
          </w:p>
        </w:tc>
      </w:tr>
      <w:tr w:rsidR="0013680C" w:rsidRPr="001C5D93" w14:paraId="102B9757" w14:textId="77777777" w:rsidTr="0013680C">
        <w:tc>
          <w:tcPr>
            <w:tcW w:w="0" w:type="auto"/>
            <w:hideMark/>
          </w:tcPr>
          <w:p w14:paraId="310139FE"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تعديل العبارات لتناسب أنظمة المراقبة المستخدمة في أقسام الطوارئ والعناية المركزة بالمستشفى، مثل أنظمة مراقبة العلامات الحيوية، وأنظمة الإنذار المبكر لتفشي العدوى</w:t>
            </w:r>
            <w:r w:rsidRPr="0013680C">
              <w:rPr>
                <w:rFonts w:ascii="Traditional Arabic" w:eastAsiaTheme="majorEastAsia" w:hAnsi="Traditional Arabic" w:cs="Traditional Arabic"/>
                <w:sz w:val="28"/>
                <w:szCs w:val="28"/>
              </w:rPr>
              <w:t>.</w:t>
            </w:r>
          </w:p>
        </w:tc>
        <w:tc>
          <w:tcPr>
            <w:tcW w:w="1363" w:type="dxa"/>
            <w:hideMark/>
          </w:tcPr>
          <w:p w14:paraId="171AA123" w14:textId="77777777" w:rsidR="0013680C" w:rsidRPr="0013680C" w:rsidRDefault="0013680C" w:rsidP="0013680C">
            <w:pPr>
              <w:pStyle w:val="ab"/>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Venkatesh et al. (2003)</w:t>
            </w:r>
          </w:p>
        </w:tc>
        <w:tc>
          <w:tcPr>
            <w:tcW w:w="1192" w:type="dxa"/>
            <w:hideMark/>
          </w:tcPr>
          <w:p w14:paraId="73A489B6"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5</w:t>
            </w:r>
          </w:p>
        </w:tc>
        <w:tc>
          <w:tcPr>
            <w:tcW w:w="1722" w:type="dxa"/>
            <w:hideMark/>
          </w:tcPr>
          <w:p w14:paraId="0A440EB2" w14:textId="271705D9" w:rsidR="0013680C" w:rsidRPr="0013680C" w:rsidRDefault="0013680C" w:rsidP="0013680C">
            <w:pPr>
              <w:pStyle w:val="ab"/>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الإنذار المبكر والمراقبة</w:t>
            </w:r>
          </w:p>
        </w:tc>
        <w:tc>
          <w:tcPr>
            <w:tcW w:w="0" w:type="auto"/>
            <w:vMerge/>
            <w:hideMark/>
          </w:tcPr>
          <w:p w14:paraId="6FF474A3" w14:textId="387ACB81"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09A45DDC" w14:textId="77777777" w:rsidTr="0013680C">
        <w:tc>
          <w:tcPr>
            <w:tcW w:w="0" w:type="auto"/>
            <w:hideMark/>
          </w:tcPr>
          <w:p w14:paraId="73599D79"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lastRenderedPageBreak/>
              <w:t>تم تكييف العبارات لقياس مدى تكامل البيانات بين السجلات الإلكترونية والأقسام المختلفة في المستشفى، وقدرة النظام على إنتاج تقارير تنبؤية (مثل توقع أعداد المراجعين)، مع مراعاة واقع التحول الرقمي في القطاع الصحي السعودي</w:t>
            </w:r>
            <w:r w:rsidRPr="0013680C">
              <w:rPr>
                <w:rFonts w:ascii="Traditional Arabic" w:eastAsiaTheme="majorEastAsia" w:hAnsi="Traditional Arabic" w:cs="Traditional Arabic"/>
                <w:sz w:val="28"/>
                <w:szCs w:val="28"/>
              </w:rPr>
              <w:t>.</w:t>
            </w:r>
          </w:p>
        </w:tc>
        <w:tc>
          <w:tcPr>
            <w:tcW w:w="1363" w:type="dxa"/>
            <w:hideMark/>
          </w:tcPr>
          <w:p w14:paraId="4FFB25FD" w14:textId="77777777" w:rsidR="0013680C" w:rsidRPr="0013680C" w:rsidRDefault="0013680C" w:rsidP="0013680C">
            <w:pPr>
              <w:pStyle w:val="ab"/>
              <w:spacing w:after="120"/>
              <w:jc w:val="center"/>
              <w:rPr>
                <w:rFonts w:ascii="Traditional Arabic" w:eastAsiaTheme="majorEastAsia" w:hAnsi="Traditional Arabic" w:cs="Traditional Arabic"/>
                <w:sz w:val="28"/>
                <w:szCs w:val="28"/>
              </w:rPr>
            </w:pPr>
            <w:proofErr w:type="spellStart"/>
            <w:r w:rsidRPr="0013680C">
              <w:rPr>
                <w:rFonts w:ascii="Traditional Arabic" w:eastAsiaTheme="majorEastAsia" w:hAnsi="Traditional Arabic" w:cs="Traditional Arabic"/>
                <w:sz w:val="28"/>
                <w:szCs w:val="28"/>
              </w:rPr>
              <w:t>DeLone</w:t>
            </w:r>
            <w:proofErr w:type="spellEnd"/>
            <w:r w:rsidRPr="0013680C">
              <w:rPr>
                <w:rFonts w:ascii="Traditional Arabic" w:eastAsiaTheme="majorEastAsia" w:hAnsi="Traditional Arabic" w:cs="Traditional Arabic"/>
                <w:sz w:val="28"/>
                <w:szCs w:val="28"/>
              </w:rPr>
              <w:t xml:space="preserve"> &amp; McLean (2003)</w:t>
            </w:r>
          </w:p>
        </w:tc>
        <w:tc>
          <w:tcPr>
            <w:tcW w:w="1192" w:type="dxa"/>
            <w:hideMark/>
          </w:tcPr>
          <w:p w14:paraId="70ED3EA3"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5</w:t>
            </w:r>
          </w:p>
        </w:tc>
        <w:tc>
          <w:tcPr>
            <w:tcW w:w="1722" w:type="dxa"/>
            <w:hideMark/>
          </w:tcPr>
          <w:p w14:paraId="5888EA5A" w14:textId="1AB4D9DF" w:rsidR="0013680C" w:rsidRPr="0013680C" w:rsidRDefault="0013680C" w:rsidP="0013680C">
            <w:pPr>
              <w:pStyle w:val="ab"/>
              <w:bidi/>
              <w:spacing w:after="120"/>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أنظمة التحليلات التنبؤية وتكامل البيانات</w:t>
            </w:r>
          </w:p>
        </w:tc>
        <w:tc>
          <w:tcPr>
            <w:tcW w:w="0" w:type="auto"/>
            <w:vMerge/>
            <w:hideMark/>
          </w:tcPr>
          <w:p w14:paraId="17935158" w14:textId="023B1861"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0F68DB77" w14:textId="77777777" w:rsidTr="0013680C">
        <w:tc>
          <w:tcPr>
            <w:tcW w:w="0" w:type="auto"/>
            <w:hideMark/>
          </w:tcPr>
          <w:p w14:paraId="01B17FF1" w14:textId="7B4E0A3E"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تعديل العبارات لتعكس خطط الطوارئ وإدارة الأزمات المعتمدة في مستشفيات المملكة، مثل خطط مواجهة الجوائح، والكوارث، وأخطاء الأدوية، بما يتوافق مع معايير المركز السعودي لاعتماد المنشآت الصحي</w:t>
            </w:r>
            <w:r w:rsidRPr="0013680C">
              <w:rPr>
                <w:rFonts w:ascii="Traditional Arabic" w:eastAsiaTheme="majorEastAsia" w:hAnsi="Traditional Arabic" w:cs="Traditional Arabic"/>
                <w:sz w:val="28"/>
                <w:szCs w:val="28"/>
              </w:rPr>
              <w:t xml:space="preserve"> </w:t>
            </w:r>
            <w:r w:rsidRPr="006D63D8">
              <w:rPr>
                <w:rFonts w:ascii="Traditional Arabic" w:eastAsiaTheme="majorEastAsia" w:hAnsi="Traditional Arabic" w:cs="Traditional Arabic"/>
                <w:sz w:val="28"/>
                <w:szCs w:val="28"/>
              </w:rPr>
              <w:t>.</w:t>
            </w:r>
            <w:r w:rsidRPr="0013680C">
              <w:rPr>
                <w:rFonts w:ascii="Traditional Arabic" w:eastAsiaTheme="majorEastAsia" w:hAnsi="Traditional Arabic" w:cs="Traditional Arabic"/>
                <w:sz w:val="28"/>
                <w:szCs w:val="28"/>
              </w:rPr>
              <w:t>(CBAHI)</w:t>
            </w:r>
            <w:r w:rsidRPr="006D63D8">
              <w:rPr>
                <w:rFonts w:ascii="Traditional Arabic" w:eastAsiaTheme="majorEastAsia" w:hAnsi="Traditional Arabic" w:cs="Traditional Arabic" w:hint="cs"/>
                <w:sz w:val="28"/>
                <w:szCs w:val="28"/>
                <w:rtl/>
              </w:rPr>
              <w:t xml:space="preserve"> </w:t>
            </w:r>
          </w:p>
        </w:tc>
        <w:tc>
          <w:tcPr>
            <w:tcW w:w="1363" w:type="dxa"/>
            <w:hideMark/>
          </w:tcPr>
          <w:p w14:paraId="1185EAD0" w14:textId="77777777" w:rsidR="0013680C" w:rsidRPr="0013680C" w:rsidRDefault="0013680C" w:rsidP="0013680C">
            <w:pPr>
              <w:pStyle w:val="ab"/>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ISO 31000 (2018)</w:t>
            </w:r>
          </w:p>
        </w:tc>
        <w:tc>
          <w:tcPr>
            <w:tcW w:w="1192" w:type="dxa"/>
            <w:hideMark/>
          </w:tcPr>
          <w:p w14:paraId="598DF21F"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358E87D3" w14:textId="39481466"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التخطيط للمخاطر</w:t>
            </w:r>
          </w:p>
        </w:tc>
        <w:tc>
          <w:tcPr>
            <w:tcW w:w="0" w:type="auto"/>
            <w:vMerge w:val="restart"/>
            <w:hideMark/>
          </w:tcPr>
          <w:p w14:paraId="523129E4" w14:textId="77777777" w:rsidR="0013680C" w:rsidRPr="001C5D93" w:rsidRDefault="0013680C" w:rsidP="0013680C">
            <w:pPr>
              <w:pStyle w:val="ab"/>
              <w:bidi/>
              <w:spacing w:after="120"/>
              <w:jc w:val="center"/>
              <w:rPr>
                <w:rFonts w:ascii="Traditional Arabic" w:eastAsiaTheme="majorEastAsia" w:hAnsi="Traditional Arabic" w:cs="Traditional Arabic"/>
                <w:b/>
                <w:bCs/>
                <w:sz w:val="32"/>
                <w:szCs w:val="32"/>
              </w:rPr>
            </w:pPr>
            <w:r w:rsidRPr="0013680C">
              <w:rPr>
                <w:rFonts w:ascii="Traditional Arabic" w:eastAsiaTheme="majorEastAsia" w:hAnsi="Traditional Arabic" w:cs="Traditional Arabic"/>
                <w:b/>
                <w:bCs/>
                <w:sz w:val="32"/>
                <w:szCs w:val="32"/>
                <w:rtl/>
              </w:rPr>
              <w:t>إدارة المخاطر</w:t>
            </w:r>
          </w:p>
          <w:p w14:paraId="37FD6718" w14:textId="20F95D87" w:rsidR="0013680C" w:rsidRPr="0013680C" w:rsidRDefault="0013680C" w:rsidP="0013680C">
            <w:pPr>
              <w:pStyle w:val="ab"/>
              <w:bidi/>
              <w:spacing w:after="120"/>
              <w:jc w:val="both"/>
              <w:rPr>
                <w:rFonts w:ascii="Traditional Arabic" w:eastAsiaTheme="majorEastAsia" w:hAnsi="Traditional Arabic" w:cs="Traditional Arabic"/>
                <w:b/>
                <w:bCs/>
                <w:sz w:val="32"/>
                <w:szCs w:val="32"/>
              </w:rPr>
            </w:pPr>
          </w:p>
        </w:tc>
      </w:tr>
      <w:tr w:rsidR="0013680C" w:rsidRPr="001C5D93" w14:paraId="7A1AD6E2" w14:textId="77777777" w:rsidTr="0013680C">
        <w:tc>
          <w:tcPr>
            <w:tcW w:w="0" w:type="auto"/>
            <w:hideMark/>
          </w:tcPr>
          <w:p w14:paraId="44B80C3E" w14:textId="77777777"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تم تكييف العبارات لقياس اتجاهات الإدارة والعاملين في المستشفى تجاه المخاطر (هل يميلون إلى التجنب أم القبول أم التخفيف)، مع مراعاة ثقافة الإبلاغ عن الأخطاء الطبية في البيئة السعودية</w:t>
            </w:r>
            <w:r w:rsidRPr="0013680C">
              <w:rPr>
                <w:rFonts w:ascii="Traditional Arabic" w:eastAsiaTheme="majorEastAsia" w:hAnsi="Traditional Arabic" w:cs="Traditional Arabic"/>
                <w:sz w:val="28"/>
                <w:szCs w:val="28"/>
              </w:rPr>
              <w:t>.</w:t>
            </w:r>
          </w:p>
        </w:tc>
        <w:tc>
          <w:tcPr>
            <w:tcW w:w="1363" w:type="dxa"/>
            <w:hideMark/>
          </w:tcPr>
          <w:p w14:paraId="63BA8036" w14:textId="77777777" w:rsidR="0013680C" w:rsidRPr="0013680C" w:rsidRDefault="0013680C" w:rsidP="0013680C">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ISO 31000 (2018)</w:t>
            </w:r>
          </w:p>
        </w:tc>
        <w:tc>
          <w:tcPr>
            <w:tcW w:w="1192" w:type="dxa"/>
            <w:hideMark/>
          </w:tcPr>
          <w:p w14:paraId="04D581B8"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5</w:t>
            </w:r>
          </w:p>
        </w:tc>
        <w:tc>
          <w:tcPr>
            <w:tcW w:w="1722" w:type="dxa"/>
            <w:hideMark/>
          </w:tcPr>
          <w:p w14:paraId="0DDE2B1E" w14:textId="1D435A3C" w:rsidR="0013680C" w:rsidRPr="0013680C" w:rsidRDefault="0013680C" w:rsidP="0013680C">
            <w:pPr>
              <w:pStyle w:val="ab"/>
              <w:bidi/>
              <w:spacing w:after="120"/>
              <w:jc w:val="both"/>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tl/>
              </w:rPr>
              <w:t>الموقف من المخاطر</w:t>
            </w:r>
          </w:p>
        </w:tc>
        <w:tc>
          <w:tcPr>
            <w:tcW w:w="0" w:type="auto"/>
            <w:vMerge/>
            <w:hideMark/>
          </w:tcPr>
          <w:p w14:paraId="1F28C503" w14:textId="2CABB450"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r w:rsidR="0013680C" w:rsidRPr="001C5D93" w14:paraId="3317D62C" w14:textId="77777777" w:rsidTr="0013680C">
        <w:tc>
          <w:tcPr>
            <w:tcW w:w="0" w:type="auto"/>
            <w:hideMark/>
          </w:tcPr>
          <w:p w14:paraId="72B29149" w14:textId="77777777" w:rsidR="0013680C" w:rsidRPr="0013680C" w:rsidRDefault="0013680C" w:rsidP="0013680C">
            <w:pPr>
              <w:pStyle w:val="ab"/>
              <w:bidi/>
              <w:spacing w:after="120"/>
              <w:jc w:val="both"/>
              <w:rPr>
                <w:rFonts w:ascii="Traditional Arabic" w:eastAsiaTheme="majorEastAsia" w:hAnsi="Traditional Arabic" w:cs="Traditional Arabic"/>
                <w:sz w:val="32"/>
                <w:szCs w:val="32"/>
              </w:rPr>
            </w:pPr>
            <w:r w:rsidRPr="0013680C">
              <w:rPr>
                <w:rFonts w:ascii="Traditional Arabic" w:eastAsiaTheme="majorEastAsia" w:hAnsi="Traditional Arabic" w:cs="Traditional Arabic"/>
                <w:sz w:val="32"/>
                <w:szCs w:val="32"/>
                <w:rtl/>
              </w:rPr>
              <w:t>تم تعديل العبارات لتشمل الممارسات الوقائية الفعلية المطبقة في مستشفى الملك فهد المركزي، مثل بروتوكولات مكافحة العدوى، والصيانة الدورية للأجهزة، وتدريب الكوادر على السلامة، وفق معايير وزارة الصحة السعودية</w:t>
            </w:r>
            <w:r w:rsidRPr="0013680C">
              <w:rPr>
                <w:rFonts w:ascii="Traditional Arabic" w:eastAsiaTheme="majorEastAsia" w:hAnsi="Traditional Arabic" w:cs="Traditional Arabic"/>
                <w:sz w:val="32"/>
                <w:szCs w:val="32"/>
              </w:rPr>
              <w:t>.</w:t>
            </w:r>
          </w:p>
        </w:tc>
        <w:tc>
          <w:tcPr>
            <w:tcW w:w="1363" w:type="dxa"/>
            <w:hideMark/>
          </w:tcPr>
          <w:p w14:paraId="477CA105" w14:textId="77777777" w:rsidR="0013680C" w:rsidRPr="0013680C" w:rsidRDefault="0013680C" w:rsidP="0013680C">
            <w:pPr>
              <w:pStyle w:val="ab"/>
              <w:bidi/>
              <w:spacing w:after="120"/>
              <w:jc w:val="center"/>
              <w:rPr>
                <w:rFonts w:ascii="Traditional Arabic" w:eastAsiaTheme="majorEastAsia" w:hAnsi="Traditional Arabic" w:cs="Traditional Arabic"/>
                <w:sz w:val="32"/>
                <w:szCs w:val="32"/>
              </w:rPr>
            </w:pPr>
            <w:r w:rsidRPr="0013680C">
              <w:rPr>
                <w:rFonts w:ascii="Traditional Arabic" w:eastAsiaTheme="majorEastAsia" w:hAnsi="Traditional Arabic" w:cs="Traditional Arabic"/>
                <w:sz w:val="32"/>
                <w:szCs w:val="32"/>
              </w:rPr>
              <w:t>ISO 31000 (2018)</w:t>
            </w:r>
          </w:p>
        </w:tc>
        <w:tc>
          <w:tcPr>
            <w:tcW w:w="1192" w:type="dxa"/>
            <w:hideMark/>
          </w:tcPr>
          <w:p w14:paraId="133A0E44" w14:textId="77777777" w:rsidR="0013680C" w:rsidRPr="0013680C" w:rsidRDefault="0013680C" w:rsidP="00254B75">
            <w:pPr>
              <w:pStyle w:val="ab"/>
              <w:bidi/>
              <w:spacing w:after="120"/>
              <w:jc w:val="center"/>
              <w:rPr>
                <w:rFonts w:ascii="Traditional Arabic" w:eastAsiaTheme="majorEastAsia" w:hAnsi="Traditional Arabic" w:cs="Traditional Arabic"/>
                <w:sz w:val="28"/>
                <w:szCs w:val="28"/>
              </w:rPr>
            </w:pPr>
            <w:r w:rsidRPr="0013680C">
              <w:rPr>
                <w:rFonts w:ascii="Traditional Arabic" w:eastAsiaTheme="majorEastAsia" w:hAnsi="Traditional Arabic" w:cs="Traditional Arabic"/>
                <w:sz w:val="28"/>
                <w:szCs w:val="28"/>
              </w:rPr>
              <w:t>6</w:t>
            </w:r>
          </w:p>
        </w:tc>
        <w:tc>
          <w:tcPr>
            <w:tcW w:w="1722" w:type="dxa"/>
            <w:hideMark/>
          </w:tcPr>
          <w:p w14:paraId="35420B30" w14:textId="1985CD1A" w:rsidR="0013680C" w:rsidRPr="0013680C" w:rsidRDefault="0013680C" w:rsidP="0013680C">
            <w:pPr>
              <w:pStyle w:val="ab"/>
              <w:bidi/>
              <w:spacing w:after="120"/>
              <w:jc w:val="both"/>
              <w:rPr>
                <w:rFonts w:ascii="Traditional Arabic" w:eastAsiaTheme="majorEastAsia" w:hAnsi="Traditional Arabic" w:cs="Traditional Arabic"/>
                <w:sz w:val="32"/>
                <w:szCs w:val="32"/>
              </w:rPr>
            </w:pPr>
            <w:r w:rsidRPr="0013680C">
              <w:rPr>
                <w:rFonts w:ascii="Traditional Arabic" w:eastAsiaTheme="majorEastAsia" w:hAnsi="Traditional Arabic" w:cs="Traditional Arabic"/>
                <w:sz w:val="32"/>
                <w:szCs w:val="32"/>
                <w:rtl/>
              </w:rPr>
              <w:t>الممارسات الوقائية</w:t>
            </w:r>
          </w:p>
        </w:tc>
        <w:tc>
          <w:tcPr>
            <w:tcW w:w="0" w:type="auto"/>
            <w:vMerge/>
            <w:hideMark/>
          </w:tcPr>
          <w:p w14:paraId="41B40B07" w14:textId="1FD60D84" w:rsidR="0013680C" w:rsidRPr="0013680C" w:rsidRDefault="0013680C" w:rsidP="0013680C">
            <w:pPr>
              <w:pStyle w:val="ab"/>
              <w:bidi/>
              <w:spacing w:after="120"/>
              <w:jc w:val="both"/>
              <w:rPr>
                <w:rFonts w:ascii="Traditional Arabic" w:eastAsiaTheme="majorEastAsia" w:hAnsi="Traditional Arabic" w:cs="Traditional Arabic"/>
                <w:sz w:val="32"/>
                <w:szCs w:val="32"/>
              </w:rPr>
            </w:pPr>
          </w:p>
        </w:tc>
      </w:tr>
    </w:tbl>
    <w:p w14:paraId="28D56147" w14:textId="77777777" w:rsidR="00B41A30" w:rsidRDefault="00B41A30" w:rsidP="00A02194">
      <w:pPr>
        <w:bidi/>
        <w:spacing w:after="120" w:line="240" w:lineRule="auto"/>
        <w:jc w:val="center"/>
        <w:rPr>
          <w:rFonts w:ascii="Traditional Arabic" w:hAnsi="Traditional Arabic" w:cs="Traditional Arabic"/>
          <w:bCs/>
          <w:sz w:val="36"/>
          <w:szCs w:val="36"/>
          <w:rtl/>
        </w:rPr>
      </w:pPr>
    </w:p>
    <w:p w14:paraId="63AA09D2" w14:textId="77777777" w:rsidR="00B41A30" w:rsidRDefault="00B41A30" w:rsidP="00B41A30">
      <w:pPr>
        <w:bidi/>
        <w:spacing w:after="120" w:line="240" w:lineRule="auto"/>
        <w:jc w:val="center"/>
        <w:rPr>
          <w:rFonts w:ascii="Traditional Arabic" w:hAnsi="Traditional Arabic" w:cs="Traditional Arabic"/>
          <w:bCs/>
          <w:sz w:val="36"/>
          <w:szCs w:val="36"/>
          <w:rtl/>
        </w:rPr>
      </w:pPr>
    </w:p>
    <w:p w14:paraId="0E669FB3" w14:textId="77777777" w:rsidR="00B41A30" w:rsidRDefault="00B41A30" w:rsidP="00B41A30">
      <w:pPr>
        <w:bidi/>
        <w:spacing w:after="120" w:line="240" w:lineRule="auto"/>
        <w:jc w:val="center"/>
        <w:rPr>
          <w:rFonts w:ascii="Traditional Arabic" w:hAnsi="Traditional Arabic" w:cs="Traditional Arabic"/>
          <w:bCs/>
          <w:sz w:val="36"/>
          <w:szCs w:val="36"/>
          <w:rtl/>
        </w:rPr>
      </w:pPr>
    </w:p>
    <w:p w14:paraId="087575A0" w14:textId="77777777" w:rsidR="00B41A30" w:rsidRDefault="00B41A30" w:rsidP="00B41A30">
      <w:pPr>
        <w:bidi/>
        <w:spacing w:after="120" w:line="240" w:lineRule="auto"/>
        <w:jc w:val="center"/>
        <w:rPr>
          <w:rFonts w:ascii="Traditional Arabic" w:hAnsi="Traditional Arabic" w:cs="Traditional Arabic"/>
          <w:bCs/>
          <w:sz w:val="36"/>
          <w:szCs w:val="36"/>
          <w:rtl/>
        </w:rPr>
      </w:pPr>
    </w:p>
    <w:p w14:paraId="11DB034F" w14:textId="77777777" w:rsidR="00B41A30" w:rsidRDefault="00B41A30" w:rsidP="00B41A30">
      <w:pPr>
        <w:bidi/>
        <w:spacing w:after="120" w:line="240" w:lineRule="auto"/>
        <w:jc w:val="center"/>
        <w:rPr>
          <w:rFonts w:ascii="Traditional Arabic" w:hAnsi="Traditional Arabic" w:cs="Traditional Arabic"/>
          <w:bCs/>
          <w:sz w:val="36"/>
          <w:szCs w:val="36"/>
          <w:rtl/>
        </w:rPr>
      </w:pPr>
    </w:p>
    <w:p w14:paraId="5D2990AA" w14:textId="3D1B53FC" w:rsidR="008A0FFA" w:rsidRPr="00254B75" w:rsidRDefault="00AF0FE9" w:rsidP="00B41A30">
      <w:pPr>
        <w:bidi/>
        <w:spacing w:after="120" w:line="240" w:lineRule="auto"/>
        <w:jc w:val="center"/>
        <w:rPr>
          <w:rFonts w:ascii="Traditional Arabic" w:hAnsi="Traditional Arabic" w:cs="Traditional Arabic"/>
          <w:bCs/>
          <w:sz w:val="36"/>
          <w:szCs w:val="36"/>
          <w:rtl/>
        </w:rPr>
      </w:pPr>
      <w:r w:rsidRPr="00254B75">
        <w:rPr>
          <w:rFonts w:ascii="Traditional Arabic" w:hAnsi="Traditional Arabic" w:cs="Traditional Arabic"/>
          <w:bCs/>
          <w:sz w:val="36"/>
          <w:szCs w:val="36"/>
          <w:rtl/>
        </w:rPr>
        <w:lastRenderedPageBreak/>
        <w:t>المراجع والمصادر:</w:t>
      </w:r>
    </w:p>
    <w:p w14:paraId="39E99008" w14:textId="14678657" w:rsidR="001B6BE0" w:rsidRPr="001C5D93" w:rsidRDefault="008A0FFA" w:rsidP="00A02194">
      <w:pPr>
        <w:bidi/>
        <w:spacing w:after="120" w:line="240" w:lineRule="auto"/>
        <w:rPr>
          <w:sz w:val="32"/>
          <w:szCs w:val="32"/>
          <w:rtl/>
        </w:rPr>
      </w:pPr>
      <w:r w:rsidRPr="001C5D93">
        <w:rPr>
          <w:rFonts w:ascii="Traditional Arabic" w:hAnsi="Traditional Arabic" w:cs="Traditional Arabic" w:hint="cs"/>
          <w:bCs/>
          <w:sz w:val="32"/>
          <w:szCs w:val="32"/>
          <w:rtl/>
        </w:rPr>
        <w:t xml:space="preserve">أولًا: </w:t>
      </w:r>
      <w:r w:rsidR="00AF0FE9" w:rsidRPr="001C5D93">
        <w:rPr>
          <w:rFonts w:ascii="Traditional Arabic" w:hAnsi="Traditional Arabic" w:cs="Traditional Arabic"/>
          <w:bCs/>
          <w:sz w:val="32"/>
          <w:szCs w:val="32"/>
          <w:rtl/>
        </w:rPr>
        <w:t>المراجع العربية</w:t>
      </w:r>
    </w:p>
    <w:p w14:paraId="3189BED7" w14:textId="65EB6193" w:rsidR="00254B7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tl/>
        </w:rPr>
      </w:pPr>
      <w:r w:rsidRPr="00254B75">
        <w:rPr>
          <w:rFonts w:ascii="Traditional Arabic" w:hAnsi="Traditional Arabic" w:cs="Traditional Arabic"/>
          <w:sz w:val="32"/>
          <w:szCs w:val="32"/>
          <w:rtl/>
        </w:rPr>
        <w:t xml:space="preserve">إبراهيم، </w:t>
      </w:r>
      <w:r w:rsidR="001D37F8" w:rsidRPr="00254B75">
        <w:rPr>
          <w:rFonts w:ascii="Traditional Arabic" w:hAnsi="Traditional Arabic" w:cs="Traditional Arabic" w:hint="cs"/>
          <w:sz w:val="32"/>
          <w:szCs w:val="32"/>
          <w:rtl/>
        </w:rPr>
        <w:t xml:space="preserve">أحمد، </w:t>
      </w:r>
      <w:r w:rsidR="001D37F8" w:rsidRPr="00254B75">
        <w:rPr>
          <w:rFonts w:ascii="Traditional Arabic" w:hAnsi="Traditional Arabic" w:cs="Traditional Arabic"/>
          <w:sz w:val="32"/>
          <w:szCs w:val="32"/>
          <w:rtl/>
        </w:rPr>
        <w:t>المحمدي</w:t>
      </w:r>
      <w:r w:rsidRPr="00254B75">
        <w:rPr>
          <w:rFonts w:ascii="Traditional Arabic" w:hAnsi="Traditional Arabic" w:cs="Traditional Arabic"/>
          <w:sz w:val="32"/>
          <w:szCs w:val="32"/>
          <w:rtl/>
        </w:rPr>
        <w:t>، سامي. (2024). دور إعادة هندسة العمليات الإدارية في تحقيق رؤى</w:t>
      </w:r>
      <w:r w:rsidR="00254B75" w:rsidRPr="00254B75">
        <w:rPr>
          <w:rFonts w:ascii="Traditional Arabic" w:hAnsi="Traditional Arabic" w:cs="Traditional Arabic" w:hint="cs"/>
          <w:sz w:val="32"/>
          <w:szCs w:val="32"/>
          <w:rtl/>
        </w:rPr>
        <w:t xml:space="preserve"> </w:t>
      </w:r>
      <w:r w:rsidRPr="00254B75">
        <w:rPr>
          <w:rFonts w:ascii="Traditional Arabic" w:hAnsi="Traditional Arabic" w:cs="Traditional Arabic"/>
          <w:sz w:val="32"/>
          <w:szCs w:val="32"/>
          <w:rtl/>
        </w:rPr>
        <w:t>الجامعات السعودية في ظل رؤية 2030: دراسة تطبيقية على جامعة الملك خالد</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العلمية للدراسات والبحوث المالية والإدارية، 16</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xml:space="preserve">، </w:t>
      </w:r>
      <w:r w:rsidR="00254B75" w:rsidRPr="00254B75">
        <w:rPr>
          <w:rFonts w:ascii="Traditional Arabic" w:hAnsi="Traditional Arabic" w:cs="Traditional Arabic"/>
          <w:sz w:val="32"/>
          <w:szCs w:val="32"/>
          <w:rtl/>
        </w:rPr>
        <w:t>335</w:t>
      </w:r>
      <w:hyperlink r:id="rId11" w:history="1">
        <w:r w:rsidR="005B684E" w:rsidRPr="007D68D1">
          <w:rPr>
            <w:rStyle w:val="Hyperlink"/>
            <w:rFonts w:ascii="Traditional Arabic" w:hAnsi="Traditional Arabic" w:cs="Traditional Arabic"/>
            <w:sz w:val="32"/>
            <w:szCs w:val="32"/>
          </w:rPr>
          <w:t>https://doi.org/10.21608/masf.2023.211396.1052</w:t>
        </w:r>
      </w:hyperlink>
      <w:r w:rsidR="00254B75" w:rsidRPr="00254B75">
        <w:rPr>
          <w:rFonts w:ascii="Traditional Arabic" w:hAnsi="Traditional Arabic" w:cs="Traditional Arabic"/>
          <w:sz w:val="32"/>
          <w:szCs w:val="32"/>
        </w:rPr>
        <w:t xml:space="preserve">  .368-</w:t>
      </w:r>
    </w:p>
    <w:p w14:paraId="186486AB" w14:textId="736998C5"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إبراهيم، حنا،</w:t>
      </w:r>
      <w:r w:rsidR="001D37F8" w:rsidRPr="00254B75">
        <w:rPr>
          <w:rFonts w:ascii="Traditional Arabic" w:hAnsi="Traditional Arabic" w:cs="Traditional Arabic" w:hint="cs"/>
          <w:sz w:val="32"/>
          <w:szCs w:val="32"/>
          <w:rtl/>
        </w:rPr>
        <w:t xml:space="preserve"> و </w:t>
      </w:r>
      <w:r w:rsidRPr="00254B75">
        <w:rPr>
          <w:rFonts w:ascii="Traditional Arabic" w:hAnsi="Traditional Arabic" w:cs="Traditional Arabic"/>
          <w:sz w:val="32"/>
          <w:szCs w:val="32"/>
          <w:rtl/>
        </w:rPr>
        <w:t>بيطار، منى. (2019). أثر تكنولوجيا المعلومات والاتصالات في الأداء المالي للمصارف التجارية الخاصة في سوريا</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حماة، 2</w:t>
      </w:r>
      <w:r w:rsidRPr="00254B75">
        <w:rPr>
          <w:rFonts w:ascii="Traditional Arabic" w:hAnsi="Traditional Arabic" w:cs="Traditional Arabic"/>
          <w:sz w:val="32"/>
          <w:szCs w:val="32"/>
        </w:rPr>
        <w:t>(11)</w:t>
      </w:r>
      <w:r w:rsidRPr="00254B75">
        <w:rPr>
          <w:rFonts w:ascii="Traditional Arabic" w:hAnsi="Traditional Arabic" w:cs="Traditional Arabic"/>
          <w:sz w:val="32"/>
          <w:szCs w:val="32"/>
          <w:rtl/>
        </w:rPr>
        <w:t>، 125</w:t>
      </w:r>
      <w:r w:rsidR="001D37F8" w:rsidRPr="00254B75">
        <w:rPr>
          <w:rFonts w:ascii="Traditional Arabic" w:hAnsi="Traditional Arabic" w:cs="Traditional Arabic" w:hint="cs"/>
          <w:sz w:val="32"/>
          <w:szCs w:val="32"/>
          <w:rtl/>
        </w:rPr>
        <w:t>-146.</w:t>
      </w:r>
    </w:p>
    <w:p w14:paraId="638F1873"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أبو </w:t>
      </w:r>
      <w:proofErr w:type="spellStart"/>
      <w:r w:rsidRPr="00254B75">
        <w:rPr>
          <w:rFonts w:ascii="Traditional Arabic" w:hAnsi="Traditional Arabic" w:cs="Traditional Arabic"/>
          <w:sz w:val="32"/>
          <w:szCs w:val="32"/>
          <w:rtl/>
        </w:rPr>
        <w:t>حميده</w:t>
      </w:r>
      <w:proofErr w:type="spellEnd"/>
      <w:r w:rsidRPr="00254B75">
        <w:rPr>
          <w:rFonts w:ascii="Traditional Arabic" w:hAnsi="Traditional Arabic" w:cs="Traditional Arabic"/>
          <w:sz w:val="32"/>
          <w:szCs w:val="32"/>
          <w:rtl/>
        </w:rPr>
        <w:t xml:space="preserve">، أفنان. (2021). ما هي تكنولوجيا المعلومات؟ </w:t>
      </w:r>
      <w:hyperlink r:id="rId12" w:tgtFrame="_new" w:history="1">
        <w:r w:rsidRPr="00254B75">
          <w:rPr>
            <w:rStyle w:val="Hyperlink"/>
            <w:rFonts w:ascii="Traditional Arabic" w:hAnsi="Traditional Arabic" w:cs="Traditional Arabic"/>
            <w:sz w:val="32"/>
            <w:szCs w:val="32"/>
          </w:rPr>
          <w:t>https://sotor.com/</w:t>
        </w:r>
      </w:hyperlink>
    </w:p>
    <w:p w14:paraId="03A9D4D0" w14:textId="263C5E16"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أحمد، أحمد. (2022). اللامركزية وتحقيق التمكين الإداري في الأجهزة الإدارية بالمحليات</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العلمية للخدمة الاجتماعية، 20</w:t>
      </w:r>
      <w:r w:rsidRPr="00254B75">
        <w:rPr>
          <w:rFonts w:ascii="Traditional Arabic" w:hAnsi="Traditional Arabic" w:cs="Traditional Arabic"/>
          <w:sz w:val="32"/>
          <w:szCs w:val="32"/>
        </w:rPr>
        <w:t>(1)</w:t>
      </w:r>
      <w:r w:rsidR="001D37F8" w:rsidRPr="00254B75">
        <w:rPr>
          <w:rFonts w:ascii="Traditional Arabic" w:hAnsi="Traditional Arabic" w:cs="Traditional Arabic" w:hint="cs"/>
          <w:sz w:val="32"/>
          <w:szCs w:val="32"/>
          <w:rtl/>
        </w:rPr>
        <w:t xml:space="preserve"> ،22-53.</w:t>
      </w:r>
    </w:p>
    <w:p w14:paraId="2555EBA8"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أحمد، جوليا عثمان. (2020). تطوير نموذج باستخدام الشبكات العصبية لتشخيص </w:t>
      </w:r>
      <w:proofErr w:type="spellStart"/>
      <w:r w:rsidRPr="00254B75">
        <w:rPr>
          <w:rFonts w:ascii="Traditional Arabic" w:hAnsi="Traditional Arabic" w:cs="Traditional Arabic"/>
          <w:sz w:val="32"/>
          <w:szCs w:val="32"/>
          <w:rtl/>
        </w:rPr>
        <w:t>حصاوى</w:t>
      </w:r>
      <w:proofErr w:type="spellEnd"/>
      <w:r w:rsidRPr="00254B75">
        <w:rPr>
          <w:rFonts w:ascii="Traditional Arabic" w:hAnsi="Traditional Arabic" w:cs="Traditional Arabic"/>
          <w:sz w:val="32"/>
          <w:szCs w:val="32"/>
          <w:rtl/>
        </w:rPr>
        <w:t xml:space="preserve"> الكلى (رسالة ماجستير غير منشورة). جامعة إفريقيا العالمية</w:t>
      </w:r>
      <w:r w:rsidRPr="00254B75">
        <w:rPr>
          <w:rFonts w:ascii="Traditional Arabic" w:hAnsi="Traditional Arabic" w:cs="Traditional Arabic"/>
          <w:sz w:val="32"/>
          <w:szCs w:val="32"/>
        </w:rPr>
        <w:t>.</w:t>
      </w:r>
    </w:p>
    <w:p w14:paraId="6C3E596E" w14:textId="62900C4B"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أحمد، محمد فتحي. (2020). استراتيجية مقترحة لتحويل جامعة المنيا إلى جامعة ذكية في ضوء توجهات التحول الرقمي والنموذج الإماراتي لجامعة حمدان بن محمد الذكية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الفيوم للعلوم التربوية والنفسية</w:t>
      </w:r>
      <w:r w:rsidR="005D5DA2" w:rsidRPr="00254B75">
        <w:rPr>
          <w:rFonts w:ascii="Traditional Arabic" w:hAnsi="Traditional Arabic" w:cs="Traditional Arabic" w:hint="cs"/>
          <w:i/>
          <w:iCs/>
          <w:sz w:val="32"/>
          <w:szCs w:val="32"/>
          <w:rtl/>
        </w:rPr>
        <w:t>،6</w:t>
      </w:r>
      <w:r w:rsidR="005D5DA2" w:rsidRPr="00254B75">
        <w:rPr>
          <w:rFonts w:ascii="Traditional Arabic" w:hAnsi="Traditional Arabic" w:cs="Traditional Arabic" w:hint="cs"/>
          <w:sz w:val="32"/>
          <w:szCs w:val="32"/>
          <w:rtl/>
        </w:rPr>
        <w:t xml:space="preserve"> (14)،403-628.</w:t>
      </w:r>
    </w:p>
    <w:p w14:paraId="2EF9C327"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أحمد، هبة. (2008). تصنيف وإدارة المخاطر بالمنشآت الصحية: دراسة لأنظمة إنذار الحرائق. ورقة مقدمة في مؤتمر الإسكان، المملكة العربية السعودية</w:t>
      </w:r>
      <w:r w:rsidRPr="00254B75">
        <w:rPr>
          <w:rFonts w:ascii="Traditional Arabic" w:hAnsi="Traditional Arabic" w:cs="Traditional Arabic"/>
          <w:sz w:val="32"/>
          <w:szCs w:val="32"/>
        </w:rPr>
        <w:t>.</w:t>
      </w:r>
    </w:p>
    <w:p w14:paraId="7A4C6F4B" w14:textId="4744C1F8"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ادم، زبيدة عبد الرحمن. (2019). دور تكنولوجيا المعلومات والاتصالات في توفير فرص العمل: دراسة تطبيقية (رسالة ماجستير غير منشورة). جامعة السودان للعلوم والتكنولوجيا</w:t>
      </w:r>
      <w:r w:rsidR="005D5DA2" w:rsidRPr="00254B75">
        <w:rPr>
          <w:rFonts w:ascii="Traditional Arabic" w:hAnsi="Traditional Arabic" w:cs="Traditional Arabic" w:hint="cs"/>
          <w:sz w:val="32"/>
          <w:szCs w:val="32"/>
          <w:rtl/>
        </w:rPr>
        <w:t>، السودان.</w:t>
      </w:r>
    </w:p>
    <w:p w14:paraId="61568B80" w14:textId="08253CE5"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أسعد، زينب أسعد،</w:t>
      </w:r>
      <w:r w:rsidR="008A0FFA"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tl/>
        </w:rPr>
        <w:t>يعقوب، عمر السيد. (2023). مدخل إدارة المخاطر كآلية للحد من المخاطر المالية التي تواجه المنشآت المالية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 xml:space="preserve">المجلة الأكاديمية للعلوم الاجتماعية، </w:t>
      </w:r>
      <w:r w:rsidR="00A2218F" w:rsidRPr="00254B75">
        <w:rPr>
          <w:rFonts w:ascii="Traditional Arabic" w:hAnsi="Traditional Arabic" w:cs="Traditional Arabic" w:hint="cs"/>
          <w:i/>
          <w:iCs/>
          <w:sz w:val="32"/>
          <w:szCs w:val="32"/>
          <w:rtl/>
        </w:rPr>
        <w:t>1</w:t>
      </w:r>
      <w:r w:rsidR="00A2218F" w:rsidRPr="00254B75">
        <w:rPr>
          <w:rFonts w:ascii="Traditional Arabic" w:hAnsi="Traditional Arabic" w:cs="Traditional Arabic" w:hint="cs"/>
          <w:sz w:val="32"/>
          <w:szCs w:val="32"/>
          <w:rtl/>
        </w:rPr>
        <w:t>(2)،214-254</w:t>
      </w:r>
      <w:r w:rsidR="00A2218F" w:rsidRPr="00254B75">
        <w:rPr>
          <w:rFonts w:ascii="Traditional Arabic" w:hAnsi="Traditional Arabic" w:cs="Traditional Arabic" w:hint="cs"/>
          <w:i/>
          <w:iCs/>
          <w:sz w:val="32"/>
          <w:szCs w:val="32"/>
          <w:rtl/>
        </w:rPr>
        <w:t>.</w:t>
      </w:r>
    </w:p>
    <w:p w14:paraId="5032A60F"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الأسمري، مانع بن محمد. (2019). نظم المعلومات الصحية المحوسبة وتأثيرها على القرارات الإدارية والطبية. ورقة مقدمة في الملتقى العلمي الدولي المعاصر للعلوم التربوية والاجتماعية والإنسانية والإدارية والطبيعية، إسطنبول، تركيا</w:t>
      </w:r>
      <w:r w:rsidRPr="00254B75">
        <w:rPr>
          <w:rFonts w:ascii="Traditional Arabic" w:hAnsi="Traditional Arabic" w:cs="Traditional Arabic"/>
          <w:sz w:val="32"/>
          <w:szCs w:val="32"/>
        </w:rPr>
        <w:t>.</w:t>
      </w:r>
    </w:p>
    <w:p w14:paraId="42197141"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آل عباس، محمد. (2021). إدارة المخاطر: كيف تطور المفهوم؟ </w:t>
      </w:r>
      <w:hyperlink r:id="rId13" w:tgtFrame="_new" w:history="1">
        <w:r w:rsidRPr="00254B75">
          <w:rPr>
            <w:rStyle w:val="Hyperlink"/>
            <w:rFonts w:ascii="Traditional Arabic" w:hAnsi="Traditional Arabic" w:cs="Traditional Arabic"/>
            <w:sz w:val="32"/>
            <w:szCs w:val="32"/>
          </w:rPr>
          <w:t>https://www.aleqt.com/</w:t>
        </w:r>
      </w:hyperlink>
    </w:p>
    <w:p w14:paraId="651AA25A" w14:textId="20C20AEA"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أوشاح</w:t>
      </w:r>
      <w:proofErr w:type="spellEnd"/>
      <w:r w:rsidRPr="00254B75">
        <w:rPr>
          <w:rFonts w:ascii="Traditional Arabic" w:hAnsi="Traditional Arabic" w:cs="Traditional Arabic"/>
          <w:sz w:val="32"/>
          <w:szCs w:val="32"/>
          <w:rtl/>
        </w:rPr>
        <w:t>، فتحي</w:t>
      </w:r>
      <w:r w:rsidR="008A0FFA" w:rsidRPr="00254B75">
        <w:rPr>
          <w:rFonts w:ascii="Traditional Arabic" w:hAnsi="Traditional Arabic" w:cs="Traditional Arabic" w:hint="cs"/>
          <w:sz w:val="32"/>
          <w:szCs w:val="32"/>
          <w:rtl/>
        </w:rPr>
        <w:t>، 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عمار، عزة. (2021). إجراءات السلامة والصحة المهنية في أقسام التصوير الطبي بالمستشفيات الحكومية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الدولية متعددة اللغات للعلوم والتكنولوجيا، 6</w:t>
      </w:r>
      <w:r w:rsidRPr="00254B75">
        <w:rPr>
          <w:rFonts w:ascii="Traditional Arabic" w:hAnsi="Traditional Arabic" w:cs="Traditional Arabic"/>
          <w:sz w:val="32"/>
          <w:szCs w:val="32"/>
        </w:rPr>
        <w:t>(12).</w:t>
      </w:r>
    </w:p>
    <w:p w14:paraId="49D34B6F" w14:textId="7C20678D"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lastRenderedPageBreak/>
        <w:t>بخيت، محمد سعيد. (2023). أثر تطبيقات الذكاء الاصطناعي في تطوير خدمات المرافق العامة (الإدارة الذكية نموذجاً)</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الفقهية والقانونية، 2</w:t>
      </w:r>
      <w:r w:rsidRPr="00254B75">
        <w:rPr>
          <w:rFonts w:ascii="Traditional Arabic" w:hAnsi="Traditional Arabic" w:cs="Traditional Arabic"/>
          <w:sz w:val="32"/>
          <w:szCs w:val="32"/>
        </w:rPr>
        <w:t>(43)</w:t>
      </w:r>
      <w:r w:rsidRPr="00254B75">
        <w:rPr>
          <w:rFonts w:ascii="Traditional Arabic" w:hAnsi="Traditional Arabic" w:cs="Traditional Arabic"/>
          <w:sz w:val="32"/>
          <w:szCs w:val="32"/>
          <w:rtl/>
        </w:rPr>
        <w:t>، 3403</w:t>
      </w:r>
      <w:r w:rsidR="008A0FFA" w:rsidRPr="00254B75">
        <w:rPr>
          <w:rFonts w:ascii="Traditional Arabic" w:hAnsi="Traditional Arabic" w:cs="Traditional Arabic" w:hint="cs"/>
          <w:sz w:val="32"/>
          <w:szCs w:val="32"/>
          <w:rtl/>
        </w:rPr>
        <w:t>-3497.</w:t>
      </w:r>
    </w:p>
    <w:p w14:paraId="4A01BB03"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بركاني، منير. (2019). مفهوم وخصائص تكنولوجيا المعلومات والاتصالات</w:t>
      </w:r>
      <w:r w:rsidRPr="00254B75">
        <w:rPr>
          <w:rFonts w:ascii="Traditional Arabic" w:hAnsi="Traditional Arabic" w:cs="Traditional Arabic"/>
          <w:sz w:val="32"/>
          <w:szCs w:val="32"/>
        </w:rPr>
        <w:t xml:space="preserve">. </w:t>
      </w:r>
      <w:hyperlink r:id="rId14" w:tgtFrame="_new" w:history="1">
        <w:r w:rsidRPr="00254B75">
          <w:rPr>
            <w:rStyle w:val="Hyperlink"/>
            <w:rFonts w:ascii="Traditional Arabic" w:hAnsi="Traditional Arabic" w:cs="Traditional Arabic"/>
            <w:sz w:val="32"/>
            <w:szCs w:val="32"/>
          </w:rPr>
          <w:t>https://www.tadwiina.com/</w:t>
        </w:r>
      </w:hyperlink>
    </w:p>
    <w:p w14:paraId="3F704C30" w14:textId="4F99CB68"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البطنيجي</w:t>
      </w:r>
      <w:proofErr w:type="spellEnd"/>
      <w:r w:rsidRPr="00254B75">
        <w:rPr>
          <w:rFonts w:ascii="Traditional Arabic" w:hAnsi="Traditional Arabic" w:cs="Traditional Arabic"/>
          <w:sz w:val="32"/>
          <w:szCs w:val="32"/>
          <w:rtl/>
        </w:rPr>
        <w:t xml:space="preserve">، عمر، محمد، خلدون، الشكري، عبد، الأشقر، نظام، </w:t>
      </w:r>
      <w:r w:rsidRPr="00254B75">
        <w:rPr>
          <w:rFonts w:ascii="Traditional Arabic" w:hAnsi="Traditional Arabic" w:cs="Traditional Arabic"/>
          <w:sz w:val="32"/>
          <w:szCs w:val="32"/>
        </w:rPr>
        <w:t xml:space="preserve">&amp; </w:t>
      </w:r>
      <w:r w:rsidRPr="00254B75">
        <w:rPr>
          <w:rFonts w:ascii="Traditional Arabic" w:hAnsi="Traditional Arabic" w:cs="Traditional Arabic"/>
          <w:sz w:val="32"/>
          <w:szCs w:val="32"/>
          <w:rtl/>
        </w:rPr>
        <w:t>الآغا، محمد. (2019). أثر النفايات الطبية على صحة وسلامة العاملين في المستشفيات الحكومية في ظل أحداث مسيرات العودة 2018م</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 xml:space="preserve">المجلة العربية للعلوم ونشر الأبحاث – مجلة إدارة المخاطر والأزمات، </w:t>
      </w:r>
      <w:r w:rsidR="008A0FFA" w:rsidRPr="00254B75">
        <w:rPr>
          <w:rFonts w:ascii="Traditional Arabic" w:hAnsi="Traditional Arabic" w:cs="Traditional Arabic" w:hint="cs"/>
          <w:i/>
          <w:iCs/>
          <w:sz w:val="32"/>
          <w:szCs w:val="32"/>
          <w:rtl/>
        </w:rPr>
        <w:t>1</w:t>
      </w:r>
      <w:r w:rsidR="008A0FFA" w:rsidRPr="00254B75">
        <w:rPr>
          <w:rFonts w:ascii="Traditional Arabic" w:hAnsi="Traditional Arabic" w:cs="Traditional Arabic" w:hint="cs"/>
          <w:sz w:val="32"/>
          <w:szCs w:val="32"/>
          <w:rtl/>
        </w:rPr>
        <w:t>(3)،44-60.</w:t>
      </w:r>
    </w:p>
    <w:p w14:paraId="5227AF11"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بغو، ألفة. (2013). دور إدارة المخاطر في تحقيق جودة خدمات المؤسسات الاستشفائية: دراسة حالة (رسالة ماجستير غير منشورة). جامعة تبسة، الجزائر</w:t>
      </w:r>
      <w:r w:rsidRPr="00254B75">
        <w:rPr>
          <w:rFonts w:ascii="Traditional Arabic" w:hAnsi="Traditional Arabic" w:cs="Traditional Arabic"/>
          <w:sz w:val="32"/>
          <w:szCs w:val="32"/>
        </w:rPr>
        <w:t>.</w:t>
      </w:r>
    </w:p>
    <w:p w14:paraId="57741304" w14:textId="5A1D22C8"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البلداوي</w:t>
      </w:r>
      <w:proofErr w:type="spellEnd"/>
      <w:r w:rsidRPr="00254B75">
        <w:rPr>
          <w:rFonts w:ascii="Traditional Arabic" w:hAnsi="Traditional Arabic" w:cs="Traditional Arabic"/>
          <w:sz w:val="32"/>
          <w:szCs w:val="32"/>
          <w:rtl/>
        </w:rPr>
        <w:t xml:space="preserve">، علاء عبد </w:t>
      </w:r>
      <w:r w:rsidR="008A0FFA" w:rsidRPr="00254B75">
        <w:rPr>
          <w:rFonts w:ascii="Traditional Arabic" w:hAnsi="Traditional Arabic" w:cs="Traditional Arabic" w:hint="cs"/>
          <w:sz w:val="32"/>
          <w:szCs w:val="32"/>
          <w:rtl/>
        </w:rPr>
        <w:t xml:space="preserve">الكريم، </w:t>
      </w:r>
      <w:r w:rsidR="008A0FFA" w:rsidRPr="00254B75">
        <w:rPr>
          <w:rFonts w:ascii="Traditional Arabic" w:hAnsi="Traditional Arabic" w:cs="Traditional Arabic"/>
          <w:sz w:val="32"/>
          <w:szCs w:val="32"/>
          <w:rtl/>
        </w:rPr>
        <w:t>و</w:t>
      </w:r>
      <w:r w:rsidR="008A0FFA" w:rsidRPr="00254B75">
        <w:rPr>
          <w:rFonts w:ascii="Traditional Arabic" w:hAnsi="Traditional Arabic" w:cs="Traditional Arabic" w:hint="cs"/>
          <w:sz w:val="32"/>
          <w:szCs w:val="32"/>
          <w:rtl/>
        </w:rPr>
        <w:t xml:space="preserve"> </w:t>
      </w:r>
      <w:r w:rsidRPr="00254B75">
        <w:rPr>
          <w:rFonts w:ascii="Traditional Arabic" w:hAnsi="Traditional Arabic" w:cs="Traditional Arabic"/>
          <w:sz w:val="32"/>
          <w:szCs w:val="32"/>
          <w:rtl/>
        </w:rPr>
        <w:t>العزاوي، رسل فليح. (2018). دور برامج إدارة المخاطر في مواجهة المخاطر بالمطارات الدولية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دراسات محاسبية ومالية، 13</w:t>
      </w:r>
      <w:r w:rsidRPr="00254B75">
        <w:rPr>
          <w:rFonts w:ascii="Traditional Arabic" w:hAnsi="Traditional Arabic" w:cs="Traditional Arabic"/>
          <w:sz w:val="32"/>
          <w:szCs w:val="32"/>
        </w:rPr>
        <w:t>(44)</w:t>
      </w:r>
      <w:r w:rsidRPr="00254B75">
        <w:rPr>
          <w:rFonts w:ascii="Traditional Arabic" w:hAnsi="Traditional Arabic" w:cs="Traditional Arabic"/>
          <w:sz w:val="32"/>
          <w:szCs w:val="32"/>
          <w:rtl/>
        </w:rPr>
        <w:t>،</w:t>
      </w:r>
      <w:r w:rsidR="008A0FFA" w:rsidRPr="00254B75">
        <w:rPr>
          <w:rFonts w:ascii="Traditional Arabic" w:hAnsi="Traditional Arabic" w:cs="Traditional Arabic"/>
          <w:sz w:val="32"/>
          <w:szCs w:val="32"/>
        </w:rPr>
        <w:t>71-94</w:t>
      </w:r>
      <w:r w:rsidR="008A0FFA" w:rsidRPr="00254B75">
        <w:rPr>
          <w:rFonts w:ascii="Traditional Arabic" w:hAnsi="Traditional Arabic" w:cs="Traditional Arabic" w:hint="cs"/>
          <w:sz w:val="32"/>
          <w:szCs w:val="32"/>
          <w:rtl/>
        </w:rPr>
        <w:t>.</w:t>
      </w:r>
    </w:p>
    <w:p w14:paraId="1B0A5340" w14:textId="534AC035"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بلفخار</w:t>
      </w:r>
      <w:proofErr w:type="spellEnd"/>
      <w:r w:rsidRPr="00254B75">
        <w:rPr>
          <w:rFonts w:ascii="Traditional Arabic" w:hAnsi="Traditional Arabic" w:cs="Traditional Arabic"/>
          <w:sz w:val="32"/>
          <w:szCs w:val="32"/>
          <w:rtl/>
        </w:rPr>
        <w:t xml:space="preserve">، دلال، </w:t>
      </w:r>
      <w:r w:rsidR="008A0FFA"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بارش، يسرا. (2021). إدارة المخاطر في شركات التأمين: دراسة حالة (أطروحة دكتوراه غير منشورة). جامعة ميلة، الجزائر</w:t>
      </w:r>
      <w:r w:rsidRPr="00254B75">
        <w:rPr>
          <w:rFonts w:ascii="Traditional Arabic" w:hAnsi="Traditional Arabic" w:cs="Traditional Arabic"/>
          <w:sz w:val="32"/>
          <w:szCs w:val="32"/>
        </w:rPr>
        <w:t>.</w:t>
      </w:r>
    </w:p>
    <w:p w14:paraId="76288D12" w14:textId="3ED8A3DD"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بلمختار، سعاد. (2022). الطبيعة القانونية للمسؤولية المدنية عن الأخطاء الطبية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الحقوق والعلوم الإنسانية، 15</w:t>
      </w:r>
      <w:r w:rsidRPr="00254B75">
        <w:rPr>
          <w:rFonts w:ascii="Traditional Arabic" w:hAnsi="Traditional Arabic" w:cs="Traditional Arabic"/>
          <w:sz w:val="32"/>
          <w:szCs w:val="32"/>
        </w:rPr>
        <w:t>(1</w:t>
      </w:r>
      <w:r w:rsidR="008A0FFA" w:rsidRPr="00254B75">
        <w:rPr>
          <w:rFonts w:ascii="Traditional Arabic" w:hAnsi="Traditional Arabic" w:cs="Traditional Arabic"/>
          <w:sz w:val="32"/>
          <w:szCs w:val="32"/>
        </w:rPr>
        <w:t>)</w:t>
      </w:r>
      <w:r w:rsidR="008A0FFA" w:rsidRPr="00254B75">
        <w:rPr>
          <w:rFonts w:ascii="Traditional Arabic" w:hAnsi="Traditional Arabic" w:cs="Traditional Arabic" w:hint="cs"/>
          <w:sz w:val="32"/>
          <w:szCs w:val="32"/>
          <w:rtl/>
        </w:rPr>
        <w:t>،766-784.</w:t>
      </w:r>
    </w:p>
    <w:p w14:paraId="0CB8EF0B"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بن جودي، هجيرة. (2020). إدارة المخاطر في البنوك التجارية وفق بازل 3 (رسالة ماجستير غير منشورة). جامعة المسيلة، الجزائر</w:t>
      </w:r>
      <w:r w:rsidRPr="00254B75">
        <w:rPr>
          <w:rFonts w:ascii="Traditional Arabic" w:hAnsi="Traditional Arabic" w:cs="Traditional Arabic"/>
          <w:sz w:val="32"/>
          <w:szCs w:val="32"/>
        </w:rPr>
        <w:t>.</w:t>
      </w:r>
    </w:p>
    <w:p w14:paraId="2DB72415" w14:textId="6ACDF2D6"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بن عبد الله، بوبكر، </w:t>
      </w:r>
      <w:r w:rsidR="008A0FFA"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ضيف، لامية. (2022). الإبداع الإداري ودوره في تحقيق التطوير التنظيمي: دراسة ميدانية (رسالة ماجستير غير منشورة). جامعة الوادي، الجزائر</w:t>
      </w:r>
      <w:r w:rsidRPr="00254B75">
        <w:rPr>
          <w:rFonts w:ascii="Traditional Arabic" w:hAnsi="Traditional Arabic" w:cs="Traditional Arabic"/>
          <w:sz w:val="32"/>
          <w:szCs w:val="32"/>
        </w:rPr>
        <w:t>.</w:t>
      </w:r>
    </w:p>
    <w:p w14:paraId="65EFFE1D" w14:textId="2EE0C81F"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بوجردة</w:t>
      </w:r>
      <w:proofErr w:type="spellEnd"/>
      <w:r w:rsidRPr="00254B75">
        <w:rPr>
          <w:rFonts w:ascii="Traditional Arabic" w:hAnsi="Traditional Arabic" w:cs="Traditional Arabic"/>
          <w:sz w:val="32"/>
          <w:szCs w:val="32"/>
          <w:rtl/>
        </w:rPr>
        <w:t xml:space="preserve">، أمال، </w:t>
      </w:r>
      <w:r w:rsidR="008A0FFA"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لحمر، إيمان. (2019). دور القيادة في إدارة المخاطر: دراسة ميدانية (رسالة ماجستير غير منشورة). جامعة جيجل، الجزائر</w:t>
      </w:r>
      <w:r w:rsidRPr="00254B75">
        <w:rPr>
          <w:rFonts w:ascii="Traditional Arabic" w:hAnsi="Traditional Arabic" w:cs="Traditional Arabic"/>
          <w:sz w:val="32"/>
          <w:szCs w:val="32"/>
        </w:rPr>
        <w:t>.</w:t>
      </w:r>
    </w:p>
    <w:p w14:paraId="42F47920" w14:textId="19A7F52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بوزانة</w:t>
      </w:r>
      <w:proofErr w:type="spellEnd"/>
      <w:r w:rsidRPr="00254B75">
        <w:rPr>
          <w:rFonts w:ascii="Traditional Arabic" w:hAnsi="Traditional Arabic" w:cs="Traditional Arabic"/>
          <w:sz w:val="32"/>
          <w:szCs w:val="32"/>
          <w:rtl/>
        </w:rPr>
        <w:t>، أيمن،</w:t>
      </w:r>
      <w:r w:rsidR="008A0FFA" w:rsidRPr="00254B75">
        <w:rPr>
          <w:rFonts w:ascii="Traditional Arabic" w:hAnsi="Traditional Arabic" w:cs="Traditional Arabic" w:hint="cs"/>
          <w:sz w:val="32"/>
          <w:szCs w:val="32"/>
          <w:rtl/>
        </w:rPr>
        <w:t xml:space="preserve"> و </w:t>
      </w:r>
      <w:proofErr w:type="spellStart"/>
      <w:r w:rsidRPr="00254B75">
        <w:rPr>
          <w:rFonts w:ascii="Traditional Arabic" w:hAnsi="Traditional Arabic" w:cs="Traditional Arabic"/>
          <w:sz w:val="32"/>
          <w:szCs w:val="32"/>
          <w:rtl/>
        </w:rPr>
        <w:t>حمدوش</w:t>
      </w:r>
      <w:proofErr w:type="spellEnd"/>
      <w:r w:rsidRPr="00254B75">
        <w:rPr>
          <w:rFonts w:ascii="Traditional Arabic" w:hAnsi="Traditional Arabic" w:cs="Traditional Arabic"/>
          <w:sz w:val="32"/>
          <w:szCs w:val="32"/>
          <w:rtl/>
        </w:rPr>
        <w:t>، وفاء. (2022). التحول نحو استخدام تطبيقات الصحة الرقمية المستجدة كآلية لمواجهة فيروس كورونا</w:t>
      </w:r>
      <w:r w:rsidRPr="00254B75">
        <w:rPr>
          <w:rFonts w:ascii="Traditional Arabic" w:hAnsi="Traditional Arabic" w:cs="Traditional Arabic"/>
          <w:sz w:val="32"/>
          <w:szCs w:val="32"/>
        </w:rPr>
        <w:t xml:space="preserve"> (COVID-19). </w:t>
      </w:r>
      <w:r w:rsidRPr="00254B75">
        <w:rPr>
          <w:rFonts w:ascii="Traditional Arabic" w:hAnsi="Traditional Arabic" w:cs="Traditional Arabic"/>
          <w:i/>
          <w:iCs/>
          <w:sz w:val="32"/>
          <w:szCs w:val="32"/>
          <w:rtl/>
        </w:rPr>
        <w:t>مجلة وحدة البحث في تنمية الموارد البشرية،</w:t>
      </w:r>
      <w:r w:rsidR="008A0FFA" w:rsidRPr="00254B75">
        <w:rPr>
          <w:rFonts w:ascii="Traditional Arabic" w:hAnsi="Traditional Arabic" w:cs="Traditional Arabic" w:hint="cs"/>
          <w:i/>
          <w:iCs/>
          <w:sz w:val="32"/>
          <w:szCs w:val="32"/>
          <w:rtl/>
        </w:rPr>
        <w:t>17</w:t>
      </w:r>
      <w:r w:rsidR="008A0FFA" w:rsidRPr="00254B75">
        <w:rPr>
          <w:rFonts w:ascii="Traditional Arabic" w:hAnsi="Traditional Arabic" w:cs="Traditional Arabic" w:hint="cs"/>
          <w:sz w:val="32"/>
          <w:szCs w:val="32"/>
          <w:rtl/>
        </w:rPr>
        <w:t>(1)،</w:t>
      </w:r>
      <w:r w:rsidRPr="00254B75">
        <w:rPr>
          <w:rFonts w:ascii="Traditional Arabic" w:hAnsi="Traditional Arabic" w:cs="Traditional Arabic"/>
          <w:i/>
          <w:iCs/>
          <w:sz w:val="32"/>
          <w:szCs w:val="32"/>
          <w:rtl/>
        </w:rPr>
        <w:t xml:space="preserve"> </w:t>
      </w:r>
      <w:r w:rsidR="008A0FFA" w:rsidRPr="00254B75">
        <w:rPr>
          <w:rFonts w:ascii="Traditional Arabic" w:hAnsi="Traditional Arabic" w:cs="Traditional Arabic" w:hint="cs"/>
          <w:sz w:val="32"/>
          <w:szCs w:val="32"/>
          <w:rtl/>
        </w:rPr>
        <w:t>171-197.</w:t>
      </w:r>
    </w:p>
    <w:p w14:paraId="37D78B41"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بوصلاح</w:t>
      </w:r>
      <w:proofErr w:type="spellEnd"/>
      <w:r w:rsidRPr="00254B75">
        <w:rPr>
          <w:rFonts w:ascii="Traditional Arabic" w:hAnsi="Traditional Arabic" w:cs="Traditional Arabic"/>
          <w:sz w:val="32"/>
          <w:szCs w:val="32"/>
          <w:rtl/>
        </w:rPr>
        <w:t>، سهام. (2022). التطوير التنظيمي وعلاقته بالحوكمة العمومية المحلية: دراسة حالة (رسالة ماجستير غير منشورة). جامعة المسيلة، الجزائر</w:t>
      </w:r>
      <w:r w:rsidRPr="00254B75">
        <w:rPr>
          <w:rFonts w:ascii="Traditional Arabic" w:hAnsi="Traditional Arabic" w:cs="Traditional Arabic"/>
          <w:sz w:val="32"/>
          <w:szCs w:val="32"/>
        </w:rPr>
        <w:t>.</w:t>
      </w:r>
    </w:p>
    <w:p w14:paraId="63061327" w14:textId="0FC015AB"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بوغنجيوة</w:t>
      </w:r>
      <w:proofErr w:type="spellEnd"/>
      <w:r w:rsidRPr="00254B75">
        <w:rPr>
          <w:rFonts w:ascii="Traditional Arabic" w:hAnsi="Traditional Arabic" w:cs="Traditional Arabic"/>
          <w:sz w:val="32"/>
          <w:szCs w:val="32"/>
          <w:rtl/>
        </w:rPr>
        <w:t xml:space="preserve">، أمينة، </w:t>
      </w:r>
      <w:r w:rsidR="008A0FFA"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شاوي، شافية. (2018). الأخطاء الطبية: أزمة كفاءة أم أزمة أخلاق أم أزمة قانون؟ ورقة مقدمة في الملتقى الوطني الأول حول التسيير الصحي، الجزائر</w:t>
      </w:r>
      <w:r w:rsidRPr="00254B75">
        <w:rPr>
          <w:rFonts w:ascii="Traditional Arabic" w:hAnsi="Traditional Arabic" w:cs="Traditional Arabic"/>
          <w:sz w:val="32"/>
          <w:szCs w:val="32"/>
        </w:rPr>
        <w:t>.</w:t>
      </w:r>
    </w:p>
    <w:p w14:paraId="7B19B780"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lastRenderedPageBreak/>
        <w:t>توامي</w:t>
      </w:r>
      <w:proofErr w:type="spellEnd"/>
      <w:r w:rsidRPr="00254B75">
        <w:rPr>
          <w:rFonts w:ascii="Traditional Arabic" w:hAnsi="Traditional Arabic" w:cs="Traditional Arabic"/>
          <w:sz w:val="32"/>
          <w:szCs w:val="32"/>
          <w:rtl/>
        </w:rPr>
        <w:t>، يعقوب. (2013). أثر استخدام تكنولوجيا المعلومات والاتصال على الأداء المالي للمؤسسة الاقتصادية: دراسة حالة (رسالة ماجستير غير منشورة). جامعة ورقلة، الجزائر</w:t>
      </w:r>
      <w:r w:rsidRPr="00254B75">
        <w:rPr>
          <w:rFonts w:ascii="Traditional Arabic" w:hAnsi="Traditional Arabic" w:cs="Traditional Arabic"/>
          <w:sz w:val="32"/>
          <w:szCs w:val="32"/>
        </w:rPr>
        <w:t>.</w:t>
      </w:r>
    </w:p>
    <w:p w14:paraId="24A19EC4" w14:textId="610A3E72"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جامعة آل البيت</w:t>
      </w:r>
      <w:r w:rsidRPr="00254B75">
        <w:rPr>
          <w:rFonts w:ascii="Traditional Arabic" w:hAnsi="Traditional Arabic" w:cs="Traditional Arabic"/>
          <w:sz w:val="32"/>
          <w:szCs w:val="32"/>
        </w:rPr>
        <w:t xml:space="preserve">. (2024). </w:t>
      </w:r>
      <w:r w:rsidRPr="00254B75">
        <w:rPr>
          <w:rFonts w:ascii="Traditional Arabic" w:hAnsi="Traditional Arabic" w:cs="Traditional Arabic"/>
          <w:i/>
          <w:iCs/>
          <w:sz w:val="32"/>
          <w:szCs w:val="32"/>
          <w:rtl/>
        </w:rPr>
        <w:t xml:space="preserve">خطة إدارة المخاطر وإجراءات مواجهتها </w:t>
      </w:r>
      <w:r w:rsidR="008D6DE5" w:rsidRPr="00254B75">
        <w:rPr>
          <w:rFonts w:ascii="Traditional Arabic" w:hAnsi="Traditional Arabic" w:cs="Traditional Arabic" w:hint="cs"/>
          <w:sz w:val="32"/>
          <w:szCs w:val="32"/>
          <w:rtl/>
        </w:rPr>
        <w:t>في</w:t>
      </w:r>
      <w:r w:rsidR="008D6DE5" w:rsidRPr="00254B75">
        <w:rPr>
          <w:rFonts w:ascii="Traditional Arabic" w:hAnsi="Traditional Arabic" w:cs="Traditional Arabic"/>
          <w:sz w:val="32"/>
          <w:szCs w:val="32"/>
          <w:rtl/>
        </w:rPr>
        <w:t xml:space="preserve"> كلية اللغات </w:t>
      </w:r>
      <w:r w:rsidR="008D6DE5" w:rsidRPr="00254B75">
        <w:rPr>
          <w:rFonts w:ascii="Traditional Arabic" w:hAnsi="Traditional Arabic" w:cs="Traditional Arabic" w:hint="cs"/>
          <w:sz w:val="32"/>
          <w:szCs w:val="32"/>
          <w:rtl/>
        </w:rPr>
        <w:t>الأجنبية</w:t>
      </w:r>
      <w:r w:rsidR="008D6DE5"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sz w:val="32"/>
          <w:szCs w:val="32"/>
        </w:rPr>
        <w:t>2025-2024</w:t>
      </w:r>
      <w:r w:rsidR="008D6DE5" w:rsidRPr="00254B75">
        <w:rPr>
          <w:rFonts w:ascii="Traditional Arabic" w:hAnsi="Traditional Arabic" w:cs="Traditional Arabic" w:hint="cs"/>
          <w:sz w:val="32"/>
          <w:szCs w:val="32"/>
          <w:rtl/>
        </w:rPr>
        <w:t>.</w:t>
      </w:r>
      <w:r w:rsidR="008D6DE5" w:rsidRPr="00254B75">
        <w:rPr>
          <w:sz w:val="32"/>
          <w:szCs w:val="32"/>
        </w:rPr>
        <w:t xml:space="preserve"> </w:t>
      </w:r>
      <w:hyperlink r:id="rId15" w:history="1">
        <w:r w:rsidR="008D6DE5" w:rsidRPr="00254B75">
          <w:rPr>
            <w:rStyle w:val="Hyperlink"/>
            <w:rFonts w:ascii="Traditional Arabic" w:hAnsi="Traditional Arabic" w:cs="Traditional Arabic"/>
            <w:sz w:val="32"/>
            <w:szCs w:val="32"/>
          </w:rPr>
          <w:t>https://aabu.edu.jo</w:t>
        </w:r>
      </w:hyperlink>
    </w:p>
    <w:p w14:paraId="67548304" w14:textId="60BA7C79"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جبر، ندى، </w:t>
      </w:r>
      <w:r w:rsidR="008D6DE5"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جبار، فاضل شعلان. (2021). أهمية التخطيط الاستراتيجي ودوره في إدارة الأزمات (بحث تخرج غير منشور). كلية الإدارة والاقتصاد، جامعة القادسية، العراق</w:t>
      </w:r>
      <w:r w:rsidRPr="00254B75">
        <w:rPr>
          <w:rFonts w:ascii="Traditional Arabic" w:hAnsi="Traditional Arabic" w:cs="Traditional Arabic"/>
          <w:sz w:val="32"/>
          <w:szCs w:val="32"/>
        </w:rPr>
        <w:t>.</w:t>
      </w:r>
    </w:p>
    <w:p w14:paraId="30332B09" w14:textId="136113F1"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جديد، سراج، حويجة، بسام،</w:t>
      </w:r>
      <w:r w:rsidR="008D6DE5"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حسن، نايل. (2017). تقييس السجلات الزلزالية الحقيقية لملائمة طيف الاستجابة التصميمي السوري باستخدام الخوارزمية الجينية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القدس المفتوحة للبحوث الإنسانية والاجتماعية، 2</w:t>
      </w:r>
      <w:r w:rsidRPr="00254B75">
        <w:rPr>
          <w:rFonts w:ascii="Traditional Arabic" w:hAnsi="Traditional Arabic" w:cs="Traditional Arabic"/>
          <w:sz w:val="32"/>
          <w:szCs w:val="32"/>
        </w:rPr>
        <w:t>(42)</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171-189.</w:t>
      </w:r>
    </w:p>
    <w:p w14:paraId="3606D867" w14:textId="2C33FD2D"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الجزار، محمد، المغير، محمد،</w:t>
      </w:r>
      <w:r w:rsidR="008D6DE5"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الأغا، محمد. (2019). إدارة الأزمات في مستشفى الشهيد محمد يوسف النجار من وجهة نظر العاملين فيها</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إدارة المخاطر والأزمات، 1</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1-20.</w:t>
      </w:r>
    </w:p>
    <w:p w14:paraId="3FA8C2FB" w14:textId="5B28FA01"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جنيدي، أحمد. (2024). أثر الذكاء الاصطناعي على التطوير التنظيمي: دراسة ميدانية على شركة مصر للتأمين</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المالية والتجارية، 25</w:t>
      </w:r>
      <w:r w:rsidRPr="00254B75">
        <w:rPr>
          <w:rFonts w:ascii="Traditional Arabic" w:hAnsi="Traditional Arabic" w:cs="Traditional Arabic"/>
          <w:sz w:val="32"/>
          <w:szCs w:val="32"/>
        </w:rPr>
        <w:t>(2)</w:t>
      </w:r>
      <w:r w:rsidRPr="00254B75">
        <w:rPr>
          <w:rFonts w:ascii="Traditional Arabic" w:hAnsi="Traditional Arabic" w:cs="Traditional Arabic"/>
          <w:sz w:val="32"/>
          <w:szCs w:val="32"/>
          <w:rtl/>
        </w:rPr>
        <w:t>، 511</w:t>
      </w:r>
      <w:r w:rsidR="008D6DE5" w:rsidRPr="00254B75">
        <w:rPr>
          <w:rFonts w:ascii="Traditional Arabic" w:hAnsi="Traditional Arabic" w:cs="Traditional Arabic" w:hint="cs"/>
          <w:sz w:val="32"/>
          <w:szCs w:val="32"/>
          <w:rtl/>
        </w:rPr>
        <w:t>-545.</w:t>
      </w:r>
    </w:p>
    <w:p w14:paraId="484CEFAC" w14:textId="00826ED0"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الجهني، أمل. (2022). معوقات التحول الرقمي في القطاع الصحي السعودي: دراسة تحليلية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العربية للإدارة، 42</w:t>
      </w:r>
      <w:r w:rsidRPr="00254B75">
        <w:rPr>
          <w:rFonts w:ascii="Traditional Arabic" w:hAnsi="Traditional Arabic" w:cs="Traditional Arabic"/>
          <w:sz w:val="32"/>
          <w:szCs w:val="32"/>
        </w:rPr>
        <w:t>(4)</w:t>
      </w:r>
      <w:r w:rsidRPr="00254B75">
        <w:rPr>
          <w:rFonts w:ascii="Traditional Arabic" w:hAnsi="Traditional Arabic" w:cs="Traditional Arabic"/>
          <w:sz w:val="32"/>
          <w:szCs w:val="32"/>
          <w:rtl/>
        </w:rPr>
        <w:t>، 89</w:t>
      </w:r>
      <w:r w:rsidR="008D6DE5" w:rsidRPr="00254B75">
        <w:rPr>
          <w:rFonts w:ascii="Traditional Arabic" w:hAnsi="Traditional Arabic" w:cs="Traditional Arabic" w:hint="cs"/>
          <w:sz w:val="32"/>
          <w:szCs w:val="32"/>
          <w:rtl/>
        </w:rPr>
        <w:t>-112.</w:t>
      </w:r>
    </w:p>
    <w:p w14:paraId="4A93872E" w14:textId="0CFB6F10"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جواد، ندى عبد الحسن. (2023). أثر استخدام تكنولوجيا المعلومات على الإبداع الإداري: دراسة ميدانية على القطاع المصرفي العراقي</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القانونية والاقتصادية، 6</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w:t>
      </w:r>
      <w:r w:rsidR="008D6DE5" w:rsidRPr="00254B75">
        <w:rPr>
          <w:rFonts w:ascii="Traditional Arabic" w:hAnsi="Traditional Arabic" w:cs="Traditional Arabic" w:hint="cs"/>
          <w:sz w:val="32"/>
          <w:szCs w:val="32"/>
          <w:rtl/>
        </w:rPr>
        <w:t>1-16.</w:t>
      </w:r>
    </w:p>
    <w:p w14:paraId="18B5C68E"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جوارنه</w:t>
      </w:r>
      <w:proofErr w:type="spellEnd"/>
      <w:r w:rsidRPr="00254B75">
        <w:rPr>
          <w:rFonts w:ascii="Traditional Arabic" w:hAnsi="Traditional Arabic" w:cs="Traditional Arabic"/>
          <w:sz w:val="32"/>
          <w:szCs w:val="32"/>
          <w:rtl/>
        </w:rPr>
        <w:t xml:space="preserve">، محمد. (2021). ما هو مجال تقنية المعلومات؟ </w:t>
      </w:r>
      <w:hyperlink r:id="rId16" w:tgtFrame="_new" w:history="1">
        <w:r w:rsidRPr="00254B75">
          <w:rPr>
            <w:rStyle w:val="Hyperlink"/>
            <w:rFonts w:ascii="Traditional Arabic" w:hAnsi="Traditional Arabic" w:cs="Traditional Arabic"/>
            <w:sz w:val="32"/>
            <w:szCs w:val="32"/>
          </w:rPr>
          <w:t>https://mawdoo3.com/</w:t>
        </w:r>
      </w:hyperlink>
    </w:p>
    <w:p w14:paraId="108EFD12" w14:textId="1A32D5BE"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حاج لعروسي، مارية، منوني، حورية، </w:t>
      </w:r>
      <w:r w:rsidR="008D6DE5" w:rsidRPr="00254B75">
        <w:rPr>
          <w:rFonts w:ascii="Traditional Arabic" w:hAnsi="Traditional Arabic" w:cs="Traditional Arabic" w:hint="cs"/>
          <w:sz w:val="32"/>
          <w:szCs w:val="32"/>
          <w:rtl/>
        </w:rPr>
        <w:t>وعباسي</w:t>
      </w:r>
      <w:r w:rsidRPr="00254B75">
        <w:rPr>
          <w:rFonts w:ascii="Traditional Arabic" w:hAnsi="Traditional Arabic" w:cs="Traditional Arabic"/>
          <w:sz w:val="32"/>
          <w:szCs w:val="32"/>
          <w:rtl/>
        </w:rPr>
        <w:t>، موسى. (2022). التطوير التنظيمي وعلاقته بالالتزام التنظيمي من وجهة نظر العاملين بمؤسسة سونلغاز (رسالة ماجستير غير منشورة). جامعة المسيلة، الجزائر</w:t>
      </w:r>
      <w:r w:rsidRPr="00254B75">
        <w:rPr>
          <w:rFonts w:ascii="Traditional Arabic" w:hAnsi="Traditional Arabic" w:cs="Traditional Arabic"/>
          <w:sz w:val="32"/>
          <w:szCs w:val="32"/>
        </w:rPr>
        <w:t>.</w:t>
      </w:r>
    </w:p>
    <w:p w14:paraId="588F59F4" w14:textId="6F346900"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الحبابي، سالم. (2024). أثر الرقابة الاستراتيجية في تحسين كفاءة إدارة الأزمات في الشركات الصناعية الأردنية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إدارة المخاطر والأزمات، 5</w:t>
      </w:r>
      <w:r w:rsidRPr="00254B75">
        <w:rPr>
          <w:rFonts w:ascii="Traditional Arabic" w:hAnsi="Traditional Arabic" w:cs="Traditional Arabic"/>
          <w:sz w:val="32"/>
          <w:szCs w:val="32"/>
        </w:rPr>
        <w:t>(2)</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1-16.</w:t>
      </w:r>
    </w:p>
    <w:p w14:paraId="0E7ACB3F" w14:textId="383B2EB9"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حبيشي، نهى. (2021). تقييم استخدام إدارة المخاطر في المحاسبة الإدارية الحديثة بهدف إدارة تكلفة سلسلة القيمة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المالية والتجارية، 22</w:t>
      </w:r>
      <w:r w:rsidRPr="00254B75">
        <w:rPr>
          <w:rFonts w:ascii="Traditional Arabic" w:hAnsi="Traditional Arabic" w:cs="Traditional Arabic"/>
          <w:sz w:val="32"/>
          <w:szCs w:val="32"/>
        </w:rPr>
        <w:t>(3)</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1240-</w:t>
      </w:r>
      <w:r w:rsidRPr="00254B75">
        <w:rPr>
          <w:rFonts w:ascii="Traditional Arabic" w:hAnsi="Traditional Arabic" w:cs="Traditional Arabic"/>
          <w:sz w:val="32"/>
          <w:szCs w:val="32"/>
          <w:rtl/>
        </w:rPr>
        <w:t>12</w:t>
      </w:r>
      <w:r w:rsidR="008D6DE5" w:rsidRPr="00254B75">
        <w:rPr>
          <w:rFonts w:ascii="Traditional Arabic" w:hAnsi="Traditional Arabic" w:cs="Traditional Arabic" w:hint="cs"/>
          <w:sz w:val="32"/>
          <w:szCs w:val="32"/>
          <w:rtl/>
        </w:rPr>
        <w:t>65</w:t>
      </w:r>
      <w:r w:rsidRPr="00254B75">
        <w:rPr>
          <w:rFonts w:ascii="Traditional Arabic" w:hAnsi="Traditional Arabic" w:cs="Traditional Arabic"/>
          <w:sz w:val="32"/>
          <w:szCs w:val="32"/>
        </w:rPr>
        <w:t>.</w:t>
      </w:r>
    </w:p>
    <w:p w14:paraId="17D3EF0E" w14:textId="6E908C9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الحربي، عبد العزيز بن مصلح شتيان. (2019). تأثير العوامل البيئية الداخلية على تحقيق أهداف المنظمة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الدولية لنشر البحوث والدراسات،</w:t>
      </w:r>
      <w:r w:rsidRPr="00254B75">
        <w:rPr>
          <w:rFonts w:ascii="Traditional Arabic" w:hAnsi="Traditional Arabic" w:cs="Traditional Arabic"/>
          <w:sz w:val="32"/>
          <w:szCs w:val="32"/>
          <w:rtl/>
        </w:rPr>
        <w:t xml:space="preserve"> </w:t>
      </w:r>
      <w:r w:rsidRPr="00254B75">
        <w:rPr>
          <w:rFonts w:ascii="Traditional Arabic" w:hAnsi="Traditional Arabic" w:cs="Traditional Arabic"/>
          <w:sz w:val="32"/>
          <w:szCs w:val="32"/>
        </w:rPr>
        <w:t>(67)</w:t>
      </w:r>
      <w:r w:rsidRPr="00254B75">
        <w:rPr>
          <w:rFonts w:ascii="Traditional Arabic" w:hAnsi="Traditional Arabic" w:cs="Traditional Arabic"/>
          <w:sz w:val="32"/>
          <w:szCs w:val="32"/>
          <w:rtl/>
        </w:rPr>
        <w:t xml:space="preserve">، </w:t>
      </w:r>
      <w:r w:rsidR="008D6DE5" w:rsidRPr="00254B75">
        <w:rPr>
          <w:rFonts w:ascii="Traditional Arabic" w:hAnsi="Traditional Arabic" w:cs="Traditional Arabic" w:hint="cs"/>
          <w:sz w:val="32"/>
          <w:szCs w:val="32"/>
          <w:rtl/>
        </w:rPr>
        <w:t>212- 251.</w:t>
      </w:r>
    </w:p>
    <w:p w14:paraId="3886A448" w14:textId="534B5CE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lastRenderedPageBreak/>
        <w:t>الحربي، محمد، بالخيور، منصور،</w:t>
      </w:r>
      <w:r w:rsidR="008D6DE5"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tl/>
        </w:rPr>
        <w:t>مدكور، محمد. (2020). مستوى وعي العاملين في مجال الرعاية الصحية تجاه التعرض المهني الميكروبي</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المجلة العربية للعلوم ونشر الأبحاث – مجلة إدارة المخاطر والأزمات، 2</w:t>
      </w:r>
      <w:r w:rsidRPr="00254B75">
        <w:rPr>
          <w:rFonts w:ascii="Traditional Arabic" w:hAnsi="Traditional Arabic" w:cs="Traditional Arabic"/>
          <w:sz w:val="32"/>
          <w:szCs w:val="32"/>
        </w:rPr>
        <w:t>(1</w:t>
      </w:r>
      <w:r w:rsidR="008D6DE5" w:rsidRPr="00254B75">
        <w:rPr>
          <w:rFonts w:ascii="Traditional Arabic" w:hAnsi="Traditional Arabic" w:cs="Traditional Arabic"/>
          <w:sz w:val="32"/>
          <w:szCs w:val="32"/>
        </w:rPr>
        <w:t>)</w:t>
      </w:r>
      <w:r w:rsidR="008D6DE5" w:rsidRPr="00254B75">
        <w:rPr>
          <w:rFonts w:ascii="Traditional Arabic" w:hAnsi="Traditional Arabic" w:cs="Traditional Arabic" w:hint="cs"/>
          <w:sz w:val="32"/>
          <w:szCs w:val="32"/>
          <w:rtl/>
        </w:rPr>
        <w:t>، 1-26.</w:t>
      </w:r>
    </w:p>
    <w:p w14:paraId="205940D7" w14:textId="188F2271"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حسن، رضوه فؤاد، مصطفى، يوسف عبد المعطي، </w:t>
      </w:r>
      <w:r w:rsidR="008D6DE5" w:rsidRPr="00254B75">
        <w:rPr>
          <w:rFonts w:ascii="Traditional Arabic" w:hAnsi="Traditional Arabic" w:cs="Traditional Arabic" w:hint="cs"/>
          <w:sz w:val="32"/>
          <w:szCs w:val="32"/>
          <w:rtl/>
        </w:rPr>
        <w:t xml:space="preserve">و </w:t>
      </w:r>
      <w:r w:rsidRPr="00254B75">
        <w:rPr>
          <w:rFonts w:ascii="Traditional Arabic" w:hAnsi="Traditional Arabic" w:cs="Traditional Arabic"/>
          <w:sz w:val="32"/>
          <w:szCs w:val="32"/>
          <w:rtl/>
        </w:rPr>
        <w:t>مخلوف، سميحة علي. (2022). دور التطوير التنظيمي في تحسين أداء العاملين</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الفيوم للعلوم التربوية والنفسية، 16</w:t>
      </w:r>
      <w:r w:rsidRPr="00254B75">
        <w:rPr>
          <w:rFonts w:ascii="Traditional Arabic" w:hAnsi="Traditional Arabic" w:cs="Traditional Arabic"/>
          <w:sz w:val="32"/>
          <w:szCs w:val="32"/>
        </w:rPr>
        <w:t>(9)</w:t>
      </w:r>
      <w:r w:rsidRPr="00254B75">
        <w:rPr>
          <w:rFonts w:ascii="Traditional Arabic" w:hAnsi="Traditional Arabic" w:cs="Traditional Arabic"/>
          <w:sz w:val="32"/>
          <w:szCs w:val="32"/>
          <w:rtl/>
        </w:rPr>
        <w:t>، 178</w:t>
      </w:r>
      <w:r w:rsidR="008D6DE5" w:rsidRPr="00254B75">
        <w:rPr>
          <w:rFonts w:ascii="Traditional Arabic" w:hAnsi="Traditional Arabic" w:cs="Traditional Arabic" w:hint="cs"/>
          <w:sz w:val="32"/>
          <w:szCs w:val="32"/>
          <w:rtl/>
        </w:rPr>
        <w:t>- 245.</w:t>
      </w:r>
    </w:p>
    <w:p w14:paraId="1B19340D"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حسن، يوسف. (2021). أثر التمكين الإداري في المؤسسة الأمنية الفلسطينية على تحقيق التنمية المستدامة (رسالة ماجستير غير منشورة). جامعة القدس المفتوحة، فلسطين</w:t>
      </w:r>
      <w:r w:rsidRPr="00254B75">
        <w:rPr>
          <w:rFonts w:ascii="Traditional Arabic" w:hAnsi="Traditional Arabic" w:cs="Traditional Arabic"/>
          <w:sz w:val="32"/>
          <w:szCs w:val="32"/>
        </w:rPr>
        <w:t>.</w:t>
      </w:r>
    </w:p>
    <w:p w14:paraId="30EE9630" w14:textId="505F8AF0"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حسنين، منال سيد. (2022). التطوير التنظيمي للمدارس المصرية اليابانية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كلية التربية في العلوم التربوية، 46</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177</w:t>
      </w:r>
      <w:r w:rsidR="009F3FF9" w:rsidRPr="00254B75">
        <w:rPr>
          <w:rFonts w:ascii="Traditional Arabic" w:hAnsi="Traditional Arabic" w:cs="Traditional Arabic" w:hint="cs"/>
          <w:sz w:val="32"/>
          <w:szCs w:val="32"/>
          <w:rtl/>
        </w:rPr>
        <w:t>-326.</w:t>
      </w:r>
    </w:p>
    <w:p w14:paraId="4C048382" w14:textId="30BF3DF9"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حسين، سارة محمود،</w:t>
      </w:r>
      <w:r w:rsidR="009F3FF9" w:rsidRPr="00254B75">
        <w:rPr>
          <w:rFonts w:ascii="Traditional Arabic" w:hAnsi="Traditional Arabic" w:cs="Traditional Arabic" w:hint="cs"/>
          <w:sz w:val="32"/>
          <w:szCs w:val="32"/>
          <w:rtl/>
        </w:rPr>
        <w:t xml:space="preserve"> و</w:t>
      </w:r>
      <w:r w:rsidR="009F3FF9" w:rsidRPr="00254B75">
        <w:rPr>
          <w:rFonts w:ascii="Traditional Arabic" w:hAnsi="Traditional Arabic" w:cs="Traditional Arabic"/>
          <w:sz w:val="32"/>
          <w:szCs w:val="32"/>
          <w:rtl/>
        </w:rPr>
        <w:t>أحمد</w:t>
      </w:r>
      <w:r w:rsidRPr="00254B75">
        <w:rPr>
          <w:rFonts w:ascii="Traditional Arabic" w:hAnsi="Traditional Arabic" w:cs="Traditional Arabic"/>
          <w:sz w:val="32"/>
          <w:szCs w:val="32"/>
          <w:rtl/>
        </w:rPr>
        <w:t>، نضال رؤوف. (2020). استخدام تكنولوجيا المعلومات والاتصالات في أرشفة البيانات</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دراسات محاسبية ومالية، 15</w:t>
      </w:r>
      <w:r w:rsidRPr="00254B75">
        <w:rPr>
          <w:rFonts w:ascii="Traditional Arabic" w:hAnsi="Traditional Arabic" w:cs="Traditional Arabic"/>
          <w:sz w:val="32"/>
          <w:szCs w:val="32"/>
        </w:rPr>
        <w:t>(50)</w:t>
      </w:r>
      <w:r w:rsidRPr="00254B75">
        <w:rPr>
          <w:rFonts w:ascii="Traditional Arabic" w:hAnsi="Traditional Arabic" w:cs="Traditional Arabic"/>
          <w:sz w:val="32"/>
          <w:szCs w:val="32"/>
          <w:rtl/>
        </w:rPr>
        <w:t xml:space="preserve">، </w:t>
      </w:r>
      <w:r w:rsidRPr="00254B75">
        <w:rPr>
          <w:rFonts w:ascii="Traditional Arabic" w:hAnsi="Traditional Arabic" w:cs="Traditional Arabic" w:hint="cs"/>
          <w:sz w:val="32"/>
          <w:szCs w:val="32"/>
          <w:rtl/>
        </w:rPr>
        <w:t>1-9.</w:t>
      </w:r>
    </w:p>
    <w:p w14:paraId="0288E70B" w14:textId="04E4F78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حليبية</w:t>
      </w:r>
      <w:proofErr w:type="spellEnd"/>
      <w:r w:rsidRPr="00254B75">
        <w:rPr>
          <w:rFonts w:ascii="Traditional Arabic" w:hAnsi="Traditional Arabic" w:cs="Traditional Arabic"/>
          <w:sz w:val="32"/>
          <w:szCs w:val="32"/>
          <w:rtl/>
        </w:rPr>
        <w:t>، كندة يحيى. (2020). متطلبات فعالية إجراءات إدارة المخاطر في القطاع المصرفي السوري</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جامعة تشرين للبحوث والدراسات العلمية – سلسلة العلوم الاقتصادية والقانونية، 42</w:t>
      </w:r>
      <w:r w:rsidRPr="00254B75">
        <w:rPr>
          <w:rFonts w:ascii="Traditional Arabic" w:hAnsi="Traditional Arabic" w:cs="Traditional Arabic"/>
          <w:sz w:val="32"/>
          <w:szCs w:val="32"/>
        </w:rPr>
        <w:t>(5)</w:t>
      </w:r>
      <w:r w:rsidRPr="00254B75">
        <w:rPr>
          <w:rFonts w:ascii="Traditional Arabic" w:hAnsi="Traditional Arabic" w:cs="Traditional Arabic"/>
          <w:sz w:val="32"/>
          <w:szCs w:val="32"/>
          <w:rtl/>
        </w:rPr>
        <w:t xml:space="preserve">، </w:t>
      </w:r>
      <w:r w:rsidRPr="00254B75">
        <w:rPr>
          <w:rFonts w:ascii="Traditional Arabic" w:hAnsi="Traditional Arabic" w:cs="Traditional Arabic" w:hint="cs"/>
          <w:sz w:val="32"/>
          <w:szCs w:val="32"/>
          <w:rtl/>
        </w:rPr>
        <w:t>431-447</w:t>
      </w:r>
    </w:p>
    <w:p w14:paraId="5914425F"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حميدي، عيسى. (2020). أثر استخدام التكنولوجيا الحديثة على الهوية الثقافية لدى الطلبة الجامعيين (رسالة ماجستير غير منشورة). جامعة المسيلة، الجزائر</w:t>
      </w:r>
      <w:r w:rsidRPr="00254B75">
        <w:rPr>
          <w:rFonts w:ascii="Traditional Arabic" w:hAnsi="Traditional Arabic" w:cs="Traditional Arabic"/>
          <w:sz w:val="32"/>
          <w:szCs w:val="32"/>
        </w:rPr>
        <w:t>.</w:t>
      </w:r>
    </w:p>
    <w:p w14:paraId="79432B40"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حميمش</w:t>
      </w:r>
      <w:proofErr w:type="spellEnd"/>
      <w:r w:rsidRPr="00254B75">
        <w:rPr>
          <w:rFonts w:ascii="Traditional Arabic" w:hAnsi="Traditional Arabic" w:cs="Traditional Arabic"/>
          <w:sz w:val="32"/>
          <w:szCs w:val="32"/>
          <w:rtl/>
        </w:rPr>
        <w:t>، نرجس. (2017). دور تدقيق أنظمة تكنولوجيا المعلومات في الحد من مخاطر المعاملات المصرفية الإلكترونية (رسالة ماجستير غير منشورة). جامعة أدرار، الجزائر</w:t>
      </w:r>
      <w:r w:rsidRPr="00254B75">
        <w:rPr>
          <w:rFonts w:ascii="Traditional Arabic" w:hAnsi="Traditional Arabic" w:cs="Traditional Arabic"/>
          <w:sz w:val="32"/>
          <w:szCs w:val="32"/>
        </w:rPr>
        <w:t>.</w:t>
      </w:r>
    </w:p>
    <w:p w14:paraId="20DF26F2" w14:textId="237DC90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حواطي، أمال، </w:t>
      </w:r>
      <w:r w:rsidR="009F3FF9" w:rsidRPr="00254B75">
        <w:rPr>
          <w:rFonts w:ascii="Traditional Arabic" w:hAnsi="Traditional Arabic" w:cs="Traditional Arabic" w:hint="cs"/>
          <w:sz w:val="32"/>
          <w:szCs w:val="32"/>
          <w:rtl/>
        </w:rPr>
        <w:t>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بارود، أسامة. (2022). دور تكنولوجيا المعلومات في دعم إدارة المعرفة</w:t>
      </w:r>
      <w:r w:rsidRPr="00254B75">
        <w:rPr>
          <w:rFonts w:ascii="Traditional Arabic" w:hAnsi="Traditional Arabic" w:cs="Traditional Arabic"/>
          <w:sz w:val="32"/>
          <w:szCs w:val="32"/>
        </w:rPr>
        <w:t xml:space="preserve">. </w:t>
      </w:r>
      <w:proofErr w:type="spellStart"/>
      <w:r w:rsidRPr="00254B75">
        <w:rPr>
          <w:rFonts w:ascii="Traditional Arabic" w:hAnsi="Traditional Arabic" w:cs="Traditional Arabic"/>
          <w:i/>
          <w:iCs/>
          <w:sz w:val="32"/>
          <w:szCs w:val="32"/>
          <w:rtl/>
        </w:rPr>
        <w:t>رقمنة</w:t>
      </w:r>
      <w:proofErr w:type="spellEnd"/>
      <w:r w:rsidRPr="00254B75">
        <w:rPr>
          <w:rFonts w:ascii="Traditional Arabic" w:hAnsi="Traditional Arabic" w:cs="Traditional Arabic"/>
          <w:i/>
          <w:iCs/>
          <w:sz w:val="32"/>
          <w:szCs w:val="32"/>
          <w:rtl/>
        </w:rPr>
        <w:t>: مجلة الدراسات الإعلامية والاتصالية، 2</w:t>
      </w:r>
      <w:r w:rsidRPr="00254B75">
        <w:rPr>
          <w:rFonts w:ascii="Traditional Arabic" w:hAnsi="Traditional Arabic" w:cs="Traditional Arabic"/>
          <w:sz w:val="32"/>
          <w:szCs w:val="32"/>
        </w:rPr>
        <w:t>(2)</w:t>
      </w:r>
      <w:r w:rsidRPr="00254B75">
        <w:rPr>
          <w:rFonts w:ascii="Traditional Arabic" w:hAnsi="Traditional Arabic" w:cs="Traditional Arabic"/>
          <w:sz w:val="32"/>
          <w:szCs w:val="32"/>
          <w:rtl/>
        </w:rPr>
        <w:t xml:space="preserve">، </w:t>
      </w:r>
      <w:r w:rsidRPr="00254B75">
        <w:rPr>
          <w:rFonts w:ascii="Traditional Arabic" w:hAnsi="Traditional Arabic" w:cs="Traditional Arabic" w:hint="cs"/>
          <w:sz w:val="32"/>
          <w:szCs w:val="32"/>
          <w:rtl/>
        </w:rPr>
        <w:t>98-110.</w:t>
      </w:r>
    </w:p>
    <w:p w14:paraId="2BE5CC96"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الحياري، إيمان. (2023). استخدامات وتطبيقات الذكاء الاصطناعي في التعليم</w:t>
      </w:r>
      <w:r w:rsidRPr="00254B75">
        <w:rPr>
          <w:rFonts w:ascii="Traditional Arabic" w:hAnsi="Traditional Arabic" w:cs="Traditional Arabic"/>
          <w:sz w:val="32"/>
          <w:szCs w:val="32"/>
        </w:rPr>
        <w:t xml:space="preserve">. </w:t>
      </w:r>
      <w:hyperlink r:id="rId17" w:tgtFrame="_new" w:history="1">
        <w:r w:rsidRPr="00254B75">
          <w:rPr>
            <w:rStyle w:val="Hyperlink"/>
            <w:rFonts w:ascii="Traditional Arabic" w:hAnsi="Traditional Arabic" w:cs="Traditional Arabic"/>
            <w:sz w:val="32"/>
            <w:szCs w:val="32"/>
          </w:rPr>
          <w:t>https://www.mah6at.net/</w:t>
        </w:r>
      </w:hyperlink>
    </w:p>
    <w:p w14:paraId="29E65296"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خليل، نجلاء سيد</w:t>
      </w:r>
      <w:r w:rsidRPr="00254B75">
        <w:rPr>
          <w:rFonts w:ascii="Traditional Arabic" w:hAnsi="Traditional Arabic" w:cs="Traditional Arabic"/>
          <w:sz w:val="32"/>
          <w:szCs w:val="32"/>
        </w:rPr>
        <w:t xml:space="preserve">. (2015). </w:t>
      </w:r>
      <w:r w:rsidRPr="00254B75">
        <w:rPr>
          <w:rFonts w:ascii="Traditional Arabic" w:hAnsi="Traditional Arabic" w:cs="Traditional Arabic"/>
          <w:i/>
          <w:iCs/>
          <w:sz w:val="32"/>
          <w:szCs w:val="32"/>
          <w:rtl/>
        </w:rPr>
        <w:t>مداخل حديثة في إدارة المؤسسات التعليمية</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دار الفجر للنشر والتوزيع</w:t>
      </w:r>
      <w:r w:rsidRPr="00254B75">
        <w:rPr>
          <w:rFonts w:ascii="Traditional Arabic" w:hAnsi="Traditional Arabic" w:cs="Traditional Arabic"/>
          <w:sz w:val="32"/>
          <w:szCs w:val="32"/>
        </w:rPr>
        <w:t>.</w:t>
      </w:r>
    </w:p>
    <w:p w14:paraId="03FB11E6" w14:textId="46645804"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رقطي، بسمة، </w:t>
      </w:r>
      <w:r w:rsidR="009F3FF9" w:rsidRPr="00254B75">
        <w:rPr>
          <w:rFonts w:ascii="Traditional Arabic" w:hAnsi="Traditional Arabic" w:cs="Traditional Arabic" w:hint="cs"/>
          <w:sz w:val="32"/>
          <w:szCs w:val="32"/>
          <w:rtl/>
        </w:rPr>
        <w:t>و</w:t>
      </w:r>
      <w:r w:rsidR="009F3FF9" w:rsidRPr="00254B75">
        <w:rPr>
          <w:rFonts w:ascii="Traditional Arabic" w:hAnsi="Traditional Arabic" w:cs="Traditional Arabic"/>
          <w:sz w:val="32"/>
          <w:szCs w:val="32"/>
          <w:rtl/>
        </w:rPr>
        <w:t>كركار</w:t>
      </w:r>
      <w:r w:rsidRPr="00254B75">
        <w:rPr>
          <w:rFonts w:ascii="Traditional Arabic" w:hAnsi="Traditional Arabic" w:cs="Traditional Arabic"/>
          <w:sz w:val="32"/>
          <w:szCs w:val="32"/>
          <w:rtl/>
        </w:rPr>
        <w:t>، إيمان. (2022). إدارة المخاطر في المؤسسة الصحية الجزائرية (رسالة ماجستير غير منشورة). جامعة 8 ماي 1945، الجزائر</w:t>
      </w:r>
      <w:r w:rsidRPr="00254B75">
        <w:rPr>
          <w:rFonts w:ascii="Traditional Arabic" w:hAnsi="Traditional Arabic" w:cs="Traditional Arabic"/>
          <w:sz w:val="32"/>
          <w:szCs w:val="32"/>
        </w:rPr>
        <w:t>.</w:t>
      </w:r>
    </w:p>
    <w:p w14:paraId="51EA4A05"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السبيعي، عبد العزيز بدر سعود. (2019). أثر ممارسات إدارة المخاطر الاستراتيجية على نجاح التطوير التنظيمي (رسالة ماجستير غير منشورة). جامعة آل البيت، الأردن</w:t>
      </w:r>
      <w:r w:rsidRPr="00254B75">
        <w:rPr>
          <w:rFonts w:ascii="Traditional Arabic" w:hAnsi="Traditional Arabic" w:cs="Traditional Arabic"/>
          <w:sz w:val="32"/>
          <w:szCs w:val="32"/>
        </w:rPr>
        <w:t>.</w:t>
      </w:r>
    </w:p>
    <w:p w14:paraId="242674C4"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سليمان، إبراهيم عوض. (2021). الدور الوسيط للهيكل التقليدي في العلاقة بين التوجه الاستراتيجي والأداء المؤسسي (أطروحة دكتوراه غير منشورة). جامعة النيلين، السودان</w:t>
      </w:r>
      <w:r w:rsidRPr="00254B75">
        <w:rPr>
          <w:rFonts w:ascii="Traditional Arabic" w:hAnsi="Traditional Arabic" w:cs="Traditional Arabic"/>
          <w:sz w:val="32"/>
          <w:szCs w:val="32"/>
        </w:rPr>
        <w:t>.</w:t>
      </w:r>
    </w:p>
    <w:p w14:paraId="725A3999" w14:textId="5B27290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lastRenderedPageBreak/>
        <w:t>السياري</w:t>
      </w:r>
      <w:proofErr w:type="spellEnd"/>
      <w:r w:rsidRPr="00254B75">
        <w:rPr>
          <w:rFonts w:ascii="Traditional Arabic" w:hAnsi="Traditional Arabic" w:cs="Traditional Arabic"/>
          <w:sz w:val="32"/>
          <w:szCs w:val="32"/>
          <w:rtl/>
        </w:rPr>
        <w:t>، نورة. (2024). إدارة المخاطر في المدارس الثانوية بالمملكة العربية السعودية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البحث العلمي في التربية، 25</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1</w:t>
      </w:r>
      <w:r w:rsidRPr="00254B75">
        <w:rPr>
          <w:rFonts w:ascii="Traditional Arabic" w:hAnsi="Traditional Arabic" w:cs="Traditional Arabic"/>
          <w:sz w:val="32"/>
          <w:szCs w:val="32"/>
        </w:rPr>
        <w:t>–</w:t>
      </w:r>
      <w:r w:rsidR="009F3FF9" w:rsidRPr="00254B75">
        <w:rPr>
          <w:rFonts w:ascii="Traditional Arabic" w:hAnsi="Traditional Arabic" w:cs="Traditional Arabic" w:hint="cs"/>
          <w:sz w:val="32"/>
          <w:szCs w:val="32"/>
          <w:rtl/>
        </w:rPr>
        <w:t>31.</w:t>
      </w:r>
    </w:p>
    <w:p w14:paraId="0A609DD8" w14:textId="1806E52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صحراوي، مروة،</w:t>
      </w:r>
      <w:r w:rsidR="009F3FF9"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tl/>
        </w:rPr>
        <w:t>مسعودي، زينب. (2023). دور القيادة التحويلية في إحداث التطوير التنظيمي</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المجتمع والرياضة، 6</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1</w:t>
      </w:r>
      <w:r w:rsidR="009F3FF9" w:rsidRPr="00254B75">
        <w:rPr>
          <w:rFonts w:ascii="Traditional Arabic" w:hAnsi="Traditional Arabic" w:cs="Traditional Arabic" w:hint="cs"/>
          <w:sz w:val="32"/>
          <w:szCs w:val="32"/>
          <w:rtl/>
        </w:rPr>
        <w:t>-26.</w:t>
      </w:r>
    </w:p>
    <w:p w14:paraId="35F61FD4" w14:textId="77777777" w:rsidR="001D37F8"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proofErr w:type="spellStart"/>
      <w:r w:rsidRPr="00254B75">
        <w:rPr>
          <w:rFonts w:ascii="Traditional Arabic" w:hAnsi="Traditional Arabic" w:cs="Traditional Arabic"/>
          <w:sz w:val="32"/>
          <w:szCs w:val="32"/>
          <w:rtl/>
        </w:rPr>
        <w:t>طنوسي</w:t>
      </w:r>
      <w:proofErr w:type="spellEnd"/>
      <w:r w:rsidRPr="00254B75">
        <w:rPr>
          <w:rFonts w:ascii="Traditional Arabic" w:hAnsi="Traditional Arabic" w:cs="Traditional Arabic"/>
          <w:sz w:val="32"/>
          <w:szCs w:val="32"/>
          <w:rtl/>
        </w:rPr>
        <w:t>، نور الهدى. (2022). دور تكنولوجيا المعلومات والاتصال في التطوير التنظيمي (رسالة ماجستير غير منشورة). جامعة أم البواقي، الجزائر</w:t>
      </w:r>
      <w:r w:rsidRPr="00254B75">
        <w:rPr>
          <w:rFonts w:ascii="Traditional Arabic" w:hAnsi="Traditional Arabic" w:cs="Traditional Arabic"/>
          <w:sz w:val="32"/>
          <w:szCs w:val="32"/>
        </w:rPr>
        <w:t>.</w:t>
      </w:r>
    </w:p>
    <w:p w14:paraId="46B554C7" w14:textId="0B2217C2" w:rsidR="00C671F5" w:rsidRPr="00254B75" w:rsidRDefault="00C671F5" w:rsidP="00254B75">
      <w:pPr>
        <w:pStyle w:val="a6"/>
        <w:numPr>
          <w:ilvl w:val="0"/>
          <w:numId w:val="113"/>
        </w:numPr>
        <w:bidi/>
        <w:spacing w:after="120" w:line="240" w:lineRule="auto"/>
        <w:ind w:left="360"/>
        <w:jc w:val="both"/>
        <w:rPr>
          <w:rStyle w:val="Hyperlink"/>
          <w:rFonts w:ascii="Traditional Arabic" w:hAnsi="Traditional Arabic" w:cs="Traditional Arabic"/>
          <w:color w:val="auto"/>
          <w:sz w:val="32"/>
          <w:szCs w:val="32"/>
          <w:u w:val="none"/>
        </w:rPr>
      </w:pPr>
      <w:r w:rsidRPr="00254B75">
        <w:rPr>
          <w:rFonts w:ascii="Traditional Arabic" w:hAnsi="Traditional Arabic" w:cs="Traditional Arabic"/>
          <w:sz w:val="32"/>
          <w:szCs w:val="32"/>
          <w:rtl/>
        </w:rPr>
        <w:t>عبد الجواد، هيثم عبد العال. (2025). أثر التحول الرقمي على حقوق المواطنين في مواجهة الإدارة العامة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البحوث الفقهية والقانونية،</w:t>
      </w:r>
      <w:r w:rsidR="009F3FF9" w:rsidRPr="00254B75">
        <w:rPr>
          <w:rFonts w:ascii="Traditional Arabic" w:hAnsi="Traditional Arabic" w:cs="Traditional Arabic" w:hint="cs"/>
          <w:sz w:val="32"/>
          <w:szCs w:val="32"/>
          <w:rtl/>
        </w:rPr>
        <w:t xml:space="preserve"> 50(50)،4977،</w:t>
      </w:r>
      <w:r w:rsidRPr="00254B75">
        <w:rPr>
          <w:rFonts w:ascii="Traditional Arabic" w:hAnsi="Traditional Arabic" w:cs="Traditional Arabic"/>
          <w:sz w:val="32"/>
          <w:szCs w:val="32"/>
          <w:rtl/>
        </w:rPr>
        <w:t xml:space="preserve"> </w:t>
      </w:r>
      <w:r w:rsidR="009F3FF9" w:rsidRPr="00254B75">
        <w:rPr>
          <w:rFonts w:ascii="Traditional Arabic" w:hAnsi="Traditional Arabic" w:cs="Traditional Arabic" w:hint="cs"/>
          <w:sz w:val="32"/>
          <w:szCs w:val="32"/>
          <w:rtl/>
        </w:rPr>
        <w:t>5071.</w:t>
      </w:r>
      <w:r w:rsidR="001D37F8" w:rsidRPr="00254B75">
        <w:rPr>
          <w:rFonts w:ascii="Traditional Arabic" w:hAnsi="Traditional Arabic" w:cs="Traditional Arabic" w:hint="cs"/>
          <w:sz w:val="32"/>
          <w:szCs w:val="32"/>
          <w:rtl/>
        </w:rPr>
        <w:t xml:space="preserve"> </w:t>
      </w:r>
      <w:r w:rsidR="001D37F8" w:rsidRPr="00254B75">
        <w:rPr>
          <w:rStyle w:val="Hyperlink"/>
          <w:rFonts w:ascii="Traditional Arabic" w:hAnsi="Traditional Arabic" w:cs="Traditional Arabic"/>
          <w:sz w:val="32"/>
          <w:szCs w:val="32"/>
        </w:rPr>
        <w:t>DOI:</w:t>
      </w:r>
      <w:hyperlink r:id="rId18" w:tgtFrame="_blank" w:history="1">
        <w:r w:rsidR="001D37F8" w:rsidRPr="00254B75">
          <w:rPr>
            <w:rStyle w:val="Hyperlink"/>
            <w:rFonts w:ascii="Traditional Arabic" w:hAnsi="Traditional Arabic" w:cs="Traditional Arabic"/>
            <w:sz w:val="32"/>
            <w:szCs w:val="32"/>
          </w:rPr>
          <w:t>10.21608/jlr.2025.397416.1774</w:t>
        </w:r>
      </w:hyperlink>
    </w:p>
    <w:p w14:paraId="35822E09" w14:textId="65DD509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عبد العاطي، عادل السيد. (2022). مداخل التطوير التنظيمي للإدارة المدرسية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البحث في التربية وعلم النفس، 37</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653</w:t>
      </w:r>
      <w:r w:rsidR="009F3FF9" w:rsidRPr="00254B75">
        <w:rPr>
          <w:rFonts w:ascii="Traditional Arabic" w:hAnsi="Traditional Arabic" w:cs="Traditional Arabic" w:hint="cs"/>
          <w:sz w:val="32"/>
          <w:szCs w:val="32"/>
          <w:rtl/>
        </w:rPr>
        <w:t>- 674.</w:t>
      </w:r>
    </w:p>
    <w:p w14:paraId="5E2CDDA5" w14:textId="60F843C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عبد القادر، عادل،</w:t>
      </w:r>
      <w:r w:rsidR="009F3FF9"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أبو النصر، مدحت. (2019). بناء مقياس لإدارة المخاطر المؤسسية في المستشفيات المصرية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الدراسات المالية والتجارية، 50</w:t>
      </w:r>
      <w:r w:rsidRPr="00254B75">
        <w:rPr>
          <w:rFonts w:ascii="Traditional Arabic" w:hAnsi="Traditional Arabic" w:cs="Traditional Arabic"/>
          <w:sz w:val="32"/>
          <w:szCs w:val="32"/>
        </w:rPr>
        <w:t>(1)</w:t>
      </w:r>
      <w:r w:rsidRPr="00254B75">
        <w:rPr>
          <w:rFonts w:ascii="Traditional Arabic" w:hAnsi="Traditional Arabic" w:cs="Traditional Arabic"/>
          <w:sz w:val="32"/>
          <w:szCs w:val="32"/>
          <w:rtl/>
        </w:rPr>
        <w:t xml:space="preserve">، </w:t>
      </w:r>
      <w:r w:rsidR="009F3FF9" w:rsidRPr="00254B75">
        <w:rPr>
          <w:rFonts w:ascii="Traditional Arabic" w:hAnsi="Traditional Arabic" w:cs="Traditional Arabic" w:hint="cs"/>
          <w:sz w:val="32"/>
          <w:szCs w:val="32"/>
          <w:rtl/>
        </w:rPr>
        <w:t>550-588.</w:t>
      </w:r>
    </w:p>
    <w:p w14:paraId="7A3FDCA1" w14:textId="7A1775DC"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عبد الهادي، أسماء،</w:t>
      </w:r>
      <w:r w:rsidR="009F3FF9" w:rsidRPr="00254B75">
        <w:rPr>
          <w:rFonts w:ascii="Traditional Arabic" w:hAnsi="Traditional Arabic" w:cs="Traditional Arabic" w:hint="cs"/>
          <w:sz w:val="32"/>
          <w:szCs w:val="32"/>
          <w:rtl/>
        </w:rPr>
        <w:t xml:space="preserve"> و</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قادري، محمد. (2022). دور التقنيات الذكية في إدارة المخاطر الصحية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الإدارة والاقتصاد الصحي، 15</w:t>
      </w:r>
      <w:r w:rsidRPr="00254B75">
        <w:rPr>
          <w:rFonts w:ascii="Traditional Arabic" w:hAnsi="Traditional Arabic" w:cs="Traditional Arabic"/>
          <w:sz w:val="32"/>
          <w:szCs w:val="32"/>
        </w:rPr>
        <w:t>(3)</w:t>
      </w:r>
      <w:r w:rsidRPr="00254B75">
        <w:rPr>
          <w:rFonts w:ascii="Traditional Arabic" w:hAnsi="Traditional Arabic" w:cs="Traditional Arabic"/>
          <w:sz w:val="32"/>
          <w:szCs w:val="32"/>
          <w:rtl/>
        </w:rPr>
        <w:t xml:space="preserve">، </w:t>
      </w:r>
      <w:r w:rsidR="001D37F8" w:rsidRPr="00254B75">
        <w:rPr>
          <w:rFonts w:ascii="Traditional Arabic" w:hAnsi="Traditional Arabic" w:cs="Traditional Arabic" w:hint="cs"/>
          <w:sz w:val="32"/>
          <w:szCs w:val="32"/>
          <w:rtl/>
        </w:rPr>
        <w:t>45-67.</w:t>
      </w:r>
    </w:p>
    <w:p w14:paraId="65C69BAA" w14:textId="25B33C78" w:rsidR="001D37F8"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مركز إدارة المخاطر</w:t>
      </w:r>
      <w:r w:rsidRPr="00254B75">
        <w:rPr>
          <w:rFonts w:ascii="Traditional Arabic" w:hAnsi="Traditional Arabic" w:cs="Traditional Arabic"/>
          <w:sz w:val="32"/>
          <w:szCs w:val="32"/>
        </w:rPr>
        <w:t xml:space="preserve">. (2024). </w:t>
      </w:r>
      <w:r w:rsidRPr="00254B75">
        <w:rPr>
          <w:rFonts w:ascii="Traditional Arabic" w:hAnsi="Traditional Arabic" w:cs="Traditional Arabic"/>
          <w:i/>
          <w:iCs/>
          <w:sz w:val="32"/>
          <w:szCs w:val="32"/>
          <w:rtl/>
        </w:rPr>
        <w:t>دليل التعامل مع المخاطر</w:t>
      </w:r>
      <w:r w:rsidRPr="00254B75">
        <w:rPr>
          <w:rFonts w:ascii="Traditional Arabic" w:hAnsi="Traditional Arabic" w:cs="Traditional Arabic"/>
          <w:sz w:val="32"/>
          <w:szCs w:val="32"/>
        </w:rPr>
        <w:t xml:space="preserve">. </w:t>
      </w:r>
      <w:r w:rsidRPr="00254B75">
        <w:rPr>
          <w:rFonts w:ascii="Traditional Arabic" w:hAnsi="Traditional Arabic" w:cs="Traditional Arabic"/>
          <w:sz w:val="32"/>
          <w:szCs w:val="32"/>
          <w:rtl/>
        </w:rPr>
        <w:t>الجامعة الهاشمية</w:t>
      </w:r>
      <w:r w:rsidRPr="00254B75">
        <w:rPr>
          <w:rFonts w:ascii="Traditional Arabic" w:hAnsi="Traditional Arabic" w:cs="Traditional Arabic"/>
          <w:sz w:val="32"/>
          <w:szCs w:val="32"/>
        </w:rPr>
        <w:t>.</w:t>
      </w:r>
      <w:r w:rsidR="001D37F8" w:rsidRPr="00254B75">
        <w:rPr>
          <w:sz w:val="32"/>
          <w:szCs w:val="32"/>
        </w:rPr>
        <w:t xml:space="preserve"> </w:t>
      </w:r>
      <w:hyperlink r:id="rId19" w:history="1">
        <w:r w:rsidR="001D37F8" w:rsidRPr="00254B75">
          <w:rPr>
            <w:rStyle w:val="Hyperlink"/>
            <w:rFonts w:ascii="Traditional Arabic" w:hAnsi="Traditional Arabic" w:cs="Traditional Arabic"/>
            <w:sz w:val="32"/>
            <w:szCs w:val="32"/>
          </w:rPr>
          <w:t>https://hu.edu.jo/Risk_management.pdf</w:t>
        </w:r>
      </w:hyperlink>
    </w:p>
    <w:p w14:paraId="3CA3BA20" w14:textId="7DD8B4B2" w:rsidR="00C671F5" w:rsidRPr="00254B75" w:rsidRDefault="00C671F5" w:rsidP="00254B75">
      <w:pPr>
        <w:pStyle w:val="a6"/>
        <w:numPr>
          <w:ilvl w:val="0"/>
          <w:numId w:val="113"/>
        </w:numPr>
        <w:bidi/>
        <w:spacing w:after="120" w:line="240" w:lineRule="auto"/>
        <w:ind w:left="360"/>
        <w:jc w:val="both"/>
        <w:rPr>
          <w:rStyle w:val="Hyperlink"/>
          <w:rFonts w:ascii="Traditional Arabic" w:hAnsi="Traditional Arabic" w:cs="Traditional Arabic"/>
          <w:color w:val="auto"/>
          <w:sz w:val="32"/>
          <w:szCs w:val="32"/>
          <w:u w:val="none"/>
          <w:rtl/>
        </w:rPr>
      </w:pPr>
      <w:r w:rsidRPr="00254B75">
        <w:rPr>
          <w:rFonts w:ascii="Traditional Arabic" w:hAnsi="Traditional Arabic" w:cs="Traditional Arabic"/>
          <w:sz w:val="32"/>
          <w:szCs w:val="32"/>
          <w:rtl/>
        </w:rPr>
        <w:t>منظمة الصحة العالمية – المكتب الإقليمي لشرق المتوسط</w:t>
      </w:r>
      <w:r w:rsidRPr="00254B75">
        <w:rPr>
          <w:rFonts w:ascii="Traditional Arabic" w:hAnsi="Traditional Arabic" w:cs="Traditional Arabic"/>
          <w:sz w:val="32"/>
          <w:szCs w:val="32"/>
        </w:rPr>
        <w:t xml:space="preserve">. (2024). </w:t>
      </w:r>
      <w:r w:rsidRPr="00254B75">
        <w:rPr>
          <w:rFonts w:ascii="Traditional Arabic" w:hAnsi="Traditional Arabic" w:cs="Traditional Arabic"/>
          <w:sz w:val="32"/>
          <w:szCs w:val="32"/>
          <w:rtl/>
        </w:rPr>
        <w:t>التحول الرقمي في النظم الصحية ومبادرات</w:t>
      </w:r>
      <w:r w:rsidRPr="00254B75">
        <w:rPr>
          <w:rFonts w:ascii="Traditional Arabic" w:hAnsi="Traditional Arabic" w:cs="Traditional Arabic"/>
          <w:i/>
          <w:iCs/>
          <w:sz w:val="32"/>
          <w:szCs w:val="32"/>
          <w:rtl/>
        </w:rPr>
        <w:t xml:space="preserve"> الصحة الرقمية</w:t>
      </w:r>
      <w:r w:rsidRPr="00254B75">
        <w:rPr>
          <w:rFonts w:ascii="Traditional Arabic" w:hAnsi="Traditional Arabic" w:cs="Traditional Arabic" w:hint="cs"/>
          <w:sz w:val="32"/>
          <w:szCs w:val="32"/>
          <w:rtl/>
        </w:rPr>
        <w:t xml:space="preserve"> </w:t>
      </w:r>
      <w:r w:rsidRPr="00254B75">
        <w:rPr>
          <w:rFonts w:ascii="Traditional Arabic" w:hAnsi="Traditional Arabic" w:cs="Traditional Arabic"/>
          <w:sz w:val="32"/>
          <w:szCs w:val="32"/>
        </w:rPr>
        <w:t>.</w:t>
      </w:r>
      <w:r w:rsidRPr="00254B75">
        <w:rPr>
          <w:rStyle w:val="Hyperlink"/>
          <w:sz w:val="32"/>
          <w:szCs w:val="32"/>
        </w:rPr>
        <w:t xml:space="preserve"> </w:t>
      </w:r>
      <w:hyperlink r:id="rId20" w:tgtFrame="_new" w:history="1">
        <w:r w:rsidRPr="00254B75">
          <w:rPr>
            <w:rStyle w:val="Hyperlink"/>
            <w:rFonts w:ascii="Traditional Arabic" w:hAnsi="Traditional Arabic" w:cs="Traditional Arabic"/>
            <w:sz w:val="32"/>
            <w:szCs w:val="32"/>
          </w:rPr>
          <w:t>https://www.emro.who.int</w:t>
        </w:r>
      </w:hyperlink>
    </w:p>
    <w:p w14:paraId="70282B2C"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المهدي، ناصر. (2013). الأهمية الاقتصادية لأساليب إدارة الخطر في المؤسسة</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الاقتصاد الجديد،</w:t>
      </w:r>
      <w:r w:rsidRPr="00254B75">
        <w:rPr>
          <w:rFonts w:ascii="Traditional Arabic" w:hAnsi="Traditional Arabic" w:cs="Traditional Arabic"/>
          <w:sz w:val="32"/>
          <w:szCs w:val="32"/>
          <w:rtl/>
        </w:rPr>
        <w:t xml:space="preserve"> </w:t>
      </w:r>
      <w:r w:rsidRPr="00254B75">
        <w:rPr>
          <w:rFonts w:ascii="Traditional Arabic" w:hAnsi="Traditional Arabic" w:cs="Traditional Arabic"/>
          <w:sz w:val="32"/>
          <w:szCs w:val="32"/>
        </w:rPr>
        <w:t>(8)</w:t>
      </w:r>
      <w:r w:rsidRPr="00254B75">
        <w:rPr>
          <w:rFonts w:ascii="Traditional Arabic" w:hAnsi="Traditional Arabic" w:cs="Traditional Arabic"/>
          <w:sz w:val="32"/>
          <w:szCs w:val="32"/>
          <w:rtl/>
        </w:rPr>
        <w:t>، 89</w:t>
      </w:r>
      <w:r w:rsidRPr="00254B75">
        <w:rPr>
          <w:rFonts w:ascii="Traditional Arabic" w:hAnsi="Traditional Arabic" w:cs="Traditional Arabic"/>
          <w:sz w:val="32"/>
          <w:szCs w:val="32"/>
        </w:rPr>
        <w:t>–104.</w:t>
      </w:r>
    </w:p>
    <w:p w14:paraId="500D371C" w14:textId="51CF25BD"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 xml:space="preserve">نصر الله، خالد، </w:t>
      </w:r>
      <w:r w:rsidRPr="00254B75">
        <w:rPr>
          <w:rFonts w:ascii="Traditional Arabic" w:hAnsi="Traditional Arabic" w:cs="Traditional Arabic"/>
          <w:sz w:val="32"/>
          <w:szCs w:val="32"/>
        </w:rPr>
        <w:t xml:space="preserve">&amp; </w:t>
      </w:r>
      <w:r w:rsidRPr="00254B75">
        <w:rPr>
          <w:rFonts w:ascii="Traditional Arabic" w:hAnsi="Traditional Arabic" w:cs="Traditional Arabic"/>
          <w:sz w:val="32"/>
          <w:szCs w:val="32"/>
          <w:rtl/>
        </w:rPr>
        <w:t>عباس، أمل. (2020). فاعلية إدارة المخاطر في المنظمات الصحية: مقياس مقترح</w:t>
      </w:r>
      <w:r w:rsidRPr="00254B75">
        <w:rPr>
          <w:rFonts w:ascii="Traditional Arabic" w:hAnsi="Traditional Arabic" w:cs="Traditional Arabic"/>
          <w:sz w:val="32"/>
          <w:szCs w:val="32"/>
        </w:rPr>
        <w:t xml:space="preserve">. </w:t>
      </w:r>
      <w:r w:rsidRPr="00254B75">
        <w:rPr>
          <w:rFonts w:ascii="Traditional Arabic" w:hAnsi="Traditional Arabic" w:cs="Traditional Arabic"/>
          <w:i/>
          <w:iCs/>
          <w:sz w:val="32"/>
          <w:szCs w:val="32"/>
          <w:rtl/>
        </w:rPr>
        <w:t>مجلة العلوم الإدارية والمالية، 15</w:t>
      </w:r>
      <w:r w:rsidRPr="00254B75">
        <w:rPr>
          <w:rFonts w:ascii="Traditional Arabic" w:hAnsi="Traditional Arabic" w:cs="Traditional Arabic"/>
          <w:sz w:val="32"/>
          <w:szCs w:val="32"/>
        </w:rPr>
        <w:t>(2)</w:t>
      </w:r>
      <w:r w:rsidRPr="00254B75">
        <w:rPr>
          <w:rFonts w:ascii="Traditional Arabic" w:hAnsi="Traditional Arabic" w:cs="Traditional Arabic"/>
          <w:sz w:val="32"/>
          <w:szCs w:val="32"/>
          <w:rtl/>
        </w:rPr>
        <w:t xml:space="preserve">، </w:t>
      </w:r>
      <w:r w:rsidR="001D37F8" w:rsidRPr="00254B75">
        <w:rPr>
          <w:rFonts w:ascii="Traditional Arabic" w:hAnsi="Traditional Arabic" w:cs="Traditional Arabic" w:hint="cs"/>
          <w:sz w:val="32"/>
          <w:szCs w:val="32"/>
          <w:rtl/>
        </w:rPr>
        <w:t>189-215.</w:t>
      </w:r>
    </w:p>
    <w:p w14:paraId="7414A57F" w14:textId="19BF7E95" w:rsidR="001D37F8"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هيئة الوقاية والسلامة – حكومة الشارقة</w:t>
      </w:r>
      <w:r w:rsidRPr="00254B75">
        <w:rPr>
          <w:rFonts w:ascii="Traditional Arabic" w:hAnsi="Traditional Arabic" w:cs="Traditional Arabic"/>
          <w:sz w:val="32"/>
          <w:szCs w:val="32"/>
        </w:rPr>
        <w:t xml:space="preserve">. (2021). </w:t>
      </w:r>
      <w:r w:rsidRPr="00254B75">
        <w:rPr>
          <w:rFonts w:ascii="Traditional Arabic" w:hAnsi="Traditional Arabic" w:cs="Traditional Arabic"/>
          <w:i/>
          <w:iCs/>
          <w:sz w:val="32"/>
          <w:szCs w:val="32"/>
          <w:rtl/>
        </w:rPr>
        <w:t>نظام الشارقة للسلامة والصحة المهنية: دليل الممارسة المهنية – إدارة المخاطر والتحكم فيها</w:t>
      </w:r>
      <w:r w:rsidRPr="00254B75">
        <w:rPr>
          <w:rFonts w:ascii="Traditional Arabic" w:hAnsi="Traditional Arabic" w:cs="Traditional Arabic"/>
          <w:sz w:val="32"/>
          <w:szCs w:val="32"/>
        </w:rPr>
        <w:t>.</w:t>
      </w:r>
      <w:r w:rsidR="001D37F8" w:rsidRPr="00254B75">
        <w:rPr>
          <w:sz w:val="32"/>
          <w:szCs w:val="32"/>
        </w:rPr>
        <w:t xml:space="preserve"> </w:t>
      </w:r>
      <w:hyperlink r:id="rId21" w:history="1">
        <w:r w:rsidR="001D37F8" w:rsidRPr="00254B75">
          <w:rPr>
            <w:rStyle w:val="Hyperlink"/>
            <w:rFonts w:ascii="Traditional Arabic" w:hAnsi="Traditional Arabic" w:cs="Traditional Arabic"/>
            <w:sz w:val="32"/>
            <w:szCs w:val="32"/>
          </w:rPr>
          <w:t>https://mc.spsa.shj.ae</w:t>
        </w:r>
      </w:hyperlink>
    </w:p>
    <w:p w14:paraId="2082A76A" w14:textId="77777777" w:rsidR="00C671F5" w:rsidRPr="00254B75" w:rsidRDefault="00C671F5" w:rsidP="00254B75">
      <w:pPr>
        <w:pStyle w:val="a6"/>
        <w:numPr>
          <w:ilvl w:val="0"/>
          <w:numId w:val="113"/>
        </w:numPr>
        <w:bidi/>
        <w:spacing w:after="120" w:line="240" w:lineRule="auto"/>
        <w:ind w:left="360"/>
        <w:jc w:val="both"/>
        <w:rPr>
          <w:rFonts w:ascii="Traditional Arabic" w:hAnsi="Traditional Arabic" w:cs="Traditional Arabic"/>
          <w:sz w:val="32"/>
          <w:szCs w:val="32"/>
        </w:rPr>
      </w:pPr>
      <w:r w:rsidRPr="00254B75">
        <w:rPr>
          <w:rFonts w:ascii="Traditional Arabic" w:hAnsi="Traditional Arabic" w:cs="Traditional Arabic"/>
          <w:sz w:val="32"/>
          <w:szCs w:val="32"/>
          <w:rtl/>
        </w:rPr>
        <w:t>وزارة الصحة السعودية</w:t>
      </w:r>
      <w:r w:rsidRPr="00254B75">
        <w:rPr>
          <w:rFonts w:ascii="Traditional Arabic" w:hAnsi="Traditional Arabic" w:cs="Traditional Arabic"/>
          <w:sz w:val="32"/>
          <w:szCs w:val="32"/>
        </w:rPr>
        <w:t xml:space="preserve">. (2023). </w:t>
      </w:r>
      <w:r w:rsidRPr="00254B75">
        <w:rPr>
          <w:rFonts w:ascii="Traditional Arabic" w:hAnsi="Traditional Arabic" w:cs="Traditional Arabic"/>
          <w:i/>
          <w:iCs/>
          <w:sz w:val="32"/>
          <w:szCs w:val="32"/>
          <w:rtl/>
        </w:rPr>
        <w:t>الكتاب الإحصائي السنوي للقطاع الصحي 2022</w:t>
      </w:r>
      <w:r w:rsidRPr="00254B75">
        <w:rPr>
          <w:rFonts w:ascii="Traditional Arabic" w:hAnsi="Traditional Arabic" w:cs="Traditional Arabic"/>
          <w:sz w:val="32"/>
          <w:szCs w:val="32"/>
        </w:rPr>
        <w:t xml:space="preserve">. </w:t>
      </w:r>
      <w:hyperlink r:id="rId22" w:tgtFrame="_new" w:history="1">
        <w:r w:rsidRPr="00254B75">
          <w:rPr>
            <w:rStyle w:val="Hyperlink"/>
            <w:rFonts w:ascii="Traditional Arabic" w:hAnsi="Traditional Arabic" w:cs="Traditional Arabic"/>
            <w:sz w:val="32"/>
            <w:szCs w:val="32"/>
          </w:rPr>
          <w:t>https://www.moh.gov.sa/Ministry/Statistics/book/Documents/Statistical-Yearbook-2022.pdf</w:t>
        </w:r>
      </w:hyperlink>
    </w:p>
    <w:p w14:paraId="33ABE3A8" w14:textId="7F3E985C" w:rsidR="0090435B" w:rsidRPr="001C5D93" w:rsidRDefault="0090435B" w:rsidP="005B684E">
      <w:pPr>
        <w:pStyle w:val="a6"/>
        <w:bidi/>
        <w:spacing w:after="120" w:line="240" w:lineRule="auto"/>
        <w:ind w:left="0"/>
        <w:jc w:val="both"/>
        <w:rPr>
          <w:rFonts w:ascii="Traditional Arabic" w:hAnsi="Traditional Arabic" w:cs="Traditional Arabic"/>
          <w:bCs/>
          <w:sz w:val="32"/>
          <w:szCs w:val="32"/>
          <w:rtl/>
        </w:rPr>
      </w:pPr>
      <w:r w:rsidRPr="001C5D93">
        <w:rPr>
          <w:rFonts w:ascii="Traditional Arabic" w:hAnsi="Traditional Arabic" w:cs="Traditional Arabic" w:hint="cs"/>
          <w:bCs/>
          <w:sz w:val="32"/>
          <w:szCs w:val="32"/>
          <w:rtl/>
        </w:rPr>
        <w:lastRenderedPageBreak/>
        <w:t xml:space="preserve">ثانيًا: المراجع الأجنبية </w:t>
      </w:r>
    </w:p>
    <w:p w14:paraId="06E69C41"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Abd Elaal, H., Sobhy, K., &amp; Bakr, M. (2023). Utilization of artificial intelligence in health care: Nurses’ perspectives and attitudes. </w:t>
      </w:r>
      <w:r w:rsidRPr="001C5D93">
        <w:rPr>
          <w:rFonts w:asciiTheme="majorHAnsi" w:hAnsiTheme="majorHAnsi" w:cstheme="majorHAnsi"/>
          <w:bCs/>
          <w:i/>
          <w:iCs/>
          <w:sz w:val="32"/>
          <w:szCs w:val="32"/>
        </w:rPr>
        <w:t>Menoufia Nursing Journal, 8</w:t>
      </w:r>
      <w:r w:rsidRPr="001C5D93">
        <w:rPr>
          <w:rFonts w:asciiTheme="majorHAnsi" w:hAnsiTheme="majorHAnsi" w:cstheme="majorHAnsi"/>
          <w:bCs/>
          <w:sz w:val="32"/>
          <w:szCs w:val="32"/>
        </w:rPr>
        <w:t>(1), 253–268.</w:t>
      </w:r>
    </w:p>
    <w:p w14:paraId="580527F4"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Abdel-Latif, M. M. (2016). Knowledge of healthcare professionals about medication errors in hospitals. </w:t>
      </w:r>
      <w:r w:rsidRPr="001C5D93">
        <w:rPr>
          <w:rFonts w:asciiTheme="majorHAnsi" w:hAnsiTheme="majorHAnsi" w:cstheme="majorHAnsi"/>
          <w:bCs/>
          <w:i/>
          <w:iCs/>
          <w:sz w:val="32"/>
          <w:szCs w:val="32"/>
        </w:rPr>
        <w:t>Journal of Basic and Clinical Pharmacy, 7</w:t>
      </w:r>
      <w:r w:rsidRPr="001C5D93">
        <w:rPr>
          <w:rFonts w:asciiTheme="majorHAnsi" w:hAnsiTheme="majorHAnsi" w:cstheme="majorHAnsi"/>
          <w:bCs/>
          <w:sz w:val="32"/>
          <w:szCs w:val="32"/>
        </w:rPr>
        <w:t xml:space="preserve">(3), 87–92. </w:t>
      </w:r>
      <w:hyperlink r:id="rId23" w:history="1">
        <w:r w:rsidRPr="001C5D93">
          <w:rPr>
            <w:rStyle w:val="Hyperlink"/>
            <w:rFonts w:asciiTheme="majorHAnsi" w:hAnsiTheme="majorHAnsi" w:cstheme="majorHAnsi"/>
            <w:bCs/>
            <w:sz w:val="32"/>
            <w:szCs w:val="32"/>
          </w:rPr>
          <w:t>https://doi.org/10.4103/0976-0105.183265</w:t>
        </w:r>
      </w:hyperlink>
    </w:p>
    <w:p w14:paraId="58DAA5C6"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Abdellatif, M., Farhan, M. S., &amp; Shehata, N. S. (2018). Overcoming business process reengineering obstacles using ontology-based knowledge map methodology. </w:t>
      </w:r>
      <w:r w:rsidRPr="001C5D93">
        <w:rPr>
          <w:rFonts w:asciiTheme="majorHAnsi" w:hAnsiTheme="majorHAnsi" w:cstheme="majorHAnsi"/>
          <w:bCs/>
          <w:i/>
          <w:iCs/>
          <w:sz w:val="32"/>
          <w:szCs w:val="32"/>
        </w:rPr>
        <w:t>Future Computing and Informatics Journal, 3</w:t>
      </w:r>
      <w:r w:rsidRPr="001C5D93">
        <w:rPr>
          <w:rFonts w:asciiTheme="majorHAnsi" w:hAnsiTheme="majorHAnsi" w:cstheme="majorHAnsi"/>
          <w:bCs/>
          <w:sz w:val="32"/>
          <w:szCs w:val="32"/>
        </w:rPr>
        <w:t xml:space="preserve">(1), 7–28. </w:t>
      </w:r>
      <w:hyperlink r:id="rId24" w:history="1">
        <w:r w:rsidRPr="001C5D93">
          <w:rPr>
            <w:rStyle w:val="Hyperlink"/>
            <w:rFonts w:asciiTheme="majorHAnsi" w:hAnsiTheme="majorHAnsi" w:cstheme="majorHAnsi"/>
            <w:bCs/>
            <w:sz w:val="32"/>
            <w:szCs w:val="32"/>
          </w:rPr>
          <w:t>https://doi.org/10.1016/j.fcij.2017.11.001</w:t>
        </w:r>
      </w:hyperlink>
    </w:p>
    <w:p w14:paraId="57169543"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Aboramadan, M., &amp; Dahleez, K. A. (2020). Leadership styles and employees’ work outcomes in nonprofit organizations: The role of work engagement. </w:t>
      </w:r>
      <w:r w:rsidRPr="001C5D93">
        <w:rPr>
          <w:rFonts w:asciiTheme="majorHAnsi" w:hAnsiTheme="majorHAnsi" w:cstheme="majorHAnsi"/>
          <w:bCs/>
          <w:i/>
          <w:iCs/>
          <w:sz w:val="32"/>
          <w:szCs w:val="32"/>
        </w:rPr>
        <w:t>Journal of Management Development, 39</w:t>
      </w:r>
      <w:r w:rsidRPr="001C5D93">
        <w:rPr>
          <w:rFonts w:asciiTheme="majorHAnsi" w:hAnsiTheme="majorHAnsi" w:cstheme="majorHAnsi"/>
          <w:bCs/>
          <w:sz w:val="32"/>
          <w:szCs w:val="32"/>
        </w:rPr>
        <w:t xml:space="preserve">(7/8), 869–893. </w:t>
      </w:r>
      <w:hyperlink r:id="rId25" w:history="1">
        <w:r w:rsidRPr="001C5D93">
          <w:rPr>
            <w:rStyle w:val="Hyperlink"/>
            <w:rFonts w:asciiTheme="majorHAnsi" w:hAnsiTheme="majorHAnsi" w:cstheme="majorHAnsi"/>
            <w:bCs/>
            <w:sz w:val="32"/>
            <w:szCs w:val="32"/>
          </w:rPr>
          <w:t>https://doi.org/10.1108/JMD-02-2020-0062</w:t>
        </w:r>
      </w:hyperlink>
    </w:p>
    <w:p w14:paraId="1869209B" w14:textId="77777777" w:rsidR="005B684E" w:rsidRPr="001C5D93" w:rsidRDefault="005B684E"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Acharjya, D. P., &amp; Ahmed, K. P. (2016). A survey on big data analytics: Challenges, open research issues and tools. </w:t>
      </w:r>
      <w:r w:rsidRPr="001C5D93">
        <w:rPr>
          <w:rStyle w:val="ae"/>
          <w:rFonts w:asciiTheme="majorHAnsi" w:eastAsiaTheme="majorEastAsia" w:hAnsiTheme="majorHAnsi" w:cstheme="majorHAnsi"/>
          <w:sz w:val="32"/>
          <w:szCs w:val="32"/>
        </w:rPr>
        <w:t>International Journal of Advanced Computer Science and Applications, 7</w:t>
      </w:r>
      <w:r w:rsidRPr="001C5D93">
        <w:rPr>
          <w:rFonts w:asciiTheme="majorHAnsi" w:hAnsiTheme="majorHAnsi" w:cstheme="majorHAnsi"/>
          <w:sz w:val="32"/>
          <w:szCs w:val="32"/>
        </w:rPr>
        <w:t xml:space="preserve">(2), 511–518. </w:t>
      </w:r>
    </w:p>
    <w:p w14:paraId="1414980D"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Akdağ, S., &amp; Çetin, M. (2022). The role of organizational development in the effect of intra-organizational entrepreneurship on innovativeness: A mixed-method study in higher education institutions. </w:t>
      </w:r>
      <w:r w:rsidRPr="001C5D93">
        <w:rPr>
          <w:rFonts w:asciiTheme="majorHAnsi" w:hAnsiTheme="majorHAnsi" w:cstheme="majorHAnsi"/>
          <w:bCs/>
          <w:i/>
          <w:iCs/>
          <w:sz w:val="32"/>
          <w:szCs w:val="32"/>
        </w:rPr>
        <w:t>Journal of Education and Learning, 11</w:t>
      </w:r>
      <w:r w:rsidRPr="001C5D93">
        <w:rPr>
          <w:rFonts w:asciiTheme="majorHAnsi" w:hAnsiTheme="majorHAnsi" w:cstheme="majorHAnsi"/>
          <w:bCs/>
          <w:sz w:val="32"/>
          <w:szCs w:val="32"/>
        </w:rPr>
        <w:t xml:space="preserve">(4), 200–219. </w:t>
      </w:r>
      <w:hyperlink r:id="rId26" w:tgtFrame="_new" w:history="1">
        <w:r w:rsidRPr="001C5D93">
          <w:rPr>
            <w:rStyle w:val="Hyperlink"/>
            <w:rFonts w:asciiTheme="majorHAnsi" w:hAnsiTheme="majorHAnsi" w:cstheme="majorHAnsi"/>
            <w:bCs/>
            <w:sz w:val="32"/>
            <w:szCs w:val="32"/>
          </w:rPr>
          <w:t>https://doi.org/10.5539/jel.v11n4p200</w:t>
        </w:r>
      </w:hyperlink>
    </w:p>
    <w:p w14:paraId="7519F7F9"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Alabdullah</w:t>
      </w:r>
      <w:proofErr w:type="spellEnd"/>
      <w:r w:rsidRPr="001C5D93">
        <w:rPr>
          <w:rFonts w:asciiTheme="majorHAnsi" w:hAnsiTheme="majorHAnsi" w:cstheme="majorHAnsi"/>
          <w:bCs/>
          <w:sz w:val="32"/>
          <w:szCs w:val="32"/>
        </w:rPr>
        <w:t xml:space="preserve">, T. T. Y., Ahmed, E. R., </w:t>
      </w:r>
      <w:proofErr w:type="spellStart"/>
      <w:r w:rsidRPr="001C5D93">
        <w:rPr>
          <w:rFonts w:asciiTheme="majorHAnsi" w:hAnsiTheme="majorHAnsi" w:cstheme="majorHAnsi"/>
          <w:bCs/>
          <w:sz w:val="32"/>
          <w:szCs w:val="32"/>
        </w:rPr>
        <w:t>Almashhadani</w:t>
      </w:r>
      <w:proofErr w:type="spellEnd"/>
      <w:r w:rsidRPr="001C5D93">
        <w:rPr>
          <w:rFonts w:asciiTheme="majorHAnsi" w:hAnsiTheme="majorHAnsi" w:cstheme="majorHAnsi"/>
          <w:bCs/>
          <w:sz w:val="32"/>
          <w:szCs w:val="32"/>
        </w:rPr>
        <w:t xml:space="preserve">, M., Yousif, S. K., </w:t>
      </w:r>
      <w:proofErr w:type="spellStart"/>
      <w:r w:rsidRPr="001C5D93">
        <w:rPr>
          <w:rFonts w:asciiTheme="majorHAnsi" w:hAnsiTheme="majorHAnsi" w:cstheme="majorHAnsi"/>
          <w:bCs/>
          <w:sz w:val="32"/>
          <w:szCs w:val="32"/>
        </w:rPr>
        <w:t>Almashhadani</w:t>
      </w:r>
      <w:proofErr w:type="spellEnd"/>
      <w:r w:rsidRPr="001C5D93">
        <w:rPr>
          <w:rFonts w:asciiTheme="majorHAnsi" w:hAnsiTheme="majorHAnsi" w:cstheme="majorHAnsi"/>
          <w:bCs/>
          <w:sz w:val="32"/>
          <w:szCs w:val="32"/>
        </w:rPr>
        <w:t xml:space="preserve">, H. A., </w:t>
      </w:r>
      <w:proofErr w:type="spellStart"/>
      <w:r w:rsidRPr="001C5D93">
        <w:rPr>
          <w:rFonts w:asciiTheme="majorHAnsi" w:hAnsiTheme="majorHAnsi" w:cstheme="majorHAnsi"/>
          <w:bCs/>
          <w:sz w:val="32"/>
          <w:szCs w:val="32"/>
        </w:rPr>
        <w:t>Almashhadani</w:t>
      </w:r>
      <w:proofErr w:type="spellEnd"/>
      <w:r w:rsidRPr="001C5D93">
        <w:rPr>
          <w:rFonts w:asciiTheme="majorHAnsi" w:hAnsiTheme="majorHAnsi" w:cstheme="majorHAnsi"/>
          <w:bCs/>
          <w:sz w:val="32"/>
          <w:szCs w:val="32"/>
        </w:rPr>
        <w:t xml:space="preserve">, R., &amp; Putri, E. (2021). How significantly do emerging economies benefit from board attributes and risk management in enhancing firm profitability? </w:t>
      </w:r>
      <w:r w:rsidRPr="001C5D93">
        <w:rPr>
          <w:rFonts w:asciiTheme="majorHAnsi" w:hAnsiTheme="majorHAnsi" w:cstheme="majorHAnsi"/>
          <w:bCs/>
          <w:i/>
          <w:iCs/>
          <w:sz w:val="32"/>
          <w:szCs w:val="32"/>
        </w:rPr>
        <w:t>Journal of Accounting Science, 5</w:t>
      </w:r>
      <w:r w:rsidRPr="001C5D93">
        <w:rPr>
          <w:rFonts w:asciiTheme="majorHAnsi" w:hAnsiTheme="majorHAnsi" w:cstheme="majorHAnsi"/>
          <w:bCs/>
          <w:sz w:val="32"/>
          <w:szCs w:val="32"/>
        </w:rPr>
        <w:t xml:space="preserve">(2), 100–109. </w:t>
      </w:r>
      <w:hyperlink r:id="rId27" w:history="1">
        <w:r w:rsidRPr="001C5D93">
          <w:rPr>
            <w:rStyle w:val="Hyperlink"/>
            <w:rFonts w:asciiTheme="majorHAnsi" w:hAnsiTheme="majorHAnsi" w:cstheme="majorHAnsi"/>
            <w:bCs/>
            <w:sz w:val="32"/>
            <w:szCs w:val="32"/>
          </w:rPr>
          <w:t>https://doi.org/10.21070/jas.v5i2.1313</w:t>
        </w:r>
      </w:hyperlink>
    </w:p>
    <w:p w14:paraId="004AEFB7" w14:textId="77777777" w:rsidR="005B684E" w:rsidRPr="005B684E" w:rsidRDefault="005B684E" w:rsidP="00254B75">
      <w:pPr>
        <w:pStyle w:val="ab"/>
        <w:numPr>
          <w:ilvl w:val="0"/>
          <w:numId w:val="112"/>
        </w:numPr>
        <w:spacing w:before="0" w:beforeAutospacing="0" w:after="120" w:afterAutospacing="0"/>
        <w:rPr>
          <w:rStyle w:val="Hyperlink"/>
          <w:rFonts w:asciiTheme="majorHAnsi" w:eastAsiaTheme="minorHAnsi" w:hAnsiTheme="majorHAnsi" w:cstheme="majorHAnsi"/>
          <w:bCs/>
          <w:sz w:val="32"/>
          <w:szCs w:val="32"/>
        </w:rPr>
      </w:pPr>
      <w:r w:rsidRPr="001C5D93">
        <w:rPr>
          <w:rFonts w:asciiTheme="majorHAnsi" w:hAnsiTheme="majorHAnsi" w:cstheme="majorHAnsi"/>
          <w:sz w:val="32"/>
          <w:szCs w:val="32"/>
        </w:rPr>
        <w:lastRenderedPageBreak/>
        <w:t xml:space="preserve">Almadani, B., Kaisar, H., </w:t>
      </w:r>
      <w:proofErr w:type="spellStart"/>
      <w:r w:rsidRPr="001C5D93">
        <w:rPr>
          <w:rFonts w:asciiTheme="majorHAnsi" w:hAnsiTheme="majorHAnsi" w:cstheme="majorHAnsi"/>
          <w:sz w:val="32"/>
          <w:szCs w:val="32"/>
        </w:rPr>
        <w:t>Thoker</w:t>
      </w:r>
      <w:proofErr w:type="spellEnd"/>
      <w:r w:rsidRPr="001C5D93">
        <w:rPr>
          <w:rFonts w:asciiTheme="majorHAnsi" w:hAnsiTheme="majorHAnsi" w:cstheme="majorHAnsi"/>
          <w:sz w:val="32"/>
          <w:szCs w:val="32"/>
        </w:rPr>
        <w:t xml:space="preserve">, I. R., &amp; Aliyu, F. (2025). A systematic survey of distributed decision support systems in healthcare. </w:t>
      </w:r>
      <w:r w:rsidRPr="001C5D93">
        <w:rPr>
          <w:rStyle w:val="ae"/>
          <w:rFonts w:asciiTheme="majorHAnsi" w:eastAsiaTheme="majorEastAsia" w:hAnsiTheme="majorHAnsi" w:cstheme="majorHAnsi"/>
          <w:sz w:val="32"/>
          <w:szCs w:val="32"/>
        </w:rPr>
        <w:t>Systems, 13</w:t>
      </w:r>
      <w:r w:rsidRPr="001C5D93">
        <w:rPr>
          <w:rFonts w:asciiTheme="majorHAnsi" w:hAnsiTheme="majorHAnsi" w:cstheme="majorHAnsi"/>
          <w:sz w:val="32"/>
          <w:szCs w:val="32"/>
        </w:rPr>
        <w:t xml:space="preserve">(3), 157. </w:t>
      </w:r>
      <w:r w:rsidRPr="005B684E">
        <w:rPr>
          <w:rStyle w:val="Hyperlink"/>
          <w:rFonts w:asciiTheme="majorHAnsi" w:eastAsiaTheme="minorHAnsi" w:hAnsiTheme="majorHAnsi" w:cstheme="majorHAnsi"/>
          <w:bCs/>
          <w:sz w:val="32"/>
          <w:szCs w:val="32"/>
        </w:rPr>
        <w:t xml:space="preserve">https://doi.org/10.3390/systems13030157 </w:t>
      </w:r>
    </w:p>
    <w:p w14:paraId="55DAF474"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Arifjanov, A., </w:t>
      </w:r>
      <w:proofErr w:type="spellStart"/>
      <w:r w:rsidRPr="001C5D93">
        <w:rPr>
          <w:rFonts w:asciiTheme="majorHAnsi" w:hAnsiTheme="majorHAnsi" w:cstheme="majorHAnsi"/>
          <w:bCs/>
          <w:sz w:val="32"/>
          <w:szCs w:val="32"/>
        </w:rPr>
        <w:t>Atakulov</w:t>
      </w:r>
      <w:proofErr w:type="spellEnd"/>
      <w:r w:rsidRPr="001C5D93">
        <w:rPr>
          <w:rFonts w:asciiTheme="majorHAnsi" w:hAnsiTheme="majorHAnsi" w:cstheme="majorHAnsi"/>
          <w:bCs/>
          <w:sz w:val="32"/>
          <w:szCs w:val="32"/>
        </w:rPr>
        <w:t xml:space="preserve">, D., Akhmedov, I., &amp; </w:t>
      </w:r>
      <w:proofErr w:type="spellStart"/>
      <w:r w:rsidRPr="001C5D93">
        <w:rPr>
          <w:rFonts w:asciiTheme="majorHAnsi" w:hAnsiTheme="majorHAnsi" w:cstheme="majorHAnsi"/>
          <w:bCs/>
          <w:sz w:val="32"/>
          <w:szCs w:val="32"/>
        </w:rPr>
        <w:t>Hoshimov</w:t>
      </w:r>
      <w:proofErr w:type="spellEnd"/>
      <w:r w:rsidRPr="001C5D93">
        <w:rPr>
          <w:rFonts w:asciiTheme="majorHAnsi" w:hAnsiTheme="majorHAnsi" w:cstheme="majorHAnsi"/>
          <w:bCs/>
          <w:sz w:val="32"/>
          <w:szCs w:val="32"/>
        </w:rPr>
        <w:t xml:space="preserve">, A. (2022). Modern technologies in the study of processes in channels. </w:t>
      </w:r>
      <w:r w:rsidRPr="001C5D93">
        <w:rPr>
          <w:rFonts w:asciiTheme="majorHAnsi" w:hAnsiTheme="majorHAnsi" w:cstheme="majorHAnsi"/>
          <w:bCs/>
          <w:i/>
          <w:iCs/>
          <w:sz w:val="32"/>
          <w:szCs w:val="32"/>
        </w:rPr>
        <w:t>IOP Conference Series: Earth and Environmental Science, 1101</w:t>
      </w:r>
      <w:r w:rsidRPr="001C5D93">
        <w:rPr>
          <w:rFonts w:asciiTheme="majorHAnsi" w:hAnsiTheme="majorHAnsi" w:cstheme="majorHAnsi"/>
          <w:bCs/>
          <w:sz w:val="32"/>
          <w:szCs w:val="32"/>
        </w:rPr>
        <w:t xml:space="preserve">, 012017. </w:t>
      </w:r>
      <w:hyperlink r:id="rId28" w:history="1">
        <w:r w:rsidRPr="001C5D93">
          <w:rPr>
            <w:rStyle w:val="Hyperlink"/>
            <w:rFonts w:asciiTheme="majorHAnsi" w:hAnsiTheme="majorHAnsi" w:cstheme="majorHAnsi"/>
            <w:bCs/>
            <w:sz w:val="32"/>
            <w:szCs w:val="32"/>
          </w:rPr>
          <w:t>https://doi.org/10.1088/1755-1315/1101/1/012017</w:t>
        </w:r>
      </w:hyperlink>
    </w:p>
    <w:p w14:paraId="4BE0F017"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Asbari, M. (2024). The effect of transformational leadership, organizational structure and learning culture on school innovation capacity. </w:t>
      </w:r>
      <w:r w:rsidRPr="001C5D93">
        <w:rPr>
          <w:rFonts w:asciiTheme="majorHAnsi" w:hAnsiTheme="majorHAnsi" w:cstheme="majorHAnsi"/>
          <w:bCs/>
          <w:i/>
          <w:iCs/>
          <w:sz w:val="32"/>
          <w:szCs w:val="32"/>
        </w:rPr>
        <w:t>PROFESOR: Professional Education Studies and Operations Research, 1</w:t>
      </w:r>
      <w:r w:rsidRPr="001C5D93">
        <w:rPr>
          <w:rFonts w:asciiTheme="majorHAnsi" w:hAnsiTheme="majorHAnsi" w:cstheme="majorHAnsi"/>
          <w:bCs/>
          <w:sz w:val="32"/>
          <w:szCs w:val="32"/>
        </w:rPr>
        <w:t>(2), 22–32.</w:t>
      </w:r>
    </w:p>
    <w:p w14:paraId="0F678471"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Awwad, A., Obeidat, B., &amp; Ali, H. (2022). The impact of organizational development on technological innovation: The mediating role of knowledge management. </w:t>
      </w:r>
      <w:r w:rsidRPr="001C5D93">
        <w:rPr>
          <w:rFonts w:asciiTheme="majorHAnsi" w:hAnsiTheme="majorHAnsi" w:cstheme="majorHAnsi"/>
          <w:bCs/>
          <w:i/>
          <w:iCs/>
          <w:sz w:val="32"/>
          <w:szCs w:val="32"/>
        </w:rPr>
        <w:t>Journal of Innovation &amp; Knowledge, 7</w:t>
      </w:r>
      <w:r w:rsidRPr="001C5D93">
        <w:rPr>
          <w:rFonts w:asciiTheme="majorHAnsi" w:hAnsiTheme="majorHAnsi" w:cstheme="majorHAnsi"/>
          <w:bCs/>
          <w:sz w:val="32"/>
          <w:szCs w:val="32"/>
        </w:rPr>
        <w:t xml:space="preserve">(3), 100215. </w:t>
      </w:r>
      <w:hyperlink r:id="rId29" w:tgtFrame="_new" w:history="1">
        <w:r w:rsidRPr="001C5D93">
          <w:rPr>
            <w:rStyle w:val="Hyperlink"/>
            <w:rFonts w:asciiTheme="majorHAnsi" w:hAnsiTheme="majorHAnsi" w:cstheme="majorHAnsi"/>
            <w:bCs/>
            <w:sz w:val="32"/>
            <w:szCs w:val="32"/>
          </w:rPr>
          <w:t>https://doi.org/10.1016/j.jik.2022.100215</w:t>
        </w:r>
      </w:hyperlink>
    </w:p>
    <w:p w14:paraId="11508D9D"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Barati Jozan, M. M., Ghorbani, B. D., Khalid, M. S., </w:t>
      </w:r>
      <w:proofErr w:type="spellStart"/>
      <w:r w:rsidRPr="001C5D93">
        <w:rPr>
          <w:rFonts w:asciiTheme="majorHAnsi" w:hAnsiTheme="majorHAnsi" w:cstheme="majorHAnsi"/>
          <w:bCs/>
          <w:sz w:val="32"/>
          <w:szCs w:val="32"/>
        </w:rPr>
        <w:t>Lotfata</w:t>
      </w:r>
      <w:proofErr w:type="spellEnd"/>
      <w:r w:rsidRPr="001C5D93">
        <w:rPr>
          <w:rFonts w:asciiTheme="majorHAnsi" w:hAnsiTheme="majorHAnsi" w:cstheme="majorHAnsi"/>
          <w:bCs/>
          <w:sz w:val="32"/>
          <w:szCs w:val="32"/>
        </w:rPr>
        <w:t xml:space="preserve">, A., &amp; Tabesh, H. (2023). Impact assessment of e-trainings in occupational safety and health: A literature review. </w:t>
      </w:r>
      <w:r w:rsidRPr="001C5D93">
        <w:rPr>
          <w:rFonts w:asciiTheme="majorHAnsi" w:hAnsiTheme="majorHAnsi" w:cstheme="majorHAnsi"/>
          <w:bCs/>
          <w:i/>
          <w:iCs/>
          <w:sz w:val="32"/>
          <w:szCs w:val="32"/>
        </w:rPr>
        <w:t>BMC Public Health, 23</w:t>
      </w:r>
      <w:r w:rsidRPr="001C5D93">
        <w:rPr>
          <w:rFonts w:asciiTheme="majorHAnsi" w:hAnsiTheme="majorHAnsi" w:cstheme="majorHAnsi"/>
          <w:bCs/>
          <w:sz w:val="32"/>
          <w:szCs w:val="32"/>
        </w:rPr>
        <w:t xml:space="preserve">, Article 16114. </w:t>
      </w:r>
      <w:hyperlink r:id="rId30" w:tgtFrame="_new" w:history="1">
        <w:r w:rsidRPr="001C5D93">
          <w:rPr>
            <w:rStyle w:val="Hyperlink"/>
            <w:rFonts w:asciiTheme="majorHAnsi" w:hAnsiTheme="majorHAnsi" w:cstheme="majorHAnsi"/>
            <w:bCs/>
            <w:sz w:val="32"/>
            <w:szCs w:val="32"/>
          </w:rPr>
          <w:t>https://doi.org/10.1186/s12889-023-16114-8</w:t>
        </w:r>
      </w:hyperlink>
    </w:p>
    <w:p w14:paraId="5A557A1A"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Baron, R. M., &amp; Kenny, D. A. (1986). The moderator–mediator variable distinction in social psychological research: Conceptual, strategic, and statistical considerations. </w:t>
      </w:r>
      <w:r w:rsidRPr="001C5D93">
        <w:rPr>
          <w:rFonts w:asciiTheme="majorHAnsi" w:hAnsiTheme="majorHAnsi" w:cstheme="majorHAnsi"/>
          <w:bCs/>
          <w:i/>
          <w:iCs/>
          <w:sz w:val="32"/>
          <w:szCs w:val="32"/>
        </w:rPr>
        <w:t>Journal of Personality and Social Psychology, 51</w:t>
      </w:r>
      <w:r w:rsidRPr="001C5D93">
        <w:rPr>
          <w:rFonts w:asciiTheme="majorHAnsi" w:hAnsiTheme="majorHAnsi" w:cstheme="majorHAnsi"/>
          <w:bCs/>
          <w:sz w:val="32"/>
          <w:szCs w:val="32"/>
        </w:rPr>
        <w:t xml:space="preserve">(6), 1173–1182. </w:t>
      </w:r>
      <w:hyperlink r:id="rId31" w:tgtFrame="_new" w:history="1">
        <w:r w:rsidRPr="001C5D93">
          <w:rPr>
            <w:rStyle w:val="Hyperlink"/>
            <w:rFonts w:asciiTheme="majorHAnsi" w:hAnsiTheme="majorHAnsi" w:cstheme="majorHAnsi"/>
            <w:bCs/>
            <w:sz w:val="32"/>
            <w:szCs w:val="32"/>
          </w:rPr>
          <w:t>https://doi.org/10.1037/0022-3514.51.6.1173</w:t>
        </w:r>
      </w:hyperlink>
    </w:p>
    <w:p w14:paraId="1C3A2EE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Beldiq, E. A., Callula, B., Yusuf, N. A., &amp; Zahra, A. R. A. (2024). Unlocking organizational potential: Assessing the impact of technology through </w:t>
      </w:r>
      <w:proofErr w:type="spellStart"/>
      <w:r w:rsidRPr="001C5D93">
        <w:rPr>
          <w:rFonts w:asciiTheme="majorHAnsi" w:hAnsiTheme="majorHAnsi" w:cstheme="majorHAnsi"/>
          <w:bCs/>
          <w:sz w:val="32"/>
          <w:szCs w:val="32"/>
        </w:rPr>
        <w:t>SmartPLS</w:t>
      </w:r>
      <w:proofErr w:type="spellEnd"/>
      <w:r w:rsidRPr="001C5D93">
        <w:rPr>
          <w:rFonts w:asciiTheme="majorHAnsi" w:hAnsiTheme="majorHAnsi" w:cstheme="majorHAnsi"/>
          <w:bCs/>
          <w:sz w:val="32"/>
          <w:szCs w:val="32"/>
        </w:rPr>
        <w:t xml:space="preserve"> in advancing management excellence. </w:t>
      </w:r>
      <w:r w:rsidRPr="001C5D93">
        <w:rPr>
          <w:rFonts w:asciiTheme="majorHAnsi" w:hAnsiTheme="majorHAnsi" w:cstheme="majorHAnsi"/>
          <w:bCs/>
          <w:i/>
          <w:iCs/>
          <w:sz w:val="32"/>
          <w:szCs w:val="32"/>
        </w:rPr>
        <w:t>APTISI Transactions on Management, 8</w:t>
      </w:r>
      <w:r w:rsidRPr="001C5D93">
        <w:rPr>
          <w:rFonts w:asciiTheme="majorHAnsi" w:hAnsiTheme="majorHAnsi" w:cstheme="majorHAnsi"/>
          <w:bCs/>
          <w:sz w:val="32"/>
          <w:szCs w:val="32"/>
        </w:rPr>
        <w:t xml:space="preserve">(1), 40–48. </w:t>
      </w:r>
      <w:hyperlink r:id="rId32" w:history="1">
        <w:r w:rsidRPr="001C5D93">
          <w:rPr>
            <w:rStyle w:val="Hyperlink"/>
            <w:rFonts w:asciiTheme="majorHAnsi" w:hAnsiTheme="majorHAnsi" w:cstheme="majorHAnsi"/>
            <w:bCs/>
            <w:sz w:val="32"/>
            <w:szCs w:val="32"/>
          </w:rPr>
          <w:t>https://doi.org/10.34306/atm.v8i1.632</w:t>
        </w:r>
      </w:hyperlink>
    </w:p>
    <w:p w14:paraId="7F255C1B" w14:textId="77777777" w:rsidR="005B684E" w:rsidRPr="002C04D6" w:rsidRDefault="005B684E" w:rsidP="002C04D6">
      <w:pPr>
        <w:pStyle w:val="a6"/>
        <w:numPr>
          <w:ilvl w:val="0"/>
          <w:numId w:val="112"/>
        </w:numPr>
        <w:spacing w:after="120" w:line="240" w:lineRule="auto"/>
        <w:jc w:val="both"/>
        <w:rPr>
          <w:rFonts w:asciiTheme="majorHAnsi" w:hAnsiTheme="majorHAnsi" w:cstheme="majorHAnsi"/>
          <w:bCs/>
          <w:sz w:val="32"/>
          <w:szCs w:val="32"/>
        </w:rPr>
      </w:pPr>
      <w:r w:rsidRPr="002C04D6">
        <w:rPr>
          <w:rFonts w:asciiTheme="majorHAnsi" w:hAnsiTheme="majorHAnsi" w:cstheme="majorHAnsi"/>
          <w:bCs/>
          <w:sz w:val="32"/>
          <w:szCs w:val="32"/>
        </w:rPr>
        <w:t xml:space="preserve">Bertalanffy, L. von. (1968). </w:t>
      </w:r>
      <w:r w:rsidRPr="002C04D6">
        <w:rPr>
          <w:rFonts w:asciiTheme="majorHAnsi" w:hAnsiTheme="majorHAnsi" w:cstheme="majorHAnsi"/>
          <w:bCs/>
          <w:i/>
          <w:iCs/>
          <w:sz w:val="32"/>
          <w:szCs w:val="32"/>
        </w:rPr>
        <w:t>General system theory: Foundations, development, applications</w:t>
      </w:r>
      <w:r w:rsidRPr="002C04D6">
        <w:rPr>
          <w:rFonts w:asciiTheme="majorHAnsi" w:hAnsiTheme="majorHAnsi" w:cstheme="majorHAnsi"/>
          <w:bCs/>
          <w:sz w:val="32"/>
          <w:szCs w:val="32"/>
        </w:rPr>
        <w:t>. George Braziller.</w:t>
      </w:r>
    </w:p>
    <w:p w14:paraId="574B6700" w14:textId="77777777" w:rsidR="005B684E" w:rsidRPr="002C04D6" w:rsidRDefault="005B684E" w:rsidP="002C04D6">
      <w:pPr>
        <w:pStyle w:val="a6"/>
        <w:numPr>
          <w:ilvl w:val="0"/>
          <w:numId w:val="112"/>
        </w:numPr>
        <w:spacing w:after="120" w:line="240" w:lineRule="auto"/>
        <w:jc w:val="both"/>
        <w:rPr>
          <w:rFonts w:asciiTheme="majorHAnsi" w:hAnsiTheme="majorHAnsi" w:cstheme="majorHAnsi"/>
          <w:bCs/>
          <w:i/>
          <w:iCs/>
          <w:sz w:val="32"/>
          <w:szCs w:val="32"/>
        </w:rPr>
      </w:pPr>
      <w:r w:rsidRPr="002C04D6">
        <w:rPr>
          <w:rFonts w:asciiTheme="majorHAnsi" w:hAnsiTheme="majorHAnsi" w:cstheme="majorHAnsi"/>
          <w:bCs/>
          <w:i/>
          <w:iCs/>
          <w:sz w:val="32"/>
          <w:szCs w:val="32"/>
        </w:rPr>
        <w:lastRenderedPageBreak/>
        <w:t xml:space="preserve">Bertalanffy, L. von. (1968). </w:t>
      </w:r>
      <w:r w:rsidRPr="002C04D6">
        <w:rPr>
          <w:rFonts w:asciiTheme="majorHAnsi" w:hAnsiTheme="majorHAnsi" w:cstheme="majorHAnsi"/>
          <w:bCs/>
          <w:sz w:val="32"/>
          <w:szCs w:val="32"/>
        </w:rPr>
        <w:t>General system theory: Foundations, development, applications</w:t>
      </w:r>
      <w:r w:rsidRPr="002C04D6">
        <w:rPr>
          <w:rFonts w:asciiTheme="majorHAnsi" w:hAnsiTheme="majorHAnsi" w:cstheme="majorHAnsi"/>
          <w:bCs/>
          <w:i/>
          <w:iCs/>
          <w:sz w:val="32"/>
          <w:szCs w:val="32"/>
        </w:rPr>
        <w:t>. George Braziller.</w:t>
      </w:r>
    </w:p>
    <w:p w14:paraId="02BB5A1F"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Brun, G. (2020). Conceptual re-engineering: From explication to reflective equilibrium. </w:t>
      </w:r>
      <w:proofErr w:type="spellStart"/>
      <w:r w:rsidRPr="001C5D93">
        <w:rPr>
          <w:rFonts w:asciiTheme="majorHAnsi" w:hAnsiTheme="majorHAnsi" w:cstheme="majorHAnsi"/>
          <w:bCs/>
          <w:i/>
          <w:iCs/>
          <w:sz w:val="32"/>
          <w:szCs w:val="32"/>
        </w:rPr>
        <w:t>Synthese</w:t>
      </w:r>
      <w:proofErr w:type="spellEnd"/>
      <w:r w:rsidRPr="001C5D93">
        <w:rPr>
          <w:rFonts w:asciiTheme="majorHAnsi" w:hAnsiTheme="majorHAnsi" w:cstheme="majorHAnsi"/>
          <w:bCs/>
          <w:i/>
          <w:iCs/>
          <w:sz w:val="32"/>
          <w:szCs w:val="32"/>
        </w:rPr>
        <w:t>, 197</w:t>
      </w:r>
      <w:r w:rsidRPr="001C5D93">
        <w:rPr>
          <w:rFonts w:asciiTheme="majorHAnsi" w:hAnsiTheme="majorHAnsi" w:cstheme="majorHAnsi"/>
          <w:bCs/>
          <w:sz w:val="32"/>
          <w:szCs w:val="32"/>
        </w:rPr>
        <w:t xml:space="preserve">(3), 925–954. </w:t>
      </w:r>
      <w:hyperlink r:id="rId33" w:history="1">
        <w:r w:rsidRPr="001C5D93">
          <w:rPr>
            <w:rStyle w:val="Hyperlink"/>
            <w:rFonts w:asciiTheme="majorHAnsi" w:hAnsiTheme="majorHAnsi" w:cstheme="majorHAnsi"/>
            <w:bCs/>
            <w:sz w:val="32"/>
            <w:szCs w:val="32"/>
          </w:rPr>
          <w:t>https://doi.org/10.1007/s11229-018-01936-5</w:t>
        </w:r>
      </w:hyperlink>
    </w:p>
    <w:p w14:paraId="687D190C"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Bussu</w:t>
      </w:r>
      <w:proofErr w:type="spellEnd"/>
      <w:r w:rsidRPr="001C5D93">
        <w:rPr>
          <w:rFonts w:asciiTheme="majorHAnsi" w:hAnsiTheme="majorHAnsi" w:cstheme="majorHAnsi"/>
          <w:bCs/>
          <w:sz w:val="32"/>
          <w:szCs w:val="32"/>
        </w:rPr>
        <w:t xml:space="preserve">, S., &amp; Marshall, M. (2020). Organizational development to support integrated care in East London: The perspective of clinicians and social workers on the ground. </w:t>
      </w:r>
      <w:r w:rsidRPr="001C5D93">
        <w:rPr>
          <w:rFonts w:asciiTheme="majorHAnsi" w:hAnsiTheme="majorHAnsi" w:cstheme="majorHAnsi"/>
          <w:bCs/>
          <w:i/>
          <w:iCs/>
          <w:sz w:val="32"/>
          <w:szCs w:val="32"/>
        </w:rPr>
        <w:t>Journal of Health Organization and Management, 34</w:t>
      </w:r>
      <w:r w:rsidRPr="001C5D93">
        <w:rPr>
          <w:rFonts w:asciiTheme="majorHAnsi" w:hAnsiTheme="majorHAnsi" w:cstheme="majorHAnsi"/>
          <w:bCs/>
          <w:sz w:val="32"/>
          <w:szCs w:val="32"/>
        </w:rPr>
        <w:t>(5), 603–619. https://doi.org/10.1108/JHOM-01-2020-0014</w:t>
      </w:r>
    </w:p>
    <w:p w14:paraId="2236CDA3"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Cagliano</w:t>
      </w:r>
      <w:proofErr w:type="spellEnd"/>
      <w:r w:rsidRPr="001C5D93">
        <w:rPr>
          <w:rFonts w:asciiTheme="majorHAnsi" w:hAnsiTheme="majorHAnsi" w:cstheme="majorHAnsi"/>
          <w:bCs/>
          <w:sz w:val="32"/>
          <w:szCs w:val="32"/>
        </w:rPr>
        <w:t xml:space="preserve">, A. C., Grimaldi, S., &amp; </w:t>
      </w:r>
      <w:proofErr w:type="spellStart"/>
      <w:r w:rsidRPr="001C5D93">
        <w:rPr>
          <w:rFonts w:asciiTheme="majorHAnsi" w:hAnsiTheme="majorHAnsi" w:cstheme="majorHAnsi"/>
          <w:bCs/>
          <w:sz w:val="32"/>
          <w:szCs w:val="32"/>
        </w:rPr>
        <w:t>Rafele</w:t>
      </w:r>
      <w:proofErr w:type="spellEnd"/>
      <w:r w:rsidRPr="001C5D93">
        <w:rPr>
          <w:rFonts w:asciiTheme="majorHAnsi" w:hAnsiTheme="majorHAnsi" w:cstheme="majorHAnsi"/>
          <w:bCs/>
          <w:sz w:val="32"/>
          <w:szCs w:val="32"/>
        </w:rPr>
        <w:t xml:space="preserve">, C. (2015). Choosing project risk management techniques: A theoretical framework. </w:t>
      </w:r>
      <w:r w:rsidRPr="001C5D93">
        <w:rPr>
          <w:rFonts w:asciiTheme="majorHAnsi" w:hAnsiTheme="majorHAnsi" w:cstheme="majorHAnsi"/>
          <w:bCs/>
          <w:i/>
          <w:iCs/>
          <w:sz w:val="32"/>
          <w:szCs w:val="32"/>
        </w:rPr>
        <w:t>Journal of Risk Research, 18</w:t>
      </w:r>
      <w:r w:rsidRPr="001C5D93">
        <w:rPr>
          <w:rFonts w:asciiTheme="majorHAnsi" w:hAnsiTheme="majorHAnsi" w:cstheme="majorHAnsi"/>
          <w:bCs/>
          <w:sz w:val="32"/>
          <w:szCs w:val="32"/>
        </w:rPr>
        <w:t xml:space="preserve">(2), 232–248. </w:t>
      </w:r>
      <w:hyperlink r:id="rId34" w:history="1">
        <w:r w:rsidRPr="001C5D93">
          <w:rPr>
            <w:rStyle w:val="Hyperlink"/>
            <w:rFonts w:asciiTheme="majorHAnsi" w:hAnsiTheme="majorHAnsi" w:cstheme="majorHAnsi"/>
            <w:bCs/>
            <w:sz w:val="32"/>
            <w:szCs w:val="32"/>
          </w:rPr>
          <w:t>https://doi.org/10.1080/13669877.2014.910685</w:t>
        </w:r>
      </w:hyperlink>
    </w:p>
    <w:p w14:paraId="2B7B9C64"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Carayon, P., &amp; </w:t>
      </w:r>
      <w:proofErr w:type="spellStart"/>
      <w:r w:rsidRPr="001C5D93">
        <w:rPr>
          <w:rFonts w:asciiTheme="majorHAnsi" w:hAnsiTheme="majorHAnsi" w:cstheme="majorHAnsi"/>
          <w:bCs/>
          <w:sz w:val="32"/>
          <w:szCs w:val="32"/>
        </w:rPr>
        <w:t>Hoonakker</w:t>
      </w:r>
      <w:proofErr w:type="spellEnd"/>
      <w:r w:rsidRPr="001C5D93">
        <w:rPr>
          <w:rFonts w:asciiTheme="majorHAnsi" w:hAnsiTheme="majorHAnsi" w:cstheme="majorHAnsi"/>
          <w:bCs/>
          <w:sz w:val="32"/>
          <w:szCs w:val="32"/>
        </w:rPr>
        <w:t xml:space="preserve">, P. (2019). Human factors and usability for health information technology: Old and new challenges. </w:t>
      </w:r>
      <w:r w:rsidRPr="001C5D93">
        <w:rPr>
          <w:rFonts w:asciiTheme="majorHAnsi" w:hAnsiTheme="majorHAnsi" w:cstheme="majorHAnsi"/>
          <w:bCs/>
          <w:i/>
          <w:iCs/>
          <w:sz w:val="32"/>
          <w:szCs w:val="32"/>
        </w:rPr>
        <w:t>Yearbook of Medical Informatics, 28</w:t>
      </w:r>
      <w:r w:rsidRPr="001C5D93">
        <w:rPr>
          <w:rFonts w:asciiTheme="majorHAnsi" w:hAnsiTheme="majorHAnsi" w:cstheme="majorHAnsi"/>
          <w:bCs/>
          <w:sz w:val="32"/>
          <w:szCs w:val="32"/>
        </w:rPr>
        <w:t xml:space="preserve">(1), 71–77. </w:t>
      </w:r>
      <w:hyperlink r:id="rId35" w:history="1">
        <w:r w:rsidRPr="001C5D93">
          <w:rPr>
            <w:rStyle w:val="Hyperlink"/>
            <w:rFonts w:asciiTheme="majorHAnsi" w:hAnsiTheme="majorHAnsi" w:cstheme="majorHAnsi"/>
            <w:bCs/>
            <w:sz w:val="32"/>
            <w:szCs w:val="32"/>
          </w:rPr>
          <w:t>https://doi.org/10.1055/s-0039-1677907</w:t>
        </w:r>
      </w:hyperlink>
    </w:p>
    <w:p w14:paraId="402B6851"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Cebeci, F., </w:t>
      </w:r>
      <w:proofErr w:type="spellStart"/>
      <w:r w:rsidRPr="001C5D93">
        <w:rPr>
          <w:rFonts w:asciiTheme="majorHAnsi" w:hAnsiTheme="majorHAnsi" w:cstheme="majorHAnsi"/>
          <w:bCs/>
          <w:sz w:val="32"/>
          <w:szCs w:val="32"/>
        </w:rPr>
        <w:t>Karazeybek</w:t>
      </w:r>
      <w:proofErr w:type="spellEnd"/>
      <w:r w:rsidRPr="001C5D93">
        <w:rPr>
          <w:rFonts w:asciiTheme="majorHAnsi" w:hAnsiTheme="majorHAnsi" w:cstheme="majorHAnsi"/>
          <w:bCs/>
          <w:sz w:val="32"/>
          <w:szCs w:val="32"/>
        </w:rPr>
        <w:t xml:space="preserve">, E., Sucu, G., &amp; Kahveci, R. (2020). Nursing students' medication errors and their opinions on the reasons of errors: A cross-sectional survey. </w:t>
      </w:r>
      <w:r w:rsidRPr="001C5D93">
        <w:rPr>
          <w:rFonts w:asciiTheme="majorHAnsi" w:hAnsiTheme="majorHAnsi" w:cstheme="majorHAnsi"/>
          <w:bCs/>
          <w:i/>
          <w:iCs/>
          <w:sz w:val="32"/>
          <w:szCs w:val="32"/>
        </w:rPr>
        <w:t>Journal of the Pakistan Medical Association, 70</w:t>
      </w:r>
      <w:r w:rsidRPr="001C5D93">
        <w:rPr>
          <w:rFonts w:asciiTheme="majorHAnsi" w:hAnsiTheme="majorHAnsi" w:cstheme="majorHAnsi"/>
          <w:bCs/>
          <w:sz w:val="32"/>
          <w:szCs w:val="32"/>
        </w:rPr>
        <w:t xml:space="preserve">(5), 457–462. </w:t>
      </w:r>
      <w:hyperlink r:id="rId36" w:history="1">
        <w:r w:rsidRPr="001C5D93">
          <w:rPr>
            <w:rStyle w:val="Hyperlink"/>
            <w:rFonts w:asciiTheme="majorHAnsi" w:hAnsiTheme="majorHAnsi" w:cstheme="majorHAnsi"/>
            <w:bCs/>
            <w:sz w:val="32"/>
            <w:szCs w:val="32"/>
          </w:rPr>
          <w:t>https://doi.org/10.47391/JPMA.70.5.457</w:t>
        </w:r>
      </w:hyperlink>
    </w:p>
    <w:p w14:paraId="5C4DC9E9"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Chernobai</w:t>
      </w:r>
      <w:proofErr w:type="spellEnd"/>
      <w:r w:rsidRPr="001C5D93">
        <w:rPr>
          <w:rFonts w:asciiTheme="majorHAnsi" w:hAnsiTheme="majorHAnsi" w:cstheme="majorHAnsi"/>
          <w:bCs/>
          <w:sz w:val="32"/>
          <w:szCs w:val="32"/>
        </w:rPr>
        <w:t xml:space="preserve">, A., </w:t>
      </w:r>
      <w:proofErr w:type="spellStart"/>
      <w:r w:rsidRPr="001C5D93">
        <w:rPr>
          <w:rFonts w:asciiTheme="majorHAnsi" w:hAnsiTheme="majorHAnsi" w:cstheme="majorHAnsi"/>
          <w:bCs/>
          <w:sz w:val="32"/>
          <w:szCs w:val="32"/>
        </w:rPr>
        <w:t>Ozdagli</w:t>
      </w:r>
      <w:proofErr w:type="spellEnd"/>
      <w:r w:rsidRPr="001C5D93">
        <w:rPr>
          <w:rFonts w:asciiTheme="majorHAnsi" w:hAnsiTheme="majorHAnsi" w:cstheme="majorHAnsi"/>
          <w:bCs/>
          <w:sz w:val="32"/>
          <w:szCs w:val="32"/>
        </w:rPr>
        <w:t xml:space="preserve">, A., &amp; Wang, J. (2021). Business complexity and risk management: Evidence from operational risk events in U.S. bank holding companies. </w:t>
      </w:r>
      <w:r w:rsidRPr="001C5D93">
        <w:rPr>
          <w:rFonts w:asciiTheme="majorHAnsi" w:hAnsiTheme="majorHAnsi" w:cstheme="majorHAnsi"/>
          <w:bCs/>
          <w:i/>
          <w:iCs/>
          <w:sz w:val="32"/>
          <w:szCs w:val="32"/>
        </w:rPr>
        <w:t>Journal of Monetary Economics, 117</w:t>
      </w:r>
      <w:r w:rsidRPr="001C5D93">
        <w:rPr>
          <w:rFonts w:asciiTheme="majorHAnsi" w:hAnsiTheme="majorHAnsi" w:cstheme="majorHAnsi"/>
          <w:bCs/>
          <w:sz w:val="32"/>
          <w:szCs w:val="32"/>
        </w:rPr>
        <w:t xml:space="preserve">, 418–440. </w:t>
      </w:r>
      <w:hyperlink r:id="rId37" w:history="1">
        <w:r w:rsidRPr="001C5D93">
          <w:rPr>
            <w:rStyle w:val="Hyperlink"/>
            <w:rFonts w:asciiTheme="majorHAnsi" w:hAnsiTheme="majorHAnsi" w:cstheme="majorHAnsi"/>
            <w:bCs/>
            <w:sz w:val="32"/>
            <w:szCs w:val="32"/>
          </w:rPr>
          <w:t>https://doi.org/10.1016/j.jmoneco.2020.08.003</w:t>
        </w:r>
      </w:hyperlink>
    </w:p>
    <w:p w14:paraId="2F47CB5C"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Damayanty, S., Susanto, A., &amp; </w:t>
      </w:r>
      <w:proofErr w:type="spellStart"/>
      <w:r w:rsidRPr="001C5D93">
        <w:rPr>
          <w:rFonts w:asciiTheme="majorHAnsi" w:hAnsiTheme="majorHAnsi" w:cstheme="majorHAnsi"/>
          <w:bCs/>
          <w:sz w:val="32"/>
          <w:szCs w:val="32"/>
        </w:rPr>
        <w:t>Fajriana</w:t>
      </w:r>
      <w:proofErr w:type="spellEnd"/>
      <w:r w:rsidRPr="001C5D93">
        <w:rPr>
          <w:rFonts w:asciiTheme="majorHAnsi" w:hAnsiTheme="majorHAnsi" w:cstheme="majorHAnsi"/>
          <w:bCs/>
          <w:sz w:val="32"/>
          <w:szCs w:val="32"/>
        </w:rPr>
        <w:t xml:space="preserve">, W. H. (2022). Implementation of hospital occupational health and safety standards at general hospitals in Kendari City. </w:t>
      </w:r>
      <w:proofErr w:type="spellStart"/>
      <w:r w:rsidRPr="001C5D93">
        <w:rPr>
          <w:rFonts w:asciiTheme="majorHAnsi" w:hAnsiTheme="majorHAnsi" w:cstheme="majorHAnsi"/>
          <w:bCs/>
          <w:i/>
          <w:iCs/>
          <w:sz w:val="32"/>
          <w:szCs w:val="32"/>
        </w:rPr>
        <w:t>Jurnal</w:t>
      </w:r>
      <w:proofErr w:type="spellEnd"/>
      <w:r w:rsidRPr="001C5D93">
        <w:rPr>
          <w:rFonts w:asciiTheme="majorHAnsi" w:hAnsiTheme="majorHAnsi" w:cstheme="majorHAnsi"/>
          <w:bCs/>
          <w:i/>
          <w:iCs/>
          <w:sz w:val="32"/>
          <w:szCs w:val="32"/>
        </w:rPr>
        <w:t xml:space="preserve"> Kesehatan Masyarakat, 18</w:t>
      </w:r>
      <w:r w:rsidRPr="001C5D93">
        <w:rPr>
          <w:rFonts w:asciiTheme="majorHAnsi" w:hAnsiTheme="majorHAnsi" w:cstheme="majorHAnsi"/>
          <w:bCs/>
          <w:sz w:val="32"/>
          <w:szCs w:val="32"/>
        </w:rPr>
        <w:t>(1), 10–19.</w:t>
      </w:r>
    </w:p>
    <w:p w14:paraId="7051487C"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DeLone</w:t>
      </w:r>
      <w:proofErr w:type="spellEnd"/>
      <w:r w:rsidRPr="001C5D93">
        <w:rPr>
          <w:rFonts w:asciiTheme="majorHAnsi" w:hAnsiTheme="majorHAnsi" w:cstheme="majorHAnsi"/>
          <w:bCs/>
          <w:sz w:val="32"/>
          <w:szCs w:val="32"/>
        </w:rPr>
        <w:t xml:space="preserve">, W. H., &amp; McLean, E. R. (2003). The </w:t>
      </w:r>
      <w:proofErr w:type="spellStart"/>
      <w:r w:rsidRPr="001C5D93">
        <w:rPr>
          <w:rFonts w:asciiTheme="majorHAnsi" w:hAnsiTheme="majorHAnsi" w:cstheme="majorHAnsi"/>
          <w:bCs/>
          <w:sz w:val="32"/>
          <w:szCs w:val="32"/>
        </w:rPr>
        <w:t>DeLone</w:t>
      </w:r>
      <w:proofErr w:type="spellEnd"/>
      <w:r w:rsidRPr="001C5D93">
        <w:rPr>
          <w:rFonts w:asciiTheme="majorHAnsi" w:hAnsiTheme="majorHAnsi" w:cstheme="majorHAnsi"/>
          <w:bCs/>
          <w:sz w:val="32"/>
          <w:szCs w:val="32"/>
        </w:rPr>
        <w:t xml:space="preserve"> and McLean model of information systems success: A ten-year update. </w:t>
      </w:r>
      <w:r w:rsidRPr="001C5D93">
        <w:rPr>
          <w:rFonts w:asciiTheme="majorHAnsi" w:hAnsiTheme="majorHAnsi" w:cstheme="majorHAnsi"/>
          <w:bCs/>
          <w:i/>
          <w:iCs/>
          <w:sz w:val="32"/>
          <w:szCs w:val="32"/>
        </w:rPr>
        <w:lastRenderedPageBreak/>
        <w:t>Journal of Management Information Systems, 19</w:t>
      </w:r>
      <w:r w:rsidRPr="001C5D93">
        <w:rPr>
          <w:rFonts w:asciiTheme="majorHAnsi" w:hAnsiTheme="majorHAnsi" w:cstheme="majorHAnsi"/>
          <w:bCs/>
          <w:sz w:val="32"/>
          <w:szCs w:val="32"/>
        </w:rPr>
        <w:t xml:space="preserve">(4), 9–30. </w:t>
      </w:r>
      <w:hyperlink r:id="rId38" w:tgtFrame="_new" w:history="1">
        <w:r w:rsidRPr="001C5D93">
          <w:rPr>
            <w:rStyle w:val="Hyperlink"/>
            <w:rFonts w:asciiTheme="majorHAnsi" w:hAnsiTheme="majorHAnsi" w:cstheme="majorHAnsi"/>
            <w:bCs/>
            <w:sz w:val="32"/>
            <w:szCs w:val="32"/>
          </w:rPr>
          <w:t>https://doi.org/10.1080/07421222.2003.11045748</w:t>
        </w:r>
      </w:hyperlink>
    </w:p>
    <w:p w14:paraId="7956A27F"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Dietzmann, C., &amp; Duan, Y. (2022). Artificial intelligence for managerial information processing and decision-making in the era of information overload. In </w:t>
      </w:r>
      <w:r w:rsidRPr="001C5D93">
        <w:rPr>
          <w:rFonts w:asciiTheme="majorHAnsi" w:hAnsiTheme="majorHAnsi" w:cstheme="majorHAnsi"/>
          <w:bCs/>
          <w:i/>
          <w:iCs/>
          <w:sz w:val="32"/>
          <w:szCs w:val="32"/>
        </w:rPr>
        <w:t>Proceedings of the 55th Hawaii International Conference on System Sciences</w:t>
      </w:r>
      <w:r w:rsidRPr="001C5D93">
        <w:rPr>
          <w:rFonts w:asciiTheme="majorHAnsi" w:hAnsiTheme="majorHAnsi" w:cstheme="majorHAnsi"/>
          <w:bCs/>
          <w:sz w:val="32"/>
          <w:szCs w:val="32"/>
        </w:rPr>
        <w:t xml:space="preserve"> (pp. 5386–5395). </w:t>
      </w:r>
      <w:hyperlink r:id="rId39" w:history="1">
        <w:r w:rsidRPr="001C5D93">
          <w:rPr>
            <w:rStyle w:val="Hyperlink"/>
            <w:rFonts w:asciiTheme="majorHAnsi" w:hAnsiTheme="majorHAnsi" w:cstheme="majorHAnsi"/>
            <w:bCs/>
            <w:sz w:val="32"/>
            <w:szCs w:val="32"/>
          </w:rPr>
          <w:t>https://doi.org/10.24251/HICSS.2022.655</w:t>
        </w:r>
      </w:hyperlink>
    </w:p>
    <w:p w14:paraId="0BA4E03F"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Dvorsky, J., Belas, J., </w:t>
      </w:r>
      <w:proofErr w:type="spellStart"/>
      <w:r w:rsidRPr="001C5D93">
        <w:rPr>
          <w:rFonts w:asciiTheme="majorHAnsi" w:hAnsiTheme="majorHAnsi" w:cstheme="majorHAnsi"/>
          <w:bCs/>
          <w:sz w:val="32"/>
          <w:szCs w:val="32"/>
        </w:rPr>
        <w:t>Gavurova</w:t>
      </w:r>
      <w:proofErr w:type="spellEnd"/>
      <w:r w:rsidRPr="001C5D93">
        <w:rPr>
          <w:rFonts w:asciiTheme="majorHAnsi" w:hAnsiTheme="majorHAnsi" w:cstheme="majorHAnsi"/>
          <w:bCs/>
          <w:sz w:val="32"/>
          <w:szCs w:val="32"/>
        </w:rPr>
        <w:t xml:space="preserve">, B., &amp; Brabenec, T. (2021). Business risk management in the context of small and medium-sized enterprises. </w:t>
      </w:r>
      <w:r w:rsidRPr="001C5D93">
        <w:rPr>
          <w:rFonts w:asciiTheme="majorHAnsi" w:hAnsiTheme="majorHAnsi" w:cstheme="majorHAnsi"/>
          <w:bCs/>
          <w:i/>
          <w:iCs/>
          <w:sz w:val="32"/>
          <w:szCs w:val="32"/>
        </w:rPr>
        <w:t>Economic Research-</w:t>
      </w:r>
      <w:proofErr w:type="spellStart"/>
      <w:r w:rsidRPr="001C5D93">
        <w:rPr>
          <w:rFonts w:asciiTheme="majorHAnsi" w:hAnsiTheme="majorHAnsi" w:cstheme="majorHAnsi"/>
          <w:bCs/>
          <w:i/>
          <w:iCs/>
          <w:sz w:val="32"/>
          <w:szCs w:val="32"/>
        </w:rPr>
        <w:t>Ekonomska</w:t>
      </w:r>
      <w:proofErr w:type="spellEnd"/>
      <w:r w:rsidRPr="001C5D93">
        <w:rPr>
          <w:rFonts w:asciiTheme="majorHAnsi" w:hAnsiTheme="majorHAnsi" w:cstheme="majorHAnsi"/>
          <w:bCs/>
          <w:i/>
          <w:iCs/>
          <w:sz w:val="32"/>
          <w:szCs w:val="32"/>
        </w:rPr>
        <w:t xml:space="preserve"> </w:t>
      </w:r>
      <w:proofErr w:type="spellStart"/>
      <w:r w:rsidRPr="001C5D93">
        <w:rPr>
          <w:rFonts w:asciiTheme="majorHAnsi" w:hAnsiTheme="majorHAnsi" w:cstheme="majorHAnsi"/>
          <w:bCs/>
          <w:i/>
          <w:iCs/>
          <w:sz w:val="32"/>
          <w:szCs w:val="32"/>
        </w:rPr>
        <w:t>Istraživanja</w:t>
      </w:r>
      <w:proofErr w:type="spellEnd"/>
      <w:r w:rsidRPr="001C5D93">
        <w:rPr>
          <w:rFonts w:asciiTheme="majorHAnsi" w:hAnsiTheme="majorHAnsi" w:cstheme="majorHAnsi"/>
          <w:bCs/>
          <w:i/>
          <w:iCs/>
          <w:sz w:val="32"/>
          <w:szCs w:val="32"/>
        </w:rPr>
        <w:t>, 34</w:t>
      </w:r>
      <w:r w:rsidRPr="001C5D93">
        <w:rPr>
          <w:rFonts w:asciiTheme="majorHAnsi" w:hAnsiTheme="majorHAnsi" w:cstheme="majorHAnsi"/>
          <w:bCs/>
          <w:sz w:val="32"/>
          <w:szCs w:val="32"/>
        </w:rPr>
        <w:t xml:space="preserve">(1), 1690–1708. </w:t>
      </w:r>
      <w:hyperlink r:id="rId40" w:tgtFrame="_new" w:history="1">
        <w:r w:rsidRPr="001C5D93">
          <w:rPr>
            <w:rStyle w:val="Hyperlink"/>
            <w:rFonts w:asciiTheme="majorHAnsi" w:hAnsiTheme="majorHAnsi" w:cstheme="majorHAnsi"/>
            <w:bCs/>
            <w:sz w:val="32"/>
            <w:szCs w:val="32"/>
          </w:rPr>
          <w:t>https://doi.org/10.1080/1331677X.2020.1844582</w:t>
        </w:r>
      </w:hyperlink>
    </w:p>
    <w:p w14:paraId="4F3B78F9" w14:textId="77777777" w:rsidR="005B684E" w:rsidRPr="001C5D93" w:rsidRDefault="005B684E"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Elhaddad, M., &amp; Hamam, S. (2024). AI-driven clinical decision support systems: An ongoing pursuit of potential. </w:t>
      </w:r>
      <w:r w:rsidRPr="001C5D93">
        <w:rPr>
          <w:rStyle w:val="ae"/>
          <w:rFonts w:asciiTheme="majorHAnsi" w:eastAsiaTheme="majorEastAsia" w:hAnsiTheme="majorHAnsi" w:cstheme="majorHAnsi"/>
          <w:sz w:val="32"/>
          <w:szCs w:val="32"/>
        </w:rPr>
        <w:t>Cureus, 16</w:t>
      </w:r>
      <w:r w:rsidRPr="001C5D93">
        <w:rPr>
          <w:rFonts w:asciiTheme="majorHAnsi" w:hAnsiTheme="majorHAnsi" w:cstheme="majorHAnsi"/>
          <w:sz w:val="32"/>
          <w:szCs w:val="32"/>
        </w:rPr>
        <w:t xml:space="preserve">(4), e57728. </w:t>
      </w:r>
      <w:r w:rsidRPr="00AF30A4">
        <w:rPr>
          <w:rStyle w:val="Hyperlink"/>
          <w:rFonts w:asciiTheme="majorHAnsi" w:eastAsiaTheme="minorHAnsi" w:hAnsiTheme="majorHAnsi" w:cstheme="majorHAnsi"/>
          <w:bCs/>
          <w:sz w:val="32"/>
          <w:szCs w:val="32"/>
        </w:rPr>
        <w:t>https://doi.org/10.7759/cureus.57728</w:t>
      </w:r>
      <w:r w:rsidRPr="001C5D93">
        <w:rPr>
          <w:rFonts w:asciiTheme="majorHAnsi" w:hAnsiTheme="majorHAnsi" w:cstheme="majorHAnsi"/>
          <w:sz w:val="32"/>
          <w:szCs w:val="32"/>
        </w:rPr>
        <w:t xml:space="preserve"> </w:t>
      </w:r>
    </w:p>
    <w:p w14:paraId="379CC91E"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Etges</w:t>
      </w:r>
      <w:proofErr w:type="spellEnd"/>
      <w:r w:rsidRPr="001C5D93">
        <w:rPr>
          <w:rFonts w:asciiTheme="majorHAnsi" w:hAnsiTheme="majorHAnsi" w:cstheme="majorHAnsi"/>
          <w:bCs/>
          <w:sz w:val="32"/>
          <w:szCs w:val="32"/>
        </w:rPr>
        <w:t xml:space="preserve">, A. P. B. D. S., de Souza, J. S., Kliemann Neto, F. J., &amp; Felix, E. A. (2019). A proposed enterprise risk management model for health organizations. </w:t>
      </w:r>
      <w:r w:rsidRPr="001C5D93">
        <w:rPr>
          <w:rFonts w:asciiTheme="majorHAnsi" w:hAnsiTheme="majorHAnsi" w:cstheme="majorHAnsi"/>
          <w:bCs/>
          <w:i/>
          <w:iCs/>
          <w:sz w:val="32"/>
          <w:szCs w:val="32"/>
        </w:rPr>
        <w:t>Journal of Risk Research, 22</w:t>
      </w:r>
      <w:r w:rsidRPr="001C5D93">
        <w:rPr>
          <w:rFonts w:asciiTheme="majorHAnsi" w:hAnsiTheme="majorHAnsi" w:cstheme="majorHAnsi"/>
          <w:bCs/>
          <w:sz w:val="32"/>
          <w:szCs w:val="32"/>
        </w:rPr>
        <w:t xml:space="preserve">(4), 513–531. </w:t>
      </w:r>
      <w:hyperlink r:id="rId41" w:history="1">
        <w:r w:rsidRPr="001C5D93">
          <w:rPr>
            <w:rStyle w:val="Hyperlink"/>
            <w:rFonts w:asciiTheme="majorHAnsi" w:hAnsiTheme="majorHAnsi" w:cstheme="majorHAnsi"/>
            <w:bCs/>
            <w:sz w:val="32"/>
            <w:szCs w:val="32"/>
          </w:rPr>
          <w:t>https://doi.org/10.1080/13669877.2017.1351470</w:t>
        </w:r>
      </w:hyperlink>
    </w:p>
    <w:p w14:paraId="14DC4384"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Fink, G., </w:t>
      </w:r>
      <w:proofErr w:type="spellStart"/>
      <w:r w:rsidRPr="001C5D93">
        <w:rPr>
          <w:rFonts w:asciiTheme="majorHAnsi" w:hAnsiTheme="majorHAnsi" w:cstheme="majorHAnsi"/>
          <w:bCs/>
          <w:sz w:val="32"/>
          <w:szCs w:val="32"/>
        </w:rPr>
        <w:t>Kandpal</w:t>
      </w:r>
      <w:proofErr w:type="spellEnd"/>
      <w:r w:rsidRPr="001C5D93">
        <w:rPr>
          <w:rFonts w:asciiTheme="majorHAnsi" w:hAnsiTheme="majorHAnsi" w:cstheme="majorHAnsi"/>
          <w:bCs/>
          <w:sz w:val="32"/>
          <w:szCs w:val="32"/>
        </w:rPr>
        <w:t xml:space="preserve">, E., &amp; Shapira, G. (2022). Inequality in the quality of health services: Wealth, content of care, and the price of antenatal consultations in the Democratic Republic of Congo. </w:t>
      </w:r>
      <w:r w:rsidRPr="001C5D93">
        <w:rPr>
          <w:rFonts w:asciiTheme="majorHAnsi" w:hAnsiTheme="majorHAnsi" w:cstheme="majorHAnsi"/>
          <w:bCs/>
          <w:i/>
          <w:iCs/>
          <w:sz w:val="32"/>
          <w:szCs w:val="32"/>
        </w:rPr>
        <w:t>Economic Development and Cultural Change, 70</w:t>
      </w:r>
      <w:r w:rsidRPr="001C5D93">
        <w:rPr>
          <w:rFonts w:asciiTheme="majorHAnsi" w:hAnsiTheme="majorHAnsi" w:cstheme="majorHAnsi"/>
          <w:bCs/>
          <w:sz w:val="32"/>
          <w:szCs w:val="32"/>
        </w:rPr>
        <w:t xml:space="preserve">(3), 1345–1382. </w:t>
      </w:r>
      <w:hyperlink r:id="rId42" w:history="1">
        <w:r w:rsidRPr="001C5D93">
          <w:rPr>
            <w:rStyle w:val="Hyperlink"/>
            <w:rFonts w:asciiTheme="majorHAnsi" w:hAnsiTheme="majorHAnsi" w:cstheme="majorHAnsi"/>
            <w:bCs/>
            <w:sz w:val="32"/>
            <w:szCs w:val="32"/>
          </w:rPr>
          <w:t>https://doi.org/10.1086/714339</w:t>
        </w:r>
      </w:hyperlink>
    </w:p>
    <w:p w14:paraId="6116DA98"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Gbadago</w:t>
      </w:r>
      <w:proofErr w:type="spellEnd"/>
      <w:r w:rsidRPr="001C5D93">
        <w:rPr>
          <w:rFonts w:asciiTheme="majorHAnsi" w:hAnsiTheme="majorHAnsi" w:cstheme="majorHAnsi"/>
          <w:bCs/>
          <w:sz w:val="32"/>
          <w:szCs w:val="32"/>
        </w:rPr>
        <w:t xml:space="preserve">, P., </w:t>
      </w:r>
      <w:proofErr w:type="spellStart"/>
      <w:r w:rsidRPr="001C5D93">
        <w:rPr>
          <w:rFonts w:asciiTheme="majorHAnsi" w:hAnsiTheme="majorHAnsi" w:cstheme="majorHAnsi"/>
          <w:bCs/>
          <w:sz w:val="32"/>
          <w:szCs w:val="32"/>
        </w:rPr>
        <w:t>Amedome</w:t>
      </w:r>
      <w:proofErr w:type="spellEnd"/>
      <w:r w:rsidRPr="001C5D93">
        <w:rPr>
          <w:rFonts w:asciiTheme="majorHAnsi" w:hAnsiTheme="majorHAnsi" w:cstheme="majorHAnsi"/>
          <w:bCs/>
          <w:sz w:val="32"/>
          <w:szCs w:val="32"/>
        </w:rPr>
        <w:t xml:space="preserve">, S., &amp; </w:t>
      </w:r>
      <w:proofErr w:type="spellStart"/>
      <w:r w:rsidRPr="001C5D93">
        <w:rPr>
          <w:rFonts w:asciiTheme="majorHAnsi" w:hAnsiTheme="majorHAnsi" w:cstheme="majorHAnsi"/>
          <w:bCs/>
          <w:sz w:val="32"/>
          <w:szCs w:val="32"/>
        </w:rPr>
        <w:t>Honyenuga</w:t>
      </w:r>
      <w:proofErr w:type="spellEnd"/>
      <w:r w:rsidRPr="001C5D93">
        <w:rPr>
          <w:rFonts w:asciiTheme="majorHAnsi" w:hAnsiTheme="majorHAnsi" w:cstheme="majorHAnsi"/>
          <w:bCs/>
          <w:sz w:val="32"/>
          <w:szCs w:val="32"/>
        </w:rPr>
        <w:t xml:space="preserve">, B. (2017). The impact of occupational health and safety measures on employee performance at the South </w:t>
      </w:r>
      <w:proofErr w:type="spellStart"/>
      <w:r w:rsidRPr="001C5D93">
        <w:rPr>
          <w:rFonts w:asciiTheme="majorHAnsi" w:hAnsiTheme="majorHAnsi" w:cstheme="majorHAnsi"/>
          <w:bCs/>
          <w:sz w:val="32"/>
          <w:szCs w:val="32"/>
        </w:rPr>
        <w:t>Tongu</w:t>
      </w:r>
      <w:proofErr w:type="spellEnd"/>
      <w:r w:rsidRPr="001C5D93">
        <w:rPr>
          <w:rFonts w:asciiTheme="majorHAnsi" w:hAnsiTheme="majorHAnsi" w:cstheme="majorHAnsi"/>
          <w:bCs/>
          <w:sz w:val="32"/>
          <w:szCs w:val="32"/>
        </w:rPr>
        <w:t xml:space="preserve"> District Hospital. </w:t>
      </w:r>
      <w:r w:rsidRPr="001C5D93">
        <w:rPr>
          <w:rFonts w:asciiTheme="majorHAnsi" w:hAnsiTheme="majorHAnsi" w:cstheme="majorHAnsi"/>
          <w:bCs/>
          <w:i/>
          <w:iCs/>
          <w:sz w:val="32"/>
          <w:szCs w:val="32"/>
        </w:rPr>
        <w:t>Global Journal of Medical Research: K Interdisciplinary, 17</w:t>
      </w:r>
      <w:r w:rsidRPr="001C5D93">
        <w:rPr>
          <w:rFonts w:asciiTheme="majorHAnsi" w:hAnsiTheme="majorHAnsi" w:cstheme="majorHAnsi"/>
          <w:bCs/>
          <w:sz w:val="32"/>
          <w:szCs w:val="32"/>
        </w:rPr>
        <w:t>(5), 1–8.</w:t>
      </w:r>
    </w:p>
    <w:p w14:paraId="44CCE989"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Getenet, B., </w:t>
      </w:r>
      <w:proofErr w:type="spellStart"/>
      <w:r w:rsidRPr="001C5D93">
        <w:rPr>
          <w:rFonts w:asciiTheme="majorHAnsi" w:hAnsiTheme="majorHAnsi" w:cstheme="majorHAnsi"/>
          <w:bCs/>
          <w:sz w:val="32"/>
          <w:szCs w:val="32"/>
        </w:rPr>
        <w:t>Waganew</w:t>
      </w:r>
      <w:proofErr w:type="spellEnd"/>
      <w:r w:rsidRPr="001C5D93">
        <w:rPr>
          <w:rFonts w:asciiTheme="majorHAnsi" w:hAnsiTheme="majorHAnsi" w:cstheme="majorHAnsi"/>
          <w:bCs/>
          <w:sz w:val="32"/>
          <w:szCs w:val="32"/>
        </w:rPr>
        <w:t xml:space="preserve">, W., Keney, D., &amp; Yesuf, A. (2023). Knowledge, attitude and practices of frontline health care workers to disaster risk management in private general hospitals in Addis Ababa, Ethiopia. </w:t>
      </w:r>
      <w:r w:rsidRPr="001C5D93">
        <w:rPr>
          <w:rFonts w:asciiTheme="majorHAnsi" w:hAnsiTheme="majorHAnsi" w:cstheme="majorHAnsi"/>
          <w:bCs/>
          <w:i/>
          <w:iCs/>
          <w:sz w:val="32"/>
          <w:szCs w:val="32"/>
        </w:rPr>
        <w:t>Ethiopian Journal of Health Sciences, 33</w:t>
      </w:r>
      <w:r w:rsidRPr="001C5D93">
        <w:rPr>
          <w:rFonts w:asciiTheme="majorHAnsi" w:hAnsiTheme="majorHAnsi" w:cstheme="majorHAnsi"/>
          <w:bCs/>
          <w:sz w:val="32"/>
          <w:szCs w:val="32"/>
        </w:rPr>
        <w:t xml:space="preserve">(5), 795–804. </w:t>
      </w:r>
      <w:hyperlink r:id="rId43" w:history="1">
        <w:r w:rsidRPr="001C5D93">
          <w:rPr>
            <w:rStyle w:val="Hyperlink"/>
            <w:rFonts w:asciiTheme="majorHAnsi" w:hAnsiTheme="majorHAnsi" w:cstheme="majorHAnsi"/>
            <w:bCs/>
            <w:sz w:val="32"/>
            <w:szCs w:val="32"/>
          </w:rPr>
          <w:t>https://doi.org/10.4314/ejhs.v33i5.8</w:t>
        </w:r>
      </w:hyperlink>
    </w:p>
    <w:p w14:paraId="04281154"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lastRenderedPageBreak/>
        <w:t xml:space="preserve">Ghory, S., &amp; Ghafory, H. (2021). The impact of modern technology in the teaching and learning process. </w:t>
      </w:r>
      <w:r w:rsidRPr="001C5D93">
        <w:rPr>
          <w:rFonts w:asciiTheme="majorHAnsi" w:hAnsiTheme="majorHAnsi" w:cstheme="majorHAnsi"/>
          <w:bCs/>
          <w:i/>
          <w:iCs/>
          <w:sz w:val="32"/>
          <w:szCs w:val="32"/>
        </w:rPr>
        <w:t>International Journal of Innovative Research and Scientific Studies, 4</w:t>
      </w:r>
      <w:r w:rsidRPr="001C5D93">
        <w:rPr>
          <w:rFonts w:asciiTheme="majorHAnsi" w:hAnsiTheme="majorHAnsi" w:cstheme="majorHAnsi"/>
          <w:bCs/>
          <w:sz w:val="32"/>
          <w:szCs w:val="32"/>
        </w:rPr>
        <w:t xml:space="preserve">(3), 168–173. </w:t>
      </w:r>
      <w:hyperlink r:id="rId44" w:tgtFrame="_new" w:history="1">
        <w:r w:rsidRPr="001C5D93">
          <w:rPr>
            <w:rStyle w:val="Hyperlink"/>
            <w:rFonts w:asciiTheme="majorHAnsi" w:hAnsiTheme="majorHAnsi" w:cstheme="majorHAnsi"/>
            <w:bCs/>
            <w:sz w:val="32"/>
            <w:szCs w:val="32"/>
          </w:rPr>
          <w:t>https://doi.org/10.53894/ijirss.v4i3.73</w:t>
        </w:r>
      </w:hyperlink>
    </w:p>
    <w:p w14:paraId="102D6DDA"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Haleem, A., Javaid, M., Singh, R. P., &amp; Suman, R. (2021). Telemedicine for healthcare: Capabilities, features, barriers, and applications. </w:t>
      </w:r>
      <w:r w:rsidRPr="001C5D93">
        <w:rPr>
          <w:rFonts w:asciiTheme="majorHAnsi" w:hAnsiTheme="majorHAnsi" w:cstheme="majorHAnsi"/>
          <w:bCs/>
          <w:i/>
          <w:iCs/>
          <w:sz w:val="32"/>
          <w:szCs w:val="32"/>
        </w:rPr>
        <w:t>Sensors International, 2</w:t>
      </w:r>
      <w:r w:rsidRPr="001C5D93">
        <w:rPr>
          <w:rFonts w:asciiTheme="majorHAnsi" w:hAnsiTheme="majorHAnsi" w:cstheme="majorHAnsi"/>
          <w:bCs/>
          <w:sz w:val="32"/>
          <w:szCs w:val="32"/>
        </w:rPr>
        <w:t xml:space="preserve">, 100117. </w:t>
      </w:r>
      <w:hyperlink r:id="rId45" w:tgtFrame="_new" w:history="1">
        <w:r w:rsidRPr="001C5D93">
          <w:rPr>
            <w:rStyle w:val="Hyperlink"/>
            <w:rFonts w:asciiTheme="majorHAnsi" w:hAnsiTheme="majorHAnsi" w:cstheme="majorHAnsi"/>
            <w:bCs/>
            <w:sz w:val="32"/>
            <w:szCs w:val="32"/>
          </w:rPr>
          <w:t>https://doi.org/10.1016/j.sintl.2021.100117</w:t>
        </w:r>
      </w:hyperlink>
    </w:p>
    <w:p w14:paraId="39DC0FB9"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Haleem, A., Javaid, M., Singh, R. P., &amp; Suman, R. (2021). Telemedicine for healthcare: Capabilities, features, barriers, and applications. </w:t>
      </w:r>
      <w:r w:rsidRPr="001C5D93">
        <w:rPr>
          <w:rFonts w:asciiTheme="majorHAnsi" w:hAnsiTheme="majorHAnsi" w:cstheme="majorHAnsi"/>
          <w:bCs/>
          <w:i/>
          <w:iCs/>
          <w:sz w:val="32"/>
          <w:szCs w:val="32"/>
        </w:rPr>
        <w:t>Sensors International, 2</w:t>
      </w:r>
      <w:r w:rsidRPr="001C5D93">
        <w:rPr>
          <w:rFonts w:asciiTheme="majorHAnsi" w:hAnsiTheme="majorHAnsi" w:cstheme="majorHAnsi"/>
          <w:bCs/>
          <w:sz w:val="32"/>
          <w:szCs w:val="32"/>
        </w:rPr>
        <w:t xml:space="preserve">, 100117. </w:t>
      </w:r>
      <w:hyperlink r:id="rId46" w:tgtFrame="_new" w:history="1">
        <w:r w:rsidRPr="001C5D93">
          <w:rPr>
            <w:rStyle w:val="Hyperlink"/>
            <w:rFonts w:asciiTheme="majorHAnsi" w:hAnsiTheme="majorHAnsi" w:cstheme="majorHAnsi"/>
            <w:bCs/>
            <w:sz w:val="32"/>
            <w:szCs w:val="32"/>
          </w:rPr>
          <w:t>https://doi.org/10.1016/j.sintl.2021.100117</w:t>
        </w:r>
      </w:hyperlink>
    </w:p>
    <w:p w14:paraId="4A5409A4"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Hammer, M., &amp; Champy, J. (1993). </w:t>
      </w:r>
      <w:r w:rsidRPr="001C5D93">
        <w:rPr>
          <w:rFonts w:asciiTheme="majorHAnsi" w:hAnsiTheme="majorHAnsi" w:cstheme="majorHAnsi"/>
          <w:bCs/>
          <w:i/>
          <w:iCs/>
          <w:sz w:val="32"/>
          <w:szCs w:val="32"/>
        </w:rPr>
        <w:t>Reengineering the corporation: A manifesto for business revolution</w:t>
      </w:r>
      <w:r w:rsidRPr="001C5D93">
        <w:rPr>
          <w:rFonts w:asciiTheme="majorHAnsi" w:hAnsiTheme="majorHAnsi" w:cstheme="majorHAnsi"/>
          <w:bCs/>
          <w:sz w:val="32"/>
          <w:szCs w:val="32"/>
        </w:rPr>
        <w:t>. Harper Business.</w:t>
      </w:r>
    </w:p>
    <w:p w14:paraId="1502C5D4"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Holden, R. J., &amp; Karsh, B.-T. (2010). The technology acceptance model: Its past and its future in health care. </w:t>
      </w:r>
      <w:r w:rsidRPr="001C5D93">
        <w:rPr>
          <w:rFonts w:asciiTheme="majorHAnsi" w:hAnsiTheme="majorHAnsi" w:cstheme="majorHAnsi"/>
          <w:bCs/>
          <w:i/>
          <w:iCs/>
          <w:sz w:val="32"/>
          <w:szCs w:val="32"/>
        </w:rPr>
        <w:t>Journal of Biomedical Informatics, 43</w:t>
      </w:r>
      <w:r w:rsidRPr="001C5D93">
        <w:rPr>
          <w:rFonts w:asciiTheme="majorHAnsi" w:hAnsiTheme="majorHAnsi" w:cstheme="majorHAnsi"/>
          <w:bCs/>
          <w:sz w:val="32"/>
          <w:szCs w:val="32"/>
        </w:rPr>
        <w:t xml:space="preserve">(1), 159–172. </w:t>
      </w:r>
      <w:hyperlink r:id="rId47" w:tgtFrame="_new" w:history="1">
        <w:r w:rsidRPr="001C5D93">
          <w:rPr>
            <w:rStyle w:val="Hyperlink"/>
            <w:rFonts w:asciiTheme="majorHAnsi" w:hAnsiTheme="majorHAnsi" w:cstheme="majorHAnsi"/>
            <w:bCs/>
            <w:sz w:val="32"/>
            <w:szCs w:val="32"/>
          </w:rPr>
          <w:t>https://doi.org/10.1016/j.jbi.2009.07.002</w:t>
        </w:r>
      </w:hyperlink>
    </w:p>
    <w:p w14:paraId="266C030D"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Husna, N. (2017). The effect of modern office technology on management performance. </w:t>
      </w:r>
      <w:r w:rsidRPr="001C5D93">
        <w:rPr>
          <w:rFonts w:asciiTheme="majorHAnsi" w:hAnsiTheme="majorHAnsi" w:cstheme="majorHAnsi"/>
          <w:bCs/>
          <w:i/>
          <w:iCs/>
          <w:sz w:val="32"/>
          <w:szCs w:val="32"/>
        </w:rPr>
        <w:t>Problems and Perspectives in Management, 15</w:t>
      </w:r>
      <w:r w:rsidRPr="001C5D93">
        <w:rPr>
          <w:rFonts w:asciiTheme="majorHAnsi" w:hAnsiTheme="majorHAnsi" w:cstheme="majorHAnsi"/>
          <w:bCs/>
          <w:sz w:val="32"/>
          <w:szCs w:val="32"/>
        </w:rPr>
        <w:t xml:space="preserve">(2), 376–384. </w:t>
      </w:r>
      <w:hyperlink r:id="rId48" w:history="1">
        <w:r w:rsidRPr="001C5D93">
          <w:rPr>
            <w:rStyle w:val="Hyperlink"/>
            <w:rFonts w:asciiTheme="majorHAnsi" w:hAnsiTheme="majorHAnsi" w:cstheme="majorHAnsi"/>
            <w:bCs/>
            <w:sz w:val="32"/>
            <w:szCs w:val="32"/>
          </w:rPr>
          <w:t>https://doi.org/10.21511/ppm.15(2-2).2017.05</w:t>
        </w:r>
      </w:hyperlink>
    </w:p>
    <w:p w14:paraId="18BDC39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Ibrar</w:t>
      </w:r>
      <w:proofErr w:type="spellEnd"/>
      <w:r w:rsidRPr="001C5D93">
        <w:rPr>
          <w:rFonts w:asciiTheme="majorHAnsi" w:hAnsiTheme="majorHAnsi" w:cstheme="majorHAnsi"/>
          <w:bCs/>
          <w:sz w:val="32"/>
          <w:szCs w:val="32"/>
        </w:rPr>
        <w:t xml:space="preserve">, M., Khan, M., Khan, H., Shah, M., Khan, A., &amp; Khan, M. T. (2021). Impact of occupational health and safety measures on employees’ productivity. </w:t>
      </w:r>
      <w:proofErr w:type="spellStart"/>
      <w:r w:rsidRPr="001C5D93">
        <w:rPr>
          <w:rFonts w:asciiTheme="majorHAnsi" w:hAnsiTheme="majorHAnsi" w:cstheme="majorHAnsi"/>
          <w:bCs/>
          <w:i/>
          <w:iCs/>
          <w:sz w:val="32"/>
          <w:szCs w:val="32"/>
        </w:rPr>
        <w:t>PalArch’s</w:t>
      </w:r>
      <w:proofErr w:type="spellEnd"/>
      <w:r w:rsidRPr="001C5D93">
        <w:rPr>
          <w:rFonts w:asciiTheme="majorHAnsi" w:hAnsiTheme="majorHAnsi" w:cstheme="majorHAnsi"/>
          <w:bCs/>
          <w:i/>
          <w:iCs/>
          <w:sz w:val="32"/>
          <w:szCs w:val="32"/>
        </w:rPr>
        <w:t xml:space="preserve"> Journal of Archaeology of Egypt/Egyptology, 18</w:t>
      </w:r>
      <w:r w:rsidRPr="001C5D93">
        <w:rPr>
          <w:rFonts w:asciiTheme="majorHAnsi" w:hAnsiTheme="majorHAnsi" w:cstheme="majorHAnsi"/>
          <w:bCs/>
          <w:sz w:val="32"/>
          <w:szCs w:val="32"/>
        </w:rPr>
        <w:t>(10), 1875–1885.</w:t>
      </w:r>
    </w:p>
    <w:p w14:paraId="43047435"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International Organization for Standardization. (2018). </w:t>
      </w:r>
      <w:r w:rsidRPr="001C5D93">
        <w:rPr>
          <w:rFonts w:asciiTheme="majorHAnsi" w:hAnsiTheme="majorHAnsi" w:cstheme="majorHAnsi"/>
          <w:bCs/>
          <w:i/>
          <w:iCs/>
          <w:sz w:val="32"/>
          <w:szCs w:val="32"/>
        </w:rPr>
        <w:t>ISO 31000:2018 Risk management — Guidelines</w:t>
      </w:r>
      <w:r w:rsidRPr="001C5D93">
        <w:rPr>
          <w:rFonts w:asciiTheme="majorHAnsi" w:hAnsiTheme="majorHAnsi" w:cstheme="majorHAnsi"/>
          <w:bCs/>
          <w:sz w:val="32"/>
          <w:szCs w:val="32"/>
        </w:rPr>
        <w:t xml:space="preserve">. ISO. </w:t>
      </w:r>
      <w:hyperlink r:id="rId49" w:tgtFrame="_new" w:history="1">
        <w:r w:rsidRPr="001C5D93">
          <w:rPr>
            <w:rStyle w:val="Hyperlink"/>
            <w:rFonts w:asciiTheme="majorHAnsi" w:hAnsiTheme="majorHAnsi" w:cstheme="majorHAnsi"/>
            <w:bCs/>
            <w:sz w:val="32"/>
            <w:szCs w:val="32"/>
          </w:rPr>
          <w:t>https://www.iso.org/standard/65694.html</w:t>
        </w:r>
      </w:hyperlink>
    </w:p>
    <w:p w14:paraId="1CEAE9A0"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Jabber, A. (2020). </w:t>
      </w:r>
      <w:r w:rsidRPr="001C5D93">
        <w:rPr>
          <w:rFonts w:asciiTheme="majorHAnsi" w:hAnsiTheme="majorHAnsi" w:cstheme="majorHAnsi"/>
          <w:bCs/>
          <w:i/>
          <w:iCs/>
          <w:sz w:val="32"/>
          <w:szCs w:val="32"/>
        </w:rPr>
        <w:t>The impact of risk management practices on organizational performance: A field study at Jordanian insurance companies</w:t>
      </w:r>
      <w:r w:rsidRPr="001C5D93">
        <w:rPr>
          <w:rFonts w:asciiTheme="majorHAnsi" w:hAnsiTheme="majorHAnsi" w:cstheme="majorHAnsi"/>
          <w:bCs/>
          <w:sz w:val="32"/>
          <w:szCs w:val="32"/>
        </w:rPr>
        <w:t xml:space="preserve"> (Master’s thesis). Middle East University, Jordan.</w:t>
      </w:r>
    </w:p>
    <w:p w14:paraId="7B1166D4"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lastRenderedPageBreak/>
        <w:t xml:space="preserve">Jonathan, G., &amp; Mbogo, R. (2016). Maintaining health and safety at workplace: Employee and employer’s role in ensuring a safe working environment. </w:t>
      </w:r>
      <w:r w:rsidRPr="001C5D93">
        <w:rPr>
          <w:rFonts w:asciiTheme="majorHAnsi" w:hAnsiTheme="majorHAnsi" w:cstheme="majorHAnsi"/>
          <w:bCs/>
          <w:i/>
          <w:iCs/>
          <w:sz w:val="32"/>
          <w:szCs w:val="32"/>
        </w:rPr>
        <w:t>Journal of Education and Practice, 7</w:t>
      </w:r>
      <w:r w:rsidRPr="001C5D93">
        <w:rPr>
          <w:rFonts w:asciiTheme="majorHAnsi" w:hAnsiTheme="majorHAnsi" w:cstheme="majorHAnsi"/>
          <w:bCs/>
          <w:sz w:val="32"/>
          <w:szCs w:val="32"/>
        </w:rPr>
        <w:t>(29), 1–7.</w:t>
      </w:r>
    </w:p>
    <w:p w14:paraId="65A2CCB2" w14:textId="77777777" w:rsidR="005B684E"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Kamiya, S., Kang, J. K., Kim, J., </w:t>
      </w:r>
      <w:proofErr w:type="spellStart"/>
      <w:r w:rsidRPr="001C5D93">
        <w:rPr>
          <w:rFonts w:asciiTheme="majorHAnsi" w:hAnsiTheme="majorHAnsi" w:cstheme="majorHAnsi"/>
          <w:bCs/>
          <w:sz w:val="32"/>
          <w:szCs w:val="32"/>
        </w:rPr>
        <w:t>Milidonis</w:t>
      </w:r>
      <w:proofErr w:type="spellEnd"/>
      <w:r w:rsidRPr="001C5D93">
        <w:rPr>
          <w:rFonts w:asciiTheme="majorHAnsi" w:hAnsiTheme="majorHAnsi" w:cstheme="majorHAnsi"/>
          <w:bCs/>
          <w:sz w:val="32"/>
          <w:szCs w:val="32"/>
        </w:rPr>
        <w:t xml:space="preserve">, A., &amp; Stulz, R. M. (2021). Risk management, firm reputation, and the impact of successful cyberattacks on target firms. </w:t>
      </w:r>
      <w:r w:rsidRPr="001C5D93">
        <w:rPr>
          <w:rFonts w:asciiTheme="majorHAnsi" w:hAnsiTheme="majorHAnsi" w:cstheme="majorHAnsi"/>
          <w:bCs/>
          <w:i/>
          <w:iCs/>
          <w:sz w:val="32"/>
          <w:szCs w:val="32"/>
        </w:rPr>
        <w:t>Journal of Financial Economics, 139</w:t>
      </w:r>
      <w:r w:rsidRPr="001C5D93">
        <w:rPr>
          <w:rFonts w:asciiTheme="majorHAnsi" w:hAnsiTheme="majorHAnsi" w:cstheme="majorHAnsi"/>
          <w:bCs/>
          <w:sz w:val="32"/>
          <w:szCs w:val="32"/>
        </w:rPr>
        <w:t xml:space="preserve">(3), 719–749. </w:t>
      </w:r>
      <w:hyperlink r:id="rId50" w:history="1">
        <w:r w:rsidRPr="001C5D93">
          <w:rPr>
            <w:rStyle w:val="Hyperlink"/>
            <w:rFonts w:asciiTheme="majorHAnsi" w:hAnsiTheme="majorHAnsi" w:cstheme="majorHAnsi"/>
            <w:bCs/>
            <w:sz w:val="32"/>
            <w:szCs w:val="32"/>
          </w:rPr>
          <w:t>https://doi.org/10.1016/j.jfineco.2020.09.008</w:t>
        </w:r>
      </w:hyperlink>
    </w:p>
    <w:p w14:paraId="3193C845" w14:textId="77777777" w:rsidR="005B684E" w:rsidRPr="001C5D93" w:rsidRDefault="005B684E"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Kaur, M., &amp; Aslam, A. M. (2018). Big data analytics on IoT: Challenges, open research issues and tools. </w:t>
      </w:r>
      <w:r w:rsidRPr="001C5D93">
        <w:rPr>
          <w:rStyle w:val="ae"/>
          <w:rFonts w:asciiTheme="majorHAnsi" w:eastAsiaTheme="majorEastAsia" w:hAnsiTheme="majorHAnsi" w:cstheme="majorHAnsi"/>
          <w:sz w:val="32"/>
          <w:szCs w:val="32"/>
        </w:rPr>
        <w:t>International Journal of Scientific Research in Computer Science and Engineering, 6</w:t>
      </w:r>
      <w:r w:rsidRPr="001C5D93">
        <w:rPr>
          <w:rFonts w:asciiTheme="majorHAnsi" w:hAnsiTheme="majorHAnsi" w:cstheme="majorHAnsi"/>
          <w:sz w:val="32"/>
          <w:szCs w:val="32"/>
        </w:rPr>
        <w:t xml:space="preserve">(3), 81–85. </w:t>
      </w:r>
    </w:p>
    <w:p w14:paraId="0D76BF5C"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Kenton, W. (2024). Organizational structure for companies: Examples and benefits. </w:t>
      </w:r>
      <w:r w:rsidRPr="001C5D93">
        <w:rPr>
          <w:rFonts w:asciiTheme="majorHAnsi" w:hAnsiTheme="majorHAnsi" w:cstheme="majorHAnsi"/>
          <w:bCs/>
          <w:i/>
          <w:iCs/>
          <w:sz w:val="32"/>
          <w:szCs w:val="32"/>
        </w:rPr>
        <w:t>Investopedia</w:t>
      </w:r>
      <w:r w:rsidRPr="001C5D93">
        <w:rPr>
          <w:rFonts w:asciiTheme="majorHAnsi" w:hAnsiTheme="majorHAnsi" w:cstheme="majorHAnsi"/>
          <w:bCs/>
          <w:sz w:val="32"/>
          <w:szCs w:val="32"/>
        </w:rPr>
        <w:t xml:space="preserve">. Retrieved Februruy 20, 2026, from </w:t>
      </w:r>
      <w:hyperlink r:id="rId51" w:tgtFrame="_new" w:history="1">
        <w:r w:rsidRPr="001C5D93">
          <w:rPr>
            <w:rStyle w:val="Hyperlink"/>
            <w:rFonts w:asciiTheme="majorHAnsi" w:hAnsiTheme="majorHAnsi" w:cstheme="majorHAnsi"/>
            <w:bCs/>
            <w:sz w:val="32"/>
            <w:szCs w:val="32"/>
          </w:rPr>
          <w:t>https://www.investopedia.com/</w:t>
        </w:r>
      </w:hyperlink>
    </w:p>
    <w:p w14:paraId="1F97DA0E"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Khatib, E., Al-</w:t>
      </w:r>
      <w:proofErr w:type="spellStart"/>
      <w:r w:rsidRPr="001C5D93">
        <w:rPr>
          <w:rFonts w:asciiTheme="majorHAnsi" w:hAnsiTheme="majorHAnsi" w:cstheme="majorHAnsi"/>
          <w:bCs/>
          <w:sz w:val="32"/>
          <w:szCs w:val="32"/>
        </w:rPr>
        <w:t>Nakeeb</w:t>
      </w:r>
      <w:proofErr w:type="spellEnd"/>
      <w:r w:rsidRPr="001C5D93">
        <w:rPr>
          <w:rFonts w:asciiTheme="majorHAnsi" w:hAnsiTheme="majorHAnsi" w:cstheme="majorHAnsi"/>
          <w:bCs/>
          <w:sz w:val="32"/>
          <w:szCs w:val="32"/>
        </w:rPr>
        <w:t xml:space="preserve">, A., &amp; ZM, R. (2021). The effect of AI on project and risk management in health care industry projects in the United Arab Emirates (UAE). </w:t>
      </w:r>
      <w:r w:rsidRPr="001C5D93">
        <w:rPr>
          <w:rFonts w:asciiTheme="majorHAnsi" w:hAnsiTheme="majorHAnsi" w:cstheme="majorHAnsi"/>
          <w:bCs/>
          <w:i/>
          <w:iCs/>
          <w:sz w:val="32"/>
          <w:szCs w:val="32"/>
        </w:rPr>
        <w:t>International Journal of Applied Engineering Research, 16</w:t>
      </w:r>
      <w:r w:rsidRPr="001C5D93">
        <w:rPr>
          <w:rFonts w:asciiTheme="majorHAnsi" w:hAnsiTheme="majorHAnsi" w:cstheme="majorHAnsi"/>
          <w:bCs/>
          <w:sz w:val="32"/>
          <w:szCs w:val="32"/>
        </w:rPr>
        <w:t>(1), 45–52.</w:t>
      </w:r>
    </w:p>
    <w:p w14:paraId="1F951651"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Klimova, E. V., Semeykin, A. Y., &amp; </w:t>
      </w:r>
      <w:proofErr w:type="spellStart"/>
      <w:r w:rsidRPr="001C5D93">
        <w:rPr>
          <w:rFonts w:asciiTheme="majorHAnsi" w:hAnsiTheme="majorHAnsi" w:cstheme="majorHAnsi"/>
          <w:bCs/>
          <w:sz w:val="32"/>
          <w:szCs w:val="32"/>
        </w:rPr>
        <w:t>Nosatova</w:t>
      </w:r>
      <w:proofErr w:type="spellEnd"/>
      <w:r w:rsidRPr="001C5D93">
        <w:rPr>
          <w:rFonts w:asciiTheme="majorHAnsi" w:hAnsiTheme="majorHAnsi" w:cstheme="majorHAnsi"/>
          <w:bCs/>
          <w:sz w:val="32"/>
          <w:szCs w:val="32"/>
        </w:rPr>
        <w:t xml:space="preserve">, E. A. (2018). Improvement of processes of professional risk assessment and management in occupational health and safety system. </w:t>
      </w:r>
      <w:r w:rsidRPr="001C5D93">
        <w:rPr>
          <w:rFonts w:asciiTheme="majorHAnsi" w:hAnsiTheme="majorHAnsi" w:cstheme="majorHAnsi"/>
          <w:bCs/>
          <w:i/>
          <w:iCs/>
          <w:sz w:val="32"/>
          <w:szCs w:val="32"/>
        </w:rPr>
        <w:t>IOP Conference Series: Materials Science and Engineering, 451</w:t>
      </w:r>
      <w:r w:rsidRPr="001C5D93">
        <w:rPr>
          <w:rFonts w:asciiTheme="majorHAnsi" w:hAnsiTheme="majorHAnsi" w:cstheme="majorHAnsi"/>
          <w:bCs/>
          <w:sz w:val="32"/>
          <w:szCs w:val="32"/>
        </w:rPr>
        <w:t xml:space="preserve">, 012198. </w:t>
      </w:r>
      <w:hyperlink r:id="rId52" w:history="1">
        <w:r w:rsidRPr="001C5D93">
          <w:rPr>
            <w:rStyle w:val="Hyperlink"/>
            <w:rFonts w:asciiTheme="majorHAnsi" w:hAnsiTheme="majorHAnsi" w:cstheme="majorHAnsi"/>
            <w:bCs/>
            <w:sz w:val="32"/>
            <w:szCs w:val="32"/>
          </w:rPr>
          <w:t>https://doi.org/10.1088/1757-899X/451/1/012198</w:t>
        </w:r>
      </w:hyperlink>
    </w:p>
    <w:p w14:paraId="3585E2FD"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Kline, R. B. (2023). </w:t>
      </w:r>
      <w:r w:rsidRPr="001C5D93">
        <w:rPr>
          <w:rFonts w:asciiTheme="majorHAnsi" w:hAnsiTheme="majorHAnsi" w:cstheme="majorHAnsi"/>
          <w:bCs/>
          <w:i/>
          <w:iCs/>
          <w:sz w:val="32"/>
          <w:szCs w:val="32"/>
        </w:rPr>
        <w:t>Principles and practice of structural equation modeling</w:t>
      </w:r>
      <w:r w:rsidRPr="001C5D93">
        <w:rPr>
          <w:rFonts w:asciiTheme="majorHAnsi" w:hAnsiTheme="majorHAnsi" w:cstheme="majorHAnsi"/>
          <w:bCs/>
          <w:sz w:val="32"/>
          <w:szCs w:val="32"/>
        </w:rPr>
        <w:t xml:space="preserve"> (5th ed.). Guilford Press.</w:t>
      </w:r>
    </w:p>
    <w:p w14:paraId="6C61DB46"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Kumar, A., Gupta, P. K., &amp; Srivastava, A. (2020). A review of modern technologies for tackling COVID-19 pandemic. </w:t>
      </w:r>
      <w:r w:rsidRPr="001C5D93">
        <w:rPr>
          <w:rFonts w:asciiTheme="majorHAnsi" w:hAnsiTheme="majorHAnsi" w:cstheme="majorHAnsi"/>
          <w:bCs/>
          <w:i/>
          <w:iCs/>
          <w:sz w:val="32"/>
          <w:szCs w:val="32"/>
        </w:rPr>
        <w:t>Diabetes &amp; Metabolic Syndrome: Clinical Research &amp; Reviews, 14</w:t>
      </w:r>
      <w:r w:rsidRPr="001C5D93">
        <w:rPr>
          <w:rFonts w:asciiTheme="majorHAnsi" w:hAnsiTheme="majorHAnsi" w:cstheme="majorHAnsi"/>
          <w:bCs/>
          <w:sz w:val="32"/>
          <w:szCs w:val="32"/>
        </w:rPr>
        <w:t xml:space="preserve">(4), 569–573. </w:t>
      </w:r>
      <w:hyperlink r:id="rId53" w:tgtFrame="_new" w:history="1">
        <w:r w:rsidRPr="001C5D93">
          <w:rPr>
            <w:rStyle w:val="Hyperlink"/>
            <w:rFonts w:asciiTheme="majorHAnsi" w:hAnsiTheme="majorHAnsi" w:cstheme="majorHAnsi"/>
            <w:bCs/>
            <w:sz w:val="32"/>
            <w:szCs w:val="32"/>
          </w:rPr>
          <w:t>https://doi.org/10.1016/j.dsx.2020.04.041</w:t>
        </w:r>
      </w:hyperlink>
    </w:p>
    <w:p w14:paraId="012604B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Laroche, E. (2024). Management practices that promote preventive measures compliance: A comparative analysis between hospital healthcare workers and teachers. </w:t>
      </w:r>
      <w:r w:rsidRPr="001C5D93">
        <w:rPr>
          <w:rFonts w:asciiTheme="majorHAnsi" w:hAnsiTheme="majorHAnsi" w:cstheme="majorHAnsi"/>
          <w:bCs/>
          <w:i/>
          <w:iCs/>
          <w:sz w:val="32"/>
          <w:szCs w:val="32"/>
        </w:rPr>
        <w:t xml:space="preserve">Safety </w:t>
      </w:r>
      <w:r w:rsidRPr="001C5D93">
        <w:rPr>
          <w:rFonts w:asciiTheme="majorHAnsi" w:hAnsiTheme="majorHAnsi" w:cstheme="majorHAnsi"/>
          <w:bCs/>
          <w:i/>
          <w:iCs/>
          <w:sz w:val="32"/>
          <w:szCs w:val="32"/>
        </w:rPr>
        <w:lastRenderedPageBreak/>
        <w:t>Science, 177</w:t>
      </w:r>
      <w:r w:rsidRPr="001C5D93">
        <w:rPr>
          <w:rFonts w:asciiTheme="majorHAnsi" w:hAnsiTheme="majorHAnsi" w:cstheme="majorHAnsi"/>
          <w:bCs/>
          <w:sz w:val="32"/>
          <w:szCs w:val="32"/>
        </w:rPr>
        <w:t xml:space="preserve">, 106591. </w:t>
      </w:r>
      <w:hyperlink r:id="rId54" w:tgtFrame="_new" w:history="1">
        <w:r w:rsidRPr="001C5D93">
          <w:rPr>
            <w:rStyle w:val="Hyperlink"/>
            <w:rFonts w:asciiTheme="majorHAnsi" w:hAnsiTheme="majorHAnsi" w:cstheme="majorHAnsi"/>
            <w:bCs/>
            <w:sz w:val="32"/>
            <w:szCs w:val="32"/>
          </w:rPr>
          <w:t>https://doi.org/10.1016/j.ssci.2024.106591</w:t>
        </w:r>
      </w:hyperlink>
    </w:p>
    <w:p w14:paraId="2A8EC24F"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Lassri, D., &amp; Desatnik, A. (2020). Losing and regaining reflective functioning in the times of COVID-19: Clinical risks and opportunities from a mentalizing approach. </w:t>
      </w:r>
      <w:r w:rsidRPr="001C5D93">
        <w:rPr>
          <w:rFonts w:asciiTheme="majorHAnsi" w:hAnsiTheme="majorHAnsi" w:cstheme="majorHAnsi"/>
          <w:bCs/>
          <w:i/>
          <w:iCs/>
          <w:sz w:val="32"/>
          <w:szCs w:val="32"/>
        </w:rPr>
        <w:t>Psychological Trauma: Theory, Research, Practice, and Policy, 12</w:t>
      </w:r>
      <w:r w:rsidRPr="001C5D93">
        <w:rPr>
          <w:rFonts w:asciiTheme="majorHAnsi" w:hAnsiTheme="majorHAnsi" w:cstheme="majorHAnsi"/>
          <w:bCs/>
          <w:sz w:val="32"/>
          <w:szCs w:val="32"/>
        </w:rPr>
        <w:t xml:space="preserve">(S1), S44–S46. </w:t>
      </w:r>
      <w:hyperlink r:id="rId55" w:history="1">
        <w:r w:rsidRPr="001C5D93">
          <w:rPr>
            <w:rStyle w:val="Hyperlink"/>
            <w:rFonts w:asciiTheme="majorHAnsi" w:hAnsiTheme="majorHAnsi" w:cstheme="majorHAnsi"/>
            <w:bCs/>
            <w:sz w:val="32"/>
            <w:szCs w:val="32"/>
          </w:rPr>
          <w:t>https://doi.org/10.1037/tra0000768</w:t>
        </w:r>
      </w:hyperlink>
    </w:p>
    <w:p w14:paraId="41C11988"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Lee, D., &amp; Yoon, S. N. (2021). Application of artificial intelligence-based technologies in the healthcare industry: Opportunities and challenges. </w:t>
      </w:r>
      <w:r w:rsidRPr="001C5D93">
        <w:rPr>
          <w:rFonts w:asciiTheme="majorHAnsi" w:hAnsiTheme="majorHAnsi" w:cstheme="majorHAnsi"/>
          <w:bCs/>
          <w:i/>
          <w:iCs/>
          <w:sz w:val="32"/>
          <w:szCs w:val="32"/>
        </w:rPr>
        <w:t>International Journal of Environmental Research and Public Health, 18</w:t>
      </w:r>
      <w:r w:rsidRPr="001C5D93">
        <w:rPr>
          <w:rFonts w:asciiTheme="majorHAnsi" w:hAnsiTheme="majorHAnsi" w:cstheme="majorHAnsi"/>
          <w:bCs/>
          <w:sz w:val="32"/>
          <w:szCs w:val="32"/>
        </w:rPr>
        <w:t xml:space="preserve">(1), 271. </w:t>
      </w:r>
      <w:hyperlink r:id="rId56" w:tgtFrame="_new" w:history="1">
        <w:r w:rsidRPr="001C5D93">
          <w:rPr>
            <w:rStyle w:val="Hyperlink"/>
            <w:rFonts w:asciiTheme="majorHAnsi" w:hAnsiTheme="majorHAnsi" w:cstheme="majorHAnsi"/>
            <w:bCs/>
            <w:sz w:val="32"/>
            <w:szCs w:val="32"/>
          </w:rPr>
          <w:t>https://doi.org/10.3390/ijerph18010271</w:t>
        </w:r>
      </w:hyperlink>
    </w:p>
    <w:p w14:paraId="27FD4AAA"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Liu, Y., Zhang, X., &amp; Shen, Y. (2024). Technology-driven carbon reduction: Analyzing the impact of digital technology on China's carbon emission and its mechanism. </w:t>
      </w:r>
      <w:r w:rsidRPr="001C5D93">
        <w:rPr>
          <w:rFonts w:asciiTheme="majorHAnsi" w:hAnsiTheme="majorHAnsi" w:cstheme="majorHAnsi"/>
          <w:bCs/>
          <w:i/>
          <w:iCs/>
          <w:sz w:val="32"/>
          <w:szCs w:val="32"/>
        </w:rPr>
        <w:t>Technological Forecasting and Social Change, 200</w:t>
      </w:r>
      <w:r w:rsidRPr="001C5D93">
        <w:rPr>
          <w:rFonts w:asciiTheme="majorHAnsi" w:hAnsiTheme="majorHAnsi" w:cstheme="majorHAnsi"/>
          <w:bCs/>
          <w:sz w:val="32"/>
          <w:szCs w:val="32"/>
        </w:rPr>
        <w:t xml:space="preserve">, 123124. </w:t>
      </w:r>
      <w:hyperlink r:id="rId57" w:history="1">
        <w:r w:rsidRPr="001C5D93">
          <w:rPr>
            <w:rStyle w:val="Hyperlink"/>
            <w:rFonts w:asciiTheme="majorHAnsi" w:hAnsiTheme="majorHAnsi" w:cstheme="majorHAnsi"/>
            <w:bCs/>
            <w:sz w:val="32"/>
            <w:szCs w:val="32"/>
          </w:rPr>
          <w:t>https://doi.org/10.1016/j.techfore.2023.123124</w:t>
        </w:r>
      </w:hyperlink>
    </w:p>
    <w:p w14:paraId="3B262C3B"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Lowe, M., Qin, R., &amp; Mao, X. (2022). A review on machine learning, artificial intelligence, and smart technology in water treatment and monitoring. </w:t>
      </w:r>
      <w:r w:rsidRPr="001C5D93">
        <w:rPr>
          <w:rFonts w:asciiTheme="majorHAnsi" w:hAnsiTheme="majorHAnsi" w:cstheme="majorHAnsi"/>
          <w:bCs/>
          <w:i/>
          <w:iCs/>
          <w:sz w:val="32"/>
          <w:szCs w:val="32"/>
        </w:rPr>
        <w:t>Water, 14</w:t>
      </w:r>
      <w:r w:rsidRPr="001C5D93">
        <w:rPr>
          <w:rFonts w:asciiTheme="majorHAnsi" w:hAnsiTheme="majorHAnsi" w:cstheme="majorHAnsi"/>
          <w:bCs/>
          <w:sz w:val="32"/>
          <w:szCs w:val="32"/>
        </w:rPr>
        <w:t xml:space="preserve">(9), 1384. </w:t>
      </w:r>
      <w:hyperlink r:id="rId58" w:history="1">
        <w:r w:rsidRPr="001C5D93">
          <w:rPr>
            <w:rStyle w:val="Hyperlink"/>
            <w:rFonts w:asciiTheme="majorHAnsi" w:hAnsiTheme="majorHAnsi" w:cstheme="majorHAnsi"/>
            <w:bCs/>
            <w:sz w:val="32"/>
            <w:szCs w:val="32"/>
          </w:rPr>
          <w:t>https://doi.org/10.3390/w14091384</w:t>
        </w:r>
      </w:hyperlink>
    </w:p>
    <w:p w14:paraId="427BB06B"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Malik, P. (2021). 5 phases of organizational development (Goals &amp; interventions). </w:t>
      </w:r>
      <w:proofErr w:type="spellStart"/>
      <w:r w:rsidRPr="001C5D93">
        <w:rPr>
          <w:rFonts w:asciiTheme="majorHAnsi" w:hAnsiTheme="majorHAnsi" w:cstheme="majorHAnsi"/>
          <w:bCs/>
          <w:i/>
          <w:iCs/>
          <w:sz w:val="32"/>
          <w:szCs w:val="32"/>
        </w:rPr>
        <w:t>Whatfix</w:t>
      </w:r>
      <w:proofErr w:type="spellEnd"/>
      <w:r w:rsidRPr="001C5D93">
        <w:rPr>
          <w:rFonts w:asciiTheme="majorHAnsi" w:hAnsiTheme="majorHAnsi" w:cstheme="majorHAnsi"/>
          <w:bCs/>
          <w:i/>
          <w:iCs/>
          <w:sz w:val="32"/>
          <w:szCs w:val="32"/>
        </w:rPr>
        <w:t xml:space="preserve"> Blog</w:t>
      </w:r>
      <w:r w:rsidRPr="001C5D93">
        <w:rPr>
          <w:rFonts w:asciiTheme="majorHAnsi" w:hAnsiTheme="majorHAnsi" w:cstheme="majorHAnsi"/>
          <w:bCs/>
          <w:sz w:val="32"/>
          <w:szCs w:val="32"/>
        </w:rPr>
        <w:t xml:space="preserve">. Retrieved February 14, 2026, from </w:t>
      </w:r>
      <w:hyperlink r:id="rId59" w:tgtFrame="_new" w:history="1">
        <w:r w:rsidRPr="001C5D93">
          <w:rPr>
            <w:rStyle w:val="Hyperlink"/>
            <w:rFonts w:asciiTheme="majorHAnsi" w:hAnsiTheme="majorHAnsi" w:cstheme="majorHAnsi"/>
            <w:bCs/>
            <w:sz w:val="32"/>
            <w:szCs w:val="32"/>
          </w:rPr>
          <w:t>https://whatfix.com/blog/organizational-development</w:t>
        </w:r>
      </w:hyperlink>
    </w:p>
    <w:p w14:paraId="1E2BE2AC"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Malik, P. (2024). 5 phases of organizational development (Goals &amp; interventions). </w:t>
      </w:r>
      <w:proofErr w:type="spellStart"/>
      <w:r w:rsidRPr="001C5D93">
        <w:rPr>
          <w:rFonts w:asciiTheme="majorHAnsi" w:hAnsiTheme="majorHAnsi" w:cstheme="majorHAnsi"/>
          <w:bCs/>
          <w:i/>
          <w:iCs/>
          <w:sz w:val="32"/>
          <w:szCs w:val="32"/>
        </w:rPr>
        <w:t>Whatfix</w:t>
      </w:r>
      <w:proofErr w:type="spellEnd"/>
      <w:r w:rsidRPr="001C5D93">
        <w:rPr>
          <w:rFonts w:asciiTheme="majorHAnsi" w:hAnsiTheme="majorHAnsi" w:cstheme="majorHAnsi"/>
          <w:bCs/>
          <w:sz w:val="32"/>
          <w:szCs w:val="32"/>
        </w:rPr>
        <w:t xml:space="preserve">. Retrieved February 14, 2026, from </w:t>
      </w:r>
      <w:hyperlink r:id="rId60" w:tgtFrame="_new" w:history="1">
        <w:r w:rsidRPr="001C5D93">
          <w:rPr>
            <w:rStyle w:val="Hyperlink"/>
            <w:rFonts w:asciiTheme="majorHAnsi" w:hAnsiTheme="majorHAnsi" w:cstheme="majorHAnsi"/>
            <w:bCs/>
            <w:sz w:val="32"/>
            <w:szCs w:val="32"/>
          </w:rPr>
          <w:t>https://whatfix.com/</w:t>
        </w:r>
      </w:hyperlink>
    </w:p>
    <w:p w14:paraId="14A3A63F" w14:textId="77777777" w:rsidR="005B684E"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Mohamed, D. A., Elsayed, W. A., &amp; Ahmed, G. M. (2018). Organizational development by using electronic medical record at Mansoura Health Insurance Hospital. </w:t>
      </w:r>
      <w:r w:rsidRPr="001C5D93">
        <w:rPr>
          <w:rFonts w:asciiTheme="majorHAnsi" w:hAnsiTheme="majorHAnsi" w:cstheme="majorHAnsi"/>
          <w:bCs/>
          <w:i/>
          <w:iCs/>
          <w:sz w:val="32"/>
          <w:szCs w:val="32"/>
        </w:rPr>
        <w:t>International Journal of Novel Research in Healthcare and Nursing, 5</w:t>
      </w:r>
      <w:r w:rsidRPr="001C5D93">
        <w:rPr>
          <w:rFonts w:asciiTheme="majorHAnsi" w:hAnsiTheme="majorHAnsi" w:cstheme="majorHAnsi"/>
          <w:bCs/>
          <w:sz w:val="32"/>
          <w:szCs w:val="32"/>
        </w:rPr>
        <w:t>(2), 176–185.</w:t>
      </w:r>
    </w:p>
    <w:p w14:paraId="652D767B"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Mohammed, A., Ali, R., &amp; Abdullah, A. (2021). The reality of using artificial intelligence techniques in teacher preparation </w:t>
      </w:r>
      <w:r w:rsidRPr="001C5D93">
        <w:rPr>
          <w:rFonts w:asciiTheme="majorHAnsi" w:hAnsiTheme="majorHAnsi" w:cstheme="majorHAnsi"/>
          <w:bCs/>
          <w:sz w:val="32"/>
          <w:szCs w:val="32"/>
        </w:rPr>
        <w:lastRenderedPageBreak/>
        <w:t xml:space="preserve">programs in light of faculty opinions: A case study in Saudi Qassim University. </w:t>
      </w:r>
      <w:r w:rsidRPr="001C5D93">
        <w:rPr>
          <w:rFonts w:asciiTheme="majorHAnsi" w:hAnsiTheme="majorHAnsi" w:cstheme="majorHAnsi"/>
          <w:bCs/>
          <w:i/>
          <w:iCs/>
          <w:sz w:val="32"/>
          <w:szCs w:val="32"/>
        </w:rPr>
        <w:t>Multicultural Education, 7</w:t>
      </w:r>
      <w:r w:rsidRPr="001C5D93">
        <w:rPr>
          <w:rFonts w:asciiTheme="majorHAnsi" w:hAnsiTheme="majorHAnsi" w:cstheme="majorHAnsi"/>
          <w:bCs/>
          <w:sz w:val="32"/>
          <w:szCs w:val="32"/>
        </w:rPr>
        <w:t>(1), 5–16.</w:t>
      </w:r>
    </w:p>
    <w:p w14:paraId="1C274459"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Muayad, A., &amp; Abumandil, M. (2021). The impact of agile risk management utilization in small and medium enterprises. </w:t>
      </w:r>
      <w:r w:rsidRPr="001C5D93">
        <w:rPr>
          <w:rFonts w:asciiTheme="majorHAnsi" w:hAnsiTheme="majorHAnsi" w:cstheme="majorHAnsi"/>
          <w:bCs/>
          <w:i/>
          <w:iCs/>
          <w:sz w:val="32"/>
          <w:szCs w:val="32"/>
        </w:rPr>
        <w:t>International Journal of Scientific Research and Engineering Development, 4</w:t>
      </w:r>
      <w:r w:rsidRPr="001C5D93">
        <w:rPr>
          <w:rFonts w:asciiTheme="majorHAnsi" w:hAnsiTheme="majorHAnsi" w:cstheme="majorHAnsi"/>
          <w:bCs/>
          <w:sz w:val="32"/>
          <w:szCs w:val="32"/>
        </w:rPr>
        <w:t>(3), 1124–1132.</w:t>
      </w:r>
    </w:p>
    <w:p w14:paraId="2975C0E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Myat Cho Mon Oo, &amp; Thein, T. (2022). An efficient predictive analytics system for high dimensional big data. </w:t>
      </w:r>
      <w:r w:rsidRPr="001C5D93">
        <w:rPr>
          <w:rFonts w:asciiTheme="majorHAnsi" w:hAnsiTheme="majorHAnsi" w:cstheme="majorHAnsi"/>
          <w:bCs/>
          <w:i/>
          <w:iCs/>
          <w:sz w:val="32"/>
          <w:szCs w:val="32"/>
        </w:rPr>
        <w:t>Journal of King Saud University—Computer and Information Sciences, 34</w:t>
      </w:r>
      <w:r w:rsidRPr="001C5D93">
        <w:rPr>
          <w:rFonts w:asciiTheme="majorHAnsi" w:hAnsiTheme="majorHAnsi" w:cstheme="majorHAnsi"/>
          <w:bCs/>
          <w:sz w:val="32"/>
          <w:szCs w:val="32"/>
        </w:rPr>
        <w:t xml:space="preserve">(1), 1521–1532. </w:t>
      </w:r>
      <w:hyperlink r:id="rId61" w:history="1">
        <w:r w:rsidRPr="001C5D93">
          <w:rPr>
            <w:rStyle w:val="Hyperlink"/>
            <w:rFonts w:asciiTheme="majorHAnsi" w:hAnsiTheme="majorHAnsi" w:cstheme="majorHAnsi"/>
            <w:bCs/>
            <w:sz w:val="32"/>
            <w:szCs w:val="32"/>
          </w:rPr>
          <w:t>https://doi.org/10.1016/j.jksuci.2019.09.001</w:t>
        </w:r>
      </w:hyperlink>
    </w:p>
    <w:p w14:paraId="25755A92" w14:textId="77777777" w:rsidR="005B684E" w:rsidRPr="001C5D93" w:rsidRDefault="005B684E"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Myat Cho Mon Oo, &amp; Thein, T. (2022). An efficient predictive analytics system for high dimensional big data. </w:t>
      </w:r>
      <w:r w:rsidRPr="001C5D93">
        <w:rPr>
          <w:rStyle w:val="ae"/>
          <w:rFonts w:asciiTheme="majorHAnsi" w:eastAsiaTheme="majorEastAsia" w:hAnsiTheme="majorHAnsi" w:cstheme="majorHAnsi"/>
          <w:sz w:val="32"/>
          <w:szCs w:val="32"/>
        </w:rPr>
        <w:t>Journal of King Saud University—Computer and Information Sciences, 34</w:t>
      </w:r>
      <w:r w:rsidRPr="001C5D93">
        <w:rPr>
          <w:rFonts w:asciiTheme="majorHAnsi" w:hAnsiTheme="majorHAnsi" w:cstheme="majorHAnsi"/>
          <w:sz w:val="32"/>
          <w:szCs w:val="32"/>
        </w:rPr>
        <w:t xml:space="preserve">(1), 1521–1532. </w:t>
      </w:r>
      <w:r w:rsidRPr="000F5D2D">
        <w:rPr>
          <w:rStyle w:val="Hyperlink"/>
          <w:rFonts w:asciiTheme="majorHAnsi" w:eastAsiaTheme="minorHAnsi" w:hAnsiTheme="majorHAnsi" w:cstheme="majorHAnsi"/>
          <w:bCs/>
          <w:sz w:val="32"/>
          <w:szCs w:val="32"/>
        </w:rPr>
        <w:t>https://doi.org/10.1016/j.jksuci.2019.09.001</w:t>
      </w:r>
      <w:r w:rsidRPr="000F5D2D">
        <w:rPr>
          <w:rStyle w:val="Hyperlink"/>
          <w:rFonts w:eastAsiaTheme="minorHAnsi"/>
          <w:bCs/>
        </w:rPr>
        <w:t xml:space="preserve"> </w:t>
      </w:r>
    </w:p>
    <w:p w14:paraId="22205CEC"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Nezamodini</w:t>
      </w:r>
      <w:proofErr w:type="spellEnd"/>
      <w:r w:rsidRPr="001C5D93">
        <w:rPr>
          <w:rFonts w:asciiTheme="majorHAnsi" w:hAnsiTheme="majorHAnsi" w:cstheme="majorHAnsi"/>
          <w:bCs/>
          <w:sz w:val="32"/>
          <w:szCs w:val="32"/>
        </w:rPr>
        <w:t xml:space="preserve">, Z. S., </w:t>
      </w:r>
      <w:proofErr w:type="spellStart"/>
      <w:r w:rsidRPr="001C5D93">
        <w:rPr>
          <w:rFonts w:asciiTheme="majorHAnsi" w:hAnsiTheme="majorHAnsi" w:cstheme="majorHAnsi"/>
          <w:bCs/>
          <w:sz w:val="32"/>
          <w:szCs w:val="32"/>
        </w:rPr>
        <w:t>Khodamoradi</w:t>
      </w:r>
      <w:proofErr w:type="spellEnd"/>
      <w:r w:rsidRPr="001C5D93">
        <w:rPr>
          <w:rFonts w:asciiTheme="majorHAnsi" w:hAnsiTheme="majorHAnsi" w:cstheme="majorHAnsi"/>
          <w:bCs/>
          <w:sz w:val="32"/>
          <w:szCs w:val="32"/>
        </w:rPr>
        <w:t xml:space="preserve">, F., Malekzadeh, M., &amp; Vaziri, H. (2020). Nursing errors in intensive care unit by human error identification in systems tool: A case study. </w:t>
      </w:r>
      <w:proofErr w:type="spellStart"/>
      <w:r w:rsidRPr="001C5D93">
        <w:rPr>
          <w:rFonts w:asciiTheme="majorHAnsi" w:hAnsiTheme="majorHAnsi" w:cstheme="majorHAnsi"/>
          <w:bCs/>
          <w:i/>
          <w:iCs/>
          <w:sz w:val="32"/>
          <w:szCs w:val="32"/>
        </w:rPr>
        <w:t>Jundishapur</w:t>
      </w:r>
      <w:proofErr w:type="spellEnd"/>
      <w:r w:rsidRPr="001C5D93">
        <w:rPr>
          <w:rFonts w:asciiTheme="majorHAnsi" w:hAnsiTheme="majorHAnsi" w:cstheme="majorHAnsi"/>
          <w:bCs/>
          <w:i/>
          <w:iCs/>
          <w:sz w:val="32"/>
          <w:szCs w:val="32"/>
        </w:rPr>
        <w:t xml:space="preserve"> Journal of Health Sciences, 12</w:t>
      </w:r>
      <w:r w:rsidRPr="001C5D93">
        <w:rPr>
          <w:rFonts w:asciiTheme="majorHAnsi" w:hAnsiTheme="majorHAnsi" w:cstheme="majorHAnsi"/>
          <w:bCs/>
          <w:sz w:val="32"/>
          <w:szCs w:val="32"/>
        </w:rPr>
        <w:t xml:space="preserve">(3), e104560. </w:t>
      </w:r>
      <w:hyperlink r:id="rId62" w:history="1">
        <w:r w:rsidRPr="001C5D93">
          <w:rPr>
            <w:rStyle w:val="Hyperlink"/>
            <w:rFonts w:asciiTheme="majorHAnsi" w:hAnsiTheme="majorHAnsi" w:cstheme="majorHAnsi"/>
            <w:bCs/>
            <w:sz w:val="32"/>
            <w:szCs w:val="32"/>
          </w:rPr>
          <w:t>https://doi.org/10.5812/jjhs.104560</w:t>
        </w:r>
      </w:hyperlink>
    </w:p>
    <w:p w14:paraId="4E9980F5"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Njoku, P. O., Edokpayi, J. N., &amp; </w:t>
      </w:r>
      <w:proofErr w:type="spellStart"/>
      <w:r w:rsidRPr="001C5D93">
        <w:rPr>
          <w:rFonts w:asciiTheme="majorHAnsi" w:hAnsiTheme="majorHAnsi" w:cstheme="majorHAnsi"/>
          <w:bCs/>
          <w:sz w:val="32"/>
          <w:szCs w:val="32"/>
        </w:rPr>
        <w:t>Odiyo</w:t>
      </w:r>
      <w:proofErr w:type="spellEnd"/>
      <w:r w:rsidRPr="001C5D93">
        <w:rPr>
          <w:rFonts w:asciiTheme="majorHAnsi" w:hAnsiTheme="majorHAnsi" w:cstheme="majorHAnsi"/>
          <w:bCs/>
          <w:sz w:val="32"/>
          <w:szCs w:val="32"/>
        </w:rPr>
        <w:t xml:space="preserve">, J. O. (2019). Health and environmental risks of residents living close to a landfill: A case study of Thohoyandou Landfill, Limpopo Province, South Africa. </w:t>
      </w:r>
      <w:r w:rsidRPr="001C5D93">
        <w:rPr>
          <w:rFonts w:asciiTheme="majorHAnsi" w:hAnsiTheme="majorHAnsi" w:cstheme="majorHAnsi"/>
          <w:bCs/>
          <w:i/>
          <w:iCs/>
          <w:sz w:val="32"/>
          <w:szCs w:val="32"/>
        </w:rPr>
        <w:t>International Journal of Environmental Research and Public Health, 16</w:t>
      </w:r>
      <w:r w:rsidRPr="001C5D93">
        <w:rPr>
          <w:rFonts w:asciiTheme="majorHAnsi" w:hAnsiTheme="majorHAnsi" w:cstheme="majorHAnsi"/>
          <w:bCs/>
          <w:sz w:val="32"/>
          <w:szCs w:val="32"/>
        </w:rPr>
        <w:t xml:space="preserve">(12), 2125. </w:t>
      </w:r>
      <w:hyperlink r:id="rId63" w:history="1">
        <w:r w:rsidRPr="001C5D93">
          <w:rPr>
            <w:rStyle w:val="Hyperlink"/>
            <w:rFonts w:asciiTheme="majorHAnsi" w:hAnsiTheme="majorHAnsi" w:cstheme="majorHAnsi"/>
            <w:bCs/>
            <w:sz w:val="32"/>
            <w:szCs w:val="32"/>
          </w:rPr>
          <w:t>https://doi.org/10.3390/ijerph16122125</w:t>
        </w:r>
      </w:hyperlink>
    </w:p>
    <w:p w14:paraId="71F50BD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Olechowski, A., Oehmen, J., Seering, W., &amp; Ben-Daya, M. (2016). The professionalization of risk management: What role can the ISO 31000 risk management principles play? </w:t>
      </w:r>
      <w:r w:rsidRPr="001C5D93">
        <w:rPr>
          <w:rFonts w:asciiTheme="majorHAnsi" w:hAnsiTheme="majorHAnsi" w:cstheme="majorHAnsi"/>
          <w:bCs/>
          <w:i/>
          <w:iCs/>
          <w:sz w:val="32"/>
          <w:szCs w:val="32"/>
        </w:rPr>
        <w:t>International Journal of Project Management, 34</w:t>
      </w:r>
      <w:r w:rsidRPr="001C5D93">
        <w:rPr>
          <w:rFonts w:asciiTheme="majorHAnsi" w:hAnsiTheme="majorHAnsi" w:cstheme="majorHAnsi"/>
          <w:bCs/>
          <w:sz w:val="32"/>
          <w:szCs w:val="32"/>
        </w:rPr>
        <w:t xml:space="preserve">(8), 1568–1578. </w:t>
      </w:r>
      <w:hyperlink r:id="rId64" w:history="1">
        <w:r w:rsidRPr="001C5D93">
          <w:rPr>
            <w:rStyle w:val="Hyperlink"/>
            <w:rFonts w:asciiTheme="majorHAnsi" w:hAnsiTheme="majorHAnsi" w:cstheme="majorHAnsi"/>
            <w:bCs/>
            <w:sz w:val="32"/>
            <w:szCs w:val="32"/>
          </w:rPr>
          <w:t>https://doi.org/10.1016/j.ijproman.2016.08.002</w:t>
        </w:r>
      </w:hyperlink>
    </w:p>
    <w:p w14:paraId="60D368CE"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Pinnington</w:t>
      </w:r>
      <w:proofErr w:type="spellEnd"/>
      <w:r w:rsidRPr="001C5D93">
        <w:rPr>
          <w:rFonts w:asciiTheme="majorHAnsi" w:hAnsiTheme="majorHAnsi" w:cstheme="majorHAnsi"/>
          <w:bCs/>
          <w:sz w:val="32"/>
          <w:szCs w:val="32"/>
        </w:rPr>
        <w:t xml:space="preserve">, A., </w:t>
      </w:r>
      <w:proofErr w:type="spellStart"/>
      <w:r w:rsidRPr="001C5D93">
        <w:rPr>
          <w:rFonts w:asciiTheme="majorHAnsi" w:hAnsiTheme="majorHAnsi" w:cstheme="majorHAnsi"/>
          <w:bCs/>
          <w:sz w:val="32"/>
          <w:szCs w:val="32"/>
        </w:rPr>
        <w:t>Aldabbas</w:t>
      </w:r>
      <w:proofErr w:type="spellEnd"/>
      <w:r w:rsidRPr="001C5D93">
        <w:rPr>
          <w:rFonts w:asciiTheme="majorHAnsi" w:hAnsiTheme="majorHAnsi" w:cstheme="majorHAnsi"/>
          <w:bCs/>
          <w:sz w:val="32"/>
          <w:szCs w:val="32"/>
        </w:rPr>
        <w:t xml:space="preserve">, H., </w:t>
      </w:r>
      <w:proofErr w:type="spellStart"/>
      <w:r w:rsidRPr="001C5D93">
        <w:rPr>
          <w:rFonts w:asciiTheme="majorHAnsi" w:hAnsiTheme="majorHAnsi" w:cstheme="majorHAnsi"/>
          <w:bCs/>
          <w:sz w:val="32"/>
          <w:szCs w:val="32"/>
        </w:rPr>
        <w:t>Mirshahi</w:t>
      </w:r>
      <w:proofErr w:type="spellEnd"/>
      <w:r w:rsidRPr="001C5D93">
        <w:rPr>
          <w:rFonts w:asciiTheme="majorHAnsi" w:hAnsiTheme="majorHAnsi" w:cstheme="majorHAnsi"/>
          <w:bCs/>
          <w:sz w:val="32"/>
          <w:szCs w:val="32"/>
        </w:rPr>
        <w:t xml:space="preserve">, F., &amp; Pirie, T. (2022). </w:t>
      </w:r>
      <w:proofErr w:type="spellStart"/>
      <w:r w:rsidRPr="001C5D93">
        <w:rPr>
          <w:rFonts w:asciiTheme="majorHAnsi" w:hAnsiTheme="majorHAnsi" w:cstheme="majorHAnsi"/>
          <w:bCs/>
          <w:sz w:val="32"/>
          <w:szCs w:val="32"/>
        </w:rPr>
        <w:t>Organisational</w:t>
      </w:r>
      <w:proofErr w:type="spellEnd"/>
      <w:r w:rsidRPr="001C5D93">
        <w:rPr>
          <w:rFonts w:asciiTheme="majorHAnsi" w:hAnsiTheme="majorHAnsi" w:cstheme="majorHAnsi"/>
          <w:bCs/>
          <w:sz w:val="32"/>
          <w:szCs w:val="32"/>
        </w:rPr>
        <w:t xml:space="preserve"> development </w:t>
      </w:r>
      <w:proofErr w:type="spellStart"/>
      <w:r w:rsidRPr="001C5D93">
        <w:rPr>
          <w:rFonts w:asciiTheme="majorHAnsi" w:hAnsiTheme="majorHAnsi" w:cstheme="majorHAnsi"/>
          <w:bCs/>
          <w:sz w:val="32"/>
          <w:szCs w:val="32"/>
        </w:rPr>
        <w:t>programmes</w:t>
      </w:r>
      <w:proofErr w:type="spellEnd"/>
      <w:r w:rsidRPr="001C5D93">
        <w:rPr>
          <w:rFonts w:asciiTheme="majorHAnsi" w:hAnsiTheme="majorHAnsi" w:cstheme="majorHAnsi"/>
          <w:bCs/>
          <w:sz w:val="32"/>
          <w:szCs w:val="32"/>
        </w:rPr>
        <w:t xml:space="preserve"> and employees’ career development: The moderating role of gender. </w:t>
      </w:r>
      <w:r w:rsidRPr="001C5D93">
        <w:rPr>
          <w:rFonts w:asciiTheme="majorHAnsi" w:hAnsiTheme="majorHAnsi" w:cstheme="majorHAnsi"/>
          <w:bCs/>
          <w:i/>
          <w:iCs/>
          <w:sz w:val="32"/>
          <w:szCs w:val="32"/>
        </w:rPr>
        <w:t>Journal of Workplace Learning, 34</w:t>
      </w:r>
      <w:r w:rsidRPr="001C5D93">
        <w:rPr>
          <w:rFonts w:asciiTheme="majorHAnsi" w:hAnsiTheme="majorHAnsi" w:cstheme="majorHAnsi"/>
          <w:bCs/>
          <w:sz w:val="32"/>
          <w:szCs w:val="32"/>
        </w:rPr>
        <w:t xml:space="preserve">(5), 466–496. </w:t>
      </w:r>
      <w:hyperlink r:id="rId65" w:history="1">
        <w:r w:rsidRPr="001C5D93">
          <w:rPr>
            <w:rStyle w:val="Hyperlink"/>
            <w:rFonts w:asciiTheme="majorHAnsi" w:hAnsiTheme="majorHAnsi" w:cstheme="majorHAnsi"/>
            <w:bCs/>
            <w:sz w:val="32"/>
            <w:szCs w:val="32"/>
          </w:rPr>
          <w:t>https://doi.org/10.1108/JWL-05-2021-0063</w:t>
        </w:r>
      </w:hyperlink>
    </w:p>
    <w:p w14:paraId="296887DF"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lastRenderedPageBreak/>
        <w:t xml:space="preserve">Plastino, E., &amp; Purdy, M. (2017). Game-changing value from artificial intelligence: Eight strategies. </w:t>
      </w:r>
      <w:r w:rsidRPr="001C5D93">
        <w:rPr>
          <w:rFonts w:asciiTheme="majorHAnsi" w:hAnsiTheme="majorHAnsi" w:cstheme="majorHAnsi"/>
          <w:bCs/>
          <w:i/>
          <w:iCs/>
          <w:sz w:val="32"/>
          <w:szCs w:val="32"/>
        </w:rPr>
        <w:t>Strategy &amp; Leadership, 46</w:t>
      </w:r>
      <w:r w:rsidRPr="001C5D93">
        <w:rPr>
          <w:rFonts w:asciiTheme="majorHAnsi" w:hAnsiTheme="majorHAnsi" w:cstheme="majorHAnsi"/>
          <w:bCs/>
          <w:sz w:val="32"/>
          <w:szCs w:val="32"/>
        </w:rPr>
        <w:t xml:space="preserve">(1), 16–22. </w:t>
      </w:r>
      <w:hyperlink r:id="rId66" w:history="1">
        <w:r w:rsidRPr="001C5D93">
          <w:rPr>
            <w:rStyle w:val="Hyperlink"/>
            <w:rFonts w:asciiTheme="majorHAnsi" w:hAnsiTheme="majorHAnsi" w:cstheme="majorHAnsi"/>
            <w:bCs/>
            <w:sz w:val="32"/>
            <w:szCs w:val="32"/>
          </w:rPr>
          <w:t>https://doi.org/10.1108/SL-10-2017-0096</w:t>
        </w:r>
      </w:hyperlink>
    </w:p>
    <w:p w14:paraId="2A31321B"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Robbins, S. P., &amp; Judge, T. A. (2017). </w:t>
      </w:r>
      <w:r w:rsidRPr="001C5D93">
        <w:rPr>
          <w:rFonts w:asciiTheme="majorHAnsi" w:hAnsiTheme="majorHAnsi" w:cstheme="majorHAnsi"/>
          <w:bCs/>
          <w:i/>
          <w:iCs/>
          <w:sz w:val="32"/>
          <w:szCs w:val="32"/>
        </w:rPr>
        <w:t>Organizational behavior</w:t>
      </w:r>
      <w:r w:rsidRPr="001C5D93">
        <w:rPr>
          <w:rFonts w:asciiTheme="majorHAnsi" w:hAnsiTheme="majorHAnsi" w:cstheme="majorHAnsi"/>
          <w:bCs/>
          <w:sz w:val="32"/>
          <w:szCs w:val="32"/>
        </w:rPr>
        <w:t xml:space="preserve"> (17th ed.). Pearson.</w:t>
      </w:r>
    </w:p>
    <w:p w14:paraId="3C5C0336"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Rosa, A., Santangelo, A., &amp; </w:t>
      </w:r>
      <w:proofErr w:type="spellStart"/>
      <w:r w:rsidRPr="001C5D93">
        <w:rPr>
          <w:rFonts w:asciiTheme="majorHAnsi" w:hAnsiTheme="majorHAnsi" w:cstheme="majorHAnsi"/>
          <w:bCs/>
          <w:sz w:val="32"/>
          <w:szCs w:val="32"/>
        </w:rPr>
        <w:t>Tondelli</w:t>
      </w:r>
      <w:proofErr w:type="spellEnd"/>
      <w:r w:rsidRPr="001C5D93">
        <w:rPr>
          <w:rFonts w:asciiTheme="majorHAnsi" w:hAnsiTheme="majorHAnsi" w:cstheme="majorHAnsi"/>
          <w:bCs/>
          <w:sz w:val="32"/>
          <w:szCs w:val="32"/>
        </w:rPr>
        <w:t xml:space="preserve">, S. (2021). Investigating the integration of cultural heritage disaster risk management into urban planning tools: The Ravenna case study. </w:t>
      </w:r>
      <w:r w:rsidRPr="001C5D93">
        <w:rPr>
          <w:rFonts w:asciiTheme="majorHAnsi" w:hAnsiTheme="majorHAnsi" w:cstheme="majorHAnsi"/>
          <w:bCs/>
          <w:i/>
          <w:iCs/>
          <w:sz w:val="32"/>
          <w:szCs w:val="32"/>
        </w:rPr>
        <w:t>Sustainability, 13</w:t>
      </w:r>
      <w:r w:rsidRPr="001C5D93">
        <w:rPr>
          <w:rFonts w:asciiTheme="majorHAnsi" w:hAnsiTheme="majorHAnsi" w:cstheme="majorHAnsi"/>
          <w:bCs/>
          <w:sz w:val="32"/>
          <w:szCs w:val="32"/>
        </w:rPr>
        <w:t xml:space="preserve">(2), 872. </w:t>
      </w:r>
      <w:hyperlink r:id="rId67" w:history="1">
        <w:r w:rsidRPr="001C5D93">
          <w:rPr>
            <w:rStyle w:val="Hyperlink"/>
            <w:rFonts w:asciiTheme="majorHAnsi" w:hAnsiTheme="majorHAnsi" w:cstheme="majorHAnsi"/>
            <w:bCs/>
            <w:sz w:val="32"/>
            <w:szCs w:val="32"/>
          </w:rPr>
          <w:t>https://doi.org/10.3390/su13020872</w:t>
        </w:r>
      </w:hyperlink>
    </w:p>
    <w:p w14:paraId="30F3FA7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Russell, S., &amp; Norvig, P. (2016). </w:t>
      </w:r>
      <w:r w:rsidRPr="001C5D93">
        <w:rPr>
          <w:rFonts w:asciiTheme="majorHAnsi" w:hAnsiTheme="majorHAnsi" w:cstheme="majorHAnsi"/>
          <w:bCs/>
          <w:i/>
          <w:iCs/>
          <w:sz w:val="32"/>
          <w:szCs w:val="32"/>
        </w:rPr>
        <w:t>Artificial intelligence: A modern approach</w:t>
      </w:r>
      <w:r w:rsidRPr="001C5D93">
        <w:rPr>
          <w:rFonts w:asciiTheme="majorHAnsi" w:hAnsiTheme="majorHAnsi" w:cstheme="majorHAnsi"/>
          <w:bCs/>
          <w:sz w:val="32"/>
          <w:szCs w:val="32"/>
        </w:rPr>
        <w:t xml:space="preserve"> (3rd ed.). Pearson Education.</w:t>
      </w:r>
    </w:p>
    <w:p w14:paraId="1ADBBA5D"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Schroeder, C. (2023). Coming in from the margins: Faculty development’s emerging organizational development role in institutional change. </w:t>
      </w:r>
      <w:r w:rsidRPr="001C5D93">
        <w:rPr>
          <w:rFonts w:asciiTheme="majorHAnsi" w:hAnsiTheme="majorHAnsi" w:cstheme="majorHAnsi"/>
          <w:bCs/>
          <w:i/>
          <w:iCs/>
          <w:sz w:val="32"/>
          <w:szCs w:val="32"/>
        </w:rPr>
        <w:t>Journal of Faculty Development, 37</w:t>
      </w:r>
      <w:r w:rsidRPr="001C5D93">
        <w:rPr>
          <w:rFonts w:asciiTheme="majorHAnsi" w:hAnsiTheme="majorHAnsi" w:cstheme="majorHAnsi"/>
          <w:bCs/>
          <w:sz w:val="32"/>
          <w:szCs w:val="32"/>
        </w:rPr>
        <w:t>(2), 5–14.</w:t>
      </w:r>
    </w:p>
    <w:p w14:paraId="7A89382E"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Schroer, A. (2023). What is artificial intelligence? </w:t>
      </w:r>
      <w:r w:rsidRPr="001C5D93">
        <w:rPr>
          <w:rFonts w:asciiTheme="majorHAnsi" w:hAnsiTheme="majorHAnsi" w:cstheme="majorHAnsi"/>
          <w:bCs/>
          <w:i/>
          <w:iCs/>
          <w:sz w:val="32"/>
          <w:szCs w:val="32"/>
        </w:rPr>
        <w:t>Built In</w:t>
      </w:r>
      <w:r w:rsidRPr="001C5D93">
        <w:rPr>
          <w:rFonts w:asciiTheme="majorHAnsi" w:hAnsiTheme="majorHAnsi" w:cstheme="majorHAnsi"/>
          <w:bCs/>
          <w:sz w:val="32"/>
          <w:szCs w:val="32"/>
        </w:rPr>
        <w:t xml:space="preserve">. Retrieved February 21, 2026, from </w:t>
      </w:r>
      <w:hyperlink r:id="rId68" w:tgtFrame="_new" w:history="1">
        <w:r w:rsidRPr="001C5D93">
          <w:rPr>
            <w:rStyle w:val="Hyperlink"/>
            <w:rFonts w:asciiTheme="majorHAnsi" w:hAnsiTheme="majorHAnsi" w:cstheme="majorHAnsi"/>
            <w:bCs/>
            <w:sz w:val="32"/>
            <w:szCs w:val="32"/>
          </w:rPr>
          <w:t>https://builtin.com/artificial-intelligence</w:t>
        </w:r>
      </w:hyperlink>
    </w:p>
    <w:p w14:paraId="7D3D37F7"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Sciulli, L. M. (2024). Innovations in the retail banking industry: The impact of organizational structure and environment on the adoption process. </w:t>
      </w:r>
      <w:r w:rsidRPr="001C5D93">
        <w:rPr>
          <w:rFonts w:asciiTheme="majorHAnsi" w:hAnsiTheme="majorHAnsi" w:cstheme="majorHAnsi"/>
          <w:bCs/>
          <w:i/>
          <w:iCs/>
          <w:sz w:val="32"/>
          <w:szCs w:val="32"/>
        </w:rPr>
        <w:t>Journal of Organizational Change Management, 37</w:t>
      </w:r>
      <w:r w:rsidRPr="001C5D93">
        <w:rPr>
          <w:rFonts w:asciiTheme="majorHAnsi" w:hAnsiTheme="majorHAnsi" w:cstheme="majorHAnsi"/>
          <w:bCs/>
          <w:sz w:val="32"/>
          <w:szCs w:val="32"/>
        </w:rPr>
        <w:t xml:space="preserve">(4), 601–618. </w:t>
      </w:r>
      <w:hyperlink r:id="rId69" w:history="1">
        <w:r w:rsidRPr="001C5D93">
          <w:rPr>
            <w:rStyle w:val="Hyperlink"/>
            <w:rFonts w:asciiTheme="majorHAnsi" w:hAnsiTheme="majorHAnsi" w:cstheme="majorHAnsi"/>
            <w:bCs/>
            <w:sz w:val="32"/>
            <w:szCs w:val="32"/>
          </w:rPr>
          <w:t>https://doi.org/10.1108/JOCM-01-2024-0021</w:t>
        </w:r>
      </w:hyperlink>
    </w:p>
    <w:p w14:paraId="3098F74B"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Scott, W. R., &amp; Davis, G. F. (2016). </w:t>
      </w:r>
      <w:r w:rsidRPr="001C5D93">
        <w:rPr>
          <w:rFonts w:asciiTheme="majorHAnsi" w:hAnsiTheme="majorHAnsi" w:cstheme="majorHAnsi"/>
          <w:bCs/>
          <w:i/>
          <w:iCs/>
          <w:sz w:val="32"/>
          <w:szCs w:val="32"/>
        </w:rPr>
        <w:t>Organizations and organizing: Rational, natural, and open systems perspectives</w:t>
      </w:r>
      <w:r w:rsidRPr="001C5D93">
        <w:rPr>
          <w:rFonts w:asciiTheme="majorHAnsi" w:hAnsiTheme="majorHAnsi" w:cstheme="majorHAnsi"/>
          <w:bCs/>
          <w:sz w:val="32"/>
          <w:szCs w:val="32"/>
        </w:rPr>
        <w:t xml:space="preserve"> (2nd ed.). Routledge.</w:t>
      </w:r>
    </w:p>
    <w:p w14:paraId="7753B5C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Sinha, R. (2024). The role and impact of new technologies on healthcare systems. </w:t>
      </w:r>
      <w:r w:rsidRPr="001C5D93">
        <w:rPr>
          <w:rFonts w:asciiTheme="majorHAnsi" w:hAnsiTheme="majorHAnsi" w:cstheme="majorHAnsi"/>
          <w:bCs/>
          <w:i/>
          <w:iCs/>
          <w:sz w:val="32"/>
          <w:szCs w:val="32"/>
        </w:rPr>
        <w:t>Discover Health Systems, 3</w:t>
      </w:r>
      <w:r w:rsidRPr="001C5D93">
        <w:rPr>
          <w:rFonts w:asciiTheme="majorHAnsi" w:hAnsiTheme="majorHAnsi" w:cstheme="majorHAnsi"/>
          <w:bCs/>
          <w:sz w:val="32"/>
          <w:szCs w:val="32"/>
        </w:rPr>
        <w:t xml:space="preserve">, Article 96. </w:t>
      </w:r>
      <w:hyperlink r:id="rId70" w:tgtFrame="_new" w:history="1">
        <w:r w:rsidRPr="001C5D93">
          <w:rPr>
            <w:rStyle w:val="Hyperlink"/>
            <w:rFonts w:asciiTheme="majorHAnsi" w:hAnsiTheme="majorHAnsi" w:cstheme="majorHAnsi"/>
            <w:bCs/>
            <w:sz w:val="32"/>
            <w:szCs w:val="32"/>
          </w:rPr>
          <w:t>https://doi.org/10.1007/s44250-024-00163-w</w:t>
        </w:r>
      </w:hyperlink>
    </w:p>
    <w:p w14:paraId="6170D88C"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Smith, P. G., &amp; Merritt, G. M. (2020). </w:t>
      </w:r>
      <w:r w:rsidRPr="001C5D93">
        <w:rPr>
          <w:rFonts w:asciiTheme="majorHAnsi" w:hAnsiTheme="majorHAnsi" w:cstheme="majorHAnsi"/>
          <w:bCs/>
          <w:i/>
          <w:iCs/>
          <w:sz w:val="32"/>
          <w:szCs w:val="32"/>
        </w:rPr>
        <w:t>Proactive risk management: Controlling uncertainty in product development</w:t>
      </w:r>
      <w:r w:rsidRPr="001C5D93">
        <w:rPr>
          <w:rFonts w:asciiTheme="majorHAnsi" w:hAnsiTheme="majorHAnsi" w:cstheme="majorHAnsi"/>
          <w:bCs/>
          <w:sz w:val="32"/>
          <w:szCs w:val="32"/>
        </w:rPr>
        <w:t xml:space="preserve"> (2nd ed.). Productivity Press.</w:t>
      </w:r>
    </w:p>
    <w:p w14:paraId="4130637A"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Somera, S. L., &amp; Petrov, V. (2024). Organizational agility in the age of digital transformation: A systems theory perspective. </w:t>
      </w:r>
      <w:r w:rsidRPr="001C5D93">
        <w:rPr>
          <w:rFonts w:asciiTheme="majorHAnsi" w:hAnsiTheme="majorHAnsi" w:cstheme="majorHAnsi"/>
          <w:bCs/>
          <w:i/>
          <w:iCs/>
          <w:sz w:val="32"/>
          <w:szCs w:val="32"/>
        </w:rPr>
        <w:lastRenderedPageBreak/>
        <w:t>Journal of Organizational Change Management, 37</w:t>
      </w:r>
      <w:r w:rsidRPr="001C5D93">
        <w:rPr>
          <w:rFonts w:asciiTheme="majorHAnsi" w:hAnsiTheme="majorHAnsi" w:cstheme="majorHAnsi"/>
          <w:bCs/>
          <w:sz w:val="32"/>
          <w:szCs w:val="32"/>
        </w:rPr>
        <w:t xml:space="preserve">(2), 245–261. </w:t>
      </w:r>
      <w:hyperlink r:id="rId71" w:tgtFrame="_new" w:history="1">
        <w:r w:rsidRPr="001C5D93">
          <w:rPr>
            <w:rStyle w:val="Hyperlink"/>
            <w:rFonts w:asciiTheme="majorHAnsi" w:hAnsiTheme="majorHAnsi" w:cstheme="majorHAnsi"/>
            <w:bCs/>
            <w:sz w:val="32"/>
            <w:szCs w:val="32"/>
          </w:rPr>
          <w:t>https://doi.org/10.1108/JOCM-07-2023-0254</w:t>
        </w:r>
      </w:hyperlink>
    </w:p>
    <w:p w14:paraId="7865196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Soyal</w:t>
      </w:r>
      <w:proofErr w:type="spellEnd"/>
      <w:r w:rsidRPr="001C5D93">
        <w:rPr>
          <w:rFonts w:asciiTheme="majorHAnsi" w:hAnsiTheme="majorHAnsi" w:cstheme="majorHAnsi"/>
          <w:bCs/>
          <w:sz w:val="32"/>
          <w:szCs w:val="32"/>
        </w:rPr>
        <w:t xml:space="preserve">, H., Sarihan, M., &amp; Yarar, O. (2020). Occupational health safety effect on hospital safety. </w:t>
      </w:r>
      <w:r w:rsidRPr="001C5D93">
        <w:rPr>
          <w:rFonts w:asciiTheme="majorHAnsi" w:hAnsiTheme="majorHAnsi" w:cstheme="majorHAnsi"/>
          <w:bCs/>
          <w:i/>
          <w:iCs/>
          <w:sz w:val="32"/>
          <w:szCs w:val="32"/>
        </w:rPr>
        <w:t>International Journal of Occupational Safety and Ergonomics, 26</w:t>
      </w:r>
      <w:r w:rsidRPr="001C5D93">
        <w:rPr>
          <w:rFonts w:asciiTheme="majorHAnsi" w:hAnsiTheme="majorHAnsi" w:cstheme="majorHAnsi"/>
          <w:bCs/>
          <w:sz w:val="32"/>
          <w:szCs w:val="32"/>
        </w:rPr>
        <w:t xml:space="preserve">(4), 742–748. </w:t>
      </w:r>
      <w:hyperlink r:id="rId72" w:history="1">
        <w:r w:rsidRPr="001C5D93">
          <w:rPr>
            <w:rStyle w:val="Hyperlink"/>
            <w:rFonts w:asciiTheme="majorHAnsi" w:hAnsiTheme="majorHAnsi" w:cstheme="majorHAnsi"/>
            <w:bCs/>
            <w:sz w:val="32"/>
            <w:szCs w:val="32"/>
          </w:rPr>
          <w:t>https://doi.org/10.1080/10803548.2018.1534416</w:t>
        </w:r>
      </w:hyperlink>
    </w:p>
    <w:p w14:paraId="598BAB2D"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Spreitzer, G. M. (1995). Psychological empowerment in the workplace: Dimensions, measurement, and validation. </w:t>
      </w:r>
      <w:r w:rsidRPr="001C5D93">
        <w:rPr>
          <w:rFonts w:asciiTheme="majorHAnsi" w:hAnsiTheme="majorHAnsi" w:cstheme="majorHAnsi"/>
          <w:bCs/>
          <w:i/>
          <w:iCs/>
          <w:sz w:val="32"/>
          <w:szCs w:val="32"/>
        </w:rPr>
        <w:t>Academy of Management Journal, 38</w:t>
      </w:r>
      <w:r w:rsidRPr="001C5D93">
        <w:rPr>
          <w:rFonts w:asciiTheme="majorHAnsi" w:hAnsiTheme="majorHAnsi" w:cstheme="majorHAnsi"/>
          <w:bCs/>
          <w:sz w:val="32"/>
          <w:szCs w:val="32"/>
        </w:rPr>
        <w:t xml:space="preserve">(5), 1442–1465. </w:t>
      </w:r>
      <w:hyperlink r:id="rId73" w:tgtFrame="_new" w:history="1">
        <w:r w:rsidRPr="001C5D93">
          <w:rPr>
            <w:rStyle w:val="Hyperlink"/>
            <w:rFonts w:asciiTheme="majorHAnsi" w:hAnsiTheme="majorHAnsi" w:cstheme="majorHAnsi"/>
            <w:bCs/>
            <w:sz w:val="32"/>
            <w:szCs w:val="32"/>
          </w:rPr>
          <w:t>https://doi.org/10.2307/256865</w:t>
        </w:r>
      </w:hyperlink>
    </w:p>
    <w:p w14:paraId="5E32D0D0"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Srinivas, E. S. (2020). Future of organizational development. </w:t>
      </w:r>
      <w:r w:rsidRPr="001C5D93">
        <w:rPr>
          <w:rFonts w:asciiTheme="majorHAnsi" w:hAnsiTheme="majorHAnsi" w:cstheme="majorHAnsi"/>
          <w:bCs/>
          <w:i/>
          <w:iCs/>
          <w:sz w:val="32"/>
          <w:szCs w:val="32"/>
        </w:rPr>
        <w:t>NHRD Network Journal, 13</w:t>
      </w:r>
      <w:r w:rsidRPr="001C5D93">
        <w:rPr>
          <w:rFonts w:asciiTheme="majorHAnsi" w:hAnsiTheme="majorHAnsi" w:cstheme="majorHAnsi"/>
          <w:bCs/>
          <w:sz w:val="32"/>
          <w:szCs w:val="32"/>
        </w:rPr>
        <w:t xml:space="preserve">(2), 246–250. </w:t>
      </w:r>
      <w:hyperlink r:id="rId74" w:history="1">
        <w:r w:rsidRPr="001C5D93">
          <w:rPr>
            <w:rStyle w:val="Hyperlink"/>
            <w:rFonts w:asciiTheme="majorHAnsi" w:hAnsiTheme="majorHAnsi" w:cstheme="majorHAnsi"/>
            <w:bCs/>
            <w:sz w:val="32"/>
            <w:szCs w:val="32"/>
          </w:rPr>
          <w:t>https://doi.org/10.1177/2631454120913211</w:t>
        </w:r>
      </w:hyperlink>
    </w:p>
    <w:p w14:paraId="5E8191E1"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Sundara, W. C., Haryati, R. A., </w:t>
      </w:r>
      <w:proofErr w:type="spellStart"/>
      <w:r w:rsidRPr="001C5D93">
        <w:rPr>
          <w:rFonts w:asciiTheme="majorHAnsi" w:hAnsiTheme="majorHAnsi" w:cstheme="majorHAnsi"/>
          <w:bCs/>
          <w:sz w:val="32"/>
          <w:szCs w:val="32"/>
        </w:rPr>
        <w:t>Rachmat</w:t>
      </w:r>
      <w:proofErr w:type="spellEnd"/>
      <w:r w:rsidRPr="001C5D93">
        <w:rPr>
          <w:rFonts w:asciiTheme="majorHAnsi" w:hAnsiTheme="majorHAnsi" w:cstheme="majorHAnsi"/>
          <w:bCs/>
          <w:sz w:val="32"/>
          <w:szCs w:val="32"/>
        </w:rPr>
        <w:t xml:space="preserve">, S. A., Putra, A. S., &amp; Aisyah, N. (2021). Effect of human resources and budget in project risk management for enterprise resource planning systems. </w:t>
      </w:r>
      <w:r w:rsidRPr="001C5D93">
        <w:rPr>
          <w:rFonts w:asciiTheme="majorHAnsi" w:hAnsiTheme="majorHAnsi" w:cstheme="majorHAnsi"/>
          <w:bCs/>
          <w:i/>
          <w:iCs/>
          <w:sz w:val="32"/>
          <w:szCs w:val="32"/>
        </w:rPr>
        <w:t>Journal of Innovation Research and Knowledge, 1</w:t>
      </w:r>
      <w:r w:rsidRPr="001C5D93">
        <w:rPr>
          <w:rFonts w:asciiTheme="majorHAnsi" w:hAnsiTheme="majorHAnsi" w:cstheme="majorHAnsi"/>
          <w:bCs/>
          <w:sz w:val="32"/>
          <w:szCs w:val="32"/>
        </w:rPr>
        <w:t>(2), 125–130.</w:t>
      </w:r>
    </w:p>
    <w:p w14:paraId="2BC6482B"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Sutton, R. T., Pincock, D., Baumgart, D. C., Sadowski, D. C., Fedorak, R. N., &amp; Kroeker, K. I. (2020). An overview of clinical decision support systems: Benefits, risks, and strategies for success. </w:t>
      </w:r>
      <w:proofErr w:type="spellStart"/>
      <w:r w:rsidRPr="001C5D93">
        <w:rPr>
          <w:rFonts w:asciiTheme="majorHAnsi" w:hAnsiTheme="majorHAnsi" w:cstheme="majorHAnsi"/>
          <w:bCs/>
          <w:i/>
          <w:iCs/>
          <w:sz w:val="32"/>
          <w:szCs w:val="32"/>
        </w:rPr>
        <w:t>npj</w:t>
      </w:r>
      <w:proofErr w:type="spellEnd"/>
      <w:r w:rsidRPr="001C5D93">
        <w:rPr>
          <w:rFonts w:asciiTheme="majorHAnsi" w:hAnsiTheme="majorHAnsi" w:cstheme="majorHAnsi"/>
          <w:bCs/>
          <w:i/>
          <w:iCs/>
          <w:sz w:val="32"/>
          <w:szCs w:val="32"/>
        </w:rPr>
        <w:t xml:space="preserve"> Digital Medicine, 3</w:t>
      </w:r>
      <w:r w:rsidRPr="001C5D93">
        <w:rPr>
          <w:rFonts w:asciiTheme="majorHAnsi" w:hAnsiTheme="majorHAnsi" w:cstheme="majorHAnsi"/>
          <w:bCs/>
          <w:sz w:val="32"/>
          <w:szCs w:val="32"/>
        </w:rPr>
        <w:t xml:space="preserve">, Article 17. </w:t>
      </w:r>
      <w:hyperlink r:id="rId75" w:tgtFrame="_new" w:history="1">
        <w:r w:rsidRPr="001C5D93">
          <w:rPr>
            <w:rStyle w:val="Hyperlink"/>
            <w:rFonts w:asciiTheme="majorHAnsi" w:hAnsiTheme="majorHAnsi" w:cstheme="majorHAnsi"/>
            <w:bCs/>
            <w:sz w:val="32"/>
            <w:szCs w:val="32"/>
          </w:rPr>
          <w:t>https://doi.org/10.1038/s41746-020-0221-y</w:t>
        </w:r>
      </w:hyperlink>
    </w:p>
    <w:p w14:paraId="70CB74E2" w14:textId="7DA218FB"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Taiwo, J. N. (2016). Effect of ICT on accounting information system and </w:t>
      </w:r>
      <w:r w:rsidR="00B02419" w:rsidRPr="001C5D93">
        <w:rPr>
          <w:rFonts w:asciiTheme="majorHAnsi" w:hAnsiTheme="majorHAnsi" w:cstheme="majorHAnsi"/>
          <w:bCs/>
          <w:sz w:val="32"/>
          <w:szCs w:val="32"/>
        </w:rPr>
        <w:t>organizational</w:t>
      </w:r>
      <w:r w:rsidRPr="001C5D93">
        <w:rPr>
          <w:rFonts w:asciiTheme="majorHAnsi" w:hAnsiTheme="majorHAnsi" w:cstheme="majorHAnsi"/>
          <w:bCs/>
          <w:sz w:val="32"/>
          <w:szCs w:val="32"/>
        </w:rPr>
        <w:t xml:space="preserve"> performance. </w:t>
      </w:r>
      <w:r w:rsidRPr="001C5D93">
        <w:rPr>
          <w:rFonts w:asciiTheme="majorHAnsi" w:hAnsiTheme="majorHAnsi" w:cstheme="majorHAnsi"/>
          <w:bCs/>
          <w:i/>
          <w:iCs/>
          <w:sz w:val="32"/>
          <w:szCs w:val="32"/>
        </w:rPr>
        <w:t>European Journal of Business and Social Sciences, 5</w:t>
      </w:r>
      <w:r w:rsidRPr="001C5D93">
        <w:rPr>
          <w:rFonts w:asciiTheme="majorHAnsi" w:hAnsiTheme="majorHAnsi" w:cstheme="majorHAnsi"/>
          <w:bCs/>
          <w:sz w:val="32"/>
          <w:szCs w:val="32"/>
        </w:rPr>
        <w:t>(2), 1–15.</w:t>
      </w:r>
    </w:p>
    <w:p w14:paraId="484FE515"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Teymouri</w:t>
      </w:r>
      <w:proofErr w:type="spellEnd"/>
      <w:r w:rsidRPr="001C5D93">
        <w:rPr>
          <w:rFonts w:asciiTheme="majorHAnsi" w:hAnsiTheme="majorHAnsi" w:cstheme="majorHAnsi"/>
          <w:bCs/>
          <w:sz w:val="32"/>
          <w:szCs w:val="32"/>
        </w:rPr>
        <w:t xml:space="preserve">, M., &amp; Ashoori, M. (2011). The impact of information technology on risk management. </w:t>
      </w:r>
      <w:r w:rsidRPr="001C5D93">
        <w:rPr>
          <w:rFonts w:asciiTheme="majorHAnsi" w:hAnsiTheme="majorHAnsi" w:cstheme="majorHAnsi"/>
          <w:bCs/>
          <w:i/>
          <w:iCs/>
          <w:sz w:val="32"/>
          <w:szCs w:val="32"/>
        </w:rPr>
        <w:t>Procedia Computer Science, 3</w:t>
      </w:r>
      <w:r w:rsidRPr="001C5D93">
        <w:rPr>
          <w:rFonts w:asciiTheme="majorHAnsi" w:hAnsiTheme="majorHAnsi" w:cstheme="majorHAnsi"/>
          <w:bCs/>
          <w:sz w:val="32"/>
          <w:szCs w:val="32"/>
        </w:rPr>
        <w:t xml:space="preserve">, 1602–1608. </w:t>
      </w:r>
      <w:hyperlink r:id="rId76" w:history="1">
        <w:r w:rsidRPr="001C5D93">
          <w:rPr>
            <w:rStyle w:val="Hyperlink"/>
            <w:rFonts w:asciiTheme="majorHAnsi" w:hAnsiTheme="majorHAnsi" w:cstheme="majorHAnsi"/>
            <w:bCs/>
            <w:sz w:val="32"/>
            <w:szCs w:val="32"/>
          </w:rPr>
          <w:t>https://doi.org/10.1016/j.procs.2010.12.033</w:t>
        </w:r>
      </w:hyperlink>
    </w:p>
    <w:p w14:paraId="3C142E85"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Tucci, L. (2022). Business process reengineering (BPR). </w:t>
      </w:r>
      <w:r w:rsidRPr="001C5D93">
        <w:rPr>
          <w:rFonts w:asciiTheme="majorHAnsi" w:hAnsiTheme="majorHAnsi" w:cstheme="majorHAnsi"/>
          <w:bCs/>
          <w:i/>
          <w:iCs/>
          <w:sz w:val="32"/>
          <w:szCs w:val="32"/>
        </w:rPr>
        <w:t>TechTarget</w:t>
      </w:r>
      <w:r w:rsidRPr="001C5D93">
        <w:rPr>
          <w:rFonts w:asciiTheme="majorHAnsi" w:hAnsiTheme="majorHAnsi" w:cstheme="majorHAnsi"/>
          <w:bCs/>
          <w:sz w:val="32"/>
          <w:szCs w:val="32"/>
        </w:rPr>
        <w:t xml:space="preserve">. Retrieved Febuary16, 2026, from </w:t>
      </w:r>
      <w:hyperlink r:id="rId77" w:tgtFrame="_new" w:history="1">
        <w:r w:rsidRPr="001C5D93">
          <w:rPr>
            <w:rStyle w:val="Hyperlink"/>
            <w:rFonts w:asciiTheme="majorHAnsi" w:hAnsiTheme="majorHAnsi" w:cstheme="majorHAnsi"/>
            <w:bCs/>
            <w:sz w:val="32"/>
            <w:szCs w:val="32"/>
          </w:rPr>
          <w:t>https://www.techtarget.com/</w:t>
        </w:r>
      </w:hyperlink>
    </w:p>
    <w:p w14:paraId="6D4980A0"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Tupa, J., </w:t>
      </w:r>
      <w:proofErr w:type="spellStart"/>
      <w:r w:rsidRPr="001C5D93">
        <w:rPr>
          <w:rFonts w:asciiTheme="majorHAnsi" w:hAnsiTheme="majorHAnsi" w:cstheme="majorHAnsi"/>
          <w:bCs/>
          <w:sz w:val="32"/>
          <w:szCs w:val="32"/>
        </w:rPr>
        <w:t>Simota</w:t>
      </w:r>
      <w:proofErr w:type="spellEnd"/>
      <w:r w:rsidRPr="001C5D93">
        <w:rPr>
          <w:rFonts w:asciiTheme="majorHAnsi" w:hAnsiTheme="majorHAnsi" w:cstheme="majorHAnsi"/>
          <w:bCs/>
          <w:sz w:val="32"/>
          <w:szCs w:val="32"/>
        </w:rPr>
        <w:t xml:space="preserve">, J., &amp; Steiner, F. (2017). Aspects of risk management implementation for Industry 4.0. </w:t>
      </w:r>
      <w:r w:rsidRPr="001C5D93">
        <w:rPr>
          <w:rFonts w:asciiTheme="majorHAnsi" w:hAnsiTheme="majorHAnsi" w:cstheme="majorHAnsi"/>
          <w:bCs/>
          <w:i/>
          <w:iCs/>
          <w:sz w:val="32"/>
          <w:szCs w:val="32"/>
        </w:rPr>
        <w:t xml:space="preserve">Procedia </w:t>
      </w:r>
      <w:r w:rsidRPr="001C5D93">
        <w:rPr>
          <w:rFonts w:asciiTheme="majorHAnsi" w:hAnsiTheme="majorHAnsi" w:cstheme="majorHAnsi"/>
          <w:bCs/>
          <w:i/>
          <w:iCs/>
          <w:sz w:val="32"/>
          <w:szCs w:val="32"/>
        </w:rPr>
        <w:lastRenderedPageBreak/>
        <w:t>Manufacturing, 11</w:t>
      </w:r>
      <w:r w:rsidRPr="001C5D93">
        <w:rPr>
          <w:rFonts w:asciiTheme="majorHAnsi" w:hAnsiTheme="majorHAnsi" w:cstheme="majorHAnsi"/>
          <w:bCs/>
          <w:sz w:val="32"/>
          <w:szCs w:val="32"/>
        </w:rPr>
        <w:t xml:space="preserve">, 1223–1230. </w:t>
      </w:r>
      <w:hyperlink r:id="rId78" w:history="1">
        <w:r w:rsidRPr="001C5D93">
          <w:rPr>
            <w:rStyle w:val="Hyperlink"/>
            <w:rFonts w:asciiTheme="majorHAnsi" w:hAnsiTheme="majorHAnsi" w:cstheme="majorHAnsi"/>
            <w:bCs/>
            <w:sz w:val="32"/>
            <w:szCs w:val="32"/>
          </w:rPr>
          <w:t>https://doi.org/10.1016/j.promfg.2017.07.248</w:t>
        </w:r>
      </w:hyperlink>
    </w:p>
    <w:p w14:paraId="37D871F0"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Van Dyk, J. (2020). The modern technology of radiation oncology: A compendium for medical physicists and radiation oncologists. </w:t>
      </w:r>
      <w:r w:rsidRPr="001C5D93">
        <w:rPr>
          <w:rFonts w:asciiTheme="majorHAnsi" w:hAnsiTheme="majorHAnsi" w:cstheme="majorHAnsi"/>
          <w:bCs/>
          <w:i/>
          <w:iCs/>
          <w:sz w:val="32"/>
          <w:szCs w:val="32"/>
        </w:rPr>
        <w:t>Medical Physics, 47</w:t>
      </w:r>
      <w:r w:rsidRPr="001C5D93">
        <w:rPr>
          <w:rFonts w:asciiTheme="majorHAnsi" w:hAnsiTheme="majorHAnsi" w:cstheme="majorHAnsi"/>
          <w:bCs/>
          <w:sz w:val="32"/>
          <w:szCs w:val="32"/>
        </w:rPr>
        <w:t>(8), 1–3. https://doi.org/10.1002/mp.14215</w:t>
      </w:r>
    </w:p>
    <w:p w14:paraId="0597C8C0"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Venkatesh, V., Morris, M. G., Davis, G. B., &amp; Davis, F. D. (2003). User acceptance of information technology: Toward a unified view. </w:t>
      </w:r>
      <w:r w:rsidRPr="001C5D93">
        <w:rPr>
          <w:rFonts w:asciiTheme="majorHAnsi" w:hAnsiTheme="majorHAnsi" w:cstheme="majorHAnsi"/>
          <w:bCs/>
          <w:i/>
          <w:iCs/>
          <w:sz w:val="32"/>
          <w:szCs w:val="32"/>
        </w:rPr>
        <w:t>MIS Quarterly, 27</w:t>
      </w:r>
      <w:r w:rsidRPr="001C5D93">
        <w:rPr>
          <w:rFonts w:asciiTheme="majorHAnsi" w:hAnsiTheme="majorHAnsi" w:cstheme="majorHAnsi"/>
          <w:bCs/>
          <w:sz w:val="32"/>
          <w:szCs w:val="32"/>
        </w:rPr>
        <w:t xml:space="preserve">(3), 425–478. </w:t>
      </w:r>
      <w:hyperlink r:id="rId79" w:tgtFrame="_new" w:history="1">
        <w:r w:rsidRPr="001C5D93">
          <w:rPr>
            <w:rStyle w:val="Hyperlink"/>
            <w:rFonts w:asciiTheme="majorHAnsi" w:hAnsiTheme="majorHAnsi" w:cstheme="majorHAnsi"/>
            <w:bCs/>
            <w:sz w:val="32"/>
            <w:szCs w:val="32"/>
          </w:rPr>
          <w:t>https://doi.org/10.2307/30036540</w:t>
        </w:r>
      </w:hyperlink>
    </w:p>
    <w:p w14:paraId="2AFD28F2"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Wagner, J. A., &amp; Hollenbeck, J. R. (2020). </w:t>
      </w:r>
      <w:r w:rsidRPr="001C5D93">
        <w:rPr>
          <w:rFonts w:asciiTheme="majorHAnsi" w:hAnsiTheme="majorHAnsi" w:cstheme="majorHAnsi"/>
          <w:bCs/>
          <w:i/>
          <w:iCs/>
          <w:sz w:val="32"/>
          <w:szCs w:val="32"/>
        </w:rPr>
        <w:t>Organizational behavior: Securing competitive advantage</w:t>
      </w:r>
      <w:r w:rsidRPr="001C5D93">
        <w:rPr>
          <w:rFonts w:asciiTheme="majorHAnsi" w:hAnsiTheme="majorHAnsi" w:cstheme="majorHAnsi"/>
          <w:bCs/>
          <w:sz w:val="32"/>
          <w:szCs w:val="32"/>
        </w:rPr>
        <w:t xml:space="preserve"> (2nd ed.). Routledge.</w:t>
      </w:r>
    </w:p>
    <w:p w14:paraId="4D18926C"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Willard, J. (2020). What is risk management in healthcare? </w:t>
      </w:r>
      <w:proofErr w:type="spellStart"/>
      <w:r w:rsidRPr="001C5D93">
        <w:rPr>
          <w:rFonts w:asciiTheme="majorHAnsi" w:hAnsiTheme="majorHAnsi" w:cstheme="majorHAnsi"/>
          <w:bCs/>
          <w:i/>
          <w:iCs/>
          <w:sz w:val="32"/>
          <w:szCs w:val="32"/>
        </w:rPr>
        <w:t>Verisys</w:t>
      </w:r>
      <w:proofErr w:type="spellEnd"/>
      <w:r w:rsidRPr="001C5D93">
        <w:rPr>
          <w:rFonts w:asciiTheme="majorHAnsi" w:hAnsiTheme="majorHAnsi" w:cstheme="majorHAnsi"/>
          <w:bCs/>
          <w:i/>
          <w:iCs/>
          <w:sz w:val="32"/>
          <w:szCs w:val="32"/>
        </w:rPr>
        <w:t xml:space="preserve"> Blog</w:t>
      </w:r>
      <w:r w:rsidRPr="001C5D93">
        <w:rPr>
          <w:rFonts w:asciiTheme="majorHAnsi" w:hAnsiTheme="majorHAnsi" w:cstheme="majorHAnsi"/>
          <w:bCs/>
          <w:sz w:val="32"/>
          <w:szCs w:val="32"/>
        </w:rPr>
        <w:t xml:space="preserve">. Retrieved February 16, 2026, from </w:t>
      </w:r>
      <w:hyperlink r:id="rId80" w:tgtFrame="_new" w:history="1">
        <w:r w:rsidRPr="001C5D93">
          <w:rPr>
            <w:rStyle w:val="Hyperlink"/>
            <w:rFonts w:asciiTheme="majorHAnsi" w:hAnsiTheme="majorHAnsi" w:cstheme="majorHAnsi"/>
            <w:bCs/>
            <w:sz w:val="32"/>
            <w:szCs w:val="32"/>
          </w:rPr>
          <w:t>https://verisys.com/</w:t>
        </w:r>
      </w:hyperlink>
    </w:p>
    <w:p w14:paraId="42B61027" w14:textId="77777777" w:rsidR="005B684E" w:rsidRPr="001C5D93" w:rsidRDefault="005B684E"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World Health Organization. (2022). </w:t>
      </w:r>
      <w:r w:rsidRPr="001C5D93">
        <w:rPr>
          <w:rStyle w:val="ae"/>
          <w:rFonts w:asciiTheme="majorHAnsi" w:eastAsiaTheme="majorEastAsia" w:hAnsiTheme="majorHAnsi" w:cstheme="majorHAnsi"/>
          <w:sz w:val="32"/>
          <w:szCs w:val="32"/>
        </w:rPr>
        <w:t>EWARS in a box: Quick start guide</w:t>
      </w:r>
      <w:r w:rsidRPr="001C5D93">
        <w:rPr>
          <w:rFonts w:asciiTheme="majorHAnsi" w:hAnsiTheme="majorHAnsi" w:cstheme="majorHAnsi"/>
          <w:sz w:val="32"/>
          <w:szCs w:val="32"/>
        </w:rPr>
        <w:t xml:space="preserve">. Retrieved February 21, 2026, from </w:t>
      </w:r>
      <w:hyperlink r:id="rId81" w:history="1">
        <w:r w:rsidRPr="001C5D93">
          <w:rPr>
            <w:rStyle w:val="Hyperlink"/>
            <w:rFonts w:asciiTheme="majorHAnsi" w:eastAsiaTheme="majorEastAsia" w:hAnsiTheme="majorHAnsi" w:cstheme="majorHAnsi"/>
            <w:sz w:val="32"/>
            <w:szCs w:val="32"/>
          </w:rPr>
          <w:t>https://www.who.int/publications/i/item/9789240066762</w:t>
        </w:r>
      </w:hyperlink>
      <w:r w:rsidRPr="001C5D93">
        <w:rPr>
          <w:rFonts w:asciiTheme="majorHAnsi" w:hAnsiTheme="majorHAnsi" w:cstheme="majorHAnsi"/>
          <w:sz w:val="32"/>
          <w:szCs w:val="32"/>
        </w:rPr>
        <w:t xml:space="preserve">  </w:t>
      </w:r>
    </w:p>
    <w:p w14:paraId="5D96769E" w14:textId="77777777" w:rsidR="005B684E" w:rsidRPr="001C5D93" w:rsidRDefault="005B684E" w:rsidP="00254B75">
      <w:pPr>
        <w:pStyle w:val="ab"/>
        <w:numPr>
          <w:ilvl w:val="0"/>
          <w:numId w:val="112"/>
        </w:numPr>
        <w:spacing w:before="0" w:beforeAutospacing="0" w:after="120" w:afterAutospacing="0"/>
        <w:rPr>
          <w:rFonts w:asciiTheme="majorHAnsi" w:hAnsiTheme="majorHAnsi" w:cstheme="majorHAnsi"/>
          <w:sz w:val="32"/>
          <w:szCs w:val="32"/>
        </w:rPr>
      </w:pPr>
      <w:r w:rsidRPr="001C5D93">
        <w:rPr>
          <w:rFonts w:asciiTheme="majorHAnsi" w:hAnsiTheme="majorHAnsi" w:cstheme="majorHAnsi"/>
          <w:sz w:val="32"/>
          <w:szCs w:val="32"/>
        </w:rPr>
        <w:t xml:space="preserve">World Health Organization. (n.d.). </w:t>
      </w:r>
      <w:r w:rsidRPr="001C5D93">
        <w:rPr>
          <w:rStyle w:val="ae"/>
          <w:rFonts w:asciiTheme="majorHAnsi" w:eastAsiaTheme="majorEastAsia" w:hAnsiTheme="majorHAnsi" w:cstheme="majorHAnsi"/>
          <w:sz w:val="32"/>
          <w:szCs w:val="32"/>
        </w:rPr>
        <w:t>Early Warning, Alert and Response System (EWARS).</w:t>
      </w:r>
      <w:r w:rsidRPr="001C5D93">
        <w:rPr>
          <w:rFonts w:asciiTheme="majorHAnsi" w:hAnsiTheme="majorHAnsi" w:cstheme="majorHAnsi"/>
          <w:sz w:val="32"/>
          <w:szCs w:val="32"/>
        </w:rPr>
        <w:t xml:space="preserve"> Retrieved February 21, 2026, from </w:t>
      </w:r>
      <w:hyperlink r:id="rId82" w:tgtFrame="_new" w:history="1">
        <w:r w:rsidRPr="001C5D93">
          <w:rPr>
            <w:rStyle w:val="Hyperlink"/>
            <w:rFonts w:asciiTheme="majorHAnsi" w:eastAsiaTheme="majorEastAsia" w:hAnsiTheme="majorHAnsi" w:cstheme="majorHAnsi"/>
            <w:sz w:val="32"/>
            <w:szCs w:val="32"/>
          </w:rPr>
          <w:t>https://www.who.int/emergencies/surveillance/early-warning-alert-and-response-system-ewars/</w:t>
        </w:r>
      </w:hyperlink>
      <w:r w:rsidRPr="001C5D93">
        <w:rPr>
          <w:rFonts w:asciiTheme="majorHAnsi" w:hAnsiTheme="majorHAnsi" w:cstheme="majorHAnsi"/>
          <w:sz w:val="32"/>
          <w:szCs w:val="32"/>
        </w:rPr>
        <w:t xml:space="preserve"> </w:t>
      </w:r>
    </w:p>
    <w:p w14:paraId="70516C0E"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Yazdi, M., Khan, F., &amp; Abbassi, R. (2024). Risk analysis of dynamic systems using artificial neural networks: A comprehensive review. </w:t>
      </w:r>
      <w:r w:rsidRPr="001C5D93">
        <w:rPr>
          <w:rFonts w:asciiTheme="majorHAnsi" w:hAnsiTheme="majorHAnsi" w:cstheme="majorHAnsi"/>
          <w:bCs/>
          <w:i/>
          <w:iCs/>
          <w:sz w:val="32"/>
          <w:szCs w:val="32"/>
        </w:rPr>
        <w:t>Reliability Engineering &amp; System Safety, 241</w:t>
      </w:r>
      <w:r w:rsidRPr="001C5D93">
        <w:rPr>
          <w:rFonts w:asciiTheme="majorHAnsi" w:hAnsiTheme="majorHAnsi" w:cstheme="majorHAnsi"/>
          <w:bCs/>
          <w:sz w:val="32"/>
          <w:szCs w:val="32"/>
        </w:rPr>
        <w:t xml:space="preserve">, 109712. </w:t>
      </w:r>
      <w:hyperlink r:id="rId83" w:tgtFrame="_new" w:history="1">
        <w:r w:rsidRPr="001C5D93">
          <w:rPr>
            <w:rStyle w:val="Hyperlink"/>
            <w:rFonts w:asciiTheme="majorHAnsi" w:hAnsiTheme="majorHAnsi" w:cstheme="majorHAnsi"/>
            <w:bCs/>
            <w:sz w:val="32"/>
            <w:szCs w:val="32"/>
          </w:rPr>
          <w:t>https://doi.org/10.1016/j.ress.2023.109712</w:t>
        </w:r>
      </w:hyperlink>
    </w:p>
    <w:p w14:paraId="7EAB3B0F"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Zeebaree, M., Saleh, S., Aqel, M., &amp; Qader, A. (2020). Impact of innovation technology in enhancing organizational management. </w:t>
      </w:r>
      <w:r w:rsidRPr="001C5D93">
        <w:rPr>
          <w:rFonts w:asciiTheme="majorHAnsi" w:hAnsiTheme="majorHAnsi" w:cstheme="majorHAnsi"/>
          <w:bCs/>
          <w:i/>
          <w:iCs/>
          <w:sz w:val="32"/>
          <w:szCs w:val="32"/>
        </w:rPr>
        <w:t>International Journal of Supply Chain Management, 9</w:t>
      </w:r>
      <w:r w:rsidRPr="001C5D93">
        <w:rPr>
          <w:rFonts w:asciiTheme="majorHAnsi" w:hAnsiTheme="majorHAnsi" w:cstheme="majorHAnsi"/>
          <w:bCs/>
          <w:sz w:val="32"/>
          <w:szCs w:val="32"/>
        </w:rPr>
        <w:t>(5), 2050–2069.</w:t>
      </w:r>
    </w:p>
    <w:p w14:paraId="0A05B6E6"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proofErr w:type="spellStart"/>
      <w:r w:rsidRPr="001C5D93">
        <w:rPr>
          <w:rFonts w:asciiTheme="majorHAnsi" w:hAnsiTheme="majorHAnsi" w:cstheme="majorHAnsi"/>
          <w:bCs/>
          <w:sz w:val="32"/>
          <w:szCs w:val="32"/>
        </w:rPr>
        <w:t>Zhichkin</w:t>
      </w:r>
      <w:proofErr w:type="spellEnd"/>
      <w:r w:rsidRPr="001C5D93">
        <w:rPr>
          <w:rFonts w:asciiTheme="majorHAnsi" w:hAnsiTheme="majorHAnsi" w:cstheme="majorHAnsi"/>
          <w:bCs/>
          <w:sz w:val="32"/>
          <w:szCs w:val="32"/>
        </w:rPr>
        <w:t xml:space="preserve">, K. A., Nosov, V. V., Zhichkina, L. N., Dibrova, Z. H., &amp; </w:t>
      </w:r>
      <w:proofErr w:type="spellStart"/>
      <w:r w:rsidRPr="001C5D93">
        <w:rPr>
          <w:rFonts w:asciiTheme="majorHAnsi" w:hAnsiTheme="majorHAnsi" w:cstheme="majorHAnsi"/>
          <w:bCs/>
          <w:sz w:val="32"/>
          <w:szCs w:val="32"/>
        </w:rPr>
        <w:t>Cherepova</w:t>
      </w:r>
      <w:proofErr w:type="spellEnd"/>
      <w:r w:rsidRPr="001C5D93">
        <w:rPr>
          <w:rFonts w:asciiTheme="majorHAnsi" w:hAnsiTheme="majorHAnsi" w:cstheme="majorHAnsi"/>
          <w:bCs/>
          <w:sz w:val="32"/>
          <w:szCs w:val="32"/>
        </w:rPr>
        <w:t xml:space="preserve">, T. (2019). Development of evaluation model effectiveness of modern technologies in crop production. </w:t>
      </w:r>
      <w:r w:rsidRPr="001C5D93">
        <w:rPr>
          <w:rFonts w:asciiTheme="majorHAnsi" w:hAnsiTheme="majorHAnsi" w:cstheme="majorHAnsi"/>
          <w:bCs/>
          <w:i/>
          <w:iCs/>
          <w:sz w:val="32"/>
          <w:szCs w:val="32"/>
        </w:rPr>
        <w:t xml:space="preserve">IOP </w:t>
      </w:r>
      <w:r w:rsidRPr="001C5D93">
        <w:rPr>
          <w:rFonts w:asciiTheme="majorHAnsi" w:hAnsiTheme="majorHAnsi" w:cstheme="majorHAnsi"/>
          <w:bCs/>
          <w:i/>
          <w:iCs/>
          <w:sz w:val="32"/>
          <w:szCs w:val="32"/>
        </w:rPr>
        <w:lastRenderedPageBreak/>
        <w:t>Conference Series: Earth and Environmental Science, 315</w:t>
      </w:r>
      <w:r w:rsidRPr="001C5D93">
        <w:rPr>
          <w:rFonts w:asciiTheme="majorHAnsi" w:hAnsiTheme="majorHAnsi" w:cstheme="majorHAnsi"/>
          <w:bCs/>
          <w:sz w:val="32"/>
          <w:szCs w:val="32"/>
        </w:rPr>
        <w:t xml:space="preserve">(2), 022023. </w:t>
      </w:r>
      <w:hyperlink r:id="rId84" w:history="1">
        <w:r w:rsidRPr="001C5D93">
          <w:rPr>
            <w:rStyle w:val="Hyperlink"/>
            <w:rFonts w:asciiTheme="majorHAnsi" w:hAnsiTheme="majorHAnsi" w:cstheme="majorHAnsi"/>
            <w:bCs/>
            <w:sz w:val="32"/>
            <w:szCs w:val="32"/>
          </w:rPr>
          <w:t>https://doi.org/10.1088/1755-1315/315/2/022023</w:t>
        </w:r>
      </w:hyperlink>
    </w:p>
    <w:p w14:paraId="18464031" w14:textId="77777777" w:rsidR="005B684E" w:rsidRPr="001C5D93" w:rsidRDefault="005B684E" w:rsidP="00254B75">
      <w:pPr>
        <w:pStyle w:val="a6"/>
        <w:numPr>
          <w:ilvl w:val="0"/>
          <w:numId w:val="112"/>
        </w:numPr>
        <w:spacing w:after="120" w:line="240" w:lineRule="auto"/>
        <w:jc w:val="both"/>
        <w:rPr>
          <w:rFonts w:asciiTheme="majorHAnsi" w:hAnsiTheme="majorHAnsi" w:cstheme="majorHAnsi"/>
          <w:bCs/>
          <w:sz w:val="32"/>
          <w:szCs w:val="32"/>
        </w:rPr>
      </w:pPr>
      <w:r w:rsidRPr="001C5D93">
        <w:rPr>
          <w:rFonts w:asciiTheme="majorHAnsi" w:hAnsiTheme="majorHAnsi" w:cstheme="majorHAnsi"/>
          <w:bCs/>
          <w:sz w:val="32"/>
          <w:szCs w:val="32"/>
        </w:rPr>
        <w:t xml:space="preserve">Zwikael, O., &amp; Ahn, M. (2011). The effectiveness of risk management: An analysis of project risk planning across industries and countries. </w:t>
      </w:r>
      <w:r w:rsidRPr="001C5D93">
        <w:rPr>
          <w:rFonts w:asciiTheme="majorHAnsi" w:hAnsiTheme="majorHAnsi" w:cstheme="majorHAnsi"/>
          <w:bCs/>
          <w:i/>
          <w:iCs/>
          <w:sz w:val="32"/>
          <w:szCs w:val="32"/>
        </w:rPr>
        <w:t>Risk Analysis, 31</w:t>
      </w:r>
      <w:r w:rsidRPr="001C5D93">
        <w:rPr>
          <w:rFonts w:asciiTheme="majorHAnsi" w:hAnsiTheme="majorHAnsi" w:cstheme="majorHAnsi"/>
          <w:bCs/>
          <w:sz w:val="32"/>
          <w:szCs w:val="32"/>
        </w:rPr>
        <w:t xml:space="preserve">(1), 25–37. </w:t>
      </w:r>
      <w:hyperlink r:id="rId85" w:history="1">
        <w:r w:rsidRPr="001C5D93">
          <w:rPr>
            <w:rStyle w:val="Hyperlink"/>
            <w:rFonts w:asciiTheme="majorHAnsi" w:hAnsiTheme="majorHAnsi" w:cstheme="majorHAnsi"/>
            <w:bCs/>
            <w:sz w:val="32"/>
            <w:szCs w:val="32"/>
          </w:rPr>
          <w:t>https://doi.org/10.1111/j.1539-6924.2010.01470.x</w:t>
        </w:r>
      </w:hyperlink>
    </w:p>
    <w:p w14:paraId="69272E2C" w14:textId="77777777" w:rsidR="00692F26" w:rsidRPr="001C5D93" w:rsidRDefault="00692F26" w:rsidP="00A02194">
      <w:pPr>
        <w:pStyle w:val="a6"/>
        <w:spacing w:after="120" w:line="240" w:lineRule="auto"/>
        <w:jc w:val="both"/>
        <w:rPr>
          <w:rFonts w:asciiTheme="majorHAnsi" w:hAnsiTheme="majorHAnsi" w:cstheme="majorHAnsi"/>
          <w:bCs/>
          <w:sz w:val="32"/>
          <w:szCs w:val="32"/>
        </w:rPr>
      </w:pPr>
    </w:p>
    <w:sectPr w:rsidR="00692F26" w:rsidRPr="001C5D93" w:rsidSect="003928E8">
      <w:footerReference w:type="default" r:id="rId86"/>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0E083" w14:textId="77777777" w:rsidR="009B71AD" w:rsidRDefault="009B71AD" w:rsidP="00EB2FAA">
      <w:pPr>
        <w:spacing w:after="0" w:line="240" w:lineRule="auto"/>
      </w:pPr>
      <w:r>
        <w:separator/>
      </w:r>
    </w:p>
  </w:endnote>
  <w:endnote w:type="continuationSeparator" w:id="0">
    <w:p w14:paraId="34AA35D6" w14:textId="77777777" w:rsidR="009B71AD" w:rsidRDefault="009B71AD" w:rsidP="00EB2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gency FB">
    <w:panose1 w:val="020B0503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36738052"/>
      <w:docPartObj>
        <w:docPartGallery w:val="Page Numbers (Bottom of Page)"/>
        <w:docPartUnique/>
      </w:docPartObj>
    </w:sdtPr>
    <w:sdtContent>
      <w:p w14:paraId="3F7BAB19" w14:textId="28783D5E" w:rsidR="00EB2FAA" w:rsidRDefault="00EB2FAA">
        <w:pPr>
          <w:pStyle w:val="af4"/>
          <w:jc w:val="center"/>
        </w:pPr>
        <w:r>
          <w:fldChar w:fldCharType="begin"/>
        </w:r>
        <w:r>
          <w:instrText>PAGE   \* MERGEFORMAT</w:instrText>
        </w:r>
        <w:r>
          <w:fldChar w:fldCharType="separate"/>
        </w:r>
        <w:r>
          <w:rPr>
            <w:rtl/>
            <w:lang w:val="ar-SA" w:bidi="ar-SA"/>
          </w:rPr>
          <w:t>2</w:t>
        </w:r>
        <w:r>
          <w:fldChar w:fldCharType="end"/>
        </w:r>
      </w:p>
    </w:sdtContent>
  </w:sdt>
  <w:p w14:paraId="2DB563B0" w14:textId="77777777" w:rsidR="00EB2FAA" w:rsidRDefault="00EB2FA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05D38" w14:textId="77777777" w:rsidR="009B71AD" w:rsidRDefault="009B71AD" w:rsidP="00EB2FAA">
      <w:pPr>
        <w:spacing w:after="0" w:line="240" w:lineRule="auto"/>
      </w:pPr>
      <w:r>
        <w:separator/>
      </w:r>
    </w:p>
  </w:footnote>
  <w:footnote w:type="continuationSeparator" w:id="0">
    <w:p w14:paraId="1E9C3931" w14:textId="77777777" w:rsidR="009B71AD" w:rsidRDefault="009B71AD" w:rsidP="00EB2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6B5"/>
    <w:multiLevelType w:val="hybridMultilevel"/>
    <w:tmpl w:val="B4801F7A"/>
    <w:lvl w:ilvl="0" w:tplc="0409000F">
      <w:start w:val="1"/>
      <w:numFmt w:val="decimal"/>
      <w:lvlText w:val="%1."/>
      <w:lvlJc w:val="left"/>
      <w:pPr>
        <w:ind w:left="1222" w:hanging="360"/>
      </w:pPr>
      <w:rPr>
        <w:rFonts w:hint="default"/>
      </w:rPr>
    </w:lvl>
    <w:lvl w:ilvl="1" w:tplc="FFFFFFFF">
      <w:start w:val="1"/>
      <w:numFmt w:val="bullet"/>
      <w:lvlText w:val="o"/>
      <w:lvlJc w:val="left"/>
      <w:pPr>
        <w:ind w:left="1942" w:hanging="360"/>
      </w:pPr>
      <w:rPr>
        <w:rFonts w:ascii="Courier New" w:hAnsi="Courier New" w:cs="Courier New" w:hint="default"/>
      </w:rPr>
    </w:lvl>
    <w:lvl w:ilvl="2" w:tplc="FFFFFFFF">
      <w:start w:val="1"/>
      <w:numFmt w:val="bullet"/>
      <w:lvlText w:val=""/>
      <w:lvlJc w:val="left"/>
      <w:pPr>
        <w:ind w:left="2662" w:hanging="360"/>
      </w:pPr>
      <w:rPr>
        <w:rFonts w:ascii="Wingdings" w:hAnsi="Wingdings" w:hint="default"/>
      </w:rPr>
    </w:lvl>
    <w:lvl w:ilvl="3" w:tplc="FFFFFFFF">
      <w:start w:val="1"/>
      <w:numFmt w:val="bullet"/>
      <w:lvlText w:val=""/>
      <w:lvlJc w:val="left"/>
      <w:pPr>
        <w:ind w:left="3382" w:hanging="360"/>
      </w:pPr>
      <w:rPr>
        <w:rFonts w:ascii="Symbol" w:hAnsi="Symbol" w:hint="default"/>
      </w:rPr>
    </w:lvl>
    <w:lvl w:ilvl="4" w:tplc="FFFFFFFF">
      <w:start w:val="1"/>
      <w:numFmt w:val="bullet"/>
      <w:lvlText w:val="o"/>
      <w:lvlJc w:val="left"/>
      <w:pPr>
        <w:ind w:left="4102" w:hanging="360"/>
      </w:pPr>
      <w:rPr>
        <w:rFonts w:ascii="Courier New" w:hAnsi="Courier New" w:cs="Courier New" w:hint="default"/>
      </w:rPr>
    </w:lvl>
    <w:lvl w:ilvl="5" w:tplc="FFFFFFFF">
      <w:start w:val="1"/>
      <w:numFmt w:val="bullet"/>
      <w:lvlText w:val=""/>
      <w:lvlJc w:val="left"/>
      <w:pPr>
        <w:ind w:left="4822" w:hanging="360"/>
      </w:pPr>
      <w:rPr>
        <w:rFonts w:ascii="Wingdings" w:hAnsi="Wingdings" w:hint="default"/>
      </w:rPr>
    </w:lvl>
    <w:lvl w:ilvl="6" w:tplc="FFFFFFFF">
      <w:start w:val="1"/>
      <w:numFmt w:val="bullet"/>
      <w:lvlText w:val=""/>
      <w:lvlJc w:val="left"/>
      <w:pPr>
        <w:ind w:left="5542" w:hanging="360"/>
      </w:pPr>
      <w:rPr>
        <w:rFonts w:ascii="Symbol" w:hAnsi="Symbol" w:hint="default"/>
      </w:rPr>
    </w:lvl>
    <w:lvl w:ilvl="7" w:tplc="FFFFFFFF">
      <w:start w:val="1"/>
      <w:numFmt w:val="bullet"/>
      <w:lvlText w:val="o"/>
      <w:lvlJc w:val="left"/>
      <w:pPr>
        <w:ind w:left="6262" w:hanging="360"/>
      </w:pPr>
      <w:rPr>
        <w:rFonts w:ascii="Courier New" w:hAnsi="Courier New" w:cs="Courier New" w:hint="default"/>
      </w:rPr>
    </w:lvl>
    <w:lvl w:ilvl="8" w:tplc="FFFFFFFF">
      <w:start w:val="1"/>
      <w:numFmt w:val="bullet"/>
      <w:lvlText w:val=""/>
      <w:lvlJc w:val="left"/>
      <w:pPr>
        <w:ind w:left="6982" w:hanging="360"/>
      </w:pPr>
      <w:rPr>
        <w:rFonts w:ascii="Wingdings" w:hAnsi="Wingdings" w:hint="default"/>
      </w:rPr>
    </w:lvl>
  </w:abstractNum>
  <w:abstractNum w:abstractNumId="1" w15:restartNumberingAfterBreak="0">
    <w:nsid w:val="01B10AD8"/>
    <w:multiLevelType w:val="hybridMultilevel"/>
    <w:tmpl w:val="BFBE517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C73149"/>
    <w:multiLevelType w:val="hybridMultilevel"/>
    <w:tmpl w:val="D94CF8E6"/>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2E07B06"/>
    <w:multiLevelType w:val="hybridMultilevel"/>
    <w:tmpl w:val="32F41312"/>
    <w:lvl w:ilvl="0" w:tplc="AB8A4B0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040F7252"/>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76C6528"/>
    <w:multiLevelType w:val="multilevel"/>
    <w:tmpl w:val="0C6AB4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0E3128"/>
    <w:multiLevelType w:val="hybridMultilevel"/>
    <w:tmpl w:val="FB2C6656"/>
    <w:lvl w:ilvl="0" w:tplc="D2D840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455FD0"/>
    <w:multiLevelType w:val="hybridMultilevel"/>
    <w:tmpl w:val="088C1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6C2BE1"/>
    <w:multiLevelType w:val="multilevel"/>
    <w:tmpl w:val="45FC2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744A0E"/>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7306B0"/>
    <w:multiLevelType w:val="hybridMultilevel"/>
    <w:tmpl w:val="7CD43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F321D7"/>
    <w:multiLevelType w:val="hybridMultilevel"/>
    <w:tmpl w:val="F1FA9368"/>
    <w:lvl w:ilvl="0" w:tplc="379228B4">
      <w:start w:val="1"/>
      <w:numFmt w:val="decimal"/>
      <w:lvlText w:val="%1)"/>
      <w:lvlJc w:val="left"/>
      <w:pPr>
        <w:ind w:left="720" w:hanging="360"/>
      </w:pPr>
      <w:rPr>
        <w:rFonts w:eastAsiaTheme="majorEastAsia"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432BF9"/>
    <w:multiLevelType w:val="multilevel"/>
    <w:tmpl w:val="774E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0182EA8"/>
    <w:multiLevelType w:val="hybridMultilevel"/>
    <w:tmpl w:val="25162240"/>
    <w:lvl w:ilvl="0" w:tplc="021E906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135730F4"/>
    <w:multiLevelType w:val="hybridMultilevel"/>
    <w:tmpl w:val="BC7ECDA2"/>
    <w:lvl w:ilvl="0" w:tplc="0409001B">
      <w:start w:val="1"/>
      <w:numFmt w:val="low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0" w15:restartNumberingAfterBreak="0">
    <w:nsid w:val="13D040E8"/>
    <w:multiLevelType w:val="hybridMultilevel"/>
    <w:tmpl w:val="494EB1EA"/>
    <w:lvl w:ilvl="0" w:tplc="0409001B">
      <w:start w:val="1"/>
      <w:numFmt w:val="lowerRoman"/>
      <w:lvlText w:val="%1."/>
      <w:lvlJc w:val="right"/>
      <w:pPr>
        <w:ind w:left="1170" w:hanging="360"/>
      </w:pPr>
    </w:lvl>
    <w:lvl w:ilvl="1" w:tplc="FFFFFFFF">
      <w:start w:val="1"/>
      <w:numFmt w:val="bullet"/>
      <w:lvlText w:val="o"/>
      <w:lvlJc w:val="left"/>
      <w:pPr>
        <w:ind w:left="1890" w:hanging="360"/>
      </w:pPr>
      <w:rPr>
        <w:rFonts w:ascii="Courier New" w:hAnsi="Courier New" w:cs="Courier New" w:hint="default"/>
      </w:rPr>
    </w:lvl>
    <w:lvl w:ilvl="2" w:tplc="FFFFFFFF">
      <w:start w:val="1"/>
      <w:numFmt w:val="bullet"/>
      <w:lvlText w:val=""/>
      <w:lvlJc w:val="left"/>
      <w:pPr>
        <w:ind w:left="2610" w:hanging="360"/>
      </w:pPr>
      <w:rPr>
        <w:rFonts w:ascii="Wingdings" w:hAnsi="Wingdings" w:hint="default"/>
      </w:rPr>
    </w:lvl>
    <w:lvl w:ilvl="3" w:tplc="FFFFFFFF">
      <w:start w:val="1"/>
      <w:numFmt w:val="bullet"/>
      <w:lvlText w:val=""/>
      <w:lvlJc w:val="left"/>
      <w:pPr>
        <w:ind w:left="3330" w:hanging="360"/>
      </w:pPr>
      <w:rPr>
        <w:rFonts w:ascii="Symbol" w:hAnsi="Symbol" w:hint="default"/>
      </w:rPr>
    </w:lvl>
    <w:lvl w:ilvl="4" w:tplc="FFFFFFFF">
      <w:start w:val="1"/>
      <w:numFmt w:val="bullet"/>
      <w:lvlText w:val="o"/>
      <w:lvlJc w:val="left"/>
      <w:pPr>
        <w:ind w:left="4050" w:hanging="360"/>
      </w:pPr>
      <w:rPr>
        <w:rFonts w:ascii="Courier New" w:hAnsi="Courier New" w:cs="Courier New" w:hint="default"/>
      </w:rPr>
    </w:lvl>
    <w:lvl w:ilvl="5" w:tplc="FFFFFFFF">
      <w:start w:val="1"/>
      <w:numFmt w:val="bullet"/>
      <w:lvlText w:val=""/>
      <w:lvlJc w:val="left"/>
      <w:pPr>
        <w:ind w:left="4770" w:hanging="360"/>
      </w:pPr>
      <w:rPr>
        <w:rFonts w:ascii="Wingdings" w:hAnsi="Wingdings" w:hint="default"/>
      </w:rPr>
    </w:lvl>
    <w:lvl w:ilvl="6" w:tplc="FFFFFFFF">
      <w:start w:val="1"/>
      <w:numFmt w:val="bullet"/>
      <w:lvlText w:val=""/>
      <w:lvlJc w:val="left"/>
      <w:pPr>
        <w:ind w:left="5490" w:hanging="360"/>
      </w:pPr>
      <w:rPr>
        <w:rFonts w:ascii="Symbol" w:hAnsi="Symbol" w:hint="default"/>
      </w:rPr>
    </w:lvl>
    <w:lvl w:ilvl="7" w:tplc="FFFFFFFF">
      <w:start w:val="1"/>
      <w:numFmt w:val="bullet"/>
      <w:lvlText w:val="o"/>
      <w:lvlJc w:val="left"/>
      <w:pPr>
        <w:ind w:left="6210" w:hanging="360"/>
      </w:pPr>
      <w:rPr>
        <w:rFonts w:ascii="Courier New" w:hAnsi="Courier New" w:cs="Courier New" w:hint="default"/>
      </w:rPr>
    </w:lvl>
    <w:lvl w:ilvl="8" w:tplc="FFFFFFFF">
      <w:start w:val="1"/>
      <w:numFmt w:val="bullet"/>
      <w:lvlText w:val=""/>
      <w:lvlJc w:val="left"/>
      <w:pPr>
        <w:ind w:left="6930" w:hanging="360"/>
      </w:pPr>
      <w:rPr>
        <w:rFonts w:ascii="Wingdings" w:hAnsi="Wingdings" w:hint="default"/>
      </w:rPr>
    </w:lvl>
  </w:abstractNum>
  <w:abstractNum w:abstractNumId="21" w15:restartNumberingAfterBreak="0">
    <w:nsid w:val="13E14FA4"/>
    <w:multiLevelType w:val="hybridMultilevel"/>
    <w:tmpl w:val="212A968A"/>
    <w:lvl w:ilvl="0" w:tplc="04090013">
      <w:start w:val="1"/>
      <w:numFmt w:val="upp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2" w15:restartNumberingAfterBreak="0">
    <w:nsid w:val="152C724F"/>
    <w:multiLevelType w:val="hybridMultilevel"/>
    <w:tmpl w:val="025270D0"/>
    <w:lvl w:ilvl="0" w:tplc="958E145C">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C24892"/>
    <w:multiLevelType w:val="multilevel"/>
    <w:tmpl w:val="94C0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9B77A7"/>
    <w:multiLevelType w:val="multilevel"/>
    <w:tmpl w:val="3D4010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D2B2C7E"/>
    <w:multiLevelType w:val="hybridMultilevel"/>
    <w:tmpl w:val="2A44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F3A1A47"/>
    <w:multiLevelType w:val="hybridMultilevel"/>
    <w:tmpl w:val="3BA2292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2427BA2"/>
    <w:multiLevelType w:val="hybridMultilevel"/>
    <w:tmpl w:val="A526476C"/>
    <w:lvl w:ilvl="0" w:tplc="958E145C">
      <w:start w:val="4"/>
      <w:numFmt w:val="bullet"/>
      <w:lvlText w:val="-"/>
      <w:lvlJc w:val="left"/>
      <w:pPr>
        <w:ind w:left="1222" w:hanging="360"/>
      </w:pPr>
      <w:rPr>
        <w:rFonts w:ascii="Simplified Arabic" w:eastAsia="Times New Roman" w:hAnsi="Simplified Arabic" w:cs="Simplified Arabic" w:hint="default"/>
      </w:rPr>
    </w:lvl>
    <w:lvl w:ilvl="1" w:tplc="0409000B">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hint="default"/>
      </w:rPr>
    </w:lvl>
    <w:lvl w:ilvl="3" w:tplc="04090001">
      <w:start w:val="1"/>
      <w:numFmt w:val="bullet"/>
      <w:lvlText w:val=""/>
      <w:lvlJc w:val="left"/>
      <w:pPr>
        <w:ind w:left="3382" w:hanging="360"/>
      </w:pPr>
      <w:rPr>
        <w:rFonts w:ascii="Symbol" w:hAnsi="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hint="default"/>
      </w:rPr>
    </w:lvl>
    <w:lvl w:ilvl="6" w:tplc="04090001">
      <w:start w:val="1"/>
      <w:numFmt w:val="bullet"/>
      <w:lvlText w:val=""/>
      <w:lvlJc w:val="left"/>
      <w:pPr>
        <w:ind w:left="5542" w:hanging="360"/>
      </w:pPr>
      <w:rPr>
        <w:rFonts w:ascii="Symbol" w:hAnsi="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hint="default"/>
      </w:rPr>
    </w:lvl>
  </w:abstractNum>
  <w:abstractNum w:abstractNumId="33"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49D45CA"/>
    <w:multiLevelType w:val="hybridMultilevel"/>
    <w:tmpl w:val="17BCD434"/>
    <w:lvl w:ilvl="0" w:tplc="88440872">
      <w:start w:val="1"/>
      <w:numFmt w:val="arabicAbjad"/>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9B7139"/>
    <w:multiLevelType w:val="hybridMultilevel"/>
    <w:tmpl w:val="BCFA5C8E"/>
    <w:lvl w:ilvl="0" w:tplc="38B49FB8">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B40DAC"/>
    <w:multiLevelType w:val="multilevel"/>
    <w:tmpl w:val="5CCE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311B6B"/>
    <w:multiLevelType w:val="hybridMultilevel"/>
    <w:tmpl w:val="0B562394"/>
    <w:lvl w:ilvl="0" w:tplc="EA4E3A8A">
      <w:start w:val="11"/>
      <w:numFmt w:val="bullet"/>
      <w:lvlText w:val="-"/>
      <w:lvlJc w:val="left"/>
      <w:pPr>
        <w:ind w:left="1106" w:hanging="360"/>
      </w:pPr>
      <w:rPr>
        <w:rFonts w:ascii="Times New Roman" w:eastAsia="Traditional Arabic" w:hAnsi="Times New Roman" w:cs="Times New Roman"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43" w15:restartNumberingAfterBreak="0">
    <w:nsid w:val="2834075F"/>
    <w:multiLevelType w:val="hybridMultilevel"/>
    <w:tmpl w:val="D922AE6A"/>
    <w:lvl w:ilvl="0" w:tplc="A81A58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9A96EA6"/>
    <w:multiLevelType w:val="hybridMultilevel"/>
    <w:tmpl w:val="44362ED6"/>
    <w:lvl w:ilvl="0" w:tplc="1B2CD4D4">
      <w:start w:val="1"/>
      <w:numFmt w:val="arabicAbjad"/>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5" w15:restartNumberingAfterBreak="0">
    <w:nsid w:val="2D431A9A"/>
    <w:multiLevelType w:val="hybridMultilevel"/>
    <w:tmpl w:val="202A606A"/>
    <w:lvl w:ilvl="0" w:tplc="EA4E3A8A">
      <w:start w:val="11"/>
      <w:numFmt w:val="bullet"/>
      <w:lvlText w:val="-"/>
      <w:lvlJc w:val="left"/>
      <w:pPr>
        <w:ind w:left="1106" w:hanging="360"/>
      </w:pPr>
      <w:rPr>
        <w:rFonts w:ascii="Times New Roman" w:eastAsia="Traditional Arabic" w:hAnsi="Times New Roman" w:cs="Times New Roman"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46"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7" w15:restartNumberingAfterBreak="0">
    <w:nsid w:val="326F1255"/>
    <w:multiLevelType w:val="multilevel"/>
    <w:tmpl w:val="EAEAC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0508DC"/>
    <w:multiLevelType w:val="hybridMultilevel"/>
    <w:tmpl w:val="36F0E7EE"/>
    <w:lvl w:ilvl="0" w:tplc="E932BC82">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6EE1382"/>
    <w:multiLevelType w:val="multilevel"/>
    <w:tmpl w:val="4738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1A3014"/>
    <w:multiLevelType w:val="hybridMultilevel"/>
    <w:tmpl w:val="B5145C4A"/>
    <w:lvl w:ilvl="0" w:tplc="6A48C370">
      <w:start w:val="1"/>
      <w:numFmt w:val="decimal"/>
      <w:lvlText w:val="%1)"/>
      <w:lvlJc w:val="left"/>
      <w:pPr>
        <w:ind w:left="360" w:hanging="360"/>
      </w:pPr>
      <w:rPr>
        <w:rFonts w:hint="default"/>
      </w:rPr>
    </w:lvl>
    <w:lvl w:ilvl="1" w:tplc="FC1C5F20">
      <w:start w:val="1"/>
      <w:numFmt w:val="decimal"/>
      <w:lvlText w:val="%2."/>
      <w:lvlJc w:val="left"/>
      <w:pPr>
        <w:ind w:left="1080" w:hanging="360"/>
      </w:pPr>
      <w:rPr>
        <w:rFonts w:hint="default"/>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A3A0A7E"/>
    <w:multiLevelType w:val="hybridMultilevel"/>
    <w:tmpl w:val="74BCD664"/>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7" w15:restartNumberingAfterBreak="0">
    <w:nsid w:val="3C775E21"/>
    <w:multiLevelType w:val="multilevel"/>
    <w:tmpl w:val="19B455F6"/>
    <w:lvl w:ilvl="0">
      <w:start w:val="1"/>
      <w:numFmt w:val="none"/>
      <w:lvlText w:val=""/>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8" w15:restartNumberingAfterBreak="0">
    <w:nsid w:val="3E4C3239"/>
    <w:multiLevelType w:val="hybridMultilevel"/>
    <w:tmpl w:val="FF4A55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3E632652"/>
    <w:multiLevelType w:val="hybridMultilevel"/>
    <w:tmpl w:val="717E5012"/>
    <w:lvl w:ilvl="0" w:tplc="379228B4">
      <w:start w:val="1"/>
      <w:numFmt w:val="decimal"/>
      <w:lvlText w:val="%1)"/>
      <w:lvlJc w:val="left"/>
      <w:pPr>
        <w:ind w:left="785" w:hanging="360"/>
      </w:pPr>
      <w:rPr>
        <w:rFonts w:eastAsiaTheme="majorEastAsia"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FA2C7C"/>
    <w:multiLevelType w:val="multilevel"/>
    <w:tmpl w:val="7B64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EF0251"/>
    <w:multiLevelType w:val="hybridMultilevel"/>
    <w:tmpl w:val="33DA8D1E"/>
    <w:lvl w:ilvl="0" w:tplc="F440FF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BD656A"/>
    <w:multiLevelType w:val="hybridMultilevel"/>
    <w:tmpl w:val="CD78E88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15:restartNumberingAfterBreak="0">
    <w:nsid w:val="418A79F9"/>
    <w:multiLevelType w:val="hybridMultilevel"/>
    <w:tmpl w:val="9A16CC4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2C13825"/>
    <w:multiLevelType w:val="hybridMultilevel"/>
    <w:tmpl w:val="26C49FD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6" w15:restartNumberingAfterBreak="0">
    <w:nsid w:val="43392725"/>
    <w:multiLevelType w:val="hybridMultilevel"/>
    <w:tmpl w:val="9A7292DE"/>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15:restartNumberingAfterBreak="0">
    <w:nsid w:val="45C14F8C"/>
    <w:multiLevelType w:val="hybridMultilevel"/>
    <w:tmpl w:val="DDFC9804"/>
    <w:lvl w:ilvl="0" w:tplc="79927304">
      <w:start w:val="1"/>
      <w:numFmt w:val="bullet"/>
      <w:lvlText w:val="-"/>
      <w:lvlJc w:val="left"/>
      <w:pPr>
        <w:ind w:left="360" w:hanging="360"/>
      </w:pPr>
      <w:rPr>
        <w:rFonts w:ascii="Simplified Arabic" w:eastAsia="Calibr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8DF63F0"/>
    <w:multiLevelType w:val="hybridMultilevel"/>
    <w:tmpl w:val="77183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F827B46"/>
    <w:multiLevelType w:val="multilevel"/>
    <w:tmpl w:val="16CC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625169"/>
    <w:multiLevelType w:val="hybridMultilevel"/>
    <w:tmpl w:val="5AB65C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2C2159F"/>
    <w:multiLevelType w:val="hybridMultilevel"/>
    <w:tmpl w:val="DC1C9C0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39246C1"/>
    <w:multiLevelType w:val="hybridMultilevel"/>
    <w:tmpl w:val="D2BAB980"/>
    <w:lvl w:ilvl="0" w:tplc="81285BE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6C05CA9"/>
    <w:multiLevelType w:val="hybridMultilevel"/>
    <w:tmpl w:val="F6665254"/>
    <w:lvl w:ilvl="0" w:tplc="04090005">
      <w:start w:val="1"/>
      <w:numFmt w:val="bullet"/>
      <w:lvlText w:val=""/>
      <w:lvlJc w:val="left"/>
      <w:pPr>
        <w:ind w:left="1826" w:hanging="360"/>
      </w:pPr>
      <w:rPr>
        <w:rFonts w:ascii="Wingdings" w:hAnsi="Wingdings" w:hint="default"/>
      </w:rPr>
    </w:lvl>
    <w:lvl w:ilvl="1" w:tplc="04090003" w:tentative="1">
      <w:start w:val="1"/>
      <w:numFmt w:val="bullet"/>
      <w:lvlText w:val="o"/>
      <w:lvlJc w:val="left"/>
      <w:pPr>
        <w:ind w:left="2546" w:hanging="360"/>
      </w:pPr>
      <w:rPr>
        <w:rFonts w:ascii="Courier New" w:hAnsi="Courier New" w:cs="Courier New" w:hint="default"/>
      </w:rPr>
    </w:lvl>
    <w:lvl w:ilvl="2" w:tplc="04090005" w:tentative="1">
      <w:start w:val="1"/>
      <w:numFmt w:val="bullet"/>
      <w:lvlText w:val=""/>
      <w:lvlJc w:val="left"/>
      <w:pPr>
        <w:ind w:left="3266" w:hanging="360"/>
      </w:pPr>
      <w:rPr>
        <w:rFonts w:ascii="Wingdings" w:hAnsi="Wingdings" w:hint="default"/>
      </w:rPr>
    </w:lvl>
    <w:lvl w:ilvl="3" w:tplc="04090001" w:tentative="1">
      <w:start w:val="1"/>
      <w:numFmt w:val="bullet"/>
      <w:lvlText w:val=""/>
      <w:lvlJc w:val="left"/>
      <w:pPr>
        <w:ind w:left="3986" w:hanging="360"/>
      </w:pPr>
      <w:rPr>
        <w:rFonts w:ascii="Symbol" w:hAnsi="Symbol" w:hint="default"/>
      </w:rPr>
    </w:lvl>
    <w:lvl w:ilvl="4" w:tplc="04090003" w:tentative="1">
      <w:start w:val="1"/>
      <w:numFmt w:val="bullet"/>
      <w:lvlText w:val="o"/>
      <w:lvlJc w:val="left"/>
      <w:pPr>
        <w:ind w:left="4706" w:hanging="360"/>
      </w:pPr>
      <w:rPr>
        <w:rFonts w:ascii="Courier New" w:hAnsi="Courier New" w:cs="Courier New" w:hint="default"/>
      </w:rPr>
    </w:lvl>
    <w:lvl w:ilvl="5" w:tplc="04090005" w:tentative="1">
      <w:start w:val="1"/>
      <w:numFmt w:val="bullet"/>
      <w:lvlText w:val=""/>
      <w:lvlJc w:val="left"/>
      <w:pPr>
        <w:ind w:left="5426" w:hanging="360"/>
      </w:pPr>
      <w:rPr>
        <w:rFonts w:ascii="Wingdings" w:hAnsi="Wingdings" w:hint="default"/>
      </w:rPr>
    </w:lvl>
    <w:lvl w:ilvl="6" w:tplc="04090001" w:tentative="1">
      <w:start w:val="1"/>
      <w:numFmt w:val="bullet"/>
      <w:lvlText w:val=""/>
      <w:lvlJc w:val="left"/>
      <w:pPr>
        <w:ind w:left="6146" w:hanging="360"/>
      </w:pPr>
      <w:rPr>
        <w:rFonts w:ascii="Symbol" w:hAnsi="Symbol" w:hint="default"/>
      </w:rPr>
    </w:lvl>
    <w:lvl w:ilvl="7" w:tplc="04090003" w:tentative="1">
      <w:start w:val="1"/>
      <w:numFmt w:val="bullet"/>
      <w:lvlText w:val="o"/>
      <w:lvlJc w:val="left"/>
      <w:pPr>
        <w:ind w:left="6866" w:hanging="360"/>
      </w:pPr>
      <w:rPr>
        <w:rFonts w:ascii="Courier New" w:hAnsi="Courier New" w:cs="Courier New" w:hint="default"/>
      </w:rPr>
    </w:lvl>
    <w:lvl w:ilvl="8" w:tplc="04090005" w:tentative="1">
      <w:start w:val="1"/>
      <w:numFmt w:val="bullet"/>
      <w:lvlText w:val=""/>
      <w:lvlJc w:val="left"/>
      <w:pPr>
        <w:ind w:left="7586" w:hanging="360"/>
      </w:pPr>
      <w:rPr>
        <w:rFonts w:ascii="Wingdings" w:hAnsi="Wingdings" w:hint="default"/>
      </w:rPr>
    </w:lvl>
  </w:abstractNum>
  <w:abstractNum w:abstractNumId="77" w15:restartNumberingAfterBreak="0">
    <w:nsid w:val="57760D4D"/>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92941B0"/>
    <w:multiLevelType w:val="hybridMultilevel"/>
    <w:tmpl w:val="8F148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A0C58E3"/>
    <w:multiLevelType w:val="hybridMultilevel"/>
    <w:tmpl w:val="7A988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B4A6D4F"/>
    <w:multiLevelType w:val="hybridMultilevel"/>
    <w:tmpl w:val="441C66C0"/>
    <w:lvl w:ilvl="0" w:tplc="A42E2210">
      <w:start w:val="1"/>
      <w:numFmt w:val="decimal"/>
      <w:lvlText w:val="%1-"/>
      <w:lvlJc w:val="left"/>
      <w:pPr>
        <w:ind w:left="0" w:hanging="360"/>
      </w:pPr>
      <w:rPr>
        <w:rFonts w:hint="default"/>
      </w:rPr>
    </w:lvl>
    <w:lvl w:ilvl="1" w:tplc="04090019" w:tentative="1">
      <w:start w:val="1"/>
      <w:numFmt w:val="lowerLetter"/>
      <w:lvlText w:val="%2."/>
      <w:lvlJc w:val="left"/>
      <w:pPr>
        <w:ind w:left="681" w:hanging="360"/>
      </w:pPr>
    </w:lvl>
    <w:lvl w:ilvl="2" w:tplc="0409001B" w:tentative="1">
      <w:start w:val="1"/>
      <w:numFmt w:val="lowerRoman"/>
      <w:lvlText w:val="%3."/>
      <w:lvlJc w:val="right"/>
      <w:pPr>
        <w:ind w:left="1401" w:hanging="180"/>
      </w:pPr>
    </w:lvl>
    <w:lvl w:ilvl="3" w:tplc="0409000F" w:tentative="1">
      <w:start w:val="1"/>
      <w:numFmt w:val="decimal"/>
      <w:lvlText w:val="%4."/>
      <w:lvlJc w:val="left"/>
      <w:pPr>
        <w:ind w:left="2121" w:hanging="360"/>
      </w:pPr>
    </w:lvl>
    <w:lvl w:ilvl="4" w:tplc="04090019" w:tentative="1">
      <w:start w:val="1"/>
      <w:numFmt w:val="lowerLetter"/>
      <w:lvlText w:val="%5."/>
      <w:lvlJc w:val="left"/>
      <w:pPr>
        <w:ind w:left="2841" w:hanging="360"/>
      </w:pPr>
    </w:lvl>
    <w:lvl w:ilvl="5" w:tplc="0409001B" w:tentative="1">
      <w:start w:val="1"/>
      <w:numFmt w:val="lowerRoman"/>
      <w:lvlText w:val="%6."/>
      <w:lvlJc w:val="right"/>
      <w:pPr>
        <w:ind w:left="3561" w:hanging="180"/>
      </w:pPr>
    </w:lvl>
    <w:lvl w:ilvl="6" w:tplc="0409000F" w:tentative="1">
      <w:start w:val="1"/>
      <w:numFmt w:val="decimal"/>
      <w:lvlText w:val="%7."/>
      <w:lvlJc w:val="left"/>
      <w:pPr>
        <w:ind w:left="4281" w:hanging="360"/>
      </w:pPr>
    </w:lvl>
    <w:lvl w:ilvl="7" w:tplc="04090019" w:tentative="1">
      <w:start w:val="1"/>
      <w:numFmt w:val="lowerLetter"/>
      <w:lvlText w:val="%8."/>
      <w:lvlJc w:val="left"/>
      <w:pPr>
        <w:ind w:left="5001" w:hanging="360"/>
      </w:pPr>
    </w:lvl>
    <w:lvl w:ilvl="8" w:tplc="0409001B" w:tentative="1">
      <w:start w:val="1"/>
      <w:numFmt w:val="lowerRoman"/>
      <w:lvlText w:val="%9."/>
      <w:lvlJc w:val="right"/>
      <w:pPr>
        <w:ind w:left="5721" w:hanging="180"/>
      </w:pPr>
    </w:lvl>
  </w:abstractNum>
  <w:abstractNum w:abstractNumId="84" w15:restartNumberingAfterBreak="0">
    <w:nsid w:val="5BAB7020"/>
    <w:multiLevelType w:val="hybridMultilevel"/>
    <w:tmpl w:val="EC9A6AA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5"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4D124B"/>
    <w:multiLevelType w:val="hybridMultilevel"/>
    <w:tmpl w:val="0C101B08"/>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7" w15:restartNumberingAfterBreak="0">
    <w:nsid w:val="5DBA6387"/>
    <w:multiLevelType w:val="hybridMultilevel"/>
    <w:tmpl w:val="F760B0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F290102"/>
    <w:multiLevelType w:val="hybridMultilevel"/>
    <w:tmpl w:val="B358DE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5FDE1110"/>
    <w:multiLevelType w:val="hybridMultilevel"/>
    <w:tmpl w:val="0290AEF6"/>
    <w:lvl w:ilvl="0" w:tplc="1B2CD4D4">
      <w:start w:val="1"/>
      <w:numFmt w:val="arabicAbjad"/>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91"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BA56968"/>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BD80934"/>
    <w:multiLevelType w:val="multilevel"/>
    <w:tmpl w:val="78001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C87341D"/>
    <w:multiLevelType w:val="hybridMultilevel"/>
    <w:tmpl w:val="BD9EC74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6" w15:restartNumberingAfterBreak="0">
    <w:nsid w:val="6D064AE9"/>
    <w:multiLevelType w:val="hybridMultilevel"/>
    <w:tmpl w:val="B3BCB802"/>
    <w:lvl w:ilvl="0" w:tplc="958E145C">
      <w:start w:val="4"/>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D6A3DFE"/>
    <w:multiLevelType w:val="multilevel"/>
    <w:tmpl w:val="FEAC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E4475EF"/>
    <w:multiLevelType w:val="hybridMultilevel"/>
    <w:tmpl w:val="0D609B76"/>
    <w:lvl w:ilvl="0" w:tplc="0409001B">
      <w:start w:val="1"/>
      <w:numFmt w:val="low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99" w15:restartNumberingAfterBreak="0">
    <w:nsid w:val="70495F78"/>
    <w:multiLevelType w:val="hybridMultilevel"/>
    <w:tmpl w:val="8DF81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13C5572"/>
    <w:multiLevelType w:val="multilevel"/>
    <w:tmpl w:val="9948D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1C90772"/>
    <w:multiLevelType w:val="multilevel"/>
    <w:tmpl w:val="BADAC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2E91926"/>
    <w:multiLevelType w:val="hybridMultilevel"/>
    <w:tmpl w:val="F2B829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3D916B9"/>
    <w:multiLevelType w:val="hybridMultilevel"/>
    <w:tmpl w:val="CEC62FE0"/>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6" w15:restartNumberingAfterBreak="0">
    <w:nsid w:val="74605A76"/>
    <w:multiLevelType w:val="multilevel"/>
    <w:tmpl w:val="2F0C3E88"/>
    <w:lvl w:ilvl="0">
      <w:start w:val="1"/>
      <w:numFmt w:val="arabicAlpha"/>
      <w:lvlText w:val="%1-"/>
      <w:lvlJc w:val="center"/>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68E06E7"/>
    <w:multiLevelType w:val="multilevel"/>
    <w:tmpl w:val="F932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6E44C17"/>
    <w:multiLevelType w:val="hybridMultilevel"/>
    <w:tmpl w:val="A04C0474"/>
    <w:lvl w:ilvl="0" w:tplc="A7944F92">
      <w:start w:val="1"/>
      <w:numFmt w:val="arabicAbjad"/>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09" w15:restartNumberingAfterBreak="0">
    <w:nsid w:val="7751265B"/>
    <w:multiLevelType w:val="hybridMultilevel"/>
    <w:tmpl w:val="6916E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77A5801"/>
    <w:multiLevelType w:val="hybridMultilevel"/>
    <w:tmpl w:val="CEC29828"/>
    <w:lvl w:ilvl="0" w:tplc="6598136A">
      <w:start w:val="1"/>
      <w:numFmt w:val="decimal"/>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77960201"/>
    <w:multiLevelType w:val="hybridMultilevel"/>
    <w:tmpl w:val="278EE90C"/>
    <w:lvl w:ilvl="0" w:tplc="0409000F">
      <w:start w:val="1"/>
      <w:numFmt w:val="decimal"/>
      <w:lvlText w:val="%1."/>
      <w:lvlJc w:val="left"/>
      <w:pPr>
        <w:ind w:left="1106" w:hanging="360"/>
      </w:p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112" w15:restartNumberingAfterBreak="0">
    <w:nsid w:val="79B73DC1"/>
    <w:multiLevelType w:val="multilevel"/>
    <w:tmpl w:val="B578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D71193D"/>
    <w:multiLevelType w:val="hybridMultilevel"/>
    <w:tmpl w:val="C6F0704A"/>
    <w:lvl w:ilvl="0" w:tplc="4E1C1B02">
      <w:start w:val="1"/>
      <w:numFmt w:val="decimal"/>
      <w:lvlText w:val="%1)"/>
      <w:lvlJc w:val="left"/>
      <w:pPr>
        <w:ind w:left="720" w:hanging="360"/>
      </w:pPr>
      <w:rPr>
        <w:rFonts w:eastAsiaTheme="majorEastAsia" w:hint="default"/>
        <w:b w:val="0"/>
        <w:bCs/>
        <w:sz w:val="32"/>
        <w:szCs w:val="32"/>
      </w:rPr>
    </w:lvl>
    <w:lvl w:ilvl="1" w:tplc="379228B4">
      <w:start w:val="1"/>
      <w:numFmt w:val="decimal"/>
      <w:lvlText w:val="%2)"/>
      <w:lvlJc w:val="left"/>
      <w:pPr>
        <w:ind w:left="785" w:hanging="360"/>
      </w:pPr>
      <w:rPr>
        <w:rFonts w:eastAsiaTheme="majorEastAsia" w:hint="default"/>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6826678">
    <w:abstractNumId w:val="5"/>
  </w:num>
  <w:num w:numId="2" w16cid:durableId="1351881297">
    <w:abstractNumId w:val="64"/>
  </w:num>
  <w:num w:numId="3" w16cid:durableId="1107116010">
    <w:abstractNumId w:val="8"/>
  </w:num>
  <w:num w:numId="4" w16cid:durableId="44572101">
    <w:abstractNumId w:val="68"/>
  </w:num>
  <w:num w:numId="5" w16cid:durableId="1999577724">
    <w:abstractNumId w:val="72"/>
  </w:num>
  <w:num w:numId="6" w16cid:durableId="730277617">
    <w:abstractNumId w:val="49"/>
  </w:num>
  <w:num w:numId="7" w16cid:durableId="686634900">
    <w:abstractNumId w:val="29"/>
  </w:num>
  <w:num w:numId="8" w16cid:durableId="489566864">
    <w:abstractNumId w:val="92"/>
  </w:num>
  <w:num w:numId="9" w16cid:durableId="152840107">
    <w:abstractNumId w:val="103"/>
  </w:num>
  <w:num w:numId="10" w16cid:durableId="906499823">
    <w:abstractNumId w:val="12"/>
  </w:num>
  <w:num w:numId="11" w16cid:durableId="1157301439">
    <w:abstractNumId w:val="41"/>
  </w:num>
  <w:num w:numId="12" w16cid:durableId="564030565">
    <w:abstractNumId w:val="31"/>
  </w:num>
  <w:num w:numId="13" w16cid:durableId="1864393913">
    <w:abstractNumId w:val="27"/>
  </w:num>
  <w:num w:numId="14" w16cid:durableId="602498165">
    <w:abstractNumId w:val="79"/>
  </w:num>
  <w:num w:numId="15" w16cid:durableId="1688365601">
    <w:abstractNumId w:val="38"/>
  </w:num>
  <w:num w:numId="16" w16cid:durableId="255944570">
    <w:abstractNumId w:val="88"/>
  </w:num>
  <w:num w:numId="17" w16cid:durableId="87234457">
    <w:abstractNumId w:val="13"/>
  </w:num>
  <w:num w:numId="18" w16cid:durableId="2025281478">
    <w:abstractNumId w:val="115"/>
  </w:num>
  <w:num w:numId="19" w16cid:durableId="2014986248">
    <w:abstractNumId w:val="114"/>
  </w:num>
  <w:num w:numId="20" w16cid:durableId="325061349">
    <w:abstractNumId w:val="53"/>
  </w:num>
  <w:num w:numId="21" w16cid:durableId="369914212">
    <w:abstractNumId w:val="16"/>
  </w:num>
  <w:num w:numId="22" w16cid:durableId="2059696854">
    <w:abstractNumId w:val="75"/>
  </w:num>
  <w:num w:numId="23" w16cid:durableId="1738236351">
    <w:abstractNumId w:val="50"/>
  </w:num>
  <w:num w:numId="24" w16cid:durableId="1016079239">
    <w:abstractNumId w:val="36"/>
  </w:num>
  <w:num w:numId="25" w16cid:durableId="889413532">
    <w:abstractNumId w:val="54"/>
  </w:num>
  <w:num w:numId="26" w16cid:durableId="722680063">
    <w:abstractNumId w:val="24"/>
  </w:num>
  <w:num w:numId="27" w16cid:durableId="675035868">
    <w:abstractNumId w:val="102"/>
  </w:num>
  <w:num w:numId="28" w16cid:durableId="1452171080">
    <w:abstractNumId w:val="40"/>
  </w:num>
  <w:num w:numId="29" w16cid:durableId="1068579071">
    <w:abstractNumId w:val="33"/>
  </w:num>
  <w:num w:numId="30" w16cid:durableId="978341576">
    <w:abstractNumId w:val="25"/>
  </w:num>
  <w:num w:numId="31" w16cid:durableId="1123772088">
    <w:abstractNumId w:val="91"/>
  </w:num>
  <w:num w:numId="32" w16cid:durableId="1240365166">
    <w:abstractNumId w:val="78"/>
  </w:num>
  <w:num w:numId="33" w16cid:durableId="1350528428">
    <w:abstractNumId w:val="55"/>
  </w:num>
  <w:num w:numId="34" w16cid:durableId="903415578">
    <w:abstractNumId w:val="46"/>
  </w:num>
  <w:num w:numId="35" w16cid:durableId="693194906">
    <w:abstractNumId w:val="85"/>
  </w:num>
  <w:num w:numId="36" w16cid:durableId="1261715043">
    <w:abstractNumId w:val="34"/>
  </w:num>
  <w:num w:numId="37" w16cid:durableId="1618945508">
    <w:abstractNumId w:val="81"/>
  </w:num>
  <w:num w:numId="38" w16cid:durableId="1176530175">
    <w:abstractNumId w:val="44"/>
  </w:num>
  <w:num w:numId="39" w16cid:durableId="1190605102">
    <w:abstractNumId w:val="2"/>
  </w:num>
  <w:num w:numId="40" w16cid:durableId="1817795115">
    <w:abstractNumId w:val="89"/>
  </w:num>
  <w:num w:numId="41" w16cid:durableId="1611624301">
    <w:abstractNumId w:val="105"/>
  </w:num>
  <w:num w:numId="42" w16cid:durableId="2122140510">
    <w:abstractNumId w:val="108"/>
  </w:num>
  <w:num w:numId="43" w16cid:durableId="688483136">
    <w:abstractNumId w:val="20"/>
  </w:num>
  <w:num w:numId="44" w16cid:durableId="1416710779">
    <w:abstractNumId w:val="90"/>
  </w:num>
  <w:num w:numId="45" w16cid:durableId="1653484579">
    <w:abstractNumId w:val="32"/>
  </w:num>
  <w:num w:numId="46" w16cid:durableId="864828121">
    <w:abstractNumId w:val="65"/>
  </w:num>
  <w:num w:numId="47" w16cid:durableId="309603093">
    <w:abstractNumId w:val="18"/>
  </w:num>
  <w:num w:numId="48" w16cid:durableId="1915427871">
    <w:abstractNumId w:val="98"/>
  </w:num>
  <w:num w:numId="49" w16cid:durableId="887303496">
    <w:abstractNumId w:val="19"/>
  </w:num>
  <w:num w:numId="50" w16cid:durableId="687633349">
    <w:abstractNumId w:val="35"/>
  </w:num>
  <w:num w:numId="51" w16cid:durableId="897016019">
    <w:abstractNumId w:val="7"/>
  </w:num>
  <w:num w:numId="52" w16cid:durableId="662978299">
    <w:abstractNumId w:val="3"/>
  </w:num>
  <w:num w:numId="53" w16cid:durableId="230193445">
    <w:abstractNumId w:val="109"/>
  </w:num>
  <w:num w:numId="54" w16cid:durableId="697658962">
    <w:abstractNumId w:val="83"/>
  </w:num>
  <w:num w:numId="55" w16cid:durableId="1240486069">
    <w:abstractNumId w:val="42"/>
  </w:num>
  <w:num w:numId="56" w16cid:durableId="2054040037">
    <w:abstractNumId w:val="45"/>
  </w:num>
  <w:num w:numId="57" w16cid:durableId="1338072965">
    <w:abstractNumId w:val="67"/>
  </w:num>
  <w:num w:numId="58" w16cid:durableId="1064447596">
    <w:abstractNumId w:val="110"/>
  </w:num>
  <w:num w:numId="59" w16cid:durableId="1979605987">
    <w:abstractNumId w:val="30"/>
  </w:num>
  <w:num w:numId="60" w16cid:durableId="854658881">
    <w:abstractNumId w:val="87"/>
  </w:num>
  <w:num w:numId="61" w16cid:durableId="1786734293">
    <w:abstractNumId w:val="58"/>
  </w:num>
  <w:num w:numId="62" w16cid:durableId="221605662">
    <w:abstractNumId w:val="69"/>
  </w:num>
  <w:num w:numId="63" w16cid:durableId="185677144">
    <w:abstractNumId w:val="111"/>
  </w:num>
  <w:num w:numId="64" w16cid:durableId="946930131">
    <w:abstractNumId w:val="21"/>
    <w:lvlOverride w:ilvl="0">
      <w:startOverride w:val="1"/>
    </w:lvlOverride>
    <w:lvlOverride w:ilvl="1"/>
    <w:lvlOverride w:ilvl="2"/>
    <w:lvlOverride w:ilvl="3"/>
    <w:lvlOverride w:ilvl="4"/>
    <w:lvlOverride w:ilvl="5"/>
    <w:lvlOverride w:ilvl="6"/>
    <w:lvlOverride w:ilvl="7"/>
    <w:lvlOverride w:ilvl="8"/>
  </w:num>
  <w:num w:numId="65" w16cid:durableId="48043452">
    <w:abstractNumId w:val="21"/>
  </w:num>
  <w:num w:numId="66" w16cid:durableId="1617441891">
    <w:abstractNumId w:val="62"/>
  </w:num>
  <w:num w:numId="67" w16cid:durableId="1876579178">
    <w:abstractNumId w:val="66"/>
  </w:num>
  <w:num w:numId="68" w16cid:durableId="2015375147">
    <w:abstractNumId w:val="86"/>
  </w:num>
  <w:num w:numId="69" w16cid:durableId="1056781041">
    <w:abstractNumId w:val="9"/>
  </w:num>
  <w:num w:numId="70" w16cid:durableId="1295451979">
    <w:abstractNumId w:val="84"/>
  </w:num>
  <w:num w:numId="71" w16cid:durableId="41447526">
    <w:abstractNumId w:val="56"/>
  </w:num>
  <w:num w:numId="72" w16cid:durableId="422460175">
    <w:abstractNumId w:val="73"/>
  </w:num>
  <w:num w:numId="73" w16cid:durableId="653728855">
    <w:abstractNumId w:val="1"/>
  </w:num>
  <w:num w:numId="74" w16cid:durableId="2068988570">
    <w:abstractNumId w:val="0"/>
  </w:num>
  <w:num w:numId="75" w16cid:durableId="1735619814">
    <w:abstractNumId w:val="95"/>
  </w:num>
  <w:num w:numId="76" w16cid:durableId="141699810">
    <w:abstractNumId w:val="82"/>
  </w:num>
  <w:num w:numId="77" w16cid:durableId="1068919561">
    <w:abstractNumId w:val="14"/>
  </w:num>
  <w:num w:numId="78" w16cid:durableId="976179191">
    <w:abstractNumId w:val="11"/>
  </w:num>
  <w:num w:numId="79" w16cid:durableId="1852136901">
    <w:abstractNumId w:val="47"/>
  </w:num>
  <w:num w:numId="80" w16cid:durableId="154343851">
    <w:abstractNumId w:val="6"/>
  </w:num>
  <w:num w:numId="81" w16cid:durableId="995380395">
    <w:abstractNumId w:val="10"/>
  </w:num>
  <w:num w:numId="82" w16cid:durableId="596450728">
    <w:abstractNumId w:val="101"/>
  </w:num>
  <w:num w:numId="83" w16cid:durableId="956065542">
    <w:abstractNumId w:val="37"/>
  </w:num>
  <w:num w:numId="84" w16cid:durableId="1397050655">
    <w:abstractNumId w:val="76"/>
  </w:num>
  <w:num w:numId="85" w16cid:durableId="464082864">
    <w:abstractNumId w:val="63"/>
  </w:num>
  <w:num w:numId="86" w16cid:durableId="2132236268">
    <w:abstractNumId w:val="80"/>
  </w:num>
  <w:num w:numId="87" w16cid:durableId="1696078653">
    <w:abstractNumId w:val="99"/>
  </w:num>
  <w:num w:numId="88" w16cid:durableId="1497264772">
    <w:abstractNumId w:val="104"/>
  </w:num>
  <w:num w:numId="89" w16cid:durableId="1222015974">
    <w:abstractNumId w:val="4"/>
  </w:num>
  <w:num w:numId="90" w16cid:durableId="545682614">
    <w:abstractNumId w:val="60"/>
  </w:num>
  <w:num w:numId="91" w16cid:durableId="1580485485">
    <w:abstractNumId w:val="51"/>
  </w:num>
  <w:num w:numId="92" w16cid:durableId="2121489541">
    <w:abstractNumId w:val="70"/>
  </w:num>
  <w:num w:numId="93" w16cid:durableId="528301035">
    <w:abstractNumId w:val="23"/>
  </w:num>
  <w:num w:numId="94" w16cid:durableId="1933854281">
    <w:abstractNumId w:val="112"/>
  </w:num>
  <w:num w:numId="95" w16cid:durableId="747849394">
    <w:abstractNumId w:val="39"/>
  </w:num>
  <w:num w:numId="96" w16cid:durableId="1792046654">
    <w:abstractNumId w:val="97"/>
  </w:num>
  <w:num w:numId="97" w16cid:durableId="1845780869">
    <w:abstractNumId w:val="93"/>
  </w:num>
  <w:num w:numId="98" w16cid:durableId="977030741">
    <w:abstractNumId w:val="77"/>
  </w:num>
  <w:num w:numId="99" w16cid:durableId="751397162">
    <w:abstractNumId w:val="57"/>
  </w:num>
  <w:num w:numId="100" w16cid:durableId="1977099741">
    <w:abstractNumId w:val="74"/>
  </w:num>
  <w:num w:numId="101" w16cid:durableId="1909419514">
    <w:abstractNumId w:val="96"/>
  </w:num>
  <w:num w:numId="102" w16cid:durableId="376123014">
    <w:abstractNumId w:val="61"/>
  </w:num>
  <w:num w:numId="103" w16cid:durableId="580480319">
    <w:abstractNumId w:val="59"/>
  </w:num>
  <w:num w:numId="104" w16cid:durableId="485561238">
    <w:abstractNumId w:val="22"/>
  </w:num>
  <w:num w:numId="105" w16cid:durableId="538593562">
    <w:abstractNumId w:val="71"/>
  </w:num>
  <w:num w:numId="106" w16cid:durableId="1372460224">
    <w:abstractNumId w:val="107"/>
  </w:num>
  <w:num w:numId="107" w16cid:durableId="1371225150">
    <w:abstractNumId w:val="17"/>
  </w:num>
  <w:num w:numId="108" w16cid:durableId="482628187">
    <w:abstractNumId w:val="52"/>
  </w:num>
  <w:num w:numId="109" w16cid:durableId="1830242435">
    <w:abstractNumId w:val="15"/>
  </w:num>
  <w:num w:numId="110" w16cid:durableId="1759061971">
    <w:abstractNumId w:val="113"/>
  </w:num>
  <w:num w:numId="111" w16cid:durableId="1997104050">
    <w:abstractNumId w:val="48"/>
  </w:num>
  <w:num w:numId="112" w16cid:durableId="529682901">
    <w:abstractNumId w:val="43"/>
  </w:num>
  <w:num w:numId="113" w16cid:durableId="988244178">
    <w:abstractNumId w:val="28"/>
  </w:num>
  <w:num w:numId="114" w16cid:durableId="1921527423">
    <w:abstractNumId w:val="26"/>
  </w:num>
  <w:num w:numId="115" w16cid:durableId="1801259767">
    <w:abstractNumId w:val="100"/>
  </w:num>
  <w:num w:numId="116" w16cid:durableId="939262731">
    <w:abstractNumId w:val="106"/>
  </w:num>
  <w:num w:numId="117" w16cid:durableId="490953832">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21536"/>
    <w:rsid w:val="0003501F"/>
    <w:rsid w:val="00042498"/>
    <w:rsid w:val="00042CD3"/>
    <w:rsid w:val="00044F32"/>
    <w:rsid w:val="00045F69"/>
    <w:rsid w:val="00054753"/>
    <w:rsid w:val="0007237C"/>
    <w:rsid w:val="00093DCA"/>
    <w:rsid w:val="000A2B03"/>
    <w:rsid w:val="000B5AB0"/>
    <w:rsid w:val="000C183B"/>
    <w:rsid w:val="000D34DA"/>
    <w:rsid w:val="000D4102"/>
    <w:rsid w:val="000E5565"/>
    <w:rsid w:val="000F32A9"/>
    <w:rsid w:val="000F5D2D"/>
    <w:rsid w:val="00112CE3"/>
    <w:rsid w:val="00123AC6"/>
    <w:rsid w:val="0013374E"/>
    <w:rsid w:val="00134AD8"/>
    <w:rsid w:val="0013680C"/>
    <w:rsid w:val="00141484"/>
    <w:rsid w:val="001421CB"/>
    <w:rsid w:val="001473D6"/>
    <w:rsid w:val="001954EF"/>
    <w:rsid w:val="001A002F"/>
    <w:rsid w:val="001B3C88"/>
    <w:rsid w:val="001B4C76"/>
    <w:rsid w:val="001B59C1"/>
    <w:rsid w:val="001B6BE0"/>
    <w:rsid w:val="001C5D93"/>
    <w:rsid w:val="001D37F8"/>
    <w:rsid w:val="001E0356"/>
    <w:rsid w:val="001E61F8"/>
    <w:rsid w:val="001F42E5"/>
    <w:rsid w:val="00213FCC"/>
    <w:rsid w:val="00221CD9"/>
    <w:rsid w:val="00223134"/>
    <w:rsid w:val="00226608"/>
    <w:rsid w:val="002312AF"/>
    <w:rsid w:val="002367A0"/>
    <w:rsid w:val="00254B75"/>
    <w:rsid w:val="00260EE9"/>
    <w:rsid w:val="00267F3D"/>
    <w:rsid w:val="00270EC6"/>
    <w:rsid w:val="00276C05"/>
    <w:rsid w:val="00280594"/>
    <w:rsid w:val="00292F40"/>
    <w:rsid w:val="002A338F"/>
    <w:rsid w:val="002A5BF8"/>
    <w:rsid w:val="002B023C"/>
    <w:rsid w:val="002C04D6"/>
    <w:rsid w:val="002E30C2"/>
    <w:rsid w:val="002F06F0"/>
    <w:rsid w:val="002F3A2A"/>
    <w:rsid w:val="00301613"/>
    <w:rsid w:val="00304A55"/>
    <w:rsid w:val="00316EC7"/>
    <w:rsid w:val="003279CF"/>
    <w:rsid w:val="00331420"/>
    <w:rsid w:val="00341B1E"/>
    <w:rsid w:val="003928E8"/>
    <w:rsid w:val="00394F6D"/>
    <w:rsid w:val="003A3B70"/>
    <w:rsid w:val="003B7621"/>
    <w:rsid w:val="003C2682"/>
    <w:rsid w:val="00422B52"/>
    <w:rsid w:val="004236C6"/>
    <w:rsid w:val="00425BA9"/>
    <w:rsid w:val="004520C1"/>
    <w:rsid w:val="00455284"/>
    <w:rsid w:val="00461974"/>
    <w:rsid w:val="00461CDA"/>
    <w:rsid w:val="004A406E"/>
    <w:rsid w:val="004A7EDB"/>
    <w:rsid w:val="004C27C2"/>
    <w:rsid w:val="004E5E21"/>
    <w:rsid w:val="004E7192"/>
    <w:rsid w:val="005253A7"/>
    <w:rsid w:val="0053528C"/>
    <w:rsid w:val="00535B22"/>
    <w:rsid w:val="005510D1"/>
    <w:rsid w:val="00561B63"/>
    <w:rsid w:val="00562E51"/>
    <w:rsid w:val="00577466"/>
    <w:rsid w:val="00581C45"/>
    <w:rsid w:val="0059131B"/>
    <w:rsid w:val="00591E90"/>
    <w:rsid w:val="005A291C"/>
    <w:rsid w:val="005A3CA0"/>
    <w:rsid w:val="005B684E"/>
    <w:rsid w:val="005B7C30"/>
    <w:rsid w:val="005C5B95"/>
    <w:rsid w:val="005D5DA2"/>
    <w:rsid w:val="005D64DD"/>
    <w:rsid w:val="005D64E4"/>
    <w:rsid w:val="005D6680"/>
    <w:rsid w:val="005D7327"/>
    <w:rsid w:val="005E0899"/>
    <w:rsid w:val="005F666E"/>
    <w:rsid w:val="006160CB"/>
    <w:rsid w:val="00616D40"/>
    <w:rsid w:val="00636197"/>
    <w:rsid w:val="006455ED"/>
    <w:rsid w:val="0068182D"/>
    <w:rsid w:val="0069194B"/>
    <w:rsid w:val="00692F26"/>
    <w:rsid w:val="006A481F"/>
    <w:rsid w:val="006B11B6"/>
    <w:rsid w:val="006D14B9"/>
    <w:rsid w:val="006D63D8"/>
    <w:rsid w:val="00723A89"/>
    <w:rsid w:val="007251F2"/>
    <w:rsid w:val="00764D08"/>
    <w:rsid w:val="00766152"/>
    <w:rsid w:val="00773E36"/>
    <w:rsid w:val="00786D48"/>
    <w:rsid w:val="007958E2"/>
    <w:rsid w:val="007A369F"/>
    <w:rsid w:val="007A67C2"/>
    <w:rsid w:val="007B350F"/>
    <w:rsid w:val="007C19C9"/>
    <w:rsid w:val="007C371F"/>
    <w:rsid w:val="007C4BEE"/>
    <w:rsid w:val="007C694D"/>
    <w:rsid w:val="007C7914"/>
    <w:rsid w:val="00820FB1"/>
    <w:rsid w:val="00833BCD"/>
    <w:rsid w:val="00855E4E"/>
    <w:rsid w:val="00861775"/>
    <w:rsid w:val="00874296"/>
    <w:rsid w:val="008802CE"/>
    <w:rsid w:val="008813EF"/>
    <w:rsid w:val="00883BD3"/>
    <w:rsid w:val="008A0FFA"/>
    <w:rsid w:val="008B1EB6"/>
    <w:rsid w:val="008B3D66"/>
    <w:rsid w:val="008D6DE5"/>
    <w:rsid w:val="008E7428"/>
    <w:rsid w:val="008F6533"/>
    <w:rsid w:val="0090086B"/>
    <w:rsid w:val="0090435B"/>
    <w:rsid w:val="00905CDB"/>
    <w:rsid w:val="00914F7F"/>
    <w:rsid w:val="009221B0"/>
    <w:rsid w:val="00945293"/>
    <w:rsid w:val="009B4B6D"/>
    <w:rsid w:val="009B71AD"/>
    <w:rsid w:val="009D01BD"/>
    <w:rsid w:val="009D043A"/>
    <w:rsid w:val="009D7BA0"/>
    <w:rsid w:val="009E4182"/>
    <w:rsid w:val="009F193B"/>
    <w:rsid w:val="009F3FF9"/>
    <w:rsid w:val="00A02194"/>
    <w:rsid w:val="00A03957"/>
    <w:rsid w:val="00A072D3"/>
    <w:rsid w:val="00A1229A"/>
    <w:rsid w:val="00A2218F"/>
    <w:rsid w:val="00A258B7"/>
    <w:rsid w:val="00A45E46"/>
    <w:rsid w:val="00A47731"/>
    <w:rsid w:val="00A7365E"/>
    <w:rsid w:val="00A73FDA"/>
    <w:rsid w:val="00A74497"/>
    <w:rsid w:val="00A76005"/>
    <w:rsid w:val="00A768AA"/>
    <w:rsid w:val="00A77A00"/>
    <w:rsid w:val="00A85AB3"/>
    <w:rsid w:val="00A90631"/>
    <w:rsid w:val="00A93BFF"/>
    <w:rsid w:val="00AA0AF8"/>
    <w:rsid w:val="00AA79FC"/>
    <w:rsid w:val="00AD17AB"/>
    <w:rsid w:val="00AD4A91"/>
    <w:rsid w:val="00AE23F5"/>
    <w:rsid w:val="00AF0FE9"/>
    <w:rsid w:val="00AF30A4"/>
    <w:rsid w:val="00B02419"/>
    <w:rsid w:val="00B074B7"/>
    <w:rsid w:val="00B20E88"/>
    <w:rsid w:val="00B3343F"/>
    <w:rsid w:val="00B343B0"/>
    <w:rsid w:val="00B34478"/>
    <w:rsid w:val="00B37564"/>
    <w:rsid w:val="00B41A30"/>
    <w:rsid w:val="00B44F65"/>
    <w:rsid w:val="00B93E0D"/>
    <w:rsid w:val="00B96727"/>
    <w:rsid w:val="00BA60C5"/>
    <w:rsid w:val="00BB1DE2"/>
    <w:rsid w:val="00BB6B3F"/>
    <w:rsid w:val="00BC74DA"/>
    <w:rsid w:val="00BE1083"/>
    <w:rsid w:val="00BE1F0F"/>
    <w:rsid w:val="00BF56C4"/>
    <w:rsid w:val="00BF6650"/>
    <w:rsid w:val="00C11D81"/>
    <w:rsid w:val="00C12072"/>
    <w:rsid w:val="00C127EA"/>
    <w:rsid w:val="00C163C1"/>
    <w:rsid w:val="00C4276B"/>
    <w:rsid w:val="00C43618"/>
    <w:rsid w:val="00C43EA2"/>
    <w:rsid w:val="00C574B4"/>
    <w:rsid w:val="00C671F5"/>
    <w:rsid w:val="00C72D37"/>
    <w:rsid w:val="00C80FBF"/>
    <w:rsid w:val="00C90053"/>
    <w:rsid w:val="00C97AF4"/>
    <w:rsid w:val="00CA0718"/>
    <w:rsid w:val="00CC0DCB"/>
    <w:rsid w:val="00CC2A37"/>
    <w:rsid w:val="00CD1986"/>
    <w:rsid w:val="00CE265E"/>
    <w:rsid w:val="00CF2795"/>
    <w:rsid w:val="00CF3AD5"/>
    <w:rsid w:val="00CF5EC1"/>
    <w:rsid w:val="00D25920"/>
    <w:rsid w:val="00D264B9"/>
    <w:rsid w:val="00D46337"/>
    <w:rsid w:val="00D47A78"/>
    <w:rsid w:val="00D641B3"/>
    <w:rsid w:val="00D643CC"/>
    <w:rsid w:val="00D6634B"/>
    <w:rsid w:val="00D9415E"/>
    <w:rsid w:val="00DA1AFC"/>
    <w:rsid w:val="00DD72B4"/>
    <w:rsid w:val="00DE46EC"/>
    <w:rsid w:val="00DF0323"/>
    <w:rsid w:val="00E05749"/>
    <w:rsid w:val="00E1240C"/>
    <w:rsid w:val="00E12DD9"/>
    <w:rsid w:val="00E33700"/>
    <w:rsid w:val="00E45046"/>
    <w:rsid w:val="00E56647"/>
    <w:rsid w:val="00E676E3"/>
    <w:rsid w:val="00E70E87"/>
    <w:rsid w:val="00E74640"/>
    <w:rsid w:val="00E92B10"/>
    <w:rsid w:val="00E94011"/>
    <w:rsid w:val="00E95A56"/>
    <w:rsid w:val="00EA6969"/>
    <w:rsid w:val="00EB2FAA"/>
    <w:rsid w:val="00EB4994"/>
    <w:rsid w:val="00EC519F"/>
    <w:rsid w:val="00EF6158"/>
    <w:rsid w:val="00F01D30"/>
    <w:rsid w:val="00F02ECD"/>
    <w:rsid w:val="00F042C2"/>
    <w:rsid w:val="00F11DEA"/>
    <w:rsid w:val="00F1616D"/>
    <w:rsid w:val="00F44E94"/>
    <w:rsid w:val="00F6277B"/>
    <w:rsid w:val="00F702A1"/>
    <w:rsid w:val="00F72A67"/>
    <w:rsid w:val="00F84D93"/>
    <w:rsid w:val="00FA3322"/>
    <w:rsid w:val="00FC1F7D"/>
    <w:rsid w:val="00FF02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24C4A845-72BA-46EA-BDF4-F0056071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60CB"/>
    <w:rPr>
      <w:rFonts w:eastAsiaTheme="majorEastAsia" w:cstheme="majorBidi"/>
      <w:i/>
      <w:iCs/>
      <w:color w:val="2F5496" w:themeColor="accent1" w:themeShade="BF"/>
    </w:rPr>
  </w:style>
  <w:style w:type="character" w:customStyle="1" w:styleId="5Char">
    <w:name w:val="عنوان 5 Char"/>
    <w:basedOn w:val="a0"/>
    <w:link w:val="5"/>
    <w:uiPriority w:val="9"/>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 w:type="character" w:styleId="af2">
    <w:name w:val="FollowedHyperlink"/>
    <w:basedOn w:val="a0"/>
    <w:uiPriority w:val="99"/>
    <w:semiHidden/>
    <w:unhideWhenUsed/>
    <w:rsid w:val="00581C45"/>
    <w:rPr>
      <w:color w:val="954F72" w:themeColor="followedHyperlink"/>
      <w:u w:val="single"/>
    </w:rPr>
  </w:style>
  <w:style w:type="paragraph" w:styleId="af3">
    <w:name w:val="header"/>
    <w:basedOn w:val="a"/>
    <w:link w:val="Char6"/>
    <w:uiPriority w:val="99"/>
    <w:unhideWhenUsed/>
    <w:rsid w:val="00581C45"/>
    <w:pPr>
      <w:tabs>
        <w:tab w:val="center" w:pos="4153"/>
        <w:tab w:val="right" w:pos="8306"/>
      </w:tabs>
      <w:bidi/>
      <w:spacing w:after="0" w:line="240" w:lineRule="auto"/>
      <w:ind w:firstLine="386"/>
      <w:jc w:val="both"/>
    </w:pPr>
    <w:rPr>
      <w:rFonts w:ascii="Simplified Arabic" w:hAnsi="Simplified Arabic" w:cs="Simplified Arabic"/>
      <w:kern w:val="2"/>
      <w:sz w:val="28"/>
      <w:szCs w:val="28"/>
      <w:lang w:bidi="ar-JO"/>
      <w14:ligatures w14:val="standardContextual"/>
    </w:rPr>
  </w:style>
  <w:style w:type="character" w:customStyle="1" w:styleId="Char6">
    <w:name w:val="رأس الصفحة Char"/>
    <w:basedOn w:val="a0"/>
    <w:link w:val="af3"/>
    <w:uiPriority w:val="99"/>
    <w:rsid w:val="00581C45"/>
    <w:rPr>
      <w:rFonts w:ascii="Simplified Arabic" w:hAnsi="Simplified Arabic" w:cs="Simplified Arabic"/>
      <w:sz w:val="28"/>
      <w:szCs w:val="28"/>
      <w:lang w:bidi="ar-JO"/>
    </w:rPr>
  </w:style>
  <w:style w:type="paragraph" w:styleId="af4">
    <w:name w:val="footer"/>
    <w:basedOn w:val="a"/>
    <w:link w:val="Char7"/>
    <w:uiPriority w:val="99"/>
    <w:unhideWhenUsed/>
    <w:rsid w:val="00581C45"/>
    <w:pPr>
      <w:tabs>
        <w:tab w:val="center" w:pos="4153"/>
        <w:tab w:val="right" w:pos="8306"/>
      </w:tabs>
      <w:bidi/>
      <w:spacing w:after="0" w:line="240" w:lineRule="auto"/>
      <w:ind w:firstLine="386"/>
      <w:jc w:val="both"/>
    </w:pPr>
    <w:rPr>
      <w:rFonts w:ascii="Simplified Arabic" w:hAnsi="Simplified Arabic" w:cs="Simplified Arabic"/>
      <w:kern w:val="2"/>
      <w:sz w:val="28"/>
      <w:szCs w:val="28"/>
      <w:lang w:bidi="ar-JO"/>
      <w14:ligatures w14:val="standardContextual"/>
    </w:rPr>
  </w:style>
  <w:style w:type="character" w:customStyle="1" w:styleId="Char7">
    <w:name w:val="تذييل الصفحة Char"/>
    <w:basedOn w:val="a0"/>
    <w:link w:val="af4"/>
    <w:uiPriority w:val="99"/>
    <w:rsid w:val="00581C45"/>
    <w:rPr>
      <w:rFonts w:ascii="Simplified Arabic" w:hAnsi="Simplified Arabic" w:cs="Simplified Arabic"/>
      <w:sz w:val="28"/>
      <w:szCs w:val="28"/>
      <w:lang w:bidi="ar-JO"/>
    </w:rPr>
  </w:style>
  <w:style w:type="paragraph" w:styleId="HTML">
    <w:name w:val="HTML Preformatted"/>
    <w:basedOn w:val="a"/>
    <w:link w:val="HTMLChar"/>
    <w:uiPriority w:val="99"/>
    <w:semiHidden/>
    <w:unhideWhenUsed/>
    <w:rsid w:val="00581C45"/>
    <w:pPr>
      <w:bidi/>
      <w:spacing w:after="0" w:line="240" w:lineRule="auto"/>
      <w:ind w:firstLine="386"/>
      <w:jc w:val="both"/>
    </w:pPr>
    <w:rPr>
      <w:rFonts w:ascii="Consolas" w:hAnsi="Consolas" w:cs="Simplified Arabic"/>
      <w:kern w:val="2"/>
      <w:sz w:val="20"/>
      <w:szCs w:val="20"/>
      <w:lang w:bidi="ar-JO"/>
      <w14:ligatures w14:val="standardContextual"/>
    </w:rPr>
  </w:style>
  <w:style w:type="character" w:customStyle="1" w:styleId="HTMLChar">
    <w:name w:val="بتنسيق HTML مسبق Char"/>
    <w:basedOn w:val="a0"/>
    <w:link w:val="HTML"/>
    <w:uiPriority w:val="99"/>
    <w:semiHidden/>
    <w:rsid w:val="00581C45"/>
    <w:rPr>
      <w:rFonts w:ascii="Consolas" w:hAnsi="Consolas" w:cs="Simplified Arabic"/>
      <w:sz w:val="20"/>
      <w:szCs w:val="20"/>
      <w:lang w:bidi="ar-JO"/>
    </w:rPr>
  </w:style>
  <w:style w:type="paragraph" w:styleId="af5">
    <w:name w:val="TOC Heading"/>
    <w:basedOn w:val="1"/>
    <w:next w:val="a"/>
    <w:uiPriority w:val="39"/>
    <w:unhideWhenUsed/>
    <w:rsid w:val="00581C45"/>
    <w:pPr>
      <w:spacing w:before="0" w:after="0"/>
      <w:outlineLvl w:val="9"/>
    </w:pPr>
    <w:rPr>
      <w:rFonts w:ascii="Simplified Arabic" w:hAnsi="Simplified Arabic" w:cs="Simplified Arabic"/>
      <w:b/>
      <w:bCs/>
      <w:color w:val="auto"/>
      <w:sz w:val="36"/>
      <w:szCs w:val="36"/>
    </w:rPr>
  </w:style>
  <w:style w:type="paragraph" w:styleId="20">
    <w:name w:val="toc 2"/>
    <w:basedOn w:val="a"/>
    <w:next w:val="a"/>
    <w:autoRedefine/>
    <w:uiPriority w:val="39"/>
    <w:unhideWhenUsed/>
    <w:rsid w:val="00581C45"/>
    <w:pPr>
      <w:tabs>
        <w:tab w:val="right" w:leader="dot" w:pos="8777"/>
      </w:tabs>
      <w:bidi/>
      <w:spacing w:after="100" w:line="240" w:lineRule="auto"/>
      <w:ind w:left="280" w:firstLine="386"/>
      <w:jc w:val="both"/>
    </w:pPr>
    <w:rPr>
      <w:rFonts w:ascii="Simplified Arabic" w:hAnsi="Simplified Arabic" w:cs="Simplified Arabic"/>
      <w:noProof/>
      <w:kern w:val="2"/>
      <w:sz w:val="28"/>
      <w:szCs w:val="28"/>
      <w:lang w:bidi="ar-EG"/>
      <w14:ligatures w14:val="standardContextual"/>
    </w:rPr>
  </w:style>
  <w:style w:type="paragraph" w:styleId="10">
    <w:name w:val="toc 1"/>
    <w:basedOn w:val="a"/>
    <w:next w:val="a"/>
    <w:autoRedefine/>
    <w:uiPriority w:val="39"/>
    <w:unhideWhenUsed/>
    <w:rsid w:val="00581C45"/>
    <w:pPr>
      <w:bidi/>
      <w:spacing w:after="100" w:line="360" w:lineRule="auto"/>
      <w:ind w:firstLine="386"/>
      <w:jc w:val="both"/>
    </w:pPr>
    <w:rPr>
      <w:rFonts w:ascii="Simplified Arabic" w:hAnsi="Simplified Arabic" w:cs="Simplified Arabic"/>
      <w:kern w:val="2"/>
      <w:sz w:val="28"/>
      <w:szCs w:val="28"/>
      <w:lang w:bidi="ar-JO"/>
      <w14:ligatures w14:val="standardContextual"/>
    </w:rPr>
  </w:style>
  <w:style w:type="paragraph" w:styleId="30">
    <w:name w:val="toc 3"/>
    <w:basedOn w:val="a"/>
    <w:next w:val="a"/>
    <w:autoRedefine/>
    <w:uiPriority w:val="39"/>
    <w:unhideWhenUsed/>
    <w:rsid w:val="00581C45"/>
    <w:pPr>
      <w:bidi/>
      <w:spacing w:after="100" w:line="360" w:lineRule="auto"/>
      <w:ind w:left="560" w:firstLine="386"/>
      <w:jc w:val="both"/>
    </w:pPr>
    <w:rPr>
      <w:rFonts w:ascii="Simplified Arabic" w:hAnsi="Simplified Arabic" w:cs="Simplified Arabic"/>
      <w:kern w:val="2"/>
      <w:sz w:val="28"/>
      <w:szCs w:val="28"/>
      <w:lang w:bidi="ar-JO"/>
      <w14:ligatures w14:val="standardContextual"/>
    </w:rPr>
  </w:style>
  <w:style w:type="numbering" w:customStyle="1" w:styleId="NoList1">
    <w:name w:val="No List1"/>
    <w:next w:val="a2"/>
    <w:uiPriority w:val="99"/>
    <w:semiHidden/>
    <w:unhideWhenUsed/>
    <w:rsid w:val="00581C45"/>
  </w:style>
  <w:style w:type="paragraph" w:styleId="af6">
    <w:name w:val="No Spacing"/>
    <w:basedOn w:val="1"/>
    <w:uiPriority w:val="1"/>
    <w:qFormat/>
    <w:rsid w:val="00581C45"/>
    <w:pPr>
      <w:keepNext w:val="0"/>
      <w:keepLines w:val="0"/>
      <w:spacing w:before="0" w:after="200" w:line="240" w:lineRule="auto"/>
      <w:jc w:val="both"/>
    </w:pPr>
    <w:rPr>
      <w:rFonts w:asciiTheme="majorBidi" w:eastAsiaTheme="minorEastAsia" w:hAnsiTheme="majorBidi"/>
      <w:color w:val="auto"/>
      <w:sz w:val="24"/>
      <w:szCs w:val="24"/>
      <w:lang w:bidi="ar-JO"/>
    </w:rPr>
  </w:style>
  <w:style w:type="character" w:customStyle="1" w:styleId="UnresolvedMention1">
    <w:name w:val="Unresolved Mention1"/>
    <w:basedOn w:val="a0"/>
    <w:uiPriority w:val="99"/>
    <w:semiHidden/>
    <w:unhideWhenUsed/>
    <w:rsid w:val="00581C45"/>
    <w:rPr>
      <w:color w:val="605E5C"/>
      <w:shd w:val="clear" w:color="auto" w:fill="E1DFDD"/>
    </w:rPr>
  </w:style>
  <w:style w:type="table" w:customStyle="1" w:styleId="TableGrid1">
    <w:name w:val="Table Grid1"/>
    <w:basedOn w:val="a1"/>
    <w:next w:val="aa"/>
    <w:uiPriority w:val="59"/>
    <w:rsid w:val="00581C45"/>
    <w:pPr>
      <w:spacing w:after="0" w:line="240" w:lineRule="auto"/>
    </w:pPr>
    <w:rPr>
      <w:rFonts w:eastAsiaTheme="minorEastAsia"/>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7">
    <w:name w:val="footnote text"/>
    <w:aliases w:val="Char,نص حاشية سفلية Char Char,نص حاشية سفلية Char Char Char Char Char Char Char Char,نص حاشية سفلية Char Char Char Char Char Char Char,نص حاشية سفلية Char Char Char Char Char Char"/>
    <w:basedOn w:val="a"/>
    <w:link w:val="Char8"/>
    <w:uiPriority w:val="99"/>
    <w:unhideWhenUsed/>
    <w:rsid w:val="00581C45"/>
    <w:pPr>
      <w:bidi/>
      <w:spacing w:after="0" w:line="240" w:lineRule="auto"/>
      <w:ind w:firstLine="142"/>
      <w:jc w:val="both"/>
    </w:pPr>
    <w:rPr>
      <w:rFonts w:ascii="Simplified Arabic" w:eastAsiaTheme="minorEastAsia" w:hAnsi="Simplified Arabic" w:cs="Simplified Arabic"/>
      <w:sz w:val="20"/>
      <w:szCs w:val="20"/>
    </w:rPr>
  </w:style>
  <w:style w:type="character" w:customStyle="1" w:styleId="Char8">
    <w:name w:val="نص حاشية سفلية Char"/>
    <w:aliases w:val="Char Char,نص حاشية سفلية Char Char Char,نص حاشية سفلية Char Char Char Char Char Char Char Char Char,نص حاشية سفلية Char Char Char Char Char Char Char Char1,نص حاشية سفلية Char Char Char Char Char Char Char1"/>
    <w:basedOn w:val="a0"/>
    <w:link w:val="af7"/>
    <w:uiPriority w:val="99"/>
    <w:rsid w:val="00581C45"/>
    <w:rPr>
      <w:rFonts w:ascii="Simplified Arabic" w:eastAsiaTheme="minorEastAsia" w:hAnsi="Simplified Arabic" w:cs="Simplified Arabic"/>
      <w:kern w:val="0"/>
      <w:sz w:val="20"/>
      <w:szCs w:val="20"/>
      <w14:ligatures w14:val="none"/>
    </w:rPr>
  </w:style>
  <w:style w:type="character" w:styleId="af8">
    <w:name w:val="footnote reference"/>
    <w:aliases w:val="(Footnote Reference)"/>
    <w:basedOn w:val="a0"/>
    <w:uiPriority w:val="99"/>
    <w:semiHidden/>
    <w:unhideWhenUsed/>
    <w:rsid w:val="00581C45"/>
    <w:rPr>
      <w:vertAlign w:val="superscript"/>
    </w:rPr>
  </w:style>
  <w:style w:type="character" w:customStyle="1" w:styleId="given-name">
    <w:name w:val="given-name"/>
    <w:basedOn w:val="a0"/>
    <w:rsid w:val="00591E90"/>
  </w:style>
  <w:style w:type="character" w:customStyle="1" w:styleId="text">
    <w:name w:val="text"/>
    <w:basedOn w:val="a0"/>
    <w:rsid w:val="00591E90"/>
  </w:style>
  <w:style w:type="paragraph" w:customStyle="1" w:styleId="msonormal0">
    <w:name w:val="msonormal"/>
    <w:basedOn w:val="a"/>
    <w:rsid w:val="000B5A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05">
    <w:name w:val="ms-0.5"/>
    <w:basedOn w:val="a0"/>
    <w:rsid w:val="000B5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539/jel.v11n4p200" TargetMode="External"/><Relationship Id="rId21" Type="http://schemas.openxmlformats.org/officeDocument/2006/relationships/hyperlink" Target="https://mc.spsa.shj.ae" TargetMode="External"/><Relationship Id="rId42" Type="http://schemas.openxmlformats.org/officeDocument/2006/relationships/hyperlink" Target="https://doi.org/10.1086/714339" TargetMode="External"/><Relationship Id="rId47" Type="http://schemas.openxmlformats.org/officeDocument/2006/relationships/hyperlink" Target="https://doi.org/10.1016/j.jbi.2009.07.002" TargetMode="External"/><Relationship Id="rId63" Type="http://schemas.openxmlformats.org/officeDocument/2006/relationships/hyperlink" Target="https://doi.org/10.3390/ijerph16122125" TargetMode="External"/><Relationship Id="rId68" Type="http://schemas.openxmlformats.org/officeDocument/2006/relationships/hyperlink" Target="https://builtin.com/artificial-intelligence" TargetMode="External"/><Relationship Id="rId84" Type="http://schemas.openxmlformats.org/officeDocument/2006/relationships/hyperlink" Target="https://doi.org/10.1088/1755-1315/315/2/022023" TargetMode="External"/><Relationship Id="rId16" Type="http://schemas.openxmlformats.org/officeDocument/2006/relationships/hyperlink" Target="https://mawdoo3.com/" TargetMode="External"/><Relationship Id="rId11" Type="http://schemas.openxmlformats.org/officeDocument/2006/relationships/hyperlink" Target="https://doi.org/10.21608/masf.2023.211396.1052" TargetMode="External"/><Relationship Id="rId32" Type="http://schemas.openxmlformats.org/officeDocument/2006/relationships/hyperlink" Target="https://doi.org/10.34306/atm.v8i1.632" TargetMode="External"/><Relationship Id="rId37" Type="http://schemas.openxmlformats.org/officeDocument/2006/relationships/hyperlink" Target="https://doi.org/10.1016/j.jmoneco.2020.08.003" TargetMode="External"/><Relationship Id="rId53" Type="http://schemas.openxmlformats.org/officeDocument/2006/relationships/hyperlink" Target="https://doi.org/10.1016/j.dsx.2020.04.041" TargetMode="External"/><Relationship Id="rId58" Type="http://schemas.openxmlformats.org/officeDocument/2006/relationships/hyperlink" Target="https://doi.org/10.3390/w14091384" TargetMode="External"/><Relationship Id="rId74" Type="http://schemas.openxmlformats.org/officeDocument/2006/relationships/hyperlink" Target="https://doi.org/10.1177/2631454120913211" TargetMode="External"/><Relationship Id="rId79" Type="http://schemas.openxmlformats.org/officeDocument/2006/relationships/hyperlink" Target="https://doi.org/10.2307/30036540" TargetMode="External"/><Relationship Id="rId5" Type="http://schemas.openxmlformats.org/officeDocument/2006/relationships/footnotes" Target="footnotes.xml"/><Relationship Id="rId19" Type="http://schemas.openxmlformats.org/officeDocument/2006/relationships/hyperlink" Target="https://hu.edu.jo/Risk_management.pdf" TargetMode="External"/><Relationship Id="rId14" Type="http://schemas.openxmlformats.org/officeDocument/2006/relationships/hyperlink" Target="https://www.tadwiina.com/" TargetMode="External"/><Relationship Id="rId22" Type="http://schemas.openxmlformats.org/officeDocument/2006/relationships/hyperlink" Target="https://www.moh.gov.sa/Ministry/Statistics/book/Documents/Statistical-Yearbook-2022.pdf" TargetMode="External"/><Relationship Id="rId27" Type="http://schemas.openxmlformats.org/officeDocument/2006/relationships/hyperlink" Target="https://doi.org/10.21070/jas.v5i2.1313" TargetMode="External"/><Relationship Id="rId30" Type="http://schemas.openxmlformats.org/officeDocument/2006/relationships/hyperlink" Target="https://doi.org/10.1186/s12889-023-16114-8" TargetMode="External"/><Relationship Id="rId35" Type="http://schemas.openxmlformats.org/officeDocument/2006/relationships/hyperlink" Target="https://doi.org/10.1055/s-0039-1677907" TargetMode="External"/><Relationship Id="rId43" Type="http://schemas.openxmlformats.org/officeDocument/2006/relationships/hyperlink" Target="https://doi.org/10.4314/ejhs.v33i5.8" TargetMode="External"/><Relationship Id="rId48" Type="http://schemas.openxmlformats.org/officeDocument/2006/relationships/hyperlink" Target="https://doi.org/10.21511/ppm.15(2-2).2017.05" TargetMode="External"/><Relationship Id="rId56" Type="http://schemas.openxmlformats.org/officeDocument/2006/relationships/hyperlink" Target="https://doi.org/10.3390/ijerph18010271" TargetMode="External"/><Relationship Id="rId64" Type="http://schemas.openxmlformats.org/officeDocument/2006/relationships/hyperlink" Target="https://doi.org/10.1016/j.ijproman.2016.08.002" TargetMode="External"/><Relationship Id="rId69" Type="http://schemas.openxmlformats.org/officeDocument/2006/relationships/hyperlink" Target="https://doi.org/10.1108/JOCM-01-2024-0021" TargetMode="External"/><Relationship Id="rId77" Type="http://schemas.openxmlformats.org/officeDocument/2006/relationships/hyperlink" Target="https://www.techtarget.com/" TargetMode="External"/><Relationship Id="rId8" Type="http://schemas.openxmlformats.org/officeDocument/2006/relationships/image" Target="media/image2.png"/><Relationship Id="rId51" Type="http://schemas.openxmlformats.org/officeDocument/2006/relationships/hyperlink" Target="https://www.investopedia.com/" TargetMode="External"/><Relationship Id="rId72" Type="http://schemas.openxmlformats.org/officeDocument/2006/relationships/hyperlink" Target="https://doi.org/10.1080/10803548.2018.1534416" TargetMode="External"/><Relationship Id="rId80" Type="http://schemas.openxmlformats.org/officeDocument/2006/relationships/hyperlink" Target="https://verisys.com/" TargetMode="External"/><Relationship Id="rId85" Type="http://schemas.openxmlformats.org/officeDocument/2006/relationships/hyperlink" Target="https://doi.org/10.1111/j.1539-6924.2010.01470.x" TargetMode="External"/><Relationship Id="rId3" Type="http://schemas.openxmlformats.org/officeDocument/2006/relationships/settings" Target="settings.xml"/><Relationship Id="rId12" Type="http://schemas.openxmlformats.org/officeDocument/2006/relationships/hyperlink" Target="https://sotor.com/" TargetMode="External"/><Relationship Id="rId17" Type="http://schemas.openxmlformats.org/officeDocument/2006/relationships/hyperlink" Target="https://www.mah6at.net/" TargetMode="External"/><Relationship Id="rId25" Type="http://schemas.openxmlformats.org/officeDocument/2006/relationships/hyperlink" Target="https://doi.org/10.1108/JMD-02-2020-0062" TargetMode="External"/><Relationship Id="rId33" Type="http://schemas.openxmlformats.org/officeDocument/2006/relationships/hyperlink" Target="https://doi.org/10.1007/s11229-018-01936-5" TargetMode="External"/><Relationship Id="rId38" Type="http://schemas.openxmlformats.org/officeDocument/2006/relationships/hyperlink" Target="https://doi.org/10.1080/07421222.2003.11045748" TargetMode="External"/><Relationship Id="rId46" Type="http://schemas.openxmlformats.org/officeDocument/2006/relationships/hyperlink" Target="https://doi.org/10.1016/j.sintl.2021.100117" TargetMode="External"/><Relationship Id="rId59" Type="http://schemas.openxmlformats.org/officeDocument/2006/relationships/hyperlink" Target="https://whatfix.com/blog/organizational-development" TargetMode="External"/><Relationship Id="rId67" Type="http://schemas.openxmlformats.org/officeDocument/2006/relationships/hyperlink" Target="https://doi.org/10.3390/su13020872" TargetMode="External"/><Relationship Id="rId20" Type="http://schemas.openxmlformats.org/officeDocument/2006/relationships/hyperlink" Target="https://www.emro.who.int" TargetMode="External"/><Relationship Id="rId41" Type="http://schemas.openxmlformats.org/officeDocument/2006/relationships/hyperlink" Target="https://doi.org/10.1080/13669877.2017.1351470" TargetMode="External"/><Relationship Id="rId54" Type="http://schemas.openxmlformats.org/officeDocument/2006/relationships/hyperlink" Target="https://doi.org/10.1016/j.ssci.2024.106591" TargetMode="External"/><Relationship Id="rId62" Type="http://schemas.openxmlformats.org/officeDocument/2006/relationships/hyperlink" Target="https://doi.org/10.5812/jjhs.104560" TargetMode="External"/><Relationship Id="rId70" Type="http://schemas.openxmlformats.org/officeDocument/2006/relationships/hyperlink" Target="https://doi.org/10.1007/s44250-024-00163-w" TargetMode="External"/><Relationship Id="rId75" Type="http://schemas.openxmlformats.org/officeDocument/2006/relationships/hyperlink" Target="https://doi.org/10.1038/s41746-020-0221-y" TargetMode="External"/><Relationship Id="rId83" Type="http://schemas.openxmlformats.org/officeDocument/2006/relationships/hyperlink" Target="https://doi.org/10.1016/j.ress.2023.109712"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abu.edu.jo" TargetMode="External"/><Relationship Id="rId23" Type="http://schemas.openxmlformats.org/officeDocument/2006/relationships/hyperlink" Target="https://doi.org/10.4103/0976-0105.183265" TargetMode="External"/><Relationship Id="rId28" Type="http://schemas.openxmlformats.org/officeDocument/2006/relationships/hyperlink" Target="https://doi.org/10.1088/1755-1315/1101/1/012017" TargetMode="External"/><Relationship Id="rId36" Type="http://schemas.openxmlformats.org/officeDocument/2006/relationships/hyperlink" Target="https://doi.org/10.47391/JPMA.70.5.457" TargetMode="External"/><Relationship Id="rId49" Type="http://schemas.openxmlformats.org/officeDocument/2006/relationships/hyperlink" Target="https://www.iso.org/standard/65694.html" TargetMode="External"/><Relationship Id="rId57" Type="http://schemas.openxmlformats.org/officeDocument/2006/relationships/hyperlink" Target="https://doi.org/10.1016/j.techfore.2023.123124" TargetMode="External"/><Relationship Id="rId10" Type="http://schemas.openxmlformats.org/officeDocument/2006/relationships/image" Target="media/image3.emf"/><Relationship Id="rId31" Type="http://schemas.openxmlformats.org/officeDocument/2006/relationships/hyperlink" Target="https://doi.org/10.1037/0022-3514.51.6.1173" TargetMode="External"/><Relationship Id="rId44" Type="http://schemas.openxmlformats.org/officeDocument/2006/relationships/hyperlink" Target="https://doi.org/10.53894/ijirss.v4i3.73" TargetMode="External"/><Relationship Id="rId52" Type="http://schemas.openxmlformats.org/officeDocument/2006/relationships/hyperlink" Target="https://doi.org/10.1088/1757-899X/451/1/012198" TargetMode="External"/><Relationship Id="rId60" Type="http://schemas.openxmlformats.org/officeDocument/2006/relationships/hyperlink" Target="https://whatfix.com/" TargetMode="External"/><Relationship Id="rId65" Type="http://schemas.openxmlformats.org/officeDocument/2006/relationships/hyperlink" Target="https://doi.org/10.1108/JWL-05-2021-0063" TargetMode="External"/><Relationship Id="rId73" Type="http://schemas.openxmlformats.org/officeDocument/2006/relationships/hyperlink" Target="https://doi.org/10.2307/256865" TargetMode="External"/><Relationship Id="rId78" Type="http://schemas.openxmlformats.org/officeDocument/2006/relationships/hyperlink" Target="https://doi.org/10.1016/j.promfg.2017.07.248" TargetMode="External"/><Relationship Id="rId81" Type="http://schemas.openxmlformats.org/officeDocument/2006/relationships/hyperlink" Target="https://www.who.int/publications/i/item/9789240066762" TargetMode="External"/><Relationship Id="rId86" Type="http://schemas.openxmlformats.org/officeDocument/2006/relationships/footer" Target="footer1.xml"/><Relationship Id="rId4" Type="http://schemas.openxmlformats.org/officeDocument/2006/relationships/webSettings" Target="webSettings.xml"/><Relationship Id="rId9" Type="http://schemas.microsoft.com/office/2007/relationships/hdphoto" Target="media/hdphoto1.wdp"/><Relationship Id="rId13" Type="http://schemas.openxmlformats.org/officeDocument/2006/relationships/hyperlink" Target="https://www.aleqt.com/" TargetMode="External"/><Relationship Id="rId18" Type="http://schemas.openxmlformats.org/officeDocument/2006/relationships/hyperlink" Target="https://doi.org/10.21608/jlr.2025.397416.1774" TargetMode="External"/><Relationship Id="rId39" Type="http://schemas.openxmlformats.org/officeDocument/2006/relationships/hyperlink" Target="https://doi.org/10.24251/HICSS.2022.655" TargetMode="External"/><Relationship Id="rId34" Type="http://schemas.openxmlformats.org/officeDocument/2006/relationships/hyperlink" Target="https://doi.org/10.1080/13669877.2014.910685" TargetMode="External"/><Relationship Id="rId50" Type="http://schemas.openxmlformats.org/officeDocument/2006/relationships/hyperlink" Target="https://doi.org/10.1016/j.jfineco.2020.09.008" TargetMode="External"/><Relationship Id="rId55" Type="http://schemas.openxmlformats.org/officeDocument/2006/relationships/hyperlink" Target="https://doi.org/10.1037/tra0000768" TargetMode="External"/><Relationship Id="rId76" Type="http://schemas.openxmlformats.org/officeDocument/2006/relationships/hyperlink" Target="https://doi.org/10.1016/j.procs.2010.12.033" TargetMode="External"/><Relationship Id="rId7" Type="http://schemas.openxmlformats.org/officeDocument/2006/relationships/image" Target="media/image1.png"/><Relationship Id="rId71" Type="http://schemas.openxmlformats.org/officeDocument/2006/relationships/hyperlink" Target="https://doi.org/10.1108/JOCM-07-2023-0254" TargetMode="External"/><Relationship Id="rId2" Type="http://schemas.openxmlformats.org/officeDocument/2006/relationships/styles" Target="styles.xml"/><Relationship Id="rId29" Type="http://schemas.openxmlformats.org/officeDocument/2006/relationships/hyperlink" Target="https://doi.org/10.1016/j.jik.2022.100215" TargetMode="External"/><Relationship Id="rId24" Type="http://schemas.openxmlformats.org/officeDocument/2006/relationships/hyperlink" Target="https://doi.org/10.1016/j.fcij.2017.11.001" TargetMode="External"/><Relationship Id="rId40" Type="http://schemas.openxmlformats.org/officeDocument/2006/relationships/hyperlink" Target="https://doi.org/10.1080/1331677X.2020.1844582" TargetMode="External"/><Relationship Id="rId45" Type="http://schemas.openxmlformats.org/officeDocument/2006/relationships/hyperlink" Target="https://doi.org/10.1016/j.sintl.2021.100117" TargetMode="External"/><Relationship Id="rId66" Type="http://schemas.openxmlformats.org/officeDocument/2006/relationships/hyperlink" Target="https://doi.org/10.1108/SL-10-2017-0096" TargetMode="External"/><Relationship Id="rId87" Type="http://schemas.openxmlformats.org/officeDocument/2006/relationships/fontTable" Target="fontTable.xml"/><Relationship Id="rId61" Type="http://schemas.openxmlformats.org/officeDocument/2006/relationships/hyperlink" Target="https://doi.org/10.1016/j.jksuci.2019.09.001" TargetMode="External"/><Relationship Id="rId82" Type="http://schemas.openxmlformats.org/officeDocument/2006/relationships/hyperlink" Target="https://www.who.int/emergencies/surveillance/early-warning-alert-and-response-system-ewars/?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4221</TotalTime>
  <Pages>45</Pages>
  <Words>13074</Words>
  <Characters>74525</Characters>
  <Application>Microsoft Office Word</Application>
  <DocSecurity>0</DocSecurity>
  <Lines>621</Lines>
  <Paragraphs>174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43</cp:revision>
  <dcterms:created xsi:type="dcterms:W3CDTF">2026-02-24T18:11:00Z</dcterms:created>
  <dcterms:modified xsi:type="dcterms:W3CDTF">2026-04-21T18:33:00Z</dcterms:modified>
</cp:coreProperties>
</file>