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Pr="00766D0C" w:rsidRDefault="00464A84" w:rsidP="00766D0C">
      <w:pPr>
        <w:bidi/>
        <w:spacing w:after="0" w:line="240" w:lineRule="auto"/>
        <w:jc w:val="both"/>
        <w:rPr>
          <w:rFonts w:ascii="Simplified Arabic" w:hAnsi="Simplified Arabic" w:cs="Simplified Arabic"/>
          <w:b/>
          <w:bCs/>
          <w:color w:val="000000" w:themeColor="text1"/>
          <w:sz w:val="20"/>
          <w:szCs w:val="20"/>
          <w:rtl/>
        </w:rPr>
      </w:pPr>
      <w:r w:rsidRPr="00766D0C">
        <w:rPr>
          <w:rFonts w:ascii="Simplified Arabic" w:hAnsi="Simplified Arabic" w:cs="Simplified Arabic"/>
          <w:b/>
          <w:bCs/>
          <w:color w:val="000000" w:themeColor="text1"/>
          <w:sz w:val="20"/>
          <w:szCs w:val="20"/>
          <w:rtl/>
        </w:rPr>
        <w:t>الفصل الثالث: منهجية الدراسة</w:t>
      </w:r>
    </w:p>
    <w:p w14:paraId="3B06EEDC" w14:textId="348911F5" w:rsidR="000A310A" w:rsidRPr="00766D0C" w:rsidRDefault="000A310A" w:rsidP="00766D0C">
      <w:pPr>
        <w:bidi/>
        <w:spacing w:after="0" w:line="240" w:lineRule="auto"/>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960"/>
        <w:gridCol w:w="1276"/>
        <w:gridCol w:w="9350"/>
      </w:tblGrid>
      <w:tr w:rsidR="00047CBC" w:rsidRPr="00766D0C" w14:paraId="553E6643" w14:textId="77777777" w:rsidTr="00766D0C">
        <w:trPr>
          <w:cantSplit/>
          <w:tblHeader/>
          <w:jc w:val="center"/>
        </w:trPr>
        <w:tc>
          <w:tcPr>
            <w:tcW w:w="1814" w:type="dxa"/>
            <w:tcMar>
              <w:top w:w="100" w:type="dxa"/>
              <w:left w:w="100" w:type="dxa"/>
              <w:bottom w:w="100" w:type="dxa"/>
              <w:right w:w="100" w:type="dxa"/>
            </w:tcMar>
          </w:tcPr>
          <w:p w14:paraId="3435391D" w14:textId="3FC8BDE7" w:rsidR="00047CBC" w:rsidRPr="00766D0C" w:rsidRDefault="00047CBC" w:rsidP="00766D0C">
            <w:pPr>
              <w:bidi/>
              <w:jc w:val="center"/>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البند</w:t>
            </w:r>
          </w:p>
        </w:tc>
        <w:tc>
          <w:tcPr>
            <w:tcW w:w="1960" w:type="dxa"/>
            <w:tcMar>
              <w:top w:w="100" w:type="dxa"/>
              <w:left w:w="100" w:type="dxa"/>
              <w:bottom w:w="100" w:type="dxa"/>
              <w:right w:w="100" w:type="dxa"/>
            </w:tcMar>
          </w:tcPr>
          <w:p w14:paraId="78DCDDC8" w14:textId="52E6DC42" w:rsidR="00047CBC" w:rsidRPr="00766D0C" w:rsidRDefault="00047CBC" w:rsidP="00766D0C">
            <w:pPr>
              <w:bidi/>
              <w:jc w:val="center"/>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البيان</w:t>
            </w:r>
          </w:p>
        </w:tc>
        <w:tc>
          <w:tcPr>
            <w:tcW w:w="1276" w:type="dxa"/>
            <w:tcMar>
              <w:top w:w="100" w:type="dxa"/>
              <w:left w:w="100" w:type="dxa"/>
              <w:bottom w:w="100" w:type="dxa"/>
              <w:right w:w="100" w:type="dxa"/>
            </w:tcMar>
          </w:tcPr>
          <w:p w14:paraId="4C35301A" w14:textId="00AC8BC3" w:rsidR="00047CBC" w:rsidRPr="00766D0C" w:rsidRDefault="00047CBC" w:rsidP="00766D0C">
            <w:pPr>
              <w:bidi/>
              <w:jc w:val="center"/>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البند</w:t>
            </w:r>
          </w:p>
        </w:tc>
        <w:tc>
          <w:tcPr>
            <w:tcW w:w="9350" w:type="dxa"/>
            <w:tcMar>
              <w:top w:w="100" w:type="dxa"/>
              <w:left w:w="100" w:type="dxa"/>
              <w:bottom w:w="100" w:type="dxa"/>
              <w:right w:w="100" w:type="dxa"/>
            </w:tcMar>
          </w:tcPr>
          <w:p w14:paraId="2F832565" w14:textId="51A791C5" w:rsidR="00047CBC" w:rsidRPr="00766D0C" w:rsidRDefault="00047CBC" w:rsidP="00766D0C">
            <w:pPr>
              <w:bidi/>
              <w:jc w:val="center"/>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البيان</w:t>
            </w:r>
          </w:p>
        </w:tc>
      </w:tr>
      <w:tr w:rsidR="00047CBC" w:rsidRPr="00766D0C" w14:paraId="2C4AC1DC" w14:textId="77777777" w:rsidTr="00766D0C">
        <w:trPr>
          <w:cantSplit/>
          <w:jc w:val="center"/>
        </w:trPr>
        <w:tc>
          <w:tcPr>
            <w:tcW w:w="1814" w:type="dxa"/>
            <w:tcMar>
              <w:top w:w="100" w:type="dxa"/>
              <w:left w:w="100" w:type="dxa"/>
              <w:bottom w:w="100" w:type="dxa"/>
              <w:right w:w="100" w:type="dxa"/>
            </w:tcMar>
          </w:tcPr>
          <w:p w14:paraId="55E5F89F" w14:textId="4743EBE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اسم الطالب</w:t>
            </w:r>
          </w:p>
        </w:tc>
        <w:tc>
          <w:tcPr>
            <w:tcW w:w="1960" w:type="dxa"/>
            <w:tcMar>
              <w:top w:w="100" w:type="dxa"/>
              <w:left w:w="100" w:type="dxa"/>
              <w:bottom w:w="100" w:type="dxa"/>
              <w:right w:w="100" w:type="dxa"/>
            </w:tcMar>
            <w:vAlign w:val="center"/>
          </w:tcPr>
          <w:p w14:paraId="727FD542" w14:textId="08A7BE8A" w:rsidR="00047CBC" w:rsidRPr="00766D0C" w:rsidRDefault="00047CBC" w:rsidP="00766D0C">
            <w:pPr>
              <w:bidi/>
              <w:jc w:val="both"/>
              <w:rPr>
                <w:rFonts w:ascii="Simplified Arabic" w:hAnsi="Simplified Arabic" w:cs="Simplified Arabic"/>
                <w:color w:val="000000" w:themeColor="text1"/>
                <w:sz w:val="20"/>
                <w:szCs w:val="20"/>
              </w:rPr>
            </w:pPr>
            <w:proofErr w:type="gramStart"/>
            <w:r w:rsidRPr="00766D0C">
              <w:rPr>
                <w:rFonts w:ascii="Simplified Arabic" w:hAnsi="Simplified Arabic" w:cs="Simplified Arabic"/>
                <w:sz w:val="20"/>
                <w:szCs w:val="20"/>
                <w:rtl/>
              </w:rPr>
              <w:t>عبدالعزيز</w:t>
            </w:r>
            <w:proofErr w:type="gramEnd"/>
            <w:r w:rsidRPr="00766D0C">
              <w:rPr>
                <w:rFonts w:ascii="Simplified Arabic" w:hAnsi="Simplified Arabic" w:cs="Simplified Arabic"/>
                <w:sz w:val="20"/>
                <w:szCs w:val="20"/>
                <w:rtl/>
              </w:rPr>
              <w:t xml:space="preserve"> بن مصلح الحربي</w:t>
            </w:r>
          </w:p>
        </w:tc>
        <w:tc>
          <w:tcPr>
            <w:tcW w:w="1276" w:type="dxa"/>
            <w:tcMar>
              <w:top w:w="100" w:type="dxa"/>
              <w:left w:w="100" w:type="dxa"/>
              <w:bottom w:w="100" w:type="dxa"/>
              <w:right w:w="100" w:type="dxa"/>
            </w:tcMar>
            <w:vAlign w:val="center"/>
          </w:tcPr>
          <w:p w14:paraId="2D253B97" w14:textId="4F37624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عنوان الرسالة</w:t>
            </w:r>
          </w:p>
        </w:tc>
        <w:tc>
          <w:tcPr>
            <w:tcW w:w="9350" w:type="dxa"/>
            <w:tcMar>
              <w:top w:w="100" w:type="dxa"/>
              <w:left w:w="100" w:type="dxa"/>
              <w:bottom w:w="100" w:type="dxa"/>
              <w:right w:w="100" w:type="dxa"/>
            </w:tcMar>
            <w:vAlign w:val="center"/>
          </w:tcPr>
          <w:p w14:paraId="086BD804" w14:textId="06BA39F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دور استخدام أدوات الذكاء الاصطناعي في تعزيز فعالية نظم المراقبة الأمنية الذكية: دراسة تطبيقية على مدينة الرياض</w:t>
            </w:r>
          </w:p>
        </w:tc>
      </w:tr>
      <w:tr w:rsidR="00047CBC" w:rsidRPr="00766D0C" w14:paraId="4A0BF563" w14:textId="77777777" w:rsidTr="00766D0C">
        <w:trPr>
          <w:cantSplit/>
          <w:jc w:val="center"/>
        </w:trPr>
        <w:tc>
          <w:tcPr>
            <w:tcW w:w="1814" w:type="dxa"/>
            <w:tcMar>
              <w:top w:w="100" w:type="dxa"/>
              <w:left w:w="100" w:type="dxa"/>
              <w:bottom w:w="100" w:type="dxa"/>
              <w:right w:w="100" w:type="dxa"/>
            </w:tcMar>
          </w:tcPr>
          <w:p w14:paraId="0074DD29" w14:textId="05EE66F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النسخة المراجعة</w:t>
            </w:r>
          </w:p>
        </w:tc>
        <w:tc>
          <w:tcPr>
            <w:tcW w:w="1960" w:type="dxa"/>
            <w:tcMar>
              <w:top w:w="100" w:type="dxa"/>
              <w:left w:w="100" w:type="dxa"/>
              <w:bottom w:w="100" w:type="dxa"/>
              <w:right w:w="100" w:type="dxa"/>
            </w:tcMar>
            <w:vAlign w:val="center"/>
          </w:tcPr>
          <w:p w14:paraId="1E551516" w14:textId="3BEB1B7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أولى</w:t>
            </w:r>
          </w:p>
        </w:tc>
        <w:tc>
          <w:tcPr>
            <w:tcW w:w="1276" w:type="dxa"/>
            <w:tcMar>
              <w:top w:w="100" w:type="dxa"/>
              <w:left w:w="100" w:type="dxa"/>
              <w:bottom w:w="100" w:type="dxa"/>
              <w:right w:w="100" w:type="dxa"/>
            </w:tcMar>
            <w:vAlign w:val="center"/>
          </w:tcPr>
          <w:p w14:paraId="4116A065" w14:textId="54D6678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الحكم العام</w:t>
            </w:r>
          </w:p>
        </w:tc>
        <w:tc>
          <w:tcPr>
            <w:tcW w:w="9350" w:type="dxa"/>
            <w:tcMar>
              <w:top w:w="100" w:type="dxa"/>
              <w:left w:w="100" w:type="dxa"/>
              <w:bottom w:w="100" w:type="dxa"/>
              <w:right w:w="100" w:type="dxa"/>
            </w:tcMar>
            <w:vAlign w:val="center"/>
          </w:tcPr>
          <w:p w14:paraId="1C1418E6" w14:textId="1232E10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إعادة مراجعة</w:t>
            </w:r>
          </w:p>
        </w:tc>
      </w:tr>
    </w:tbl>
    <w:p w14:paraId="0AE59A82" w14:textId="51032B53"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766D0C" w14:paraId="5E5CF776" w14:textId="77777777" w:rsidTr="00766D0C">
        <w:trPr>
          <w:cantSplit/>
          <w:tblHeader/>
          <w:jc w:val="center"/>
        </w:trPr>
        <w:tc>
          <w:tcPr>
            <w:tcW w:w="2381" w:type="dxa"/>
            <w:tcMar>
              <w:top w:w="100" w:type="dxa"/>
              <w:left w:w="100" w:type="dxa"/>
              <w:bottom w:w="100" w:type="dxa"/>
              <w:right w:w="100" w:type="dxa"/>
            </w:tcMar>
            <w:vAlign w:val="center"/>
          </w:tcPr>
          <w:p w14:paraId="25651DB5" w14:textId="77777777" w:rsidR="00A662EF" w:rsidRPr="00766D0C" w:rsidRDefault="00000000" w:rsidP="00766D0C">
            <w:pPr>
              <w:bidi/>
              <w:jc w:val="center"/>
              <w:rPr>
                <w:rFonts w:ascii="Simplified Arabic" w:hAnsi="Simplified Arabic" w:cs="Simplified Arabic"/>
                <w:bCs/>
                <w:color w:val="000000" w:themeColor="text1"/>
                <w:sz w:val="20"/>
                <w:szCs w:val="20"/>
              </w:rPr>
            </w:pPr>
            <w:r w:rsidRPr="00766D0C">
              <w:rPr>
                <w:rFonts w:ascii="Simplified Arabic" w:hAnsi="Simplified Arabic" w:cs="Simplified Arabic"/>
                <w:bCs/>
                <w:color w:val="000000" w:themeColor="text1"/>
                <w:sz w:val="20"/>
                <w:szCs w:val="20"/>
                <w:rtl/>
              </w:rPr>
              <w:t>البند</w:t>
            </w:r>
          </w:p>
        </w:tc>
        <w:tc>
          <w:tcPr>
            <w:tcW w:w="4649" w:type="dxa"/>
            <w:tcMar>
              <w:top w:w="100" w:type="dxa"/>
              <w:left w:w="100" w:type="dxa"/>
              <w:bottom w:w="100" w:type="dxa"/>
              <w:right w:w="100" w:type="dxa"/>
            </w:tcMar>
            <w:vAlign w:val="center"/>
          </w:tcPr>
          <w:p w14:paraId="3331703D" w14:textId="77777777" w:rsidR="00A662EF" w:rsidRPr="00766D0C" w:rsidRDefault="00000000" w:rsidP="00766D0C">
            <w:pPr>
              <w:bidi/>
              <w:jc w:val="center"/>
              <w:rPr>
                <w:rFonts w:ascii="Simplified Arabic" w:hAnsi="Simplified Arabic" w:cs="Simplified Arabic"/>
                <w:bCs/>
                <w:color w:val="000000" w:themeColor="text1"/>
                <w:sz w:val="20"/>
                <w:szCs w:val="20"/>
              </w:rPr>
            </w:pPr>
            <w:r w:rsidRPr="00766D0C">
              <w:rPr>
                <w:rFonts w:ascii="Simplified Arabic" w:hAnsi="Simplified Arabic" w:cs="Simplified Arabic"/>
                <w:bCs/>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0AAB9294" w14:textId="77777777" w:rsidR="00A662EF" w:rsidRPr="00766D0C" w:rsidRDefault="00000000" w:rsidP="00766D0C">
            <w:pPr>
              <w:bidi/>
              <w:jc w:val="center"/>
              <w:rPr>
                <w:rFonts w:ascii="Simplified Arabic" w:hAnsi="Simplified Arabic" w:cs="Simplified Arabic"/>
                <w:bCs/>
                <w:color w:val="000000" w:themeColor="text1"/>
                <w:sz w:val="20"/>
                <w:szCs w:val="20"/>
              </w:rPr>
            </w:pPr>
            <w:r w:rsidRPr="00766D0C">
              <w:rPr>
                <w:rFonts w:ascii="Simplified Arabic" w:hAnsi="Simplified Arabic" w:cs="Simplified Arabic"/>
                <w:bCs/>
                <w:color w:val="000000" w:themeColor="text1"/>
                <w:sz w:val="20"/>
                <w:szCs w:val="20"/>
                <w:rtl/>
              </w:rPr>
              <w:t>مستوى التقييم</w:t>
            </w:r>
          </w:p>
        </w:tc>
        <w:tc>
          <w:tcPr>
            <w:tcW w:w="4025" w:type="dxa"/>
            <w:tcMar>
              <w:top w:w="100" w:type="dxa"/>
              <w:left w:w="100" w:type="dxa"/>
              <w:bottom w:w="100" w:type="dxa"/>
              <w:right w:w="100" w:type="dxa"/>
            </w:tcMar>
            <w:vAlign w:val="center"/>
          </w:tcPr>
          <w:p w14:paraId="7322F701" w14:textId="77777777" w:rsidR="00A662EF" w:rsidRPr="00766D0C" w:rsidRDefault="00000000" w:rsidP="00766D0C">
            <w:pPr>
              <w:bidi/>
              <w:jc w:val="center"/>
              <w:rPr>
                <w:rFonts w:ascii="Simplified Arabic" w:hAnsi="Simplified Arabic" w:cs="Simplified Arabic"/>
                <w:bCs/>
                <w:color w:val="000000" w:themeColor="text1"/>
                <w:sz w:val="20"/>
                <w:szCs w:val="20"/>
              </w:rPr>
            </w:pPr>
            <w:r w:rsidRPr="00766D0C">
              <w:rPr>
                <w:rFonts w:ascii="Simplified Arabic" w:hAnsi="Simplified Arabic" w:cs="Simplified Arabic"/>
                <w:bCs/>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1F6AC6E5" w14:textId="77777777" w:rsidR="00A662EF" w:rsidRPr="00766D0C" w:rsidRDefault="00000000" w:rsidP="00766D0C">
            <w:pPr>
              <w:bidi/>
              <w:jc w:val="center"/>
              <w:rPr>
                <w:rFonts w:ascii="Simplified Arabic" w:hAnsi="Simplified Arabic" w:cs="Simplified Arabic"/>
                <w:bCs/>
                <w:color w:val="000000" w:themeColor="text1"/>
                <w:sz w:val="20"/>
                <w:szCs w:val="20"/>
              </w:rPr>
            </w:pPr>
            <w:r w:rsidRPr="00766D0C">
              <w:rPr>
                <w:rFonts w:ascii="Simplified Arabic" w:hAnsi="Simplified Arabic" w:cs="Simplified Arabic"/>
                <w:bCs/>
                <w:color w:val="000000" w:themeColor="text1"/>
                <w:sz w:val="20"/>
                <w:szCs w:val="20"/>
                <w:rtl/>
              </w:rPr>
              <w:t>رد الطالب / ما تم تعديله</w:t>
            </w:r>
          </w:p>
        </w:tc>
      </w:tr>
      <w:tr w:rsidR="00047CBC" w:rsidRPr="00766D0C"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vAlign w:val="center"/>
          </w:tcPr>
          <w:p w14:paraId="0226CD24" w14:textId="49AEC8D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يعرض بنية منهجية أولية جيدة ويغطي المنهج، المجتمع، الأداة، المتغيرات، والإجراءات. إلا أن كثيراً من العناصر لا تزال عامة وغير محسومة، خاصة حجم المجتمع، حجم العينة، نوع العينة، وعدد فقرات الأداة، وهي عناصر أساسية قبل اعتماد الفصل.</w:t>
            </w:r>
          </w:p>
        </w:tc>
        <w:tc>
          <w:tcPr>
            <w:tcW w:w="1814" w:type="dxa"/>
            <w:tcMar>
              <w:top w:w="100" w:type="dxa"/>
              <w:left w:w="100" w:type="dxa"/>
              <w:bottom w:w="100" w:type="dxa"/>
              <w:right w:w="100" w:type="dxa"/>
            </w:tcMar>
            <w:vAlign w:val="center"/>
          </w:tcPr>
          <w:p w14:paraId="25989DEB" w14:textId="3C5FFE6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تعديلات جوهرية</w:t>
            </w:r>
          </w:p>
        </w:tc>
        <w:tc>
          <w:tcPr>
            <w:tcW w:w="4025" w:type="dxa"/>
            <w:tcMar>
              <w:top w:w="100" w:type="dxa"/>
              <w:left w:w="100" w:type="dxa"/>
              <w:bottom w:w="100" w:type="dxa"/>
              <w:right w:w="100" w:type="dxa"/>
            </w:tcMar>
            <w:vAlign w:val="center"/>
          </w:tcPr>
          <w:p w14:paraId="6AEF10EB" w14:textId="7665D9C3"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استكمال البيانات الناقصة وتحويل العبارات العامة إلى إجراءات دقيقة قابلة للتنفيذ.</w:t>
            </w:r>
          </w:p>
        </w:tc>
        <w:tc>
          <w:tcPr>
            <w:tcW w:w="1814" w:type="dxa"/>
            <w:tcMar>
              <w:top w:w="100" w:type="dxa"/>
              <w:left w:w="100" w:type="dxa"/>
              <w:bottom w:w="100" w:type="dxa"/>
              <w:right w:w="100" w:type="dxa"/>
            </w:tcMar>
          </w:tcPr>
          <w:p w14:paraId="70690253"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vAlign w:val="center"/>
          </w:tcPr>
          <w:p w14:paraId="3FB9950A" w14:textId="7C8EFEF6"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التنظيم مقبول، لكن الترقيم غير واضح في بعض المواضع، كما أن الجداول والصور لا تكفي لشرح نموذج الدراسة أو أداة القياس.</w:t>
            </w:r>
          </w:p>
        </w:tc>
        <w:tc>
          <w:tcPr>
            <w:tcW w:w="1814" w:type="dxa"/>
            <w:tcMar>
              <w:top w:w="100" w:type="dxa"/>
              <w:left w:w="100" w:type="dxa"/>
              <w:bottom w:w="100" w:type="dxa"/>
              <w:right w:w="100" w:type="dxa"/>
            </w:tcMar>
            <w:vAlign w:val="center"/>
          </w:tcPr>
          <w:p w14:paraId="4D9778F9" w14:textId="5156733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w:t>
            </w:r>
          </w:p>
        </w:tc>
        <w:tc>
          <w:tcPr>
            <w:tcW w:w="4025" w:type="dxa"/>
            <w:tcMar>
              <w:top w:w="100" w:type="dxa"/>
              <w:left w:w="100" w:type="dxa"/>
              <w:bottom w:w="100" w:type="dxa"/>
              <w:right w:w="100" w:type="dxa"/>
            </w:tcMar>
            <w:vAlign w:val="center"/>
          </w:tcPr>
          <w:p w14:paraId="4708D3AE" w14:textId="515BFF1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إعادة ترقيم العناوين بنمط 3.1، 3.2... وإضافة جداول تفصيلية للأداة والعينة والتحليل.</w:t>
            </w:r>
          </w:p>
        </w:tc>
        <w:tc>
          <w:tcPr>
            <w:tcW w:w="1814" w:type="dxa"/>
            <w:tcMar>
              <w:top w:w="100" w:type="dxa"/>
              <w:left w:w="100" w:type="dxa"/>
              <w:bottom w:w="100" w:type="dxa"/>
              <w:right w:w="100" w:type="dxa"/>
            </w:tcMar>
          </w:tcPr>
          <w:p w14:paraId="38AD9147"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vAlign w:val="center"/>
          </w:tcPr>
          <w:p w14:paraId="35EAB05A" w14:textId="6906EC8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يوجد اتساق عام مع موضوع الذكاء الاصطناعي والمراقبة الذكية، لكن يجب ضبط نطاق الدراسة بسبب حساسية المجال الأمني وضرورة تحديد الجهات والفئات المشاركة بدقة.</w:t>
            </w:r>
          </w:p>
        </w:tc>
        <w:tc>
          <w:tcPr>
            <w:tcW w:w="1814" w:type="dxa"/>
            <w:tcMar>
              <w:top w:w="100" w:type="dxa"/>
              <w:left w:w="100" w:type="dxa"/>
              <w:bottom w:w="100" w:type="dxa"/>
              <w:right w:w="100" w:type="dxa"/>
            </w:tcMar>
            <w:vAlign w:val="center"/>
          </w:tcPr>
          <w:p w14:paraId="077C47A9" w14:textId="412FFCED"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توضيح</w:t>
            </w:r>
          </w:p>
        </w:tc>
        <w:tc>
          <w:tcPr>
            <w:tcW w:w="4025" w:type="dxa"/>
            <w:tcMar>
              <w:top w:w="100" w:type="dxa"/>
              <w:left w:w="100" w:type="dxa"/>
              <w:bottom w:w="100" w:type="dxa"/>
              <w:right w:w="100" w:type="dxa"/>
            </w:tcMar>
            <w:vAlign w:val="center"/>
          </w:tcPr>
          <w:p w14:paraId="45D5E580" w14:textId="14D8187C"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نطاق الدراسة والجهات المشمولة ونوع البيانات المسموح جمعها دون أي معلومات أمنية حساسة.</w:t>
            </w:r>
          </w:p>
        </w:tc>
        <w:tc>
          <w:tcPr>
            <w:tcW w:w="1814" w:type="dxa"/>
            <w:tcMar>
              <w:top w:w="100" w:type="dxa"/>
              <w:left w:w="100" w:type="dxa"/>
              <w:bottom w:w="100" w:type="dxa"/>
              <w:right w:w="100" w:type="dxa"/>
            </w:tcMar>
          </w:tcPr>
          <w:p w14:paraId="39D247CD"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0751C970" w14:textId="4B3A6E1C"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766D0C"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C515F7D" w14:textId="776F095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8C92F8E" w14:textId="2922CE0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3218DA" w14:textId="0FB57DDB"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1F03ADE" w14:textId="52EC97A1"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رد الطالب</w:t>
            </w:r>
          </w:p>
        </w:tc>
      </w:tr>
      <w:tr w:rsidR="00047CBC" w:rsidRPr="00766D0C"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1EE1B497" w14:textId="2A3E1DAF"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53D9C43E" w14:textId="7DE6F1B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تم تحديد المنهج الكمي، لكنه لم يحدد بدقة هل الدراسة وصفية تحليلية مسحية مقطعية أم نموذج تفسيري فقط.</w:t>
            </w:r>
          </w:p>
        </w:tc>
        <w:tc>
          <w:tcPr>
            <w:tcW w:w="1474" w:type="dxa"/>
            <w:tcMar>
              <w:top w:w="100" w:type="dxa"/>
              <w:left w:w="100" w:type="dxa"/>
              <w:bottom w:w="100" w:type="dxa"/>
              <w:right w:w="100" w:type="dxa"/>
            </w:tcMar>
            <w:vAlign w:val="center"/>
          </w:tcPr>
          <w:p w14:paraId="644A71FC"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تحديد</w:t>
            </w:r>
          </w:p>
        </w:tc>
        <w:tc>
          <w:tcPr>
            <w:tcW w:w="3288" w:type="dxa"/>
            <w:tcMar>
              <w:top w:w="100" w:type="dxa"/>
              <w:left w:w="100" w:type="dxa"/>
              <w:bottom w:w="100" w:type="dxa"/>
              <w:right w:w="100" w:type="dxa"/>
            </w:tcMar>
            <w:vAlign w:val="center"/>
          </w:tcPr>
          <w:p w14:paraId="1703CD3B" w14:textId="5A655E7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عبارة واضحة: دراسة كمية مسحية مقطعية وصفية تحليلية.</w:t>
            </w:r>
          </w:p>
        </w:tc>
        <w:tc>
          <w:tcPr>
            <w:tcW w:w="1134" w:type="dxa"/>
            <w:tcMar>
              <w:top w:w="100" w:type="dxa"/>
              <w:left w:w="100" w:type="dxa"/>
              <w:bottom w:w="100" w:type="dxa"/>
              <w:right w:w="100" w:type="dxa"/>
            </w:tcMar>
          </w:tcPr>
          <w:p w14:paraId="07E50D81"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ملاءمة المنهج للموضوع</w:t>
            </w:r>
          </w:p>
        </w:tc>
        <w:tc>
          <w:tcPr>
            <w:tcW w:w="3005" w:type="dxa"/>
            <w:tcMar>
              <w:top w:w="100" w:type="dxa"/>
              <w:left w:w="100" w:type="dxa"/>
              <w:bottom w:w="100" w:type="dxa"/>
              <w:right w:w="100" w:type="dxa"/>
            </w:tcMar>
            <w:vAlign w:val="center"/>
          </w:tcPr>
          <w:p w14:paraId="33E7712E" w14:textId="4F42FC77"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50EDCE06" w14:textId="26F288B6"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المنهج الكمي مناسب لاختبار أثر الذكاء الاصطناعي والبنية التحتية والموارد البشرية على أداء النظام، لكن التبرير يحتاج إلى دعم مرجعي أقوى.</w:t>
            </w:r>
          </w:p>
        </w:tc>
        <w:tc>
          <w:tcPr>
            <w:tcW w:w="1474" w:type="dxa"/>
            <w:tcMar>
              <w:top w:w="100" w:type="dxa"/>
              <w:left w:w="100" w:type="dxa"/>
              <w:bottom w:w="100" w:type="dxa"/>
              <w:right w:w="100" w:type="dxa"/>
            </w:tcMar>
            <w:vAlign w:val="center"/>
          </w:tcPr>
          <w:p w14:paraId="4E058DA0"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مقبول مع تعزيز</w:t>
            </w:r>
          </w:p>
        </w:tc>
        <w:tc>
          <w:tcPr>
            <w:tcW w:w="3288" w:type="dxa"/>
            <w:tcMar>
              <w:top w:w="100" w:type="dxa"/>
              <w:left w:w="100" w:type="dxa"/>
              <w:bottom w:w="100" w:type="dxa"/>
              <w:right w:w="100" w:type="dxa"/>
            </w:tcMar>
            <w:vAlign w:val="center"/>
          </w:tcPr>
          <w:p w14:paraId="46171DF9" w14:textId="1FD419E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مراجع منهجية وتطبيقية تبرر قياس التصورات عبر استبانة.</w:t>
            </w:r>
          </w:p>
        </w:tc>
        <w:tc>
          <w:tcPr>
            <w:tcW w:w="1134" w:type="dxa"/>
            <w:tcMar>
              <w:top w:w="100" w:type="dxa"/>
              <w:left w:w="100" w:type="dxa"/>
              <w:bottom w:w="100" w:type="dxa"/>
              <w:right w:w="100" w:type="dxa"/>
            </w:tcMar>
          </w:tcPr>
          <w:p w14:paraId="7FE5B40B"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lastRenderedPageBreak/>
              <w:t>تصميم الدراسة</w:t>
            </w:r>
          </w:p>
        </w:tc>
        <w:tc>
          <w:tcPr>
            <w:tcW w:w="3005" w:type="dxa"/>
            <w:tcMar>
              <w:top w:w="100" w:type="dxa"/>
              <w:left w:w="100" w:type="dxa"/>
              <w:bottom w:w="100" w:type="dxa"/>
              <w:right w:w="100" w:type="dxa"/>
            </w:tcMar>
            <w:vAlign w:val="center"/>
          </w:tcPr>
          <w:p w14:paraId="425C3E1D" w14:textId="376A4F08"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vAlign w:val="center"/>
          </w:tcPr>
          <w:p w14:paraId="67C7AD6F" w14:textId="0813F51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التصميم البحثي يصف المتغيرات، لكنه لا يعرض نموذجاً منهجياً متكاملاً بمسارات الفرضيات.</w:t>
            </w:r>
          </w:p>
        </w:tc>
        <w:tc>
          <w:tcPr>
            <w:tcW w:w="1474" w:type="dxa"/>
            <w:tcMar>
              <w:top w:w="100" w:type="dxa"/>
              <w:left w:w="100" w:type="dxa"/>
              <w:bottom w:w="100" w:type="dxa"/>
              <w:right w:w="100" w:type="dxa"/>
            </w:tcMar>
            <w:vAlign w:val="center"/>
          </w:tcPr>
          <w:p w14:paraId="72555F6D"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03ACC36" w14:textId="4173872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إدراج نموذج واضح يربط المتغيرات الثلاثة المستقلة بالمتغير التابع والفرضيات.</w:t>
            </w:r>
          </w:p>
        </w:tc>
        <w:tc>
          <w:tcPr>
            <w:tcW w:w="1134" w:type="dxa"/>
            <w:tcMar>
              <w:top w:w="100" w:type="dxa"/>
              <w:left w:w="100" w:type="dxa"/>
              <w:bottom w:w="100" w:type="dxa"/>
              <w:right w:w="100" w:type="dxa"/>
            </w:tcMar>
          </w:tcPr>
          <w:p w14:paraId="7AB917F1"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2F7E8304" w14:textId="542D1698"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vAlign w:val="center"/>
          </w:tcPr>
          <w:p w14:paraId="2374F9CF" w14:textId="464DD92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النموذج المفاهيمي موجود كإشارة/رسم، لكنه يحتاج إلى شرح منهجي في النص وربط مباشر بالتحليل.</w:t>
            </w:r>
          </w:p>
        </w:tc>
        <w:tc>
          <w:tcPr>
            <w:tcW w:w="1474" w:type="dxa"/>
            <w:tcMar>
              <w:top w:w="100" w:type="dxa"/>
              <w:left w:w="100" w:type="dxa"/>
              <w:bottom w:w="100" w:type="dxa"/>
              <w:right w:w="100" w:type="dxa"/>
            </w:tcMar>
            <w:vAlign w:val="center"/>
          </w:tcPr>
          <w:p w14:paraId="59A04D5E"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75C500D0" w14:textId="00AEA07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جدول يربط كل مسار بالفرضية والاختبار الإحصائي.</w:t>
            </w:r>
          </w:p>
        </w:tc>
        <w:tc>
          <w:tcPr>
            <w:tcW w:w="1134" w:type="dxa"/>
            <w:tcMar>
              <w:top w:w="100" w:type="dxa"/>
              <w:left w:w="100" w:type="dxa"/>
              <w:bottom w:w="100" w:type="dxa"/>
              <w:right w:w="100" w:type="dxa"/>
            </w:tcMar>
          </w:tcPr>
          <w:p w14:paraId="21BD1A75"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1BFD7BE" w14:textId="15003F7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vAlign w:val="center"/>
          </w:tcPr>
          <w:p w14:paraId="07C44F4C" w14:textId="4E49EA50"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التعريفات الإجرائية للمتغيرات جيدة كبداية، لكنها لا توضح عدد الفقرات أو طريقة احتساب الدرجة.</w:t>
            </w:r>
          </w:p>
        </w:tc>
        <w:tc>
          <w:tcPr>
            <w:tcW w:w="1474" w:type="dxa"/>
            <w:tcMar>
              <w:top w:w="100" w:type="dxa"/>
              <w:left w:w="100" w:type="dxa"/>
              <w:bottom w:w="100" w:type="dxa"/>
              <w:right w:w="100" w:type="dxa"/>
            </w:tcMar>
            <w:vAlign w:val="center"/>
          </w:tcPr>
          <w:p w14:paraId="1122BDBA"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7CD53500" w14:textId="33909FA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جدول تعريفات إجرائية يضم الأبعاد والبنود والمصادر وطريقة القياس.</w:t>
            </w:r>
          </w:p>
        </w:tc>
        <w:tc>
          <w:tcPr>
            <w:tcW w:w="1134" w:type="dxa"/>
            <w:tcMar>
              <w:top w:w="100" w:type="dxa"/>
              <w:left w:w="100" w:type="dxa"/>
              <w:bottom w:w="100" w:type="dxa"/>
              <w:right w:w="100" w:type="dxa"/>
            </w:tcMar>
          </w:tcPr>
          <w:p w14:paraId="1A5F3631"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351F54C7" w14:textId="77777777" w:rsidR="00A662EF" w:rsidRPr="00766D0C" w:rsidRDefault="00A662EF" w:rsidP="00766D0C">
      <w:pPr>
        <w:bidi/>
        <w:spacing w:after="0" w:line="240" w:lineRule="auto"/>
        <w:jc w:val="both"/>
        <w:rPr>
          <w:rFonts w:ascii="Simplified Arabic" w:hAnsi="Simplified Arabic" w:cs="Simplified Arabic"/>
          <w:color w:val="000000" w:themeColor="text1"/>
          <w:sz w:val="20"/>
          <w:szCs w:val="20"/>
        </w:rPr>
      </w:pPr>
    </w:p>
    <w:p w14:paraId="0E0413D0" w14:textId="3AD4D756"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E0D16E6"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7344F9E"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CDF46FA"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CB2B1D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4D2819A6" w14:textId="3ABA9F1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تم تحديد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كأداة رئيسة، وهو مناسب للمدخل الكمي، لكن الأداة لم تُعرض بتفصيل كافٍ.</w:t>
            </w:r>
          </w:p>
        </w:tc>
        <w:tc>
          <w:tcPr>
            <w:tcW w:w="1474" w:type="dxa"/>
            <w:tcMar>
              <w:top w:w="100" w:type="dxa"/>
              <w:left w:w="100" w:type="dxa"/>
              <w:bottom w:w="100" w:type="dxa"/>
              <w:right w:w="100" w:type="dxa"/>
            </w:tcMar>
            <w:vAlign w:val="center"/>
          </w:tcPr>
          <w:p w14:paraId="6568063A"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مقبول مع نقص</w:t>
            </w:r>
          </w:p>
        </w:tc>
        <w:tc>
          <w:tcPr>
            <w:tcW w:w="3288" w:type="dxa"/>
            <w:tcMar>
              <w:top w:w="100" w:type="dxa"/>
              <w:left w:w="100" w:type="dxa"/>
              <w:bottom w:w="100" w:type="dxa"/>
              <w:right w:w="100" w:type="dxa"/>
            </w:tcMar>
            <w:vAlign w:val="center"/>
          </w:tcPr>
          <w:p w14:paraId="62C3C69F" w14:textId="04AEE9B0"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إضافة محاور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وعدد الفقرات لكل محور ومصادرها العلمية.</w:t>
            </w:r>
          </w:p>
        </w:tc>
        <w:tc>
          <w:tcPr>
            <w:tcW w:w="1134" w:type="dxa"/>
            <w:tcMar>
              <w:top w:w="100" w:type="dxa"/>
              <w:left w:w="100" w:type="dxa"/>
              <w:bottom w:w="100" w:type="dxa"/>
              <w:right w:w="100" w:type="dxa"/>
            </w:tcMar>
            <w:vAlign w:val="center"/>
          </w:tcPr>
          <w:p w14:paraId="0BA79CA7"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281DF873" w14:textId="4CA195E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مبررات اختيار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جيدة، لكنها عامة وتحتاج إلى ربط بخصوصية المشاركين في المجال الأمني والتقني.</w:t>
            </w:r>
          </w:p>
        </w:tc>
        <w:tc>
          <w:tcPr>
            <w:tcW w:w="1474" w:type="dxa"/>
            <w:tcMar>
              <w:top w:w="100" w:type="dxa"/>
              <w:left w:w="100" w:type="dxa"/>
              <w:bottom w:w="100" w:type="dxa"/>
              <w:right w:w="100" w:type="dxa"/>
            </w:tcMar>
            <w:vAlign w:val="center"/>
          </w:tcPr>
          <w:p w14:paraId="100FC345"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47C2DC72" w14:textId="6E350CC0"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توضيح سبب مناسبة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لجمع آراء الخبراء دون جمع بيانات أمنية حساسة.</w:t>
            </w:r>
          </w:p>
        </w:tc>
        <w:tc>
          <w:tcPr>
            <w:tcW w:w="1134" w:type="dxa"/>
            <w:tcMar>
              <w:top w:w="100" w:type="dxa"/>
              <w:left w:w="100" w:type="dxa"/>
              <w:bottom w:w="100" w:type="dxa"/>
              <w:right w:w="100" w:type="dxa"/>
            </w:tcMar>
            <w:vAlign w:val="center"/>
          </w:tcPr>
          <w:p w14:paraId="198FEBF7"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5B542916" w14:textId="5A65B10D"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هيكل الأداة يذكر محاور عامة فقط ولا يحدد توزيع الفقرات أو الأبعاد الفرعية.</w:t>
            </w:r>
          </w:p>
        </w:tc>
        <w:tc>
          <w:tcPr>
            <w:tcW w:w="1474" w:type="dxa"/>
            <w:tcMar>
              <w:top w:w="100" w:type="dxa"/>
              <w:left w:w="100" w:type="dxa"/>
              <w:bottom w:w="100" w:type="dxa"/>
              <w:right w:w="100" w:type="dxa"/>
            </w:tcMar>
            <w:vAlign w:val="center"/>
          </w:tcPr>
          <w:p w14:paraId="44CFF451"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78DCA409" w14:textId="5174C6F1"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جدول تفصيلي لكل محور: البُعد، عدد البنود، مصدر البنود، والهدف.</w:t>
            </w:r>
          </w:p>
        </w:tc>
        <w:tc>
          <w:tcPr>
            <w:tcW w:w="1134" w:type="dxa"/>
            <w:tcMar>
              <w:top w:w="100" w:type="dxa"/>
              <w:left w:w="100" w:type="dxa"/>
              <w:bottom w:w="100" w:type="dxa"/>
              <w:right w:w="100" w:type="dxa"/>
            </w:tcMar>
            <w:vAlign w:val="center"/>
          </w:tcPr>
          <w:p w14:paraId="438DDA97"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F5BDDC2" w14:textId="5F939E53"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مقياس ليكرت الخماسي مذكور، لكن لا توجد حدود تفسير المتوسطات أو اتجاه الترميز.</w:t>
            </w:r>
          </w:p>
        </w:tc>
        <w:tc>
          <w:tcPr>
            <w:tcW w:w="1474" w:type="dxa"/>
            <w:tcMar>
              <w:top w:w="100" w:type="dxa"/>
              <w:left w:w="100" w:type="dxa"/>
              <w:bottom w:w="100" w:type="dxa"/>
              <w:right w:w="100" w:type="dxa"/>
            </w:tcMar>
            <w:vAlign w:val="center"/>
          </w:tcPr>
          <w:p w14:paraId="055AA4F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0177A50D" w14:textId="274D096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الترميز من 1 إلى 5 ومعيار تفسير المتوسطات إن استخدم.</w:t>
            </w:r>
          </w:p>
        </w:tc>
        <w:tc>
          <w:tcPr>
            <w:tcW w:w="1134" w:type="dxa"/>
            <w:tcMar>
              <w:top w:w="100" w:type="dxa"/>
              <w:left w:w="100" w:type="dxa"/>
              <w:bottom w:w="100" w:type="dxa"/>
              <w:right w:w="100" w:type="dxa"/>
            </w:tcMar>
            <w:vAlign w:val="center"/>
          </w:tcPr>
          <w:p w14:paraId="660386DD"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5823879B" w14:textId="6DC89ED7"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إجراءات جمع البيانات عامة ولا تحدد طريقة الوصول إلى الجهات الأمنية والتقنية أو مدة التوزيع أو الموافقات.</w:t>
            </w:r>
          </w:p>
        </w:tc>
        <w:tc>
          <w:tcPr>
            <w:tcW w:w="1474" w:type="dxa"/>
            <w:tcMar>
              <w:top w:w="100" w:type="dxa"/>
              <w:left w:w="100" w:type="dxa"/>
              <w:bottom w:w="100" w:type="dxa"/>
              <w:right w:w="100" w:type="dxa"/>
            </w:tcMar>
            <w:vAlign w:val="center"/>
          </w:tcPr>
          <w:p w14:paraId="7AEC3882"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5340BBE7" w14:textId="199C286B"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خطة ميدانية للتوزيع، الموافقات، المتابعة، ومعايير قبول الاستجابة.</w:t>
            </w:r>
          </w:p>
        </w:tc>
        <w:tc>
          <w:tcPr>
            <w:tcW w:w="1134" w:type="dxa"/>
            <w:tcMar>
              <w:top w:w="100" w:type="dxa"/>
              <w:left w:w="100" w:type="dxa"/>
              <w:bottom w:w="100" w:type="dxa"/>
              <w:right w:w="100" w:type="dxa"/>
            </w:tcMar>
            <w:vAlign w:val="center"/>
          </w:tcPr>
          <w:p w14:paraId="75755D50"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041653D8" w14:textId="17ECF1C1"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تم ذكر بيانات ثانوية من الأدبيات والتقارير، لكن مصادرها وحدود استخدامها غير محددة.</w:t>
            </w:r>
          </w:p>
        </w:tc>
        <w:tc>
          <w:tcPr>
            <w:tcW w:w="1474" w:type="dxa"/>
            <w:tcMar>
              <w:top w:w="100" w:type="dxa"/>
              <w:left w:w="100" w:type="dxa"/>
              <w:bottom w:w="100" w:type="dxa"/>
              <w:right w:w="100" w:type="dxa"/>
            </w:tcMar>
            <w:vAlign w:val="center"/>
          </w:tcPr>
          <w:p w14:paraId="4A09A065"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تنظيم</w:t>
            </w:r>
          </w:p>
        </w:tc>
        <w:tc>
          <w:tcPr>
            <w:tcW w:w="3288" w:type="dxa"/>
            <w:tcMar>
              <w:top w:w="100" w:type="dxa"/>
              <w:left w:w="100" w:type="dxa"/>
              <w:bottom w:w="100" w:type="dxa"/>
              <w:right w:w="100" w:type="dxa"/>
            </w:tcMar>
            <w:vAlign w:val="center"/>
          </w:tcPr>
          <w:p w14:paraId="6E5B1DBA" w14:textId="775367F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التقارير الرسمية والأدبيات التي ستستخدم لدعم الخلفية لا لاختبار الفرضيات.</w:t>
            </w:r>
          </w:p>
        </w:tc>
        <w:tc>
          <w:tcPr>
            <w:tcW w:w="1134" w:type="dxa"/>
            <w:tcMar>
              <w:top w:w="100" w:type="dxa"/>
              <w:left w:w="100" w:type="dxa"/>
              <w:bottom w:w="100" w:type="dxa"/>
              <w:right w:w="100" w:type="dxa"/>
            </w:tcMar>
            <w:vAlign w:val="center"/>
          </w:tcPr>
          <w:p w14:paraId="38905D02"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3CCB9B6A" w14:textId="1598ED36"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1D02BC"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2FED125"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4AA532F"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545E446"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مجتمع البحث محدد وصفياً لكنه غير محدد رقمياً؛ لا يوجد حجم مجتمع واضح يمكن على أساسه حساب العينة.</w:t>
            </w:r>
          </w:p>
        </w:tc>
        <w:tc>
          <w:tcPr>
            <w:tcW w:w="1474" w:type="dxa"/>
            <w:tcMar>
              <w:top w:w="100" w:type="dxa"/>
              <w:left w:w="100" w:type="dxa"/>
              <w:bottom w:w="100" w:type="dxa"/>
              <w:right w:w="100" w:type="dxa"/>
            </w:tcMar>
            <w:vAlign w:val="center"/>
          </w:tcPr>
          <w:p w14:paraId="4C095764"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1D6A81A7" w14:textId="78034430"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الجهات والفئات وعدد أفراد المجتمع أو تقديره من مصدر رسمي.</w:t>
            </w:r>
          </w:p>
        </w:tc>
        <w:tc>
          <w:tcPr>
            <w:tcW w:w="1134" w:type="dxa"/>
            <w:tcMar>
              <w:top w:w="100" w:type="dxa"/>
              <w:left w:w="100" w:type="dxa"/>
              <w:bottom w:w="100" w:type="dxa"/>
              <w:right w:w="100" w:type="dxa"/>
            </w:tcMar>
            <w:vAlign w:val="center"/>
          </w:tcPr>
          <w:p w14:paraId="19FCB3D8"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6CDC14FB" w14:textId="222CFBD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يوجد تمييز كافٍ بين الفئات العامة مثل مسؤولي الأمن والمهندسين والمختصين وبين المجتمع المستهدف الفعلي.</w:t>
            </w:r>
          </w:p>
        </w:tc>
        <w:tc>
          <w:tcPr>
            <w:tcW w:w="1474" w:type="dxa"/>
            <w:tcMar>
              <w:top w:w="100" w:type="dxa"/>
              <w:left w:w="100" w:type="dxa"/>
              <w:bottom w:w="100" w:type="dxa"/>
              <w:right w:w="100" w:type="dxa"/>
            </w:tcMar>
            <w:vAlign w:val="center"/>
          </w:tcPr>
          <w:p w14:paraId="5C572793"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169615C3" w14:textId="508B5611"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معايير الإدراج: الخبرة، العلاقة بنظم المراقبة، الموقع، والجهة.</w:t>
            </w:r>
          </w:p>
        </w:tc>
        <w:tc>
          <w:tcPr>
            <w:tcW w:w="1134" w:type="dxa"/>
            <w:tcMar>
              <w:top w:w="100" w:type="dxa"/>
              <w:left w:w="100" w:type="dxa"/>
              <w:bottom w:w="100" w:type="dxa"/>
              <w:right w:w="100" w:type="dxa"/>
            </w:tcMar>
            <w:vAlign w:val="center"/>
          </w:tcPr>
          <w:p w14:paraId="16CD87C6"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304C172E" w14:textId="76F26B0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نوع العينة لم يُحسم: عشوائية بسيطة أو طبقية بحسب توافر القوائم. هذا لا يصلح كخطة نهائية.</w:t>
            </w:r>
          </w:p>
        </w:tc>
        <w:tc>
          <w:tcPr>
            <w:tcW w:w="1474" w:type="dxa"/>
            <w:tcMar>
              <w:top w:w="100" w:type="dxa"/>
              <w:left w:w="100" w:type="dxa"/>
              <w:bottom w:w="100" w:type="dxa"/>
              <w:right w:w="100" w:type="dxa"/>
            </w:tcMar>
            <w:vAlign w:val="center"/>
          </w:tcPr>
          <w:p w14:paraId="1DEDEDEB"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حسم</w:t>
            </w:r>
          </w:p>
        </w:tc>
        <w:tc>
          <w:tcPr>
            <w:tcW w:w="3288" w:type="dxa"/>
            <w:tcMar>
              <w:top w:w="100" w:type="dxa"/>
              <w:left w:w="100" w:type="dxa"/>
              <w:bottom w:w="100" w:type="dxa"/>
              <w:right w:w="100" w:type="dxa"/>
            </w:tcMar>
            <w:vAlign w:val="center"/>
          </w:tcPr>
          <w:p w14:paraId="4BCD19BA" w14:textId="7E6BE21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اختيار أسلوب واحد نهائي أو تقديم خطة بديلة واضحة وحدودها.</w:t>
            </w:r>
          </w:p>
        </w:tc>
        <w:tc>
          <w:tcPr>
            <w:tcW w:w="1134" w:type="dxa"/>
            <w:tcMar>
              <w:top w:w="100" w:type="dxa"/>
              <w:left w:w="100" w:type="dxa"/>
              <w:bottom w:w="100" w:type="dxa"/>
              <w:right w:w="100" w:type="dxa"/>
            </w:tcMar>
            <w:vAlign w:val="center"/>
          </w:tcPr>
          <w:p w14:paraId="1660C7BE"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E56699B" w14:textId="04F65B2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معادلة كريجسي ومورغان مذكورة، لكن لم يكتمل التطبيق لأن قيمة N وحجم العينة النهائي غير موجودين.</w:t>
            </w:r>
          </w:p>
        </w:tc>
        <w:tc>
          <w:tcPr>
            <w:tcW w:w="1474" w:type="dxa"/>
            <w:tcMar>
              <w:top w:w="100" w:type="dxa"/>
              <w:left w:w="100" w:type="dxa"/>
              <w:bottom w:w="100" w:type="dxa"/>
              <w:right w:w="100" w:type="dxa"/>
            </w:tcMar>
            <w:vAlign w:val="center"/>
          </w:tcPr>
          <w:p w14:paraId="7560E58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152B2C1" w14:textId="6FF95B2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إكمال حساب العينة وإظهار حجم العينة النهائي ومبرره.</w:t>
            </w:r>
          </w:p>
        </w:tc>
        <w:tc>
          <w:tcPr>
            <w:tcW w:w="1134" w:type="dxa"/>
            <w:tcMar>
              <w:top w:w="100" w:type="dxa"/>
              <w:left w:w="100" w:type="dxa"/>
              <w:bottom w:w="100" w:type="dxa"/>
              <w:right w:w="100" w:type="dxa"/>
            </w:tcMar>
            <w:vAlign w:val="center"/>
          </w:tcPr>
          <w:p w14:paraId="7CA064DC"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6AC96D18" w14:textId="1977AFC1"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توزيع العينة على الفئات المهنية غير محدد.</w:t>
            </w:r>
          </w:p>
        </w:tc>
        <w:tc>
          <w:tcPr>
            <w:tcW w:w="1474" w:type="dxa"/>
            <w:tcMar>
              <w:top w:w="100" w:type="dxa"/>
              <w:left w:w="100" w:type="dxa"/>
              <w:bottom w:w="100" w:type="dxa"/>
              <w:right w:w="100" w:type="dxa"/>
            </w:tcMar>
            <w:vAlign w:val="center"/>
          </w:tcPr>
          <w:p w14:paraId="476CBC3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17DAED3" w14:textId="31188DCB"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جدول توزيع حسب الفئات: أمن، مراكز تحكم، مهندسون، مدن ذكية، أمن سيبراني.</w:t>
            </w:r>
          </w:p>
        </w:tc>
        <w:tc>
          <w:tcPr>
            <w:tcW w:w="1134" w:type="dxa"/>
            <w:tcMar>
              <w:top w:w="100" w:type="dxa"/>
              <w:left w:w="100" w:type="dxa"/>
              <w:bottom w:w="100" w:type="dxa"/>
              <w:right w:w="100" w:type="dxa"/>
            </w:tcMar>
            <w:vAlign w:val="center"/>
          </w:tcPr>
          <w:p w14:paraId="3DA89F82"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توجد معايير واضحة للاستجابات غير المكتملة أو غير المنطقية.</w:t>
            </w:r>
          </w:p>
        </w:tc>
        <w:tc>
          <w:tcPr>
            <w:tcW w:w="1474" w:type="dxa"/>
            <w:tcMar>
              <w:top w:w="100" w:type="dxa"/>
              <w:left w:w="100" w:type="dxa"/>
              <w:bottom w:w="100" w:type="dxa"/>
              <w:right w:w="100" w:type="dxa"/>
            </w:tcMar>
            <w:vAlign w:val="center"/>
          </w:tcPr>
          <w:p w14:paraId="5A69C270"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26553388" w14:textId="4245D706"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قواعد الاستبعاد ومعالجة القيم المفقودة.</w:t>
            </w:r>
          </w:p>
        </w:tc>
        <w:tc>
          <w:tcPr>
            <w:tcW w:w="1134" w:type="dxa"/>
            <w:tcMar>
              <w:top w:w="100" w:type="dxa"/>
              <w:left w:w="100" w:type="dxa"/>
              <w:bottom w:w="100" w:type="dxa"/>
              <w:right w:w="100" w:type="dxa"/>
            </w:tcMar>
            <w:vAlign w:val="center"/>
          </w:tcPr>
          <w:p w14:paraId="2DA6B103"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766D0C" w:rsidRDefault="00047CBC" w:rsidP="00766D0C">
            <w:pPr>
              <w:bidi/>
              <w:jc w:val="both"/>
              <w:rPr>
                <w:rFonts w:ascii="Simplified Arabic" w:hAnsi="Simplified Arabic" w:cs="Simplified Arabic"/>
                <w:b/>
                <w:bCs/>
                <w:sz w:val="20"/>
                <w:szCs w:val="20"/>
              </w:rPr>
            </w:pPr>
            <w:r w:rsidRPr="00766D0C">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8D3046" w14:textId="0B7EF07D" w:rsidR="00047CBC" w:rsidRPr="00766D0C" w:rsidRDefault="00047CBC" w:rsidP="00766D0C">
            <w:pPr>
              <w:bidi/>
              <w:jc w:val="both"/>
              <w:rPr>
                <w:rFonts w:ascii="Simplified Arabic" w:hAnsi="Simplified Arabic" w:cs="Simplified Arabic"/>
                <w:b/>
                <w:bCs/>
                <w:sz w:val="20"/>
                <w:szCs w:val="20"/>
              </w:rPr>
            </w:pPr>
            <w:r w:rsidRPr="00766D0C">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قابلية التعميم مشروطة جداً؛ إذا تعذر الإطار العشوائي فستكون النتائج محدودة على المشاركين المستهدفين.</w:t>
            </w:r>
          </w:p>
        </w:tc>
        <w:tc>
          <w:tcPr>
            <w:tcW w:w="1474" w:type="dxa"/>
            <w:tcMar>
              <w:top w:w="100" w:type="dxa"/>
              <w:left w:w="100" w:type="dxa"/>
              <w:bottom w:w="100" w:type="dxa"/>
              <w:right w:w="100" w:type="dxa"/>
            </w:tcMar>
            <w:vAlign w:val="center"/>
          </w:tcPr>
          <w:p w14:paraId="7F9C5ABC"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2C51DD14" w14:textId="78D59ABD"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حدود تعميم واضحة وفق نوع العينة النهائي.</w:t>
            </w:r>
          </w:p>
        </w:tc>
        <w:tc>
          <w:tcPr>
            <w:tcW w:w="1134" w:type="dxa"/>
            <w:tcMar>
              <w:top w:w="100" w:type="dxa"/>
              <w:left w:w="100" w:type="dxa"/>
              <w:bottom w:w="100" w:type="dxa"/>
              <w:right w:w="100" w:type="dxa"/>
            </w:tcMar>
            <w:vAlign w:val="center"/>
          </w:tcPr>
          <w:p w14:paraId="5B9B08A1"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51C07930" w14:textId="687A1F74"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A8F7FCF"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E27185D"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CDEA4D7"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466AC17"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A662EF" w:rsidRPr="00766D0C"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3EF773BB"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خطة التحليل العامة مناسبة للدراسة الكمية وتشمل الوصفي، الثبات، الارتباط، والانحدار.</w:t>
            </w:r>
          </w:p>
        </w:tc>
        <w:tc>
          <w:tcPr>
            <w:tcW w:w="1474" w:type="dxa"/>
            <w:tcMar>
              <w:top w:w="100" w:type="dxa"/>
              <w:left w:w="100" w:type="dxa"/>
              <w:bottom w:w="100" w:type="dxa"/>
              <w:right w:w="100" w:type="dxa"/>
            </w:tcMar>
            <w:vAlign w:val="center"/>
          </w:tcPr>
          <w:p w14:paraId="7473AC73"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مقبول</w:t>
            </w:r>
          </w:p>
        </w:tc>
        <w:tc>
          <w:tcPr>
            <w:tcW w:w="3288" w:type="dxa"/>
            <w:tcMar>
              <w:top w:w="100" w:type="dxa"/>
              <w:left w:w="100" w:type="dxa"/>
              <w:bottom w:w="100" w:type="dxa"/>
              <w:right w:w="100" w:type="dxa"/>
            </w:tcMar>
            <w:vAlign w:val="center"/>
          </w:tcPr>
          <w:p w14:paraId="14AB9C1C" w14:textId="1FDC905A"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ربط كل اختبار بسؤال أو فرضية محددة.</w:t>
            </w:r>
          </w:p>
        </w:tc>
        <w:tc>
          <w:tcPr>
            <w:tcW w:w="1134" w:type="dxa"/>
            <w:tcMar>
              <w:top w:w="100" w:type="dxa"/>
              <w:left w:w="100" w:type="dxa"/>
              <w:bottom w:w="100" w:type="dxa"/>
              <w:right w:w="100" w:type="dxa"/>
            </w:tcMar>
            <w:vAlign w:val="center"/>
          </w:tcPr>
          <w:p w14:paraId="16909A0B"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7DFEDA8C"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البرنامج الإحصائي غير محسوم بين SPSS وSmartPLS؛ لكل منهما متطلبات مختلفة.</w:t>
            </w:r>
          </w:p>
        </w:tc>
        <w:tc>
          <w:tcPr>
            <w:tcW w:w="1474" w:type="dxa"/>
            <w:tcMar>
              <w:top w:w="100" w:type="dxa"/>
              <w:left w:w="100" w:type="dxa"/>
              <w:bottom w:w="100" w:type="dxa"/>
              <w:right w:w="100" w:type="dxa"/>
            </w:tcMar>
            <w:vAlign w:val="center"/>
          </w:tcPr>
          <w:p w14:paraId="3DB9F948"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حسم</w:t>
            </w:r>
          </w:p>
        </w:tc>
        <w:tc>
          <w:tcPr>
            <w:tcW w:w="3288" w:type="dxa"/>
            <w:tcMar>
              <w:top w:w="100" w:type="dxa"/>
              <w:left w:w="100" w:type="dxa"/>
              <w:bottom w:w="100" w:type="dxa"/>
              <w:right w:w="100" w:type="dxa"/>
            </w:tcMar>
            <w:vAlign w:val="center"/>
          </w:tcPr>
          <w:p w14:paraId="229D12A1" w14:textId="245BA551"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اختيار SPSS للانحدار أو SmartPLS للنمذجة، وتعديل خطة التحليل وفق الخيار.</w:t>
            </w:r>
          </w:p>
        </w:tc>
        <w:tc>
          <w:tcPr>
            <w:tcW w:w="1134" w:type="dxa"/>
            <w:tcMar>
              <w:top w:w="100" w:type="dxa"/>
              <w:left w:w="100" w:type="dxa"/>
              <w:bottom w:w="100" w:type="dxa"/>
              <w:right w:w="100" w:type="dxa"/>
            </w:tcMar>
            <w:vAlign w:val="center"/>
          </w:tcPr>
          <w:p w14:paraId="7EE06B4C"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lastRenderedPageBreak/>
              <w:t>الإحصاء الوصفي</w:t>
            </w:r>
          </w:p>
        </w:tc>
        <w:tc>
          <w:tcPr>
            <w:tcW w:w="3005" w:type="dxa"/>
            <w:tcMar>
              <w:top w:w="100" w:type="dxa"/>
              <w:left w:w="100" w:type="dxa"/>
              <w:bottom w:w="100" w:type="dxa"/>
              <w:right w:w="100" w:type="dxa"/>
            </w:tcMar>
            <w:vAlign w:val="center"/>
          </w:tcPr>
          <w:p w14:paraId="6B9CCD84"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الإحصاء الوصفي مناسب، لكنه يحتاج إلى تحديد طريقة وصف العينة والمتغيرات.</w:t>
            </w:r>
          </w:p>
        </w:tc>
        <w:tc>
          <w:tcPr>
            <w:tcW w:w="1474" w:type="dxa"/>
            <w:tcMar>
              <w:top w:w="100" w:type="dxa"/>
              <w:left w:w="100" w:type="dxa"/>
              <w:bottom w:w="100" w:type="dxa"/>
              <w:right w:w="100" w:type="dxa"/>
            </w:tcMar>
            <w:vAlign w:val="center"/>
          </w:tcPr>
          <w:p w14:paraId="07835452"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مقبول</w:t>
            </w:r>
          </w:p>
        </w:tc>
        <w:tc>
          <w:tcPr>
            <w:tcW w:w="3288" w:type="dxa"/>
            <w:tcMar>
              <w:top w:w="100" w:type="dxa"/>
              <w:left w:w="100" w:type="dxa"/>
              <w:bottom w:w="100" w:type="dxa"/>
              <w:right w:w="100" w:type="dxa"/>
            </w:tcMar>
            <w:vAlign w:val="center"/>
          </w:tcPr>
          <w:p w14:paraId="54467D5E" w14:textId="775F054E"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معايير تفسير المتوسطات والانحرافات.</w:t>
            </w:r>
          </w:p>
        </w:tc>
        <w:tc>
          <w:tcPr>
            <w:tcW w:w="1134" w:type="dxa"/>
            <w:tcMar>
              <w:top w:w="100" w:type="dxa"/>
              <w:left w:w="100" w:type="dxa"/>
              <w:bottom w:w="100" w:type="dxa"/>
              <w:right w:w="100" w:type="dxa"/>
            </w:tcMar>
            <w:vAlign w:val="center"/>
          </w:tcPr>
          <w:p w14:paraId="2F44661A"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1DBA7407"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الانحدار المتعدد مناسب لاختبار أثر المتغيرات الثلاثة، لكن يجب تحديد الفرضية الرئيسة والفرعية بوضوح.</w:t>
            </w:r>
          </w:p>
        </w:tc>
        <w:tc>
          <w:tcPr>
            <w:tcW w:w="1474" w:type="dxa"/>
            <w:tcMar>
              <w:top w:w="100" w:type="dxa"/>
              <w:left w:w="100" w:type="dxa"/>
              <w:bottom w:w="100" w:type="dxa"/>
              <w:right w:w="100" w:type="dxa"/>
            </w:tcMar>
            <w:vAlign w:val="center"/>
          </w:tcPr>
          <w:p w14:paraId="07D9DFDC"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4C6DA3FB" w14:textId="36FE6E78"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إضافة جدول </w:t>
            </w:r>
            <w:proofErr w:type="gramStart"/>
            <w:r w:rsidRPr="00766D0C">
              <w:rPr>
                <w:rFonts w:ascii="Simplified Arabic" w:hAnsi="Simplified Arabic" w:cs="Simplified Arabic"/>
                <w:sz w:val="20"/>
                <w:szCs w:val="20"/>
                <w:rtl/>
              </w:rPr>
              <w:t>الفرضيات</w:t>
            </w:r>
            <w:proofErr w:type="gramEnd"/>
            <w:r w:rsidRPr="00766D0C">
              <w:rPr>
                <w:rFonts w:ascii="Simplified Arabic" w:hAnsi="Simplified Arabic" w:cs="Simplified Arabic"/>
                <w:sz w:val="20"/>
                <w:szCs w:val="20"/>
                <w:rtl/>
              </w:rPr>
              <w:t xml:space="preserve"> والمتغير المستقل والتابع واختبارها.</w:t>
            </w:r>
          </w:p>
        </w:tc>
        <w:tc>
          <w:tcPr>
            <w:tcW w:w="1134" w:type="dxa"/>
            <w:tcMar>
              <w:top w:w="100" w:type="dxa"/>
              <w:left w:w="100" w:type="dxa"/>
              <w:bottom w:w="100" w:type="dxa"/>
              <w:right w:w="100" w:type="dxa"/>
            </w:tcMar>
            <w:vAlign w:val="center"/>
          </w:tcPr>
          <w:p w14:paraId="2538C2B4"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شروط التحليل</w:t>
            </w:r>
          </w:p>
        </w:tc>
        <w:tc>
          <w:tcPr>
            <w:tcW w:w="3005" w:type="dxa"/>
            <w:tcMar>
              <w:top w:w="100" w:type="dxa"/>
              <w:left w:w="100" w:type="dxa"/>
              <w:bottom w:w="100" w:type="dxa"/>
              <w:right w:w="100" w:type="dxa"/>
            </w:tcMar>
            <w:vAlign w:val="center"/>
          </w:tcPr>
          <w:p w14:paraId="1D75C9AF"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لم تُذكر اختبارات الافتراضات المهمة مثل التوزيع الطبيعي، التعدد الخطي، استقلالية الأخطاء، والقيم المتطرفة.</w:t>
            </w:r>
          </w:p>
        </w:tc>
        <w:tc>
          <w:tcPr>
            <w:tcW w:w="1474" w:type="dxa"/>
            <w:tcMar>
              <w:top w:w="100" w:type="dxa"/>
              <w:left w:w="100" w:type="dxa"/>
              <w:bottom w:w="100" w:type="dxa"/>
              <w:right w:w="100" w:type="dxa"/>
            </w:tcMar>
            <w:vAlign w:val="center"/>
          </w:tcPr>
          <w:p w14:paraId="4EF59ABD"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F3E1176" w14:textId="1EA4619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فحوص افتراضات الانحدار قبل اختبار الفرضيات.</w:t>
            </w:r>
          </w:p>
        </w:tc>
        <w:tc>
          <w:tcPr>
            <w:tcW w:w="1134" w:type="dxa"/>
            <w:tcMar>
              <w:top w:w="100" w:type="dxa"/>
              <w:left w:w="100" w:type="dxa"/>
              <w:bottom w:w="100" w:type="dxa"/>
              <w:right w:w="100" w:type="dxa"/>
            </w:tcMar>
            <w:vAlign w:val="center"/>
          </w:tcPr>
          <w:p w14:paraId="4B30BCAD"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4EFE52FE"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يوجد تحليل متقدم مطلوب حالياً إلا إذا اعتمدت الدراسة SmartPLS أو نموذج أبعاد كامنة.</w:t>
            </w:r>
          </w:p>
        </w:tc>
        <w:tc>
          <w:tcPr>
            <w:tcW w:w="1474" w:type="dxa"/>
            <w:tcMar>
              <w:top w:w="100" w:type="dxa"/>
              <w:left w:w="100" w:type="dxa"/>
              <w:bottom w:w="100" w:type="dxa"/>
              <w:right w:w="100" w:type="dxa"/>
            </w:tcMar>
            <w:vAlign w:val="center"/>
          </w:tcPr>
          <w:p w14:paraId="021447BF"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محدد</w:t>
            </w:r>
          </w:p>
        </w:tc>
        <w:tc>
          <w:tcPr>
            <w:tcW w:w="3288" w:type="dxa"/>
            <w:tcMar>
              <w:top w:w="100" w:type="dxa"/>
              <w:left w:w="100" w:type="dxa"/>
              <w:bottom w:w="100" w:type="dxa"/>
              <w:right w:w="100" w:type="dxa"/>
            </w:tcMar>
            <w:vAlign w:val="center"/>
          </w:tcPr>
          <w:p w14:paraId="5F110F2D" w14:textId="224D85DC"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تجنب ذكر SmartPLS ما لم يتم تبني SEM وبيان معايير الصدق البنائي.</w:t>
            </w:r>
          </w:p>
        </w:tc>
        <w:tc>
          <w:tcPr>
            <w:tcW w:w="1134" w:type="dxa"/>
            <w:tcMar>
              <w:top w:w="100" w:type="dxa"/>
              <w:left w:w="100" w:type="dxa"/>
              <w:bottom w:w="100" w:type="dxa"/>
              <w:right w:w="100" w:type="dxa"/>
            </w:tcMar>
            <w:vAlign w:val="center"/>
          </w:tcPr>
          <w:p w14:paraId="2C80124F" w14:textId="77777777" w:rsidR="00A662EF" w:rsidRPr="00766D0C" w:rsidRDefault="00A662EF" w:rsidP="00766D0C">
            <w:pPr>
              <w:bidi/>
              <w:jc w:val="both"/>
              <w:rPr>
                <w:rFonts w:ascii="Simplified Arabic" w:hAnsi="Simplified Arabic" w:cs="Simplified Arabic"/>
                <w:color w:val="000000" w:themeColor="text1"/>
                <w:sz w:val="20"/>
                <w:szCs w:val="20"/>
              </w:rPr>
            </w:pPr>
          </w:p>
        </w:tc>
      </w:tr>
      <w:tr w:rsidR="00A662EF" w:rsidRPr="00766D0C"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2DBDB33C" w14:textId="77777777" w:rsidR="00A662EF" w:rsidRPr="00766D0C" w:rsidRDefault="00000000"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توجد نتائج فعلية معروضة، وهذا مناسب للفصل الثالث.</w:t>
            </w:r>
          </w:p>
        </w:tc>
        <w:tc>
          <w:tcPr>
            <w:tcW w:w="1474" w:type="dxa"/>
            <w:tcMar>
              <w:top w:w="100" w:type="dxa"/>
              <w:left w:w="100" w:type="dxa"/>
              <w:bottom w:w="100" w:type="dxa"/>
              <w:right w:w="100" w:type="dxa"/>
            </w:tcMar>
            <w:vAlign w:val="center"/>
          </w:tcPr>
          <w:p w14:paraId="3392AAD6" w14:textId="7777777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1CB0AAE3" w14:textId="272C465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الإبقاء على الفصل كخطة منهجية فقط.</w:t>
            </w:r>
          </w:p>
        </w:tc>
        <w:tc>
          <w:tcPr>
            <w:tcW w:w="1134" w:type="dxa"/>
            <w:tcMar>
              <w:top w:w="100" w:type="dxa"/>
              <w:left w:w="100" w:type="dxa"/>
              <w:bottom w:w="100" w:type="dxa"/>
              <w:right w:w="100" w:type="dxa"/>
            </w:tcMar>
            <w:vAlign w:val="center"/>
          </w:tcPr>
          <w:p w14:paraId="40988375" w14:textId="77777777" w:rsidR="00A662EF" w:rsidRPr="00766D0C" w:rsidRDefault="00A662EF" w:rsidP="00766D0C">
            <w:pPr>
              <w:bidi/>
              <w:jc w:val="both"/>
              <w:rPr>
                <w:rFonts w:ascii="Simplified Arabic" w:hAnsi="Simplified Arabic" w:cs="Simplified Arabic"/>
                <w:color w:val="000000" w:themeColor="text1"/>
                <w:sz w:val="20"/>
                <w:szCs w:val="20"/>
              </w:rPr>
            </w:pPr>
          </w:p>
        </w:tc>
      </w:tr>
    </w:tbl>
    <w:p w14:paraId="28EAAF0F" w14:textId="09E97068"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19B063D"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34B1465"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25A566A"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EB1CD50"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9D2E007" w14:textId="5127077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الصدق الظاهري وصدق المحتوى مذكوران، لكن لا توجد تفاصيل عن عدد المحكمين وتخصصاتهم ومعيار قبول الفقرات.</w:t>
            </w:r>
          </w:p>
        </w:tc>
        <w:tc>
          <w:tcPr>
            <w:tcW w:w="1474" w:type="dxa"/>
            <w:tcMar>
              <w:top w:w="100" w:type="dxa"/>
              <w:left w:w="100" w:type="dxa"/>
              <w:bottom w:w="100" w:type="dxa"/>
              <w:right w:w="100" w:type="dxa"/>
            </w:tcMar>
            <w:vAlign w:val="center"/>
          </w:tcPr>
          <w:p w14:paraId="0204F465"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13207347" w14:textId="74BCCA33"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جدول المحكمين ومعايير التحكيم.</w:t>
            </w:r>
          </w:p>
        </w:tc>
        <w:tc>
          <w:tcPr>
            <w:tcW w:w="1134" w:type="dxa"/>
            <w:tcMar>
              <w:top w:w="100" w:type="dxa"/>
              <w:left w:w="100" w:type="dxa"/>
              <w:bottom w:w="100" w:type="dxa"/>
              <w:right w:w="100" w:type="dxa"/>
            </w:tcMar>
            <w:vAlign w:val="center"/>
          </w:tcPr>
          <w:p w14:paraId="5EF32131"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0E82EF4B" w14:textId="751287AB"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صدق المحتوى يحتاج إلى مصفوفة تقيس تغطية أبعاد الذكاء </w:t>
            </w:r>
            <w:proofErr w:type="gramStart"/>
            <w:r w:rsidRPr="00766D0C">
              <w:rPr>
                <w:rFonts w:ascii="Simplified Arabic" w:hAnsi="Simplified Arabic" w:cs="Simplified Arabic"/>
                <w:sz w:val="20"/>
                <w:szCs w:val="20"/>
                <w:rtl/>
              </w:rPr>
              <w:t>الاصطناعي</w:t>
            </w:r>
            <w:proofErr w:type="gramEnd"/>
            <w:r w:rsidRPr="00766D0C">
              <w:rPr>
                <w:rFonts w:ascii="Simplified Arabic" w:hAnsi="Simplified Arabic" w:cs="Simplified Arabic"/>
                <w:sz w:val="20"/>
                <w:szCs w:val="20"/>
                <w:rtl/>
              </w:rPr>
              <w:t xml:space="preserve"> والبنية التحتية والموارد والأداء.</w:t>
            </w:r>
          </w:p>
        </w:tc>
        <w:tc>
          <w:tcPr>
            <w:tcW w:w="1474" w:type="dxa"/>
            <w:tcMar>
              <w:top w:w="100" w:type="dxa"/>
              <w:left w:w="100" w:type="dxa"/>
              <w:bottom w:w="100" w:type="dxa"/>
              <w:right w:w="100" w:type="dxa"/>
            </w:tcMar>
            <w:vAlign w:val="center"/>
          </w:tcPr>
          <w:p w14:paraId="61061E84"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42CD8F49" w14:textId="3DAB504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مصفوفة فقرات/أبعاد/مصادر.</w:t>
            </w:r>
          </w:p>
        </w:tc>
        <w:tc>
          <w:tcPr>
            <w:tcW w:w="1134" w:type="dxa"/>
            <w:tcMar>
              <w:top w:w="100" w:type="dxa"/>
              <w:left w:w="100" w:type="dxa"/>
              <w:bottom w:w="100" w:type="dxa"/>
              <w:right w:w="100" w:type="dxa"/>
            </w:tcMar>
            <w:vAlign w:val="center"/>
          </w:tcPr>
          <w:p w14:paraId="62FEBB7C"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5976F954" w14:textId="3B0E3C2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توجد خطة للصدق البنائي مثل التحليل العاملي إذا كانت الأداة متعددة الأبعاد.</w:t>
            </w:r>
          </w:p>
        </w:tc>
        <w:tc>
          <w:tcPr>
            <w:tcW w:w="1474" w:type="dxa"/>
            <w:tcMar>
              <w:top w:w="100" w:type="dxa"/>
              <w:left w:w="100" w:type="dxa"/>
              <w:bottom w:w="100" w:type="dxa"/>
              <w:right w:w="100" w:type="dxa"/>
            </w:tcMar>
            <w:vAlign w:val="center"/>
          </w:tcPr>
          <w:p w14:paraId="14CF2A64"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6A99EC42" w14:textId="2B483653"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EFA أو CFA/PLS عند الحاجة، أو تبرير الاكتفاء بالاتساق الداخلي.</w:t>
            </w:r>
          </w:p>
        </w:tc>
        <w:tc>
          <w:tcPr>
            <w:tcW w:w="1134" w:type="dxa"/>
            <w:tcMar>
              <w:top w:w="100" w:type="dxa"/>
              <w:left w:w="100" w:type="dxa"/>
              <w:bottom w:w="100" w:type="dxa"/>
              <w:right w:w="100" w:type="dxa"/>
            </w:tcMar>
            <w:vAlign w:val="center"/>
          </w:tcPr>
          <w:p w14:paraId="2E098714"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 xml:space="preserve">الصدق </w:t>
            </w:r>
            <w:proofErr w:type="spellStart"/>
            <w:r w:rsidRPr="00766D0C">
              <w:rPr>
                <w:rFonts w:ascii="Simplified Arabic" w:hAnsi="Simplified Arabic" w:cs="Simplified Arabic"/>
                <w:b/>
                <w:bCs/>
                <w:sz w:val="20"/>
                <w:szCs w:val="20"/>
                <w:rtl/>
              </w:rPr>
              <w:t>التقاربي</w:t>
            </w:r>
            <w:proofErr w:type="spellEnd"/>
            <w:r w:rsidRPr="00766D0C">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1E8E5893" w14:textId="39B9969D"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الصدق التقاربي والتمييزي غير مذكورين، ويعتمدان على البرنامج النهائي المستخدم.</w:t>
            </w:r>
          </w:p>
        </w:tc>
        <w:tc>
          <w:tcPr>
            <w:tcW w:w="1474" w:type="dxa"/>
            <w:tcMar>
              <w:top w:w="100" w:type="dxa"/>
              <w:left w:w="100" w:type="dxa"/>
              <w:bottom w:w="100" w:type="dxa"/>
              <w:right w:w="100" w:type="dxa"/>
            </w:tcMar>
            <w:vAlign w:val="center"/>
          </w:tcPr>
          <w:p w14:paraId="5D5979EE"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محدد</w:t>
            </w:r>
          </w:p>
        </w:tc>
        <w:tc>
          <w:tcPr>
            <w:tcW w:w="3288" w:type="dxa"/>
            <w:tcMar>
              <w:top w:w="100" w:type="dxa"/>
              <w:left w:w="100" w:type="dxa"/>
              <w:bottom w:w="100" w:type="dxa"/>
              <w:right w:w="100" w:type="dxa"/>
            </w:tcMar>
            <w:vAlign w:val="center"/>
          </w:tcPr>
          <w:p w14:paraId="4CA798FF" w14:textId="48F4168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إن اختير SmartPLS فلابد من AVE وCR وHTMT.</w:t>
            </w:r>
          </w:p>
        </w:tc>
        <w:tc>
          <w:tcPr>
            <w:tcW w:w="1134" w:type="dxa"/>
            <w:tcMar>
              <w:top w:w="100" w:type="dxa"/>
              <w:left w:w="100" w:type="dxa"/>
              <w:bottom w:w="100" w:type="dxa"/>
              <w:right w:w="100" w:type="dxa"/>
            </w:tcMar>
            <w:vAlign w:val="center"/>
          </w:tcPr>
          <w:p w14:paraId="54A539F0"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lastRenderedPageBreak/>
              <w:t>الثبات</w:t>
            </w:r>
          </w:p>
        </w:tc>
        <w:tc>
          <w:tcPr>
            <w:tcW w:w="3005" w:type="dxa"/>
            <w:tcMar>
              <w:top w:w="100" w:type="dxa"/>
              <w:left w:w="100" w:type="dxa"/>
              <w:bottom w:w="100" w:type="dxa"/>
              <w:right w:w="100" w:type="dxa"/>
            </w:tcMar>
            <w:vAlign w:val="center"/>
          </w:tcPr>
          <w:p w14:paraId="12C02EA6" w14:textId="32528F6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الثبات بألفا كرونباخ مذكور بحد 0.70، وهذا مناسب كبداية.</w:t>
            </w:r>
          </w:p>
        </w:tc>
        <w:tc>
          <w:tcPr>
            <w:tcW w:w="1474" w:type="dxa"/>
            <w:tcMar>
              <w:top w:w="100" w:type="dxa"/>
              <w:left w:w="100" w:type="dxa"/>
              <w:bottom w:w="100" w:type="dxa"/>
              <w:right w:w="100" w:type="dxa"/>
            </w:tcMar>
            <w:vAlign w:val="center"/>
          </w:tcPr>
          <w:p w14:paraId="7B06F21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54829E32" w14:textId="3373048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الثبات لكل بعد والأداة الكلية بعد الدراسة الاستطلاعية.</w:t>
            </w:r>
          </w:p>
        </w:tc>
        <w:tc>
          <w:tcPr>
            <w:tcW w:w="1134" w:type="dxa"/>
            <w:tcMar>
              <w:top w:w="100" w:type="dxa"/>
              <w:left w:w="100" w:type="dxa"/>
              <w:bottom w:w="100" w:type="dxa"/>
              <w:right w:w="100" w:type="dxa"/>
            </w:tcMar>
            <w:vAlign w:val="center"/>
          </w:tcPr>
          <w:p w14:paraId="31FBBA68"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050CAFE4" w14:textId="5398EF8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الدراسة التجريبية محددة بحجم 30-50 مشاركاً، وهذا جيد، لكن يجب توضيح عدم إدراجهم في العينة النهائية.</w:t>
            </w:r>
          </w:p>
        </w:tc>
        <w:tc>
          <w:tcPr>
            <w:tcW w:w="1474" w:type="dxa"/>
            <w:tcMar>
              <w:top w:w="100" w:type="dxa"/>
              <w:left w:w="100" w:type="dxa"/>
              <w:bottom w:w="100" w:type="dxa"/>
              <w:right w:w="100" w:type="dxa"/>
            </w:tcMar>
            <w:vAlign w:val="center"/>
          </w:tcPr>
          <w:p w14:paraId="55750C6C"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vAlign w:val="center"/>
          </w:tcPr>
          <w:p w14:paraId="066A5EEF" w14:textId="551DEC13"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خصائص عينة Pilot واستبعادها من التحليل النهائي.</w:t>
            </w:r>
          </w:p>
        </w:tc>
        <w:tc>
          <w:tcPr>
            <w:tcW w:w="1134" w:type="dxa"/>
            <w:tcMar>
              <w:top w:w="100" w:type="dxa"/>
              <w:left w:w="100" w:type="dxa"/>
              <w:bottom w:w="100" w:type="dxa"/>
              <w:right w:w="100" w:type="dxa"/>
            </w:tcMar>
            <w:vAlign w:val="center"/>
          </w:tcPr>
          <w:p w14:paraId="39C8A62E"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00367BF5" w14:textId="5ED53CF8"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توجد إشارة واضحة لإجراءات الترجمة أو مراجعة المصطلحات الإنجليزية التقنية.</w:t>
            </w:r>
          </w:p>
        </w:tc>
        <w:tc>
          <w:tcPr>
            <w:tcW w:w="1474" w:type="dxa"/>
            <w:tcMar>
              <w:top w:w="100" w:type="dxa"/>
              <w:left w:w="100" w:type="dxa"/>
              <w:bottom w:w="100" w:type="dxa"/>
              <w:right w:w="100" w:type="dxa"/>
            </w:tcMar>
            <w:vAlign w:val="center"/>
          </w:tcPr>
          <w:p w14:paraId="788FCA6F"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F55FFA8" w14:textId="474A9AE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مراجعة مصطلحات AI والأمن الذكي وترجمتها بدقة في الاستبانة.</w:t>
            </w:r>
          </w:p>
        </w:tc>
        <w:tc>
          <w:tcPr>
            <w:tcW w:w="1134" w:type="dxa"/>
            <w:tcMar>
              <w:top w:w="100" w:type="dxa"/>
              <w:left w:w="100" w:type="dxa"/>
              <w:bottom w:w="100" w:type="dxa"/>
              <w:right w:w="100" w:type="dxa"/>
            </w:tcMar>
            <w:vAlign w:val="center"/>
          </w:tcPr>
          <w:p w14:paraId="613DA945"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45824355" w14:textId="6DABFA9C"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D91E533"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112CDC9"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6D8664"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9C9732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44D49C8" w14:textId="3DDD73F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لا يوجد قسم أخلاقي مستقل، رغم أن الموضوع أمني وحساس.</w:t>
            </w:r>
          </w:p>
        </w:tc>
        <w:tc>
          <w:tcPr>
            <w:tcW w:w="1474" w:type="dxa"/>
            <w:tcMar>
              <w:top w:w="100" w:type="dxa"/>
              <w:left w:w="100" w:type="dxa"/>
              <w:bottom w:w="100" w:type="dxa"/>
              <w:right w:w="100" w:type="dxa"/>
            </w:tcMar>
            <w:vAlign w:val="center"/>
          </w:tcPr>
          <w:p w14:paraId="0D6D1DCB"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E1CA321" w14:textId="2448ED4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قسم واضح للاعتبارات الأخلاقية والموافقات الرسمية.</w:t>
            </w:r>
          </w:p>
        </w:tc>
        <w:tc>
          <w:tcPr>
            <w:tcW w:w="1134" w:type="dxa"/>
            <w:tcMar>
              <w:top w:w="100" w:type="dxa"/>
              <w:left w:w="100" w:type="dxa"/>
              <w:bottom w:w="100" w:type="dxa"/>
              <w:right w:w="100" w:type="dxa"/>
            </w:tcMar>
            <w:vAlign w:val="center"/>
          </w:tcPr>
          <w:p w14:paraId="1BAAED2D"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64F5F25" w14:textId="779BA70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سرية المعلومات ذُكرت بإيجاز، لكنها تحتاج إلى ضوابط قوية لمنع جمع أو كشف بيانات أمنية حساسة.</w:t>
            </w:r>
          </w:p>
        </w:tc>
        <w:tc>
          <w:tcPr>
            <w:tcW w:w="1474" w:type="dxa"/>
            <w:tcMar>
              <w:top w:w="100" w:type="dxa"/>
              <w:left w:w="100" w:type="dxa"/>
              <w:bottom w:w="100" w:type="dxa"/>
              <w:right w:w="100" w:type="dxa"/>
            </w:tcMar>
            <w:vAlign w:val="center"/>
          </w:tcPr>
          <w:p w14:paraId="1567BB50"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4789A24F" w14:textId="038B1071"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أن الدراسة تجمع آراء عامة لا بيانات تشغيلية سرية، وتخزين البيانات بشكل آمن.</w:t>
            </w:r>
          </w:p>
        </w:tc>
        <w:tc>
          <w:tcPr>
            <w:tcW w:w="1134" w:type="dxa"/>
            <w:tcMar>
              <w:top w:w="100" w:type="dxa"/>
              <w:left w:w="100" w:type="dxa"/>
              <w:bottom w:w="100" w:type="dxa"/>
              <w:right w:w="100" w:type="dxa"/>
            </w:tcMar>
            <w:vAlign w:val="center"/>
          </w:tcPr>
          <w:p w14:paraId="06249E06"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025F3505" w14:textId="0B6DA3F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 xml:space="preserve">هل توجد </w:t>
            </w:r>
            <w:proofErr w:type="gramStart"/>
            <w:r w:rsidRPr="00766D0C">
              <w:rPr>
                <w:rFonts w:ascii="Simplified Arabic" w:hAnsi="Simplified Arabic" w:cs="Simplified Arabic"/>
                <w:b/>
                <w:bCs/>
                <w:sz w:val="20"/>
                <w:szCs w:val="20"/>
                <w:rtl/>
              </w:rPr>
              <w:t>مخاطر</w:t>
            </w:r>
            <w:proofErr w:type="gramEnd"/>
            <w:r w:rsidRPr="00766D0C">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vAlign w:val="center"/>
          </w:tcPr>
          <w:p w14:paraId="1981AB4E" w14:textId="0233E63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يجب توضيح </w:t>
            </w:r>
            <w:proofErr w:type="gramStart"/>
            <w:r w:rsidRPr="00766D0C">
              <w:rPr>
                <w:rFonts w:ascii="Simplified Arabic" w:hAnsi="Simplified Arabic" w:cs="Simplified Arabic"/>
                <w:sz w:val="20"/>
                <w:szCs w:val="20"/>
                <w:rtl/>
              </w:rPr>
              <w:t>مخاطر</w:t>
            </w:r>
            <w:proofErr w:type="gramEnd"/>
            <w:r w:rsidRPr="00766D0C">
              <w:rPr>
                <w:rFonts w:ascii="Simplified Arabic" w:hAnsi="Simplified Arabic" w:cs="Simplified Arabic"/>
                <w:sz w:val="20"/>
                <w:szCs w:val="20"/>
                <w:rtl/>
              </w:rPr>
              <w:t xml:space="preserve"> المشاركة وحق </w:t>
            </w:r>
            <w:proofErr w:type="gramStart"/>
            <w:r w:rsidRPr="00766D0C">
              <w:rPr>
                <w:rFonts w:ascii="Simplified Arabic" w:hAnsi="Simplified Arabic" w:cs="Simplified Arabic"/>
                <w:sz w:val="20"/>
                <w:szCs w:val="20"/>
                <w:rtl/>
              </w:rPr>
              <w:t>الانسحاب</w:t>
            </w:r>
            <w:proofErr w:type="gramEnd"/>
            <w:r w:rsidRPr="00766D0C">
              <w:rPr>
                <w:rFonts w:ascii="Simplified Arabic" w:hAnsi="Simplified Arabic" w:cs="Simplified Arabic"/>
                <w:sz w:val="20"/>
                <w:szCs w:val="20"/>
                <w:rtl/>
              </w:rPr>
              <w:t xml:space="preserve"> وعدم وجود أثر وظيفي.</w:t>
            </w:r>
          </w:p>
        </w:tc>
        <w:tc>
          <w:tcPr>
            <w:tcW w:w="1474" w:type="dxa"/>
            <w:tcMar>
              <w:top w:w="100" w:type="dxa"/>
              <w:left w:w="100" w:type="dxa"/>
              <w:bottom w:w="100" w:type="dxa"/>
              <w:right w:w="100" w:type="dxa"/>
            </w:tcMar>
            <w:vAlign w:val="center"/>
          </w:tcPr>
          <w:p w14:paraId="1E958271"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8B9EEE2" w14:textId="3DE7D71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إضافة نص موافقة مستنيرة قبل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w:t>
            </w:r>
          </w:p>
        </w:tc>
        <w:tc>
          <w:tcPr>
            <w:tcW w:w="1134" w:type="dxa"/>
            <w:tcMar>
              <w:top w:w="100" w:type="dxa"/>
              <w:left w:w="100" w:type="dxa"/>
              <w:bottom w:w="100" w:type="dxa"/>
              <w:right w:w="100" w:type="dxa"/>
            </w:tcMar>
            <w:vAlign w:val="center"/>
          </w:tcPr>
          <w:p w14:paraId="400E3908"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3C19C764" w14:textId="326D728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الموافقات الرسمية من الجهات الأمنية/التقنية والجامعة ضرورية وغير محددة.</w:t>
            </w:r>
          </w:p>
        </w:tc>
        <w:tc>
          <w:tcPr>
            <w:tcW w:w="1474" w:type="dxa"/>
            <w:tcMar>
              <w:top w:w="100" w:type="dxa"/>
              <w:left w:w="100" w:type="dxa"/>
              <w:bottom w:w="100" w:type="dxa"/>
              <w:right w:w="100" w:type="dxa"/>
            </w:tcMar>
            <w:vAlign w:val="center"/>
          </w:tcPr>
          <w:p w14:paraId="486C912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0809BBD9" w14:textId="1C12FFA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مسار الحصول على الموافقات الرسمية قبل التوزيع.</w:t>
            </w:r>
          </w:p>
        </w:tc>
        <w:tc>
          <w:tcPr>
            <w:tcW w:w="1134" w:type="dxa"/>
            <w:tcMar>
              <w:top w:w="100" w:type="dxa"/>
              <w:left w:w="100" w:type="dxa"/>
              <w:bottom w:w="100" w:type="dxa"/>
              <w:right w:w="100" w:type="dxa"/>
            </w:tcMar>
            <w:vAlign w:val="center"/>
          </w:tcPr>
          <w:p w14:paraId="78782129"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E70785" w14:textId="5112BC02"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البيانات الحساسة يجب تجنبها تماماً، خاصة تفاصيل مواقع الكاميرات أو إجراءات المراقبة.</w:t>
            </w:r>
          </w:p>
        </w:tc>
        <w:tc>
          <w:tcPr>
            <w:tcW w:w="1474" w:type="dxa"/>
            <w:tcMar>
              <w:top w:w="100" w:type="dxa"/>
              <w:left w:w="100" w:type="dxa"/>
              <w:bottom w:w="100" w:type="dxa"/>
              <w:right w:w="100" w:type="dxa"/>
            </w:tcMar>
            <w:vAlign w:val="center"/>
          </w:tcPr>
          <w:p w14:paraId="3766EED0"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 الأهمية</w:t>
            </w:r>
          </w:p>
        </w:tc>
        <w:tc>
          <w:tcPr>
            <w:tcW w:w="3288" w:type="dxa"/>
            <w:tcMar>
              <w:top w:w="100" w:type="dxa"/>
              <w:left w:w="100" w:type="dxa"/>
              <w:bottom w:w="100" w:type="dxa"/>
              <w:right w:w="100" w:type="dxa"/>
            </w:tcMar>
            <w:vAlign w:val="center"/>
          </w:tcPr>
          <w:p w14:paraId="02E4824D" w14:textId="464A6E4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معيار استبعاد أي أسئلة تكشف معلومات أمنية أو تشغيلية حساسة.</w:t>
            </w:r>
          </w:p>
        </w:tc>
        <w:tc>
          <w:tcPr>
            <w:tcW w:w="1134" w:type="dxa"/>
            <w:tcMar>
              <w:top w:w="100" w:type="dxa"/>
              <w:left w:w="100" w:type="dxa"/>
              <w:bottom w:w="100" w:type="dxa"/>
              <w:right w:w="100" w:type="dxa"/>
            </w:tcMar>
            <w:vAlign w:val="center"/>
          </w:tcPr>
          <w:p w14:paraId="13676432"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00F61C13" w14:textId="77777777" w:rsidTr="00B64A20">
        <w:trPr>
          <w:cantSplit/>
          <w:jc w:val="center"/>
        </w:trPr>
        <w:tc>
          <w:tcPr>
            <w:tcW w:w="1927" w:type="dxa"/>
            <w:tcMar>
              <w:top w:w="100" w:type="dxa"/>
              <w:left w:w="100" w:type="dxa"/>
              <w:bottom w:w="100" w:type="dxa"/>
              <w:right w:w="100" w:type="dxa"/>
            </w:tcMar>
          </w:tcPr>
          <w:p w14:paraId="1E5E0646" w14:textId="23A46FA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8235D09" w14:textId="1E830AF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عرض النتائج يجب أن يكون مجمعاً حسب فئات عامة لا جهات أو وحدات محددة.</w:t>
            </w:r>
          </w:p>
        </w:tc>
        <w:tc>
          <w:tcPr>
            <w:tcW w:w="1474" w:type="dxa"/>
            <w:tcMar>
              <w:top w:w="100" w:type="dxa"/>
              <w:left w:w="100" w:type="dxa"/>
              <w:bottom w:w="100" w:type="dxa"/>
              <w:right w:w="100" w:type="dxa"/>
            </w:tcMar>
            <w:vAlign w:val="center"/>
          </w:tcPr>
          <w:p w14:paraId="7A9C3DE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6FFFF47" w14:textId="183D3126"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تعهد بعرض النتائج بشكل مجمع ومجهول الهوية.</w:t>
            </w:r>
          </w:p>
        </w:tc>
        <w:tc>
          <w:tcPr>
            <w:tcW w:w="1134" w:type="dxa"/>
            <w:tcMar>
              <w:top w:w="100" w:type="dxa"/>
              <w:left w:w="100" w:type="dxa"/>
              <w:bottom w:w="100" w:type="dxa"/>
              <w:right w:w="100" w:type="dxa"/>
            </w:tcMar>
            <w:vAlign w:val="center"/>
          </w:tcPr>
          <w:p w14:paraId="35F1311E"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187C5B60" w14:textId="3CC13C3B"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lastRenderedPageBreak/>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464E7B"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3DAD36"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2AB313"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124E487"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D5C42F7" w14:textId="5F9626C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توجد مراجع حديثة ذات صلة بالمدن الذكية والمراقبة الأمنية، وهذا جيد.</w:t>
            </w:r>
          </w:p>
        </w:tc>
        <w:tc>
          <w:tcPr>
            <w:tcW w:w="1474" w:type="dxa"/>
            <w:tcMar>
              <w:top w:w="100" w:type="dxa"/>
              <w:left w:w="100" w:type="dxa"/>
              <w:bottom w:w="100" w:type="dxa"/>
              <w:right w:w="100" w:type="dxa"/>
            </w:tcMar>
            <w:vAlign w:val="center"/>
          </w:tcPr>
          <w:p w14:paraId="595AA32E"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0532EEA9" w14:textId="6FAC497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مراجع منهجية تدعم العينة والأداة والتحليل.</w:t>
            </w:r>
          </w:p>
        </w:tc>
        <w:tc>
          <w:tcPr>
            <w:tcW w:w="1134" w:type="dxa"/>
            <w:tcMar>
              <w:top w:w="100" w:type="dxa"/>
              <w:left w:w="100" w:type="dxa"/>
              <w:bottom w:w="100" w:type="dxa"/>
              <w:right w:w="100" w:type="dxa"/>
            </w:tcMar>
            <w:vAlign w:val="center"/>
          </w:tcPr>
          <w:p w14:paraId="0DFA7FCC"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2E0D1BDD" w14:textId="4E19914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47F2C926" w14:textId="7FB378CC"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الاعتماد على ResearchGate كمصدر لمنهجية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ليس كافياً كمصدر منهجي رئيس.</w:t>
            </w:r>
          </w:p>
        </w:tc>
        <w:tc>
          <w:tcPr>
            <w:tcW w:w="1474" w:type="dxa"/>
            <w:tcMar>
              <w:top w:w="100" w:type="dxa"/>
              <w:left w:w="100" w:type="dxa"/>
              <w:bottom w:w="100" w:type="dxa"/>
              <w:right w:w="100" w:type="dxa"/>
            </w:tcMar>
            <w:vAlign w:val="center"/>
          </w:tcPr>
          <w:p w14:paraId="481B84CE"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استبدال</w:t>
            </w:r>
          </w:p>
        </w:tc>
        <w:tc>
          <w:tcPr>
            <w:tcW w:w="3288" w:type="dxa"/>
            <w:tcMar>
              <w:top w:w="100" w:type="dxa"/>
              <w:left w:w="100" w:type="dxa"/>
              <w:bottom w:w="100" w:type="dxa"/>
              <w:right w:w="100" w:type="dxa"/>
            </w:tcMar>
            <w:vAlign w:val="center"/>
          </w:tcPr>
          <w:p w14:paraId="62C2B00C" w14:textId="435A712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استخدام كتب أو مقالات منهجية محكمة بدلاً من المصادر العامة قدر الإمكان.</w:t>
            </w:r>
          </w:p>
        </w:tc>
        <w:tc>
          <w:tcPr>
            <w:tcW w:w="1134" w:type="dxa"/>
            <w:tcMar>
              <w:top w:w="100" w:type="dxa"/>
              <w:left w:w="100" w:type="dxa"/>
              <w:bottom w:w="100" w:type="dxa"/>
              <w:right w:w="100" w:type="dxa"/>
            </w:tcMar>
            <w:vAlign w:val="center"/>
          </w:tcPr>
          <w:p w14:paraId="61E894B3"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6322BE8A" w14:textId="6CA5937D"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التوثيق يحتاج إلى توحيد وربط كل مرجع بموضعه داخل النص.</w:t>
            </w:r>
          </w:p>
        </w:tc>
        <w:tc>
          <w:tcPr>
            <w:tcW w:w="1474" w:type="dxa"/>
            <w:tcMar>
              <w:top w:w="100" w:type="dxa"/>
              <w:left w:w="100" w:type="dxa"/>
              <w:bottom w:w="100" w:type="dxa"/>
              <w:right w:w="100" w:type="dxa"/>
            </w:tcMar>
            <w:vAlign w:val="center"/>
          </w:tcPr>
          <w:p w14:paraId="31A93C18"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44732023" w14:textId="232E1A9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تطبيق APA ومراجعة علامات الترقيم والروابط.</w:t>
            </w:r>
          </w:p>
        </w:tc>
        <w:tc>
          <w:tcPr>
            <w:tcW w:w="1134" w:type="dxa"/>
            <w:tcMar>
              <w:top w:w="100" w:type="dxa"/>
              <w:left w:w="100" w:type="dxa"/>
              <w:bottom w:w="100" w:type="dxa"/>
              <w:right w:w="100" w:type="dxa"/>
            </w:tcMar>
            <w:vAlign w:val="center"/>
          </w:tcPr>
          <w:p w14:paraId="0FA4BA21"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5EE05AA1" w14:textId="3C040AB4"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ينبغي مطابقة جميع الاستشهادات داخل النص مع قائمة المراجع.</w:t>
            </w:r>
          </w:p>
        </w:tc>
        <w:tc>
          <w:tcPr>
            <w:tcW w:w="1474" w:type="dxa"/>
            <w:tcMar>
              <w:top w:w="100" w:type="dxa"/>
              <w:left w:w="100" w:type="dxa"/>
              <w:bottom w:w="100" w:type="dxa"/>
              <w:right w:w="100" w:type="dxa"/>
            </w:tcMar>
            <w:vAlign w:val="center"/>
          </w:tcPr>
          <w:p w14:paraId="3F4A9580"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مراجعة</w:t>
            </w:r>
          </w:p>
        </w:tc>
        <w:tc>
          <w:tcPr>
            <w:tcW w:w="3288" w:type="dxa"/>
            <w:tcMar>
              <w:top w:w="100" w:type="dxa"/>
              <w:left w:w="100" w:type="dxa"/>
              <w:bottom w:w="100" w:type="dxa"/>
              <w:right w:w="100" w:type="dxa"/>
            </w:tcMar>
            <w:vAlign w:val="center"/>
          </w:tcPr>
          <w:p w14:paraId="2B56315C" w14:textId="3640D885"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التأكد من أن كل مصدر مذكور في المتن يظهر في القائمة والعكس.</w:t>
            </w:r>
          </w:p>
        </w:tc>
        <w:tc>
          <w:tcPr>
            <w:tcW w:w="1134" w:type="dxa"/>
            <w:tcMar>
              <w:top w:w="100" w:type="dxa"/>
              <w:left w:w="100" w:type="dxa"/>
              <w:bottom w:w="100" w:type="dxa"/>
              <w:right w:w="100" w:type="dxa"/>
            </w:tcMar>
            <w:vAlign w:val="center"/>
          </w:tcPr>
          <w:p w14:paraId="24B05271"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6FE81435" w14:textId="3DBAE4AA"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التقارير الرسمية الخاصة بمدينة الرياض أو الجهات المعنية غير ظاهرة بما يكفي.</w:t>
            </w:r>
          </w:p>
        </w:tc>
        <w:tc>
          <w:tcPr>
            <w:tcW w:w="1474" w:type="dxa"/>
            <w:tcMar>
              <w:top w:w="100" w:type="dxa"/>
              <w:left w:w="100" w:type="dxa"/>
              <w:bottom w:w="100" w:type="dxa"/>
              <w:right w:w="100" w:type="dxa"/>
            </w:tcMar>
            <w:vAlign w:val="center"/>
          </w:tcPr>
          <w:p w14:paraId="28B31258"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78D3912F" w14:textId="7166AEB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مصادر رسمية عند الحديث عن سياق الرياض وأنظمة المراقبة الذكية بعبارات عامة غير حساسة.</w:t>
            </w:r>
          </w:p>
        </w:tc>
        <w:tc>
          <w:tcPr>
            <w:tcW w:w="1134" w:type="dxa"/>
            <w:tcMar>
              <w:top w:w="100" w:type="dxa"/>
              <w:left w:w="100" w:type="dxa"/>
              <w:bottom w:w="100" w:type="dxa"/>
              <w:right w:w="100" w:type="dxa"/>
            </w:tcMar>
            <w:vAlign w:val="center"/>
          </w:tcPr>
          <w:p w14:paraId="6775A265"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35313BAC" w14:textId="02503828" w:rsidR="00A662EF" w:rsidRPr="00766D0C" w:rsidRDefault="000A310A"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66D0C"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1EA396C"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1A9CCFC"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A29B6D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7D582108"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رد الطالب</w:t>
            </w:r>
          </w:p>
        </w:tc>
      </w:tr>
      <w:tr w:rsidR="00047CBC" w:rsidRPr="00766D0C"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F1CD0BA" w14:textId="428780C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اللغة مفهومة لكن فيها طابع عام وتحتاج إلى مزيد من الدقة البحثية.</w:t>
            </w:r>
          </w:p>
        </w:tc>
        <w:tc>
          <w:tcPr>
            <w:tcW w:w="1474" w:type="dxa"/>
            <w:tcMar>
              <w:top w:w="100" w:type="dxa"/>
              <w:left w:w="100" w:type="dxa"/>
              <w:bottom w:w="100" w:type="dxa"/>
              <w:right w:w="100" w:type="dxa"/>
            </w:tcMar>
            <w:vAlign w:val="center"/>
          </w:tcPr>
          <w:p w14:paraId="2AA0AF62"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w:t>
            </w:r>
          </w:p>
        </w:tc>
        <w:tc>
          <w:tcPr>
            <w:tcW w:w="3288" w:type="dxa"/>
            <w:tcMar>
              <w:top w:w="100" w:type="dxa"/>
              <w:left w:w="100" w:type="dxa"/>
              <w:bottom w:w="100" w:type="dxa"/>
              <w:right w:w="100" w:type="dxa"/>
            </w:tcMar>
            <w:vAlign w:val="center"/>
          </w:tcPr>
          <w:p w14:paraId="71750B5B" w14:textId="45E32DF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تحويل العبارات العامة إلى إجراءات محددة بأرقام وخطوات.</w:t>
            </w:r>
          </w:p>
        </w:tc>
        <w:tc>
          <w:tcPr>
            <w:tcW w:w="1134" w:type="dxa"/>
            <w:tcMar>
              <w:top w:w="100" w:type="dxa"/>
              <w:left w:w="100" w:type="dxa"/>
              <w:bottom w:w="100" w:type="dxa"/>
              <w:right w:w="100" w:type="dxa"/>
            </w:tcMar>
            <w:vAlign w:val="center"/>
          </w:tcPr>
          <w:p w14:paraId="32418A36"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334F019A" w14:textId="57EBE9EB"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المصطلحات التقنية تحتاج إلى ضبط عربي/إنجليزي موحد.</w:t>
            </w:r>
          </w:p>
        </w:tc>
        <w:tc>
          <w:tcPr>
            <w:tcW w:w="1474" w:type="dxa"/>
            <w:tcMar>
              <w:top w:w="100" w:type="dxa"/>
              <w:left w:w="100" w:type="dxa"/>
              <w:bottom w:w="100" w:type="dxa"/>
              <w:right w:w="100" w:type="dxa"/>
            </w:tcMar>
            <w:vAlign w:val="center"/>
          </w:tcPr>
          <w:p w14:paraId="28DA2ACE"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توحيد</w:t>
            </w:r>
          </w:p>
        </w:tc>
        <w:tc>
          <w:tcPr>
            <w:tcW w:w="3288" w:type="dxa"/>
            <w:tcMar>
              <w:top w:w="100" w:type="dxa"/>
              <w:left w:w="100" w:type="dxa"/>
              <w:bottom w:w="100" w:type="dxa"/>
              <w:right w:w="100" w:type="dxa"/>
            </w:tcMar>
            <w:vAlign w:val="center"/>
          </w:tcPr>
          <w:p w14:paraId="54A8E518" w14:textId="12653A02"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إعداد قائمة مصطلحات مثل AI، Smart Surveillance، Smart Infrastructure.</w:t>
            </w:r>
          </w:p>
        </w:tc>
        <w:tc>
          <w:tcPr>
            <w:tcW w:w="1134" w:type="dxa"/>
            <w:tcMar>
              <w:top w:w="100" w:type="dxa"/>
              <w:left w:w="100" w:type="dxa"/>
              <w:bottom w:w="100" w:type="dxa"/>
              <w:right w:w="100" w:type="dxa"/>
            </w:tcMar>
            <w:vAlign w:val="center"/>
          </w:tcPr>
          <w:p w14:paraId="6E69B5C3"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2A55268A" w14:textId="749E8A1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1FB43801" w14:textId="219076FB"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الترقيم والعناوين يحتاجان إلى ضبط وفق بنية الفصل الثالث.</w:t>
            </w:r>
          </w:p>
        </w:tc>
        <w:tc>
          <w:tcPr>
            <w:tcW w:w="1474" w:type="dxa"/>
            <w:tcMar>
              <w:top w:w="100" w:type="dxa"/>
              <w:left w:w="100" w:type="dxa"/>
              <w:bottom w:w="100" w:type="dxa"/>
              <w:right w:w="100" w:type="dxa"/>
            </w:tcMar>
            <w:vAlign w:val="center"/>
          </w:tcPr>
          <w:p w14:paraId="5FD536DC"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11A66E1E" w14:textId="5341E239"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استخدام ترقيم 3.1، 3.2... وربط الفهرس به.</w:t>
            </w:r>
          </w:p>
        </w:tc>
        <w:tc>
          <w:tcPr>
            <w:tcW w:w="1134" w:type="dxa"/>
            <w:tcMar>
              <w:top w:w="100" w:type="dxa"/>
              <w:left w:w="100" w:type="dxa"/>
              <w:bottom w:w="100" w:type="dxa"/>
              <w:right w:w="100" w:type="dxa"/>
            </w:tcMar>
            <w:vAlign w:val="center"/>
          </w:tcPr>
          <w:p w14:paraId="38DB205C"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103A7FC8" w14:textId="53315C2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الجداول محدودة؛ الفصل يحتاج إلى جداول للمتغيرات، الفقرات، العينة، وخطة التحليل.</w:t>
            </w:r>
          </w:p>
        </w:tc>
        <w:tc>
          <w:tcPr>
            <w:tcW w:w="1474" w:type="dxa"/>
            <w:tcMar>
              <w:top w:w="100" w:type="dxa"/>
              <w:left w:w="100" w:type="dxa"/>
              <w:bottom w:w="100" w:type="dxa"/>
              <w:right w:w="100" w:type="dxa"/>
            </w:tcMar>
            <w:vAlign w:val="center"/>
          </w:tcPr>
          <w:p w14:paraId="0068DEE5"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يحتاج تحسين</w:t>
            </w:r>
          </w:p>
        </w:tc>
        <w:tc>
          <w:tcPr>
            <w:tcW w:w="3288" w:type="dxa"/>
            <w:tcMar>
              <w:top w:w="100" w:type="dxa"/>
              <w:left w:w="100" w:type="dxa"/>
              <w:bottom w:w="100" w:type="dxa"/>
              <w:right w:w="100" w:type="dxa"/>
            </w:tcMar>
            <w:vAlign w:val="center"/>
          </w:tcPr>
          <w:p w14:paraId="523BA918" w14:textId="3E313F98"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جداول منهجية تدعم قابلية المراجعة.</w:t>
            </w:r>
          </w:p>
        </w:tc>
        <w:tc>
          <w:tcPr>
            <w:tcW w:w="1134" w:type="dxa"/>
            <w:tcMar>
              <w:top w:w="100" w:type="dxa"/>
              <w:left w:w="100" w:type="dxa"/>
              <w:bottom w:w="100" w:type="dxa"/>
              <w:right w:w="100" w:type="dxa"/>
            </w:tcMar>
            <w:vAlign w:val="center"/>
          </w:tcPr>
          <w:p w14:paraId="55D2D682" w14:textId="77777777" w:rsidR="00047CBC" w:rsidRPr="00766D0C" w:rsidRDefault="00047CBC" w:rsidP="00766D0C">
            <w:pPr>
              <w:bidi/>
              <w:jc w:val="both"/>
              <w:rPr>
                <w:rFonts w:ascii="Simplified Arabic" w:hAnsi="Simplified Arabic" w:cs="Simplified Arabic"/>
                <w:color w:val="000000" w:themeColor="text1"/>
                <w:sz w:val="20"/>
                <w:szCs w:val="20"/>
              </w:rPr>
            </w:pPr>
          </w:p>
        </w:tc>
      </w:tr>
      <w:tr w:rsidR="00047CBC" w:rsidRPr="00766D0C"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766D0C" w:rsidRDefault="00047CBC"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لا يعرض نتائج فعلية، وهذا صحيح.</w:t>
            </w:r>
          </w:p>
        </w:tc>
        <w:tc>
          <w:tcPr>
            <w:tcW w:w="1474" w:type="dxa"/>
            <w:tcMar>
              <w:top w:w="100" w:type="dxa"/>
              <w:left w:w="100" w:type="dxa"/>
              <w:bottom w:w="100" w:type="dxa"/>
              <w:right w:w="100" w:type="dxa"/>
            </w:tcMar>
            <w:vAlign w:val="center"/>
          </w:tcPr>
          <w:p w14:paraId="7D1C2649" w14:textId="77777777"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3BF5C4DE" w14:textId="71256FDA" w:rsidR="00047CBC" w:rsidRPr="00766D0C" w:rsidRDefault="00047CBC"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الاستمرار في فصل النتائج إلى الفصل الرابع.</w:t>
            </w:r>
          </w:p>
        </w:tc>
        <w:tc>
          <w:tcPr>
            <w:tcW w:w="1134" w:type="dxa"/>
            <w:tcMar>
              <w:top w:w="100" w:type="dxa"/>
              <w:left w:w="100" w:type="dxa"/>
              <w:bottom w:w="100" w:type="dxa"/>
              <w:right w:w="100" w:type="dxa"/>
            </w:tcMar>
            <w:vAlign w:val="center"/>
          </w:tcPr>
          <w:p w14:paraId="5E8E4659" w14:textId="77777777" w:rsidR="00047CBC" w:rsidRPr="00766D0C" w:rsidRDefault="00047CBC" w:rsidP="00766D0C">
            <w:pPr>
              <w:bidi/>
              <w:jc w:val="both"/>
              <w:rPr>
                <w:rFonts w:ascii="Simplified Arabic" w:hAnsi="Simplified Arabic" w:cs="Simplified Arabic"/>
                <w:color w:val="000000" w:themeColor="text1"/>
                <w:sz w:val="20"/>
                <w:szCs w:val="20"/>
              </w:rPr>
            </w:pPr>
          </w:p>
        </w:tc>
      </w:tr>
    </w:tbl>
    <w:p w14:paraId="348A4AF0" w14:textId="77777777" w:rsidR="003B24C9" w:rsidRPr="00766D0C" w:rsidRDefault="003B24C9" w:rsidP="00766D0C">
      <w:pPr>
        <w:bidi/>
        <w:spacing w:after="0" w:line="240" w:lineRule="auto"/>
        <w:jc w:val="both"/>
        <w:rPr>
          <w:rFonts w:ascii="Simplified Arabic" w:eastAsiaTheme="majorEastAsia" w:hAnsi="Simplified Arabic" w:cs="Simplified Arabic"/>
          <w:b/>
          <w:bCs/>
          <w:color w:val="000000" w:themeColor="text1"/>
          <w:sz w:val="20"/>
          <w:szCs w:val="20"/>
          <w:rtl/>
        </w:rPr>
      </w:pPr>
      <w:r w:rsidRPr="00766D0C">
        <w:rPr>
          <w:rFonts w:ascii="Simplified Arabic" w:eastAsiaTheme="majorEastAsia" w:hAnsi="Simplified Arabic" w:cs="Simplified Arabic"/>
          <w:b/>
          <w:bCs/>
          <w:color w:val="000000" w:themeColor="text1"/>
          <w:sz w:val="20"/>
          <w:szCs w:val="20"/>
          <w:rtl/>
        </w:rPr>
        <w:lastRenderedPageBreak/>
        <w:t>ملاحظات تطبيقية تفصيلية على الفصل الثالث</w:t>
      </w:r>
    </w:p>
    <w:p w14:paraId="68F1C7E2" w14:textId="7F21A1A6" w:rsidR="00A662EF" w:rsidRPr="00766D0C" w:rsidRDefault="003B24C9" w:rsidP="00766D0C">
      <w:pPr>
        <w:bidi/>
        <w:spacing w:after="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766D0C">
        <w:rPr>
          <w:rFonts w:ascii="Simplified Arabic" w:hAnsi="Simplified Arabic" w:cs="Simplified Arabic"/>
          <w:color w:val="000000" w:themeColor="text1"/>
          <w:sz w:val="20"/>
          <w:szCs w:val="20"/>
          <w:rtl/>
        </w:rPr>
        <w:t>الملاحظة،</w:t>
      </w:r>
      <w:r w:rsidRPr="00766D0C">
        <w:rPr>
          <w:rFonts w:ascii="Simplified Arabic" w:hAnsi="Simplified Arabic" w:cs="Simplified Arabic"/>
          <w:color w:val="000000" w:themeColor="text1"/>
          <w:sz w:val="20"/>
          <w:szCs w:val="20"/>
          <w:rtl/>
        </w:rPr>
        <w:t xml:space="preserve"> </w:t>
      </w:r>
      <w:proofErr w:type="gramStart"/>
      <w:r w:rsidRPr="00766D0C">
        <w:rPr>
          <w:rFonts w:ascii="Simplified Arabic" w:hAnsi="Simplified Arabic" w:cs="Simplified Arabic"/>
          <w:color w:val="000000" w:themeColor="text1"/>
          <w:sz w:val="20"/>
          <w:szCs w:val="20"/>
          <w:rtl/>
        </w:rPr>
        <w:t>وأثرها</w:t>
      </w:r>
      <w:proofErr w:type="gramEnd"/>
      <w:r w:rsidRPr="00766D0C">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766D0C"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الملاحظة</w:t>
            </w:r>
          </w:p>
        </w:tc>
        <w:tc>
          <w:tcPr>
            <w:tcW w:w="2324" w:type="dxa"/>
            <w:tcMar>
              <w:top w:w="100" w:type="dxa"/>
              <w:left w:w="100" w:type="dxa"/>
              <w:bottom w:w="100" w:type="dxa"/>
              <w:right w:w="100" w:type="dxa"/>
            </w:tcMar>
            <w:vAlign w:val="center"/>
          </w:tcPr>
          <w:p w14:paraId="4AA6171E"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60D1B1CA"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4409741C"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الأولوية</w:t>
            </w:r>
          </w:p>
        </w:tc>
      </w:tr>
      <w:tr w:rsidR="00A662EF" w:rsidRPr="00766D0C"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حجم المجتمع غير محدد رقمياً، ومعادلة العينة لم تكتمل.</w:t>
            </w:r>
          </w:p>
        </w:tc>
        <w:tc>
          <w:tcPr>
            <w:tcW w:w="2324" w:type="dxa"/>
            <w:tcMar>
              <w:top w:w="100" w:type="dxa"/>
              <w:left w:w="100" w:type="dxa"/>
              <w:bottom w:w="100" w:type="dxa"/>
              <w:right w:w="100" w:type="dxa"/>
            </w:tcMar>
            <w:vAlign w:val="center"/>
          </w:tcPr>
          <w:p w14:paraId="4C915B69" w14:textId="5B08E32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مجتمع وعينة البحث</w:t>
            </w:r>
          </w:p>
        </w:tc>
        <w:tc>
          <w:tcPr>
            <w:tcW w:w="3628" w:type="dxa"/>
            <w:tcMar>
              <w:top w:w="100" w:type="dxa"/>
              <w:left w:w="100" w:type="dxa"/>
              <w:bottom w:w="100" w:type="dxa"/>
              <w:right w:w="100" w:type="dxa"/>
            </w:tcMar>
            <w:vAlign w:val="center"/>
          </w:tcPr>
          <w:p w14:paraId="7F6CA1AF" w14:textId="1E14D784"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يمنع الحكم على كفاية العينة وتمثيلها.</w:t>
            </w:r>
          </w:p>
        </w:tc>
        <w:tc>
          <w:tcPr>
            <w:tcW w:w="3855" w:type="dxa"/>
            <w:tcMar>
              <w:top w:w="100" w:type="dxa"/>
              <w:left w:w="100" w:type="dxa"/>
              <w:bottom w:w="100" w:type="dxa"/>
              <w:right w:w="100" w:type="dxa"/>
            </w:tcMar>
            <w:vAlign w:val="center"/>
          </w:tcPr>
          <w:p w14:paraId="0583AEEA" w14:textId="31A4E5E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تحديد N وحساب حجم العينة النهائي.</w:t>
            </w:r>
          </w:p>
        </w:tc>
        <w:tc>
          <w:tcPr>
            <w:tcW w:w="1134" w:type="dxa"/>
            <w:tcMar>
              <w:top w:w="100" w:type="dxa"/>
              <w:left w:w="100" w:type="dxa"/>
              <w:bottom w:w="100" w:type="dxa"/>
              <w:right w:w="100" w:type="dxa"/>
            </w:tcMar>
            <w:vAlign w:val="center"/>
          </w:tcPr>
          <w:p w14:paraId="27D9EFB2" w14:textId="5B14379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r>
      <w:tr w:rsidR="00A662EF" w:rsidRPr="00766D0C"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نوع العينة غير محسوم بين العشوائية البسيطة والطبقية.</w:t>
            </w:r>
          </w:p>
        </w:tc>
        <w:tc>
          <w:tcPr>
            <w:tcW w:w="2324" w:type="dxa"/>
            <w:tcMar>
              <w:top w:w="100" w:type="dxa"/>
              <w:left w:w="100" w:type="dxa"/>
              <w:bottom w:w="100" w:type="dxa"/>
              <w:right w:w="100" w:type="dxa"/>
            </w:tcMar>
            <w:vAlign w:val="center"/>
          </w:tcPr>
          <w:p w14:paraId="5266E2E6" w14:textId="7EFF2E1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عينة البحث</w:t>
            </w:r>
          </w:p>
        </w:tc>
        <w:tc>
          <w:tcPr>
            <w:tcW w:w="3628" w:type="dxa"/>
            <w:tcMar>
              <w:top w:w="100" w:type="dxa"/>
              <w:left w:w="100" w:type="dxa"/>
              <w:bottom w:w="100" w:type="dxa"/>
              <w:right w:w="100" w:type="dxa"/>
            </w:tcMar>
            <w:vAlign w:val="center"/>
          </w:tcPr>
          <w:p w14:paraId="501B6CAB" w14:textId="4A5595EA"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يضعف الخطة الميدانية وقابلية التعميم.</w:t>
            </w:r>
          </w:p>
        </w:tc>
        <w:tc>
          <w:tcPr>
            <w:tcW w:w="3855" w:type="dxa"/>
            <w:tcMar>
              <w:top w:w="100" w:type="dxa"/>
              <w:left w:w="100" w:type="dxa"/>
              <w:bottom w:w="100" w:type="dxa"/>
              <w:right w:w="100" w:type="dxa"/>
            </w:tcMar>
            <w:vAlign w:val="center"/>
          </w:tcPr>
          <w:p w14:paraId="4724B12A" w14:textId="330462F8"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اختيار أسلوب معاينة محدد وتبريره.</w:t>
            </w:r>
          </w:p>
        </w:tc>
        <w:tc>
          <w:tcPr>
            <w:tcW w:w="1134" w:type="dxa"/>
            <w:tcMar>
              <w:top w:w="100" w:type="dxa"/>
              <w:left w:w="100" w:type="dxa"/>
              <w:bottom w:w="100" w:type="dxa"/>
              <w:right w:w="100" w:type="dxa"/>
            </w:tcMar>
            <w:vAlign w:val="center"/>
          </w:tcPr>
          <w:p w14:paraId="65AD7850" w14:textId="209C9B74"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r>
      <w:tr w:rsidR="00A662EF" w:rsidRPr="00766D0C"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هيكل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غير مفصل بعدد الفقرات ومصادرها.</w:t>
            </w:r>
          </w:p>
        </w:tc>
        <w:tc>
          <w:tcPr>
            <w:tcW w:w="2324" w:type="dxa"/>
            <w:tcMar>
              <w:top w:w="100" w:type="dxa"/>
              <w:left w:w="100" w:type="dxa"/>
              <w:bottom w:w="100" w:type="dxa"/>
              <w:right w:w="100" w:type="dxa"/>
            </w:tcMar>
            <w:vAlign w:val="center"/>
          </w:tcPr>
          <w:p w14:paraId="1C0CFEEC" w14:textId="1E987A9B"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بناء أدوات جمع البيانات</w:t>
            </w:r>
          </w:p>
        </w:tc>
        <w:tc>
          <w:tcPr>
            <w:tcW w:w="3628" w:type="dxa"/>
            <w:tcMar>
              <w:top w:w="100" w:type="dxa"/>
              <w:left w:w="100" w:type="dxa"/>
              <w:bottom w:w="100" w:type="dxa"/>
              <w:right w:w="100" w:type="dxa"/>
            </w:tcMar>
            <w:vAlign w:val="center"/>
          </w:tcPr>
          <w:p w14:paraId="399C57BC" w14:textId="2C53839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يضعف صدق القياس.</w:t>
            </w:r>
          </w:p>
        </w:tc>
        <w:tc>
          <w:tcPr>
            <w:tcW w:w="3855" w:type="dxa"/>
            <w:tcMar>
              <w:top w:w="100" w:type="dxa"/>
              <w:left w:w="100" w:type="dxa"/>
              <w:bottom w:w="100" w:type="dxa"/>
              <w:right w:w="100" w:type="dxa"/>
            </w:tcMar>
            <w:vAlign w:val="center"/>
          </w:tcPr>
          <w:p w14:paraId="3DDEA362" w14:textId="5189BE3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 xml:space="preserve">إضافة جدول تفصيلي لمحاور وفقرات </w:t>
            </w: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w:t>
            </w:r>
          </w:p>
        </w:tc>
        <w:tc>
          <w:tcPr>
            <w:tcW w:w="1134" w:type="dxa"/>
            <w:tcMar>
              <w:top w:w="100" w:type="dxa"/>
              <w:left w:w="100" w:type="dxa"/>
              <w:bottom w:w="100" w:type="dxa"/>
              <w:right w:w="100" w:type="dxa"/>
            </w:tcMar>
            <w:vAlign w:val="center"/>
          </w:tcPr>
          <w:p w14:paraId="212EC982" w14:textId="50651955"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r>
      <w:tr w:rsidR="00A662EF" w:rsidRPr="00766D0C"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البرنامج الإحصائي غير محسوم بين SPSS وSmartPLS.</w:t>
            </w:r>
          </w:p>
        </w:tc>
        <w:tc>
          <w:tcPr>
            <w:tcW w:w="2324" w:type="dxa"/>
            <w:tcMar>
              <w:top w:w="100" w:type="dxa"/>
              <w:left w:w="100" w:type="dxa"/>
              <w:bottom w:w="100" w:type="dxa"/>
              <w:right w:w="100" w:type="dxa"/>
            </w:tcMar>
            <w:vAlign w:val="center"/>
          </w:tcPr>
          <w:p w14:paraId="7AA42E57" w14:textId="5AA45A28"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إجراءات تحليل البيانات</w:t>
            </w:r>
          </w:p>
        </w:tc>
        <w:tc>
          <w:tcPr>
            <w:tcW w:w="3628" w:type="dxa"/>
            <w:tcMar>
              <w:top w:w="100" w:type="dxa"/>
              <w:left w:w="100" w:type="dxa"/>
              <w:bottom w:w="100" w:type="dxa"/>
              <w:right w:w="100" w:type="dxa"/>
            </w:tcMar>
            <w:vAlign w:val="center"/>
          </w:tcPr>
          <w:p w14:paraId="0792AD9B" w14:textId="0E005410"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قد يؤدي إلى خطة تحليل غير منسجمة.</w:t>
            </w:r>
          </w:p>
        </w:tc>
        <w:tc>
          <w:tcPr>
            <w:tcW w:w="3855" w:type="dxa"/>
            <w:tcMar>
              <w:top w:w="100" w:type="dxa"/>
              <w:left w:w="100" w:type="dxa"/>
              <w:bottom w:w="100" w:type="dxa"/>
              <w:right w:w="100" w:type="dxa"/>
            </w:tcMar>
            <w:vAlign w:val="center"/>
          </w:tcPr>
          <w:p w14:paraId="211AB94D" w14:textId="534EB84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اختيار برنامج واحد وفق نموذج الدراسة.</w:t>
            </w:r>
          </w:p>
        </w:tc>
        <w:tc>
          <w:tcPr>
            <w:tcW w:w="1134" w:type="dxa"/>
            <w:tcMar>
              <w:top w:w="100" w:type="dxa"/>
              <w:left w:w="100" w:type="dxa"/>
              <w:bottom w:w="100" w:type="dxa"/>
              <w:right w:w="100" w:type="dxa"/>
            </w:tcMar>
            <w:vAlign w:val="center"/>
          </w:tcPr>
          <w:p w14:paraId="194375F9" w14:textId="1AEB6357"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متوسطة</w:t>
            </w:r>
          </w:p>
        </w:tc>
      </w:tr>
      <w:tr w:rsidR="00A662EF" w:rsidRPr="00766D0C"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غياب قسم أخلاقي مستقل رغم حساسية المجال الأمني.</w:t>
            </w:r>
          </w:p>
        </w:tc>
        <w:tc>
          <w:tcPr>
            <w:tcW w:w="2324" w:type="dxa"/>
            <w:tcMar>
              <w:top w:w="100" w:type="dxa"/>
              <w:left w:w="100" w:type="dxa"/>
              <w:bottom w:w="100" w:type="dxa"/>
              <w:right w:w="100" w:type="dxa"/>
            </w:tcMar>
            <w:vAlign w:val="center"/>
          </w:tcPr>
          <w:p w14:paraId="59B40960" w14:textId="6E23A62B"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قسم مفقود</w:t>
            </w:r>
          </w:p>
        </w:tc>
        <w:tc>
          <w:tcPr>
            <w:tcW w:w="3628" w:type="dxa"/>
            <w:tcMar>
              <w:top w:w="100" w:type="dxa"/>
              <w:left w:w="100" w:type="dxa"/>
              <w:bottom w:w="100" w:type="dxa"/>
              <w:right w:w="100" w:type="dxa"/>
            </w:tcMar>
            <w:vAlign w:val="center"/>
          </w:tcPr>
          <w:p w14:paraId="6AD88DED" w14:textId="4658E382"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قد يعرقل الموافقات وجمع البيانات.</w:t>
            </w:r>
          </w:p>
        </w:tc>
        <w:tc>
          <w:tcPr>
            <w:tcW w:w="3855" w:type="dxa"/>
            <w:tcMar>
              <w:top w:w="100" w:type="dxa"/>
              <w:left w:w="100" w:type="dxa"/>
              <w:bottom w:w="100" w:type="dxa"/>
              <w:right w:w="100" w:type="dxa"/>
            </w:tcMar>
            <w:vAlign w:val="center"/>
          </w:tcPr>
          <w:p w14:paraId="10C9A613" w14:textId="1567B35E"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الأخلاقيات وتجنب أي بيانات أمنية حساسة.</w:t>
            </w:r>
          </w:p>
        </w:tc>
        <w:tc>
          <w:tcPr>
            <w:tcW w:w="1134" w:type="dxa"/>
            <w:tcMar>
              <w:top w:w="100" w:type="dxa"/>
              <w:left w:w="100" w:type="dxa"/>
              <w:bottom w:w="100" w:type="dxa"/>
              <w:right w:w="100" w:type="dxa"/>
            </w:tcMar>
            <w:vAlign w:val="center"/>
          </w:tcPr>
          <w:p w14:paraId="22F4ECD0" w14:textId="3DA59C3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r>
      <w:tr w:rsidR="00A662EF" w:rsidRPr="00766D0C"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خطة الصدق البنائي غير واضحة.</w:t>
            </w:r>
          </w:p>
        </w:tc>
        <w:tc>
          <w:tcPr>
            <w:tcW w:w="2324" w:type="dxa"/>
            <w:tcMar>
              <w:top w:w="100" w:type="dxa"/>
              <w:left w:w="100" w:type="dxa"/>
              <w:bottom w:w="100" w:type="dxa"/>
              <w:right w:w="100" w:type="dxa"/>
            </w:tcMar>
            <w:vAlign w:val="center"/>
          </w:tcPr>
          <w:p w14:paraId="04D95961" w14:textId="68AAA034"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التأكد من المصداقية والموثوقية</w:t>
            </w:r>
          </w:p>
        </w:tc>
        <w:tc>
          <w:tcPr>
            <w:tcW w:w="3628" w:type="dxa"/>
            <w:tcMar>
              <w:top w:w="100" w:type="dxa"/>
              <w:left w:w="100" w:type="dxa"/>
              <w:bottom w:w="100" w:type="dxa"/>
              <w:right w:w="100" w:type="dxa"/>
            </w:tcMar>
            <w:vAlign w:val="center"/>
          </w:tcPr>
          <w:p w14:paraId="214693AA" w14:textId="4BE541D2"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يضعف صلاحية الأداة متعددة الأبعاد.</w:t>
            </w:r>
          </w:p>
        </w:tc>
        <w:tc>
          <w:tcPr>
            <w:tcW w:w="3855" w:type="dxa"/>
            <w:tcMar>
              <w:top w:w="100" w:type="dxa"/>
              <w:left w:w="100" w:type="dxa"/>
              <w:bottom w:w="100" w:type="dxa"/>
              <w:right w:w="100" w:type="dxa"/>
            </w:tcMar>
            <w:vAlign w:val="center"/>
          </w:tcPr>
          <w:p w14:paraId="2B9BA7CB" w14:textId="7846B6F1"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EFA/CFA أو تبرير الاكتفاء بالثبات.</w:t>
            </w:r>
          </w:p>
        </w:tc>
        <w:tc>
          <w:tcPr>
            <w:tcW w:w="1134" w:type="dxa"/>
            <w:tcMar>
              <w:top w:w="100" w:type="dxa"/>
              <w:left w:w="100" w:type="dxa"/>
              <w:bottom w:w="100" w:type="dxa"/>
              <w:right w:w="100" w:type="dxa"/>
            </w:tcMar>
            <w:vAlign w:val="center"/>
          </w:tcPr>
          <w:p w14:paraId="0D80D1B8" w14:textId="5B1CBB35"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متوسطة</w:t>
            </w:r>
          </w:p>
        </w:tc>
      </w:tr>
      <w:tr w:rsidR="00A662EF" w:rsidRPr="00766D0C"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التوثيق يحتاج إلى مصادر منهجية أقوى.</w:t>
            </w:r>
          </w:p>
        </w:tc>
        <w:tc>
          <w:tcPr>
            <w:tcW w:w="2324" w:type="dxa"/>
            <w:tcMar>
              <w:top w:w="100" w:type="dxa"/>
              <w:left w:w="100" w:type="dxa"/>
              <w:bottom w:w="100" w:type="dxa"/>
              <w:right w:w="100" w:type="dxa"/>
            </w:tcMar>
            <w:vAlign w:val="center"/>
          </w:tcPr>
          <w:p w14:paraId="5A780AFD" w14:textId="74D0C9F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المراجع</w:t>
            </w:r>
          </w:p>
        </w:tc>
        <w:tc>
          <w:tcPr>
            <w:tcW w:w="3628" w:type="dxa"/>
            <w:tcMar>
              <w:top w:w="100" w:type="dxa"/>
              <w:left w:w="100" w:type="dxa"/>
              <w:bottom w:w="100" w:type="dxa"/>
              <w:right w:w="100" w:type="dxa"/>
            </w:tcMar>
            <w:vAlign w:val="center"/>
          </w:tcPr>
          <w:p w14:paraId="4A4A7722" w14:textId="3F8E8ECB"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يضعف دعم القرارات المنهجية.</w:t>
            </w:r>
          </w:p>
        </w:tc>
        <w:tc>
          <w:tcPr>
            <w:tcW w:w="3855" w:type="dxa"/>
            <w:tcMar>
              <w:top w:w="100" w:type="dxa"/>
              <w:left w:w="100" w:type="dxa"/>
              <w:bottom w:w="100" w:type="dxa"/>
              <w:right w:w="100" w:type="dxa"/>
            </w:tcMar>
            <w:vAlign w:val="center"/>
          </w:tcPr>
          <w:p w14:paraId="25C92A6C" w14:textId="6834758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استبدال المصادر العامة بمراجع أكاديمية ومنهجية محكمة.</w:t>
            </w:r>
          </w:p>
        </w:tc>
        <w:tc>
          <w:tcPr>
            <w:tcW w:w="1134" w:type="dxa"/>
            <w:tcMar>
              <w:top w:w="100" w:type="dxa"/>
              <w:left w:w="100" w:type="dxa"/>
              <w:bottom w:w="100" w:type="dxa"/>
              <w:right w:w="100" w:type="dxa"/>
            </w:tcMar>
            <w:vAlign w:val="center"/>
          </w:tcPr>
          <w:p w14:paraId="316D2742" w14:textId="351B0250"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متوسطة</w:t>
            </w:r>
          </w:p>
        </w:tc>
      </w:tr>
    </w:tbl>
    <w:p w14:paraId="4C21CA0C" w14:textId="500E2F05" w:rsidR="00A662EF" w:rsidRPr="00766D0C" w:rsidRDefault="003B24C9"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766D0C"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نوع الملاحظة</w:t>
            </w:r>
          </w:p>
        </w:tc>
        <w:tc>
          <w:tcPr>
            <w:tcW w:w="6804" w:type="dxa"/>
            <w:tcMar>
              <w:top w:w="100" w:type="dxa"/>
              <w:left w:w="100" w:type="dxa"/>
              <w:bottom w:w="100" w:type="dxa"/>
              <w:right w:w="100" w:type="dxa"/>
            </w:tcMar>
            <w:vAlign w:val="center"/>
          </w:tcPr>
          <w:p w14:paraId="0DA57C52"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209F0346"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الأولوية</w:t>
            </w:r>
          </w:p>
        </w:tc>
        <w:tc>
          <w:tcPr>
            <w:tcW w:w="3969" w:type="dxa"/>
            <w:tcMar>
              <w:top w:w="100" w:type="dxa"/>
              <w:left w:w="100" w:type="dxa"/>
              <w:bottom w:w="100" w:type="dxa"/>
              <w:right w:w="100" w:type="dxa"/>
            </w:tcMar>
            <w:vAlign w:val="center"/>
          </w:tcPr>
          <w:p w14:paraId="0F4D51B9" w14:textId="77777777" w:rsidR="00A662EF" w:rsidRPr="00766D0C" w:rsidRDefault="00000000"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b/>
                <w:color w:val="000000" w:themeColor="text1"/>
                <w:sz w:val="20"/>
                <w:szCs w:val="20"/>
                <w:rtl/>
              </w:rPr>
              <w:t>الإجراء المطلوب</w:t>
            </w:r>
          </w:p>
        </w:tc>
      </w:tr>
      <w:tr w:rsidR="00A662EF" w:rsidRPr="00766D0C"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المجتمع والعينة</w:t>
            </w:r>
          </w:p>
        </w:tc>
        <w:tc>
          <w:tcPr>
            <w:tcW w:w="6804" w:type="dxa"/>
            <w:tcMar>
              <w:top w:w="100" w:type="dxa"/>
              <w:left w:w="100" w:type="dxa"/>
              <w:bottom w:w="100" w:type="dxa"/>
              <w:right w:w="100" w:type="dxa"/>
            </w:tcMar>
            <w:vAlign w:val="center"/>
          </w:tcPr>
          <w:p w14:paraId="5721EDB1" w14:textId="4D116FCC"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لم يحدد حجم المجتمع أو العينة النهائية.</w:t>
            </w:r>
          </w:p>
        </w:tc>
        <w:tc>
          <w:tcPr>
            <w:tcW w:w="1701" w:type="dxa"/>
            <w:tcMar>
              <w:top w:w="100" w:type="dxa"/>
              <w:left w:w="100" w:type="dxa"/>
              <w:bottom w:w="100" w:type="dxa"/>
              <w:right w:w="100" w:type="dxa"/>
            </w:tcMar>
            <w:vAlign w:val="center"/>
          </w:tcPr>
          <w:p w14:paraId="4BA89071" w14:textId="211D98D6"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CBA2388" w14:textId="471238E6"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استكمال N وحساب العينة وتوزيعها.</w:t>
            </w:r>
          </w:p>
        </w:tc>
      </w:tr>
      <w:tr w:rsidR="00A662EF" w:rsidRPr="00766D0C"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الأداة</w:t>
            </w:r>
          </w:p>
        </w:tc>
        <w:tc>
          <w:tcPr>
            <w:tcW w:w="6804" w:type="dxa"/>
            <w:tcMar>
              <w:top w:w="100" w:type="dxa"/>
              <w:left w:w="100" w:type="dxa"/>
              <w:bottom w:w="100" w:type="dxa"/>
              <w:right w:w="100" w:type="dxa"/>
            </w:tcMar>
            <w:vAlign w:val="center"/>
          </w:tcPr>
          <w:p w14:paraId="518254D8" w14:textId="30FABB0E" w:rsidR="00A662EF" w:rsidRPr="00766D0C" w:rsidRDefault="00A662EF" w:rsidP="00766D0C">
            <w:pPr>
              <w:bidi/>
              <w:jc w:val="both"/>
              <w:rPr>
                <w:rFonts w:ascii="Simplified Arabic" w:hAnsi="Simplified Arabic" w:cs="Simplified Arabic"/>
                <w:color w:val="000000" w:themeColor="text1"/>
                <w:sz w:val="20"/>
                <w:szCs w:val="20"/>
              </w:rPr>
            </w:pPr>
            <w:proofErr w:type="gramStart"/>
            <w:r w:rsidRPr="00766D0C">
              <w:rPr>
                <w:rFonts w:ascii="Simplified Arabic" w:hAnsi="Simplified Arabic" w:cs="Simplified Arabic"/>
                <w:sz w:val="20"/>
                <w:szCs w:val="20"/>
                <w:rtl/>
              </w:rPr>
              <w:t>الاستبيان</w:t>
            </w:r>
            <w:proofErr w:type="gramEnd"/>
            <w:r w:rsidRPr="00766D0C">
              <w:rPr>
                <w:rFonts w:ascii="Simplified Arabic" w:hAnsi="Simplified Arabic" w:cs="Simplified Arabic"/>
                <w:sz w:val="20"/>
                <w:szCs w:val="20"/>
                <w:rtl/>
              </w:rPr>
              <w:t xml:space="preserve"> مذكور دون فقرات ومصادر تفصيلية.</w:t>
            </w:r>
          </w:p>
        </w:tc>
        <w:tc>
          <w:tcPr>
            <w:tcW w:w="1701" w:type="dxa"/>
            <w:tcMar>
              <w:top w:w="100" w:type="dxa"/>
              <w:left w:w="100" w:type="dxa"/>
              <w:bottom w:w="100" w:type="dxa"/>
              <w:right w:w="100" w:type="dxa"/>
            </w:tcMar>
            <w:vAlign w:val="center"/>
          </w:tcPr>
          <w:p w14:paraId="0FFDD364" w14:textId="64BFB456"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7A34C8B" w14:textId="077D15F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مصفوفة قياس.</w:t>
            </w:r>
          </w:p>
        </w:tc>
      </w:tr>
      <w:tr w:rsidR="00A662EF" w:rsidRPr="00766D0C"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التحليل</w:t>
            </w:r>
          </w:p>
        </w:tc>
        <w:tc>
          <w:tcPr>
            <w:tcW w:w="6804" w:type="dxa"/>
            <w:tcMar>
              <w:top w:w="100" w:type="dxa"/>
              <w:left w:w="100" w:type="dxa"/>
              <w:bottom w:w="100" w:type="dxa"/>
              <w:right w:w="100" w:type="dxa"/>
            </w:tcMar>
            <w:vAlign w:val="center"/>
          </w:tcPr>
          <w:p w14:paraId="5821F1D8" w14:textId="1DE6C8A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البرنامج والتحليل غير محسومين بالكامل.</w:t>
            </w:r>
          </w:p>
        </w:tc>
        <w:tc>
          <w:tcPr>
            <w:tcW w:w="1701" w:type="dxa"/>
            <w:tcMar>
              <w:top w:w="100" w:type="dxa"/>
              <w:left w:w="100" w:type="dxa"/>
              <w:bottom w:w="100" w:type="dxa"/>
              <w:right w:w="100" w:type="dxa"/>
            </w:tcMar>
            <w:vAlign w:val="center"/>
          </w:tcPr>
          <w:p w14:paraId="2947CD54" w14:textId="36F9509C"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متوسطة</w:t>
            </w:r>
          </w:p>
        </w:tc>
        <w:tc>
          <w:tcPr>
            <w:tcW w:w="3969" w:type="dxa"/>
            <w:tcMar>
              <w:top w:w="100" w:type="dxa"/>
              <w:left w:w="100" w:type="dxa"/>
              <w:bottom w:w="100" w:type="dxa"/>
              <w:right w:w="100" w:type="dxa"/>
            </w:tcMar>
            <w:vAlign w:val="center"/>
          </w:tcPr>
          <w:p w14:paraId="429CCB89" w14:textId="297635C3"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اختيار SPSS أو SmartPLS وربط الاختبارات بالفرضيات.</w:t>
            </w:r>
          </w:p>
        </w:tc>
      </w:tr>
      <w:tr w:rsidR="00A662EF" w:rsidRPr="00766D0C"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الأخلاقيات</w:t>
            </w:r>
          </w:p>
        </w:tc>
        <w:tc>
          <w:tcPr>
            <w:tcW w:w="6804" w:type="dxa"/>
            <w:tcMar>
              <w:top w:w="100" w:type="dxa"/>
              <w:left w:w="100" w:type="dxa"/>
              <w:bottom w:w="100" w:type="dxa"/>
              <w:right w:w="100" w:type="dxa"/>
            </w:tcMar>
            <w:vAlign w:val="center"/>
          </w:tcPr>
          <w:p w14:paraId="32E931AD" w14:textId="39AD5E5A"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المجال الأمني يتطلب ضوابط أخلاقية خاصة.</w:t>
            </w:r>
          </w:p>
        </w:tc>
        <w:tc>
          <w:tcPr>
            <w:tcW w:w="1701" w:type="dxa"/>
            <w:tcMar>
              <w:top w:w="100" w:type="dxa"/>
              <w:left w:w="100" w:type="dxa"/>
              <w:bottom w:w="100" w:type="dxa"/>
              <w:right w:w="100" w:type="dxa"/>
            </w:tcMar>
            <w:vAlign w:val="center"/>
          </w:tcPr>
          <w:p w14:paraId="37239A48" w14:textId="3DE9C0F9"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6BE28D3A" w14:textId="15963130"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إضافة موافقات وسرية وتجنب البيانات الحساسة.</w:t>
            </w:r>
          </w:p>
        </w:tc>
      </w:tr>
      <w:tr w:rsidR="00A662EF" w:rsidRPr="00766D0C"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التنظيم</w:t>
            </w:r>
          </w:p>
        </w:tc>
        <w:tc>
          <w:tcPr>
            <w:tcW w:w="6804" w:type="dxa"/>
            <w:tcMar>
              <w:top w:w="100" w:type="dxa"/>
              <w:left w:w="100" w:type="dxa"/>
              <w:bottom w:w="100" w:type="dxa"/>
              <w:right w:w="100" w:type="dxa"/>
            </w:tcMar>
            <w:vAlign w:val="center"/>
          </w:tcPr>
          <w:p w14:paraId="0A1899CE" w14:textId="4B0983CD"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يحتاج ترقيم وجداول أكثر وضوحاً.</w:t>
            </w:r>
          </w:p>
        </w:tc>
        <w:tc>
          <w:tcPr>
            <w:tcW w:w="1701" w:type="dxa"/>
            <w:tcMar>
              <w:top w:w="100" w:type="dxa"/>
              <w:left w:w="100" w:type="dxa"/>
              <w:bottom w:w="100" w:type="dxa"/>
              <w:right w:w="100" w:type="dxa"/>
            </w:tcMar>
            <w:vAlign w:val="center"/>
          </w:tcPr>
          <w:p w14:paraId="6CD13878" w14:textId="5F8A239F"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متوسطة</w:t>
            </w:r>
          </w:p>
        </w:tc>
        <w:tc>
          <w:tcPr>
            <w:tcW w:w="3969" w:type="dxa"/>
            <w:tcMar>
              <w:top w:w="100" w:type="dxa"/>
              <w:left w:w="100" w:type="dxa"/>
              <w:bottom w:w="100" w:type="dxa"/>
              <w:right w:w="100" w:type="dxa"/>
            </w:tcMar>
            <w:vAlign w:val="center"/>
          </w:tcPr>
          <w:p w14:paraId="31703C1F" w14:textId="4B9CF5AF" w:rsidR="00A662EF" w:rsidRPr="00766D0C" w:rsidRDefault="00A662EF"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إعادة تنظيم الفصل وإضافة الجداول.</w:t>
            </w:r>
          </w:p>
        </w:tc>
      </w:tr>
    </w:tbl>
    <w:p w14:paraId="77301E77" w14:textId="77777777" w:rsidR="00A662EF" w:rsidRPr="00766D0C" w:rsidRDefault="00A662EF" w:rsidP="00766D0C">
      <w:pPr>
        <w:bidi/>
        <w:spacing w:after="0" w:line="240" w:lineRule="auto"/>
        <w:jc w:val="both"/>
        <w:rPr>
          <w:rFonts w:ascii="Simplified Arabic" w:hAnsi="Simplified Arabic" w:cs="Simplified Arabic"/>
          <w:color w:val="000000" w:themeColor="text1"/>
          <w:sz w:val="20"/>
          <w:szCs w:val="20"/>
        </w:rPr>
      </w:pPr>
    </w:p>
    <w:p w14:paraId="0C0DA868" w14:textId="431E660E" w:rsidR="00A662EF" w:rsidRPr="00766D0C" w:rsidRDefault="002225E8" w:rsidP="00766D0C">
      <w:pPr>
        <w:pStyle w:val="Heading1"/>
        <w:bidi/>
        <w:spacing w:before="200" w:line="240" w:lineRule="auto"/>
        <w:jc w:val="both"/>
        <w:rPr>
          <w:rFonts w:ascii="Simplified Arabic" w:hAnsi="Simplified Arabic" w:cs="Simplified Arabic"/>
          <w:color w:val="000000" w:themeColor="text1"/>
          <w:sz w:val="20"/>
          <w:szCs w:val="20"/>
        </w:rPr>
      </w:pPr>
      <w:r w:rsidRPr="00766D0C">
        <w:rPr>
          <w:rFonts w:ascii="Simplified Arabic"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766D0C"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766D0C" w:rsidRDefault="00F50E7D"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8F479AC" w14:textId="5F956E7C" w:rsidR="00F50E7D" w:rsidRPr="00766D0C" w:rsidRDefault="00F50E7D" w:rsidP="00766D0C">
            <w:pPr>
              <w:bidi/>
              <w:jc w:val="both"/>
              <w:rPr>
                <w:rFonts w:ascii="Simplified Arabic" w:hAnsi="Simplified Arabic" w:cs="Simplified Arabic"/>
                <w:b/>
                <w:bCs/>
                <w:color w:val="000000" w:themeColor="text1"/>
                <w:sz w:val="20"/>
                <w:szCs w:val="20"/>
              </w:rPr>
            </w:pPr>
            <w:r w:rsidRPr="00766D0C">
              <w:rPr>
                <w:rFonts w:ascii="Simplified Arabic" w:hAnsi="Simplified Arabic" w:cs="Simplified Arabic"/>
                <w:b/>
                <w:bCs/>
                <w:sz w:val="20"/>
                <w:szCs w:val="20"/>
                <w:rtl/>
              </w:rPr>
              <w:t>الخيار</w:t>
            </w:r>
          </w:p>
        </w:tc>
      </w:tr>
      <w:tr w:rsidR="00F50E7D" w:rsidRPr="00766D0C"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64C69038" w14:textId="3057CCFB"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مقبول بصورته الحالية</w:t>
            </w:r>
          </w:p>
        </w:tc>
      </w:tr>
      <w:tr w:rsidR="00F50E7D" w:rsidRPr="00766D0C"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A2F4DBA" w14:textId="721FBB4D"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مقبول بعد تعديلات طفيفة</w:t>
            </w:r>
          </w:p>
        </w:tc>
      </w:tr>
      <w:tr w:rsidR="00F50E7D" w:rsidRPr="00766D0C"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D9AC7F8" w14:textId="2244DE30"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يحتاج إلى تعديلات متوسطة قبل الاعتماد</w:t>
            </w:r>
          </w:p>
        </w:tc>
      </w:tr>
      <w:tr w:rsidR="00F50E7D" w:rsidRPr="00766D0C"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22BACB1" w14:textId="47486408"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يحتاج إلى تعديلات جوهرية وإعادة مراجعة</w:t>
            </w:r>
          </w:p>
        </w:tc>
      </w:tr>
      <w:tr w:rsidR="00F50E7D" w:rsidRPr="00766D0C"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750CBDB" w14:textId="0D4E5330" w:rsidR="00F50E7D" w:rsidRPr="00766D0C" w:rsidRDefault="00F50E7D" w:rsidP="00766D0C">
            <w:pPr>
              <w:bidi/>
              <w:jc w:val="both"/>
              <w:rPr>
                <w:rFonts w:ascii="Simplified Arabic" w:hAnsi="Simplified Arabic" w:cs="Simplified Arabic"/>
                <w:color w:val="000000" w:themeColor="text1"/>
                <w:sz w:val="20"/>
                <w:szCs w:val="20"/>
              </w:rPr>
            </w:pPr>
            <w:r w:rsidRPr="00766D0C">
              <w:rPr>
                <w:rFonts w:ascii="Simplified Arabic" w:hAnsi="Simplified Arabic" w:cs="Simplified Arabic"/>
                <w:sz w:val="20"/>
                <w:szCs w:val="20"/>
                <w:rtl/>
              </w:rPr>
              <w:t>الفصل غير مكتمل ويحتاج إلى إعادة بناء منهجي</w:t>
            </w:r>
          </w:p>
        </w:tc>
      </w:tr>
    </w:tbl>
    <w:p w14:paraId="6F6E6E2B" w14:textId="77777777" w:rsidR="00A662EF" w:rsidRPr="00766D0C" w:rsidRDefault="00A662EF" w:rsidP="00766D0C">
      <w:pPr>
        <w:bidi/>
        <w:spacing w:after="0" w:line="240" w:lineRule="auto"/>
        <w:jc w:val="both"/>
        <w:rPr>
          <w:rFonts w:ascii="Simplified Arabic" w:hAnsi="Simplified Arabic" w:cs="Simplified Arabic"/>
          <w:color w:val="000000" w:themeColor="text1"/>
          <w:sz w:val="20"/>
          <w:szCs w:val="20"/>
        </w:rPr>
      </w:pPr>
    </w:p>
    <w:p w14:paraId="3EAB28BC" w14:textId="3AB94A11" w:rsidR="00F50E7D" w:rsidRPr="00766D0C" w:rsidRDefault="002225E8" w:rsidP="00766D0C">
      <w:pPr>
        <w:pStyle w:val="Heading1"/>
        <w:bidi/>
        <w:spacing w:before="200" w:line="240" w:lineRule="auto"/>
        <w:jc w:val="both"/>
        <w:rPr>
          <w:rFonts w:ascii="Simplified Arabic" w:hAnsi="Simplified Arabic" w:cs="Simplified Arabic"/>
          <w:color w:val="000000" w:themeColor="text1"/>
          <w:sz w:val="20"/>
          <w:szCs w:val="20"/>
          <w:rtl/>
        </w:rPr>
      </w:pPr>
      <w:r w:rsidRPr="00766D0C">
        <w:rPr>
          <w:rFonts w:ascii="Simplified Arabic" w:hAnsi="Simplified Arabic" w:cs="Simplified Arabic"/>
          <w:color w:val="000000" w:themeColor="text1"/>
          <w:sz w:val="20"/>
          <w:szCs w:val="20"/>
          <w:rtl/>
        </w:rPr>
        <w:t>التوصية العامة:</w:t>
      </w:r>
      <w:r w:rsidRPr="00766D0C">
        <w:rPr>
          <w:rFonts w:ascii="Simplified Arabic" w:hAnsi="Simplified Arabic" w:cs="Simplified Arabic"/>
          <w:b w:val="0"/>
          <w:sz w:val="20"/>
          <w:szCs w:val="20"/>
          <w:rtl/>
        </w:rPr>
        <w:t xml:space="preserve"> الفصل يحتاج إلى تعديلات جوهرية وإعادة مراجعة قبل الاعتماد، لأن عناصر أساسية مثل حجم المجتمع والعينة النهائية وهيكل الأداة والبرنامج الإحصائي والاعتبارات الأخلاقية لم تُحسم بعد.</w:t>
      </w:r>
    </w:p>
    <w:p w14:paraId="1260841D" w14:textId="77777777" w:rsidR="002225E8" w:rsidRPr="00766D0C" w:rsidRDefault="002225E8" w:rsidP="00766D0C">
      <w:pPr>
        <w:bidi/>
        <w:spacing w:after="0" w:line="240" w:lineRule="auto"/>
        <w:jc w:val="both"/>
        <w:rPr>
          <w:rFonts w:ascii="Simplified Arabic" w:hAnsi="Simplified Arabic" w:cs="Simplified Arabic"/>
          <w:sz w:val="20"/>
          <w:szCs w:val="20"/>
          <w:rtl/>
        </w:rPr>
      </w:pPr>
    </w:p>
    <w:p w14:paraId="25C0680E" w14:textId="77777777" w:rsidR="002225E8" w:rsidRPr="00766D0C" w:rsidRDefault="002225E8" w:rsidP="00766D0C">
      <w:pPr>
        <w:bidi/>
        <w:spacing w:after="0" w:line="240" w:lineRule="auto"/>
        <w:jc w:val="both"/>
        <w:rPr>
          <w:rFonts w:ascii="Simplified Arabic" w:hAnsi="Simplified Arabic" w:cs="Simplified Arabic"/>
          <w:sz w:val="20"/>
          <w:szCs w:val="20"/>
          <w:rtl/>
        </w:rPr>
      </w:pPr>
    </w:p>
    <w:p w14:paraId="55760E28" w14:textId="28D7FD2F" w:rsidR="00F50E7D" w:rsidRPr="00766D0C" w:rsidRDefault="002225E8" w:rsidP="00766D0C">
      <w:pPr>
        <w:bidi/>
        <w:spacing w:after="0" w:line="240" w:lineRule="auto"/>
        <w:jc w:val="both"/>
        <w:rPr>
          <w:rFonts w:ascii="Simplified Arabic" w:hAnsi="Simplified Arabic" w:cs="Simplified Arabic"/>
          <w:sz w:val="20"/>
          <w:szCs w:val="20"/>
        </w:rPr>
      </w:pPr>
      <w:r w:rsidRPr="00766D0C">
        <w:rPr>
          <w:rFonts w:ascii="Simplified Arabic" w:eastAsiaTheme="majorEastAsia" w:hAnsi="Simplified Arabic" w:cs="Simplified Arabic"/>
          <w:b/>
          <w:bCs/>
          <w:color w:val="000000" w:themeColor="text1"/>
          <w:sz w:val="20"/>
          <w:szCs w:val="20"/>
          <w:rtl/>
        </w:rPr>
        <w:t>ملاحظات ختامية للطالب:</w:t>
      </w:r>
      <w:r w:rsidRPr="00766D0C">
        <w:rPr>
          <w:rFonts w:ascii="Simplified Arabic" w:hAnsi="Simplified Arabic" w:cs="Simplified Arabic"/>
          <w:sz w:val="20"/>
          <w:szCs w:val="20"/>
          <w:rtl/>
        </w:rPr>
        <w:t xml:space="preserve"> لدى الطالب موضوع تطبيقي مهم، لكن المنهجية يجب أن تكون أكثر انضباطاً بسبب حساسية المجال الأمني. يوصى بأن يبدأ التعديل من تحديد المجتمع والعينة والأداة بدقة، ثم بناء خطة تحليل وأخلاقيات متوافقة مع هذا النطاق.</w:t>
      </w:r>
    </w:p>
    <w:sectPr w:rsidR="00F50E7D" w:rsidRPr="00766D0C"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D96DF" w14:textId="77777777" w:rsidR="007124B4" w:rsidRDefault="007124B4">
      <w:pPr>
        <w:spacing w:after="0" w:line="240" w:lineRule="auto"/>
      </w:pPr>
      <w:r>
        <w:separator/>
      </w:r>
    </w:p>
  </w:endnote>
  <w:endnote w:type="continuationSeparator" w:id="0">
    <w:p w14:paraId="62D5EBAC" w14:textId="77777777" w:rsidR="007124B4" w:rsidRDefault="00712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3C15" w14:textId="77777777" w:rsidR="007124B4" w:rsidRDefault="007124B4">
      <w:pPr>
        <w:spacing w:after="0" w:line="240" w:lineRule="auto"/>
      </w:pPr>
      <w:r>
        <w:separator/>
      </w:r>
    </w:p>
  </w:footnote>
  <w:footnote w:type="continuationSeparator" w:id="0">
    <w:p w14:paraId="1B7D0EEC" w14:textId="77777777" w:rsidR="007124B4" w:rsidRDefault="00712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B24C9"/>
    <w:rsid w:val="00464A84"/>
    <w:rsid w:val="00650F0C"/>
    <w:rsid w:val="007124B4"/>
    <w:rsid w:val="00766D0C"/>
    <w:rsid w:val="008F6E78"/>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2185</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2026-06-30T17:31:00Z</dcterms:created>
  <dcterms:modified xsi:type="dcterms:W3CDTF">2026-06-30T17:31:00Z</dcterms:modified>
  <cp:category/>
</cp:coreProperties>
</file>