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136169A7" w:rsidR="009125CE" w:rsidRPr="006D0851" w:rsidRDefault="002B43B8" w:rsidP="002B43B8">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6D0851">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235E1132">
            <wp:simplePos x="0" y="0"/>
            <wp:positionH relativeFrom="margin">
              <wp:posOffset>224790</wp:posOffset>
            </wp:positionH>
            <wp:positionV relativeFrom="margin">
              <wp:posOffset>-110490</wp:posOffset>
            </wp:positionV>
            <wp:extent cx="1670685" cy="1550035"/>
            <wp:effectExtent l="0" t="0" r="571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70685" cy="1550035"/>
                    </a:xfrm>
                    <a:prstGeom prst="rect">
                      <a:avLst/>
                    </a:prstGeom>
                  </pic:spPr>
                </pic:pic>
              </a:graphicData>
            </a:graphic>
            <wp14:sizeRelH relativeFrom="margin">
              <wp14:pctWidth>0</wp14:pctWidth>
            </wp14:sizeRelH>
            <wp14:sizeRelV relativeFrom="margin">
              <wp14:pctHeight>0</wp14:pctHeight>
            </wp14:sizeRelV>
          </wp:anchor>
        </w:drawing>
      </w:r>
      <w:r w:rsidR="009125CE" w:rsidRPr="006D0851">
        <w:rPr>
          <w:rFonts w:ascii="Simplified Arabic" w:hAnsi="Simplified Arabic" w:cs="Simplified Arabic"/>
          <w:b/>
          <w:bCs/>
          <w:color w:val="000000" w:themeColor="text1"/>
          <w:sz w:val="32"/>
          <w:szCs w:val="32"/>
          <w:rtl/>
          <w:lang w:bidi="ar-EG"/>
        </w:rPr>
        <w:t xml:space="preserve">جامعة </w:t>
      </w:r>
      <w:proofErr w:type="spellStart"/>
      <w:r w:rsidR="009125CE" w:rsidRPr="006D0851">
        <w:rPr>
          <w:rFonts w:ascii="Simplified Arabic" w:hAnsi="Simplified Arabic" w:cs="Simplified Arabic"/>
          <w:b/>
          <w:bCs/>
          <w:color w:val="000000" w:themeColor="text1"/>
          <w:sz w:val="32"/>
          <w:szCs w:val="32"/>
          <w:rtl/>
          <w:lang w:bidi="ar-EG"/>
        </w:rPr>
        <w:t>ميدأوشن</w:t>
      </w:r>
      <w:proofErr w:type="spellEnd"/>
      <w:r w:rsidR="009125CE" w:rsidRPr="006D0851">
        <w:rPr>
          <w:rFonts w:ascii="Simplified Arabic" w:hAnsi="Simplified Arabic" w:cs="Simplified Arabic"/>
          <w:b/>
          <w:bCs/>
          <w:color w:val="000000" w:themeColor="text1"/>
          <w:sz w:val="32"/>
          <w:szCs w:val="32"/>
          <w:rtl/>
          <w:lang w:bidi="ar-EG"/>
        </w:rPr>
        <w:t xml:space="preserve"> </w:t>
      </w:r>
    </w:p>
    <w:p w14:paraId="1E957002" w14:textId="3A1A05E8" w:rsidR="00F546CE" w:rsidRPr="006D0851" w:rsidRDefault="009125CE" w:rsidP="002B43B8">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6D0851">
        <w:rPr>
          <w:rFonts w:ascii="Simplified Arabic" w:hAnsi="Simplified Arabic" w:cs="Simplified Arabic"/>
          <w:b/>
          <w:bCs/>
          <w:color w:val="000000" w:themeColor="text1"/>
          <w:sz w:val="32"/>
          <w:szCs w:val="32"/>
          <w:rtl/>
          <w:lang w:bidi="ar-EG"/>
        </w:rPr>
        <w:t xml:space="preserve">كلية </w:t>
      </w:r>
      <w:r w:rsidR="008C42C1" w:rsidRPr="006D0851">
        <w:rPr>
          <w:rFonts w:ascii="Simplified Arabic" w:hAnsi="Simplified Arabic" w:cs="Simplified Arabic"/>
          <w:b/>
          <w:bCs/>
          <w:color w:val="000000" w:themeColor="text1"/>
          <w:sz w:val="32"/>
          <w:szCs w:val="32"/>
          <w:rtl/>
          <w:lang w:bidi="ar-EG"/>
        </w:rPr>
        <w:t>الإدارة</w:t>
      </w:r>
      <w:r w:rsidRPr="006D0851">
        <w:rPr>
          <w:rFonts w:ascii="Simplified Arabic" w:hAnsi="Simplified Arabic" w:cs="Simplified Arabic"/>
          <w:b/>
          <w:bCs/>
          <w:color w:val="000000" w:themeColor="text1"/>
          <w:sz w:val="32"/>
          <w:szCs w:val="32"/>
          <w:rtl/>
          <w:lang w:bidi="ar-EG"/>
        </w:rPr>
        <w:t xml:space="preserve"> </w:t>
      </w:r>
    </w:p>
    <w:p w14:paraId="0217C513" w14:textId="004DB05D" w:rsidR="009125CE" w:rsidRPr="006D0851" w:rsidRDefault="009125CE" w:rsidP="002B43B8">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6D0851">
        <w:rPr>
          <w:rFonts w:ascii="Simplified Arabic" w:hAnsi="Simplified Arabic" w:cs="Simplified Arabic"/>
          <w:b/>
          <w:bCs/>
          <w:color w:val="000000" w:themeColor="text1"/>
          <w:sz w:val="32"/>
          <w:szCs w:val="32"/>
          <w:rtl/>
          <w:lang w:bidi="ar-EG"/>
        </w:rPr>
        <w:t>تخصص</w:t>
      </w:r>
      <w:r w:rsidR="00B15A9E" w:rsidRPr="006D0851">
        <w:rPr>
          <w:rFonts w:ascii="Simplified Arabic" w:hAnsi="Simplified Arabic" w:cs="Simplified Arabic"/>
          <w:b/>
          <w:bCs/>
          <w:color w:val="000000" w:themeColor="text1"/>
          <w:sz w:val="32"/>
          <w:szCs w:val="32"/>
          <w:rtl/>
          <w:lang w:bidi="ar-EG"/>
        </w:rPr>
        <w:t xml:space="preserve"> </w:t>
      </w:r>
      <w:r w:rsidR="006111E3" w:rsidRPr="006D0851">
        <w:rPr>
          <w:rFonts w:ascii="Simplified Arabic" w:hAnsi="Simplified Arabic" w:cs="Simplified Arabic"/>
          <w:b/>
          <w:bCs/>
          <w:color w:val="000000" w:themeColor="text1"/>
          <w:sz w:val="32"/>
          <w:szCs w:val="32"/>
          <w:rtl/>
          <w:lang w:bidi="ar-EG"/>
        </w:rPr>
        <w:t xml:space="preserve"> إدارة أعمال</w:t>
      </w:r>
    </w:p>
    <w:p w14:paraId="0A25F43C" w14:textId="77777777" w:rsidR="008C7BB4" w:rsidRPr="006D0851" w:rsidRDefault="008C7BB4" w:rsidP="002B43B8">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3D893D2D" w14:textId="77777777" w:rsidR="00350539" w:rsidRPr="006D0851" w:rsidRDefault="00350539" w:rsidP="002B43B8">
      <w:pPr>
        <w:spacing w:before="100" w:beforeAutospacing="1" w:after="100" w:afterAutospacing="1" w:line="276" w:lineRule="auto"/>
        <w:jc w:val="center"/>
        <w:rPr>
          <w:rFonts w:ascii="Simplified Arabic" w:hAnsi="Simplified Arabic" w:cs="Simplified Arabic"/>
          <w:b/>
          <w:bCs/>
          <w:color w:val="000000" w:themeColor="text1"/>
          <w:sz w:val="40"/>
          <w:szCs w:val="40"/>
        </w:rPr>
      </w:pPr>
      <w:r w:rsidRPr="006D0851">
        <w:rPr>
          <w:rFonts w:ascii="Simplified Arabic" w:hAnsi="Simplified Arabic" w:cs="Simplified Arabic"/>
          <w:b/>
          <w:bCs/>
          <w:color w:val="000000" w:themeColor="text1"/>
          <w:sz w:val="40"/>
          <w:szCs w:val="40"/>
          <w:rtl/>
        </w:rPr>
        <w:t>أثر الحوافز الاستثمارية على قرار توطين الاستثمار ورفع تنافسية المملكة: دراسة ميدانية على المستثمرين في القطاع الخاص بالمملكة العربية السعودية</w:t>
      </w:r>
    </w:p>
    <w:p w14:paraId="6AC67A49" w14:textId="77777777" w:rsidR="002B43B8" w:rsidRPr="00137E86" w:rsidRDefault="002B43B8" w:rsidP="002B43B8">
      <w:pPr>
        <w:spacing w:before="100" w:beforeAutospacing="1" w:after="100" w:afterAutospacing="1" w:line="276" w:lineRule="auto"/>
        <w:jc w:val="both"/>
        <w:rPr>
          <w:rFonts w:ascii="Simplified Arabic" w:hAnsi="Simplified Arabic" w:cs="Simplified Arabic"/>
          <w:color w:val="000000" w:themeColor="text1"/>
          <w:sz w:val="8"/>
          <w:szCs w:val="8"/>
          <w:rtl/>
          <w:lang w:bidi="ar-EG"/>
        </w:rPr>
      </w:pPr>
    </w:p>
    <w:p w14:paraId="2F4E6F0F" w14:textId="0603DBE9" w:rsidR="00137E86" w:rsidRDefault="009125CE" w:rsidP="00137E86">
      <w:pPr>
        <w:spacing w:before="100" w:beforeAutospacing="1" w:after="100" w:afterAutospacing="1" w:line="276" w:lineRule="auto"/>
        <w:jc w:val="center"/>
        <w:rPr>
          <w:rFonts w:ascii="Simplified Arabic" w:hAnsi="Simplified Arabic" w:cs="Simplified Arabic"/>
          <w:b/>
          <w:bCs/>
          <w:color w:val="000000" w:themeColor="text1"/>
          <w:sz w:val="36"/>
          <w:szCs w:val="36"/>
          <w:rtl/>
        </w:rPr>
      </w:pPr>
      <w:r w:rsidRPr="006D0851">
        <w:rPr>
          <w:rFonts w:ascii="Simplified Arabic" w:hAnsi="Simplified Arabic" w:cs="Simplified Arabic"/>
          <w:b/>
          <w:bCs/>
          <w:color w:val="000000" w:themeColor="text1"/>
          <w:sz w:val="36"/>
          <w:szCs w:val="36"/>
          <w:rtl/>
          <w:lang w:bidi="ar-EG"/>
        </w:rPr>
        <w:t>إعداد الطالب/</w:t>
      </w:r>
      <w:r w:rsidR="00137E86">
        <w:rPr>
          <w:rFonts w:ascii="Simplified Arabic" w:hAnsi="Simplified Arabic" w:cs="Simplified Arabic" w:hint="cs"/>
          <w:b/>
          <w:bCs/>
          <w:color w:val="000000" w:themeColor="text1"/>
          <w:sz w:val="36"/>
          <w:szCs w:val="36"/>
          <w:rtl/>
        </w:rPr>
        <w:t xml:space="preserve"> فيصل بن </w:t>
      </w:r>
      <w:proofErr w:type="gramStart"/>
      <w:r w:rsidR="00137E86">
        <w:rPr>
          <w:rFonts w:ascii="Simplified Arabic" w:hAnsi="Simplified Arabic" w:cs="Simplified Arabic" w:hint="cs"/>
          <w:b/>
          <w:bCs/>
          <w:color w:val="000000" w:themeColor="text1"/>
          <w:sz w:val="36"/>
          <w:szCs w:val="36"/>
          <w:rtl/>
        </w:rPr>
        <w:t>عبدالمحسن</w:t>
      </w:r>
      <w:proofErr w:type="gramEnd"/>
      <w:r w:rsidR="00137E86">
        <w:rPr>
          <w:rFonts w:ascii="Simplified Arabic" w:hAnsi="Simplified Arabic" w:cs="Simplified Arabic" w:hint="cs"/>
          <w:b/>
          <w:bCs/>
          <w:color w:val="000000" w:themeColor="text1"/>
          <w:sz w:val="36"/>
          <w:szCs w:val="36"/>
          <w:rtl/>
        </w:rPr>
        <w:t xml:space="preserve"> الصالح</w:t>
      </w:r>
    </w:p>
    <w:p w14:paraId="5D182BEC" w14:textId="752FD492" w:rsidR="00137E86" w:rsidRDefault="00137E86" w:rsidP="00137E86">
      <w:pPr>
        <w:spacing w:before="100" w:beforeAutospacing="1" w:after="100" w:afterAutospacing="1" w:line="276" w:lineRule="auto"/>
        <w:jc w:val="center"/>
        <w:rPr>
          <w:rFonts w:ascii="Simplified Arabic" w:hAnsi="Simplified Arabic" w:cs="Simplified Arabic"/>
          <w:b/>
          <w:bCs/>
          <w:color w:val="000000" w:themeColor="text1"/>
          <w:sz w:val="36"/>
          <w:szCs w:val="36"/>
          <w:rtl/>
        </w:rPr>
      </w:pPr>
      <w:r>
        <w:rPr>
          <w:rFonts w:ascii="Simplified Arabic" w:hAnsi="Simplified Arabic" w:cs="Simplified Arabic" w:hint="cs"/>
          <w:b/>
          <w:bCs/>
          <w:color w:val="000000" w:themeColor="text1"/>
          <w:sz w:val="36"/>
          <w:szCs w:val="36"/>
          <w:rtl/>
        </w:rPr>
        <w:t>253002977</w:t>
      </w:r>
    </w:p>
    <w:p w14:paraId="26BB6121" w14:textId="77777777" w:rsidR="00137E86" w:rsidRPr="006D0851" w:rsidRDefault="00137E86" w:rsidP="002B43B8">
      <w:pPr>
        <w:spacing w:before="100" w:beforeAutospacing="1" w:after="100" w:afterAutospacing="1" w:line="276" w:lineRule="auto"/>
        <w:jc w:val="center"/>
        <w:rPr>
          <w:rFonts w:ascii="Simplified Arabic" w:hAnsi="Simplified Arabic" w:cs="Simplified Arabic" w:hint="cs"/>
          <w:b/>
          <w:bCs/>
          <w:color w:val="000000" w:themeColor="text1"/>
          <w:sz w:val="36"/>
          <w:szCs w:val="36"/>
          <w:rtl/>
        </w:rPr>
      </w:pPr>
    </w:p>
    <w:p w14:paraId="544BA619" w14:textId="77777777" w:rsidR="002B43B8" w:rsidRPr="006D0851" w:rsidRDefault="002B43B8" w:rsidP="002B43B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tbl>
      <w:tblPr>
        <w:bidiVisual/>
        <w:tblW w:w="0" w:type="auto"/>
        <w:tblLook w:val="04A0" w:firstRow="1" w:lastRow="0" w:firstColumn="1" w:lastColumn="0" w:noHBand="0" w:noVBand="1"/>
      </w:tblPr>
      <w:tblGrid>
        <w:gridCol w:w="4530"/>
        <w:gridCol w:w="4531"/>
      </w:tblGrid>
      <w:tr w:rsidR="006D0851" w:rsidRPr="006D0851" w14:paraId="1705FF81" w14:textId="77777777" w:rsidTr="00222F65">
        <w:tc>
          <w:tcPr>
            <w:tcW w:w="4530" w:type="dxa"/>
          </w:tcPr>
          <w:p w14:paraId="4D5853C3" w14:textId="77777777" w:rsidR="002B43B8" w:rsidRPr="006D0851" w:rsidRDefault="002B43B8" w:rsidP="00222F65">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D0851">
              <w:rPr>
                <w:rFonts w:ascii="Simplified Arabic" w:hAnsi="Simplified Arabic" w:cs="Simplified Arabic" w:hint="cs"/>
                <w:b/>
                <w:bCs/>
                <w:color w:val="000000" w:themeColor="text1"/>
                <w:sz w:val="36"/>
                <w:szCs w:val="36"/>
                <w:rtl/>
                <w:lang w:bidi="ar-EG"/>
              </w:rPr>
              <w:t>المشرف الرئيسي/</w:t>
            </w:r>
          </w:p>
        </w:tc>
        <w:tc>
          <w:tcPr>
            <w:tcW w:w="4531" w:type="dxa"/>
          </w:tcPr>
          <w:p w14:paraId="509248F7" w14:textId="77777777" w:rsidR="002B43B8" w:rsidRPr="006D0851" w:rsidRDefault="002B43B8" w:rsidP="00222F65">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D0851">
              <w:rPr>
                <w:rFonts w:ascii="Simplified Arabic" w:hAnsi="Simplified Arabic" w:cs="Simplified Arabic" w:hint="cs"/>
                <w:b/>
                <w:bCs/>
                <w:color w:val="000000" w:themeColor="text1"/>
                <w:sz w:val="36"/>
                <w:szCs w:val="36"/>
                <w:rtl/>
                <w:lang w:bidi="ar-EG"/>
              </w:rPr>
              <w:t>المشرف الثاني/</w:t>
            </w:r>
          </w:p>
        </w:tc>
      </w:tr>
      <w:tr w:rsidR="006D0851" w:rsidRPr="006D0851" w14:paraId="61D60707" w14:textId="77777777" w:rsidTr="00222F65">
        <w:tc>
          <w:tcPr>
            <w:tcW w:w="4530" w:type="dxa"/>
          </w:tcPr>
          <w:p w14:paraId="5C27AE2F" w14:textId="77777777" w:rsidR="002B43B8" w:rsidRPr="006D0851" w:rsidRDefault="002B43B8" w:rsidP="00222F65">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6D0851">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7952355C" w14:textId="77777777" w:rsidR="002B43B8" w:rsidRPr="006D0851" w:rsidRDefault="002B43B8" w:rsidP="00222F65">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proofErr w:type="spellStart"/>
            <w:r w:rsidRPr="006D0851">
              <w:rPr>
                <w:rFonts w:ascii="Simplified Arabic" w:eastAsia="Calibri" w:hAnsi="Simplified Arabic" w:cs="Simplified Arabic"/>
                <w:color w:val="000000" w:themeColor="text1"/>
                <w:kern w:val="0"/>
                <w:sz w:val="36"/>
                <w:szCs w:val="36"/>
                <w:rtl/>
                <w:lang w:bidi="ar-EG"/>
                <w14:ligatures w14:val="none"/>
              </w:rPr>
              <w:t>د.فايز</w:t>
            </w:r>
            <w:proofErr w:type="spellEnd"/>
            <w:r w:rsidRPr="006D0851">
              <w:rPr>
                <w:rFonts w:ascii="Simplified Arabic" w:eastAsia="Calibri" w:hAnsi="Simplified Arabic" w:cs="Simplified Arabic"/>
                <w:color w:val="000000" w:themeColor="text1"/>
                <w:kern w:val="0"/>
                <w:sz w:val="36"/>
                <w:szCs w:val="36"/>
                <w:rtl/>
                <w:lang w:bidi="ar-EG"/>
                <w14:ligatures w14:val="none"/>
              </w:rPr>
              <w:t xml:space="preserve"> جراد</w:t>
            </w:r>
          </w:p>
        </w:tc>
      </w:tr>
    </w:tbl>
    <w:p w14:paraId="6AD87414" w14:textId="77777777" w:rsidR="002B43B8" w:rsidRPr="006D0851" w:rsidRDefault="002B43B8" w:rsidP="002B43B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D0851">
        <w:rPr>
          <w:rFonts w:ascii="Simplified Arabic" w:hAnsi="Simplified Arabic" w:cs="Simplified Arabic"/>
          <w:b/>
          <w:bCs/>
          <w:color w:val="000000" w:themeColor="text1"/>
          <w:sz w:val="36"/>
          <w:szCs w:val="36"/>
          <w:rtl/>
          <w:lang w:bidi="ar-EG"/>
        </w:rPr>
        <w:t>العام الدراسي:</w:t>
      </w:r>
    </w:p>
    <w:p w14:paraId="0CEA099F" w14:textId="77777777" w:rsidR="002B43B8" w:rsidRPr="006D0851" w:rsidRDefault="002B43B8" w:rsidP="002B43B8">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6D0851">
        <w:rPr>
          <w:rFonts w:ascii="Simplified Arabic" w:hAnsi="Simplified Arabic" w:cs="Simplified Arabic" w:hint="cs"/>
          <w:color w:val="000000" w:themeColor="text1"/>
          <w:sz w:val="36"/>
          <w:szCs w:val="36"/>
          <w:rtl/>
          <w:lang w:bidi="ar-EG"/>
        </w:rPr>
        <w:t xml:space="preserve">1448 </w:t>
      </w:r>
      <w:r w:rsidRPr="006D0851">
        <w:rPr>
          <w:rFonts w:ascii="Simplified Arabic" w:hAnsi="Simplified Arabic" w:cs="Simplified Arabic"/>
          <w:color w:val="000000" w:themeColor="text1"/>
          <w:sz w:val="36"/>
          <w:szCs w:val="36"/>
          <w:rtl/>
          <w:lang w:bidi="ar-EG"/>
        </w:rPr>
        <w:t>–</w:t>
      </w:r>
      <w:r w:rsidRPr="006D0851">
        <w:rPr>
          <w:rFonts w:ascii="Simplified Arabic" w:hAnsi="Simplified Arabic" w:cs="Simplified Arabic" w:hint="cs"/>
          <w:color w:val="000000" w:themeColor="text1"/>
          <w:sz w:val="36"/>
          <w:szCs w:val="36"/>
          <w:rtl/>
          <w:lang w:bidi="ar-EG"/>
        </w:rPr>
        <w:t xml:space="preserve"> 2026</w:t>
      </w:r>
    </w:p>
    <w:p w14:paraId="531DA66D" w14:textId="77777777" w:rsidR="002B43B8" w:rsidRPr="006D0851" w:rsidRDefault="002B43B8" w:rsidP="002B43B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sectPr w:rsidR="002B43B8" w:rsidRPr="006D0851" w:rsidSect="002B43B8">
          <w:footerReference w:type="default" r:id="rId9"/>
          <w:type w:val="continuous"/>
          <w:pgSz w:w="11906" w:h="16838" w:code="9"/>
          <w:pgMar w:top="1134" w:right="1701" w:bottom="1134" w:left="1134" w:header="720" w:footer="720" w:gutter="0"/>
          <w:pgNumType w:fmt="arabicAbjad" w:start="1"/>
          <w:cols w:space="708"/>
          <w:bidi/>
          <w:rtlGutter/>
          <w:docGrid w:linePitch="360"/>
        </w:sectPr>
      </w:pPr>
    </w:p>
    <w:p w14:paraId="6684AF99" w14:textId="13F20EC2" w:rsidR="002B43B8" w:rsidRPr="006D0851" w:rsidRDefault="002B43B8" w:rsidP="002B43B8">
      <w:pPr>
        <w:pStyle w:val="a8"/>
        <w:bidi/>
        <w:spacing w:line="276" w:lineRule="auto"/>
        <w:jc w:val="center"/>
        <w:outlineLvl w:val="0"/>
        <w:rPr>
          <w:rFonts w:ascii="Simplified Arabic" w:hAnsi="Simplified Arabic" w:cs="Simplified Arabic"/>
          <w:b/>
          <w:bCs/>
          <w:color w:val="000000" w:themeColor="text1"/>
          <w:sz w:val="40"/>
          <w:szCs w:val="40"/>
          <w:rtl/>
        </w:rPr>
      </w:pPr>
      <w:bookmarkStart w:id="0" w:name="_Toc233659069"/>
      <w:bookmarkStart w:id="1" w:name="_Hlk172151144"/>
      <w:bookmarkStart w:id="2" w:name="_Toc169790489"/>
      <w:r w:rsidRPr="006D0851">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482CE41F" w14:textId="1D6791E0" w:rsidR="002B43B8" w:rsidRPr="006D0851" w:rsidRDefault="002B43B8" w:rsidP="002B43B8">
      <w:pPr>
        <w:pStyle w:val="a8"/>
        <w:bidi/>
        <w:spacing w:line="276" w:lineRule="auto"/>
        <w:jc w:val="both"/>
        <w:outlineLvl w:val="1"/>
        <w:rPr>
          <w:rFonts w:ascii="Simplified Arabic" w:hAnsi="Simplified Arabic" w:cs="Simplified Arabic"/>
          <w:b/>
          <w:bCs/>
          <w:color w:val="000000" w:themeColor="text1"/>
          <w:sz w:val="36"/>
          <w:szCs w:val="36"/>
          <w:rtl/>
        </w:rPr>
      </w:pPr>
      <w:bookmarkStart w:id="3" w:name="_Toc233659070"/>
      <w:r w:rsidRPr="006D0851">
        <w:rPr>
          <w:rFonts w:ascii="Simplified Arabic" w:hAnsi="Simplified Arabic" w:cs="Simplified Arabic" w:hint="cs"/>
          <w:b/>
          <w:bCs/>
          <w:color w:val="000000" w:themeColor="text1"/>
          <w:sz w:val="36"/>
          <w:szCs w:val="36"/>
          <w:rtl/>
        </w:rPr>
        <w:t>1.1 المقدمة</w:t>
      </w:r>
      <w:bookmarkEnd w:id="3"/>
    </w:p>
    <w:p w14:paraId="7ECA0F7D" w14:textId="1EF867A4" w:rsidR="00350539" w:rsidRPr="006D0851" w:rsidRDefault="00350539" w:rsidP="002B43B8">
      <w:pPr>
        <w:pStyle w:val="a8"/>
        <w:bidi/>
        <w:spacing w:line="276" w:lineRule="auto"/>
        <w:ind w:firstLine="424"/>
        <w:jc w:val="both"/>
        <w:rPr>
          <w:rFonts w:ascii="Simplified Arabic" w:hAnsi="Simplified Arabic" w:cs="Simplified Arabic"/>
          <w:color w:val="000000" w:themeColor="text1"/>
          <w:sz w:val="28"/>
          <w:szCs w:val="28"/>
        </w:rPr>
      </w:pPr>
      <w:r w:rsidRPr="006D0851">
        <w:rPr>
          <w:rFonts w:ascii="Simplified Arabic" w:hAnsi="Simplified Arabic" w:cs="Simplified Arabic"/>
          <w:color w:val="000000" w:themeColor="text1"/>
          <w:sz w:val="28"/>
          <w:szCs w:val="28"/>
          <w:rtl/>
        </w:rPr>
        <w:t xml:space="preserve">يشهد الاقتصاد العالمي المعاصر تحولات هيكلية عميقة أفرزت بيئة تنافسية حادة بين الدول لاستقطاب رؤوس الأموال الأجنبية، حيث أصبح الاستثمار الأجنبي المباشر ركيزة أساسية في استراتيجيات التنمية الاقتصادية بوصفه قناة رئيسية لنقل التكنولوجيا والمعرفة وتوفير فرص العمل وتعزيز الإنتاجية. وفي ظل هذا التنافس المتزايد، تسعى الحكومات إلى تطوير أدوات </w:t>
      </w:r>
      <w:r w:rsidR="00454A72" w:rsidRPr="006D0851">
        <w:rPr>
          <w:rFonts w:ascii="Simplified Arabic" w:hAnsi="Simplified Arabic" w:cs="Simplified Arabic"/>
          <w:color w:val="000000" w:themeColor="text1"/>
          <w:sz w:val="28"/>
          <w:szCs w:val="28"/>
          <w:rtl/>
        </w:rPr>
        <w:t>السياسة</w:t>
      </w:r>
      <w:r w:rsidRPr="006D0851">
        <w:rPr>
          <w:rFonts w:ascii="Simplified Arabic" w:hAnsi="Simplified Arabic" w:cs="Simplified Arabic"/>
          <w:color w:val="000000" w:themeColor="text1"/>
          <w:sz w:val="28"/>
          <w:szCs w:val="28"/>
          <w:rtl/>
        </w:rPr>
        <w:t xml:space="preserve"> متنوعة لتحسين جاذبية أسواقها، وتُعدّ الحوافز الاستثمارية من أبرز هذه الأدوات التي تُوظّفها الدول المتقدمة والنامية على حدٍّ سواء، إذ أظهر مسح منظمة التعاون الاقتصادي والتنمية أن جميع الدول الأعضاء البالغ عددها 35 دولة تُقدّم نوعاً واحداً على الأقل من حوافز الاستثمار ضمن استراتيجياتها لترويج الاستثمار</w:t>
      </w:r>
      <w:r w:rsidRPr="006D0851">
        <w:rPr>
          <w:rFonts w:ascii="Simplified Arabic" w:hAnsi="Simplified Arabic" w:cs="Simplified Arabic"/>
          <w:color w:val="000000" w:themeColor="text1"/>
          <w:sz w:val="28"/>
          <w:szCs w:val="28"/>
        </w:rPr>
        <w:t xml:space="preserve"> (</w:t>
      </w:r>
      <w:proofErr w:type="spellStart"/>
      <w:r w:rsidRPr="006D0851">
        <w:rPr>
          <w:rFonts w:ascii="Simplified Arabic" w:hAnsi="Simplified Arabic" w:cs="Simplified Arabic"/>
          <w:color w:val="000000" w:themeColor="text1"/>
          <w:sz w:val="28"/>
          <w:szCs w:val="28"/>
        </w:rPr>
        <w:t>Kronfol</w:t>
      </w:r>
      <w:proofErr w:type="spellEnd"/>
      <w:r w:rsidRPr="006D0851">
        <w:rPr>
          <w:rFonts w:ascii="Simplified Arabic" w:hAnsi="Simplified Arabic" w:cs="Simplified Arabic"/>
          <w:color w:val="000000" w:themeColor="text1"/>
          <w:sz w:val="28"/>
          <w:szCs w:val="28"/>
        </w:rPr>
        <w:t xml:space="preserve"> &amp; </w:t>
      </w:r>
      <w:proofErr w:type="spellStart"/>
      <w:r w:rsidRPr="006D0851">
        <w:rPr>
          <w:rFonts w:ascii="Simplified Arabic" w:hAnsi="Simplified Arabic" w:cs="Simplified Arabic"/>
          <w:color w:val="000000" w:themeColor="text1"/>
          <w:sz w:val="28"/>
          <w:szCs w:val="28"/>
        </w:rPr>
        <w:t>Steenbergen</w:t>
      </w:r>
      <w:proofErr w:type="spellEnd"/>
      <w:r w:rsidRPr="006D0851">
        <w:rPr>
          <w:rFonts w:ascii="Simplified Arabic" w:hAnsi="Simplified Arabic" w:cs="Simplified Arabic"/>
          <w:color w:val="000000" w:themeColor="text1"/>
          <w:sz w:val="28"/>
          <w:szCs w:val="28"/>
        </w:rPr>
        <w:t>, 2024).</w:t>
      </w:r>
    </w:p>
    <w:p w14:paraId="28C130DD" w14:textId="1CD8D09F" w:rsidR="00350539" w:rsidRPr="006D0851" w:rsidRDefault="00350539" w:rsidP="002B43B8">
      <w:pPr>
        <w:pStyle w:val="a8"/>
        <w:bidi/>
        <w:spacing w:line="276" w:lineRule="auto"/>
        <w:ind w:firstLine="424"/>
        <w:jc w:val="both"/>
        <w:rPr>
          <w:rFonts w:ascii="Simplified Arabic" w:hAnsi="Simplified Arabic" w:cs="Simplified Arabic"/>
          <w:color w:val="000000" w:themeColor="text1"/>
          <w:sz w:val="28"/>
          <w:szCs w:val="28"/>
        </w:rPr>
      </w:pPr>
      <w:r w:rsidRPr="006D0851">
        <w:rPr>
          <w:rFonts w:ascii="Simplified Arabic" w:hAnsi="Simplified Arabic" w:cs="Simplified Arabic"/>
          <w:color w:val="000000" w:themeColor="text1"/>
          <w:sz w:val="28"/>
          <w:szCs w:val="28"/>
          <w:rtl/>
        </w:rPr>
        <w:t xml:space="preserve">وتتخذ الحوافز الاستثمارية أشكالاً متعددة تتراوح بين الحوافز الضريبية كالإعفاءات والتخفيضات الجمركية، والحوافز المالية كالمنح المباشرة والقروض الميسّرة، والحوافز التنظيمية والتشريعية كتبسيط إجراءات التراخيص وحماية حقوق الملكية الفكرية، وصولاً إلى حوافز البنية التحتية كالمناطق الاقتصادية الخاصة والمدن الصناعية. وقد أثبتت الأدبيات أن الحوافز الحقيقية غير الضريبية كالمنح النقدية وتدريب العمالة وتوفير الأراضي تمتلك قدرة فعلية على التأثير في قرارات توطين الشركات الأجنبية من خلال تخفيف حالة عدم تماثل المعلومات التي </w:t>
      </w:r>
      <w:proofErr w:type="spellStart"/>
      <w:r w:rsidRPr="006D0851">
        <w:rPr>
          <w:rFonts w:ascii="Simplified Arabic" w:hAnsi="Simplified Arabic" w:cs="Simplified Arabic"/>
          <w:color w:val="000000" w:themeColor="text1"/>
          <w:sz w:val="28"/>
          <w:szCs w:val="28"/>
          <w:rtl/>
        </w:rPr>
        <w:t>يواجهها</w:t>
      </w:r>
      <w:proofErr w:type="spellEnd"/>
      <w:r w:rsidRPr="006D0851">
        <w:rPr>
          <w:rFonts w:ascii="Simplified Arabic" w:hAnsi="Simplified Arabic" w:cs="Simplified Arabic"/>
          <w:color w:val="000000" w:themeColor="text1"/>
          <w:sz w:val="28"/>
          <w:szCs w:val="28"/>
          <w:rtl/>
        </w:rPr>
        <w:t xml:space="preserve"> المستثمر الأجنبي عند دخول سوق جديد</w:t>
      </w:r>
      <w:r w:rsidRPr="006D0851">
        <w:rPr>
          <w:rFonts w:ascii="Simplified Arabic" w:hAnsi="Simplified Arabic" w:cs="Simplified Arabic"/>
          <w:color w:val="000000" w:themeColor="text1"/>
          <w:sz w:val="28"/>
          <w:szCs w:val="28"/>
        </w:rPr>
        <w:t xml:space="preserve"> (</w:t>
      </w:r>
      <w:proofErr w:type="spellStart"/>
      <w:r w:rsidRPr="006D0851">
        <w:rPr>
          <w:rFonts w:ascii="Simplified Arabic" w:hAnsi="Simplified Arabic" w:cs="Simplified Arabic"/>
          <w:color w:val="000000" w:themeColor="text1"/>
          <w:sz w:val="28"/>
          <w:szCs w:val="28"/>
        </w:rPr>
        <w:t>Katitas</w:t>
      </w:r>
      <w:proofErr w:type="spellEnd"/>
      <w:r w:rsidRPr="006D0851">
        <w:rPr>
          <w:rFonts w:ascii="Simplified Arabic" w:hAnsi="Simplified Arabic" w:cs="Simplified Arabic"/>
          <w:color w:val="000000" w:themeColor="text1"/>
          <w:sz w:val="28"/>
          <w:szCs w:val="28"/>
        </w:rPr>
        <w:t xml:space="preserve"> &amp; Pandya, 2024). </w:t>
      </w:r>
    </w:p>
    <w:p w14:paraId="4CA04047" w14:textId="77777777" w:rsidR="00454A72" w:rsidRPr="006D0851" w:rsidRDefault="00350539" w:rsidP="002B43B8">
      <w:pPr>
        <w:pStyle w:val="a8"/>
        <w:bidi/>
        <w:spacing w:line="276" w:lineRule="auto"/>
        <w:ind w:firstLine="424"/>
        <w:jc w:val="both"/>
        <w:rPr>
          <w:rFonts w:ascii="Simplified Arabic" w:hAnsi="Simplified Arabic" w:cs="Simplified Arabic"/>
          <w:color w:val="000000" w:themeColor="text1"/>
          <w:sz w:val="28"/>
          <w:szCs w:val="28"/>
          <w:rtl/>
        </w:rPr>
      </w:pPr>
      <w:r w:rsidRPr="006D0851">
        <w:rPr>
          <w:rFonts w:ascii="Simplified Arabic" w:hAnsi="Simplified Arabic" w:cs="Simplified Arabic"/>
          <w:color w:val="000000" w:themeColor="text1"/>
          <w:sz w:val="28"/>
          <w:szCs w:val="28"/>
          <w:rtl/>
        </w:rPr>
        <w:t xml:space="preserve">ويُمثّل قرار التوطين الاستثماري المحصلة النهائية لتفاعل مجموعة معقدة من المحددات التي يقيّمها المستثمر الأجنبي عند المفاضلة بين المواقع البديلة، وتشمل هذه المحددات عوامل بيئة الأعمال الخارجية كالعوامل الجغرافية والبنية التحتية والبيئة الاجتماعية والسياسية والإطار القانوني والتشريعي والعوامل الاقتصادية، وهي عوامل تتباين في درجة تأثيرها من بيئة استثمارية إلى أخرى (سميح، 2022). </w:t>
      </w:r>
    </w:p>
    <w:p w14:paraId="167C4AE8" w14:textId="44C820D4" w:rsidR="00350539" w:rsidRPr="006D0851" w:rsidRDefault="00350539" w:rsidP="002B43B8">
      <w:pPr>
        <w:pStyle w:val="a8"/>
        <w:bidi/>
        <w:spacing w:line="276" w:lineRule="auto"/>
        <w:ind w:firstLine="424"/>
        <w:jc w:val="both"/>
        <w:rPr>
          <w:rFonts w:ascii="Simplified Arabic" w:hAnsi="Simplified Arabic" w:cs="Simplified Arabic"/>
          <w:color w:val="000000" w:themeColor="text1"/>
          <w:sz w:val="28"/>
          <w:szCs w:val="28"/>
        </w:rPr>
      </w:pPr>
      <w:r w:rsidRPr="006D0851">
        <w:rPr>
          <w:rFonts w:ascii="Simplified Arabic" w:hAnsi="Simplified Arabic" w:cs="Simplified Arabic"/>
          <w:color w:val="000000" w:themeColor="text1"/>
          <w:sz w:val="28"/>
          <w:szCs w:val="28"/>
          <w:rtl/>
        </w:rPr>
        <w:lastRenderedPageBreak/>
        <w:t xml:space="preserve">كما أن مستوى التنافسية الإقليمية والوطنية يلعب دوراً جوهرياً في توجيه تدفقات الاستثمار، حيث تؤكد الأدبيات وجود علاقة تبادلية بين مؤشرات التنافسية وتدفقات الاستثمار الأجنبي المباشر، إذ يسهم تحسن التنافسية في استقطاب الاستثمارات التي تُعزّز بدورها القدرة التنافسية للاقتصاد (المصري وصبيح، </w:t>
      </w:r>
      <w:r w:rsidRPr="006D0851">
        <w:rPr>
          <w:rFonts w:ascii="Simplified Arabic" w:hAnsi="Simplified Arabic" w:cs="Simplified Arabic"/>
          <w:color w:val="000000" w:themeColor="text1"/>
          <w:sz w:val="28"/>
          <w:szCs w:val="28"/>
        </w:rPr>
        <w:t>2025).</w:t>
      </w:r>
    </w:p>
    <w:p w14:paraId="395257BC" w14:textId="29AC71BF" w:rsidR="00350539" w:rsidRPr="006D0851" w:rsidRDefault="00454A72" w:rsidP="002B43B8">
      <w:pPr>
        <w:pStyle w:val="a8"/>
        <w:bidi/>
        <w:spacing w:line="276" w:lineRule="auto"/>
        <w:ind w:firstLine="424"/>
        <w:jc w:val="both"/>
        <w:rPr>
          <w:rFonts w:ascii="Simplified Arabic" w:hAnsi="Simplified Arabic" w:cs="Simplified Arabic"/>
          <w:color w:val="000000" w:themeColor="text1"/>
          <w:sz w:val="28"/>
          <w:szCs w:val="28"/>
        </w:rPr>
      </w:pPr>
      <w:r w:rsidRPr="006D0851">
        <w:rPr>
          <w:rFonts w:ascii="Simplified Arabic" w:hAnsi="Simplified Arabic" w:cs="Simplified Arabic"/>
          <w:color w:val="000000" w:themeColor="text1"/>
          <w:sz w:val="28"/>
          <w:szCs w:val="28"/>
          <w:rtl/>
        </w:rPr>
        <w:t>و</w:t>
      </w:r>
      <w:r w:rsidR="00350539" w:rsidRPr="006D0851">
        <w:rPr>
          <w:rFonts w:ascii="Simplified Arabic" w:hAnsi="Simplified Arabic" w:cs="Simplified Arabic"/>
          <w:color w:val="000000" w:themeColor="text1"/>
          <w:sz w:val="28"/>
          <w:szCs w:val="28"/>
          <w:rtl/>
        </w:rPr>
        <w:t xml:space="preserve"> تبرز أهمية دراسة العلاقة بين الحوافز الاستثمارية وقرار التوطين، إذ إن فهم الكيفية التي تؤثر بها أبعاد الحوافز المختلفة في توجيه قرارات المستثمرين الأجانب يُعدّ مدخلاً علمياً وعملياً لتطوير السياسات الاستثمارية الوطنية. وتزداد هذه الأهمية في سياق الدول التي تمر بمراحل تحوّل اقتصادي كبرى، حيث يتطلب تحقيق المستهدفات الاستراتيجية توجيه الموارد نحو الحوافز الأكثر فاعلية في ظل ما تكشفه البيانات من فجوة بين الطموحات والتدفقات الفعلية</w:t>
      </w:r>
      <w:r w:rsidR="00350539" w:rsidRPr="006D0851">
        <w:rPr>
          <w:rFonts w:ascii="Simplified Arabic" w:hAnsi="Simplified Arabic" w:cs="Simplified Arabic"/>
          <w:color w:val="000000" w:themeColor="text1"/>
          <w:sz w:val="28"/>
          <w:szCs w:val="28"/>
        </w:rPr>
        <w:t xml:space="preserve"> (Binkhamis et al., 2025).</w:t>
      </w:r>
    </w:p>
    <w:p w14:paraId="26FC9CA4" w14:textId="77777777" w:rsidR="00350539" w:rsidRPr="006D0851" w:rsidRDefault="00350539" w:rsidP="002B43B8">
      <w:pPr>
        <w:pStyle w:val="a8"/>
        <w:bidi/>
        <w:spacing w:line="276" w:lineRule="auto"/>
        <w:ind w:firstLine="424"/>
        <w:jc w:val="both"/>
        <w:rPr>
          <w:rFonts w:ascii="Simplified Arabic" w:hAnsi="Simplified Arabic" w:cs="Simplified Arabic"/>
          <w:color w:val="000000" w:themeColor="text1"/>
          <w:sz w:val="28"/>
          <w:szCs w:val="28"/>
        </w:rPr>
      </w:pPr>
      <w:r w:rsidRPr="006D0851">
        <w:rPr>
          <w:rFonts w:ascii="Simplified Arabic" w:hAnsi="Simplified Arabic" w:cs="Simplified Arabic"/>
          <w:color w:val="000000" w:themeColor="text1"/>
          <w:sz w:val="28"/>
          <w:szCs w:val="28"/>
          <w:rtl/>
        </w:rPr>
        <w:t>وانطلاقاً مما سبق، تسعى هذه الدراسة إلى قياس أثر الحوافز الاستثمارية بأبعادها الأربعة (الحوافز الضريبية، الحوافز المالية، الحوافز التنظيمية والتشريعية، حوافز البنية التحتية والمناطق الاقتصادية) على قرار التوطين الاستثماري للمستثمر الأجنبي في المملكة العربية السعودية في ضوء رؤية 2030، بما يُسهم في تقديم إطار تحليلي متكامل يُمكّن صانعي القرار من تعزيز جاذبية المملكة الاستثمارية وتحقيق مستهدفات الاستراتيجية الوطنية للاستثمار</w:t>
      </w:r>
      <w:r w:rsidRPr="006D0851">
        <w:rPr>
          <w:rFonts w:ascii="Simplified Arabic" w:hAnsi="Simplified Arabic" w:cs="Simplified Arabic"/>
          <w:color w:val="000000" w:themeColor="text1"/>
          <w:sz w:val="28"/>
          <w:szCs w:val="28"/>
        </w:rPr>
        <w:t>.</w:t>
      </w:r>
    </w:p>
    <w:p w14:paraId="1874CF50" w14:textId="3588EEF1" w:rsidR="002B43B8" w:rsidRPr="006D0851" w:rsidRDefault="002B43B8" w:rsidP="002B43B8">
      <w:pPr>
        <w:pStyle w:val="a8"/>
        <w:bidi/>
        <w:spacing w:line="276" w:lineRule="auto"/>
        <w:jc w:val="both"/>
        <w:outlineLvl w:val="1"/>
        <w:rPr>
          <w:rFonts w:ascii="Simplified Arabic" w:hAnsi="Simplified Arabic" w:cs="Simplified Arabic"/>
          <w:b/>
          <w:bCs/>
          <w:color w:val="000000" w:themeColor="text1"/>
          <w:sz w:val="36"/>
          <w:szCs w:val="36"/>
          <w:rtl/>
        </w:rPr>
      </w:pPr>
      <w:bookmarkStart w:id="4" w:name="_Toc233659071"/>
      <w:bookmarkStart w:id="5" w:name="_Toc169790500"/>
      <w:bookmarkEnd w:id="1"/>
      <w:bookmarkEnd w:id="2"/>
      <w:r w:rsidRPr="006D0851">
        <w:rPr>
          <w:rFonts w:ascii="Simplified Arabic" w:hAnsi="Simplified Arabic" w:cs="Simplified Arabic"/>
          <w:b/>
          <w:bCs/>
          <w:color w:val="000000" w:themeColor="text1"/>
          <w:sz w:val="36"/>
          <w:szCs w:val="36"/>
          <w:rtl/>
        </w:rPr>
        <w:t>2.1 مشكلة الدراسة</w:t>
      </w:r>
      <w:bookmarkEnd w:id="4"/>
    </w:p>
    <w:p w14:paraId="5C8CCA98" w14:textId="77777777" w:rsidR="00350539" w:rsidRPr="006D0851" w:rsidRDefault="00350539" w:rsidP="002B43B8">
      <w:pPr>
        <w:pStyle w:val="a8"/>
        <w:bidi/>
        <w:spacing w:line="276" w:lineRule="auto"/>
        <w:ind w:firstLine="424"/>
        <w:jc w:val="both"/>
        <w:rPr>
          <w:rFonts w:ascii="Simplified Arabic" w:hAnsi="Simplified Arabic" w:cs="Simplified Arabic"/>
          <w:color w:val="000000" w:themeColor="text1"/>
          <w:sz w:val="28"/>
          <w:szCs w:val="28"/>
        </w:rPr>
      </w:pPr>
      <w:r w:rsidRPr="006D0851">
        <w:rPr>
          <w:rFonts w:ascii="Simplified Arabic" w:hAnsi="Simplified Arabic" w:cs="Simplified Arabic"/>
          <w:color w:val="000000" w:themeColor="text1"/>
          <w:sz w:val="28"/>
          <w:szCs w:val="28"/>
          <w:rtl/>
        </w:rPr>
        <w:t>تشهد البيئة الاقتصادية الدولية تنافساً متصاعداً بين الدول لاستقطاب تدفقات الاستثمار الأجنبي المباشر، الذي يُعدّ من أبرز محرّكات النمو الاقتصادي ونقل التكنولوجيا وخلق فرص العمل وتعزيز القدرة التنافسية للاقتصادات الوطنية. وفي خضم هذا التنافس، تلجأ الحكومات إلى تقديم حزم متنوعة من الحوافز الاستثمارية كأداة استراتيجية للتأثير على قرارات التوطين الاستثماري للشركات الأجنبية وتوجيهها نحو أسواقها المحلية. غير أن الأدبيات الأكاديمية تكشف عن جدل قائم حول مدى فاعلية هذه الحوافز في التأثير الحقيقي على قرار التوطين، إذ تشير بعض الدراسات كدراسة منظمة التعاون الاقتصادي والتنمية</w:t>
      </w:r>
      <w:r w:rsidRPr="006D0851">
        <w:rPr>
          <w:rFonts w:ascii="Simplified Arabic" w:hAnsi="Simplified Arabic" w:cs="Simplified Arabic"/>
          <w:color w:val="000000" w:themeColor="text1"/>
          <w:sz w:val="28"/>
          <w:szCs w:val="28"/>
        </w:rPr>
        <w:t xml:space="preserve"> (</w:t>
      </w:r>
      <w:proofErr w:type="spellStart"/>
      <w:r w:rsidRPr="006D0851">
        <w:rPr>
          <w:rFonts w:ascii="Simplified Arabic" w:hAnsi="Simplified Arabic" w:cs="Simplified Arabic"/>
          <w:color w:val="000000" w:themeColor="text1"/>
          <w:sz w:val="28"/>
          <w:szCs w:val="28"/>
        </w:rPr>
        <w:t>Kronfol</w:t>
      </w:r>
      <w:proofErr w:type="spellEnd"/>
      <w:r w:rsidRPr="006D0851">
        <w:rPr>
          <w:rFonts w:ascii="Simplified Arabic" w:hAnsi="Simplified Arabic" w:cs="Simplified Arabic"/>
          <w:color w:val="000000" w:themeColor="text1"/>
          <w:sz w:val="28"/>
          <w:szCs w:val="28"/>
        </w:rPr>
        <w:t xml:space="preserve"> &amp; </w:t>
      </w:r>
      <w:proofErr w:type="spellStart"/>
      <w:r w:rsidRPr="006D0851">
        <w:rPr>
          <w:rFonts w:ascii="Simplified Arabic" w:hAnsi="Simplified Arabic" w:cs="Simplified Arabic"/>
          <w:color w:val="000000" w:themeColor="text1"/>
          <w:sz w:val="28"/>
          <w:szCs w:val="28"/>
        </w:rPr>
        <w:t>Steenbergen</w:t>
      </w:r>
      <w:proofErr w:type="spellEnd"/>
      <w:r w:rsidRPr="006D0851">
        <w:rPr>
          <w:rFonts w:ascii="Simplified Arabic" w:hAnsi="Simplified Arabic" w:cs="Simplified Arabic"/>
          <w:color w:val="000000" w:themeColor="text1"/>
          <w:sz w:val="28"/>
          <w:szCs w:val="28"/>
        </w:rPr>
        <w:t xml:space="preserve">, 2024) </w:t>
      </w:r>
      <w:r w:rsidRPr="006D0851">
        <w:rPr>
          <w:rFonts w:ascii="Simplified Arabic" w:hAnsi="Simplified Arabic" w:cs="Simplified Arabic"/>
          <w:color w:val="000000" w:themeColor="text1"/>
          <w:sz w:val="28"/>
          <w:szCs w:val="28"/>
          <w:rtl/>
        </w:rPr>
        <w:t>إلى أن وكالات ترويج الاستثمار في الدول المتقدمة لا تعتبر الحوافز عاملاً حاسماً في قرارات التوطين مقارنة بعوامل أخرى كجودة البنية التحتية والبيئة القانونية، بينما تؤكد دراسات أخرى كدراسة</w:t>
      </w:r>
      <w:r w:rsidRPr="006D0851">
        <w:rPr>
          <w:rFonts w:ascii="Simplified Arabic" w:hAnsi="Simplified Arabic" w:cs="Simplified Arabic"/>
          <w:color w:val="000000" w:themeColor="text1"/>
          <w:sz w:val="28"/>
          <w:szCs w:val="28"/>
        </w:rPr>
        <w:t xml:space="preserve"> (</w:t>
      </w:r>
      <w:proofErr w:type="spellStart"/>
      <w:r w:rsidRPr="006D0851">
        <w:rPr>
          <w:rFonts w:ascii="Simplified Arabic" w:hAnsi="Simplified Arabic" w:cs="Simplified Arabic"/>
          <w:color w:val="000000" w:themeColor="text1"/>
          <w:sz w:val="28"/>
          <w:szCs w:val="28"/>
        </w:rPr>
        <w:t>Katitas</w:t>
      </w:r>
      <w:proofErr w:type="spellEnd"/>
      <w:r w:rsidRPr="006D0851">
        <w:rPr>
          <w:rFonts w:ascii="Simplified Arabic" w:hAnsi="Simplified Arabic" w:cs="Simplified Arabic"/>
          <w:color w:val="000000" w:themeColor="text1"/>
          <w:sz w:val="28"/>
          <w:szCs w:val="28"/>
        </w:rPr>
        <w:t xml:space="preserve"> &amp; Pandya, 2024) </w:t>
      </w:r>
      <w:r w:rsidRPr="006D0851">
        <w:rPr>
          <w:rFonts w:ascii="Simplified Arabic" w:hAnsi="Simplified Arabic" w:cs="Simplified Arabic"/>
          <w:color w:val="000000" w:themeColor="text1"/>
          <w:sz w:val="28"/>
          <w:szCs w:val="28"/>
          <w:rtl/>
        </w:rPr>
        <w:t>أن الحوافز الحقيقية غير الضريبية تمتلك قدرة فعلية على جذب الاستثمار الأجنبي من خلال تخفيف فجوات عدم تماثل المعلومات</w:t>
      </w:r>
      <w:r w:rsidRPr="006D0851">
        <w:rPr>
          <w:rFonts w:ascii="Simplified Arabic" w:hAnsi="Simplified Arabic" w:cs="Simplified Arabic"/>
          <w:color w:val="000000" w:themeColor="text1"/>
          <w:sz w:val="28"/>
          <w:szCs w:val="28"/>
        </w:rPr>
        <w:t>.</w:t>
      </w:r>
    </w:p>
    <w:p w14:paraId="204511BF" w14:textId="7741B880" w:rsidR="00350539" w:rsidRPr="006D0851" w:rsidRDefault="00454A72" w:rsidP="002B43B8">
      <w:pPr>
        <w:pStyle w:val="a8"/>
        <w:bidi/>
        <w:spacing w:line="276" w:lineRule="auto"/>
        <w:ind w:firstLine="424"/>
        <w:jc w:val="both"/>
        <w:rPr>
          <w:rFonts w:ascii="Simplified Arabic" w:hAnsi="Simplified Arabic" w:cs="Simplified Arabic"/>
          <w:color w:val="000000" w:themeColor="text1"/>
          <w:sz w:val="28"/>
          <w:szCs w:val="28"/>
        </w:rPr>
      </w:pPr>
      <w:r w:rsidRPr="006D0851">
        <w:rPr>
          <w:rFonts w:ascii="Simplified Arabic" w:hAnsi="Simplified Arabic" w:cs="Simplified Arabic"/>
          <w:color w:val="000000" w:themeColor="text1"/>
          <w:sz w:val="28"/>
          <w:szCs w:val="28"/>
          <w:rtl/>
        </w:rPr>
        <w:lastRenderedPageBreak/>
        <w:t>و</w:t>
      </w:r>
      <w:r w:rsidR="00350539" w:rsidRPr="006D0851">
        <w:rPr>
          <w:rFonts w:ascii="Simplified Arabic" w:hAnsi="Simplified Arabic" w:cs="Simplified Arabic"/>
          <w:color w:val="000000" w:themeColor="text1"/>
          <w:sz w:val="28"/>
          <w:szCs w:val="28"/>
          <w:rtl/>
        </w:rPr>
        <w:t xml:space="preserve"> تبنّت المملكة العربية السعودية في إطار رؤية 2030 استراتيجية طموحة لتنويع مصادر الدخل الوطني والحد من الاعتماد على العائدات النفطية، حيث حدّدت الاستراتيجية الوطنية للاستثمار هدفاً يتمثل في رفع حجم الاستثمار الأجنبي المباشر إلى 388 مليار ريال سعودي بحلول عام 2030. ولتحقيق هذا المستهدف، أطلقت المملكة حزمة واسعة من الإصلاحات التشريعية والحوافز الاستثمارية شملت تعديل نظام الاستثمار الأجنبي، وإنشاء مناطق اقتصادية خاصة، وتقديم إعفاءات ضريبية وجمركية، وتبسيط إجراءات التراخيص. بيد أن الواقع يكشف عن فجوة ملحوظة بين المستهدفات المرسومة والتدفقات الفعلية، إذ تشير بيانات الهيئة العامة للإحصاء إلى أن معدل النمو السنوي الفعلي للاستثمار الأجنبي يبلغ نحو 10</w:t>
      </w:r>
      <w:r w:rsidR="00350539" w:rsidRPr="006D0851">
        <w:rPr>
          <w:rFonts w:ascii="Simplified Arabic" w:hAnsi="Simplified Arabic" w:cs="Simplified Arabic"/>
          <w:color w:val="000000" w:themeColor="text1"/>
          <w:sz w:val="28"/>
          <w:szCs w:val="28"/>
        </w:rPr>
        <w:t>%</w:t>
      </w:r>
      <w:r w:rsidR="00350539" w:rsidRPr="006D0851">
        <w:rPr>
          <w:rFonts w:ascii="Simplified Arabic" w:hAnsi="Simplified Arabic" w:cs="Simplified Arabic"/>
          <w:color w:val="000000" w:themeColor="text1"/>
          <w:sz w:val="28"/>
          <w:szCs w:val="28"/>
          <w:rtl/>
        </w:rPr>
        <w:t>، وهو ما يجعل التوقعات بحلول عام 2030 تقف عند حدود 15 مليار دولار فقط وفقاً لدراسة</w:t>
      </w:r>
      <w:r w:rsidR="00350539" w:rsidRPr="006D0851">
        <w:rPr>
          <w:rFonts w:ascii="Simplified Arabic" w:hAnsi="Simplified Arabic" w:cs="Simplified Arabic"/>
          <w:color w:val="000000" w:themeColor="text1"/>
          <w:sz w:val="28"/>
          <w:szCs w:val="28"/>
        </w:rPr>
        <w:t xml:space="preserve"> (Binkhamis et al., 2025)</w:t>
      </w:r>
      <w:r w:rsidR="00350539" w:rsidRPr="006D0851">
        <w:rPr>
          <w:rFonts w:ascii="Simplified Arabic" w:hAnsi="Simplified Arabic" w:cs="Simplified Arabic"/>
          <w:color w:val="000000" w:themeColor="text1"/>
          <w:sz w:val="28"/>
          <w:szCs w:val="28"/>
          <w:rtl/>
        </w:rPr>
        <w:t>، مما يطرح تساؤلات جوهرية حول مدى كفاية الحوافز المقدمة وفاعليتها في التأثير على قرارات التوطين</w:t>
      </w:r>
      <w:r w:rsidR="00350539" w:rsidRPr="006D0851">
        <w:rPr>
          <w:rFonts w:ascii="Simplified Arabic" w:hAnsi="Simplified Arabic" w:cs="Simplified Arabic"/>
          <w:color w:val="000000" w:themeColor="text1"/>
          <w:sz w:val="28"/>
          <w:szCs w:val="28"/>
        </w:rPr>
        <w:t>.</w:t>
      </w:r>
    </w:p>
    <w:p w14:paraId="20601939" w14:textId="77777777" w:rsidR="00350539" w:rsidRPr="006D0851" w:rsidRDefault="00350539" w:rsidP="002B43B8">
      <w:pPr>
        <w:pStyle w:val="a8"/>
        <w:bidi/>
        <w:spacing w:line="276" w:lineRule="auto"/>
        <w:ind w:firstLine="424"/>
        <w:jc w:val="both"/>
        <w:rPr>
          <w:rFonts w:ascii="Simplified Arabic" w:hAnsi="Simplified Arabic" w:cs="Simplified Arabic"/>
          <w:color w:val="000000" w:themeColor="text1"/>
          <w:sz w:val="28"/>
          <w:szCs w:val="28"/>
        </w:rPr>
      </w:pPr>
      <w:r w:rsidRPr="006D0851">
        <w:rPr>
          <w:rFonts w:ascii="Simplified Arabic" w:hAnsi="Simplified Arabic" w:cs="Simplified Arabic"/>
          <w:color w:val="000000" w:themeColor="text1"/>
          <w:sz w:val="28"/>
          <w:szCs w:val="28"/>
          <w:rtl/>
        </w:rPr>
        <w:t xml:space="preserve">وعليه، تتبلور مشكلة الدراسة في الحاجة العلمية والعملية الماسّة إلى بناء نموذج تحليلي متكامل يقيس أثر الحوافز الاستثمارية بأبعادها الأربعة (الحوافز الضريبية، الحوافز المالية، الحوافز التنظيمية والتشريعية، حوافز البنية التحتية والمناطق الاقتصادية) على قرار التوطين الاستثماري للمستثمر الأجنبي في المملكة العربية السعودية، ويحدد الأهمية النسبية لكل بُعد ودرجة إسهامه في تفسير التباين في هذا القرار، بما يُمكّن صانعي السياسات من توجيه الموارد نحو الحوافز الأعلى فاعلية وتصحيح مسار منظومة الحوافز لتحقيق المستهدفات الاستراتيجية لرؤية </w:t>
      </w:r>
      <w:r w:rsidRPr="006D0851">
        <w:rPr>
          <w:rFonts w:ascii="Simplified Arabic" w:hAnsi="Simplified Arabic" w:cs="Simplified Arabic"/>
          <w:color w:val="000000" w:themeColor="text1"/>
          <w:sz w:val="28"/>
          <w:szCs w:val="28"/>
        </w:rPr>
        <w:t xml:space="preserve">2030. </w:t>
      </w:r>
      <w:r w:rsidRPr="006D0851">
        <w:rPr>
          <w:rFonts w:ascii="Simplified Arabic" w:hAnsi="Simplified Arabic" w:cs="Simplified Arabic"/>
          <w:color w:val="000000" w:themeColor="text1"/>
          <w:sz w:val="28"/>
          <w:szCs w:val="28"/>
          <w:rtl/>
        </w:rPr>
        <w:t>وتتمحور مشكلة الدراسة في السؤال الرئيسي التالي</w:t>
      </w:r>
      <w:r w:rsidRPr="006D0851">
        <w:rPr>
          <w:rFonts w:ascii="Simplified Arabic" w:hAnsi="Simplified Arabic" w:cs="Simplified Arabic"/>
          <w:color w:val="000000" w:themeColor="text1"/>
          <w:sz w:val="28"/>
          <w:szCs w:val="28"/>
        </w:rPr>
        <w:t xml:space="preserve">: </w:t>
      </w:r>
      <w:r w:rsidRPr="006D0851">
        <w:rPr>
          <w:rStyle w:val="a9"/>
          <w:rFonts w:ascii="Simplified Arabic" w:hAnsi="Simplified Arabic" w:cs="Simplified Arabic"/>
          <w:b w:val="0"/>
          <w:bCs w:val="0"/>
          <w:color w:val="000000" w:themeColor="text1"/>
          <w:sz w:val="28"/>
          <w:szCs w:val="28"/>
          <w:rtl/>
        </w:rPr>
        <w:t>ما أثر الحوافز الاستثمارية بأبعادها (الحوافز الضريبية، الحوافز المالية، الحوافز التنظيمية والتشريعية، حوافز البنية التحتية والمناطق الاقتصادية) على قرار التوطين الاستثماري للمستثمر الأجنبي في المملكة العربية السعودية؟</w:t>
      </w:r>
    </w:p>
    <w:p w14:paraId="41FBB7EA" w14:textId="3008AC72" w:rsidR="002B43B8" w:rsidRPr="006D0851" w:rsidRDefault="002B43B8" w:rsidP="002B43B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6" w:name="_Toc233659072"/>
      <w:r w:rsidRPr="006D0851">
        <w:rPr>
          <w:rFonts w:ascii="Simplified Arabic" w:eastAsia="Times New Roman" w:hAnsi="Simplified Arabic" w:cs="Simplified Arabic"/>
          <w:b/>
          <w:bCs/>
          <w:color w:val="000000" w:themeColor="text1"/>
          <w:kern w:val="0"/>
          <w:sz w:val="36"/>
          <w:szCs w:val="36"/>
          <w:rtl/>
          <w14:ligatures w14:val="none"/>
        </w:rPr>
        <w:t>3.1 أهداف الدراسة</w:t>
      </w:r>
      <w:bookmarkEnd w:id="6"/>
    </w:p>
    <w:p w14:paraId="6FF804B1" w14:textId="77777777" w:rsidR="00350539" w:rsidRPr="006D0851" w:rsidRDefault="00350539" w:rsidP="002B4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تهدف هذه الدراسة إلى دراسة أثر الحوافز الاستثمارية بأبعادها (الحوافز الضريبية، الحوافز المالية، الحوافز التنظيمية والتشريعية، حوافز البنية التحتية والمناطق الاقتصادية) على قرار التوطين الاستثماري للمستثمر الأجنبي في المملكة العربية السعودية في ضوء رؤية 2030</w:t>
      </w:r>
      <w:r w:rsidRPr="006D0851">
        <w:rPr>
          <w:rFonts w:ascii="Simplified Arabic" w:eastAsia="Times New Roman" w:hAnsi="Simplified Arabic" w:cs="Simplified Arabic"/>
          <w:color w:val="000000" w:themeColor="text1"/>
          <w:kern w:val="0"/>
          <w:sz w:val="28"/>
          <w:szCs w:val="28"/>
          <w14:ligatures w14:val="none"/>
        </w:rPr>
        <w:t>.</w:t>
      </w:r>
    </w:p>
    <w:p w14:paraId="52F5C7E3" w14:textId="77777777" w:rsidR="00350539" w:rsidRPr="006D0851" w:rsidRDefault="00350539" w:rsidP="002B43B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D0851">
        <w:rPr>
          <w:rFonts w:ascii="Simplified Arabic" w:eastAsia="Times New Roman" w:hAnsi="Simplified Arabic" w:cs="Simplified Arabic"/>
          <w:b/>
          <w:bCs/>
          <w:color w:val="000000" w:themeColor="text1"/>
          <w:kern w:val="0"/>
          <w:sz w:val="28"/>
          <w:szCs w:val="28"/>
          <w:rtl/>
          <w14:ligatures w14:val="none"/>
        </w:rPr>
        <w:t>تتفرع من الهدف الرئيسي الأهداف الفرعية التالية</w:t>
      </w:r>
      <w:r w:rsidRPr="006D0851">
        <w:rPr>
          <w:rFonts w:ascii="Simplified Arabic" w:eastAsia="Times New Roman" w:hAnsi="Simplified Arabic" w:cs="Simplified Arabic"/>
          <w:b/>
          <w:bCs/>
          <w:color w:val="000000" w:themeColor="text1"/>
          <w:kern w:val="0"/>
          <w:sz w:val="28"/>
          <w:szCs w:val="28"/>
          <w14:ligatures w14:val="none"/>
        </w:rPr>
        <w:t>:</w:t>
      </w:r>
    </w:p>
    <w:p w14:paraId="3A023ECF" w14:textId="2F4FF0F9" w:rsidR="00350539" w:rsidRPr="006D0851" w:rsidRDefault="00350539" w:rsidP="002B43B8">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lastRenderedPageBreak/>
        <w:t>التعرف على أثر الحوافز الضريبية على قرار التوطين الاستثماري للمستثمر الأجنبي في المملكة العربية السعودية</w:t>
      </w:r>
      <w:r w:rsidRPr="006D0851">
        <w:rPr>
          <w:rFonts w:ascii="Simplified Arabic" w:eastAsia="Times New Roman" w:hAnsi="Simplified Arabic" w:cs="Simplified Arabic"/>
          <w:color w:val="000000" w:themeColor="text1"/>
          <w:kern w:val="0"/>
          <w:sz w:val="28"/>
          <w:szCs w:val="28"/>
          <w14:ligatures w14:val="none"/>
        </w:rPr>
        <w:t>.</w:t>
      </w:r>
    </w:p>
    <w:p w14:paraId="033061E5" w14:textId="28DC5EA5" w:rsidR="00350539" w:rsidRPr="006D0851" w:rsidRDefault="00350539" w:rsidP="002B43B8">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قياس أثر الحوافز المالية على قرار التوطين الاستثماري للمستثمر الأجنبي في المملكة العربية السعودية</w:t>
      </w:r>
      <w:r w:rsidRPr="006D0851">
        <w:rPr>
          <w:rFonts w:ascii="Simplified Arabic" w:eastAsia="Times New Roman" w:hAnsi="Simplified Arabic" w:cs="Simplified Arabic"/>
          <w:color w:val="000000" w:themeColor="text1"/>
          <w:kern w:val="0"/>
          <w:sz w:val="28"/>
          <w:szCs w:val="28"/>
          <w14:ligatures w14:val="none"/>
        </w:rPr>
        <w:t>.</w:t>
      </w:r>
    </w:p>
    <w:p w14:paraId="722847BC" w14:textId="29279FC8" w:rsidR="00350539" w:rsidRPr="006D0851" w:rsidRDefault="00350539" w:rsidP="002B43B8">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تحديد أثر الحوافز التنظيمية والتشريعية على قرار التوطين الاستثماري للمستثمر الأجنبي في المملكة العربية السعودية</w:t>
      </w:r>
      <w:r w:rsidRPr="006D0851">
        <w:rPr>
          <w:rFonts w:ascii="Simplified Arabic" w:eastAsia="Times New Roman" w:hAnsi="Simplified Arabic" w:cs="Simplified Arabic"/>
          <w:color w:val="000000" w:themeColor="text1"/>
          <w:kern w:val="0"/>
          <w:sz w:val="28"/>
          <w:szCs w:val="28"/>
          <w14:ligatures w14:val="none"/>
        </w:rPr>
        <w:t>.</w:t>
      </w:r>
    </w:p>
    <w:p w14:paraId="0E54E453" w14:textId="70298C34" w:rsidR="00350539" w:rsidRPr="006D0851" w:rsidRDefault="00350539" w:rsidP="002B43B8">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تحليل أثر حوافز البنية التحتية والمناطق الاقتصادية على قرار التوطين الاستثماري للمستثمر الأجنبي في المملكة العربية السعودية</w:t>
      </w:r>
      <w:r w:rsidRPr="006D0851">
        <w:rPr>
          <w:rFonts w:ascii="Simplified Arabic" w:eastAsia="Times New Roman" w:hAnsi="Simplified Arabic" w:cs="Simplified Arabic"/>
          <w:color w:val="000000" w:themeColor="text1"/>
          <w:kern w:val="0"/>
          <w:sz w:val="28"/>
          <w:szCs w:val="28"/>
          <w14:ligatures w14:val="none"/>
        </w:rPr>
        <w:t>.</w:t>
      </w:r>
    </w:p>
    <w:p w14:paraId="6FD2D99F" w14:textId="77777777" w:rsidR="00350539" w:rsidRPr="006D0851" w:rsidRDefault="00350539" w:rsidP="002B43B8">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بناء نموذج متكامل يوضح العلاقات السببية بين أبعاد الحوافز الاستثمارية وقرار التوطين الاستثماري، وتحديد التأثيرات المباشرة وغير المباشرة لكل بُعد</w:t>
      </w:r>
      <w:r w:rsidRPr="006D0851">
        <w:rPr>
          <w:rFonts w:ascii="Simplified Arabic" w:eastAsia="Times New Roman" w:hAnsi="Simplified Arabic" w:cs="Simplified Arabic"/>
          <w:color w:val="000000" w:themeColor="text1"/>
          <w:kern w:val="0"/>
          <w:sz w:val="28"/>
          <w:szCs w:val="28"/>
          <w14:ligatures w14:val="none"/>
        </w:rPr>
        <w:t>.</w:t>
      </w:r>
    </w:p>
    <w:p w14:paraId="06F3ADFD" w14:textId="77777777" w:rsidR="00350539" w:rsidRPr="006D0851" w:rsidRDefault="00350539" w:rsidP="002B43B8">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تقديم إطار مقترح لتطوير منظومة الحوافز الاستثمارية في المملكة العربية السعودية بما يعزز جاذبيتها للاستثمارات الأجنبية المباشرة ويحقق مستهدفات رؤية 2030</w:t>
      </w:r>
      <w:r w:rsidRPr="006D0851">
        <w:rPr>
          <w:rFonts w:ascii="Simplified Arabic" w:eastAsia="Times New Roman" w:hAnsi="Simplified Arabic" w:cs="Simplified Arabic"/>
          <w:color w:val="000000" w:themeColor="text1"/>
          <w:kern w:val="0"/>
          <w:sz w:val="28"/>
          <w:szCs w:val="28"/>
          <w14:ligatures w14:val="none"/>
        </w:rPr>
        <w:t>.</w:t>
      </w:r>
    </w:p>
    <w:p w14:paraId="5904320E" w14:textId="77777777" w:rsidR="002B43B8" w:rsidRPr="006D0851" w:rsidRDefault="002B43B8" w:rsidP="002B43B8">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7" w:name="_Toc233659073"/>
      <w:r w:rsidRPr="006D0851">
        <w:rPr>
          <w:rFonts w:ascii="Simplified Arabic" w:eastAsia="Times New Roman" w:hAnsi="Simplified Arabic" w:cs="Simplified Arabic"/>
          <w:b/>
          <w:bCs/>
          <w:color w:val="000000" w:themeColor="text1"/>
          <w:kern w:val="0"/>
          <w:sz w:val="36"/>
          <w:szCs w:val="36"/>
          <w:rtl/>
          <w14:ligatures w14:val="none"/>
        </w:rPr>
        <w:t>4.1 أسئلة الدراسة</w:t>
      </w:r>
      <w:bookmarkEnd w:id="7"/>
    </w:p>
    <w:p w14:paraId="45861F95" w14:textId="110121F3" w:rsidR="002B43B8" w:rsidRPr="006D0851" w:rsidRDefault="002B43B8" w:rsidP="002B43B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6D0851">
        <w:rPr>
          <w:rFonts w:ascii="Simplified Arabic" w:eastAsia="Times New Roman" w:hAnsi="Simplified Arabic" w:cs="Simplified Arabic"/>
          <w:b/>
          <w:bCs/>
          <w:color w:val="000000" w:themeColor="text1"/>
          <w:kern w:val="0"/>
          <w:sz w:val="32"/>
          <w:szCs w:val="32"/>
          <w:rtl/>
          <w14:ligatures w14:val="none"/>
        </w:rPr>
        <w:t>السؤال الرئيسي</w:t>
      </w:r>
    </w:p>
    <w:p w14:paraId="5B4D9F8D" w14:textId="77777777" w:rsidR="00350539" w:rsidRPr="006D0851" w:rsidRDefault="00350539" w:rsidP="002B4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 xml:space="preserve">ما أثر الحوافز الاستثمارية بأبعادها </w:t>
      </w:r>
      <w:r w:rsidRPr="006D0851">
        <w:rPr>
          <w:rFonts w:ascii="Simplified Arabic" w:eastAsia="Times New Roman" w:hAnsi="Simplified Arabic" w:cs="Simplified Arabic"/>
          <w:color w:val="000000" w:themeColor="text1"/>
          <w:kern w:val="0"/>
          <w:sz w:val="28"/>
          <w:szCs w:val="28"/>
          <w14:ligatures w14:val="none"/>
        </w:rPr>
        <w:t>(</w:t>
      </w:r>
      <w:r w:rsidRPr="006D0851">
        <w:rPr>
          <w:rFonts w:ascii="Simplified Arabic" w:eastAsia="Times New Roman" w:hAnsi="Simplified Arabic" w:cs="Simplified Arabic"/>
          <w:color w:val="000000" w:themeColor="text1"/>
          <w:kern w:val="0"/>
          <w:sz w:val="28"/>
          <w:szCs w:val="28"/>
          <w:rtl/>
          <w14:ligatures w14:val="none"/>
        </w:rPr>
        <w:t>الحوافز الضريبية، الحوافز المالية، الحوافز التنظيمية والتشريعية، حوافز البنية التحتية والمناطق الاقتصادية) على قرار التوطين الاستثماري للمستثمر الأجنبي في المملكة العربية السعودية؟</w:t>
      </w:r>
    </w:p>
    <w:p w14:paraId="4BEED703" w14:textId="77777777" w:rsidR="00350539" w:rsidRPr="006D0851" w:rsidRDefault="00350539" w:rsidP="002B43B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8" w:name="_Toc223938571"/>
      <w:r w:rsidRPr="006D0851">
        <w:rPr>
          <w:rFonts w:ascii="Simplified Arabic" w:eastAsia="Times New Roman" w:hAnsi="Simplified Arabic" w:cs="Simplified Arabic"/>
          <w:b/>
          <w:bCs/>
          <w:color w:val="000000" w:themeColor="text1"/>
          <w:kern w:val="0"/>
          <w:sz w:val="32"/>
          <w:szCs w:val="32"/>
          <w:rtl/>
          <w14:ligatures w14:val="none"/>
        </w:rPr>
        <w:t>الأسئلة الفرعية</w:t>
      </w:r>
      <w:bookmarkEnd w:id="8"/>
    </w:p>
    <w:p w14:paraId="24BB726C" w14:textId="77777777" w:rsidR="00350539" w:rsidRPr="006D0851" w:rsidRDefault="00350539" w:rsidP="002B43B8">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ما أثر الحوافز الضريبية على قرار التوطين الاستثماري للمستثمر الأجنبي في المملكة العربية السعودية؟</w:t>
      </w:r>
    </w:p>
    <w:p w14:paraId="46215507" w14:textId="77777777" w:rsidR="00350539" w:rsidRPr="006D0851" w:rsidRDefault="00350539" w:rsidP="002B43B8">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ما أثر الحوافز المالية على قرار التوطين الاستثماري للمستثمر الأجنبي في المملكة العربية السعودية؟</w:t>
      </w:r>
    </w:p>
    <w:p w14:paraId="07C7C570" w14:textId="77777777" w:rsidR="00350539" w:rsidRPr="006D0851" w:rsidRDefault="00350539" w:rsidP="002B43B8">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ما أثر الحوافز التنظيمية والتشريعية على قرار التوطين الاستثماري للمستثمر الأجنبي في المملكة العربية السعودية؟</w:t>
      </w:r>
    </w:p>
    <w:p w14:paraId="15EE0FA4" w14:textId="77777777" w:rsidR="00350539" w:rsidRPr="006D0851" w:rsidRDefault="00350539" w:rsidP="002B43B8">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lastRenderedPageBreak/>
        <w:t>ما أثر حوافز البنية التحتية والمناطق الاقتصادية على قرار التوطين الاستثماري للمستثمر الأجنبي في المملكة العربية السعودية؟</w:t>
      </w:r>
    </w:p>
    <w:p w14:paraId="67433671" w14:textId="77777777" w:rsidR="00350539" w:rsidRPr="006D0851" w:rsidRDefault="00350539" w:rsidP="002B43B8">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ما النموذج الأمثل للعلاقات السببية بين أبعاد الحوافز الاستثمارية مجتمعة وقرار التوطين الاستثماري للمستثمر الأجنبي في المملكة؟</w:t>
      </w:r>
    </w:p>
    <w:p w14:paraId="273ADD47" w14:textId="77777777" w:rsidR="002B43B8" w:rsidRPr="006D0851" w:rsidRDefault="002B43B8" w:rsidP="002B43B8">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9" w:name="_Toc233659074"/>
      <w:r w:rsidRPr="006D0851">
        <w:rPr>
          <w:rFonts w:ascii="Simplified Arabic" w:eastAsia="Times New Roman" w:hAnsi="Simplified Arabic" w:cs="Simplified Arabic"/>
          <w:b/>
          <w:bCs/>
          <w:color w:val="000000" w:themeColor="text1"/>
          <w:kern w:val="0"/>
          <w:sz w:val="36"/>
          <w:szCs w:val="36"/>
          <w:rtl/>
          <w14:ligatures w14:val="none"/>
        </w:rPr>
        <w:t>5.1 فروض الدراسة</w:t>
      </w:r>
      <w:bookmarkEnd w:id="9"/>
    </w:p>
    <w:p w14:paraId="7065AB35" w14:textId="1847ACA2" w:rsidR="002B43B8" w:rsidRPr="006D0851" w:rsidRDefault="002B43B8" w:rsidP="002B43B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6D0851">
        <w:rPr>
          <w:rFonts w:ascii="Simplified Arabic" w:eastAsia="Times New Roman" w:hAnsi="Simplified Arabic" w:cs="Simplified Arabic"/>
          <w:b/>
          <w:bCs/>
          <w:color w:val="000000" w:themeColor="text1"/>
          <w:kern w:val="0"/>
          <w:sz w:val="32"/>
          <w:szCs w:val="32"/>
          <w:rtl/>
          <w14:ligatures w14:val="none"/>
        </w:rPr>
        <w:t>الفرض الرئيسي</w:t>
      </w:r>
    </w:p>
    <w:p w14:paraId="3CECA8AC" w14:textId="77777777" w:rsidR="00350539" w:rsidRPr="006D0851" w:rsidRDefault="00350539" w:rsidP="002B43B8">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6D0851">
        <w:rPr>
          <w:rFonts w:ascii="Simplified Arabic" w:eastAsia="Times New Roman" w:hAnsi="Simplified Arabic" w:cs="Simplified Arabic"/>
          <w:color w:val="000000" w:themeColor="text1"/>
          <w:kern w:val="0"/>
          <w:sz w:val="28"/>
          <w:szCs w:val="28"/>
          <w14:ligatures w14:val="none"/>
        </w:rPr>
        <w:t xml:space="preserve"> (</w:t>
      </w:r>
      <w:r w:rsidRPr="006D0851">
        <w:rPr>
          <w:rFonts w:ascii="Cambria" w:eastAsia="Times New Roman" w:hAnsi="Cambria" w:cs="Cambria"/>
          <w:color w:val="000000" w:themeColor="text1"/>
          <w:kern w:val="0"/>
          <w:sz w:val="28"/>
          <w:szCs w:val="28"/>
          <w14:ligatures w14:val="none"/>
        </w:rPr>
        <w:t>α</w:t>
      </w:r>
      <w:r w:rsidRPr="006D0851">
        <w:rPr>
          <w:rFonts w:ascii="Simplified Arabic" w:eastAsia="Times New Roman" w:hAnsi="Simplified Arabic" w:cs="Simplified Arabic"/>
          <w:color w:val="000000" w:themeColor="text1"/>
          <w:kern w:val="0"/>
          <w:sz w:val="28"/>
          <w:szCs w:val="28"/>
          <w14:ligatures w14:val="none"/>
        </w:rPr>
        <w:t xml:space="preserve"> </w:t>
      </w:r>
      <w:r w:rsidRPr="006D0851">
        <w:rPr>
          <w:rFonts w:ascii="Times New Roman" w:eastAsia="Times New Roman" w:hAnsi="Times New Roman" w:cs="Times New Roman"/>
          <w:color w:val="000000" w:themeColor="text1"/>
          <w:kern w:val="0"/>
          <w:sz w:val="28"/>
          <w:szCs w:val="28"/>
          <w14:ligatures w14:val="none"/>
        </w:rPr>
        <w:t>≤</w:t>
      </w:r>
      <w:r w:rsidRPr="006D0851">
        <w:rPr>
          <w:rFonts w:ascii="Simplified Arabic" w:eastAsia="Times New Roman" w:hAnsi="Simplified Arabic" w:cs="Simplified Arabic"/>
          <w:color w:val="000000" w:themeColor="text1"/>
          <w:kern w:val="0"/>
          <w:sz w:val="28"/>
          <w:szCs w:val="28"/>
          <w14:ligatures w14:val="none"/>
        </w:rPr>
        <w:t xml:space="preserve"> 0.05) </w:t>
      </w:r>
      <w:r w:rsidRPr="006D0851">
        <w:rPr>
          <w:rFonts w:ascii="Simplified Arabic" w:eastAsia="Times New Roman" w:hAnsi="Simplified Arabic" w:cs="Simplified Arabic"/>
          <w:color w:val="000000" w:themeColor="text1"/>
          <w:kern w:val="0"/>
          <w:sz w:val="28"/>
          <w:szCs w:val="28"/>
          <w:rtl/>
          <w14:ligatures w14:val="none"/>
        </w:rPr>
        <w:t>للحوافز الاستثمارية بأبعادها (الحوافز الضريبية، الحوافز المالية، الحوافز التنظيمية والتشريعية، حوافز البنية التحتية والمناطق الاقتصادية) على قرار التوطين الاستثماري للمستثمر الأجنبي في المملكة العربية السعودية</w:t>
      </w:r>
      <w:r w:rsidRPr="006D0851">
        <w:rPr>
          <w:rFonts w:ascii="Simplified Arabic" w:eastAsia="Times New Roman" w:hAnsi="Simplified Arabic" w:cs="Simplified Arabic"/>
          <w:color w:val="000000" w:themeColor="text1"/>
          <w:kern w:val="0"/>
          <w:sz w:val="28"/>
          <w:szCs w:val="28"/>
          <w14:ligatures w14:val="none"/>
        </w:rPr>
        <w:t>.</w:t>
      </w:r>
    </w:p>
    <w:p w14:paraId="5E0FA2A1" w14:textId="77777777" w:rsidR="00350539" w:rsidRPr="006D0851" w:rsidRDefault="00350539" w:rsidP="002B43B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0" w:name="_Toc223938574"/>
      <w:r w:rsidRPr="006D0851">
        <w:rPr>
          <w:rFonts w:ascii="Simplified Arabic" w:eastAsia="Times New Roman" w:hAnsi="Simplified Arabic" w:cs="Simplified Arabic"/>
          <w:b/>
          <w:bCs/>
          <w:color w:val="000000" w:themeColor="text1"/>
          <w:kern w:val="0"/>
          <w:sz w:val="32"/>
          <w:szCs w:val="32"/>
          <w:rtl/>
          <w14:ligatures w14:val="none"/>
        </w:rPr>
        <w:t>الفروض الفرعية</w:t>
      </w:r>
      <w:bookmarkEnd w:id="10"/>
    </w:p>
    <w:p w14:paraId="18DEDF1F" w14:textId="77777777" w:rsidR="00350539" w:rsidRPr="006D0851" w:rsidRDefault="00350539" w:rsidP="002B43B8">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الفرض الفرعي الأول</w:t>
      </w:r>
      <w:r w:rsidRPr="006D0851">
        <w:rPr>
          <w:rFonts w:ascii="Simplified Arabic" w:eastAsia="Times New Roman" w:hAnsi="Simplified Arabic" w:cs="Simplified Arabic"/>
          <w:color w:val="000000" w:themeColor="text1"/>
          <w:kern w:val="0"/>
          <w:sz w:val="28"/>
          <w:szCs w:val="28"/>
          <w14:ligatures w14:val="none"/>
        </w:rPr>
        <w:t xml:space="preserve">: </w:t>
      </w:r>
      <w:r w:rsidRPr="006D0851">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6D0851">
        <w:rPr>
          <w:rFonts w:ascii="Simplified Arabic" w:eastAsia="Times New Roman" w:hAnsi="Simplified Arabic" w:cs="Simplified Arabic"/>
          <w:color w:val="000000" w:themeColor="text1"/>
          <w:kern w:val="0"/>
          <w:sz w:val="28"/>
          <w:szCs w:val="28"/>
          <w14:ligatures w14:val="none"/>
        </w:rPr>
        <w:t xml:space="preserve"> (</w:t>
      </w:r>
      <w:r w:rsidRPr="006D0851">
        <w:rPr>
          <w:rFonts w:ascii="Cambria" w:eastAsia="Times New Roman" w:hAnsi="Cambria" w:cs="Cambria"/>
          <w:color w:val="000000" w:themeColor="text1"/>
          <w:kern w:val="0"/>
          <w:sz w:val="28"/>
          <w:szCs w:val="28"/>
          <w14:ligatures w14:val="none"/>
        </w:rPr>
        <w:t>α</w:t>
      </w:r>
      <w:r w:rsidRPr="006D0851">
        <w:rPr>
          <w:rFonts w:ascii="Simplified Arabic" w:eastAsia="Times New Roman" w:hAnsi="Simplified Arabic" w:cs="Simplified Arabic"/>
          <w:color w:val="000000" w:themeColor="text1"/>
          <w:kern w:val="0"/>
          <w:sz w:val="28"/>
          <w:szCs w:val="28"/>
          <w14:ligatures w14:val="none"/>
        </w:rPr>
        <w:t xml:space="preserve"> </w:t>
      </w:r>
      <w:r w:rsidRPr="006D0851">
        <w:rPr>
          <w:rFonts w:ascii="Times New Roman" w:eastAsia="Times New Roman" w:hAnsi="Times New Roman" w:cs="Times New Roman"/>
          <w:color w:val="000000" w:themeColor="text1"/>
          <w:kern w:val="0"/>
          <w:sz w:val="28"/>
          <w:szCs w:val="28"/>
          <w14:ligatures w14:val="none"/>
        </w:rPr>
        <w:t>≤</w:t>
      </w:r>
      <w:r w:rsidRPr="006D0851">
        <w:rPr>
          <w:rFonts w:ascii="Simplified Arabic" w:eastAsia="Times New Roman" w:hAnsi="Simplified Arabic" w:cs="Simplified Arabic"/>
          <w:color w:val="000000" w:themeColor="text1"/>
          <w:kern w:val="0"/>
          <w:sz w:val="28"/>
          <w:szCs w:val="28"/>
          <w14:ligatures w14:val="none"/>
        </w:rPr>
        <w:t xml:space="preserve"> 0.05) </w:t>
      </w:r>
      <w:r w:rsidRPr="006D0851">
        <w:rPr>
          <w:rFonts w:ascii="Simplified Arabic" w:eastAsia="Times New Roman" w:hAnsi="Simplified Arabic" w:cs="Simplified Arabic"/>
          <w:color w:val="000000" w:themeColor="text1"/>
          <w:kern w:val="0"/>
          <w:sz w:val="28"/>
          <w:szCs w:val="28"/>
          <w:rtl/>
          <w14:ligatures w14:val="none"/>
        </w:rPr>
        <w:t>للحوافز الضريبية على قرار التوطين الاستثماري للمستثمر الأجنبي في المملكة العربية السعودية</w:t>
      </w:r>
      <w:r w:rsidRPr="006D0851">
        <w:rPr>
          <w:rFonts w:ascii="Simplified Arabic" w:eastAsia="Times New Roman" w:hAnsi="Simplified Arabic" w:cs="Simplified Arabic"/>
          <w:color w:val="000000" w:themeColor="text1"/>
          <w:kern w:val="0"/>
          <w:sz w:val="28"/>
          <w:szCs w:val="28"/>
          <w14:ligatures w14:val="none"/>
        </w:rPr>
        <w:t>.</w:t>
      </w:r>
    </w:p>
    <w:p w14:paraId="39225991" w14:textId="77777777" w:rsidR="00350539" w:rsidRPr="006D0851" w:rsidRDefault="00350539" w:rsidP="002B43B8">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الفرض الفرعي الثاني</w:t>
      </w:r>
      <w:r w:rsidRPr="006D0851">
        <w:rPr>
          <w:rFonts w:ascii="Simplified Arabic" w:eastAsia="Times New Roman" w:hAnsi="Simplified Arabic" w:cs="Simplified Arabic"/>
          <w:color w:val="000000" w:themeColor="text1"/>
          <w:kern w:val="0"/>
          <w:sz w:val="28"/>
          <w:szCs w:val="28"/>
          <w14:ligatures w14:val="none"/>
        </w:rPr>
        <w:t xml:space="preserve">: </w:t>
      </w:r>
      <w:r w:rsidRPr="006D0851">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6D0851">
        <w:rPr>
          <w:rFonts w:ascii="Simplified Arabic" w:eastAsia="Times New Roman" w:hAnsi="Simplified Arabic" w:cs="Simplified Arabic"/>
          <w:color w:val="000000" w:themeColor="text1"/>
          <w:kern w:val="0"/>
          <w:sz w:val="28"/>
          <w:szCs w:val="28"/>
          <w14:ligatures w14:val="none"/>
        </w:rPr>
        <w:t xml:space="preserve"> (</w:t>
      </w:r>
      <w:r w:rsidRPr="006D0851">
        <w:rPr>
          <w:rFonts w:ascii="Cambria" w:eastAsia="Times New Roman" w:hAnsi="Cambria" w:cs="Cambria"/>
          <w:color w:val="000000" w:themeColor="text1"/>
          <w:kern w:val="0"/>
          <w:sz w:val="28"/>
          <w:szCs w:val="28"/>
          <w14:ligatures w14:val="none"/>
        </w:rPr>
        <w:t>α</w:t>
      </w:r>
      <w:r w:rsidRPr="006D0851">
        <w:rPr>
          <w:rFonts w:ascii="Simplified Arabic" w:eastAsia="Times New Roman" w:hAnsi="Simplified Arabic" w:cs="Simplified Arabic"/>
          <w:color w:val="000000" w:themeColor="text1"/>
          <w:kern w:val="0"/>
          <w:sz w:val="28"/>
          <w:szCs w:val="28"/>
          <w14:ligatures w14:val="none"/>
        </w:rPr>
        <w:t xml:space="preserve"> </w:t>
      </w:r>
      <w:r w:rsidRPr="006D0851">
        <w:rPr>
          <w:rFonts w:ascii="Times New Roman" w:eastAsia="Times New Roman" w:hAnsi="Times New Roman" w:cs="Times New Roman"/>
          <w:color w:val="000000" w:themeColor="text1"/>
          <w:kern w:val="0"/>
          <w:sz w:val="28"/>
          <w:szCs w:val="28"/>
          <w14:ligatures w14:val="none"/>
        </w:rPr>
        <w:t>≤</w:t>
      </w:r>
      <w:r w:rsidRPr="006D0851">
        <w:rPr>
          <w:rFonts w:ascii="Simplified Arabic" w:eastAsia="Times New Roman" w:hAnsi="Simplified Arabic" w:cs="Simplified Arabic"/>
          <w:color w:val="000000" w:themeColor="text1"/>
          <w:kern w:val="0"/>
          <w:sz w:val="28"/>
          <w:szCs w:val="28"/>
          <w14:ligatures w14:val="none"/>
        </w:rPr>
        <w:t xml:space="preserve"> 0.05) </w:t>
      </w:r>
      <w:r w:rsidRPr="006D0851">
        <w:rPr>
          <w:rFonts w:ascii="Simplified Arabic" w:eastAsia="Times New Roman" w:hAnsi="Simplified Arabic" w:cs="Simplified Arabic"/>
          <w:color w:val="000000" w:themeColor="text1"/>
          <w:kern w:val="0"/>
          <w:sz w:val="28"/>
          <w:szCs w:val="28"/>
          <w:rtl/>
          <w14:ligatures w14:val="none"/>
        </w:rPr>
        <w:t>للحوافز المالية على قرار التوطين الاستثماري للمستثمر الأجنبي في المملكة العربية السعودية</w:t>
      </w:r>
      <w:r w:rsidRPr="006D0851">
        <w:rPr>
          <w:rFonts w:ascii="Simplified Arabic" w:eastAsia="Times New Roman" w:hAnsi="Simplified Arabic" w:cs="Simplified Arabic"/>
          <w:color w:val="000000" w:themeColor="text1"/>
          <w:kern w:val="0"/>
          <w:sz w:val="28"/>
          <w:szCs w:val="28"/>
          <w14:ligatures w14:val="none"/>
        </w:rPr>
        <w:t>.</w:t>
      </w:r>
    </w:p>
    <w:p w14:paraId="75D2D714" w14:textId="77777777" w:rsidR="00350539" w:rsidRPr="006D0851" w:rsidRDefault="00350539" w:rsidP="002B43B8">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الفرض الفرعي الثالث</w:t>
      </w:r>
      <w:r w:rsidRPr="006D0851">
        <w:rPr>
          <w:rFonts w:ascii="Simplified Arabic" w:eastAsia="Times New Roman" w:hAnsi="Simplified Arabic" w:cs="Simplified Arabic"/>
          <w:color w:val="000000" w:themeColor="text1"/>
          <w:kern w:val="0"/>
          <w:sz w:val="28"/>
          <w:szCs w:val="28"/>
          <w14:ligatures w14:val="none"/>
        </w:rPr>
        <w:t xml:space="preserve">: </w:t>
      </w:r>
      <w:r w:rsidRPr="006D0851">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6D0851">
        <w:rPr>
          <w:rFonts w:ascii="Simplified Arabic" w:eastAsia="Times New Roman" w:hAnsi="Simplified Arabic" w:cs="Simplified Arabic"/>
          <w:color w:val="000000" w:themeColor="text1"/>
          <w:kern w:val="0"/>
          <w:sz w:val="28"/>
          <w:szCs w:val="28"/>
          <w14:ligatures w14:val="none"/>
        </w:rPr>
        <w:t xml:space="preserve"> (</w:t>
      </w:r>
      <w:r w:rsidRPr="006D0851">
        <w:rPr>
          <w:rFonts w:ascii="Cambria" w:eastAsia="Times New Roman" w:hAnsi="Cambria" w:cs="Cambria"/>
          <w:color w:val="000000" w:themeColor="text1"/>
          <w:kern w:val="0"/>
          <w:sz w:val="28"/>
          <w:szCs w:val="28"/>
          <w14:ligatures w14:val="none"/>
        </w:rPr>
        <w:t>α</w:t>
      </w:r>
      <w:r w:rsidRPr="006D0851">
        <w:rPr>
          <w:rFonts w:ascii="Simplified Arabic" w:eastAsia="Times New Roman" w:hAnsi="Simplified Arabic" w:cs="Simplified Arabic"/>
          <w:color w:val="000000" w:themeColor="text1"/>
          <w:kern w:val="0"/>
          <w:sz w:val="28"/>
          <w:szCs w:val="28"/>
          <w14:ligatures w14:val="none"/>
        </w:rPr>
        <w:t xml:space="preserve"> </w:t>
      </w:r>
      <w:r w:rsidRPr="006D0851">
        <w:rPr>
          <w:rFonts w:ascii="Times New Roman" w:eastAsia="Times New Roman" w:hAnsi="Times New Roman" w:cs="Times New Roman"/>
          <w:color w:val="000000" w:themeColor="text1"/>
          <w:kern w:val="0"/>
          <w:sz w:val="28"/>
          <w:szCs w:val="28"/>
          <w14:ligatures w14:val="none"/>
        </w:rPr>
        <w:t>≤</w:t>
      </w:r>
      <w:r w:rsidRPr="006D0851">
        <w:rPr>
          <w:rFonts w:ascii="Simplified Arabic" w:eastAsia="Times New Roman" w:hAnsi="Simplified Arabic" w:cs="Simplified Arabic"/>
          <w:color w:val="000000" w:themeColor="text1"/>
          <w:kern w:val="0"/>
          <w:sz w:val="28"/>
          <w:szCs w:val="28"/>
          <w14:ligatures w14:val="none"/>
        </w:rPr>
        <w:t xml:space="preserve"> 0.05) </w:t>
      </w:r>
      <w:r w:rsidRPr="006D0851">
        <w:rPr>
          <w:rFonts w:ascii="Simplified Arabic" w:eastAsia="Times New Roman" w:hAnsi="Simplified Arabic" w:cs="Simplified Arabic"/>
          <w:color w:val="000000" w:themeColor="text1"/>
          <w:kern w:val="0"/>
          <w:sz w:val="28"/>
          <w:szCs w:val="28"/>
          <w:rtl/>
          <w14:ligatures w14:val="none"/>
        </w:rPr>
        <w:t>للحوافز التنظيمية والتشريعية على قرار التوطين الاستثماري للمستثمر الأجنبي في المملكة العربية السعودية</w:t>
      </w:r>
      <w:r w:rsidRPr="006D0851">
        <w:rPr>
          <w:rFonts w:ascii="Simplified Arabic" w:eastAsia="Times New Roman" w:hAnsi="Simplified Arabic" w:cs="Simplified Arabic"/>
          <w:color w:val="000000" w:themeColor="text1"/>
          <w:kern w:val="0"/>
          <w:sz w:val="28"/>
          <w:szCs w:val="28"/>
          <w14:ligatures w14:val="none"/>
        </w:rPr>
        <w:t>.</w:t>
      </w:r>
    </w:p>
    <w:p w14:paraId="5F3CE639" w14:textId="079F9705" w:rsidR="00350539" w:rsidRPr="006D0851" w:rsidRDefault="00350539" w:rsidP="002B43B8">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الفرض الفرعي الرابع</w:t>
      </w:r>
      <w:r w:rsidRPr="006D0851">
        <w:rPr>
          <w:rFonts w:ascii="Simplified Arabic" w:eastAsia="Times New Roman" w:hAnsi="Simplified Arabic" w:cs="Simplified Arabic"/>
          <w:color w:val="000000" w:themeColor="text1"/>
          <w:kern w:val="0"/>
          <w:sz w:val="28"/>
          <w:szCs w:val="28"/>
          <w14:ligatures w14:val="none"/>
        </w:rPr>
        <w:t xml:space="preserve">: </w:t>
      </w:r>
      <w:r w:rsidRPr="006D0851">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6D0851">
        <w:rPr>
          <w:rFonts w:ascii="Simplified Arabic" w:eastAsia="Times New Roman" w:hAnsi="Simplified Arabic" w:cs="Simplified Arabic"/>
          <w:color w:val="000000" w:themeColor="text1"/>
          <w:kern w:val="0"/>
          <w:sz w:val="28"/>
          <w:szCs w:val="28"/>
          <w14:ligatures w14:val="none"/>
        </w:rPr>
        <w:t xml:space="preserve"> (</w:t>
      </w:r>
      <w:r w:rsidRPr="006D0851">
        <w:rPr>
          <w:rFonts w:ascii="Cambria" w:eastAsia="Times New Roman" w:hAnsi="Cambria" w:cs="Cambria"/>
          <w:color w:val="000000" w:themeColor="text1"/>
          <w:kern w:val="0"/>
          <w:sz w:val="28"/>
          <w:szCs w:val="28"/>
          <w14:ligatures w14:val="none"/>
        </w:rPr>
        <w:t>α</w:t>
      </w:r>
      <w:r w:rsidRPr="006D0851">
        <w:rPr>
          <w:rFonts w:ascii="Simplified Arabic" w:eastAsia="Times New Roman" w:hAnsi="Simplified Arabic" w:cs="Simplified Arabic"/>
          <w:color w:val="000000" w:themeColor="text1"/>
          <w:kern w:val="0"/>
          <w:sz w:val="28"/>
          <w:szCs w:val="28"/>
          <w14:ligatures w14:val="none"/>
        </w:rPr>
        <w:t xml:space="preserve"> </w:t>
      </w:r>
      <w:r w:rsidRPr="006D0851">
        <w:rPr>
          <w:rFonts w:ascii="Times New Roman" w:eastAsia="Times New Roman" w:hAnsi="Times New Roman" w:cs="Times New Roman"/>
          <w:color w:val="000000" w:themeColor="text1"/>
          <w:kern w:val="0"/>
          <w:sz w:val="28"/>
          <w:szCs w:val="28"/>
          <w14:ligatures w14:val="none"/>
        </w:rPr>
        <w:t>≤</w:t>
      </w:r>
      <w:r w:rsidRPr="006D0851">
        <w:rPr>
          <w:rFonts w:ascii="Simplified Arabic" w:eastAsia="Times New Roman" w:hAnsi="Simplified Arabic" w:cs="Simplified Arabic"/>
          <w:color w:val="000000" w:themeColor="text1"/>
          <w:kern w:val="0"/>
          <w:sz w:val="28"/>
          <w:szCs w:val="28"/>
          <w14:ligatures w14:val="none"/>
        </w:rPr>
        <w:t xml:space="preserve"> 0.05) </w:t>
      </w:r>
      <w:r w:rsidRPr="006D0851">
        <w:rPr>
          <w:rFonts w:ascii="Simplified Arabic" w:eastAsia="Times New Roman" w:hAnsi="Simplified Arabic" w:cs="Simplified Arabic"/>
          <w:color w:val="000000" w:themeColor="text1"/>
          <w:kern w:val="0"/>
          <w:sz w:val="28"/>
          <w:szCs w:val="28"/>
          <w:rtl/>
          <w14:ligatures w14:val="none"/>
        </w:rPr>
        <w:t>لحوافز البنية التحتية والمناطق الاقتصادية على قرار التوطين الاستثماري للمستثمر الأجنبي في المملكة العربية السعودية</w:t>
      </w:r>
      <w:r w:rsidRPr="006D0851">
        <w:rPr>
          <w:rFonts w:ascii="Simplified Arabic" w:eastAsia="Times New Roman" w:hAnsi="Simplified Arabic" w:cs="Simplified Arabic"/>
          <w:color w:val="000000" w:themeColor="text1"/>
          <w:kern w:val="0"/>
          <w:sz w:val="28"/>
          <w:szCs w:val="28"/>
          <w14:ligatures w14:val="none"/>
        </w:rPr>
        <w:t>.</w:t>
      </w:r>
    </w:p>
    <w:p w14:paraId="5A7A94B0" w14:textId="77777777" w:rsidR="002B43B8" w:rsidRPr="006D0851" w:rsidRDefault="002B43B8" w:rsidP="002B43B8">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3659075"/>
      <w:r w:rsidRPr="006D0851">
        <w:rPr>
          <w:rFonts w:ascii="Simplified Arabic" w:eastAsia="Times New Roman" w:hAnsi="Simplified Arabic" w:cs="Simplified Arabic"/>
          <w:b/>
          <w:bCs/>
          <w:color w:val="000000" w:themeColor="text1"/>
          <w:kern w:val="0"/>
          <w:sz w:val="36"/>
          <w:szCs w:val="36"/>
          <w:rtl/>
          <w14:ligatures w14:val="none"/>
        </w:rPr>
        <w:t>6.1 أهمية الدراسة</w:t>
      </w:r>
      <w:bookmarkEnd w:id="11"/>
    </w:p>
    <w:p w14:paraId="71BEBB8C" w14:textId="2BA712D5" w:rsidR="002B43B8" w:rsidRPr="006D0851" w:rsidRDefault="002B43B8" w:rsidP="002B43B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6D0851">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3E2226AB" w14:textId="77777777" w:rsidR="00350539" w:rsidRPr="006D0851" w:rsidRDefault="00350539" w:rsidP="002B43B8">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14:ligatures w14:val="none"/>
        </w:rPr>
      </w:pPr>
      <w:r w:rsidRPr="006D0851">
        <w:rPr>
          <w:rFonts w:ascii="Simplified Arabic" w:eastAsia="Times New Roman" w:hAnsi="Simplified Arabic" w:cs="Simplified Arabic"/>
          <w:b/>
          <w:bCs/>
          <w:color w:val="000000" w:themeColor="text1"/>
          <w:kern w:val="0"/>
          <w:sz w:val="28"/>
          <w:szCs w:val="28"/>
          <w:rtl/>
          <w14:ligatures w14:val="none"/>
        </w:rPr>
        <w:lastRenderedPageBreak/>
        <w:t>تستمد هذه الدراسة أهميتها العلمية من عدة اعتبارات جوهرية تُثري المعرفة الأكاديمية في هذا المجال</w:t>
      </w:r>
      <w:r w:rsidRPr="006D0851">
        <w:rPr>
          <w:rFonts w:ascii="Simplified Arabic" w:eastAsia="Times New Roman" w:hAnsi="Simplified Arabic" w:cs="Simplified Arabic"/>
          <w:b/>
          <w:bCs/>
          <w:color w:val="000000" w:themeColor="text1"/>
          <w:kern w:val="0"/>
          <w:sz w:val="28"/>
          <w:szCs w:val="28"/>
          <w14:ligatures w14:val="none"/>
        </w:rPr>
        <w:t>:</w:t>
      </w:r>
    </w:p>
    <w:p w14:paraId="3F3252C0" w14:textId="77777777" w:rsidR="00350539" w:rsidRPr="006D0851" w:rsidRDefault="00350539" w:rsidP="002B43B8">
      <w:pPr>
        <w:pStyle w:val="a6"/>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تسهم الدراسة في سد فجوة بحثية واضحة في الأدبيات العربية والأجنبية المتعلقة بالعلاقة بين الحوافز الاستثمارية بأبعادها المتعددة وقرار التوطين الاستثماري، إذ إن معظم الدراسات السابقة ركّزت على بُعد واحد من أبعاد الحوافز (كالحوافز الضريبية) دون تناول الأبعاد الأربعة مجتمعة في نموذج تحليلي متكامل</w:t>
      </w:r>
      <w:r w:rsidRPr="006D0851">
        <w:rPr>
          <w:rFonts w:ascii="Simplified Arabic" w:eastAsia="Times New Roman" w:hAnsi="Simplified Arabic" w:cs="Simplified Arabic"/>
          <w:color w:val="000000" w:themeColor="text1"/>
          <w:kern w:val="0"/>
          <w:sz w:val="28"/>
          <w:szCs w:val="28"/>
          <w14:ligatures w14:val="none"/>
        </w:rPr>
        <w:t>.</w:t>
      </w:r>
    </w:p>
    <w:p w14:paraId="089D676B" w14:textId="77777777" w:rsidR="00350539" w:rsidRPr="006D0851" w:rsidRDefault="00350539" w:rsidP="002B43B8">
      <w:pPr>
        <w:pStyle w:val="a6"/>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 xml:space="preserve">تقدم الدراسة إطاراً نظرياً شاملاً يدمج بين عدة نظريات مفسّرة للاستثمار الأجنبي المباشر، كنظرية المزايا الانتقائية </w:t>
      </w:r>
      <w:r w:rsidRPr="006D0851">
        <w:rPr>
          <w:rFonts w:ascii="Simplified Arabic" w:eastAsia="Times New Roman" w:hAnsi="Simplified Arabic" w:cs="Simplified Arabic"/>
          <w:color w:val="000000" w:themeColor="text1"/>
          <w:kern w:val="0"/>
          <w:sz w:val="28"/>
          <w:szCs w:val="28"/>
          <w14:ligatures w14:val="none"/>
        </w:rPr>
        <w:t xml:space="preserve">(OLI) </w:t>
      </w:r>
      <w:proofErr w:type="spellStart"/>
      <w:r w:rsidRPr="006D0851">
        <w:rPr>
          <w:rFonts w:ascii="Simplified Arabic" w:eastAsia="Times New Roman" w:hAnsi="Simplified Arabic" w:cs="Simplified Arabic"/>
          <w:color w:val="000000" w:themeColor="text1"/>
          <w:kern w:val="0"/>
          <w:sz w:val="28"/>
          <w:szCs w:val="28"/>
          <w:rtl/>
          <w14:ligatures w14:val="none"/>
        </w:rPr>
        <w:t>لدانينغ</w:t>
      </w:r>
      <w:proofErr w:type="spellEnd"/>
      <w:r w:rsidRPr="006D0851">
        <w:rPr>
          <w:rFonts w:ascii="Simplified Arabic" w:eastAsia="Times New Roman" w:hAnsi="Simplified Arabic" w:cs="Simplified Arabic"/>
          <w:color w:val="000000" w:themeColor="text1"/>
          <w:kern w:val="0"/>
          <w:sz w:val="28"/>
          <w:szCs w:val="28"/>
          <w:rtl/>
          <w14:ligatures w14:val="none"/>
        </w:rPr>
        <w:t xml:space="preserve"> ونظرية الموقع الاستثماري ونظرية عدم تماثل المعلومات، وتوظّفها في تفسير أثر الحوافز على قرار التوطين بما يوفر رؤية تكاملية لم تتوافر في الدراسات السابقة</w:t>
      </w:r>
      <w:r w:rsidRPr="006D0851">
        <w:rPr>
          <w:rFonts w:ascii="Simplified Arabic" w:eastAsia="Times New Roman" w:hAnsi="Simplified Arabic" w:cs="Simplified Arabic"/>
          <w:color w:val="000000" w:themeColor="text1"/>
          <w:kern w:val="0"/>
          <w:sz w:val="28"/>
          <w:szCs w:val="28"/>
          <w14:ligatures w14:val="none"/>
        </w:rPr>
        <w:t>.</w:t>
      </w:r>
    </w:p>
    <w:p w14:paraId="19953B48" w14:textId="77777777" w:rsidR="00350539" w:rsidRPr="006D0851" w:rsidRDefault="00350539" w:rsidP="002B43B8">
      <w:pPr>
        <w:pStyle w:val="a6"/>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تُثري الدراسة الأدب النظري المتعلق بمحددات التوطين الاستثماري من خلال تطوير نموذج بحثي يُحدد العلاقات السببية المباشرة وغير المباشرة بين الحوافز الاستثمارية وقرار التوطين، وهو ما يُشكّل إضافة منهجية يمكن للباحثين البناء عليها في دراسات لاحقة</w:t>
      </w:r>
      <w:r w:rsidRPr="006D0851">
        <w:rPr>
          <w:rFonts w:ascii="Simplified Arabic" w:eastAsia="Times New Roman" w:hAnsi="Simplified Arabic" w:cs="Simplified Arabic"/>
          <w:color w:val="000000" w:themeColor="text1"/>
          <w:kern w:val="0"/>
          <w:sz w:val="28"/>
          <w:szCs w:val="28"/>
          <w14:ligatures w14:val="none"/>
        </w:rPr>
        <w:t>.</w:t>
      </w:r>
    </w:p>
    <w:p w14:paraId="0D0FF09B" w14:textId="77777777" w:rsidR="00350539" w:rsidRPr="006D0851" w:rsidRDefault="00350539" w:rsidP="002B43B8">
      <w:pPr>
        <w:pStyle w:val="a6"/>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تتميّز الدراسة بتناولها للسياق السعودي في مرحلة تحوّل اقتصادي جوهري (رؤية 2030)، مما يوفر بيانات وتحليلات حديثة تعكس واقع التجربة السعودية في استقطاب الاستثمار الأجنبي، وهو ما يُعدّ مرجعاً أكاديمياً قيّماً للباحثين في مجالات الاقتصاد والإدارة والسياسات العامة</w:t>
      </w:r>
      <w:r w:rsidRPr="006D0851">
        <w:rPr>
          <w:rFonts w:ascii="Simplified Arabic" w:eastAsia="Times New Roman" w:hAnsi="Simplified Arabic" w:cs="Simplified Arabic"/>
          <w:color w:val="000000" w:themeColor="text1"/>
          <w:kern w:val="0"/>
          <w:sz w:val="28"/>
          <w:szCs w:val="28"/>
          <w14:ligatures w14:val="none"/>
        </w:rPr>
        <w:t>.</w:t>
      </w:r>
    </w:p>
    <w:p w14:paraId="378E2DAC" w14:textId="77777777" w:rsidR="00350539" w:rsidRPr="006D0851" w:rsidRDefault="00350539" w:rsidP="002B43B8">
      <w:pPr>
        <w:pStyle w:val="a6"/>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تسهم الدراسة في بناء أداة قياس علمية محكّمة لقياس أبعاد الحوافز الاستثمارية وقرار التوطين الاستثماري، مصمّمة وفقاً لخصوصية بيئة الاستثمار في المملكة العربية السعودية، وهو ما يمكن أن يُستخدم من قِبل الباحثين في دراسات مقارنة مستقبلية على مستوى دول مجلس التعاون الخليجي أو المنطقة العربية</w:t>
      </w:r>
      <w:r w:rsidRPr="006D0851">
        <w:rPr>
          <w:rFonts w:ascii="Simplified Arabic" w:eastAsia="Times New Roman" w:hAnsi="Simplified Arabic" w:cs="Simplified Arabic"/>
          <w:color w:val="000000" w:themeColor="text1"/>
          <w:kern w:val="0"/>
          <w:sz w:val="28"/>
          <w:szCs w:val="28"/>
          <w14:ligatures w14:val="none"/>
        </w:rPr>
        <w:t>.</w:t>
      </w:r>
    </w:p>
    <w:p w14:paraId="647ADE46" w14:textId="77777777" w:rsidR="00350539" w:rsidRPr="006D0851" w:rsidRDefault="00350539" w:rsidP="002B43B8">
      <w:pPr>
        <w:pStyle w:val="a6"/>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تفتح الدراسة آفاقاً بحثية جديدة من خلال تحديد المتغيرات الديموغرافية والتنظيمية (جنسية المستثمر، حجم الاستثمار، القطاع، سنوات الخبرة) كمتغيرات وسيطة أو معدّلة، مما يُتيح للباحثين مستقبلاً التعمق في دراسة تأثير هذه المتغيرات على العلاقة بين الحوافز والتوطين</w:t>
      </w:r>
      <w:r w:rsidRPr="006D0851">
        <w:rPr>
          <w:rFonts w:ascii="Simplified Arabic" w:eastAsia="Times New Roman" w:hAnsi="Simplified Arabic" w:cs="Simplified Arabic"/>
          <w:color w:val="000000" w:themeColor="text1"/>
          <w:kern w:val="0"/>
          <w:sz w:val="28"/>
          <w:szCs w:val="28"/>
          <w14:ligatures w14:val="none"/>
        </w:rPr>
        <w:t>.</w:t>
      </w:r>
    </w:p>
    <w:p w14:paraId="58AE0582" w14:textId="77777777" w:rsidR="00350539" w:rsidRPr="006D0851" w:rsidRDefault="00350539" w:rsidP="002B43B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2" w:name="_Toc223938577"/>
      <w:r w:rsidRPr="006D0851">
        <w:rPr>
          <w:rFonts w:ascii="Simplified Arabic" w:eastAsia="Times New Roman" w:hAnsi="Simplified Arabic" w:cs="Simplified Arabic"/>
          <w:b/>
          <w:bCs/>
          <w:color w:val="000000" w:themeColor="text1"/>
          <w:kern w:val="0"/>
          <w:sz w:val="32"/>
          <w:szCs w:val="32"/>
          <w:rtl/>
          <w14:ligatures w14:val="none"/>
        </w:rPr>
        <w:t>الأهمية العملية (التطبيقية)</w:t>
      </w:r>
      <w:bookmarkEnd w:id="12"/>
    </w:p>
    <w:p w14:paraId="27164384" w14:textId="77777777" w:rsidR="00350539" w:rsidRPr="006D0851" w:rsidRDefault="00350539" w:rsidP="002B4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تكتسب هذه الدراسة أهمية تطبيقية بالغة تنبع من ارتباطها المباشر بالواقع الاقتصادي والاستثماري في المملكة العربية السعودية</w:t>
      </w:r>
      <w:r w:rsidRPr="006D0851">
        <w:rPr>
          <w:rFonts w:ascii="Simplified Arabic" w:eastAsia="Times New Roman" w:hAnsi="Simplified Arabic" w:cs="Simplified Arabic"/>
          <w:color w:val="000000" w:themeColor="text1"/>
          <w:kern w:val="0"/>
          <w:sz w:val="28"/>
          <w:szCs w:val="28"/>
          <w14:ligatures w14:val="none"/>
        </w:rPr>
        <w:t>:</w:t>
      </w:r>
    </w:p>
    <w:p w14:paraId="1C28D906" w14:textId="77777777" w:rsidR="00350539" w:rsidRPr="006D0851" w:rsidRDefault="00350539" w:rsidP="002B43B8">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lastRenderedPageBreak/>
        <w:t>تقدم الدراسة نتائج وتوصيات عملية لصانعي القرار في الجهات الحكومية المعنية بالاستثمار (وزارة الاستثمار، الهيئة العامة للاستثمار، هيئة المدن والمناطق الاقتصادية الخاصة) حول أكثر أبعاد الحوافز تأثيراً في جذب المستثمر الأجنبي، مما يُمكّنهم من توجيه الموارد والسياسات نحو الأبعاد الأعلى فاعلية</w:t>
      </w:r>
      <w:r w:rsidRPr="006D0851">
        <w:rPr>
          <w:rFonts w:ascii="Simplified Arabic" w:eastAsia="Times New Roman" w:hAnsi="Simplified Arabic" w:cs="Simplified Arabic"/>
          <w:color w:val="000000" w:themeColor="text1"/>
          <w:kern w:val="0"/>
          <w:sz w:val="28"/>
          <w:szCs w:val="28"/>
          <w14:ligatures w14:val="none"/>
        </w:rPr>
        <w:t>.</w:t>
      </w:r>
    </w:p>
    <w:p w14:paraId="661A8C40" w14:textId="77777777" w:rsidR="00350539" w:rsidRPr="006D0851" w:rsidRDefault="00350539" w:rsidP="002B43B8">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تساعد الدراسة في تقييم مدى نجاح منظومة الحوافز الاستثمارية الحالية في المملكة من وجهة نظر المستثمرين الأجانب أنفسهم، وهو ما يوفر تغذية راجعة واقعية تُمكّن من تطوير هذه المنظومة وسد الثغرات فيها بناءً على تجارب المستفيدين الفعليين</w:t>
      </w:r>
      <w:r w:rsidRPr="006D0851">
        <w:rPr>
          <w:rFonts w:ascii="Simplified Arabic" w:eastAsia="Times New Roman" w:hAnsi="Simplified Arabic" w:cs="Simplified Arabic"/>
          <w:color w:val="000000" w:themeColor="text1"/>
          <w:kern w:val="0"/>
          <w:sz w:val="28"/>
          <w:szCs w:val="28"/>
          <w14:ligatures w14:val="none"/>
        </w:rPr>
        <w:t>.</w:t>
      </w:r>
    </w:p>
    <w:p w14:paraId="2383619F" w14:textId="77777777" w:rsidR="00350539" w:rsidRPr="006D0851" w:rsidRDefault="00350539" w:rsidP="002B43B8">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تسهم نتائج الدراسة في دعم مستهدفات الاستراتيجية الوطنية للاستثمار التي تستهدف رفع الاستثمار الأجنبي المباشر إلى 388 مليار ريال بحلول عام 2030، من خلال تحديد أولويات التطوير في منظومة الحوافز بما يتوافق مع توقعات واحتياجات المستثمرين الدوليين</w:t>
      </w:r>
      <w:r w:rsidRPr="006D0851">
        <w:rPr>
          <w:rFonts w:ascii="Simplified Arabic" w:eastAsia="Times New Roman" w:hAnsi="Simplified Arabic" w:cs="Simplified Arabic"/>
          <w:color w:val="000000" w:themeColor="text1"/>
          <w:kern w:val="0"/>
          <w:sz w:val="28"/>
          <w:szCs w:val="28"/>
          <w14:ligatures w14:val="none"/>
        </w:rPr>
        <w:t>.</w:t>
      </w:r>
    </w:p>
    <w:p w14:paraId="0244D999" w14:textId="77777777" w:rsidR="00350539" w:rsidRPr="006D0851" w:rsidRDefault="00350539" w:rsidP="002B43B8">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توفر الدراسة معلومات تطبيقية قيّمة للمستثمرين الأجانب الحاليين والمحتملين حول طبيعة الحوافز المتاحة في المملكة ومدى ملاءمتها لاحتياجاتهم الاستثمارية، مما يسهم في تحسين عملية اتخاذ قرار التوطين وتقليل حالة عدم اليقين المصاحبة لدخول السوق السعودي</w:t>
      </w:r>
      <w:r w:rsidRPr="006D0851">
        <w:rPr>
          <w:rFonts w:ascii="Simplified Arabic" w:eastAsia="Times New Roman" w:hAnsi="Simplified Arabic" w:cs="Simplified Arabic"/>
          <w:color w:val="000000" w:themeColor="text1"/>
          <w:kern w:val="0"/>
          <w:sz w:val="28"/>
          <w:szCs w:val="28"/>
          <w14:ligatures w14:val="none"/>
        </w:rPr>
        <w:t>.</w:t>
      </w:r>
    </w:p>
    <w:p w14:paraId="265C64FA" w14:textId="77777777" w:rsidR="00350539" w:rsidRPr="006D0851" w:rsidRDefault="00350539" w:rsidP="002B43B8">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تقدم الدراسة أساساً عملياً لإجراء مقارنات معيارية</w:t>
      </w:r>
      <w:r w:rsidRPr="006D0851">
        <w:rPr>
          <w:rFonts w:ascii="Simplified Arabic" w:eastAsia="Times New Roman" w:hAnsi="Simplified Arabic" w:cs="Simplified Arabic"/>
          <w:color w:val="000000" w:themeColor="text1"/>
          <w:kern w:val="0"/>
          <w:sz w:val="28"/>
          <w:szCs w:val="28"/>
          <w14:ligatures w14:val="none"/>
        </w:rPr>
        <w:t xml:space="preserve"> (Benchmarking) </w:t>
      </w:r>
      <w:r w:rsidRPr="006D0851">
        <w:rPr>
          <w:rFonts w:ascii="Simplified Arabic" w:eastAsia="Times New Roman" w:hAnsi="Simplified Arabic" w:cs="Simplified Arabic"/>
          <w:color w:val="000000" w:themeColor="text1"/>
          <w:kern w:val="0"/>
          <w:sz w:val="28"/>
          <w:szCs w:val="28"/>
          <w:rtl/>
          <w14:ligatures w14:val="none"/>
        </w:rPr>
        <w:t>بين الحوافز الاستثمارية السعودية وتلك المقدمة في الدول المنافسة على استقطاب الاستثمار الأجنبي في المنطقة (الإمارات، البحرين، عُمان)، مما يساعد على تعزيز الميزة التنافسية للمملكة</w:t>
      </w:r>
      <w:r w:rsidRPr="006D0851">
        <w:rPr>
          <w:rFonts w:ascii="Simplified Arabic" w:eastAsia="Times New Roman" w:hAnsi="Simplified Arabic" w:cs="Simplified Arabic"/>
          <w:color w:val="000000" w:themeColor="text1"/>
          <w:kern w:val="0"/>
          <w:sz w:val="28"/>
          <w:szCs w:val="28"/>
          <w14:ligatures w14:val="none"/>
        </w:rPr>
        <w:t>.</w:t>
      </w:r>
    </w:p>
    <w:p w14:paraId="419A8C9C" w14:textId="77777777" w:rsidR="00350539" w:rsidRPr="006D0851" w:rsidRDefault="00350539" w:rsidP="002B43B8">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تسهم الدراسة في تطوير استراتيجيات التسويق الاستثماري للمملكة من خلال الكشف عن الأبعاد التي يُوليها المستثمرون الأجانب أهمية أكبر، وهو ما يُمكّن وكالات ترويج الاستثمار من تصميم حملات تسويقية أكثر استهدافاً وفاعلية</w:t>
      </w:r>
      <w:r w:rsidRPr="006D0851">
        <w:rPr>
          <w:rFonts w:ascii="Simplified Arabic" w:eastAsia="Times New Roman" w:hAnsi="Simplified Arabic" w:cs="Simplified Arabic"/>
          <w:color w:val="000000" w:themeColor="text1"/>
          <w:kern w:val="0"/>
          <w:sz w:val="28"/>
          <w:szCs w:val="28"/>
          <w14:ligatures w14:val="none"/>
        </w:rPr>
        <w:t>.</w:t>
      </w:r>
    </w:p>
    <w:p w14:paraId="61111995" w14:textId="77777777" w:rsidR="00350539" w:rsidRPr="006D0851" w:rsidRDefault="00350539" w:rsidP="002B43B8">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تقدم الدراسة توصيات تفصيلية لتطوير المناطق الاقتصادية الخاصة والمدن الصناعية في المملكة بناءً على تقييم المستثمرين لحوافز البنية التحتية، مما يساعد في تحسين الخدمات والمرافق المقدمة وزيادة معدلات الإشغال والاستثمار فيها</w:t>
      </w:r>
      <w:r w:rsidRPr="006D0851">
        <w:rPr>
          <w:rFonts w:ascii="Simplified Arabic" w:eastAsia="Times New Roman" w:hAnsi="Simplified Arabic" w:cs="Simplified Arabic"/>
          <w:color w:val="000000" w:themeColor="text1"/>
          <w:kern w:val="0"/>
          <w:sz w:val="28"/>
          <w:szCs w:val="28"/>
          <w14:ligatures w14:val="none"/>
        </w:rPr>
        <w:t>.</w:t>
      </w:r>
    </w:p>
    <w:p w14:paraId="27044064" w14:textId="77777777" w:rsidR="002B43B8" w:rsidRPr="006D0851" w:rsidRDefault="002B43B8" w:rsidP="002B43B8">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3" w:name="_Toc233659076"/>
      <w:bookmarkStart w:id="14" w:name="_Toc169790501"/>
      <w:bookmarkEnd w:id="5"/>
      <w:r w:rsidRPr="006D0851">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3"/>
    </w:p>
    <w:p w14:paraId="02A5C4D0" w14:textId="77777777" w:rsidR="002B43B8" w:rsidRPr="006D0851" w:rsidRDefault="002B43B8" w:rsidP="002B43B8">
      <w:pPr>
        <w:pStyle w:val="a6"/>
        <w:numPr>
          <w:ilvl w:val="0"/>
          <w:numId w:val="10"/>
        </w:numPr>
        <w:tabs>
          <w:tab w:val="right" w:pos="424"/>
        </w:tabs>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D0851">
        <w:rPr>
          <w:rFonts w:ascii="Simplified Arabic" w:eastAsia="Times New Roman" w:hAnsi="Simplified Arabic" w:cs="Simplified Arabic"/>
          <w:b/>
          <w:bCs/>
          <w:color w:val="000000" w:themeColor="text1"/>
          <w:kern w:val="0"/>
          <w:sz w:val="28"/>
          <w:szCs w:val="28"/>
          <w:rtl/>
          <w14:ligatures w14:val="none"/>
        </w:rPr>
        <w:t>دراسة السيد (2021): "تأثير الحوافز الضريبية على قرارات الاستثمار الأجنبي المباشر</w:t>
      </w:r>
      <w:r w:rsidRPr="006D0851">
        <w:rPr>
          <w:rFonts w:ascii="Simplified Arabic" w:eastAsia="Times New Roman" w:hAnsi="Simplified Arabic" w:cs="Simplified Arabic"/>
          <w:b/>
          <w:bCs/>
          <w:color w:val="000000" w:themeColor="text1"/>
          <w:kern w:val="0"/>
          <w:sz w:val="28"/>
          <w:szCs w:val="28"/>
          <w14:ligatures w14:val="none"/>
        </w:rPr>
        <w:t>"</w:t>
      </w:r>
    </w:p>
    <w:p w14:paraId="2C7C1C2E" w14:textId="77777777" w:rsidR="002B43B8" w:rsidRPr="006D0851" w:rsidRDefault="002B43B8" w:rsidP="002B4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D0851">
        <w:rPr>
          <w:rFonts w:ascii="Simplified Arabic" w:eastAsia="Times New Roman" w:hAnsi="Simplified Arabic" w:cs="Simplified Arabic"/>
          <w:color w:val="000000" w:themeColor="text1"/>
          <w:kern w:val="0"/>
          <w:sz w:val="28"/>
          <w:szCs w:val="28"/>
          <w:rtl/>
          <w14:ligatures w14:val="none"/>
        </w:rPr>
        <w:lastRenderedPageBreak/>
        <w:t xml:space="preserve">هدفت الدراسة إلى التعرف على تأثير الحوافز الضريبية بأبعادها (الحوافز الجمركية، ضريبة المبيعات، الإعفاءات الضريبية، التخفيضات، الحوافز التصديرية، نظام </w:t>
      </w:r>
      <w:proofErr w:type="spellStart"/>
      <w:r w:rsidRPr="006D0851">
        <w:rPr>
          <w:rFonts w:ascii="Simplified Arabic" w:eastAsia="Times New Roman" w:hAnsi="Simplified Arabic" w:cs="Simplified Arabic"/>
          <w:color w:val="000000" w:themeColor="text1"/>
          <w:kern w:val="0"/>
          <w:sz w:val="28"/>
          <w:szCs w:val="28"/>
          <w:rtl/>
          <w14:ligatures w14:val="none"/>
        </w:rPr>
        <w:t>الدوربك</w:t>
      </w:r>
      <w:proofErr w:type="spellEnd"/>
      <w:r w:rsidRPr="006D0851">
        <w:rPr>
          <w:rFonts w:ascii="Simplified Arabic" w:eastAsia="Times New Roman" w:hAnsi="Simplified Arabic" w:cs="Simplified Arabic"/>
          <w:color w:val="000000" w:themeColor="text1"/>
          <w:kern w:val="0"/>
          <w:sz w:val="28"/>
          <w:szCs w:val="28"/>
          <w:rtl/>
          <w14:ligatures w14:val="none"/>
        </w:rPr>
        <w:t>، السماح المؤقت، ضريبة المبيعات بسعر صفر، والمناطق الحرة) على قرارات الاستثمار الأجنبي المباشر</w:t>
      </w:r>
      <w:r w:rsidRPr="006D0851">
        <w:rPr>
          <w:rFonts w:ascii="Simplified Arabic" w:eastAsia="Times New Roman" w:hAnsi="Simplified Arabic" w:cs="Simplified Arabic"/>
          <w:color w:val="000000" w:themeColor="text1"/>
          <w:kern w:val="0"/>
          <w:sz w:val="28"/>
          <w:szCs w:val="28"/>
          <w14:ligatures w14:val="none"/>
        </w:rPr>
        <w:t xml:space="preserve">. </w:t>
      </w:r>
      <w:r w:rsidRPr="006D0851">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في استعراض الأدبيات النظرية والتشريعية. وتكونت عينة الدراسة من النصوص القانونية والتنظيمية المتعلقة بالحوافز الضريبية في مصر. وتوصلت نتائج الدراسة إلى أن الحوافز الضريبية المتنوعة تمثل أداة فعالة يمكن توظيفها لتشجيع الاستثمار الأجنبي المباشر، وأن هناك علاقة إيجابية بين تنوع الحوافز الضريبية وزيادة تدفقات الاستثمار. وأوصت الدراسة بضرورة تبسيط الإجراءات المتعلقة بالحصول على الحوافز الضريبية وتعزيز الشفافية في تطبيقها لزيادة جاذبية المناخ الاستثماري</w:t>
      </w:r>
      <w:r w:rsidRPr="006D0851">
        <w:rPr>
          <w:rFonts w:ascii="Simplified Arabic" w:eastAsia="Times New Roman" w:hAnsi="Simplified Arabic" w:cs="Simplified Arabic"/>
          <w:color w:val="000000" w:themeColor="text1"/>
          <w:kern w:val="0"/>
          <w:sz w:val="28"/>
          <w:szCs w:val="28"/>
          <w14:ligatures w14:val="none"/>
        </w:rPr>
        <w:t>.</w:t>
      </w:r>
    </w:p>
    <w:p w14:paraId="64F0CE5B" w14:textId="77777777" w:rsidR="002B43B8" w:rsidRPr="006D0851" w:rsidRDefault="002B43B8" w:rsidP="002B43B8">
      <w:pPr>
        <w:pStyle w:val="a6"/>
        <w:numPr>
          <w:ilvl w:val="0"/>
          <w:numId w:val="10"/>
        </w:numPr>
        <w:tabs>
          <w:tab w:val="right" w:pos="424"/>
        </w:tabs>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D0851">
        <w:rPr>
          <w:rFonts w:ascii="Simplified Arabic" w:eastAsia="Times New Roman" w:hAnsi="Simplified Arabic" w:cs="Simplified Arabic"/>
          <w:b/>
          <w:bCs/>
          <w:color w:val="000000" w:themeColor="text1"/>
          <w:kern w:val="0"/>
          <w:sz w:val="28"/>
          <w:szCs w:val="28"/>
          <w:rtl/>
          <w14:ligatures w14:val="none"/>
        </w:rPr>
        <w:t xml:space="preserve">دراسة </w:t>
      </w:r>
      <w:proofErr w:type="spellStart"/>
      <w:r w:rsidRPr="006D0851">
        <w:rPr>
          <w:rFonts w:ascii="Simplified Arabic" w:eastAsia="Times New Roman" w:hAnsi="Simplified Arabic" w:cs="Simplified Arabic"/>
          <w:b/>
          <w:bCs/>
          <w:color w:val="000000" w:themeColor="text1"/>
          <w:kern w:val="0"/>
          <w:sz w:val="28"/>
          <w:szCs w:val="28"/>
          <w:rtl/>
          <w14:ligatures w14:val="none"/>
        </w:rPr>
        <w:t>بوخدوني</w:t>
      </w:r>
      <w:proofErr w:type="spellEnd"/>
      <w:r w:rsidRPr="006D0851">
        <w:rPr>
          <w:rFonts w:ascii="Simplified Arabic" w:eastAsia="Times New Roman" w:hAnsi="Simplified Arabic" w:cs="Simplified Arabic"/>
          <w:b/>
          <w:bCs/>
          <w:color w:val="000000" w:themeColor="text1"/>
          <w:kern w:val="0"/>
          <w:sz w:val="28"/>
          <w:szCs w:val="28"/>
          <w:rtl/>
          <w14:ligatures w14:val="none"/>
        </w:rPr>
        <w:t xml:space="preserve"> وقاسي (2022): "أثر التنافسية الجبائية المشروعة في جذب الاستثمار الأجنبي المباشر: دراسة حالة الجزائر</w:t>
      </w:r>
      <w:r w:rsidRPr="006D0851">
        <w:rPr>
          <w:rFonts w:ascii="Simplified Arabic" w:eastAsia="Times New Roman" w:hAnsi="Simplified Arabic" w:cs="Simplified Arabic"/>
          <w:b/>
          <w:bCs/>
          <w:color w:val="000000" w:themeColor="text1"/>
          <w:kern w:val="0"/>
          <w:sz w:val="28"/>
          <w:szCs w:val="28"/>
          <w14:ligatures w14:val="none"/>
        </w:rPr>
        <w:t>"</w:t>
      </w:r>
    </w:p>
    <w:p w14:paraId="05296EDA" w14:textId="77777777" w:rsidR="002B43B8" w:rsidRPr="006D0851" w:rsidRDefault="002B43B8" w:rsidP="002B4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هدفت الدراسة إلى التعرف على أثر التنافسية الجبائية المشروعة بأبعادها (التنافسية الضريبية غير الضارة، الإطار القانوني الدولي، التهرب والاحتيال الضريبي، والتمييز بين المنافسة الضارة وغير الضارة) في جذب الاستثمار الأجنبي المباشر إلى الجزائر. واستخدمت الدراسة المنهج الوصفي التحليلي مع دراسة حالة تطبيقية على الاقتصاد الجزائري. وتكونت عينة الدراسة من بيانات السياسات الجبائية الجزائرية والتشريعات الضريبية ذات الصلة بجذب الاستثمار الأجنبي. وتوصلت نتائج الدراسة إلى أن غياب إطار قانوني دولي موحد يحكم التنافسية الجبائية يؤدي إلى ظواهر سلبية كالتهرب الضريبي والمنافسة الضريبية الضارة بين الدول، وأن التنافسية الجبائية المشروعة يمكن أن تكون أداة فعالة لجذب الاستثمار شريطة التمييز بين المنافسة الضارة وغير الضارة. وأوصت الدراسة بتطوير إطار تنظيمي جبائي متوازن يعزز الجاذبية الاستثمارية دون الإضرار بالقاعدة الضريبية الوطنية</w:t>
      </w:r>
      <w:r w:rsidRPr="006D0851">
        <w:rPr>
          <w:rFonts w:ascii="Simplified Arabic" w:eastAsia="Times New Roman" w:hAnsi="Simplified Arabic" w:cs="Simplified Arabic"/>
          <w:color w:val="000000" w:themeColor="text1"/>
          <w:kern w:val="0"/>
          <w:sz w:val="28"/>
          <w:szCs w:val="28"/>
          <w14:ligatures w14:val="none"/>
        </w:rPr>
        <w:t>.</w:t>
      </w:r>
    </w:p>
    <w:p w14:paraId="218E42FD" w14:textId="77777777" w:rsidR="002B43B8" w:rsidRPr="006D0851" w:rsidRDefault="002B43B8" w:rsidP="002B43B8">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D0851">
        <w:rPr>
          <w:rFonts w:ascii="Simplified Arabic" w:eastAsia="Times New Roman" w:hAnsi="Simplified Arabic" w:cs="Simplified Arabic"/>
          <w:b/>
          <w:bCs/>
          <w:color w:val="000000" w:themeColor="text1"/>
          <w:kern w:val="0"/>
          <w:sz w:val="28"/>
          <w:szCs w:val="28"/>
          <w:rtl/>
          <w14:ligatures w14:val="none"/>
        </w:rPr>
        <w:t>دراسة سميح (2022): "محددات بيئة الأعمال الخارجية وأثرها في قرار الاستثمار: دراسة تطبيقية على منشآت الأعمال اليمنية</w:t>
      </w:r>
      <w:r w:rsidRPr="006D0851">
        <w:rPr>
          <w:rFonts w:ascii="Simplified Arabic" w:eastAsia="Times New Roman" w:hAnsi="Simplified Arabic" w:cs="Simplified Arabic"/>
          <w:b/>
          <w:bCs/>
          <w:color w:val="000000" w:themeColor="text1"/>
          <w:kern w:val="0"/>
          <w:sz w:val="28"/>
          <w:szCs w:val="28"/>
          <w14:ligatures w14:val="none"/>
        </w:rPr>
        <w:t>"</w:t>
      </w:r>
    </w:p>
    <w:p w14:paraId="3EEEA9B1" w14:textId="228265BA" w:rsidR="002B43B8" w:rsidRPr="006D0851" w:rsidRDefault="002B43B8" w:rsidP="002B4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هدفت الدراسة إلى التعرف على محددات بيئة الأعمال الخارجية بأبعادها (العوامل الجغرافية والطبيعية، البنية التحتية والنقل، البيئة الاجتماعية والسياسية، الإطار القانوني والتشريعي، العوامل الاقتصادية، العوامل التنظيمية والإدارية، والعوامل المعرفية والتقنية</w:t>
      </w:r>
      <w:r w:rsidRPr="006D0851">
        <w:rPr>
          <w:rFonts w:ascii="Simplified Arabic" w:eastAsia="Times New Roman" w:hAnsi="Simplified Arabic" w:cs="Simplified Arabic"/>
          <w:color w:val="000000" w:themeColor="text1"/>
          <w:kern w:val="0"/>
          <w:sz w:val="28"/>
          <w:szCs w:val="28"/>
          <w14:ligatures w14:val="none"/>
        </w:rPr>
        <w:t xml:space="preserve">) </w:t>
      </w:r>
      <w:r w:rsidRPr="006D0851">
        <w:rPr>
          <w:rFonts w:ascii="Simplified Arabic" w:eastAsia="Times New Roman" w:hAnsi="Simplified Arabic" w:cs="Simplified Arabic"/>
          <w:color w:val="000000" w:themeColor="text1"/>
          <w:kern w:val="0"/>
          <w:sz w:val="28"/>
          <w:szCs w:val="28"/>
          <w:rtl/>
          <w14:ligatures w14:val="none"/>
        </w:rPr>
        <w:t xml:space="preserve">وأثرها في قرار الاستثمار في منشآت الأعمال اليمنية. </w:t>
      </w:r>
      <w:r w:rsidRPr="006D0851">
        <w:rPr>
          <w:rFonts w:ascii="Simplified Arabic" w:eastAsia="Times New Roman" w:hAnsi="Simplified Arabic" w:cs="Simplified Arabic"/>
          <w:color w:val="000000" w:themeColor="text1"/>
          <w:kern w:val="0"/>
          <w:sz w:val="28"/>
          <w:szCs w:val="28"/>
          <w:rtl/>
          <w14:ligatures w14:val="none"/>
        </w:rPr>
        <w:lastRenderedPageBreak/>
        <w:t xml:space="preserve">واستخدمت الدراسة المنهج الاستنباطي الاستقرائي مع التصميم الوصفي التحليلي، واعتمدت الاستبانة كأداة رئيسية (مقياس </w:t>
      </w:r>
      <w:proofErr w:type="spellStart"/>
      <w:r w:rsidRPr="006D0851">
        <w:rPr>
          <w:rFonts w:ascii="Simplified Arabic" w:eastAsia="Times New Roman" w:hAnsi="Simplified Arabic" w:cs="Simplified Arabic"/>
          <w:color w:val="000000" w:themeColor="text1"/>
          <w:kern w:val="0"/>
          <w:sz w:val="28"/>
          <w:szCs w:val="28"/>
          <w:rtl/>
          <w14:ligatures w14:val="none"/>
        </w:rPr>
        <w:t>ليكرت</w:t>
      </w:r>
      <w:proofErr w:type="spellEnd"/>
      <w:r w:rsidRPr="006D0851">
        <w:rPr>
          <w:rFonts w:ascii="Simplified Arabic" w:eastAsia="Times New Roman" w:hAnsi="Simplified Arabic" w:cs="Simplified Arabic"/>
          <w:color w:val="000000" w:themeColor="text1"/>
          <w:kern w:val="0"/>
          <w:sz w:val="28"/>
          <w:szCs w:val="28"/>
          <w:rtl/>
          <w14:ligatures w14:val="none"/>
        </w:rPr>
        <w:t xml:space="preserve"> الخماسي). وتكونت عينة الدراسة من 220 رجل أعمال ومستثمر في مدينة عدن، وبلغت الاستجابات الصالحة للتحليل 181 استجابة تم تحليلها باستخدام برنامج</w:t>
      </w:r>
      <w:r w:rsidRPr="006D0851">
        <w:rPr>
          <w:rFonts w:ascii="Simplified Arabic" w:eastAsia="Times New Roman" w:hAnsi="Simplified Arabic" w:cs="Simplified Arabic"/>
          <w:color w:val="000000" w:themeColor="text1"/>
          <w:kern w:val="0"/>
          <w:sz w:val="28"/>
          <w:szCs w:val="28"/>
          <w14:ligatures w14:val="none"/>
        </w:rPr>
        <w:t xml:space="preserve"> SPSS. </w:t>
      </w:r>
      <w:r w:rsidRPr="006D0851">
        <w:rPr>
          <w:rFonts w:ascii="Simplified Arabic" w:eastAsia="Times New Roman" w:hAnsi="Simplified Arabic" w:cs="Simplified Arabic"/>
          <w:color w:val="000000" w:themeColor="text1"/>
          <w:kern w:val="0"/>
          <w:sz w:val="28"/>
          <w:szCs w:val="28"/>
          <w:rtl/>
          <w14:ligatures w14:val="none"/>
        </w:rPr>
        <w:t>وتوصلت نتائج الدراسة إلى وجود فروق ذات دلالة إحصائية في آراء المبحوثين، وأن ترتيب المحددات من الأكثر تأثيراً إلى الأقل هو: العوامل الجغرافية والبنية التحتية أولاً، ثم البيئة الاجتماعية والسياسية، فالإطار القانوني، فالعوامل الاقتصادية، فالعوامل التنظيمية، وأخيراً العوامل المعرفية والتقنية. وأوصت الدراسة بتطوير البنية التحتية وتحسين البيئة القانونية والأمنية لتعزيز قرارات الاستثمار</w:t>
      </w:r>
      <w:r w:rsidRPr="006D0851">
        <w:rPr>
          <w:rFonts w:ascii="Simplified Arabic" w:eastAsia="Times New Roman" w:hAnsi="Simplified Arabic" w:cs="Simplified Arabic"/>
          <w:color w:val="000000" w:themeColor="text1"/>
          <w:kern w:val="0"/>
          <w:sz w:val="28"/>
          <w:szCs w:val="28"/>
          <w14:ligatures w14:val="none"/>
        </w:rPr>
        <w:t>.</w:t>
      </w:r>
    </w:p>
    <w:p w14:paraId="7FEFF570" w14:textId="77777777" w:rsidR="002B43B8" w:rsidRPr="006D0851" w:rsidRDefault="002B43B8" w:rsidP="002B43B8">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D0851">
        <w:rPr>
          <w:rFonts w:ascii="Simplified Arabic" w:eastAsia="Times New Roman" w:hAnsi="Simplified Arabic" w:cs="Simplified Arabic"/>
          <w:b/>
          <w:bCs/>
          <w:color w:val="000000" w:themeColor="text1"/>
          <w:kern w:val="0"/>
          <w:sz w:val="28"/>
          <w:szCs w:val="28"/>
          <w:rtl/>
          <w14:ligatures w14:val="none"/>
        </w:rPr>
        <w:t>دراسة المالكي (2022): "الحوافز التشجيعية للمستثمر الأجنبي في المملكة العربية السعودية وفقاً لرؤية 2030م</w:t>
      </w:r>
      <w:r w:rsidRPr="006D0851">
        <w:rPr>
          <w:rFonts w:ascii="Simplified Arabic" w:eastAsia="Times New Roman" w:hAnsi="Simplified Arabic" w:cs="Simplified Arabic"/>
          <w:b/>
          <w:bCs/>
          <w:color w:val="000000" w:themeColor="text1"/>
          <w:kern w:val="0"/>
          <w:sz w:val="28"/>
          <w:szCs w:val="28"/>
          <w14:ligatures w14:val="none"/>
        </w:rPr>
        <w:t>"</w:t>
      </w:r>
    </w:p>
    <w:p w14:paraId="33A7CDCA" w14:textId="77777777" w:rsidR="002B43B8" w:rsidRPr="006D0851" w:rsidRDefault="002B43B8" w:rsidP="002B4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D0851">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الحوافز التشجيعية المقدمة للمستثمر الأجنبي في المملكة العربية السعودية بأبعادها </w:t>
      </w:r>
      <w:r w:rsidRPr="006D0851">
        <w:rPr>
          <w:rFonts w:ascii="Simplified Arabic" w:eastAsia="Times New Roman" w:hAnsi="Simplified Arabic" w:cs="Simplified Arabic"/>
          <w:color w:val="000000" w:themeColor="text1"/>
          <w:kern w:val="0"/>
          <w:sz w:val="28"/>
          <w:szCs w:val="28"/>
          <w14:ligatures w14:val="none"/>
        </w:rPr>
        <w:t>(</w:t>
      </w:r>
      <w:r w:rsidRPr="006D0851">
        <w:rPr>
          <w:rFonts w:ascii="Simplified Arabic" w:eastAsia="Times New Roman" w:hAnsi="Simplified Arabic" w:cs="Simplified Arabic"/>
          <w:color w:val="000000" w:themeColor="text1"/>
          <w:kern w:val="0"/>
          <w:sz w:val="28"/>
          <w:szCs w:val="28"/>
          <w:rtl/>
          <w14:ligatures w14:val="none"/>
        </w:rPr>
        <w:t>الإطار القانوني للاستثمار الأجنبي، التعريف النظامي للاستثمار الأجنبي، تطور أنظمة الاستثمار الأجنبي، وآليات تسوية منازعات الاستثمار) وفقاً لرؤية 2030. واستخدمت الدراسة المنهج الوصفي التحليلي في تحليل النصوص النظامية والتشريعية ذات الصلة. وتكونت عينة الدراسة من الأنظمة واللوائح والتشريعات السعودية المتعلقة بالاستثمار الأجنبي. وتوصلت نتائج الدراسة إلى أن المنظم السعودي أولى اهتماماً متزايداً بتقديم حوافز استثمارية متنوعة، إلا أن هذه الحوافز جاءت متعددة ومتفرقة وتفتقر إلى إطار تنظيمي موحد يجمعها. وأوصت الدراسة بضرورة إصدار تنظيم مستقل خاص بالحوافز الاستثمارية، وإنشاء جهة مستقلة تتولى الإشراف على تنفيذ هذه الحوافز ومتابعتها لضمان فاعليتها في استقطاب رؤوس الأموال الأجنبية</w:t>
      </w:r>
      <w:r w:rsidRPr="006D0851">
        <w:rPr>
          <w:rFonts w:ascii="Simplified Arabic" w:eastAsia="Times New Roman" w:hAnsi="Simplified Arabic" w:cs="Simplified Arabic"/>
          <w:color w:val="000000" w:themeColor="text1"/>
          <w:kern w:val="0"/>
          <w:sz w:val="28"/>
          <w:szCs w:val="28"/>
          <w14:ligatures w14:val="none"/>
        </w:rPr>
        <w:t>.</w:t>
      </w:r>
    </w:p>
    <w:p w14:paraId="249133B5" w14:textId="77777777" w:rsidR="002B43B8" w:rsidRPr="006D0851" w:rsidRDefault="002B43B8" w:rsidP="002B43B8">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D0851">
        <w:rPr>
          <w:rFonts w:ascii="Simplified Arabic" w:eastAsia="Times New Roman" w:hAnsi="Simplified Arabic" w:cs="Simplified Arabic"/>
          <w:b/>
          <w:bCs/>
          <w:color w:val="000000" w:themeColor="text1"/>
          <w:kern w:val="0"/>
          <w:sz w:val="28"/>
          <w:szCs w:val="28"/>
          <w:rtl/>
          <w14:ligatures w14:val="none"/>
        </w:rPr>
        <w:t>دراسة الذيابي (2023): "الإصلاحات التشريعية الحديثة في المملكة العربية السعودية ودورها في جذب الاستثمارات الأجنبية</w:t>
      </w:r>
      <w:r w:rsidRPr="006D0851">
        <w:rPr>
          <w:rFonts w:ascii="Simplified Arabic" w:eastAsia="Times New Roman" w:hAnsi="Simplified Arabic" w:cs="Simplified Arabic"/>
          <w:b/>
          <w:bCs/>
          <w:color w:val="000000" w:themeColor="text1"/>
          <w:kern w:val="0"/>
          <w:sz w:val="28"/>
          <w:szCs w:val="28"/>
          <w14:ligatures w14:val="none"/>
        </w:rPr>
        <w:t>"</w:t>
      </w:r>
    </w:p>
    <w:p w14:paraId="2DC2C876" w14:textId="57D4F79D" w:rsidR="002B43B8" w:rsidRPr="006D0851" w:rsidRDefault="002B43B8" w:rsidP="002B4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الإصلاحات التشريعية الحديثة بأبعادها (التعديلات النظامية، الأطر القانونية الجديدة، ضمانات الاستثمار، وحوافز بيئة الأعمال) ودورها في جذب الاستثمارات الأجنبية إلى المملكة العربية السعودية. واستخدمت الدراسة المنهج الوصفي التحليلي في تحليل النصوص التشريعية والأنظمة الحديثة ذات الصلة بالاستثمار الأجنبي. وتكونت عينة الدراسة من الأنظمة والتشريعات السعودية </w:t>
      </w:r>
      <w:r w:rsidRPr="006D0851">
        <w:rPr>
          <w:rFonts w:ascii="Simplified Arabic" w:eastAsia="Times New Roman" w:hAnsi="Simplified Arabic" w:cs="Simplified Arabic"/>
          <w:color w:val="000000" w:themeColor="text1"/>
          <w:kern w:val="0"/>
          <w:sz w:val="28"/>
          <w:szCs w:val="28"/>
          <w:rtl/>
          <w14:ligatures w14:val="none"/>
        </w:rPr>
        <w:lastRenderedPageBreak/>
        <w:t>المستحدثة والمعدّلة المتعلقة بالاستثمار الأجنبي. وتوصلت نتائج الدراسة إلى أن الإصلاحات التشريعية الحديثة في المملكة أسهمت بشكل ملموس في تحسين بيئة الاستثمار وزيادة جاذبيتها للمستثمرين الأجانب، وأن هناك تطوراً ملحوظاً في البنية التنظيمية للاستثمار يتوافق مع مستهدفات رؤية 2030. وأوصت الدراسة بمواصلة تحديث الأنظمة التشريعية وتبسيط إجراءات التقاضي وتسوية المنازعات الاستثمارية وتعزيز الشفافية المؤسسية لضمان استمرارية تدفق الاستثمارات</w:t>
      </w:r>
      <w:r w:rsidRPr="006D0851">
        <w:rPr>
          <w:rFonts w:ascii="Simplified Arabic" w:eastAsia="Times New Roman" w:hAnsi="Simplified Arabic" w:cs="Simplified Arabic"/>
          <w:color w:val="000000" w:themeColor="text1"/>
          <w:kern w:val="0"/>
          <w:sz w:val="28"/>
          <w:szCs w:val="28"/>
          <w14:ligatures w14:val="none"/>
        </w:rPr>
        <w:t>.</w:t>
      </w:r>
    </w:p>
    <w:p w14:paraId="4404CF1D" w14:textId="77777777" w:rsidR="00350539" w:rsidRPr="006D0851" w:rsidRDefault="00350539" w:rsidP="002B43B8">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D0851">
        <w:rPr>
          <w:rFonts w:ascii="Simplified Arabic" w:eastAsia="Times New Roman" w:hAnsi="Simplified Arabic" w:cs="Simplified Arabic"/>
          <w:b/>
          <w:bCs/>
          <w:color w:val="000000" w:themeColor="text1"/>
          <w:kern w:val="0"/>
          <w:sz w:val="28"/>
          <w:szCs w:val="28"/>
          <w:rtl/>
          <w14:ligatures w14:val="none"/>
        </w:rPr>
        <w:t>دراسة عمران (2024): "الحوافز الضريبية ودورها في جذب الاستثمارات الأجنبية المباشرة في المنطقة العربية</w:t>
      </w:r>
      <w:r w:rsidRPr="006D0851">
        <w:rPr>
          <w:rFonts w:ascii="Simplified Arabic" w:eastAsia="Times New Roman" w:hAnsi="Simplified Arabic" w:cs="Simplified Arabic"/>
          <w:b/>
          <w:bCs/>
          <w:color w:val="000000" w:themeColor="text1"/>
          <w:kern w:val="0"/>
          <w:sz w:val="28"/>
          <w:szCs w:val="28"/>
          <w14:ligatures w14:val="none"/>
        </w:rPr>
        <w:t>"</w:t>
      </w:r>
    </w:p>
    <w:p w14:paraId="078A56FE" w14:textId="77777777" w:rsidR="00350539" w:rsidRPr="006D0851" w:rsidRDefault="00350539" w:rsidP="002B4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هدفت الدراسة إلى التعرف على دور الحوافز الضريبية بأبعادها (الإعفاءات الضريبية، التخفيضات الجمركية، الحوافز الموجّهة للتصدير، ونظام المناطق الحرة) في جذب تدفقات الاستثمار الأجنبي المباشر إلى المنطقة العربية. واستخدمت الدراسة المنهج الوصفي التحليلي القائم على تحليل البيانات الاقتصادية والسياسات الضريبية المقارنة بين مجموعة من الدول العربية. وتكونت عينة الدراسة من بيانات اقتصادية وتشريعية لعدد من الدول العربية خلال فترة زمنية محددة. وتوصلت نتائج الدراسة إلى أن الحوافز الضريبية السخية في الدول العربية تؤدي إلى فقدان ما يقارب 60</w:t>
      </w:r>
      <w:r w:rsidRPr="006D0851">
        <w:rPr>
          <w:rFonts w:ascii="Simplified Arabic" w:eastAsia="Times New Roman" w:hAnsi="Simplified Arabic" w:cs="Simplified Arabic"/>
          <w:color w:val="000000" w:themeColor="text1"/>
          <w:kern w:val="0"/>
          <w:sz w:val="28"/>
          <w:szCs w:val="28"/>
          <w14:ligatures w14:val="none"/>
        </w:rPr>
        <w:t xml:space="preserve">% </w:t>
      </w:r>
      <w:r w:rsidRPr="006D0851">
        <w:rPr>
          <w:rFonts w:ascii="Simplified Arabic" w:eastAsia="Times New Roman" w:hAnsi="Simplified Arabic" w:cs="Simplified Arabic"/>
          <w:color w:val="000000" w:themeColor="text1"/>
          <w:kern w:val="0"/>
          <w:sz w:val="28"/>
          <w:szCs w:val="28"/>
          <w:rtl/>
          <w14:ligatures w14:val="none"/>
        </w:rPr>
        <w:t>من العائدات الضريبية المحتملة على الشركات، دون أن تحقق بالضرورة زيادة ملموسة في نشاط الشركات متعددة الجنسيات. وأوصت الدراسة بضرورة إعادة تقييم السياسات الضريبية التحفيزية في المنطقة العربية والتوجه نحو حوافز أكثر استهدافاً وفاعلية ترتبط بأهداف تنموية واضحة بدلاً من الإعفاءات الشاملة التي تُضعف القاعدة الضريبية</w:t>
      </w:r>
      <w:r w:rsidRPr="006D0851">
        <w:rPr>
          <w:rFonts w:ascii="Simplified Arabic" w:eastAsia="Times New Roman" w:hAnsi="Simplified Arabic" w:cs="Simplified Arabic"/>
          <w:color w:val="000000" w:themeColor="text1"/>
          <w:kern w:val="0"/>
          <w:sz w:val="28"/>
          <w:szCs w:val="28"/>
          <w14:ligatures w14:val="none"/>
        </w:rPr>
        <w:t>.</w:t>
      </w:r>
    </w:p>
    <w:p w14:paraId="63C96773" w14:textId="77777777" w:rsidR="002B43B8" w:rsidRPr="006D0851" w:rsidRDefault="002B43B8" w:rsidP="002B43B8">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D0851">
        <w:rPr>
          <w:rFonts w:ascii="Simplified Arabic" w:eastAsia="Times New Roman" w:hAnsi="Simplified Arabic" w:cs="Simplified Arabic"/>
          <w:b/>
          <w:bCs/>
          <w:color w:val="000000" w:themeColor="text1"/>
          <w:kern w:val="0"/>
          <w:sz w:val="28"/>
          <w:szCs w:val="28"/>
          <w:rtl/>
          <w14:ligatures w14:val="none"/>
        </w:rPr>
        <w:t>دراسة</w:t>
      </w:r>
      <w:r w:rsidRPr="006D0851">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6D0851">
        <w:rPr>
          <w:rFonts w:ascii="Simplified Arabic" w:eastAsia="Times New Roman" w:hAnsi="Simplified Arabic" w:cs="Simplified Arabic"/>
          <w:b/>
          <w:bCs/>
          <w:color w:val="000000" w:themeColor="text1"/>
          <w:kern w:val="0"/>
          <w:sz w:val="28"/>
          <w:szCs w:val="28"/>
          <w14:ligatures w14:val="none"/>
        </w:rPr>
        <w:t>Katitas</w:t>
      </w:r>
      <w:proofErr w:type="spellEnd"/>
      <w:r w:rsidRPr="006D0851">
        <w:rPr>
          <w:rFonts w:ascii="Simplified Arabic" w:eastAsia="Times New Roman" w:hAnsi="Simplified Arabic" w:cs="Simplified Arabic"/>
          <w:b/>
          <w:bCs/>
          <w:color w:val="000000" w:themeColor="text1"/>
          <w:kern w:val="0"/>
          <w:sz w:val="28"/>
          <w:szCs w:val="28"/>
          <w14:ligatures w14:val="none"/>
        </w:rPr>
        <w:t xml:space="preserve"> &amp; Pandya (2024): "Investment Incentives Attract Foreign Direct Investment: Evidence from the Great Recession"</w:t>
      </w:r>
    </w:p>
    <w:p w14:paraId="40928856" w14:textId="77777777" w:rsidR="002B43B8" w:rsidRPr="006D0851" w:rsidRDefault="002B43B8" w:rsidP="002B4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تأثير حوافز الاستثمار الحقيقية (غير الضريبية) بأبعادها (المنح النقدية، تدريب العمالة، توفير الأراضي، وتطوير البنية التحتية) على قرارات توطين الاستثمار الأجنبي المباشر في الولايات المتحدة الأمريكية خلال فترة الركود الكبير (2009-2011). واستخدمت الدراسة المنهج الكمي التجريبي باستخدام نموذج المتغيرات </w:t>
      </w:r>
      <w:proofErr w:type="spellStart"/>
      <w:r w:rsidRPr="006D0851">
        <w:rPr>
          <w:rFonts w:ascii="Simplified Arabic" w:eastAsia="Times New Roman" w:hAnsi="Simplified Arabic" w:cs="Simplified Arabic"/>
          <w:color w:val="000000" w:themeColor="text1"/>
          <w:kern w:val="0"/>
          <w:sz w:val="28"/>
          <w:szCs w:val="28"/>
          <w:rtl/>
          <w14:ligatures w14:val="none"/>
        </w:rPr>
        <w:t>الأداتية</w:t>
      </w:r>
      <w:proofErr w:type="spellEnd"/>
      <w:r w:rsidRPr="006D0851">
        <w:rPr>
          <w:rFonts w:ascii="Simplified Arabic" w:eastAsia="Times New Roman" w:hAnsi="Simplified Arabic" w:cs="Simplified Arabic"/>
          <w:color w:val="000000" w:themeColor="text1"/>
          <w:kern w:val="0"/>
          <w:sz w:val="28"/>
          <w:szCs w:val="28"/>
          <w14:ligatures w14:val="none"/>
        </w:rPr>
        <w:t xml:space="preserve"> (IV) </w:t>
      </w:r>
      <w:r w:rsidRPr="006D0851">
        <w:rPr>
          <w:rFonts w:ascii="Simplified Arabic" w:eastAsia="Times New Roman" w:hAnsi="Simplified Arabic" w:cs="Simplified Arabic"/>
          <w:color w:val="000000" w:themeColor="text1"/>
          <w:kern w:val="0"/>
          <w:sz w:val="28"/>
          <w:szCs w:val="28"/>
          <w:rtl/>
          <w14:ligatures w14:val="none"/>
        </w:rPr>
        <w:t xml:space="preserve">ونموذج الانحدار اللوجستي المتعدد </w:t>
      </w:r>
      <w:r w:rsidRPr="006D0851">
        <w:rPr>
          <w:rFonts w:ascii="Simplified Arabic" w:eastAsia="Times New Roman" w:hAnsi="Simplified Arabic" w:cs="Simplified Arabic"/>
          <w:color w:val="000000" w:themeColor="text1"/>
          <w:kern w:val="0"/>
          <w:sz w:val="28"/>
          <w:szCs w:val="28"/>
          <w14:ligatures w14:val="none"/>
        </w:rPr>
        <w:t xml:space="preserve">(Multinomial Logit). </w:t>
      </w:r>
      <w:r w:rsidRPr="006D0851">
        <w:rPr>
          <w:rFonts w:ascii="Simplified Arabic" w:eastAsia="Times New Roman" w:hAnsi="Simplified Arabic" w:cs="Simplified Arabic"/>
          <w:color w:val="000000" w:themeColor="text1"/>
          <w:kern w:val="0"/>
          <w:sz w:val="28"/>
          <w:szCs w:val="28"/>
          <w:rtl/>
          <w14:ligatures w14:val="none"/>
        </w:rPr>
        <w:t xml:space="preserve">وتكونت عينة الدراسة من بيانات 396 مقاطعة أمريكية استقبلت استثمارات أجنبية مباشرة خلال الفترة 2009-2011، منها 229 مقاطعة </w:t>
      </w:r>
      <w:r w:rsidRPr="006D0851">
        <w:rPr>
          <w:rFonts w:ascii="Simplified Arabic" w:eastAsia="Times New Roman" w:hAnsi="Simplified Arabic" w:cs="Simplified Arabic"/>
          <w:color w:val="000000" w:themeColor="text1"/>
          <w:kern w:val="0"/>
          <w:sz w:val="28"/>
          <w:szCs w:val="28"/>
          <w14:ligatures w14:val="none"/>
        </w:rPr>
        <w:t xml:space="preserve">(58%) </w:t>
      </w:r>
      <w:r w:rsidRPr="006D0851">
        <w:rPr>
          <w:rFonts w:ascii="Simplified Arabic" w:eastAsia="Times New Roman" w:hAnsi="Simplified Arabic" w:cs="Simplified Arabic"/>
          <w:color w:val="000000" w:themeColor="text1"/>
          <w:kern w:val="0"/>
          <w:sz w:val="28"/>
          <w:szCs w:val="28"/>
          <w:rtl/>
          <w14:ligatures w14:val="none"/>
        </w:rPr>
        <w:t xml:space="preserve">كانت مقاطعات جديدة لم تستقبل </w:t>
      </w:r>
      <w:r w:rsidRPr="006D0851">
        <w:rPr>
          <w:rFonts w:ascii="Simplified Arabic" w:eastAsia="Times New Roman" w:hAnsi="Simplified Arabic" w:cs="Simplified Arabic"/>
          <w:color w:val="000000" w:themeColor="text1"/>
          <w:kern w:val="0"/>
          <w:sz w:val="28"/>
          <w:szCs w:val="28"/>
          <w:rtl/>
          <w14:ligatures w14:val="none"/>
        </w:rPr>
        <w:lastRenderedPageBreak/>
        <w:t>استثمارات سابقاً. وتوصلت نتائج الدراسة إلى أن الحوافز الحقيقية تجذب الاستثمار الأجنبي المباشر من خلال تخفيف حالة عدم تماثل المعلومات، حيث أدى كل مليون دولار إضافي من التحفيز إلى إنفاق نحو 170 ألف دولار إضافي على الحوافز الحقيقية، بينما لم يكن للحوافز الضريبية أي تأثير على تدفقات الاستثمار الأجنبي. وأوصت الدراسة بتوجيه السياسات نحو الحوافز الحقيقية المرتبطة بالموقع عندما تكون فجوات المعلومات حادة</w:t>
      </w:r>
      <w:r w:rsidRPr="006D0851">
        <w:rPr>
          <w:rFonts w:ascii="Simplified Arabic" w:eastAsia="Times New Roman" w:hAnsi="Simplified Arabic" w:cs="Simplified Arabic"/>
          <w:color w:val="000000" w:themeColor="text1"/>
          <w:kern w:val="0"/>
          <w:sz w:val="28"/>
          <w:szCs w:val="28"/>
          <w14:ligatures w14:val="none"/>
        </w:rPr>
        <w:t>.</w:t>
      </w:r>
    </w:p>
    <w:p w14:paraId="613E7ED2" w14:textId="77777777" w:rsidR="002B43B8" w:rsidRPr="006D0851" w:rsidRDefault="002B43B8" w:rsidP="002B43B8">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D0851">
        <w:rPr>
          <w:rFonts w:ascii="Simplified Arabic" w:eastAsia="Times New Roman" w:hAnsi="Simplified Arabic" w:cs="Simplified Arabic"/>
          <w:b/>
          <w:bCs/>
          <w:color w:val="000000" w:themeColor="text1"/>
          <w:kern w:val="0"/>
          <w:sz w:val="28"/>
          <w:szCs w:val="28"/>
          <w:rtl/>
          <w14:ligatures w14:val="none"/>
        </w:rPr>
        <w:t>دراسة</w:t>
      </w:r>
      <w:r w:rsidRPr="006D0851">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6D0851">
        <w:rPr>
          <w:rFonts w:ascii="Simplified Arabic" w:eastAsia="Times New Roman" w:hAnsi="Simplified Arabic" w:cs="Simplified Arabic"/>
          <w:b/>
          <w:bCs/>
          <w:color w:val="000000" w:themeColor="text1"/>
          <w:kern w:val="0"/>
          <w:sz w:val="28"/>
          <w:szCs w:val="28"/>
          <w14:ligatures w14:val="none"/>
        </w:rPr>
        <w:t>Elimam</w:t>
      </w:r>
      <w:proofErr w:type="spellEnd"/>
      <w:r w:rsidRPr="006D0851">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6D0851">
        <w:rPr>
          <w:rFonts w:ascii="Simplified Arabic" w:eastAsia="Times New Roman" w:hAnsi="Simplified Arabic" w:cs="Simplified Arabic"/>
          <w:b/>
          <w:bCs/>
          <w:color w:val="000000" w:themeColor="text1"/>
          <w:kern w:val="0"/>
          <w:sz w:val="28"/>
          <w:szCs w:val="28"/>
          <w14:ligatures w14:val="none"/>
        </w:rPr>
        <w:t>Alattas</w:t>
      </w:r>
      <w:proofErr w:type="spellEnd"/>
      <w:r w:rsidRPr="006D0851">
        <w:rPr>
          <w:rFonts w:ascii="Simplified Arabic" w:eastAsia="Times New Roman" w:hAnsi="Simplified Arabic" w:cs="Simplified Arabic"/>
          <w:b/>
          <w:bCs/>
          <w:color w:val="000000" w:themeColor="text1"/>
          <w:kern w:val="0"/>
          <w:sz w:val="28"/>
          <w:szCs w:val="28"/>
          <w14:ligatures w14:val="none"/>
        </w:rPr>
        <w:t xml:space="preserve"> (2024): "A Dynamic Analysis of Sustainable Economic Growth and FDI Inflow in Saudi Arabia Using ARDL Approach and VECM Technique"</w:t>
      </w:r>
    </w:p>
    <w:p w14:paraId="35942AA3" w14:textId="77777777" w:rsidR="002B43B8" w:rsidRPr="006D0851" w:rsidRDefault="002B43B8" w:rsidP="002B4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هدفت الدراسة إلى التعرف على العوامل المؤثرة في تدفقات الاستثمار الأجنبي المباشر بأبعادها (النمو الاقتصادي المستدام، الانفتاح التجاري، سعر الصرف الرسمي، فاعلية الحكومة، التضخم، ريع النفط، انبعاثات ثاني أكسيد الكربون، والنمو الاقتصادي الحقيقي) في المملكة العربية السعودية خلال الفترة 1980-2023. واستخدمت الدراسة منهج الانحدار الذاتي للفجوات الزمنية الموزعة</w:t>
      </w:r>
      <w:r w:rsidRPr="006D0851">
        <w:rPr>
          <w:rFonts w:ascii="Simplified Arabic" w:eastAsia="Times New Roman" w:hAnsi="Simplified Arabic" w:cs="Simplified Arabic"/>
          <w:color w:val="000000" w:themeColor="text1"/>
          <w:kern w:val="0"/>
          <w:sz w:val="28"/>
          <w:szCs w:val="28"/>
          <w14:ligatures w14:val="none"/>
        </w:rPr>
        <w:t xml:space="preserve"> (ARDL) </w:t>
      </w:r>
      <w:r w:rsidRPr="006D0851">
        <w:rPr>
          <w:rFonts w:ascii="Simplified Arabic" w:eastAsia="Times New Roman" w:hAnsi="Simplified Arabic" w:cs="Simplified Arabic"/>
          <w:color w:val="000000" w:themeColor="text1"/>
          <w:kern w:val="0"/>
          <w:sz w:val="28"/>
          <w:szCs w:val="28"/>
          <w:rtl/>
          <w14:ligatures w14:val="none"/>
        </w:rPr>
        <w:t xml:space="preserve">وتقنية نموذج تصحيح الخطأ المتجه </w:t>
      </w:r>
      <w:r w:rsidRPr="006D0851">
        <w:rPr>
          <w:rFonts w:ascii="Simplified Arabic" w:eastAsia="Times New Roman" w:hAnsi="Simplified Arabic" w:cs="Simplified Arabic"/>
          <w:color w:val="000000" w:themeColor="text1"/>
          <w:kern w:val="0"/>
          <w:sz w:val="28"/>
          <w:szCs w:val="28"/>
          <w14:ligatures w14:val="none"/>
        </w:rPr>
        <w:t xml:space="preserve">(VECM). </w:t>
      </w:r>
      <w:r w:rsidRPr="006D0851">
        <w:rPr>
          <w:rFonts w:ascii="Simplified Arabic" w:eastAsia="Times New Roman" w:hAnsi="Simplified Arabic" w:cs="Simplified Arabic"/>
          <w:color w:val="000000" w:themeColor="text1"/>
          <w:kern w:val="0"/>
          <w:sz w:val="28"/>
          <w:szCs w:val="28"/>
          <w:rtl/>
          <w14:ligatures w14:val="none"/>
        </w:rPr>
        <w:t xml:space="preserve">وتكونت عينة الدراسة من بيانات سلاسل زمنية سنوية للاقتصاد السعودي تمتد على 44 عاماً. وتوصلت نتائج الدراسة إلى أن النمو الاقتصادي المستدام يؤثر إيجابياً على الاستثمار الأجنبي المباشر في المدى الطويل بمعامل </w:t>
      </w:r>
      <w:r w:rsidRPr="006D0851">
        <w:rPr>
          <w:rFonts w:ascii="Simplified Arabic" w:eastAsia="Times New Roman" w:hAnsi="Simplified Arabic" w:cs="Simplified Arabic"/>
          <w:color w:val="000000" w:themeColor="text1"/>
          <w:kern w:val="0"/>
          <w:sz w:val="28"/>
          <w:szCs w:val="28"/>
          <w14:ligatures w14:val="none"/>
        </w:rPr>
        <w:t>0.201</w:t>
      </w:r>
      <w:r w:rsidRPr="006D0851">
        <w:rPr>
          <w:rFonts w:ascii="Simplified Arabic" w:eastAsia="Times New Roman" w:hAnsi="Simplified Arabic" w:cs="Simplified Arabic"/>
          <w:color w:val="000000" w:themeColor="text1"/>
          <w:kern w:val="0"/>
          <w:sz w:val="28"/>
          <w:szCs w:val="28"/>
          <w:rtl/>
          <w14:ligatures w14:val="none"/>
        </w:rPr>
        <w:t>، وأن ارتفاع سعر الصرف يزيد الاستثمار بمقدار 6.921 وحدة، بينما يؤدي التضخم وريع النفط إلى انخفاض الاستثمار. وأوصت الدراسة بإعادة تقييم سياسات الانفتاح التجاري والبنية التحتية وتعزيز فاعلية الحكومة والمسؤولية البيئية</w:t>
      </w:r>
      <w:r w:rsidRPr="006D0851">
        <w:rPr>
          <w:rFonts w:ascii="Simplified Arabic" w:eastAsia="Times New Roman" w:hAnsi="Simplified Arabic" w:cs="Simplified Arabic"/>
          <w:color w:val="000000" w:themeColor="text1"/>
          <w:kern w:val="0"/>
          <w:sz w:val="28"/>
          <w:szCs w:val="28"/>
          <w14:ligatures w14:val="none"/>
        </w:rPr>
        <w:t>.</w:t>
      </w:r>
    </w:p>
    <w:p w14:paraId="46B82806" w14:textId="77777777" w:rsidR="002B43B8" w:rsidRPr="006D0851" w:rsidRDefault="002B43B8" w:rsidP="002B43B8">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D0851">
        <w:rPr>
          <w:rFonts w:ascii="Simplified Arabic" w:eastAsia="Times New Roman" w:hAnsi="Simplified Arabic" w:cs="Simplified Arabic"/>
          <w:b/>
          <w:bCs/>
          <w:color w:val="000000" w:themeColor="text1"/>
          <w:kern w:val="0"/>
          <w:sz w:val="28"/>
          <w:szCs w:val="28"/>
          <w:rtl/>
          <w14:ligatures w14:val="none"/>
        </w:rPr>
        <w:t>دراسة</w:t>
      </w:r>
      <w:r w:rsidRPr="006D0851">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6D0851">
        <w:rPr>
          <w:rFonts w:ascii="Simplified Arabic" w:eastAsia="Times New Roman" w:hAnsi="Simplified Arabic" w:cs="Simplified Arabic"/>
          <w:b/>
          <w:bCs/>
          <w:color w:val="000000" w:themeColor="text1"/>
          <w:kern w:val="0"/>
          <w:sz w:val="28"/>
          <w:szCs w:val="28"/>
          <w14:ligatures w14:val="none"/>
        </w:rPr>
        <w:t>Kronfol</w:t>
      </w:r>
      <w:proofErr w:type="spellEnd"/>
      <w:r w:rsidRPr="006D0851">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6D0851">
        <w:rPr>
          <w:rFonts w:ascii="Simplified Arabic" w:eastAsia="Times New Roman" w:hAnsi="Simplified Arabic" w:cs="Simplified Arabic"/>
          <w:b/>
          <w:bCs/>
          <w:color w:val="000000" w:themeColor="text1"/>
          <w:kern w:val="0"/>
          <w:sz w:val="28"/>
          <w:szCs w:val="28"/>
          <w14:ligatures w14:val="none"/>
        </w:rPr>
        <w:t>Steenbergen</w:t>
      </w:r>
      <w:proofErr w:type="spellEnd"/>
      <w:r w:rsidRPr="006D0851">
        <w:rPr>
          <w:rFonts w:ascii="Simplified Arabic" w:eastAsia="Times New Roman" w:hAnsi="Simplified Arabic" w:cs="Simplified Arabic"/>
          <w:b/>
          <w:bCs/>
          <w:color w:val="000000" w:themeColor="text1"/>
          <w:kern w:val="0"/>
          <w:sz w:val="28"/>
          <w:szCs w:val="28"/>
          <w14:ligatures w14:val="none"/>
        </w:rPr>
        <w:t xml:space="preserve"> (2024): "The Role of Incentives in Investment Promotion: Trends and Practices in OECD Member Countries"</w:t>
      </w:r>
    </w:p>
    <w:p w14:paraId="21E44C5E" w14:textId="77777777" w:rsidR="002B43B8" w:rsidRPr="006D0851" w:rsidRDefault="002B43B8" w:rsidP="002B4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هدفت الدراسة إلى التعرف على دور حوافز الاستثمار بأبعادها (الحوافز الضريبية، الحوافز المالية، الحوافز التنظيمية، والمزايا العينية) في استراتيجيات ترويج الاستثمار لدى دول منظمة التعاون الاقتصادي والتنمية</w:t>
      </w:r>
      <w:r w:rsidRPr="006D0851">
        <w:rPr>
          <w:rFonts w:ascii="Simplified Arabic" w:eastAsia="Times New Roman" w:hAnsi="Simplified Arabic" w:cs="Simplified Arabic"/>
          <w:color w:val="000000" w:themeColor="text1"/>
          <w:kern w:val="0"/>
          <w:sz w:val="28"/>
          <w:szCs w:val="28"/>
          <w14:ligatures w14:val="none"/>
        </w:rPr>
        <w:t xml:space="preserve"> (OECD). </w:t>
      </w:r>
      <w:r w:rsidRPr="006D0851">
        <w:rPr>
          <w:rFonts w:ascii="Simplified Arabic" w:eastAsia="Times New Roman" w:hAnsi="Simplified Arabic" w:cs="Simplified Arabic"/>
          <w:color w:val="000000" w:themeColor="text1"/>
          <w:kern w:val="0"/>
          <w:sz w:val="28"/>
          <w:szCs w:val="28"/>
          <w:rtl/>
          <w14:ligatures w14:val="none"/>
        </w:rPr>
        <w:t>واستخدمت الدراسة المنهج الوصفي المقارن القائم على مسح شامل لوكالات ترويج الاستثمار في 35 دولة من دول المنظمة</w:t>
      </w:r>
      <w:r w:rsidRPr="006D0851">
        <w:rPr>
          <w:rFonts w:ascii="Simplified Arabic" w:eastAsia="Times New Roman" w:hAnsi="Simplified Arabic" w:cs="Simplified Arabic"/>
          <w:color w:val="000000" w:themeColor="text1"/>
          <w:kern w:val="0"/>
          <w:sz w:val="28"/>
          <w:szCs w:val="28"/>
          <w14:ligatures w14:val="none"/>
        </w:rPr>
        <w:t xml:space="preserve"> (</w:t>
      </w:r>
      <w:r w:rsidRPr="006D0851">
        <w:rPr>
          <w:rFonts w:ascii="Simplified Arabic" w:eastAsia="Times New Roman" w:hAnsi="Simplified Arabic" w:cs="Simplified Arabic"/>
          <w:color w:val="000000" w:themeColor="text1"/>
          <w:kern w:val="0"/>
          <w:sz w:val="28"/>
          <w:szCs w:val="28"/>
          <w:rtl/>
          <w14:ligatures w14:val="none"/>
        </w:rPr>
        <w:t>مسح</w:t>
      </w:r>
      <w:r w:rsidRPr="006D0851">
        <w:rPr>
          <w:rFonts w:ascii="Simplified Arabic" w:eastAsia="Times New Roman" w:hAnsi="Simplified Arabic" w:cs="Simplified Arabic"/>
          <w:color w:val="000000" w:themeColor="text1"/>
          <w:kern w:val="0"/>
          <w:sz w:val="28"/>
          <w:szCs w:val="28"/>
          <w14:ligatures w14:val="none"/>
        </w:rPr>
        <w:t xml:space="preserve"> OECD 2024). </w:t>
      </w:r>
      <w:r w:rsidRPr="006D0851">
        <w:rPr>
          <w:rFonts w:ascii="Simplified Arabic" w:eastAsia="Times New Roman" w:hAnsi="Simplified Arabic" w:cs="Simplified Arabic"/>
          <w:color w:val="000000" w:themeColor="text1"/>
          <w:kern w:val="0"/>
          <w:sz w:val="28"/>
          <w:szCs w:val="28"/>
          <w:rtl/>
          <w14:ligatures w14:val="none"/>
        </w:rPr>
        <w:t xml:space="preserve">وتكونت عينة الدراسة من استجابات </w:t>
      </w:r>
      <w:r w:rsidRPr="006D0851">
        <w:rPr>
          <w:rFonts w:ascii="Simplified Arabic" w:eastAsia="Times New Roman" w:hAnsi="Simplified Arabic" w:cs="Simplified Arabic"/>
          <w:color w:val="000000" w:themeColor="text1"/>
          <w:kern w:val="0"/>
          <w:sz w:val="28"/>
          <w:szCs w:val="28"/>
          <w:rtl/>
          <w14:ligatures w14:val="none"/>
        </w:rPr>
        <w:lastRenderedPageBreak/>
        <w:t>35 وكالة ترويج استثمار وطنية في دول</w:t>
      </w:r>
      <w:r w:rsidRPr="006D0851">
        <w:rPr>
          <w:rFonts w:ascii="Simplified Arabic" w:eastAsia="Times New Roman" w:hAnsi="Simplified Arabic" w:cs="Simplified Arabic"/>
          <w:color w:val="000000" w:themeColor="text1"/>
          <w:kern w:val="0"/>
          <w:sz w:val="28"/>
          <w:szCs w:val="28"/>
          <w14:ligatures w14:val="none"/>
        </w:rPr>
        <w:t xml:space="preserve"> OECD. </w:t>
      </w:r>
      <w:r w:rsidRPr="006D0851">
        <w:rPr>
          <w:rFonts w:ascii="Simplified Arabic" w:eastAsia="Times New Roman" w:hAnsi="Simplified Arabic" w:cs="Simplified Arabic"/>
          <w:color w:val="000000" w:themeColor="text1"/>
          <w:kern w:val="0"/>
          <w:sz w:val="28"/>
          <w:szCs w:val="28"/>
          <w:rtl/>
          <w14:ligatures w14:val="none"/>
        </w:rPr>
        <w:t>وتوصلت نتائج الدراسة إلى أن جميع الدول المشمولة تقدم نوعاً واحداً على الأقل من حوافز الاستثمار، وأن الحوافز الضريبية على أرباح الشركات هي الأكثر شيوعاً (86%)، تليها المنح المالية المباشرة (80%). كما أن وكالات الترويج لا تعتبر الحوافز عاملاً حاسماً في قرارات التوطين، بل تُقدّم جودة البنية التحتية ومهارات القوى العاملة والبيئة القانونية الداعمة. وأوصت الدراسة بتعزيز أطر حماية الاستثمار وتحسين التنسيق بين المؤسسات المعنية وإنشاء آليات رسمية للرصد والتقييم</w:t>
      </w:r>
      <w:r w:rsidRPr="006D0851">
        <w:rPr>
          <w:rFonts w:ascii="Simplified Arabic" w:eastAsia="Times New Roman" w:hAnsi="Simplified Arabic" w:cs="Simplified Arabic"/>
          <w:color w:val="000000" w:themeColor="text1"/>
          <w:kern w:val="0"/>
          <w:sz w:val="28"/>
          <w:szCs w:val="28"/>
          <w14:ligatures w14:val="none"/>
        </w:rPr>
        <w:t>.</w:t>
      </w:r>
    </w:p>
    <w:p w14:paraId="52DF74AE" w14:textId="77777777" w:rsidR="00350539" w:rsidRPr="006D0851" w:rsidRDefault="00350539" w:rsidP="002B43B8">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D0851">
        <w:rPr>
          <w:rFonts w:ascii="Simplified Arabic" w:eastAsia="Times New Roman" w:hAnsi="Simplified Arabic" w:cs="Simplified Arabic"/>
          <w:b/>
          <w:bCs/>
          <w:color w:val="000000" w:themeColor="text1"/>
          <w:kern w:val="0"/>
          <w:sz w:val="28"/>
          <w:szCs w:val="28"/>
          <w:rtl/>
          <w14:ligatures w14:val="none"/>
        </w:rPr>
        <w:t>دراسة حماد (2025): "ضمانات وحوافز الاستثمار في النظام السعودي والاتفاقيات الدولية</w:t>
      </w:r>
      <w:r w:rsidRPr="006D0851">
        <w:rPr>
          <w:rFonts w:ascii="Simplified Arabic" w:eastAsia="Times New Roman" w:hAnsi="Simplified Arabic" w:cs="Simplified Arabic"/>
          <w:b/>
          <w:bCs/>
          <w:color w:val="000000" w:themeColor="text1"/>
          <w:kern w:val="0"/>
          <w:sz w:val="28"/>
          <w:szCs w:val="28"/>
          <w14:ligatures w14:val="none"/>
        </w:rPr>
        <w:t>"</w:t>
      </w:r>
    </w:p>
    <w:p w14:paraId="618C0BBA" w14:textId="77777777" w:rsidR="00350539" w:rsidRPr="006D0851" w:rsidRDefault="00350539" w:rsidP="002B4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هدفت الدراسة إلى التعرف على ضمانات وحوافز الاستثمار بأبعادها (الضمانات النظامية، الحوافز الضريبية والمالية، البنية التحتية، بيئة الأعمال، والاتفاقيات الدولية) في النظام السعودي ومقارنتها بالمعايير الدولية. واستخدمت الدراسة المنهج الوصفي التحليلي والمنهج المقارن في تحليل الأنظمة السعودية ومقارنتها بالممارسات الدولية. وتكونت عينة الدراسة من الأنظمة والتشريعات السعودية المتعلقة بالاستثمار والاتفاقيات الدولية الثنائية والمتعددة الأطراف. وتوصلت نتائج الدراسة إلى أن المملكة العربية السعودية تعمل على تعزيز جاذبيتها الاستثمارية من خلال التحديثات التنظيمية والحوافز الضريبية والمالية وتطوير البنية التحتية، إلا أنها تواجه تحديات في الإجراءات الإدارية وإنفاذ العقود والمنافسة الإقليمية. وأوصت الدراسة بتحسين الشفافية وتبسيط الإجراءات وتعزيز الحوافز في المناطق الأقل نمواً لدعم أهداف رؤية 2030</w:t>
      </w:r>
      <w:r w:rsidRPr="006D0851">
        <w:rPr>
          <w:rFonts w:ascii="Simplified Arabic" w:eastAsia="Times New Roman" w:hAnsi="Simplified Arabic" w:cs="Simplified Arabic"/>
          <w:color w:val="000000" w:themeColor="text1"/>
          <w:kern w:val="0"/>
          <w:sz w:val="28"/>
          <w:szCs w:val="28"/>
          <w14:ligatures w14:val="none"/>
        </w:rPr>
        <w:t>.</w:t>
      </w:r>
    </w:p>
    <w:p w14:paraId="155AF78D" w14:textId="77777777" w:rsidR="00350539" w:rsidRPr="006D0851" w:rsidRDefault="00350539" w:rsidP="002B43B8">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D0851">
        <w:rPr>
          <w:rFonts w:ascii="Simplified Arabic" w:eastAsia="Times New Roman" w:hAnsi="Simplified Arabic" w:cs="Simplified Arabic"/>
          <w:b/>
          <w:bCs/>
          <w:color w:val="000000" w:themeColor="text1"/>
          <w:kern w:val="0"/>
          <w:sz w:val="28"/>
          <w:szCs w:val="28"/>
          <w:rtl/>
          <w14:ligatures w14:val="none"/>
        </w:rPr>
        <w:t>دراسة</w:t>
      </w:r>
      <w:r w:rsidRPr="006D0851">
        <w:rPr>
          <w:rFonts w:ascii="Simplified Arabic" w:eastAsia="Times New Roman" w:hAnsi="Simplified Arabic" w:cs="Simplified Arabic"/>
          <w:b/>
          <w:bCs/>
          <w:color w:val="000000" w:themeColor="text1"/>
          <w:kern w:val="0"/>
          <w:sz w:val="28"/>
          <w:szCs w:val="28"/>
          <w14:ligatures w14:val="none"/>
        </w:rPr>
        <w:t xml:space="preserve"> Binkhamis, </w:t>
      </w:r>
      <w:proofErr w:type="spellStart"/>
      <w:r w:rsidRPr="006D0851">
        <w:rPr>
          <w:rFonts w:ascii="Simplified Arabic" w:eastAsia="Times New Roman" w:hAnsi="Simplified Arabic" w:cs="Simplified Arabic"/>
          <w:b/>
          <w:bCs/>
          <w:color w:val="000000" w:themeColor="text1"/>
          <w:kern w:val="0"/>
          <w:sz w:val="28"/>
          <w:szCs w:val="28"/>
          <w14:ligatures w14:val="none"/>
        </w:rPr>
        <w:t>Alhussain</w:t>
      </w:r>
      <w:proofErr w:type="spellEnd"/>
      <w:r w:rsidRPr="006D0851">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6D0851">
        <w:rPr>
          <w:rFonts w:ascii="Simplified Arabic" w:eastAsia="Times New Roman" w:hAnsi="Simplified Arabic" w:cs="Simplified Arabic"/>
          <w:b/>
          <w:bCs/>
          <w:color w:val="000000" w:themeColor="text1"/>
          <w:kern w:val="0"/>
          <w:sz w:val="28"/>
          <w:szCs w:val="28"/>
          <w14:ligatures w14:val="none"/>
        </w:rPr>
        <w:t>Naji</w:t>
      </w:r>
      <w:proofErr w:type="spellEnd"/>
      <w:r w:rsidRPr="006D0851">
        <w:rPr>
          <w:rFonts w:ascii="Simplified Arabic" w:eastAsia="Times New Roman" w:hAnsi="Simplified Arabic" w:cs="Simplified Arabic"/>
          <w:b/>
          <w:bCs/>
          <w:color w:val="000000" w:themeColor="text1"/>
          <w:kern w:val="0"/>
          <w:sz w:val="28"/>
          <w:szCs w:val="28"/>
          <w14:ligatures w14:val="none"/>
        </w:rPr>
        <w:t xml:space="preserve"> (2025): "Sustaining Foreign Direct Investment in Saudi Arabia: An Analysis of Investment Protection Frameworks"</w:t>
      </w:r>
    </w:p>
    <w:p w14:paraId="048323DB" w14:textId="10347BB8" w:rsidR="00350539" w:rsidRPr="006D0851" w:rsidRDefault="00350539" w:rsidP="002B4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أطر حماية الاستثمار بأبعادها (النمو السكاني، المدخرات الإجمالية، الإنفاق الحكومي، الانفتاح التجاري، معدل التضخم، الناتج المحلي الإجمالي، ونسبة احتياطي النفط العالمي) وأثرها على النمو الاقتصادي والاستثمار الأجنبي المباشر في المملكة العربية السعودية في إطار رؤية 2030. واستخدمت الدراسة منهجاً مختلطاً يجمع بين التحليل الكمي (نموذج الانحدار الخطي المتعدد عبر برنامج </w:t>
      </w:r>
      <w:r w:rsidRPr="006D0851">
        <w:rPr>
          <w:rFonts w:ascii="Simplified Arabic" w:eastAsia="Times New Roman" w:hAnsi="Simplified Arabic" w:cs="Simplified Arabic"/>
          <w:color w:val="000000" w:themeColor="text1"/>
          <w:kern w:val="0"/>
          <w:sz w:val="28"/>
          <w:szCs w:val="28"/>
          <w14:ligatures w14:val="none"/>
        </w:rPr>
        <w:t xml:space="preserve">Stata) </w:t>
      </w:r>
      <w:r w:rsidRPr="006D0851">
        <w:rPr>
          <w:rFonts w:ascii="Simplified Arabic" w:eastAsia="Times New Roman" w:hAnsi="Simplified Arabic" w:cs="Simplified Arabic"/>
          <w:color w:val="000000" w:themeColor="text1"/>
          <w:kern w:val="0"/>
          <w:sz w:val="28"/>
          <w:szCs w:val="28"/>
          <w:rtl/>
          <w14:ligatures w14:val="none"/>
        </w:rPr>
        <w:t xml:space="preserve">والتحليل النوعي (أسلوب دلفي مع 8 خبراء). وتكونت عينة الدراسة من بيانات اقتصادية للفترة 2006-2023 واستطلاع آراء خبراء من قطاعات الصناعة والتمويل والاستثمار والسياحة. </w:t>
      </w:r>
      <w:r w:rsidRPr="006D0851">
        <w:rPr>
          <w:rFonts w:ascii="Simplified Arabic" w:eastAsia="Times New Roman" w:hAnsi="Simplified Arabic" w:cs="Simplified Arabic"/>
          <w:color w:val="000000" w:themeColor="text1"/>
          <w:kern w:val="0"/>
          <w:sz w:val="28"/>
          <w:szCs w:val="28"/>
          <w:rtl/>
          <w14:ligatures w14:val="none"/>
        </w:rPr>
        <w:lastRenderedPageBreak/>
        <w:t>وتوصلت نتائج الدراسة إلى أن الانفتاح التجاري ونسبة احتياطي النفط العالمي يؤثران إيجابياً على الاستثمار الأجنبي، بينما يؤثر النمو السكاني والمدخرات والإنفاق الحكومي سلبياً. كما أن اتفاقيات حماية الاستثمار هي الأهم وفقاً لتقييم الخبراء. وأوصت الدراسة بتعزيز أطر حماية الاستثمار وتحسين الشفافية لتسريع وتيرة جذب الاستثمارات</w:t>
      </w:r>
      <w:r w:rsidRPr="006D0851">
        <w:rPr>
          <w:rFonts w:ascii="Simplified Arabic" w:eastAsia="Times New Roman" w:hAnsi="Simplified Arabic" w:cs="Simplified Arabic"/>
          <w:color w:val="000000" w:themeColor="text1"/>
          <w:kern w:val="0"/>
          <w:sz w:val="28"/>
          <w:szCs w:val="28"/>
          <w14:ligatures w14:val="none"/>
        </w:rPr>
        <w:t>.</w:t>
      </w:r>
    </w:p>
    <w:p w14:paraId="66CE503C" w14:textId="77777777" w:rsidR="00350539" w:rsidRPr="006D0851" w:rsidRDefault="00350539" w:rsidP="002B43B8">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D0851">
        <w:rPr>
          <w:rFonts w:ascii="Simplified Arabic" w:eastAsia="Times New Roman" w:hAnsi="Simplified Arabic" w:cs="Simplified Arabic"/>
          <w:b/>
          <w:bCs/>
          <w:color w:val="000000" w:themeColor="text1"/>
          <w:kern w:val="0"/>
          <w:sz w:val="28"/>
          <w:szCs w:val="28"/>
          <w:rtl/>
          <w14:ligatures w14:val="none"/>
        </w:rPr>
        <w:t>دراسة</w:t>
      </w:r>
      <w:r w:rsidRPr="006D0851">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6D0851">
        <w:rPr>
          <w:rFonts w:ascii="Simplified Arabic" w:eastAsia="Times New Roman" w:hAnsi="Simplified Arabic" w:cs="Simplified Arabic"/>
          <w:b/>
          <w:bCs/>
          <w:color w:val="000000" w:themeColor="text1"/>
          <w:kern w:val="0"/>
          <w:sz w:val="28"/>
          <w:szCs w:val="28"/>
          <w14:ligatures w14:val="none"/>
        </w:rPr>
        <w:t>Alturki</w:t>
      </w:r>
      <w:proofErr w:type="spellEnd"/>
      <w:r w:rsidRPr="006D0851">
        <w:rPr>
          <w:rFonts w:ascii="Simplified Arabic" w:eastAsia="Times New Roman" w:hAnsi="Simplified Arabic" w:cs="Simplified Arabic"/>
          <w:b/>
          <w:bCs/>
          <w:color w:val="000000" w:themeColor="text1"/>
          <w:kern w:val="0"/>
          <w:sz w:val="28"/>
          <w:szCs w:val="28"/>
          <w14:ligatures w14:val="none"/>
        </w:rPr>
        <w:t xml:space="preserve"> &amp; Al-</w:t>
      </w:r>
      <w:proofErr w:type="spellStart"/>
      <w:r w:rsidRPr="006D0851">
        <w:rPr>
          <w:rFonts w:ascii="Simplified Arabic" w:eastAsia="Times New Roman" w:hAnsi="Simplified Arabic" w:cs="Simplified Arabic"/>
          <w:b/>
          <w:bCs/>
          <w:color w:val="000000" w:themeColor="text1"/>
          <w:kern w:val="0"/>
          <w:sz w:val="28"/>
          <w:szCs w:val="28"/>
          <w14:ligatures w14:val="none"/>
        </w:rPr>
        <w:t>Shammari</w:t>
      </w:r>
      <w:proofErr w:type="spellEnd"/>
      <w:r w:rsidRPr="006D0851">
        <w:rPr>
          <w:rFonts w:ascii="Simplified Arabic" w:eastAsia="Times New Roman" w:hAnsi="Simplified Arabic" w:cs="Simplified Arabic"/>
          <w:b/>
          <w:bCs/>
          <w:color w:val="000000" w:themeColor="text1"/>
          <w:kern w:val="0"/>
          <w:sz w:val="28"/>
          <w:szCs w:val="28"/>
          <w14:ligatures w14:val="none"/>
        </w:rPr>
        <w:t xml:space="preserve"> (2025): "Regional Competitiveness for Achieving Sustainable Development of Hail Region, Saudi Arabia"</w:t>
      </w:r>
    </w:p>
    <w:p w14:paraId="13E9023D" w14:textId="77777777" w:rsidR="00350539" w:rsidRPr="006D0851" w:rsidRDefault="00350539" w:rsidP="002B4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هدفت الدراسة إلى التعرف على مستوى التنافسية الإقليمية بأبعادها الثلاثة (المؤشر الأساسي: المؤسسات الإقليمية، الاستقرار الاقتصادي، البنية التحتية، الصحة، التعليم الأساسي؛ مؤشر الكفاءة: التعليم العالي، كفاءة سوق العمل، حجم السوق؛ ومؤشر الابتكار</w:t>
      </w:r>
      <w:r w:rsidRPr="006D0851">
        <w:rPr>
          <w:rFonts w:ascii="Simplified Arabic" w:eastAsia="Times New Roman" w:hAnsi="Simplified Arabic" w:cs="Simplified Arabic"/>
          <w:color w:val="000000" w:themeColor="text1"/>
          <w:kern w:val="0"/>
          <w:sz w:val="28"/>
          <w:szCs w:val="28"/>
          <w14:ligatures w14:val="none"/>
        </w:rPr>
        <w:t xml:space="preserve">: </w:t>
      </w:r>
      <w:r w:rsidRPr="006D0851">
        <w:rPr>
          <w:rFonts w:ascii="Simplified Arabic" w:eastAsia="Times New Roman" w:hAnsi="Simplified Arabic" w:cs="Simplified Arabic"/>
          <w:color w:val="000000" w:themeColor="text1"/>
          <w:kern w:val="0"/>
          <w:sz w:val="28"/>
          <w:szCs w:val="28"/>
          <w:rtl/>
          <w14:ligatures w14:val="none"/>
        </w:rPr>
        <w:t>الجاهزية التكنولوجية، تطور الأعمال، الابتكار) في 13 منطقة سعودية مع التركيز على منطقة حائل. واستخدمت الدراسة منهج المؤشرات المركّبة باستخدام مؤشر التنافسية الإقليمية</w:t>
      </w:r>
      <w:r w:rsidRPr="006D0851">
        <w:rPr>
          <w:rFonts w:ascii="Simplified Arabic" w:eastAsia="Times New Roman" w:hAnsi="Simplified Arabic" w:cs="Simplified Arabic"/>
          <w:color w:val="000000" w:themeColor="text1"/>
          <w:kern w:val="0"/>
          <w:sz w:val="28"/>
          <w:szCs w:val="28"/>
          <w14:ligatures w14:val="none"/>
        </w:rPr>
        <w:t xml:space="preserve"> (RCI) </w:t>
      </w:r>
      <w:r w:rsidRPr="006D0851">
        <w:rPr>
          <w:rFonts w:ascii="Simplified Arabic" w:eastAsia="Times New Roman" w:hAnsi="Simplified Arabic" w:cs="Simplified Arabic"/>
          <w:color w:val="000000" w:themeColor="text1"/>
          <w:kern w:val="0"/>
          <w:sz w:val="28"/>
          <w:szCs w:val="28"/>
          <w:rtl/>
          <w14:ligatures w14:val="none"/>
        </w:rPr>
        <w:t>للاتحاد الأوروبي وتقنية تحليل المكونات الرئيسية</w:t>
      </w:r>
      <w:r w:rsidRPr="006D0851">
        <w:rPr>
          <w:rFonts w:ascii="Simplified Arabic" w:eastAsia="Times New Roman" w:hAnsi="Simplified Arabic" w:cs="Simplified Arabic"/>
          <w:color w:val="000000" w:themeColor="text1"/>
          <w:kern w:val="0"/>
          <w:sz w:val="28"/>
          <w:szCs w:val="28"/>
          <w14:ligatures w14:val="none"/>
        </w:rPr>
        <w:t xml:space="preserve"> (PCA). </w:t>
      </w:r>
      <w:r w:rsidRPr="006D0851">
        <w:rPr>
          <w:rFonts w:ascii="Simplified Arabic" w:eastAsia="Times New Roman" w:hAnsi="Simplified Arabic" w:cs="Simplified Arabic"/>
          <w:color w:val="000000" w:themeColor="text1"/>
          <w:kern w:val="0"/>
          <w:sz w:val="28"/>
          <w:szCs w:val="28"/>
          <w:rtl/>
          <w14:ligatures w14:val="none"/>
        </w:rPr>
        <w:t>وتكونت عينة الدراسة من بيانات 74 مؤشراً لـ 13 منطقة سعودية لعام 2021 مستخلصة من مصادر رسمية سعودية ودولية. وتوصلت نتائج الدراسة إلى أن الرياض ومكة المكرمة تحققان أعلى درجات التنافسية (18.705 و17.949)، بينما تحقق حائل أداءً متوسطاً (4.922)، وأن الفجوات التنافسية واضحة بين مناطق العواصم والمناطق الأخرى. وأوصت الدراسة بتوجيه سياسات مستهدفة لتحسين تنافسية المناطق الأقل نمواً وتقليص الفوارق الإقليمية</w:t>
      </w:r>
      <w:r w:rsidRPr="006D0851">
        <w:rPr>
          <w:rFonts w:ascii="Simplified Arabic" w:eastAsia="Times New Roman" w:hAnsi="Simplified Arabic" w:cs="Simplified Arabic"/>
          <w:color w:val="000000" w:themeColor="text1"/>
          <w:kern w:val="0"/>
          <w:sz w:val="28"/>
          <w:szCs w:val="28"/>
          <w14:ligatures w14:val="none"/>
        </w:rPr>
        <w:t>.</w:t>
      </w:r>
    </w:p>
    <w:p w14:paraId="0FAEE2B2" w14:textId="77777777" w:rsidR="00350539" w:rsidRPr="006D0851" w:rsidRDefault="00350539" w:rsidP="002B43B8">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D0851">
        <w:rPr>
          <w:rFonts w:ascii="Simplified Arabic" w:eastAsia="Times New Roman" w:hAnsi="Simplified Arabic" w:cs="Simplified Arabic"/>
          <w:b/>
          <w:bCs/>
          <w:color w:val="000000" w:themeColor="text1"/>
          <w:kern w:val="0"/>
          <w:sz w:val="28"/>
          <w:szCs w:val="28"/>
          <w:rtl/>
          <w14:ligatures w14:val="none"/>
        </w:rPr>
        <w:t>دراسة المصري وصبيح (2025): "العلاقة التبادلية بين مؤشر التنافسية وتدفقات الاستثمار الأجنبي المباشر: دراسة حالة مصر</w:t>
      </w:r>
      <w:r w:rsidRPr="006D0851">
        <w:rPr>
          <w:rFonts w:ascii="Simplified Arabic" w:eastAsia="Times New Roman" w:hAnsi="Simplified Arabic" w:cs="Simplified Arabic"/>
          <w:b/>
          <w:bCs/>
          <w:color w:val="000000" w:themeColor="text1"/>
          <w:kern w:val="0"/>
          <w:sz w:val="28"/>
          <w:szCs w:val="28"/>
          <w14:ligatures w14:val="none"/>
        </w:rPr>
        <w:t xml:space="preserve"> (2008-2022)"</w:t>
      </w:r>
    </w:p>
    <w:p w14:paraId="3A7FB24E" w14:textId="6EF0FA64" w:rsidR="00350539" w:rsidRPr="006D0851" w:rsidRDefault="00350539" w:rsidP="002B4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هدفت الدراسة إلى التعرف على طبيعة العلاقة التبادلية بين مؤشر التنافسية العالمي بأبعاده (المتطلبات الأساسية، محفزات الكفاءة، عوامل الابتكار والتطور) وتدفقات الاستثمار الأجنبي المباشر في مصر خلال الفترة 2008-2022. واستخدمت الدراسة المنهج الوصفي التحليلي والمنهج القياسي في تحليل بيانات السلاسل الزمنية. وتكونت عينة الدراسة من بيانات مؤشر التنافسية العالمي الصادر عن المنتدى الاقتصادي العالمي وبيانات تدفقات الاستثمار الأجنبي المباشر لمصر خلال الفترة المدروسة</w:t>
      </w:r>
      <w:r w:rsidRPr="006D0851">
        <w:rPr>
          <w:rFonts w:ascii="Simplified Arabic" w:eastAsia="Times New Roman" w:hAnsi="Simplified Arabic" w:cs="Simplified Arabic"/>
          <w:color w:val="000000" w:themeColor="text1"/>
          <w:kern w:val="0"/>
          <w:sz w:val="28"/>
          <w:szCs w:val="28"/>
          <w14:ligatures w14:val="none"/>
        </w:rPr>
        <w:t xml:space="preserve">. </w:t>
      </w:r>
      <w:r w:rsidRPr="006D0851">
        <w:rPr>
          <w:rFonts w:ascii="Simplified Arabic" w:eastAsia="Times New Roman" w:hAnsi="Simplified Arabic" w:cs="Simplified Arabic"/>
          <w:color w:val="000000" w:themeColor="text1"/>
          <w:kern w:val="0"/>
          <w:sz w:val="28"/>
          <w:szCs w:val="28"/>
          <w:rtl/>
          <w14:ligatures w14:val="none"/>
        </w:rPr>
        <w:t xml:space="preserve">وتوصلت نتائج الدراسة إلى وجود علاقة تبادلية ذات دلالة إحصائية بين مؤشر التنافسية وتدفقات الاستثمار الأجنبي المباشر، </w:t>
      </w:r>
      <w:r w:rsidRPr="006D0851">
        <w:rPr>
          <w:rFonts w:ascii="Simplified Arabic" w:eastAsia="Times New Roman" w:hAnsi="Simplified Arabic" w:cs="Simplified Arabic"/>
          <w:color w:val="000000" w:themeColor="text1"/>
          <w:kern w:val="0"/>
          <w:sz w:val="28"/>
          <w:szCs w:val="28"/>
          <w:rtl/>
          <w14:ligatures w14:val="none"/>
        </w:rPr>
        <w:lastRenderedPageBreak/>
        <w:t>حيث يؤدي تحسن مؤشر التنافسية إلى زيادة تدفقات الاستثمار، كما تسهم زيادة الاستثمارات الأجنبية في تحسين مؤشرات التنافسية. وأوصت الدراسة بضرورة العمل على تحسين ركائز التنافسية الأساسية كمدخل لزيادة جاذبية مصر للاستثمارات الأجنبية وتعزيز حلقة التغذية الراجعة الإيجابية بين التنافسية والاستثمار</w:t>
      </w:r>
      <w:r w:rsidRPr="006D0851">
        <w:rPr>
          <w:rFonts w:ascii="Simplified Arabic" w:eastAsia="Times New Roman" w:hAnsi="Simplified Arabic" w:cs="Simplified Arabic"/>
          <w:color w:val="000000" w:themeColor="text1"/>
          <w:kern w:val="0"/>
          <w:sz w:val="28"/>
          <w:szCs w:val="28"/>
          <w14:ligatures w14:val="none"/>
        </w:rPr>
        <w:t>.</w:t>
      </w:r>
    </w:p>
    <w:p w14:paraId="4FE83380" w14:textId="77777777" w:rsidR="00350539" w:rsidRPr="006D0851" w:rsidRDefault="00350539" w:rsidP="002B43B8">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D0851">
        <w:rPr>
          <w:rFonts w:ascii="Simplified Arabic" w:eastAsia="Times New Roman" w:hAnsi="Simplified Arabic" w:cs="Simplified Arabic"/>
          <w:b/>
          <w:bCs/>
          <w:color w:val="000000" w:themeColor="text1"/>
          <w:kern w:val="0"/>
          <w:sz w:val="28"/>
          <w:szCs w:val="28"/>
          <w:rtl/>
          <w14:ligatures w14:val="none"/>
        </w:rPr>
        <w:t>دراسة</w:t>
      </w:r>
      <w:r w:rsidRPr="006D0851">
        <w:rPr>
          <w:rFonts w:ascii="Simplified Arabic" w:eastAsia="Times New Roman" w:hAnsi="Simplified Arabic" w:cs="Simplified Arabic"/>
          <w:b/>
          <w:bCs/>
          <w:color w:val="000000" w:themeColor="text1"/>
          <w:kern w:val="0"/>
          <w:sz w:val="28"/>
          <w:szCs w:val="28"/>
          <w14:ligatures w14:val="none"/>
        </w:rPr>
        <w:t xml:space="preserve"> Ahmad (2025): "Global Competitiveness and FDI Inflows in GCC with Reference to Saudi Arabia: A Path Analysis Approach"</w:t>
      </w:r>
    </w:p>
    <w:p w14:paraId="1A0C9530" w14:textId="77777777" w:rsidR="00350539" w:rsidRPr="006D0851" w:rsidRDefault="00350539" w:rsidP="002B4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هدفت الدراسة إلى التعرف على العلاقة بين التنافسية العالمية بأبعادها (ركائز مؤشر التنافسية العالمي) وتدفقات الاستثمار الأجنبي المباشر في دول مجلس التعاون الخليجي مع التركيز على المملكة العربية السعودية. واستخدمت الدراسة منهج تحليل المسار</w:t>
      </w:r>
      <w:r w:rsidRPr="006D0851">
        <w:rPr>
          <w:rFonts w:ascii="Simplified Arabic" w:eastAsia="Times New Roman" w:hAnsi="Simplified Arabic" w:cs="Simplified Arabic"/>
          <w:color w:val="000000" w:themeColor="text1"/>
          <w:kern w:val="0"/>
          <w:sz w:val="28"/>
          <w:szCs w:val="28"/>
          <w14:ligatures w14:val="none"/>
        </w:rPr>
        <w:t xml:space="preserve"> (Path Analysis) </w:t>
      </w:r>
      <w:r w:rsidRPr="006D0851">
        <w:rPr>
          <w:rFonts w:ascii="Simplified Arabic" w:eastAsia="Times New Roman" w:hAnsi="Simplified Arabic" w:cs="Simplified Arabic"/>
          <w:color w:val="000000" w:themeColor="text1"/>
          <w:kern w:val="0"/>
          <w:sz w:val="28"/>
          <w:szCs w:val="28"/>
          <w:rtl/>
          <w14:ligatures w14:val="none"/>
        </w:rPr>
        <w:t>لقياس التأثيرات المباشرة وغير المباشرة لركائز التنافسية على تدفقات الاستثمار الأجنبي المباشر. وتكونت عينة الدراسة من بيانات مؤشر التنافسية العالمية وبيانات تدفقات الاستثمار الأجنبي المباشر لدول مجلس التعاون الخليجي خلال الفترة المدروسة. وتوصلت نتائج الدراسة إلى وجود تأثيرات مباشرة وغير مباشرة ذات دلالة إحصائية لركائز التنافسية العالمية على تدفقات الاستثمار الأجنبي المباشر في دول الخليج، وأن المملكة العربية السعودية تحقق تقدماً ملحوظاً في مؤشرات التنافسية ينعكس إيجابياً على جذب الاستثمارات. وأوصت الدراسة بتعزيز ركائز التنافسية المتعلقة بالابتكار ورأس المال البشري وكفاءة المؤسسات لزيادة جاذبية دول الخليج للاستثمارات الأجنبية</w:t>
      </w:r>
      <w:r w:rsidRPr="006D0851">
        <w:rPr>
          <w:rFonts w:ascii="Simplified Arabic" w:eastAsia="Times New Roman" w:hAnsi="Simplified Arabic" w:cs="Simplified Arabic"/>
          <w:color w:val="000000" w:themeColor="text1"/>
          <w:kern w:val="0"/>
          <w:sz w:val="28"/>
          <w:szCs w:val="28"/>
          <w14:ligatures w14:val="none"/>
        </w:rPr>
        <w:t>.</w:t>
      </w:r>
    </w:p>
    <w:p w14:paraId="7954C62B" w14:textId="2B42B934" w:rsidR="002B43B8" w:rsidRPr="006D0851" w:rsidRDefault="002B43B8" w:rsidP="002B43B8">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5" w:name="_Toc233659077"/>
      <w:r w:rsidRPr="006D0851">
        <w:rPr>
          <w:rFonts w:ascii="Simplified Arabic" w:hAnsi="Simplified Arabic" w:cs="Simplified Arabic"/>
          <w:b/>
          <w:bCs/>
          <w:color w:val="000000" w:themeColor="text1"/>
          <w:sz w:val="36"/>
          <w:szCs w:val="36"/>
          <w:rtl/>
        </w:rPr>
        <w:t>8.1 الفجوة البحثية</w:t>
      </w:r>
      <w:bookmarkEnd w:id="15"/>
    </w:p>
    <w:p w14:paraId="0F731D52" w14:textId="5301B1ED" w:rsidR="00A74F76" w:rsidRPr="006D0851" w:rsidRDefault="00350539" w:rsidP="002B43B8">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6D0851">
        <w:rPr>
          <w:rFonts w:ascii="Simplified Arabic" w:hAnsi="Simplified Arabic" w:cs="Simplified Arabic"/>
          <w:color w:val="000000" w:themeColor="text1"/>
          <w:sz w:val="28"/>
          <w:szCs w:val="28"/>
          <w:rtl/>
        </w:rPr>
        <w:t>من خلال الاستعراض المعمّق للدراسات السابقة العربية والأجنبية ذات الصلة بموضوع الدراسة، تبيّن للباحث وجود فجوة بحثية واضحة تتمثل في عدة جوانب مترابطة. فمن الناحية الموضوعية، ركّزت أغلب الدراسات السابقة على تناول بُعد واحد من أبعاد الحوافز الاستثمارية بشكل منفرد، كدراسة عمران</w:t>
      </w:r>
      <w:r w:rsidRPr="006D0851">
        <w:rPr>
          <w:rFonts w:ascii="Simplified Arabic" w:hAnsi="Simplified Arabic" w:cs="Simplified Arabic"/>
          <w:color w:val="000000" w:themeColor="text1"/>
          <w:sz w:val="28"/>
          <w:szCs w:val="28"/>
        </w:rPr>
        <w:t xml:space="preserve"> (2024) </w:t>
      </w:r>
      <w:r w:rsidRPr="006D0851">
        <w:rPr>
          <w:rFonts w:ascii="Simplified Arabic" w:hAnsi="Simplified Arabic" w:cs="Simplified Arabic"/>
          <w:color w:val="000000" w:themeColor="text1"/>
          <w:sz w:val="28"/>
          <w:szCs w:val="28"/>
          <w:rtl/>
        </w:rPr>
        <w:t>ودراسة زيدان (2022) ودراسة السيد (2021) التي اقتصرت على الحوافز الضريبية، ودراسة</w:t>
      </w:r>
      <w:r w:rsidRPr="006D0851">
        <w:rPr>
          <w:rFonts w:ascii="Simplified Arabic" w:hAnsi="Simplified Arabic" w:cs="Simplified Arabic"/>
          <w:color w:val="000000" w:themeColor="text1"/>
          <w:sz w:val="28"/>
          <w:szCs w:val="28"/>
        </w:rPr>
        <w:t xml:space="preserve"> </w:t>
      </w:r>
      <w:proofErr w:type="spellStart"/>
      <w:r w:rsidRPr="006D0851">
        <w:rPr>
          <w:rFonts w:ascii="Simplified Arabic" w:hAnsi="Simplified Arabic" w:cs="Simplified Arabic"/>
          <w:color w:val="000000" w:themeColor="text1"/>
          <w:sz w:val="28"/>
          <w:szCs w:val="28"/>
        </w:rPr>
        <w:t>Katitas</w:t>
      </w:r>
      <w:proofErr w:type="spellEnd"/>
      <w:r w:rsidRPr="006D0851">
        <w:rPr>
          <w:rFonts w:ascii="Simplified Arabic" w:hAnsi="Simplified Arabic" w:cs="Simplified Arabic"/>
          <w:color w:val="000000" w:themeColor="text1"/>
          <w:sz w:val="28"/>
          <w:szCs w:val="28"/>
        </w:rPr>
        <w:t xml:space="preserve"> &amp; Pandya (2024) </w:t>
      </w:r>
      <w:r w:rsidRPr="006D0851">
        <w:rPr>
          <w:rFonts w:ascii="Simplified Arabic" w:hAnsi="Simplified Arabic" w:cs="Simplified Arabic"/>
          <w:color w:val="000000" w:themeColor="text1"/>
          <w:sz w:val="28"/>
          <w:szCs w:val="28"/>
          <w:rtl/>
        </w:rPr>
        <w:t>التي ركّزت على الحوافز الحقيقية غير الضريبية، دون أن تتناول أي منها الحوافز الاستثمارية بأبعادها الأربعة مجتمعة (الحوافز الضريبية، الحوافز المالية، الحوافز التنظيمية والتشريعية، حوافز البنية التحتية والمناطق الاقتصادية) في نموذج تحليلي متكامل يقيس أثرها المشترك والنسبي على قرار التوطين الاستثماري</w:t>
      </w:r>
      <w:r w:rsidRPr="006D0851">
        <w:rPr>
          <w:rFonts w:ascii="Simplified Arabic" w:hAnsi="Simplified Arabic" w:cs="Simplified Arabic"/>
          <w:color w:val="000000" w:themeColor="text1"/>
          <w:sz w:val="28"/>
          <w:szCs w:val="28"/>
        </w:rPr>
        <w:t xml:space="preserve">. </w:t>
      </w:r>
      <w:r w:rsidRPr="006D0851">
        <w:rPr>
          <w:rFonts w:ascii="Simplified Arabic" w:hAnsi="Simplified Arabic" w:cs="Simplified Arabic"/>
          <w:color w:val="000000" w:themeColor="text1"/>
          <w:sz w:val="28"/>
          <w:szCs w:val="28"/>
          <w:rtl/>
        </w:rPr>
        <w:t xml:space="preserve">ومن الناحية المنهجية، غلب على الدراسات السابقة في السياق السعودي الطابع </w:t>
      </w:r>
      <w:r w:rsidRPr="006D0851">
        <w:rPr>
          <w:rFonts w:ascii="Simplified Arabic" w:hAnsi="Simplified Arabic" w:cs="Simplified Arabic"/>
          <w:color w:val="000000" w:themeColor="text1"/>
          <w:sz w:val="28"/>
          <w:szCs w:val="28"/>
          <w:rtl/>
        </w:rPr>
        <w:lastRenderedPageBreak/>
        <w:t xml:space="preserve">القانوني الوصفي كدراسة المالكي (2022) ودراسة حماد (2025) ودراسة الذيابي </w:t>
      </w:r>
      <w:r w:rsidRPr="006D0851">
        <w:rPr>
          <w:rFonts w:ascii="Simplified Arabic" w:hAnsi="Simplified Arabic" w:cs="Simplified Arabic"/>
          <w:color w:val="000000" w:themeColor="text1"/>
          <w:sz w:val="28"/>
          <w:szCs w:val="28"/>
        </w:rPr>
        <w:t xml:space="preserve">(2023) </w:t>
      </w:r>
      <w:r w:rsidRPr="006D0851">
        <w:rPr>
          <w:rFonts w:ascii="Simplified Arabic" w:hAnsi="Simplified Arabic" w:cs="Simplified Arabic"/>
          <w:color w:val="000000" w:themeColor="text1"/>
          <w:sz w:val="28"/>
          <w:szCs w:val="28"/>
          <w:rtl/>
        </w:rPr>
        <w:t>التي اعتمدت على تحليل النصوص التشريعية دون قياس كمي ميداني لأثر الحوافز من وجهة نظر المستثمرين الأجانب أنفسهم، بينما اعتمدت الدراسات الكمية كدراسة</w:t>
      </w:r>
      <w:r w:rsidRPr="006D0851">
        <w:rPr>
          <w:rFonts w:ascii="Simplified Arabic" w:hAnsi="Simplified Arabic" w:cs="Simplified Arabic"/>
          <w:color w:val="000000" w:themeColor="text1"/>
          <w:sz w:val="28"/>
          <w:szCs w:val="28"/>
        </w:rPr>
        <w:t xml:space="preserve"> Binkhamis et al. (2025) </w:t>
      </w:r>
      <w:r w:rsidRPr="006D0851">
        <w:rPr>
          <w:rFonts w:ascii="Simplified Arabic" w:hAnsi="Simplified Arabic" w:cs="Simplified Arabic"/>
          <w:color w:val="000000" w:themeColor="text1"/>
          <w:sz w:val="28"/>
          <w:szCs w:val="28"/>
          <w:rtl/>
        </w:rPr>
        <w:t>ودراسة</w:t>
      </w:r>
      <w:r w:rsidRPr="006D0851">
        <w:rPr>
          <w:rFonts w:ascii="Simplified Arabic" w:hAnsi="Simplified Arabic" w:cs="Simplified Arabic"/>
          <w:color w:val="000000" w:themeColor="text1"/>
          <w:sz w:val="28"/>
          <w:szCs w:val="28"/>
        </w:rPr>
        <w:t xml:space="preserve"> </w:t>
      </w:r>
      <w:proofErr w:type="spellStart"/>
      <w:r w:rsidRPr="006D0851">
        <w:rPr>
          <w:rFonts w:ascii="Simplified Arabic" w:hAnsi="Simplified Arabic" w:cs="Simplified Arabic"/>
          <w:color w:val="000000" w:themeColor="text1"/>
          <w:sz w:val="28"/>
          <w:szCs w:val="28"/>
        </w:rPr>
        <w:t>Elimam</w:t>
      </w:r>
      <w:proofErr w:type="spellEnd"/>
      <w:r w:rsidRPr="006D0851">
        <w:rPr>
          <w:rFonts w:ascii="Simplified Arabic" w:hAnsi="Simplified Arabic" w:cs="Simplified Arabic"/>
          <w:color w:val="000000" w:themeColor="text1"/>
          <w:sz w:val="28"/>
          <w:szCs w:val="28"/>
        </w:rPr>
        <w:t xml:space="preserve"> &amp; </w:t>
      </w:r>
      <w:proofErr w:type="spellStart"/>
      <w:r w:rsidRPr="006D0851">
        <w:rPr>
          <w:rFonts w:ascii="Simplified Arabic" w:hAnsi="Simplified Arabic" w:cs="Simplified Arabic"/>
          <w:color w:val="000000" w:themeColor="text1"/>
          <w:sz w:val="28"/>
          <w:szCs w:val="28"/>
        </w:rPr>
        <w:t>Alattas</w:t>
      </w:r>
      <w:proofErr w:type="spellEnd"/>
      <w:r w:rsidRPr="006D0851">
        <w:rPr>
          <w:rFonts w:ascii="Simplified Arabic" w:hAnsi="Simplified Arabic" w:cs="Simplified Arabic"/>
          <w:color w:val="000000" w:themeColor="text1"/>
          <w:sz w:val="28"/>
          <w:szCs w:val="28"/>
        </w:rPr>
        <w:t xml:space="preserve"> (2024) </w:t>
      </w:r>
      <w:r w:rsidRPr="006D0851">
        <w:rPr>
          <w:rFonts w:ascii="Simplified Arabic" w:hAnsi="Simplified Arabic" w:cs="Simplified Arabic"/>
          <w:color w:val="000000" w:themeColor="text1"/>
          <w:sz w:val="28"/>
          <w:szCs w:val="28"/>
          <w:rtl/>
        </w:rPr>
        <w:t>على بيانات ثانوية ونماذج قياسية كلية دون الاستناد إلى بيانات أولية ميدانية من المستفيدين الفعليين من الحوافز. ومن ناحية السياق التطبيقي، لم تتناول أي من الدراسات السابقة — في حدود علم الباحث — أثر منظومة الحوافز الاستثمارية السعودية المتكاملة على قرار التوطين الاستثماري للمستثمر الأجنبي في المرحلة الراهنة التي تشهد فيها المملكة تحولات تنظيمية وتشريعية جوهرية في إطار رؤية 2030، مما يُفقد صانعي القرار رؤية تستند إلى بيانات ميدانية حول الأبعاد الأكثر فاعلية وأولويات التطوير. وعليه، تأتي هذه الدراسة لسد هذه الفجوة من خلال بناء نموذج تحليلي متكامل يقيس أثر الحوافز الاستثمارية بأبعادها الأربعة مجتمعة على قرار التوطين الاستثماري باستخدام بيانات أولية ميدانية مجمّعة من المستثمرين الأجانب العاملين فعلياً في المملكة العربية السعودية، وتحديد الأهمية النسبية لكل بُعد ودرجة إسهامه في تفسير التباين في قرار التوطين</w:t>
      </w:r>
      <w:r w:rsidRPr="006D0851">
        <w:rPr>
          <w:rFonts w:ascii="Simplified Arabic" w:hAnsi="Simplified Arabic" w:cs="Simplified Arabic"/>
          <w:color w:val="000000" w:themeColor="text1"/>
          <w:sz w:val="28"/>
          <w:szCs w:val="28"/>
        </w:rPr>
        <w:t>.</w:t>
      </w:r>
      <w:r w:rsidR="00A74F76" w:rsidRPr="006D0851">
        <w:rPr>
          <w:rFonts w:ascii="Simplified Arabic" w:hAnsi="Simplified Arabic" w:cs="Simplified Arabic"/>
          <w:color w:val="000000" w:themeColor="text1"/>
          <w:sz w:val="28"/>
          <w:szCs w:val="28"/>
          <w:rtl/>
        </w:rPr>
        <w:t>:</w:t>
      </w:r>
      <w:bookmarkEnd w:id="14"/>
    </w:p>
    <w:p w14:paraId="0FFA2A6D" w14:textId="77777777" w:rsidR="002B43B8" w:rsidRPr="006D0851" w:rsidRDefault="002B43B8" w:rsidP="002B43B8">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6" w:name="_Toc233659078"/>
      <w:bookmarkStart w:id="17" w:name="_Toc169790502"/>
      <w:r w:rsidRPr="006D0851">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16"/>
      <w:r w:rsidRPr="006D0851">
        <w:rPr>
          <w:rFonts w:ascii="Simplified Arabic" w:eastAsia="Times New Roman" w:hAnsi="Simplified Arabic" w:cs="Simplified Arabic"/>
          <w:b/>
          <w:bCs/>
          <w:color w:val="000000" w:themeColor="text1"/>
          <w:kern w:val="0"/>
          <w:sz w:val="36"/>
          <w:szCs w:val="36"/>
          <w:rtl/>
          <w14:ligatures w14:val="none"/>
        </w:rPr>
        <w:t xml:space="preserve"> </w:t>
      </w:r>
    </w:p>
    <w:p w14:paraId="0B3A50EC" w14:textId="77777777" w:rsidR="002B43B8" w:rsidRPr="006D0851" w:rsidRDefault="002B43B8" w:rsidP="002B43B8">
      <w:pPr>
        <w:spacing w:before="100" w:beforeAutospacing="1" w:after="100" w:afterAutospacing="1" w:line="276" w:lineRule="auto"/>
        <w:rPr>
          <w:rFonts w:ascii="Simplified Arabic" w:eastAsia="Times New Roman" w:hAnsi="Simplified Arabic" w:cs="Simplified Arabic"/>
          <w:b/>
          <w:bCs/>
          <w:color w:val="000000" w:themeColor="text1"/>
          <w:kern w:val="0"/>
          <w:sz w:val="32"/>
          <w:szCs w:val="32"/>
          <w:rtl/>
          <w14:ligatures w14:val="none"/>
        </w:rPr>
      </w:pPr>
      <w:r w:rsidRPr="006D0851">
        <w:rPr>
          <w:rFonts w:ascii="Simplified Arabic" w:eastAsia="Times New Roman" w:hAnsi="Simplified Arabic" w:cs="Simplified Arabic"/>
          <w:b/>
          <w:bCs/>
          <w:color w:val="000000" w:themeColor="text1"/>
          <w:kern w:val="0"/>
          <w:sz w:val="32"/>
          <w:szCs w:val="32"/>
          <w:rtl/>
          <w14:ligatures w14:val="none"/>
        </w:rPr>
        <w:t>مصطلحات الدراسة</w:t>
      </w:r>
    </w:p>
    <w:p w14:paraId="1DAD0102" w14:textId="573F1F7C" w:rsidR="002B43B8" w:rsidRPr="006D0851" w:rsidRDefault="002B43B8" w:rsidP="002B43B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6D0851">
        <w:rPr>
          <w:rFonts w:ascii="Simplified Arabic" w:eastAsia="Times New Roman" w:hAnsi="Simplified Arabic" w:cs="Simplified Arabic"/>
          <w:b/>
          <w:bCs/>
          <w:color w:val="000000" w:themeColor="text1"/>
          <w:kern w:val="0"/>
          <w:sz w:val="28"/>
          <w:szCs w:val="28"/>
          <w:rtl/>
          <w14:ligatures w14:val="none"/>
        </w:rPr>
        <w:t>أولاً: الحوافز الاستثمارية (</w:t>
      </w:r>
      <w:r w:rsidRPr="006D0851">
        <w:rPr>
          <w:rFonts w:ascii="Simplified Arabic" w:eastAsia="Times New Roman" w:hAnsi="Simplified Arabic" w:cs="Simplified Arabic"/>
          <w:b/>
          <w:bCs/>
          <w:color w:val="000000" w:themeColor="text1"/>
          <w:kern w:val="0"/>
          <w:sz w:val="28"/>
          <w:szCs w:val="28"/>
          <w14:ligatures w14:val="none"/>
        </w:rPr>
        <w:t>Investment Incentives</w:t>
      </w:r>
      <w:r w:rsidRPr="006D0851">
        <w:rPr>
          <w:rFonts w:ascii="Simplified Arabic" w:eastAsia="Times New Roman" w:hAnsi="Simplified Arabic" w:cs="Simplified Arabic"/>
          <w:b/>
          <w:bCs/>
          <w:color w:val="000000" w:themeColor="text1"/>
          <w:kern w:val="0"/>
          <w:sz w:val="28"/>
          <w:szCs w:val="28"/>
          <w:rtl/>
          <w14:ligatures w14:val="none"/>
        </w:rPr>
        <w:t>)</w:t>
      </w:r>
    </w:p>
    <w:p w14:paraId="2E680A4A" w14:textId="77777777" w:rsidR="00350539" w:rsidRPr="006D0851" w:rsidRDefault="00350539" w:rsidP="002B4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التعريف الاصطلاحي</w:t>
      </w:r>
      <w:r w:rsidRPr="006D0851">
        <w:rPr>
          <w:rFonts w:ascii="Simplified Arabic" w:eastAsia="Times New Roman" w:hAnsi="Simplified Arabic" w:cs="Simplified Arabic"/>
          <w:color w:val="000000" w:themeColor="text1"/>
          <w:kern w:val="0"/>
          <w:sz w:val="28"/>
          <w:szCs w:val="28"/>
          <w14:ligatures w14:val="none"/>
        </w:rPr>
        <w:t xml:space="preserve">: </w:t>
      </w:r>
      <w:r w:rsidRPr="006D0851">
        <w:rPr>
          <w:rFonts w:ascii="Simplified Arabic" w:eastAsia="Times New Roman" w:hAnsi="Simplified Arabic" w:cs="Simplified Arabic"/>
          <w:color w:val="000000" w:themeColor="text1"/>
          <w:kern w:val="0"/>
          <w:sz w:val="28"/>
          <w:szCs w:val="28"/>
          <w:rtl/>
          <w14:ligatures w14:val="none"/>
        </w:rPr>
        <w:t>تُعرَّف الحوافز الاستثمارية بأنها أي شكل من أشكال المزايا المحددة التي تُقدّمها الحكومة لمستثمرين بعينهم أو لمشروعات استثمارية محددة بما يتجاوز ما هو متاح لجميع الشركات أو المشروعات في الدولة المضيفة، وتشمل الحوافز الضريبية والمالية والتنظيمية والعينية التي تهدف إلى استقطاب الاستثمارات أو الاحتفاظ بها</w:t>
      </w:r>
      <w:r w:rsidRPr="006D0851">
        <w:rPr>
          <w:rFonts w:ascii="Simplified Arabic" w:eastAsia="Times New Roman" w:hAnsi="Simplified Arabic" w:cs="Simplified Arabic"/>
          <w:color w:val="000000" w:themeColor="text1"/>
          <w:kern w:val="0"/>
          <w:sz w:val="28"/>
          <w:szCs w:val="28"/>
          <w14:ligatures w14:val="none"/>
        </w:rPr>
        <w:t xml:space="preserve"> (</w:t>
      </w:r>
      <w:proofErr w:type="spellStart"/>
      <w:r w:rsidRPr="006D0851">
        <w:rPr>
          <w:rFonts w:ascii="Simplified Arabic" w:eastAsia="Times New Roman" w:hAnsi="Simplified Arabic" w:cs="Simplified Arabic"/>
          <w:color w:val="000000" w:themeColor="text1"/>
          <w:kern w:val="0"/>
          <w:sz w:val="28"/>
          <w:szCs w:val="28"/>
          <w14:ligatures w14:val="none"/>
        </w:rPr>
        <w:t>Celani</w:t>
      </w:r>
      <w:proofErr w:type="spellEnd"/>
      <w:r w:rsidRPr="006D0851">
        <w:rPr>
          <w:rFonts w:ascii="Simplified Arabic" w:eastAsia="Times New Roman" w:hAnsi="Simplified Arabic" w:cs="Simplified Arabic"/>
          <w:color w:val="000000" w:themeColor="text1"/>
          <w:kern w:val="0"/>
          <w:sz w:val="28"/>
          <w:szCs w:val="28"/>
          <w14:ligatures w14:val="none"/>
        </w:rPr>
        <w:t xml:space="preserve">, Dressler &amp; </w:t>
      </w:r>
      <w:proofErr w:type="spellStart"/>
      <w:r w:rsidRPr="006D0851">
        <w:rPr>
          <w:rFonts w:ascii="Simplified Arabic" w:eastAsia="Times New Roman" w:hAnsi="Simplified Arabic" w:cs="Simplified Arabic"/>
          <w:color w:val="000000" w:themeColor="text1"/>
          <w:kern w:val="0"/>
          <w:sz w:val="28"/>
          <w:szCs w:val="28"/>
          <w14:ligatures w14:val="none"/>
        </w:rPr>
        <w:t>Wermelinger</w:t>
      </w:r>
      <w:proofErr w:type="spellEnd"/>
      <w:r w:rsidRPr="006D0851">
        <w:rPr>
          <w:rFonts w:ascii="Simplified Arabic" w:eastAsia="Times New Roman" w:hAnsi="Simplified Arabic" w:cs="Simplified Arabic"/>
          <w:color w:val="000000" w:themeColor="text1"/>
          <w:kern w:val="0"/>
          <w:sz w:val="28"/>
          <w:szCs w:val="28"/>
          <w14:ligatures w14:val="none"/>
        </w:rPr>
        <w:t xml:space="preserve">, 2022; </w:t>
      </w:r>
      <w:proofErr w:type="spellStart"/>
      <w:r w:rsidRPr="006D0851">
        <w:rPr>
          <w:rFonts w:ascii="Simplified Arabic" w:eastAsia="Times New Roman" w:hAnsi="Simplified Arabic" w:cs="Simplified Arabic"/>
          <w:color w:val="000000" w:themeColor="text1"/>
          <w:kern w:val="0"/>
          <w:sz w:val="28"/>
          <w:szCs w:val="28"/>
          <w14:ligatures w14:val="none"/>
        </w:rPr>
        <w:t>Kronfol</w:t>
      </w:r>
      <w:proofErr w:type="spellEnd"/>
      <w:r w:rsidRPr="006D0851">
        <w:rPr>
          <w:rFonts w:ascii="Simplified Arabic" w:eastAsia="Times New Roman" w:hAnsi="Simplified Arabic" w:cs="Simplified Arabic"/>
          <w:color w:val="000000" w:themeColor="text1"/>
          <w:kern w:val="0"/>
          <w:sz w:val="28"/>
          <w:szCs w:val="28"/>
          <w14:ligatures w14:val="none"/>
        </w:rPr>
        <w:t xml:space="preserve"> &amp; </w:t>
      </w:r>
      <w:proofErr w:type="spellStart"/>
      <w:r w:rsidRPr="006D0851">
        <w:rPr>
          <w:rFonts w:ascii="Simplified Arabic" w:eastAsia="Times New Roman" w:hAnsi="Simplified Arabic" w:cs="Simplified Arabic"/>
          <w:color w:val="000000" w:themeColor="text1"/>
          <w:kern w:val="0"/>
          <w:sz w:val="28"/>
          <w:szCs w:val="28"/>
          <w14:ligatures w14:val="none"/>
        </w:rPr>
        <w:t>Steenbergen</w:t>
      </w:r>
      <w:proofErr w:type="spellEnd"/>
      <w:r w:rsidRPr="006D0851">
        <w:rPr>
          <w:rFonts w:ascii="Simplified Arabic" w:eastAsia="Times New Roman" w:hAnsi="Simplified Arabic" w:cs="Simplified Arabic"/>
          <w:color w:val="000000" w:themeColor="text1"/>
          <w:kern w:val="0"/>
          <w:sz w:val="28"/>
          <w:szCs w:val="28"/>
          <w14:ligatures w14:val="none"/>
        </w:rPr>
        <w:t>, 2024).</w:t>
      </w:r>
    </w:p>
    <w:p w14:paraId="685F8F46" w14:textId="77777777" w:rsidR="00350539" w:rsidRPr="006D0851" w:rsidRDefault="00350539" w:rsidP="002B4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التعريف الإجرائي</w:t>
      </w:r>
      <w:r w:rsidRPr="006D0851">
        <w:rPr>
          <w:rFonts w:ascii="Simplified Arabic" w:eastAsia="Times New Roman" w:hAnsi="Simplified Arabic" w:cs="Simplified Arabic"/>
          <w:color w:val="000000" w:themeColor="text1"/>
          <w:kern w:val="0"/>
          <w:sz w:val="28"/>
          <w:szCs w:val="28"/>
          <w14:ligatures w14:val="none"/>
        </w:rPr>
        <w:t xml:space="preserve">: </w:t>
      </w:r>
      <w:r w:rsidRPr="006D0851">
        <w:rPr>
          <w:rFonts w:ascii="Simplified Arabic" w:eastAsia="Times New Roman" w:hAnsi="Simplified Arabic" w:cs="Simplified Arabic"/>
          <w:color w:val="000000" w:themeColor="text1"/>
          <w:kern w:val="0"/>
          <w:sz w:val="28"/>
          <w:szCs w:val="28"/>
          <w:rtl/>
          <w14:ligatures w14:val="none"/>
        </w:rPr>
        <w:t xml:space="preserve">تُعرَّف الحوافز الاستثمارية إجرائياً في هذه الدراسة بأنها مجموعة التسهيلات والمزايا التي تُقدّمها المملكة العربية السعودية للمستثمرين الأجانب بأبعادها الأربعة (الحوافز الضريبية، الحوافز </w:t>
      </w:r>
      <w:r w:rsidRPr="006D0851">
        <w:rPr>
          <w:rFonts w:ascii="Simplified Arabic" w:eastAsia="Times New Roman" w:hAnsi="Simplified Arabic" w:cs="Simplified Arabic"/>
          <w:color w:val="000000" w:themeColor="text1"/>
          <w:kern w:val="0"/>
          <w:sz w:val="28"/>
          <w:szCs w:val="28"/>
          <w:rtl/>
          <w14:ligatures w14:val="none"/>
        </w:rPr>
        <w:lastRenderedPageBreak/>
        <w:t>المالية، الحوافز التنظيمية والتشريعية، حوافز البنية التحتية والمناطق الاقتصادية)، ويُقاس بالدرجة التي يحصل عليها المستجيب على فقرات القسم الثاني من أداة الاستبانة المكوّنة من (28) فقرة</w:t>
      </w:r>
      <w:r w:rsidRPr="006D0851">
        <w:rPr>
          <w:rFonts w:ascii="Simplified Arabic" w:eastAsia="Times New Roman" w:hAnsi="Simplified Arabic" w:cs="Simplified Arabic"/>
          <w:color w:val="000000" w:themeColor="text1"/>
          <w:kern w:val="0"/>
          <w:sz w:val="28"/>
          <w:szCs w:val="28"/>
          <w14:ligatures w14:val="none"/>
        </w:rPr>
        <w:t>.</w:t>
      </w:r>
    </w:p>
    <w:p w14:paraId="1C914E29" w14:textId="77777777" w:rsidR="00350539" w:rsidRPr="006D0851" w:rsidRDefault="00350539" w:rsidP="002B43B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18" w:name="_Toc223938584"/>
      <w:r w:rsidRPr="006D0851">
        <w:rPr>
          <w:rFonts w:ascii="Simplified Arabic" w:eastAsia="Times New Roman" w:hAnsi="Simplified Arabic" w:cs="Simplified Arabic"/>
          <w:b/>
          <w:bCs/>
          <w:color w:val="000000" w:themeColor="text1"/>
          <w:kern w:val="0"/>
          <w:sz w:val="28"/>
          <w:szCs w:val="28"/>
          <w:rtl/>
          <w14:ligatures w14:val="none"/>
        </w:rPr>
        <w:t>ثانياً: الحوافز الضريبية</w:t>
      </w:r>
      <w:r w:rsidRPr="006D0851">
        <w:rPr>
          <w:rFonts w:ascii="Simplified Arabic" w:eastAsia="Times New Roman" w:hAnsi="Simplified Arabic" w:cs="Simplified Arabic"/>
          <w:b/>
          <w:bCs/>
          <w:color w:val="000000" w:themeColor="text1"/>
          <w:kern w:val="0"/>
          <w:sz w:val="28"/>
          <w:szCs w:val="28"/>
          <w14:ligatures w14:val="none"/>
        </w:rPr>
        <w:t xml:space="preserve"> (Tax Incentives)</w:t>
      </w:r>
      <w:bookmarkEnd w:id="18"/>
    </w:p>
    <w:p w14:paraId="0D7037E4" w14:textId="77777777" w:rsidR="00350539" w:rsidRPr="006D0851" w:rsidRDefault="00350539" w:rsidP="002B4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التعريف الاصطلاحي</w:t>
      </w:r>
      <w:r w:rsidRPr="006D0851">
        <w:rPr>
          <w:rFonts w:ascii="Simplified Arabic" w:eastAsia="Times New Roman" w:hAnsi="Simplified Arabic" w:cs="Simplified Arabic"/>
          <w:color w:val="000000" w:themeColor="text1"/>
          <w:kern w:val="0"/>
          <w:sz w:val="28"/>
          <w:szCs w:val="28"/>
          <w14:ligatures w14:val="none"/>
        </w:rPr>
        <w:t xml:space="preserve">: </w:t>
      </w:r>
      <w:r w:rsidRPr="006D0851">
        <w:rPr>
          <w:rFonts w:ascii="Simplified Arabic" w:eastAsia="Times New Roman" w:hAnsi="Simplified Arabic" w:cs="Simplified Arabic"/>
          <w:color w:val="000000" w:themeColor="text1"/>
          <w:kern w:val="0"/>
          <w:sz w:val="28"/>
          <w:szCs w:val="28"/>
          <w:rtl/>
          <w14:ligatures w14:val="none"/>
        </w:rPr>
        <w:t xml:space="preserve">تُعرَّف الحوافز الضريبية بأنها الأدوات المالية التي تؤثر على إيرادات الحكومة من خلال منح معاملة تفضيلية بموجب القوانين الضريبية والجمركية، كالإعفاءات من ضريبة الدخل على الشركات أو تخفيضها والتسهيلات الجمركية واتفاقيات تجنب الازدواج الضريبي، بهدف تحفيز النشاط الاستثماري (السيد، 2021؛ زيدان، </w:t>
      </w:r>
      <w:r w:rsidRPr="006D0851">
        <w:rPr>
          <w:rFonts w:ascii="Simplified Arabic" w:eastAsia="Times New Roman" w:hAnsi="Simplified Arabic" w:cs="Simplified Arabic"/>
          <w:color w:val="000000" w:themeColor="text1"/>
          <w:kern w:val="0"/>
          <w:sz w:val="28"/>
          <w:szCs w:val="28"/>
          <w14:ligatures w14:val="none"/>
        </w:rPr>
        <w:t>2022).</w:t>
      </w:r>
    </w:p>
    <w:p w14:paraId="251CD3C3" w14:textId="77777777" w:rsidR="00350539" w:rsidRPr="006D0851" w:rsidRDefault="00350539" w:rsidP="002B4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التعريف الإجرائي</w:t>
      </w:r>
      <w:r w:rsidRPr="006D0851">
        <w:rPr>
          <w:rFonts w:ascii="Simplified Arabic" w:eastAsia="Times New Roman" w:hAnsi="Simplified Arabic" w:cs="Simplified Arabic"/>
          <w:color w:val="000000" w:themeColor="text1"/>
          <w:kern w:val="0"/>
          <w:sz w:val="28"/>
          <w:szCs w:val="28"/>
          <w14:ligatures w14:val="none"/>
        </w:rPr>
        <w:t xml:space="preserve">: </w:t>
      </w:r>
      <w:r w:rsidRPr="006D0851">
        <w:rPr>
          <w:rFonts w:ascii="Simplified Arabic" w:eastAsia="Times New Roman" w:hAnsi="Simplified Arabic" w:cs="Simplified Arabic"/>
          <w:color w:val="000000" w:themeColor="text1"/>
          <w:kern w:val="0"/>
          <w:sz w:val="28"/>
          <w:szCs w:val="28"/>
          <w:rtl/>
          <w14:ligatures w14:val="none"/>
        </w:rPr>
        <w:t>تُعرَّف الحوافز الضريبية إجرائياً في هذه الدراسة بأنها مدى إدراك المستثمرين الأجانب لفاعلية التسهيلات الضريبية والجمركية المقدمة في المملكة العربية السعودية وتأثيرها على قرار توطينهم الاستثماري، وتُقاس بالدرجة التي يحصل عليها المستجيب على فقرات البُعد الأول من أداة الاستبانة المكوّنة من</w:t>
      </w:r>
      <w:r w:rsidRPr="006D0851">
        <w:rPr>
          <w:rFonts w:ascii="Simplified Arabic" w:eastAsia="Times New Roman" w:hAnsi="Simplified Arabic" w:cs="Simplified Arabic"/>
          <w:color w:val="000000" w:themeColor="text1"/>
          <w:kern w:val="0"/>
          <w:sz w:val="28"/>
          <w:szCs w:val="28"/>
          <w14:ligatures w14:val="none"/>
        </w:rPr>
        <w:t xml:space="preserve"> (7) </w:t>
      </w:r>
      <w:r w:rsidRPr="006D0851">
        <w:rPr>
          <w:rFonts w:ascii="Simplified Arabic" w:eastAsia="Times New Roman" w:hAnsi="Simplified Arabic" w:cs="Simplified Arabic"/>
          <w:color w:val="000000" w:themeColor="text1"/>
          <w:kern w:val="0"/>
          <w:sz w:val="28"/>
          <w:szCs w:val="28"/>
          <w:rtl/>
          <w14:ligatures w14:val="none"/>
        </w:rPr>
        <w:t>فقرات</w:t>
      </w:r>
      <w:r w:rsidRPr="006D0851">
        <w:rPr>
          <w:rFonts w:ascii="Simplified Arabic" w:eastAsia="Times New Roman" w:hAnsi="Simplified Arabic" w:cs="Simplified Arabic"/>
          <w:color w:val="000000" w:themeColor="text1"/>
          <w:kern w:val="0"/>
          <w:sz w:val="28"/>
          <w:szCs w:val="28"/>
          <w14:ligatures w14:val="none"/>
        </w:rPr>
        <w:t>.</w:t>
      </w:r>
    </w:p>
    <w:p w14:paraId="0CC12536" w14:textId="77777777" w:rsidR="00350539" w:rsidRPr="006D0851" w:rsidRDefault="00350539" w:rsidP="002B43B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19" w:name="_Toc223938585"/>
      <w:r w:rsidRPr="006D0851">
        <w:rPr>
          <w:rFonts w:ascii="Simplified Arabic" w:eastAsia="Times New Roman" w:hAnsi="Simplified Arabic" w:cs="Simplified Arabic"/>
          <w:b/>
          <w:bCs/>
          <w:color w:val="000000" w:themeColor="text1"/>
          <w:kern w:val="0"/>
          <w:sz w:val="28"/>
          <w:szCs w:val="28"/>
          <w:rtl/>
          <w14:ligatures w14:val="none"/>
        </w:rPr>
        <w:t>ثالثاً: الحوافز المالية</w:t>
      </w:r>
      <w:r w:rsidRPr="006D0851">
        <w:rPr>
          <w:rFonts w:ascii="Simplified Arabic" w:eastAsia="Times New Roman" w:hAnsi="Simplified Arabic" w:cs="Simplified Arabic"/>
          <w:b/>
          <w:bCs/>
          <w:color w:val="000000" w:themeColor="text1"/>
          <w:kern w:val="0"/>
          <w:sz w:val="28"/>
          <w:szCs w:val="28"/>
          <w14:ligatures w14:val="none"/>
        </w:rPr>
        <w:t xml:space="preserve"> (Financial Incentives)</w:t>
      </w:r>
      <w:bookmarkEnd w:id="19"/>
    </w:p>
    <w:p w14:paraId="68BD3B1E" w14:textId="505544B9" w:rsidR="00350539" w:rsidRPr="006D0851" w:rsidRDefault="00350539" w:rsidP="002B43B8">
      <w:pPr>
        <w:spacing w:before="100" w:beforeAutospacing="1" w:after="100" w:afterAutospacing="1" w:line="276" w:lineRule="auto"/>
        <w:ind w:firstLine="566"/>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التعريف الاصطلاحي</w:t>
      </w:r>
      <w:r w:rsidRPr="006D0851">
        <w:rPr>
          <w:rFonts w:ascii="Simplified Arabic" w:eastAsia="Times New Roman" w:hAnsi="Simplified Arabic" w:cs="Simplified Arabic"/>
          <w:color w:val="000000" w:themeColor="text1"/>
          <w:kern w:val="0"/>
          <w:sz w:val="28"/>
          <w:szCs w:val="28"/>
          <w14:ligatures w14:val="none"/>
        </w:rPr>
        <w:t xml:space="preserve">: </w:t>
      </w:r>
      <w:r w:rsidRPr="006D0851">
        <w:rPr>
          <w:rFonts w:ascii="Simplified Arabic" w:eastAsia="Times New Roman" w:hAnsi="Simplified Arabic" w:cs="Simplified Arabic"/>
          <w:color w:val="000000" w:themeColor="text1"/>
          <w:kern w:val="0"/>
          <w:sz w:val="28"/>
          <w:szCs w:val="28"/>
          <w:rtl/>
          <w14:ligatures w14:val="none"/>
        </w:rPr>
        <w:t>تُعرَّف الحوافز المالية بأنها أشكال التحويل المباشر للأموال الحكومية أو آليات التمويل والدعم الحكومي المقدمة للمستثمرين، وتشمل المنح المباشرة والإعانات والقروض الميسّرة وضمانات الائتمان وبرامج الدعم المالي لتدريب العمالة وتأهيلها</w:t>
      </w:r>
      <w:r w:rsidRPr="006D0851">
        <w:rPr>
          <w:rFonts w:ascii="Simplified Arabic" w:eastAsia="Times New Roman" w:hAnsi="Simplified Arabic" w:cs="Simplified Arabic"/>
          <w:color w:val="000000" w:themeColor="text1"/>
          <w:kern w:val="0"/>
          <w:sz w:val="28"/>
          <w:szCs w:val="28"/>
          <w14:ligatures w14:val="none"/>
        </w:rPr>
        <w:t xml:space="preserve"> (</w:t>
      </w:r>
      <w:proofErr w:type="spellStart"/>
      <w:r w:rsidRPr="006D0851">
        <w:rPr>
          <w:rFonts w:ascii="Simplified Arabic" w:eastAsia="Times New Roman" w:hAnsi="Simplified Arabic" w:cs="Simplified Arabic"/>
          <w:color w:val="000000" w:themeColor="text1"/>
          <w:kern w:val="0"/>
          <w:sz w:val="28"/>
          <w:szCs w:val="28"/>
          <w14:ligatures w14:val="none"/>
        </w:rPr>
        <w:t>Katitas</w:t>
      </w:r>
      <w:proofErr w:type="spellEnd"/>
      <w:r w:rsidRPr="006D0851">
        <w:rPr>
          <w:rFonts w:ascii="Simplified Arabic" w:eastAsia="Times New Roman" w:hAnsi="Simplified Arabic" w:cs="Simplified Arabic"/>
          <w:color w:val="000000" w:themeColor="text1"/>
          <w:kern w:val="0"/>
          <w:sz w:val="28"/>
          <w:szCs w:val="28"/>
          <w14:ligatures w14:val="none"/>
        </w:rPr>
        <w:t xml:space="preserve"> &amp; Pandya, 2024).</w:t>
      </w:r>
    </w:p>
    <w:p w14:paraId="3E91D812" w14:textId="77777777" w:rsidR="00350539" w:rsidRPr="006D0851" w:rsidRDefault="00350539" w:rsidP="002B43B8">
      <w:pPr>
        <w:spacing w:before="100" w:beforeAutospacing="1" w:after="100" w:afterAutospacing="1" w:line="276" w:lineRule="auto"/>
        <w:ind w:firstLine="566"/>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التعريف الإجرائي</w:t>
      </w:r>
      <w:r w:rsidRPr="006D0851">
        <w:rPr>
          <w:rFonts w:ascii="Simplified Arabic" w:eastAsia="Times New Roman" w:hAnsi="Simplified Arabic" w:cs="Simplified Arabic"/>
          <w:color w:val="000000" w:themeColor="text1"/>
          <w:kern w:val="0"/>
          <w:sz w:val="28"/>
          <w:szCs w:val="28"/>
          <w14:ligatures w14:val="none"/>
        </w:rPr>
        <w:t xml:space="preserve">: </w:t>
      </w:r>
      <w:r w:rsidRPr="006D0851">
        <w:rPr>
          <w:rFonts w:ascii="Simplified Arabic" w:eastAsia="Times New Roman" w:hAnsi="Simplified Arabic" w:cs="Simplified Arabic"/>
          <w:color w:val="000000" w:themeColor="text1"/>
          <w:kern w:val="0"/>
          <w:sz w:val="28"/>
          <w:szCs w:val="28"/>
          <w:rtl/>
          <w14:ligatures w14:val="none"/>
        </w:rPr>
        <w:t>تُعرَّف الحوافز المالية إجرائياً في هذه الدراسة بأنها مدى إدراك المستثمرين الأجانب لفاعلية أشكال الدعم المالي المباشر وغير المباشر المقدمة في المملكة العربية السعودية وتأثيرها على قرار توطينهم الاستثماري، وتُقاس بالدرجة التي يحصل عليها المستجيب على فقرات البُعد الثاني من أداة الاستبانة المكوّنة من (7) فقرات</w:t>
      </w:r>
      <w:r w:rsidRPr="006D0851">
        <w:rPr>
          <w:rFonts w:ascii="Simplified Arabic" w:eastAsia="Times New Roman" w:hAnsi="Simplified Arabic" w:cs="Simplified Arabic"/>
          <w:color w:val="000000" w:themeColor="text1"/>
          <w:kern w:val="0"/>
          <w:sz w:val="28"/>
          <w:szCs w:val="28"/>
          <w14:ligatures w14:val="none"/>
        </w:rPr>
        <w:t>.</w:t>
      </w:r>
    </w:p>
    <w:p w14:paraId="35BA156F" w14:textId="77777777" w:rsidR="00350539" w:rsidRPr="006D0851" w:rsidRDefault="00350539" w:rsidP="002B43B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20" w:name="_Toc223938586"/>
      <w:r w:rsidRPr="006D0851">
        <w:rPr>
          <w:rFonts w:ascii="Simplified Arabic" w:eastAsia="Times New Roman" w:hAnsi="Simplified Arabic" w:cs="Simplified Arabic"/>
          <w:b/>
          <w:bCs/>
          <w:color w:val="000000" w:themeColor="text1"/>
          <w:kern w:val="0"/>
          <w:sz w:val="28"/>
          <w:szCs w:val="28"/>
          <w:rtl/>
          <w14:ligatures w14:val="none"/>
        </w:rPr>
        <w:t>رابعاً: الحوافز التنظيمية والتشريعية</w:t>
      </w:r>
      <w:r w:rsidRPr="006D0851">
        <w:rPr>
          <w:rFonts w:ascii="Simplified Arabic" w:eastAsia="Times New Roman" w:hAnsi="Simplified Arabic" w:cs="Simplified Arabic"/>
          <w:b/>
          <w:bCs/>
          <w:color w:val="000000" w:themeColor="text1"/>
          <w:kern w:val="0"/>
          <w:sz w:val="28"/>
          <w:szCs w:val="28"/>
          <w14:ligatures w14:val="none"/>
        </w:rPr>
        <w:t xml:space="preserve"> (Regulatory and Legislative Incentives)</w:t>
      </w:r>
      <w:bookmarkEnd w:id="20"/>
    </w:p>
    <w:p w14:paraId="3ED51692" w14:textId="06E578CE" w:rsidR="00350539" w:rsidRPr="006D0851" w:rsidRDefault="00350539" w:rsidP="002B43B8">
      <w:pPr>
        <w:spacing w:before="100" w:beforeAutospacing="1" w:after="100" w:afterAutospacing="1" w:line="276" w:lineRule="auto"/>
        <w:ind w:firstLine="566"/>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التعريف الاصطلاحي</w:t>
      </w:r>
      <w:r w:rsidRPr="006D0851">
        <w:rPr>
          <w:rFonts w:ascii="Simplified Arabic" w:eastAsia="Times New Roman" w:hAnsi="Simplified Arabic" w:cs="Simplified Arabic"/>
          <w:color w:val="000000" w:themeColor="text1"/>
          <w:kern w:val="0"/>
          <w:sz w:val="28"/>
          <w:szCs w:val="28"/>
          <w14:ligatures w14:val="none"/>
        </w:rPr>
        <w:t xml:space="preserve">: </w:t>
      </w:r>
      <w:r w:rsidRPr="006D0851">
        <w:rPr>
          <w:rFonts w:ascii="Simplified Arabic" w:eastAsia="Times New Roman" w:hAnsi="Simplified Arabic" w:cs="Simplified Arabic"/>
          <w:color w:val="000000" w:themeColor="text1"/>
          <w:kern w:val="0"/>
          <w:sz w:val="28"/>
          <w:szCs w:val="28"/>
          <w:rtl/>
          <w14:ligatures w14:val="none"/>
        </w:rPr>
        <w:t xml:space="preserve">تُعرَّف الحوافز التنظيمية والتشريعية بأنها الاستثناءات من القواعد واللوائح المعيارية والتنظيمات المتخصصة والمساعدة وأشكال الدعم الحكومي غير المالي، وتشمل تبسيط الإجراءات </w:t>
      </w:r>
      <w:r w:rsidRPr="006D0851">
        <w:rPr>
          <w:rFonts w:ascii="Simplified Arabic" w:eastAsia="Times New Roman" w:hAnsi="Simplified Arabic" w:cs="Simplified Arabic"/>
          <w:color w:val="000000" w:themeColor="text1"/>
          <w:kern w:val="0"/>
          <w:sz w:val="28"/>
          <w:szCs w:val="28"/>
          <w:rtl/>
          <w14:ligatures w14:val="none"/>
        </w:rPr>
        <w:lastRenderedPageBreak/>
        <w:t xml:space="preserve">الإدارية والإعفاءات التنظيمية وحماية حقوق الملكية الفكرية وآليات تسوية المنازعات الاستثمارية ومرونة أنظمة العمل والإقامة </w:t>
      </w:r>
      <w:r w:rsidR="00454A72" w:rsidRPr="006D0851">
        <w:rPr>
          <w:rFonts w:ascii="Simplified Arabic" w:eastAsia="Times New Roman" w:hAnsi="Simplified Arabic" w:cs="Simplified Arabic"/>
          <w:color w:val="000000" w:themeColor="text1"/>
          <w:kern w:val="0"/>
          <w:sz w:val="28"/>
          <w:szCs w:val="28"/>
          <w14:ligatures w14:val="none"/>
        </w:rPr>
        <w:t>)</w:t>
      </w:r>
      <w:r w:rsidRPr="006D0851">
        <w:rPr>
          <w:rFonts w:ascii="Simplified Arabic" w:eastAsia="Times New Roman" w:hAnsi="Simplified Arabic" w:cs="Simplified Arabic"/>
          <w:color w:val="000000" w:themeColor="text1"/>
          <w:kern w:val="0"/>
          <w:sz w:val="28"/>
          <w:szCs w:val="28"/>
          <w:rtl/>
          <w14:ligatures w14:val="none"/>
        </w:rPr>
        <w:t>حماد، 2025</w:t>
      </w:r>
      <w:r w:rsidR="00454A72" w:rsidRPr="006D0851">
        <w:rPr>
          <w:rFonts w:ascii="Simplified Arabic" w:eastAsia="Times New Roman" w:hAnsi="Simplified Arabic" w:cs="Simplified Arabic"/>
          <w:color w:val="000000" w:themeColor="text1"/>
          <w:kern w:val="0"/>
          <w:sz w:val="28"/>
          <w:szCs w:val="28"/>
          <w14:ligatures w14:val="none"/>
        </w:rPr>
        <w:t>(</w:t>
      </w:r>
    </w:p>
    <w:p w14:paraId="0FCFB150" w14:textId="77777777" w:rsidR="00350539" w:rsidRPr="006D0851" w:rsidRDefault="00350539" w:rsidP="002B43B8">
      <w:pPr>
        <w:spacing w:before="100" w:beforeAutospacing="1" w:after="100" w:afterAutospacing="1" w:line="276" w:lineRule="auto"/>
        <w:ind w:firstLine="566"/>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التعريف الإجرائي</w:t>
      </w:r>
      <w:r w:rsidRPr="006D0851">
        <w:rPr>
          <w:rFonts w:ascii="Simplified Arabic" w:eastAsia="Times New Roman" w:hAnsi="Simplified Arabic" w:cs="Simplified Arabic"/>
          <w:color w:val="000000" w:themeColor="text1"/>
          <w:kern w:val="0"/>
          <w:sz w:val="28"/>
          <w:szCs w:val="28"/>
          <w14:ligatures w14:val="none"/>
        </w:rPr>
        <w:t xml:space="preserve">: </w:t>
      </w:r>
      <w:r w:rsidRPr="006D0851">
        <w:rPr>
          <w:rFonts w:ascii="Simplified Arabic" w:eastAsia="Times New Roman" w:hAnsi="Simplified Arabic" w:cs="Simplified Arabic"/>
          <w:color w:val="000000" w:themeColor="text1"/>
          <w:kern w:val="0"/>
          <w:sz w:val="28"/>
          <w:szCs w:val="28"/>
          <w:rtl/>
          <w14:ligatures w14:val="none"/>
        </w:rPr>
        <w:t>تُعرَّف الحوافز التنظيمية والتشريعية إجرائياً في هذه الدراسة بأنها مدى إدراك المستثمرين الأجانب لفاعلية التسهيلات التنظيمية والإصلاحات التشريعية المتعلقة ببيئة الاستثمار في المملكة العربية السعودية وتأثيرها على قرار توطينهم الاستثماري، وتُقاس بالدرجة التي يحصل عليها المستجيب على فقرات البُعد الثالث من أداة الاستبانة المكوّنة من (7) فقرات</w:t>
      </w:r>
      <w:r w:rsidRPr="006D0851">
        <w:rPr>
          <w:rFonts w:ascii="Simplified Arabic" w:eastAsia="Times New Roman" w:hAnsi="Simplified Arabic" w:cs="Simplified Arabic"/>
          <w:color w:val="000000" w:themeColor="text1"/>
          <w:kern w:val="0"/>
          <w:sz w:val="28"/>
          <w:szCs w:val="28"/>
          <w14:ligatures w14:val="none"/>
        </w:rPr>
        <w:t>.</w:t>
      </w:r>
    </w:p>
    <w:p w14:paraId="6E820B93" w14:textId="77777777" w:rsidR="00350539" w:rsidRPr="006D0851" w:rsidRDefault="00350539" w:rsidP="002B43B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21" w:name="_Toc223938587"/>
      <w:r w:rsidRPr="006D0851">
        <w:rPr>
          <w:rFonts w:ascii="Simplified Arabic" w:eastAsia="Times New Roman" w:hAnsi="Simplified Arabic" w:cs="Simplified Arabic"/>
          <w:b/>
          <w:bCs/>
          <w:color w:val="000000" w:themeColor="text1"/>
          <w:kern w:val="0"/>
          <w:sz w:val="28"/>
          <w:szCs w:val="28"/>
          <w:rtl/>
          <w14:ligatures w14:val="none"/>
        </w:rPr>
        <w:t>خامساً: حوافز البنية التحتية والمناطق الاقتصادية</w:t>
      </w:r>
      <w:r w:rsidRPr="006D0851">
        <w:rPr>
          <w:rFonts w:ascii="Simplified Arabic" w:eastAsia="Times New Roman" w:hAnsi="Simplified Arabic" w:cs="Simplified Arabic"/>
          <w:b/>
          <w:bCs/>
          <w:color w:val="000000" w:themeColor="text1"/>
          <w:kern w:val="0"/>
          <w:sz w:val="28"/>
          <w:szCs w:val="28"/>
          <w14:ligatures w14:val="none"/>
        </w:rPr>
        <w:t xml:space="preserve"> (Infrastructure and Special Economic Zones Incentives)</w:t>
      </w:r>
      <w:bookmarkEnd w:id="21"/>
    </w:p>
    <w:p w14:paraId="0E02FB85" w14:textId="095F98FD" w:rsidR="00350539" w:rsidRPr="006D0851" w:rsidRDefault="00350539" w:rsidP="002B4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التعريف الاصطلاحي</w:t>
      </w:r>
      <w:r w:rsidRPr="006D0851">
        <w:rPr>
          <w:rFonts w:ascii="Simplified Arabic" w:eastAsia="Times New Roman" w:hAnsi="Simplified Arabic" w:cs="Simplified Arabic"/>
          <w:color w:val="000000" w:themeColor="text1"/>
          <w:kern w:val="0"/>
          <w:sz w:val="28"/>
          <w:szCs w:val="28"/>
          <w14:ligatures w14:val="none"/>
        </w:rPr>
        <w:t xml:space="preserve">: </w:t>
      </w:r>
      <w:r w:rsidRPr="006D0851">
        <w:rPr>
          <w:rFonts w:ascii="Simplified Arabic" w:eastAsia="Times New Roman" w:hAnsi="Simplified Arabic" w:cs="Simplified Arabic"/>
          <w:color w:val="000000" w:themeColor="text1"/>
          <w:kern w:val="0"/>
          <w:sz w:val="28"/>
          <w:szCs w:val="28"/>
          <w:rtl/>
          <w14:ligatures w14:val="none"/>
        </w:rPr>
        <w:t xml:space="preserve">تُعرَّف حوافز البنية التحتية والمناطق الاقتصادية بأنها ما توفره الدولة من سلع وخدمات بأقل من القيمة السوقية أو مجاناً ذات قيمة نقدية محددة، وتشمل توفير الأراضي والمرافق الصناعية والبنية التحتية الرقمية والتكنولوجية وشبكات النقل واللوجستيات ضمن مناطق اقتصادية خاصة ومدن صناعية مجهّزة </w:t>
      </w:r>
      <w:r w:rsidRPr="006D0851">
        <w:rPr>
          <w:rFonts w:ascii="Simplified Arabic" w:eastAsia="Times New Roman" w:hAnsi="Simplified Arabic" w:cs="Simplified Arabic"/>
          <w:color w:val="000000" w:themeColor="text1"/>
          <w:kern w:val="0"/>
          <w:sz w:val="28"/>
          <w:szCs w:val="28"/>
          <w14:ligatures w14:val="none"/>
        </w:rPr>
        <w:t>(Binkhamis et al., 2025).</w:t>
      </w:r>
    </w:p>
    <w:p w14:paraId="2377CD33" w14:textId="77777777" w:rsidR="00350539" w:rsidRPr="006D0851" w:rsidRDefault="00350539" w:rsidP="002B4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التعريف الإجرائي</w:t>
      </w:r>
      <w:r w:rsidRPr="006D0851">
        <w:rPr>
          <w:rFonts w:ascii="Simplified Arabic" w:eastAsia="Times New Roman" w:hAnsi="Simplified Arabic" w:cs="Simplified Arabic"/>
          <w:color w:val="000000" w:themeColor="text1"/>
          <w:kern w:val="0"/>
          <w:sz w:val="28"/>
          <w:szCs w:val="28"/>
          <w14:ligatures w14:val="none"/>
        </w:rPr>
        <w:t xml:space="preserve">: </w:t>
      </w:r>
      <w:r w:rsidRPr="006D0851">
        <w:rPr>
          <w:rFonts w:ascii="Simplified Arabic" w:eastAsia="Times New Roman" w:hAnsi="Simplified Arabic" w:cs="Simplified Arabic"/>
          <w:color w:val="000000" w:themeColor="text1"/>
          <w:kern w:val="0"/>
          <w:sz w:val="28"/>
          <w:szCs w:val="28"/>
          <w:rtl/>
          <w14:ligatures w14:val="none"/>
        </w:rPr>
        <w:t>تُعرَّف حوافز البنية التحتية والمناطق الاقتصادية إجرائياً في هذه الدراسة بأنها مدى إدراك المستثمرين الأجانب لفاعلية البنية التحتية والمناطق الاقتصادية الخاصة والمدن الصناعية والخدمات اللوجستية المتاحة في المملكة العربية السعودية وتأثيرها على قرار توطينهم الاستثماري، وتُقاس بالدرجة التي يحصل عليها المستجيب على فقرات البُعد الرابع من أداة الاستبانة المكوّنة من</w:t>
      </w:r>
      <w:r w:rsidRPr="006D0851">
        <w:rPr>
          <w:rFonts w:ascii="Simplified Arabic" w:eastAsia="Times New Roman" w:hAnsi="Simplified Arabic" w:cs="Simplified Arabic"/>
          <w:color w:val="000000" w:themeColor="text1"/>
          <w:kern w:val="0"/>
          <w:sz w:val="28"/>
          <w:szCs w:val="28"/>
          <w14:ligatures w14:val="none"/>
        </w:rPr>
        <w:t xml:space="preserve"> (7) </w:t>
      </w:r>
      <w:r w:rsidRPr="006D0851">
        <w:rPr>
          <w:rFonts w:ascii="Simplified Arabic" w:eastAsia="Times New Roman" w:hAnsi="Simplified Arabic" w:cs="Simplified Arabic"/>
          <w:color w:val="000000" w:themeColor="text1"/>
          <w:kern w:val="0"/>
          <w:sz w:val="28"/>
          <w:szCs w:val="28"/>
          <w:rtl/>
          <w14:ligatures w14:val="none"/>
        </w:rPr>
        <w:t>فقرات</w:t>
      </w:r>
      <w:r w:rsidRPr="006D0851">
        <w:rPr>
          <w:rFonts w:ascii="Simplified Arabic" w:eastAsia="Times New Roman" w:hAnsi="Simplified Arabic" w:cs="Simplified Arabic"/>
          <w:color w:val="000000" w:themeColor="text1"/>
          <w:kern w:val="0"/>
          <w:sz w:val="28"/>
          <w:szCs w:val="28"/>
          <w14:ligatures w14:val="none"/>
        </w:rPr>
        <w:t>.</w:t>
      </w:r>
    </w:p>
    <w:p w14:paraId="354E8082" w14:textId="77777777" w:rsidR="00350539" w:rsidRPr="006D0851" w:rsidRDefault="00350539" w:rsidP="002B43B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22" w:name="_Toc223938588"/>
      <w:r w:rsidRPr="006D0851">
        <w:rPr>
          <w:rFonts w:ascii="Simplified Arabic" w:eastAsia="Times New Roman" w:hAnsi="Simplified Arabic" w:cs="Simplified Arabic"/>
          <w:b/>
          <w:bCs/>
          <w:color w:val="000000" w:themeColor="text1"/>
          <w:kern w:val="0"/>
          <w:sz w:val="28"/>
          <w:szCs w:val="28"/>
          <w:rtl/>
          <w14:ligatures w14:val="none"/>
        </w:rPr>
        <w:t>سادساً: قرار التوطين الاستثماري</w:t>
      </w:r>
      <w:r w:rsidRPr="006D0851">
        <w:rPr>
          <w:rFonts w:ascii="Simplified Arabic" w:eastAsia="Times New Roman" w:hAnsi="Simplified Arabic" w:cs="Simplified Arabic"/>
          <w:b/>
          <w:bCs/>
          <w:color w:val="000000" w:themeColor="text1"/>
          <w:kern w:val="0"/>
          <w:sz w:val="28"/>
          <w:szCs w:val="28"/>
          <w14:ligatures w14:val="none"/>
        </w:rPr>
        <w:t xml:space="preserve"> (Investment Localization Decision)</w:t>
      </w:r>
      <w:bookmarkEnd w:id="22"/>
    </w:p>
    <w:p w14:paraId="1FA4DDD6" w14:textId="77777777" w:rsidR="00350539" w:rsidRPr="006D0851" w:rsidRDefault="00350539" w:rsidP="002B4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التعريف الاصطلاحي</w:t>
      </w:r>
      <w:r w:rsidRPr="006D0851">
        <w:rPr>
          <w:rFonts w:ascii="Simplified Arabic" w:eastAsia="Times New Roman" w:hAnsi="Simplified Arabic" w:cs="Simplified Arabic"/>
          <w:color w:val="000000" w:themeColor="text1"/>
          <w:kern w:val="0"/>
          <w:sz w:val="28"/>
          <w:szCs w:val="28"/>
          <w14:ligatures w14:val="none"/>
        </w:rPr>
        <w:t xml:space="preserve">: </w:t>
      </w:r>
      <w:r w:rsidRPr="006D0851">
        <w:rPr>
          <w:rFonts w:ascii="Simplified Arabic" w:eastAsia="Times New Roman" w:hAnsi="Simplified Arabic" w:cs="Simplified Arabic"/>
          <w:color w:val="000000" w:themeColor="text1"/>
          <w:kern w:val="0"/>
          <w:sz w:val="28"/>
          <w:szCs w:val="28"/>
          <w:rtl/>
          <w14:ligatures w14:val="none"/>
        </w:rPr>
        <w:t>يُعرَّف قرار التوطين الاستثماري بأنه المحصلة النهائية لعملية تقييم منهجية يُجريها المستثمر الأجنبي للمفاضلة بين المواقع البديلة لتوطين استثماراته، وتتضمن تقييم العوائد المتوقعة والمخاطر المحتملة ومحددات بيئة الأعمال الخارجية كالعوامل الجغرافية والاقتصادية والقانونية والتنظيمية والبنية التحتية ومناخ الاستثمار في الدولة المضيفة (سميح، 2022)</w:t>
      </w:r>
      <w:r w:rsidRPr="006D0851">
        <w:rPr>
          <w:rFonts w:ascii="Simplified Arabic" w:eastAsia="Times New Roman" w:hAnsi="Simplified Arabic" w:cs="Simplified Arabic"/>
          <w:color w:val="000000" w:themeColor="text1"/>
          <w:kern w:val="0"/>
          <w:sz w:val="28"/>
          <w:szCs w:val="28"/>
          <w14:ligatures w14:val="none"/>
        </w:rPr>
        <w:t>.</w:t>
      </w:r>
    </w:p>
    <w:p w14:paraId="12DF0FB8" w14:textId="77777777" w:rsidR="00350539" w:rsidRPr="006D0851" w:rsidRDefault="00350539" w:rsidP="002B4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التعريف الإجرائي</w:t>
      </w:r>
      <w:r w:rsidRPr="006D0851">
        <w:rPr>
          <w:rFonts w:ascii="Simplified Arabic" w:eastAsia="Times New Roman" w:hAnsi="Simplified Arabic" w:cs="Simplified Arabic"/>
          <w:color w:val="000000" w:themeColor="text1"/>
          <w:kern w:val="0"/>
          <w:sz w:val="28"/>
          <w:szCs w:val="28"/>
          <w14:ligatures w14:val="none"/>
        </w:rPr>
        <w:t xml:space="preserve">: </w:t>
      </w:r>
      <w:r w:rsidRPr="006D0851">
        <w:rPr>
          <w:rFonts w:ascii="Simplified Arabic" w:eastAsia="Times New Roman" w:hAnsi="Simplified Arabic" w:cs="Simplified Arabic"/>
          <w:color w:val="000000" w:themeColor="text1"/>
          <w:kern w:val="0"/>
          <w:sz w:val="28"/>
          <w:szCs w:val="28"/>
          <w:rtl/>
          <w14:ligatures w14:val="none"/>
        </w:rPr>
        <w:t xml:space="preserve">يُعرَّف قرار التوطين الاستثماري إجرائياً في هذه الدراسة بأنه تقييم المستثمر الأجنبي لمدى ملاءمة المملكة العربية السعودية كموقع لتوطين استثماراته بناءً على تجربته الفعلية، ويشمل مستوى </w:t>
      </w:r>
      <w:r w:rsidRPr="006D0851">
        <w:rPr>
          <w:rFonts w:ascii="Simplified Arabic" w:eastAsia="Times New Roman" w:hAnsi="Simplified Arabic" w:cs="Simplified Arabic"/>
          <w:color w:val="000000" w:themeColor="text1"/>
          <w:kern w:val="0"/>
          <w:sz w:val="28"/>
          <w:szCs w:val="28"/>
          <w:rtl/>
          <w14:ligatures w14:val="none"/>
        </w:rPr>
        <w:lastRenderedPageBreak/>
        <w:t>الرضا عن قرار التوطين والاستعداد للتوسع والنية في إنشاء مشروعات جديدة والتوصية لمستثمرين آخرين، ويُقاس بالدرجة التي يحصل عليها المستجيب على فقرات القسم الثالث من أداة الاستبانة المكوّنة من (12) فقرة</w:t>
      </w:r>
      <w:r w:rsidRPr="006D0851">
        <w:rPr>
          <w:rFonts w:ascii="Simplified Arabic" w:eastAsia="Times New Roman" w:hAnsi="Simplified Arabic" w:cs="Simplified Arabic"/>
          <w:color w:val="000000" w:themeColor="text1"/>
          <w:kern w:val="0"/>
          <w:sz w:val="28"/>
          <w:szCs w:val="28"/>
          <w14:ligatures w14:val="none"/>
        </w:rPr>
        <w:t>.</w:t>
      </w:r>
    </w:p>
    <w:p w14:paraId="25BE54A8" w14:textId="77777777" w:rsidR="00350539" w:rsidRPr="006D0851" w:rsidRDefault="00350539" w:rsidP="002B43B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23" w:name="_Toc223938589"/>
      <w:r w:rsidRPr="006D0851">
        <w:rPr>
          <w:rFonts w:ascii="Simplified Arabic" w:eastAsia="Times New Roman" w:hAnsi="Simplified Arabic" w:cs="Simplified Arabic"/>
          <w:b/>
          <w:bCs/>
          <w:color w:val="000000" w:themeColor="text1"/>
          <w:kern w:val="0"/>
          <w:sz w:val="28"/>
          <w:szCs w:val="28"/>
          <w:rtl/>
          <w14:ligatures w14:val="none"/>
        </w:rPr>
        <w:t>سابعاً: الاستثمار الأجنبي المباشر</w:t>
      </w:r>
      <w:r w:rsidRPr="006D0851">
        <w:rPr>
          <w:rFonts w:ascii="Simplified Arabic" w:eastAsia="Times New Roman" w:hAnsi="Simplified Arabic" w:cs="Simplified Arabic"/>
          <w:b/>
          <w:bCs/>
          <w:color w:val="000000" w:themeColor="text1"/>
          <w:kern w:val="0"/>
          <w:sz w:val="28"/>
          <w:szCs w:val="28"/>
          <w14:ligatures w14:val="none"/>
        </w:rPr>
        <w:t xml:space="preserve"> (Foreign Direct Investment - FDI)</w:t>
      </w:r>
      <w:bookmarkEnd w:id="23"/>
    </w:p>
    <w:p w14:paraId="11C286C1" w14:textId="63498E10" w:rsidR="00350539" w:rsidRPr="006D0851" w:rsidRDefault="00350539" w:rsidP="002B4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التعريف الاصطلاحي</w:t>
      </w:r>
      <w:r w:rsidRPr="006D0851">
        <w:rPr>
          <w:rFonts w:ascii="Simplified Arabic" w:eastAsia="Times New Roman" w:hAnsi="Simplified Arabic" w:cs="Simplified Arabic"/>
          <w:color w:val="000000" w:themeColor="text1"/>
          <w:kern w:val="0"/>
          <w:sz w:val="28"/>
          <w:szCs w:val="28"/>
          <w14:ligatures w14:val="none"/>
        </w:rPr>
        <w:t xml:space="preserve">: </w:t>
      </w:r>
      <w:r w:rsidRPr="006D0851">
        <w:rPr>
          <w:rFonts w:ascii="Simplified Arabic" w:eastAsia="Times New Roman" w:hAnsi="Simplified Arabic" w:cs="Simplified Arabic"/>
          <w:color w:val="000000" w:themeColor="text1"/>
          <w:kern w:val="0"/>
          <w:sz w:val="28"/>
          <w:szCs w:val="28"/>
          <w:rtl/>
          <w14:ligatures w14:val="none"/>
        </w:rPr>
        <w:t>يُعرَّف الاستثمار الأجنبي المباشر بأنه تدفقات حقوق الملكية الاستثمارية المباشرة إلى الاقتصاد المُبلَّغ عنه، وتشمل رأس المال السهمي وإعادة استثمار الأرباح وأشكال رأس المال الأخرى، حيث يهدف المستثمر الأجنبي إلى إقامة مصلحة دائمة في مؤسسة مقيمة في اقتصاد غير اقتصاده الأصلي بما يمنحه درجة فعلية من التأثير في إدارتها</w:t>
      </w:r>
      <w:r w:rsidRPr="006D0851">
        <w:rPr>
          <w:rFonts w:ascii="Simplified Arabic" w:eastAsia="Times New Roman" w:hAnsi="Simplified Arabic" w:cs="Simplified Arabic"/>
          <w:color w:val="000000" w:themeColor="text1"/>
          <w:kern w:val="0"/>
          <w:sz w:val="28"/>
          <w:szCs w:val="28"/>
          <w14:ligatures w14:val="none"/>
        </w:rPr>
        <w:t xml:space="preserve"> (Binkhamis et al., 2025).</w:t>
      </w:r>
    </w:p>
    <w:p w14:paraId="6EB845CB" w14:textId="77777777" w:rsidR="00350539" w:rsidRPr="006D0851" w:rsidRDefault="00350539" w:rsidP="002B4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التعريف الإجرائي</w:t>
      </w:r>
      <w:r w:rsidRPr="006D0851">
        <w:rPr>
          <w:rFonts w:ascii="Simplified Arabic" w:eastAsia="Times New Roman" w:hAnsi="Simplified Arabic" w:cs="Simplified Arabic"/>
          <w:color w:val="000000" w:themeColor="text1"/>
          <w:kern w:val="0"/>
          <w:sz w:val="28"/>
          <w:szCs w:val="28"/>
          <w14:ligatures w14:val="none"/>
        </w:rPr>
        <w:t xml:space="preserve">: </w:t>
      </w:r>
      <w:r w:rsidRPr="006D0851">
        <w:rPr>
          <w:rFonts w:ascii="Simplified Arabic" w:eastAsia="Times New Roman" w:hAnsi="Simplified Arabic" w:cs="Simplified Arabic"/>
          <w:color w:val="000000" w:themeColor="text1"/>
          <w:kern w:val="0"/>
          <w:sz w:val="28"/>
          <w:szCs w:val="28"/>
          <w:rtl/>
          <w14:ligatures w14:val="none"/>
        </w:rPr>
        <w:t>يُعرَّف الاستثمار الأجنبي المباشر إجرائياً في هذه الدراسة بأنه الاستثمارات التي يُقيمها مستثمرون غير سعوديين في المملكة العربية السعودية بموجب تراخيص صادرة عن وزارة الاستثمار السعودية، سواء أكانت في شكل ملكية كاملة أم مشتركة مع مستثمرين سعوديين</w:t>
      </w:r>
      <w:r w:rsidRPr="006D0851">
        <w:rPr>
          <w:rFonts w:ascii="Simplified Arabic" w:eastAsia="Times New Roman" w:hAnsi="Simplified Arabic" w:cs="Simplified Arabic"/>
          <w:color w:val="000000" w:themeColor="text1"/>
          <w:kern w:val="0"/>
          <w:sz w:val="28"/>
          <w:szCs w:val="28"/>
          <w14:ligatures w14:val="none"/>
        </w:rPr>
        <w:t>.</w:t>
      </w:r>
    </w:p>
    <w:p w14:paraId="0EB0C592" w14:textId="7A09DE00" w:rsidR="002B43B8" w:rsidRPr="006D0851" w:rsidRDefault="002B43B8" w:rsidP="002B43B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4" w:name="_Toc233659079"/>
      <w:bookmarkStart w:id="25" w:name="_Toc169790506"/>
      <w:bookmarkEnd w:id="17"/>
      <w:r w:rsidRPr="006D0851">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4"/>
    </w:p>
    <w:p w14:paraId="1DB8029A" w14:textId="77777777" w:rsidR="00350539" w:rsidRPr="006D0851" w:rsidRDefault="00350539" w:rsidP="002B4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ستعتمد هذه الدراسة على المنهج الوصفي التحليلي بوصفه المنهج الأكثر ملاءمة لطبيعة الموضوع وأهدافه، إذ سيُستخدم في وصف الظاهرة المدروسة وتحليل أبعادها والكشف عن العلاقات بين متغيراتها. ويتيح هذا المنهج جمع البيانات من مصادرها الأولية والثانوية وتحليلها إحصائياً للوصول إلى نتائج قابلة للتعميم، حيث سيُوظَّف الجانب الوصفي في استعراض الإطار النظري للحوافز الاستثمارية وقرار التوطين الاستثماري من خلال الأدبيات والدراسات السابقة والوثائق الرسمية، بينما سيُوظَّف الجانب التحليلي في قياس أثر أبعاد الحوافز الاستثمارية (الحوافز الضريبية، الحوافز المالية، الحوافز التنظيمية والتشريعية، حوافز البنية التحتية والمناطق الاقتصادية) على قرار التوطين الاستثماري للمستثمر الأجنبي في المملكة العربية السعودية</w:t>
      </w:r>
      <w:r w:rsidRPr="006D0851">
        <w:rPr>
          <w:rFonts w:ascii="Simplified Arabic" w:eastAsia="Times New Roman" w:hAnsi="Simplified Arabic" w:cs="Simplified Arabic"/>
          <w:color w:val="000000" w:themeColor="text1"/>
          <w:kern w:val="0"/>
          <w:sz w:val="28"/>
          <w:szCs w:val="28"/>
          <w14:ligatures w14:val="none"/>
        </w:rPr>
        <w:t>.</w:t>
      </w:r>
    </w:p>
    <w:p w14:paraId="3748A0F7" w14:textId="77777777" w:rsidR="00350539" w:rsidRPr="006D0851" w:rsidRDefault="00350539" w:rsidP="002B4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 xml:space="preserve">وسيتضمن التصميم البحثي للدراسة مرحلتين متكاملتين: مرحلة نظرية تقوم على المسح المكتبي الشامل للأدبيات العربية والأجنبية والتقارير الرسمية والأنظمة التشريعية ذات الصلة لبناء الإطار المفاهيمي والنظري للدراسة، ومرحلة ميدانية تقوم على تصميم استبانة محكّمة وتوزيعها على عينة الدراسة وجمع البيانات الأولية </w:t>
      </w:r>
      <w:r w:rsidRPr="006D0851">
        <w:rPr>
          <w:rFonts w:ascii="Simplified Arabic" w:eastAsia="Times New Roman" w:hAnsi="Simplified Arabic" w:cs="Simplified Arabic"/>
          <w:color w:val="000000" w:themeColor="text1"/>
          <w:kern w:val="0"/>
          <w:sz w:val="28"/>
          <w:szCs w:val="28"/>
          <w:rtl/>
          <w14:ligatures w14:val="none"/>
        </w:rPr>
        <w:lastRenderedPageBreak/>
        <w:t>وتحليلها باستخدام الأساليب الإحصائية المناسبة لاختبار فروض الدراسة والإجابة عن تساؤلاتها، بما يُمكّن من بناء نموذج تحليلي متكامل يكشف عن طبيعة العلاقات السببية بين المتغيرات المستقلة والتابعة</w:t>
      </w:r>
      <w:r w:rsidRPr="006D0851">
        <w:rPr>
          <w:rFonts w:ascii="Simplified Arabic" w:eastAsia="Times New Roman" w:hAnsi="Simplified Arabic" w:cs="Simplified Arabic"/>
          <w:color w:val="000000" w:themeColor="text1"/>
          <w:kern w:val="0"/>
          <w:sz w:val="28"/>
          <w:szCs w:val="28"/>
          <w14:ligatures w14:val="none"/>
        </w:rPr>
        <w:t>.</w:t>
      </w:r>
    </w:p>
    <w:p w14:paraId="4AAF0AA4" w14:textId="08C4161F" w:rsidR="00350539" w:rsidRPr="006D0851" w:rsidRDefault="002B43B8" w:rsidP="002B43B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6" w:name="_Toc223938591"/>
      <w:bookmarkStart w:id="27" w:name="_Toc233659080"/>
      <w:r w:rsidRPr="006D0851">
        <w:rPr>
          <w:rFonts w:ascii="Simplified Arabic" w:eastAsia="Times New Roman" w:hAnsi="Simplified Arabic" w:cs="Simplified Arabic" w:hint="cs"/>
          <w:b/>
          <w:bCs/>
          <w:color w:val="000000" w:themeColor="text1"/>
          <w:kern w:val="0"/>
          <w:sz w:val="36"/>
          <w:szCs w:val="36"/>
          <w:rtl/>
          <w14:ligatures w14:val="none"/>
        </w:rPr>
        <w:t xml:space="preserve">11.1 </w:t>
      </w:r>
      <w:r w:rsidR="00350539" w:rsidRPr="006D0851">
        <w:rPr>
          <w:rFonts w:ascii="Simplified Arabic" w:eastAsia="Times New Roman" w:hAnsi="Simplified Arabic" w:cs="Simplified Arabic"/>
          <w:b/>
          <w:bCs/>
          <w:color w:val="000000" w:themeColor="text1"/>
          <w:kern w:val="0"/>
          <w:sz w:val="36"/>
          <w:szCs w:val="36"/>
          <w:rtl/>
          <w14:ligatures w14:val="none"/>
        </w:rPr>
        <w:t>مجتمع وعينة الدراسة</w:t>
      </w:r>
      <w:bookmarkEnd w:id="26"/>
      <w:bookmarkEnd w:id="27"/>
    </w:p>
    <w:p w14:paraId="3838083A" w14:textId="77777777" w:rsidR="00350539" w:rsidRPr="006D0851" w:rsidRDefault="00350539" w:rsidP="002B4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 xml:space="preserve">سيتكون مجتمع الدراسة من جميع الشركات الأجنبية والمشتركة المرخّص لها بالعمل في المملكة العربية السعودية والمسجّلة لدى وزارة الاستثمار، والبالغ عددها نحو 13,500 شركة وفقاً لأحدث الإحصاءات الرسمية الصادرة عن وزارة الاستثمار السعودية. ويشمل هذا المجتمع الشركات العاملة في مختلف القطاعات الاقتصادية المستهدفة برؤية </w:t>
      </w:r>
      <w:r w:rsidRPr="006D0851">
        <w:rPr>
          <w:rFonts w:ascii="Simplified Arabic" w:eastAsia="Times New Roman" w:hAnsi="Simplified Arabic" w:cs="Simplified Arabic"/>
          <w:color w:val="000000" w:themeColor="text1"/>
          <w:kern w:val="0"/>
          <w:sz w:val="28"/>
          <w:szCs w:val="28"/>
          <w14:ligatures w14:val="none"/>
        </w:rPr>
        <w:t xml:space="preserve">2030 </w:t>
      </w:r>
      <w:r w:rsidRPr="006D0851">
        <w:rPr>
          <w:rFonts w:ascii="Simplified Arabic" w:eastAsia="Times New Roman" w:hAnsi="Simplified Arabic" w:cs="Simplified Arabic"/>
          <w:color w:val="000000" w:themeColor="text1"/>
          <w:kern w:val="0"/>
          <w:sz w:val="28"/>
          <w:szCs w:val="28"/>
          <w:rtl/>
          <w14:ligatures w14:val="none"/>
        </w:rPr>
        <w:t>كالصناعة والخدمات والتقنية والسياحة والترفيه والطاقة والتعدين والرعاية الصحية، والمنتشرة جغرافياً في مختلف مناطق المملكة بما فيها المناطق الاقتصادية الخاصة والمدن الصناعية. وستُستهدف الفئة المستجيبة من المديرين التنفيذيين ومديري الاستثمار ومديري العمليات ومديري التطوير في هذه الشركات، بوصفهم الأكثر إدراكاً ومعرفة بطبيعة الحوافز الاستثمارية وأثرها على قرارات التوطين</w:t>
      </w:r>
      <w:r w:rsidRPr="006D0851">
        <w:rPr>
          <w:rFonts w:ascii="Simplified Arabic" w:eastAsia="Times New Roman" w:hAnsi="Simplified Arabic" w:cs="Simplified Arabic"/>
          <w:color w:val="000000" w:themeColor="text1"/>
          <w:kern w:val="0"/>
          <w:sz w:val="28"/>
          <w:szCs w:val="28"/>
          <w14:ligatures w14:val="none"/>
        </w:rPr>
        <w:t>.</w:t>
      </w:r>
    </w:p>
    <w:p w14:paraId="58A059F5" w14:textId="77777777" w:rsidR="00350539" w:rsidRPr="006D0851" w:rsidRDefault="00350539" w:rsidP="002B4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وستُسحب عينة الدراسة بأسلوب العينة العشوائية الطبقية</w:t>
      </w:r>
      <w:r w:rsidRPr="006D0851">
        <w:rPr>
          <w:rFonts w:ascii="Simplified Arabic" w:eastAsia="Times New Roman" w:hAnsi="Simplified Arabic" w:cs="Simplified Arabic"/>
          <w:color w:val="000000" w:themeColor="text1"/>
          <w:kern w:val="0"/>
          <w:sz w:val="28"/>
          <w:szCs w:val="28"/>
          <w14:ligatures w14:val="none"/>
        </w:rPr>
        <w:t xml:space="preserve"> (Stratified Random Sampling) </w:t>
      </w:r>
      <w:r w:rsidRPr="006D0851">
        <w:rPr>
          <w:rFonts w:ascii="Simplified Arabic" w:eastAsia="Times New Roman" w:hAnsi="Simplified Arabic" w:cs="Simplified Arabic"/>
          <w:color w:val="000000" w:themeColor="text1"/>
          <w:kern w:val="0"/>
          <w:sz w:val="28"/>
          <w:szCs w:val="28"/>
          <w:rtl/>
          <w14:ligatures w14:val="none"/>
        </w:rPr>
        <w:t xml:space="preserve">لضمان تمثيل متناسب لمختلف القطاعات الاقتصادية وأحجام الشركات والمناطق الجغرافية. وبتطبيق معادلة ستيفن </w:t>
      </w:r>
      <w:proofErr w:type="spellStart"/>
      <w:r w:rsidRPr="006D0851">
        <w:rPr>
          <w:rFonts w:ascii="Simplified Arabic" w:eastAsia="Times New Roman" w:hAnsi="Simplified Arabic" w:cs="Simplified Arabic"/>
          <w:color w:val="000000" w:themeColor="text1"/>
          <w:kern w:val="0"/>
          <w:sz w:val="28"/>
          <w:szCs w:val="28"/>
          <w:rtl/>
          <w14:ligatures w14:val="none"/>
        </w:rPr>
        <w:t>ثومبسون</w:t>
      </w:r>
      <w:proofErr w:type="spellEnd"/>
      <w:r w:rsidRPr="006D0851">
        <w:rPr>
          <w:rFonts w:ascii="Simplified Arabic" w:eastAsia="Times New Roman" w:hAnsi="Simplified Arabic" w:cs="Simplified Arabic"/>
          <w:color w:val="000000" w:themeColor="text1"/>
          <w:kern w:val="0"/>
          <w:sz w:val="28"/>
          <w:szCs w:val="28"/>
          <w14:ligatures w14:val="none"/>
        </w:rPr>
        <w:t xml:space="preserve"> (Steven Thompson) </w:t>
      </w:r>
      <w:r w:rsidRPr="006D0851">
        <w:rPr>
          <w:rFonts w:ascii="Simplified Arabic" w:eastAsia="Times New Roman" w:hAnsi="Simplified Arabic" w:cs="Simplified Arabic"/>
          <w:color w:val="000000" w:themeColor="text1"/>
          <w:kern w:val="0"/>
          <w:sz w:val="28"/>
          <w:szCs w:val="28"/>
          <w:rtl/>
          <w14:ligatures w14:val="none"/>
        </w:rPr>
        <w:t xml:space="preserve">لتحديد حجم العينة عند مستوى ثقة 95% وهامش خطأ </w:t>
      </w:r>
      <w:r w:rsidRPr="006D0851">
        <w:rPr>
          <w:rFonts w:ascii="Simplified Arabic" w:eastAsia="Times New Roman" w:hAnsi="Simplified Arabic" w:cs="Simplified Arabic"/>
          <w:color w:val="000000" w:themeColor="text1"/>
          <w:kern w:val="0"/>
          <w:sz w:val="28"/>
          <w:szCs w:val="28"/>
          <w14:ligatures w14:val="none"/>
        </w:rPr>
        <w:t>5%</w:t>
      </w:r>
      <w:r w:rsidRPr="006D0851">
        <w:rPr>
          <w:rFonts w:ascii="Simplified Arabic" w:eastAsia="Times New Roman" w:hAnsi="Simplified Arabic" w:cs="Simplified Arabic"/>
          <w:color w:val="000000" w:themeColor="text1"/>
          <w:kern w:val="0"/>
          <w:sz w:val="28"/>
          <w:szCs w:val="28"/>
          <w:rtl/>
          <w14:ligatures w14:val="none"/>
        </w:rPr>
        <w:t>، سيبلغ الحد الأدنى المطلوب للعينة نحو 374 مفردة. وستعمل الدراسة على توزيع 450 استبانة لضمان الحصول على عدد كافٍ من الاستجابات الصالحة للتحليل الإحصائي بعد استبعاد الاستبانات غير المكتملة أو غير الصالحة، وسيُراعى في عملية التوزيع التمثيل النسبي لكل طبقة (قطاع) وفقاً لنسبتها في مجتمع الدراسة الأصلي</w:t>
      </w:r>
      <w:r w:rsidRPr="006D0851">
        <w:rPr>
          <w:rFonts w:ascii="Simplified Arabic" w:eastAsia="Times New Roman" w:hAnsi="Simplified Arabic" w:cs="Simplified Arabic"/>
          <w:color w:val="000000" w:themeColor="text1"/>
          <w:kern w:val="0"/>
          <w:sz w:val="28"/>
          <w:szCs w:val="28"/>
          <w14:ligatures w14:val="none"/>
        </w:rPr>
        <w:t>.</w:t>
      </w:r>
    </w:p>
    <w:p w14:paraId="37E40D3A" w14:textId="1234C40E" w:rsidR="00350539" w:rsidRPr="006D0851" w:rsidRDefault="002B43B8" w:rsidP="002B43B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8" w:name="_Toc223938592"/>
      <w:bookmarkStart w:id="29" w:name="_Toc233659081"/>
      <w:r w:rsidRPr="006D0851">
        <w:rPr>
          <w:rFonts w:ascii="Simplified Arabic" w:eastAsia="Times New Roman" w:hAnsi="Simplified Arabic" w:cs="Simplified Arabic" w:hint="cs"/>
          <w:b/>
          <w:bCs/>
          <w:color w:val="000000" w:themeColor="text1"/>
          <w:kern w:val="0"/>
          <w:sz w:val="36"/>
          <w:szCs w:val="36"/>
          <w:rtl/>
          <w14:ligatures w14:val="none"/>
        </w:rPr>
        <w:t xml:space="preserve">12.1 </w:t>
      </w:r>
      <w:r w:rsidR="00350539" w:rsidRPr="006D0851">
        <w:rPr>
          <w:rFonts w:ascii="Simplified Arabic" w:eastAsia="Times New Roman" w:hAnsi="Simplified Arabic" w:cs="Simplified Arabic"/>
          <w:b/>
          <w:bCs/>
          <w:color w:val="000000" w:themeColor="text1"/>
          <w:kern w:val="0"/>
          <w:sz w:val="36"/>
          <w:szCs w:val="36"/>
          <w:rtl/>
          <w14:ligatures w14:val="none"/>
        </w:rPr>
        <w:t>مصادر جمع البيانات</w:t>
      </w:r>
      <w:bookmarkEnd w:id="28"/>
      <w:bookmarkEnd w:id="29"/>
    </w:p>
    <w:p w14:paraId="42DC2EA1" w14:textId="77777777" w:rsidR="00350539" w:rsidRPr="006D0851" w:rsidRDefault="00350539" w:rsidP="002B43B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D0851">
        <w:rPr>
          <w:rFonts w:ascii="Simplified Arabic" w:eastAsia="Times New Roman" w:hAnsi="Simplified Arabic" w:cs="Simplified Arabic"/>
          <w:b/>
          <w:bCs/>
          <w:color w:val="000000" w:themeColor="text1"/>
          <w:kern w:val="0"/>
          <w:sz w:val="28"/>
          <w:szCs w:val="28"/>
          <w:rtl/>
          <w14:ligatures w14:val="none"/>
        </w:rPr>
        <w:t>ستعتمد الدراسة على نوعين من مصادر جمع البيانات</w:t>
      </w:r>
      <w:r w:rsidRPr="006D0851">
        <w:rPr>
          <w:rFonts w:ascii="Simplified Arabic" w:eastAsia="Times New Roman" w:hAnsi="Simplified Arabic" w:cs="Simplified Arabic"/>
          <w:b/>
          <w:bCs/>
          <w:color w:val="000000" w:themeColor="text1"/>
          <w:kern w:val="0"/>
          <w:sz w:val="28"/>
          <w:szCs w:val="28"/>
          <w14:ligatures w14:val="none"/>
        </w:rPr>
        <w:t>:</w:t>
      </w:r>
    </w:p>
    <w:p w14:paraId="13F5B80C" w14:textId="77777777" w:rsidR="00350539" w:rsidRPr="006D0851" w:rsidRDefault="00350539" w:rsidP="002B43B8">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b/>
          <w:bCs/>
          <w:color w:val="000000" w:themeColor="text1"/>
          <w:kern w:val="0"/>
          <w:sz w:val="28"/>
          <w:szCs w:val="28"/>
          <w:rtl/>
          <w14:ligatures w14:val="none"/>
        </w:rPr>
        <w:t>المصادر الثانوية</w:t>
      </w:r>
      <w:r w:rsidRPr="006D0851">
        <w:rPr>
          <w:rFonts w:ascii="Simplified Arabic" w:eastAsia="Times New Roman" w:hAnsi="Simplified Arabic" w:cs="Simplified Arabic"/>
          <w:color w:val="000000" w:themeColor="text1"/>
          <w:kern w:val="0"/>
          <w:sz w:val="28"/>
          <w:szCs w:val="28"/>
          <w14:ligatures w14:val="none"/>
        </w:rPr>
        <w:t xml:space="preserve">: </w:t>
      </w:r>
      <w:r w:rsidRPr="006D0851">
        <w:rPr>
          <w:rFonts w:ascii="Simplified Arabic" w:eastAsia="Times New Roman" w:hAnsi="Simplified Arabic" w:cs="Simplified Arabic"/>
          <w:color w:val="000000" w:themeColor="text1"/>
          <w:kern w:val="0"/>
          <w:sz w:val="28"/>
          <w:szCs w:val="28"/>
          <w:rtl/>
          <w14:ligatures w14:val="none"/>
        </w:rPr>
        <w:t xml:space="preserve">وتشمل الكتب والمراجع العلمية المتخصصة، والدوريات والمجلات العلمية المحكّمة العربية والأجنبية، والرسائل الجامعية (ماجستير ودكتوراه)، والتقارير الرسمية الصادرة عن وزارة الاستثمار السعودية والهيئة العامة للإحصاء والبنك المركزي السعودي، فضلاً عن التقارير الدولية </w:t>
      </w:r>
      <w:r w:rsidRPr="006D0851">
        <w:rPr>
          <w:rFonts w:ascii="Simplified Arabic" w:eastAsia="Times New Roman" w:hAnsi="Simplified Arabic" w:cs="Simplified Arabic"/>
          <w:color w:val="000000" w:themeColor="text1"/>
          <w:kern w:val="0"/>
          <w:sz w:val="28"/>
          <w:szCs w:val="28"/>
          <w:rtl/>
          <w14:ligatures w14:val="none"/>
        </w:rPr>
        <w:lastRenderedPageBreak/>
        <w:t>الصادرة عن البنك الدولي ومنظمة التعاون الاقتصادي والتنمية</w:t>
      </w:r>
      <w:r w:rsidRPr="006D0851">
        <w:rPr>
          <w:rFonts w:ascii="Simplified Arabic" w:eastAsia="Times New Roman" w:hAnsi="Simplified Arabic" w:cs="Simplified Arabic"/>
          <w:color w:val="000000" w:themeColor="text1"/>
          <w:kern w:val="0"/>
          <w:sz w:val="28"/>
          <w:szCs w:val="28"/>
          <w14:ligatures w14:val="none"/>
        </w:rPr>
        <w:t xml:space="preserve"> (OECD) </w:t>
      </w:r>
      <w:r w:rsidRPr="006D0851">
        <w:rPr>
          <w:rFonts w:ascii="Simplified Arabic" w:eastAsia="Times New Roman" w:hAnsi="Simplified Arabic" w:cs="Simplified Arabic"/>
          <w:color w:val="000000" w:themeColor="text1"/>
          <w:kern w:val="0"/>
          <w:sz w:val="28"/>
          <w:szCs w:val="28"/>
          <w:rtl/>
          <w14:ligatures w14:val="none"/>
        </w:rPr>
        <w:t>ومؤتمر الأمم المتحدة للتجارة والتنمية</w:t>
      </w:r>
      <w:r w:rsidRPr="006D0851">
        <w:rPr>
          <w:rFonts w:ascii="Simplified Arabic" w:eastAsia="Times New Roman" w:hAnsi="Simplified Arabic" w:cs="Simplified Arabic"/>
          <w:color w:val="000000" w:themeColor="text1"/>
          <w:kern w:val="0"/>
          <w:sz w:val="28"/>
          <w:szCs w:val="28"/>
          <w14:ligatures w14:val="none"/>
        </w:rPr>
        <w:t xml:space="preserve"> (UNCTAD) </w:t>
      </w:r>
      <w:r w:rsidRPr="006D0851">
        <w:rPr>
          <w:rFonts w:ascii="Simplified Arabic" w:eastAsia="Times New Roman" w:hAnsi="Simplified Arabic" w:cs="Simplified Arabic"/>
          <w:color w:val="000000" w:themeColor="text1"/>
          <w:kern w:val="0"/>
          <w:sz w:val="28"/>
          <w:szCs w:val="28"/>
          <w:rtl/>
          <w14:ligatures w14:val="none"/>
        </w:rPr>
        <w:t>والمنتدى الاقتصادي العالمي، إضافة إلى الأنظمة والتشريعات السعودية المتعلقة بالاستثمار الأجنبي، وقواعد البيانات الإلكترونية المعتمدة. وستُستخدم هذه المصادر في بناء الإطار النظري والمفاهيمي للدراسة ومراجعة الدراسات السابقة</w:t>
      </w:r>
      <w:r w:rsidRPr="006D0851">
        <w:rPr>
          <w:rFonts w:ascii="Simplified Arabic" w:eastAsia="Times New Roman" w:hAnsi="Simplified Arabic" w:cs="Simplified Arabic"/>
          <w:color w:val="000000" w:themeColor="text1"/>
          <w:kern w:val="0"/>
          <w:sz w:val="28"/>
          <w:szCs w:val="28"/>
          <w14:ligatures w14:val="none"/>
        </w:rPr>
        <w:t>.</w:t>
      </w:r>
    </w:p>
    <w:p w14:paraId="54A26ADE" w14:textId="77777777" w:rsidR="00350539" w:rsidRPr="006D0851" w:rsidRDefault="00350539" w:rsidP="002B43B8">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b/>
          <w:bCs/>
          <w:color w:val="000000" w:themeColor="text1"/>
          <w:kern w:val="0"/>
          <w:sz w:val="28"/>
          <w:szCs w:val="28"/>
          <w:rtl/>
          <w14:ligatures w14:val="none"/>
        </w:rPr>
        <w:t>المصادر الأولية</w:t>
      </w:r>
      <w:r w:rsidRPr="006D0851">
        <w:rPr>
          <w:rFonts w:ascii="Simplified Arabic" w:eastAsia="Times New Roman" w:hAnsi="Simplified Arabic" w:cs="Simplified Arabic"/>
          <w:color w:val="000000" w:themeColor="text1"/>
          <w:kern w:val="0"/>
          <w:sz w:val="28"/>
          <w:szCs w:val="28"/>
          <w14:ligatures w14:val="none"/>
        </w:rPr>
        <w:t xml:space="preserve">: </w:t>
      </w:r>
      <w:r w:rsidRPr="006D0851">
        <w:rPr>
          <w:rFonts w:ascii="Simplified Arabic" w:eastAsia="Times New Roman" w:hAnsi="Simplified Arabic" w:cs="Simplified Arabic"/>
          <w:color w:val="000000" w:themeColor="text1"/>
          <w:kern w:val="0"/>
          <w:sz w:val="28"/>
          <w:szCs w:val="28"/>
          <w:rtl/>
          <w14:ligatures w14:val="none"/>
        </w:rPr>
        <w:t>وتتمثل في البيانات التي سيتم جمعها ميدانياً من خلال أداة الاستبانة المصمّمة خصيصاً لأغراض هذه الدراسة، والتي ستُوزَّع على أفراد عينة الدراسة من المديرين في الشركات الأجنبية والمشتركة العاملة في المملكة العربية السعودية، وذلك بأسلوب التوزيع الإلكتروني والورقي لضمان أعلى معدل استجابة ممكن</w:t>
      </w:r>
      <w:r w:rsidRPr="006D0851">
        <w:rPr>
          <w:rFonts w:ascii="Simplified Arabic" w:eastAsia="Times New Roman" w:hAnsi="Simplified Arabic" w:cs="Simplified Arabic"/>
          <w:color w:val="000000" w:themeColor="text1"/>
          <w:kern w:val="0"/>
          <w:sz w:val="28"/>
          <w:szCs w:val="28"/>
          <w14:ligatures w14:val="none"/>
        </w:rPr>
        <w:t>.</w:t>
      </w:r>
    </w:p>
    <w:p w14:paraId="44AB9220" w14:textId="309C0556" w:rsidR="00350539" w:rsidRPr="006D0851" w:rsidRDefault="002B43B8" w:rsidP="002B43B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0" w:name="_Toc223938593"/>
      <w:bookmarkStart w:id="31" w:name="_Toc233659082"/>
      <w:r w:rsidRPr="006D0851">
        <w:rPr>
          <w:rFonts w:ascii="Simplified Arabic" w:eastAsia="Times New Roman" w:hAnsi="Simplified Arabic" w:cs="Simplified Arabic" w:hint="cs"/>
          <w:b/>
          <w:bCs/>
          <w:color w:val="000000" w:themeColor="text1"/>
          <w:kern w:val="0"/>
          <w:sz w:val="36"/>
          <w:szCs w:val="36"/>
          <w:rtl/>
          <w14:ligatures w14:val="none"/>
        </w:rPr>
        <w:t xml:space="preserve">13.1 </w:t>
      </w:r>
      <w:r w:rsidR="00350539" w:rsidRPr="006D0851">
        <w:rPr>
          <w:rFonts w:ascii="Simplified Arabic" w:eastAsia="Times New Roman" w:hAnsi="Simplified Arabic" w:cs="Simplified Arabic"/>
          <w:b/>
          <w:bCs/>
          <w:color w:val="000000" w:themeColor="text1"/>
          <w:kern w:val="0"/>
          <w:sz w:val="36"/>
          <w:szCs w:val="36"/>
          <w:rtl/>
          <w14:ligatures w14:val="none"/>
        </w:rPr>
        <w:t>أداة الدراسة</w:t>
      </w:r>
      <w:bookmarkEnd w:id="30"/>
      <w:bookmarkEnd w:id="31"/>
    </w:p>
    <w:p w14:paraId="0511B65D" w14:textId="77777777" w:rsidR="00350539" w:rsidRPr="006D0851" w:rsidRDefault="00350539" w:rsidP="002B4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 xml:space="preserve">ستعتمد الدراسة على الاستبانة بوصفها الأداة الرئيسية لجمع البيانات الأولية، وستُصمَّم وفقاً لمقياس </w:t>
      </w:r>
      <w:proofErr w:type="spellStart"/>
      <w:r w:rsidRPr="006D0851">
        <w:rPr>
          <w:rFonts w:ascii="Simplified Arabic" w:eastAsia="Times New Roman" w:hAnsi="Simplified Arabic" w:cs="Simplified Arabic"/>
          <w:color w:val="000000" w:themeColor="text1"/>
          <w:kern w:val="0"/>
          <w:sz w:val="28"/>
          <w:szCs w:val="28"/>
          <w:rtl/>
          <w14:ligatures w14:val="none"/>
        </w:rPr>
        <w:t>ليكرت</w:t>
      </w:r>
      <w:proofErr w:type="spellEnd"/>
      <w:r w:rsidRPr="006D0851">
        <w:rPr>
          <w:rFonts w:ascii="Simplified Arabic" w:eastAsia="Times New Roman" w:hAnsi="Simplified Arabic" w:cs="Simplified Arabic"/>
          <w:color w:val="000000" w:themeColor="text1"/>
          <w:kern w:val="0"/>
          <w:sz w:val="28"/>
          <w:szCs w:val="28"/>
          <w:rtl/>
          <w14:ligatures w14:val="none"/>
        </w:rPr>
        <w:t xml:space="preserve"> الخماسي </w:t>
      </w:r>
      <w:r w:rsidRPr="006D0851">
        <w:rPr>
          <w:rFonts w:ascii="Simplified Arabic" w:eastAsia="Times New Roman" w:hAnsi="Simplified Arabic" w:cs="Simplified Arabic"/>
          <w:color w:val="000000" w:themeColor="text1"/>
          <w:kern w:val="0"/>
          <w:sz w:val="28"/>
          <w:szCs w:val="28"/>
          <w14:ligatures w14:val="none"/>
        </w:rPr>
        <w:t xml:space="preserve">(Likert Scale) </w:t>
      </w:r>
      <w:r w:rsidRPr="006D0851">
        <w:rPr>
          <w:rFonts w:ascii="Simplified Arabic" w:eastAsia="Times New Roman" w:hAnsi="Simplified Arabic" w:cs="Simplified Arabic"/>
          <w:color w:val="000000" w:themeColor="text1"/>
          <w:kern w:val="0"/>
          <w:sz w:val="28"/>
          <w:szCs w:val="28"/>
          <w:rtl/>
          <w14:ligatures w14:val="none"/>
        </w:rPr>
        <w:t>المتدرّج من (1) بشدة لا أوافق إلى (5) بشدة أوافق. وستتكون الاستبانة من ثلاثة أقسام رئيسية على النحو التالي</w:t>
      </w:r>
      <w:r w:rsidRPr="006D0851">
        <w:rPr>
          <w:rFonts w:ascii="Simplified Arabic" w:eastAsia="Times New Roman" w:hAnsi="Simplified Arabic" w:cs="Simplified Arabic"/>
          <w:color w:val="000000" w:themeColor="text1"/>
          <w:kern w:val="0"/>
          <w:sz w:val="28"/>
          <w:szCs w:val="28"/>
          <w14:ligatures w14:val="none"/>
        </w:rPr>
        <w:t>:</w:t>
      </w:r>
    </w:p>
    <w:p w14:paraId="138DAE02" w14:textId="77777777" w:rsidR="00350539" w:rsidRPr="006D0851" w:rsidRDefault="00350539" w:rsidP="002B4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b/>
          <w:bCs/>
          <w:color w:val="000000" w:themeColor="text1"/>
          <w:kern w:val="0"/>
          <w:sz w:val="28"/>
          <w:szCs w:val="28"/>
          <w:rtl/>
          <w14:ligatures w14:val="none"/>
        </w:rPr>
        <w:t>القسم الأول</w:t>
      </w:r>
      <w:r w:rsidRPr="006D0851">
        <w:rPr>
          <w:rFonts w:ascii="Simplified Arabic" w:eastAsia="Times New Roman" w:hAnsi="Simplified Arabic" w:cs="Simplified Arabic"/>
          <w:color w:val="000000" w:themeColor="text1"/>
          <w:kern w:val="0"/>
          <w:sz w:val="28"/>
          <w:szCs w:val="28"/>
          <w:rtl/>
          <w14:ligatures w14:val="none"/>
        </w:rPr>
        <w:t>: البيانات الديموغرافية والتنظيمية يتضمن هذا القسم بيانات عن خصائص المستجيب والشركة، وتشمل: جنسية المستثمر، المسمى الوظيفي، سنوات الخبرة في السوق السعودي، حجم الاستثمار، القطاع الاستثماري، المنطقة الجغرافية، وشكل الاستثمار (ملكية كاملة / مشترك)</w:t>
      </w:r>
      <w:r w:rsidRPr="006D0851">
        <w:rPr>
          <w:rFonts w:ascii="Simplified Arabic" w:eastAsia="Times New Roman" w:hAnsi="Simplified Arabic" w:cs="Simplified Arabic"/>
          <w:color w:val="000000" w:themeColor="text1"/>
          <w:kern w:val="0"/>
          <w:sz w:val="28"/>
          <w:szCs w:val="28"/>
          <w14:ligatures w14:val="none"/>
        </w:rPr>
        <w:t>.</w:t>
      </w:r>
    </w:p>
    <w:p w14:paraId="3D593A40" w14:textId="77777777" w:rsidR="00350539" w:rsidRPr="006D0851" w:rsidRDefault="00350539" w:rsidP="002B4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b/>
          <w:bCs/>
          <w:color w:val="000000" w:themeColor="text1"/>
          <w:kern w:val="0"/>
          <w:sz w:val="28"/>
          <w:szCs w:val="28"/>
          <w:rtl/>
          <w14:ligatures w14:val="none"/>
        </w:rPr>
        <w:t>القسم الثاني</w:t>
      </w:r>
      <w:r w:rsidRPr="006D0851">
        <w:rPr>
          <w:rFonts w:ascii="Simplified Arabic" w:eastAsia="Times New Roman" w:hAnsi="Simplified Arabic" w:cs="Simplified Arabic"/>
          <w:color w:val="000000" w:themeColor="text1"/>
          <w:kern w:val="0"/>
          <w:sz w:val="28"/>
          <w:szCs w:val="28"/>
          <w:rtl/>
          <w14:ligatures w14:val="none"/>
        </w:rPr>
        <w:t>: المتغير المستقل – الحوافز الاستثمارية (28 فقرة) يتكون هذا القسم من أربعة أبعاد تُمثّل أبعاد الحوافز الاستثمارية، وتتوزع فقراته على النحو التالي</w:t>
      </w:r>
      <w:r w:rsidRPr="006D0851">
        <w:rPr>
          <w:rFonts w:ascii="Simplified Arabic" w:eastAsia="Times New Roman" w:hAnsi="Simplified Arabic" w:cs="Simplified Arabic"/>
          <w:color w:val="000000" w:themeColor="text1"/>
          <w:kern w:val="0"/>
          <w:sz w:val="28"/>
          <w:szCs w:val="28"/>
          <w14:ligatures w14:val="none"/>
        </w:rPr>
        <w:t>:</w:t>
      </w:r>
    </w:p>
    <w:p w14:paraId="231C7395" w14:textId="77777777" w:rsidR="00350539" w:rsidRPr="006D0851" w:rsidRDefault="00350539" w:rsidP="002B43B8">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البُعد الأول: الحوافز الضريبية – ويتضمن</w:t>
      </w:r>
      <w:r w:rsidRPr="006D0851">
        <w:rPr>
          <w:rFonts w:ascii="Simplified Arabic" w:eastAsia="Times New Roman" w:hAnsi="Simplified Arabic" w:cs="Simplified Arabic"/>
          <w:color w:val="000000" w:themeColor="text1"/>
          <w:kern w:val="0"/>
          <w:sz w:val="28"/>
          <w:szCs w:val="28"/>
          <w14:ligatures w14:val="none"/>
        </w:rPr>
        <w:t xml:space="preserve"> (7) </w:t>
      </w:r>
      <w:r w:rsidRPr="006D0851">
        <w:rPr>
          <w:rFonts w:ascii="Simplified Arabic" w:eastAsia="Times New Roman" w:hAnsi="Simplified Arabic" w:cs="Simplified Arabic"/>
          <w:color w:val="000000" w:themeColor="text1"/>
          <w:kern w:val="0"/>
          <w:sz w:val="28"/>
          <w:szCs w:val="28"/>
          <w:rtl/>
          <w14:ligatures w14:val="none"/>
        </w:rPr>
        <w:t>فقرات تقيس مدى إدراك المستثمرين الأجانب لفاعلية الحوافز الضريبية المقدمة في المملكة كالإعفاءات الضريبية والتخفيضات الجمركية واتفاقيات تجنب الازدواج الضريبي وأثرها على قرار التوطين</w:t>
      </w:r>
      <w:r w:rsidRPr="006D0851">
        <w:rPr>
          <w:rFonts w:ascii="Simplified Arabic" w:eastAsia="Times New Roman" w:hAnsi="Simplified Arabic" w:cs="Simplified Arabic"/>
          <w:color w:val="000000" w:themeColor="text1"/>
          <w:kern w:val="0"/>
          <w:sz w:val="28"/>
          <w:szCs w:val="28"/>
          <w14:ligatures w14:val="none"/>
        </w:rPr>
        <w:t>.</w:t>
      </w:r>
    </w:p>
    <w:p w14:paraId="158AD5CD" w14:textId="77777777" w:rsidR="00350539" w:rsidRPr="006D0851" w:rsidRDefault="00350539" w:rsidP="002B43B8">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البُعد الثاني: الحوافز المالية – ويتضمن</w:t>
      </w:r>
      <w:r w:rsidRPr="006D0851">
        <w:rPr>
          <w:rFonts w:ascii="Simplified Arabic" w:eastAsia="Times New Roman" w:hAnsi="Simplified Arabic" w:cs="Simplified Arabic"/>
          <w:color w:val="000000" w:themeColor="text1"/>
          <w:kern w:val="0"/>
          <w:sz w:val="28"/>
          <w:szCs w:val="28"/>
          <w14:ligatures w14:val="none"/>
        </w:rPr>
        <w:t xml:space="preserve"> (7) </w:t>
      </w:r>
      <w:r w:rsidRPr="006D0851">
        <w:rPr>
          <w:rFonts w:ascii="Simplified Arabic" w:eastAsia="Times New Roman" w:hAnsi="Simplified Arabic" w:cs="Simplified Arabic"/>
          <w:color w:val="000000" w:themeColor="text1"/>
          <w:kern w:val="0"/>
          <w:sz w:val="28"/>
          <w:szCs w:val="28"/>
          <w:rtl/>
          <w14:ligatures w14:val="none"/>
        </w:rPr>
        <w:t>فقرات تقيس مدى إدراك المستثمرين الأجانب لفاعلية الحوافز المالية كالمنح المباشرة والقروض الميسّرة وضمانات الائتمان وبرامج الدعم المالي وأثرها على قرار التوطين</w:t>
      </w:r>
      <w:r w:rsidRPr="006D0851">
        <w:rPr>
          <w:rFonts w:ascii="Simplified Arabic" w:eastAsia="Times New Roman" w:hAnsi="Simplified Arabic" w:cs="Simplified Arabic"/>
          <w:color w:val="000000" w:themeColor="text1"/>
          <w:kern w:val="0"/>
          <w:sz w:val="28"/>
          <w:szCs w:val="28"/>
          <w14:ligatures w14:val="none"/>
        </w:rPr>
        <w:t>.</w:t>
      </w:r>
    </w:p>
    <w:p w14:paraId="0A38D592" w14:textId="77777777" w:rsidR="00350539" w:rsidRPr="006D0851" w:rsidRDefault="00350539" w:rsidP="002B43B8">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lastRenderedPageBreak/>
        <w:t>البُعد الثالث: الحوافز التنظيمية والتشريعية</w:t>
      </w:r>
      <w:r w:rsidRPr="006D0851">
        <w:rPr>
          <w:rFonts w:ascii="Simplified Arabic" w:eastAsia="Times New Roman" w:hAnsi="Simplified Arabic" w:cs="Simplified Arabic"/>
          <w:color w:val="000000" w:themeColor="text1"/>
          <w:kern w:val="0"/>
          <w:sz w:val="28"/>
          <w:szCs w:val="28"/>
          <w14:ligatures w14:val="none"/>
        </w:rPr>
        <w:t xml:space="preserve"> – </w:t>
      </w:r>
      <w:r w:rsidRPr="006D0851">
        <w:rPr>
          <w:rFonts w:ascii="Simplified Arabic" w:eastAsia="Times New Roman" w:hAnsi="Simplified Arabic" w:cs="Simplified Arabic"/>
          <w:color w:val="000000" w:themeColor="text1"/>
          <w:kern w:val="0"/>
          <w:sz w:val="28"/>
          <w:szCs w:val="28"/>
          <w:rtl/>
          <w14:ligatures w14:val="none"/>
        </w:rPr>
        <w:t>ويتضمن (7) فقرات تقيس مدى إدراك المستثمرين الأجانب لفاعلية الحوافز التنظيمية كتبسيط إجراءات التراخيص وحماية الملكية الفكرية وأنظمة تسوية المنازعات ومرونة أنظمة العمل وأثرها على قرار التوطين</w:t>
      </w:r>
      <w:r w:rsidRPr="006D0851">
        <w:rPr>
          <w:rFonts w:ascii="Simplified Arabic" w:eastAsia="Times New Roman" w:hAnsi="Simplified Arabic" w:cs="Simplified Arabic"/>
          <w:color w:val="000000" w:themeColor="text1"/>
          <w:kern w:val="0"/>
          <w:sz w:val="28"/>
          <w:szCs w:val="28"/>
          <w14:ligatures w14:val="none"/>
        </w:rPr>
        <w:t>.</w:t>
      </w:r>
    </w:p>
    <w:p w14:paraId="4165E914" w14:textId="77777777" w:rsidR="00350539" w:rsidRPr="006D0851" w:rsidRDefault="00350539" w:rsidP="002B43B8">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البُعد الرابع: حوافز البنية التحتية والمناطق الاقتصادية – ويتضمن (7) فقرات تقيس مدى إدراك المستثمرين الأجانب لفاعلية حوافز البنية التحتية كالمناطق الاقتصادية الخاصة والبنية الرقمية وشبكات النقل واللوجستيات وتوفير الأراضي وأثرها على قرار التوطين</w:t>
      </w:r>
      <w:r w:rsidRPr="006D0851">
        <w:rPr>
          <w:rFonts w:ascii="Simplified Arabic" w:eastAsia="Times New Roman" w:hAnsi="Simplified Arabic" w:cs="Simplified Arabic"/>
          <w:color w:val="000000" w:themeColor="text1"/>
          <w:kern w:val="0"/>
          <w:sz w:val="28"/>
          <w:szCs w:val="28"/>
          <w14:ligatures w14:val="none"/>
        </w:rPr>
        <w:t>.</w:t>
      </w:r>
    </w:p>
    <w:p w14:paraId="34F81BAA" w14:textId="1924EC96" w:rsidR="00350539" w:rsidRPr="006D0851" w:rsidRDefault="00350539" w:rsidP="002B4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b/>
          <w:bCs/>
          <w:color w:val="000000" w:themeColor="text1"/>
          <w:kern w:val="0"/>
          <w:sz w:val="28"/>
          <w:szCs w:val="28"/>
          <w:rtl/>
          <w14:ligatures w14:val="none"/>
        </w:rPr>
        <w:t>القسم الثالث</w:t>
      </w:r>
      <w:r w:rsidRPr="006D0851">
        <w:rPr>
          <w:rFonts w:ascii="Simplified Arabic" w:eastAsia="Times New Roman" w:hAnsi="Simplified Arabic" w:cs="Simplified Arabic"/>
          <w:color w:val="000000" w:themeColor="text1"/>
          <w:kern w:val="0"/>
          <w:sz w:val="28"/>
          <w:szCs w:val="28"/>
          <w:rtl/>
          <w14:ligatures w14:val="none"/>
        </w:rPr>
        <w:t>: المتغير التابع – قرار التوطين الاستثماري (12 فقرة) يتضمن هذا القسم محوراً أحادياً مكوّناً من (12) فقرة تقيس قرار التوطين الاستثماري للمستثمر الأجنبي في المملكة العربية السعودية، وتشمل جوانب مثل: مدى رضا المستثمر عن قراره بالتوطين في المملكة، واستعداده لتوسيع استثماراته الحالية، ونيته في إنشاء مشروعات جديدة، وتوصيته لمستثمرين آخرين بالتوطين، وتقييمه الشامل لجاذبية بيئة الاستثمار، ومقارنته للمملكة بالدول المنافسة في المنطقة</w:t>
      </w:r>
      <w:r w:rsidRPr="006D0851">
        <w:rPr>
          <w:rFonts w:ascii="Simplified Arabic" w:eastAsia="Times New Roman" w:hAnsi="Simplified Arabic" w:cs="Simplified Arabic"/>
          <w:color w:val="000000" w:themeColor="text1"/>
          <w:kern w:val="0"/>
          <w:sz w:val="28"/>
          <w:szCs w:val="28"/>
          <w14:ligatures w14:val="none"/>
        </w:rPr>
        <w:t>.</w:t>
      </w:r>
      <w:r w:rsidR="002B43B8" w:rsidRPr="006D0851">
        <w:rPr>
          <w:rFonts w:ascii="Simplified Arabic" w:eastAsia="Times New Roman" w:hAnsi="Simplified Arabic" w:cs="Simplified Arabic" w:hint="cs"/>
          <w:color w:val="000000" w:themeColor="text1"/>
          <w:kern w:val="0"/>
          <w:sz w:val="28"/>
          <w:szCs w:val="28"/>
          <w:rtl/>
          <w14:ligatures w14:val="none"/>
        </w:rPr>
        <w:t xml:space="preserve"> </w:t>
      </w:r>
      <w:r w:rsidRPr="006D0851">
        <w:rPr>
          <w:rFonts w:ascii="Simplified Arabic" w:eastAsia="Times New Roman" w:hAnsi="Simplified Arabic" w:cs="Simplified Arabic"/>
          <w:color w:val="000000" w:themeColor="text1"/>
          <w:kern w:val="0"/>
          <w:sz w:val="28"/>
          <w:szCs w:val="28"/>
          <w:rtl/>
          <w14:ligatures w14:val="none"/>
        </w:rPr>
        <w:t>وبذلك يبلغ إجمالي عدد فقرات الاستبانة (40) فقرة بالإضافة إلى فقرات البيانات الديموغرافية والتنظيمية</w:t>
      </w:r>
      <w:r w:rsidRPr="006D0851">
        <w:rPr>
          <w:rFonts w:ascii="Simplified Arabic" w:eastAsia="Times New Roman" w:hAnsi="Simplified Arabic" w:cs="Simplified Arabic"/>
          <w:color w:val="000000" w:themeColor="text1"/>
          <w:kern w:val="0"/>
          <w:sz w:val="28"/>
          <w:szCs w:val="28"/>
          <w14:ligatures w14:val="none"/>
        </w:rPr>
        <w:t>.</w:t>
      </w:r>
    </w:p>
    <w:p w14:paraId="2D4A2598" w14:textId="77777777" w:rsidR="00350539" w:rsidRPr="006D0851" w:rsidRDefault="00350539" w:rsidP="002B4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وسيتم التحقق من صدق الأداة من خلال صدق المحتوى بعرضها على مجموعة من المحكّمين المتخصصين، والصدق البنائي من خلال التحليل العاملي التوكيدي</w:t>
      </w:r>
      <w:r w:rsidRPr="006D0851">
        <w:rPr>
          <w:rFonts w:ascii="Simplified Arabic" w:eastAsia="Times New Roman" w:hAnsi="Simplified Arabic" w:cs="Simplified Arabic"/>
          <w:color w:val="000000" w:themeColor="text1"/>
          <w:kern w:val="0"/>
          <w:sz w:val="28"/>
          <w:szCs w:val="28"/>
          <w14:ligatures w14:val="none"/>
        </w:rPr>
        <w:t xml:space="preserve"> (CFA). </w:t>
      </w:r>
      <w:r w:rsidRPr="006D0851">
        <w:rPr>
          <w:rFonts w:ascii="Simplified Arabic" w:eastAsia="Times New Roman" w:hAnsi="Simplified Arabic" w:cs="Simplified Arabic"/>
          <w:color w:val="000000" w:themeColor="text1"/>
          <w:kern w:val="0"/>
          <w:sz w:val="28"/>
          <w:szCs w:val="28"/>
          <w:rtl/>
          <w14:ligatures w14:val="none"/>
        </w:rPr>
        <w:t xml:space="preserve">كما سيتم التحقق من ثبات الأداة باستخدام معامل ألفا </w:t>
      </w:r>
      <w:proofErr w:type="spellStart"/>
      <w:r w:rsidRPr="006D0851">
        <w:rPr>
          <w:rFonts w:ascii="Simplified Arabic" w:eastAsia="Times New Roman" w:hAnsi="Simplified Arabic" w:cs="Simplified Arabic"/>
          <w:color w:val="000000" w:themeColor="text1"/>
          <w:kern w:val="0"/>
          <w:sz w:val="28"/>
          <w:szCs w:val="28"/>
          <w:rtl/>
          <w14:ligatures w14:val="none"/>
        </w:rPr>
        <w:t>كرونباخ</w:t>
      </w:r>
      <w:proofErr w:type="spellEnd"/>
      <w:r w:rsidRPr="006D0851">
        <w:rPr>
          <w:rFonts w:ascii="Simplified Arabic" w:eastAsia="Times New Roman" w:hAnsi="Simplified Arabic" w:cs="Simplified Arabic"/>
          <w:color w:val="000000" w:themeColor="text1"/>
          <w:kern w:val="0"/>
          <w:sz w:val="28"/>
          <w:szCs w:val="28"/>
          <w14:ligatures w14:val="none"/>
        </w:rPr>
        <w:t xml:space="preserve"> (Cronbach's Alpha) </w:t>
      </w:r>
      <w:r w:rsidRPr="006D0851">
        <w:rPr>
          <w:rFonts w:ascii="Simplified Arabic" w:eastAsia="Times New Roman" w:hAnsi="Simplified Arabic" w:cs="Simplified Arabic"/>
          <w:color w:val="000000" w:themeColor="text1"/>
          <w:kern w:val="0"/>
          <w:sz w:val="28"/>
          <w:szCs w:val="28"/>
          <w:rtl/>
          <w14:ligatures w14:val="none"/>
        </w:rPr>
        <w:t>ومعامل الثبات المركّب</w:t>
      </w:r>
      <w:r w:rsidRPr="006D0851">
        <w:rPr>
          <w:rFonts w:ascii="Simplified Arabic" w:eastAsia="Times New Roman" w:hAnsi="Simplified Arabic" w:cs="Simplified Arabic"/>
          <w:color w:val="000000" w:themeColor="text1"/>
          <w:kern w:val="0"/>
          <w:sz w:val="28"/>
          <w:szCs w:val="28"/>
          <w14:ligatures w14:val="none"/>
        </w:rPr>
        <w:t xml:space="preserve"> (Composite Reliability).</w:t>
      </w:r>
    </w:p>
    <w:p w14:paraId="28BC37A2" w14:textId="6BC3FEBC" w:rsidR="00350539" w:rsidRPr="006D0851" w:rsidRDefault="002B43B8" w:rsidP="002B43B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2" w:name="_Toc223938594"/>
      <w:bookmarkStart w:id="33" w:name="_Toc233659083"/>
      <w:r w:rsidRPr="006D0851">
        <w:rPr>
          <w:rFonts w:ascii="Simplified Arabic" w:eastAsia="Times New Roman" w:hAnsi="Simplified Arabic" w:cs="Simplified Arabic" w:hint="cs"/>
          <w:b/>
          <w:bCs/>
          <w:color w:val="000000" w:themeColor="text1"/>
          <w:kern w:val="0"/>
          <w:sz w:val="36"/>
          <w:szCs w:val="36"/>
          <w:rtl/>
          <w14:ligatures w14:val="none"/>
        </w:rPr>
        <w:t xml:space="preserve">14.1 </w:t>
      </w:r>
      <w:r w:rsidR="00350539" w:rsidRPr="006D0851">
        <w:rPr>
          <w:rFonts w:ascii="Simplified Arabic" w:eastAsia="Times New Roman" w:hAnsi="Simplified Arabic" w:cs="Simplified Arabic"/>
          <w:b/>
          <w:bCs/>
          <w:color w:val="000000" w:themeColor="text1"/>
          <w:kern w:val="0"/>
          <w:sz w:val="36"/>
          <w:szCs w:val="36"/>
          <w:rtl/>
          <w14:ligatures w14:val="none"/>
        </w:rPr>
        <w:t>الأساليب الإحصائية المستخدمة</w:t>
      </w:r>
      <w:bookmarkEnd w:id="32"/>
      <w:bookmarkEnd w:id="33"/>
    </w:p>
    <w:p w14:paraId="57AEF8B3" w14:textId="77777777" w:rsidR="00350539" w:rsidRPr="006D0851" w:rsidRDefault="00350539" w:rsidP="002B4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ستُحلَّل بيانات الدراسة باستخدام برنامج الحزمة الإحصائية للعلوم الاجتماعية</w:t>
      </w:r>
      <w:r w:rsidRPr="006D0851">
        <w:rPr>
          <w:rFonts w:ascii="Simplified Arabic" w:eastAsia="Times New Roman" w:hAnsi="Simplified Arabic" w:cs="Simplified Arabic"/>
          <w:color w:val="000000" w:themeColor="text1"/>
          <w:kern w:val="0"/>
          <w:sz w:val="28"/>
          <w:szCs w:val="28"/>
          <w14:ligatures w14:val="none"/>
        </w:rPr>
        <w:t xml:space="preserve"> (SPSS v.28) </w:t>
      </w:r>
      <w:r w:rsidRPr="006D0851">
        <w:rPr>
          <w:rFonts w:ascii="Simplified Arabic" w:eastAsia="Times New Roman" w:hAnsi="Simplified Arabic" w:cs="Simplified Arabic"/>
          <w:color w:val="000000" w:themeColor="text1"/>
          <w:kern w:val="0"/>
          <w:sz w:val="28"/>
          <w:szCs w:val="28"/>
          <w:rtl/>
          <w14:ligatures w14:val="none"/>
        </w:rPr>
        <w:t>وبرنامج النمذجة بالمعادلات البنائية</w:t>
      </w:r>
      <w:r w:rsidRPr="006D0851">
        <w:rPr>
          <w:rFonts w:ascii="Simplified Arabic" w:eastAsia="Times New Roman" w:hAnsi="Simplified Arabic" w:cs="Simplified Arabic"/>
          <w:color w:val="000000" w:themeColor="text1"/>
          <w:kern w:val="0"/>
          <w:sz w:val="28"/>
          <w:szCs w:val="28"/>
          <w14:ligatures w14:val="none"/>
        </w:rPr>
        <w:t xml:space="preserve"> (AMOS v.26)</w:t>
      </w:r>
      <w:r w:rsidRPr="006D0851">
        <w:rPr>
          <w:rFonts w:ascii="Simplified Arabic" w:eastAsia="Times New Roman" w:hAnsi="Simplified Arabic" w:cs="Simplified Arabic"/>
          <w:color w:val="000000" w:themeColor="text1"/>
          <w:kern w:val="0"/>
          <w:sz w:val="28"/>
          <w:szCs w:val="28"/>
          <w:rtl/>
          <w14:ligatures w14:val="none"/>
        </w:rPr>
        <w:t>، وستُستخدم الأساليب الإحصائية التالية</w:t>
      </w:r>
      <w:r w:rsidRPr="006D0851">
        <w:rPr>
          <w:rFonts w:ascii="Simplified Arabic" w:eastAsia="Times New Roman" w:hAnsi="Simplified Arabic" w:cs="Simplified Arabic"/>
          <w:color w:val="000000" w:themeColor="text1"/>
          <w:kern w:val="0"/>
          <w:sz w:val="28"/>
          <w:szCs w:val="28"/>
          <w14:ligatures w14:val="none"/>
        </w:rPr>
        <w:t>:</w:t>
      </w:r>
    </w:p>
    <w:p w14:paraId="6E87C35E" w14:textId="77777777" w:rsidR="00350539" w:rsidRPr="006D0851" w:rsidRDefault="00350539" w:rsidP="002B43B8">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أساليب الإحصاء الوصفي</w:t>
      </w:r>
      <w:r w:rsidRPr="006D0851">
        <w:rPr>
          <w:rFonts w:ascii="Simplified Arabic" w:eastAsia="Times New Roman" w:hAnsi="Simplified Arabic" w:cs="Simplified Arabic"/>
          <w:color w:val="000000" w:themeColor="text1"/>
          <w:kern w:val="0"/>
          <w:sz w:val="28"/>
          <w:szCs w:val="28"/>
          <w14:ligatures w14:val="none"/>
        </w:rPr>
        <w:t xml:space="preserve">: </w:t>
      </w:r>
      <w:r w:rsidRPr="006D0851">
        <w:rPr>
          <w:rFonts w:ascii="Simplified Arabic" w:eastAsia="Times New Roman" w:hAnsi="Simplified Arabic" w:cs="Simplified Arabic"/>
          <w:color w:val="000000" w:themeColor="text1"/>
          <w:kern w:val="0"/>
          <w:sz w:val="28"/>
          <w:szCs w:val="28"/>
          <w:rtl/>
          <w14:ligatures w14:val="none"/>
        </w:rPr>
        <w:t>وتشمل التكرارات والنسب المئوية لوصف خصائص عينة الدراسة، والمتوسطات الحسابية والانحرافات المعيارية لتحديد اتجاهات استجابات أفراد العينة وترتيب أبعاد ومحاور الدراسة حسب أهميتها النسبية</w:t>
      </w:r>
      <w:r w:rsidRPr="006D0851">
        <w:rPr>
          <w:rFonts w:ascii="Simplified Arabic" w:eastAsia="Times New Roman" w:hAnsi="Simplified Arabic" w:cs="Simplified Arabic"/>
          <w:color w:val="000000" w:themeColor="text1"/>
          <w:kern w:val="0"/>
          <w:sz w:val="28"/>
          <w:szCs w:val="28"/>
          <w14:ligatures w14:val="none"/>
        </w:rPr>
        <w:t>.</w:t>
      </w:r>
    </w:p>
    <w:p w14:paraId="695ECCE8" w14:textId="77777777" w:rsidR="00350539" w:rsidRPr="006D0851" w:rsidRDefault="00350539" w:rsidP="002B43B8">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lastRenderedPageBreak/>
        <w:t>اختبارات الصدق والثبات</w:t>
      </w:r>
      <w:r w:rsidRPr="006D0851">
        <w:rPr>
          <w:rFonts w:ascii="Simplified Arabic" w:eastAsia="Times New Roman" w:hAnsi="Simplified Arabic" w:cs="Simplified Arabic"/>
          <w:color w:val="000000" w:themeColor="text1"/>
          <w:kern w:val="0"/>
          <w:sz w:val="28"/>
          <w:szCs w:val="28"/>
          <w14:ligatures w14:val="none"/>
        </w:rPr>
        <w:t xml:space="preserve">: </w:t>
      </w:r>
      <w:r w:rsidRPr="006D0851">
        <w:rPr>
          <w:rFonts w:ascii="Simplified Arabic" w:eastAsia="Times New Roman" w:hAnsi="Simplified Arabic" w:cs="Simplified Arabic"/>
          <w:color w:val="000000" w:themeColor="text1"/>
          <w:kern w:val="0"/>
          <w:sz w:val="28"/>
          <w:szCs w:val="28"/>
          <w:rtl/>
          <w14:ligatures w14:val="none"/>
        </w:rPr>
        <w:t xml:space="preserve">وتشمل معامل ألفا </w:t>
      </w:r>
      <w:proofErr w:type="spellStart"/>
      <w:r w:rsidRPr="006D0851">
        <w:rPr>
          <w:rFonts w:ascii="Simplified Arabic" w:eastAsia="Times New Roman" w:hAnsi="Simplified Arabic" w:cs="Simplified Arabic"/>
          <w:color w:val="000000" w:themeColor="text1"/>
          <w:kern w:val="0"/>
          <w:sz w:val="28"/>
          <w:szCs w:val="28"/>
          <w:rtl/>
          <w14:ligatures w14:val="none"/>
        </w:rPr>
        <w:t>كرونباخ</w:t>
      </w:r>
      <w:proofErr w:type="spellEnd"/>
      <w:r w:rsidRPr="006D0851">
        <w:rPr>
          <w:rFonts w:ascii="Simplified Arabic" w:eastAsia="Times New Roman" w:hAnsi="Simplified Arabic" w:cs="Simplified Arabic"/>
          <w:color w:val="000000" w:themeColor="text1"/>
          <w:kern w:val="0"/>
          <w:sz w:val="28"/>
          <w:szCs w:val="28"/>
          <w14:ligatures w14:val="none"/>
        </w:rPr>
        <w:t xml:space="preserve"> (Cronbach's Alpha) </w:t>
      </w:r>
      <w:r w:rsidRPr="006D0851">
        <w:rPr>
          <w:rFonts w:ascii="Simplified Arabic" w:eastAsia="Times New Roman" w:hAnsi="Simplified Arabic" w:cs="Simplified Arabic"/>
          <w:color w:val="000000" w:themeColor="text1"/>
          <w:kern w:val="0"/>
          <w:sz w:val="28"/>
          <w:szCs w:val="28"/>
          <w:rtl/>
          <w14:ligatures w14:val="none"/>
        </w:rPr>
        <w:t>لقياس ثبات أداة الدراسة، والتحليل العاملي التوكيدي</w:t>
      </w:r>
      <w:r w:rsidRPr="006D0851">
        <w:rPr>
          <w:rFonts w:ascii="Simplified Arabic" w:eastAsia="Times New Roman" w:hAnsi="Simplified Arabic" w:cs="Simplified Arabic"/>
          <w:color w:val="000000" w:themeColor="text1"/>
          <w:kern w:val="0"/>
          <w:sz w:val="28"/>
          <w:szCs w:val="28"/>
          <w14:ligatures w14:val="none"/>
        </w:rPr>
        <w:t xml:space="preserve"> (Confirmatory Factor Analysis) </w:t>
      </w:r>
      <w:r w:rsidRPr="006D0851">
        <w:rPr>
          <w:rFonts w:ascii="Simplified Arabic" w:eastAsia="Times New Roman" w:hAnsi="Simplified Arabic" w:cs="Simplified Arabic"/>
          <w:color w:val="000000" w:themeColor="text1"/>
          <w:kern w:val="0"/>
          <w:sz w:val="28"/>
          <w:szCs w:val="28"/>
          <w:rtl/>
          <w14:ligatures w14:val="none"/>
        </w:rPr>
        <w:t>للتحقق من صدق البناء وجودة مطابقة النموذج القياسي للبيانات</w:t>
      </w:r>
      <w:r w:rsidRPr="006D0851">
        <w:rPr>
          <w:rFonts w:ascii="Simplified Arabic" w:eastAsia="Times New Roman" w:hAnsi="Simplified Arabic" w:cs="Simplified Arabic"/>
          <w:color w:val="000000" w:themeColor="text1"/>
          <w:kern w:val="0"/>
          <w:sz w:val="28"/>
          <w:szCs w:val="28"/>
          <w14:ligatures w14:val="none"/>
        </w:rPr>
        <w:t>.</w:t>
      </w:r>
    </w:p>
    <w:p w14:paraId="74E7BF83" w14:textId="77777777" w:rsidR="00350539" w:rsidRPr="006D0851" w:rsidRDefault="00350539" w:rsidP="002B43B8">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اختبارات التوزيع الطبيعي</w:t>
      </w:r>
      <w:r w:rsidRPr="006D0851">
        <w:rPr>
          <w:rFonts w:ascii="Simplified Arabic" w:eastAsia="Times New Roman" w:hAnsi="Simplified Arabic" w:cs="Simplified Arabic"/>
          <w:color w:val="000000" w:themeColor="text1"/>
          <w:kern w:val="0"/>
          <w:sz w:val="28"/>
          <w:szCs w:val="28"/>
          <w14:ligatures w14:val="none"/>
        </w:rPr>
        <w:t xml:space="preserve">: </w:t>
      </w:r>
      <w:r w:rsidRPr="006D0851">
        <w:rPr>
          <w:rFonts w:ascii="Simplified Arabic" w:eastAsia="Times New Roman" w:hAnsi="Simplified Arabic" w:cs="Simplified Arabic"/>
          <w:color w:val="000000" w:themeColor="text1"/>
          <w:kern w:val="0"/>
          <w:sz w:val="28"/>
          <w:szCs w:val="28"/>
          <w:rtl/>
          <w14:ligatures w14:val="none"/>
        </w:rPr>
        <w:t xml:space="preserve">وتشمل اختبار </w:t>
      </w:r>
      <w:proofErr w:type="spellStart"/>
      <w:r w:rsidRPr="006D0851">
        <w:rPr>
          <w:rFonts w:ascii="Simplified Arabic" w:eastAsia="Times New Roman" w:hAnsi="Simplified Arabic" w:cs="Simplified Arabic"/>
          <w:color w:val="000000" w:themeColor="text1"/>
          <w:kern w:val="0"/>
          <w:sz w:val="28"/>
          <w:szCs w:val="28"/>
          <w:rtl/>
          <w14:ligatures w14:val="none"/>
        </w:rPr>
        <w:t>كولموجروف-سميرنوف</w:t>
      </w:r>
      <w:proofErr w:type="spellEnd"/>
      <w:r w:rsidRPr="006D0851">
        <w:rPr>
          <w:rFonts w:ascii="Simplified Arabic" w:eastAsia="Times New Roman" w:hAnsi="Simplified Arabic" w:cs="Simplified Arabic"/>
          <w:color w:val="000000" w:themeColor="text1"/>
          <w:kern w:val="0"/>
          <w:sz w:val="28"/>
          <w:szCs w:val="28"/>
          <w14:ligatures w14:val="none"/>
        </w:rPr>
        <w:t xml:space="preserve"> (Kolmogorov-Smirnov) </w:t>
      </w:r>
      <w:r w:rsidRPr="006D0851">
        <w:rPr>
          <w:rFonts w:ascii="Simplified Arabic" w:eastAsia="Times New Roman" w:hAnsi="Simplified Arabic" w:cs="Simplified Arabic"/>
          <w:color w:val="000000" w:themeColor="text1"/>
          <w:kern w:val="0"/>
          <w:sz w:val="28"/>
          <w:szCs w:val="28"/>
          <w:rtl/>
          <w14:ligatures w14:val="none"/>
        </w:rPr>
        <w:t xml:space="preserve">واختبار شابيرو-ويلك </w:t>
      </w:r>
      <w:r w:rsidRPr="006D0851">
        <w:rPr>
          <w:rFonts w:ascii="Simplified Arabic" w:eastAsia="Times New Roman" w:hAnsi="Simplified Arabic" w:cs="Simplified Arabic"/>
          <w:color w:val="000000" w:themeColor="text1"/>
          <w:kern w:val="0"/>
          <w:sz w:val="28"/>
          <w:szCs w:val="28"/>
          <w14:ligatures w14:val="none"/>
        </w:rPr>
        <w:t xml:space="preserve">(Shapiro-Wilk) </w:t>
      </w:r>
      <w:r w:rsidRPr="006D0851">
        <w:rPr>
          <w:rFonts w:ascii="Simplified Arabic" w:eastAsia="Times New Roman" w:hAnsi="Simplified Arabic" w:cs="Simplified Arabic"/>
          <w:color w:val="000000" w:themeColor="text1"/>
          <w:kern w:val="0"/>
          <w:sz w:val="28"/>
          <w:szCs w:val="28"/>
          <w:rtl/>
          <w14:ligatures w14:val="none"/>
        </w:rPr>
        <w:t>للتحقق من اعتدالية توزيع البيانات، ومعاملات الالتواء والتفلطح</w:t>
      </w:r>
      <w:r w:rsidRPr="006D0851">
        <w:rPr>
          <w:rFonts w:ascii="Simplified Arabic" w:eastAsia="Times New Roman" w:hAnsi="Simplified Arabic" w:cs="Simplified Arabic"/>
          <w:color w:val="000000" w:themeColor="text1"/>
          <w:kern w:val="0"/>
          <w:sz w:val="28"/>
          <w:szCs w:val="28"/>
          <w14:ligatures w14:val="none"/>
        </w:rPr>
        <w:t xml:space="preserve"> (Skewness &amp; Kurtosis).</w:t>
      </w:r>
    </w:p>
    <w:p w14:paraId="79AAFF9E" w14:textId="77777777" w:rsidR="00350539" w:rsidRPr="006D0851" w:rsidRDefault="00350539" w:rsidP="002B43B8">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تحليل الارتباط</w:t>
      </w:r>
      <w:r w:rsidRPr="006D0851">
        <w:rPr>
          <w:rFonts w:ascii="Simplified Arabic" w:eastAsia="Times New Roman" w:hAnsi="Simplified Arabic" w:cs="Simplified Arabic"/>
          <w:color w:val="000000" w:themeColor="text1"/>
          <w:kern w:val="0"/>
          <w:sz w:val="28"/>
          <w:szCs w:val="28"/>
          <w14:ligatures w14:val="none"/>
        </w:rPr>
        <w:t xml:space="preserve">: </w:t>
      </w:r>
      <w:r w:rsidRPr="006D0851">
        <w:rPr>
          <w:rFonts w:ascii="Simplified Arabic" w:eastAsia="Times New Roman" w:hAnsi="Simplified Arabic" w:cs="Simplified Arabic"/>
          <w:color w:val="000000" w:themeColor="text1"/>
          <w:kern w:val="0"/>
          <w:sz w:val="28"/>
          <w:szCs w:val="28"/>
          <w:rtl/>
          <w14:ligatures w14:val="none"/>
        </w:rPr>
        <w:t>ويشمل معامل ارتباط بيرسون</w:t>
      </w:r>
      <w:r w:rsidRPr="006D0851">
        <w:rPr>
          <w:rFonts w:ascii="Simplified Arabic" w:eastAsia="Times New Roman" w:hAnsi="Simplified Arabic" w:cs="Simplified Arabic"/>
          <w:color w:val="000000" w:themeColor="text1"/>
          <w:kern w:val="0"/>
          <w:sz w:val="28"/>
          <w:szCs w:val="28"/>
          <w14:ligatures w14:val="none"/>
        </w:rPr>
        <w:t xml:space="preserve"> (Pearson Correlation) </w:t>
      </w:r>
      <w:r w:rsidRPr="006D0851">
        <w:rPr>
          <w:rFonts w:ascii="Simplified Arabic" w:eastAsia="Times New Roman" w:hAnsi="Simplified Arabic" w:cs="Simplified Arabic"/>
          <w:color w:val="000000" w:themeColor="text1"/>
          <w:kern w:val="0"/>
          <w:sz w:val="28"/>
          <w:szCs w:val="28"/>
          <w:rtl/>
          <w14:ligatures w14:val="none"/>
        </w:rPr>
        <w:t>لقياس قوة واتجاه العلاقة بين المتغيرات المستقلة والمتغير التابع، ومعامل التضخم التبايني</w:t>
      </w:r>
      <w:r w:rsidRPr="006D0851">
        <w:rPr>
          <w:rFonts w:ascii="Simplified Arabic" w:eastAsia="Times New Roman" w:hAnsi="Simplified Arabic" w:cs="Simplified Arabic"/>
          <w:color w:val="000000" w:themeColor="text1"/>
          <w:kern w:val="0"/>
          <w:sz w:val="28"/>
          <w:szCs w:val="28"/>
          <w14:ligatures w14:val="none"/>
        </w:rPr>
        <w:t xml:space="preserve"> (VIF) </w:t>
      </w:r>
      <w:r w:rsidRPr="006D0851">
        <w:rPr>
          <w:rFonts w:ascii="Simplified Arabic" w:eastAsia="Times New Roman" w:hAnsi="Simplified Arabic" w:cs="Simplified Arabic"/>
          <w:color w:val="000000" w:themeColor="text1"/>
          <w:kern w:val="0"/>
          <w:sz w:val="28"/>
          <w:szCs w:val="28"/>
          <w:rtl/>
          <w14:ligatures w14:val="none"/>
        </w:rPr>
        <w:t>ومعامل التباين المسموح</w:t>
      </w:r>
      <w:r w:rsidRPr="006D0851">
        <w:rPr>
          <w:rFonts w:ascii="Simplified Arabic" w:eastAsia="Times New Roman" w:hAnsi="Simplified Arabic" w:cs="Simplified Arabic"/>
          <w:color w:val="000000" w:themeColor="text1"/>
          <w:kern w:val="0"/>
          <w:sz w:val="28"/>
          <w:szCs w:val="28"/>
          <w14:ligatures w14:val="none"/>
        </w:rPr>
        <w:t xml:space="preserve"> (Tolerance) </w:t>
      </w:r>
      <w:r w:rsidRPr="006D0851">
        <w:rPr>
          <w:rFonts w:ascii="Simplified Arabic" w:eastAsia="Times New Roman" w:hAnsi="Simplified Arabic" w:cs="Simplified Arabic"/>
          <w:color w:val="000000" w:themeColor="text1"/>
          <w:kern w:val="0"/>
          <w:sz w:val="28"/>
          <w:szCs w:val="28"/>
          <w:rtl/>
          <w14:ligatures w14:val="none"/>
        </w:rPr>
        <w:t>لفحص مشكلة الارتباط المتعدد الخطي</w:t>
      </w:r>
      <w:r w:rsidRPr="006D0851">
        <w:rPr>
          <w:rFonts w:ascii="Simplified Arabic" w:eastAsia="Times New Roman" w:hAnsi="Simplified Arabic" w:cs="Simplified Arabic"/>
          <w:color w:val="000000" w:themeColor="text1"/>
          <w:kern w:val="0"/>
          <w:sz w:val="28"/>
          <w:szCs w:val="28"/>
          <w14:ligatures w14:val="none"/>
        </w:rPr>
        <w:t>.</w:t>
      </w:r>
    </w:p>
    <w:p w14:paraId="301D5A7E" w14:textId="77777777" w:rsidR="00350539" w:rsidRPr="006D0851" w:rsidRDefault="00350539" w:rsidP="002B43B8">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تحليل الانحدار</w:t>
      </w:r>
      <w:r w:rsidRPr="006D0851">
        <w:rPr>
          <w:rFonts w:ascii="Simplified Arabic" w:eastAsia="Times New Roman" w:hAnsi="Simplified Arabic" w:cs="Simplified Arabic"/>
          <w:color w:val="000000" w:themeColor="text1"/>
          <w:kern w:val="0"/>
          <w:sz w:val="28"/>
          <w:szCs w:val="28"/>
          <w14:ligatures w14:val="none"/>
        </w:rPr>
        <w:t xml:space="preserve">: </w:t>
      </w:r>
      <w:r w:rsidRPr="006D0851">
        <w:rPr>
          <w:rFonts w:ascii="Simplified Arabic" w:eastAsia="Times New Roman" w:hAnsi="Simplified Arabic" w:cs="Simplified Arabic"/>
          <w:color w:val="000000" w:themeColor="text1"/>
          <w:kern w:val="0"/>
          <w:sz w:val="28"/>
          <w:szCs w:val="28"/>
          <w:rtl/>
          <w14:ligatures w14:val="none"/>
        </w:rPr>
        <w:t>ويشمل تحليل الانحدار البسيط</w:t>
      </w:r>
      <w:r w:rsidRPr="006D0851">
        <w:rPr>
          <w:rFonts w:ascii="Simplified Arabic" w:eastAsia="Times New Roman" w:hAnsi="Simplified Arabic" w:cs="Simplified Arabic"/>
          <w:color w:val="000000" w:themeColor="text1"/>
          <w:kern w:val="0"/>
          <w:sz w:val="28"/>
          <w:szCs w:val="28"/>
          <w14:ligatures w14:val="none"/>
        </w:rPr>
        <w:t xml:space="preserve"> (Simple Regression) </w:t>
      </w:r>
      <w:r w:rsidRPr="006D0851">
        <w:rPr>
          <w:rFonts w:ascii="Simplified Arabic" w:eastAsia="Times New Roman" w:hAnsi="Simplified Arabic" w:cs="Simplified Arabic"/>
          <w:color w:val="000000" w:themeColor="text1"/>
          <w:kern w:val="0"/>
          <w:sz w:val="28"/>
          <w:szCs w:val="28"/>
          <w:rtl/>
          <w14:ligatures w14:val="none"/>
        </w:rPr>
        <w:t>لاختبار أثر كل بُعد من أبعاد الحوافز الاستثمارية على قرار التوطين بشكل منفرد، وتحليل الانحدار المتعدد التدريجي</w:t>
      </w:r>
      <w:r w:rsidRPr="006D0851">
        <w:rPr>
          <w:rFonts w:ascii="Simplified Arabic" w:eastAsia="Times New Roman" w:hAnsi="Simplified Arabic" w:cs="Simplified Arabic"/>
          <w:color w:val="000000" w:themeColor="text1"/>
          <w:kern w:val="0"/>
          <w:sz w:val="28"/>
          <w:szCs w:val="28"/>
          <w14:ligatures w14:val="none"/>
        </w:rPr>
        <w:t xml:space="preserve"> (Stepwise Multiple Regression) </w:t>
      </w:r>
      <w:r w:rsidRPr="006D0851">
        <w:rPr>
          <w:rFonts w:ascii="Simplified Arabic" w:eastAsia="Times New Roman" w:hAnsi="Simplified Arabic" w:cs="Simplified Arabic"/>
          <w:color w:val="000000" w:themeColor="text1"/>
          <w:kern w:val="0"/>
          <w:sz w:val="28"/>
          <w:szCs w:val="28"/>
          <w:rtl/>
          <w14:ligatures w14:val="none"/>
        </w:rPr>
        <w:t>لاختبار الأثر المشترك لأبعاد الحوافز مجتمعة وتحديد الأهمية النسبية لكل بُعد</w:t>
      </w:r>
      <w:r w:rsidRPr="006D0851">
        <w:rPr>
          <w:rFonts w:ascii="Simplified Arabic" w:eastAsia="Times New Roman" w:hAnsi="Simplified Arabic" w:cs="Simplified Arabic"/>
          <w:color w:val="000000" w:themeColor="text1"/>
          <w:kern w:val="0"/>
          <w:sz w:val="28"/>
          <w:szCs w:val="28"/>
          <w14:ligatures w14:val="none"/>
        </w:rPr>
        <w:t>.</w:t>
      </w:r>
    </w:p>
    <w:p w14:paraId="7125649E" w14:textId="77777777" w:rsidR="00350539" w:rsidRPr="006D0851" w:rsidRDefault="00350539" w:rsidP="002B43B8">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اختبارات الفروق</w:t>
      </w:r>
      <w:r w:rsidRPr="006D0851">
        <w:rPr>
          <w:rFonts w:ascii="Simplified Arabic" w:eastAsia="Times New Roman" w:hAnsi="Simplified Arabic" w:cs="Simplified Arabic"/>
          <w:color w:val="000000" w:themeColor="text1"/>
          <w:kern w:val="0"/>
          <w:sz w:val="28"/>
          <w:szCs w:val="28"/>
          <w14:ligatures w14:val="none"/>
        </w:rPr>
        <w:t xml:space="preserve">: </w:t>
      </w:r>
      <w:r w:rsidRPr="006D0851">
        <w:rPr>
          <w:rFonts w:ascii="Simplified Arabic" w:eastAsia="Times New Roman" w:hAnsi="Simplified Arabic" w:cs="Simplified Arabic"/>
          <w:color w:val="000000" w:themeColor="text1"/>
          <w:kern w:val="0"/>
          <w:sz w:val="28"/>
          <w:szCs w:val="28"/>
          <w:rtl/>
          <w14:ligatures w14:val="none"/>
        </w:rPr>
        <w:t>ويشمل اختبار</w:t>
      </w:r>
      <w:r w:rsidRPr="006D0851">
        <w:rPr>
          <w:rFonts w:ascii="Simplified Arabic" w:eastAsia="Times New Roman" w:hAnsi="Simplified Arabic" w:cs="Simplified Arabic"/>
          <w:color w:val="000000" w:themeColor="text1"/>
          <w:kern w:val="0"/>
          <w:sz w:val="28"/>
          <w:szCs w:val="28"/>
          <w14:ligatures w14:val="none"/>
        </w:rPr>
        <w:t xml:space="preserve"> (T-Test) </w:t>
      </w:r>
      <w:r w:rsidRPr="006D0851">
        <w:rPr>
          <w:rFonts w:ascii="Simplified Arabic" w:eastAsia="Times New Roman" w:hAnsi="Simplified Arabic" w:cs="Simplified Arabic"/>
          <w:color w:val="000000" w:themeColor="text1"/>
          <w:kern w:val="0"/>
          <w:sz w:val="28"/>
          <w:szCs w:val="28"/>
          <w:rtl/>
          <w14:ligatures w14:val="none"/>
        </w:rPr>
        <w:t>للعينات المستقلة لاختبار دلالة الفروق بين مجموعتين، وتحليل التباين الأحادي</w:t>
      </w:r>
      <w:r w:rsidRPr="006D0851">
        <w:rPr>
          <w:rFonts w:ascii="Simplified Arabic" w:eastAsia="Times New Roman" w:hAnsi="Simplified Arabic" w:cs="Simplified Arabic"/>
          <w:color w:val="000000" w:themeColor="text1"/>
          <w:kern w:val="0"/>
          <w:sz w:val="28"/>
          <w:szCs w:val="28"/>
          <w14:ligatures w14:val="none"/>
        </w:rPr>
        <w:t xml:space="preserve"> (One-Way ANOVA) </w:t>
      </w:r>
      <w:r w:rsidRPr="006D0851">
        <w:rPr>
          <w:rFonts w:ascii="Simplified Arabic" w:eastAsia="Times New Roman" w:hAnsi="Simplified Arabic" w:cs="Simplified Arabic"/>
          <w:color w:val="000000" w:themeColor="text1"/>
          <w:kern w:val="0"/>
          <w:sz w:val="28"/>
          <w:szCs w:val="28"/>
          <w:rtl/>
          <w14:ligatures w14:val="none"/>
        </w:rPr>
        <w:t>لاختبار دلالة الفروق بين أكثر من مجموعتين، واختبار شيفيه</w:t>
      </w:r>
      <w:r w:rsidRPr="006D0851">
        <w:rPr>
          <w:rFonts w:ascii="Simplified Arabic" w:eastAsia="Times New Roman" w:hAnsi="Simplified Arabic" w:cs="Simplified Arabic"/>
          <w:color w:val="000000" w:themeColor="text1"/>
          <w:kern w:val="0"/>
          <w:sz w:val="28"/>
          <w:szCs w:val="28"/>
          <w14:ligatures w14:val="none"/>
        </w:rPr>
        <w:t xml:space="preserve"> (</w:t>
      </w:r>
      <w:proofErr w:type="spellStart"/>
      <w:r w:rsidRPr="006D0851">
        <w:rPr>
          <w:rFonts w:ascii="Simplified Arabic" w:eastAsia="Times New Roman" w:hAnsi="Simplified Arabic" w:cs="Simplified Arabic"/>
          <w:color w:val="000000" w:themeColor="text1"/>
          <w:kern w:val="0"/>
          <w:sz w:val="28"/>
          <w:szCs w:val="28"/>
          <w14:ligatures w14:val="none"/>
        </w:rPr>
        <w:t>Scheffé</w:t>
      </w:r>
      <w:proofErr w:type="spellEnd"/>
      <w:r w:rsidRPr="006D0851">
        <w:rPr>
          <w:rFonts w:ascii="Simplified Arabic" w:eastAsia="Times New Roman" w:hAnsi="Simplified Arabic" w:cs="Simplified Arabic"/>
          <w:color w:val="000000" w:themeColor="text1"/>
          <w:kern w:val="0"/>
          <w:sz w:val="28"/>
          <w:szCs w:val="28"/>
          <w14:ligatures w14:val="none"/>
        </w:rPr>
        <w:t xml:space="preserve">) </w:t>
      </w:r>
      <w:r w:rsidRPr="006D0851">
        <w:rPr>
          <w:rFonts w:ascii="Simplified Arabic" w:eastAsia="Times New Roman" w:hAnsi="Simplified Arabic" w:cs="Simplified Arabic"/>
          <w:color w:val="000000" w:themeColor="text1"/>
          <w:kern w:val="0"/>
          <w:sz w:val="28"/>
          <w:szCs w:val="28"/>
          <w:rtl/>
          <w14:ligatures w14:val="none"/>
        </w:rPr>
        <w:t>للمقارنات البعدية في حالة وجود فروق دالة إحصائياً</w:t>
      </w:r>
      <w:r w:rsidRPr="006D0851">
        <w:rPr>
          <w:rFonts w:ascii="Simplified Arabic" w:eastAsia="Times New Roman" w:hAnsi="Simplified Arabic" w:cs="Simplified Arabic"/>
          <w:color w:val="000000" w:themeColor="text1"/>
          <w:kern w:val="0"/>
          <w:sz w:val="28"/>
          <w:szCs w:val="28"/>
          <w14:ligatures w14:val="none"/>
        </w:rPr>
        <w:t>.</w:t>
      </w:r>
    </w:p>
    <w:p w14:paraId="72322F13" w14:textId="09A137BC" w:rsidR="00350539" w:rsidRPr="006D0851" w:rsidRDefault="002B43B8" w:rsidP="002B43B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4" w:name="_Toc223938595"/>
      <w:bookmarkStart w:id="35" w:name="_Toc233659084"/>
      <w:r w:rsidRPr="006D0851">
        <w:rPr>
          <w:rFonts w:ascii="Simplified Arabic" w:eastAsia="Times New Roman" w:hAnsi="Simplified Arabic" w:cs="Simplified Arabic" w:hint="cs"/>
          <w:b/>
          <w:bCs/>
          <w:color w:val="000000" w:themeColor="text1"/>
          <w:kern w:val="0"/>
          <w:sz w:val="36"/>
          <w:szCs w:val="36"/>
          <w:rtl/>
          <w14:ligatures w14:val="none"/>
        </w:rPr>
        <w:t xml:space="preserve">15.1 </w:t>
      </w:r>
      <w:r w:rsidR="00350539" w:rsidRPr="006D0851">
        <w:rPr>
          <w:rFonts w:ascii="Simplified Arabic" w:eastAsia="Times New Roman" w:hAnsi="Simplified Arabic" w:cs="Simplified Arabic"/>
          <w:b/>
          <w:bCs/>
          <w:color w:val="000000" w:themeColor="text1"/>
          <w:kern w:val="0"/>
          <w:sz w:val="36"/>
          <w:szCs w:val="36"/>
          <w:rtl/>
          <w14:ligatures w14:val="none"/>
        </w:rPr>
        <w:t>حدود الدراسة</w:t>
      </w:r>
      <w:bookmarkEnd w:id="34"/>
      <w:bookmarkEnd w:id="35"/>
    </w:p>
    <w:p w14:paraId="0A44D687" w14:textId="77777777" w:rsidR="00350539" w:rsidRPr="006D0851" w:rsidRDefault="00350539" w:rsidP="002B43B8">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الحدود الموضوعية</w:t>
      </w:r>
      <w:r w:rsidRPr="006D0851">
        <w:rPr>
          <w:rFonts w:ascii="Simplified Arabic" w:eastAsia="Times New Roman" w:hAnsi="Simplified Arabic" w:cs="Simplified Arabic"/>
          <w:color w:val="000000" w:themeColor="text1"/>
          <w:kern w:val="0"/>
          <w:sz w:val="28"/>
          <w:szCs w:val="28"/>
          <w14:ligatures w14:val="none"/>
        </w:rPr>
        <w:t xml:space="preserve">: </w:t>
      </w:r>
      <w:r w:rsidRPr="006D0851">
        <w:rPr>
          <w:rFonts w:ascii="Simplified Arabic" w:eastAsia="Times New Roman" w:hAnsi="Simplified Arabic" w:cs="Simplified Arabic"/>
          <w:color w:val="000000" w:themeColor="text1"/>
          <w:kern w:val="0"/>
          <w:sz w:val="28"/>
          <w:szCs w:val="28"/>
          <w:rtl/>
          <w14:ligatures w14:val="none"/>
        </w:rPr>
        <w:t>ستقتصر الدراسة على دراسة أثر الحوافز الاستثمارية بأبعادها الأربعة (الحوافز الضريبية، الحوافز المالية، الحوافز التنظيمية والتشريعية، حوافز البنية التحتية والمناطق الاقتصادية) على قرار التوطين الاستثماري للمستثمر الأجنبي</w:t>
      </w:r>
      <w:r w:rsidRPr="006D0851">
        <w:rPr>
          <w:rFonts w:ascii="Simplified Arabic" w:eastAsia="Times New Roman" w:hAnsi="Simplified Arabic" w:cs="Simplified Arabic"/>
          <w:color w:val="000000" w:themeColor="text1"/>
          <w:kern w:val="0"/>
          <w:sz w:val="28"/>
          <w:szCs w:val="28"/>
          <w14:ligatures w14:val="none"/>
        </w:rPr>
        <w:t>.</w:t>
      </w:r>
    </w:p>
    <w:p w14:paraId="0DE6BECE" w14:textId="77777777" w:rsidR="00350539" w:rsidRPr="006D0851" w:rsidRDefault="00350539" w:rsidP="002B43B8">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الحدود المكانية</w:t>
      </w:r>
      <w:r w:rsidRPr="006D0851">
        <w:rPr>
          <w:rFonts w:ascii="Simplified Arabic" w:eastAsia="Times New Roman" w:hAnsi="Simplified Arabic" w:cs="Simplified Arabic"/>
          <w:color w:val="000000" w:themeColor="text1"/>
          <w:kern w:val="0"/>
          <w:sz w:val="28"/>
          <w:szCs w:val="28"/>
          <w14:ligatures w14:val="none"/>
        </w:rPr>
        <w:t xml:space="preserve">: </w:t>
      </w:r>
      <w:r w:rsidRPr="006D0851">
        <w:rPr>
          <w:rFonts w:ascii="Simplified Arabic" w:eastAsia="Times New Roman" w:hAnsi="Simplified Arabic" w:cs="Simplified Arabic"/>
          <w:color w:val="000000" w:themeColor="text1"/>
          <w:kern w:val="0"/>
          <w:sz w:val="28"/>
          <w:szCs w:val="28"/>
          <w:rtl/>
          <w14:ligatures w14:val="none"/>
        </w:rPr>
        <w:t>ستُطبَّق الدراسة على الشركات الأجنبية والمشتركة المرخّص لها بالعمل في المملكة العربية السعودية والمسجّلة لدى وزارة الاستثمار السعودية، في مختلف المناطق الجغرافية بما فيها المناطق الاقتصادية الخاصة والمدن الصناعية</w:t>
      </w:r>
      <w:r w:rsidRPr="006D0851">
        <w:rPr>
          <w:rFonts w:ascii="Simplified Arabic" w:eastAsia="Times New Roman" w:hAnsi="Simplified Arabic" w:cs="Simplified Arabic"/>
          <w:color w:val="000000" w:themeColor="text1"/>
          <w:kern w:val="0"/>
          <w:sz w:val="28"/>
          <w:szCs w:val="28"/>
          <w14:ligatures w14:val="none"/>
        </w:rPr>
        <w:t>.</w:t>
      </w:r>
    </w:p>
    <w:p w14:paraId="68329C6E" w14:textId="77777777" w:rsidR="00350539" w:rsidRPr="006D0851" w:rsidRDefault="00350539" w:rsidP="002B43B8">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t>الحدود الزمنية</w:t>
      </w:r>
      <w:r w:rsidRPr="006D0851">
        <w:rPr>
          <w:rFonts w:ascii="Simplified Arabic" w:eastAsia="Times New Roman" w:hAnsi="Simplified Arabic" w:cs="Simplified Arabic"/>
          <w:color w:val="000000" w:themeColor="text1"/>
          <w:kern w:val="0"/>
          <w:sz w:val="28"/>
          <w:szCs w:val="28"/>
          <w14:ligatures w14:val="none"/>
        </w:rPr>
        <w:t xml:space="preserve">: </w:t>
      </w:r>
      <w:r w:rsidRPr="006D0851">
        <w:rPr>
          <w:rFonts w:ascii="Simplified Arabic" w:eastAsia="Times New Roman" w:hAnsi="Simplified Arabic" w:cs="Simplified Arabic"/>
          <w:color w:val="000000" w:themeColor="text1"/>
          <w:kern w:val="0"/>
          <w:sz w:val="28"/>
          <w:szCs w:val="28"/>
          <w:rtl/>
          <w14:ligatures w14:val="none"/>
        </w:rPr>
        <w:t>ستُنفَّذ الدراسة الميدانية خلال الفصل الدراسي الثاني من العام الجامعي 1447/1448هـ الموافق 2025/2026م</w:t>
      </w:r>
      <w:r w:rsidRPr="006D0851">
        <w:rPr>
          <w:rFonts w:ascii="Simplified Arabic" w:eastAsia="Times New Roman" w:hAnsi="Simplified Arabic" w:cs="Simplified Arabic"/>
          <w:color w:val="000000" w:themeColor="text1"/>
          <w:kern w:val="0"/>
          <w:sz w:val="28"/>
          <w:szCs w:val="28"/>
          <w14:ligatures w14:val="none"/>
        </w:rPr>
        <w:t>.</w:t>
      </w:r>
    </w:p>
    <w:p w14:paraId="78A81F9E" w14:textId="77777777" w:rsidR="00350539" w:rsidRPr="006D0851" w:rsidRDefault="00350539" w:rsidP="002B43B8">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0851">
        <w:rPr>
          <w:rFonts w:ascii="Simplified Arabic" w:eastAsia="Times New Roman" w:hAnsi="Simplified Arabic" w:cs="Simplified Arabic"/>
          <w:color w:val="000000" w:themeColor="text1"/>
          <w:kern w:val="0"/>
          <w:sz w:val="28"/>
          <w:szCs w:val="28"/>
          <w:rtl/>
          <w14:ligatures w14:val="none"/>
        </w:rPr>
        <w:lastRenderedPageBreak/>
        <w:t>الحدود البشرية</w:t>
      </w:r>
      <w:r w:rsidRPr="006D0851">
        <w:rPr>
          <w:rFonts w:ascii="Simplified Arabic" w:eastAsia="Times New Roman" w:hAnsi="Simplified Arabic" w:cs="Simplified Arabic"/>
          <w:color w:val="000000" w:themeColor="text1"/>
          <w:kern w:val="0"/>
          <w:sz w:val="28"/>
          <w:szCs w:val="28"/>
          <w14:ligatures w14:val="none"/>
        </w:rPr>
        <w:t xml:space="preserve">: </w:t>
      </w:r>
      <w:r w:rsidRPr="006D0851">
        <w:rPr>
          <w:rFonts w:ascii="Simplified Arabic" w:eastAsia="Times New Roman" w:hAnsi="Simplified Arabic" w:cs="Simplified Arabic"/>
          <w:color w:val="000000" w:themeColor="text1"/>
          <w:kern w:val="0"/>
          <w:sz w:val="28"/>
          <w:szCs w:val="28"/>
          <w:rtl/>
          <w14:ligatures w14:val="none"/>
        </w:rPr>
        <w:t>ستقتصر الدراسة على المديرين التنفيذيين ومديري الاستثمار ومديري العمليات ومديري التطوير العاملين في الشركات الأجنبية والمشتركة في المملكة العربية السعودية، بوصفهم الفئة الأكثر إدراكاً ومعرفة بالحوافز الاستثمارية وأثرها على قرارات التوطين</w:t>
      </w:r>
      <w:r w:rsidRPr="006D0851">
        <w:rPr>
          <w:rFonts w:ascii="Simplified Arabic" w:eastAsia="Times New Roman" w:hAnsi="Simplified Arabic" w:cs="Simplified Arabic"/>
          <w:color w:val="000000" w:themeColor="text1"/>
          <w:kern w:val="0"/>
          <w:sz w:val="28"/>
          <w:szCs w:val="28"/>
          <w14:ligatures w14:val="none"/>
        </w:rPr>
        <w:t>.</w:t>
      </w:r>
    </w:p>
    <w:p w14:paraId="72C7B537" w14:textId="3E3BFB4C" w:rsidR="00D37D41" w:rsidRPr="006D0851" w:rsidRDefault="002B43B8" w:rsidP="00B955DD">
      <w:pPr>
        <w:jc w:val="center"/>
        <w:outlineLvl w:val="0"/>
        <w:rPr>
          <w:rFonts w:ascii="Simplified Arabic" w:eastAsia="Times New Roman" w:hAnsi="Simplified Arabic" w:cs="Simplified Arabic"/>
          <w:b/>
          <w:bCs/>
          <w:color w:val="000000" w:themeColor="text1"/>
          <w:kern w:val="0"/>
          <w:sz w:val="40"/>
          <w:szCs w:val="40"/>
          <w:lang w:bidi="ar-EG"/>
          <w14:ligatures w14:val="none"/>
        </w:rPr>
      </w:pPr>
      <w:r w:rsidRPr="006D0851">
        <w:rPr>
          <w:rFonts w:ascii="Simplified Arabic" w:eastAsia="Times New Roman" w:hAnsi="Simplified Arabic" w:cs="Simplified Arabic"/>
          <w:b/>
          <w:bCs/>
          <w:color w:val="000000" w:themeColor="text1"/>
          <w:kern w:val="0"/>
          <w:sz w:val="40"/>
          <w:szCs w:val="40"/>
          <w:rtl/>
          <w14:ligatures w14:val="none"/>
        </w:rPr>
        <w:br w:type="page"/>
      </w:r>
      <w:bookmarkStart w:id="36" w:name="_Toc233659085"/>
      <w:r w:rsidRPr="006D0851">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D37D41" w:rsidRPr="006D0851">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36"/>
    </w:p>
    <w:p w14:paraId="727FEA5A" w14:textId="77777777" w:rsidR="00D37D41" w:rsidRPr="006D0851" w:rsidRDefault="00D37D41" w:rsidP="00B955DD">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lang w:bidi="ar-EG"/>
          <w14:ligatures w14:val="none"/>
        </w:rPr>
      </w:pPr>
      <w:bookmarkStart w:id="37" w:name="_Toc233659086"/>
      <w:r w:rsidRPr="006D0851">
        <w:rPr>
          <w:rFonts w:ascii="Simplified Arabic" w:eastAsia="Times New Roman" w:hAnsi="Simplified Arabic" w:cs="Simplified Arabic"/>
          <w:b/>
          <w:bCs/>
          <w:color w:val="000000" w:themeColor="text1"/>
          <w:kern w:val="0"/>
          <w:sz w:val="36"/>
          <w:szCs w:val="36"/>
          <w:rtl/>
          <w14:ligatures w14:val="none"/>
        </w:rPr>
        <w:t>المبحث الأول: الحوافز الاستثمارية (المتغير المستقل)</w:t>
      </w:r>
      <w:bookmarkEnd w:id="37"/>
    </w:p>
    <w:p w14:paraId="304E63C6" w14:textId="043CC945" w:rsidR="00D37D41" w:rsidRPr="006D0851" w:rsidRDefault="00B955DD" w:rsidP="00B955D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38" w:name="_Toc233659087"/>
      <w:r w:rsidRPr="006D0851">
        <w:rPr>
          <w:rFonts w:ascii="Simplified Arabic" w:eastAsia="Times New Roman" w:hAnsi="Simplified Arabic" w:cs="Simplified Arabic" w:hint="cs"/>
          <w:b/>
          <w:bCs/>
          <w:color w:val="000000" w:themeColor="text1"/>
          <w:kern w:val="0"/>
          <w:sz w:val="32"/>
          <w:szCs w:val="32"/>
          <w:rtl/>
          <w14:ligatures w14:val="none"/>
        </w:rPr>
        <w:t xml:space="preserve">1.1.2 </w:t>
      </w:r>
      <w:r w:rsidR="00D37D41" w:rsidRPr="006D0851">
        <w:rPr>
          <w:rFonts w:ascii="Simplified Arabic" w:eastAsia="Times New Roman" w:hAnsi="Simplified Arabic" w:cs="Simplified Arabic"/>
          <w:b/>
          <w:bCs/>
          <w:color w:val="000000" w:themeColor="text1"/>
          <w:kern w:val="0"/>
          <w:sz w:val="32"/>
          <w:szCs w:val="32"/>
          <w:rtl/>
          <w14:ligatures w14:val="none"/>
        </w:rPr>
        <w:t>تمهيد</w:t>
      </w:r>
      <w:bookmarkEnd w:id="38"/>
    </w:p>
    <w:p w14:paraId="4A567E1E"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 xml:space="preserve">تُمثّل الحوافز الاستثمارية إحدى أبرز الأدوات </w:t>
      </w:r>
      <w:proofErr w:type="spellStart"/>
      <w:r w:rsidRPr="006D0851">
        <w:rPr>
          <w:rFonts w:ascii="Simplified Arabic" w:eastAsia="Times New Roman" w:hAnsi="Simplified Arabic" w:cs="Simplified Arabic"/>
          <w:color w:val="000000" w:themeColor="text1"/>
          <w:kern w:val="0"/>
          <w:sz w:val="28"/>
          <w:szCs w:val="28"/>
          <w:rtl/>
          <w14:ligatures w14:val="none"/>
        </w:rPr>
        <w:t>السياساتية</w:t>
      </w:r>
      <w:proofErr w:type="spellEnd"/>
      <w:r w:rsidRPr="006D0851">
        <w:rPr>
          <w:rFonts w:ascii="Simplified Arabic" w:eastAsia="Times New Roman" w:hAnsi="Simplified Arabic" w:cs="Simplified Arabic"/>
          <w:color w:val="000000" w:themeColor="text1"/>
          <w:kern w:val="0"/>
          <w:sz w:val="28"/>
          <w:szCs w:val="28"/>
          <w:rtl/>
          <w14:ligatures w14:val="none"/>
        </w:rPr>
        <w:t xml:space="preserve"> التي تلجأ إليها الدول في سياق تنافسها المحموم على استقطاب رؤوس الأموال الأجنبية وتوجيهها نحو القطاعات ذات الأولوية الوطنية، إذ لم يعد جذب الاستثمار رهيناً بالمزايا الطبيعية أو الجغرافية وحدها، بل أصبح مرتبطاً بقدرة الدولة على هندسة منظومة متكاملة من المحفّزات التي تُخفّض الكلفة وتُقلّص المخاطر وترفع العائد المتوقع للمستثمر. وفي ظل التحولات التي تشهدها الاقتصادات الناشئة، وفي مقدمتها المملكة العربية السعودية ضمن مستهدفات رؤية 2030، باتت الحوافز الاستثمارية تُدرس بوصفها رافعة استراتيجية لإعادة تشكيل البيئة الاستثمارية وتعزيز جاذبيتها أمام المستثمر الأجنبي. ويتناول هذا المبحث الحوافز الاستثمارية من زاوية مفاهيمية وأكاديمية، مروراً بأهميتها وأهدافها، ووصولاً إلى أبعادها التي تبنّتها الدراسة الحالية، مع التطرق إلى عناوين نظرية مستحدثة تُثري المعالجة وتُجلّي الزوايا غير المطروقة في الأدبيات السابقة</w:t>
      </w:r>
      <w:r w:rsidRPr="006D0851">
        <w:rPr>
          <w:rFonts w:ascii="Simplified Arabic" w:eastAsia="Times New Roman" w:hAnsi="Simplified Arabic" w:cs="Simplified Arabic"/>
          <w:color w:val="000000" w:themeColor="text1"/>
          <w:kern w:val="0"/>
          <w:sz w:val="28"/>
          <w:szCs w:val="28"/>
          <w:lang w:bidi="ar-EG"/>
          <w14:ligatures w14:val="none"/>
        </w:rPr>
        <w:t>.</w:t>
      </w:r>
    </w:p>
    <w:p w14:paraId="733120E8" w14:textId="6BBD585E" w:rsidR="00D37D41" w:rsidRPr="006D0851" w:rsidRDefault="00B955DD" w:rsidP="00B955D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39" w:name="_Toc233659088"/>
      <w:r w:rsidRPr="006D0851">
        <w:rPr>
          <w:rFonts w:ascii="Simplified Arabic" w:eastAsia="Times New Roman" w:hAnsi="Simplified Arabic" w:cs="Simplified Arabic" w:hint="cs"/>
          <w:b/>
          <w:bCs/>
          <w:color w:val="000000" w:themeColor="text1"/>
          <w:kern w:val="0"/>
          <w:sz w:val="32"/>
          <w:szCs w:val="32"/>
          <w:rtl/>
          <w14:ligatures w14:val="none"/>
        </w:rPr>
        <w:t xml:space="preserve">2.1.2 </w:t>
      </w:r>
      <w:r w:rsidR="00D37D41" w:rsidRPr="006D0851">
        <w:rPr>
          <w:rFonts w:ascii="Simplified Arabic" w:eastAsia="Times New Roman" w:hAnsi="Simplified Arabic" w:cs="Simplified Arabic"/>
          <w:b/>
          <w:bCs/>
          <w:color w:val="000000" w:themeColor="text1"/>
          <w:kern w:val="0"/>
          <w:sz w:val="32"/>
          <w:szCs w:val="32"/>
          <w:rtl/>
          <w14:ligatures w14:val="none"/>
        </w:rPr>
        <w:t xml:space="preserve"> مفهوم الحوافز الاستثمارية</w:t>
      </w:r>
      <w:bookmarkEnd w:id="39"/>
    </w:p>
    <w:p w14:paraId="3EC86695"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شهد مفهوم الحوافز الاستثمارية تطوراً ملحوظاً في الفكر الإداري والاقتصادي، إذ انتقل من كونه مجرد إعفاءات ضريبية تمنحها الدولة المضيفة، إلى منظومة متشعبة من الأدوات المالية والتشريعية والمؤسسية التي تتقاطع فيها السياسة العامة مع استراتيجيات التنمية. ويُعرّفه</w:t>
      </w:r>
      <w:r w:rsidRPr="006D0851">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D0851">
        <w:rPr>
          <w:rFonts w:ascii="Simplified Arabic" w:eastAsia="Times New Roman" w:hAnsi="Simplified Arabic" w:cs="Simplified Arabic"/>
          <w:color w:val="000000" w:themeColor="text1"/>
          <w:kern w:val="0"/>
          <w:sz w:val="28"/>
          <w:szCs w:val="28"/>
          <w:lang w:bidi="ar-EG"/>
          <w14:ligatures w14:val="none"/>
        </w:rPr>
        <w:t>Kronfol</w:t>
      </w:r>
      <w:proofErr w:type="spellEnd"/>
      <w:r w:rsidRPr="006D0851">
        <w:rPr>
          <w:rFonts w:ascii="Simplified Arabic" w:eastAsia="Times New Roman" w:hAnsi="Simplified Arabic" w:cs="Simplified Arabic"/>
          <w:color w:val="000000" w:themeColor="text1"/>
          <w:kern w:val="0"/>
          <w:sz w:val="28"/>
          <w:szCs w:val="28"/>
          <w:lang w:bidi="ar-EG"/>
          <w14:ligatures w14:val="none"/>
        </w:rPr>
        <w:t xml:space="preserve"> &amp; </w:t>
      </w:r>
      <w:proofErr w:type="spellStart"/>
      <w:r w:rsidRPr="006D0851">
        <w:rPr>
          <w:rFonts w:ascii="Simplified Arabic" w:eastAsia="Times New Roman" w:hAnsi="Simplified Arabic" w:cs="Simplified Arabic"/>
          <w:color w:val="000000" w:themeColor="text1"/>
          <w:kern w:val="0"/>
          <w:sz w:val="28"/>
          <w:szCs w:val="28"/>
          <w:lang w:bidi="ar-EG"/>
          <w14:ligatures w14:val="none"/>
        </w:rPr>
        <w:t>Steenbergen</w:t>
      </w:r>
      <w:proofErr w:type="spellEnd"/>
      <w:r w:rsidRPr="006D0851">
        <w:rPr>
          <w:rFonts w:ascii="Simplified Arabic" w:eastAsia="Times New Roman" w:hAnsi="Simplified Arabic" w:cs="Simplified Arabic"/>
          <w:color w:val="000000" w:themeColor="text1"/>
          <w:kern w:val="0"/>
          <w:sz w:val="28"/>
          <w:szCs w:val="28"/>
          <w:lang w:bidi="ar-EG"/>
          <w14:ligatures w14:val="none"/>
        </w:rPr>
        <w:t xml:space="preserve">, 2024) </w:t>
      </w:r>
      <w:r w:rsidRPr="006D0851">
        <w:rPr>
          <w:rFonts w:ascii="Simplified Arabic" w:eastAsia="Times New Roman" w:hAnsi="Simplified Arabic" w:cs="Simplified Arabic"/>
          <w:color w:val="000000" w:themeColor="text1"/>
          <w:kern w:val="0"/>
          <w:sz w:val="28"/>
          <w:szCs w:val="28"/>
          <w:rtl/>
          <w14:ligatures w14:val="none"/>
        </w:rPr>
        <w:t>بوصفه مجموعة المزايا القابلة للقياس التي تُقدّمها السلطات العامة بصورة انتقائية للمستثمرين بهدف التأثير في قراراتهم المتعلقة بالموقع أو التوسع أو إعادة الاستثمار، وهو تعريف يُبرز البعد الانتقائي ويُميّز الحوافز عن السياسات العامة الموجهة للاقتصاد ككل</w:t>
      </w:r>
      <w:r w:rsidRPr="006D0851">
        <w:rPr>
          <w:rFonts w:ascii="Simplified Arabic" w:eastAsia="Times New Roman" w:hAnsi="Simplified Arabic" w:cs="Simplified Arabic"/>
          <w:color w:val="000000" w:themeColor="text1"/>
          <w:kern w:val="0"/>
          <w:sz w:val="28"/>
          <w:szCs w:val="28"/>
          <w:lang w:bidi="ar-EG"/>
          <w14:ligatures w14:val="none"/>
        </w:rPr>
        <w:t>.</w:t>
      </w:r>
    </w:p>
    <w:p w14:paraId="2914372D"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ومن منظور مغاير، يُقدّم</w:t>
      </w:r>
      <w:r w:rsidRPr="006D0851">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D0851">
        <w:rPr>
          <w:rFonts w:ascii="Simplified Arabic" w:eastAsia="Times New Roman" w:hAnsi="Simplified Arabic" w:cs="Simplified Arabic"/>
          <w:color w:val="000000" w:themeColor="text1"/>
          <w:kern w:val="0"/>
          <w:sz w:val="28"/>
          <w:szCs w:val="28"/>
          <w:lang w:bidi="ar-EG"/>
          <w14:ligatures w14:val="none"/>
        </w:rPr>
        <w:t>Katitas</w:t>
      </w:r>
      <w:proofErr w:type="spellEnd"/>
      <w:r w:rsidRPr="006D0851">
        <w:rPr>
          <w:rFonts w:ascii="Simplified Arabic" w:eastAsia="Times New Roman" w:hAnsi="Simplified Arabic" w:cs="Simplified Arabic"/>
          <w:color w:val="000000" w:themeColor="text1"/>
          <w:kern w:val="0"/>
          <w:sz w:val="28"/>
          <w:szCs w:val="28"/>
          <w:lang w:bidi="ar-EG"/>
          <w14:ligatures w14:val="none"/>
        </w:rPr>
        <w:t xml:space="preserve"> &amp; Pandya, 2024) </w:t>
      </w:r>
      <w:r w:rsidRPr="006D0851">
        <w:rPr>
          <w:rFonts w:ascii="Simplified Arabic" w:eastAsia="Times New Roman" w:hAnsi="Simplified Arabic" w:cs="Simplified Arabic"/>
          <w:color w:val="000000" w:themeColor="text1"/>
          <w:kern w:val="0"/>
          <w:sz w:val="28"/>
          <w:szCs w:val="28"/>
          <w:rtl/>
          <w14:ligatures w14:val="none"/>
        </w:rPr>
        <w:t xml:space="preserve">قراءة للحوافز بوصفها أداة تنافسية تستخدمها الدول لإحداث تمايز نسبي في بيئتها الاستثمارية، خاصة في الفترات التي يتراجع فيها تدفق رأس المال العالمي، وهي قراءة تُدرج الحوافز ضمن منطق “اقتصاد الإشارة” الذي تبعث به الدولة المضيفة إلى </w:t>
      </w:r>
      <w:r w:rsidRPr="006D0851">
        <w:rPr>
          <w:rFonts w:ascii="Simplified Arabic" w:eastAsia="Times New Roman" w:hAnsi="Simplified Arabic" w:cs="Simplified Arabic"/>
          <w:color w:val="000000" w:themeColor="text1"/>
          <w:kern w:val="0"/>
          <w:sz w:val="28"/>
          <w:szCs w:val="28"/>
          <w:rtl/>
          <w14:ligatures w14:val="none"/>
        </w:rPr>
        <w:lastRenderedPageBreak/>
        <w:t>الأسواق العالمية. وفي السياق ذاته، يطرح</w:t>
      </w:r>
      <w:r w:rsidRPr="006D0851">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D0851">
        <w:rPr>
          <w:rFonts w:ascii="Simplified Arabic" w:eastAsia="Times New Roman" w:hAnsi="Simplified Arabic" w:cs="Simplified Arabic"/>
          <w:color w:val="000000" w:themeColor="text1"/>
          <w:kern w:val="0"/>
          <w:sz w:val="28"/>
          <w:szCs w:val="28"/>
          <w:lang w:bidi="ar-EG"/>
          <w14:ligatures w14:val="none"/>
        </w:rPr>
        <w:t>Doro</w:t>
      </w:r>
      <w:r w:rsidRPr="006D0851">
        <w:rPr>
          <w:rFonts w:ascii="Cambria" w:eastAsia="Times New Roman" w:hAnsi="Cambria" w:cs="Cambria"/>
          <w:color w:val="000000" w:themeColor="text1"/>
          <w:kern w:val="0"/>
          <w:sz w:val="28"/>
          <w:szCs w:val="28"/>
          <w:lang w:bidi="ar-EG"/>
          <w14:ligatures w14:val="none"/>
        </w:rPr>
        <w:t>ż</w:t>
      </w:r>
      <w:r w:rsidRPr="006D0851">
        <w:rPr>
          <w:rFonts w:ascii="Simplified Arabic" w:eastAsia="Times New Roman" w:hAnsi="Simplified Arabic" w:cs="Simplified Arabic"/>
          <w:color w:val="000000" w:themeColor="text1"/>
          <w:kern w:val="0"/>
          <w:sz w:val="28"/>
          <w:szCs w:val="28"/>
          <w:lang w:bidi="ar-EG"/>
          <w14:ligatures w14:val="none"/>
        </w:rPr>
        <w:t>y</w:t>
      </w:r>
      <w:r w:rsidRPr="006D0851">
        <w:rPr>
          <w:rFonts w:ascii="Cambria" w:eastAsia="Times New Roman" w:hAnsi="Cambria" w:cs="Cambria"/>
          <w:color w:val="000000" w:themeColor="text1"/>
          <w:kern w:val="0"/>
          <w:sz w:val="28"/>
          <w:szCs w:val="28"/>
          <w:lang w:bidi="ar-EG"/>
          <w14:ligatures w14:val="none"/>
        </w:rPr>
        <w:t>ń</w:t>
      </w:r>
      <w:r w:rsidRPr="006D0851">
        <w:rPr>
          <w:rFonts w:ascii="Simplified Arabic" w:eastAsia="Times New Roman" w:hAnsi="Simplified Arabic" w:cs="Simplified Arabic"/>
          <w:color w:val="000000" w:themeColor="text1"/>
          <w:kern w:val="0"/>
          <w:sz w:val="28"/>
          <w:szCs w:val="28"/>
          <w:lang w:bidi="ar-EG"/>
          <w14:ligatures w14:val="none"/>
        </w:rPr>
        <w:t>ski</w:t>
      </w:r>
      <w:proofErr w:type="spellEnd"/>
      <w:r w:rsidRPr="006D0851">
        <w:rPr>
          <w:rFonts w:ascii="Simplified Arabic" w:eastAsia="Times New Roman" w:hAnsi="Simplified Arabic" w:cs="Simplified Arabic"/>
          <w:color w:val="000000" w:themeColor="text1"/>
          <w:kern w:val="0"/>
          <w:sz w:val="28"/>
          <w:szCs w:val="28"/>
          <w:lang w:bidi="ar-EG"/>
          <w14:ligatures w14:val="none"/>
        </w:rPr>
        <w:t xml:space="preserve">, 2021) </w:t>
      </w:r>
      <w:r w:rsidRPr="006D0851">
        <w:rPr>
          <w:rFonts w:ascii="Simplified Arabic" w:eastAsia="Times New Roman" w:hAnsi="Simplified Arabic" w:cs="Simplified Arabic"/>
          <w:color w:val="000000" w:themeColor="text1"/>
          <w:kern w:val="0"/>
          <w:sz w:val="28"/>
          <w:szCs w:val="28"/>
          <w:rtl/>
          <w14:ligatures w14:val="none"/>
        </w:rPr>
        <w:t>تصوراً يربط الحوافز بقرار اختيار الموقع داخل الدولة الواحدة، حيث تتحول الحوافز إلى آلية لتوجيه التوزيع الجغرافي للاستثمار وفق أولويات التنمية الإقليمية، وليس فقط لاستقطابه إلى الدولة</w:t>
      </w:r>
      <w:r w:rsidRPr="006D0851">
        <w:rPr>
          <w:rFonts w:ascii="Simplified Arabic" w:eastAsia="Times New Roman" w:hAnsi="Simplified Arabic" w:cs="Simplified Arabic"/>
          <w:color w:val="000000" w:themeColor="text1"/>
          <w:kern w:val="0"/>
          <w:sz w:val="28"/>
          <w:szCs w:val="28"/>
          <w:lang w:bidi="ar-EG"/>
          <w14:ligatures w14:val="none"/>
        </w:rPr>
        <w:t>.</w:t>
      </w:r>
    </w:p>
    <w:p w14:paraId="0795730C"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 xml:space="preserve">وعلى الصعيد التشريعي، تُعرَّف الحوافز في الفكر القانوني العربي بأنها “الضمانات والمزايا التي يكفلها المُشرّع للمستثمر، سواء كانت ذات طابع مالي أو تنظيمي، بقصد إقناعه بتوطين رأس ماله داخل الإقليم الوطني” وفق ما يطرحه (الذيابي، 2023)، وهو تعريف يدمج بين مفهوم “الضمان” بوصفه عنصراً مُؤمِّناً للاستثمار، و"الحافز" بوصفه عنصراً جاذباً، ويُعالج الازدواجية القائمة بين الأمان القانوني والربحية الاقتصادية. ويُقاربه (حماد، 2025) من زاوية مكمّلة، إذ يرى أن الحوافز تتجاوز حدود الإعفاء الضريبي لتشمل منظومة من </w:t>
      </w:r>
      <w:proofErr w:type="spellStart"/>
      <w:r w:rsidRPr="006D0851">
        <w:rPr>
          <w:rFonts w:ascii="Simplified Arabic" w:eastAsia="Times New Roman" w:hAnsi="Simplified Arabic" w:cs="Simplified Arabic"/>
          <w:color w:val="000000" w:themeColor="text1"/>
          <w:kern w:val="0"/>
          <w:sz w:val="28"/>
          <w:szCs w:val="28"/>
          <w:rtl/>
          <w14:ligatures w14:val="none"/>
        </w:rPr>
        <w:t>التيسيرات</w:t>
      </w:r>
      <w:proofErr w:type="spellEnd"/>
      <w:r w:rsidRPr="006D0851">
        <w:rPr>
          <w:rFonts w:ascii="Simplified Arabic" w:eastAsia="Times New Roman" w:hAnsi="Simplified Arabic" w:cs="Simplified Arabic"/>
          <w:color w:val="000000" w:themeColor="text1"/>
          <w:kern w:val="0"/>
          <w:sz w:val="28"/>
          <w:szCs w:val="28"/>
          <w:rtl/>
          <w14:ligatures w14:val="none"/>
        </w:rPr>
        <w:t xml:space="preserve"> الإدارية والقضائية التي تكفل للمستثمر بيئة عمل مستقرة ومأمونة</w:t>
      </w:r>
      <w:r w:rsidRPr="006D0851">
        <w:rPr>
          <w:rFonts w:ascii="Simplified Arabic" w:eastAsia="Times New Roman" w:hAnsi="Simplified Arabic" w:cs="Simplified Arabic"/>
          <w:color w:val="000000" w:themeColor="text1"/>
          <w:kern w:val="0"/>
          <w:sz w:val="28"/>
          <w:szCs w:val="28"/>
          <w:lang w:bidi="ar-EG"/>
          <w14:ligatures w14:val="none"/>
        </w:rPr>
        <w:t>.</w:t>
      </w:r>
    </w:p>
    <w:p w14:paraId="0B6B4198"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ويذهب (المالكي، 2022) إلى أن الحوافز الاستثمارية في السياق السعودي تنبني على فلسفة مزدوجة تجمع بين تشجيع رأس المال الأجنبي وتوجيهه نحو القطاعات المستهدفة في رؤية 2030، وهو ما يجعلها أداةً ذات طبيعة استراتيجية لا مجرد ميزة اقتصادية ظرفية. أما (زيدان، 2022) فيتناول المفهوم من زاوية الحوافز الضريبية تحديداً، معتبراً إياها صيغة من صيغ “التفاوض الضمني” بين الدولة المضيفة والمستثمر الأجنبي، تُتيح للأولى توجيه الأموال نحو القطاعات المنتجة، وتمنح الثاني هامشاً من الربحية يتجاوز ما يحققه في بيئاته التقليدية</w:t>
      </w:r>
      <w:r w:rsidRPr="006D0851">
        <w:rPr>
          <w:rFonts w:ascii="Simplified Arabic" w:eastAsia="Times New Roman" w:hAnsi="Simplified Arabic" w:cs="Simplified Arabic"/>
          <w:color w:val="000000" w:themeColor="text1"/>
          <w:kern w:val="0"/>
          <w:sz w:val="28"/>
          <w:szCs w:val="28"/>
          <w:lang w:bidi="ar-EG"/>
          <w14:ligatures w14:val="none"/>
        </w:rPr>
        <w:t>.</w:t>
      </w:r>
    </w:p>
    <w:p w14:paraId="2CC01A78"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ويربط (السيد، 2021) الحوافز بنظرية القرار الاستثماري، فيُعرّفها بأنها “المحدّدات المُحفِّزة التي تدخل في دالة منفعة المستثمر وتُعدّل من تفضيلاته بين البدائل الجغرافية المتاحة”، وهو تعريف ذو طبيعة سلوكية يربط بين الحوافز ومنطق الاختيار العقلاني للمستثمر. ومن جانب آخر، يُقدّم (عمران، 2024) قراءة تنموية للحوافز، باعتبارها رافعة لتوطين التكنولوجيا وتحفيز نقل المعرفة، وليست مجرد تخفيض في كلفة رأس المال، وهو ما يُوسّع نطاق المفهوم ليشمل أبعاداً غير مالية</w:t>
      </w:r>
      <w:r w:rsidRPr="006D0851">
        <w:rPr>
          <w:rFonts w:ascii="Simplified Arabic" w:eastAsia="Times New Roman" w:hAnsi="Simplified Arabic" w:cs="Simplified Arabic"/>
          <w:color w:val="000000" w:themeColor="text1"/>
          <w:kern w:val="0"/>
          <w:sz w:val="28"/>
          <w:szCs w:val="28"/>
          <w:lang w:bidi="ar-EG"/>
          <w14:ligatures w14:val="none"/>
        </w:rPr>
        <w:t>.</w:t>
      </w:r>
    </w:p>
    <w:p w14:paraId="60C4348D"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ويُلاحظ من خلال استعراض هذه التعريفات أن ثمة ثلاث مدارس فكرية تتجاذب المفهوم: مدرسة مالية ضيقة تختزله في الإعفاءات والمزايا الضريبية، ومدرسة تشريعية تُوسّعه ليشمل الضمانات القانونية والإدارية، ومدرسة استراتيجية تُعيد تأطيره بوصفه أداةً للسياسات التنموية والاختيار التنافسي بين الدول</w:t>
      </w:r>
      <w:r w:rsidRPr="006D0851">
        <w:rPr>
          <w:rFonts w:ascii="Simplified Arabic" w:eastAsia="Times New Roman" w:hAnsi="Simplified Arabic" w:cs="Simplified Arabic"/>
          <w:color w:val="000000" w:themeColor="text1"/>
          <w:kern w:val="0"/>
          <w:sz w:val="28"/>
          <w:szCs w:val="28"/>
          <w:lang w:bidi="ar-EG"/>
          <w14:ligatures w14:val="none"/>
        </w:rPr>
        <w:t>.</w:t>
      </w:r>
    </w:p>
    <w:p w14:paraId="6220DF96"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lastRenderedPageBreak/>
        <w:t xml:space="preserve">ويرى الباحث أن الحوافز الاستثمارية هي منظومة متكاملة من المزايا المالية والتشريعية والتنظيمية والبنيوية، التي تُقدّمها الدولة المضيفة بشكل انتقائي وموجَّه، بهدف تعديل دالة العائد والمخاطرة لدى المستثمر الأجنبي، وتوجيه قراره نحو توطين استثماره داخل الإقليم الوطني، بما يخدم أولويات التنمية الوطنية ويُعزّز التنافسية الإقليمية للدولة. ويتميّز هذا التصور بأنه يدمج بين البعد </w:t>
      </w:r>
      <w:proofErr w:type="spellStart"/>
      <w:r w:rsidRPr="006D0851">
        <w:rPr>
          <w:rFonts w:ascii="Simplified Arabic" w:eastAsia="Times New Roman" w:hAnsi="Simplified Arabic" w:cs="Simplified Arabic"/>
          <w:color w:val="000000" w:themeColor="text1"/>
          <w:kern w:val="0"/>
          <w:sz w:val="28"/>
          <w:szCs w:val="28"/>
          <w:rtl/>
          <w14:ligatures w14:val="none"/>
        </w:rPr>
        <w:t>الأداتي</w:t>
      </w:r>
      <w:proofErr w:type="spellEnd"/>
      <w:r w:rsidRPr="006D0851">
        <w:rPr>
          <w:rFonts w:ascii="Simplified Arabic" w:eastAsia="Times New Roman" w:hAnsi="Simplified Arabic" w:cs="Simplified Arabic"/>
          <w:color w:val="000000" w:themeColor="text1"/>
          <w:kern w:val="0"/>
          <w:sz w:val="28"/>
          <w:szCs w:val="28"/>
          <w:rtl/>
          <w14:ligatures w14:val="none"/>
        </w:rPr>
        <w:t xml:space="preserve"> (المزايا الفعلية) والبعد الإشاري (الرسائل التي تبثها هذه الحوافز للأسواق)، ويضع الحوافز في إطار العلاقة التبادلية بين الدولة والمستثمر، لا في إطار المنح الأحادي الجانب</w:t>
      </w:r>
      <w:r w:rsidRPr="006D0851">
        <w:rPr>
          <w:rFonts w:ascii="Simplified Arabic" w:eastAsia="Times New Roman" w:hAnsi="Simplified Arabic" w:cs="Simplified Arabic"/>
          <w:color w:val="000000" w:themeColor="text1"/>
          <w:kern w:val="0"/>
          <w:sz w:val="28"/>
          <w:szCs w:val="28"/>
          <w:lang w:bidi="ar-EG"/>
          <w14:ligatures w14:val="none"/>
        </w:rPr>
        <w:t>.</w:t>
      </w:r>
    </w:p>
    <w:p w14:paraId="222E5995" w14:textId="4FF9C52C" w:rsidR="00D37D41" w:rsidRPr="006D0851" w:rsidRDefault="00B955DD" w:rsidP="00B955D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0" w:name="_Toc233659089"/>
      <w:r w:rsidRPr="006D0851">
        <w:rPr>
          <w:rFonts w:ascii="Simplified Arabic" w:eastAsia="Times New Roman" w:hAnsi="Simplified Arabic" w:cs="Simplified Arabic" w:hint="cs"/>
          <w:b/>
          <w:bCs/>
          <w:color w:val="000000" w:themeColor="text1"/>
          <w:kern w:val="0"/>
          <w:sz w:val="32"/>
          <w:szCs w:val="32"/>
          <w:rtl/>
          <w14:ligatures w14:val="none"/>
        </w:rPr>
        <w:t>3.1.2</w:t>
      </w:r>
      <w:r w:rsidR="00D37D41" w:rsidRPr="006D0851">
        <w:rPr>
          <w:rFonts w:ascii="Simplified Arabic" w:eastAsia="Times New Roman" w:hAnsi="Simplified Arabic" w:cs="Simplified Arabic"/>
          <w:b/>
          <w:bCs/>
          <w:color w:val="000000" w:themeColor="text1"/>
          <w:kern w:val="0"/>
          <w:sz w:val="32"/>
          <w:szCs w:val="32"/>
          <w:rtl/>
          <w14:ligatures w14:val="none"/>
        </w:rPr>
        <w:t xml:space="preserve"> أهمية الحوافز الاستثمارية</w:t>
      </w:r>
      <w:bookmarkEnd w:id="40"/>
    </w:p>
    <w:p w14:paraId="672F65AB"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تستمد الحوافز الاستثمارية أهميتها من كونها جسراً وظيفياً بين السياسات الكلية للدولة وقرارات المستثمر الفردية، وأداةً مرنة يمكن من خلالها معالجة الاختلالات الهيكلية للاقتصاد دون الحاجة إلى إصلاحات جذرية طويلة المدى. كما تتعاظم هذه الأهمية في البيئات التي تتنافس فيها الاقتصادات على رؤوس الأموال المحدودة عالمياً، حيث تتحول الحوافز إلى عامل ترجيح حاسم في معادلة الاختيار بين البدائل الجغرافية المتنافسة</w:t>
      </w:r>
      <w:r w:rsidRPr="006D0851">
        <w:rPr>
          <w:rFonts w:ascii="Simplified Arabic" w:eastAsia="Times New Roman" w:hAnsi="Simplified Arabic" w:cs="Simplified Arabic"/>
          <w:color w:val="000000" w:themeColor="text1"/>
          <w:kern w:val="0"/>
          <w:sz w:val="28"/>
          <w:szCs w:val="28"/>
          <w:lang w:bidi="ar-EG"/>
          <w14:ligatures w14:val="none"/>
        </w:rPr>
        <w:t>.</w:t>
      </w:r>
    </w:p>
    <w:p w14:paraId="205C4856"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 xml:space="preserve">ويُشير (المصري، 2025) إلى أن أهمية الحوافز الاستثمارية تتجلى في عدة محاور، أولها أنها تُسهم في رفع مؤشر التنافسية الوطنية من خلال تحسين بيئة الأعمال وتقليص الفجوة التنافسية مع الاقتصادات المنافسة، وثانيها أنها تعمل بوصفها أداة لتصحيح إخفاقات السوق وجذب الاستثمار إلى القطاعات التي قد لا </w:t>
      </w:r>
      <w:proofErr w:type="spellStart"/>
      <w:r w:rsidRPr="006D0851">
        <w:rPr>
          <w:rFonts w:ascii="Simplified Arabic" w:eastAsia="Times New Roman" w:hAnsi="Simplified Arabic" w:cs="Simplified Arabic"/>
          <w:color w:val="000000" w:themeColor="text1"/>
          <w:kern w:val="0"/>
          <w:sz w:val="28"/>
          <w:szCs w:val="28"/>
          <w:rtl/>
          <w14:ligatures w14:val="none"/>
        </w:rPr>
        <w:t>تستقطبه</w:t>
      </w:r>
      <w:proofErr w:type="spellEnd"/>
      <w:r w:rsidRPr="006D0851">
        <w:rPr>
          <w:rFonts w:ascii="Simplified Arabic" w:eastAsia="Times New Roman" w:hAnsi="Simplified Arabic" w:cs="Simplified Arabic"/>
          <w:color w:val="000000" w:themeColor="text1"/>
          <w:kern w:val="0"/>
          <w:sz w:val="28"/>
          <w:szCs w:val="28"/>
          <w:rtl/>
          <w14:ligatures w14:val="none"/>
        </w:rPr>
        <w:t xml:space="preserve"> بشكل طبيعي، وثالثها أنها تتيح للدولة هامشاً من المرونة في إعادة توجيه التدفقات الاستثمارية بحسب الأولويات الوطنية المتغيرة</w:t>
      </w:r>
      <w:r w:rsidRPr="006D0851">
        <w:rPr>
          <w:rFonts w:ascii="Simplified Arabic" w:eastAsia="Times New Roman" w:hAnsi="Simplified Arabic" w:cs="Simplified Arabic"/>
          <w:color w:val="000000" w:themeColor="text1"/>
          <w:kern w:val="0"/>
          <w:sz w:val="28"/>
          <w:szCs w:val="28"/>
          <w:lang w:bidi="ar-EG"/>
          <w14:ligatures w14:val="none"/>
        </w:rPr>
        <w:t>.</w:t>
      </w:r>
    </w:p>
    <w:p w14:paraId="0F4FBE59"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ويذهب</w:t>
      </w:r>
      <w:r w:rsidRPr="006D0851">
        <w:rPr>
          <w:rFonts w:ascii="Simplified Arabic" w:eastAsia="Times New Roman" w:hAnsi="Simplified Arabic" w:cs="Simplified Arabic"/>
          <w:color w:val="000000" w:themeColor="text1"/>
          <w:kern w:val="0"/>
          <w:sz w:val="28"/>
          <w:szCs w:val="28"/>
          <w:lang w:bidi="ar-EG"/>
          <w14:ligatures w14:val="none"/>
        </w:rPr>
        <w:t xml:space="preserve"> (Binkhamis et al., 2025) </w:t>
      </w:r>
      <w:r w:rsidRPr="006D0851">
        <w:rPr>
          <w:rFonts w:ascii="Simplified Arabic" w:eastAsia="Times New Roman" w:hAnsi="Simplified Arabic" w:cs="Simplified Arabic"/>
          <w:color w:val="000000" w:themeColor="text1"/>
          <w:kern w:val="0"/>
          <w:sz w:val="28"/>
          <w:szCs w:val="28"/>
          <w:rtl/>
          <w14:ligatures w14:val="none"/>
        </w:rPr>
        <w:t>إلى أن الحوافز الاستثمارية تكتسب أهمية مضاعفة في السياق السعودي بفعل ارتباطها بمنظومة حماية الاستثمار ضمن رؤية 2030، إذ تعمل بوصفها رافعةً لاستدامة تدفقات رؤوس الأموال الأجنبية، وتوفّر بيئة آمنة تُشجع المستثمر على التوسع طويل المدى لا على الاستثمار العابر. كما تُسهم في تعزيز الثقة المؤسسية وبناء سمعة الدولة بوصفها وجهة استثمارية موثوقة، وهو ما ينعكس بدوره على نمو الاقتصاد الوطني وتنويع مصادره</w:t>
      </w:r>
      <w:r w:rsidRPr="006D0851">
        <w:rPr>
          <w:rFonts w:ascii="Simplified Arabic" w:eastAsia="Times New Roman" w:hAnsi="Simplified Arabic" w:cs="Simplified Arabic"/>
          <w:color w:val="000000" w:themeColor="text1"/>
          <w:kern w:val="0"/>
          <w:sz w:val="28"/>
          <w:szCs w:val="28"/>
          <w:lang w:bidi="ar-EG"/>
          <w14:ligatures w14:val="none"/>
        </w:rPr>
        <w:t>.</w:t>
      </w:r>
    </w:p>
    <w:p w14:paraId="01460B2B"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 xml:space="preserve">ويرى (الذيابي، 2023) أن الإصلاحات التشريعية المرتبطة بالحوافز تتمتع بأهمية مزدوجة، تتمثل أولاً في تأطير العلاقة بين الدولة والمستثمر بإطار قانوني واضح يُقلّص حالة عدم اليقين، وثانياً في تحويل </w:t>
      </w:r>
      <w:r w:rsidRPr="006D0851">
        <w:rPr>
          <w:rFonts w:ascii="Simplified Arabic" w:eastAsia="Times New Roman" w:hAnsi="Simplified Arabic" w:cs="Simplified Arabic"/>
          <w:color w:val="000000" w:themeColor="text1"/>
          <w:kern w:val="0"/>
          <w:sz w:val="28"/>
          <w:szCs w:val="28"/>
          <w:rtl/>
          <w14:ligatures w14:val="none"/>
        </w:rPr>
        <w:lastRenderedPageBreak/>
        <w:t>الحوافز إلى التزامات قانونية لا تخضع للتقدير الإداري المتغير، الأمر الذي يُعزز من قابلية التنبؤ بالبيئة الاستثمارية. ومن جهة مكمّلة، يُبيّن (</w:t>
      </w:r>
      <w:proofErr w:type="spellStart"/>
      <w:r w:rsidRPr="006D0851">
        <w:rPr>
          <w:rFonts w:ascii="Simplified Arabic" w:eastAsia="Times New Roman" w:hAnsi="Simplified Arabic" w:cs="Simplified Arabic"/>
          <w:color w:val="000000" w:themeColor="text1"/>
          <w:kern w:val="0"/>
          <w:sz w:val="28"/>
          <w:szCs w:val="28"/>
          <w:rtl/>
          <w14:ligatures w14:val="none"/>
        </w:rPr>
        <w:t>بوخدوني</w:t>
      </w:r>
      <w:proofErr w:type="spellEnd"/>
      <w:r w:rsidRPr="006D0851">
        <w:rPr>
          <w:rFonts w:ascii="Simplified Arabic" w:eastAsia="Times New Roman" w:hAnsi="Simplified Arabic" w:cs="Simplified Arabic"/>
          <w:color w:val="000000" w:themeColor="text1"/>
          <w:kern w:val="0"/>
          <w:sz w:val="28"/>
          <w:szCs w:val="28"/>
          <w:rtl/>
          <w14:ligatures w14:val="none"/>
        </w:rPr>
        <w:t xml:space="preserve"> وقاسي، 2022) أن أهمية الحوافز تظهر بوضوح في قدرتها على رفع كفاءة التنافسية الجبائية المشروعة، بما يجعل الدولة قادرة على المنافسة في استقطاب الاستثمار دون الانزلاق إلى ممارسات تنافسية ضارة</w:t>
      </w:r>
      <w:r w:rsidRPr="006D0851">
        <w:rPr>
          <w:rFonts w:ascii="Simplified Arabic" w:eastAsia="Times New Roman" w:hAnsi="Simplified Arabic" w:cs="Simplified Arabic"/>
          <w:color w:val="000000" w:themeColor="text1"/>
          <w:kern w:val="0"/>
          <w:sz w:val="28"/>
          <w:szCs w:val="28"/>
          <w:lang w:bidi="ar-EG"/>
          <w14:ligatures w14:val="none"/>
        </w:rPr>
        <w:t>.</w:t>
      </w:r>
    </w:p>
    <w:p w14:paraId="772711E3"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ويُؤكد</w:t>
      </w:r>
      <w:r w:rsidRPr="006D0851">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D0851">
        <w:rPr>
          <w:rFonts w:ascii="Simplified Arabic" w:eastAsia="Times New Roman" w:hAnsi="Simplified Arabic" w:cs="Simplified Arabic"/>
          <w:color w:val="000000" w:themeColor="text1"/>
          <w:kern w:val="0"/>
          <w:sz w:val="28"/>
          <w:szCs w:val="28"/>
          <w:lang w:bidi="ar-EG"/>
          <w14:ligatures w14:val="none"/>
        </w:rPr>
        <w:t>Katitas</w:t>
      </w:r>
      <w:proofErr w:type="spellEnd"/>
      <w:r w:rsidRPr="006D0851">
        <w:rPr>
          <w:rFonts w:ascii="Simplified Arabic" w:eastAsia="Times New Roman" w:hAnsi="Simplified Arabic" w:cs="Simplified Arabic"/>
          <w:color w:val="000000" w:themeColor="text1"/>
          <w:kern w:val="0"/>
          <w:sz w:val="28"/>
          <w:szCs w:val="28"/>
          <w:lang w:bidi="ar-EG"/>
          <w14:ligatures w14:val="none"/>
        </w:rPr>
        <w:t xml:space="preserve"> &amp; Pandya, 2024) </w:t>
      </w:r>
      <w:r w:rsidRPr="006D0851">
        <w:rPr>
          <w:rFonts w:ascii="Simplified Arabic" w:eastAsia="Times New Roman" w:hAnsi="Simplified Arabic" w:cs="Simplified Arabic"/>
          <w:color w:val="000000" w:themeColor="text1"/>
          <w:kern w:val="0"/>
          <w:sz w:val="28"/>
          <w:szCs w:val="28"/>
          <w:rtl/>
          <w14:ligatures w14:val="none"/>
        </w:rPr>
        <w:t>أن الحوافز تمتلك أهمية ظرفية بالغة خلال فترات الركود والأزمات الاقتصادية، حيث تتراجع شهية رأس المال العالمي للمخاطرة، وتصبح الدول التي تمتلك حزم حوافز جاذبة قادرة على الحفاظ على حصتها من التدفقات الاستثمارية رغم انكماش السوق العالمي، وهو ما يُحوّل الحوافز إلى أداة مضادة للدورات الاقتصادية. ويتقاطع ذلك مع ما يطرحه</w:t>
      </w:r>
      <w:r w:rsidRPr="006D0851">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D0851">
        <w:rPr>
          <w:rFonts w:ascii="Simplified Arabic" w:eastAsia="Times New Roman" w:hAnsi="Simplified Arabic" w:cs="Simplified Arabic"/>
          <w:color w:val="000000" w:themeColor="text1"/>
          <w:kern w:val="0"/>
          <w:sz w:val="28"/>
          <w:szCs w:val="28"/>
          <w:lang w:bidi="ar-EG"/>
          <w14:ligatures w14:val="none"/>
        </w:rPr>
        <w:t>Bobeni</w:t>
      </w:r>
      <w:r w:rsidRPr="006D0851">
        <w:rPr>
          <w:rFonts w:ascii="Cambria" w:eastAsia="Times New Roman" w:hAnsi="Cambria" w:cs="Cambria"/>
          <w:color w:val="000000" w:themeColor="text1"/>
          <w:kern w:val="0"/>
          <w:sz w:val="28"/>
          <w:szCs w:val="28"/>
          <w:lang w:bidi="ar-EG"/>
          <w14:ligatures w14:val="none"/>
        </w:rPr>
        <w:t>č</w:t>
      </w:r>
      <w:proofErr w:type="spellEnd"/>
      <w:r w:rsidRPr="006D0851">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D0851">
        <w:rPr>
          <w:rFonts w:ascii="Simplified Arabic" w:eastAsia="Times New Roman" w:hAnsi="Simplified Arabic" w:cs="Simplified Arabic"/>
          <w:color w:val="000000" w:themeColor="text1"/>
          <w:kern w:val="0"/>
          <w:sz w:val="28"/>
          <w:szCs w:val="28"/>
          <w:lang w:bidi="ar-EG"/>
          <w14:ligatures w14:val="none"/>
        </w:rPr>
        <w:t>Hintošov</w:t>
      </w:r>
      <w:r w:rsidRPr="006D0851">
        <w:rPr>
          <w:rFonts w:ascii="Cambria" w:eastAsia="Times New Roman" w:hAnsi="Cambria" w:cs="Cambria"/>
          <w:color w:val="000000" w:themeColor="text1"/>
          <w:kern w:val="0"/>
          <w:sz w:val="28"/>
          <w:szCs w:val="28"/>
          <w:lang w:bidi="ar-EG"/>
          <w14:ligatures w14:val="none"/>
        </w:rPr>
        <w:t>á</w:t>
      </w:r>
      <w:proofErr w:type="spellEnd"/>
      <w:r w:rsidRPr="006D0851">
        <w:rPr>
          <w:rFonts w:ascii="Simplified Arabic" w:eastAsia="Times New Roman" w:hAnsi="Simplified Arabic" w:cs="Simplified Arabic"/>
          <w:color w:val="000000" w:themeColor="text1"/>
          <w:kern w:val="0"/>
          <w:sz w:val="28"/>
          <w:szCs w:val="28"/>
          <w:lang w:bidi="ar-EG"/>
          <w14:ligatures w14:val="none"/>
        </w:rPr>
        <w:t xml:space="preserve"> et al., 2021) </w:t>
      </w:r>
      <w:r w:rsidRPr="006D0851">
        <w:rPr>
          <w:rFonts w:ascii="Simplified Arabic" w:eastAsia="Times New Roman" w:hAnsi="Simplified Arabic" w:cs="Simplified Arabic"/>
          <w:color w:val="000000" w:themeColor="text1"/>
          <w:kern w:val="0"/>
          <w:sz w:val="28"/>
          <w:szCs w:val="28"/>
          <w:rtl/>
          <w14:ligatures w14:val="none"/>
        </w:rPr>
        <w:t>من أن الحوافز تُحدث تأثيرات مباشرة وغير مباشرة في آنٍ معاً، فالأثر المباشر يتمثل في خفض كلفة الاستثمار، أما الأثر غير المباشر فيتجسد في خلق منظومة من الروابط الأمامية والخلفية مع الاقتصاد المحلي</w:t>
      </w:r>
      <w:r w:rsidRPr="006D0851">
        <w:rPr>
          <w:rFonts w:ascii="Simplified Arabic" w:eastAsia="Times New Roman" w:hAnsi="Simplified Arabic" w:cs="Simplified Arabic"/>
          <w:color w:val="000000" w:themeColor="text1"/>
          <w:kern w:val="0"/>
          <w:sz w:val="28"/>
          <w:szCs w:val="28"/>
          <w:lang w:bidi="ar-EG"/>
          <w14:ligatures w14:val="none"/>
        </w:rPr>
        <w:t>.</w:t>
      </w:r>
    </w:p>
    <w:p w14:paraId="30E6242F"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ومن منظور التنمية الإقليمية، يُلفت (مداني، 2022) إلى أن الحوافز الاستثمارية تتجاوز أهميتها على المستوى الكلي لتلامس المستوى الجزئي والإقليمي، حيث تُسهم في توطين النشاطات الاقتصادية في مناطق بعينها، وتُعالج التفاوت التنموي بين الأقاليم، وتُحفّز التكامل الصناعي عبر تركيز الاستثمارات في تجمعات متخصصة. ويُضيف (علي وآخرون، 2024) أن أهمية الحوافز تتجلى في رفع القدرة التنافسية الوطنية عبر تشكيل المجمعات الصناعية وتغذيتها بالاستثمارات النوعية، مما يُحوّل الميزة الكمية إلى ميزة كيفية ذات طابع تنافسي مستدام</w:t>
      </w:r>
      <w:r w:rsidRPr="006D0851">
        <w:rPr>
          <w:rFonts w:ascii="Simplified Arabic" w:eastAsia="Times New Roman" w:hAnsi="Simplified Arabic" w:cs="Simplified Arabic"/>
          <w:color w:val="000000" w:themeColor="text1"/>
          <w:kern w:val="0"/>
          <w:sz w:val="28"/>
          <w:szCs w:val="28"/>
          <w:lang w:bidi="ar-EG"/>
          <w14:ligatures w14:val="none"/>
        </w:rPr>
        <w:t>.</w:t>
      </w:r>
    </w:p>
    <w:p w14:paraId="0806E1B0"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ويُسلّط</w:t>
      </w:r>
      <w:r w:rsidRPr="006D0851">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D0851">
        <w:rPr>
          <w:rFonts w:ascii="Simplified Arabic" w:eastAsia="Times New Roman" w:hAnsi="Simplified Arabic" w:cs="Simplified Arabic"/>
          <w:color w:val="000000" w:themeColor="text1"/>
          <w:kern w:val="0"/>
          <w:sz w:val="28"/>
          <w:szCs w:val="28"/>
          <w:lang w:bidi="ar-EG"/>
          <w14:ligatures w14:val="none"/>
        </w:rPr>
        <w:t>Mohib</w:t>
      </w:r>
      <w:proofErr w:type="spellEnd"/>
      <w:r w:rsidRPr="006D0851">
        <w:rPr>
          <w:rFonts w:ascii="Simplified Arabic" w:eastAsia="Times New Roman" w:hAnsi="Simplified Arabic" w:cs="Simplified Arabic"/>
          <w:color w:val="000000" w:themeColor="text1"/>
          <w:kern w:val="0"/>
          <w:sz w:val="28"/>
          <w:szCs w:val="28"/>
          <w:lang w:bidi="ar-EG"/>
          <w14:ligatures w14:val="none"/>
        </w:rPr>
        <w:t xml:space="preserve"> &amp; Carroll, 2024) </w:t>
      </w:r>
      <w:r w:rsidRPr="006D0851">
        <w:rPr>
          <w:rFonts w:ascii="Simplified Arabic" w:eastAsia="Times New Roman" w:hAnsi="Simplified Arabic" w:cs="Simplified Arabic"/>
          <w:color w:val="000000" w:themeColor="text1"/>
          <w:kern w:val="0"/>
          <w:sz w:val="28"/>
          <w:szCs w:val="28"/>
          <w:rtl/>
          <w14:ligatures w14:val="none"/>
        </w:rPr>
        <w:t>الضوء على بُعد آخر للأهمية، يتمثل في كون الحوافز جزءاً من العلامة الوطنية للدولة، إذ ترتبط حزم الحوافز بصورة الدولة في أذهان المستثمرين العالميين، وتعمل بوصفها رسالة تسويقية لمكانة الدولة في خريطة الاستثمار الدولي. ومن زاوية تكميلية، يطرح</w:t>
      </w:r>
      <w:r w:rsidRPr="006D0851">
        <w:rPr>
          <w:rFonts w:ascii="Simplified Arabic" w:eastAsia="Times New Roman" w:hAnsi="Simplified Arabic" w:cs="Simplified Arabic"/>
          <w:color w:val="000000" w:themeColor="text1"/>
          <w:kern w:val="0"/>
          <w:sz w:val="28"/>
          <w:szCs w:val="28"/>
          <w:lang w:bidi="ar-EG"/>
          <w14:ligatures w14:val="none"/>
        </w:rPr>
        <w:t xml:space="preserve"> (Lee &amp; Lee, 2021) </w:t>
      </w:r>
      <w:r w:rsidRPr="006D0851">
        <w:rPr>
          <w:rFonts w:ascii="Simplified Arabic" w:eastAsia="Times New Roman" w:hAnsi="Simplified Arabic" w:cs="Simplified Arabic"/>
          <w:color w:val="000000" w:themeColor="text1"/>
          <w:kern w:val="0"/>
          <w:sz w:val="28"/>
          <w:szCs w:val="28"/>
          <w:rtl/>
          <w14:ligatures w14:val="none"/>
        </w:rPr>
        <w:t>أن أهمية الحوافز تتحقق بكامل أبعادها فقط حين تتكامل مع استراتيجية متماسكة للعلامة الوطنية، بحيث لا تكون الحوافز معزولة عن الصورة الذهنية الكلية للدولة المضيفة</w:t>
      </w:r>
      <w:r w:rsidRPr="006D0851">
        <w:rPr>
          <w:rFonts w:ascii="Simplified Arabic" w:eastAsia="Times New Roman" w:hAnsi="Simplified Arabic" w:cs="Simplified Arabic"/>
          <w:color w:val="000000" w:themeColor="text1"/>
          <w:kern w:val="0"/>
          <w:sz w:val="28"/>
          <w:szCs w:val="28"/>
          <w:lang w:bidi="ar-EG"/>
          <w14:ligatures w14:val="none"/>
        </w:rPr>
        <w:t>.</w:t>
      </w:r>
    </w:p>
    <w:p w14:paraId="0B0CE2C6"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 xml:space="preserve">ويُقارب (سميح، 2022) الأهمية من زاوية بيئة الأعمال الخارجية، فيرى أن الحوافز تُسهم في تشكيل المحددات الكلية لقرار الاستثمار، وتعمل بوصفها متغيراً وسيطاً بين الظروف الاقتصادية الكلية وقرار </w:t>
      </w:r>
      <w:r w:rsidRPr="006D0851">
        <w:rPr>
          <w:rFonts w:ascii="Simplified Arabic" w:eastAsia="Times New Roman" w:hAnsi="Simplified Arabic" w:cs="Simplified Arabic"/>
          <w:color w:val="000000" w:themeColor="text1"/>
          <w:kern w:val="0"/>
          <w:sz w:val="28"/>
          <w:szCs w:val="28"/>
          <w:rtl/>
          <w14:ligatures w14:val="none"/>
        </w:rPr>
        <w:lastRenderedPageBreak/>
        <w:t>المستثمر النهائي. ويعزز هذا الطرح ما يذكره</w:t>
      </w:r>
      <w:r w:rsidRPr="006D0851">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D0851">
        <w:rPr>
          <w:rFonts w:ascii="Simplified Arabic" w:eastAsia="Times New Roman" w:hAnsi="Simplified Arabic" w:cs="Simplified Arabic"/>
          <w:color w:val="000000" w:themeColor="text1"/>
          <w:kern w:val="0"/>
          <w:sz w:val="28"/>
          <w:szCs w:val="28"/>
          <w:lang w:bidi="ar-EG"/>
          <w14:ligatures w14:val="none"/>
        </w:rPr>
        <w:t>Elimam</w:t>
      </w:r>
      <w:proofErr w:type="spellEnd"/>
      <w:r w:rsidRPr="006D0851">
        <w:rPr>
          <w:rFonts w:ascii="Simplified Arabic" w:eastAsia="Times New Roman" w:hAnsi="Simplified Arabic" w:cs="Simplified Arabic"/>
          <w:color w:val="000000" w:themeColor="text1"/>
          <w:kern w:val="0"/>
          <w:sz w:val="28"/>
          <w:szCs w:val="28"/>
          <w:lang w:bidi="ar-EG"/>
          <w14:ligatures w14:val="none"/>
        </w:rPr>
        <w:t xml:space="preserve"> &amp; </w:t>
      </w:r>
      <w:proofErr w:type="spellStart"/>
      <w:r w:rsidRPr="006D0851">
        <w:rPr>
          <w:rFonts w:ascii="Simplified Arabic" w:eastAsia="Times New Roman" w:hAnsi="Simplified Arabic" w:cs="Simplified Arabic"/>
          <w:color w:val="000000" w:themeColor="text1"/>
          <w:kern w:val="0"/>
          <w:sz w:val="28"/>
          <w:szCs w:val="28"/>
          <w:lang w:bidi="ar-EG"/>
          <w14:ligatures w14:val="none"/>
        </w:rPr>
        <w:t>Alattas</w:t>
      </w:r>
      <w:proofErr w:type="spellEnd"/>
      <w:r w:rsidRPr="006D0851">
        <w:rPr>
          <w:rFonts w:ascii="Simplified Arabic" w:eastAsia="Times New Roman" w:hAnsi="Simplified Arabic" w:cs="Simplified Arabic"/>
          <w:color w:val="000000" w:themeColor="text1"/>
          <w:kern w:val="0"/>
          <w:sz w:val="28"/>
          <w:szCs w:val="28"/>
          <w:lang w:bidi="ar-EG"/>
          <w14:ligatures w14:val="none"/>
        </w:rPr>
        <w:t xml:space="preserve">, 2024) </w:t>
      </w:r>
      <w:r w:rsidRPr="006D0851">
        <w:rPr>
          <w:rFonts w:ascii="Simplified Arabic" w:eastAsia="Times New Roman" w:hAnsi="Simplified Arabic" w:cs="Simplified Arabic"/>
          <w:color w:val="000000" w:themeColor="text1"/>
          <w:kern w:val="0"/>
          <w:sz w:val="28"/>
          <w:szCs w:val="28"/>
          <w:rtl/>
          <w14:ligatures w14:val="none"/>
        </w:rPr>
        <w:t>من أن أهمية الحوافز ترتبط ارتباطاً وثيقاً بالنمو الاقتصادي المستدام، إذ تُسهم في تعزيز التدفقات الاستثمارية الأجنبية المباشرة بوصفها مكوناً جوهرياً في معادلة النمو طويل المدى</w:t>
      </w:r>
      <w:r w:rsidRPr="006D0851">
        <w:rPr>
          <w:rFonts w:ascii="Simplified Arabic" w:eastAsia="Times New Roman" w:hAnsi="Simplified Arabic" w:cs="Simplified Arabic"/>
          <w:color w:val="000000" w:themeColor="text1"/>
          <w:kern w:val="0"/>
          <w:sz w:val="28"/>
          <w:szCs w:val="28"/>
          <w:lang w:bidi="ar-EG"/>
          <w14:ligatures w14:val="none"/>
        </w:rPr>
        <w:t>.</w:t>
      </w:r>
    </w:p>
    <w:p w14:paraId="08648480" w14:textId="5E05C0D8" w:rsidR="00D37D41" w:rsidRPr="006D0851" w:rsidRDefault="00B955DD" w:rsidP="00B955D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1" w:name="_Toc233659090"/>
      <w:r w:rsidRPr="006D0851">
        <w:rPr>
          <w:rFonts w:ascii="Simplified Arabic" w:eastAsia="Times New Roman" w:hAnsi="Simplified Arabic" w:cs="Simplified Arabic" w:hint="cs"/>
          <w:b/>
          <w:bCs/>
          <w:color w:val="000000" w:themeColor="text1"/>
          <w:kern w:val="0"/>
          <w:sz w:val="32"/>
          <w:szCs w:val="32"/>
          <w:rtl/>
          <w14:ligatures w14:val="none"/>
        </w:rPr>
        <w:t>4.1.2</w:t>
      </w:r>
      <w:r w:rsidR="00D37D41" w:rsidRPr="006D0851">
        <w:rPr>
          <w:rFonts w:ascii="Simplified Arabic" w:eastAsia="Times New Roman" w:hAnsi="Simplified Arabic" w:cs="Simplified Arabic"/>
          <w:b/>
          <w:bCs/>
          <w:color w:val="000000" w:themeColor="text1"/>
          <w:kern w:val="0"/>
          <w:sz w:val="32"/>
          <w:szCs w:val="32"/>
          <w:rtl/>
          <w14:ligatures w14:val="none"/>
        </w:rPr>
        <w:t xml:space="preserve"> أهداف الحوافز الاستثمارية</w:t>
      </w:r>
      <w:bookmarkEnd w:id="41"/>
    </w:p>
    <w:p w14:paraId="133BC951"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تتعدد الأهداف التي تسعى الدول إلى تحقيقها من خلال تبنّي منظومة الحوافز الاستثمارية، وتتراوح هذه الأهداف بين ما هو اقتصادي بحت، وما هو تنموي وسياسي واستراتيجي، وقد تباينت آراء الباحثين في تصنيف هذه الأهداف وترتيب أولوياتها</w:t>
      </w:r>
      <w:r w:rsidRPr="006D0851">
        <w:rPr>
          <w:rFonts w:ascii="Simplified Arabic" w:eastAsia="Times New Roman" w:hAnsi="Simplified Arabic" w:cs="Simplified Arabic"/>
          <w:color w:val="000000" w:themeColor="text1"/>
          <w:kern w:val="0"/>
          <w:sz w:val="28"/>
          <w:szCs w:val="28"/>
          <w:lang w:bidi="ar-EG"/>
          <w14:ligatures w14:val="none"/>
        </w:rPr>
        <w:t>.</w:t>
      </w:r>
    </w:p>
    <w:p w14:paraId="77A6DF58"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ويُجمل (عمران، 2024) الأهداف في النقاط الآتية: استقطاب رؤوس الأموال الأجنبية المباشرة إلى القطاعات الإنتاجية ذات الأولوية، وتوجيه الاستثمار نحو المناطق الجغرافية الأقل نمواً بهدف تحقيق التوازن الإقليمي، ونقل التكنولوجيا والمعرفة الفنية والإدارية إلى الاقتصاد الوطني، وتعزيز اندماج الاقتصاد المحلي في سلاسل القيمة العالمية، ودعم الصادرات وتنويع قاعدتها بعيداً عن السلع التقليدية</w:t>
      </w:r>
      <w:r w:rsidRPr="006D0851">
        <w:rPr>
          <w:rFonts w:ascii="Simplified Arabic" w:eastAsia="Times New Roman" w:hAnsi="Simplified Arabic" w:cs="Simplified Arabic"/>
          <w:color w:val="000000" w:themeColor="text1"/>
          <w:kern w:val="0"/>
          <w:sz w:val="28"/>
          <w:szCs w:val="28"/>
          <w:lang w:bidi="ar-EG"/>
          <w14:ligatures w14:val="none"/>
        </w:rPr>
        <w:t>.</w:t>
      </w:r>
    </w:p>
    <w:p w14:paraId="57D338A4"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ويعرض (السيد، 2021) جملة من الأهداف من زاوية القرار الاستثماري الأجنبي المباشر، تشمل: تحفيز اتخاذ قرار التوطين بدلاً من قرار التصدير المحض، ورفع معدل العائد المتوقع على الاستثمار من خلال تخفيض الأعباء الضريبية، وتقليص حالة عدم اليقين المرتبطة بالاستثمار العابر للحدود، وتوفير ميزة تفضيلية للدولة المضيفة في معادلة المفاضلة بين البدائل الإقليمية، فضلاً عن تشجيع إعادة استثمار الأرباح داخل الاقتصاد المحلي</w:t>
      </w:r>
      <w:r w:rsidRPr="006D0851">
        <w:rPr>
          <w:rFonts w:ascii="Simplified Arabic" w:eastAsia="Times New Roman" w:hAnsi="Simplified Arabic" w:cs="Simplified Arabic"/>
          <w:color w:val="000000" w:themeColor="text1"/>
          <w:kern w:val="0"/>
          <w:sz w:val="28"/>
          <w:szCs w:val="28"/>
          <w:lang w:bidi="ar-EG"/>
          <w14:ligatures w14:val="none"/>
        </w:rPr>
        <w:t>.</w:t>
      </w:r>
    </w:p>
    <w:p w14:paraId="5D30C737"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ويُحدد</w:t>
      </w:r>
      <w:r w:rsidRPr="006D0851">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D0851">
        <w:rPr>
          <w:rFonts w:ascii="Simplified Arabic" w:eastAsia="Times New Roman" w:hAnsi="Simplified Arabic" w:cs="Simplified Arabic"/>
          <w:color w:val="000000" w:themeColor="text1"/>
          <w:kern w:val="0"/>
          <w:sz w:val="28"/>
          <w:szCs w:val="28"/>
          <w:lang w:bidi="ar-EG"/>
          <w14:ligatures w14:val="none"/>
        </w:rPr>
        <w:t>Kronfol</w:t>
      </w:r>
      <w:proofErr w:type="spellEnd"/>
      <w:r w:rsidRPr="006D0851">
        <w:rPr>
          <w:rFonts w:ascii="Simplified Arabic" w:eastAsia="Times New Roman" w:hAnsi="Simplified Arabic" w:cs="Simplified Arabic"/>
          <w:color w:val="000000" w:themeColor="text1"/>
          <w:kern w:val="0"/>
          <w:sz w:val="28"/>
          <w:szCs w:val="28"/>
          <w:lang w:bidi="ar-EG"/>
          <w14:ligatures w14:val="none"/>
        </w:rPr>
        <w:t xml:space="preserve"> &amp; </w:t>
      </w:r>
      <w:proofErr w:type="spellStart"/>
      <w:r w:rsidRPr="006D0851">
        <w:rPr>
          <w:rFonts w:ascii="Simplified Arabic" w:eastAsia="Times New Roman" w:hAnsi="Simplified Arabic" w:cs="Simplified Arabic"/>
          <w:color w:val="000000" w:themeColor="text1"/>
          <w:kern w:val="0"/>
          <w:sz w:val="28"/>
          <w:szCs w:val="28"/>
          <w:lang w:bidi="ar-EG"/>
          <w14:ligatures w14:val="none"/>
        </w:rPr>
        <w:t>Steenbergen</w:t>
      </w:r>
      <w:proofErr w:type="spellEnd"/>
      <w:r w:rsidRPr="006D0851">
        <w:rPr>
          <w:rFonts w:ascii="Simplified Arabic" w:eastAsia="Times New Roman" w:hAnsi="Simplified Arabic" w:cs="Simplified Arabic"/>
          <w:color w:val="000000" w:themeColor="text1"/>
          <w:kern w:val="0"/>
          <w:sz w:val="28"/>
          <w:szCs w:val="28"/>
          <w:lang w:bidi="ar-EG"/>
          <w14:ligatures w14:val="none"/>
        </w:rPr>
        <w:t xml:space="preserve">, 2024) </w:t>
      </w:r>
      <w:r w:rsidRPr="006D0851">
        <w:rPr>
          <w:rFonts w:ascii="Simplified Arabic" w:eastAsia="Times New Roman" w:hAnsi="Simplified Arabic" w:cs="Simplified Arabic"/>
          <w:color w:val="000000" w:themeColor="text1"/>
          <w:kern w:val="0"/>
          <w:sz w:val="28"/>
          <w:szCs w:val="28"/>
          <w:rtl/>
          <w14:ligatures w14:val="none"/>
        </w:rPr>
        <w:t>الأهداف في إطار رؤية مؤسسية أشمل، تتضمن: تصحيح إخفاقات السوق المتعلقة بالمعلومات والمخاطر، وتعويض الفجوات في البنية التحتية أو رأس المال البشري، وتوجيه السلوك الاستثماري نحو القطاعات ذات الأثر الإيجابي الخارجي، وتشجيع الاستثمار في القطاعات الناشئة التي تتطلب فترات استرداد طويلة، إضافة إلى إرسال إشارات إيجابية للأسواق العالمية بشأن انفتاح الاقتصاد المضيف وموثوقيته</w:t>
      </w:r>
      <w:r w:rsidRPr="006D0851">
        <w:rPr>
          <w:rFonts w:ascii="Simplified Arabic" w:eastAsia="Times New Roman" w:hAnsi="Simplified Arabic" w:cs="Simplified Arabic"/>
          <w:color w:val="000000" w:themeColor="text1"/>
          <w:kern w:val="0"/>
          <w:sz w:val="28"/>
          <w:szCs w:val="28"/>
          <w:lang w:bidi="ar-EG"/>
          <w14:ligatures w14:val="none"/>
        </w:rPr>
        <w:t>.</w:t>
      </w:r>
    </w:p>
    <w:p w14:paraId="33576871"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ويُضيف</w:t>
      </w:r>
      <w:r w:rsidRPr="006D0851">
        <w:rPr>
          <w:rFonts w:ascii="Simplified Arabic" w:eastAsia="Times New Roman" w:hAnsi="Simplified Arabic" w:cs="Simplified Arabic"/>
          <w:color w:val="000000" w:themeColor="text1"/>
          <w:kern w:val="0"/>
          <w:sz w:val="28"/>
          <w:szCs w:val="28"/>
          <w:lang w:bidi="ar-EG"/>
          <w14:ligatures w14:val="none"/>
        </w:rPr>
        <w:t xml:space="preserve"> (Ahmad, 2025) </w:t>
      </w:r>
      <w:r w:rsidRPr="006D0851">
        <w:rPr>
          <w:rFonts w:ascii="Simplified Arabic" w:eastAsia="Times New Roman" w:hAnsi="Simplified Arabic" w:cs="Simplified Arabic"/>
          <w:color w:val="000000" w:themeColor="text1"/>
          <w:kern w:val="0"/>
          <w:sz w:val="28"/>
          <w:szCs w:val="28"/>
          <w:rtl/>
          <w14:ligatures w14:val="none"/>
        </w:rPr>
        <w:t xml:space="preserve">أبعاداً إضافية إلى الأهداف، حيث يرى أنها تشمل: تعزيز التنافسية الكلية للاقتصاد، ودعم استقطاب الاستثمارات الأجنبية في دول مجلس التعاون الخليجي بصورة عامة </w:t>
      </w:r>
      <w:r w:rsidRPr="006D0851">
        <w:rPr>
          <w:rFonts w:ascii="Simplified Arabic" w:eastAsia="Times New Roman" w:hAnsi="Simplified Arabic" w:cs="Simplified Arabic"/>
          <w:color w:val="000000" w:themeColor="text1"/>
          <w:kern w:val="0"/>
          <w:sz w:val="28"/>
          <w:szCs w:val="28"/>
          <w:rtl/>
          <w14:ligatures w14:val="none"/>
        </w:rPr>
        <w:lastRenderedPageBreak/>
        <w:t>والمملكة العربية السعودية بصورة خاصة، وتنويع مصادر الدخل القومي، وتعميق الترابط بين الاقتصاد الوطني والاقتصاد العالمي</w:t>
      </w:r>
      <w:r w:rsidRPr="006D0851">
        <w:rPr>
          <w:rFonts w:ascii="Simplified Arabic" w:eastAsia="Times New Roman" w:hAnsi="Simplified Arabic" w:cs="Simplified Arabic"/>
          <w:color w:val="000000" w:themeColor="text1"/>
          <w:kern w:val="0"/>
          <w:sz w:val="28"/>
          <w:szCs w:val="28"/>
          <w:lang w:bidi="ar-EG"/>
          <w14:ligatures w14:val="none"/>
        </w:rPr>
        <w:t>.</w:t>
      </w:r>
    </w:p>
    <w:p w14:paraId="3B4E7A43"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ويُقدّم (المالكي، 2022) قراءة للأهداف من زاوية رؤية 2030 السعودية، يُلخّصها في: استقطاب الاستثمارات النوعية ذات القيمة المضافة العالية، وتوطين الصناعات الاستراتيجية، وتعزيز الشراكات الاقتصادية الدولية، ودعم تحويل الاقتصاد من اقتصاد ريعي إلى اقتصاد إنتاجي متنوع، وتمكين القطاع الخاص من قيادة عملية التنمية</w:t>
      </w:r>
      <w:r w:rsidRPr="006D0851">
        <w:rPr>
          <w:rFonts w:ascii="Simplified Arabic" w:eastAsia="Times New Roman" w:hAnsi="Simplified Arabic" w:cs="Simplified Arabic"/>
          <w:color w:val="000000" w:themeColor="text1"/>
          <w:kern w:val="0"/>
          <w:sz w:val="28"/>
          <w:szCs w:val="28"/>
          <w:lang w:bidi="ar-EG"/>
          <w14:ligatures w14:val="none"/>
        </w:rPr>
        <w:t>.</w:t>
      </w:r>
    </w:p>
    <w:p w14:paraId="4CB5338E"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ويرى</w:t>
      </w:r>
      <w:r w:rsidRPr="006D0851">
        <w:rPr>
          <w:rFonts w:ascii="Simplified Arabic" w:eastAsia="Times New Roman" w:hAnsi="Simplified Arabic" w:cs="Simplified Arabic"/>
          <w:color w:val="000000" w:themeColor="text1"/>
          <w:kern w:val="0"/>
          <w:sz w:val="28"/>
          <w:szCs w:val="28"/>
          <w:lang w:bidi="ar-EG"/>
          <w14:ligatures w14:val="none"/>
        </w:rPr>
        <w:t xml:space="preserve"> (Long &amp; Hu, 2026) </w:t>
      </w:r>
      <w:r w:rsidRPr="006D0851">
        <w:rPr>
          <w:rFonts w:ascii="Simplified Arabic" w:eastAsia="Times New Roman" w:hAnsi="Simplified Arabic" w:cs="Simplified Arabic"/>
          <w:color w:val="000000" w:themeColor="text1"/>
          <w:kern w:val="0"/>
          <w:sz w:val="28"/>
          <w:szCs w:val="28"/>
          <w:rtl/>
          <w14:ligatures w14:val="none"/>
        </w:rPr>
        <w:t xml:space="preserve">أن أهداف الحوافز تتطور لتشمل توجيه قرارات اختيار المواقع للشركات الأجنبية في القطاعات الناشئة كالطاقة المتجددة، وتعظيم الفائدة من السياسات </w:t>
      </w:r>
      <w:proofErr w:type="spellStart"/>
      <w:r w:rsidRPr="006D0851">
        <w:rPr>
          <w:rFonts w:ascii="Simplified Arabic" w:eastAsia="Times New Roman" w:hAnsi="Simplified Arabic" w:cs="Simplified Arabic"/>
          <w:color w:val="000000" w:themeColor="text1"/>
          <w:kern w:val="0"/>
          <w:sz w:val="28"/>
          <w:szCs w:val="28"/>
          <w:rtl/>
          <w14:ligatures w14:val="none"/>
        </w:rPr>
        <w:t>الدعومية</w:t>
      </w:r>
      <w:proofErr w:type="spellEnd"/>
      <w:r w:rsidRPr="006D0851">
        <w:rPr>
          <w:rFonts w:ascii="Simplified Arabic" w:eastAsia="Times New Roman" w:hAnsi="Simplified Arabic" w:cs="Simplified Arabic"/>
          <w:color w:val="000000" w:themeColor="text1"/>
          <w:kern w:val="0"/>
          <w:sz w:val="28"/>
          <w:szCs w:val="28"/>
          <w:rtl/>
          <w14:ligatures w14:val="none"/>
        </w:rPr>
        <w:t xml:space="preserve"> في إطار التخطيط متعدد الأهداف. وفي إطار مكمّل، يُبيّن</w:t>
      </w:r>
      <w:r w:rsidRPr="006D0851">
        <w:rPr>
          <w:rFonts w:ascii="Simplified Arabic" w:eastAsia="Times New Roman" w:hAnsi="Simplified Arabic" w:cs="Simplified Arabic"/>
          <w:color w:val="000000" w:themeColor="text1"/>
          <w:kern w:val="0"/>
          <w:sz w:val="28"/>
          <w:szCs w:val="28"/>
          <w:lang w:bidi="ar-EG"/>
          <w14:ligatures w14:val="none"/>
        </w:rPr>
        <w:t xml:space="preserve"> (Jiang et al., 2022) </w:t>
      </w:r>
      <w:r w:rsidRPr="006D0851">
        <w:rPr>
          <w:rFonts w:ascii="Simplified Arabic" w:eastAsia="Times New Roman" w:hAnsi="Simplified Arabic" w:cs="Simplified Arabic"/>
          <w:color w:val="000000" w:themeColor="text1"/>
          <w:kern w:val="0"/>
          <w:sz w:val="28"/>
          <w:szCs w:val="28"/>
          <w:rtl/>
          <w14:ligatures w14:val="none"/>
        </w:rPr>
        <w:t>أن من بين الأهداف غير المعلنة للحوافز تشجيع المنشآت الصغيرة والمتوسطة على التوسع الاستثماري الدولي، وتسهيل قراراتها في الانتقال من السوق المحلية إلى الأسواق العابرة للحدود</w:t>
      </w:r>
      <w:r w:rsidRPr="006D0851">
        <w:rPr>
          <w:rFonts w:ascii="Simplified Arabic" w:eastAsia="Times New Roman" w:hAnsi="Simplified Arabic" w:cs="Simplified Arabic"/>
          <w:color w:val="000000" w:themeColor="text1"/>
          <w:kern w:val="0"/>
          <w:sz w:val="28"/>
          <w:szCs w:val="28"/>
          <w:lang w:bidi="ar-EG"/>
          <w14:ligatures w14:val="none"/>
        </w:rPr>
        <w:t>.</w:t>
      </w:r>
    </w:p>
    <w:p w14:paraId="5E87B8E8"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ويستكمل</w:t>
      </w:r>
      <w:r w:rsidRPr="006D0851">
        <w:rPr>
          <w:rFonts w:ascii="Simplified Arabic" w:eastAsia="Times New Roman" w:hAnsi="Simplified Arabic" w:cs="Simplified Arabic"/>
          <w:color w:val="000000" w:themeColor="text1"/>
          <w:kern w:val="0"/>
          <w:sz w:val="28"/>
          <w:szCs w:val="28"/>
          <w:lang w:bidi="ar-EG"/>
          <w14:ligatures w14:val="none"/>
        </w:rPr>
        <w:t xml:space="preserve"> (Kong et al., 2021) </w:t>
      </w:r>
      <w:r w:rsidRPr="006D0851">
        <w:rPr>
          <w:rFonts w:ascii="Simplified Arabic" w:eastAsia="Times New Roman" w:hAnsi="Simplified Arabic" w:cs="Simplified Arabic"/>
          <w:color w:val="000000" w:themeColor="text1"/>
          <w:kern w:val="0"/>
          <w:sz w:val="28"/>
          <w:szCs w:val="28"/>
          <w:rtl/>
          <w14:ligatures w14:val="none"/>
        </w:rPr>
        <w:t>قائمة الأهداف بإضافة بُعد كفاءة تخصيص الموارد، إذ يرى أن الحوافز تستهدف معالجة سوء توزيع الموارد الإنتاجية وتحسين كفاءة الإنتاج، وتوجيه قرارات الاستثمار الخارجي للشركات بطريقة تنسجم مع الأولويات الكلية للاقتصاد</w:t>
      </w:r>
      <w:r w:rsidRPr="006D0851">
        <w:rPr>
          <w:rFonts w:ascii="Simplified Arabic" w:eastAsia="Times New Roman" w:hAnsi="Simplified Arabic" w:cs="Simplified Arabic"/>
          <w:color w:val="000000" w:themeColor="text1"/>
          <w:kern w:val="0"/>
          <w:sz w:val="28"/>
          <w:szCs w:val="28"/>
          <w:lang w:bidi="ar-EG"/>
          <w14:ligatures w14:val="none"/>
        </w:rPr>
        <w:t>.</w:t>
      </w:r>
    </w:p>
    <w:p w14:paraId="17CD92D2" w14:textId="7BDC0606" w:rsidR="00D37D41" w:rsidRPr="006D0851" w:rsidRDefault="00B955DD" w:rsidP="00B955D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2" w:name="_Toc233659091"/>
      <w:r w:rsidRPr="006D0851">
        <w:rPr>
          <w:rFonts w:ascii="Simplified Arabic" w:eastAsia="Times New Roman" w:hAnsi="Simplified Arabic" w:cs="Simplified Arabic" w:hint="cs"/>
          <w:b/>
          <w:bCs/>
          <w:color w:val="000000" w:themeColor="text1"/>
          <w:kern w:val="0"/>
          <w:sz w:val="32"/>
          <w:szCs w:val="32"/>
          <w:rtl/>
          <w14:ligatures w14:val="none"/>
        </w:rPr>
        <w:t>5.1.2</w:t>
      </w:r>
      <w:r w:rsidR="00D37D41" w:rsidRPr="006D0851">
        <w:rPr>
          <w:rFonts w:ascii="Simplified Arabic" w:eastAsia="Times New Roman" w:hAnsi="Simplified Arabic" w:cs="Simplified Arabic"/>
          <w:b/>
          <w:bCs/>
          <w:color w:val="000000" w:themeColor="text1"/>
          <w:kern w:val="0"/>
          <w:sz w:val="32"/>
          <w:szCs w:val="32"/>
          <w:rtl/>
          <w14:ligatures w14:val="none"/>
        </w:rPr>
        <w:t xml:space="preserve"> أبعاد الحوافز الاستثمارية</w:t>
      </w:r>
      <w:bookmarkEnd w:id="42"/>
    </w:p>
    <w:p w14:paraId="44864367"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تم تحديد أبعاد الحوافز الاستثمارية في الدراسة الحالية بناءً على دراسة</w:t>
      </w:r>
      <w:r w:rsidRPr="006D0851">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D0851">
        <w:rPr>
          <w:rFonts w:ascii="Simplified Arabic" w:eastAsia="Times New Roman" w:hAnsi="Simplified Arabic" w:cs="Simplified Arabic"/>
          <w:color w:val="000000" w:themeColor="text1"/>
          <w:kern w:val="0"/>
          <w:sz w:val="28"/>
          <w:szCs w:val="28"/>
          <w:lang w:bidi="ar-EG"/>
          <w14:ligatures w14:val="none"/>
        </w:rPr>
        <w:t>Kronfol</w:t>
      </w:r>
      <w:proofErr w:type="spellEnd"/>
      <w:r w:rsidRPr="006D0851">
        <w:rPr>
          <w:rFonts w:ascii="Simplified Arabic" w:eastAsia="Times New Roman" w:hAnsi="Simplified Arabic" w:cs="Simplified Arabic"/>
          <w:color w:val="000000" w:themeColor="text1"/>
          <w:kern w:val="0"/>
          <w:sz w:val="28"/>
          <w:szCs w:val="28"/>
          <w:lang w:bidi="ar-EG"/>
          <w14:ligatures w14:val="none"/>
        </w:rPr>
        <w:t xml:space="preserve"> &amp; </w:t>
      </w:r>
      <w:proofErr w:type="spellStart"/>
      <w:r w:rsidRPr="006D0851">
        <w:rPr>
          <w:rFonts w:ascii="Simplified Arabic" w:eastAsia="Times New Roman" w:hAnsi="Simplified Arabic" w:cs="Simplified Arabic"/>
          <w:color w:val="000000" w:themeColor="text1"/>
          <w:kern w:val="0"/>
          <w:sz w:val="28"/>
          <w:szCs w:val="28"/>
          <w:lang w:bidi="ar-EG"/>
          <w14:ligatures w14:val="none"/>
        </w:rPr>
        <w:t>Steenbergen</w:t>
      </w:r>
      <w:proofErr w:type="spellEnd"/>
      <w:r w:rsidRPr="006D0851">
        <w:rPr>
          <w:rFonts w:ascii="Simplified Arabic" w:eastAsia="Times New Roman" w:hAnsi="Simplified Arabic" w:cs="Simplified Arabic"/>
          <w:color w:val="000000" w:themeColor="text1"/>
          <w:kern w:val="0"/>
          <w:sz w:val="28"/>
          <w:szCs w:val="28"/>
          <w:lang w:bidi="ar-EG"/>
          <w14:ligatures w14:val="none"/>
        </w:rPr>
        <w:t xml:space="preserve">, 2024) </w:t>
      </w:r>
      <w:r w:rsidRPr="006D0851">
        <w:rPr>
          <w:rFonts w:ascii="Simplified Arabic" w:eastAsia="Times New Roman" w:hAnsi="Simplified Arabic" w:cs="Simplified Arabic"/>
          <w:color w:val="000000" w:themeColor="text1"/>
          <w:kern w:val="0"/>
          <w:sz w:val="28"/>
          <w:szCs w:val="28"/>
          <w:rtl/>
          <w14:ligatures w14:val="none"/>
        </w:rPr>
        <w:t>باعتبارها الأكثر شمولاً في تصنيف الحوافز ضمن أطر السياسات الاستثمارية الحديثة، ودراسة (المالكي، 2022) لمواءمتها مع السياق السعودي ورؤية 2030، ودراسة (عمران، 2024) لشمولها البعد الضريبي في السياق العربي، ودراسة (مداني، 2022) و(علي وآخرون، 2024) للبعد المتعلق بالبنية التحتية والمناطق الاقتصادية. وقد استقرت الدراسة على أربعة أبعاد رئيسية، تُمثّل تصنيفاً وظيفياً ينسجم مع المنظومة التشريعية والمؤسسية السعودية، وتتيح قياساً موضوعياً لإدراك المستثمر الأجنبي تجاه كل بُعد على حدة</w:t>
      </w:r>
      <w:r w:rsidRPr="006D0851">
        <w:rPr>
          <w:rFonts w:ascii="Simplified Arabic" w:eastAsia="Times New Roman" w:hAnsi="Simplified Arabic" w:cs="Simplified Arabic"/>
          <w:color w:val="000000" w:themeColor="text1"/>
          <w:kern w:val="0"/>
          <w:sz w:val="28"/>
          <w:szCs w:val="28"/>
          <w:lang w:bidi="ar-EG"/>
          <w14:ligatures w14:val="none"/>
        </w:rPr>
        <w:t>.</w:t>
      </w:r>
    </w:p>
    <w:p w14:paraId="6DD49A56" w14:textId="77777777" w:rsidR="00D37D41" w:rsidRPr="006D0851" w:rsidRDefault="00D37D41" w:rsidP="002B43B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6D0851">
        <w:rPr>
          <w:rFonts w:ascii="Simplified Arabic" w:eastAsia="Times New Roman" w:hAnsi="Simplified Arabic" w:cs="Simplified Arabic"/>
          <w:b/>
          <w:bCs/>
          <w:color w:val="000000" w:themeColor="text1"/>
          <w:kern w:val="0"/>
          <w:sz w:val="28"/>
          <w:szCs w:val="28"/>
          <w:rtl/>
          <w14:ligatures w14:val="none"/>
        </w:rPr>
        <w:t>البعد الأول: الحوافز الضريبية</w:t>
      </w:r>
    </w:p>
    <w:p w14:paraId="1031BFDE"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lastRenderedPageBreak/>
        <w:t>تُمثّل الحوافز الضريبية الأداة الأقدم والأكثر شيوعاً في منظومة الحوافز الاستثمارية، وتتجسد في صور متعددة تتراوح بين الإعفاء الكلي والجزئي من الضرائب، والتخفيضات الجمركية، والإهلاك المتسارع، واتفاقيات تجنب الازدواج الضريبي، وتأجيل سداد الضرائب، ومنح الائتمان الضريبي. ويُعالج (زيدان، 2022) هذا البعد بوصفه أداةً ذات طبيعة تحفيزية مزدوجة، تعمل من جهة على تقليص العبء الضريبي الواقع على المستثمر، وتعمل من جهة أخرى على بث رسائل إيجابية إلى الأسواق الدولية بشأن انفتاح الدولة المضيفة على رأس المال الأجنبي</w:t>
      </w:r>
      <w:r w:rsidRPr="006D0851">
        <w:rPr>
          <w:rFonts w:ascii="Simplified Arabic" w:eastAsia="Times New Roman" w:hAnsi="Simplified Arabic" w:cs="Simplified Arabic"/>
          <w:color w:val="000000" w:themeColor="text1"/>
          <w:kern w:val="0"/>
          <w:sz w:val="28"/>
          <w:szCs w:val="28"/>
          <w:lang w:bidi="ar-EG"/>
          <w14:ligatures w14:val="none"/>
        </w:rPr>
        <w:t>.</w:t>
      </w:r>
    </w:p>
    <w:p w14:paraId="5F9A6D68"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ويُقدّم (</w:t>
      </w:r>
      <w:proofErr w:type="spellStart"/>
      <w:r w:rsidRPr="006D0851">
        <w:rPr>
          <w:rFonts w:ascii="Simplified Arabic" w:eastAsia="Times New Roman" w:hAnsi="Simplified Arabic" w:cs="Simplified Arabic"/>
          <w:color w:val="000000" w:themeColor="text1"/>
          <w:kern w:val="0"/>
          <w:sz w:val="28"/>
          <w:szCs w:val="28"/>
          <w:rtl/>
          <w14:ligatures w14:val="none"/>
        </w:rPr>
        <w:t>بوخدوني</w:t>
      </w:r>
      <w:proofErr w:type="spellEnd"/>
      <w:r w:rsidRPr="006D0851">
        <w:rPr>
          <w:rFonts w:ascii="Simplified Arabic" w:eastAsia="Times New Roman" w:hAnsi="Simplified Arabic" w:cs="Simplified Arabic"/>
          <w:color w:val="000000" w:themeColor="text1"/>
          <w:kern w:val="0"/>
          <w:sz w:val="28"/>
          <w:szCs w:val="28"/>
          <w:rtl/>
          <w14:ligatures w14:val="none"/>
        </w:rPr>
        <w:t xml:space="preserve"> وقاسي، 2022) معالجة للحوافز الضريبية من زاوية التنافسية الجبائية المشروعة، إذ يُميّز بين الممارسات الضريبية المقبولة دولياً والممارسات الضارة التي تُخل بقواعد المنافسة العادلة. ويُكسب هذا التمييز البعدَ الضريبي طبيعةً قانونية ودولية، تتجاوز كونه مجرد أداة محلية إلى كونه عنصراً في منظومة التنافس الدولي على الاستثمار</w:t>
      </w:r>
      <w:r w:rsidRPr="006D0851">
        <w:rPr>
          <w:rFonts w:ascii="Simplified Arabic" w:eastAsia="Times New Roman" w:hAnsi="Simplified Arabic" w:cs="Simplified Arabic"/>
          <w:color w:val="000000" w:themeColor="text1"/>
          <w:kern w:val="0"/>
          <w:sz w:val="28"/>
          <w:szCs w:val="28"/>
          <w:lang w:bidi="ar-EG"/>
          <w14:ligatures w14:val="none"/>
        </w:rPr>
        <w:t>.</w:t>
      </w:r>
    </w:p>
    <w:p w14:paraId="42640CBE"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وفي امتداد لذلك، تتسع الحوافز الضريبية لتشمل اتفاقيات تجنب الازدواج الضريبي التي تُبرمها الدولة المضيفة مع الدول المُصدِّرة لرأس المال، وهي اتفاقيات تُلغي حالة الازدواج التي تُثقل كاهل المستثمر، وتُوفّر له بيئة ضريبية مستقرة عبر الحدود. ويُسهم هذا النوع من الحوافز في تعزيز التدفقات بين الدول، خاصة في حالة الشركات متعددة الجنسيات التي تعمل في بيئات قانونية متعددة. كما تتضمن الحوافز الضريبية أيضاً الإعفاءات الجمركية على المدخلات الإنتاجية والمعدات المستوردة، وهي أدوات تُخفض كلفة الاستثمار في مراحله الأولى، وتُسهم في تسريع دورة الإنشاء والتشغيل</w:t>
      </w:r>
      <w:r w:rsidRPr="006D0851">
        <w:rPr>
          <w:rFonts w:ascii="Simplified Arabic" w:eastAsia="Times New Roman" w:hAnsi="Simplified Arabic" w:cs="Simplified Arabic"/>
          <w:color w:val="000000" w:themeColor="text1"/>
          <w:kern w:val="0"/>
          <w:sz w:val="28"/>
          <w:szCs w:val="28"/>
          <w:lang w:bidi="ar-EG"/>
          <w14:ligatures w14:val="none"/>
        </w:rPr>
        <w:t>.</w:t>
      </w:r>
    </w:p>
    <w:p w14:paraId="1349A653"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 xml:space="preserve">ومن منظور الأثر، تتميّز الحوافز الضريبية بكونها قابلة للقياس بدقة من حيث الأثر المالي، إلا أنها تطرح إشكالية تتعلق بالكلفة </w:t>
      </w:r>
      <w:proofErr w:type="spellStart"/>
      <w:r w:rsidRPr="006D0851">
        <w:rPr>
          <w:rFonts w:ascii="Simplified Arabic" w:eastAsia="Times New Roman" w:hAnsi="Simplified Arabic" w:cs="Simplified Arabic"/>
          <w:color w:val="000000" w:themeColor="text1"/>
          <w:kern w:val="0"/>
          <w:sz w:val="28"/>
          <w:szCs w:val="28"/>
          <w:rtl/>
          <w14:ligatures w14:val="none"/>
        </w:rPr>
        <w:t>الإيرادية</w:t>
      </w:r>
      <w:proofErr w:type="spellEnd"/>
      <w:r w:rsidRPr="006D0851">
        <w:rPr>
          <w:rFonts w:ascii="Simplified Arabic" w:eastAsia="Times New Roman" w:hAnsi="Simplified Arabic" w:cs="Simplified Arabic"/>
          <w:color w:val="000000" w:themeColor="text1"/>
          <w:kern w:val="0"/>
          <w:sz w:val="28"/>
          <w:szCs w:val="28"/>
          <w:rtl/>
          <w14:ligatures w14:val="none"/>
        </w:rPr>
        <w:t xml:space="preserve"> على الموازنة العامة، وهو ما يجعل تصميمها يخضع لمعادلة دقيقة بين الجاذبية للمستثمر والاستدامة المالية للدولة. وتزداد فاعلية هذا البعد حين يُدمج مع حوافز أخرى ضمن حزمة متكاملة، إذ يصعب أن تُحقق الحوافز الضريبية وحدها أهداف التوطين الاستثماري دون منظومة داعمة من الحوافز التشريعية والتنظيمية والمالية</w:t>
      </w:r>
      <w:r w:rsidRPr="006D0851">
        <w:rPr>
          <w:rFonts w:ascii="Simplified Arabic" w:eastAsia="Times New Roman" w:hAnsi="Simplified Arabic" w:cs="Simplified Arabic"/>
          <w:color w:val="000000" w:themeColor="text1"/>
          <w:kern w:val="0"/>
          <w:sz w:val="28"/>
          <w:szCs w:val="28"/>
          <w:lang w:bidi="ar-EG"/>
          <w14:ligatures w14:val="none"/>
        </w:rPr>
        <w:t>.</w:t>
      </w:r>
    </w:p>
    <w:p w14:paraId="0B7E74B4" w14:textId="77777777" w:rsidR="00D37D41" w:rsidRPr="006D0851" w:rsidRDefault="00D37D41" w:rsidP="002B43B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6D0851">
        <w:rPr>
          <w:rFonts w:ascii="Simplified Arabic" w:eastAsia="Times New Roman" w:hAnsi="Simplified Arabic" w:cs="Simplified Arabic"/>
          <w:b/>
          <w:bCs/>
          <w:color w:val="000000" w:themeColor="text1"/>
          <w:kern w:val="0"/>
          <w:sz w:val="28"/>
          <w:szCs w:val="28"/>
          <w:rtl/>
          <w14:ligatures w14:val="none"/>
        </w:rPr>
        <w:t>البعد الثاني: الحوافز المالية</w:t>
      </w:r>
    </w:p>
    <w:p w14:paraId="0D4FD9DC"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 xml:space="preserve">تُمثّل الحوافز المالية البعد الثاني في المنظومة، وتتجسد في المنح المباشرة، والقروض الميسّرة، وضمانات الائتمان، وبرامج الدعم المالي، والمشاركة في رأس المال، ودعم تكاليف التدريب، وتعويض جزء </w:t>
      </w:r>
      <w:r w:rsidRPr="006D0851">
        <w:rPr>
          <w:rFonts w:ascii="Simplified Arabic" w:eastAsia="Times New Roman" w:hAnsi="Simplified Arabic" w:cs="Simplified Arabic"/>
          <w:color w:val="000000" w:themeColor="text1"/>
          <w:kern w:val="0"/>
          <w:sz w:val="28"/>
          <w:szCs w:val="28"/>
          <w:rtl/>
          <w14:ligatures w14:val="none"/>
        </w:rPr>
        <w:lastRenderedPageBreak/>
        <w:t>من نفقات البحث والتطوير. ويُقاربها (</w:t>
      </w:r>
      <w:proofErr w:type="spellStart"/>
      <w:r w:rsidRPr="006D0851">
        <w:rPr>
          <w:rFonts w:ascii="Simplified Arabic" w:eastAsia="Times New Roman" w:hAnsi="Simplified Arabic" w:cs="Simplified Arabic"/>
          <w:color w:val="000000" w:themeColor="text1"/>
          <w:kern w:val="0"/>
          <w:sz w:val="28"/>
          <w:szCs w:val="28"/>
          <w:rtl/>
          <w14:ligatures w14:val="none"/>
        </w:rPr>
        <w:t>المصلوخي</w:t>
      </w:r>
      <w:proofErr w:type="spellEnd"/>
      <w:r w:rsidRPr="006D0851">
        <w:rPr>
          <w:rFonts w:ascii="Simplified Arabic" w:eastAsia="Times New Roman" w:hAnsi="Simplified Arabic" w:cs="Simplified Arabic"/>
          <w:color w:val="000000" w:themeColor="text1"/>
          <w:kern w:val="0"/>
          <w:sz w:val="28"/>
          <w:szCs w:val="28"/>
          <w:rtl/>
          <w14:ligatures w14:val="none"/>
        </w:rPr>
        <w:t>، 2024) من زاوية إدارية تربط بين الحوافز المالية ومخرجاتها التحفيزية، إذ تعمل بوصفها أداة مباشرة لرفع جاذبية الاستثمار وتعظيم العائد المتوقع على رأس المال المُوظَّف</w:t>
      </w:r>
      <w:r w:rsidRPr="006D0851">
        <w:rPr>
          <w:rFonts w:ascii="Simplified Arabic" w:eastAsia="Times New Roman" w:hAnsi="Simplified Arabic" w:cs="Simplified Arabic"/>
          <w:color w:val="000000" w:themeColor="text1"/>
          <w:kern w:val="0"/>
          <w:sz w:val="28"/>
          <w:szCs w:val="28"/>
          <w:lang w:bidi="ar-EG"/>
          <w14:ligatures w14:val="none"/>
        </w:rPr>
        <w:t>.</w:t>
      </w:r>
    </w:p>
    <w:p w14:paraId="4B6596CD"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ويتميّز هذا البعد عن الحوافز الضريبية بكونه يُقدّم منفعة فورية وملموسة للمستثمر، تظهر آثارها في المراحل المبكرة من المشروع الاستثماري، وهو ما يجعلها أداةً جاذبة للمستثمرين الذين يواجهون قيوداً على السيولة في مراحل التأسيس. ويُعالج (</w:t>
      </w:r>
      <w:proofErr w:type="spellStart"/>
      <w:r w:rsidRPr="006D0851">
        <w:rPr>
          <w:rFonts w:ascii="Simplified Arabic" w:eastAsia="Times New Roman" w:hAnsi="Simplified Arabic" w:cs="Simplified Arabic"/>
          <w:color w:val="000000" w:themeColor="text1"/>
          <w:kern w:val="0"/>
          <w:sz w:val="28"/>
          <w:szCs w:val="28"/>
          <w:rtl/>
          <w14:ligatures w14:val="none"/>
        </w:rPr>
        <w:t>توام</w:t>
      </w:r>
      <w:proofErr w:type="spellEnd"/>
      <w:r w:rsidRPr="006D0851">
        <w:rPr>
          <w:rFonts w:ascii="Simplified Arabic" w:eastAsia="Times New Roman" w:hAnsi="Simplified Arabic" w:cs="Simplified Arabic"/>
          <w:color w:val="000000" w:themeColor="text1"/>
          <w:kern w:val="0"/>
          <w:sz w:val="28"/>
          <w:szCs w:val="28"/>
          <w:rtl/>
          <w14:ligatures w14:val="none"/>
        </w:rPr>
        <w:t xml:space="preserve"> </w:t>
      </w:r>
      <w:proofErr w:type="spellStart"/>
      <w:r w:rsidRPr="006D0851">
        <w:rPr>
          <w:rFonts w:ascii="Simplified Arabic" w:eastAsia="Times New Roman" w:hAnsi="Simplified Arabic" w:cs="Simplified Arabic"/>
          <w:color w:val="000000" w:themeColor="text1"/>
          <w:kern w:val="0"/>
          <w:sz w:val="28"/>
          <w:szCs w:val="28"/>
          <w:rtl/>
          <w14:ligatures w14:val="none"/>
        </w:rPr>
        <w:t>وكلاخي</w:t>
      </w:r>
      <w:proofErr w:type="spellEnd"/>
      <w:r w:rsidRPr="006D0851">
        <w:rPr>
          <w:rFonts w:ascii="Simplified Arabic" w:eastAsia="Times New Roman" w:hAnsi="Simplified Arabic" w:cs="Simplified Arabic"/>
          <w:color w:val="000000" w:themeColor="text1"/>
          <w:kern w:val="0"/>
          <w:sz w:val="28"/>
          <w:szCs w:val="28"/>
          <w:rtl/>
          <w14:ligatures w14:val="none"/>
        </w:rPr>
        <w:t>، 2021) العلاقة بين الحوافز المادية ومخرجاتها بصورة تكشف عن قدرة الحوافز المالية على تحفيز سلوك إيجابي تجاه الأداء، وهو ما يُمكن قياسه أيضاً على مستوى المنشآت الاستثمارية الكبرى التي تستجيب لحوافز السيولة والتمويل بأنماط مماثلة</w:t>
      </w:r>
      <w:r w:rsidRPr="006D0851">
        <w:rPr>
          <w:rFonts w:ascii="Simplified Arabic" w:eastAsia="Times New Roman" w:hAnsi="Simplified Arabic" w:cs="Simplified Arabic"/>
          <w:color w:val="000000" w:themeColor="text1"/>
          <w:kern w:val="0"/>
          <w:sz w:val="28"/>
          <w:szCs w:val="28"/>
          <w:lang w:bidi="ar-EG"/>
          <w14:ligatures w14:val="none"/>
        </w:rPr>
        <w:t>.</w:t>
      </w:r>
    </w:p>
    <w:p w14:paraId="13571410"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وتتمتع الحوافز المالية بمرونة تصميمية عالية، إذ يمكن توجيهها بشكل انتقائي نحو قطاعات أو مناطق أو شرائح مستثمرين بعينها، كما يمكن ربطها بمؤشرات أداء قابلة للقياس، مثل حجم العمالة المُولَّدة، أو حجم التصدير، أو نسبة المحتوى المحلي. ويُقدّم</w:t>
      </w:r>
      <w:r w:rsidRPr="006D0851">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D0851">
        <w:rPr>
          <w:rFonts w:ascii="Simplified Arabic" w:eastAsia="Times New Roman" w:hAnsi="Simplified Arabic" w:cs="Simplified Arabic"/>
          <w:color w:val="000000" w:themeColor="text1"/>
          <w:kern w:val="0"/>
          <w:sz w:val="28"/>
          <w:szCs w:val="28"/>
          <w:lang w:bidi="ar-EG"/>
          <w14:ligatures w14:val="none"/>
        </w:rPr>
        <w:t>Bobeni</w:t>
      </w:r>
      <w:r w:rsidRPr="006D0851">
        <w:rPr>
          <w:rFonts w:ascii="Cambria" w:eastAsia="Times New Roman" w:hAnsi="Cambria" w:cs="Cambria"/>
          <w:color w:val="000000" w:themeColor="text1"/>
          <w:kern w:val="0"/>
          <w:sz w:val="28"/>
          <w:szCs w:val="28"/>
          <w:lang w:bidi="ar-EG"/>
          <w14:ligatures w14:val="none"/>
        </w:rPr>
        <w:t>č</w:t>
      </w:r>
      <w:proofErr w:type="spellEnd"/>
      <w:r w:rsidRPr="006D0851">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D0851">
        <w:rPr>
          <w:rFonts w:ascii="Simplified Arabic" w:eastAsia="Times New Roman" w:hAnsi="Simplified Arabic" w:cs="Simplified Arabic"/>
          <w:color w:val="000000" w:themeColor="text1"/>
          <w:kern w:val="0"/>
          <w:sz w:val="28"/>
          <w:szCs w:val="28"/>
          <w:lang w:bidi="ar-EG"/>
          <w14:ligatures w14:val="none"/>
        </w:rPr>
        <w:t>Hintošov</w:t>
      </w:r>
      <w:r w:rsidRPr="006D0851">
        <w:rPr>
          <w:rFonts w:ascii="Cambria" w:eastAsia="Times New Roman" w:hAnsi="Cambria" w:cs="Cambria"/>
          <w:color w:val="000000" w:themeColor="text1"/>
          <w:kern w:val="0"/>
          <w:sz w:val="28"/>
          <w:szCs w:val="28"/>
          <w:lang w:bidi="ar-EG"/>
          <w14:ligatures w14:val="none"/>
        </w:rPr>
        <w:t>á</w:t>
      </w:r>
      <w:proofErr w:type="spellEnd"/>
      <w:r w:rsidRPr="006D0851">
        <w:rPr>
          <w:rFonts w:ascii="Simplified Arabic" w:eastAsia="Times New Roman" w:hAnsi="Simplified Arabic" w:cs="Simplified Arabic"/>
          <w:color w:val="000000" w:themeColor="text1"/>
          <w:kern w:val="0"/>
          <w:sz w:val="28"/>
          <w:szCs w:val="28"/>
          <w:lang w:bidi="ar-EG"/>
          <w14:ligatures w14:val="none"/>
        </w:rPr>
        <w:t xml:space="preserve"> et al., 2021) </w:t>
      </w:r>
      <w:r w:rsidRPr="006D0851">
        <w:rPr>
          <w:rFonts w:ascii="Simplified Arabic" w:eastAsia="Times New Roman" w:hAnsi="Simplified Arabic" w:cs="Simplified Arabic"/>
          <w:color w:val="000000" w:themeColor="text1"/>
          <w:kern w:val="0"/>
          <w:sz w:val="28"/>
          <w:szCs w:val="28"/>
          <w:rtl/>
          <w14:ligatures w14:val="none"/>
        </w:rPr>
        <w:t>قراءة لهذا البعد تُمايز بين الآثار المباشرة المتمثلة في خفض كلفة رأس المال، والآثار غير المباشرة المتمثلة في تنشيط الروابط مع المنشآت المحلية، وهو ما يُكسب الحوافز المالية بعداً اقتصادياً مضاعفاً</w:t>
      </w:r>
      <w:r w:rsidRPr="006D0851">
        <w:rPr>
          <w:rFonts w:ascii="Simplified Arabic" w:eastAsia="Times New Roman" w:hAnsi="Simplified Arabic" w:cs="Simplified Arabic"/>
          <w:color w:val="000000" w:themeColor="text1"/>
          <w:kern w:val="0"/>
          <w:sz w:val="28"/>
          <w:szCs w:val="28"/>
          <w:lang w:bidi="ar-EG"/>
          <w14:ligatures w14:val="none"/>
        </w:rPr>
        <w:t>.</w:t>
      </w:r>
    </w:p>
    <w:p w14:paraId="0EA95845"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غير أن هذا البعد يطرح تحديات تتعلق بالاستدامة المالية وبخطر الاتكالية، إذ يميل بعض المستثمرين إلى ربط استمرارية مشاريعهم باستمرار الدعم، وهو ما يستدعي تصميم آليات تدريجية لخفض الدعم بمرور الزمن، وربطه بتحقيق مؤشرات أداء واضحة. وتتعزز فاعلية الحوافز المالية حين تُقدَّم في إطار شراكة استراتيجية بين القطاعين العام والخاص، وحين تُربط بأولويات وطنية محددة، بدلاً من تقديمها بصورة عامة وغير موجهة</w:t>
      </w:r>
      <w:r w:rsidRPr="006D0851">
        <w:rPr>
          <w:rFonts w:ascii="Simplified Arabic" w:eastAsia="Times New Roman" w:hAnsi="Simplified Arabic" w:cs="Simplified Arabic"/>
          <w:color w:val="000000" w:themeColor="text1"/>
          <w:kern w:val="0"/>
          <w:sz w:val="28"/>
          <w:szCs w:val="28"/>
          <w:lang w:bidi="ar-EG"/>
          <w14:ligatures w14:val="none"/>
        </w:rPr>
        <w:t>.</w:t>
      </w:r>
    </w:p>
    <w:p w14:paraId="11AC1A39" w14:textId="77777777" w:rsidR="00D37D41" w:rsidRPr="006D0851" w:rsidRDefault="00D37D41" w:rsidP="002B43B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6D0851">
        <w:rPr>
          <w:rFonts w:ascii="Simplified Arabic" w:eastAsia="Times New Roman" w:hAnsi="Simplified Arabic" w:cs="Simplified Arabic"/>
          <w:b/>
          <w:bCs/>
          <w:color w:val="000000" w:themeColor="text1"/>
          <w:kern w:val="0"/>
          <w:sz w:val="28"/>
          <w:szCs w:val="28"/>
          <w:rtl/>
          <w14:ligatures w14:val="none"/>
        </w:rPr>
        <w:t>البعد الثالث: الحوافز التنظيمية والتشريعية</w:t>
      </w:r>
    </w:p>
    <w:p w14:paraId="1276B74E"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يُعدّ هذا البعد الأكثر تطوراً في الفكر الحديث للحوافز الاستثمارية، إذ ينتقل بالحوافز من كونها أعباءً مالية تتحملها الدولة، إلى كونها بنية مؤسسية وتشريعية تُيسّر الاستثمار وتُخفّض كلفة المعاملات. ويتناول (الذيابي، 2023) هذا البعد بوصفه إصلاحات تشريعية حديثة تشمل تبسيط إجراءات التراخيص، وإنشاء النوافذ الموحدة، وتقليص أزمنة التأسيس، وتحديث منظومة حماية الملكية الفكرية، وتطوير أنظمة تسوية المنازعات التجارية والاستثمارية</w:t>
      </w:r>
      <w:r w:rsidRPr="006D0851">
        <w:rPr>
          <w:rFonts w:ascii="Simplified Arabic" w:eastAsia="Times New Roman" w:hAnsi="Simplified Arabic" w:cs="Simplified Arabic"/>
          <w:color w:val="000000" w:themeColor="text1"/>
          <w:kern w:val="0"/>
          <w:sz w:val="28"/>
          <w:szCs w:val="28"/>
          <w:lang w:bidi="ar-EG"/>
          <w14:ligatures w14:val="none"/>
        </w:rPr>
        <w:t>.</w:t>
      </w:r>
    </w:p>
    <w:p w14:paraId="6F62E075"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lastRenderedPageBreak/>
        <w:t>ويُكمل (حماد، 2025) هذه المعالجة بإبراز البعد الدولي للضمانات والحوافز، حيث تتقاطع التشريعات الوطنية مع الاتفاقيات الدولية لحماية الاستثمار، بما يُكوّن منظومة متعددة المستويات تكفل للمستثمر بيئة قانونية مستقرة. وتتعزز هذه المعالجة بإسهامات</w:t>
      </w:r>
      <w:r w:rsidRPr="006D0851">
        <w:rPr>
          <w:rFonts w:ascii="Simplified Arabic" w:eastAsia="Times New Roman" w:hAnsi="Simplified Arabic" w:cs="Simplified Arabic"/>
          <w:color w:val="000000" w:themeColor="text1"/>
          <w:kern w:val="0"/>
          <w:sz w:val="28"/>
          <w:szCs w:val="28"/>
          <w:lang w:bidi="ar-EG"/>
          <w14:ligatures w14:val="none"/>
        </w:rPr>
        <w:t xml:space="preserve"> (Binkhamis et al., 2025) </w:t>
      </w:r>
      <w:r w:rsidRPr="006D0851">
        <w:rPr>
          <w:rFonts w:ascii="Simplified Arabic" w:eastAsia="Times New Roman" w:hAnsi="Simplified Arabic" w:cs="Simplified Arabic"/>
          <w:color w:val="000000" w:themeColor="text1"/>
          <w:kern w:val="0"/>
          <w:sz w:val="28"/>
          <w:szCs w:val="28"/>
          <w:rtl/>
          <w14:ligatures w14:val="none"/>
        </w:rPr>
        <w:t>حول أطر حماية الاستثمار في السياق السعودي، التي تُعدّ نموذجاً لتكامل المنظومتين المحلية والدولية ضمن رؤية 2030</w:t>
      </w:r>
      <w:r w:rsidRPr="006D0851">
        <w:rPr>
          <w:rFonts w:ascii="Simplified Arabic" w:eastAsia="Times New Roman" w:hAnsi="Simplified Arabic" w:cs="Simplified Arabic"/>
          <w:color w:val="000000" w:themeColor="text1"/>
          <w:kern w:val="0"/>
          <w:sz w:val="28"/>
          <w:szCs w:val="28"/>
          <w:lang w:bidi="ar-EG"/>
          <w14:ligatures w14:val="none"/>
        </w:rPr>
        <w:t>.</w:t>
      </w:r>
    </w:p>
    <w:p w14:paraId="3F49E064"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ويتضمن هذا البعد كذلك مرونة أنظمة العمل ومرونة حركة العمالة الفنية، وتسهيل إجراءات الإقامة للكوادر الأجنبية، وتبسيط منظومة الفحص الجمركي، وتقليص متطلبات الحصول على التراخيص القطاعية المتخصصة. كما يشمل إنشاء آليات تحكيم دولية تكفل سرعة البتّ في النزاعات الاستثمارية بعيداً عن بطء التقاضي التقليدي، وهو ما يُمثّل ضمانة جوهرية للمستثمر الأجنبي</w:t>
      </w:r>
      <w:r w:rsidRPr="006D0851">
        <w:rPr>
          <w:rFonts w:ascii="Simplified Arabic" w:eastAsia="Times New Roman" w:hAnsi="Simplified Arabic" w:cs="Simplified Arabic"/>
          <w:color w:val="000000" w:themeColor="text1"/>
          <w:kern w:val="0"/>
          <w:sz w:val="28"/>
          <w:szCs w:val="28"/>
          <w:lang w:bidi="ar-EG"/>
          <w14:ligatures w14:val="none"/>
        </w:rPr>
        <w:t>.</w:t>
      </w:r>
    </w:p>
    <w:p w14:paraId="103227C9"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 xml:space="preserve">ويتميّز هذا البعد بأنه يُحدث أثراً تراكمياً طويل المدى، يتجاوز الأثر الفوري للحوافز المالية والضريبية، إذ يُسهم في تشكيل صورة ذهنية للدولة بوصفها وجهة استثمارية موثوقة. كما تتمتع الحوافز التنظيمية والتشريعية بطبيعة غير </w:t>
      </w:r>
      <w:proofErr w:type="spellStart"/>
      <w:r w:rsidRPr="006D0851">
        <w:rPr>
          <w:rFonts w:ascii="Simplified Arabic" w:eastAsia="Times New Roman" w:hAnsi="Simplified Arabic" w:cs="Simplified Arabic"/>
          <w:color w:val="000000" w:themeColor="text1"/>
          <w:kern w:val="0"/>
          <w:sz w:val="28"/>
          <w:szCs w:val="28"/>
          <w:rtl/>
          <w14:ligatures w14:val="none"/>
        </w:rPr>
        <w:t>تكلفوية</w:t>
      </w:r>
      <w:proofErr w:type="spellEnd"/>
      <w:r w:rsidRPr="006D0851">
        <w:rPr>
          <w:rFonts w:ascii="Simplified Arabic" w:eastAsia="Times New Roman" w:hAnsi="Simplified Arabic" w:cs="Simplified Arabic"/>
          <w:color w:val="000000" w:themeColor="text1"/>
          <w:kern w:val="0"/>
          <w:sz w:val="28"/>
          <w:szCs w:val="28"/>
          <w:rtl/>
          <w14:ligatures w14:val="none"/>
        </w:rPr>
        <w:t xml:space="preserve"> نسبياً، إذ لا تحمل أعباء </w:t>
      </w:r>
      <w:proofErr w:type="spellStart"/>
      <w:r w:rsidRPr="006D0851">
        <w:rPr>
          <w:rFonts w:ascii="Simplified Arabic" w:eastAsia="Times New Roman" w:hAnsi="Simplified Arabic" w:cs="Simplified Arabic"/>
          <w:color w:val="000000" w:themeColor="text1"/>
          <w:kern w:val="0"/>
          <w:sz w:val="28"/>
          <w:szCs w:val="28"/>
          <w:rtl/>
          <w14:ligatures w14:val="none"/>
        </w:rPr>
        <w:t>إيرادية</w:t>
      </w:r>
      <w:proofErr w:type="spellEnd"/>
      <w:r w:rsidRPr="006D0851">
        <w:rPr>
          <w:rFonts w:ascii="Simplified Arabic" w:eastAsia="Times New Roman" w:hAnsi="Simplified Arabic" w:cs="Simplified Arabic"/>
          <w:color w:val="000000" w:themeColor="text1"/>
          <w:kern w:val="0"/>
          <w:sz w:val="28"/>
          <w:szCs w:val="28"/>
          <w:rtl/>
          <w14:ligatures w14:val="none"/>
        </w:rPr>
        <w:t xml:space="preserve"> مباشرة على الموازنة العامة، وإن كانت تتطلب جهداً مؤسسياً وإصلاحياً عميقاً لتفعيلها على أرض الواقع</w:t>
      </w:r>
      <w:r w:rsidRPr="006D0851">
        <w:rPr>
          <w:rFonts w:ascii="Simplified Arabic" w:eastAsia="Times New Roman" w:hAnsi="Simplified Arabic" w:cs="Simplified Arabic"/>
          <w:color w:val="000000" w:themeColor="text1"/>
          <w:kern w:val="0"/>
          <w:sz w:val="28"/>
          <w:szCs w:val="28"/>
          <w:lang w:bidi="ar-EG"/>
          <w14:ligatures w14:val="none"/>
        </w:rPr>
        <w:t>.</w:t>
      </w:r>
    </w:p>
    <w:p w14:paraId="6F2CFA1F" w14:textId="77777777" w:rsidR="00D37D41" w:rsidRPr="006D0851" w:rsidRDefault="00D37D41" w:rsidP="002B43B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6D0851">
        <w:rPr>
          <w:rFonts w:ascii="Simplified Arabic" w:eastAsia="Times New Roman" w:hAnsi="Simplified Arabic" w:cs="Simplified Arabic"/>
          <w:b/>
          <w:bCs/>
          <w:color w:val="000000" w:themeColor="text1"/>
          <w:kern w:val="0"/>
          <w:sz w:val="28"/>
          <w:szCs w:val="28"/>
          <w:rtl/>
          <w14:ligatures w14:val="none"/>
        </w:rPr>
        <w:t>البعد الرابع: حوافز البنية التحتية والمناطق الاقتصادية</w:t>
      </w:r>
    </w:p>
    <w:p w14:paraId="2B8468A1"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يُمثّل هذا البعد الجيل الأحدث من الحوافز الاستثمارية، إذ يتجاوز المنح والإعفاءات إلى تقديم بنية تحتية متكاملة تُختصر فيها كلفة الاستثمار وتُيسَّر فيها العمليات التشغيلية. وتتناول (مداني، 2022) هذا البعد من زاوية استراتيجية توطين المناطق الاقتصادية الخاصة والمناطق الصناعية، بوصفها أداةً مركّبة تجمع بين الحوافز المالية والضريبية والتنظيمية في حيز جغرافي محدد، مما يُعظّم من جاذبيتها</w:t>
      </w:r>
      <w:r w:rsidRPr="006D0851">
        <w:rPr>
          <w:rFonts w:ascii="Simplified Arabic" w:eastAsia="Times New Roman" w:hAnsi="Simplified Arabic" w:cs="Simplified Arabic"/>
          <w:color w:val="000000" w:themeColor="text1"/>
          <w:kern w:val="0"/>
          <w:sz w:val="28"/>
          <w:szCs w:val="28"/>
          <w:lang w:bidi="ar-EG"/>
          <w14:ligatures w14:val="none"/>
        </w:rPr>
        <w:t>.</w:t>
      </w:r>
    </w:p>
    <w:p w14:paraId="11AEBB96"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ويُكمل (علي وآخرون، 2024) هذه المعالجة بتحليل دور المجمعات الصناعية في رفع القدرة التنافسية للمملكة العربية السعودية، حيث تتحول هذه المجمعات إلى أنوية للتنمية الصناعية تستقطب الاستثمارات المرتبطة وتُولّد روابط أمامية وخلفية مع الاقتصاد المحلي. وتشمل البنية التحتية في هذا البعد شبكات الطرق والموانئ والمطارات، وبنية الطاقة والمياه، والبنية الرقمية واللوجستية، فضلاً عن توفير الأراضي المخصصة للاستثمار بأسعار تفضيلية أو بحق انتفاع طويل المدى</w:t>
      </w:r>
      <w:r w:rsidRPr="006D0851">
        <w:rPr>
          <w:rFonts w:ascii="Simplified Arabic" w:eastAsia="Times New Roman" w:hAnsi="Simplified Arabic" w:cs="Simplified Arabic"/>
          <w:color w:val="000000" w:themeColor="text1"/>
          <w:kern w:val="0"/>
          <w:sz w:val="28"/>
          <w:szCs w:val="28"/>
          <w:lang w:bidi="ar-EG"/>
          <w14:ligatures w14:val="none"/>
        </w:rPr>
        <w:t>.</w:t>
      </w:r>
    </w:p>
    <w:p w14:paraId="775F2DD3"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lastRenderedPageBreak/>
        <w:t>ويُسهم (العتيبي، 2022) في إثراء هذا البعد من خلال تناوله للخدمات الإلكترونية بوصفها مكوناً جوهرياً في البنية التحتية الحديثة، إذ تُمثّل البنية الرقمية اليوم عنصراً لا غنى عنه لاستقطاب الاستثمارات في القطاعات عالية القيمة المضافة، ولرفع كفاءة العمليات اللوجستية والتشغيلية</w:t>
      </w:r>
      <w:r w:rsidRPr="006D0851">
        <w:rPr>
          <w:rFonts w:ascii="Simplified Arabic" w:eastAsia="Times New Roman" w:hAnsi="Simplified Arabic" w:cs="Simplified Arabic"/>
          <w:color w:val="000000" w:themeColor="text1"/>
          <w:kern w:val="0"/>
          <w:sz w:val="28"/>
          <w:szCs w:val="28"/>
          <w:lang w:bidi="ar-EG"/>
          <w14:ligatures w14:val="none"/>
        </w:rPr>
        <w:t>.</w:t>
      </w:r>
    </w:p>
    <w:p w14:paraId="196DEAAC"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ويتميّز هذا البعد بأنه يُقدّم منفعة جماعية للمستثمرين، تتيح لهم اقتسام البنية التحتية وخفض الكلفة الفردية، كما يُمثّل أداةً لتوجيه التوزيع الجغرافي للاستثمار بحسب أولويات التنمية الإقليمية. ويتقاطع هذا الطرح مع ما يُقدّمه</w:t>
      </w:r>
      <w:r w:rsidRPr="006D0851">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D0851">
        <w:rPr>
          <w:rFonts w:ascii="Simplified Arabic" w:eastAsia="Times New Roman" w:hAnsi="Simplified Arabic" w:cs="Simplified Arabic"/>
          <w:color w:val="000000" w:themeColor="text1"/>
          <w:kern w:val="0"/>
          <w:sz w:val="28"/>
          <w:szCs w:val="28"/>
          <w:lang w:bidi="ar-EG"/>
          <w14:ligatures w14:val="none"/>
        </w:rPr>
        <w:t>Alturki</w:t>
      </w:r>
      <w:proofErr w:type="spellEnd"/>
      <w:r w:rsidRPr="006D0851">
        <w:rPr>
          <w:rFonts w:ascii="Simplified Arabic" w:eastAsia="Times New Roman" w:hAnsi="Simplified Arabic" w:cs="Simplified Arabic"/>
          <w:color w:val="000000" w:themeColor="text1"/>
          <w:kern w:val="0"/>
          <w:sz w:val="28"/>
          <w:szCs w:val="28"/>
          <w:lang w:bidi="ar-EG"/>
          <w14:ligatures w14:val="none"/>
        </w:rPr>
        <w:t xml:space="preserve"> &amp; Al-</w:t>
      </w:r>
      <w:proofErr w:type="spellStart"/>
      <w:r w:rsidRPr="006D0851">
        <w:rPr>
          <w:rFonts w:ascii="Simplified Arabic" w:eastAsia="Times New Roman" w:hAnsi="Simplified Arabic" w:cs="Simplified Arabic"/>
          <w:color w:val="000000" w:themeColor="text1"/>
          <w:kern w:val="0"/>
          <w:sz w:val="28"/>
          <w:szCs w:val="28"/>
          <w:lang w:bidi="ar-EG"/>
          <w14:ligatures w14:val="none"/>
        </w:rPr>
        <w:t>Shammari</w:t>
      </w:r>
      <w:proofErr w:type="spellEnd"/>
      <w:r w:rsidRPr="006D0851">
        <w:rPr>
          <w:rFonts w:ascii="Simplified Arabic" w:eastAsia="Times New Roman" w:hAnsi="Simplified Arabic" w:cs="Simplified Arabic"/>
          <w:color w:val="000000" w:themeColor="text1"/>
          <w:kern w:val="0"/>
          <w:sz w:val="28"/>
          <w:szCs w:val="28"/>
          <w:lang w:bidi="ar-EG"/>
          <w14:ligatures w14:val="none"/>
        </w:rPr>
        <w:t xml:space="preserve">, 2025) </w:t>
      </w:r>
      <w:r w:rsidRPr="006D0851">
        <w:rPr>
          <w:rFonts w:ascii="Simplified Arabic" w:eastAsia="Times New Roman" w:hAnsi="Simplified Arabic" w:cs="Simplified Arabic"/>
          <w:color w:val="000000" w:themeColor="text1"/>
          <w:kern w:val="0"/>
          <w:sz w:val="28"/>
          <w:szCs w:val="28"/>
          <w:rtl/>
          <w14:ligatures w14:val="none"/>
        </w:rPr>
        <w:t>في تحليل التنافسية الإقليمية وعلاقتها بالتنمية المستدامة في منطقة حائل بالمملكة العربية السعودية، حيث تظهر البنية التحتية والمناطق الاقتصادية بوصفها روافع جوهرية للتنافسية الإقليمية وللتنمية المتوازنة بين المناطق</w:t>
      </w:r>
      <w:r w:rsidRPr="006D0851">
        <w:rPr>
          <w:rFonts w:ascii="Simplified Arabic" w:eastAsia="Times New Roman" w:hAnsi="Simplified Arabic" w:cs="Simplified Arabic"/>
          <w:color w:val="000000" w:themeColor="text1"/>
          <w:kern w:val="0"/>
          <w:sz w:val="28"/>
          <w:szCs w:val="28"/>
          <w:lang w:bidi="ar-EG"/>
          <w14:ligatures w14:val="none"/>
        </w:rPr>
        <w:t>.</w:t>
      </w:r>
    </w:p>
    <w:p w14:paraId="28D07512" w14:textId="32288098" w:rsidR="00D37D41" w:rsidRPr="006D0851" w:rsidRDefault="00B955DD" w:rsidP="00B955D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3" w:name="_Toc233659092"/>
      <w:r w:rsidRPr="006D0851">
        <w:rPr>
          <w:rFonts w:ascii="Simplified Arabic" w:eastAsia="Times New Roman" w:hAnsi="Simplified Arabic" w:cs="Simplified Arabic" w:hint="cs"/>
          <w:b/>
          <w:bCs/>
          <w:color w:val="000000" w:themeColor="text1"/>
          <w:kern w:val="0"/>
          <w:sz w:val="32"/>
          <w:szCs w:val="32"/>
          <w:rtl/>
          <w14:ligatures w14:val="none"/>
        </w:rPr>
        <w:t>6.1.2</w:t>
      </w:r>
      <w:r w:rsidR="00D37D41" w:rsidRPr="006D0851">
        <w:rPr>
          <w:rFonts w:ascii="Simplified Arabic" w:eastAsia="Times New Roman" w:hAnsi="Simplified Arabic" w:cs="Simplified Arabic"/>
          <w:b/>
          <w:bCs/>
          <w:color w:val="000000" w:themeColor="text1"/>
          <w:kern w:val="0"/>
          <w:sz w:val="32"/>
          <w:szCs w:val="32"/>
          <w:rtl/>
          <w14:ligatures w14:val="none"/>
        </w:rPr>
        <w:t xml:space="preserve"> استراتيجيات تفعيل الحوافز الاستثمارية</w:t>
      </w:r>
      <w:bookmarkEnd w:id="43"/>
    </w:p>
    <w:p w14:paraId="6027E9EF"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تتباين استراتيجيات تفعيل الحوافز الاستثمارية من دولة إلى أخرى بحسب أولوياتها التنموية وبنيتها المؤسسية، إلا أنه يمكن تمييز عدة توجهات استراتيجية كبرى تتقاسمها التجارب الناجحة. ويتضمن التوجه الأول بناء حزمة حوافز متكاملة تجمع بين الأبعاد الأربعة في تصميم واحد، بحيث تتكامل الحوافز الضريبية مع المالية والتنظيمية والبنيوية، ويُعالج كل بُعد فجوة بعينها في معادلة الاستثمار. أما التوجه الثاني فيتمثل في الانتقائية القطاعية، حيث تُوجَّه الحوافز إلى قطاعات بعينها تتوافق مع رؤية الدولة التنموية، وهو ما يضمن أن تخدم الحوافز أهدافاً استراتيجية لا مجرد جذب كمي للاستثمار</w:t>
      </w:r>
      <w:r w:rsidRPr="006D0851">
        <w:rPr>
          <w:rFonts w:ascii="Simplified Arabic" w:eastAsia="Times New Roman" w:hAnsi="Simplified Arabic" w:cs="Simplified Arabic"/>
          <w:color w:val="000000" w:themeColor="text1"/>
          <w:kern w:val="0"/>
          <w:sz w:val="28"/>
          <w:szCs w:val="28"/>
          <w:lang w:bidi="ar-EG"/>
          <w14:ligatures w14:val="none"/>
        </w:rPr>
        <w:t>.</w:t>
      </w:r>
    </w:p>
    <w:p w14:paraId="76467114"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ويتجلى التوجه الثالث في الربط بين الحوافز ومؤشرات الأداء، بحيث تُمنح الحوافز بصورة مشروطة بتحقيق أهداف قابلة للقياس، مثل توطين العمالة، أو نقل التكنولوجيا، أو تحقيق نسبة محتوى محلي. وفي هذا الإطار، يُمكن الاستناد إلى ما يطرحه</w:t>
      </w:r>
      <w:r w:rsidRPr="006D0851">
        <w:rPr>
          <w:rFonts w:ascii="Simplified Arabic" w:eastAsia="Times New Roman" w:hAnsi="Simplified Arabic" w:cs="Simplified Arabic"/>
          <w:color w:val="000000" w:themeColor="text1"/>
          <w:kern w:val="0"/>
          <w:sz w:val="28"/>
          <w:szCs w:val="28"/>
          <w:lang w:bidi="ar-EG"/>
          <w14:ligatures w14:val="none"/>
        </w:rPr>
        <w:t xml:space="preserve"> (Ahmad, 2025) </w:t>
      </w:r>
      <w:r w:rsidRPr="006D0851">
        <w:rPr>
          <w:rFonts w:ascii="Simplified Arabic" w:eastAsia="Times New Roman" w:hAnsi="Simplified Arabic" w:cs="Simplified Arabic"/>
          <w:color w:val="000000" w:themeColor="text1"/>
          <w:kern w:val="0"/>
          <w:sz w:val="28"/>
          <w:szCs w:val="28"/>
          <w:rtl/>
          <w14:ligatures w14:val="none"/>
        </w:rPr>
        <w:t>حول دور التنافسية العالمية في توجيه التدفقات الاستثمارية، إذ تتحول الحوافز إلى أداة لتعزيز التنافسية لا مجرد ميزة سعرية</w:t>
      </w:r>
      <w:r w:rsidRPr="006D0851">
        <w:rPr>
          <w:rFonts w:ascii="Simplified Arabic" w:eastAsia="Times New Roman" w:hAnsi="Simplified Arabic" w:cs="Simplified Arabic"/>
          <w:color w:val="000000" w:themeColor="text1"/>
          <w:kern w:val="0"/>
          <w:sz w:val="28"/>
          <w:szCs w:val="28"/>
          <w:lang w:bidi="ar-EG"/>
          <w14:ligatures w14:val="none"/>
        </w:rPr>
        <w:t>.</w:t>
      </w:r>
    </w:p>
    <w:p w14:paraId="7D952A4B" w14:textId="77777777" w:rsidR="00B955DD"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ويتمثل التوجه الرابع في بناء العلامة الوطنية للدولة بوصفها وجهة استثمارية، وهو ما يطرحه</w:t>
      </w:r>
      <w:r w:rsidRPr="006D0851">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D0851">
        <w:rPr>
          <w:rFonts w:ascii="Simplified Arabic" w:eastAsia="Times New Roman" w:hAnsi="Simplified Arabic" w:cs="Simplified Arabic"/>
          <w:color w:val="000000" w:themeColor="text1"/>
          <w:kern w:val="0"/>
          <w:sz w:val="28"/>
          <w:szCs w:val="28"/>
          <w:lang w:bidi="ar-EG"/>
          <w14:ligatures w14:val="none"/>
        </w:rPr>
        <w:t>Mohib</w:t>
      </w:r>
      <w:proofErr w:type="spellEnd"/>
      <w:r w:rsidRPr="006D0851">
        <w:rPr>
          <w:rFonts w:ascii="Simplified Arabic" w:eastAsia="Times New Roman" w:hAnsi="Simplified Arabic" w:cs="Simplified Arabic"/>
          <w:color w:val="000000" w:themeColor="text1"/>
          <w:kern w:val="0"/>
          <w:sz w:val="28"/>
          <w:szCs w:val="28"/>
          <w:lang w:bidi="ar-EG"/>
          <w14:ligatures w14:val="none"/>
        </w:rPr>
        <w:t xml:space="preserve"> &amp; Carroll, 2024) </w:t>
      </w:r>
      <w:r w:rsidRPr="006D0851">
        <w:rPr>
          <w:rFonts w:ascii="Simplified Arabic" w:eastAsia="Times New Roman" w:hAnsi="Simplified Arabic" w:cs="Simplified Arabic"/>
          <w:color w:val="000000" w:themeColor="text1"/>
          <w:kern w:val="0"/>
          <w:sz w:val="28"/>
          <w:szCs w:val="28"/>
          <w:rtl/>
          <w14:ligatures w14:val="none"/>
        </w:rPr>
        <w:t>في سياق دراسته للعلامة الوطنية في قطر، حيث تتحول الحوافز إلى عنصر من عناصر تسويق الدولة على الخريطة الاستثمارية الدولية. ويتقاطع ذلك مع ما يُبيّنه</w:t>
      </w:r>
      <w:r w:rsidRPr="006D0851">
        <w:rPr>
          <w:rFonts w:ascii="Simplified Arabic" w:eastAsia="Times New Roman" w:hAnsi="Simplified Arabic" w:cs="Simplified Arabic"/>
          <w:color w:val="000000" w:themeColor="text1"/>
          <w:kern w:val="0"/>
          <w:sz w:val="28"/>
          <w:szCs w:val="28"/>
          <w:lang w:bidi="ar-EG"/>
          <w14:ligatures w14:val="none"/>
        </w:rPr>
        <w:t xml:space="preserve"> (Lee &amp; Lee, 2021) </w:t>
      </w:r>
      <w:r w:rsidRPr="006D0851">
        <w:rPr>
          <w:rFonts w:ascii="Simplified Arabic" w:eastAsia="Times New Roman" w:hAnsi="Simplified Arabic" w:cs="Simplified Arabic"/>
          <w:color w:val="000000" w:themeColor="text1"/>
          <w:kern w:val="0"/>
          <w:sz w:val="28"/>
          <w:szCs w:val="28"/>
          <w:rtl/>
          <w14:ligatures w14:val="none"/>
        </w:rPr>
        <w:t>من أن العلامة الوطنية تعمل بوصفها إطاراً ترويجياً يُعظّم من فاعلية الحوافز ويُحوّلها من مزايا منعزلة إلى منظومة قيمة متكاملة</w:t>
      </w:r>
      <w:r w:rsidRPr="006D0851">
        <w:rPr>
          <w:rFonts w:ascii="Simplified Arabic" w:eastAsia="Times New Roman" w:hAnsi="Simplified Arabic" w:cs="Simplified Arabic"/>
          <w:color w:val="000000" w:themeColor="text1"/>
          <w:kern w:val="0"/>
          <w:sz w:val="28"/>
          <w:szCs w:val="28"/>
          <w:lang w:bidi="ar-EG"/>
          <w14:ligatures w14:val="none"/>
        </w:rPr>
        <w:t>.</w:t>
      </w:r>
    </w:p>
    <w:p w14:paraId="09787A81" w14:textId="420D8A57" w:rsidR="00D37D41" w:rsidRPr="006D0851" w:rsidRDefault="00B955DD" w:rsidP="00B955DD">
      <w:pPr>
        <w:jc w:val="center"/>
        <w:outlineLvl w:val="1"/>
        <w:rPr>
          <w:rFonts w:ascii="Simplified Arabic" w:eastAsia="Times New Roman" w:hAnsi="Simplified Arabic" w:cs="Simplified Arabic"/>
          <w:b/>
          <w:bCs/>
          <w:color w:val="000000" w:themeColor="text1"/>
          <w:kern w:val="0"/>
          <w:sz w:val="36"/>
          <w:szCs w:val="36"/>
          <w:lang w:bidi="ar-EG"/>
          <w14:ligatures w14:val="none"/>
        </w:rPr>
      </w:pPr>
      <w:r w:rsidRPr="006D0851">
        <w:rPr>
          <w:rFonts w:ascii="Simplified Arabic" w:eastAsia="Times New Roman" w:hAnsi="Simplified Arabic" w:cs="Simplified Arabic"/>
          <w:b/>
          <w:bCs/>
          <w:color w:val="000000" w:themeColor="text1"/>
          <w:kern w:val="0"/>
          <w:sz w:val="36"/>
          <w:szCs w:val="36"/>
          <w:lang w:bidi="ar-EG"/>
          <w14:ligatures w14:val="none"/>
        </w:rPr>
        <w:br w:type="page"/>
      </w:r>
      <w:bookmarkStart w:id="44" w:name="_Toc233659093"/>
      <w:r w:rsidR="00D37D41" w:rsidRPr="006D0851">
        <w:rPr>
          <w:rFonts w:ascii="Simplified Arabic" w:eastAsia="Times New Roman" w:hAnsi="Simplified Arabic" w:cs="Simplified Arabic"/>
          <w:b/>
          <w:bCs/>
          <w:color w:val="000000" w:themeColor="text1"/>
          <w:kern w:val="0"/>
          <w:sz w:val="36"/>
          <w:szCs w:val="36"/>
          <w:rtl/>
          <w14:ligatures w14:val="none"/>
        </w:rPr>
        <w:lastRenderedPageBreak/>
        <w:t>المبحث الثاني: قرار التوطين الاستثماري للمستثمر الأجنبي</w:t>
      </w:r>
      <w:bookmarkEnd w:id="44"/>
    </w:p>
    <w:p w14:paraId="6E0066ED" w14:textId="71BA7EAE" w:rsidR="00D37D41" w:rsidRPr="006D0851" w:rsidRDefault="00B955DD" w:rsidP="00B955D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5" w:name="_Toc233659094"/>
      <w:r w:rsidRPr="006D0851">
        <w:rPr>
          <w:rFonts w:ascii="Simplified Arabic" w:eastAsia="Times New Roman" w:hAnsi="Simplified Arabic" w:cs="Simplified Arabic" w:hint="cs"/>
          <w:b/>
          <w:bCs/>
          <w:color w:val="000000" w:themeColor="text1"/>
          <w:kern w:val="0"/>
          <w:sz w:val="32"/>
          <w:szCs w:val="32"/>
          <w:rtl/>
          <w14:ligatures w14:val="none"/>
        </w:rPr>
        <w:t xml:space="preserve">1.2.2 </w:t>
      </w:r>
      <w:r w:rsidR="00D37D41" w:rsidRPr="006D0851">
        <w:rPr>
          <w:rFonts w:ascii="Simplified Arabic" w:eastAsia="Times New Roman" w:hAnsi="Simplified Arabic" w:cs="Simplified Arabic"/>
          <w:b/>
          <w:bCs/>
          <w:color w:val="000000" w:themeColor="text1"/>
          <w:kern w:val="0"/>
          <w:sz w:val="32"/>
          <w:szCs w:val="32"/>
          <w:rtl/>
          <w14:ligatures w14:val="none"/>
        </w:rPr>
        <w:t>تمهيد</w:t>
      </w:r>
      <w:bookmarkEnd w:id="45"/>
    </w:p>
    <w:p w14:paraId="2079778E"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يُمثّل قرار التوطين الاستثماري للمستثمر الأجنبي محوراً جوهرياً في أدبيات الاستثمار الأجنبي المباشر، إذ يتقاطع فيه ما هو اقتصادي بما هو سلوكي ومؤسسي، وتتشابك فيه اعتبارات العائد والمخاطرة مع اعتبارات البيئة التشريعية والبنية التحتية والاستقرار السياسي. ولا يُعدّ قرار التوطين قراراً لحظياً أو منفصلاً، بل هو محصلة لمسار طويل من التقييم المقارن بين البدائل الجغرافية المتاحة، يُوظّف فيه المستثمر منظومة من المعايير الكمية والكيفية ليصل إلى اختيار الموقع الأنسب لتوطين رأس ماله. ويُعالج هذا المبحث قرار التوطين الاستثماري من زواياه المفاهيمية والوظيفية والاستراتيجية، مع إبراز تطوره النظري وأبرز محدداته وأبعاده وفق الأدبيات المعتمدة</w:t>
      </w:r>
      <w:r w:rsidRPr="006D0851">
        <w:rPr>
          <w:rFonts w:ascii="Simplified Arabic" w:eastAsia="Times New Roman" w:hAnsi="Simplified Arabic" w:cs="Simplified Arabic"/>
          <w:color w:val="000000" w:themeColor="text1"/>
          <w:kern w:val="0"/>
          <w:sz w:val="28"/>
          <w:szCs w:val="28"/>
          <w:lang w:bidi="ar-EG"/>
          <w14:ligatures w14:val="none"/>
        </w:rPr>
        <w:t>.</w:t>
      </w:r>
    </w:p>
    <w:p w14:paraId="6EEC33F6" w14:textId="2837B125" w:rsidR="00D37D41" w:rsidRPr="006D0851" w:rsidRDefault="00B955DD" w:rsidP="00B955D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6" w:name="_Toc233659095"/>
      <w:r w:rsidRPr="006D0851">
        <w:rPr>
          <w:rFonts w:ascii="Simplified Arabic" w:eastAsia="Times New Roman" w:hAnsi="Simplified Arabic" w:cs="Simplified Arabic" w:hint="cs"/>
          <w:b/>
          <w:bCs/>
          <w:color w:val="000000" w:themeColor="text1"/>
          <w:kern w:val="0"/>
          <w:sz w:val="32"/>
          <w:szCs w:val="32"/>
          <w:rtl/>
          <w14:ligatures w14:val="none"/>
        </w:rPr>
        <w:t>2.2.2</w:t>
      </w:r>
      <w:r w:rsidR="00D37D41" w:rsidRPr="006D0851">
        <w:rPr>
          <w:rFonts w:ascii="Simplified Arabic" w:eastAsia="Times New Roman" w:hAnsi="Simplified Arabic" w:cs="Simplified Arabic"/>
          <w:b/>
          <w:bCs/>
          <w:color w:val="000000" w:themeColor="text1"/>
          <w:kern w:val="0"/>
          <w:sz w:val="32"/>
          <w:szCs w:val="32"/>
          <w:rtl/>
          <w14:ligatures w14:val="none"/>
        </w:rPr>
        <w:t xml:space="preserve"> مفهوم قرار التوطين الاستثماري</w:t>
      </w:r>
      <w:bookmarkEnd w:id="46"/>
    </w:p>
    <w:p w14:paraId="7692591A"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يُمثّل قرار التوطين الاستثماري إحدى أعقد القرارات الاستراتيجية التي تتخذها الشركات متعددة الجنسيات والمستثمرون الأجانب، إذ يتعلق بتحديد الموقع الجغرافي الذي يُوطَّن فيه رأس المال لفترة طويلة، وما يترتب على ذلك من التزامات تشغيلية ومالية وقانونية. ويُعرّفه</w:t>
      </w:r>
      <w:r w:rsidRPr="006D0851">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D0851">
        <w:rPr>
          <w:rFonts w:ascii="Simplified Arabic" w:eastAsia="Times New Roman" w:hAnsi="Simplified Arabic" w:cs="Simplified Arabic"/>
          <w:color w:val="000000" w:themeColor="text1"/>
          <w:kern w:val="0"/>
          <w:sz w:val="28"/>
          <w:szCs w:val="28"/>
          <w:lang w:bidi="ar-EG"/>
          <w14:ligatures w14:val="none"/>
        </w:rPr>
        <w:t>Doro</w:t>
      </w:r>
      <w:r w:rsidRPr="006D0851">
        <w:rPr>
          <w:rFonts w:ascii="Cambria" w:eastAsia="Times New Roman" w:hAnsi="Cambria" w:cs="Cambria"/>
          <w:color w:val="000000" w:themeColor="text1"/>
          <w:kern w:val="0"/>
          <w:sz w:val="28"/>
          <w:szCs w:val="28"/>
          <w:lang w:bidi="ar-EG"/>
          <w14:ligatures w14:val="none"/>
        </w:rPr>
        <w:t>ż</w:t>
      </w:r>
      <w:r w:rsidRPr="006D0851">
        <w:rPr>
          <w:rFonts w:ascii="Simplified Arabic" w:eastAsia="Times New Roman" w:hAnsi="Simplified Arabic" w:cs="Simplified Arabic"/>
          <w:color w:val="000000" w:themeColor="text1"/>
          <w:kern w:val="0"/>
          <w:sz w:val="28"/>
          <w:szCs w:val="28"/>
          <w:lang w:bidi="ar-EG"/>
          <w14:ligatures w14:val="none"/>
        </w:rPr>
        <w:t>y</w:t>
      </w:r>
      <w:r w:rsidRPr="006D0851">
        <w:rPr>
          <w:rFonts w:ascii="Cambria" w:eastAsia="Times New Roman" w:hAnsi="Cambria" w:cs="Cambria"/>
          <w:color w:val="000000" w:themeColor="text1"/>
          <w:kern w:val="0"/>
          <w:sz w:val="28"/>
          <w:szCs w:val="28"/>
          <w:lang w:bidi="ar-EG"/>
          <w14:ligatures w14:val="none"/>
        </w:rPr>
        <w:t>ń</w:t>
      </w:r>
      <w:r w:rsidRPr="006D0851">
        <w:rPr>
          <w:rFonts w:ascii="Simplified Arabic" w:eastAsia="Times New Roman" w:hAnsi="Simplified Arabic" w:cs="Simplified Arabic"/>
          <w:color w:val="000000" w:themeColor="text1"/>
          <w:kern w:val="0"/>
          <w:sz w:val="28"/>
          <w:szCs w:val="28"/>
          <w:lang w:bidi="ar-EG"/>
          <w14:ligatures w14:val="none"/>
        </w:rPr>
        <w:t>ski</w:t>
      </w:r>
      <w:proofErr w:type="spellEnd"/>
      <w:r w:rsidRPr="006D0851">
        <w:rPr>
          <w:rFonts w:ascii="Simplified Arabic" w:eastAsia="Times New Roman" w:hAnsi="Simplified Arabic" w:cs="Simplified Arabic"/>
          <w:color w:val="000000" w:themeColor="text1"/>
          <w:kern w:val="0"/>
          <w:sz w:val="28"/>
          <w:szCs w:val="28"/>
          <w:lang w:bidi="ar-EG"/>
          <w14:ligatures w14:val="none"/>
        </w:rPr>
        <w:t xml:space="preserve">, 2021) </w:t>
      </w:r>
      <w:r w:rsidRPr="006D0851">
        <w:rPr>
          <w:rFonts w:ascii="Simplified Arabic" w:eastAsia="Times New Roman" w:hAnsi="Simplified Arabic" w:cs="Simplified Arabic"/>
          <w:color w:val="000000" w:themeColor="text1"/>
          <w:kern w:val="0"/>
          <w:sz w:val="28"/>
          <w:szCs w:val="28"/>
          <w:rtl/>
          <w14:ligatures w14:val="none"/>
        </w:rPr>
        <w:t>بوصفه عملية اختيار استراتيجي يُجريها المستثمر للمفاضلة بين بدائل الموقع المتاحة، وفق منظومة من المعايير التي تشمل الكلفة والعائد والمخاطر والبنية التحتية والإطار التشريعي، بهدف الوصول إلى الموقع الذي يُعظّم القيمة المتوقعة للاستثمار</w:t>
      </w:r>
      <w:r w:rsidRPr="006D0851">
        <w:rPr>
          <w:rFonts w:ascii="Simplified Arabic" w:eastAsia="Times New Roman" w:hAnsi="Simplified Arabic" w:cs="Simplified Arabic"/>
          <w:color w:val="000000" w:themeColor="text1"/>
          <w:kern w:val="0"/>
          <w:sz w:val="28"/>
          <w:szCs w:val="28"/>
          <w:lang w:bidi="ar-EG"/>
          <w14:ligatures w14:val="none"/>
        </w:rPr>
        <w:t>.</w:t>
      </w:r>
    </w:p>
    <w:p w14:paraId="67713AA5"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ومن منظور سلوكي، يُقاربه (سميح، 2022) بوصفه استجابةً عقلانية لمحددات بيئة الأعمال الخارجية، تتشكّل فيها قرارات المستثمر بناءً على تفاعل عوامل متعددة تشمل الاستقرار الاقتصادي والسياسي ومستوى التطور المؤسسي وجودة البنية التحتية، وهو تعريف يُكسب القرار طبيعةً متعددة العوامل لا تختزل في بُعد واحد. وفي امتداد لذلك، يُحدد (السيد، 2021) قرار التوطين بأنه القرار الذي يتخذه المستثمر الأجنبي لتأسيس وجود دائم في الاقتصاد المضيف، بما يتجاوز مجرد التبادل التجاري إلى الإسهام المباشر في العملية الإنتاجية المحلية</w:t>
      </w:r>
      <w:r w:rsidRPr="006D0851">
        <w:rPr>
          <w:rFonts w:ascii="Simplified Arabic" w:eastAsia="Times New Roman" w:hAnsi="Simplified Arabic" w:cs="Simplified Arabic"/>
          <w:color w:val="000000" w:themeColor="text1"/>
          <w:kern w:val="0"/>
          <w:sz w:val="28"/>
          <w:szCs w:val="28"/>
          <w:lang w:bidi="ar-EG"/>
          <w14:ligatures w14:val="none"/>
        </w:rPr>
        <w:t>.</w:t>
      </w:r>
    </w:p>
    <w:p w14:paraId="7DE3C40C"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lastRenderedPageBreak/>
        <w:t>ويُقدّم</w:t>
      </w:r>
      <w:r w:rsidRPr="006D0851">
        <w:rPr>
          <w:rFonts w:ascii="Simplified Arabic" w:eastAsia="Times New Roman" w:hAnsi="Simplified Arabic" w:cs="Simplified Arabic"/>
          <w:color w:val="000000" w:themeColor="text1"/>
          <w:kern w:val="0"/>
          <w:sz w:val="28"/>
          <w:szCs w:val="28"/>
          <w:lang w:bidi="ar-EG"/>
          <w14:ligatures w14:val="none"/>
        </w:rPr>
        <w:t xml:space="preserve"> (Kong et al., 2021) </w:t>
      </w:r>
      <w:r w:rsidRPr="006D0851">
        <w:rPr>
          <w:rFonts w:ascii="Simplified Arabic" w:eastAsia="Times New Roman" w:hAnsi="Simplified Arabic" w:cs="Simplified Arabic"/>
          <w:color w:val="000000" w:themeColor="text1"/>
          <w:kern w:val="0"/>
          <w:sz w:val="28"/>
          <w:szCs w:val="28"/>
          <w:rtl/>
          <w14:ligatures w14:val="none"/>
        </w:rPr>
        <w:t>قراءة للمفهوم من زاوية كفاءة تخصيص الموارد، إذ يرى أن قرار التوطين الاستثماري للشركات لا يخضع فقط لمنطق العائد الفردي، بل يتشكل أيضاً بفعل اعتبارات الكفاءة الإنتاجية وتجنب سوء توزيع الموارد في البيئة الأصلية للشركة، وهو ما يجعل القرار انعكاساً لاستراتيجية إعادة تخصيص شاملة وليس مجرد قرار توسعي</w:t>
      </w:r>
      <w:r w:rsidRPr="006D0851">
        <w:rPr>
          <w:rFonts w:ascii="Simplified Arabic" w:eastAsia="Times New Roman" w:hAnsi="Simplified Arabic" w:cs="Simplified Arabic"/>
          <w:color w:val="000000" w:themeColor="text1"/>
          <w:kern w:val="0"/>
          <w:sz w:val="28"/>
          <w:szCs w:val="28"/>
          <w:lang w:bidi="ar-EG"/>
          <w14:ligatures w14:val="none"/>
        </w:rPr>
        <w:t>.</w:t>
      </w:r>
    </w:p>
    <w:p w14:paraId="25E50715"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ويتناوله</w:t>
      </w:r>
      <w:r w:rsidRPr="006D0851">
        <w:rPr>
          <w:rFonts w:ascii="Simplified Arabic" w:eastAsia="Times New Roman" w:hAnsi="Simplified Arabic" w:cs="Simplified Arabic"/>
          <w:color w:val="000000" w:themeColor="text1"/>
          <w:kern w:val="0"/>
          <w:sz w:val="28"/>
          <w:szCs w:val="28"/>
          <w:lang w:bidi="ar-EG"/>
          <w14:ligatures w14:val="none"/>
        </w:rPr>
        <w:t xml:space="preserve"> (Jiang et al., 2022) </w:t>
      </w:r>
      <w:r w:rsidRPr="006D0851">
        <w:rPr>
          <w:rFonts w:ascii="Simplified Arabic" w:eastAsia="Times New Roman" w:hAnsi="Simplified Arabic" w:cs="Simplified Arabic"/>
          <w:color w:val="000000" w:themeColor="text1"/>
          <w:kern w:val="0"/>
          <w:sz w:val="28"/>
          <w:szCs w:val="28"/>
          <w:rtl/>
          <w14:ligatures w14:val="none"/>
        </w:rPr>
        <w:t>من زاوية الشركات الصغيرة والمتوسطة، فيُعرّفه بأنه قرار استراتيجي يرتبط بمراحل تطور المنشأة وقدرتها على النفاذ إلى مصادر التمويل، حيث يُمثّل الطرح العام الأولي نقطة تحول تُتيح للمنشآت الصغيرة الانتقال من السوق المحلي إلى الأسواق الدولية. ويُكسب هذا الطرح المفهومَ بُعداً تطورياً مرتبطاً بدورة حياة المنشأة</w:t>
      </w:r>
      <w:r w:rsidRPr="006D0851">
        <w:rPr>
          <w:rFonts w:ascii="Simplified Arabic" w:eastAsia="Times New Roman" w:hAnsi="Simplified Arabic" w:cs="Simplified Arabic"/>
          <w:color w:val="000000" w:themeColor="text1"/>
          <w:kern w:val="0"/>
          <w:sz w:val="28"/>
          <w:szCs w:val="28"/>
          <w:lang w:bidi="ar-EG"/>
          <w14:ligatures w14:val="none"/>
        </w:rPr>
        <w:t>.</w:t>
      </w:r>
    </w:p>
    <w:p w14:paraId="5E4D7AE2"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ومن زاوية تسويقية، يطرح</w:t>
      </w:r>
      <w:r w:rsidRPr="006D0851">
        <w:rPr>
          <w:rFonts w:ascii="Simplified Arabic" w:eastAsia="Times New Roman" w:hAnsi="Simplified Arabic" w:cs="Simplified Arabic"/>
          <w:color w:val="000000" w:themeColor="text1"/>
          <w:kern w:val="0"/>
          <w:sz w:val="28"/>
          <w:szCs w:val="28"/>
          <w:lang w:bidi="ar-EG"/>
          <w14:ligatures w14:val="none"/>
        </w:rPr>
        <w:t xml:space="preserve"> (Lee &amp; Lee, 2021) </w:t>
      </w:r>
      <w:r w:rsidRPr="006D0851">
        <w:rPr>
          <w:rFonts w:ascii="Simplified Arabic" w:eastAsia="Times New Roman" w:hAnsi="Simplified Arabic" w:cs="Simplified Arabic"/>
          <w:color w:val="000000" w:themeColor="text1"/>
          <w:kern w:val="0"/>
          <w:sz w:val="28"/>
          <w:szCs w:val="28"/>
          <w:rtl/>
          <w14:ligatures w14:val="none"/>
        </w:rPr>
        <w:t>أن قرار التوطين يتأثر بشكل جوهري بالعلامة الوطنية للدولة المضيفة، بحيث لا يُعدّ مجرد قرار تقني قائم على المعايير الاقتصادية، بل هو قرار يتشكل أيضاً في ظل صورة ذهنية للدولة بوصفها وجهة استثمارية، وهو ما يُدخل البعد التسويقي والإدراكي في معادلة القرار. ويتعزز هذا الطرح بما يُقدّمه</w:t>
      </w:r>
      <w:r w:rsidRPr="006D0851">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D0851">
        <w:rPr>
          <w:rFonts w:ascii="Simplified Arabic" w:eastAsia="Times New Roman" w:hAnsi="Simplified Arabic" w:cs="Simplified Arabic"/>
          <w:color w:val="000000" w:themeColor="text1"/>
          <w:kern w:val="0"/>
          <w:sz w:val="28"/>
          <w:szCs w:val="28"/>
          <w:lang w:bidi="ar-EG"/>
          <w14:ligatures w14:val="none"/>
        </w:rPr>
        <w:t>Mohib</w:t>
      </w:r>
      <w:proofErr w:type="spellEnd"/>
      <w:r w:rsidRPr="006D0851">
        <w:rPr>
          <w:rFonts w:ascii="Simplified Arabic" w:eastAsia="Times New Roman" w:hAnsi="Simplified Arabic" w:cs="Simplified Arabic"/>
          <w:color w:val="000000" w:themeColor="text1"/>
          <w:kern w:val="0"/>
          <w:sz w:val="28"/>
          <w:szCs w:val="28"/>
          <w:lang w:bidi="ar-EG"/>
          <w14:ligatures w14:val="none"/>
        </w:rPr>
        <w:t xml:space="preserve"> &amp; Carroll, 2024) </w:t>
      </w:r>
      <w:r w:rsidRPr="006D0851">
        <w:rPr>
          <w:rFonts w:ascii="Simplified Arabic" w:eastAsia="Times New Roman" w:hAnsi="Simplified Arabic" w:cs="Simplified Arabic"/>
          <w:color w:val="000000" w:themeColor="text1"/>
          <w:kern w:val="0"/>
          <w:sz w:val="28"/>
          <w:szCs w:val="28"/>
          <w:rtl/>
          <w14:ligatures w14:val="none"/>
        </w:rPr>
        <w:t>من أن قرار التوطين الاستثماري يتشكل ضمن منظومة من الإشارات والصور الذهنية التي تبثّها الدولة المضيفة، وأن نجاح استقطاب الاستثمار يرتبط بقدرة الدولة على بناء علامة وطنية متماسكة</w:t>
      </w:r>
      <w:r w:rsidRPr="006D0851">
        <w:rPr>
          <w:rFonts w:ascii="Simplified Arabic" w:eastAsia="Times New Roman" w:hAnsi="Simplified Arabic" w:cs="Simplified Arabic"/>
          <w:color w:val="000000" w:themeColor="text1"/>
          <w:kern w:val="0"/>
          <w:sz w:val="28"/>
          <w:szCs w:val="28"/>
          <w:lang w:bidi="ar-EG"/>
          <w14:ligatures w14:val="none"/>
        </w:rPr>
        <w:t>.</w:t>
      </w:r>
    </w:p>
    <w:p w14:paraId="5D700A2A"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ويُعرّفه (المصري، 2025) ضمن سياق التنافسية، بأنه نتيجة لتفاعل بين تنافسية الدولة المضيفة وقدرتها على استقطاب التدفقات الاستثمارية، حيث يتحول قرار التوطين إلى دالة في مؤشرات التنافسية الكلية للاقتصاد. ويُقاربه</w:t>
      </w:r>
      <w:r w:rsidRPr="006D0851">
        <w:rPr>
          <w:rFonts w:ascii="Simplified Arabic" w:eastAsia="Times New Roman" w:hAnsi="Simplified Arabic" w:cs="Simplified Arabic"/>
          <w:color w:val="000000" w:themeColor="text1"/>
          <w:kern w:val="0"/>
          <w:sz w:val="28"/>
          <w:szCs w:val="28"/>
          <w:lang w:bidi="ar-EG"/>
          <w14:ligatures w14:val="none"/>
        </w:rPr>
        <w:t xml:space="preserve"> (Ahmad, 2025) </w:t>
      </w:r>
      <w:r w:rsidRPr="006D0851">
        <w:rPr>
          <w:rFonts w:ascii="Simplified Arabic" w:eastAsia="Times New Roman" w:hAnsi="Simplified Arabic" w:cs="Simplified Arabic"/>
          <w:color w:val="000000" w:themeColor="text1"/>
          <w:kern w:val="0"/>
          <w:sz w:val="28"/>
          <w:szCs w:val="28"/>
          <w:rtl/>
          <w14:ligatures w14:val="none"/>
        </w:rPr>
        <w:t>بصورة مماثلة، فيرى أن قرار التوطين يتشكل ضمن منظومة التنافسية العالمية، وأن المستثمرين يستندون إلى مؤشرات التنافسية في المفاضلة بين الوجهات الاستثمارية</w:t>
      </w:r>
      <w:r w:rsidRPr="006D0851">
        <w:rPr>
          <w:rFonts w:ascii="Simplified Arabic" w:eastAsia="Times New Roman" w:hAnsi="Simplified Arabic" w:cs="Simplified Arabic"/>
          <w:color w:val="000000" w:themeColor="text1"/>
          <w:kern w:val="0"/>
          <w:sz w:val="28"/>
          <w:szCs w:val="28"/>
          <w:lang w:bidi="ar-EG"/>
          <w14:ligatures w14:val="none"/>
        </w:rPr>
        <w:t>.</w:t>
      </w:r>
    </w:p>
    <w:p w14:paraId="2E42D3D6"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ومن زاوية تشريعية، يُعرّفه (المالكي، 2022) بأنه القرار الذي يتخذه المستثمر الأجنبي بناءً على منظومة الحوافز التشجيعية والضمانات القانونية المتاحة في الدولة المضيفة، وهو ما يُدخل البعد التشريعي في صلب تعريف القرار، ويُربط مباشرة بمنظومة السياسات العامة للدولة. ويُقاربه (الذيابي، 2023) من زاوية الإصلاحات التشريعية، فيرى أن قرار التوطين يتأثر بمستوى الحداثة التشريعية للدولة وقدرتها على تكييف منظومتها القانونية مع متطلبات الاستثمار العالمي</w:t>
      </w:r>
      <w:r w:rsidRPr="006D0851">
        <w:rPr>
          <w:rFonts w:ascii="Simplified Arabic" w:eastAsia="Times New Roman" w:hAnsi="Simplified Arabic" w:cs="Simplified Arabic"/>
          <w:color w:val="000000" w:themeColor="text1"/>
          <w:kern w:val="0"/>
          <w:sz w:val="28"/>
          <w:szCs w:val="28"/>
          <w:lang w:bidi="ar-EG"/>
          <w14:ligatures w14:val="none"/>
        </w:rPr>
        <w:t>.</w:t>
      </w:r>
    </w:p>
    <w:p w14:paraId="54C585C4"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lastRenderedPageBreak/>
        <w:t>ومن منظور الحوكمة، يُقدّم</w:t>
      </w:r>
      <w:r w:rsidRPr="006D0851">
        <w:rPr>
          <w:rFonts w:ascii="Simplified Arabic" w:eastAsia="Times New Roman" w:hAnsi="Simplified Arabic" w:cs="Simplified Arabic"/>
          <w:color w:val="000000" w:themeColor="text1"/>
          <w:kern w:val="0"/>
          <w:sz w:val="28"/>
          <w:szCs w:val="28"/>
          <w:lang w:bidi="ar-EG"/>
          <w14:ligatures w14:val="none"/>
        </w:rPr>
        <w:t xml:space="preserve"> (Binkhamis et al., 2025) </w:t>
      </w:r>
      <w:r w:rsidRPr="006D0851">
        <w:rPr>
          <w:rFonts w:ascii="Simplified Arabic" w:eastAsia="Times New Roman" w:hAnsi="Simplified Arabic" w:cs="Simplified Arabic"/>
          <w:color w:val="000000" w:themeColor="text1"/>
          <w:kern w:val="0"/>
          <w:sz w:val="28"/>
          <w:szCs w:val="28"/>
          <w:rtl/>
          <w14:ligatures w14:val="none"/>
        </w:rPr>
        <w:t>قراءة لقرار التوطين بوصفه قراراً يتشكل ضمن منظومة حماية الاستثمار، حيث تُمثّل أطر الحماية المؤسسية ضمانةً للمستثمر على استمرارية مشروعه وحماية حقوقه طويلة المدى</w:t>
      </w:r>
      <w:r w:rsidRPr="006D0851">
        <w:rPr>
          <w:rFonts w:ascii="Simplified Arabic" w:eastAsia="Times New Roman" w:hAnsi="Simplified Arabic" w:cs="Simplified Arabic"/>
          <w:color w:val="000000" w:themeColor="text1"/>
          <w:kern w:val="0"/>
          <w:sz w:val="28"/>
          <w:szCs w:val="28"/>
          <w:lang w:bidi="ar-EG"/>
          <w14:ligatures w14:val="none"/>
        </w:rPr>
        <w:t>.</w:t>
      </w:r>
    </w:p>
    <w:p w14:paraId="38A9A5EB"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ويُلاحظ مما سبق أن المفهوم تشكّل عبر ثلاث مدارس تفسيرية رئيسية: مدرسة عقلانية اقتصادية تركز على تعظيم العائد وتقليل المخاطر، ومدرسة مؤسسية تركز على دور الإطار التشريعي والتنظيمي، ومدرسة سلوكية تسويقية تركز على الصورة الذهنية والعلامة الوطنية للدولة المضيفة</w:t>
      </w:r>
      <w:r w:rsidRPr="006D0851">
        <w:rPr>
          <w:rFonts w:ascii="Simplified Arabic" w:eastAsia="Times New Roman" w:hAnsi="Simplified Arabic" w:cs="Simplified Arabic"/>
          <w:color w:val="000000" w:themeColor="text1"/>
          <w:kern w:val="0"/>
          <w:sz w:val="28"/>
          <w:szCs w:val="28"/>
          <w:lang w:bidi="ar-EG"/>
          <w14:ligatures w14:val="none"/>
        </w:rPr>
        <w:t>.</w:t>
      </w:r>
    </w:p>
    <w:p w14:paraId="5F4EE98F"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ويرى الباحث أن قرار التوطين الاستثماري للمستثمر الأجنبي هو قرار استراتيجي مركّب يتخذه المستثمر بعد تقييم مقارن بين البدائل الجغرافية المتاحة، استناداً إلى منظومة متكاملة من المعايير الاقتصادية والمؤسسية والتشريعية والبنيوية، بهدف تحديد الموقع الذي يُعظّم القيمة المتوقعة لاستثماره ويُقلّص من المخاطر المرتبطة به، ويُمكّنه من تحقيق أهدافه طويلة المدى في إطار من الاستقرار والشفافية. ويتميّز هذا التصور بإدماجه للبعد المقارن (المفاضلة بين البدائل) والبعد المركب (تعدد المعايير) والبعد الزمني (طول المدى)، فضلاً عن ربط القرار بمنظومة السياسات العامة للدولة المضيفة</w:t>
      </w:r>
      <w:r w:rsidRPr="006D0851">
        <w:rPr>
          <w:rFonts w:ascii="Simplified Arabic" w:eastAsia="Times New Roman" w:hAnsi="Simplified Arabic" w:cs="Simplified Arabic"/>
          <w:color w:val="000000" w:themeColor="text1"/>
          <w:kern w:val="0"/>
          <w:sz w:val="28"/>
          <w:szCs w:val="28"/>
          <w:lang w:bidi="ar-EG"/>
          <w14:ligatures w14:val="none"/>
        </w:rPr>
        <w:t>.</w:t>
      </w:r>
    </w:p>
    <w:p w14:paraId="7162EDD6" w14:textId="482B3BFE" w:rsidR="00D37D41" w:rsidRPr="006D0851" w:rsidRDefault="00B955DD" w:rsidP="00B955D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7" w:name="_Toc233659096"/>
      <w:r w:rsidRPr="006D0851">
        <w:rPr>
          <w:rFonts w:ascii="Simplified Arabic" w:eastAsia="Times New Roman" w:hAnsi="Simplified Arabic" w:cs="Simplified Arabic" w:hint="cs"/>
          <w:b/>
          <w:bCs/>
          <w:color w:val="000000" w:themeColor="text1"/>
          <w:kern w:val="0"/>
          <w:sz w:val="32"/>
          <w:szCs w:val="32"/>
          <w:rtl/>
          <w14:ligatures w14:val="none"/>
        </w:rPr>
        <w:t>3.2.2</w:t>
      </w:r>
      <w:r w:rsidR="00D37D41" w:rsidRPr="006D0851">
        <w:rPr>
          <w:rFonts w:ascii="Simplified Arabic" w:eastAsia="Times New Roman" w:hAnsi="Simplified Arabic" w:cs="Simplified Arabic"/>
          <w:b/>
          <w:bCs/>
          <w:color w:val="000000" w:themeColor="text1"/>
          <w:kern w:val="0"/>
          <w:sz w:val="32"/>
          <w:szCs w:val="32"/>
          <w:rtl/>
          <w14:ligatures w14:val="none"/>
        </w:rPr>
        <w:t xml:space="preserve"> أهمية قرار التوطين الاستثماري</w:t>
      </w:r>
      <w:bookmarkEnd w:id="47"/>
    </w:p>
    <w:p w14:paraId="7B4B113E"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تكتسب دراسة قرار التوطين الاستثماري أهمية متصاعدة في الأدبيات المعاصرة، نظراً لما يترتب عليه من آثار اقتصادية وتنموية على كلٍّ من الدولة المضيفة والمستثمر ذاته. ويتجلى ذلك في كون القرار يُشكّل لحظة محورية تتقاطع فيها الاستراتيجيات الفردية للشركات مع الاستراتيجيات الكلية للدول، ويتحدد بناءً عليها مسار طويل من التفاعل الاقتصادي بين الطرفين</w:t>
      </w:r>
      <w:r w:rsidRPr="006D0851">
        <w:rPr>
          <w:rFonts w:ascii="Simplified Arabic" w:eastAsia="Times New Roman" w:hAnsi="Simplified Arabic" w:cs="Simplified Arabic"/>
          <w:color w:val="000000" w:themeColor="text1"/>
          <w:kern w:val="0"/>
          <w:sz w:val="28"/>
          <w:szCs w:val="28"/>
          <w:lang w:bidi="ar-EG"/>
          <w14:ligatures w14:val="none"/>
        </w:rPr>
        <w:t>.</w:t>
      </w:r>
    </w:p>
    <w:p w14:paraId="09E163F3"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ويُشير</w:t>
      </w:r>
      <w:r w:rsidRPr="006D0851">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D0851">
        <w:rPr>
          <w:rFonts w:ascii="Simplified Arabic" w:eastAsia="Times New Roman" w:hAnsi="Simplified Arabic" w:cs="Simplified Arabic"/>
          <w:color w:val="000000" w:themeColor="text1"/>
          <w:kern w:val="0"/>
          <w:sz w:val="28"/>
          <w:szCs w:val="28"/>
          <w:lang w:bidi="ar-EG"/>
          <w14:ligatures w14:val="none"/>
        </w:rPr>
        <w:t>Elimam</w:t>
      </w:r>
      <w:proofErr w:type="spellEnd"/>
      <w:r w:rsidRPr="006D0851">
        <w:rPr>
          <w:rFonts w:ascii="Simplified Arabic" w:eastAsia="Times New Roman" w:hAnsi="Simplified Arabic" w:cs="Simplified Arabic"/>
          <w:color w:val="000000" w:themeColor="text1"/>
          <w:kern w:val="0"/>
          <w:sz w:val="28"/>
          <w:szCs w:val="28"/>
          <w:lang w:bidi="ar-EG"/>
          <w14:ligatures w14:val="none"/>
        </w:rPr>
        <w:t xml:space="preserve"> &amp; </w:t>
      </w:r>
      <w:proofErr w:type="spellStart"/>
      <w:r w:rsidRPr="006D0851">
        <w:rPr>
          <w:rFonts w:ascii="Simplified Arabic" w:eastAsia="Times New Roman" w:hAnsi="Simplified Arabic" w:cs="Simplified Arabic"/>
          <w:color w:val="000000" w:themeColor="text1"/>
          <w:kern w:val="0"/>
          <w:sz w:val="28"/>
          <w:szCs w:val="28"/>
          <w:lang w:bidi="ar-EG"/>
          <w14:ligatures w14:val="none"/>
        </w:rPr>
        <w:t>Alattas</w:t>
      </w:r>
      <w:proofErr w:type="spellEnd"/>
      <w:r w:rsidRPr="006D0851">
        <w:rPr>
          <w:rFonts w:ascii="Simplified Arabic" w:eastAsia="Times New Roman" w:hAnsi="Simplified Arabic" w:cs="Simplified Arabic"/>
          <w:color w:val="000000" w:themeColor="text1"/>
          <w:kern w:val="0"/>
          <w:sz w:val="28"/>
          <w:szCs w:val="28"/>
          <w:lang w:bidi="ar-EG"/>
          <w14:ligatures w14:val="none"/>
        </w:rPr>
        <w:t xml:space="preserve">, 2024) </w:t>
      </w:r>
      <w:r w:rsidRPr="006D0851">
        <w:rPr>
          <w:rFonts w:ascii="Simplified Arabic" w:eastAsia="Times New Roman" w:hAnsi="Simplified Arabic" w:cs="Simplified Arabic"/>
          <w:color w:val="000000" w:themeColor="text1"/>
          <w:kern w:val="0"/>
          <w:sz w:val="28"/>
          <w:szCs w:val="28"/>
          <w:rtl/>
          <w14:ligatures w14:val="none"/>
        </w:rPr>
        <w:t>إلى أن أهمية قرار التوطين تتجسد في كونه القناة الرئيسية التي تتدفق من خلالها رؤوس الأموال الأجنبية المباشرة إلى الاقتصاد المضيف، وهو ما يجعله متغيراً جوهرياً في معادلة النمو الاقتصادي المستدام، خاصة في الدول التي تسعى إلى تنويع مصادر النمو وتقليص اعتمادها على القطاعات الريعية. كما يُمثّل القرار مدخلاً لرفع كفاءة الاقتصاد المحلي من خلال نقل التكنولوجيا والمعارف الإدارية المرتبطة بالاستثمار الأجنبي</w:t>
      </w:r>
      <w:r w:rsidRPr="006D0851">
        <w:rPr>
          <w:rFonts w:ascii="Simplified Arabic" w:eastAsia="Times New Roman" w:hAnsi="Simplified Arabic" w:cs="Simplified Arabic"/>
          <w:color w:val="000000" w:themeColor="text1"/>
          <w:kern w:val="0"/>
          <w:sz w:val="28"/>
          <w:szCs w:val="28"/>
          <w:lang w:bidi="ar-EG"/>
          <w14:ligatures w14:val="none"/>
        </w:rPr>
        <w:t>.</w:t>
      </w:r>
    </w:p>
    <w:p w14:paraId="26C40E76"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lastRenderedPageBreak/>
        <w:t>ويرى</w:t>
      </w:r>
      <w:r w:rsidRPr="006D0851">
        <w:rPr>
          <w:rFonts w:ascii="Simplified Arabic" w:eastAsia="Times New Roman" w:hAnsi="Simplified Arabic" w:cs="Simplified Arabic"/>
          <w:color w:val="000000" w:themeColor="text1"/>
          <w:kern w:val="0"/>
          <w:sz w:val="28"/>
          <w:szCs w:val="28"/>
          <w:lang w:bidi="ar-EG"/>
          <w14:ligatures w14:val="none"/>
        </w:rPr>
        <w:t xml:space="preserve"> (Ahmad, 2025) </w:t>
      </w:r>
      <w:r w:rsidRPr="006D0851">
        <w:rPr>
          <w:rFonts w:ascii="Simplified Arabic" w:eastAsia="Times New Roman" w:hAnsi="Simplified Arabic" w:cs="Simplified Arabic"/>
          <w:color w:val="000000" w:themeColor="text1"/>
          <w:kern w:val="0"/>
          <w:sz w:val="28"/>
          <w:szCs w:val="28"/>
          <w:rtl/>
          <w14:ligatures w14:val="none"/>
        </w:rPr>
        <w:t>أن أهمية القرار تتعاظم في سياق دول مجلس التعاون الخليجي، حيث يرتبط قرار التوطين بقدرة هذه الدول على تنويع اقتصاداتها وتقليص الاعتماد على عوائد النفط، ويتحول إلى مدخل استراتيجي لإعادة هيكلة الاقتصاد الوطني. وتتجلى أهميته في كونه يُمثّل عنصراً ترجيحياً في معادلة التنافسية الإقليمية، إذ تتنافس دول الإقليم على استقطاب الاستثمارات النوعية التي تُسهم في إعادة تشكيل النموذج التنموي</w:t>
      </w:r>
      <w:r w:rsidRPr="006D0851">
        <w:rPr>
          <w:rFonts w:ascii="Simplified Arabic" w:eastAsia="Times New Roman" w:hAnsi="Simplified Arabic" w:cs="Simplified Arabic"/>
          <w:color w:val="000000" w:themeColor="text1"/>
          <w:kern w:val="0"/>
          <w:sz w:val="28"/>
          <w:szCs w:val="28"/>
          <w:lang w:bidi="ar-EG"/>
          <w14:ligatures w14:val="none"/>
        </w:rPr>
        <w:t>.</w:t>
      </w:r>
    </w:p>
    <w:p w14:paraId="4A6B8CA6"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ويُؤكد (</w:t>
      </w:r>
      <w:proofErr w:type="spellStart"/>
      <w:r w:rsidRPr="006D0851">
        <w:rPr>
          <w:rFonts w:ascii="Simplified Arabic" w:eastAsia="Times New Roman" w:hAnsi="Simplified Arabic" w:cs="Simplified Arabic"/>
          <w:color w:val="000000" w:themeColor="text1"/>
          <w:kern w:val="0"/>
          <w:sz w:val="28"/>
          <w:szCs w:val="28"/>
          <w:rtl/>
          <w14:ligatures w14:val="none"/>
        </w:rPr>
        <w:t>المصلوخي</w:t>
      </w:r>
      <w:proofErr w:type="spellEnd"/>
      <w:r w:rsidRPr="006D0851">
        <w:rPr>
          <w:rFonts w:ascii="Simplified Arabic" w:eastAsia="Times New Roman" w:hAnsi="Simplified Arabic" w:cs="Simplified Arabic"/>
          <w:color w:val="000000" w:themeColor="text1"/>
          <w:kern w:val="0"/>
          <w:sz w:val="28"/>
          <w:szCs w:val="28"/>
          <w:rtl/>
          <w14:ligatures w14:val="none"/>
        </w:rPr>
        <w:t>، 2024) على أن قرار التوطين الاستثماري يحمل أبعاداً إدارية وتنظيمية تتجاوز البعد الاقتصادي الصرف، إذ يستتبع القرارَ منظومةٌ من الإجراءات الإدارية المرتبطة بإدارة الموارد البشرية وتصميم الهياكل التنظيمية وإدارة العمليات، وهو ما يجعل القرار محطةً لإطلاق منظومة كاملة من القرارات الفرعية ذات الأثر طويل المدى</w:t>
      </w:r>
      <w:r w:rsidRPr="006D0851">
        <w:rPr>
          <w:rFonts w:ascii="Simplified Arabic" w:eastAsia="Times New Roman" w:hAnsi="Simplified Arabic" w:cs="Simplified Arabic"/>
          <w:color w:val="000000" w:themeColor="text1"/>
          <w:kern w:val="0"/>
          <w:sz w:val="28"/>
          <w:szCs w:val="28"/>
          <w:lang w:bidi="ar-EG"/>
          <w14:ligatures w14:val="none"/>
        </w:rPr>
        <w:t>.</w:t>
      </w:r>
    </w:p>
    <w:p w14:paraId="1AFF9699"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ويُبرز</w:t>
      </w:r>
      <w:r w:rsidRPr="006D0851">
        <w:rPr>
          <w:rFonts w:ascii="Simplified Arabic" w:eastAsia="Times New Roman" w:hAnsi="Simplified Arabic" w:cs="Simplified Arabic"/>
          <w:color w:val="000000" w:themeColor="text1"/>
          <w:kern w:val="0"/>
          <w:sz w:val="28"/>
          <w:szCs w:val="28"/>
          <w:lang w:bidi="ar-EG"/>
          <w14:ligatures w14:val="none"/>
        </w:rPr>
        <w:t xml:space="preserve"> (Binkhamis et al., 2025) </w:t>
      </w:r>
      <w:r w:rsidRPr="006D0851">
        <w:rPr>
          <w:rFonts w:ascii="Simplified Arabic" w:eastAsia="Times New Roman" w:hAnsi="Simplified Arabic" w:cs="Simplified Arabic"/>
          <w:color w:val="000000" w:themeColor="text1"/>
          <w:kern w:val="0"/>
          <w:sz w:val="28"/>
          <w:szCs w:val="28"/>
          <w:rtl/>
          <w14:ligatures w14:val="none"/>
        </w:rPr>
        <w:t>أن قرار التوطين في السياق السعودي يكتسب أهمية مضاعفة بفعل ارتباطه برؤية 2030 ومستهدفاتها المتعلقة بتنويع الاقتصاد وتعزيز مساهمة القطاع الخاص. ويُعدّ نجاح هذه الرؤية مرهوناً بقدرة المنظومة الاقتصادية على استقطاب المستثمرين الأجانب وتحفيزهم على اتخاذ قرار التوطين بدلاً من الاستثمارات العابرة. كما تتجلى الأهمية في الإسهام في توطين سلاسل القيمة وإحلال الإنتاج المحلي محل الواردات في القطاعات الاستراتيجية</w:t>
      </w:r>
      <w:r w:rsidRPr="006D0851">
        <w:rPr>
          <w:rFonts w:ascii="Simplified Arabic" w:eastAsia="Times New Roman" w:hAnsi="Simplified Arabic" w:cs="Simplified Arabic"/>
          <w:color w:val="000000" w:themeColor="text1"/>
          <w:kern w:val="0"/>
          <w:sz w:val="28"/>
          <w:szCs w:val="28"/>
          <w:lang w:bidi="ar-EG"/>
          <w14:ligatures w14:val="none"/>
        </w:rPr>
        <w:t>.</w:t>
      </w:r>
    </w:p>
    <w:p w14:paraId="5A411A56"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ويُشير</w:t>
      </w:r>
      <w:r w:rsidRPr="006D0851">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D0851">
        <w:rPr>
          <w:rFonts w:ascii="Simplified Arabic" w:eastAsia="Times New Roman" w:hAnsi="Simplified Arabic" w:cs="Simplified Arabic"/>
          <w:color w:val="000000" w:themeColor="text1"/>
          <w:kern w:val="0"/>
          <w:sz w:val="28"/>
          <w:szCs w:val="28"/>
          <w:lang w:bidi="ar-EG"/>
          <w14:ligatures w14:val="none"/>
        </w:rPr>
        <w:t>Alturki</w:t>
      </w:r>
      <w:proofErr w:type="spellEnd"/>
      <w:r w:rsidRPr="006D0851">
        <w:rPr>
          <w:rFonts w:ascii="Simplified Arabic" w:eastAsia="Times New Roman" w:hAnsi="Simplified Arabic" w:cs="Simplified Arabic"/>
          <w:color w:val="000000" w:themeColor="text1"/>
          <w:kern w:val="0"/>
          <w:sz w:val="28"/>
          <w:szCs w:val="28"/>
          <w:lang w:bidi="ar-EG"/>
          <w14:ligatures w14:val="none"/>
        </w:rPr>
        <w:t xml:space="preserve"> &amp; Al-</w:t>
      </w:r>
      <w:proofErr w:type="spellStart"/>
      <w:r w:rsidRPr="006D0851">
        <w:rPr>
          <w:rFonts w:ascii="Simplified Arabic" w:eastAsia="Times New Roman" w:hAnsi="Simplified Arabic" w:cs="Simplified Arabic"/>
          <w:color w:val="000000" w:themeColor="text1"/>
          <w:kern w:val="0"/>
          <w:sz w:val="28"/>
          <w:szCs w:val="28"/>
          <w:lang w:bidi="ar-EG"/>
          <w14:ligatures w14:val="none"/>
        </w:rPr>
        <w:t>Shammari</w:t>
      </w:r>
      <w:proofErr w:type="spellEnd"/>
      <w:r w:rsidRPr="006D0851">
        <w:rPr>
          <w:rFonts w:ascii="Simplified Arabic" w:eastAsia="Times New Roman" w:hAnsi="Simplified Arabic" w:cs="Simplified Arabic"/>
          <w:color w:val="000000" w:themeColor="text1"/>
          <w:kern w:val="0"/>
          <w:sz w:val="28"/>
          <w:szCs w:val="28"/>
          <w:lang w:bidi="ar-EG"/>
          <w14:ligatures w14:val="none"/>
        </w:rPr>
        <w:t xml:space="preserve">, 2025) </w:t>
      </w:r>
      <w:r w:rsidRPr="006D0851">
        <w:rPr>
          <w:rFonts w:ascii="Simplified Arabic" w:eastAsia="Times New Roman" w:hAnsi="Simplified Arabic" w:cs="Simplified Arabic"/>
          <w:color w:val="000000" w:themeColor="text1"/>
          <w:kern w:val="0"/>
          <w:sz w:val="28"/>
          <w:szCs w:val="28"/>
          <w:rtl/>
          <w14:ligatures w14:val="none"/>
        </w:rPr>
        <w:t>إلى أن قرار التوطين الاستثماري يُسهم في تعزيز التنافسية الإقليمية وتحقيق التنمية المستدامة على مستوى المناطق، حيث تُتيح قرارات التوطين توزيعاً جغرافياً متوازناً للنشاطات الاقتصادية، وتُسهم في معالجة التفاوت التنموي بين الأقاليم. ويتقاطع ذلك مع ما يطرحه (مداني، 2022) من أن قرارات التوطين في إطار المناطق الاقتصادية الخاصة تُسهم في إعادة تشكيل الخريطة الاقتصادية للدولة، وتفتح آفاقاً جديدة للتنمية الإقليمية</w:t>
      </w:r>
      <w:r w:rsidRPr="006D0851">
        <w:rPr>
          <w:rFonts w:ascii="Simplified Arabic" w:eastAsia="Times New Roman" w:hAnsi="Simplified Arabic" w:cs="Simplified Arabic"/>
          <w:color w:val="000000" w:themeColor="text1"/>
          <w:kern w:val="0"/>
          <w:sz w:val="28"/>
          <w:szCs w:val="28"/>
          <w:lang w:bidi="ar-EG"/>
          <w14:ligatures w14:val="none"/>
        </w:rPr>
        <w:t>.</w:t>
      </w:r>
    </w:p>
    <w:p w14:paraId="0E9C3C46"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ويُقدّم</w:t>
      </w:r>
      <w:r w:rsidRPr="006D0851">
        <w:rPr>
          <w:rFonts w:ascii="Simplified Arabic" w:eastAsia="Times New Roman" w:hAnsi="Simplified Arabic" w:cs="Simplified Arabic"/>
          <w:color w:val="000000" w:themeColor="text1"/>
          <w:kern w:val="0"/>
          <w:sz w:val="28"/>
          <w:szCs w:val="28"/>
          <w:lang w:bidi="ar-EG"/>
          <w14:ligatures w14:val="none"/>
        </w:rPr>
        <w:t xml:space="preserve"> (Long &amp; Hu, 2026) </w:t>
      </w:r>
      <w:r w:rsidRPr="006D0851">
        <w:rPr>
          <w:rFonts w:ascii="Simplified Arabic" w:eastAsia="Times New Roman" w:hAnsi="Simplified Arabic" w:cs="Simplified Arabic"/>
          <w:color w:val="000000" w:themeColor="text1"/>
          <w:kern w:val="0"/>
          <w:sz w:val="28"/>
          <w:szCs w:val="28"/>
          <w:rtl/>
          <w14:ligatures w14:val="none"/>
        </w:rPr>
        <w:t xml:space="preserve">قراءة معاصرة لأهمية قرار التوطين في قطاعات الطاقة المتجددة، إذ يُمثّل القرار آليةً جوهرية لتسريع التحول إلى الاقتصاد الأخضر، ويُسهم في توطين التقنيات النظيفة في الدول المضيفة، وهو ما يُضفي على القرار بُعداً بيئياً </w:t>
      </w:r>
      <w:proofErr w:type="spellStart"/>
      <w:r w:rsidRPr="006D0851">
        <w:rPr>
          <w:rFonts w:ascii="Simplified Arabic" w:eastAsia="Times New Roman" w:hAnsi="Simplified Arabic" w:cs="Simplified Arabic"/>
          <w:color w:val="000000" w:themeColor="text1"/>
          <w:kern w:val="0"/>
          <w:sz w:val="28"/>
          <w:szCs w:val="28"/>
          <w:rtl/>
          <w14:ligatures w14:val="none"/>
        </w:rPr>
        <w:t>واستدامياً</w:t>
      </w:r>
      <w:proofErr w:type="spellEnd"/>
      <w:r w:rsidRPr="006D0851">
        <w:rPr>
          <w:rFonts w:ascii="Simplified Arabic" w:eastAsia="Times New Roman" w:hAnsi="Simplified Arabic" w:cs="Simplified Arabic"/>
          <w:color w:val="000000" w:themeColor="text1"/>
          <w:kern w:val="0"/>
          <w:sz w:val="28"/>
          <w:szCs w:val="28"/>
          <w:rtl/>
          <w14:ligatures w14:val="none"/>
        </w:rPr>
        <w:t xml:space="preserve"> يتجاوز البعد الاقتصادي التقليدي</w:t>
      </w:r>
      <w:r w:rsidRPr="006D0851">
        <w:rPr>
          <w:rFonts w:ascii="Simplified Arabic" w:eastAsia="Times New Roman" w:hAnsi="Simplified Arabic" w:cs="Simplified Arabic"/>
          <w:color w:val="000000" w:themeColor="text1"/>
          <w:kern w:val="0"/>
          <w:sz w:val="28"/>
          <w:szCs w:val="28"/>
          <w:lang w:bidi="ar-EG"/>
          <w14:ligatures w14:val="none"/>
        </w:rPr>
        <w:t>.</w:t>
      </w:r>
    </w:p>
    <w:p w14:paraId="1AC0F38B"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lastRenderedPageBreak/>
        <w:t>ويُسلّط</w:t>
      </w:r>
      <w:r w:rsidRPr="006D0851">
        <w:rPr>
          <w:rFonts w:ascii="Simplified Arabic" w:eastAsia="Times New Roman" w:hAnsi="Simplified Arabic" w:cs="Simplified Arabic"/>
          <w:color w:val="000000" w:themeColor="text1"/>
          <w:kern w:val="0"/>
          <w:sz w:val="28"/>
          <w:szCs w:val="28"/>
          <w:lang w:bidi="ar-EG"/>
          <w14:ligatures w14:val="none"/>
        </w:rPr>
        <w:t xml:space="preserve"> (Kong et al., 2021) </w:t>
      </w:r>
      <w:r w:rsidRPr="006D0851">
        <w:rPr>
          <w:rFonts w:ascii="Simplified Arabic" w:eastAsia="Times New Roman" w:hAnsi="Simplified Arabic" w:cs="Simplified Arabic"/>
          <w:color w:val="000000" w:themeColor="text1"/>
          <w:kern w:val="0"/>
          <w:sz w:val="28"/>
          <w:szCs w:val="28"/>
          <w:rtl/>
          <w14:ligatures w14:val="none"/>
        </w:rPr>
        <w:t>الضوء على أن قرار التوطين الاستثماري يكتسب أهمية متعاظمة في ظل تحديات سوء تخصيص الموارد على المستوى العالمي، إذ يُمثّل القرار آلية لإعادة توجيه الموارد الإنتاجية نحو البيئات الأكثر كفاءة، وهو ما يُكسبه أهمية على مستوى الكفاءة الكلية للاقتصاد العالمي</w:t>
      </w:r>
      <w:r w:rsidRPr="006D0851">
        <w:rPr>
          <w:rFonts w:ascii="Simplified Arabic" w:eastAsia="Times New Roman" w:hAnsi="Simplified Arabic" w:cs="Simplified Arabic"/>
          <w:color w:val="000000" w:themeColor="text1"/>
          <w:kern w:val="0"/>
          <w:sz w:val="28"/>
          <w:szCs w:val="28"/>
          <w:lang w:bidi="ar-EG"/>
          <w14:ligatures w14:val="none"/>
        </w:rPr>
        <w:t>.</w:t>
      </w:r>
    </w:p>
    <w:p w14:paraId="774BD21E"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ومن جهة أخرى، يُؤكد (حماد، 2025) أن أهمية قرار التوطين تتعزز بفعل ارتباطه بمنظومة الضمانات والاتفاقيات الدولية، إذ يُمثّل القرار محصلةً لتفاعل الإطار التشريعي الوطني مع الإطار الدولي لحماية الاستثمار، وهو ما يجعله مؤشراً على مستوى التكامل بين المنظومتين</w:t>
      </w:r>
      <w:r w:rsidRPr="006D0851">
        <w:rPr>
          <w:rFonts w:ascii="Simplified Arabic" w:eastAsia="Times New Roman" w:hAnsi="Simplified Arabic" w:cs="Simplified Arabic"/>
          <w:color w:val="000000" w:themeColor="text1"/>
          <w:kern w:val="0"/>
          <w:sz w:val="28"/>
          <w:szCs w:val="28"/>
          <w:lang w:bidi="ar-EG"/>
          <w14:ligatures w14:val="none"/>
        </w:rPr>
        <w:t>.</w:t>
      </w:r>
    </w:p>
    <w:p w14:paraId="32C8B2B3" w14:textId="5E291CBA" w:rsidR="00D37D41" w:rsidRPr="006D0851" w:rsidRDefault="00B955DD" w:rsidP="00B955D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8" w:name="_Toc233659097"/>
      <w:r w:rsidRPr="006D0851">
        <w:rPr>
          <w:rFonts w:ascii="Simplified Arabic" w:eastAsia="Times New Roman" w:hAnsi="Simplified Arabic" w:cs="Simplified Arabic" w:hint="cs"/>
          <w:b/>
          <w:bCs/>
          <w:color w:val="000000" w:themeColor="text1"/>
          <w:kern w:val="0"/>
          <w:sz w:val="32"/>
          <w:szCs w:val="32"/>
          <w:rtl/>
          <w14:ligatures w14:val="none"/>
        </w:rPr>
        <w:t>4.2.2</w:t>
      </w:r>
      <w:r w:rsidR="00D37D41" w:rsidRPr="006D0851">
        <w:rPr>
          <w:rFonts w:ascii="Simplified Arabic" w:eastAsia="Times New Roman" w:hAnsi="Simplified Arabic" w:cs="Simplified Arabic"/>
          <w:b/>
          <w:bCs/>
          <w:color w:val="000000" w:themeColor="text1"/>
          <w:kern w:val="0"/>
          <w:sz w:val="32"/>
          <w:szCs w:val="32"/>
          <w:rtl/>
          <w14:ligatures w14:val="none"/>
        </w:rPr>
        <w:t xml:space="preserve"> أهداف دراسة قرار التوطين الاستثماري</w:t>
      </w:r>
      <w:bookmarkEnd w:id="48"/>
    </w:p>
    <w:p w14:paraId="587C42C9"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تتعدد الأهداف التي تسعى الأدبيات والدراسات إلى تحقيقها من خلال تناول قرار التوطين الاستثماري، وقد تباينت آراء الباحثين في صياغة هذه الأهداف وترتيب أولوياتها</w:t>
      </w:r>
      <w:r w:rsidRPr="006D0851">
        <w:rPr>
          <w:rFonts w:ascii="Simplified Arabic" w:eastAsia="Times New Roman" w:hAnsi="Simplified Arabic" w:cs="Simplified Arabic"/>
          <w:color w:val="000000" w:themeColor="text1"/>
          <w:kern w:val="0"/>
          <w:sz w:val="28"/>
          <w:szCs w:val="28"/>
          <w:lang w:bidi="ar-EG"/>
          <w14:ligatures w14:val="none"/>
        </w:rPr>
        <w:t>.</w:t>
      </w:r>
    </w:p>
    <w:p w14:paraId="321AF6FB"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ويُجمل (السيد، 2021) أهداف دراسة قرار التوطين في النقاط الآتية: فهم العوامل المحددة لقرار المستثمر الأجنبي، وتحديد العلاقة بين الحوافز ومنظومة القرار الاستثماري، وتقييم فاعلية السياسات العامة في توجيه قرارات المستثمرين، واستكشاف القنوات التي تنتقل من خلالها آثار السياسات إلى السلوك الفعلي للمستثمرين، فضلاً عن تطوير نماذج تفسيرية للقرار الاستثماري في البيئات الناشئة</w:t>
      </w:r>
      <w:r w:rsidRPr="006D0851">
        <w:rPr>
          <w:rFonts w:ascii="Simplified Arabic" w:eastAsia="Times New Roman" w:hAnsi="Simplified Arabic" w:cs="Simplified Arabic"/>
          <w:color w:val="000000" w:themeColor="text1"/>
          <w:kern w:val="0"/>
          <w:sz w:val="28"/>
          <w:szCs w:val="28"/>
          <w:lang w:bidi="ar-EG"/>
          <w14:ligatures w14:val="none"/>
        </w:rPr>
        <w:t>.</w:t>
      </w:r>
    </w:p>
    <w:p w14:paraId="4F81CC7B"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ويعرض (سميح، 2022) جملة من الأهداف من زاوية بيئة الأعمال الخارجية، تشمل: تحديد المحددات الكلية التي تُشكّل بيئة القرار الاستثماري، وتقييم درجة التأثر النسبي للمستثمر بكل من هذه المحددات، وفهم التفاعل بين المتغيرات الاقتصادية والمؤسسية والسياسية في معادلة القرار، فضلاً عن استكشاف الفروقات بين بيئات الأعمال المختلفة في تشكيل أنماط القرار الاستثماري</w:t>
      </w:r>
      <w:r w:rsidRPr="006D0851">
        <w:rPr>
          <w:rFonts w:ascii="Simplified Arabic" w:eastAsia="Times New Roman" w:hAnsi="Simplified Arabic" w:cs="Simplified Arabic"/>
          <w:color w:val="000000" w:themeColor="text1"/>
          <w:kern w:val="0"/>
          <w:sz w:val="28"/>
          <w:szCs w:val="28"/>
          <w:lang w:bidi="ar-EG"/>
          <w14:ligatures w14:val="none"/>
        </w:rPr>
        <w:t>.</w:t>
      </w:r>
    </w:p>
    <w:p w14:paraId="418E6798"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ويُحدد</w:t>
      </w:r>
      <w:r w:rsidRPr="006D0851">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D0851">
        <w:rPr>
          <w:rFonts w:ascii="Simplified Arabic" w:eastAsia="Times New Roman" w:hAnsi="Simplified Arabic" w:cs="Simplified Arabic"/>
          <w:color w:val="000000" w:themeColor="text1"/>
          <w:kern w:val="0"/>
          <w:sz w:val="28"/>
          <w:szCs w:val="28"/>
          <w:lang w:bidi="ar-EG"/>
          <w14:ligatures w14:val="none"/>
        </w:rPr>
        <w:t>Doro</w:t>
      </w:r>
      <w:r w:rsidRPr="006D0851">
        <w:rPr>
          <w:rFonts w:ascii="Cambria" w:eastAsia="Times New Roman" w:hAnsi="Cambria" w:cs="Cambria"/>
          <w:color w:val="000000" w:themeColor="text1"/>
          <w:kern w:val="0"/>
          <w:sz w:val="28"/>
          <w:szCs w:val="28"/>
          <w:lang w:bidi="ar-EG"/>
          <w14:ligatures w14:val="none"/>
        </w:rPr>
        <w:t>ż</w:t>
      </w:r>
      <w:r w:rsidRPr="006D0851">
        <w:rPr>
          <w:rFonts w:ascii="Simplified Arabic" w:eastAsia="Times New Roman" w:hAnsi="Simplified Arabic" w:cs="Simplified Arabic"/>
          <w:color w:val="000000" w:themeColor="text1"/>
          <w:kern w:val="0"/>
          <w:sz w:val="28"/>
          <w:szCs w:val="28"/>
          <w:lang w:bidi="ar-EG"/>
          <w14:ligatures w14:val="none"/>
        </w:rPr>
        <w:t>y</w:t>
      </w:r>
      <w:r w:rsidRPr="006D0851">
        <w:rPr>
          <w:rFonts w:ascii="Cambria" w:eastAsia="Times New Roman" w:hAnsi="Cambria" w:cs="Cambria"/>
          <w:color w:val="000000" w:themeColor="text1"/>
          <w:kern w:val="0"/>
          <w:sz w:val="28"/>
          <w:szCs w:val="28"/>
          <w:lang w:bidi="ar-EG"/>
          <w14:ligatures w14:val="none"/>
        </w:rPr>
        <w:t>ń</w:t>
      </w:r>
      <w:r w:rsidRPr="006D0851">
        <w:rPr>
          <w:rFonts w:ascii="Simplified Arabic" w:eastAsia="Times New Roman" w:hAnsi="Simplified Arabic" w:cs="Simplified Arabic"/>
          <w:color w:val="000000" w:themeColor="text1"/>
          <w:kern w:val="0"/>
          <w:sz w:val="28"/>
          <w:szCs w:val="28"/>
          <w:lang w:bidi="ar-EG"/>
          <w14:ligatures w14:val="none"/>
        </w:rPr>
        <w:t>ski</w:t>
      </w:r>
      <w:proofErr w:type="spellEnd"/>
      <w:r w:rsidRPr="006D0851">
        <w:rPr>
          <w:rFonts w:ascii="Simplified Arabic" w:eastAsia="Times New Roman" w:hAnsi="Simplified Arabic" w:cs="Simplified Arabic"/>
          <w:color w:val="000000" w:themeColor="text1"/>
          <w:kern w:val="0"/>
          <w:sz w:val="28"/>
          <w:szCs w:val="28"/>
          <w:lang w:bidi="ar-EG"/>
          <w14:ligatures w14:val="none"/>
        </w:rPr>
        <w:t xml:space="preserve">, 2021) </w:t>
      </w:r>
      <w:r w:rsidRPr="006D0851">
        <w:rPr>
          <w:rFonts w:ascii="Simplified Arabic" w:eastAsia="Times New Roman" w:hAnsi="Simplified Arabic" w:cs="Simplified Arabic"/>
          <w:color w:val="000000" w:themeColor="text1"/>
          <w:kern w:val="0"/>
          <w:sz w:val="28"/>
          <w:szCs w:val="28"/>
          <w:rtl/>
          <w14:ligatures w14:val="none"/>
        </w:rPr>
        <w:t>أهدافاً تتعلق بدراسة قرارات اختيار الموقع، تشمل: فهم العلاقة بين الحوافز وقرارات اختيار الموقع داخل الدولة الواحدة، وتحليل الأنماط الجغرافية لتوزيع الاستثمار، واستكشاف العوامل التي تجعل منطقة بعينها أكثر جاذبية من غيرها، وتقييم فاعلية السياسات الإقليمية في توجيه التدفقات الاستثمارية</w:t>
      </w:r>
      <w:r w:rsidRPr="006D0851">
        <w:rPr>
          <w:rFonts w:ascii="Simplified Arabic" w:eastAsia="Times New Roman" w:hAnsi="Simplified Arabic" w:cs="Simplified Arabic"/>
          <w:color w:val="000000" w:themeColor="text1"/>
          <w:kern w:val="0"/>
          <w:sz w:val="28"/>
          <w:szCs w:val="28"/>
          <w:lang w:bidi="ar-EG"/>
          <w14:ligatures w14:val="none"/>
        </w:rPr>
        <w:t>.</w:t>
      </w:r>
    </w:p>
    <w:p w14:paraId="0F29150D"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ويُقدّم</w:t>
      </w:r>
      <w:r w:rsidRPr="006D0851">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D0851">
        <w:rPr>
          <w:rFonts w:ascii="Simplified Arabic" w:eastAsia="Times New Roman" w:hAnsi="Simplified Arabic" w:cs="Simplified Arabic"/>
          <w:color w:val="000000" w:themeColor="text1"/>
          <w:kern w:val="0"/>
          <w:sz w:val="28"/>
          <w:szCs w:val="28"/>
          <w:lang w:bidi="ar-EG"/>
          <w14:ligatures w14:val="none"/>
        </w:rPr>
        <w:t>Mohib</w:t>
      </w:r>
      <w:proofErr w:type="spellEnd"/>
      <w:r w:rsidRPr="006D0851">
        <w:rPr>
          <w:rFonts w:ascii="Simplified Arabic" w:eastAsia="Times New Roman" w:hAnsi="Simplified Arabic" w:cs="Simplified Arabic"/>
          <w:color w:val="000000" w:themeColor="text1"/>
          <w:kern w:val="0"/>
          <w:sz w:val="28"/>
          <w:szCs w:val="28"/>
          <w:lang w:bidi="ar-EG"/>
          <w14:ligatures w14:val="none"/>
        </w:rPr>
        <w:t xml:space="preserve"> &amp; Carroll, 2024) </w:t>
      </w:r>
      <w:r w:rsidRPr="006D0851">
        <w:rPr>
          <w:rFonts w:ascii="Simplified Arabic" w:eastAsia="Times New Roman" w:hAnsi="Simplified Arabic" w:cs="Simplified Arabic"/>
          <w:color w:val="000000" w:themeColor="text1"/>
          <w:kern w:val="0"/>
          <w:sz w:val="28"/>
          <w:szCs w:val="28"/>
          <w:rtl/>
          <w14:ligatures w14:val="none"/>
        </w:rPr>
        <w:t xml:space="preserve">جملة من الأهداف ذات الطابع التسويقي، تشمل: استكشاف دور العلامة الوطنية في تشكيل قرار التوطين، وتحليل آليات بناء صورة ذهنية للدولة المضيفة، وتقييم أثر </w:t>
      </w:r>
      <w:r w:rsidRPr="006D0851">
        <w:rPr>
          <w:rFonts w:ascii="Simplified Arabic" w:eastAsia="Times New Roman" w:hAnsi="Simplified Arabic" w:cs="Simplified Arabic"/>
          <w:color w:val="000000" w:themeColor="text1"/>
          <w:kern w:val="0"/>
          <w:sz w:val="28"/>
          <w:szCs w:val="28"/>
          <w:rtl/>
          <w14:ligatures w14:val="none"/>
        </w:rPr>
        <w:lastRenderedPageBreak/>
        <w:t>الحملات الترويجية في استقطاب الاستثمار، فضلاً عن تطوير نماذج لربط العلامة الوطنية بالنتائج الاستثمارية</w:t>
      </w:r>
      <w:r w:rsidRPr="006D0851">
        <w:rPr>
          <w:rFonts w:ascii="Simplified Arabic" w:eastAsia="Times New Roman" w:hAnsi="Simplified Arabic" w:cs="Simplified Arabic"/>
          <w:color w:val="000000" w:themeColor="text1"/>
          <w:kern w:val="0"/>
          <w:sz w:val="28"/>
          <w:szCs w:val="28"/>
          <w:lang w:bidi="ar-EG"/>
          <w14:ligatures w14:val="none"/>
        </w:rPr>
        <w:t>.</w:t>
      </w:r>
    </w:p>
    <w:p w14:paraId="36195D9A"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ويُضيف</w:t>
      </w:r>
      <w:r w:rsidRPr="006D0851">
        <w:rPr>
          <w:rFonts w:ascii="Simplified Arabic" w:eastAsia="Times New Roman" w:hAnsi="Simplified Arabic" w:cs="Simplified Arabic"/>
          <w:color w:val="000000" w:themeColor="text1"/>
          <w:kern w:val="0"/>
          <w:sz w:val="28"/>
          <w:szCs w:val="28"/>
          <w:lang w:bidi="ar-EG"/>
          <w14:ligatures w14:val="none"/>
        </w:rPr>
        <w:t xml:space="preserve"> (Jiang et al., 2022) </w:t>
      </w:r>
      <w:r w:rsidRPr="006D0851">
        <w:rPr>
          <w:rFonts w:ascii="Simplified Arabic" w:eastAsia="Times New Roman" w:hAnsi="Simplified Arabic" w:cs="Simplified Arabic"/>
          <w:color w:val="000000" w:themeColor="text1"/>
          <w:kern w:val="0"/>
          <w:sz w:val="28"/>
          <w:szCs w:val="28"/>
          <w:rtl/>
          <w14:ligatures w14:val="none"/>
        </w:rPr>
        <w:t>أهدافاً تتعلق بدراسة قرارات التوطين للمنشآت الصغيرة والمتوسطة، تشمل: فهم العلاقة بين مراحل تطور المنشأة وقراراتها الاستثمارية الدولية، وتحليل دور النفاذ إلى أسواق رأس المال في تمكين القرارات التوسعية، واستكشاف التحديات التي تواجه المنشآت الصغيرة في اتخاذ قرار التوطين الدولي</w:t>
      </w:r>
      <w:r w:rsidRPr="006D0851">
        <w:rPr>
          <w:rFonts w:ascii="Simplified Arabic" w:eastAsia="Times New Roman" w:hAnsi="Simplified Arabic" w:cs="Simplified Arabic"/>
          <w:color w:val="000000" w:themeColor="text1"/>
          <w:kern w:val="0"/>
          <w:sz w:val="28"/>
          <w:szCs w:val="28"/>
          <w:lang w:bidi="ar-EG"/>
          <w14:ligatures w14:val="none"/>
        </w:rPr>
        <w:t>.</w:t>
      </w:r>
    </w:p>
    <w:p w14:paraId="0628BA89"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ويُلخّص (المصري، 2025) أهداف الدراسة من زاوية العلاقة التبادلية بين التنافسية والاستثمار في الآتي: تحليل الاتجاهين السببيين بين مؤشرات التنافسية وتدفقات الاستثمار، وفهم آليات التغذية الراجعة بين البيئة التنافسية وقرارات المستثمرين، وتقييم أثر التحسينات في التنافسية على استقطاب الاستثمارات، فضلاً عن تطوير نماذج لقياس هذه العلاقة التبادلية في الاقتصادات الناشئة</w:t>
      </w:r>
      <w:r w:rsidRPr="006D0851">
        <w:rPr>
          <w:rFonts w:ascii="Simplified Arabic" w:eastAsia="Times New Roman" w:hAnsi="Simplified Arabic" w:cs="Simplified Arabic"/>
          <w:color w:val="000000" w:themeColor="text1"/>
          <w:kern w:val="0"/>
          <w:sz w:val="28"/>
          <w:szCs w:val="28"/>
          <w:lang w:bidi="ar-EG"/>
          <w14:ligatures w14:val="none"/>
        </w:rPr>
        <w:t>.</w:t>
      </w:r>
    </w:p>
    <w:p w14:paraId="6388C839" w14:textId="1A03A79E" w:rsidR="00D37D41" w:rsidRPr="006D0851" w:rsidRDefault="00B955DD" w:rsidP="00B955D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9" w:name="_Toc233659098"/>
      <w:r w:rsidRPr="006D0851">
        <w:rPr>
          <w:rFonts w:ascii="Simplified Arabic" w:eastAsia="Times New Roman" w:hAnsi="Simplified Arabic" w:cs="Simplified Arabic" w:hint="cs"/>
          <w:b/>
          <w:bCs/>
          <w:color w:val="000000" w:themeColor="text1"/>
          <w:kern w:val="0"/>
          <w:sz w:val="32"/>
          <w:szCs w:val="32"/>
          <w:rtl/>
          <w14:ligatures w14:val="none"/>
        </w:rPr>
        <w:t>5.2.2</w:t>
      </w:r>
      <w:r w:rsidR="00D37D41" w:rsidRPr="006D0851">
        <w:rPr>
          <w:rFonts w:ascii="Simplified Arabic" w:eastAsia="Times New Roman" w:hAnsi="Simplified Arabic" w:cs="Simplified Arabic"/>
          <w:b/>
          <w:bCs/>
          <w:color w:val="000000" w:themeColor="text1"/>
          <w:kern w:val="0"/>
          <w:sz w:val="32"/>
          <w:szCs w:val="32"/>
          <w:rtl/>
          <w14:ligatures w14:val="none"/>
        </w:rPr>
        <w:t xml:space="preserve"> أبعاد قرار التوطين الاستثماري</w:t>
      </w:r>
      <w:bookmarkEnd w:id="49"/>
    </w:p>
    <w:p w14:paraId="1176243A"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تم تحديد أبعاد قرار التوطين الاستثماري في الدراسة الحالية بناءً على دراسة</w:t>
      </w:r>
      <w:r w:rsidRPr="006D0851">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D0851">
        <w:rPr>
          <w:rFonts w:ascii="Simplified Arabic" w:eastAsia="Times New Roman" w:hAnsi="Simplified Arabic" w:cs="Simplified Arabic"/>
          <w:color w:val="000000" w:themeColor="text1"/>
          <w:kern w:val="0"/>
          <w:sz w:val="28"/>
          <w:szCs w:val="28"/>
          <w:lang w:bidi="ar-EG"/>
          <w14:ligatures w14:val="none"/>
        </w:rPr>
        <w:t>Doro</w:t>
      </w:r>
      <w:r w:rsidRPr="006D0851">
        <w:rPr>
          <w:rFonts w:ascii="Cambria" w:eastAsia="Times New Roman" w:hAnsi="Cambria" w:cs="Cambria"/>
          <w:color w:val="000000" w:themeColor="text1"/>
          <w:kern w:val="0"/>
          <w:sz w:val="28"/>
          <w:szCs w:val="28"/>
          <w:lang w:bidi="ar-EG"/>
          <w14:ligatures w14:val="none"/>
        </w:rPr>
        <w:t>ż</w:t>
      </w:r>
      <w:r w:rsidRPr="006D0851">
        <w:rPr>
          <w:rFonts w:ascii="Simplified Arabic" w:eastAsia="Times New Roman" w:hAnsi="Simplified Arabic" w:cs="Simplified Arabic"/>
          <w:color w:val="000000" w:themeColor="text1"/>
          <w:kern w:val="0"/>
          <w:sz w:val="28"/>
          <w:szCs w:val="28"/>
          <w:lang w:bidi="ar-EG"/>
          <w14:ligatures w14:val="none"/>
        </w:rPr>
        <w:t>y</w:t>
      </w:r>
      <w:r w:rsidRPr="006D0851">
        <w:rPr>
          <w:rFonts w:ascii="Cambria" w:eastAsia="Times New Roman" w:hAnsi="Cambria" w:cs="Cambria"/>
          <w:color w:val="000000" w:themeColor="text1"/>
          <w:kern w:val="0"/>
          <w:sz w:val="28"/>
          <w:szCs w:val="28"/>
          <w:lang w:bidi="ar-EG"/>
          <w14:ligatures w14:val="none"/>
        </w:rPr>
        <w:t>ń</w:t>
      </w:r>
      <w:r w:rsidRPr="006D0851">
        <w:rPr>
          <w:rFonts w:ascii="Simplified Arabic" w:eastAsia="Times New Roman" w:hAnsi="Simplified Arabic" w:cs="Simplified Arabic"/>
          <w:color w:val="000000" w:themeColor="text1"/>
          <w:kern w:val="0"/>
          <w:sz w:val="28"/>
          <w:szCs w:val="28"/>
          <w:lang w:bidi="ar-EG"/>
          <w14:ligatures w14:val="none"/>
        </w:rPr>
        <w:t>ski</w:t>
      </w:r>
      <w:proofErr w:type="spellEnd"/>
      <w:r w:rsidRPr="006D0851">
        <w:rPr>
          <w:rFonts w:ascii="Simplified Arabic" w:eastAsia="Times New Roman" w:hAnsi="Simplified Arabic" w:cs="Simplified Arabic"/>
          <w:color w:val="000000" w:themeColor="text1"/>
          <w:kern w:val="0"/>
          <w:sz w:val="28"/>
          <w:szCs w:val="28"/>
          <w:lang w:bidi="ar-EG"/>
          <w14:ligatures w14:val="none"/>
        </w:rPr>
        <w:t xml:space="preserve">, 2021) </w:t>
      </w:r>
      <w:r w:rsidRPr="006D0851">
        <w:rPr>
          <w:rFonts w:ascii="Simplified Arabic" w:eastAsia="Times New Roman" w:hAnsi="Simplified Arabic" w:cs="Simplified Arabic"/>
          <w:color w:val="000000" w:themeColor="text1"/>
          <w:kern w:val="0"/>
          <w:sz w:val="28"/>
          <w:szCs w:val="28"/>
          <w:rtl/>
          <w14:ligatures w14:val="none"/>
        </w:rPr>
        <w:t>لشمولها أبعاد قرار اختيار الموقع، ودراسة</w:t>
      </w:r>
      <w:r w:rsidRPr="006D0851">
        <w:rPr>
          <w:rFonts w:ascii="Simplified Arabic" w:eastAsia="Times New Roman" w:hAnsi="Simplified Arabic" w:cs="Simplified Arabic"/>
          <w:color w:val="000000" w:themeColor="text1"/>
          <w:kern w:val="0"/>
          <w:sz w:val="28"/>
          <w:szCs w:val="28"/>
          <w:lang w:bidi="ar-EG"/>
          <w14:ligatures w14:val="none"/>
        </w:rPr>
        <w:t xml:space="preserve"> (Jiang et al., 2022) </w:t>
      </w:r>
      <w:r w:rsidRPr="006D0851">
        <w:rPr>
          <w:rFonts w:ascii="Simplified Arabic" w:eastAsia="Times New Roman" w:hAnsi="Simplified Arabic" w:cs="Simplified Arabic"/>
          <w:color w:val="000000" w:themeColor="text1"/>
          <w:kern w:val="0"/>
          <w:sz w:val="28"/>
          <w:szCs w:val="28"/>
          <w:rtl/>
          <w14:ligatures w14:val="none"/>
        </w:rPr>
        <w:t xml:space="preserve">لإسهامها في فهم أبعاد القرار للمنشآت الأجنبية </w:t>
      </w:r>
      <w:proofErr w:type="spellStart"/>
      <w:r w:rsidRPr="006D0851">
        <w:rPr>
          <w:rFonts w:ascii="Simplified Arabic" w:eastAsia="Times New Roman" w:hAnsi="Simplified Arabic" w:cs="Simplified Arabic"/>
          <w:color w:val="000000" w:themeColor="text1"/>
          <w:kern w:val="0"/>
          <w:sz w:val="28"/>
          <w:szCs w:val="28"/>
          <w:rtl/>
          <w14:ligatures w14:val="none"/>
        </w:rPr>
        <w:t>المتدوّلة</w:t>
      </w:r>
      <w:proofErr w:type="spellEnd"/>
      <w:r w:rsidRPr="006D0851">
        <w:rPr>
          <w:rFonts w:ascii="Simplified Arabic" w:eastAsia="Times New Roman" w:hAnsi="Simplified Arabic" w:cs="Simplified Arabic"/>
          <w:color w:val="000000" w:themeColor="text1"/>
          <w:kern w:val="0"/>
          <w:sz w:val="28"/>
          <w:szCs w:val="28"/>
          <w:rtl/>
          <w14:ligatures w14:val="none"/>
        </w:rPr>
        <w:t>، ودراسة (المصري، 2025) لمعالجتها العلاقة التبادلية بين التنافسية وقرارات الاستثمار، إضافة إلى دراسة (سميح، 2022) لتقديمها معالجة شاملة لمحددات بيئة الأعمال وأثرها على قرار الاستثمار. وتشمل أبعاد قرار التوطين الاستثماري ما يلي</w:t>
      </w:r>
      <w:r w:rsidRPr="006D0851">
        <w:rPr>
          <w:rFonts w:ascii="Simplified Arabic" w:eastAsia="Times New Roman" w:hAnsi="Simplified Arabic" w:cs="Simplified Arabic"/>
          <w:color w:val="000000" w:themeColor="text1"/>
          <w:kern w:val="0"/>
          <w:sz w:val="28"/>
          <w:szCs w:val="28"/>
          <w:lang w:bidi="ar-EG"/>
          <w14:ligatures w14:val="none"/>
        </w:rPr>
        <w:t>:</w:t>
      </w:r>
    </w:p>
    <w:p w14:paraId="7C587FA9"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البعد الأول: تقييم البيئة الاستثمارية للدولة المضيفة، ويتجسد هذا البعد في عملية تقييم شاملة يُجريها المستثمر للبيئة الاستثمارية في الدولة المضيفة، تشمل تقييم الاستقرار السياسي والاقتصادي، ومستوى الشفافية، وكفاءة الأجهزة الحكومية، وجودة الحوكمة، وبيئة التشريعات. ويُعدّ هذا البعد القاعدةَ التي يُبنى عليها القرار، إذ يُمثّل المرشّح الأول الذي تستبعد من خلاله البدائل غير المؤهلة. وتتفاوت آليات هذا التقييم بين المستثمرين، فبعضهم يعتمد على مؤشرات دولية مُعتمدة، فيما يعتمد آخرون على دراسات ميدانية وزيارات استكشافية لمعاينة الواقع</w:t>
      </w:r>
      <w:r w:rsidRPr="006D0851">
        <w:rPr>
          <w:rFonts w:ascii="Simplified Arabic" w:eastAsia="Times New Roman" w:hAnsi="Simplified Arabic" w:cs="Simplified Arabic"/>
          <w:color w:val="000000" w:themeColor="text1"/>
          <w:kern w:val="0"/>
          <w:sz w:val="28"/>
          <w:szCs w:val="28"/>
          <w:lang w:bidi="ar-EG"/>
          <w14:ligatures w14:val="none"/>
        </w:rPr>
        <w:t>.</w:t>
      </w:r>
    </w:p>
    <w:p w14:paraId="6A26783E"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lastRenderedPageBreak/>
        <w:t>البعد الثاني: المفاضلة بين البدائل الجغرافية، ويتمثل في عملية المقارنة الممنهجة بين البدائل المتاحة، حيث يضع المستثمر منظومةً من المعايير ويُعطي كل بديل تقييماً نسبياً وفق هذه المعايير، للوصول إلى البديل الأمثل. وتشمل المعايير عادة الكلفة المتوقعة، والعائد المتوقع، والمخاطر، والأفق الزمني للاسترداد، والفرص النمو، فضلاً عن جوانب نوعية تتعلق بجودة الحياة وثقافة الأعمال. ويُمثّل هذا البعد المرحلة التحليلية الأعمق من القرار، إذ تُختبر فيها قدرة الدولة المضيفة على التميّز في مواجهة البدائل الأخرى</w:t>
      </w:r>
      <w:r w:rsidRPr="006D0851">
        <w:rPr>
          <w:rFonts w:ascii="Simplified Arabic" w:eastAsia="Times New Roman" w:hAnsi="Simplified Arabic" w:cs="Simplified Arabic"/>
          <w:color w:val="000000" w:themeColor="text1"/>
          <w:kern w:val="0"/>
          <w:sz w:val="28"/>
          <w:szCs w:val="28"/>
          <w:lang w:bidi="ar-EG"/>
          <w14:ligatures w14:val="none"/>
        </w:rPr>
        <w:t>.</w:t>
      </w:r>
    </w:p>
    <w:p w14:paraId="60DFDA7B"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البعد الثالث: تقييم منظومة الحوافز والضمانات، ويتجسد في تقييم المستثمر لحزمة الحوافز المعروضة عليه، ومدى انسجامها مع طبيعة استثماره وأولوياته. ويتقاطع هذا البعد مباشرةً مع المتغير المستقل في الدراسة الحالية، إذ تُمثّل الحوافز إحدى أبرز محددات القرار، خاصة في القطاعات التي تتقارب فيها التكاليف بين البدائل الجغرافية المختلفة. ويُسهم في تشكيل هذا البعد ما يطرحه (المالكي، 2022) من ربط بين الحوافز التشجيعية وقرارات المستثمرين الأجانب في السياق السعودي</w:t>
      </w:r>
      <w:r w:rsidRPr="006D0851">
        <w:rPr>
          <w:rFonts w:ascii="Simplified Arabic" w:eastAsia="Times New Roman" w:hAnsi="Simplified Arabic" w:cs="Simplified Arabic"/>
          <w:color w:val="000000" w:themeColor="text1"/>
          <w:kern w:val="0"/>
          <w:sz w:val="28"/>
          <w:szCs w:val="28"/>
          <w:lang w:bidi="ar-EG"/>
          <w14:ligatures w14:val="none"/>
        </w:rPr>
        <w:t>.</w:t>
      </w:r>
    </w:p>
    <w:p w14:paraId="06CD9979"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البعد الرابع: تقييم التنافسية الكلية للدولة المضيفة، ويتمثل في تقييم المستثمر لمكانة الدولة المضيفة على خريطة التنافسية العالمية، استناداً إلى مؤشرات التنافسية الكلية والقطاعية. ويُسهم هذا البعد في تحديد المكانة النسبية للدولة بوصفها وجهةً استثمارية، ويتقاطع مع ما يطرحه</w:t>
      </w:r>
      <w:r w:rsidRPr="006D0851">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6D0851">
        <w:rPr>
          <w:rFonts w:ascii="Simplified Arabic" w:eastAsia="Times New Roman" w:hAnsi="Simplified Arabic" w:cs="Simplified Arabic"/>
          <w:color w:val="000000" w:themeColor="text1"/>
          <w:kern w:val="0"/>
          <w:sz w:val="28"/>
          <w:szCs w:val="28"/>
          <w:lang w:bidi="ar-EG"/>
          <w14:ligatures w14:val="none"/>
        </w:rPr>
        <w:t>Alturki</w:t>
      </w:r>
      <w:proofErr w:type="spellEnd"/>
      <w:r w:rsidRPr="006D0851">
        <w:rPr>
          <w:rFonts w:ascii="Simplified Arabic" w:eastAsia="Times New Roman" w:hAnsi="Simplified Arabic" w:cs="Simplified Arabic"/>
          <w:color w:val="000000" w:themeColor="text1"/>
          <w:kern w:val="0"/>
          <w:sz w:val="28"/>
          <w:szCs w:val="28"/>
          <w:lang w:bidi="ar-EG"/>
          <w14:ligatures w14:val="none"/>
        </w:rPr>
        <w:t xml:space="preserve"> &amp; Al-</w:t>
      </w:r>
      <w:proofErr w:type="spellStart"/>
      <w:r w:rsidRPr="006D0851">
        <w:rPr>
          <w:rFonts w:ascii="Simplified Arabic" w:eastAsia="Times New Roman" w:hAnsi="Simplified Arabic" w:cs="Simplified Arabic"/>
          <w:color w:val="000000" w:themeColor="text1"/>
          <w:kern w:val="0"/>
          <w:sz w:val="28"/>
          <w:szCs w:val="28"/>
          <w:lang w:bidi="ar-EG"/>
          <w14:ligatures w14:val="none"/>
        </w:rPr>
        <w:t>Shammari</w:t>
      </w:r>
      <w:proofErr w:type="spellEnd"/>
      <w:r w:rsidRPr="006D0851">
        <w:rPr>
          <w:rFonts w:ascii="Simplified Arabic" w:eastAsia="Times New Roman" w:hAnsi="Simplified Arabic" w:cs="Simplified Arabic"/>
          <w:color w:val="000000" w:themeColor="text1"/>
          <w:kern w:val="0"/>
          <w:sz w:val="28"/>
          <w:szCs w:val="28"/>
          <w:lang w:bidi="ar-EG"/>
          <w14:ligatures w14:val="none"/>
        </w:rPr>
        <w:t xml:space="preserve">, 2025) </w:t>
      </w:r>
      <w:r w:rsidRPr="006D0851">
        <w:rPr>
          <w:rFonts w:ascii="Simplified Arabic" w:eastAsia="Times New Roman" w:hAnsi="Simplified Arabic" w:cs="Simplified Arabic"/>
          <w:color w:val="000000" w:themeColor="text1"/>
          <w:kern w:val="0"/>
          <w:sz w:val="28"/>
          <w:szCs w:val="28"/>
          <w:rtl/>
          <w14:ligatures w14:val="none"/>
        </w:rPr>
        <w:t>من ربط بين التنافسية الإقليمية والتنمية المستدامة، وما يطرحه (المصري، 2025) من علاقة تبادلية بين التنافسية وتدفقات الاستثمار</w:t>
      </w:r>
      <w:r w:rsidRPr="006D0851">
        <w:rPr>
          <w:rFonts w:ascii="Simplified Arabic" w:eastAsia="Times New Roman" w:hAnsi="Simplified Arabic" w:cs="Simplified Arabic"/>
          <w:color w:val="000000" w:themeColor="text1"/>
          <w:kern w:val="0"/>
          <w:sz w:val="28"/>
          <w:szCs w:val="28"/>
          <w:lang w:bidi="ar-EG"/>
          <w14:ligatures w14:val="none"/>
        </w:rPr>
        <w:t>.</w:t>
      </w:r>
    </w:p>
    <w:p w14:paraId="188562F1"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البعد الخامس: الالتزام طويل المدى وقرار التوطين الفعلي، ويتجسد في المرحلة النهائية من القرار، حين ينتقل المستثمر من التقييم النظري إلى الالتزام الفعلي بتوطين رأس ماله في الدولة المضيفة. ويتطلب هذا البعد توافر مستوى عالٍ من الثقة في استمرارية البيئة الاستثمارية، وفي قابلية التنبؤ بالسياسات العامة. ويُسهم في تشكيل هذا البعد ما يطرحه</w:t>
      </w:r>
      <w:r w:rsidRPr="006D0851">
        <w:rPr>
          <w:rFonts w:ascii="Simplified Arabic" w:eastAsia="Times New Roman" w:hAnsi="Simplified Arabic" w:cs="Simplified Arabic"/>
          <w:color w:val="000000" w:themeColor="text1"/>
          <w:kern w:val="0"/>
          <w:sz w:val="28"/>
          <w:szCs w:val="28"/>
          <w:lang w:bidi="ar-EG"/>
          <w14:ligatures w14:val="none"/>
        </w:rPr>
        <w:t xml:space="preserve"> (Binkhamis et al., 2025) </w:t>
      </w:r>
      <w:r w:rsidRPr="006D0851">
        <w:rPr>
          <w:rFonts w:ascii="Simplified Arabic" w:eastAsia="Times New Roman" w:hAnsi="Simplified Arabic" w:cs="Simplified Arabic"/>
          <w:color w:val="000000" w:themeColor="text1"/>
          <w:kern w:val="0"/>
          <w:sz w:val="28"/>
          <w:szCs w:val="28"/>
          <w:rtl/>
          <w14:ligatures w14:val="none"/>
        </w:rPr>
        <w:t>من أن الالتزام طويل المدى يرتبط بأطر حماية الاستثمار، وما يطرحه (حماد، 2025) من أن الضمانات الدولية تعزز الثقة في قرار التوطين</w:t>
      </w:r>
      <w:r w:rsidRPr="006D0851">
        <w:rPr>
          <w:rFonts w:ascii="Simplified Arabic" w:eastAsia="Times New Roman" w:hAnsi="Simplified Arabic" w:cs="Simplified Arabic"/>
          <w:color w:val="000000" w:themeColor="text1"/>
          <w:kern w:val="0"/>
          <w:sz w:val="28"/>
          <w:szCs w:val="28"/>
          <w:lang w:bidi="ar-EG"/>
          <w14:ligatures w14:val="none"/>
        </w:rPr>
        <w:t>.</w:t>
      </w:r>
    </w:p>
    <w:p w14:paraId="503182EE" w14:textId="368BFEC2" w:rsidR="00D37D41" w:rsidRPr="006D0851" w:rsidRDefault="00B955DD" w:rsidP="00B955D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50" w:name="_Toc233659099"/>
      <w:r w:rsidRPr="006D0851">
        <w:rPr>
          <w:rFonts w:ascii="Simplified Arabic" w:eastAsia="Times New Roman" w:hAnsi="Simplified Arabic" w:cs="Simplified Arabic" w:hint="cs"/>
          <w:b/>
          <w:bCs/>
          <w:color w:val="000000" w:themeColor="text1"/>
          <w:kern w:val="0"/>
          <w:sz w:val="32"/>
          <w:szCs w:val="32"/>
          <w:rtl/>
          <w14:ligatures w14:val="none"/>
        </w:rPr>
        <w:t>6.2.2</w:t>
      </w:r>
      <w:r w:rsidR="00D37D41" w:rsidRPr="006D0851">
        <w:rPr>
          <w:rFonts w:ascii="Simplified Arabic" w:eastAsia="Times New Roman" w:hAnsi="Simplified Arabic" w:cs="Simplified Arabic"/>
          <w:b/>
          <w:bCs/>
          <w:color w:val="000000" w:themeColor="text1"/>
          <w:kern w:val="0"/>
          <w:sz w:val="32"/>
          <w:szCs w:val="32"/>
          <w:rtl/>
          <w14:ligatures w14:val="none"/>
        </w:rPr>
        <w:t xml:space="preserve"> استراتيجيات قرار التوطين الاستثماري</w:t>
      </w:r>
      <w:bookmarkEnd w:id="50"/>
    </w:p>
    <w:p w14:paraId="1678B3F6"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 xml:space="preserve">تتباين استراتيجيات اتخاذ قرار التوطين الاستثماري بحسب طبيعة المستثمر وحجمه وأهدافه. وتُمثّل الاستراتيجية الأولى استراتيجية التوطين القائم على البحث عن الأسواق، حيث يستهدف المستثمر النفاذ إلى أسواق جديدة وتوسيع قاعدة عملائه. وتُمثّل الاستراتيجية الثانية استراتيجية التوطين القائم على البحث عن </w:t>
      </w:r>
      <w:r w:rsidRPr="006D0851">
        <w:rPr>
          <w:rFonts w:ascii="Simplified Arabic" w:eastAsia="Times New Roman" w:hAnsi="Simplified Arabic" w:cs="Simplified Arabic"/>
          <w:color w:val="000000" w:themeColor="text1"/>
          <w:kern w:val="0"/>
          <w:sz w:val="28"/>
          <w:szCs w:val="28"/>
          <w:rtl/>
          <w14:ligatures w14:val="none"/>
        </w:rPr>
        <w:lastRenderedPageBreak/>
        <w:t>الموارد، حيث يستهدف المستثمر النفاذ إلى مدخلات إنتاجية أو موارد طبيعية أو بشرية. أما الاستراتيجية الثالثة فهي استراتيجية التوطين القائم على البحث عن الكفاءة، إذ يسعى المستثمر إلى تحقيق وفورات الحجم وتحسين الكفاءة عبر إعادة هيكلة سلاسل الإمداد جغرافياً. وتُمثّل الاستراتيجية الرابعة استراتيجية التوطين القائم على البحث عن الأصول الاستراتيجية، حيث يستهدف المستثمر النفاذ إلى تكنولوجيا أو معرفة أو علامات تجارية متطورة</w:t>
      </w:r>
      <w:r w:rsidRPr="006D0851">
        <w:rPr>
          <w:rFonts w:ascii="Simplified Arabic" w:eastAsia="Times New Roman" w:hAnsi="Simplified Arabic" w:cs="Simplified Arabic"/>
          <w:color w:val="000000" w:themeColor="text1"/>
          <w:kern w:val="0"/>
          <w:sz w:val="28"/>
          <w:szCs w:val="28"/>
          <w:lang w:bidi="ar-EG"/>
          <w14:ligatures w14:val="none"/>
        </w:rPr>
        <w:t>.</w:t>
      </w:r>
    </w:p>
    <w:p w14:paraId="2F9CB37E" w14:textId="77777777" w:rsidR="00D37D41" w:rsidRPr="006D0851" w:rsidRDefault="00D37D41" w:rsidP="00B955D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D0851">
        <w:rPr>
          <w:rFonts w:ascii="Simplified Arabic" w:eastAsia="Times New Roman" w:hAnsi="Simplified Arabic" w:cs="Simplified Arabic"/>
          <w:color w:val="000000" w:themeColor="text1"/>
          <w:kern w:val="0"/>
          <w:sz w:val="28"/>
          <w:szCs w:val="28"/>
          <w:rtl/>
          <w14:ligatures w14:val="none"/>
        </w:rPr>
        <w:t>ويُسهم في إثراء هذه الاستراتيجيات ما يطرحه</w:t>
      </w:r>
      <w:r w:rsidRPr="006D0851">
        <w:rPr>
          <w:rFonts w:ascii="Simplified Arabic" w:eastAsia="Times New Roman" w:hAnsi="Simplified Arabic" w:cs="Simplified Arabic"/>
          <w:color w:val="000000" w:themeColor="text1"/>
          <w:kern w:val="0"/>
          <w:sz w:val="28"/>
          <w:szCs w:val="28"/>
          <w:lang w:bidi="ar-EG"/>
          <w14:ligatures w14:val="none"/>
        </w:rPr>
        <w:t xml:space="preserve"> (Kong et al., 2021) </w:t>
      </w:r>
      <w:r w:rsidRPr="006D0851">
        <w:rPr>
          <w:rFonts w:ascii="Simplified Arabic" w:eastAsia="Times New Roman" w:hAnsi="Simplified Arabic" w:cs="Simplified Arabic"/>
          <w:color w:val="000000" w:themeColor="text1"/>
          <w:kern w:val="0"/>
          <w:sz w:val="28"/>
          <w:szCs w:val="28"/>
          <w:rtl/>
          <w14:ligatures w14:val="none"/>
        </w:rPr>
        <w:t>من أن قرارات التوطين الخارجية تتشكل أيضاً بفعل اعتبارات الكفاءة الإنتاجية وسوء تخصيص الموارد في البيئة الأم، وهو ما يفتح زاوية جديدة لفهم استراتيجيات التوطين بوصفها استجابة لتحديات داخلية وليست فقط لفرص خارجية. ويُكمل</w:t>
      </w:r>
      <w:r w:rsidRPr="006D0851">
        <w:rPr>
          <w:rFonts w:ascii="Simplified Arabic" w:eastAsia="Times New Roman" w:hAnsi="Simplified Arabic" w:cs="Simplified Arabic"/>
          <w:color w:val="000000" w:themeColor="text1"/>
          <w:kern w:val="0"/>
          <w:sz w:val="28"/>
          <w:szCs w:val="28"/>
          <w:lang w:bidi="ar-EG"/>
          <w14:ligatures w14:val="none"/>
        </w:rPr>
        <w:t xml:space="preserve"> (Long &amp; Hu, 2026) </w:t>
      </w:r>
      <w:r w:rsidRPr="006D0851">
        <w:rPr>
          <w:rFonts w:ascii="Simplified Arabic" w:eastAsia="Times New Roman" w:hAnsi="Simplified Arabic" w:cs="Simplified Arabic"/>
          <w:color w:val="000000" w:themeColor="text1"/>
          <w:kern w:val="0"/>
          <w:sz w:val="28"/>
          <w:szCs w:val="28"/>
          <w:rtl/>
          <w14:ligatures w14:val="none"/>
        </w:rPr>
        <w:t xml:space="preserve">هذه المعالجة بطرح استراتيجيات التوطين في قطاعات بعينها كالطاقة المتجددة، حيث تتشكل القرارات وفق منطق متعدد الأهداف يدمج بين الاعتبارات الاقتصادية والبيئية </w:t>
      </w:r>
      <w:proofErr w:type="spellStart"/>
      <w:r w:rsidRPr="006D0851">
        <w:rPr>
          <w:rFonts w:ascii="Simplified Arabic" w:eastAsia="Times New Roman" w:hAnsi="Simplified Arabic" w:cs="Simplified Arabic"/>
          <w:color w:val="000000" w:themeColor="text1"/>
          <w:kern w:val="0"/>
          <w:sz w:val="28"/>
          <w:szCs w:val="28"/>
          <w:rtl/>
          <w14:ligatures w14:val="none"/>
        </w:rPr>
        <w:t>والسياساتية</w:t>
      </w:r>
      <w:proofErr w:type="spellEnd"/>
      <w:r w:rsidRPr="006D0851">
        <w:rPr>
          <w:rFonts w:ascii="Simplified Arabic" w:eastAsia="Times New Roman" w:hAnsi="Simplified Arabic" w:cs="Simplified Arabic"/>
          <w:color w:val="000000" w:themeColor="text1"/>
          <w:kern w:val="0"/>
          <w:sz w:val="28"/>
          <w:szCs w:val="28"/>
          <w:lang w:bidi="ar-EG"/>
          <w14:ligatures w14:val="none"/>
        </w:rPr>
        <w:t>.</w:t>
      </w:r>
    </w:p>
    <w:p w14:paraId="2F97DD30" w14:textId="67EC65CC" w:rsidR="006D0851" w:rsidRPr="006D0851" w:rsidRDefault="00B955DD" w:rsidP="005B5014">
      <w:pPr>
        <w:jc w:val="center"/>
        <w:outlineLvl w:val="0"/>
        <w:rPr>
          <w:rFonts w:ascii="Simplified Arabic" w:hAnsi="Simplified Arabic" w:cs="Simplified Arabic"/>
          <w:b/>
          <w:bCs/>
          <w:color w:val="000000" w:themeColor="text1"/>
          <w:szCs w:val="28"/>
          <w:rtl/>
        </w:rPr>
        <w:sectPr w:rsidR="006D0851" w:rsidRPr="006D0851" w:rsidSect="002B43B8">
          <w:footerReference w:type="default" r:id="rId10"/>
          <w:pgSz w:w="11906" w:h="16838" w:code="9"/>
          <w:pgMar w:top="1134" w:right="1701" w:bottom="1134" w:left="1134" w:header="720" w:footer="720" w:gutter="0"/>
          <w:pgNumType w:start="1"/>
          <w:cols w:space="708"/>
          <w:bidi/>
          <w:rtlGutter/>
          <w:docGrid w:linePitch="360"/>
        </w:sectPr>
      </w:pPr>
      <w:r w:rsidRPr="006D0851">
        <w:rPr>
          <w:rFonts w:ascii="Simplified Arabic" w:eastAsia="Times New Roman" w:hAnsi="Simplified Arabic" w:cs="Simplified Arabic"/>
          <w:b/>
          <w:bCs/>
          <w:color w:val="000000" w:themeColor="text1"/>
          <w:kern w:val="0"/>
          <w:sz w:val="40"/>
          <w:szCs w:val="40"/>
          <w:rtl/>
          <w:lang w:bidi="ar-EG"/>
          <w14:ligatures w14:val="none"/>
        </w:rPr>
        <w:br w:type="page"/>
      </w:r>
      <w:bookmarkEnd w:id="25"/>
    </w:p>
    <w:p w14:paraId="29D4231B" w14:textId="3C227B82" w:rsidR="0081623B" w:rsidRPr="006D0851" w:rsidRDefault="00E27D3B" w:rsidP="002B43B8">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6D0851">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5E87C0CA">
            <wp:simplePos x="0" y="0"/>
            <wp:positionH relativeFrom="column">
              <wp:posOffset>4095750</wp:posOffset>
            </wp:positionH>
            <wp:positionV relativeFrom="paragraph">
              <wp:posOffset>0</wp:posOffset>
            </wp:positionV>
            <wp:extent cx="1544955" cy="1430655"/>
            <wp:effectExtent l="0" t="0" r="0" b="0"/>
            <wp:wrapTight wrapText="bothSides">
              <wp:wrapPolygon edited="0">
                <wp:start x="0" y="0"/>
                <wp:lineTo x="0" y="21284"/>
                <wp:lineTo x="21307" y="21284"/>
                <wp:lineTo x="21307"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4955" cy="143065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6D0851">
        <w:rPr>
          <w:rFonts w:asciiTheme="majorBidi" w:eastAsia="Calibri" w:hAnsiTheme="majorBidi" w:cstheme="majorBidi"/>
          <w:b/>
          <w:bCs/>
          <w:color w:val="000000" w:themeColor="text1"/>
          <w:kern w:val="0"/>
          <w:sz w:val="32"/>
          <w:szCs w:val="32"/>
          <w:lang w:bidi="ar-EG"/>
          <w14:ligatures w14:val="none"/>
        </w:rPr>
        <w:t>Mid</w:t>
      </w:r>
      <w:r w:rsidR="000D353F" w:rsidRPr="006D0851">
        <w:rPr>
          <w:rFonts w:asciiTheme="majorBidi" w:eastAsia="Calibri" w:hAnsiTheme="majorBidi" w:cstheme="majorBidi"/>
          <w:b/>
          <w:bCs/>
          <w:color w:val="000000" w:themeColor="text1"/>
          <w:kern w:val="0"/>
          <w:sz w:val="32"/>
          <w:szCs w:val="32"/>
          <w:lang w:bidi="ar-EG"/>
          <w14:ligatures w14:val="none"/>
        </w:rPr>
        <w:t xml:space="preserve"> </w:t>
      </w:r>
      <w:r w:rsidR="0081623B" w:rsidRPr="006D0851">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6D0851" w:rsidRDefault="0081623B" w:rsidP="002B43B8">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6D0851">
        <w:rPr>
          <w:rFonts w:asciiTheme="majorBidi" w:eastAsia="Calibri" w:hAnsiTheme="majorBidi" w:cstheme="majorBidi"/>
          <w:b/>
          <w:bCs/>
          <w:color w:val="000000" w:themeColor="text1"/>
          <w:kern w:val="0"/>
          <w:sz w:val="32"/>
          <w:szCs w:val="32"/>
          <w:lang w:bidi="ar-EG"/>
          <w14:ligatures w14:val="none"/>
        </w:rPr>
        <w:t>College of Management</w:t>
      </w:r>
    </w:p>
    <w:p w14:paraId="0479A04F" w14:textId="67D37E8A" w:rsidR="0081623B" w:rsidRPr="006D0851" w:rsidRDefault="00857739" w:rsidP="002B43B8">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6D0851">
        <w:rPr>
          <w:rFonts w:asciiTheme="majorBidi" w:eastAsia="Calibri" w:hAnsiTheme="majorBidi" w:cstheme="majorBidi"/>
          <w:b/>
          <w:bCs/>
          <w:color w:val="000000" w:themeColor="text1"/>
          <w:kern w:val="0"/>
          <w:sz w:val="32"/>
          <w:szCs w:val="32"/>
          <w:lang w:bidi="ar-EG"/>
          <w14:ligatures w14:val="none"/>
        </w:rPr>
        <w:t xml:space="preserve">Department of </w:t>
      </w:r>
      <w:r w:rsidR="006111E3" w:rsidRPr="006D0851">
        <w:rPr>
          <w:rFonts w:asciiTheme="majorBidi" w:eastAsia="Calibri" w:hAnsiTheme="majorBidi" w:cstheme="majorBidi"/>
          <w:b/>
          <w:bCs/>
          <w:color w:val="000000" w:themeColor="text1"/>
          <w:kern w:val="0"/>
          <w:sz w:val="32"/>
          <w:szCs w:val="32"/>
          <w14:ligatures w14:val="none"/>
        </w:rPr>
        <w:t>Business Administration</w:t>
      </w:r>
    </w:p>
    <w:p w14:paraId="0CBE22B0" w14:textId="77777777" w:rsidR="00CC6261" w:rsidRPr="006D0851" w:rsidRDefault="00CC6261" w:rsidP="002B43B8">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2F1F8FFE" w14:textId="5308F4D7" w:rsidR="00454A72" w:rsidRPr="006D0851" w:rsidRDefault="00454A72" w:rsidP="006D0851">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rtl/>
          <w:lang w:bidi="ar-EG"/>
          <w14:ligatures w14:val="none"/>
        </w:rPr>
      </w:pPr>
      <w:r w:rsidRPr="006D0851">
        <w:rPr>
          <w:rFonts w:asciiTheme="majorBidi" w:eastAsia="Calibri" w:hAnsiTheme="majorBidi" w:cstheme="majorBidi"/>
          <w:b/>
          <w:bCs/>
          <w:color w:val="000000" w:themeColor="text1"/>
          <w:kern w:val="0"/>
          <w:sz w:val="40"/>
          <w:szCs w:val="40"/>
          <w:lang w:bidi="ar-EG"/>
          <w14:ligatures w14:val="none"/>
        </w:rPr>
        <w:t>The Impact of Investment Incentives on the Investment Localization Decision of Foreign Investors in the Kingdom of Saudi Arabia in Light of Vision 2030</w:t>
      </w:r>
    </w:p>
    <w:p w14:paraId="3B612829" w14:textId="77777777" w:rsidR="006D0851" w:rsidRPr="006D0851" w:rsidRDefault="006D0851" w:rsidP="006D085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4532F5F" w14:textId="7207C50E" w:rsidR="000D353F" w:rsidRPr="006D0851" w:rsidRDefault="000D353F" w:rsidP="006D085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6D0851">
        <w:rPr>
          <w:rFonts w:asciiTheme="majorBidi" w:eastAsia="Calibri" w:hAnsiTheme="majorBidi" w:cstheme="majorBidi"/>
          <w:b/>
          <w:bCs/>
          <w:color w:val="000000" w:themeColor="text1"/>
          <w:kern w:val="0"/>
          <w:sz w:val="36"/>
          <w:szCs w:val="36"/>
          <w:lang w:bidi="ar-EG"/>
          <w14:ligatures w14:val="none"/>
        </w:rPr>
        <w:t>Prepared by:</w:t>
      </w:r>
    </w:p>
    <w:p w14:paraId="5ABA09E1" w14:textId="77777777" w:rsidR="006D0851" w:rsidRPr="006D0851" w:rsidRDefault="006D0851" w:rsidP="006D085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E19E9D6" w14:textId="77777777" w:rsidR="006D0851" w:rsidRPr="006D0851" w:rsidRDefault="006D0851" w:rsidP="006D085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6D0851" w:rsidRPr="006D0851" w14:paraId="4CBA3F5B" w14:textId="77777777" w:rsidTr="00222F65">
        <w:tc>
          <w:tcPr>
            <w:tcW w:w="4530" w:type="dxa"/>
          </w:tcPr>
          <w:p w14:paraId="4CA598FA" w14:textId="77777777" w:rsidR="006D0851" w:rsidRPr="006D0851" w:rsidRDefault="006D0851" w:rsidP="00222F65">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D0851">
              <w:rPr>
                <w:rFonts w:asciiTheme="majorBidi" w:eastAsia="Calibri" w:hAnsiTheme="majorBidi" w:cstheme="majorBidi"/>
                <w:b/>
                <w:bCs/>
                <w:color w:val="000000" w:themeColor="text1"/>
                <w:kern w:val="0"/>
                <w:sz w:val="36"/>
                <w:szCs w:val="36"/>
                <w:lang w:bidi="ar-EG"/>
                <w14:ligatures w14:val="none"/>
              </w:rPr>
              <w:t>Main supervisor</w:t>
            </w:r>
            <w:r w:rsidRPr="006D0851">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07EA909B" w14:textId="77777777" w:rsidR="006D0851" w:rsidRPr="006D0851" w:rsidRDefault="006D0851" w:rsidP="00222F65">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D0851">
              <w:rPr>
                <w:rFonts w:asciiTheme="majorBidi" w:eastAsia="Calibri" w:hAnsiTheme="majorBidi" w:cstheme="majorBidi"/>
                <w:b/>
                <w:bCs/>
                <w:color w:val="000000" w:themeColor="text1"/>
                <w:kern w:val="0"/>
                <w:sz w:val="36"/>
                <w:szCs w:val="36"/>
                <w:lang w:bidi="ar-EG"/>
                <w14:ligatures w14:val="none"/>
              </w:rPr>
              <w:t>Second supervisor</w:t>
            </w:r>
            <w:r w:rsidRPr="006D0851">
              <w:rPr>
                <w:rFonts w:asciiTheme="majorBidi" w:eastAsia="Calibri" w:hAnsiTheme="majorBidi" w:cstheme="majorBidi"/>
                <w:b/>
                <w:bCs/>
                <w:color w:val="000000" w:themeColor="text1"/>
                <w:kern w:val="0"/>
                <w:sz w:val="36"/>
                <w:szCs w:val="36"/>
                <w:rtl/>
                <w:lang w:bidi="ar-EG"/>
                <w14:ligatures w14:val="none"/>
              </w:rPr>
              <w:t>/</w:t>
            </w:r>
          </w:p>
        </w:tc>
      </w:tr>
      <w:tr w:rsidR="006D0851" w:rsidRPr="006D0851" w14:paraId="74030CC8" w14:textId="77777777" w:rsidTr="00222F65">
        <w:tc>
          <w:tcPr>
            <w:tcW w:w="4530" w:type="dxa"/>
          </w:tcPr>
          <w:p w14:paraId="201D76FA" w14:textId="77777777" w:rsidR="006D0851" w:rsidRPr="006D0851" w:rsidRDefault="006D0851" w:rsidP="00222F65">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D0851">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256A2465" w14:textId="77777777" w:rsidR="006D0851" w:rsidRPr="006D0851" w:rsidRDefault="006D0851" w:rsidP="00222F65">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D0851">
              <w:rPr>
                <w:rFonts w:asciiTheme="majorBidi" w:eastAsia="Calibri" w:hAnsiTheme="majorBidi" w:cstheme="majorBidi"/>
                <w:color w:val="000000" w:themeColor="text1"/>
                <w:kern w:val="0"/>
                <w:sz w:val="36"/>
                <w:szCs w:val="36"/>
                <w:lang w:bidi="ar-EG"/>
                <w14:ligatures w14:val="none"/>
              </w:rPr>
              <w:t xml:space="preserve">Dr. Fayez </w:t>
            </w:r>
            <w:proofErr w:type="spellStart"/>
            <w:r w:rsidRPr="006D0851">
              <w:rPr>
                <w:rFonts w:asciiTheme="majorBidi" w:eastAsia="Calibri" w:hAnsiTheme="majorBidi" w:cstheme="majorBidi"/>
                <w:color w:val="000000" w:themeColor="text1"/>
                <w:kern w:val="0"/>
                <w:sz w:val="36"/>
                <w:szCs w:val="36"/>
                <w:lang w:bidi="ar-EG"/>
                <w14:ligatures w14:val="none"/>
              </w:rPr>
              <w:t>Jarad</w:t>
            </w:r>
            <w:proofErr w:type="spellEnd"/>
          </w:p>
        </w:tc>
      </w:tr>
    </w:tbl>
    <w:p w14:paraId="340E498C" w14:textId="77777777" w:rsidR="006D0851" w:rsidRPr="006D0851" w:rsidRDefault="006D0851" w:rsidP="006D0851">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6D0851">
        <w:rPr>
          <w:rFonts w:asciiTheme="majorBidi" w:eastAsia="Calibri" w:hAnsiTheme="majorBidi" w:cstheme="majorBidi"/>
          <w:color w:val="000000" w:themeColor="text1"/>
          <w:kern w:val="0"/>
          <w:sz w:val="36"/>
          <w:szCs w:val="36"/>
          <w:rtl/>
          <w:lang w:bidi="ar-EG"/>
          <w14:ligatures w14:val="none"/>
        </w:rPr>
        <w:t>1448 – 2026</w:t>
      </w:r>
    </w:p>
    <w:p w14:paraId="332C7C34" w14:textId="77777777" w:rsidR="006D0851" w:rsidRPr="006D0851" w:rsidRDefault="006D0851" w:rsidP="006D085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2652DD54" w14:textId="77777777" w:rsidR="007B08E2" w:rsidRPr="006D0851" w:rsidRDefault="007B08E2" w:rsidP="002B43B8">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7B2478B8" w14:textId="77777777" w:rsidR="00623FC1" w:rsidRPr="006D0851" w:rsidRDefault="00623FC1" w:rsidP="002B43B8">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20431ADA" w14:textId="77777777" w:rsidR="00623FC1" w:rsidRPr="006D0851" w:rsidRDefault="00623FC1" w:rsidP="002B43B8">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23284120" w:rsidR="009125CE" w:rsidRPr="006D0851" w:rsidRDefault="009125CE" w:rsidP="002B43B8">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6D0851" w:rsidSect="002B43B8">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532ADB" w14:textId="77777777" w:rsidR="00585139" w:rsidRDefault="00585139" w:rsidP="009125CE">
      <w:pPr>
        <w:spacing w:after="0" w:line="240" w:lineRule="auto"/>
      </w:pPr>
      <w:r>
        <w:separator/>
      </w:r>
    </w:p>
  </w:endnote>
  <w:endnote w:type="continuationSeparator" w:id="0">
    <w:p w14:paraId="6ACB0617" w14:textId="77777777" w:rsidR="00585139" w:rsidRDefault="0058513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0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795596217"/>
      <w:docPartObj>
        <w:docPartGallery w:val="Page Numbers (Bottom of Page)"/>
        <w:docPartUnique/>
      </w:docPartObj>
    </w:sdtPr>
    <w:sdtEndPr>
      <w:rPr>
        <w:rFonts w:ascii="Simplified Arabic" w:hAnsi="Simplified Arabic" w:cs="Simplified Arabic"/>
        <w:b/>
        <w:bCs/>
        <w:noProof/>
        <w:sz w:val="24"/>
        <w:szCs w:val="24"/>
      </w:rPr>
    </w:sdtEndPr>
    <w:sdtContent>
      <w:p w14:paraId="3095308A" w14:textId="257E2D2C" w:rsidR="002B43B8" w:rsidRDefault="002B43B8">
        <w:pPr>
          <w:pStyle w:val="a4"/>
          <w:jc w:val="center"/>
        </w:pPr>
      </w:p>
      <w:p w14:paraId="13047AE1" w14:textId="19B65F1D" w:rsidR="00C83C91" w:rsidRPr="002B43B8" w:rsidRDefault="002B43B8" w:rsidP="002B43B8">
        <w:pPr>
          <w:pStyle w:val="a4"/>
          <w:tabs>
            <w:tab w:val="left" w:pos="4439"/>
            <w:tab w:val="center" w:pos="4535"/>
          </w:tabs>
          <w:rPr>
            <w:rFonts w:ascii="Simplified Arabic" w:hAnsi="Simplified Arabic" w:cs="Simplified Arabic"/>
            <w:b/>
            <w:bCs/>
            <w:sz w:val="24"/>
            <w:szCs w:val="24"/>
          </w:rPr>
        </w:pPr>
        <w:r w:rsidRPr="002B43B8">
          <w:rPr>
            <w:rFonts w:ascii="Simplified Arabic" w:hAnsi="Simplified Arabic" w:cs="Simplified Arabic"/>
            <w:b/>
            <w:bCs/>
            <w:sz w:val="24"/>
            <w:szCs w:val="24"/>
          </w:rPr>
          <w:tab/>
        </w:r>
        <w:r w:rsidRPr="002B43B8">
          <w:rPr>
            <w:rFonts w:ascii="Simplified Arabic" w:hAnsi="Simplified Arabic" w:cs="Simplified Arabic"/>
            <w:b/>
            <w:bCs/>
            <w:sz w:val="24"/>
            <w:szCs w:val="24"/>
          </w:rPr>
          <w:tab/>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414713063"/>
      <w:docPartObj>
        <w:docPartGallery w:val="Page Numbers (Bottom of Page)"/>
        <w:docPartUnique/>
      </w:docPartObj>
    </w:sdtPr>
    <w:sdtEndPr>
      <w:rPr>
        <w:rFonts w:ascii="Simplified Arabic" w:hAnsi="Simplified Arabic" w:cs="Simplified Arabic"/>
        <w:b/>
        <w:bCs/>
        <w:noProof/>
        <w:sz w:val="24"/>
        <w:szCs w:val="24"/>
      </w:rPr>
    </w:sdtEndPr>
    <w:sdtContent>
      <w:p w14:paraId="37C4B66D" w14:textId="77777777" w:rsidR="002B43B8" w:rsidRDefault="002B43B8">
        <w:pPr>
          <w:pStyle w:val="a4"/>
          <w:jc w:val="center"/>
        </w:pPr>
        <w:r>
          <w:rPr>
            <w:noProof/>
          </w:rPr>
          <mc:AlternateContent>
            <mc:Choice Requires="wps">
              <w:drawing>
                <wp:inline distT="0" distB="0" distL="0" distR="0" wp14:anchorId="1651E112" wp14:editId="5E343166">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5CB9E264"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1097457F" w14:textId="77777777" w:rsidR="002B43B8" w:rsidRPr="002B43B8" w:rsidRDefault="002B43B8" w:rsidP="002B43B8">
        <w:pPr>
          <w:pStyle w:val="a4"/>
          <w:tabs>
            <w:tab w:val="left" w:pos="4439"/>
            <w:tab w:val="center" w:pos="4535"/>
          </w:tabs>
          <w:rPr>
            <w:rFonts w:ascii="Simplified Arabic" w:hAnsi="Simplified Arabic" w:cs="Simplified Arabic"/>
            <w:b/>
            <w:bCs/>
            <w:sz w:val="24"/>
            <w:szCs w:val="24"/>
          </w:rPr>
        </w:pPr>
        <w:r w:rsidRPr="002B43B8">
          <w:rPr>
            <w:rFonts w:ascii="Simplified Arabic" w:hAnsi="Simplified Arabic" w:cs="Simplified Arabic"/>
            <w:b/>
            <w:bCs/>
            <w:sz w:val="24"/>
            <w:szCs w:val="24"/>
          </w:rPr>
          <w:tab/>
        </w:r>
        <w:r w:rsidRPr="002B43B8">
          <w:rPr>
            <w:rFonts w:ascii="Simplified Arabic" w:hAnsi="Simplified Arabic" w:cs="Simplified Arabic"/>
            <w:b/>
            <w:bCs/>
            <w:sz w:val="24"/>
            <w:szCs w:val="24"/>
          </w:rPr>
          <w:tab/>
        </w:r>
        <w:r w:rsidRPr="002B43B8">
          <w:rPr>
            <w:rFonts w:ascii="Simplified Arabic" w:hAnsi="Simplified Arabic" w:cs="Simplified Arabic"/>
            <w:b/>
            <w:bCs/>
            <w:sz w:val="24"/>
            <w:szCs w:val="24"/>
          </w:rPr>
          <w:tab/>
        </w:r>
        <w:r w:rsidRPr="002B43B8">
          <w:rPr>
            <w:rFonts w:ascii="Simplified Arabic" w:hAnsi="Simplified Arabic" w:cs="Simplified Arabic"/>
            <w:b/>
            <w:bCs/>
            <w:sz w:val="24"/>
            <w:szCs w:val="24"/>
          </w:rPr>
          <w:fldChar w:fldCharType="begin"/>
        </w:r>
        <w:r w:rsidRPr="002B43B8">
          <w:rPr>
            <w:rFonts w:ascii="Simplified Arabic" w:hAnsi="Simplified Arabic" w:cs="Simplified Arabic"/>
            <w:b/>
            <w:bCs/>
            <w:sz w:val="24"/>
            <w:szCs w:val="24"/>
          </w:rPr>
          <w:instrText xml:space="preserve"> PAGE    \* MERGEFORMAT </w:instrText>
        </w:r>
        <w:r w:rsidRPr="002B43B8">
          <w:rPr>
            <w:rFonts w:ascii="Simplified Arabic" w:hAnsi="Simplified Arabic" w:cs="Simplified Arabic"/>
            <w:b/>
            <w:bCs/>
            <w:sz w:val="24"/>
            <w:szCs w:val="24"/>
          </w:rPr>
          <w:fldChar w:fldCharType="separate"/>
        </w:r>
        <w:r w:rsidR="005B5014">
          <w:rPr>
            <w:rFonts w:ascii="Simplified Arabic" w:hAnsi="Simplified Arabic" w:cs="Simplified Arabic"/>
            <w:b/>
            <w:bCs/>
            <w:noProof/>
            <w:sz w:val="24"/>
            <w:szCs w:val="24"/>
            <w:rtl/>
          </w:rPr>
          <w:t>41</w:t>
        </w:r>
        <w:r w:rsidRPr="002B43B8">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75C68" w14:textId="4C646246" w:rsidR="006D0851" w:rsidRPr="002B43B8" w:rsidRDefault="006D0851" w:rsidP="006D0851">
    <w:pPr>
      <w:pStyle w:val="a4"/>
      <w:jc w:val="center"/>
      <w:rPr>
        <w:rFonts w:ascii="Simplified Arabic" w:hAnsi="Simplified Arabic" w:cs="Simplified Arabic"/>
        <w:b/>
        <w:bCs/>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656784" w14:textId="77777777" w:rsidR="00585139" w:rsidRDefault="00585139" w:rsidP="009125CE">
      <w:pPr>
        <w:spacing w:after="0" w:line="240" w:lineRule="auto"/>
      </w:pPr>
      <w:r>
        <w:separator/>
      </w:r>
    </w:p>
  </w:footnote>
  <w:footnote w:type="continuationSeparator" w:id="0">
    <w:p w14:paraId="5A2FFDF1" w14:textId="77777777" w:rsidR="00585139" w:rsidRDefault="0058513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A4B18"/>
    <w:multiLevelType w:val="multilevel"/>
    <w:tmpl w:val="81D8A3F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496DF7"/>
    <w:multiLevelType w:val="hybridMultilevel"/>
    <w:tmpl w:val="E870A2F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09637D"/>
    <w:multiLevelType w:val="multilevel"/>
    <w:tmpl w:val="81D8A3F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23044A8"/>
    <w:multiLevelType w:val="hybridMultilevel"/>
    <w:tmpl w:val="30F48B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B706C5"/>
    <w:multiLevelType w:val="hybridMultilevel"/>
    <w:tmpl w:val="A16E966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2FD4B4F"/>
    <w:multiLevelType w:val="hybridMultilevel"/>
    <w:tmpl w:val="BA4A18B2"/>
    <w:lvl w:ilvl="0" w:tplc="04090005">
      <w:start w:val="1"/>
      <w:numFmt w:val="bullet"/>
      <w:lvlText w:val=""/>
      <w:lvlJc w:val="left"/>
      <w:pPr>
        <w:ind w:left="1080" w:hanging="360"/>
      </w:pPr>
      <w:rPr>
        <w:rFonts w:ascii="Wingdings" w:hAnsi="Wingdings" w:hint="default"/>
      </w:rPr>
    </w:lvl>
    <w:lvl w:ilvl="1" w:tplc="C53E6FF8">
      <w:start w:val="2"/>
      <w:numFmt w:val="bullet"/>
      <w:lvlText w:val=""/>
      <w:lvlJc w:val="left"/>
      <w:pPr>
        <w:ind w:left="1848" w:hanging="408"/>
      </w:pPr>
      <w:rPr>
        <w:rFonts w:ascii="Simplified Arabic" w:eastAsia="Times New Roman" w:hAnsi="Simplified Arabic" w:cs="Simplified Arabic"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CB23C82"/>
    <w:multiLevelType w:val="hybridMultilevel"/>
    <w:tmpl w:val="F628002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DE65A8C"/>
    <w:multiLevelType w:val="hybridMultilevel"/>
    <w:tmpl w:val="E84093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2766278"/>
    <w:multiLevelType w:val="hybridMultilevel"/>
    <w:tmpl w:val="B8AA058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8C57949"/>
    <w:multiLevelType w:val="hybridMultilevel"/>
    <w:tmpl w:val="6FF688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307F08"/>
    <w:multiLevelType w:val="hybridMultilevel"/>
    <w:tmpl w:val="712E7E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F4001E2"/>
    <w:multiLevelType w:val="hybridMultilevel"/>
    <w:tmpl w:val="F990D09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5A43E56"/>
    <w:multiLevelType w:val="hybridMultilevel"/>
    <w:tmpl w:val="50566E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9D639F3"/>
    <w:multiLevelType w:val="hybridMultilevel"/>
    <w:tmpl w:val="4056AF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C0C1463"/>
    <w:multiLevelType w:val="hybridMultilevel"/>
    <w:tmpl w:val="9738B9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3A2119B"/>
    <w:multiLevelType w:val="hybridMultilevel"/>
    <w:tmpl w:val="6AC22986"/>
    <w:lvl w:ilvl="0" w:tplc="58A8ABA4">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41C4AB6"/>
    <w:multiLevelType w:val="hybridMultilevel"/>
    <w:tmpl w:val="D20A4B9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9" w15:restartNumberingAfterBreak="0">
    <w:nsid w:val="6A545494"/>
    <w:multiLevelType w:val="hybridMultilevel"/>
    <w:tmpl w:val="01904E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CD2164C"/>
    <w:multiLevelType w:val="hybridMultilevel"/>
    <w:tmpl w:val="2F4A820E"/>
    <w:lvl w:ilvl="0" w:tplc="0409000B">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1" w15:restartNumberingAfterBreak="0">
    <w:nsid w:val="6FF27104"/>
    <w:multiLevelType w:val="hybridMultilevel"/>
    <w:tmpl w:val="E364285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1DD6DC9"/>
    <w:multiLevelType w:val="multilevel"/>
    <w:tmpl w:val="81D8A3F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2A3313D"/>
    <w:multiLevelType w:val="hybridMultilevel"/>
    <w:tmpl w:val="56BE3E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86340B1"/>
    <w:multiLevelType w:val="multilevel"/>
    <w:tmpl w:val="078C0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2"/>
  </w:num>
  <w:num w:numId="3">
    <w:abstractNumId w:val="22"/>
  </w:num>
  <w:num w:numId="4">
    <w:abstractNumId w:val="0"/>
  </w:num>
  <w:num w:numId="5">
    <w:abstractNumId w:val="24"/>
  </w:num>
  <w:num w:numId="6">
    <w:abstractNumId w:val="14"/>
  </w:num>
  <w:num w:numId="7">
    <w:abstractNumId w:val="15"/>
  </w:num>
  <w:num w:numId="8">
    <w:abstractNumId w:val="8"/>
  </w:num>
  <w:num w:numId="9">
    <w:abstractNumId w:val="23"/>
  </w:num>
  <w:num w:numId="10">
    <w:abstractNumId w:val="16"/>
  </w:num>
  <w:num w:numId="11">
    <w:abstractNumId w:val="7"/>
  </w:num>
  <w:num w:numId="12">
    <w:abstractNumId w:val="3"/>
  </w:num>
  <w:num w:numId="13">
    <w:abstractNumId w:val="19"/>
  </w:num>
  <w:num w:numId="14">
    <w:abstractNumId w:val="10"/>
  </w:num>
  <w:num w:numId="15">
    <w:abstractNumId w:val="11"/>
  </w:num>
  <w:num w:numId="16">
    <w:abstractNumId w:val="12"/>
  </w:num>
  <w:num w:numId="17">
    <w:abstractNumId w:val="13"/>
  </w:num>
  <w:num w:numId="18">
    <w:abstractNumId w:val="4"/>
  </w:num>
  <w:num w:numId="19">
    <w:abstractNumId w:val="6"/>
  </w:num>
  <w:num w:numId="20">
    <w:abstractNumId w:val="21"/>
  </w:num>
  <w:num w:numId="21">
    <w:abstractNumId w:val="1"/>
  </w:num>
  <w:num w:numId="22">
    <w:abstractNumId w:val="9"/>
  </w:num>
  <w:num w:numId="23">
    <w:abstractNumId w:val="20"/>
  </w:num>
  <w:num w:numId="24">
    <w:abstractNumId w:val="5"/>
  </w:num>
  <w:num w:numId="25">
    <w:abstractNumId w:val="1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30913"/>
    <w:rsid w:val="0004554E"/>
    <w:rsid w:val="00052AB0"/>
    <w:rsid w:val="00053122"/>
    <w:rsid w:val="000543EF"/>
    <w:rsid w:val="000602CA"/>
    <w:rsid w:val="000610C9"/>
    <w:rsid w:val="00061FA2"/>
    <w:rsid w:val="00064FF1"/>
    <w:rsid w:val="00067938"/>
    <w:rsid w:val="0007370A"/>
    <w:rsid w:val="000769E1"/>
    <w:rsid w:val="000842EB"/>
    <w:rsid w:val="00091FE7"/>
    <w:rsid w:val="00093973"/>
    <w:rsid w:val="00094E98"/>
    <w:rsid w:val="000A06E6"/>
    <w:rsid w:val="000A2ED4"/>
    <w:rsid w:val="000A4AC3"/>
    <w:rsid w:val="000A4DAE"/>
    <w:rsid w:val="000A6930"/>
    <w:rsid w:val="000C4130"/>
    <w:rsid w:val="000C46EE"/>
    <w:rsid w:val="000C6A36"/>
    <w:rsid w:val="000C6F98"/>
    <w:rsid w:val="000D03ED"/>
    <w:rsid w:val="000D2E22"/>
    <w:rsid w:val="000D353F"/>
    <w:rsid w:val="000D7A52"/>
    <w:rsid w:val="000E0212"/>
    <w:rsid w:val="000E2A00"/>
    <w:rsid w:val="000E3680"/>
    <w:rsid w:val="000E503B"/>
    <w:rsid w:val="000F44B4"/>
    <w:rsid w:val="00110487"/>
    <w:rsid w:val="0012342D"/>
    <w:rsid w:val="001306F3"/>
    <w:rsid w:val="00131E44"/>
    <w:rsid w:val="00137E86"/>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3348"/>
    <w:rsid w:val="001B6D18"/>
    <w:rsid w:val="001B7151"/>
    <w:rsid w:val="001C2162"/>
    <w:rsid w:val="001C42F9"/>
    <w:rsid w:val="001D4406"/>
    <w:rsid w:val="001E7B16"/>
    <w:rsid w:val="001F0034"/>
    <w:rsid w:val="001F159D"/>
    <w:rsid w:val="001F46A5"/>
    <w:rsid w:val="0021718D"/>
    <w:rsid w:val="00217ADA"/>
    <w:rsid w:val="00223AE0"/>
    <w:rsid w:val="002304C2"/>
    <w:rsid w:val="00234450"/>
    <w:rsid w:val="00250D99"/>
    <w:rsid w:val="00251BCA"/>
    <w:rsid w:val="00256363"/>
    <w:rsid w:val="00260558"/>
    <w:rsid w:val="0026283D"/>
    <w:rsid w:val="00270FB5"/>
    <w:rsid w:val="00274BDE"/>
    <w:rsid w:val="002766BC"/>
    <w:rsid w:val="00280068"/>
    <w:rsid w:val="002828EF"/>
    <w:rsid w:val="00286958"/>
    <w:rsid w:val="0029680E"/>
    <w:rsid w:val="002A32D6"/>
    <w:rsid w:val="002A365A"/>
    <w:rsid w:val="002A76B5"/>
    <w:rsid w:val="002B1274"/>
    <w:rsid w:val="002B43B8"/>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16696"/>
    <w:rsid w:val="00323FD3"/>
    <w:rsid w:val="00333A26"/>
    <w:rsid w:val="0033775D"/>
    <w:rsid w:val="00341565"/>
    <w:rsid w:val="0034173E"/>
    <w:rsid w:val="00341900"/>
    <w:rsid w:val="00343EE8"/>
    <w:rsid w:val="00350539"/>
    <w:rsid w:val="00355D8B"/>
    <w:rsid w:val="00357BB1"/>
    <w:rsid w:val="00357CD0"/>
    <w:rsid w:val="003620C0"/>
    <w:rsid w:val="0036476A"/>
    <w:rsid w:val="00370FDA"/>
    <w:rsid w:val="0037141A"/>
    <w:rsid w:val="0037141D"/>
    <w:rsid w:val="00375565"/>
    <w:rsid w:val="00375658"/>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D5D45"/>
    <w:rsid w:val="003D6376"/>
    <w:rsid w:val="003E29FB"/>
    <w:rsid w:val="003E3EBB"/>
    <w:rsid w:val="003E7CB6"/>
    <w:rsid w:val="00401DBE"/>
    <w:rsid w:val="00402123"/>
    <w:rsid w:val="00403383"/>
    <w:rsid w:val="004130C0"/>
    <w:rsid w:val="00413CBD"/>
    <w:rsid w:val="00413DF8"/>
    <w:rsid w:val="00413F36"/>
    <w:rsid w:val="004163C7"/>
    <w:rsid w:val="004215C5"/>
    <w:rsid w:val="0042402B"/>
    <w:rsid w:val="004260FE"/>
    <w:rsid w:val="00433FD4"/>
    <w:rsid w:val="0043649D"/>
    <w:rsid w:val="00446ED1"/>
    <w:rsid w:val="004475C8"/>
    <w:rsid w:val="00454A72"/>
    <w:rsid w:val="004613E8"/>
    <w:rsid w:val="00461DB2"/>
    <w:rsid w:val="00464637"/>
    <w:rsid w:val="00464AF1"/>
    <w:rsid w:val="004706B4"/>
    <w:rsid w:val="004708AB"/>
    <w:rsid w:val="00470A2D"/>
    <w:rsid w:val="00473631"/>
    <w:rsid w:val="004744E0"/>
    <w:rsid w:val="00474A1C"/>
    <w:rsid w:val="00475C10"/>
    <w:rsid w:val="00476ADB"/>
    <w:rsid w:val="0047707D"/>
    <w:rsid w:val="00482056"/>
    <w:rsid w:val="00482616"/>
    <w:rsid w:val="00491EAB"/>
    <w:rsid w:val="004A035D"/>
    <w:rsid w:val="004A04D1"/>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00D28"/>
    <w:rsid w:val="00513B3A"/>
    <w:rsid w:val="005146DA"/>
    <w:rsid w:val="0051585E"/>
    <w:rsid w:val="00522010"/>
    <w:rsid w:val="0052581D"/>
    <w:rsid w:val="00525FBC"/>
    <w:rsid w:val="005423FA"/>
    <w:rsid w:val="00544E3F"/>
    <w:rsid w:val="00545455"/>
    <w:rsid w:val="005459E0"/>
    <w:rsid w:val="00545E45"/>
    <w:rsid w:val="00550EC8"/>
    <w:rsid w:val="005527F0"/>
    <w:rsid w:val="00557A05"/>
    <w:rsid w:val="00557B85"/>
    <w:rsid w:val="00585139"/>
    <w:rsid w:val="0058591B"/>
    <w:rsid w:val="00586F13"/>
    <w:rsid w:val="00590B27"/>
    <w:rsid w:val="00591C45"/>
    <w:rsid w:val="00597F74"/>
    <w:rsid w:val="005A4FB6"/>
    <w:rsid w:val="005A755A"/>
    <w:rsid w:val="005B112C"/>
    <w:rsid w:val="005B2F92"/>
    <w:rsid w:val="005B5014"/>
    <w:rsid w:val="005B5824"/>
    <w:rsid w:val="005B7D85"/>
    <w:rsid w:val="005D0E3A"/>
    <w:rsid w:val="005D1F90"/>
    <w:rsid w:val="005D25AE"/>
    <w:rsid w:val="005D2620"/>
    <w:rsid w:val="005D5DB7"/>
    <w:rsid w:val="005E37C2"/>
    <w:rsid w:val="005E3F86"/>
    <w:rsid w:val="005E4AF3"/>
    <w:rsid w:val="005F2722"/>
    <w:rsid w:val="005F467A"/>
    <w:rsid w:val="006020A6"/>
    <w:rsid w:val="006044AD"/>
    <w:rsid w:val="00604CE7"/>
    <w:rsid w:val="006068C6"/>
    <w:rsid w:val="006111E3"/>
    <w:rsid w:val="006112DD"/>
    <w:rsid w:val="0061146E"/>
    <w:rsid w:val="00617C5B"/>
    <w:rsid w:val="00623FC1"/>
    <w:rsid w:val="00625CAD"/>
    <w:rsid w:val="0062761F"/>
    <w:rsid w:val="00633D27"/>
    <w:rsid w:val="00633F50"/>
    <w:rsid w:val="006344B4"/>
    <w:rsid w:val="00642229"/>
    <w:rsid w:val="006450DB"/>
    <w:rsid w:val="00647482"/>
    <w:rsid w:val="0066191A"/>
    <w:rsid w:val="00663FD3"/>
    <w:rsid w:val="00666183"/>
    <w:rsid w:val="00667140"/>
    <w:rsid w:val="006716C2"/>
    <w:rsid w:val="00673D30"/>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851"/>
    <w:rsid w:val="006D0A16"/>
    <w:rsid w:val="006D4C88"/>
    <w:rsid w:val="006E4126"/>
    <w:rsid w:val="006E41F3"/>
    <w:rsid w:val="006E65A3"/>
    <w:rsid w:val="006F162C"/>
    <w:rsid w:val="006F29F1"/>
    <w:rsid w:val="0070333D"/>
    <w:rsid w:val="00705AF7"/>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8E2"/>
    <w:rsid w:val="007B0AEC"/>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6AF9"/>
    <w:rsid w:val="0089704E"/>
    <w:rsid w:val="008A0A06"/>
    <w:rsid w:val="008A2196"/>
    <w:rsid w:val="008A248D"/>
    <w:rsid w:val="008A425D"/>
    <w:rsid w:val="008B024C"/>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563EE"/>
    <w:rsid w:val="0096099D"/>
    <w:rsid w:val="009638CB"/>
    <w:rsid w:val="00963C6C"/>
    <w:rsid w:val="00964E82"/>
    <w:rsid w:val="009652F6"/>
    <w:rsid w:val="00970F41"/>
    <w:rsid w:val="0097383F"/>
    <w:rsid w:val="009760DA"/>
    <w:rsid w:val="00976DC2"/>
    <w:rsid w:val="00980234"/>
    <w:rsid w:val="00984196"/>
    <w:rsid w:val="00985B71"/>
    <w:rsid w:val="0098768E"/>
    <w:rsid w:val="00994120"/>
    <w:rsid w:val="009A1D10"/>
    <w:rsid w:val="009A62C5"/>
    <w:rsid w:val="009B37BE"/>
    <w:rsid w:val="009B37F5"/>
    <w:rsid w:val="009B5162"/>
    <w:rsid w:val="009B5BAF"/>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0E3A"/>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40ADE"/>
    <w:rsid w:val="00A44EBE"/>
    <w:rsid w:val="00A4659A"/>
    <w:rsid w:val="00A50745"/>
    <w:rsid w:val="00A55EF3"/>
    <w:rsid w:val="00A57461"/>
    <w:rsid w:val="00A71BCE"/>
    <w:rsid w:val="00A71E73"/>
    <w:rsid w:val="00A74F76"/>
    <w:rsid w:val="00A761BE"/>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AF49EF"/>
    <w:rsid w:val="00B04BD9"/>
    <w:rsid w:val="00B05F9C"/>
    <w:rsid w:val="00B134E7"/>
    <w:rsid w:val="00B15A9E"/>
    <w:rsid w:val="00B16D15"/>
    <w:rsid w:val="00B303DC"/>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86D0F"/>
    <w:rsid w:val="00B9286F"/>
    <w:rsid w:val="00B955DD"/>
    <w:rsid w:val="00BA0E1B"/>
    <w:rsid w:val="00BA1572"/>
    <w:rsid w:val="00BA1B67"/>
    <w:rsid w:val="00BA3D6A"/>
    <w:rsid w:val="00BA5817"/>
    <w:rsid w:val="00BB1144"/>
    <w:rsid w:val="00BB3514"/>
    <w:rsid w:val="00BB5324"/>
    <w:rsid w:val="00BB6CD7"/>
    <w:rsid w:val="00BC24EE"/>
    <w:rsid w:val="00BC454D"/>
    <w:rsid w:val="00BC61BD"/>
    <w:rsid w:val="00BD03D1"/>
    <w:rsid w:val="00BD590D"/>
    <w:rsid w:val="00BE2024"/>
    <w:rsid w:val="00BF35D5"/>
    <w:rsid w:val="00BF795A"/>
    <w:rsid w:val="00C01C2B"/>
    <w:rsid w:val="00C1175F"/>
    <w:rsid w:val="00C16713"/>
    <w:rsid w:val="00C16D65"/>
    <w:rsid w:val="00C20A1C"/>
    <w:rsid w:val="00C23616"/>
    <w:rsid w:val="00C23A70"/>
    <w:rsid w:val="00C32E49"/>
    <w:rsid w:val="00C35B07"/>
    <w:rsid w:val="00C35BBA"/>
    <w:rsid w:val="00C43D61"/>
    <w:rsid w:val="00C45767"/>
    <w:rsid w:val="00C46354"/>
    <w:rsid w:val="00C506D8"/>
    <w:rsid w:val="00C50BCD"/>
    <w:rsid w:val="00C510C4"/>
    <w:rsid w:val="00C54302"/>
    <w:rsid w:val="00C62935"/>
    <w:rsid w:val="00C67472"/>
    <w:rsid w:val="00C71E18"/>
    <w:rsid w:val="00C74890"/>
    <w:rsid w:val="00C75293"/>
    <w:rsid w:val="00C75BC1"/>
    <w:rsid w:val="00C77324"/>
    <w:rsid w:val="00C77A43"/>
    <w:rsid w:val="00C83C91"/>
    <w:rsid w:val="00C83DD5"/>
    <w:rsid w:val="00C83F6A"/>
    <w:rsid w:val="00C86842"/>
    <w:rsid w:val="00C9332D"/>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D70CC"/>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33051"/>
    <w:rsid w:val="00D37D41"/>
    <w:rsid w:val="00D417B5"/>
    <w:rsid w:val="00D5653F"/>
    <w:rsid w:val="00D57D04"/>
    <w:rsid w:val="00D60743"/>
    <w:rsid w:val="00D92BC0"/>
    <w:rsid w:val="00D92F77"/>
    <w:rsid w:val="00D965B5"/>
    <w:rsid w:val="00DA0EBA"/>
    <w:rsid w:val="00DA1C1B"/>
    <w:rsid w:val="00DA3C05"/>
    <w:rsid w:val="00DA4A91"/>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0206"/>
    <w:rsid w:val="00DE50C4"/>
    <w:rsid w:val="00DE5DD0"/>
    <w:rsid w:val="00DE6A61"/>
    <w:rsid w:val="00DF1DC5"/>
    <w:rsid w:val="00DF232F"/>
    <w:rsid w:val="00DF6486"/>
    <w:rsid w:val="00DF6D7E"/>
    <w:rsid w:val="00E0124F"/>
    <w:rsid w:val="00E01CE8"/>
    <w:rsid w:val="00E042AB"/>
    <w:rsid w:val="00E04D94"/>
    <w:rsid w:val="00E06ED4"/>
    <w:rsid w:val="00E07C45"/>
    <w:rsid w:val="00E114AA"/>
    <w:rsid w:val="00E17556"/>
    <w:rsid w:val="00E24460"/>
    <w:rsid w:val="00E2784D"/>
    <w:rsid w:val="00E27D3B"/>
    <w:rsid w:val="00E30EB7"/>
    <w:rsid w:val="00E3112D"/>
    <w:rsid w:val="00E373EB"/>
    <w:rsid w:val="00E43E62"/>
    <w:rsid w:val="00E44C32"/>
    <w:rsid w:val="00E452A2"/>
    <w:rsid w:val="00E50B03"/>
    <w:rsid w:val="00E53564"/>
    <w:rsid w:val="00E552BA"/>
    <w:rsid w:val="00E640C5"/>
    <w:rsid w:val="00E64188"/>
    <w:rsid w:val="00E6570B"/>
    <w:rsid w:val="00E663FA"/>
    <w:rsid w:val="00E67CA1"/>
    <w:rsid w:val="00E67D1B"/>
    <w:rsid w:val="00E71C79"/>
    <w:rsid w:val="00E7265A"/>
    <w:rsid w:val="00E738F9"/>
    <w:rsid w:val="00E7565E"/>
    <w:rsid w:val="00E76742"/>
    <w:rsid w:val="00E76A3D"/>
    <w:rsid w:val="00E76DB1"/>
    <w:rsid w:val="00E802F2"/>
    <w:rsid w:val="00E82DAD"/>
    <w:rsid w:val="00E86613"/>
    <w:rsid w:val="00E97126"/>
    <w:rsid w:val="00EA15E2"/>
    <w:rsid w:val="00EA6B5D"/>
    <w:rsid w:val="00EB46E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17434"/>
    <w:rsid w:val="00F30BD7"/>
    <w:rsid w:val="00F310F2"/>
    <w:rsid w:val="00F33937"/>
    <w:rsid w:val="00F3442D"/>
    <w:rsid w:val="00F450D5"/>
    <w:rsid w:val="00F540A1"/>
    <w:rsid w:val="00F546CE"/>
    <w:rsid w:val="00F563E2"/>
    <w:rsid w:val="00F60BB7"/>
    <w:rsid w:val="00F66109"/>
    <w:rsid w:val="00F72CBB"/>
    <w:rsid w:val="00F733B2"/>
    <w:rsid w:val="00F8780B"/>
    <w:rsid w:val="00F91846"/>
    <w:rsid w:val="00F95872"/>
    <w:rsid w:val="00FA0A03"/>
    <w:rsid w:val="00FA24AF"/>
    <w:rsid w:val="00FA3CED"/>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C50BCD"/>
    <w:pPr>
      <w:keepNext/>
      <w:keepLines/>
      <w:spacing w:before="480" w:after="240" w:line="276" w:lineRule="auto"/>
      <w:jc w:val="lowKashida"/>
      <w:outlineLvl w:val="0"/>
    </w:pPr>
    <w:rPr>
      <w:rFonts w:ascii="Simplified Arabic" w:eastAsia="Times New Roman" w:hAnsi="Simplified Arabic" w:cs="Simplified Arabic"/>
      <w:b/>
      <w:bCs/>
      <w:kern w:val="0"/>
      <w:sz w:val="28"/>
      <w:szCs w:val="28"/>
      <w14:ligatures w14:val="non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C50BCD"/>
    <w:rPr>
      <w:rFonts w:ascii="Simplified Arabic" w:eastAsia="Times New Roman" w:hAnsi="Simplified Arabic" w:cs="Simplified Arabic"/>
      <w:b/>
      <w:bCs/>
      <w:kern w:val="0"/>
      <w:sz w:val="28"/>
      <w:szCs w:val="28"/>
      <w14:ligatures w14:val="non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character" w:styleId="ab">
    <w:name w:val="Emphasis"/>
    <w:basedOn w:val="a0"/>
    <w:uiPriority w:val="20"/>
    <w:qFormat/>
    <w:rsid w:val="00454A72"/>
    <w:rPr>
      <w:i/>
      <w:iCs/>
    </w:rPr>
  </w:style>
  <w:style w:type="paragraph" w:customStyle="1" w:styleId="msonormal0">
    <w:name w:val="msonormal"/>
    <w:basedOn w:val="a"/>
    <w:rsid w:val="00D37D4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1-2">
    <w:name w:val="Grid Table 1 Light Accent 2"/>
    <w:basedOn w:val="a1"/>
    <w:uiPriority w:val="46"/>
    <w:rsid w:val="002B43B8"/>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6-3">
    <w:name w:val="Grid Table 6 Colorful Accent 3"/>
    <w:basedOn w:val="a1"/>
    <w:uiPriority w:val="51"/>
    <w:rsid w:val="006D0851"/>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6-6">
    <w:name w:val="Grid Table 6 Colorful Accent 6"/>
    <w:basedOn w:val="a1"/>
    <w:uiPriority w:val="51"/>
    <w:rsid w:val="006D0851"/>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91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54351795">
      <w:bodyDiv w:val="1"/>
      <w:marLeft w:val="0"/>
      <w:marRight w:val="0"/>
      <w:marTop w:val="0"/>
      <w:marBottom w:val="0"/>
      <w:divBdr>
        <w:top w:val="none" w:sz="0" w:space="0" w:color="auto"/>
        <w:left w:val="none" w:sz="0" w:space="0" w:color="auto"/>
        <w:bottom w:val="none" w:sz="0" w:space="0" w:color="auto"/>
        <w:right w:val="none" w:sz="0" w:space="0" w:color="auto"/>
      </w:divBdr>
    </w:div>
    <w:div w:id="64299438">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01456495">
      <w:bodyDiv w:val="1"/>
      <w:marLeft w:val="0"/>
      <w:marRight w:val="0"/>
      <w:marTop w:val="0"/>
      <w:marBottom w:val="0"/>
      <w:divBdr>
        <w:top w:val="none" w:sz="0" w:space="0" w:color="auto"/>
        <w:left w:val="none" w:sz="0" w:space="0" w:color="auto"/>
        <w:bottom w:val="none" w:sz="0" w:space="0" w:color="auto"/>
        <w:right w:val="none" w:sz="0" w:space="0" w:color="auto"/>
      </w:divBdr>
    </w:div>
    <w:div w:id="10685329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0826410">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12233292">
      <w:bodyDiv w:val="1"/>
      <w:marLeft w:val="0"/>
      <w:marRight w:val="0"/>
      <w:marTop w:val="0"/>
      <w:marBottom w:val="0"/>
      <w:divBdr>
        <w:top w:val="none" w:sz="0" w:space="0" w:color="auto"/>
        <w:left w:val="none" w:sz="0" w:space="0" w:color="auto"/>
        <w:bottom w:val="none" w:sz="0" w:space="0" w:color="auto"/>
        <w:right w:val="none" w:sz="0" w:space="0" w:color="auto"/>
      </w:divBdr>
    </w:div>
    <w:div w:id="221643038">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0454006">
      <w:bodyDiv w:val="1"/>
      <w:marLeft w:val="0"/>
      <w:marRight w:val="0"/>
      <w:marTop w:val="0"/>
      <w:marBottom w:val="0"/>
      <w:divBdr>
        <w:top w:val="none" w:sz="0" w:space="0" w:color="auto"/>
        <w:left w:val="none" w:sz="0" w:space="0" w:color="auto"/>
        <w:bottom w:val="none" w:sz="0" w:space="0" w:color="auto"/>
        <w:right w:val="none" w:sz="0" w:space="0" w:color="auto"/>
      </w:divBdr>
    </w:div>
    <w:div w:id="265886776">
      <w:bodyDiv w:val="1"/>
      <w:marLeft w:val="0"/>
      <w:marRight w:val="0"/>
      <w:marTop w:val="0"/>
      <w:marBottom w:val="0"/>
      <w:divBdr>
        <w:top w:val="none" w:sz="0" w:space="0" w:color="auto"/>
        <w:left w:val="none" w:sz="0" w:space="0" w:color="auto"/>
        <w:bottom w:val="none" w:sz="0" w:space="0" w:color="auto"/>
        <w:right w:val="none" w:sz="0" w:space="0" w:color="auto"/>
      </w:divBdr>
    </w:div>
    <w:div w:id="268314490">
      <w:bodyDiv w:val="1"/>
      <w:marLeft w:val="0"/>
      <w:marRight w:val="0"/>
      <w:marTop w:val="0"/>
      <w:marBottom w:val="0"/>
      <w:divBdr>
        <w:top w:val="none" w:sz="0" w:space="0" w:color="auto"/>
        <w:left w:val="none" w:sz="0" w:space="0" w:color="auto"/>
        <w:bottom w:val="none" w:sz="0" w:space="0" w:color="auto"/>
        <w:right w:val="none" w:sz="0" w:space="0" w:color="auto"/>
      </w:divBdr>
    </w:div>
    <w:div w:id="274024228">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89290450">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29402291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18190198">
      <w:bodyDiv w:val="1"/>
      <w:marLeft w:val="0"/>
      <w:marRight w:val="0"/>
      <w:marTop w:val="0"/>
      <w:marBottom w:val="0"/>
      <w:divBdr>
        <w:top w:val="none" w:sz="0" w:space="0" w:color="auto"/>
        <w:left w:val="none" w:sz="0" w:space="0" w:color="auto"/>
        <w:bottom w:val="none" w:sz="0" w:space="0" w:color="auto"/>
        <w:right w:val="none" w:sz="0" w:space="0" w:color="auto"/>
      </w:divBdr>
    </w:div>
    <w:div w:id="327245728">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31183769">
      <w:bodyDiv w:val="1"/>
      <w:marLeft w:val="0"/>
      <w:marRight w:val="0"/>
      <w:marTop w:val="0"/>
      <w:marBottom w:val="0"/>
      <w:divBdr>
        <w:top w:val="none" w:sz="0" w:space="0" w:color="auto"/>
        <w:left w:val="none" w:sz="0" w:space="0" w:color="auto"/>
        <w:bottom w:val="none" w:sz="0" w:space="0" w:color="auto"/>
        <w:right w:val="none" w:sz="0" w:space="0" w:color="auto"/>
      </w:divBdr>
    </w:div>
    <w:div w:id="345980949">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6640502">
      <w:bodyDiv w:val="1"/>
      <w:marLeft w:val="0"/>
      <w:marRight w:val="0"/>
      <w:marTop w:val="0"/>
      <w:marBottom w:val="0"/>
      <w:divBdr>
        <w:top w:val="none" w:sz="0" w:space="0" w:color="auto"/>
        <w:left w:val="none" w:sz="0" w:space="0" w:color="auto"/>
        <w:bottom w:val="none" w:sz="0" w:space="0" w:color="auto"/>
        <w:right w:val="none" w:sz="0" w:space="0" w:color="auto"/>
      </w:divBdr>
    </w:div>
    <w:div w:id="368191850">
      <w:bodyDiv w:val="1"/>
      <w:marLeft w:val="0"/>
      <w:marRight w:val="0"/>
      <w:marTop w:val="0"/>
      <w:marBottom w:val="0"/>
      <w:divBdr>
        <w:top w:val="none" w:sz="0" w:space="0" w:color="auto"/>
        <w:left w:val="none" w:sz="0" w:space="0" w:color="auto"/>
        <w:bottom w:val="none" w:sz="0" w:space="0" w:color="auto"/>
        <w:right w:val="none" w:sz="0" w:space="0" w:color="auto"/>
      </w:divBdr>
    </w:div>
    <w:div w:id="390662589">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13749531">
      <w:bodyDiv w:val="1"/>
      <w:marLeft w:val="0"/>
      <w:marRight w:val="0"/>
      <w:marTop w:val="0"/>
      <w:marBottom w:val="0"/>
      <w:divBdr>
        <w:top w:val="none" w:sz="0" w:space="0" w:color="auto"/>
        <w:left w:val="none" w:sz="0" w:space="0" w:color="auto"/>
        <w:bottom w:val="none" w:sz="0" w:space="0" w:color="auto"/>
        <w:right w:val="none" w:sz="0" w:space="0" w:color="auto"/>
      </w:divBdr>
    </w:div>
    <w:div w:id="439110941">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88639478">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396197">
      <w:bodyDiv w:val="1"/>
      <w:marLeft w:val="0"/>
      <w:marRight w:val="0"/>
      <w:marTop w:val="0"/>
      <w:marBottom w:val="0"/>
      <w:divBdr>
        <w:top w:val="none" w:sz="0" w:space="0" w:color="auto"/>
        <w:left w:val="none" w:sz="0" w:space="0" w:color="auto"/>
        <w:bottom w:val="none" w:sz="0" w:space="0" w:color="auto"/>
        <w:right w:val="none" w:sz="0" w:space="0" w:color="auto"/>
      </w:divBdr>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453571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66427960">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7567659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15865562">
      <w:bodyDiv w:val="1"/>
      <w:marLeft w:val="0"/>
      <w:marRight w:val="0"/>
      <w:marTop w:val="0"/>
      <w:marBottom w:val="0"/>
      <w:divBdr>
        <w:top w:val="none" w:sz="0" w:space="0" w:color="auto"/>
        <w:left w:val="none" w:sz="0" w:space="0" w:color="auto"/>
        <w:bottom w:val="none" w:sz="0" w:space="0" w:color="auto"/>
        <w:right w:val="none" w:sz="0" w:space="0" w:color="auto"/>
      </w:divBdr>
    </w:div>
    <w:div w:id="617177366">
      <w:bodyDiv w:val="1"/>
      <w:marLeft w:val="0"/>
      <w:marRight w:val="0"/>
      <w:marTop w:val="0"/>
      <w:marBottom w:val="0"/>
      <w:divBdr>
        <w:top w:val="none" w:sz="0" w:space="0" w:color="auto"/>
        <w:left w:val="none" w:sz="0" w:space="0" w:color="auto"/>
        <w:bottom w:val="none" w:sz="0" w:space="0" w:color="auto"/>
        <w:right w:val="none" w:sz="0" w:space="0" w:color="auto"/>
      </w:divBdr>
    </w:div>
    <w:div w:id="62215183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26814079">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47706659">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159162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68289118">
      <w:bodyDiv w:val="1"/>
      <w:marLeft w:val="0"/>
      <w:marRight w:val="0"/>
      <w:marTop w:val="0"/>
      <w:marBottom w:val="0"/>
      <w:divBdr>
        <w:top w:val="none" w:sz="0" w:space="0" w:color="auto"/>
        <w:left w:val="none" w:sz="0" w:space="0" w:color="auto"/>
        <w:bottom w:val="none" w:sz="0" w:space="0" w:color="auto"/>
        <w:right w:val="none" w:sz="0" w:space="0" w:color="auto"/>
      </w:divBdr>
    </w:div>
    <w:div w:id="668487842">
      <w:bodyDiv w:val="1"/>
      <w:marLeft w:val="0"/>
      <w:marRight w:val="0"/>
      <w:marTop w:val="0"/>
      <w:marBottom w:val="0"/>
      <w:divBdr>
        <w:top w:val="none" w:sz="0" w:space="0" w:color="auto"/>
        <w:left w:val="none" w:sz="0" w:space="0" w:color="auto"/>
        <w:bottom w:val="none" w:sz="0" w:space="0" w:color="auto"/>
        <w:right w:val="none" w:sz="0" w:space="0" w:color="auto"/>
      </w:divBdr>
    </w:div>
    <w:div w:id="669213691">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2488815">
      <w:bodyDiv w:val="1"/>
      <w:marLeft w:val="0"/>
      <w:marRight w:val="0"/>
      <w:marTop w:val="0"/>
      <w:marBottom w:val="0"/>
      <w:divBdr>
        <w:top w:val="none" w:sz="0" w:space="0" w:color="auto"/>
        <w:left w:val="none" w:sz="0" w:space="0" w:color="auto"/>
        <w:bottom w:val="none" w:sz="0" w:space="0" w:color="auto"/>
        <w:right w:val="none" w:sz="0" w:space="0" w:color="auto"/>
      </w:divBdr>
    </w:div>
    <w:div w:id="741802855">
      <w:bodyDiv w:val="1"/>
      <w:marLeft w:val="0"/>
      <w:marRight w:val="0"/>
      <w:marTop w:val="0"/>
      <w:marBottom w:val="0"/>
      <w:divBdr>
        <w:top w:val="none" w:sz="0" w:space="0" w:color="auto"/>
        <w:left w:val="none" w:sz="0" w:space="0" w:color="auto"/>
        <w:bottom w:val="none" w:sz="0" w:space="0" w:color="auto"/>
        <w:right w:val="none" w:sz="0" w:space="0" w:color="auto"/>
      </w:divBdr>
    </w:div>
    <w:div w:id="77197926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1720027">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3226293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01536616">
      <w:bodyDiv w:val="1"/>
      <w:marLeft w:val="0"/>
      <w:marRight w:val="0"/>
      <w:marTop w:val="0"/>
      <w:marBottom w:val="0"/>
      <w:divBdr>
        <w:top w:val="none" w:sz="0" w:space="0" w:color="auto"/>
        <w:left w:val="none" w:sz="0" w:space="0" w:color="auto"/>
        <w:bottom w:val="none" w:sz="0" w:space="0" w:color="auto"/>
        <w:right w:val="none" w:sz="0" w:space="0" w:color="auto"/>
      </w:divBdr>
    </w:div>
    <w:div w:id="1105735009">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0879685">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7475598">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0743660">
      <w:bodyDiv w:val="1"/>
      <w:marLeft w:val="0"/>
      <w:marRight w:val="0"/>
      <w:marTop w:val="0"/>
      <w:marBottom w:val="0"/>
      <w:divBdr>
        <w:top w:val="none" w:sz="0" w:space="0" w:color="auto"/>
        <w:left w:val="none" w:sz="0" w:space="0" w:color="auto"/>
        <w:bottom w:val="none" w:sz="0" w:space="0" w:color="auto"/>
        <w:right w:val="none" w:sz="0" w:space="0" w:color="auto"/>
      </w:divBdr>
    </w:div>
    <w:div w:id="1284993616">
      <w:bodyDiv w:val="1"/>
      <w:marLeft w:val="0"/>
      <w:marRight w:val="0"/>
      <w:marTop w:val="0"/>
      <w:marBottom w:val="0"/>
      <w:divBdr>
        <w:top w:val="none" w:sz="0" w:space="0" w:color="auto"/>
        <w:left w:val="none" w:sz="0" w:space="0" w:color="auto"/>
        <w:bottom w:val="none" w:sz="0" w:space="0" w:color="auto"/>
        <w:right w:val="none" w:sz="0" w:space="0" w:color="auto"/>
      </w:divBdr>
      <w:divsChild>
        <w:div w:id="13302133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0552121">
      <w:bodyDiv w:val="1"/>
      <w:marLeft w:val="0"/>
      <w:marRight w:val="0"/>
      <w:marTop w:val="0"/>
      <w:marBottom w:val="0"/>
      <w:divBdr>
        <w:top w:val="none" w:sz="0" w:space="0" w:color="auto"/>
        <w:left w:val="none" w:sz="0" w:space="0" w:color="auto"/>
        <w:bottom w:val="none" w:sz="0" w:space="0" w:color="auto"/>
        <w:right w:val="none" w:sz="0" w:space="0" w:color="auto"/>
      </w:divBdr>
    </w:div>
    <w:div w:id="1317226303">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1271913">
      <w:bodyDiv w:val="1"/>
      <w:marLeft w:val="0"/>
      <w:marRight w:val="0"/>
      <w:marTop w:val="0"/>
      <w:marBottom w:val="0"/>
      <w:divBdr>
        <w:top w:val="none" w:sz="0" w:space="0" w:color="auto"/>
        <w:left w:val="none" w:sz="0" w:space="0" w:color="auto"/>
        <w:bottom w:val="none" w:sz="0" w:space="0" w:color="auto"/>
        <w:right w:val="none" w:sz="0" w:space="0" w:color="auto"/>
      </w:divBdr>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2435716">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8258960">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097366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47981774">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69133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9389573">
      <w:bodyDiv w:val="1"/>
      <w:marLeft w:val="0"/>
      <w:marRight w:val="0"/>
      <w:marTop w:val="0"/>
      <w:marBottom w:val="0"/>
      <w:divBdr>
        <w:top w:val="none" w:sz="0" w:space="0" w:color="auto"/>
        <w:left w:val="none" w:sz="0" w:space="0" w:color="auto"/>
        <w:bottom w:val="none" w:sz="0" w:space="0" w:color="auto"/>
        <w:right w:val="none" w:sz="0" w:space="0" w:color="auto"/>
      </w:divBdr>
    </w:div>
    <w:div w:id="1621451494">
      <w:bodyDiv w:val="1"/>
      <w:marLeft w:val="0"/>
      <w:marRight w:val="0"/>
      <w:marTop w:val="0"/>
      <w:marBottom w:val="0"/>
      <w:divBdr>
        <w:top w:val="none" w:sz="0" w:space="0" w:color="auto"/>
        <w:left w:val="none" w:sz="0" w:space="0" w:color="auto"/>
        <w:bottom w:val="none" w:sz="0" w:space="0" w:color="auto"/>
        <w:right w:val="none" w:sz="0" w:space="0" w:color="auto"/>
      </w:divBdr>
    </w:div>
    <w:div w:id="1626156027">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47507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6494158">
      <w:bodyDiv w:val="1"/>
      <w:marLeft w:val="0"/>
      <w:marRight w:val="0"/>
      <w:marTop w:val="0"/>
      <w:marBottom w:val="0"/>
      <w:divBdr>
        <w:top w:val="none" w:sz="0" w:space="0" w:color="auto"/>
        <w:left w:val="none" w:sz="0" w:space="0" w:color="auto"/>
        <w:bottom w:val="none" w:sz="0" w:space="0" w:color="auto"/>
        <w:right w:val="none" w:sz="0" w:space="0" w:color="auto"/>
      </w:divBdr>
    </w:div>
    <w:div w:id="1668554996">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2000971">
      <w:bodyDiv w:val="1"/>
      <w:marLeft w:val="0"/>
      <w:marRight w:val="0"/>
      <w:marTop w:val="0"/>
      <w:marBottom w:val="0"/>
      <w:divBdr>
        <w:top w:val="none" w:sz="0" w:space="0" w:color="auto"/>
        <w:left w:val="none" w:sz="0" w:space="0" w:color="auto"/>
        <w:bottom w:val="none" w:sz="0" w:space="0" w:color="auto"/>
        <w:right w:val="none" w:sz="0" w:space="0" w:color="auto"/>
      </w:divBdr>
    </w:div>
    <w:div w:id="1756439036">
      <w:bodyDiv w:val="1"/>
      <w:marLeft w:val="0"/>
      <w:marRight w:val="0"/>
      <w:marTop w:val="0"/>
      <w:marBottom w:val="0"/>
      <w:divBdr>
        <w:top w:val="none" w:sz="0" w:space="0" w:color="auto"/>
        <w:left w:val="none" w:sz="0" w:space="0" w:color="auto"/>
        <w:bottom w:val="none" w:sz="0" w:space="0" w:color="auto"/>
        <w:right w:val="none" w:sz="0" w:space="0" w:color="auto"/>
      </w:divBdr>
    </w:div>
    <w:div w:id="1757825346">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5415882">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0882262">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30712472">
      <w:bodyDiv w:val="1"/>
      <w:marLeft w:val="0"/>
      <w:marRight w:val="0"/>
      <w:marTop w:val="0"/>
      <w:marBottom w:val="0"/>
      <w:divBdr>
        <w:top w:val="none" w:sz="0" w:space="0" w:color="auto"/>
        <w:left w:val="none" w:sz="0" w:space="0" w:color="auto"/>
        <w:bottom w:val="none" w:sz="0" w:space="0" w:color="auto"/>
        <w:right w:val="none" w:sz="0" w:space="0" w:color="auto"/>
      </w:divBdr>
    </w:div>
    <w:div w:id="1834030702">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6960875">
      <w:bodyDiv w:val="1"/>
      <w:marLeft w:val="0"/>
      <w:marRight w:val="0"/>
      <w:marTop w:val="0"/>
      <w:marBottom w:val="0"/>
      <w:divBdr>
        <w:top w:val="none" w:sz="0" w:space="0" w:color="auto"/>
        <w:left w:val="none" w:sz="0" w:space="0" w:color="auto"/>
        <w:bottom w:val="none" w:sz="0" w:space="0" w:color="auto"/>
        <w:right w:val="none" w:sz="0" w:space="0" w:color="auto"/>
      </w:divBdr>
    </w:div>
    <w:div w:id="1971745988">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7804588">
      <w:bodyDiv w:val="1"/>
      <w:marLeft w:val="0"/>
      <w:marRight w:val="0"/>
      <w:marTop w:val="0"/>
      <w:marBottom w:val="0"/>
      <w:divBdr>
        <w:top w:val="none" w:sz="0" w:space="0" w:color="auto"/>
        <w:left w:val="none" w:sz="0" w:space="0" w:color="auto"/>
        <w:bottom w:val="none" w:sz="0" w:space="0" w:color="auto"/>
        <w:right w:val="none" w:sz="0" w:space="0" w:color="auto"/>
      </w:divBdr>
    </w:div>
    <w:div w:id="2009164849">
      <w:bodyDiv w:val="1"/>
      <w:marLeft w:val="0"/>
      <w:marRight w:val="0"/>
      <w:marTop w:val="0"/>
      <w:marBottom w:val="0"/>
      <w:divBdr>
        <w:top w:val="none" w:sz="0" w:space="0" w:color="auto"/>
        <w:left w:val="none" w:sz="0" w:space="0" w:color="auto"/>
        <w:bottom w:val="none" w:sz="0" w:space="0" w:color="auto"/>
        <w:right w:val="none" w:sz="0" w:space="0" w:color="auto"/>
      </w:divBdr>
    </w:div>
    <w:div w:id="2010521801">
      <w:bodyDiv w:val="1"/>
      <w:marLeft w:val="0"/>
      <w:marRight w:val="0"/>
      <w:marTop w:val="0"/>
      <w:marBottom w:val="0"/>
      <w:divBdr>
        <w:top w:val="none" w:sz="0" w:space="0" w:color="auto"/>
        <w:left w:val="none" w:sz="0" w:space="0" w:color="auto"/>
        <w:bottom w:val="none" w:sz="0" w:space="0" w:color="auto"/>
        <w:right w:val="none" w:sz="0" w:space="0" w:color="auto"/>
      </w:divBdr>
      <w:divsChild>
        <w:div w:id="2002851878">
          <w:marLeft w:val="0"/>
          <w:marRight w:val="0"/>
          <w:marTop w:val="0"/>
          <w:marBottom w:val="0"/>
          <w:divBdr>
            <w:top w:val="none" w:sz="0" w:space="0" w:color="auto"/>
            <w:left w:val="none" w:sz="0" w:space="0" w:color="auto"/>
            <w:bottom w:val="none" w:sz="0" w:space="0" w:color="auto"/>
            <w:right w:val="none" w:sz="0" w:space="0" w:color="auto"/>
          </w:divBdr>
          <w:divsChild>
            <w:div w:id="286933160">
              <w:marLeft w:val="0"/>
              <w:marRight w:val="0"/>
              <w:marTop w:val="0"/>
              <w:marBottom w:val="0"/>
              <w:divBdr>
                <w:top w:val="none" w:sz="0" w:space="0" w:color="auto"/>
                <w:left w:val="none" w:sz="0" w:space="0" w:color="auto"/>
                <w:bottom w:val="none" w:sz="0" w:space="0" w:color="auto"/>
                <w:right w:val="none" w:sz="0" w:space="0" w:color="auto"/>
              </w:divBdr>
              <w:divsChild>
                <w:div w:id="1979719576">
                  <w:marLeft w:val="0"/>
                  <w:marRight w:val="0"/>
                  <w:marTop w:val="0"/>
                  <w:marBottom w:val="0"/>
                  <w:divBdr>
                    <w:top w:val="none" w:sz="0" w:space="0" w:color="auto"/>
                    <w:left w:val="none" w:sz="0" w:space="0" w:color="auto"/>
                    <w:bottom w:val="none" w:sz="0" w:space="0" w:color="auto"/>
                    <w:right w:val="none" w:sz="0" w:space="0" w:color="auto"/>
                  </w:divBdr>
                  <w:divsChild>
                    <w:div w:id="1169174331">
                      <w:marLeft w:val="0"/>
                      <w:marRight w:val="0"/>
                      <w:marTop w:val="0"/>
                      <w:marBottom w:val="0"/>
                      <w:divBdr>
                        <w:top w:val="none" w:sz="0" w:space="0" w:color="auto"/>
                        <w:left w:val="none" w:sz="0" w:space="0" w:color="auto"/>
                        <w:bottom w:val="none" w:sz="0" w:space="0" w:color="auto"/>
                        <w:right w:val="none" w:sz="0" w:space="0" w:color="auto"/>
                      </w:divBdr>
                      <w:divsChild>
                        <w:div w:id="1940214741">
                          <w:marLeft w:val="0"/>
                          <w:marRight w:val="0"/>
                          <w:marTop w:val="0"/>
                          <w:marBottom w:val="0"/>
                          <w:divBdr>
                            <w:top w:val="none" w:sz="0" w:space="0" w:color="auto"/>
                            <w:left w:val="none" w:sz="0" w:space="0" w:color="auto"/>
                            <w:bottom w:val="none" w:sz="0" w:space="0" w:color="auto"/>
                            <w:right w:val="none" w:sz="0" w:space="0" w:color="auto"/>
                          </w:divBdr>
                          <w:divsChild>
                            <w:div w:id="2114746509">
                              <w:marLeft w:val="0"/>
                              <w:marRight w:val="0"/>
                              <w:marTop w:val="0"/>
                              <w:marBottom w:val="0"/>
                              <w:divBdr>
                                <w:top w:val="none" w:sz="0" w:space="0" w:color="auto"/>
                                <w:left w:val="none" w:sz="0" w:space="0" w:color="auto"/>
                                <w:bottom w:val="none" w:sz="0" w:space="0" w:color="auto"/>
                                <w:right w:val="none" w:sz="0" w:space="0" w:color="auto"/>
                              </w:divBdr>
                              <w:divsChild>
                                <w:div w:id="27545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849081">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49910394">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7075019">
      <w:bodyDiv w:val="1"/>
      <w:marLeft w:val="0"/>
      <w:marRight w:val="0"/>
      <w:marTop w:val="0"/>
      <w:marBottom w:val="0"/>
      <w:divBdr>
        <w:top w:val="none" w:sz="0" w:space="0" w:color="auto"/>
        <w:left w:val="none" w:sz="0" w:space="0" w:color="auto"/>
        <w:bottom w:val="none" w:sz="0" w:space="0" w:color="auto"/>
        <w:right w:val="none" w:sz="0" w:space="0" w:color="auto"/>
      </w:divBdr>
    </w:div>
    <w:div w:id="2071152457">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3667375">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 w:id="21458485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23CE9D2-93CB-417B-9DAB-572B30909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43</Pages>
  <Words>11002</Words>
  <Characters>64636</Characters>
  <Application>Microsoft Office Word</Application>
  <DocSecurity>4</DocSecurity>
  <Lines>538</Lines>
  <Paragraphs>150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75488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Faisal A. Alsaleh</cp:lastModifiedBy>
  <cp:revision>2</cp:revision>
  <cp:lastPrinted>2026-06-29T18:08:00Z</cp:lastPrinted>
  <dcterms:created xsi:type="dcterms:W3CDTF">2026-07-09T09:50:00Z</dcterms:created>
  <dcterms:modified xsi:type="dcterms:W3CDTF">2026-07-09T09:50:00Z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